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9E9C7" w14:textId="77777777" w:rsidR="000E0B74" w:rsidRPr="006D0240" w:rsidRDefault="000E0B74" w:rsidP="008E6292"/>
    <w:p w14:paraId="611A473D" w14:textId="77777777" w:rsidR="000E0B74" w:rsidRPr="006D0240" w:rsidRDefault="000E0B74" w:rsidP="00C72318">
      <w:pPr>
        <w:pStyle w:val="Crest"/>
        <w:spacing w:after="3000"/>
        <w:jc w:val="right"/>
      </w:pPr>
    </w:p>
    <w:p w14:paraId="482BE818" w14:textId="1F6B5D21" w:rsidR="008919A4" w:rsidRDefault="00647CF4" w:rsidP="000E0B74">
      <w:pPr>
        <w:pStyle w:val="Title"/>
      </w:pPr>
      <w:r w:rsidRPr="00CD0341">
        <w:t>Australian Charities and Not</w:t>
      </w:r>
      <w:r w:rsidRPr="00CD0341">
        <w:rPr>
          <w:rFonts w:ascii="Cambria Math" w:hAnsi="Cambria Math" w:cs="Cambria Math"/>
        </w:rPr>
        <w:t>‑</w:t>
      </w:r>
      <w:r w:rsidRPr="00CD0341">
        <w:t>for</w:t>
      </w:r>
      <w:r w:rsidRPr="00CD0341">
        <w:rPr>
          <w:rFonts w:ascii="Cambria Math" w:hAnsi="Cambria Math" w:cs="Cambria Math"/>
        </w:rPr>
        <w:t>‑</w:t>
      </w:r>
      <w:r w:rsidRPr="00CD0341">
        <w:t xml:space="preserve">profits Commission Amendment (2021 Measures No. </w:t>
      </w:r>
      <w:r>
        <w:t>3</w:t>
      </w:r>
      <w:r w:rsidRPr="00CD0341">
        <w:t>) Regulations 2021</w:t>
      </w:r>
    </w:p>
    <w:p w14:paraId="5773C100" w14:textId="77777777" w:rsidR="000E0B74" w:rsidRPr="00A524B9" w:rsidRDefault="00736516" w:rsidP="000E0B74">
      <w:pPr>
        <w:pStyle w:val="Title"/>
      </w:pPr>
      <w:r>
        <w:t>F</w:t>
      </w:r>
      <w:r w:rsidR="00FD4EAF">
        <w:t>AQs</w:t>
      </w:r>
    </w:p>
    <w:p w14:paraId="0EC00681" w14:textId="77777777" w:rsidR="002F617F" w:rsidRPr="005D561D" w:rsidRDefault="002F617F" w:rsidP="002F617F">
      <w:pPr>
        <w:pStyle w:val="Divider"/>
      </w:pPr>
    </w:p>
    <w:p w14:paraId="77C62CBF" w14:textId="77777777" w:rsidR="002F617F" w:rsidRDefault="002F617F"/>
    <w:p w14:paraId="08AF89D6" w14:textId="77777777" w:rsidR="000E0B74" w:rsidRDefault="000E0B74" w:rsidP="000E0B74">
      <w:pPr>
        <w:rPr>
          <w:rFonts w:cs="Calibri"/>
          <w:sz w:val="20"/>
        </w:rPr>
      </w:pPr>
    </w:p>
    <w:p w14:paraId="51478054" w14:textId="77777777" w:rsidR="000E0B74" w:rsidRDefault="000E0B74" w:rsidP="000E0B74">
      <w:pPr>
        <w:sectPr w:rsidR="000E0B74" w:rsidSect="00C01DCC">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20"/>
        </w:sectPr>
      </w:pPr>
    </w:p>
    <w:p w14:paraId="3F12E916" w14:textId="77777777" w:rsidR="00651786" w:rsidRDefault="007D50E0" w:rsidP="006514DD">
      <w:pPr>
        <w:pStyle w:val="Heading2"/>
      </w:pPr>
      <w:r>
        <w:lastRenderedPageBreak/>
        <w:t>Context</w:t>
      </w:r>
    </w:p>
    <w:p w14:paraId="3F26D842" w14:textId="79386E13" w:rsidR="00076F4C" w:rsidRDefault="00D01F18" w:rsidP="00AD4087">
      <w:pPr>
        <w:pStyle w:val="Bullet"/>
        <w:numPr>
          <w:ilvl w:val="0"/>
          <w:numId w:val="0"/>
        </w:numPr>
        <w:tabs>
          <w:tab w:val="num" w:pos="520"/>
        </w:tabs>
        <w:spacing w:before="240" w:after="200"/>
      </w:pPr>
      <w:r w:rsidRPr="00CD0341">
        <w:t>Australian Charities and Not</w:t>
      </w:r>
      <w:r w:rsidRPr="00CD0341">
        <w:rPr>
          <w:rFonts w:ascii="Cambria Math" w:hAnsi="Cambria Math" w:cs="Cambria Math"/>
        </w:rPr>
        <w:t>‑</w:t>
      </w:r>
      <w:r w:rsidRPr="00CD0341">
        <w:t>for</w:t>
      </w:r>
      <w:r w:rsidRPr="00CD0341">
        <w:rPr>
          <w:rFonts w:ascii="Cambria Math" w:hAnsi="Cambria Math" w:cs="Cambria Math"/>
        </w:rPr>
        <w:t>‑</w:t>
      </w:r>
      <w:r w:rsidRPr="00CD0341">
        <w:t xml:space="preserve">profits Commission Amendment (2021 Measures No. </w:t>
      </w:r>
      <w:r>
        <w:t>3</w:t>
      </w:r>
      <w:r w:rsidRPr="00CD0341">
        <w:t>) Regulations 2021</w:t>
      </w:r>
      <w:r>
        <w:t xml:space="preserve"> </w:t>
      </w:r>
      <w:r w:rsidR="001D305E">
        <w:t>(the Regulation</w:t>
      </w:r>
      <w:r w:rsidR="00ED6D7B">
        <w:t>s</w:t>
      </w:r>
      <w:r w:rsidR="001D305E">
        <w:t xml:space="preserve">) </w:t>
      </w:r>
      <w:r w:rsidR="00EC319B">
        <w:t>will assist in</w:t>
      </w:r>
      <w:r w:rsidR="008A58EA" w:rsidRPr="00EC319B">
        <w:t xml:space="preserve"> </w:t>
      </w:r>
      <w:r w:rsidR="00EC319B">
        <w:t xml:space="preserve">implementing </w:t>
      </w:r>
      <w:r w:rsidR="008A58EA" w:rsidRPr="00EC319B">
        <w:t>three of the recommendations</w:t>
      </w:r>
      <w:r w:rsidR="008A58EA">
        <w:t xml:space="preserve"> from the Australian Charities and Not-for-profits Commission Legislation Review.  </w:t>
      </w:r>
    </w:p>
    <w:p w14:paraId="35CFFCCF" w14:textId="77777777" w:rsidR="003030D0" w:rsidRDefault="003030D0" w:rsidP="003030D0">
      <w:pPr>
        <w:rPr>
          <w:rFonts w:eastAsiaTheme="minorHAnsi"/>
          <w:lang w:eastAsia="en-US"/>
        </w:rPr>
      </w:pPr>
      <w:r>
        <w:rPr>
          <w:rFonts w:eastAsiaTheme="minorHAnsi"/>
          <w:lang w:eastAsia="en-US"/>
        </w:rPr>
        <w:t xml:space="preserve">These reforms will </w:t>
      </w:r>
      <w:r w:rsidRPr="001204E5">
        <w:rPr>
          <w:rFonts w:eastAsiaTheme="minorHAnsi"/>
          <w:lang w:eastAsia="en-US"/>
        </w:rPr>
        <w:t>reduc</w:t>
      </w:r>
      <w:r>
        <w:rPr>
          <w:rFonts w:eastAsiaTheme="minorHAnsi"/>
          <w:lang w:eastAsia="en-US"/>
        </w:rPr>
        <w:t>e</w:t>
      </w:r>
      <w:r w:rsidRPr="001204E5">
        <w:rPr>
          <w:rFonts w:eastAsiaTheme="minorHAnsi"/>
          <w:lang w:eastAsia="en-US"/>
        </w:rPr>
        <w:t xml:space="preserve"> red tape for charities so they can focus their resources on supporting their communities, while </w:t>
      </w:r>
      <w:r>
        <w:rPr>
          <w:rFonts w:eastAsiaTheme="minorHAnsi"/>
          <w:lang w:eastAsia="en-US"/>
        </w:rPr>
        <w:t xml:space="preserve">also </w:t>
      </w:r>
      <w:r w:rsidRPr="001204E5">
        <w:rPr>
          <w:rFonts w:eastAsiaTheme="minorHAnsi"/>
          <w:lang w:eastAsia="en-US"/>
        </w:rPr>
        <w:t xml:space="preserve">ensuring the generous Australians who give their time and money to various causes can have trust and confidence in the governance of the charities they support. </w:t>
      </w:r>
    </w:p>
    <w:p w14:paraId="121BB888" w14:textId="51152B0B" w:rsidR="00014F5D" w:rsidRDefault="00A8254E" w:rsidP="0098020F">
      <w:pPr>
        <w:pStyle w:val="Heading2"/>
      </w:pPr>
      <w:r>
        <w:t>What reforms are being implemented?</w:t>
      </w:r>
    </w:p>
    <w:p w14:paraId="182E20E0" w14:textId="77777777" w:rsidR="00A8254E" w:rsidRDefault="00A8254E" w:rsidP="00A8254E">
      <w:pPr>
        <w:pStyle w:val="Bullet"/>
        <w:numPr>
          <w:ilvl w:val="0"/>
          <w:numId w:val="0"/>
        </w:numPr>
        <w:tabs>
          <w:tab w:val="num" w:pos="520"/>
        </w:tabs>
        <w:spacing w:before="240" w:after="200"/>
      </w:pPr>
      <w:r>
        <w:t>In its response to the Australian Charities and Not-for-profits Commission Legislation Review 2018 (the Review), the Government agreed to the following three recommendations (amongst others):</w:t>
      </w:r>
    </w:p>
    <w:p w14:paraId="3CAFF8DB" w14:textId="7906DEC5" w:rsidR="00A8254E" w:rsidRDefault="00A8254E" w:rsidP="00A8254E">
      <w:pPr>
        <w:pStyle w:val="Bullet"/>
        <w:numPr>
          <w:ilvl w:val="0"/>
          <w:numId w:val="48"/>
        </w:numPr>
        <w:spacing w:after="160"/>
        <w:ind w:left="522" w:hanging="522"/>
      </w:pPr>
      <w:r>
        <w:rPr>
          <w:u w:val="single"/>
        </w:rPr>
        <w:t>Recommendation 12</w:t>
      </w:r>
      <w:r>
        <w:t xml:space="preserve">: Increase the revenue thresholds defining small, </w:t>
      </w:r>
      <w:proofErr w:type="gramStart"/>
      <w:r>
        <w:t>medium</w:t>
      </w:r>
      <w:proofErr w:type="gramEnd"/>
      <w:r>
        <w:t xml:space="preserve"> and large registered </w:t>
      </w:r>
      <w:r w:rsidR="001D305E">
        <w:t>charities</w:t>
      </w:r>
      <w:r>
        <w:t>.  These will be increased to the following:</w:t>
      </w:r>
    </w:p>
    <w:tbl>
      <w:tblPr>
        <w:tblStyle w:val="GridTable1Light-Accent1"/>
        <w:tblW w:w="5000" w:type="pct"/>
        <w:tblLook w:val="04A0" w:firstRow="1" w:lastRow="0" w:firstColumn="1" w:lastColumn="0" w:noHBand="0" w:noVBand="1"/>
        <w:tblCaption w:val="New revenue thresholds for ACNC registered charities"/>
      </w:tblPr>
      <w:tblGrid>
        <w:gridCol w:w="1847"/>
        <w:gridCol w:w="2137"/>
        <w:gridCol w:w="2851"/>
        <w:gridCol w:w="2227"/>
      </w:tblGrid>
      <w:tr w:rsidR="00A8254E" w14:paraId="2116B2D9" w14:textId="77777777" w:rsidTr="00A825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tcBorders>
              <w:top w:val="single" w:sz="4" w:space="0" w:color="BDD6EE" w:themeColor="accent1" w:themeTint="66"/>
              <w:left w:val="single" w:sz="4" w:space="0" w:color="BDD6EE" w:themeColor="accent1" w:themeTint="66"/>
              <w:right w:val="single" w:sz="4" w:space="0" w:color="BDD6EE" w:themeColor="accent1" w:themeTint="66"/>
            </w:tcBorders>
            <w:hideMark/>
          </w:tcPr>
          <w:p w14:paraId="45EACE56" w14:textId="24EACB44" w:rsidR="00A8254E" w:rsidRDefault="00A8254E">
            <w:pPr>
              <w:rPr>
                <w:b w:val="0"/>
                <w:lang w:eastAsia="en-US"/>
              </w:rPr>
            </w:pPr>
            <w:r>
              <w:rPr>
                <w:lang w:eastAsia="en-US"/>
              </w:rPr>
              <w:t xml:space="preserve">Registered </w:t>
            </w:r>
            <w:r w:rsidR="001D305E">
              <w:rPr>
                <w:lang w:eastAsia="en-US"/>
              </w:rPr>
              <w:t>charity</w:t>
            </w:r>
            <w:r>
              <w:rPr>
                <w:lang w:eastAsia="en-US"/>
              </w:rPr>
              <w:t xml:space="preserve"> size</w:t>
            </w:r>
          </w:p>
        </w:tc>
        <w:tc>
          <w:tcPr>
            <w:tcW w:w="1179" w:type="pct"/>
            <w:tcBorders>
              <w:top w:val="single" w:sz="4" w:space="0" w:color="BDD6EE" w:themeColor="accent1" w:themeTint="66"/>
              <w:left w:val="single" w:sz="4" w:space="0" w:color="BDD6EE" w:themeColor="accent1" w:themeTint="66"/>
              <w:right w:val="single" w:sz="4" w:space="0" w:color="BDD6EE" w:themeColor="accent1" w:themeTint="66"/>
            </w:tcBorders>
            <w:hideMark/>
          </w:tcPr>
          <w:p w14:paraId="5BFA9ED8" w14:textId="77777777" w:rsidR="00A8254E" w:rsidRDefault="00A8254E">
            <w:pPr>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Small</w:t>
            </w:r>
          </w:p>
        </w:tc>
        <w:tc>
          <w:tcPr>
            <w:tcW w:w="1573" w:type="pct"/>
            <w:tcBorders>
              <w:top w:val="single" w:sz="4" w:space="0" w:color="BDD6EE" w:themeColor="accent1" w:themeTint="66"/>
              <w:left w:val="single" w:sz="4" w:space="0" w:color="BDD6EE" w:themeColor="accent1" w:themeTint="66"/>
              <w:right w:val="single" w:sz="4" w:space="0" w:color="BDD6EE" w:themeColor="accent1" w:themeTint="66"/>
            </w:tcBorders>
            <w:hideMark/>
          </w:tcPr>
          <w:p w14:paraId="38ACA9FF" w14:textId="77777777" w:rsidR="00A8254E" w:rsidRDefault="00A8254E">
            <w:pPr>
              <w:jc w:val="center"/>
              <w:cnfStyle w:val="100000000000" w:firstRow="1" w:lastRow="0" w:firstColumn="0" w:lastColumn="0" w:oddVBand="0" w:evenVBand="0" w:oddHBand="0" w:evenHBand="0" w:firstRowFirstColumn="0" w:firstRowLastColumn="0" w:lastRowFirstColumn="0" w:lastRowLastColumn="0"/>
              <w:rPr>
                <w:b w:val="0"/>
                <w:bCs w:val="0"/>
                <w:lang w:eastAsia="en-US"/>
              </w:rPr>
            </w:pPr>
            <w:r>
              <w:rPr>
                <w:lang w:eastAsia="en-US"/>
              </w:rPr>
              <w:t>Medium</w:t>
            </w:r>
          </w:p>
        </w:tc>
        <w:tc>
          <w:tcPr>
            <w:tcW w:w="1229" w:type="pct"/>
            <w:tcBorders>
              <w:top w:val="single" w:sz="4" w:space="0" w:color="BDD6EE" w:themeColor="accent1" w:themeTint="66"/>
              <w:left w:val="single" w:sz="4" w:space="0" w:color="BDD6EE" w:themeColor="accent1" w:themeTint="66"/>
              <w:right w:val="single" w:sz="4" w:space="0" w:color="BDD6EE" w:themeColor="accent1" w:themeTint="66"/>
            </w:tcBorders>
            <w:hideMark/>
          </w:tcPr>
          <w:p w14:paraId="53027A32" w14:textId="77777777" w:rsidR="00A8254E" w:rsidRDefault="00A8254E">
            <w:pPr>
              <w:jc w:val="center"/>
              <w:cnfStyle w:val="100000000000" w:firstRow="1" w:lastRow="0" w:firstColumn="0" w:lastColumn="0" w:oddVBand="0" w:evenVBand="0" w:oddHBand="0" w:evenHBand="0" w:firstRowFirstColumn="0" w:firstRowLastColumn="0" w:lastRowFirstColumn="0" w:lastRowLastColumn="0"/>
              <w:rPr>
                <w:b w:val="0"/>
                <w:bCs w:val="0"/>
                <w:lang w:eastAsia="en-US"/>
              </w:rPr>
            </w:pPr>
            <w:r>
              <w:rPr>
                <w:lang w:eastAsia="en-US"/>
              </w:rPr>
              <w:t>Large</w:t>
            </w:r>
          </w:p>
        </w:tc>
      </w:tr>
      <w:tr w:rsidR="00A8254E" w14:paraId="3F4754C8" w14:textId="77777777" w:rsidTr="00A8254E">
        <w:tc>
          <w:tcPr>
            <w:cnfStyle w:val="001000000000" w:firstRow="0" w:lastRow="0" w:firstColumn="1" w:lastColumn="0" w:oddVBand="0" w:evenVBand="0" w:oddHBand="0" w:evenHBand="0" w:firstRowFirstColumn="0" w:firstRowLastColumn="0" w:lastRowFirstColumn="0" w:lastRowLastColumn="0"/>
            <w:tcW w:w="1019"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7ED7EAC5" w14:textId="2A6E8FF4" w:rsidR="00A8254E" w:rsidRDefault="001D305E">
            <w:pPr>
              <w:rPr>
                <w:b w:val="0"/>
                <w:bCs w:val="0"/>
                <w:lang w:eastAsia="en-US"/>
              </w:rPr>
            </w:pPr>
            <w:r>
              <w:rPr>
                <w:b w:val="0"/>
                <w:bCs w:val="0"/>
                <w:lang w:eastAsia="en-US"/>
              </w:rPr>
              <w:t xml:space="preserve">Annual Revenue </w:t>
            </w:r>
            <w:r w:rsidR="00A8254E">
              <w:rPr>
                <w:b w:val="0"/>
                <w:bCs w:val="0"/>
                <w:lang w:eastAsia="en-US"/>
              </w:rPr>
              <w:t>Threshold</w:t>
            </w:r>
          </w:p>
        </w:tc>
        <w:tc>
          <w:tcPr>
            <w:tcW w:w="1179"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3C5693C2" w14:textId="77777777" w:rsidR="00A8254E" w:rsidRDefault="00A8254E">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Less than $500,000</w:t>
            </w:r>
          </w:p>
        </w:tc>
        <w:tc>
          <w:tcPr>
            <w:tcW w:w="1573"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606F4D9F" w14:textId="2DBEF60B" w:rsidR="00A8254E" w:rsidRDefault="00A8254E">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 xml:space="preserve">$500,000 </w:t>
            </w:r>
            <w:r w:rsidR="006B1425">
              <w:rPr>
                <w:lang w:eastAsia="en-US"/>
              </w:rPr>
              <w:t xml:space="preserve">to </w:t>
            </w:r>
            <w:r>
              <w:rPr>
                <w:lang w:eastAsia="en-US"/>
              </w:rPr>
              <w:t>less than $3</w:t>
            </w:r>
            <w:r w:rsidR="0055326E">
              <w:rPr>
                <w:lang w:eastAsia="en-US"/>
              </w:rPr>
              <w:t> </w:t>
            </w:r>
            <w:r>
              <w:rPr>
                <w:lang w:eastAsia="en-US"/>
              </w:rPr>
              <w:t>million</w:t>
            </w:r>
          </w:p>
        </w:tc>
        <w:tc>
          <w:tcPr>
            <w:tcW w:w="1229"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vAlign w:val="center"/>
            <w:hideMark/>
          </w:tcPr>
          <w:p w14:paraId="2901A5EE" w14:textId="77777777" w:rsidR="00A8254E" w:rsidRDefault="00A8254E">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$3 million or more</w:t>
            </w:r>
          </w:p>
        </w:tc>
      </w:tr>
    </w:tbl>
    <w:p w14:paraId="29AD4AE1" w14:textId="77777777" w:rsidR="00A8254E" w:rsidRPr="00A8254E" w:rsidRDefault="00A8254E" w:rsidP="00A8254E">
      <w:pPr>
        <w:pStyle w:val="Bullet"/>
        <w:numPr>
          <w:ilvl w:val="0"/>
          <w:numId w:val="0"/>
        </w:numPr>
        <w:ind w:left="283" w:hanging="283"/>
      </w:pPr>
    </w:p>
    <w:p w14:paraId="2E8C54C6" w14:textId="210901D8" w:rsidR="00A8254E" w:rsidRDefault="00A8254E" w:rsidP="00A8254E">
      <w:pPr>
        <w:pStyle w:val="Bullet"/>
      </w:pPr>
      <w:r>
        <w:rPr>
          <w:u w:val="single"/>
        </w:rPr>
        <w:t>Recommendation 14</w:t>
      </w:r>
      <w:r>
        <w:t xml:space="preserve">: Require all registered </w:t>
      </w:r>
      <w:r w:rsidR="001D305E">
        <w:t xml:space="preserve">charities </w:t>
      </w:r>
      <w:r>
        <w:t xml:space="preserve">to disclose related party transactions, with </w:t>
      </w:r>
      <w:proofErr w:type="gramStart"/>
      <w:r>
        <w:t>small registered</w:t>
      </w:r>
      <w:proofErr w:type="gramEnd"/>
      <w:r>
        <w:t xml:space="preserve"> </w:t>
      </w:r>
      <w:r w:rsidR="001D305E">
        <w:t>charities</w:t>
      </w:r>
      <w:r>
        <w:t xml:space="preserve"> to make a simplified disclosure involving a brief description of related party transactions. </w:t>
      </w:r>
    </w:p>
    <w:p w14:paraId="29FB878B" w14:textId="4A39F135" w:rsidR="00A8254E" w:rsidRDefault="00A8254E" w:rsidP="00A8254E">
      <w:pPr>
        <w:pStyle w:val="Bullet"/>
      </w:pPr>
      <w:r>
        <w:rPr>
          <w:u w:val="single"/>
        </w:rPr>
        <w:t>Recommendation 15</w:t>
      </w:r>
      <w:r>
        <w:t xml:space="preserve">: Require </w:t>
      </w:r>
      <w:proofErr w:type="gramStart"/>
      <w:r>
        <w:t>large registered</w:t>
      </w:r>
      <w:proofErr w:type="gramEnd"/>
      <w:r>
        <w:t xml:space="preserve"> </w:t>
      </w:r>
      <w:r w:rsidR="001D305E">
        <w:t>charities</w:t>
      </w:r>
      <w:r>
        <w:t xml:space="preserve"> to disclose, on an aggregate basis, remuneration paid to responsible persons and senior executives</w:t>
      </w:r>
      <w:r w:rsidR="00ED6D7B">
        <w:t xml:space="preserve">, </w:t>
      </w:r>
      <w:r>
        <w:t xml:space="preserve">unless the </w:t>
      </w:r>
      <w:r w:rsidR="001D305E">
        <w:t>charity</w:t>
      </w:r>
      <w:r>
        <w:t xml:space="preserve"> has only one such person. </w:t>
      </w:r>
    </w:p>
    <w:p w14:paraId="5C3DBA84" w14:textId="767534A3" w:rsidR="00A8254E" w:rsidRDefault="00A8254E" w:rsidP="00A8254E">
      <w:pPr>
        <w:pStyle w:val="Heading2"/>
        <w:rPr>
          <w:rFonts w:eastAsiaTheme="minorHAnsi"/>
          <w:lang w:eastAsia="en-US"/>
        </w:rPr>
      </w:pPr>
      <w:r>
        <w:rPr>
          <w:rFonts w:eastAsiaTheme="minorHAnsi"/>
          <w:lang w:eastAsia="en-US"/>
        </w:rPr>
        <w:t xml:space="preserve">How will the Regulations assist </w:t>
      </w:r>
      <w:r w:rsidR="00B66D08">
        <w:rPr>
          <w:rFonts w:eastAsiaTheme="minorHAnsi"/>
          <w:lang w:eastAsia="en-US"/>
        </w:rPr>
        <w:t>to implement</w:t>
      </w:r>
      <w:r>
        <w:rPr>
          <w:rFonts w:eastAsiaTheme="minorHAnsi"/>
          <w:lang w:eastAsia="en-US"/>
        </w:rPr>
        <w:t xml:space="preserve"> these reforms?</w:t>
      </w:r>
    </w:p>
    <w:p w14:paraId="17CB9F66" w14:textId="5CF8A391" w:rsidR="00731369" w:rsidRDefault="00A8254E" w:rsidP="006C18AF">
      <w:pPr>
        <w:pStyle w:val="Bullet"/>
        <w:numPr>
          <w:ilvl w:val="0"/>
          <w:numId w:val="0"/>
        </w:numPr>
        <w:tabs>
          <w:tab w:val="num" w:pos="520"/>
        </w:tabs>
        <w:spacing w:before="240" w:after="200"/>
        <w:rPr>
          <w:rFonts w:eastAsiaTheme="minorHAnsi" w:cstheme="minorBidi"/>
          <w:szCs w:val="22"/>
          <w:lang w:eastAsia="en-US"/>
        </w:rPr>
      </w:pPr>
      <w:r>
        <w:rPr>
          <w:rFonts w:eastAsiaTheme="minorHAnsi" w:cstheme="minorBidi"/>
          <w:szCs w:val="22"/>
          <w:lang w:eastAsia="en-US"/>
        </w:rPr>
        <w:t>The Regulation</w:t>
      </w:r>
      <w:r w:rsidR="00ED6D7B">
        <w:rPr>
          <w:rFonts w:eastAsiaTheme="minorHAnsi" w:cstheme="minorBidi"/>
          <w:szCs w:val="22"/>
          <w:lang w:eastAsia="en-US"/>
        </w:rPr>
        <w:t>s</w:t>
      </w:r>
      <w:r>
        <w:rPr>
          <w:rFonts w:eastAsiaTheme="minorHAnsi" w:cstheme="minorBidi"/>
          <w:szCs w:val="22"/>
          <w:lang w:eastAsia="en-US"/>
        </w:rPr>
        <w:t xml:space="preserve"> will give effect to Recommendation 12 and Recommendation 14 of the Review. </w:t>
      </w:r>
      <w:r w:rsidR="00731369">
        <w:t xml:space="preserve">For consistency with the Government’s response to </w:t>
      </w:r>
      <w:r w:rsidR="00494B22">
        <w:t>R</w:t>
      </w:r>
      <w:r w:rsidR="00731369">
        <w:t xml:space="preserve">ecommendation 15 of the Review, the </w:t>
      </w:r>
      <w:r w:rsidR="0055326E">
        <w:t>R</w:t>
      </w:r>
      <w:r w:rsidR="00731369">
        <w:t xml:space="preserve">egulations </w:t>
      </w:r>
      <w:r w:rsidR="0055326E">
        <w:t xml:space="preserve">also </w:t>
      </w:r>
      <w:r w:rsidR="00D0581C">
        <w:t xml:space="preserve">provide an exemption for some </w:t>
      </w:r>
      <w:r w:rsidR="00ED6D7B">
        <w:t>charities</w:t>
      </w:r>
      <w:r w:rsidR="00D0581C">
        <w:t xml:space="preserve"> from the requirement to disclose, as part of their related party transactions, aggregate remuneration paid to responsible persons and senior executives.  This exemption will apply to</w:t>
      </w:r>
      <w:r w:rsidR="00731369">
        <w:t xml:space="preserve"> medium registered </w:t>
      </w:r>
      <w:r w:rsidR="00ED6D7B">
        <w:t>charities</w:t>
      </w:r>
      <w:r w:rsidR="00731369">
        <w:t xml:space="preserve">, and large </w:t>
      </w:r>
      <w:r w:rsidR="00ED6D7B">
        <w:t xml:space="preserve">charities </w:t>
      </w:r>
      <w:r w:rsidR="00731369">
        <w:t xml:space="preserve">with only one </w:t>
      </w:r>
      <w:r w:rsidR="007772EF">
        <w:t xml:space="preserve">remunerated key management </w:t>
      </w:r>
      <w:r w:rsidR="00731369">
        <w:t xml:space="preserve">person. </w:t>
      </w:r>
      <w:r w:rsidR="00ED6D7B">
        <w:t xml:space="preserve">(Senior executives and responsible persons are referred to as key management personnel in accounting terms.) </w:t>
      </w:r>
      <w:r w:rsidR="00731369">
        <w:t>This requirement balances increased transparency with the privacy of individuals</w:t>
      </w:r>
      <w:r>
        <w:t>.</w:t>
      </w:r>
    </w:p>
    <w:p w14:paraId="653621F6" w14:textId="29557712" w:rsidR="00DE3918" w:rsidRDefault="00647CF4" w:rsidP="001204E5">
      <w:pPr>
        <w:pStyle w:val="Heading2"/>
      </w:pPr>
      <w:r>
        <w:t xml:space="preserve">What </w:t>
      </w:r>
      <w:r w:rsidR="00685844">
        <w:t>will the new reporting thresholds mean for registered charities?</w:t>
      </w:r>
    </w:p>
    <w:p w14:paraId="53D928BA" w14:textId="0D946633" w:rsidR="00685844" w:rsidRDefault="00685844" w:rsidP="006A59BF">
      <w:pPr>
        <w:pStyle w:val="Bullet"/>
        <w:numPr>
          <w:ilvl w:val="0"/>
          <w:numId w:val="0"/>
        </w:numPr>
      </w:pPr>
      <w:r>
        <w:t xml:space="preserve">The increased reporting thresholds for registered charities will mean that </w:t>
      </w:r>
      <w:proofErr w:type="gramStart"/>
      <w:r>
        <w:t>a number of</w:t>
      </w:r>
      <w:proofErr w:type="gramEnd"/>
      <w:r>
        <w:t xml:space="preserve"> charities will move from being a large charity to now being a medium</w:t>
      </w:r>
      <w:r w:rsidR="006B1425">
        <w:t xml:space="preserve"> for the purposes of ACNC reporting</w:t>
      </w:r>
      <w:r>
        <w:t xml:space="preserve">. These </w:t>
      </w:r>
      <w:r>
        <w:lastRenderedPageBreak/>
        <w:t>charities will now be able to have their financial statements reviewed rather than audited. This will save the charity both time and money.</w:t>
      </w:r>
    </w:p>
    <w:p w14:paraId="3ADC3079" w14:textId="5EA53998" w:rsidR="00685844" w:rsidRDefault="00685844" w:rsidP="006A59BF">
      <w:pPr>
        <w:pStyle w:val="Bullet"/>
        <w:numPr>
          <w:ilvl w:val="0"/>
          <w:numId w:val="0"/>
        </w:numPr>
      </w:pPr>
      <w:r>
        <w:t>Other registered charities will move from being a medium charity to now being a small charity</w:t>
      </w:r>
      <w:r w:rsidR="006B1425">
        <w:t xml:space="preserve"> for the purposes of ACNC reporting</w:t>
      </w:r>
      <w:r>
        <w:t>. These charities will now no longer be required to submit financial statements to the ACNC, instead being required to simply complete the Annual Information Statement. This represents a significant reduction in red tape for these charities.</w:t>
      </w:r>
    </w:p>
    <w:p w14:paraId="7A5500EF" w14:textId="085ADCC2" w:rsidR="00FB163E" w:rsidRDefault="00FB163E" w:rsidP="00FB163E">
      <w:pPr>
        <w:spacing w:before="240"/>
      </w:pPr>
      <w:r>
        <w:t>The below table sets out a comparison between the existing and new thresholds, to allow charities to determine if they will be impacted by the changed thresholds.</w:t>
      </w:r>
    </w:p>
    <w:tbl>
      <w:tblPr>
        <w:tblStyle w:val="GridTable1Light-Accent1"/>
        <w:tblW w:w="5000" w:type="pct"/>
        <w:tblLook w:val="04A0" w:firstRow="1" w:lastRow="0" w:firstColumn="1" w:lastColumn="0" w:noHBand="0" w:noVBand="1"/>
        <w:tblCaption w:val="New revenue thresholds for ACNC registered charities"/>
      </w:tblPr>
      <w:tblGrid>
        <w:gridCol w:w="2263"/>
        <w:gridCol w:w="1722"/>
        <w:gridCol w:w="2851"/>
        <w:gridCol w:w="2226"/>
      </w:tblGrid>
      <w:tr w:rsidR="00FB163E" w:rsidRPr="00966245" w14:paraId="7F51F273" w14:textId="77777777" w:rsidTr="00ED6D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2A11BC29" w14:textId="38AC49E2" w:rsidR="00FB163E" w:rsidRPr="002A6EDA" w:rsidRDefault="00FB163E" w:rsidP="00B011A2">
            <w:pPr>
              <w:rPr>
                <w:b w:val="0"/>
              </w:rPr>
            </w:pPr>
            <w:r>
              <w:t xml:space="preserve">Registered </w:t>
            </w:r>
            <w:r w:rsidR="00ED6D7B">
              <w:t>charity</w:t>
            </w:r>
            <w:r w:rsidRPr="002A6EDA">
              <w:t xml:space="preserve"> size</w:t>
            </w:r>
          </w:p>
        </w:tc>
        <w:tc>
          <w:tcPr>
            <w:tcW w:w="950" w:type="pct"/>
          </w:tcPr>
          <w:p w14:paraId="056C3F59" w14:textId="77777777" w:rsidR="00FB163E" w:rsidRPr="00966245" w:rsidRDefault="00FB163E" w:rsidP="00B011A2">
            <w:pPr>
              <w:jc w:val="center"/>
              <w:cnfStyle w:val="100000000000" w:firstRow="1" w:lastRow="0" w:firstColumn="0" w:lastColumn="0" w:oddVBand="0" w:evenVBand="0" w:oddHBand="0" w:evenHBand="0" w:firstRowFirstColumn="0" w:firstRowLastColumn="0" w:lastRowFirstColumn="0" w:lastRowLastColumn="0"/>
            </w:pPr>
            <w:r w:rsidRPr="002A6EDA">
              <w:t>Small</w:t>
            </w:r>
          </w:p>
        </w:tc>
        <w:tc>
          <w:tcPr>
            <w:tcW w:w="1573" w:type="pct"/>
          </w:tcPr>
          <w:p w14:paraId="24C6F3A1" w14:textId="77777777" w:rsidR="00FB163E" w:rsidRPr="00966245" w:rsidRDefault="00FB163E" w:rsidP="00B011A2">
            <w:pPr>
              <w:jc w:val="center"/>
              <w:cnfStyle w:val="100000000000" w:firstRow="1" w:lastRow="0" w:firstColumn="0" w:lastColumn="0" w:oddVBand="0" w:evenVBand="0" w:oddHBand="0" w:evenHBand="0" w:firstRowFirstColumn="0" w:firstRowLastColumn="0" w:lastRowFirstColumn="0" w:lastRowLastColumn="0"/>
              <w:rPr>
                <w:b w:val="0"/>
                <w:bCs w:val="0"/>
              </w:rPr>
            </w:pPr>
            <w:r w:rsidRPr="002A6EDA">
              <w:t>Medium</w:t>
            </w:r>
          </w:p>
        </w:tc>
        <w:tc>
          <w:tcPr>
            <w:tcW w:w="1229" w:type="pct"/>
          </w:tcPr>
          <w:p w14:paraId="7F7D2719" w14:textId="77777777" w:rsidR="00FB163E" w:rsidRPr="00966245" w:rsidRDefault="00FB163E" w:rsidP="00B011A2">
            <w:pPr>
              <w:jc w:val="center"/>
              <w:cnfStyle w:val="100000000000" w:firstRow="1" w:lastRow="0" w:firstColumn="0" w:lastColumn="0" w:oddVBand="0" w:evenVBand="0" w:oddHBand="0" w:evenHBand="0" w:firstRowFirstColumn="0" w:firstRowLastColumn="0" w:lastRowFirstColumn="0" w:lastRowLastColumn="0"/>
              <w:rPr>
                <w:b w:val="0"/>
                <w:bCs w:val="0"/>
              </w:rPr>
            </w:pPr>
            <w:r w:rsidRPr="002A6EDA">
              <w:t>Large</w:t>
            </w:r>
          </w:p>
        </w:tc>
      </w:tr>
      <w:tr w:rsidR="00FB163E" w14:paraId="01BA0356" w14:textId="77777777" w:rsidTr="00ED6D7B">
        <w:tc>
          <w:tcPr>
            <w:cnfStyle w:val="001000000000" w:firstRow="0" w:lastRow="0" w:firstColumn="1" w:lastColumn="0" w:oddVBand="0" w:evenVBand="0" w:oddHBand="0" w:evenHBand="0" w:firstRowFirstColumn="0" w:firstRowLastColumn="0" w:lastRowFirstColumn="0" w:lastRowLastColumn="0"/>
            <w:tcW w:w="1249" w:type="pct"/>
          </w:tcPr>
          <w:p w14:paraId="05CF1619" w14:textId="59402A7F" w:rsidR="00FB163E" w:rsidRPr="00FB4C91" w:rsidRDefault="00FB163E" w:rsidP="00B011A2">
            <w:pPr>
              <w:rPr>
                <w:b w:val="0"/>
                <w:bCs w:val="0"/>
              </w:rPr>
            </w:pPr>
            <w:r>
              <w:rPr>
                <w:b w:val="0"/>
                <w:bCs w:val="0"/>
              </w:rPr>
              <w:t xml:space="preserve">Current </w:t>
            </w:r>
            <w:r w:rsidR="00ED6D7B">
              <w:rPr>
                <w:b w:val="0"/>
                <w:bCs w:val="0"/>
              </w:rPr>
              <w:t>annual revenue t</w:t>
            </w:r>
            <w:r w:rsidRPr="00FB4C91">
              <w:rPr>
                <w:b w:val="0"/>
                <w:bCs w:val="0"/>
              </w:rPr>
              <w:t>hreshold</w:t>
            </w:r>
          </w:p>
        </w:tc>
        <w:tc>
          <w:tcPr>
            <w:tcW w:w="950" w:type="pct"/>
            <w:vAlign w:val="center"/>
          </w:tcPr>
          <w:p w14:paraId="748F7B58" w14:textId="77777777" w:rsidR="00FB163E" w:rsidRPr="00FB4C91" w:rsidRDefault="00FB163E" w:rsidP="00B011A2">
            <w:pPr>
              <w:cnfStyle w:val="000000000000" w:firstRow="0" w:lastRow="0" w:firstColumn="0" w:lastColumn="0" w:oddVBand="0" w:evenVBand="0" w:oddHBand="0" w:evenHBand="0" w:firstRowFirstColumn="0" w:firstRowLastColumn="0" w:lastRowFirstColumn="0" w:lastRowLastColumn="0"/>
            </w:pPr>
            <w:r w:rsidRPr="00FB4C91">
              <w:t>Less than $</w:t>
            </w:r>
            <w:r>
              <w:t>25</w:t>
            </w:r>
            <w:r w:rsidRPr="00FB4C91">
              <w:t>0,000</w:t>
            </w:r>
          </w:p>
        </w:tc>
        <w:tc>
          <w:tcPr>
            <w:tcW w:w="1573" w:type="pct"/>
            <w:vAlign w:val="center"/>
          </w:tcPr>
          <w:p w14:paraId="3F7BDD00" w14:textId="088114E1" w:rsidR="00FB163E" w:rsidRPr="00FB4C91" w:rsidRDefault="00FB163E" w:rsidP="00B011A2">
            <w:pPr>
              <w:cnfStyle w:val="000000000000" w:firstRow="0" w:lastRow="0" w:firstColumn="0" w:lastColumn="0" w:oddVBand="0" w:evenVBand="0" w:oddHBand="0" w:evenHBand="0" w:firstRowFirstColumn="0" w:firstRowLastColumn="0" w:lastRowFirstColumn="0" w:lastRowLastColumn="0"/>
            </w:pPr>
            <w:r w:rsidRPr="00FB4C91">
              <w:t>$</w:t>
            </w:r>
            <w:r>
              <w:t>25</w:t>
            </w:r>
            <w:r w:rsidRPr="00FB4C91">
              <w:t xml:space="preserve">0,000 </w:t>
            </w:r>
            <w:r w:rsidR="006B1425">
              <w:t>to</w:t>
            </w:r>
            <w:r w:rsidR="006B1425" w:rsidRPr="00FB4C91">
              <w:t xml:space="preserve"> </w:t>
            </w:r>
            <w:r w:rsidRPr="00FB4C91">
              <w:t>less than $</w:t>
            </w:r>
            <w:r>
              <w:t>1</w:t>
            </w:r>
            <w:r w:rsidR="0055326E">
              <w:t> </w:t>
            </w:r>
            <w:r w:rsidRPr="00FB4C91">
              <w:t>million</w:t>
            </w:r>
          </w:p>
        </w:tc>
        <w:tc>
          <w:tcPr>
            <w:tcW w:w="1229" w:type="pct"/>
            <w:vAlign w:val="center"/>
          </w:tcPr>
          <w:p w14:paraId="0DDA108F" w14:textId="77777777" w:rsidR="00FB163E" w:rsidRPr="00FB4C91" w:rsidRDefault="00FB163E" w:rsidP="00B011A2">
            <w:pPr>
              <w:cnfStyle w:val="000000000000" w:firstRow="0" w:lastRow="0" w:firstColumn="0" w:lastColumn="0" w:oddVBand="0" w:evenVBand="0" w:oddHBand="0" w:evenHBand="0" w:firstRowFirstColumn="0" w:firstRowLastColumn="0" w:lastRowFirstColumn="0" w:lastRowLastColumn="0"/>
            </w:pPr>
            <w:r w:rsidRPr="00FB4C91">
              <w:t>$</w:t>
            </w:r>
            <w:r>
              <w:t>1</w:t>
            </w:r>
            <w:r w:rsidRPr="00FB4C91">
              <w:t xml:space="preserve"> million or more</w:t>
            </w:r>
          </w:p>
        </w:tc>
      </w:tr>
      <w:tr w:rsidR="00FB163E" w:rsidRPr="00FB4C91" w14:paraId="690E1AAB" w14:textId="77777777" w:rsidTr="00ED6D7B">
        <w:tc>
          <w:tcPr>
            <w:cnfStyle w:val="001000000000" w:firstRow="0" w:lastRow="0" w:firstColumn="1" w:lastColumn="0" w:oddVBand="0" w:evenVBand="0" w:oddHBand="0" w:evenHBand="0" w:firstRowFirstColumn="0" w:firstRowLastColumn="0" w:lastRowFirstColumn="0" w:lastRowLastColumn="0"/>
            <w:tcW w:w="1249" w:type="pct"/>
          </w:tcPr>
          <w:p w14:paraId="2042E824" w14:textId="69661ECE" w:rsidR="00FB163E" w:rsidRPr="00FB4C91" w:rsidRDefault="00FB163E" w:rsidP="00B011A2">
            <w:pPr>
              <w:rPr>
                <w:b w:val="0"/>
                <w:bCs w:val="0"/>
              </w:rPr>
            </w:pPr>
            <w:r>
              <w:rPr>
                <w:b w:val="0"/>
                <w:bCs w:val="0"/>
              </w:rPr>
              <w:t xml:space="preserve">New </w:t>
            </w:r>
            <w:r w:rsidR="00ED6D7B">
              <w:rPr>
                <w:b w:val="0"/>
                <w:bCs w:val="0"/>
              </w:rPr>
              <w:t>annual revenue t</w:t>
            </w:r>
            <w:r w:rsidRPr="00FB4C91">
              <w:rPr>
                <w:b w:val="0"/>
                <w:bCs w:val="0"/>
              </w:rPr>
              <w:t>hreshold</w:t>
            </w:r>
            <w:r>
              <w:rPr>
                <w:b w:val="0"/>
                <w:bCs w:val="0"/>
              </w:rPr>
              <w:t xml:space="preserve"> as set out in the Regulation</w:t>
            </w:r>
            <w:r w:rsidR="00ED6D7B">
              <w:rPr>
                <w:b w:val="0"/>
                <w:bCs w:val="0"/>
              </w:rPr>
              <w:t>s</w:t>
            </w:r>
          </w:p>
        </w:tc>
        <w:tc>
          <w:tcPr>
            <w:tcW w:w="950" w:type="pct"/>
            <w:vAlign w:val="center"/>
          </w:tcPr>
          <w:p w14:paraId="41D05F21" w14:textId="77777777" w:rsidR="00FB163E" w:rsidRPr="00FB4C91" w:rsidRDefault="00FB163E" w:rsidP="00B011A2">
            <w:pPr>
              <w:cnfStyle w:val="000000000000" w:firstRow="0" w:lastRow="0" w:firstColumn="0" w:lastColumn="0" w:oddVBand="0" w:evenVBand="0" w:oddHBand="0" w:evenHBand="0" w:firstRowFirstColumn="0" w:firstRowLastColumn="0" w:lastRowFirstColumn="0" w:lastRowLastColumn="0"/>
            </w:pPr>
            <w:r w:rsidRPr="00FB4C91">
              <w:t>Less than $500,000</w:t>
            </w:r>
          </w:p>
        </w:tc>
        <w:tc>
          <w:tcPr>
            <w:tcW w:w="1573" w:type="pct"/>
            <w:vAlign w:val="center"/>
          </w:tcPr>
          <w:p w14:paraId="71DE5BB6" w14:textId="6E6DF7FC" w:rsidR="00FB163E" w:rsidRPr="00FB4C91" w:rsidRDefault="00FB163E" w:rsidP="00B011A2">
            <w:pPr>
              <w:cnfStyle w:val="000000000000" w:firstRow="0" w:lastRow="0" w:firstColumn="0" w:lastColumn="0" w:oddVBand="0" w:evenVBand="0" w:oddHBand="0" w:evenHBand="0" w:firstRowFirstColumn="0" w:firstRowLastColumn="0" w:lastRowFirstColumn="0" w:lastRowLastColumn="0"/>
            </w:pPr>
            <w:r w:rsidRPr="00FB4C91">
              <w:t xml:space="preserve">$500,000 </w:t>
            </w:r>
            <w:r w:rsidR="006B1425">
              <w:t>to</w:t>
            </w:r>
            <w:r w:rsidR="006B1425" w:rsidRPr="00FB4C91">
              <w:t xml:space="preserve"> </w:t>
            </w:r>
            <w:r w:rsidRPr="00FB4C91">
              <w:t>less than $3</w:t>
            </w:r>
            <w:r w:rsidR="0055326E">
              <w:t> </w:t>
            </w:r>
            <w:r w:rsidRPr="00FB4C91">
              <w:t>million</w:t>
            </w:r>
          </w:p>
        </w:tc>
        <w:tc>
          <w:tcPr>
            <w:tcW w:w="1229" w:type="pct"/>
            <w:vAlign w:val="center"/>
          </w:tcPr>
          <w:p w14:paraId="7A715671" w14:textId="77777777" w:rsidR="00FB163E" w:rsidRPr="00FB4C91" w:rsidRDefault="00FB163E" w:rsidP="00B011A2">
            <w:pPr>
              <w:cnfStyle w:val="000000000000" w:firstRow="0" w:lastRow="0" w:firstColumn="0" w:lastColumn="0" w:oddVBand="0" w:evenVBand="0" w:oddHBand="0" w:evenHBand="0" w:firstRowFirstColumn="0" w:firstRowLastColumn="0" w:lastRowFirstColumn="0" w:lastRowLastColumn="0"/>
            </w:pPr>
            <w:r w:rsidRPr="00FB4C91">
              <w:t>$3 million or more</w:t>
            </w:r>
          </w:p>
        </w:tc>
      </w:tr>
    </w:tbl>
    <w:p w14:paraId="163C7DB0" w14:textId="77777777" w:rsidR="00FB163E" w:rsidRDefault="00FB163E" w:rsidP="006A59BF">
      <w:pPr>
        <w:pStyle w:val="Bullet"/>
        <w:numPr>
          <w:ilvl w:val="0"/>
          <w:numId w:val="0"/>
        </w:numPr>
      </w:pPr>
    </w:p>
    <w:p w14:paraId="57E4AD20" w14:textId="1EB165F4" w:rsidR="00685844" w:rsidRDefault="00896EF1" w:rsidP="00896EF1">
      <w:pPr>
        <w:pStyle w:val="Heading2"/>
      </w:pPr>
      <w:r>
        <w:t>When do the new reporting thresholds come into effect?</w:t>
      </w:r>
    </w:p>
    <w:p w14:paraId="173A71D8" w14:textId="7295EE19" w:rsidR="00685844" w:rsidRDefault="00896EF1" w:rsidP="006A59BF">
      <w:pPr>
        <w:pStyle w:val="Bullet"/>
        <w:numPr>
          <w:ilvl w:val="0"/>
          <w:numId w:val="0"/>
        </w:numPr>
      </w:pPr>
      <w:r>
        <w:t xml:space="preserve">The increased financial reporting thresholds will take effect for the 2021-22 </w:t>
      </w:r>
      <w:r w:rsidR="007772EF">
        <w:t>financial year</w:t>
      </w:r>
      <w:r>
        <w:t xml:space="preserve"> onwards</w:t>
      </w:r>
      <w:r w:rsidR="007772EF">
        <w:t xml:space="preserve"> (or relevant substituted accounting period)</w:t>
      </w:r>
      <w:r>
        <w:t>. That is, when submitting their 2022 Annual Information Statements and financial statements, charities will be able to use the new, increased thresholds.</w:t>
      </w:r>
    </w:p>
    <w:p w14:paraId="01975298" w14:textId="577FF2B5" w:rsidR="00896EF1" w:rsidRDefault="00896EF1" w:rsidP="00896EF1">
      <w:pPr>
        <w:pStyle w:val="Heading2"/>
        <w:rPr>
          <w:szCs w:val="22"/>
        </w:rPr>
      </w:pPr>
      <w:r>
        <w:t>Wh</w:t>
      </w:r>
      <w:r w:rsidR="006C0167">
        <w:t xml:space="preserve">o </w:t>
      </w:r>
      <w:r>
        <w:t>are related part</w:t>
      </w:r>
      <w:r w:rsidR="006C0167">
        <w:t>ies</w:t>
      </w:r>
      <w:r>
        <w:t>?</w:t>
      </w:r>
      <w:r w:rsidRPr="00896EF1">
        <w:rPr>
          <w:szCs w:val="22"/>
        </w:rPr>
        <w:t xml:space="preserve"> </w:t>
      </w:r>
    </w:p>
    <w:p w14:paraId="79EB225C" w14:textId="044BFE96" w:rsidR="001B145B" w:rsidRDefault="00BC5EA4" w:rsidP="00896EF1">
      <w:pPr>
        <w:pStyle w:val="Bullet"/>
        <w:numPr>
          <w:ilvl w:val="0"/>
          <w:numId w:val="0"/>
        </w:numPr>
        <w:rPr>
          <w:szCs w:val="22"/>
        </w:rPr>
      </w:pPr>
      <w:r>
        <w:rPr>
          <w:szCs w:val="22"/>
        </w:rPr>
        <w:t>A r</w:t>
      </w:r>
      <w:r w:rsidR="00896EF1">
        <w:rPr>
          <w:szCs w:val="22"/>
        </w:rPr>
        <w:t>elated part</w:t>
      </w:r>
      <w:r>
        <w:rPr>
          <w:szCs w:val="22"/>
        </w:rPr>
        <w:t>y</w:t>
      </w:r>
      <w:r w:rsidR="00331F5A">
        <w:rPr>
          <w:szCs w:val="22"/>
        </w:rPr>
        <w:t xml:space="preserve"> </w:t>
      </w:r>
      <w:r w:rsidR="0059687C">
        <w:rPr>
          <w:szCs w:val="22"/>
        </w:rPr>
        <w:t xml:space="preserve">can be defined as </w:t>
      </w:r>
      <w:r w:rsidR="00896EF1">
        <w:rPr>
          <w:szCs w:val="22"/>
        </w:rPr>
        <w:t xml:space="preserve">a person or </w:t>
      </w:r>
      <w:r w:rsidR="006B1425">
        <w:rPr>
          <w:szCs w:val="22"/>
        </w:rPr>
        <w:t xml:space="preserve">organisation </w:t>
      </w:r>
      <w:r w:rsidR="00896EF1">
        <w:rPr>
          <w:szCs w:val="22"/>
        </w:rPr>
        <w:t>that is related to the charity</w:t>
      </w:r>
      <w:r w:rsidR="00331F5A">
        <w:rPr>
          <w:szCs w:val="22"/>
        </w:rPr>
        <w:t xml:space="preserve"> where that person or organisation</w:t>
      </w:r>
      <w:r w:rsidR="006B1425">
        <w:rPr>
          <w:szCs w:val="22"/>
        </w:rPr>
        <w:t xml:space="preserve"> ha</w:t>
      </w:r>
      <w:r>
        <w:rPr>
          <w:szCs w:val="22"/>
        </w:rPr>
        <w:t>s</w:t>
      </w:r>
      <w:r w:rsidR="006B1425">
        <w:rPr>
          <w:szCs w:val="22"/>
        </w:rPr>
        <w:t xml:space="preserve"> significant influence over the charity</w:t>
      </w:r>
      <w:r w:rsidR="00896EF1">
        <w:rPr>
          <w:szCs w:val="22"/>
        </w:rPr>
        <w:t>.</w:t>
      </w:r>
      <w:r w:rsidR="001B145B">
        <w:rPr>
          <w:szCs w:val="22"/>
        </w:rPr>
        <w:t xml:space="preserve"> Put simply, but not exhaustively, this include</w:t>
      </w:r>
      <w:r w:rsidR="00884718">
        <w:rPr>
          <w:szCs w:val="22"/>
        </w:rPr>
        <w:t>s</w:t>
      </w:r>
      <w:r w:rsidR="001B145B">
        <w:rPr>
          <w:szCs w:val="22"/>
        </w:rPr>
        <w:t xml:space="preserve"> responsible persons of the charity and their immediate family members, and senior executives and their immediate</w:t>
      </w:r>
      <w:r w:rsidR="00896EF1">
        <w:rPr>
          <w:szCs w:val="22"/>
        </w:rPr>
        <w:t xml:space="preserve"> </w:t>
      </w:r>
      <w:r w:rsidR="001B145B">
        <w:rPr>
          <w:szCs w:val="22"/>
        </w:rPr>
        <w:t>families.  It can also include other organisations where a responsible person or senior executive</w:t>
      </w:r>
      <w:r w:rsidR="006B1425">
        <w:rPr>
          <w:szCs w:val="22"/>
        </w:rPr>
        <w:t xml:space="preserve"> (or an immediate family member)</w:t>
      </w:r>
      <w:r w:rsidR="001B145B">
        <w:rPr>
          <w:szCs w:val="22"/>
        </w:rPr>
        <w:t xml:space="preserve"> has a degree of control in that </w:t>
      </w:r>
      <w:r w:rsidR="006C0167">
        <w:rPr>
          <w:szCs w:val="22"/>
        </w:rPr>
        <w:t>organisation</w:t>
      </w:r>
      <w:r w:rsidR="001B145B">
        <w:rPr>
          <w:szCs w:val="22"/>
        </w:rPr>
        <w:t xml:space="preserve">. </w:t>
      </w:r>
      <w:r w:rsidR="00896EF1">
        <w:rPr>
          <w:szCs w:val="22"/>
        </w:rPr>
        <w:t xml:space="preserve"> </w:t>
      </w:r>
      <w:r w:rsidR="001B145B">
        <w:rPr>
          <w:szCs w:val="22"/>
        </w:rPr>
        <w:t>The ACNC will provide guidance to assist charities in identifying related parties.</w:t>
      </w:r>
    </w:p>
    <w:p w14:paraId="317FFA08" w14:textId="34A0427F" w:rsidR="006C0167" w:rsidRDefault="006C0167" w:rsidP="006C0167">
      <w:pPr>
        <w:pStyle w:val="Heading2"/>
      </w:pPr>
      <w:r>
        <w:t>What is a related party transaction?</w:t>
      </w:r>
    </w:p>
    <w:p w14:paraId="488AA25A" w14:textId="276E9504" w:rsidR="00896EF1" w:rsidRDefault="00896EF1" w:rsidP="00896EF1">
      <w:pPr>
        <w:pStyle w:val="Bullet"/>
        <w:numPr>
          <w:ilvl w:val="0"/>
          <w:numId w:val="0"/>
        </w:numPr>
        <w:rPr>
          <w:szCs w:val="22"/>
        </w:rPr>
      </w:pPr>
      <w:r>
        <w:rPr>
          <w:szCs w:val="22"/>
        </w:rPr>
        <w:t xml:space="preserve">A related party transaction </w:t>
      </w:r>
      <w:r w:rsidRPr="00637C7D">
        <w:rPr>
          <w:szCs w:val="22"/>
        </w:rPr>
        <w:t>is a transfer of resources, services, or obligations between related parties, regardless of whether a price is charged.</w:t>
      </w:r>
      <w:r>
        <w:rPr>
          <w:szCs w:val="22"/>
        </w:rPr>
        <w:t xml:space="preserve"> For example, when a </w:t>
      </w:r>
      <w:r w:rsidR="00331F5A">
        <w:rPr>
          <w:szCs w:val="22"/>
        </w:rPr>
        <w:t>charity provides a loan to one of its r</w:t>
      </w:r>
      <w:r>
        <w:rPr>
          <w:szCs w:val="22"/>
        </w:rPr>
        <w:t>esponsible person</w:t>
      </w:r>
      <w:r w:rsidR="00331F5A">
        <w:rPr>
          <w:szCs w:val="22"/>
        </w:rPr>
        <w:t>s, or vice versa.</w:t>
      </w:r>
      <w:r>
        <w:rPr>
          <w:szCs w:val="22"/>
        </w:rPr>
        <w:t xml:space="preserve"> This is a related party transaction and </w:t>
      </w:r>
      <w:r w:rsidR="00EC319B">
        <w:rPr>
          <w:szCs w:val="22"/>
        </w:rPr>
        <w:t>will now</w:t>
      </w:r>
      <w:r>
        <w:rPr>
          <w:szCs w:val="22"/>
        </w:rPr>
        <w:t xml:space="preserve"> be reported. </w:t>
      </w:r>
    </w:p>
    <w:p w14:paraId="3B58C7DC" w14:textId="5580F070" w:rsidR="00BC5EA4" w:rsidRDefault="00BC5EA4" w:rsidP="00BC5EA4">
      <w:pPr>
        <w:pStyle w:val="Heading2"/>
      </w:pPr>
      <w:r>
        <w:t>Do all related party transactions have to be reported?</w:t>
      </w:r>
    </w:p>
    <w:p w14:paraId="4E94D992" w14:textId="173A3185" w:rsidR="00BC5EA4" w:rsidRPr="00BC5EA4" w:rsidRDefault="00BC5EA4" w:rsidP="006F7A44">
      <w:r>
        <w:t>Not all related party transactions are material</w:t>
      </w:r>
      <w:r w:rsidR="00331F5A">
        <w:t xml:space="preserve">, that is, have the ability, perceived or real, to influence a charity’s activities or actions, or provide inappropriate private benefit. Only material related party transactions are required to be disclosed.  What is material will depend on the circumstances of each charity.  </w:t>
      </w:r>
      <w:r>
        <w:t xml:space="preserve">The ACNC will issue guidance to assist </w:t>
      </w:r>
      <w:r w:rsidR="006C0167">
        <w:t xml:space="preserve">charities to </w:t>
      </w:r>
      <w:r>
        <w:t>determine what should be reported.</w:t>
      </w:r>
    </w:p>
    <w:p w14:paraId="7B2E7494" w14:textId="2AE22396" w:rsidR="00896EF1" w:rsidRDefault="00896EF1" w:rsidP="00896EF1">
      <w:pPr>
        <w:pStyle w:val="Heading2"/>
      </w:pPr>
      <w:r>
        <w:lastRenderedPageBreak/>
        <w:t>Why is it important for charities to report on related party transactions?</w:t>
      </w:r>
    </w:p>
    <w:p w14:paraId="12B80515" w14:textId="0032B552" w:rsidR="0038777B" w:rsidRDefault="0038777B" w:rsidP="00896EF1">
      <w:pPr>
        <w:pStyle w:val="Bullet"/>
        <w:numPr>
          <w:ilvl w:val="0"/>
          <w:numId w:val="0"/>
        </w:numPr>
        <w:rPr>
          <w:szCs w:val="22"/>
        </w:rPr>
      </w:pPr>
      <w:r>
        <w:rPr>
          <w:szCs w:val="22"/>
        </w:rPr>
        <w:t>Charities registered with the ACNC are required to manage their financial affairs in a responsible manner and act in accordance with their status as not-for-profit entities.</w:t>
      </w:r>
    </w:p>
    <w:p w14:paraId="27F4A94C" w14:textId="665C862C" w:rsidR="00896EF1" w:rsidRDefault="00A211EA" w:rsidP="00896EF1">
      <w:pPr>
        <w:pStyle w:val="Bullet"/>
        <w:numPr>
          <w:ilvl w:val="0"/>
          <w:numId w:val="0"/>
        </w:numPr>
        <w:rPr>
          <w:szCs w:val="22"/>
        </w:rPr>
      </w:pPr>
      <w:r>
        <w:rPr>
          <w:szCs w:val="22"/>
        </w:rPr>
        <w:t>Many related party transactions</w:t>
      </w:r>
      <w:r w:rsidR="0038777B">
        <w:rPr>
          <w:szCs w:val="22"/>
        </w:rPr>
        <w:t xml:space="preserve"> are consistent with these obligations and</w:t>
      </w:r>
      <w:r>
        <w:rPr>
          <w:szCs w:val="22"/>
        </w:rPr>
        <w:t xml:space="preserve"> will not </w:t>
      </w:r>
      <w:r w:rsidR="0038777B">
        <w:rPr>
          <w:szCs w:val="22"/>
        </w:rPr>
        <w:t>b</w:t>
      </w:r>
      <w:r>
        <w:rPr>
          <w:szCs w:val="22"/>
        </w:rPr>
        <w:t>e of concern</w:t>
      </w:r>
      <w:r w:rsidR="00BC5EA4">
        <w:rPr>
          <w:szCs w:val="22"/>
        </w:rPr>
        <w:t xml:space="preserve"> and will therefore not need to be reported</w:t>
      </w:r>
      <w:r w:rsidR="006C0167">
        <w:rPr>
          <w:szCs w:val="22"/>
        </w:rPr>
        <w:t xml:space="preserve"> (see above)</w:t>
      </w:r>
      <w:r>
        <w:rPr>
          <w:szCs w:val="22"/>
        </w:rPr>
        <w:t xml:space="preserve">. </w:t>
      </w:r>
      <w:r w:rsidR="00F442A3">
        <w:rPr>
          <w:szCs w:val="22"/>
        </w:rPr>
        <w:t xml:space="preserve">However, </w:t>
      </w:r>
      <w:r w:rsidR="00BC5EA4">
        <w:rPr>
          <w:szCs w:val="22"/>
        </w:rPr>
        <w:t xml:space="preserve">experience has shown that </w:t>
      </w:r>
      <w:r w:rsidR="006964A5">
        <w:rPr>
          <w:szCs w:val="22"/>
        </w:rPr>
        <w:t>i</w:t>
      </w:r>
      <w:r w:rsidR="00896EF1">
        <w:rPr>
          <w:szCs w:val="22"/>
        </w:rPr>
        <w:t xml:space="preserve">nappropriately transacting with related parties </w:t>
      </w:r>
      <w:r w:rsidR="00BC5EA4">
        <w:rPr>
          <w:szCs w:val="22"/>
        </w:rPr>
        <w:t xml:space="preserve">is </w:t>
      </w:r>
      <w:r w:rsidR="00896EF1">
        <w:rPr>
          <w:szCs w:val="22"/>
        </w:rPr>
        <w:t xml:space="preserve">a key risk for charities, intentionally or unintentionally leading to private benefit. This can erode public trust and confidence in the charity </w:t>
      </w:r>
      <w:proofErr w:type="gramStart"/>
      <w:r w:rsidR="00896EF1">
        <w:rPr>
          <w:szCs w:val="22"/>
        </w:rPr>
        <w:t>sector as a whole</w:t>
      </w:r>
      <w:proofErr w:type="gramEnd"/>
      <w:r w:rsidR="00896EF1">
        <w:rPr>
          <w:szCs w:val="22"/>
        </w:rPr>
        <w:t>.</w:t>
      </w:r>
      <w:r w:rsidR="0038777B">
        <w:rPr>
          <w:szCs w:val="22"/>
        </w:rPr>
        <w:t xml:space="preserve"> </w:t>
      </w:r>
    </w:p>
    <w:p w14:paraId="3CB0A0D7" w14:textId="70372DCD" w:rsidR="00896EF1" w:rsidRDefault="00896EF1" w:rsidP="00896EF1">
      <w:pPr>
        <w:pStyle w:val="Bullet"/>
        <w:numPr>
          <w:ilvl w:val="0"/>
          <w:numId w:val="0"/>
        </w:numPr>
        <w:rPr>
          <w:szCs w:val="22"/>
        </w:rPr>
      </w:pPr>
      <w:r>
        <w:rPr>
          <w:szCs w:val="22"/>
        </w:rPr>
        <w:t xml:space="preserve">It is important to </w:t>
      </w:r>
      <w:r w:rsidRPr="00F97530">
        <w:rPr>
          <w:szCs w:val="22"/>
        </w:rPr>
        <w:t>ensur</w:t>
      </w:r>
      <w:r>
        <w:rPr>
          <w:szCs w:val="22"/>
        </w:rPr>
        <w:t>e that</w:t>
      </w:r>
      <w:r w:rsidRPr="00F97530">
        <w:rPr>
          <w:szCs w:val="22"/>
        </w:rPr>
        <w:t xml:space="preserve"> the generous Australians who give their time and money to various causes have trust and confidence in the governance of the charities they support.</w:t>
      </w:r>
      <w:r w:rsidR="00F442A3">
        <w:rPr>
          <w:szCs w:val="22"/>
        </w:rPr>
        <w:t xml:space="preserve"> Requiring charities to report related party transactions allows the ACNC and the public to identify if a charity has potentially made inappropriate transactions.</w:t>
      </w:r>
    </w:p>
    <w:p w14:paraId="48E6D905" w14:textId="04D6A375" w:rsidR="00C309A6" w:rsidRPr="00C309A6" w:rsidRDefault="00896EF1" w:rsidP="00C309A6">
      <w:pPr>
        <w:pStyle w:val="Heading2"/>
      </w:pPr>
      <w:r>
        <w:t xml:space="preserve">What will </w:t>
      </w:r>
      <w:r w:rsidR="00C309A6">
        <w:t xml:space="preserve">small </w:t>
      </w:r>
      <w:r>
        <w:t xml:space="preserve">charities have to </w:t>
      </w:r>
      <w:r w:rsidR="00C309A6">
        <w:t>report</w:t>
      </w:r>
      <w:r>
        <w:t>?</w:t>
      </w:r>
    </w:p>
    <w:p w14:paraId="3D8EC3FB" w14:textId="450E9AE2" w:rsidR="00896EF1" w:rsidRDefault="006F7A44" w:rsidP="006A59BF">
      <w:pPr>
        <w:pStyle w:val="Bullet"/>
        <w:numPr>
          <w:ilvl w:val="0"/>
          <w:numId w:val="0"/>
        </w:numPr>
      </w:pPr>
      <w:r>
        <w:t xml:space="preserve">Most </w:t>
      </w:r>
      <w:r w:rsidR="00896EF1">
        <w:t>registered charities</w:t>
      </w:r>
      <w:r w:rsidR="006C0167">
        <w:t xml:space="preserve"> </w:t>
      </w:r>
      <w:r w:rsidR="00896EF1">
        <w:t xml:space="preserve">will have to report related party transactions under this reform. </w:t>
      </w:r>
      <w:proofErr w:type="gramStart"/>
      <w:r w:rsidR="00896EF1">
        <w:t>Small registered</w:t>
      </w:r>
      <w:proofErr w:type="gramEnd"/>
      <w:r w:rsidR="00896EF1">
        <w:t xml:space="preserve"> charities</w:t>
      </w:r>
      <w:r>
        <w:t xml:space="preserve"> (except basic religious charities</w:t>
      </w:r>
      <w:r w:rsidR="00275086">
        <w:t>, see below</w:t>
      </w:r>
      <w:r>
        <w:t>)</w:t>
      </w:r>
      <w:r w:rsidR="00896EF1">
        <w:t xml:space="preserve"> will be required to </w:t>
      </w:r>
      <w:r w:rsidR="00FB163E">
        <w:t xml:space="preserve">provide a brief description in their Annual Information Statement.  The ACNC will provide guidance to assist charities </w:t>
      </w:r>
      <w:r w:rsidR="00494B22">
        <w:t xml:space="preserve">to </w:t>
      </w:r>
      <w:r w:rsidR="00FB163E">
        <w:t>complete this section.</w:t>
      </w:r>
    </w:p>
    <w:p w14:paraId="2669C96D" w14:textId="573754E3" w:rsidR="00C309A6" w:rsidRDefault="00C309A6" w:rsidP="00C309A6">
      <w:pPr>
        <w:pStyle w:val="Heading2"/>
      </w:pPr>
      <w:r>
        <w:t>What will medium and large charities have to report?</w:t>
      </w:r>
    </w:p>
    <w:p w14:paraId="38EB023C" w14:textId="0BAD82DA" w:rsidR="00FB163E" w:rsidRDefault="00FB163E" w:rsidP="006A59BF">
      <w:pPr>
        <w:pStyle w:val="Bullet"/>
        <w:numPr>
          <w:ilvl w:val="0"/>
          <w:numId w:val="0"/>
        </w:numPr>
      </w:pPr>
      <w:r>
        <w:t xml:space="preserve">Medium and large charities will have to provide details </w:t>
      </w:r>
      <w:r w:rsidR="000F0A22">
        <w:t xml:space="preserve">of related party transactions </w:t>
      </w:r>
      <w:r>
        <w:t>in their financial statements</w:t>
      </w:r>
      <w:r w:rsidR="006C0167">
        <w:t>, and a summary in their Annual Information Statement</w:t>
      </w:r>
      <w:r>
        <w:t>.  Those medium and large charities which complete general purpose financial statements already disclose related party transactions in their financial reports.</w:t>
      </w:r>
      <w:r w:rsidR="00B011A2">
        <w:t xml:space="preserve">  This reform will therefore require no change </w:t>
      </w:r>
      <w:r w:rsidR="006C0167">
        <w:t>to their financial statements</w:t>
      </w:r>
      <w:r w:rsidR="00B011A2">
        <w:t>.</w:t>
      </w:r>
      <w:r>
        <w:t xml:space="preserve"> </w:t>
      </w:r>
      <w:r w:rsidR="00B011A2">
        <w:t>However, t</w:t>
      </w:r>
      <w:r>
        <w:t>he Regulation</w:t>
      </w:r>
      <w:r w:rsidR="00275086">
        <w:t>s</w:t>
      </w:r>
      <w:r>
        <w:t xml:space="preserve"> </w:t>
      </w:r>
      <w:r w:rsidR="00B011A2">
        <w:t xml:space="preserve">provide </w:t>
      </w:r>
      <w:r>
        <w:t>that medium and large charities which prepare special purpose financial statement</w:t>
      </w:r>
      <w:r w:rsidR="00C31DBE">
        <w:t>s</w:t>
      </w:r>
      <w:r>
        <w:t xml:space="preserve"> </w:t>
      </w:r>
      <w:r w:rsidR="00B011A2">
        <w:t xml:space="preserve">must now also report against Australian </w:t>
      </w:r>
      <w:r w:rsidR="008B3DAA">
        <w:t>A</w:t>
      </w:r>
      <w:r w:rsidR="00B011A2">
        <w:t xml:space="preserve">ccounting </w:t>
      </w:r>
      <w:r w:rsidR="008B3DAA">
        <w:t>S</w:t>
      </w:r>
      <w:r w:rsidR="00B011A2">
        <w:t xml:space="preserve">tandard 124: Related Party Transactions.  This will mean that medium and large charities </w:t>
      </w:r>
      <w:r w:rsidR="006C0167">
        <w:t xml:space="preserve">submitting financial statements </w:t>
      </w:r>
      <w:r w:rsidR="00B011A2">
        <w:t>will report related party transactions.</w:t>
      </w:r>
    </w:p>
    <w:p w14:paraId="2822BE25" w14:textId="7BE05B8A" w:rsidR="00C309A6" w:rsidRDefault="00C309A6" w:rsidP="00C309A6">
      <w:pPr>
        <w:pStyle w:val="Heading2"/>
      </w:pPr>
      <w:r>
        <w:t>What will this mean for Basic Religious Charities?</w:t>
      </w:r>
    </w:p>
    <w:p w14:paraId="75372E29" w14:textId="4CE2FC1F" w:rsidR="00B011A2" w:rsidRDefault="00B011A2" w:rsidP="006A59BF">
      <w:pPr>
        <w:pStyle w:val="Bullet"/>
        <w:numPr>
          <w:ilvl w:val="0"/>
          <w:numId w:val="0"/>
        </w:numPr>
      </w:pPr>
      <w:r>
        <w:t>Basic Religious Charities are not required to submit financial statements, and this will not change under this reform.</w:t>
      </w:r>
      <w:r w:rsidR="00A36BCF">
        <w:t xml:space="preserve"> However, if a Basic Religious Charity chooses to submit financial statements, it is required to comply with the same requirements as other charities. This will include reporting related party transactions.</w:t>
      </w:r>
    </w:p>
    <w:p w14:paraId="5AC0FC37" w14:textId="018AF593" w:rsidR="00DC0FA9" w:rsidRDefault="00DC0FA9" w:rsidP="00DC0FA9">
      <w:pPr>
        <w:pStyle w:val="Heading2"/>
      </w:pPr>
      <w:r>
        <w:t>When do charities have to start disclosing related party transactions?</w:t>
      </w:r>
    </w:p>
    <w:p w14:paraId="4AFBC731" w14:textId="41BA73B2" w:rsidR="00DC0FA9" w:rsidRDefault="00DC0FA9" w:rsidP="006A59BF">
      <w:pPr>
        <w:pStyle w:val="Bullet"/>
        <w:numPr>
          <w:ilvl w:val="0"/>
          <w:numId w:val="0"/>
        </w:numPr>
      </w:pPr>
      <w:r>
        <w:t xml:space="preserve">Charities will have to start disclosing related party transactions from the 2023 reporting period onwards (that is, it will apply to financial </w:t>
      </w:r>
      <w:r w:rsidR="000F0A22">
        <w:t>statements</w:t>
      </w:r>
      <w:r>
        <w:t xml:space="preserve"> from the 2022-23 financial year onwards</w:t>
      </w:r>
      <w:r w:rsidR="007772EF">
        <w:t xml:space="preserve">, </w:t>
      </w:r>
      <w:r w:rsidR="00E33762">
        <w:t>or</w:t>
      </w:r>
      <w:r w:rsidR="007772EF">
        <w:t xml:space="preserve"> the relevant substituted accounting period if one has been approved</w:t>
      </w:r>
      <w:r>
        <w:t>).  This will allow charities time to establish systems and processes for capturing related party transactions.</w:t>
      </w:r>
    </w:p>
    <w:p w14:paraId="030750CE" w14:textId="52CD10C4" w:rsidR="00896EF1" w:rsidRDefault="0031133E" w:rsidP="0031133E">
      <w:pPr>
        <w:pStyle w:val="Heading2"/>
      </w:pPr>
      <w:r>
        <w:lastRenderedPageBreak/>
        <w:t xml:space="preserve">Whose remuneration has to be reported under these </w:t>
      </w:r>
      <w:proofErr w:type="gramStart"/>
      <w:r>
        <w:t>reforms?</w:t>
      </w:r>
      <w:proofErr w:type="gramEnd"/>
    </w:p>
    <w:p w14:paraId="07142783" w14:textId="7CCFEA43" w:rsidR="00C309A6" w:rsidRDefault="0031133E" w:rsidP="006A59BF">
      <w:pPr>
        <w:pStyle w:val="Bullet"/>
        <w:numPr>
          <w:ilvl w:val="0"/>
          <w:numId w:val="0"/>
        </w:numPr>
      </w:pPr>
      <w:r>
        <w:t>The Government is committed to ensuring transparency of large charities by requiring them to disclose the aggregate remuneration of senior executive</w:t>
      </w:r>
      <w:r w:rsidR="00341674">
        <w:t>s</w:t>
      </w:r>
      <w:r>
        <w:t xml:space="preserve"> and responsible persons</w:t>
      </w:r>
      <w:r w:rsidR="00E323F5">
        <w:t xml:space="preserve"> in their Annual Information Statement</w:t>
      </w:r>
      <w:r>
        <w:t>, unless only one such individual is being remunerated.</w:t>
      </w:r>
    </w:p>
    <w:p w14:paraId="49AF55B7" w14:textId="38C7D08D" w:rsidR="00341674" w:rsidRDefault="00341674" w:rsidP="00341674">
      <w:pPr>
        <w:pStyle w:val="Heading2"/>
      </w:pPr>
      <w:r>
        <w:t>Who is a responsible person?</w:t>
      </w:r>
    </w:p>
    <w:p w14:paraId="33DB21A5" w14:textId="6483358C" w:rsidR="0031133E" w:rsidRDefault="00341674" w:rsidP="00341674">
      <w:pPr>
        <w:rPr>
          <w:shd w:val="clear" w:color="auto" w:fill="FFFFFF"/>
        </w:rPr>
      </w:pPr>
      <w:r>
        <w:rPr>
          <w:shd w:val="clear" w:color="auto" w:fill="FFFFFF"/>
        </w:rPr>
        <w:t xml:space="preserve">A </w:t>
      </w:r>
      <w:r w:rsidR="000F0A22">
        <w:rPr>
          <w:shd w:val="clear" w:color="auto" w:fill="FFFFFF"/>
        </w:rPr>
        <w:t>r</w:t>
      </w:r>
      <w:r>
        <w:rPr>
          <w:shd w:val="clear" w:color="auto" w:fill="FFFFFF"/>
        </w:rPr>
        <w:t xml:space="preserve">esponsible </w:t>
      </w:r>
      <w:r w:rsidR="000F0A22">
        <w:rPr>
          <w:shd w:val="clear" w:color="auto" w:fill="FFFFFF"/>
        </w:rPr>
        <w:t>p</w:t>
      </w:r>
      <w:r>
        <w:rPr>
          <w:shd w:val="clear" w:color="auto" w:fill="FFFFFF"/>
        </w:rPr>
        <w:t xml:space="preserve">erson </w:t>
      </w:r>
      <w:proofErr w:type="gramStart"/>
      <w:r>
        <w:rPr>
          <w:shd w:val="clear" w:color="auto" w:fill="FFFFFF"/>
        </w:rPr>
        <w:t>is someone who is</w:t>
      </w:r>
      <w:proofErr w:type="gramEnd"/>
      <w:r>
        <w:rPr>
          <w:shd w:val="clear" w:color="auto" w:fill="FFFFFF"/>
        </w:rPr>
        <w:t xml:space="preserve"> responsible for governing a charity. Generally, a charity’s </w:t>
      </w:r>
      <w:r w:rsidR="000F0A22">
        <w:rPr>
          <w:shd w:val="clear" w:color="auto" w:fill="FFFFFF"/>
        </w:rPr>
        <w:t>r</w:t>
      </w:r>
      <w:r>
        <w:rPr>
          <w:shd w:val="clear" w:color="auto" w:fill="FFFFFF"/>
        </w:rPr>
        <w:t xml:space="preserve">esponsible </w:t>
      </w:r>
      <w:r w:rsidR="000F0A22">
        <w:rPr>
          <w:shd w:val="clear" w:color="auto" w:fill="FFFFFF"/>
        </w:rPr>
        <w:t>p</w:t>
      </w:r>
      <w:r>
        <w:rPr>
          <w:shd w:val="clear" w:color="auto" w:fill="FFFFFF"/>
        </w:rPr>
        <w:t xml:space="preserve">ersons are its </w:t>
      </w:r>
      <w:r w:rsidR="00845B53">
        <w:rPr>
          <w:shd w:val="clear" w:color="auto" w:fill="FFFFFF"/>
        </w:rPr>
        <w:t xml:space="preserve">directors, </w:t>
      </w:r>
      <w:r>
        <w:rPr>
          <w:shd w:val="clear" w:color="auto" w:fill="FFFFFF"/>
        </w:rPr>
        <w:t xml:space="preserve">board or committee members, or trustees (including insolvency trustees or administrators). </w:t>
      </w:r>
      <w:r w:rsidR="00E323F5">
        <w:rPr>
          <w:shd w:val="clear" w:color="auto" w:fill="FFFFFF"/>
        </w:rPr>
        <w:t>The ACNC provides guidance on who is a responsible person on its website.</w:t>
      </w:r>
    </w:p>
    <w:p w14:paraId="47D75590" w14:textId="0028E0B1" w:rsidR="00341674" w:rsidRDefault="00341674" w:rsidP="00341674">
      <w:pPr>
        <w:pStyle w:val="Heading2"/>
        <w:rPr>
          <w:shd w:val="clear" w:color="auto" w:fill="FFFFFF"/>
        </w:rPr>
      </w:pPr>
      <w:r>
        <w:rPr>
          <w:shd w:val="clear" w:color="auto" w:fill="FFFFFF"/>
        </w:rPr>
        <w:t>Who is a senior executive?</w:t>
      </w:r>
    </w:p>
    <w:p w14:paraId="0B7CC4B0" w14:textId="7F630C3B" w:rsidR="00E323F5" w:rsidRDefault="00341674" w:rsidP="00341674">
      <w:pPr>
        <w:rPr>
          <w:shd w:val="clear" w:color="auto" w:fill="FFFFFF"/>
        </w:rPr>
      </w:pPr>
      <w:r>
        <w:rPr>
          <w:shd w:val="clear" w:color="auto" w:fill="FFFFFF"/>
        </w:rPr>
        <w:t>A senior executive is someone who has responsibility for setting the direction of the charity and controlling the activities of the charity.  It could include persons such as the Chief Executive Officer</w:t>
      </w:r>
      <w:r w:rsidR="00845B53">
        <w:rPr>
          <w:shd w:val="clear" w:color="auto" w:fill="FFFFFF"/>
        </w:rPr>
        <w:t xml:space="preserve"> (CEO)</w:t>
      </w:r>
      <w:r>
        <w:rPr>
          <w:shd w:val="clear" w:color="auto" w:fill="FFFFFF"/>
        </w:rPr>
        <w:t xml:space="preserve"> or General Manager, the Chief Financial Officer </w:t>
      </w:r>
      <w:r w:rsidR="00845B53">
        <w:rPr>
          <w:shd w:val="clear" w:color="auto" w:fill="FFFFFF"/>
        </w:rPr>
        <w:t xml:space="preserve">(CFO) </w:t>
      </w:r>
      <w:r>
        <w:rPr>
          <w:shd w:val="clear" w:color="auto" w:fill="FFFFFF"/>
        </w:rPr>
        <w:t>and the Chief Operations Officer.  Each charity must decide for itself which roles have the degree of control and seniority to make them a senior executive.</w:t>
      </w:r>
      <w:r w:rsidR="000F0A22">
        <w:rPr>
          <w:shd w:val="clear" w:color="auto" w:fill="FFFFFF"/>
        </w:rPr>
        <w:t xml:space="preserve">  </w:t>
      </w:r>
    </w:p>
    <w:p w14:paraId="7438EFC1" w14:textId="653205F5" w:rsidR="000F0A22" w:rsidRDefault="000F0A22" w:rsidP="000F0A22">
      <w:pPr>
        <w:pStyle w:val="Heading2"/>
        <w:rPr>
          <w:shd w:val="clear" w:color="auto" w:fill="FFFFFF"/>
        </w:rPr>
      </w:pPr>
      <w:r>
        <w:rPr>
          <w:shd w:val="clear" w:color="auto" w:fill="FFFFFF"/>
        </w:rPr>
        <w:t xml:space="preserve">What remuneration </w:t>
      </w:r>
      <w:proofErr w:type="gramStart"/>
      <w:r>
        <w:rPr>
          <w:shd w:val="clear" w:color="auto" w:fill="FFFFFF"/>
        </w:rPr>
        <w:t>has to</w:t>
      </w:r>
      <w:proofErr w:type="gramEnd"/>
      <w:r>
        <w:rPr>
          <w:shd w:val="clear" w:color="auto" w:fill="FFFFFF"/>
        </w:rPr>
        <w:t xml:space="preserve"> be reported?</w:t>
      </w:r>
    </w:p>
    <w:p w14:paraId="22FC90DD" w14:textId="3D8EA037" w:rsidR="00341674" w:rsidRDefault="000F0A22" w:rsidP="00341674">
      <w:r>
        <w:rPr>
          <w:shd w:val="clear" w:color="auto" w:fill="FFFFFF"/>
        </w:rPr>
        <w:t>The aggregated remuneration of both responsible persons and senior executives of a large charity must be reported</w:t>
      </w:r>
      <w:r w:rsidR="00E323F5">
        <w:rPr>
          <w:shd w:val="clear" w:color="auto" w:fill="FFFFFF"/>
        </w:rPr>
        <w:t xml:space="preserve"> in the charity’s Annual Information Statement</w:t>
      </w:r>
      <w:r>
        <w:rPr>
          <w:shd w:val="clear" w:color="auto" w:fill="FFFFFF"/>
        </w:rPr>
        <w:t xml:space="preserve">, unless the charity only has a single individual </w:t>
      </w:r>
      <w:r w:rsidR="00AB0CDF">
        <w:rPr>
          <w:shd w:val="clear" w:color="auto" w:fill="FFFFFF"/>
        </w:rPr>
        <w:t>across both categories</w:t>
      </w:r>
      <w:r>
        <w:rPr>
          <w:shd w:val="clear" w:color="auto" w:fill="FFFFFF"/>
        </w:rPr>
        <w:t xml:space="preserve"> who is being remunerated.  For example, if a charity had </w:t>
      </w:r>
      <w:r w:rsidR="0074299B">
        <w:rPr>
          <w:shd w:val="clear" w:color="auto" w:fill="FFFFFF"/>
        </w:rPr>
        <w:t>three</w:t>
      </w:r>
      <w:r>
        <w:rPr>
          <w:shd w:val="clear" w:color="auto" w:fill="FFFFFF"/>
        </w:rPr>
        <w:t xml:space="preserve"> Directors, a CEO and a CFO being remunerated in a financial period, the charity would report the total of the remuneration for all five roles, as a single figure.  However, if a large charity only had a single senior executive </w:t>
      </w:r>
      <w:r w:rsidR="0074299B">
        <w:rPr>
          <w:shd w:val="clear" w:color="auto" w:fill="FFFFFF"/>
        </w:rPr>
        <w:t>(</w:t>
      </w:r>
      <w:r>
        <w:rPr>
          <w:shd w:val="clear" w:color="auto" w:fill="FFFFFF"/>
        </w:rPr>
        <w:t>for example just the general manager</w:t>
      </w:r>
      <w:r w:rsidR="0074299B">
        <w:rPr>
          <w:shd w:val="clear" w:color="auto" w:fill="FFFFFF"/>
        </w:rPr>
        <w:t>)</w:t>
      </w:r>
      <w:r>
        <w:rPr>
          <w:shd w:val="clear" w:color="auto" w:fill="FFFFFF"/>
        </w:rPr>
        <w:t xml:space="preserve"> receiving remuneration, </w:t>
      </w:r>
      <w:r w:rsidR="00AB0CDF">
        <w:rPr>
          <w:shd w:val="clear" w:color="auto" w:fill="FFFFFF"/>
        </w:rPr>
        <w:t xml:space="preserve">and </w:t>
      </w:r>
      <w:r w:rsidR="00845B53">
        <w:rPr>
          <w:shd w:val="clear" w:color="auto" w:fill="FFFFFF"/>
        </w:rPr>
        <w:t xml:space="preserve">the </w:t>
      </w:r>
      <w:r w:rsidR="00AB0CDF">
        <w:rPr>
          <w:shd w:val="clear" w:color="auto" w:fill="FFFFFF"/>
        </w:rPr>
        <w:t xml:space="preserve">responsible persons were all volunteers, </w:t>
      </w:r>
      <w:r>
        <w:rPr>
          <w:shd w:val="clear" w:color="auto" w:fill="FFFFFF"/>
        </w:rPr>
        <w:t xml:space="preserve">this would not have to be reported.  </w:t>
      </w:r>
    </w:p>
    <w:p w14:paraId="48574CCA" w14:textId="3D6ACD2D" w:rsidR="00FF33F5" w:rsidRDefault="00FF33F5" w:rsidP="00FF33F5">
      <w:pPr>
        <w:pStyle w:val="Heading2"/>
      </w:pPr>
      <w:r>
        <w:t xml:space="preserve">What if my charity pays a single management </w:t>
      </w:r>
      <w:r w:rsidR="00A67CF3">
        <w:t>body</w:t>
      </w:r>
      <w:r w:rsidR="00845B53">
        <w:t xml:space="preserve"> </w:t>
      </w:r>
      <w:r>
        <w:t>for management services?</w:t>
      </w:r>
    </w:p>
    <w:p w14:paraId="5829CA0E" w14:textId="753D52DC" w:rsidR="00FF33F5" w:rsidRDefault="00E323F5" w:rsidP="00FF33F5">
      <w:pPr>
        <w:pStyle w:val="Bullet"/>
        <w:numPr>
          <w:ilvl w:val="0"/>
          <w:numId w:val="0"/>
        </w:numPr>
      </w:pPr>
      <w:r>
        <w:t>Where the charity is paying a management body for management services, this must be reported.</w:t>
      </w:r>
      <w:r w:rsidR="00845B53">
        <w:t xml:space="preserve"> </w:t>
      </w:r>
      <w:r w:rsidR="00FF33F5">
        <w:t>The reference to individual in the Regulation</w:t>
      </w:r>
      <w:r w:rsidR="00275086">
        <w:t>s</w:t>
      </w:r>
      <w:r w:rsidR="00FF33F5">
        <w:t xml:space="preserve"> makes it clear that it is only where the remuneration is for a single person that the charity will not be required to report.  </w:t>
      </w:r>
    </w:p>
    <w:p w14:paraId="6D155E69" w14:textId="12A2C276" w:rsidR="00C309A6" w:rsidRDefault="00DC0FA9" w:rsidP="00DC0FA9">
      <w:pPr>
        <w:pStyle w:val="Heading2"/>
      </w:pPr>
      <w:r>
        <w:t>When does aggregate remuneration have to be reported?</w:t>
      </w:r>
    </w:p>
    <w:p w14:paraId="00D7FD9C" w14:textId="02C8A317" w:rsidR="00DC0FA9" w:rsidRDefault="00DC0FA9" w:rsidP="006A59BF">
      <w:pPr>
        <w:pStyle w:val="Bullet"/>
        <w:numPr>
          <w:ilvl w:val="0"/>
          <w:numId w:val="0"/>
        </w:numPr>
      </w:pPr>
      <w:r>
        <w:t>Large charities will be required to report aggregate remuneration from the 2021-22 reporting period</w:t>
      </w:r>
      <w:r w:rsidR="00E33762">
        <w:t xml:space="preserve"> onwards</w:t>
      </w:r>
      <w:r>
        <w:t xml:space="preserve"> </w:t>
      </w:r>
      <w:r w:rsidR="007772EF">
        <w:t>(</w:t>
      </w:r>
      <w:r w:rsidR="00E33762">
        <w:t>or relevant</w:t>
      </w:r>
      <w:r w:rsidR="007772EF">
        <w:t xml:space="preserve"> substituted accounting period</w:t>
      </w:r>
      <w:r w:rsidR="00E33762">
        <w:t xml:space="preserve"> if one has been approved</w:t>
      </w:r>
      <w:r w:rsidR="007772EF">
        <w:t>)</w:t>
      </w:r>
      <w:r>
        <w:t>.  That is, the 2022 Annual Information Statement will have question</w:t>
      </w:r>
      <w:r w:rsidR="001B5F49">
        <w:t>s</w:t>
      </w:r>
      <w:r>
        <w:t xml:space="preserve"> for large charities on aggregate remuneration of senior executives and responsible persons.</w:t>
      </w:r>
    </w:p>
    <w:p w14:paraId="29683536" w14:textId="4DC9036D" w:rsidR="00F47021" w:rsidRDefault="00F47021" w:rsidP="006A59BF">
      <w:pPr>
        <w:pStyle w:val="Bullet"/>
        <w:numPr>
          <w:ilvl w:val="0"/>
          <w:numId w:val="0"/>
        </w:numPr>
      </w:pPr>
      <w:r>
        <w:t>The ACNC will provide guidance for large charities</w:t>
      </w:r>
      <w:r w:rsidR="00733B80">
        <w:t xml:space="preserve"> on how to report in the A</w:t>
      </w:r>
      <w:r w:rsidR="00A67CF3">
        <w:t xml:space="preserve">nnual </w:t>
      </w:r>
      <w:r w:rsidR="00733B80">
        <w:t>I</w:t>
      </w:r>
      <w:r w:rsidR="00A67CF3">
        <w:t xml:space="preserve">nformation </w:t>
      </w:r>
      <w:r w:rsidR="00733B80">
        <w:t>S</w:t>
      </w:r>
      <w:r w:rsidR="00A67CF3">
        <w:t>tatement</w:t>
      </w:r>
      <w:r>
        <w:t xml:space="preserve">.  </w:t>
      </w:r>
    </w:p>
    <w:p w14:paraId="435EA4B5" w14:textId="1BCC4B09" w:rsidR="00DC0FA9" w:rsidRDefault="00DC0FA9" w:rsidP="00DC0FA9">
      <w:pPr>
        <w:pStyle w:val="Heading2"/>
      </w:pPr>
      <w:r>
        <w:lastRenderedPageBreak/>
        <w:t>If this is included in the A</w:t>
      </w:r>
      <w:r w:rsidR="006B3068">
        <w:t xml:space="preserve">nnual </w:t>
      </w:r>
      <w:r>
        <w:t>I</w:t>
      </w:r>
      <w:r w:rsidR="006B3068">
        <w:t xml:space="preserve">nformation </w:t>
      </w:r>
      <w:r>
        <w:t>S</w:t>
      </w:r>
      <w:r w:rsidR="006B3068">
        <w:t>tatement</w:t>
      </w:r>
      <w:r>
        <w:t>, why is remuneration addressed in the Regulation</w:t>
      </w:r>
      <w:r w:rsidR="006B3068">
        <w:t>s</w:t>
      </w:r>
      <w:r>
        <w:t>?</w:t>
      </w:r>
    </w:p>
    <w:p w14:paraId="1E6DE4B0" w14:textId="125ED18C" w:rsidR="00F47021" w:rsidRDefault="00EC46EB" w:rsidP="006A59BF">
      <w:pPr>
        <w:pStyle w:val="Bullet"/>
        <w:numPr>
          <w:ilvl w:val="0"/>
          <w:numId w:val="0"/>
        </w:numPr>
      </w:pPr>
      <w:r>
        <w:t xml:space="preserve">As Australian </w:t>
      </w:r>
      <w:r w:rsidR="00845B53">
        <w:t>A</w:t>
      </w:r>
      <w:r>
        <w:t xml:space="preserve">ccounting </w:t>
      </w:r>
      <w:r w:rsidR="00845B53">
        <w:t>S</w:t>
      </w:r>
      <w:r>
        <w:t xml:space="preserve">tandard 124 includes reporting on remuneration of key management personnel, without an exemption, </w:t>
      </w:r>
      <w:r w:rsidRPr="00F47021">
        <w:rPr>
          <w:b/>
          <w:bCs/>
          <w:i/>
          <w:iCs/>
        </w:rPr>
        <w:t>all</w:t>
      </w:r>
      <w:r>
        <w:t xml:space="preserve"> medium and large charities would be required to report this information. This would not meet the Government’s commitment to privacy of individuals. Therefore, the </w:t>
      </w:r>
      <w:r w:rsidR="00F47021">
        <w:t>Regulation</w:t>
      </w:r>
      <w:r w:rsidR="00403309">
        <w:t>s</w:t>
      </w:r>
      <w:r w:rsidR="00F47021">
        <w:t xml:space="preserve"> </w:t>
      </w:r>
      <w:r>
        <w:t xml:space="preserve">provide that large charities </w:t>
      </w:r>
      <w:r w:rsidR="00D351F4">
        <w:t>with</w:t>
      </w:r>
      <w:r>
        <w:t xml:space="preserve"> only one such individual do not have to disclose aggregate remuneration paid to responsible persons and senior executives. </w:t>
      </w:r>
    </w:p>
    <w:p w14:paraId="0AA5A046" w14:textId="30894D79" w:rsidR="00CF5E79" w:rsidRDefault="00EC46EB" w:rsidP="006A59BF">
      <w:pPr>
        <w:pStyle w:val="Bullet"/>
        <w:numPr>
          <w:ilvl w:val="0"/>
          <w:numId w:val="0"/>
        </w:numPr>
      </w:pPr>
      <w:r>
        <w:t xml:space="preserve">As the Government committed to disclosure of such remuneration only for large charities, the exemption also extends to all medium charities.  </w:t>
      </w:r>
    </w:p>
    <w:p w14:paraId="7D0851FB" w14:textId="10F3FF8B" w:rsidR="0085222A" w:rsidRDefault="0085222A" w:rsidP="006A59BF">
      <w:pPr>
        <w:pStyle w:val="Bullet"/>
        <w:numPr>
          <w:ilvl w:val="0"/>
          <w:numId w:val="0"/>
        </w:numPr>
      </w:pPr>
      <w:r>
        <w:t xml:space="preserve">The exemption will not stop charities that voluntarily disclose such information in their financial </w:t>
      </w:r>
      <w:r w:rsidR="00403309">
        <w:t>statements</w:t>
      </w:r>
      <w:r>
        <w:t xml:space="preserve"> from doing so.</w:t>
      </w:r>
    </w:p>
    <w:p w14:paraId="6D61EF91" w14:textId="03C6C7EB" w:rsidR="00647CF4" w:rsidRDefault="00647CF4" w:rsidP="00647CF4">
      <w:pPr>
        <w:pStyle w:val="Heading2"/>
      </w:pPr>
      <w:r>
        <w:t>What are the next steps?</w:t>
      </w:r>
    </w:p>
    <w:p w14:paraId="6F878105" w14:textId="5B8513BC" w:rsidR="006A59BF" w:rsidRDefault="006A59BF" w:rsidP="006A59BF">
      <w:pPr>
        <w:pStyle w:val="Bullet"/>
        <w:numPr>
          <w:ilvl w:val="0"/>
          <w:numId w:val="0"/>
        </w:numPr>
      </w:pPr>
      <w:r w:rsidRPr="001479C4">
        <w:t xml:space="preserve">Treasury will review the submissions and feedback from stakeholders on the </w:t>
      </w:r>
      <w:r>
        <w:t>changes to the Regulation</w:t>
      </w:r>
      <w:r w:rsidR="00845B53">
        <w:t>s</w:t>
      </w:r>
      <w:r w:rsidRPr="001479C4">
        <w:t xml:space="preserve">, which will inform any potential refinements to ensure </w:t>
      </w:r>
      <w:r>
        <w:t>the amendment</w:t>
      </w:r>
      <w:r w:rsidRPr="001479C4">
        <w:t xml:space="preserve"> achieve</w:t>
      </w:r>
      <w:r w:rsidR="000A472F">
        <w:t>s</w:t>
      </w:r>
      <w:r>
        <w:t xml:space="preserve"> </w:t>
      </w:r>
      <w:r w:rsidRPr="001479C4">
        <w:t>its intended purpose.</w:t>
      </w:r>
    </w:p>
    <w:p w14:paraId="5581735B" w14:textId="7D23A8B2" w:rsidR="00647CF4" w:rsidRPr="00C01490" w:rsidRDefault="00647CF4" w:rsidP="00C01490"/>
    <w:sectPr w:rsidR="00647CF4" w:rsidRPr="00C01490" w:rsidSect="005C34A1">
      <w:headerReference w:type="even" r:id="rId19"/>
      <w:headerReference w:type="default" r:id="rId20"/>
      <w:footerReference w:type="even" r:id="rId21"/>
      <w:footerReference w:type="default" r:id="rId22"/>
      <w:headerReference w:type="first" r:id="rId23"/>
      <w:footerReference w:type="first" r:id="rId24"/>
      <w:pgSz w:w="11906" w:h="16838" w:code="9"/>
      <w:pgMar w:top="1134" w:right="1417" w:bottom="127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5E8B4" w14:textId="77777777" w:rsidR="00DD3157" w:rsidRDefault="00DD3157">
      <w:pPr>
        <w:spacing w:before="0" w:after="0"/>
      </w:pPr>
      <w:r>
        <w:separator/>
      </w:r>
    </w:p>
  </w:endnote>
  <w:endnote w:type="continuationSeparator" w:id="0">
    <w:p w14:paraId="4647983C" w14:textId="77777777" w:rsidR="00DD3157" w:rsidRDefault="00DD3157">
      <w:pPr>
        <w:spacing w:before="0" w:after="0"/>
      </w:pPr>
      <w:r>
        <w:continuationSeparator/>
      </w:r>
    </w:p>
  </w:endnote>
  <w:endnote w:type="continuationNotice" w:id="1">
    <w:p w14:paraId="21F98B8D" w14:textId="77777777" w:rsidR="00DD3157" w:rsidRDefault="00DD315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68C70" w14:textId="05194CA7" w:rsidR="00331F5A" w:rsidRDefault="00331F5A" w:rsidP="003C24B4">
    <w:pPr>
      <w:pStyle w:val="FooterEven"/>
    </w:pPr>
    <w:r>
      <mc:AlternateContent>
        <mc:Choice Requires="wps">
          <w:drawing>
            <wp:anchor distT="0" distB="0" distL="0" distR="0" simplePos="0" relativeHeight="251666433" behindDoc="0" locked="0" layoutInCell="1" allowOverlap="1" wp14:anchorId="369E5BEA" wp14:editId="77294838">
              <wp:simplePos x="635" y="635"/>
              <wp:positionH relativeFrom="column">
                <wp:align>center</wp:align>
              </wp:positionH>
              <wp:positionV relativeFrom="paragraph">
                <wp:posOffset>635</wp:posOffset>
              </wp:positionV>
              <wp:extent cx="443865" cy="443865"/>
              <wp:effectExtent l="0" t="0" r="16510" b="16510"/>
              <wp:wrapSquare wrapText="bothSides"/>
              <wp:docPr id="10" name="Text Box 10"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04F216" w14:textId="39C80D0F" w:rsidR="00331F5A" w:rsidRPr="00494B22" w:rsidRDefault="00331F5A">
                          <w:pPr>
                            <w:rPr>
                              <w:rFonts w:eastAsia="Calibri" w:cs="Calibri"/>
                              <w:color w:val="FF0000"/>
                              <w:sz w:val="20"/>
                            </w:rPr>
                          </w:pPr>
                          <w:r w:rsidRPr="00494B22">
                            <w:rPr>
                              <w:rFonts w:eastAsia="Calibri" w:cs="Calibri"/>
                              <w:color w:val="FF0000"/>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69E5BEA" id="_x0000_t202" coordsize="21600,21600" o:spt="202" path="m,l,21600r21600,l21600,xe">
              <v:stroke joinstyle="miter"/>
              <v:path gradientshapeok="t" o:connecttype="rect"/>
            </v:shapetype>
            <v:shape id="Text Box 10" o:spid="_x0000_s1027" type="#_x0000_t202" alt="OFFICIAL" style="position:absolute;margin-left:0;margin-top:.05pt;width:34.95pt;height:34.95pt;z-index:25166643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CjQeDmJAIAAE8EAAAOAAAAAAAAAAAAAAAAAC4CAABkcnMvZTJvRG9jLnhtbFBLAQIt&#10;ABQABgAIAAAAIQCEsNMo1gAAAAMBAAAPAAAAAAAAAAAAAAAAAH4EAABkcnMvZG93bnJldi54bWxQ&#10;SwUGAAAAAAQABADzAAAAgQUAAAAA&#10;" filled="f" stroked="f">
              <v:textbox style="mso-fit-shape-to-text:t" inset="0,0,0,0">
                <w:txbxContent>
                  <w:p w14:paraId="5504F216" w14:textId="39C80D0F" w:rsidR="00331F5A" w:rsidRPr="00494B22" w:rsidRDefault="00331F5A">
                    <w:pPr>
                      <w:rPr>
                        <w:rFonts w:eastAsia="Calibri" w:cs="Calibri"/>
                        <w:color w:val="FF0000"/>
                        <w:sz w:val="20"/>
                      </w:rPr>
                    </w:pPr>
                    <w:r w:rsidRPr="00494B22">
                      <w:rPr>
                        <w:rFonts w:eastAsia="Calibri" w:cs="Calibri"/>
                        <w:color w:val="FF0000"/>
                        <w:sz w:val="20"/>
                      </w:rPr>
                      <w:t>OFFICIAL</w:t>
                    </w:r>
                  </w:p>
                </w:txbxContent>
              </v:textbox>
              <w10:wrap type="square"/>
            </v:shape>
          </w:pict>
        </mc:Fallback>
      </mc:AlternateContent>
    </w:r>
    <w:r>
      <w:rPr>
        <w:noProof w:val="0"/>
      </w:rPr>
      <w:fldChar w:fldCharType="begin"/>
    </w:r>
    <w:r>
      <w:instrText xml:space="preserve"> PAGE   \* MERGEFORMAT </w:instrText>
    </w:r>
    <w:r>
      <w:rPr>
        <w:noProof w:val="0"/>
      </w:rP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42490" w14:textId="1F3721D3" w:rsidR="00331F5A" w:rsidRDefault="00331F5A">
    <w:pPr>
      <w:pStyle w:val="Footer"/>
    </w:pPr>
    <w:r>
      <w:rPr>
        <w:noProof/>
      </w:rPr>
      <w:drawing>
        <wp:anchor distT="0" distB="0" distL="114300" distR="114300" simplePos="0" relativeHeight="251658241" behindDoc="1" locked="0" layoutInCell="1" allowOverlap="1" wp14:anchorId="37ABB997" wp14:editId="21194D2F">
          <wp:simplePos x="904875" y="5705475"/>
          <wp:positionH relativeFrom="page">
            <wp:align>center</wp:align>
          </wp:positionH>
          <wp:positionV relativeFrom="page">
            <wp:align>bottom</wp:align>
          </wp:positionV>
          <wp:extent cx="7560000" cy="5959800"/>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5959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2D573" w14:textId="24744C1E" w:rsidR="00331F5A" w:rsidRDefault="00331F5A">
    <w:pPr>
      <w:pStyle w:val="Footer"/>
    </w:pPr>
    <w:r>
      <w:rPr>
        <w:noProof/>
      </w:rPr>
      <mc:AlternateContent>
        <mc:Choice Requires="wps">
          <w:drawing>
            <wp:anchor distT="0" distB="0" distL="0" distR="0" simplePos="0" relativeHeight="251665409" behindDoc="0" locked="0" layoutInCell="1" allowOverlap="1" wp14:anchorId="1C98DCB0" wp14:editId="369D5FBD">
              <wp:simplePos x="635" y="635"/>
              <wp:positionH relativeFrom="column">
                <wp:align>center</wp:align>
              </wp:positionH>
              <wp:positionV relativeFrom="paragraph">
                <wp:posOffset>635</wp:posOffset>
              </wp:positionV>
              <wp:extent cx="443865" cy="443865"/>
              <wp:effectExtent l="0" t="0" r="16510" b="16510"/>
              <wp:wrapSquare wrapText="bothSides"/>
              <wp:docPr id="9" name="Text Box 9"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741A34" w14:textId="621E1A8D" w:rsidR="00331F5A" w:rsidRPr="00494B22" w:rsidRDefault="00331F5A">
                          <w:pPr>
                            <w:rPr>
                              <w:rFonts w:eastAsia="Calibri" w:cs="Calibri"/>
                              <w:color w:val="FF0000"/>
                              <w:sz w:val="20"/>
                            </w:rPr>
                          </w:pPr>
                          <w:r w:rsidRPr="00494B22">
                            <w:rPr>
                              <w:rFonts w:eastAsia="Calibri" w:cs="Calibri"/>
                              <w:color w:val="FF0000"/>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98DCB0" id="_x0000_t202" coordsize="21600,21600" o:spt="202" path="m,l,21600r21600,l21600,xe">
              <v:stroke joinstyle="miter"/>
              <v:path gradientshapeok="t" o:connecttype="rect"/>
            </v:shapetype>
            <v:shape id="Text Box 9" o:spid="_x0000_s1029" type="#_x0000_t202" alt="OFFICIAL" style="position:absolute;left:0;text-align:left;margin-left:0;margin-top:.05pt;width:34.95pt;height:34.95pt;z-index:25166540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ChoLFiJAIAAE0EAAAOAAAAAAAAAAAAAAAAAC4CAABkcnMvZTJvRG9jLnhtbFBLAQIt&#10;ABQABgAIAAAAIQCEsNMo1gAAAAMBAAAPAAAAAAAAAAAAAAAAAH4EAABkcnMvZG93bnJldi54bWxQ&#10;SwUGAAAAAAQABADzAAAAgQUAAAAA&#10;" filled="f" stroked="f">
              <v:textbox style="mso-fit-shape-to-text:t" inset="0,0,0,0">
                <w:txbxContent>
                  <w:p w14:paraId="55741A34" w14:textId="621E1A8D" w:rsidR="00331F5A" w:rsidRPr="00494B22" w:rsidRDefault="00331F5A">
                    <w:pPr>
                      <w:rPr>
                        <w:rFonts w:eastAsia="Calibri" w:cs="Calibri"/>
                        <w:color w:val="FF0000"/>
                        <w:sz w:val="20"/>
                      </w:rPr>
                    </w:pPr>
                    <w:r w:rsidRPr="00494B22">
                      <w:rPr>
                        <w:rFonts w:eastAsia="Calibri" w:cs="Calibri"/>
                        <w:color w:val="FF0000"/>
                        <w:sz w:val="20"/>
                      </w:rPr>
                      <w:t>OFFICIAL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1002B" w14:textId="31CC62D8" w:rsidR="00331F5A" w:rsidRPr="00E77C89" w:rsidRDefault="00331F5A" w:rsidP="007673B3">
    <w:pPr>
      <w:pStyle w:val="FooterEven"/>
      <w:jc w:val="center"/>
    </w:pPr>
    <w:r>
      <w:fldChar w:fldCharType="begin"/>
    </w:r>
    <w:r>
      <w:instrText xml:space="preserve"> PAGE  \* Arabic  \* MERGEFORMAT </w:instrText>
    </w:r>
    <w:r>
      <w:fldChar w:fldCharType="separate"/>
    </w:r>
    <w: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174E0" w14:textId="779C798C" w:rsidR="00331F5A" w:rsidRDefault="00331F5A" w:rsidP="007673B3">
    <w:pPr>
      <w:pStyle w:val="FooterOdd"/>
      <w:jc w:val="center"/>
    </w:pPr>
    <w:r>
      <w:fldChar w:fldCharType="begin"/>
    </w:r>
    <w:r>
      <w:instrText xml:space="preserve"> PAGE   \* MERGEFORMAT </w:instrText>
    </w:r>
    <w:r>
      <w:fldChar w:fldCharType="separate"/>
    </w:r>
    <w:r>
      <w:rPr>
        <w:noProof/>
      </w:rPr>
      <w:t>3</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759B0" w14:textId="44EF3C67" w:rsidR="00331F5A" w:rsidRDefault="00331F5A">
    <w:pPr>
      <w:pStyle w:val="Footer"/>
    </w:pPr>
    <w:r>
      <w:rPr>
        <w:noProof/>
      </w:rPr>
      <mc:AlternateContent>
        <mc:Choice Requires="wps">
          <w:drawing>
            <wp:anchor distT="0" distB="0" distL="0" distR="0" simplePos="0" relativeHeight="251668481" behindDoc="0" locked="0" layoutInCell="1" allowOverlap="1" wp14:anchorId="28ED1868" wp14:editId="66101A01">
              <wp:simplePos x="635" y="635"/>
              <wp:positionH relativeFrom="column">
                <wp:align>center</wp:align>
              </wp:positionH>
              <wp:positionV relativeFrom="paragraph">
                <wp:posOffset>635</wp:posOffset>
              </wp:positionV>
              <wp:extent cx="443865" cy="443865"/>
              <wp:effectExtent l="0" t="0" r="16510" b="16510"/>
              <wp:wrapSquare wrapText="bothSides"/>
              <wp:docPr id="12" name="Text Box 1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555E69" w14:textId="7D138D13" w:rsidR="00331F5A" w:rsidRPr="00494B22" w:rsidRDefault="00331F5A">
                          <w:pPr>
                            <w:rPr>
                              <w:rFonts w:eastAsia="Calibri" w:cs="Calibri"/>
                              <w:color w:val="FF0000"/>
                              <w:sz w:val="20"/>
                            </w:rPr>
                          </w:pPr>
                          <w:r w:rsidRPr="00494B22">
                            <w:rPr>
                              <w:rFonts w:eastAsia="Calibri" w:cs="Calibri"/>
                              <w:color w:val="FF0000"/>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ED1868" id="_x0000_t202" coordsize="21600,21600" o:spt="202" path="m,l,21600r21600,l21600,xe">
              <v:stroke joinstyle="miter"/>
              <v:path gradientshapeok="t" o:connecttype="rect"/>
            </v:shapetype>
            <v:shape id="Text Box 12" o:spid="_x0000_s1031" type="#_x0000_t202" alt="OFFICIAL" style="position:absolute;left:0;text-align:left;margin-left:0;margin-top:.05pt;width:34.95pt;height:34.95pt;z-index:25166848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B8Ct5QmAgAATwQAAA4AAAAAAAAAAAAAAAAALgIAAGRycy9lMm9Eb2MueG1sUEsB&#10;Ai0AFAAGAAgAAAAhAISw0yjWAAAAAwEAAA8AAAAAAAAAAAAAAAAAgAQAAGRycy9kb3ducmV2Lnht&#10;bFBLBQYAAAAABAAEAPMAAACDBQAAAAA=&#10;" filled="f" stroked="f">
              <v:textbox style="mso-fit-shape-to-text:t" inset="0,0,0,0">
                <w:txbxContent>
                  <w:p w14:paraId="03555E69" w14:textId="7D138D13" w:rsidR="00331F5A" w:rsidRPr="00494B22" w:rsidRDefault="00331F5A">
                    <w:pPr>
                      <w:rPr>
                        <w:rFonts w:eastAsia="Calibri" w:cs="Calibri"/>
                        <w:color w:val="FF0000"/>
                        <w:sz w:val="20"/>
                      </w:rPr>
                    </w:pPr>
                    <w:r w:rsidRPr="00494B22">
                      <w:rPr>
                        <w:rFonts w:eastAsia="Calibri" w:cs="Calibri"/>
                        <w:color w:val="FF0000"/>
                        <w:sz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4ADE7" w14:textId="77777777" w:rsidR="00DD3157" w:rsidRDefault="00DD3157">
      <w:pPr>
        <w:spacing w:before="0" w:after="0"/>
      </w:pPr>
      <w:r>
        <w:separator/>
      </w:r>
    </w:p>
  </w:footnote>
  <w:footnote w:type="continuationSeparator" w:id="0">
    <w:p w14:paraId="0598FC5F" w14:textId="77777777" w:rsidR="00DD3157" w:rsidRDefault="00DD3157">
      <w:pPr>
        <w:spacing w:before="0" w:after="0"/>
      </w:pPr>
      <w:r>
        <w:continuationSeparator/>
      </w:r>
    </w:p>
  </w:footnote>
  <w:footnote w:type="continuationNotice" w:id="1">
    <w:p w14:paraId="50E6F054" w14:textId="77777777" w:rsidR="00DD3157" w:rsidRDefault="00DD315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538FA" w14:textId="6BC0A3D9" w:rsidR="00331F5A" w:rsidRDefault="00331F5A">
    <w:pPr>
      <w:pStyle w:val="Header"/>
    </w:pPr>
    <w:r>
      <w:rPr>
        <w:noProof/>
      </w:rPr>
      <mc:AlternateContent>
        <mc:Choice Requires="wps">
          <w:drawing>
            <wp:anchor distT="0" distB="0" distL="0" distR="0" simplePos="0" relativeHeight="251660289" behindDoc="0" locked="0" layoutInCell="1" allowOverlap="1" wp14:anchorId="585ABEF5" wp14:editId="0D9FEDD2">
              <wp:simplePos x="635" y="635"/>
              <wp:positionH relativeFrom="column">
                <wp:align>center</wp:align>
              </wp:positionH>
              <wp:positionV relativeFrom="paragraph">
                <wp:posOffset>635</wp:posOffset>
              </wp:positionV>
              <wp:extent cx="443865" cy="443865"/>
              <wp:effectExtent l="0" t="0" r="16510" b="1651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71FB77" w14:textId="2AC8E0EB" w:rsidR="00331F5A" w:rsidRPr="00494B22" w:rsidRDefault="00331F5A">
                          <w:pPr>
                            <w:rPr>
                              <w:rFonts w:eastAsia="Calibri" w:cs="Calibri"/>
                              <w:color w:val="FF0000"/>
                              <w:sz w:val="20"/>
                            </w:rPr>
                          </w:pPr>
                          <w:r w:rsidRPr="00494B22">
                            <w:rPr>
                              <w:rFonts w:eastAsia="Calibri" w:cs="Calibri"/>
                              <w:color w:val="FF0000"/>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5ABEF5" id="_x0000_t202" coordsize="21600,21600" o:spt="202" path="m,l,21600r21600,l21600,xe">
              <v:stroke joinstyle="miter"/>
              <v:path gradientshapeok="t" o:connecttype="rect"/>
            </v:shapetype>
            <v:shape id="Text Box 4" o:spid="_x0000_s1026" type="#_x0000_t202" alt="OFFICIAL" style="position:absolute;left:0;text-align:left;margin-left:0;margin-top:.05pt;width:34.95pt;height:34.95pt;z-index:25166028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&#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PDwLNkgAgAARgQAAA4AAAAAAAAAAAAAAAAALgIAAGRycy9lMm9Eb2MueG1sUEsBAi0AFAAG&#10;AAgAAAAhAISw0yjWAAAAAwEAAA8AAAAAAAAAAAAAAAAAegQAAGRycy9kb3ducmV2LnhtbFBLBQYA&#10;AAAABAAEAPMAAAB9BQAAAAA=&#10;" filled="f" stroked="f">
              <v:textbox style="mso-fit-shape-to-text:t" inset="0,0,0,0">
                <w:txbxContent>
                  <w:p w14:paraId="3771FB77" w14:textId="2AC8E0EB" w:rsidR="00331F5A" w:rsidRPr="00494B22" w:rsidRDefault="00331F5A">
                    <w:pPr>
                      <w:rPr>
                        <w:rFonts w:eastAsia="Calibri" w:cs="Calibri"/>
                        <w:color w:val="FF0000"/>
                        <w:sz w:val="20"/>
                      </w:rPr>
                    </w:pPr>
                    <w:r w:rsidRPr="00494B22">
                      <w:rPr>
                        <w:rFonts w:eastAsia="Calibri" w:cs="Calibri"/>
                        <w:color w:val="FF0000"/>
                        <w:sz w:val="2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36273" w14:textId="3AAB3FCF" w:rsidR="00331F5A" w:rsidRDefault="00331F5A">
    <w:pPr>
      <w:pStyle w:val="Header"/>
    </w:pPr>
    <w:r>
      <w:rPr>
        <w:noProof/>
      </w:rPr>
      <w:drawing>
        <wp:anchor distT="0" distB="0" distL="114300" distR="114300" simplePos="0" relativeHeight="251658240" behindDoc="1" locked="0" layoutInCell="1" allowOverlap="1" wp14:anchorId="698216E2" wp14:editId="56BBC110">
          <wp:simplePos x="904875" y="447675"/>
          <wp:positionH relativeFrom="page">
            <wp:align>center</wp:align>
          </wp:positionH>
          <wp:positionV relativeFrom="page">
            <wp:posOffset>180340</wp:posOffset>
          </wp:positionV>
          <wp:extent cx="7200000" cy="1079640"/>
          <wp:effectExtent l="0" t="0" r="127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36A48" w14:textId="7DA6BA4C" w:rsidR="00331F5A" w:rsidRDefault="00331F5A">
    <w:pPr>
      <w:pStyle w:val="Header"/>
    </w:pPr>
    <w:r>
      <w:rPr>
        <w:noProof/>
      </w:rPr>
      <mc:AlternateContent>
        <mc:Choice Requires="wps">
          <w:drawing>
            <wp:anchor distT="0" distB="0" distL="0" distR="0" simplePos="0" relativeHeight="251659265" behindDoc="0" locked="0" layoutInCell="1" allowOverlap="1" wp14:anchorId="0045DE97" wp14:editId="289A87C4">
              <wp:simplePos x="635" y="635"/>
              <wp:positionH relativeFrom="column">
                <wp:align>center</wp:align>
              </wp:positionH>
              <wp:positionV relativeFrom="paragraph">
                <wp:posOffset>635</wp:posOffset>
              </wp:positionV>
              <wp:extent cx="443865" cy="443865"/>
              <wp:effectExtent l="0" t="0" r="16510" b="1651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E2E210" w14:textId="2007608C" w:rsidR="00331F5A" w:rsidRPr="00494B22" w:rsidRDefault="00331F5A">
                          <w:pPr>
                            <w:rPr>
                              <w:rFonts w:eastAsia="Calibri" w:cs="Calibri"/>
                              <w:color w:val="FF0000"/>
                              <w:sz w:val="20"/>
                            </w:rPr>
                          </w:pPr>
                          <w:r w:rsidRPr="00494B22">
                            <w:rPr>
                              <w:rFonts w:eastAsia="Calibri" w:cs="Calibri"/>
                              <w:color w:val="FF0000"/>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45DE97" id="_x0000_t202" coordsize="21600,21600" o:spt="202" path="m,l,21600r21600,l21600,xe">
              <v:stroke joinstyle="miter"/>
              <v:path gradientshapeok="t" o:connecttype="rect"/>
            </v:shapetype>
            <v:shape id="Text Box 3" o:spid="_x0000_s1028" type="#_x0000_t202" alt="OFFICIAL" style="position:absolute;left:0;text-align:left;margin-left:0;margin-top:.05pt;width:34.95pt;height:34.95pt;z-index:25165926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CORu+7JAIAAE0EAAAOAAAAAAAAAAAAAAAAAC4CAABkcnMvZTJvRG9jLnhtbFBLAQIt&#10;ABQABgAIAAAAIQCEsNMo1gAAAAMBAAAPAAAAAAAAAAAAAAAAAH4EAABkcnMvZG93bnJldi54bWxQ&#10;SwUGAAAAAAQABADzAAAAgQUAAAAA&#10;" filled="f" stroked="f">
              <v:textbox style="mso-fit-shape-to-text:t" inset="0,0,0,0">
                <w:txbxContent>
                  <w:p w14:paraId="49E2E210" w14:textId="2007608C" w:rsidR="00331F5A" w:rsidRPr="00494B22" w:rsidRDefault="00331F5A">
                    <w:pPr>
                      <w:rPr>
                        <w:rFonts w:eastAsia="Calibri" w:cs="Calibri"/>
                        <w:color w:val="FF0000"/>
                        <w:sz w:val="20"/>
                      </w:rPr>
                    </w:pPr>
                    <w:r w:rsidRPr="00494B22">
                      <w:rPr>
                        <w:rFonts w:eastAsia="Calibri" w:cs="Calibri"/>
                        <w:color w:val="FF0000"/>
                        <w:sz w:val="20"/>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8F042" w14:textId="735E09FD" w:rsidR="00331F5A" w:rsidRPr="001F3912" w:rsidRDefault="00DD3157" w:rsidP="00A12F62">
    <w:pPr>
      <w:pStyle w:val="HeaderEven"/>
    </w:pPr>
    <w:r>
      <w:fldChar w:fldCharType="begin"/>
    </w:r>
    <w:r>
      <w:instrText xml:space="preserve"> STYLEREF  T</w:instrText>
    </w:r>
    <w:r>
      <w:instrText xml:space="preserve">itle  \* MERGEFORMAT </w:instrText>
    </w:r>
    <w:r>
      <w:fldChar w:fldCharType="separate"/>
    </w:r>
    <w:r w:rsidR="004A7C28">
      <w:rPr>
        <w:noProof/>
      </w:rPr>
      <w:t>FAQs</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C2AE5" w14:textId="3850CEE1" w:rsidR="00331F5A" w:rsidRPr="007673B3" w:rsidRDefault="00DD3157" w:rsidP="007673B3">
    <w:pPr>
      <w:pStyle w:val="HeaderEven"/>
      <w:jc w:val="right"/>
    </w:pPr>
    <w:r>
      <w:fldChar w:fldCharType="begin"/>
    </w:r>
    <w:r>
      <w:instrText xml:space="preserve"> STYLEREF  Title  \* MERGEFORMAT </w:instrText>
    </w:r>
    <w:r>
      <w:fldChar w:fldCharType="separate"/>
    </w:r>
    <w:r w:rsidR="004A7C28">
      <w:rPr>
        <w:noProof/>
      </w:rPr>
      <w:t>FAQs</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53372" w14:textId="05CE0C13" w:rsidR="00331F5A" w:rsidRDefault="00331F5A">
    <w:pPr>
      <w:pStyle w:val="Header"/>
    </w:pPr>
    <w:r>
      <w:rPr>
        <w:noProof/>
      </w:rPr>
      <mc:AlternateContent>
        <mc:Choice Requires="wps">
          <w:drawing>
            <wp:anchor distT="0" distB="0" distL="0" distR="0" simplePos="0" relativeHeight="251662337" behindDoc="0" locked="0" layoutInCell="1" allowOverlap="1" wp14:anchorId="4CB1F81D" wp14:editId="62E81807">
              <wp:simplePos x="635" y="635"/>
              <wp:positionH relativeFrom="column">
                <wp:align>center</wp:align>
              </wp:positionH>
              <wp:positionV relativeFrom="paragraph">
                <wp:posOffset>635</wp:posOffset>
              </wp:positionV>
              <wp:extent cx="443865" cy="443865"/>
              <wp:effectExtent l="0" t="0" r="16510" b="16510"/>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BF5814" w14:textId="16A2B862" w:rsidR="00331F5A" w:rsidRPr="00494B22" w:rsidRDefault="00331F5A">
                          <w:pPr>
                            <w:rPr>
                              <w:rFonts w:eastAsia="Calibri" w:cs="Calibri"/>
                              <w:color w:val="FF0000"/>
                              <w:sz w:val="20"/>
                            </w:rPr>
                          </w:pPr>
                          <w:r w:rsidRPr="00494B22">
                            <w:rPr>
                              <w:rFonts w:eastAsia="Calibri" w:cs="Calibri"/>
                              <w:color w:val="FF0000"/>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CB1F81D" id="_x0000_t202" coordsize="21600,21600" o:spt="202" path="m,l,21600r21600,l21600,xe">
              <v:stroke joinstyle="miter"/>
              <v:path gradientshapeok="t" o:connecttype="rect"/>
            </v:shapetype>
            <v:shape id="Text Box 6" o:spid="_x0000_s1030" type="#_x0000_t202" alt="OFFICIAL" style="position:absolute;left:0;text-align:left;margin-left:0;margin-top:.05pt;width:34.95pt;height:34.95pt;z-index:25166233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CU9/cQJAIAAE0EAAAOAAAAAAAAAAAAAAAAAC4CAABkcnMvZTJvRG9jLnhtbFBLAQIt&#10;ABQABgAIAAAAIQCEsNMo1gAAAAMBAAAPAAAAAAAAAAAAAAAAAH4EAABkcnMvZG93bnJldi54bWxQ&#10;SwUGAAAAAAQABADzAAAAgQUAAAAA&#10;" filled="f" stroked="f">
              <v:textbox style="mso-fit-shape-to-text:t" inset="0,0,0,0">
                <w:txbxContent>
                  <w:p w14:paraId="1BBF5814" w14:textId="16A2B862" w:rsidR="00331F5A" w:rsidRPr="00494B22" w:rsidRDefault="00331F5A">
                    <w:pPr>
                      <w:rPr>
                        <w:rFonts w:eastAsia="Calibri" w:cs="Calibri"/>
                        <w:color w:val="FF0000"/>
                        <w:sz w:val="20"/>
                      </w:rPr>
                    </w:pPr>
                    <w:r w:rsidRPr="00494B22">
                      <w:rPr>
                        <w:rFonts w:eastAsia="Calibri" w:cs="Calibri"/>
                        <w:color w:val="FF0000"/>
                        <w:sz w:val="2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676FD0"/>
    <w:multiLevelType w:val="hybridMultilevel"/>
    <w:tmpl w:val="ADA4EF34"/>
    <w:lvl w:ilvl="0" w:tplc="595A369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9581FF0"/>
    <w:multiLevelType w:val="hybridMultilevel"/>
    <w:tmpl w:val="C794F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AAD2D85"/>
    <w:multiLevelType w:val="hybridMultilevel"/>
    <w:tmpl w:val="16F89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0B309C"/>
    <w:multiLevelType w:val="multilevel"/>
    <w:tmpl w:val="1F882B42"/>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6CC4E5D"/>
    <w:multiLevelType w:val="multilevel"/>
    <w:tmpl w:val="D10E9CF6"/>
    <w:numStyleLink w:val="OneLevelList"/>
  </w:abstractNum>
  <w:abstractNum w:abstractNumId="9"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1C3D08"/>
    <w:multiLevelType w:val="hybridMultilevel"/>
    <w:tmpl w:val="49C8EF82"/>
    <w:lvl w:ilvl="0" w:tplc="FA728A56">
      <w:start w:val="1"/>
      <w:numFmt w:val="bullet"/>
      <w:lvlText w:val=""/>
      <w:lvlJc w:val="left"/>
      <w:pPr>
        <w:tabs>
          <w:tab w:val="num" w:pos="720"/>
        </w:tabs>
        <w:ind w:left="720" w:hanging="360"/>
      </w:pPr>
      <w:rPr>
        <w:rFonts w:ascii="Wingdings" w:hAnsi="Wingdings" w:hint="default"/>
      </w:rPr>
    </w:lvl>
    <w:lvl w:ilvl="1" w:tplc="7BEEF118" w:tentative="1">
      <w:start w:val="1"/>
      <w:numFmt w:val="bullet"/>
      <w:lvlText w:val=""/>
      <w:lvlJc w:val="left"/>
      <w:pPr>
        <w:tabs>
          <w:tab w:val="num" w:pos="1440"/>
        </w:tabs>
        <w:ind w:left="1440" w:hanging="360"/>
      </w:pPr>
      <w:rPr>
        <w:rFonts w:ascii="Wingdings" w:hAnsi="Wingdings" w:hint="default"/>
      </w:rPr>
    </w:lvl>
    <w:lvl w:ilvl="2" w:tplc="D7C06D1C" w:tentative="1">
      <w:start w:val="1"/>
      <w:numFmt w:val="bullet"/>
      <w:lvlText w:val=""/>
      <w:lvlJc w:val="left"/>
      <w:pPr>
        <w:tabs>
          <w:tab w:val="num" w:pos="2160"/>
        </w:tabs>
        <w:ind w:left="2160" w:hanging="360"/>
      </w:pPr>
      <w:rPr>
        <w:rFonts w:ascii="Wingdings" w:hAnsi="Wingdings" w:hint="default"/>
      </w:rPr>
    </w:lvl>
    <w:lvl w:ilvl="3" w:tplc="4AD89C74" w:tentative="1">
      <w:start w:val="1"/>
      <w:numFmt w:val="bullet"/>
      <w:lvlText w:val=""/>
      <w:lvlJc w:val="left"/>
      <w:pPr>
        <w:tabs>
          <w:tab w:val="num" w:pos="2880"/>
        </w:tabs>
        <w:ind w:left="2880" w:hanging="360"/>
      </w:pPr>
      <w:rPr>
        <w:rFonts w:ascii="Wingdings" w:hAnsi="Wingdings" w:hint="default"/>
      </w:rPr>
    </w:lvl>
    <w:lvl w:ilvl="4" w:tplc="82964944" w:tentative="1">
      <w:start w:val="1"/>
      <w:numFmt w:val="bullet"/>
      <w:lvlText w:val=""/>
      <w:lvlJc w:val="left"/>
      <w:pPr>
        <w:tabs>
          <w:tab w:val="num" w:pos="3600"/>
        </w:tabs>
        <w:ind w:left="3600" w:hanging="360"/>
      </w:pPr>
      <w:rPr>
        <w:rFonts w:ascii="Wingdings" w:hAnsi="Wingdings" w:hint="default"/>
      </w:rPr>
    </w:lvl>
    <w:lvl w:ilvl="5" w:tplc="15466364" w:tentative="1">
      <w:start w:val="1"/>
      <w:numFmt w:val="bullet"/>
      <w:lvlText w:val=""/>
      <w:lvlJc w:val="left"/>
      <w:pPr>
        <w:tabs>
          <w:tab w:val="num" w:pos="4320"/>
        </w:tabs>
        <w:ind w:left="4320" w:hanging="360"/>
      </w:pPr>
      <w:rPr>
        <w:rFonts w:ascii="Wingdings" w:hAnsi="Wingdings" w:hint="default"/>
      </w:rPr>
    </w:lvl>
    <w:lvl w:ilvl="6" w:tplc="71F4217A" w:tentative="1">
      <w:start w:val="1"/>
      <w:numFmt w:val="bullet"/>
      <w:lvlText w:val=""/>
      <w:lvlJc w:val="left"/>
      <w:pPr>
        <w:tabs>
          <w:tab w:val="num" w:pos="5040"/>
        </w:tabs>
        <w:ind w:left="5040" w:hanging="360"/>
      </w:pPr>
      <w:rPr>
        <w:rFonts w:ascii="Wingdings" w:hAnsi="Wingdings" w:hint="default"/>
      </w:rPr>
    </w:lvl>
    <w:lvl w:ilvl="7" w:tplc="9DEA8E22" w:tentative="1">
      <w:start w:val="1"/>
      <w:numFmt w:val="bullet"/>
      <w:lvlText w:val=""/>
      <w:lvlJc w:val="left"/>
      <w:pPr>
        <w:tabs>
          <w:tab w:val="num" w:pos="5760"/>
        </w:tabs>
        <w:ind w:left="5760" w:hanging="360"/>
      </w:pPr>
      <w:rPr>
        <w:rFonts w:ascii="Wingdings" w:hAnsi="Wingdings" w:hint="default"/>
      </w:rPr>
    </w:lvl>
    <w:lvl w:ilvl="8" w:tplc="1A06966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4C18CD"/>
    <w:multiLevelType w:val="multilevel"/>
    <w:tmpl w:val="2562A1EA"/>
    <w:lvl w:ilvl="0">
      <w:start w:val="1"/>
      <w:numFmt w:val="bullet"/>
      <w:lvlText w:val="&gt;"/>
      <w:lvlJc w:val="left"/>
      <w:pPr>
        <w:ind w:left="284" w:hanging="284"/>
      </w:pPr>
      <w:rPr>
        <w:rFonts w:ascii="Arial" w:hAnsi="Arial" w:cs="Times New Roman" w:hint="default"/>
        <w:color w:val="4F81BD"/>
      </w:rPr>
    </w:lvl>
    <w:lvl w:ilvl="1">
      <w:start w:val="1"/>
      <w:numFmt w:val="bullet"/>
      <w:lvlText w:val="-"/>
      <w:lvlJc w:val="left"/>
      <w:pPr>
        <w:ind w:left="539" w:hanging="255"/>
      </w:pPr>
      <w:rPr>
        <w:rFonts w:ascii="Courier New" w:hAnsi="Courier New" w:cs="Times New Roman" w:hint="default"/>
        <w:color w:val="50A057"/>
      </w:rPr>
    </w:lvl>
    <w:lvl w:ilvl="2">
      <w:start w:val="1"/>
      <w:numFmt w:val="bullet"/>
      <w:lvlText w:val="-"/>
      <w:lvlJc w:val="left"/>
      <w:pPr>
        <w:ind w:left="737" w:hanging="198"/>
      </w:pPr>
      <w:rPr>
        <w:color w:val="9BBB59"/>
      </w:rPr>
    </w:lvl>
    <w:lvl w:ilvl="3">
      <w:start w:val="1"/>
      <w:numFmt w:val="bullet"/>
      <w:lvlText w:val="&gt;"/>
      <w:lvlJc w:val="left"/>
      <w:pPr>
        <w:ind w:left="624" w:hanging="284"/>
      </w:pPr>
      <w:rPr>
        <w:rFonts w:ascii="Arial" w:hAnsi="Arial" w:cs="Times New Roman" w:hint="default"/>
        <w:color w:val="9BBB59"/>
      </w:rPr>
    </w:lvl>
    <w:lvl w:ilvl="4">
      <w:start w:val="1"/>
      <w:numFmt w:val="bullet"/>
      <w:lvlText w:val="–"/>
      <w:lvlJc w:val="left"/>
      <w:pPr>
        <w:ind w:left="879" w:hanging="255"/>
      </w:pPr>
      <w:rPr>
        <w:rFonts w:ascii="Arial" w:hAnsi="Arial" w:cs="Times New Roman" w:hint="default"/>
        <w:color w:val="9BBB59"/>
      </w:rPr>
    </w:lvl>
    <w:lvl w:ilvl="5">
      <w:start w:val="1"/>
      <w:numFmt w:val="bullet"/>
      <w:lvlText w:val="-"/>
      <w:lvlJc w:val="left"/>
      <w:pPr>
        <w:ind w:left="1077" w:hanging="198"/>
      </w:pPr>
      <w:rPr>
        <w:rFonts w:ascii="Calibri" w:hAnsi="Calibri" w:cs="Times New Roman" w:hint="default"/>
        <w:color w:val="9BBB59"/>
      </w:rPr>
    </w:lvl>
    <w:lvl w:ilvl="6">
      <w:start w:val="1"/>
      <w:numFmt w:val="bullet"/>
      <w:lvlText w:val="&gt;"/>
      <w:lvlJc w:val="left"/>
      <w:pPr>
        <w:ind w:left="510" w:hanging="283"/>
      </w:pPr>
      <w:rPr>
        <w:rFonts w:ascii="Arial" w:hAnsi="Arial" w:cs="Times New Roman" w:hint="default"/>
        <w:color w:val="9BBB59"/>
      </w:rPr>
    </w:lvl>
    <w:lvl w:ilvl="7">
      <w:start w:val="1"/>
      <w:numFmt w:val="bullet"/>
      <w:lvlText w:val="–"/>
      <w:lvlJc w:val="left"/>
      <w:pPr>
        <w:ind w:left="765" w:hanging="255"/>
      </w:pPr>
      <w:rPr>
        <w:rFonts w:ascii="Arial" w:hAnsi="Arial" w:cs="Times New Roman" w:hint="default"/>
        <w:color w:val="9BBB59"/>
      </w:rPr>
    </w:lvl>
    <w:lvl w:ilvl="8">
      <w:start w:val="1"/>
      <w:numFmt w:val="bullet"/>
      <w:lvlText w:val="-"/>
      <w:lvlJc w:val="left"/>
      <w:pPr>
        <w:ind w:left="964" w:hanging="199"/>
      </w:pPr>
      <w:rPr>
        <w:rFonts w:ascii="Calibri" w:hAnsi="Calibri" w:cs="Times New Roman" w:hint="default"/>
        <w:color w:val="9BBB59"/>
      </w:rPr>
    </w:lvl>
  </w:abstractNum>
  <w:abstractNum w:abstractNumId="14"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5"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951952"/>
    <w:multiLevelType w:val="hybridMultilevel"/>
    <w:tmpl w:val="1D4E8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563D50"/>
    <w:multiLevelType w:val="hybridMultilevel"/>
    <w:tmpl w:val="EFE84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0" w15:restartNumberingAfterBreak="0">
    <w:nsid w:val="4F5B27A8"/>
    <w:multiLevelType w:val="multilevel"/>
    <w:tmpl w:val="D5F23F8C"/>
    <w:lvl w:ilvl="0">
      <w:start w:val="1"/>
      <w:numFmt w:val="bullet"/>
      <w:lvlText w:val="•"/>
      <w:lvlJc w:val="left"/>
      <w:pPr>
        <w:tabs>
          <w:tab w:val="num" w:pos="520"/>
        </w:tabs>
        <w:ind w:left="520" w:hanging="520"/>
      </w:pPr>
      <w:rPr>
        <w:rFonts w:ascii="Times New Roman" w:hAnsi="Times New Roman" w:cs="Times New Roman"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21" w15:restartNumberingAfterBreak="0">
    <w:nsid w:val="510D2021"/>
    <w:multiLevelType w:val="multilevel"/>
    <w:tmpl w:val="72F8140E"/>
    <w:numStyleLink w:val="OutlineList"/>
  </w:abstractNum>
  <w:abstractNum w:abstractNumId="22" w15:restartNumberingAfterBreak="0">
    <w:nsid w:val="583065B2"/>
    <w:multiLevelType w:val="hybridMultilevel"/>
    <w:tmpl w:val="9F58A41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5E34982"/>
    <w:multiLevelType w:val="multilevel"/>
    <w:tmpl w:val="CA281106"/>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7"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14"/>
  </w:num>
  <w:num w:numId="2">
    <w:abstractNumId w:val="2"/>
  </w:num>
  <w:num w:numId="3">
    <w:abstractNumId w:val="16"/>
  </w:num>
  <w:num w:numId="4">
    <w:abstractNumId w:val="6"/>
  </w:num>
  <w:num w:numId="5">
    <w:abstractNumId w:val="8"/>
  </w:num>
  <w:num w:numId="6">
    <w:abstractNumId w:val="21"/>
  </w:num>
  <w:num w:numId="7">
    <w:abstractNumId w:val="15"/>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9"/>
  </w:num>
  <w:num w:numId="9">
    <w:abstractNumId w:val="5"/>
  </w:num>
  <w:num w:numId="10">
    <w:abstractNumId w:val="12"/>
  </w:num>
  <w:num w:numId="11">
    <w:abstractNumId w:val="26"/>
  </w:num>
  <w:num w:numId="12">
    <w:abstractNumId w:val="21"/>
  </w:num>
  <w:num w:numId="13">
    <w:abstractNumId w:val="27"/>
  </w:num>
  <w:num w:numId="14">
    <w:abstractNumId w:val="19"/>
  </w:num>
  <w:num w:numId="15">
    <w:abstractNumId w:val="11"/>
  </w:num>
  <w:num w:numId="16">
    <w:abstractNumId w:val="23"/>
  </w:num>
  <w:num w:numId="17">
    <w:abstractNumId w:val="15"/>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4"/>
  </w:num>
  <w:num w:numId="21">
    <w:abstractNumId w:val="14"/>
  </w:num>
  <w:num w:numId="22">
    <w:abstractNumId w:val="10"/>
  </w:num>
  <w:num w:numId="23">
    <w:abstractNumId w:val="14"/>
  </w:num>
  <w:num w:numId="24">
    <w:abstractNumId w:val="14"/>
  </w:num>
  <w:num w:numId="25">
    <w:abstractNumId w:val="3"/>
  </w:num>
  <w:num w:numId="26">
    <w:abstractNumId w:val="1"/>
  </w:num>
  <w:num w:numId="27">
    <w:abstractNumId w:val="20"/>
  </w:num>
  <w:num w:numId="28">
    <w:abstractNumId w:val="14"/>
  </w:num>
  <w:num w:numId="29">
    <w:abstractNumId w:val="14"/>
  </w:num>
  <w:num w:numId="30">
    <w:abstractNumId w:val="14"/>
  </w:num>
  <w:num w:numId="31">
    <w:abstractNumId w:val="14"/>
  </w:num>
  <w:num w:numId="32">
    <w:abstractNumId w:val="14"/>
  </w:num>
  <w:num w:numId="33">
    <w:abstractNumId w:val="4"/>
  </w:num>
  <w:num w:numId="34">
    <w:abstractNumId w:val="13"/>
  </w:num>
  <w:num w:numId="35">
    <w:abstractNumId w:val="17"/>
  </w:num>
  <w:num w:numId="36">
    <w:abstractNumId w:val="18"/>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14"/>
  </w:num>
  <w:num w:numId="45">
    <w:abstractNumId w:val="14"/>
  </w:num>
  <w:num w:numId="46">
    <w:abstractNumId w:val="14"/>
  </w:num>
  <w:num w:numId="47">
    <w:abstractNumId w:val="7"/>
  </w:num>
  <w:num w:numId="48">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mirrorMargins/>
  <w:proofState w:spelling="clean" w:grammar="clean"/>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516"/>
    <w:rsid w:val="00006645"/>
    <w:rsid w:val="00010689"/>
    <w:rsid w:val="00010D45"/>
    <w:rsid w:val="00011725"/>
    <w:rsid w:val="00012C62"/>
    <w:rsid w:val="00014F5D"/>
    <w:rsid w:val="000165FD"/>
    <w:rsid w:val="00020059"/>
    <w:rsid w:val="00021A82"/>
    <w:rsid w:val="0002544D"/>
    <w:rsid w:val="00025D83"/>
    <w:rsid w:val="00025E16"/>
    <w:rsid w:val="00032440"/>
    <w:rsid w:val="00033304"/>
    <w:rsid w:val="00033CEC"/>
    <w:rsid w:val="00034470"/>
    <w:rsid w:val="00034C4F"/>
    <w:rsid w:val="00037592"/>
    <w:rsid w:val="0004274D"/>
    <w:rsid w:val="00043348"/>
    <w:rsid w:val="0004483F"/>
    <w:rsid w:val="000470BD"/>
    <w:rsid w:val="0005138B"/>
    <w:rsid w:val="000522B7"/>
    <w:rsid w:val="00056880"/>
    <w:rsid w:val="00063C6B"/>
    <w:rsid w:val="000675D1"/>
    <w:rsid w:val="00073521"/>
    <w:rsid w:val="00073879"/>
    <w:rsid w:val="00073E24"/>
    <w:rsid w:val="00076F4C"/>
    <w:rsid w:val="000775DE"/>
    <w:rsid w:val="00080816"/>
    <w:rsid w:val="00087FAF"/>
    <w:rsid w:val="0009146B"/>
    <w:rsid w:val="00091F1E"/>
    <w:rsid w:val="000A472F"/>
    <w:rsid w:val="000A74B4"/>
    <w:rsid w:val="000B2C46"/>
    <w:rsid w:val="000B4067"/>
    <w:rsid w:val="000B67CC"/>
    <w:rsid w:val="000B7289"/>
    <w:rsid w:val="000C571D"/>
    <w:rsid w:val="000C5F40"/>
    <w:rsid w:val="000C70D4"/>
    <w:rsid w:val="000C73CC"/>
    <w:rsid w:val="000D2703"/>
    <w:rsid w:val="000E0B74"/>
    <w:rsid w:val="000E7901"/>
    <w:rsid w:val="000F092E"/>
    <w:rsid w:val="000F0A22"/>
    <w:rsid w:val="000F7C15"/>
    <w:rsid w:val="001017BF"/>
    <w:rsid w:val="00107176"/>
    <w:rsid w:val="00111A24"/>
    <w:rsid w:val="001204E5"/>
    <w:rsid w:val="00131DC3"/>
    <w:rsid w:val="00135E4C"/>
    <w:rsid w:val="001373F5"/>
    <w:rsid w:val="00143C3A"/>
    <w:rsid w:val="001529AD"/>
    <w:rsid w:val="0015362C"/>
    <w:rsid w:val="001606CF"/>
    <w:rsid w:val="0016128D"/>
    <w:rsid w:val="001658E5"/>
    <w:rsid w:val="0017089D"/>
    <w:rsid w:val="001776C9"/>
    <w:rsid w:val="00182528"/>
    <w:rsid w:val="00182D7A"/>
    <w:rsid w:val="0018375D"/>
    <w:rsid w:val="0018749E"/>
    <w:rsid w:val="0019101A"/>
    <w:rsid w:val="001921A5"/>
    <w:rsid w:val="00192756"/>
    <w:rsid w:val="001972D2"/>
    <w:rsid w:val="001B12C4"/>
    <w:rsid w:val="001B145B"/>
    <w:rsid w:val="001B5F49"/>
    <w:rsid w:val="001B6299"/>
    <w:rsid w:val="001C358D"/>
    <w:rsid w:val="001C4AC9"/>
    <w:rsid w:val="001C6C5E"/>
    <w:rsid w:val="001D18A9"/>
    <w:rsid w:val="001D305E"/>
    <w:rsid w:val="001D51F5"/>
    <w:rsid w:val="001E4724"/>
    <w:rsid w:val="001E51DB"/>
    <w:rsid w:val="001F1B27"/>
    <w:rsid w:val="001F1C1D"/>
    <w:rsid w:val="001F3E1F"/>
    <w:rsid w:val="001F467B"/>
    <w:rsid w:val="001F5C13"/>
    <w:rsid w:val="002021A4"/>
    <w:rsid w:val="002025E6"/>
    <w:rsid w:val="002116C2"/>
    <w:rsid w:val="00216330"/>
    <w:rsid w:val="00221357"/>
    <w:rsid w:val="00221EC0"/>
    <w:rsid w:val="00221F50"/>
    <w:rsid w:val="00227254"/>
    <w:rsid w:val="00231049"/>
    <w:rsid w:val="002314D2"/>
    <w:rsid w:val="00231E45"/>
    <w:rsid w:val="00232140"/>
    <w:rsid w:val="0023305C"/>
    <w:rsid w:val="00233953"/>
    <w:rsid w:val="002348B3"/>
    <w:rsid w:val="00234C62"/>
    <w:rsid w:val="0024078B"/>
    <w:rsid w:val="002414A5"/>
    <w:rsid w:val="002417FA"/>
    <w:rsid w:val="00241881"/>
    <w:rsid w:val="0024294C"/>
    <w:rsid w:val="00242F34"/>
    <w:rsid w:val="00244945"/>
    <w:rsid w:val="002465A3"/>
    <w:rsid w:val="00250C91"/>
    <w:rsid w:val="002552FA"/>
    <w:rsid w:val="0025652F"/>
    <w:rsid w:val="00257F3F"/>
    <w:rsid w:val="00263B6C"/>
    <w:rsid w:val="00267A11"/>
    <w:rsid w:val="00272939"/>
    <w:rsid w:val="00274245"/>
    <w:rsid w:val="00274F6E"/>
    <w:rsid w:val="00275086"/>
    <w:rsid w:val="0027590B"/>
    <w:rsid w:val="00277E2E"/>
    <w:rsid w:val="0028363B"/>
    <w:rsid w:val="00283DA5"/>
    <w:rsid w:val="00284157"/>
    <w:rsid w:val="00285969"/>
    <w:rsid w:val="00296F50"/>
    <w:rsid w:val="002A74EF"/>
    <w:rsid w:val="002B3829"/>
    <w:rsid w:val="002B40D3"/>
    <w:rsid w:val="002B4EF7"/>
    <w:rsid w:val="002C22EF"/>
    <w:rsid w:val="002C4515"/>
    <w:rsid w:val="002C69DB"/>
    <w:rsid w:val="002C703E"/>
    <w:rsid w:val="002D1762"/>
    <w:rsid w:val="002D2F27"/>
    <w:rsid w:val="002D31E2"/>
    <w:rsid w:val="002E3EB1"/>
    <w:rsid w:val="002E454C"/>
    <w:rsid w:val="002E7ACB"/>
    <w:rsid w:val="002F02A5"/>
    <w:rsid w:val="002F617F"/>
    <w:rsid w:val="002F6446"/>
    <w:rsid w:val="00300109"/>
    <w:rsid w:val="003004F4"/>
    <w:rsid w:val="003030D0"/>
    <w:rsid w:val="003066EF"/>
    <w:rsid w:val="00306894"/>
    <w:rsid w:val="0031133E"/>
    <w:rsid w:val="003122F4"/>
    <w:rsid w:val="003268D5"/>
    <w:rsid w:val="00331F5A"/>
    <w:rsid w:val="0033291A"/>
    <w:rsid w:val="00333441"/>
    <w:rsid w:val="00337EB9"/>
    <w:rsid w:val="00341674"/>
    <w:rsid w:val="003448F6"/>
    <w:rsid w:val="00350759"/>
    <w:rsid w:val="00350D6A"/>
    <w:rsid w:val="00350FD7"/>
    <w:rsid w:val="00354D27"/>
    <w:rsid w:val="0035738A"/>
    <w:rsid w:val="0037301B"/>
    <w:rsid w:val="00375548"/>
    <w:rsid w:val="00376568"/>
    <w:rsid w:val="00382CCE"/>
    <w:rsid w:val="003832DF"/>
    <w:rsid w:val="003858A6"/>
    <w:rsid w:val="0038777B"/>
    <w:rsid w:val="00392DCC"/>
    <w:rsid w:val="003A4D12"/>
    <w:rsid w:val="003A567E"/>
    <w:rsid w:val="003A5791"/>
    <w:rsid w:val="003A5B36"/>
    <w:rsid w:val="003B1B1B"/>
    <w:rsid w:val="003B683B"/>
    <w:rsid w:val="003C0172"/>
    <w:rsid w:val="003C1FF8"/>
    <w:rsid w:val="003C24B4"/>
    <w:rsid w:val="003D16D5"/>
    <w:rsid w:val="003D5280"/>
    <w:rsid w:val="003E076D"/>
    <w:rsid w:val="003E1AB4"/>
    <w:rsid w:val="003E20D6"/>
    <w:rsid w:val="003E256E"/>
    <w:rsid w:val="003E4D87"/>
    <w:rsid w:val="003E76D3"/>
    <w:rsid w:val="00401082"/>
    <w:rsid w:val="00403309"/>
    <w:rsid w:val="00403736"/>
    <w:rsid w:val="00404295"/>
    <w:rsid w:val="00407134"/>
    <w:rsid w:val="00411DA0"/>
    <w:rsid w:val="004134B7"/>
    <w:rsid w:val="00416762"/>
    <w:rsid w:val="00416B05"/>
    <w:rsid w:val="00416E55"/>
    <w:rsid w:val="0042518A"/>
    <w:rsid w:val="0043062C"/>
    <w:rsid w:val="00431CA2"/>
    <w:rsid w:val="00431E56"/>
    <w:rsid w:val="00432998"/>
    <w:rsid w:val="004426AC"/>
    <w:rsid w:val="00445265"/>
    <w:rsid w:val="00447661"/>
    <w:rsid w:val="00452904"/>
    <w:rsid w:val="004559CE"/>
    <w:rsid w:val="00460E1A"/>
    <w:rsid w:val="00463DF8"/>
    <w:rsid w:val="004703CB"/>
    <w:rsid w:val="00475085"/>
    <w:rsid w:val="00476CF6"/>
    <w:rsid w:val="00477AA8"/>
    <w:rsid w:val="00486AA9"/>
    <w:rsid w:val="00492F89"/>
    <w:rsid w:val="00492FCB"/>
    <w:rsid w:val="00494B22"/>
    <w:rsid w:val="004A00B0"/>
    <w:rsid w:val="004A0F11"/>
    <w:rsid w:val="004A2F7E"/>
    <w:rsid w:val="004A3EAA"/>
    <w:rsid w:val="004A3F2B"/>
    <w:rsid w:val="004A487A"/>
    <w:rsid w:val="004A7C28"/>
    <w:rsid w:val="004A7D97"/>
    <w:rsid w:val="004B1561"/>
    <w:rsid w:val="004B16FD"/>
    <w:rsid w:val="004B5133"/>
    <w:rsid w:val="004B579C"/>
    <w:rsid w:val="004C2E55"/>
    <w:rsid w:val="004C41B6"/>
    <w:rsid w:val="004C553E"/>
    <w:rsid w:val="004D1D06"/>
    <w:rsid w:val="004D4839"/>
    <w:rsid w:val="004D5986"/>
    <w:rsid w:val="004D5CA6"/>
    <w:rsid w:val="004D6E37"/>
    <w:rsid w:val="004D6EAA"/>
    <w:rsid w:val="004E00EA"/>
    <w:rsid w:val="004F4B92"/>
    <w:rsid w:val="004F52CA"/>
    <w:rsid w:val="00503FA0"/>
    <w:rsid w:val="005042AF"/>
    <w:rsid w:val="00505A30"/>
    <w:rsid w:val="005146F1"/>
    <w:rsid w:val="00516061"/>
    <w:rsid w:val="00516785"/>
    <w:rsid w:val="005235C0"/>
    <w:rsid w:val="0052419D"/>
    <w:rsid w:val="005301F8"/>
    <w:rsid w:val="005312FC"/>
    <w:rsid w:val="0053569E"/>
    <w:rsid w:val="0053603D"/>
    <w:rsid w:val="0053742A"/>
    <w:rsid w:val="00537C85"/>
    <w:rsid w:val="00541D29"/>
    <w:rsid w:val="00542B43"/>
    <w:rsid w:val="0055326E"/>
    <w:rsid w:val="00553D2C"/>
    <w:rsid w:val="00556007"/>
    <w:rsid w:val="005579FD"/>
    <w:rsid w:val="00561A83"/>
    <w:rsid w:val="00562F17"/>
    <w:rsid w:val="00564BCD"/>
    <w:rsid w:val="00564FE7"/>
    <w:rsid w:val="0056582C"/>
    <w:rsid w:val="00574894"/>
    <w:rsid w:val="00574DB5"/>
    <w:rsid w:val="00580FF3"/>
    <w:rsid w:val="0058529E"/>
    <w:rsid w:val="005868DE"/>
    <w:rsid w:val="00593FA8"/>
    <w:rsid w:val="00594E35"/>
    <w:rsid w:val="0059655E"/>
    <w:rsid w:val="005966B7"/>
    <w:rsid w:val="0059687C"/>
    <w:rsid w:val="005A3129"/>
    <w:rsid w:val="005B5C71"/>
    <w:rsid w:val="005B5E2A"/>
    <w:rsid w:val="005C02A4"/>
    <w:rsid w:val="005C20D2"/>
    <w:rsid w:val="005C32FE"/>
    <w:rsid w:val="005C34A1"/>
    <w:rsid w:val="005C4771"/>
    <w:rsid w:val="005D024A"/>
    <w:rsid w:val="005D1002"/>
    <w:rsid w:val="005D44F8"/>
    <w:rsid w:val="005D4FD4"/>
    <w:rsid w:val="005D6D64"/>
    <w:rsid w:val="005E4086"/>
    <w:rsid w:val="005E72E0"/>
    <w:rsid w:val="005F55B5"/>
    <w:rsid w:val="005F600A"/>
    <w:rsid w:val="00600B0B"/>
    <w:rsid w:val="00601650"/>
    <w:rsid w:val="00605AFD"/>
    <w:rsid w:val="006123D4"/>
    <w:rsid w:val="0061445B"/>
    <w:rsid w:val="00624C4B"/>
    <w:rsid w:val="00630D08"/>
    <w:rsid w:val="00637C7D"/>
    <w:rsid w:val="00643411"/>
    <w:rsid w:val="00647CF4"/>
    <w:rsid w:val="00650016"/>
    <w:rsid w:val="006514DD"/>
    <w:rsid w:val="00651786"/>
    <w:rsid w:val="00652A9E"/>
    <w:rsid w:val="00654786"/>
    <w:rsid w:val="00654817"/>
    <w:rsid w:val="00660664"/>
    <w:rsid w:val="00660720"/>
    <w:rsid w:val="00663047"/>
    <w:rsid w:val="00663170"/>
    <w:rsid w:val="00663962"/>
    <w:rsid w:val="00677F67"/>
    <w:rsid w:val="0068466B"/>
    <w:rsid w:val="00685844"/>
    <w:rsid w:val="00685CF7"/>
    <w:rsid w:val="00686165"/>
    <w:rsid w:val="00691CB5"/>
    <w:rsid w:val="006927E5"/>
    <w:rsid w:val="006964A5"/>
    <w:rsid w:val="006A1AC0"/>
    <w:rsid w:val="006A37F5"/>
    <w:rsid w:val="006A3E4E"/>
    <w:rsid w:val="006A51A3"/>
    <w:rsid w:val="006A59BF"/>
    <w:rsid w:val="006B1425"/>
    <w:rsid w:val="006B3068"/>
    <w:rsid w:val="006B4E10"/>
    <w:rsid w:val="006C0167"/>
    <w:rsid w:val="006C1892"/>
    <w:rsid w:val="006C18AF"/>
    <w:rsid w:val="006C1F7A"/>
    <w:rsid w:val="006C5B73"/>
    <w:rsid w:val="006C5F87"/>
    <w:rsid w:val="006C645D"/>
    <w:rsid w:val="006D2E24"/>
    <w:rsid w:val="006D609F"/>
    <w:rsid w:val="006E0890"/>
    <w:rsid w:val="006E32A4"/>
    <w:rsid w:val="006E3C92"/>
    <w:rsid w:val="006E3CC3"/>
    <w:rsid w:val="006E484F"/>
    <w:rsid w:val="006E5DC8"/>
    <w:rsid w:val="006F37B7"/>
    <w:rsid w:val="006F4757"/>
    <w:rsid w:val="006F7A44"/>
    <w:rsid w:val="00706E8E"/>
    <w:rsid w:val="00707B76"/>
    <w:rsid w:val="00710C1C"/>
    <w:rsid w:val="007129E2"/>
    <w:rsid w:val="00712C88"/>
    <w:rsid w:val="007139E9"/>
    <w:rsid w:val="00713AB1"/>
    <w:rsid w:val="00716C01"/>
    <w:rsid w:val="00721D6A"/>
    <w:rsid w:val="00722B53"/>
    <w:rsid w:val="00731369"/>
    <w:rsid w:val="00733B80"/>
    <w:rsid w:val="00736516"/>
    <w:rsid w:val="007407AD"/>
    <w:rsid w:val="007415C5"/>
    <w:rsid w:val="0074299B"/>
    <w:rsid w:val="007452E6"/>
    <w:rsid w:val="00750422"/>
    <w:rsid w:val="007509DD"/>
    <w:rsid w:val="00763474"/>
    <w:rsid w:val="007673B3"/>
    <w:rsid w:val="00770450"/>
    <w:rsid w:val="00774F89"/>
    <w:rsid w:val="00775DBC"/>
    <w:rsid w:val="007772EF"/>
    <w:rsid w:val="00784585"/>
    <w:rsid w:val="00784C0A"/>
    <w:rsid w:val="007856FF"/>
    <w:rsid w:val="00790B89"/>
    <w:rsid w:val="0079375A"/>
    <w:rsid w:val="00794B40"/>
    <w:rsid w:val="00794E23"/>
    <w:rsid w:val="007956A1"/>
    <w:rsid w:val="007A1079"/>
    <w:rsid w:val="007B7334"/>
    <w:rsid w:val="007B76AB"/>
    <w:rsid w:val="007C487F"/>
    <w:rsid w:val="007C6469"/>
    <w:rsid w:val="007D50E0"/>
    <w:rsid w:val="007D592B"/>
    <w:rsid w:val="007D5AA6"/>
    <w:rsid w:val="007D7A91"/>
    <w:rsid w:val="007D7BCD"/>
    <w:rsid w:val="007E6456"/>
    <w:rsid w:val="007E7FF9"/>
    <w:rsid w:val="007F10D2"/>
    <w:rsid w:val="007F1871"/>
    <w:rsid w:val="007F4A4B"/>
    <w:rsid w:val="00811943"/>
    <w:rsid w:val="0081776C"/>
    <w:rsid w:val="00825764"/>
    <w:rsid w:val="00830C58"/>
    <w:rsid w:val="008311B8"/>
    <w:rsid w:val="008317FB"/>
    <w:rsid w:val="00834243"/>
    <w:rsid w:val="00834C93"/>
    <w:rsid w:val="0083573D"/>
    <w:rsid w:val="00845B53"/>
    <w:rsid w:val="0085222A"/>
    <w:rsid w:val="0085668A"/>
    <w:rsid w:val="00857969"/>
    <w:rsid w:val="00867637"/>
    <w:rsid w:val="00875201"/>
    <w:rsid w:val="00876188"/>
    <w:rsid w:val="00882CC4"/>
    <w:rsid w:val="00884718"/>
    <w:rsid w:val="00885489"/>
    <w:rsid w:val="008919A4"/>
    <w:rsid w:val="00896549"/>
    <w:rsid w:val="00896EF1"/>
    <w:rsid w:val="008A2806"/>
    <w:rsid w:val="008A58EA"/>
    <w:rsid w:val="008A69D2"/>
    <w:rsid w:val="008B26B5"/>
    <w:rsid w:val="008B30D5"/>
    <w:rsid w:val="008B3DAA"/>
    <w:rsid w:val="008B4F25"/>
    <w:rsid w:val="008C4A95"/>
    <w:rsid w:val="008C60E2"/>
    <w:rsid w:val="008C6E32"/>
    <w:rsid w:val="008C7F71"/>
    <w:rsid w:val="008D339F"/>
    <w:rsid w:val="008D427F"/>
    <w:rsid w:val="008E4A03"/>
    <w:rsid w:val="008E6292"/>
    <w:rsid w:val="008F619D"/>
    <w:rsid w:val="00916F5C"/>
    <w:rsid w:val="00922822"/>
    <w:rsid w:val="00922B6E"/>
    <w:rsid w:val="00923BAE"/>
    <w:rsid w:val="00925AA5"/>
    <w:rsid w:val="0092738D"/>
    <w:rsid w:val="0093191E"/>
    <w:rsid w:val="0093540D"/>
    <w:rsid w:val="0094019D"/>
    <w:rsid w:val="0094043E"/>
    <w:rsid w:val="00942C11"/>
    <w:rsid w:val="0094351F"/>
    <w:rsid w:val="0094655D"/>
    <w:rsid w:val="00947492"/>
    <w:rsid w:val="009541B0"/>
    <w:rsid w:val="009547F8"/>
    <w:rsid w:val="0097093E"/>
    <w:rsid w:val="009729D4"/>
    <w:rsid w:val="0098020F"/>
    <w:rsid w:val="009817B0"/>
    <w:rsid w:val="009821CE"/>
    <w:rsid w:val="00984A32"/>
    <w:rsid w:val="00984F35"/>
    <w:rsid w:val="00994EDE"/>
    <w:rsid w:val="0099635D"/>
    <w:rsid w:val="009A277C"/>
    <w:rsid w:val="009A5EC2"/>
    <w:rsid w:val="009A658F"/>
    <w:rsid w:val="009A66C9"/>
    <w:rsid w:val="009B24E4"/>
    <w:rsid w:val="009B5A77"/>
    <w:rsid w:val="009C4407"/>
    <w:rsid w:val="009D680D"/>
    <w:rsid w:val="009E171B"/>
    <w:rsid w:val="009E1CBD"/>
    <w:rsid w:val="009E4008"/>
    <w:rsid w:val="009E4687"/>
    <w:rsid w:val="009F09A8"/>
    <w:rsid w:val="009F6587"/>
    <w:rsid w:val="00A00596"/>
    <w:rsid w:val="00A015E8"/>
    <w:rsid w:val="00A07D47"/>
    <w:rsid w:val="00A10EF7"/>
    <w:rsid w:val="00A12F62"/>
    <w:rsid w:val="00A14FE9"/>
    <w:rsid w:val="00A17EB2"/>
    <w:rsid w:val="00A211EA"/>
    <w:rsid w:val="00A2149A"/>
    <w:rsid w:val="00A30DD9"/>
    <w:rsid w:val="00A34A39"/>
    <w:rsid w:val="00A3563C"/>
    <w:rsid w:val="00A36694"/>
    <w:rsid w:val="00A36BCF"/>
    <w:rsid w:val="00A373AE"/>
    <w:rsid w:val="00A3749B"/>
    <w:rsid w:val="00A37D87"/>
    <w:rsid w:val="00A44558"/>
    <w:rsid w:val="00A46F73"/>
    <w:rsid w:val="00A50D88"/>
    <w:rsid w:val="00A53FE4"/>
    <w:rsid w:val="00A5460B"/>
    <w:rsid w:val="00A56923"/>
    <w:rsid w:val="00A62E42"/>
    <w:rsid w:val="00A64A71"/>
    <w:rsid w:val="00A67CF3"/>
    <w:rsid w:val="00A72960"/>
    <w:rsid w:val="00A72D8F"/>
    <w:rsid w:val="00A74A70"/>
    <w:rsid w:val="00A80CFA"/>
    <w:rsid w:val="00A8254E"/>
    <w:rsid w:val="00A87179"/>
    <w:rsid w:val="00A9097C"/>
    <w:rsid w:val="00A91469"/>
    <w:rsid w:val="00A93401"/>
    <w:rsid w:val="00A9383F"/>
    <w:rsid w:val="00A97B36"/>
    <w:rsid w:val="00AB0CDF"/>
    <w:rsid w:val="00AC3196"/>
    <w:rsid w:val="00AC4C0A"/>
    <w:rsid w:val="00AC7B58"/>
    <w:rsid w:val="00AC7EAB"/>
    <w:rsid w:val="00AD05E4"/>
    <w:rsid w:val="00AD4087"/>
    <w:rsid w:val="00AD5347"/>
    <w:rsid w:val="00AE1971"/>
    <w:rsid w:val="00AE2A74"/>
    <w:rsid w:val="00AE2F90"/>
    <w:rsid w:val="00AE6F8E"/>
    <w:rsid w:val="00AE7002"/>
    <w:rsid w:val="00AE7CEC"/>
    <w:rsid w:val="00AF241A"/>
    <w:rsid w:val="00AF266C"/>
    <w:rsid w:val="00AF274F"/>
    <w:rsid w:val="00AF4BA4"/>
    <w:rsid w:val="00AF5469"/>
    <w:rsid w:val="00B011A2"/>
    <w:rsid w:val="00B02BB5"/>
    <w:rsid w:val="00B03DD6"/>
    <w:rsid w:val="00B046D5"/>
    <w:rsid w:val="00B13E54"/>
    <w:rsid w:val="00B14A5B"/>
    <w:rsid w:val="00B25C03"/>
    <w:rsid w:val="00B3583B"/>
    <w:rsid w:val="00B37A8F"/>
    <w:rsid w:val="00B456A6"/>
    <w:rsid w:val="00B5193B"/>
    <w:rsid w:val="00B51AA5"/>
    <w:rsid w:val="00B53DCB"/>
    <w:rsid w:val="00B56BC4"/>
    <w:rsid w:val="00B56EC0"/>
    <w:rsid w:val="00B65347"/>
    <w:rsid w:val="00B65825"/>
    <w:rsid w:val="00B66D08"/>
    <w:rsid w:val="00B839E4"/>
    <w:rsid w:val="00B87927"/>
    <w:rsid w:val="00B9155D"/>
    <w:rsid w:val="00B96036"/>
    <w:rsid w:val="00BA3E5B"/>
    <w:rsid w:val="00BB0E45"/>
    <w:rsid w:val="00BB18EC"/>
    <w:rsid w:val="00BB53CA"/>
    <w:rsid w:val="00BC4C23"/>
    <w:rsid w:val="00BC5EA4"/>
    <w:rsid w:val="00BD053F"/>
    <w:rsid w:val="00BD26AA"/>
    <w:rsid w:val="00BD454F"/>
    <w:rsid w:val="00BD7CD3"/>
    <w:rsid w:val="00BE38D0"/>
    <w:rsid w:val="00BF199C"/>
    <w:rsid w:val="00BF55F7"/>
    <w:rsid w:val="00BF5B9A"/>
    <w:rsid w:val="00C01490"/>
    <w:rsid w:val="00C01DCC"/>
    <w:rsid w:val="00C01E66"/>
    <w:rsid w:val="00C124A4"/>
    <w:rsid w:val="00C13906"/>
    <w:rsid w:val="00C202B3"/>
    <w:rsid w:val="00C21D65"/>
    <w:rsid w:val="00C21EE0"/>
    <w:rsid w:val="00C254CC"/>
    <w:rsid w:val="00C30297"/>
    <w:rsid w:val="00C309A6"/>
    <w:rsid w:val="00C31DBE"/>
    <w:rsid w:val="00C35FBC"/>
    <w:rsid w:val="00C373E9"/>
    <w:rsid w:val="00C4040F"/>
    <w:rsid w:val="00C41F6C"/>
    <w:rsid w:val="00C53BE2"/>
    <w:rsid w:val="00C53D0E"/>
    <w:rsid w:val="00C56414"/>
    <w:rsid w:val="00C670AD"/>
    <w:rsid w:val="00C72239"/>
    <w:rsid w:val="00C72318"/>
    <w:rsid w:val="00C724E6"/>
    <w:rsid w:val="00C746B0"/>
    <w:rsid w:val="00C747A5"/>
    <w:rsid w:val="00C758A6"/>
    <w:rsid w:val="00C76E94"/>
    <w:rsid w:val="00C85314"/>
    <w:rsid w:val="00C85E7D"/>
    <w:rsid w:val="00C86846"/>
    <w:rsid w:val="00C90D0E"/>
    <w:rsid w:val="00C94515"/>
    <w:rsid w:val="00C95119"/>
    <w:rsid w:val="00C96D2E"/>
    <w:rsid w:val="00CA0116"/>
    <w:rsid w:val="00CA120A"/>
    <w:rsid w:val="00CA3350"/>
    <w:rsid w:val="00CA4BC0"/>
    <w:rsid w:val="00CA5CA8"/>
    <w:rsid w:val="00CB0157"/>
    <w:rsid w:val="00CB334A"/>
    <w:rsid w:val="00CB5205"/>
    <w:rsid w:val="00CC12DF"/>
    <w:rsid w:val="00CC2EC6"/>
    <w:rsid w:val="00CC559D"/>
    <w:rsid w:val="00CC55B0"/>
    <w:rsid w:val="00CD654B"/>
    <w:rsid w:val="00CE0D9F"/>
    <w:rsid w:val="00CE223E"/>
    <w:rsid w:val="00CE3124"/>
    <w:rsid w:val="00CE68DD"/>
    <w:rsid w:val="00CE76AA"/>
    <w:rsid w:val="00CF3F0D"/>
    <w:rsid w:val="00CF5E79"/>
    <w:rsid w:val="00D01EF8"/>
    <w:rsid w:val="00D01F18"/>
    <w:rsid w:val="00D04AA8"/>
    <w:rsid w:val="00D0562B"/>
    <w:rsid w:val="00D0581C"/>
    <w:rsid w:val="00D06657"/>
    <w:rsid w:val="00D11F94"/>
    <w:rsid w:val="00D145F5"/>
    <w:rsid w:val="00D150F5"/>
    <w:rsid w:val="00D2400A"/>
    <w:rsid w:val="00D26A46"/>
    <w:rsid w:val="00D3463C"/>
    <w:rsid w:val="00D351F4"/>
    <w:rsid w:val="00D355F0"/>
    <w:rsid w:val="00D36B60"/>
    <w:rsid w:val="00D407F5"/>
    <w:rsid w:val="00D43AC8"/>
    <w:rsid w:val="00D533AA"/>
    <w:rsid w:val="00D545AD"/>
    <w:rsid w:val="00D55744"/>
    <w:rsid w:val="00D56113"/>
    <w:rsid w:val="00D67356"/>
    <w:rsid w:val="00D70E35"/>
    <w:rsid w:val="00D816E3"/>
    <w:rsid w:val="00D833D9"/>
    <w:rsid w:val="00D83BD9"/>
    <w:rsid w:val="00D844E5"/>
    <w:rsid w:val="00D93479"/>
    <w:rsid w:val="00D942BD"/>
    <w:rsid w:val="00D94A0E"/>
    <w:rsid w:val="00D94DCF"/>
    <w:rsid w:val="00D94EAE"/>
    <w:rsid w:val="00DA586F"/>
    <w:rsid w:val="00DB08DA"/>
    <w:rsid w:val="00DB1432"/>
    <w:rsid w:val="00DB620D"/>
    <w:rsid w:val="00DB7B31"/>
    <w:rsid w:val="00DB7F09"/>
    <w:rsid w:val="00DC00E8"/>
    <w:rsid w:val="00DC0FA9"/>
    <w:rsid w:val="00DC1C56"/>
    <w:rsid w:val="00DC4756"/>
    <w:rsid w:val="00DC6379"/>
    <w:rsid w:val="00DC7663"/>
    <w:rsid w:val="00DD07E1"/>
    <w:rsid w:val="00DD3157"/>
    <w:rsid w:val="00DD4F04"/>
    <w:rsid w:val="00DD626A"/>
    <w:rsid w:val="00DE0A28"/>
    <w:rsid w:val="00DE3918"/>
    <w:rsid w:val="00DE3C77"/>
    <w:rsid w:val="00DF33E3"/>
    <w:rsid w:val="00DF3CD3"/>
    <w:rsid w:val="00DF638D"/>
    <w:rsid w:val="00DF6F61"/>
    <w:rsid w:val="00E01F72"/>
    <w:rsid w:val="00E06CE6"/>
    <w:rsid w:val="00E101C6"/>
    <w:rsid w:val="00E10C65"/>
    <w:rsid w:val="00E11AEA"/>
    <w:rsid w:val="00E124E2"/>
    <w:rsid w:val="00E2180F"/>
    <w:rsid w:val="00E22D51"/>
    <w:rsid w:val="00E25382"/>
    <w:rsid w:val="00E302C9"/>
    <w:rsid w:val="00E314F0"/>
    <w:rsid w:val="00E323F5"/>
    <w:rsid w:val="00E33762"/>
    <w:rsid w:val="00E35425"/>
    <w:rsid w:val="00E375B9"/>
    <w:rsid w:val="00E50E7C"/>
    <w:rsid w:val="00E51545"/>
    <w:rsid w:val="00E51D9E"/>
    <w:rsid w:val="00E537D1"/>
    <w:rsid w:val="00E5471A"/>
    <w:rsid w:val="00E567E6"/>
    <w:rsid w:val="00E56971"/>
    <w:rsid w:val="00E61484"/>
    <w:rsid w:val="00E701E6"/>
    <w:rsid w:val="00E711D7"/>
    <w:rsid w:val="00E721D6"/>
    <w:rsid w:val="00E815E1"/>
    <w:rsid w:val="00E8302C"/>
    <w:rsid w:val="00E902B0"/>
    <w:rsid w:val="00E902E8"/>
    <w:rsid w:val="00E92402"/>
    <w:rsid w:val="00E95730"/>
    <w:rsid w:val="00EA1802"/>
    <w:rsid w:val="00EA23AC"/>
    <w:rsid w:val="00EA7C3D"/>
    <w:rsid w:val="00EB350C"/>
    <w:rsid w:val="00EB6878"/>
    <w:rsid w:val="00EC1E0E"/>
    <w:rsid w:val="00EC236D"/>
    <w:rsid w:val="00EC319B"/>
    <w:rsid w:val="00EC46EB"/>
    <w:rsid w:val="00EC62EC"/>
    <w:rsid w:val="00EC6B16"/>
    <w:rsid w:val="00ED1C87"/>
    <w:rsid w:val="00ED4761"/>
    <w:rsid w:val="00ED6D7B"/>
    <w:rsid w:val="00EE1447"/>
    <w:rsid w:val="00EE16B6"/>
    <w:rsid w:val="00EF145E"/>
    <w:rsid w:val="00EF1527"/>
    <w:rsid w:val="00EF2BBB"/>
    <w:rsid w:val="00EF2C0F"/>
    <w:rsid w:val="00F0082D"/>
    <w:rsid w:val="00F015AB"/>
    <w:rsid w:val="00F02705"/>
    <w:rsid w:val="00F03AE7"/>
    <w:rsid w:val="00F0452D"/>
    <w:rsid w:val="00F07C90"/>
    <w:rsid w:val="00F11D92"/>
    <w:rsid w:val="00F13086"/>
    <w:rsid w:val="00F16C6A"/>
    <w:rsid w:val="00F170BE"/>
    <w:rsid w:val="00F17A60"/>
    <w:rsid w:val="00F30811"/>
    <w:rsid w:val="00F33EAA"/>
    <w:rsid w:val="00F3449B"/>
    <w:rsid w:val="00F442A3"/>
    <w:rsid w:val="00F47021"/>
    <w:rsid w:val="00F5375E"/>
    <w:rsid w:val="00F54630"/>
    <w:rsid w:val="00F57BED"/>
    <w:rsid w:val="00F63AF7"/>
    <w:rsid w:val="00F63B1B"/>
    <w:rsid w:val="00F641C1"/>
    <w:rsid w:val="00F64B6D"/>
    <w:rsid w:val="00F74D7E"/>
    <w:rsid w:val="00F75901"/>
    <w:rsid w:val="00F7613A"/>
    <w:rsid w:val="00F82746"/>
    <w:rsid w:val="00F831A4"/>
    <w:rsid w:val="00F836F9"/>
    <w:rsid w:val="00F845D7"/>
    <w:rsid w:val="00F859CE"/>
    <w:rsid w:val="00F92279"/>
    <w:rsid w:val="00F95273"/>
    <w:rsid w:val="00F97530"/>
    <w:rsid w:val="00FA2B17"/>
    <w:rsid w:val="00FB163E"/>
    <w:rsid w:val="00FB2355"/>
    <w:rsid w:val="00FB2751"/>
    <w:rsid w:val="00FB3D79"/>
    <w:rsid w:val="00FB4D21"/>
    <w:rsid w:val="00FB762B"/>
    <w:rsid w:val="00FC6ADA"/>
    <w:rsid w:val="00FD4EAF"/>
    <w:rsid w:val="00FD79C1"/>
    <w:rsid w:val="00FF33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E9F9C"/>
  <w15:docId w15:val="{19478810-F698-405B-892C-93FA26D8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475085"/>
    <w:pPr>
      <w:spacing w:before="480"/>
      <w:outlineLvl w:val="0"/>
    </w:pPr>
    <w:rPr>
      <w:bCs w:val="0"/>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Body,b + line,b1,level 1"/>
    <w:basedOn w:val="Normal"/>
    <w:link w:val="BulletChar"/>
    <w:qFormat/>
    <w:rsid w:val="000E0B74"/>
    <w:pPr>
      <w:numPr>
        <w:numId w:val="1"/>
      </w:numPr>
      <w:spacing w:before="0"/>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qFormat/>
    <w:rsid w:val="000E0B74"/>
    <w:pPr>
      <w:numPr>
        <w:ilvl w:val="1"/>
        <w:numId w:val="1"/>
      </w:numPr>
      <w:spacing w:before="0"/>
      <w:ind w:left="568"/>
    </w:pPr>
  </w:style>
  <w:style w:type="paragraph" w:customStyle="1" w:styleId="DoubleDot">
    <w:name w:val="Double Dot"/>
    <w:basedOn w:val="Normal"/>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EE1447"/>
    <w:pPr>
      <w:keepNext/>
      <w:tabs>
        <w:tab w:val="clear" w:pos="4513"/>
        <w:tab w:val="clear" w:pos="9026"/>
      </w:tabs>
      <w:jc w:val="left"/>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1F1B27"/>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25652F"/>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25652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24294C"/>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24294C"/>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475085"/>
    <w:pPr>
      <w:keepNext/>
      <w:spacing w:after="120" w:line="240" w:lineRule="auto"/>
    </w:pPr>
    <w:rPr>
      <w:rFonts w:ascii="Calibri" w:eastAsia="Times New Roman" w:hAnsi="Calibri" w:cs="Arial"/>
      <w:bCs/>
      <w:color w:val="004A7F"/>
      <w:kern w:val="32"/>
      <w:sz w:val="48"/>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A12F62"/>
    <w:pPr>
      <w:jc w:val="left"/>
    </w:pPr>
  </w:style>
  <w:style w:type="paragraph" w:customStyle="1" w:styleId="HeaderOdd">
    <w:name w:val="Header Odd"/>
    <w:basedOn w:val="Header"/>
    <w:qFormat/>
    <w:rsid w:val="00A12F62"/>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rsid w:val="00C72318"/>
    <w:rPr>
      <w:rFonts w:ascii="Tahoma" w:eastAsia="Times New Roman" w:hAnsi="Tahoma" w:cs="Tahoma"/>
      <w:sz w:val="16"/>
      <w:szCs w:val="16"/>
      <w:lang w:eastAsia="en-AU"/>
    </w:rPr>
  </w:style>
  <w:style w:type="character" w:customStyle="1" w:styleId="BulletChar">
    <w:name w:val="Bullet Char"/>
    <w:aliases w:val="b + line Char Char,b Char,b Char Char"/>
    <w:basedOn w:val="DefaultParagraphFont"/>
    <w:link w:val="Bullet"/>
    <w:rsid w:val="0097093E"/>
    <w:rPr>
      <w:rFonts w:ascii="Calibri" w:eastAsia="Times New Roman" w:hAnsi="Calibri" w:cs="Times New Roman"/>
      <w:szCs w:val="20"/>
      <w:lang w:eastAsia="en-AU"/>
    </w:rPr>
  </w:style>
  <w:style w:type="character" w:customStyle="1" w:styleId="DashChar">
    <w:name w:val="Dash Char"/>
    <w:basedOn w:val="DefaultParagraphFont"/>
    <w:link w:val="Dash"/>
    <w:rsid w:val="0097093E"/>
    <w:rPr>
      <w:rFonts w:ascii="Calibri" w:eastAsia="Times New Roman" w:hAnsi="Calibri" w:cs="Times New Roman"/>
      <w:szCs w:val="20"/>
      <w:lang w:eastAsia="en-AU"/>
    </w:rPr>
  </w:style>
  <w:style w:type="paragraph" w:customStyle="1" w:styleId="Default">
    <w:name w:val="Default"/>
    <w:rsid w:val="00663170"/>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B40D3"/>
    <w:rPr>
      <w:sz w:val="16"/>
      <w:szCs w:val="16"/>
    </w:rPr>
  </w:style>
  <w:style w:type="paragraph" w:styleId="CommentText">
    <w:name w:val="annotation text"/>
    <w:basedOn w:val="Normal"/>
    <w:link w:val="CommentTextChar"/>
    <w:uiPriority w:val="99"/>
    <w:unhideWhenUsed/>
    <w:rsid w:val="002B40D3"/>
    <w:rPr>
      <w:sz w:val="20"/>
    </w:rPr>
  </w:style>
  <w:style w:type="character" w:customStyle="1" w:styleId="CommentTextChar">
    <w:name w:val="Comment Text Char"/>
    <w:basedOn w:val="DefaultParagraphFont"/>
    <w:link w:val="CommentText"/>
    <w:uiPriority w:val="99"/>
    <w:rsid w:val="002B40D3"/>
    <w:rPr>
      <w:rFonts w:ascii="Calibri" w:eastAsia="Times New Roman" w:hAnsi="Calibri" w:cs="Times New Roman"/>
      <w:sz w:val="20"/>
      <w:szCs w:val="20"/>
      <w:lang w:eastAsia="en-AU"/>
    </w:rPr>
  </w:style>
  <w:style w:type="paragraph" w:styleId="NormalWeb">
    <w:name w:val="Normal (Web)"/>
    <w:basedOn w:val="Normal"/>
    <w:uiPriority w:val="99"/>
    <w:semiHidden/>
    <w:unhideWhenUsed/>
    <w:rsid w:val="003B1B1B"/>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4A3F2B"/>
  </w:style>
  <w:style w:type="paragraph" w:styleId="CommentSubject">
    <w:name w:val="annotation subject"/>
    <w:basedOn w:val="CommentText"/>
    <w:next w:val="CommentText"/>
    <w:link w:val="CommentSubjectChar"/>
    <w:uiPriority w:val="99"/>
    <w:semiHidden/>
    <w:unhideWhenUsed/>
    <w:rsid w:val="00721D6A"/>
    <w:rPr>
      <w:b/>
      <w:bCs/>
    </w:rPr>
  </w:style>
  <w:style w:type="character" w:customStyle="1" w:styleId="CommentSubjectChar">
    <w:name w:val="Comment Subject Char"/>
    <w:basedOn w:val="CommentTextChar"/>
    <w:link w:val="CommentSubject"/>
    <w:uiPriority w:val="99"/>
    <w:semiHidden/>
    <w:rsid w:val="00721D6A"/>
    <w:rPr>
      <w:rFonts w:ascii="Calibri" w:eastAsia="Times New Roman" w:hAnsi="Calibri" w:cs="Times New Roman"/>
      <w:b/>
      <w:bCs/>
      <w:sz w:val="20"/>
      <w:szCs w:val="20"/>
      <w:lang w:eastAsia="en-AU"/>
    </w:rPr>
  </w:style>
  <w:style w:type="paragraph" w:styleId="ListParagraph">
    <w:name w:val="List Paragraph"/>
    <w:basedOn w:val="Normal"/>
    <w:uiPriority w:val="34"/>
    <w:qFormat/>
    <w:rsid w:val="00CE68DD"/>
    <w:pPr>
      <w:ind w:left="720"/>
      <w:contextualSpacing/>
    </w:pPr>
  </w:style>
  <w:style w:type="paragraph" w:styleId="Revision">
    <w:name w:val="Revision"/>
    <w:hidden/>
    <w:uiPriority w:val="99"/>
    <w:semiHidden/>
    <w:rsid w:val="00707B76"/>
    <w:pPr>
      <w:spacing w:after="0" w:line="240" w:lineRule="auto"/>
    </w:pPr>
    <w:rPr>
      <w:rFonts w:ascii="Calibri" w:eastAsia="Times New Roman" w:hAnsi="Calibri" w:cs="Times New Roman"/>
      <w:szCs w:val="20"/>
      <w:lang w:eastAsia="en-AU"/>
    </w:rPr>
  </w:style>
  <w:style w:type="table" w:styleId="GridTable1Light-Accent1">
    <w:name w:val="Grid Table 1 Light Accent 1"/>
    <w:basedOn w:val="TableNormal"/>
    <w:uiPriority w:val="46"/>
    <w:rsid w:val="00E11AE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747004">
      <w:bodyDiv w:val="1"/>
      <w:marLeft w:val="0"/>
      <w:marRight w:val="0"/>
      <w:marTop w:val="0"/>
      <w:marBottom w:val="0"/>
      <w:divBdr>
        <w:top w:val="none" w:sz="0" w:space="0" w:color="auto"/>
        <w:left w:val="none" w:sz="0" w:space="0" w:color="auto"/>
        <w:bottom w:val="none" w:sz="0" w:space="0" w:color="auto"/>
        <w:right w:val="none" w:sz="0" w:space="0" w:color="auto"/>
      </w:divBdr>
    </w:div>
    <w:div w:id="297881365">
      <w:bodyDiv w:val="1"/>
      <w:marLeft w:val="0"/>
      <w:marRight w:val="0"/>
      <w:marTop w:val="0"/>
      <w:marBottom w:val="0"/>
      <w:divBdr>
        <w:top w:val="none" w:sz="0" w:space="0" w:color="auto"/>
        <w:left w:val="none" w:sz="0" w:space="0" w:color="auto"/>
        <w:bottom w:val="none" w:sz="0" w:space="0" w:color="auto"/>
        <w:right w:val="none" w:sz="0" w:space="0" w:color="auto"/>
      </w:divBdr>
    </w:div>
    <w:div w:id="411901389">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55875986">
      <w:bodyDiv w:val="1"/>
      <w:marLeft w:val="0"/>
      <w:marRight w:val="0"/>
      <w:marTop w:val="0"/>
      <w:marBottom w:val="0"/>
      <w:divBdr>
        <w:top w:val="none" w:sz="0" w:space="0" w:color="auto"/>
        <w:left w:val="none" w:sz="0" w:space="0" w:color="auto"/>
        <w:bottom w:val="none" w:sz="0" w:space="0" w:color="auto"/>
        <w:right w:val="none" w:sz="0" w:space="0" w:color="auto"/>
      </w:divBdr>
    </w:div>
    <w:div w:id="607322475">
      <w:bodyDiv w:val="1"/>
      <w:marLeft w:val="0"/>
      <w:marRight w:val="0"/>
      <w:marTop w:val="0"/>
      <w:marBottom w:val="0"/>
      <w:divBdr>
        <w:top w:val="none" w:sz="0" w:space="0" w:color="auto"/>
        <w:left w:val="none" w:sz="0" w:space="0" w:color="auto"/>
        <w:bottom w:val="none" w:sz="0" w:space="0" w:color="auto"/>
        <w:right w:val="none" w:sz="0" w:space="0" w:color="auto"/>
      </w:divBdr>
    </w:div>
    <w:div w:id="608897750">
      <w:bodyDiv w:val="1"/>
      <w:marLeft w:val="0"/>
      <w:marRight w:val="0"/>
      <w:marTop w:val="0"/>
      <w:marBottom w:val="0"/>
      <w:divBdr>
        <w:top w:val="none" w:sz="0" w:space="0" w:color="auto"/>
        <w:left w:val="none" w:sz="0" w:space="0" w:color="auto"/>
        <w:bottom w:val="none" w:sz="0" w:space="0" w:color="auto"/>
        <w:right w:val="none" w:sz="0" w:space="0" w:color="auto"/>
      </w:divBdr>
    </w:div>
    <w:div w:id="662045226">
      <w:bodyDiv w:val="1"/>
      <w:marLeft w:val="0"/>
      <w:marRight w:val="0"/>
      <w:marTop w:val="0"/>
      <w:marBottom w:val="0"/>
      <w:divBdr>
        <w:top w:val="none" w:sz="0" w:space="0" w:color="auto"/>
        <w:left w:val="none" w:sz="0" w:space="0" w:color="auto"/>
        <w:bottom w:val="none" w:sz="0" w:space="0" w:color="auto"/>
        <w:right w:val="none" w:sz="0" w:space="0" w:color="auto"/>
      </w:divBdr>
      <w:divsChild>
        <w:div w:id="1543443585">
          <w:marLeft w:val="0"/>
          <w:marRight w:val="0"/>
          <w:marTop w:val="0"/>
          <w:marBottom w:val="0"/>
          <w:divBdr>
            <w:top w:val="none" w:sz="0" w:space="0" w:color="auto"/>
            <w:left w:val="none" w:sz="0" w:space="0" w:color="auto"/>
            <w:bottom w:val="none" w:sz="0" w:space="0" w:color="auto"/>
            <w:right w:val="none" w:sz="0" w:space="0" w:color="auto"/>
          </w:divBdr>
          <w:divsChild>
            <w:div w:id="1530606881">
              <w:marLeft w:val="0"/>
              <w:marRight w:val="0"/>
              <w:marTop w:val="0"/>
              <w:marBottom w:val="0"/>
              <w:divBdr>
                <w:top w:val="none" w:sz="0" w:space="0" w:color="auto"/>
                <w:left w:val="none" w:sz="0" w:space="0" w:color="auto"/>
                <w:bottom w:val="none" w:sz="0" w:space="0" w:color="auto"/>
                <w:right w:val="none" w:sz="0" w:space="0" w:color="auto"/>
              </w:divBdr>
              <w:divsChild>
                <w:div w:id="357512174">
                  <w:marLeft w:val="0"/>
                  <w:marRight w:val="0"/>
                  <w:marTop w:val="0"/>
                  <w:marBottom w:val="0"/>
                  <w:divBdr>
                    <w:top w:val="none" w:sz="0" w:space="0" w:color="auto"/>
                    <w:left w:val="none" w:sz="0" w:space="0" w:color="auto"/>
                    <w:bottom w:val="none" w:sz="0" w:space="0" w:color="auto"/>
                    <w:right w:val="none" w:sz="0" w:space="0" w:color="auto"/>
                  </w:divBdr>
                  <w:divsChild>
                    <w:div w:id="168326510">
                      <w:marLeft w:val="0"/>
                      <w:marRight w:val="0"/>
                      <w:marTop w:val="0"/>
                      <w:marBottom w:val="0"/>
                      <w:divBdr>
                        <w:top w:val="none" w:sz="0" w:space="0" w:color="auto"/>
                        <w:left w:val="none" w:sz="0" w:space="0" w:color="auto"/>
                        <w:bottom w:val="none" w:sz="0" w:space="0" w:color="auto"/>
                        <w:right w:val="none" w:sz="0" w:space="0" w:color="auto"/>
                      </w:divBdr>
                      <w:divsChild>
                        <w:div w:id="1455709374">
                          <w:marLeft w:val="0"/>
                          <w:marRight w:val="0"/>
                          <w:marTop w:val="0"/>
                          <w:marBottom w:val="0"/>
                          <w:divBdr>
                            <w:top w:val="none" w:sz="0" w:space="0" w:color="auto"/>
                            <w:left w:val="none" w:sz="0" w:space="0" w:color="auto"/>
                            <w:bottom w:val="none" w:sz="0" w:space="0" w:color="auto"/>
                            <w:right w:val="none" w:sz="0" w:space="0" w:color="auto"/>
                          </w:divBdr>
                          <w:divsChild>
                            <w:div w:id="1038042766">
                              <w:marLeft w:val="-225"/>
                              <w:marRight w:val="-225"/>
                              <w:marTop w:val="0"/>
                              <w:marBottom w:val="0"/>
                              <w:divBdr>
                                <w:top w:val="none" w:sz="0" w:space="0" w:color="auto"/>
                                <w:left w:val="none" w:sz="0" w:space="0" w:color="auto"/>
                                <w:bottom w:val="none" w:sz="0" w:space="0" w:color="auto"/>
                                <w:right w:val="none" w:sz="0" w:space="0" w:color="auto"/>
                              </w:divBdr>
                              <w:divsChild>
                                <w:div w:id="1302420114">
                                  <w:marLeft w:val="0"/>
                                  <w:marRight w:val="0"/>
                                  <w:marTop w:val="0"/>
                                  <w:marBottom w:val="0"/>
                                  <w:divBdr>
                                    <w:top w:val="none" w:sz="0" w:space="0" w:color="auto"/>
                                    <w:left w:val="none" w:sz="0" w:space="0" w:color="auto"/>
                                    <w:bottom w:val="none" w:sz="0" w:space="0" w:color="auto"/>
                                    <w:right w:val="none" w:sz="0" w:space="0" w:color="auto"/>
                                  </w:divBdr>
                                  <w:divsChild>
                                    <w:div w:id="506988423">
                                      <w:marLeft w:val="0"/>
                                      <w:marRight w:val="0"/>
                                      <w:marTop w:val="0"/>
                                      <w:marBottom w:val="0"/>
                                      <w:divBdr>
                                        <w:top w:val="none" w:sz="0" w:space="0" w:color="auto"/>
                                        <w:left w:val="none" w:sz="0" w:space="0" w:color="auto"/>
                                        <w:bottom w:val="none" w:sz="0" w:space="0" w:color="auto"/>
                                        <w:right w:val="none" w:sz="0" w:space="0" w:color="auto"/>
                                      </w:divBdr>
                                      <w:divsChild>
                                        <w:div w:id="402070467">
                                          <w:marLeft w:val="0"/>
                                          <w:marRight w:val="0"/>
                                          <w:marTop w:val="150"/>
                                          <w:marBottom w:val="0"/>
                                          <w:divBdr>
                                            <w:top w:val="none" w:sz="0" w:space="0" w:color="auto"/>
                                            <w:left w:val="none" w:sz="0" w:space="0" w:color="auto"/>
                                            <w:bottom w:val="none" w:sz="0" w:space="0" w:color="auto"/>
                                            <w:right w:val="none" w:sz="0" w:space="0" w:color="auto"/>
                                          </w:divBdr>
                                          <w:divsChild>
                                            <w:div w:id="76981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7909225">
      <w:bodyDiv w:val="1"/>
      <w:marLeft w:val="0"/>
      <w:marRight w:val="0"/>
      <w:marTop w:val="0"/>
      <w:marBottom w:val="0"/>
      <w:divBdr>
        <w:top w:val="none" w:sz="0" w:space="0" w:color="auto"/>
        <w:left w:val="none" w:sz="0" w:space="0" w:color="auto"/>
        <w:bottom w:val="none" w:sz="0" w:space="0" w:color="auto"/>
        <w:right w:val="none" w:sz="0" w:space="0" w:color="auto"/>
      </w:divBdr>
      <w:divsChild>
        <w:div w:id="135880698">
          <w:marLeft w:val="0"/>
          <w:marRight w:val="0"/>
          <w:marTop w:val="0"/>
          <w:marBottom w:val="0"/>
          <w:divBdr>
            <w:top w:val="none" w:sz="0" w:space="0" w:color="auto"/>
            <w:left w:val="none" w:sz="0" w:space="0" w:color="auto"/>
            <w:bottom w:val="none" w:sz="0" w:space="0" w:color="auto"/>
            <w:right w:val="none" w:sz="0" w:space="0" w:color="auto"/>
          </w:divBdr>
          <w:divsChild>
            <w:div w:id="2089040473">
              <w:marLeft w:val="0"/>
              <w:marRight w:val="0"/>
              <w:marTop w:val="0"/>
              <w:marBottom w:val="0"/>
              <w:divBdr>
                <w:top w:val="none" w:sz="0" w:space="0" w:color="auto"/>
                <w:left w:val="none" w:sz="0" w:space="0" w:color="auto"/>
                <w:bottom w:val="none" w:sz="0" w:space="0" w:color="auto"/>
                <w:right w:val="none" w:sz="0" w:space="0" w:color="auto"/>
              </w:divBdr>
              <w:divsChild>
                <w:div w:id="353121377">
                  <w:marLeft w:val="-225"/>
                  <w:marRight w:val="-225"/>
                  <w:marTop w:val="0"/>
                  <w:marBottom w:val="0"/>
                  <w:divBdr>
                    <w:top w:val="none" w:sz="0" w:space="0" w:color="auto"/>
                    <w:left w:val="none" w:sz="0" w:space="0" w:color="auto"/>
                    <w:bottom w:val="none" w:sz="0" w:space="0" w:color="auto"/>
                    <w:right w:val="none" w:sz="0" w:space="0" w:color="auto"/>
                  </w:divBdr>
                  <w:divsChild>
                    <w:div w:id="2024670149">
                      <w:marLeft w:val="0"/>
                      <w:marRight w:val="0"/>
                      <w:marTop w:val="0"/>
                      <w:marBottom w:val="0"/>
                      <w:divBdr>
                        <w:top w:val="none" w:sz="0" w:space="0" w:color="auto"/>
                        <w:left w:val="none" w:sz="0" w:space="0" w:color="auto"/>
                        <w:bottom w:val="none" w:sz="0" w:space="0" w:color="auto"/>
                        <w:right w:val="none" w:sz="0" w:space="0" w:color="auto"/>
                      </w:divBdr>
                      <w:divsChild>
                        <w:div w:id="1604265476">
                          <w:marLeft w:val="0"/>
                          <w:marRight w:val="0"/>
                          <w:marTop w:val="0"/>
                          <w:marBottom w:val="0"/>
                          <w:divBdr>
                            <w:top w:val="none" w:sz="0" w:space="0" w:color="auto"/>
                            <w:left w:val="none" w:sz="0" w:space="0" w:color="auto"/>
                            <w:bottom w:val="none" w:sz="0" w:space="0" w:color="auto"/>
                            <w:right w:val="none" w:sz="0" w:space="0" w:color="auto"/>
                          </w:divBdr>
                          <w:divsChild>
                            <w:div w:id="20579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41329">
      <w:bodyDiv w:val="1"/>
      <w:marLeft w:val="0"/>
      <w:marRight w:val="0"/>
      <w:marTop w:val="0"/>
      <w:marBottom w:val="0"/>
      <w:divBdr>
        <w:top w:val="none" w:sz="0" w:space="0" w:color="auto"/>
        <w:left w:val="none" w:sz="0" w:space="0" w:color="auto"/>
        <w:bottom w:val="none" w:sz="0" w:space="0" w:color="auto"/>
        <w:right w:val="none" w:sz="0" w:space="0" w:color="auto"/>
      </w:divBdr>
    </w:div>
    <w:div w:id="717626258">
      <w:bodyDiv w:val="1"/>
      <w:marLeft w:val="0"/>
      <w:marRight w:val="0"/>
      <w:marTop w:val="0"/>
      <w:marBottom w:val="0"/>
      <w:divBdr>
        <w:top w:val="none" w:sz="0" w:space="0" w:color="auto"/>
        <w:left w:val="none" w:sz="0" w:space="0" w:color="auto"/>
        <w:bottom w:val="none" w:sz="0" w:space="0" w:color="auto"/>
        <w:right w:val="none" w:sz="0" w:space="0" w:color="auto"/>
      </w:divBdr>
    </w:div>
    <w:div w:id="868495613">
      <w:bodyDiv w:val="1"/>
      <w:marLeft w:val="0"/>
      <w:marRight w:val="0"/>
      <w:marTop w:val="0"/>
      <w:marBottom w:val="0"/>
      <w:divBdr>
        <w:top w:val="none" w:sz="0" w:space="0" w:color="auto"/>
        <w:left w:val="none" w:sz="0" w:space="0" w:color="auto"/>
        <w:bottom w:val="none" w:sz="0" w:space="0" w:color="auto"/>
        <w:right w:val="none" w:sz="0" w:space="0" w:color="auto"/>
      </w:divBdr>
    </w:div>
    <w:div w:id="1005401321">
      <w:bodyDiv w:val="1"/>
      <w:marLeft w:val="0"/>
      <w:marRight w:val="0"/>
      <w:marTop w:val="0"/>
      <w:marBottom w:val="0"/>
      <w:divBdr>
        <w:top w:val="none" w:sz="0" w:space="0" w:color="auto"/>
        <w:left w:val="none" w:sz="0" w:space="0" w:color="auto"/>
        <w:bottom w:val="none" w:sz="0" w:space="0" w:color="auto"/>
        <w:right w:val="none" w:sz="0" w:space="0" w:color="auto"/>
      </w:divBdr>
    </w:div>
    <w:div w:id="1151483122">
      <w:bodyDiv w:val="1"/>
      <w:marLeft w:val="0"/>
      <w:marRight w:val="0"/>
      <w:marTop w:val="0"/>
      <w:marBottom w:val="0"/>
      <w:divBdr>
        <w:top w:val="none" w:sz="0" w:space="0" w:color="auto"/>
        <w:left w:val="none" w:sz="0" w:space="0" w:color="auto"/>
        <w:bottom w:val="none" w:sz="0" w:space="0" w:color="auto"/>
        <w:right w:val="none" w:sz="0" w:space="0" w:color="auto"/>
      </w:divBdr>
    </w:div>
    <w:div w:id="1167549318">
      <w:bodyDiv w:val="1"/>
      <w:marLeft w:val="0"/>
      <w:marRight w:val="0"/>
      <w:marTop w:val="0"/>
      <w:marBottom w:val="0"/>
      <w:divBdr>
        <w:top w:val="none" w:sz="0" w:space="0" w:color="auto"/>
        <w:left w:val="none" w:sz="0" w:space="0" w:color="auto"/>
        <w:bottom w:val="none" w:sz="0" w:space="0" w:color="auto"/>
        <w:right w:val="none" w:sz="0" w:space="0" w:color="auto"/>
      </w:divBdr>
    </w:div>
    <w:div w:id="1227764913">
      <w:bodyDiv w:val="1"/>
      <w:marLeft w:val="0"/>
      <w:marRight w:val="0"/>
      <w:marTop w:val="0"/>
      <w:marBottom w:val="0"/>
      <w:divBdr>
        <w:top w:val="none" w:sz="0" w:space="0" w:color="auto"/>
        <w:left w:val="none" w:sz="0" w:space="0" w:color="auto"/>
        <w:bottom w:val="none" w:sz="0" w:space="0" w:color="auto"/>
        <w:right w:val="none" w:sz="0" w:space="0" w:color="auto"/>
      </w:divBdr>
    </w:div>
    <w:div w:id="1230074991">
      <w:bodyDiv w:val="1"/>
      <w:marLeft w:val="0"/>
      <w:marRight w:val="0"/>
      <w:marTop w:val="0"/>
      <w:marBottom w:val="0"/>
      <w:divBdr>
        <w:top w:val="none" w:sz="0" w:space="0" w:color="auto"/>
        <w:left w:val="none" w:sz="0" w:space="0" w:color="auto"/>
        <w:bottom w:val="none" w:sz="0" w:space="0" w:color="auto"/>
        <w:right w:val="none" w:sz="0" w:space="0" w:color="auto"/>
      </w:divBdr>
    </w:div>
    <w:div w:id="1244148700">
      <w:bodyDiv w:val="1"/>
      <w:marLeft w:val="0"/>
      <w:marRight w:val="0"/>
      <w:marTop w:val="0"/>
      <w:marBottom w:val="0"/>
      <w:divBdr>
        <w:top w:val="none" w:sz="0" w:space="0" w:color="auto"/>
        <w:left w:val="none" w:sz="0" w:space="0" w:color="auto"/>
        <w:bottom w:val="none" w:sz="0" w:space="0" w:color="auto"/>
        <w:right w:val="none" w:sz="0" w:space="0" w:color="auto"/>
      </w:divBdr>
    </w:div>
    <w:div w:id="1340428164">
      <w:bodyDiv w:val="1"/>
      <w:marLeft w:val="0"/>
      <w:marRight w:val="0"/>
      <w:marTop w:val="0"/>
      <w:marBottom w:val="0"/>
      <w:divBdr>
        <w:top w:val="none" w:sz="0" w:space="0" w:color="auto"/>
        <w:left w:val="none" w:sz="0" w:space="0" w:color="auto"/>
        <w:bottom w:val="none" w:sz="0" w:space="0" w:color="auto"/>
        <w:right w:val="none" w:sz="0" w:space="0" w:color="auto"/>
      </w:divBdr>
    </w:div>
    <w:div w:id="1470780254">
      <w:bodyDiv w:val="1"/>
      <w:marLeft w:val="0"/>
      <w:marRight w:val="0"/>
      <w:marTop w:val="0"/>
      <w:marBottom w:val="0"/>
      <w:divBdr>
        <w:top w:val="none" w:sz="0" w:space="0" w:color="auto"/>
        <w:left w:val="none" w:sz="0" w:space="0" w:color="auto"/>
        <w:bottom w:val="none" w:sz="0" w:space="0" w:color="auto"/>
        <w:right w:val="none" w:sz="0" w:space="0" w:color="auto"/>
      </w:divBdr>
    </w:div>
    <w:div w:id="1491562520">
      <w:bodyDiv w:val="1"/>
      <w:marLeft w:val="0"/>
      <w:marRight w:val="0"/>
      <w:marTop w:val="0"/>
      <w:marBottom w:val="0"/>
      <w:divBdr>
        <w:top w:val="none" w:sz="0" w:space="0" w:color="auto"/>
        <w:left w:val="none" w:sz="0" w:space="0" w:color="auto"/>
        <w:bottom w:val="none" w:sz="0" w:space="0" w:color="auto"/>
        <w:right w:val="none" w:sz="0" w:space="0" w:color="auto"/>
      </w:divBdr>
    </w:div>
    <w:div w:id="1548293425">
      <w:bodyDiv w:val="1"/>
      <w:marLeft w:val="0"/>
      <w:marRight w:val="0"/>
      <w:marTop w:val="0"/>
      <w:marBottom w:val="0"/>
      <w:divBdr>
        <w:top w:val="none" w:sz="0" w:space="0" w:color="auto"/>
        <w:left w:val="none" w:sz="0" w:space="0" w:color="auto"/>
        <w:bottom w:val="none" w:sz="0" w:space="0" w:color="auto"/>
        <w:right w:val="none" w:sz="0" w:space="0" w:color="auto"/>
      </w:divBdr>
    </w:div>
    <w:div w:id="1584408886">
      <w:bodyDiv w:val="1"/>
      <w:marLeft w:val="0"/>
      <w:marRight w:val="0"/>
      <w:marTop w:val="0"/>
      <w:marBottom w:val="0"/>
      <w:divBdr>
        <w:top w:val="none" w:sz="0" w:space="0" w:color="auto"/>
        <w:left w:val="none" w:sz="0" w:space="0" w:color="auto"/>
        <w:bottom w:val="none" w:sz="0" w:space="0" w:color="auto"/>
        <w:right w:val="none" w:sz="0" w:space="0" w:color="auto"/>
      </w:divBdr>
    </w:div>
    <w:div w:id="1675955458">
      <w:bodyDiv w:val="1"/>
      <w:marLeft w:val="0"/>
      <w:marRight w:val="0"/>
      <w:marTop w:val="0"/>
      <w:marBottom w:val="0"/>
      <w:divBdr>
        <w:top w:val="none" w:sz="0" w:space="0" w:color="auto"/>
        <w:left w:val="none" w:sz="0" w:space="0" w:color="auto"/>
        <w:bottom w:val="none" w:sz="0" w:space="0" w:color="auto"/>
        <w:right w:val="none" w:sz="0" w:space="0" w:color="auto"/>
      </w:divBdr>
      <w:divsChild>
        <w:div w:id="1203904673">
          <w:marLeft w:val="0"/>
          <w:marRight w:val="0"/>
          <w:marTop w:val="0"/>
          <w:marBottom w:val="0"/>
          <w:divBdr>
            <w:top w:val="none" w:sz="0" w:space="0" w:color="auto"/>
            <w:left w:val="none" w:sz="0" w:space="0" w:color="auto"/>
            <w:bottom w:val="none" w:sz="0" w:space="0" w:color="auto"/>
            <w:right w:val="none" w:sz="0" w:space="0" w:color="auto"/>
          </w:divBdr>
          <w:divsChild>
            <w:div w:id="1291518097">
              <w:marLeft w:val="0"/>
              <w:marRight w:val="0"/>
              <w:marTop w:val="0"/>
              <w:marBottom w:val="0"/>
              <w:divBdr>
                <w:top w:val="none" w:sz="0" w:space="0" w:color="auto"/>
                <w:left w:val="none" w:sz="0" w:space="0" w:color="auto"/>
                <w:bottom w:val="none" w:sz="0" w:space="0" w:color="auto"/>
                <w:right w:val="none" w:sz="0" w:space="0" w:color="auto"/>
              </w:divBdr>
              <w:divsChild>
                <w:div w:id="1594121014">
                  <w:marLeft w:val="-225"/>
                  <w:marRight w:val="-225"/>
                  <w:marTop w:val="0"/>
                  <w:marBottom w:val="0"/>
                  <w:divBdr>
                    <w:top w:val="none" w:sz="0" w:space="0" w:color="auto"/>
                    <w:left w:val="none" w:sz="0" w:space="0" w:color="auto"/>
                    <w:bottom w:val="none" w:sz="0" w:space="0" w:color="auto"/>
                    <w:right w:val="none" w:sz="0" w:space="0" w:color="auto"/>
                  </w:divBdr>
                  <w:divsChild>
                    <w:div w:id="1077941385">
                      <w:marLeft w:val="0"/>
                      <w:marRight w:val="0"/>
                      <w:marTop w:val="0"/>
                      <w:marBottom w:val="0"/>
                      <w:divBdr>
                        <w:top w:val="none" w:sz="0" w:space="0" w:color="auto"/>
                        <w:left w:val="none" w:sz="0" w:space="0" w:color="auto"/>
                        <w:bottom w:val="none" w:sz="0" w:space="0" w:color="auto"/>
                        <w:right w:val="none" w:sz="0" w:space="0" w:color="auto"/>
                      </w:divBdr>
                      <w:divsChild>
                        <w:div w:id="1646592782">
                          <w:marLeft w:val="0"/>
                          <w:marRight w:val="0"/>
                          <w:marTop w:val="0"/>
                          <w:marBottom w:val="0"/>
                          <w:divBdr>
                            <w:top w:val="none" w:sz="0" w:space="0" w:color="auto"/>
                            <w:left w:val="none" w:sz="0" w:space="0" w:color="auto"/>
                            <w:bottom w:val="none" w:sz="0" w:space="0" w:color="auto"/>
                            <w:right w:val="none" w:sz="0" w:space="0" w:color="auto"/>
                          </w:divBdr>
                          <w:divsChild>
                            <w:div w:id="1844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122217">
      <w:bodyDiv w:val="1"/>
      <w:marLeft w:val="0"/>
      <w:marRight w:val="0"/>
      <w:marTop w:val="0"/>
      <w:marBottom w:val="0"/>
      <w:divBdr>
        <w:top w:val="none" w:sz="0" w:space="0" w:color="auto"/>
        <w:left w:val="none" w:sz="0" w:space="0" w:color="auto"/>
        <w:bottom w:val="none" w:sz="0" w:space="0" w:color="auto"/>
        <w:right w:val="none" w:sz="0" w:space="0" w:color="auto"/>
      </w:divBdr>
    </w:div>
    <w:div w:id="1779524593">
      <w:bodyDiv w:val="1"/>
      <w:marLeft w:val="0"/>
      <w:marRight w:val="0"/>
      <w:marTop w:val="0"/>
      <w:marBottom w:val="0"/>
      <w:divBdr>
        <w:top w:val="none" w:sz="0" w:space="0" w:color="auto"/>
        <w:left w:val="none" w:sz="0" w:space="0" w:color="auto"/>
        <w:bottom w:val="none" w:sz="0" w:space="0" w:color="auto"/>
        <w:right w:val="none" w:sz="0" w:space="0" w:color="auto"/>
      </w:divBdr>
    </w:div>
    <w:div w:id="1807354159">
      <w:bodyDiv w:val="1"/>
      <w:marLeft w:val="0"/>
      <w:marRight w:val="0"/>
      <w:marTop w:val="0"/>
      <w:marBottom w:val="0"/>
      <w:divBdr>
        <w:top w:val="none" w:sz="0" w:space="0" w:color="auto"/>
        <w:left w:val="none" w:sz="0" w:space="0" w:color="auto"/>
        <w:bottom w:val="none" w:sz="0" w:space="0" w:color="auto"/>
        <w:right w:val="none" w:sz="0" w:space="0" w:color="auto"/>
      </w:divBdr>
    </w:div>
    <w:div w:id="1842963922">
      <w:bodyDiv w:val="1"/>
      <w:marLeft w:val="0"/>
      <w:marRight w:val="0"/>
      <w:marTop w:val="0"/>
      <w:marBottom w:val="0"/>
      <w:divBdr>
        <w:top w:val="none" w:sz="0" w:space="0" w:color="auto"/>
        <w:left w:val="none" w:sz="0" w:space="0" w:color="auto"/>
        <w:bottom w:val="none" w:sz="0" w:space="0" w:color="auto"/>
        <w:right w:val="none" w:sz="0" w:space="0" w:color="auto"/>
      </w:divBdr>
    </w:div>
    <w:div w:id="1853102426">
      <w:bodyDiv w:val="1"/>
      <w:marLeft w:val="0"/>
      <w:marRight w:val="0"/>
      <w:marTop w:val="0"/>
      <w:marBottom w:val="0"/>
      <w:divBdr>
        <w:top w:val="none" w:sz="0" w:space="0" w:color="auto"/>
        <w:left w:val="none" w:sz="0" w:space="0" w:color="auto"/>
        <w:bottom w:val="none" w:sz="0" w:space="0" w:color="auto"/>
        <w:right w:val="none" w:sz="0" w:space="0" w:color="auto"/>
      </w:divBdr>
    </w:div>
    <w:div w:id="1906523533">
      <w:bodyDiv w:val="1"/>
      <w:marLeft w:val="0"/>
      <w:marRight w:val="0"/>
      <w:marTop w:val="0"/>
      <w:marBottom w:val="0"/>
      <w:divBdr>
        <w:top w:val="none" w:sz="0" w:space="0" w:color="auto"/>
        <w:left w:val="none" w:sz="0" w:space="0" w:color="auto"/>
        <w:bottom w:val="none" w:sz="0" w:space="0" w:color="auto"/>
        <w:right w:val="none" w:sz="0" w:space="0" w:color="auto"/>
      </w:divBdr>
      <w:divsChild>
        <w:div w:id="69424947">
          <w:marLeft w:val="331"/>
          <w:marRight w:val="0"/>
          <w:marTop w:val="120"/>
          <w:marBottom w:val="79"/>
          <w:divBdr>
            <w:top w:val="none" w:sz="0" w:space="0" w:color="auto"/>
            <w:left w:val="none" w:sz="0" w:space="0" w:color="auto"/>
            <w:bottom w:val="none" w:sz="0" w:space="0" w:color="auto"/>
            <w:right w:val="none" w:sz="0" w:space="0" w:color="auto"/>
          </w:divBdr>
        </w:div>
        <w:div w:id="626475591">
          <w:marLeft w:val="331"/>
          <w:marRight w:val="0"/>
          <w:marTop w:val="120"/>
          <w:marBottom w:val="79"/>
          <w:divBdr>
            <w:top w:val="none" w:sz="0" w:space="0" w:color="auto"/>
            <w:left w:val="none" w:sz="0" w:space="0" w:color="auto"/>
            <w:bottom w:val="none" w:sz="0" w:space="0" w:color="auto"/>
            <w:right w:val="none" w:sz="0" w:space="0" w:color="auto"/>
          </w:divBdr>
        </w:div>
        <w:div w:id="1025398393">
          <w:marLeft w:val="331"/>
          <w:marRight w:val="0"/>
          <w:marTop w:val="120"/>
          <w:marBottom w:val="79"/>
          <w:divBdr>
            <w:top w:val="none" w:sz="0" w:space="0" w:color="auto"/>
            <w:left w:val="none" w:sz="0" w:space="0" w:color="auto"/>
            <w:bottom w:val="none" w:sz="0" w:space="0" w:color="auto"/>
            <w:right w:val="none" w:sz="0" w:space="0" w:color="auto"/>
          </w:divBdr>
        </w:div>
        <w:div w:id="1295410977">
          <w:marLeft w:val="331"/>
          <w:marRight w:val="0"/>
          <w:marTop w:val="120"/>
          <w:marBottom w:val="79"/>
          <w:divBdr>
            <w:top w:val="none" w:sz="0" w:space="0" w:color="auto"/>
            <w:left w:val="none" w:sz="0" w:space="0" w:color="auto"/>
            <w:bottom w:val="none" w:sz="0" w:space="0" w:color="auto"/>
            <w:right w:val="none" w:sz="0" w:space="0" w:color="auto"/>
          </w:divBdr>
        </w:div>
        <w:div w:id="1333528320">
          <w:marLeft w:val="331"/>
          <w:marRight w:val="0"/>
          <w:marTop w:val="120"/>
          <w:marBottom w:val="79"/>
          <w:divBdr>
            <w:top w:val="none" w:sz="0" w:space="0" w:color="auto"/>
            <w:left w:val="none" w:sz="0" w:space="0" w:color="auto"/>
            <w:bottom w:val="none" w:sz="0" w:space="0" w:color="auto"/>
            <w:right w:val="none" w:sz="0" w:space="0" w:color="auto"/>
          </w:divBdr>
        </w:div>
        <w:div w:id="1466504738">
          <w:marLeft w:val="331"/>
          <w:marRight w:val="0"/>
          <w:marTop w:val="120"/>
          <w:marBottom w:val="79"/>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Basic%20A4%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178ACB32DF169409130AAE1FDE802F9" ma:contentTypeVersion="40881" ma:contentTypeDescription="" ma:contentTypeScope="" ma:versionID="7bd6fb69b43e6f12f839da8b99bc8848">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77543dadd1837e386caab991a93928a1"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0f563589-9cf9-4143-b1eb-fb0534803d38">
      <Value>59</Value>
    </TaxCatchAll>
    <_dlc_DocId xmlns="0f563589-9cf9-4143-b1eb-fb0534803d38">2021RG-386-4882</_dlc_DocId>
    <_dlc_DocIdUrl xmlns="0f563589-9cf9-4143-b1eb-fb0534803d38">
      <Url>http://tweb/sites/rg/iitd/nfp/_layouts/15/DocIdRedir.aspx?ID=2021RG-386-4882</Url>
      <Description>2021RG-386-4882</Description>
    </_dlc_DocIdUrl>
  </documentManagement>
</p:properties>
</file>

<file path=customXml/itemProps1.xml><?xml version="1.0" encoding="utf-8"?>
<ds:datastoreItem xmlns:ds="http://schemas.openxmlformats.org/officeDocument/2006/customXml" ds:itemID="{5D578825-2D16-4D1F-98B4-434DEB79E8BC}">
  <ds:schemaRefs>
    <ds:schemaRef ds:uri="http://schemas.openxmlformats.org/officeDocument/2006/bibliography"/>
  </ds:schemaRefs>
</ds:datastoreItem>
</file>

<file path=customXml/itemProps2.xml><?xml version="1.0" encoding="utf-8"?>
<ds:datastoreItem xmlns:ds="http://schemas.openxmlformats.org/officeDocument/2006/customXml" ds:itemID="{B22CFC04-BC81-4C8C-AC60-BA764DCF5037}">
  <ds:schemaRefs>
    <ds:schemaRef ds:uri="http://schemas.microsoft.com/sharepoint/v3/contenttype/forms"/>
  </ds:schemaRefs>
</ds:datastoreItem>
</file>

<file path=customXml/itemProps3.xml><?xml version="1.0" encoding="utf-8"?>
<ds:datastoreItem xmlns:ds="http://schemas.openxmlformats.org/officeDocument/2006/customXml" ds:itemID="{3FD4B58B-204F-4676-8913-E4355C866FC3}">
  <ds:schemaRefs>
    <ds:schemaRef ds:uri="office.server.policy"/>
  </ds:schemaRefs>
</ds:datastoreItem>
</file>

<file path=customXml/itemProps4.xml><?xml version="1.0" encoding="utf-8"?>
<ds:datastoreItem xmlns:ds="http://schemas.openxmlformats.org/officeDocument/2006/customXml" ds:itemID="{A6512087-485D-4CCB-B30A-768D46F78511}">
  <ds:schemaRefs>
    <ds:schemaRef ds:uri="http://schemas.microsoft.com/sharepoint/events"/>
  </ds:schemaRefs>
</ds:datastoreItem>
</file>

<file path=customXml/itemProps5.xml><?xml version="1.0" encoding="utf-8"?>
<ds:datastoreItem xmlns:ds="http://schemas.openxmlformats.org/officeDocument/2006/customXml" ds:itemID="{8C84EBB9-4B62-48C6-AACB-4CA17E3B4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6F06449-81AB-4021-A0BA-C3E0F00F85A6}">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s>
</ds:datastoreItem>
</file>

<file path=docProps/app.xml><?xml version="1.0" encoding="utf-8"?>
<Properties xmlns="http://schemas.openxmlformats.org/officeDocument/2006/extended-properties" xmlns:vt="http://schemas.openxmlformats.org/officeDocument/2006/docPropsVTypes">
  <Template>Basic A4 Report.dotm</Template>
  <TotalTime>47</TotalTime>
  <Pages>6</Pages>
  <Words>1802</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Australian Charities and Not-for-profits Commission Amendment (2021 Measures No. 3) Regulations 2021 - Frequently asked questions</vt:lpstr>
    </vt:vector>
  </TitlesOfParts>
  <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Charities and Not-for-profits Commission Amendment (2021 Measures No. 3) Regulations 2021 - Frequently asked questions</dc:title>
  <dc:subject/>
  <dc:creator>The Treasury</dc:creator>
  <cp:keywords/>
  <dc:description/>
  <cp:lastModifiedBy>Moore, Ben</cp:lastModifiedBy>
  <cp:revision>8</cp:revision>
  <cp:lastPrinted>2021-09-13T01:15:00Z</cp:lastPrinted>
  <dcterms:created xsi:type="dcterms:W3CDTF">2021-09-10T22:57:00Z</dcterms:created>
  <dcterms:modified xsi:type="dcterms:W3CDTF">2021-09-17T06:00:00Z</dcterms:modified>
</cp:coreProperties>
</file>