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7989B" w14:textId="77777777" w:rsidR="007B3B5B" w:rsidRDefault="007B3B5B" w:rsidP="00C3452B">
      <w:pPr>
        <w:pStyle w:val="Baseparagraphcentred"/>
      </w:pPr>
      <w:bookmarkStart w:id="0" w:name="_GoBack"/>
      <w:bookmarkEnd w:id="0"/>
    </w:p>
    <w:p w14:paraId="5A10581F" w14:textId="77777777" w:rsidR="007B3B5B" w:rsidRDefault="007B3B5B" w:rsidP="00C3452B">
      <w:pPr>
        <w:pStyle w:val="Baseparagraphcentred"/>
      </w:pPr>
    </w:p>
    <w:p w14:paraId="3655807E" w14:textId="77777777" w:rsidR="007B3B5B" w:rsidRDefault="007B3B5B" w:rsidP="00C3452B">
      <w:pPr>
        <w:pStyle w:val="Baseparagraphcentred"/>
      </w:pPr>
    </w:p>
    <w:p w14:paraId="2F9611BE" w14:textId="77777777" w:rsidR="007B3B5B" w:rsidRDefault="007B3B5B" w:rsidP="00C3452B">
      <w:pPr>
        <w:pStyle w:val="Baseparagraphcentred"/>
      </w:pPr>
    </w:p>
    <w:p w14:paraId="28C563AC" w14:textId="77777777" w:rsidR="007B3B5B" w:rsidRDefault="007B3B5B" w:rsidP="00C3452B">
      <w:pPr>
        <w:pStyle w:val="Baseparagraphcentred"/>
      </w:pPr>
    </w:p>
    <w:p w14:paraId="4BDA7A74" w14:textId="77777777" w:rsidR="007B3B5B" w:rsidRDefault="007B3B5B" w:rsidP="00C3452B">
      <w:pPr>
        <w:pStyle w:val="Baseparagraphcentred"/>
      </w:pPr>
    </w:p>
    <w:p w14:paraId="486CA25E" w14:textId="77777777" w:rsidR="007B3B5B" w:rsidRDefault="007B3B5B" w:rsidP="00C3452B">
      <w:pPr>
        <w:pStyle w:val="Baseparagraphcentred"/>
      </w:pPr>
    </w:p>
    <w:p w14:paraId="76F2E9D5" w14:textId="77777777" w:rsidR="007B3B5B" w:rsidRDefault="007B3B5B" w:rsidP="00C3452B">
      <w:pPr>
        <w:pStyle w:val="Baseparagraphcentred"/>
      </w:pPr>
    </w:p>
    <w:p w14:paraId="3D381F0A" w14:textId="69D6F7F2" w:rsidR="00C3452B" w:rsidRDefault="00C3452B" w:rsidP="00C3452B">
      <w:pPr>
        <w:pStyle w:val="Baseparagraphcentred"/>
      </w:pPr>
    </w:p>
    <w:p w14:paraId="2D0BA11E" w14:textId="77777777" w:rsidR="00C3452B" w:rsidRDefault="00C3452B" w:rsidP="00C3452B">
      <w:pPr>
        <w:pStyle w:val="Baseparagraphcentred"/>
      </w:pPr>
    </w:p>
    <w:p w14:paraId="3230D79D" w14:textId="3F1933A0" w:rsidR="00C3452B" w:rsidRDefault="006A696A" w:rsidP="006A696A">
      <w:pPr>
        <w:pStyle w:val="BillName"/>
      </w:pPr>
      <w:bookmarkStart w:id="1" w:name="BillName"/>
      <w:bookmarkEnd w:id="1"/>
      <w:r>
        <w:t xml:space="preserve">Treasury Laws Amendment </w:t>
      </w:r>
      <w:r w:rsidR="007B3B5B" w:rsidRPr="007B3B5B">
        <w:t xml:space="preserve">(Measures for </w:t>
      </w:r>
      <w:r w:rsidR="006F2542">
        <w:t>CONSULTATION</w:t>
      </w:r>
      <w:r w:rsidR="007B3B5B" w:rsidRPr="007B3B5B">
        <w:t>) Bill</w:t>
      </w:r>
      <w:r w:rsidR="007B3B5B">
        <w:t xml:space="preserve"> </w:t>
      </w:r>
      <w:r>
        <w:t>2021</w:t>
      </w:r>
      <w:r w:rsidR="00FC36CA">
        <w:t xml:space="preserve">: </w:t>
      </w:r>
      <w:r w:rsidR="00FC36CA" w:rsidRPr="00FC36CA">
        <w:t>Intangible asset depreciation</w:t>
      </w:r>
    </w:p>
    <w:p w14:paraId="16CC621A" w14:textId="77777777" w:rsidR="00C3452B" w:rsidRDefault="00C3452B" w:rsidP="00C3452B">
      <w:pPr>
        <w:pStyle w:val="Baseparagraphcentred"/>
      </w:pPr>
    </w:p>
    <w:p w14:paraId="39DC3E89" w14:textId="77777777" w:rsidR="00C3452B" w:rsidRDefault="00C3452B" w:rsidP="00C3452B">
      <w:pPr>
        <w:pStyle w:val="Baseparagraphcentred"/>
      </w:pPr>
    </w:p>
    <w:p w14:paraId="5157E55C" w14:textId="77777777" w:rsidR="00C3452B" w:rsidRDefault="00C3452B" w:rsidP="00C3452B">
      <w:pPr>
        <w:pStyle w:val="Baseparagraphcentred"/>
      </w:pPr>
    </w:p>
    <w:p w14:paraId="3406E139" w14:textId="77777777" w:rsidR="00C3452B" w:rsidRDefault="00C3452B" w:rsidP="00C3452B">
      <w:pPr>
        <w:pStyle w:val="Baseparagraphcentred"/>
      </w:pPr>
    </w:p>
    <w:p w14:paraId="46398F2D" w14:textId="77777777" w:rsidR="007B3B5B" w:rsidRDefault="007B3B5B" w:rsidP="00C3452B">
      <w:pPr>
        <w:pStyle w:val="Baseparagraphcentred"/>
      </w:pPr>
      <w:r>
        <w:t>EXPOSURE DRAFT EXPLANATORY MATERIALS</w:t>
      </w:r>
    </w:p>
    <w:p w14:paraId="6C793B90" w14:textId="05526D58" w:rsidR="00C3452B" w:rsidRDefault="00C3452B" w:rsidP="00C3452B">
      <w:pPr>
        <w:pStyle w:val="Baseparagraphcentred"/>
      </w:pPr>
    </w:p>
    <w:p w14:paraId="01EEEBFE" w14:textId="77777777" w:rsidR="00C3452B" w:rsidRDefault="00C3452B" w:rsidP="00C3452B">
      <w:pPr>
        <w:pStyle w:val="Baseparagraphcentred"/>
      </w:pPr>
    </w:p>
    <w:p w14:paraId="45E0194F" w14:textId="77777777" w:rsidR="00C3452B" w:rsidRDefault="00C3452B" w:rsidP="00C3452B">
      <w:pPr>
        <w:pStyle w:val="Baseparagraphcentred"/>
      </w:pPr>
    </w:p>
    <w:p w14:paraId="06A71805" w14:textId="77777777" w:rsidR="007B3B5B" w:rsidRDefault="007B3B5B" w:rsidP="00C3452B">
      <w:pPr>
        <w:pStyle w:val="ParaCentredNoSpacing"/>
      </w:pPr>
    </w:p>
    <w:p w14:paraId="758CA1B9" w14:textId="77777777" w:rsidR="007B3B5B" w:rsidRDefault="007B3B5B" w:rsidP="00C3452B">
      <w:pPr>
        <w:pStyle w:val="ParaCentredNoSpacing"/>
      </w:pPr>
    </w:p>
    <w:p w14:paraId="56D6E819" w14:textId="225D6F89" w:rsidR="00C3452B" w:rsidRDefault="00C3452B" w:rsidP="00C3452B">
      <w:pPr>
        <w:pStyle w:val="ParaCentredNoSpacing"/>
      </w:pPr>
    </w:p>
    <w:p w14:paraId="0D92E964" w14:textId="77777777" w:rsidR="00C3452B" w:rsidRDefault="00C3452B" w:rsidP="00C3452B"/>
    <w:p w14:paraId="581060CB" w14:textId="77777777" w:rsidR="00C3452B" w:rsidRDefault="00C3452B" w:rsidP="00C3452B">
      <w:pPr>
        <w:sectPr w:rsidR="00C3452B" w:rsidSect="00C10AAF">
          <w:headerReference w:type="even" r:id="rId7"/>
          <w:headerReference w:type="default" r:id="rId8"/>
          <w:footerReference w:type="even" r:id="rId9"/>
          <w:footerReference w:type="default" r:id="rId10"/>
          <w:headerReference w:type="first" r:id="rId11"/>
          <w:footerReference w:type="first" r:id="rId12"/>
          <w:type w:val="oddPage"/>
          <w:pgSz w:w="9979" w:h="14175" w:code="138"/>
          <w:pgMar w:top="567" w:right="1134" w:bottom="567" w:left="1134" w:header="709" w:footer="709" w:gutter="0"/>
          <w:cols w:space="708"/>
          <w:titlePg/>
          <w:docGrid w:linePitch="360"/>
        </w:sectPr>
      </w:pPr>
    </w:p>
    <w:p w14:paraId="075E1FD2" w14:textId="77777777" w:rsidR="00C3452B" w:rsidRPr="003E0794" w:rsidRDefault="00C3452B" w:rsidP="00C3452B">
      <w:pPr>
        <w:pStyle w:val="TOCHeading"/>
      </w:pPr>
      <w:r w:rsidRPr="003E0794">
        <w:lastRenderedPageBreak/>
        <w:t>Table of contents</w:t>
      </w:r>
    </w:p>
    <w:p w14:paraId="656BFB20" w14:textId="0448B755" w:rsidR="0084728B"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84728B">
        <w:t>Glossary</w:t>
      </w:r>
      <w:r w:rsidR="0084728B">
        <w:tab/>
      </w:r>
      <w:r w:rsidR="0084728B">
        <w:fldChar w:fldCharType="begin"/>
      </w:r>
      <w:r w:rsidR="0084728B">
        <w:instrText xml:space="preserve"> PAGEREF _Toc84318347 \h </w:instrText>
      </w:r>
      <w:r w:rsidR="0084728B">
        <w:fldChar w:fldCharType="separate"/>
      </w:r>
      <w:r w:rsidR="004B0EEF">
        <w:t>1</w:t>
      </w:r>
      <w:r w:rsidR="0084728B">
        <w:fldChar w:fldCharType="end"/>
      </w:r>
    </w:p>
    <w:p w14:paraId="7A8DDFDA" w14:textId="4FEB6B11" w:rsidR="0084728B" w:rsidRDefault="0084728B">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Intangible asset depreciation</w:t>
      </w:r>
      <w:r>
        <w:rPr>
          <w:noProof/>
        </w:rPr>
        <w:tab/>
      </w:r>
      <w:r>
        <w:rPr>
          <w:noProof/>
        </w:rPr>
        <w:fldChar w:fldCharType="begin"/>
      </w:r>
      <w:r>
        <w:rPr>
          <w:noProof/>
        </w:rPr>
        <w:instrText xml:space="preserve"> PAGEREF _Toc84318348 \h </w:instrText>
      </w:r>
      <w:r>
        <w:rPr>
          <w:noProof/>
        </w:rPr>
      </w:r>
      <w:r>
        <w:rPr>
          <w:noProof/>
        </w:rPr>
        <w:fldChar w:fldCharType="separate"/>
      </w:r>
      <w:r w:rsidR="004B0EEF">
        <w:rPr>
          <w:noProof/>
        </w:rPr>
        <w:t>3</w:t>
      </w:r>
      <w:r>
        <w:rPr>
          <w:noProof/>
        </w:rPr>
        <w:fldChar w:fldCharType="end"/>
      </w:r>
    </w:p>
    <w:p w14:paraId="14AF90D3" w14:textId="2FD1973F" w:rsidR="00C3452B" w:rsidRDefault="00C3452B" w:rsidP="00C3452B">
      <w:pPr>
        <w:rPr>
          <w:rFonts w:ascii="Helvetica" w:hAnsi="Helvetica"/>
          <w:noProof/>
          <w:sz w:val="24"/>
        </w:rPr>
      </w:pPr>
      <w:r>
        <w:rPr>
          <w:rFonts w:ascii="Helvetica" w:hAnsi="Helvetica"/>
          <w:noProof/>
          <w:sz w:val="24"/>
        </w:rPr>
        <w:fldChar w:fldCharType="end"/>
      </w:r>
    </w:p>
    <w:p w14:paraId="2E53A8F3" w14:textId="77777777" w:rsidR="00C3452B" w:rsidRDefault="00C3452B" w:rsidP="00C3452B">
      <w:pPr>
        <w:pStyle w:val="Hiddentext"/>
      </w:pPr>
    </w:p>
    <w:p w14:paraId="5A8531E4" w14:textId="77777777" w:rsidR="00C3452B" w:rsidRDefault="00C3452B" w:rsidP="00C3452B">
      <w:pPr>
        <w:pStyle w:val="base-text-paragraphnonumbers"/>
        <w:sectPr w:rsidR="00C3452B" w:rsidSect="00C10AAF">
          <w:headerReference w:type="even" r:id="rId13"/>
          <w:headerReference w:type="default" r:id="rId14"/>
          <w:footerReference w:type="even" r:id="rId15"/>
          <w:footerReference w:type="default" r:id="rId16"/>
          <w:headerReference w:type="first" r:id="rId17"/>
          <w:footerReference w:type="first" r:id="rId18"/>
          <w:type w:val="oddPage"/>
          <w:pgSz w:w="9979" w:h="14175" w:code="9"/>
          <w:pgMar w:top="567" w:right="1134" w:bottom="567" w:left="1134" w:header="709" w:footer="709" w:gutter="0"/>
          <w:cols w:space="708"/>
          <w:titlePg/>
          <w:docGrid w:linePitch="360"/>
        </w:sectPr>
      </w:pPr>
    </w:p>
    <w:p w14:paraId="42D7D9D6" w14:textId="77777777" w:rsidR="00C3452B" w:rsidRPr="00567602" w:rsidRDefault="00C3452B" w:rsidP="00C3452B">
      <w:pPr>
        <w:pStyle w:val="Chapterheadingsubdocument"/>
      </w:pPr>
      <w:bookmarkStart w:id="26" w:name="_Toc84318347"/>
      <w:r w:rsidRPr="00567602">
        <w:rPr>
          <w:rStyle w:val="ChapterNameOnly"/>
        </w:rPr>
        <w:lastRenderedPageBreak/>
        <w:t>Glossary</w:t>
      </w:r>
      <w:bookmarkEnd w:id="26"/>
    </w:p>
    <w:p w14:paraId="6DCCB0B2"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6D43BB43" w14:textId="77777777" w:rsidTr="007A42BA">
        <w:tc>
          <w:tcPr>
            <w:tcW w:w="2721" w:type="dxa"/>
          </w:tcPr>
          <w:p w14:paraId="60A38137" w14:textId="77777777" w:rsidR="00C3452B" w:rsidRPr="00123D96" w:rsidRDefault="00C3452B" w:rsidP="008C233E">
            <w:pPr>
              <w:pStyle w:val="tableheaderwithintable"/>
            </w:pPr>
            <w:r w:rsidRPr="00123D96">
              <w:t>Abbreviation</w:t>
            </w:r>
          </w:p>
        </w:tc>
        <w:tc>
          <w:tcPr>
            <w:tcW w:w="3885" w:type="dxa"/>
          </w:tcPr>
          <w:p w14:paraId="7BA11230" w14:textId="77777777" w:rsidR="00C3452B" w:rsidRPr="00123D96" w:rsidRDefault="00C3452B" w:rsidP="008C233E">
            <w:pPr>
              <w:pStyle w:val="tableheaderwithintable"/>
            </w:pPr>
            <w:r w:rsidRPr="00123D96">
              <w:t>Definition</w:t>
            </w:r>
          </w:p>
        </w:tc>
      </w:tr>
      <w:tr w:rsidR="007A42BA" w:rsidRPr="002C43E8" w14:paraId="07562872" w14:textId="77777777" w:rsidTr="007A42BA">
        <w:tc>
          <w:tcPr>
            <w:tcW w:w="2721" w:type="dxa"/>
          </w:tcPr>
          <w:p w14:paraId="5A73F50C" w14:textId="2E7F035A" w:rsidR="007A42BA" w:rsidRPr="002C43E8" w:rsidRDefault="007A42BA" w:rsidP="007A42BA">
            <w:pPr>
              <w:pStyle w:val="Glossarytabletext"/>
              <w:rPr>
                <w:lang w:val="en-US" w:eastAsia="en-US"/>
              </w:rPr>
            </w:pPr>
            <w:bookmarkStart w:id="27" w:name="GlossaryTableStart"/>
            <w:bookmarkEnd w:id="27"/>
            <w:r>
              <w:rPr>
                <w:lang w:val="en-US" w:eastAsia="en-US"/>
              </w:rPr>
              <w:t>ITAA 1997</w:t>
            </w:r>
          </w:p>
        </w:tc>
        <w:tc>
          <w:tcPr>
            <w:tcW w:w="3885" w:type="dxa"/>
          </w:tcPr>
          <w:p w14:paraId="2D8CA301" w14:textId="59B06A63" w:rsidR="007A42BA" w:rsidRPr="002C43E8" w:rsidRDefault="007A42BA" w:rsidP="007A42BA">
            <w:pPr>
              <w:pStyle w:val="Glossarytabletext"/>
              <w:rPr>
                <w:lang w:val="en-US" w:eastAsia="en-US"/>
              </w:rPr>
            </w:pPr>
            <w:r>
              <w:rPr>
                <w:i/>
                <w:lang w:val="en-US" w:eastAsia="en-US"/>
              </w:rPr>
              <w:t>Income Tax Assessment Act 1997</w:t>
            </w:r>
          </w:p>
        </w:tc>
      </w:tr>
    </w:tbl>
    <w:p w14:paraId="47615839" w14:textId="77777777" w:rsidR="00C3452B" w:rsidRDefault="00C3452B" w:rsidP="00C3452B"/>
    <w:p w14:paraId="7C827066" w14:textId="77777777" w:rsidR="00C3452B" w:rsidRDefault="00C3452B" w:rsidP="00C3452B"/>
    <w:p w14:paraId="331EF643" w14:textId="77777777" w:rsidR="00C3452B" w:rsidRDefault="00C3452B" w:rsidP="00C3452B">
      <w:pPr>
        <w:sectPr w:rsidR="00C3452B" w:rsidSect="00C10AAF">
          <w:headerReference w:type="even" r:id="rId19"/>
          <w:headerReference w:type="default" r:id="rId20"/>
          <w:footerReference w:type="even" r:id="rId21"/>
          <w:footerReference w:type="default" r:id="rId22"/>
          <w:footerReference w:type="first" r:id="rId23"/>
          <w:type w:val="oddPage"/>
          <w:pgSz w:w="9979" w:h="14175" w:code="9"/>
          <w:pgMar w:top="567" w:right="1134" w:bottom="567" w:left="1134" w:header="709" w:footer="709" w:gutter="0"/>
          <w:pgNumType w:start="1"/>
          <w:cols w:space="708"/>
          <w:titlePg/>
          <w:docGrid w:linePitch="360"/>
        </w:sectPr>
      </w:pPr>
    </w:p>
    <w:p w14:paraId="64D0805E" w14:textId="495B2768" w:rsidR="00C3452B" w:rsidRPr="007C2B20" w:rsidRDefault="00C3452B" w:rsidP="00C3452B">
      <w:pPr>
        <w:pStyle w:val="ChapterHeading"/>
        <w:numPr>
          <w:ilvl w:val="0"/>
          <w:numId w:val="7"/>
        </w:numPr>
      </w:pPr>
      <w:r w:rsidRPr="000C2A9D">
        <w:lastRenderedPageBreak/>
        <w:br/>
      </w:r>
      <w:bookmarkStart w:id="36" w:name="_Toc84318348"/>
      <w:r w:rsidR="00EB0993">
        <w:rPr>
          <w:rStyle w:val="ChapterNameOnly"/>
        </w:rPr>
        <w:t>Intangible asset depreciation</w:t>
      </w:r>
      <w:bookmarkEnd w:id="36"/>
    </w:p>
    <w:p w14:paraId="2DD98EC9" w14:textId="77777777" w:rsidR="00C3452B" w:rsidRDefault="00C3452B" w:rsidP="00C3452B">
      <w:pPr>
        <w:pStyle w:val="Heading2"/>
      </w:pPr>
      <w:r>
        <w:t>Outline of chapter</w:t>
      </w:r>
    </w:p>
    <w:p w14:paraId="0E47796F" w14:textId="630845FF" w:rsidR="00C3452B" w:rsidRDefault="00EB0993" w:rsidP="00C3452B">
      <w:pPr>
        <w:numPr>
          <w:ilvl w:val="1"/>
          <w:numId w:val="7"/>
        </w:numPr>
      </w:pPr>
      <w:r w:rsidRPr="00EB0993">
        <w:t xml:space="preserve">Schedule </w:t>
      </w:r>
      <w:r>
        <w:t>#</w:t>
      </w:r>
      <w:r w:rsidRPr="00EB0993">
        <w:t xml:space="preserve"> to this Bill amends the ITAA 1997 to provide the choice to self</w:t>
      </w:r>
      <w:r w:rsidRPr="00EB0993">
        <w:noBreakHyphen/>
        <w:t>assess the effective life of certain intangible depreciating assets rather than using the statutory effective life in working out the decline in value</w:t>
      </w:r>
      <w:r>
        <w:t>.</w:t>
      </w:r>
    </w:p>
    <w:p w14:paraId="670A4494" w14:textId="77777777" w:rsidR="00C3452B" w:rsidRDefault="00C3452B" w:rsidP="00C3452B">
      <w:pPr>
        <w:pStyle w:val="Heading2"/>
      </w:pPr>
      <w:r>
        <w:t>Context of amendments</w:t>
      </w:r>
    </w:p>
    <w:p w14:paraId="0FF5D6E2" w14:textId="56962CDA" w:rsidR="00C3452B" w:rsidRDefault="00EB0993" w:rsidP="00C3452B">
      <w:pPr>
        <w:pStyle w:val="base-text-paragraph"/>
      </w:pPr>
      <w:r>
        <w:t>The current law mandates the effective life to be used for certain intangible depreciating assets in calculating their decline in value, which may not necessarily reflect the period of time that the assets provide economic benefits to the taxpayer.</w:t>
      </w:r>
    </w:p>
    <w:p w14:paraId="71241A10" w14:textId="17341D00" w:rsidR="00EB0993" w:rsidRDefault="0078648C" w:rsidP="00EB0993">
      <w:pPr>
        <w:pStyle w:val="base-text-paragraph"/>
      </w:pPr>
      <w:r w:rsidRPr="0078571E">
        <w:t>In the 2021-22 Budget</w:t>
      </w:r>
      <w:r w:rsidR="00EB0993" w:rsidRPr="0078571E">
        <w:t>, the Government announced</w:t>
      </w:r>
      <w:r w:rsidR="0078571E">
        <w:t xml:space="preserve"> the Digital Economy Strategy, which outlines actions and policies the Government is taking</w:t>
      </w:r>
      <w:r w:rsidR="00EB0993" w:rsidRPr="0078571E">
        <w:t xml:space="preserve"> to </w:t>
      </w:r>
      <w:r w:rsidR="00B3385B" w:rsidRPr="0078571E">
        <w:t>grow Australia’s future as a modern and leading digital economy</w:t>
      </w:r>
      <w:r w:rsidR="0078571E">
        <w:t xml:space="preserve"> by 2030</w:t>
      </w:r>
      <w:r w:rsidR="00EB0993" w:rsidRPr="0078571E">
        <w:t>.</w:t>
      </w:r>
      <w:r w:rsidR="00EB0993">
        <w:t xml:space="preserve"> </w:t>
      </w:r>
      <w:r w:rsidR="0078571E" w:rsidRPr="0078571E">
        <w:t>The Strategy include</w:t>
      </w:r>
      <w:r w:rsidR="00D43B68">
        <w:t>s</w:t>
      </w:r>
      <w:r w:rsidR="0078571E" w:rsidRPr="0078571E">
        <w:t xml:space="preserve"> measures to empower businesses to grow investment in digital technologies</w:t>
      </w:r>
      <w:r w:rsidR="0078571E">
        <w:t>, o</w:t>
      </w:r>
      <w:r w:rsidR="00EB0993">
        <w:t xml:space="preserve">ne of </w:t>
      </w:r>
      <w:r w:rsidR="0078571E">
        <w:t xml:space="preserve">which </w:t>
      </w:r>
      <w:r w:rsidR="00EB0993">
        <w:t>is to allow taxpayers to self</w:t>
      </w:r>
      <w:r w:rsidR="00EB0993">
        <w:noBreakHyphen/>
        <w:t>assess the effective life of certain intangible depreciating assets.</w:t>
      </w:r>
    </w:p>
    <w:p w14:paraId="3CDD3F54" w14:textId="5DDB64D2" w:rsidR="00EB0993" w:rsidRDefault="00EB0993" w:rsidP="00EB0993">
      <w:pPr>
        <w:pStyle w:val="base-text-paragraph"/>
      </w:pPr>
      <w:r>
        <w:t>Th</w:t>
      </w:r>
      <w:r w:rsidR="001D519F">
        <w:t xml:space="preserve">e amendments to provide the choice to self-assess the effective life of certain intangible </w:t>
      </w:r>
      <w:r w:rsidR="001D519F" w:rsidRPr="00EB0993">
        <w:t xml:space="preserve">depreciating </w:t>
      </w:r>
      <w:r w:rsidR="001D519F">
        <w:t xml:space="preserve">assets </w:t>
      </w:r>
      <w:r>
        <w:t xml:space="preserve">will better align the taxation treatment of those assets with the actual period of time that the assets provide economic benefits. It also aligns the treatment of those intangible depreciating assets with that of tangible assets. </w:t>
      </w:r>
    </w:p>
    <w:p w14:paraId="65414BE7" w14:textId="77777777" w:rsidR="00C3452B" w:rsidRDefault="00C3452B" w:rsidP="00C3452B">
      <w:pPr>
        <w:pStyle w:val="Heading2"/>
      </w:pPr>
      <w:r>
        <w:t>Summary of new law</w:t>
      </w:r>
    </w:p>
    <w:p w14:paraId="75F48269" w14:textId="2F7FFA8D" w:rsidR="004B43BE" w:rsidRDefault="004B43BE" w:rsidP="004B43BE">
      <w:pPr>
        <w:pStyle w:val="base-text-paragraph"/>
      </w:pPr>
      <w:r>
        <w:t>The new law allows a taxpayer to choose to self-assess the effective life of intangible depreciating assets listed in the table in subsection 40</w:t>
      </w:r>
      <w:r>
        <w:noBreakHyphen/>
        <w:t xml:space="preserve">95(7) rather than using the statutory effective life specified in the table. The choice can be made in relation to intangible assets the taxpayer starts to hold on or </w:t>
      </w:r>
      <w:r w:rsidRPr="00C80F21">
        <w:t>after 1 July 20</w:t>
      </w:r>
      <w:r w:rsidR="00B3385B" w:rsidRPr="00C80F21">
        <w:t>23</w:t>
      </w:r>
      <w:r w:rsidRPr="00C80F21">
        <w:t>. The</w:t>
      </w:r>
      <w:r>
        <w:t xml:space="preserve"> intangible assets to which this choice applies are:</w:t>
      </w:r>
    </w:p>
    <w:p w14:paraId="3F991FA2" w14:textId="77777777" w:rsidR="004B43BE" w:rsidRPr="004B43BE" w:rsidRDefault="004B43BE" w:rsidP="004B43BE">
      <w:pPr>
        <w:pStyle w:val="dotpoint"/>
      </w:pPr>
      <w:r w:rsidRPr="004B43BE">
        <w:t>a standard patent;</w:t>
      </w:r>
    </w:p>
    <w:p w14:paraId="61582D4A" w14:textId="77777777" w:rsidR="004B43BE" w:rsidRDefault="004B43BE" w:rsidP="004B43BE">
      <w:pPr>
        <w:pStyle w:val="dotpoint"/>
      </w:pPr>
      <w:r>
        <w:t>an innovation patent;</w:t>
      </w:r>
    </w:p>
    <w:p w14:paraId="1BC3C650" w14:textId="77777777" w:rsidR="004B43BE" w:rsidRDefault="004B43BE" w:rsidP="004B43BE">
      <w:pPr>
        <w:pStyle w:val="dotpoint"/>
      </w:pPr>
      <w:r>
        <w:t>a registered design;</w:t>
      </w:r>
    </w:p>
    <w:p w14:paraId="409BA009" w14:textId="77777777" w:rsidR="004B43BE" w:rsidRDefault="004B43BE" w:rsidP="004B43BE">
      <w:pPr>
        <w:pStyle w:val="dotpoint"/>
      </w:pPr>
      <w:r>
        <w:lastRenderedPageBreak/>
        <w:t>a copyright (except copyright in film);</w:t>
      </w:r>
    </w:p>
    <w:p w14:paraId="2D576338" w14:textId="268B8015" w:rsidR="004B43BE" w:rsidRDefault="004B43BE" w:rsidP="004B43BE">
      <w:pPr>
        <w:pStyle w:val="dotpoint"/>
      </w:pPr>
      <w:r>
        <w:t>a licence (except one relating to a copyright or in</w:t>
      </w:r>
      <w:r w:rsidR="00A10F6D">
        <w:noBreakHyphen/>
      </w:r>
      <w:r>
        <w:t>house software);</w:t>
      </w:r>
    </w:p>
    <w:p w14:paraId="0C862F0B" w14:textId="77777777" w:rsidR="004B43BE" w:rsidRDefault="004B43BE" w:rsidP="004B43BE">
      <w:pPr>
        <w:pStyle w:val="dotpoint"/>
      </w:pPr>
      <w:r>
        <w:t>a licence relating to a copyright (except copyright in a film);</w:t>
      </w:r>
    </w:p>
    <w:p w14:paraId="12C7685B" w14:textId="77777777" w:rsidR="004B43BE" w:rsidRDefault="004B43BE" w:rsidP="004B43BE">
      <w:pPr>
        <w:pStyle w:val="dotpoint"/>
      </w:pPr>
      <w:r>
        <w:t>in</w:t>
      </w:r>
      <w:r>
        <w:noBreakHyphen/>
        <w:t>house software;</w:t>
      </w:r>
    </w:p>
    <w:p w14:paraId="06FB16BF" w14:textId="3C256885" w:rsidR="004B43BE" w:rsidRDefault="004B43BE" w:rsidP="004B43BE">
      <w:pPr>
        <w:pStyle w:val="dotpoint"/>
      </w:pPr>
      <w:r>
        <w:t>a spectrum licence;</w:t>
      </w:r>
      <w:r w:rsidR="00A10F6D">
        <w:t xml:space="preserve"> and</w:t>
      </w:r>
    </w:p>
    <w:p w14:paraId="5F26A6CF" w14:textId="3546C96F" w:rsidR="004B43BE" w:rsidRDefault="004B43BE" w:rsidP="004B43BE">
      <w:pPr>
        <w:pStyle w:val="dotpoint"/>
      </w:pPr>
      <w:r>
        <w:t>a telecommunications site access right.</w:t>
      </w:r>
    </w:p>
    <w:p w14:paraId="4A450DC8" w14:textId="77777777" w:rsidR="004B43BE" w:rsidRPr="004B43BE" w:rsidRDefault="004B43BE" w:rsidP="004B43BE">
      <w:pPr>
        <w:pStyle w:val="base-text-paragraph"/>
      </w:pPr>
      <w:r w:rsidRPr="004B43BE">
        <w:t>The effective life is used to calculate the decline in value of the intangible asset.</w:t>
      </w:r>
    </w:p>
    <w:p w14:paraId="37AEDED8" w14:textId="77777777" w:rsidR="004B43BE" w:rsidRDefault="004B43BE" w:rsidP="004B43BE">
      <w:pPr>
        <w:pStyle w:val="base-text-paragraph"/>
      </w:pPr>
      <w:r>
        <w:t>The new law also allows the taxpayer to recalculate the effective life in later income years if the effective life the taxpayer has been using is no longer accurate because of changed circumstances relating to the nature of the asset's use.</w:t>
      </w:r>
    </w:p>
    <w:p w14:paraId="24E56734" w14:textId="77777777" w:rsidR="004B43BE" w:rsidRDefault="004B43BE" w:rsidP="004B43BE">
      <w:pPr>
        <w:pStyle w:val="base-text-paragraph"/>
      </w:pPr>
      <w:r>
        <w:t xml:space="preserve">If the cost of the asset increases by at least 10 per cent in a later income year the taxpayer must recalculate the effective life of the asset. </w:t>
      </w:r>
    </w:p>
    <w:p w14:paraId="0FB5089D" w14:textId="77777777" w:rsidR="004B43BE" w:rsidRDefault="004B43BE" w:rsidP="004B43BE">
      <w:pPr>
        <w:pStyle w:val="base-text-paragraph"/>
      </w:pPr>
      <w:r>
        <w:t>The taxpayer must also recalculate the effective life of the asset for the income year that the taxpayer starts to hold it if:</w:t>
      </w:r>
    </w:p>
    <w:p w14:paraId="0F10A8C5" w14:textId="304F4A61" w:rsidR="004B43BE" w:rsidRPr="004B43BE" w:rsidRDefault="004B43BE" w:rsidP="004B43BE">
      <w:pPr>
        <w:pStyle w:val="dotpoint"/>
      </w:pPr>
      <w:r w:rsidRPr="004B43BE">
        <w:t>the taxpayer is using an effective life because of the associate or same user rule in subsection 40</w:t>
      </w:r>
      <w:r w:rsidR="00A10F6D">
        <w:noBreakHyphen/>
      </w:r>
      <w:r w:rsidRPr="004B43BE">
        <w:t>95(4) or (5); and</w:t>
      </w:r>
    </w:p>
    <w:p w14:paraId="4B7D1D16" w14:textId="77777777" w:rsidR="004B43BE" w:rsidRDefault="004B43BE" w:rsidP="004B43BE">
      <w:pPr>
        <w:pStyle w:val="dotpoint"/>
      </w:pPr>
      <w:r>
        <w:t>the asset's cost increases after the taxpayer starts to hold it in that year by at least 10 per cent.</w:t>
      </w:r>
    </w:p>
    <w:p w14:paraId="35CE076F" w14:textId="77777777" w:rsidR="00C3452B" w:rsidRDefault="00C3452B" w:rsidP="00C3452B">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3213"/>
      </w:tblGrid>
      <w:tr w:rsidR="00C3452B" w:rsidRPr="004666B8" w14:paraId="6048829A" w14:textId="77777777" w:rsidTr="00890E14">
        <w:tc>
          <w:tcPr>
            <w:tcW w:w="3204" w:type="dxa"/>
          </w:tcPr>
          <w:p w14:paraId="3C000F8E" w14:textId="77777777" w:rsidR="00C3452B" w:rsidRPr="004666B8" w:rsidRDefault="00C3452B" w:rsidP="008C233E">
            <w:pPr>
              <w:pStyle w:val="tableheaderwithintable"/>
              <w:rPr>
                <w:lang w:val="en-US" w:eastAsia="en-US"/>
              </w:rPr>
            </w:pPr>
            <w:r w:rsidRPr="004666B8">
              <w:rPr>
                <w:lang w:val="en-US" w:eastAsia="en-US"/>
              </w:rPr>
              <w:t>New law</w:t>
            </w:r>
          </w:p>
        </w:tc>
        <w:tc>
          <w:tcPr>
            <w:tcW w:w="3213" w:type="dxa"/>
          </w:tcPr>
          <w:p w14:paraId="69619971" w14:textId="77777777" w:rsidR="00C3452B" w:rsidRPr="004666B8" w:rsidRDefault="00C3452B" w:rsidP="008C233E">
            <w:pPr>
              <w:pStyle w:val="tableheaderwithintable"/>
              <w:rPr>
                <w:lang w:val="en-US" w:eastAsia="en-US"/>
              </w:rPr>
            </w:pPr>
            <w:r w:rsidRPr="004666B8">
              <w:rPr>
                <w:lang w:val="en-US" w:eastAsia="en-US"/>
              </w:rPr>
              <w:t>Current law</w:t>
            </w:r>
          </w:p>
        </w:tc>
      </w:tr>
      <w:tr w:rsidR="00890E14" w:rsidRPr="004666B8" w14:paraId="23EEB469" w14:textId="77777777" w:rsidTr="00890E14">
        <w:tc>
          <w:tcPr>
            <w:tcW w:w="3204" w:type="dxa"/>
          </w:tcPr>
          <w:p w14:paraId="58C74621" w14:textId="3ACA64FC" w:rsidR="00890E14" w:rsidRPr="004666B8" w:rsidRDefault="00890E14" w:rsidP="00890E14">
            <w:pPr>
              <w:pStyle w:val="tabletext"/>
              <w:rPr>
                <w:lang w:val="en-US" w:eastAsia="en-US"/>
              </w:rPr>
            </w:pPr>
            <w:r>
              <w:rPr>
                <w:lang w:val="en-US" w:eastAsia="en-US"/>
              </w:rPr>
              <w:t>To calculate the decline in value of certain intangible depreciating assets, a holder of the asset can choose to self</w:t>
            </w:r>
            <w:r>
              <w:rPr>
                <w:lang w:val="en-US" w:eastAsia="en-US"/>
              </w:rPr>
              <w:noBreakHyphen/>
              <w:t xml:space="preserve">assess the effective life rather than use the statutory effective life. </w:t>
            </w:r>
          </w:p>
        </w:tc>
        <w:tc>
          <w:tcPr>
            <w:tcW w:w="3213" w:type="dxa"/>
          </w:tcPr>
          <w:p w14:paraId="6FDA4750" w14:textId="0190E9F9" w:rsidR="00890E14" w:rsidRPr="004666B8" w:rsidRDefault="00890E14" w:rsidP="00890E14">
            <w:pPr>
              <w:pStyle w:val="tabletext"/>
              <w:rPr>
                <w:lang w:val="en-US" w:eastAsia="en-US"/>
              </w:rPr>
            </w:pPr>
            <w:r>
              <w:rPr>
                <w:lang w:val="en-US" w:eastAsia="en-US"/>
              </w:rPr>
              <w:t xml:space="preserve">To calculate the decline in value of certain intangible depreciating assets, a holder of the asset must use the statutory effective life. </w:t>
            </w:r>
          </w:p>
        </w:tc>
      </w:tr>
      <w:tr w:rsidR="00890E14" w:rsidRPr="004666B8" w14:paraId="41DC719A" w14:textId="77777777" w:rsidTr="00890E14">
        <w:tc>
          <w:tcPr>
            <w:tcW w:w="3204" w:type="dxa"/>
          </w:tcPr>
          <w:p w14:paraId="00FB4CAF" w14:textId="2F6CA171" w:rsidR="00890E14" w:rsidRPr="004666B8" w:rsidRDefault="00890E14" w:rsidP="00890E14">
            <w:pPr>
              <w:pStyle w:val="tabletext"/>
              <w:rPr>
                <w:lang w:val="en-US" w:eastAsia="en-US"/>
              </w:rPr>
            </w:pPr>
            <w:r>
              <w:rPr>
                <w:lang w:val="en-US" w:eastAsia="en-US"/>
              </w:rPr>
              <w:t>Unless the asset is copyright, licence relating to copyright or in</w:t>
            </w:r>
            <w:r>
              <w:rPr>
                <w:lang w:val="en-US" w:eastAsia="en-US"/>
              </w:rPr>
              <w:noBreakHyphen/>
              <w:t xml:space="preserve">house software, a subsequent holder of certain intangible depreciating assets must use the remaining statutory effective life for the prime cost method formula, if the holder does </w:t>
            </w:r>
            <w:r>
              <w:rPr>
                <w:lang w:val="en-US" w:eastAsia="en-US"/>
              </w:rPr>
              <w:lastRenderedPageBreak/>
              <w:t>not choose to self</w:t>
            </w:r>
            <w:r>
              <w:rPr>
                <w:lang w:val="en-US" w:eastAsia="en-US"/>
              </w:rPr>
              <w:noBreakHyphen/>
              <w:t>assess the effective life.</w:t>
            </w:r>
          </w:p>
        </w:tc>
        <w:tc>
          <w:tcPr>
            <w:tcW w:w="3213" w:type="dxa"/>
          </w:tcPr>
          <w:p w14:paraId="43B996D6" w14:textId="757A376D" w:rsidR="00890E14" w:rsidRPr="004666B8" w:rsidRDefault="00890E14" w:rsidP="00890E14">
            <w:pPr>
              <w:pStyle w:val="tabletext"/>
              <w:rPr>
                <w:lang w:val="en-US" w:eastAsia="en-US"/>
              </w:rPr>
            </w:pPr>
            <w:r>
              <w:rPr>
                <w:lang w:val="en-US" w:eastAsia="en-US"/>
              </w:rPr>
              <w:lastRenderedPageBreak/>
              <w:t>Unless the asset is copyright, licence relating to copyright or in</w:t>
            </w:r>
            <w:r>
              <w:rPr>
                <w:lang w:val="en-US" w:eastAsia="en-US"/>
              </w:rPr>
              <w:noBreakHyphen/>
              <w:t xml:space="preserve">house software, a subsequent holder of certain intangible depreciating assets must use the number of years remaining in the effective life of the </w:t>
            </w:r>
            <w:r>
              <w:rPr>
                <w:lang w:val="en-US" w:eastAsia="en-US"/>
              </w:rPr>
              <w:lastRenderedPageBreak/>
              <w:t>former holders for the prime cost method formula.</w:t>
            </w:r>
          </w:p>
        </w:tc>
      </w:tr>
      <w:tr w:rsidR="00890E14" w:rsidRPr="004666B8" w14:paraId="44881FAB" w14:textId="77777777" w:rsidTr="00890E14">
        <w:tc>
          <w:tcPr>
            <w:tcW w:w="3204" w:type="dxa"/>
          </w:tcPr>
          <w:p w14:paraId="4C50E88E" w14:textId="6CAD51F5" w:rsidR="00890E14" w:rsidRPr="004666B8" w:rsidRDefault="00890E14" w:rsidP="00890E14">
            <w:pPr>
              <w:pStyle w:val="tabletext"/>
              <w:rPr>
                <w:lang w:val="en-US" w:eastAsia="en-US"/>
              </w:rPr>
            </w:pPr>
            <w:r>
              <w:rPr>
                <w:lang w:val="en-US" w:eastAsia="en-US"/>
              </w:rPr>
              <w:lastRenderedPageBreak/>
              <w:t>If a subsequent holder of certain intangible depreciating assets self</w:t>
            </w:r>
            <w:r>
              <w:rPr>
                <w:lang w:val="en-US" w:eastAsia="en-US"/>
              </w:rPr>
              <w:noBreakHyphen/>
              <w:t>assesses the effective life of the asset, the holder is not able to adjust the prime cost method formula.</w:t>
            </w:r>
          </w:p>
        </w:tc>
        <w:tc>
          <w:tcPr>
            <w:tcW w:w="3213" w:type="dxa"/>
          </w:tcPr>
          <w:p w14:paraId="56F65E2F" w14:textId="502E2840" w:rsidR="00890E14" w:rsidRPr="004666B8" w:rsidRDefault="00890E14" w:rsidP="00890E14">
            <w:pPr>
              <w:pStyle w:val="tabletext"/>
              <w:rPr>
                <w:lang w:val="en-US" w:eastAsia="en-US"/>
              </w:rPr>
            </w:pPr>
            <w:r>
              <w:rPr>
                <w:lang w:val="en-US" w:eastAsia="en-US"/>
              </w:rPr>
              <w:t>No equivalent.</w:t>
            </w:r>
          </w:p>
        </w:tc>
      </w:tr>
      <w:tr w:rsidR="00890E14" w:rsidRPr="004666B8" w14:paraId="46A73C0A" w14:textId="77777777" w:rsidTr="00890E14">
        <w:tc>
          <w:tcPr>
            <w:tcW w:w="3204" w:type="dxa"/>
          </w:tcPr>
          <w:p w14:paraId="4C8C67ED" w14:textId="15CB1005" w:rsidR="00890E14" w:rsidRPr="004666B8" w:rsidRDefault="00890E14" w:rsidP="00890E14">
            <w:pPr>
              <w:pStyle w:val="tabletext"/>
              <w:rPr>
                <w:lang w:val="en-US" w:eastAsia="en-US"/>
              </w:rPr>
            </w:pPr>
            <w:r>
              <w:rPr>
                <w:lang w:val="en-US" w:eastAsia="en-US"/>
              </w:rPr>
              <w:t xml:space="preserve">If in a later income year, the effective life used for certain intangible depreciating assets is no longer accurate due to a change in circumstances relating to the nature of the use of the asset, a holder of the asset is able to recalculate the effective life. </w:t>
            </w:r>
          </w:p>
        </w:tc>
        <w:tc>
          <w:tcPr>
            <w:tcW w:w="3213" w:type="dxa"/>
          </w:tcPr>
          <w:p w14:paraId="417BD500" w14:textId="2A325175" w:rsidR="00890E14" w:rsidRPr="004666B8" w:rsidRDefault="00890E14" w:rsidP="00890E14">
            <w:pPr>
              <w:pStyle w:val="tabletext"/>
              <w:rPr>
                <w:lang w:val="en-US" w:eastAsia="en-US"/>
              </w:rPr>
            </w:pPr>
            <w:r>
              <w:rPr>
                <w:lang w:val="en-US" w:eastAsia="en-US"/>
              </w:rPr>
              <w:t>A holder of the asset is not able to recalculate the effective life.</w:t>
            </w:r>
          </w:p>
        </w:tc>
      </w:tr>
      <w:tr w:rsidR="00890E14" w:rsidRPr="004666B8" w14:paraId="4672C993" w14:textId="77777777" w:rsidTr="00890E14">
        <w:tc>
          <w:tcPr>
            <w:tcW w:w="3204" w:type="dxa"/>
          </w:tcPr>
          <w:p w14:paraId="481758F2" w14:textId="676BAD79" w:rsidR="00890E14" w:rsidRPr="004666B8" w:rsidRDefault="00890E14" w:rsidP="00890E14">
            <w:pPr>
              <w:pStyle w:val="tabletext"/>
              <w:rPr>
                <w:lang w:val="en-US" w:eastAsia="en-US"/>
              </w:rPr>
            </w:pPr>
            <w:r>
              <w:rPr>
                <w:lang w:val="en-US" w:eastAsia="en-US"/>
              </w:rPr>
              <w:t>If the cost of the intangible depreciating asset increases by at least 10 per cent in a later income year, a holder of the asset must recalculate the effective life.</w:t>
            </w:r>
          </w:p>
        </w:tc>
        <w:tc>
          <w:tcPr>
            <w:tcW w:w="3213" w:type="dxa"/>
          </w:tcPr>
          <w:p w14:paraId="42BC220B" w14:textId="28EAEF19" w:rsidR="00890E14" w:rsidRPr="004666B8" w:rsidRDefault="00890E14" w:rsidP="00890E14">
            <w:pPr>
              <w:pStyle w:val="tabletext"/>
              <w:rPr>
                <w:lang w:val="en-US" w:eastAsia="en-US"/>
              </w:rPr>
            </w:pPr>
            <w:r>
              <w:rPr>
                <w:lang w:val="en-US" w:eastAsia="en-US"/>
              </w:rPr>
              <w:t>A holder of the asset is not able to recalculate the effective life.</w:t>
            </w:r>
          </w:p>
        </w:tc>
      </w:tr>
      <w:tr w:rsidR="00890E14" w:rsidRPr="004666B8" w14:paraId="09008A3C" w14:textId="77777777" w:rsidTr="00890E14">
        <w:tc>
          <w:tcPr>
            <w:tcW w:w="3204" w:type="dxa"/>
          </w:tcPr>
          <w:p w14:paraId="57E35A63" w14:textId="22E29271" w:rsidR="00890E14" w:rsidRDefault="00890E14" w:rsidP="00890E14">
            <w:pPr>
              <w:pStyle w:val="tabletext"/>
              <w:rPr>
                <w:lang w:val="en-US" w:eastAsia="en-US"/>
              </w:rPr>
            </w:pPr>
            <w:r>
              <w:rPr>
                <w:lang w:val="en-US" w:eastAsia="en-US"/>
              </w:rPr>
              <w:t>A new holder must recalculate the effective life for the income year that they start to hold certain intangible depreciating assets, if the co</w:t>
            </w:r>
            <w:r w:rsidR="00DA2532">
              <w:rPr>
                <w:lang w:val="en-US" w:eastAsia="en-US"/>
              </w:rPr>
              <w:t>s</w:t>
            </w:r>
            <w:r>
              <w:rPr>
                <w:lang w:val="en-US" w:eastAsia="en-US"/>
              </w:rPr>
              <w:t>t of the asset increases by at least 10 per cent and the asset:</w:t>
            </w:r>
          </w:p>
          <w:p w14:paraId="480F6CAB" w14:textId="77777777" w:rsidR="00890E14" w:rsidRDefault="00890E14" w:rsidP="00890E14">
            <w:pPr>
              <w:pStyle w:val="tabledotpoint"/>
              <w:numPr>
                <w:ilvl w:val="0"/>
                <w:numId w:val="32"/>
              </w:numPr>
              <w:rPr>
                <w:lang w:val="en-US" w:eastAsia="en-US"/>
              </w:rPr>
            </w:pPr>
            <w:r>
              <w:rPr>
                <w:lang w:val="en-US" w:eastAsia="en-US"/>
              </w:rPr>
              <w:t>is acquired from an associate;</w:t>
            </w:r>
          </w:p>
          <w:p w14:paraId="3DBF3F74" w14:textId="77777777" w:rsidR="00DA2532" w:rsidRDefault="00890E14" w:rsidP="00890E14">
            <w:pPr>
              <w:pStyle w:val="tabledotpoint"/>
              <w:numPr>
                <w:ilvl w:val="0"/>
                <w:numId w:val="32"/>
              </w:numPr>
              <w:rPr>
                <w:lang w:val="en-US" w:eastAsia="en-US"/>
              </w:rPr>
            </w:pPr>
            <w:r>
              <w:rPr>
                <w:lang w:val="en-US" w:eastAsia="en-US"/>
              </w:rPr>
              <w:t>continues to be used by the former user; or</w:t>
            </w:r>
          </w:p>
          <w:p w14:paraId="4AC23AAA" w14:textId="4BFCD68A" w:rsidR="00890E14" w:rsidRPr="00DA2532" w:rsidRDefault="00890E14" w:rsidP="00890E14">
            <w:pPr>
              <w:pStyle w:val="tabledotpoint"/>
              <w:numPr>
                <w:ilvl w:val="0"/>
                <w:numId w:val="32"/>
              </w:numPr>
              <w:rPr>
                <w:lang w:val="en-US" w:eastAsia="en-US"/>
              </w:rPr>
            </w:pPr>
            <w:r w:rsidRPr="00DA2532">
              <w:rPr>
                <w:lang w:val="en-US" w:eastAsia="en-US"/>
              </w:rPr>
              <w:t>has a new user who is an associate of the former user.</w:t>
            </w:r>
          </w:p>
        </w:tc>
        <w:tc>
          <w:tcPr>
            <w:tcW w:w="3213" w:type="dxa"/>
          </w:tcPr>
          <w:p w14:paraId="18517BA1" w14:textId="65E68206" w:rsidR="00890E14" w:rsidRPr="004666B8" w:rsidRDefault="00890E14" w:rsidP="00890E14">
            <w:pPr>
              <w:pStyle w:val="tabletext"/>
              <w:rPr>
                <w:lang w:val="en-US" w:eastAsia="en-US"/>
              </w:rPr>
            </w:pPr>
            <w:r>
              <w:rPr>
                <w:lang w:val="en-US" w:eastAsia="en-US"/>
              </w:rPr>
              <w:t>A holder of the asset is not able to recalculate the effective life.</w:t>
            </w:r>
          </w:p>
        </w:tc>
      </w:tr>
    </w:tbl>
    <w:p w14:paraId="178BECCD" w14:textId="77777777" w:rsidR="00C3452B" w:rsidRDefault="00C3452B" w:rsidP="00C3452B">
      <w:pPr>
        <w:pStyle w:val="Heading2"/>
      </w:pPr>
      <w:r>
        <w:t>Detailed explanation of new law</w:t>
      </w:r>
    </w:p>
    <w:p w14:paraId="6E0820FA" w14:textId="48D9410A" w:rsidR="00C3452B" w:rsidRDefault="00890E14" w:rsidP="00C3452B">
      <w:pPr>
        <w:pStyle w:val="base-text-paragraph"/>
      </w:pPr>
      <w:r w:rsidRPr="00890E14">
        <w:t>The amendments provide a taxpayer with the ability to choose to self</w:t>
      </w:r>
      <w:r w:rsidRPr="00890E14">
        <w:noBreakHyphen/>
        <w:t>assess the effective life of certain intangible depreciating assets they hold</w:t>
      </w:r>
      <w:r w:rsidR="00BF3F88">
        <w:t xml:space="preserve"> </w:t>
      </w:r>
      <w:r w:rsidR="007C3B00">
        <w:t xml:space="preserve">on or </w:t>
      </w:r>
      <w:r w:rsidR="00BF3F88">
        <w:t>after 1 July 2023</w:t>
      </w:r>
      <w:r w:rsidRPr="00890E14">
        <w:t>, or apply the existing statutory effective life specified in the table in subsection 40</w:t>
      </w:r>
      <w:r w:rsidRPr="00890E14">
        <w:noBreakHyphen/>
        <w:t>95(7). The effective life is then used in calculating the decline in value of the intangible depreciating asset.</w:t>
      </w:r>
      <w:r>
        <w:t xml:space="preserve"> </w:t>
      </w:r>
      <w:r>
        <w:rPr>
          <w:rStyle w:val="Referencingstyle"/>
        </w:rPr>
        <w:t xml:space="preserve">[Schedule #, </w:t>
      </w:r>
      <w:r w:rsidRPr="007C27CA">
        <w:rPr>
          <w:b/>
          <w:i/>
          <w:sz w:val="18"/>
        </w:rPr>
        <w:t>items 8</w:t>
      </w:r>
      <w:r w:rsidR="00703B4E">
        <w:rPr>
          <w:b/>
          <w:i/>
          <w:sz w:val="18"/>
        </w:rPr>
        <w:t xml:space="preserve">, 10 </w:t>
      </w:r>
      <w:r w:rsidR="00B80493" w:rsidRPr="007C27CA">
        <w:rPr>
          <w:b/>
          <w:i/>
          <w:sz w:val="18"/>
        </w:rPr>
        <w:t xml:space="preserve">and </w:t>
      </w:r>
      <w:r w:rsidR="007C27CA">
        <w:rPr>
          <w:b/>
          <w:i/>
          <w:sz w:val="18"/>
        </w:rPr>
        <w:t>12</w:t>
      </w:r>
      <w:r w:rsidRPr="007C27CA">
        <w:rPr>
          <w:b/>
          <w:i/>
          <w:sz w:val="18"/>
        </w:rPr>
        <w:t>,</w:t>
      </w:r>
      <w:r w:rsidRPr="00890E14">
        <w:rPr>
          <w:b/>
          <w:i/>
          <w:sz w:val="18"/>
        </w:rPr>
        <w:t xml:space="preserve"> subsection</w:t>
      </w:r>
      <w:r w:rsidR="00B80493">
        <w:rPr>
          <w:b/>
          <w:i/>
          <w:sz w:val="18"/>
        </w:rPr>
        <w:t>s</w:t>
      </w:r>
      <w:r w:rsidRPr="00890E14">
        <w:rPr>
          <w:b/>
          <w:i/>
          <w:sz w:val="18"/>
        </w:rPr>
        <w:t xml:space="preserve"> 40</w:t>
      </w:r>
      <w:r w:rsidRPr="00890E14">
        <w:rPr>
          <w:b/>
          <w:i/>
          <w:sz w:val="18"/>
        </w:rPr>
        <w:noBreakHyphen/>
        <w:t>95(7)</w:t>
      </w:r>
      <w:r w:rsidR="00B80493">
        <w:rPr>
          <w:b/>
          <w:i/>
          <w:sz w:val="18"/>
        </w:rPr>
        <w:t>, (7A) and (7B),</w:t>
      </w:r>
      <w:r w:rsidRPr="00890E14">
        <w:rPr>
          <w:b/>
          <w:i/>
          <w:sz w:val="18"/>
        </w:rPr>
        <w:t xml:space="preserve"> and paragraph 40</w:t>
      </w:r>
      <w:r w:rsidRPr="00890E14">
        <w:rPr>
          <w:b/>
          <w:i/>
          <w:sz w:val="18"/>
        </w:rPr>
        <w:noBreakHyphen/>
        <w:t>105(4)(a)</w:t>
      </w:r>
      <w:r w:rsidRPr="00375F1D">
        <w:rPr>
          <w:rStyle w:val="Referencingstyle"/>
        </w:rPr>
        <w:t>]</w:t>
      </w:r>
    </w:p>
    <w:p w14:paraId="389C3A6F" w14:textId="3941B9FB" w:rsidR="00201715" w:rsidRDefault="00201715" w:rsidP="00890E14">
      <w:pPr>
        <w:pStyle w:val="base-text-paragraph"/>
      </w:pPr>
      <w:bookmarkStart w:id="37" w:name="_Ref83109565"/>
      <w:r>
        <w:t>P</w:t>
      </w:r>
      <w:r w:rsidRPr="00154968">
        <w:t xml:space="preserve">aragraph </w:t>
      </w:r>
      <w:r>
        <w:t xml:space="preserve">40-105(4)(a) </w:t>
      </w:r>
      <w:r w:rsidR="002B23D4">
        <w:t xml:space="preserve">applies to assets that start to be held before, on, or after 1 July 2023 which have effective lives in accordance with the table in subsection 40-95(7) and the effective life is not being recalculated. However, it </w:t>
      </w:r>
      <w:r w:rsidRPr="00154968">
        <w:t xml:space="preserve">does not prevent a taxpayer from choosing to </w:t>
      </w:r>
      <w:r w:rsidRPr="00154968">
        <w:lastRenderedPageBreak/>
        <w:t>self-assess the effective life under subsection</w:t>
      </w:r>
      <w:r>
        <w:t>s</w:t>
      </w:r>
      <w:r w:rsidRPr="00154968">
        <w:t xml:space="preserve"> 40-95(7) </w:t>
      </w:r>
      <w:r>
        <w:t>and</w:t>
      </w:r>
      <w:r w:rsidR="00FE32FC">
        <w:t> </w:t>
      </w:r>
      <w:r w:rsidRPr="00154968">
        <w:t xml:space="preserve">(7A) </w:t>
      </w:r>
      <w:r w:rsidR="00FE32FC">
        <w:t>of an asset the</w:t>
      </w:r>
      <w:r w:rsidRPr="00154968">
        <w:t xml:space="preserve"> taxpayer starts to hold on or after 1</w:t>
      </w:r>
      <w:r w:rsidR="00FE32FC">
        <w:t> </w:t>
      </w:r>
      <w:r w:rsidRPr="00154968">
        <w:t>July</w:t>
      </w:r>
      <w:r w:rsidR="00FE32FC">
        <w:t> </w:t>
      </w:r>
      <w:r w:rsidRPr="00154968">
        <w:t>2023</w:t>
      </w:r>
      <w:r>
        <w:t>.</w:t>
      </w:r>
    </w:p>
    <w:p w14:paraId="4071CCD8" w14:textId="32CE8A4B" w:rsidR="00890E14" w:rsidRPr="00890E14" w:rsidRDefault="00890E14" w:rsidP="00890E14">
      <w:pPr>
        <w:pStyle w:val="base-text-paragraph"/>
      </w:pPr>
      <w:bookmarkStart w:id="38" w:name="_Ref83891257"/>
      <w:r w:rsidRPr="00890E14">
        <w:t>In self</w:t>
      </w:r>
      <w:r w:rsidR="00A10F6D">
        <w:noBreakHyphen/>
      </w:r>
      <w:r w:rsidRPr="00890E14">
        <w:t>assessing the effective life of the asset, the taxpayer must work out the effective life in accordance with section 40</w:t>
      </w:r>
      <w:r w:rsidR="00A10F6D">
        <w:noBreakHyphen/>
      </w:r>
      <w:r w:rsidRPr="00890E14">
        <w:t>105, which includes taking into account:</w:t>
      </w:r>
      <w:bookmarkEnd w:id="37"/>
      <w:bookmarkEnd w:id="38"/>
    </w:p>
    <w:p w14:paraId="084719AD" w14:textId="77777777" w:rsidR="00890E14" w:rsidRPr="00890E14" w:rsidRDefault="00890E14" w:rsidP="00890E14">
      <w:pPr>
        <w:pStyle w:val="dotpoint"/>
      </w:pPr>
      <w:r w:rsidRPr="00890E14">
        <w:t>how they expect to use the asset;</w:t>
      </w:r>
    </w:p>
    <w:p w14:paraId="5C91BCAD" w14:textId="08DD11F8" w:rsidR="00890E14" w:rsidRDefault="00890E14" w:rsidP="00890E14">
      <w:pPr>
        <w:pStyle w:val="dotpoint"/>
      </w:pPr>
      <w:r>
        <w:t xml:space="preserve">the estimated period of time that the asset can be used by any entity to derive income at its start time (for a taxable purpose, for producing exempt income and </w:t>
      </w:r>
      <w:r w:rsidR="00A10F6D">
        <w:t>non-assessable</w:t>
      </w:r>
      <w:r>
        <w:t xml:space="preserve"> </w:t>
      </w:r>
      <w:r w:rsidR="00A10F6D">
        <w:t>non</w:t>
      </w:r>
      <w:r w:rsidR="00A10F6D">
        <w:noBreakHyphen/>
        <w:t>exempt</w:t>
      </w:r>
      <w:r>
        <w:t xml:space="preserve"> income or for the purpose of conducting research and development activities);</w:t>
      </w:r>
    </w:p>
    <w:p w14:paraId="5E002EA2" w14:textId="14B1EDBA" w:rsidR="00890E14" w:rsidRPr="004D5ACC" w:rsidRDefault="00870E2C" w:rsidP="00890E14">
      <w:pPr>
        <w:pStyle w:val="dotpoint"/>
      </w:pPr>
      <w:r w:rsidRPr="004D5ACC">
        <w:t xml:space="preserve">the term of the asset </w:t>
      </w:r>
      <w:r w:rsidR="004D5ACC" w:rsidRPr="004D5ACC">
        <w:t xml:space="preserve">and </w:t>
      </w:r>
      <w:r w:rsidRPr="004D5ACC">
        <w:t>any options available for extension or renewal of th</w:t>
      </w:r>
      <w:r w:rsidR="00A36A06" w:rsidRPr="004D5ACC">
        <w:t>at</w:t>
      </w:r>
      <w:r w:rsidRPr="004D5ACC">
        <w:t xml:space="preserve"> term</w:t>
      </w:r>
      <w:r w:rsidR="00890E14" w:rsidRPr="004D5ACC">
        <w:t>; and</w:t>
      </w:r>
    </w:p>
    <w:p w14:paraId="4809EB5F" w14:textId="1E112552" w:rsidR="00890E14" w:rsidRDefault="00890E14" w:rsidP="00890E14">
      <w:pPr>
        <w:pStyle w:val="dotpoint"/>
      </w:pPr>
      <w:r>
        <w:t xml:space="preserve">the estimated time when the asset is </w:t>
      </w:r>
      <w:r w:rsidR="004B32AF">
        <w:t xml:space="preserve">likely to be </w:t>
      </w:r>
      <w:proofErr w:type="gramStart"/>
      <w:r>
        <w:t>scrapped</w:t>
      </w:r>
      <w:r w:rsidR="004B32AF">
        <w:t>, or</w:t>
      </w:r>
      <w:proofErr w:type="gramEnd"/>
      <w:r w:rsidR="004B32AF">
        <w:t xml:space="preserve"> </w:t>
      </w:r>
      <w:r w:rsidR="004B32AF" w:rsidRPr="004B32AF">
        <w:t>sold for no more than scrap value</w:t>
      </w:r>
      <w:r>
        <w:t xml:space="preserve"> or abandoned.</w:t>
      </w:r>
    </w:p>
    <w:p w14:paraId="12D184AC" w14:textId="0DAE6805" w:rsidR="00AF46C1" w:rsidRDefault="00AF46C1" w:rsidP="00AF46C1">
      <w:pPr>
        <w:pStyle w:val="dotpoint"/>
        <w:numPr>
          <w:ilvl w:val="0"/>
          <w:numId w:val="0"/>
        </w:numPr>
        <w:ind w:left="2268"/>
      </w:pPr>
      <w:r>
        <w:rPr>
          <w:rStyle w:val="Referencingstyle"/>
        </w:rPr>
        <w:t>[Schedule #, i</w:t>
      </w:r>
      <w:r w:rsidRPr="00375F1D">
        <w:rPr>
          <w:rStyle w:val="Referencingstyle"/>
        </w:rPr>
        <w:t xml:space="preserve">tem </w:t>
      </w:r>
      <w:r>
        <w:rPr>
          <w:rStyle w:val="Referencingstyle"/>
        </w:rPr>
        <w:t>11</w:t>
      </w:r>
      <w:r w:rsidRPr="00375F1D">
        <w:rPr>
          <w:rStyle w:val="Referencingstyle"/>
        </w:rPr>
        <w:t>, s</w:t>
      </w:r>
      <w:r w:rsidR="00CD5B95">
        <w:rPr>
          <w:rStyle w:val="Referencingstyle"/>
        </w:rPr>
        <w:t>ub</w:t>
      </w:r>
      <w:r w:rsidR="005F4897">
        <w:rPr>
          <w:rStyle w:val="Referencingstyle"/>
        </w:rPr>
        <w:t>s</w:t>
      </w:r>
      <w:r w:rsidRPr="00375F1D">
        <w:rPr>
          <w:rStyle w:val="Referencingstyle"/>
        </w:rPr>
        <w:t xml:space="preserve">ection </w:t>
      </w:r>
      <w:r>
        <w:rPr>
          <w:rStyle w:val="Referencingstyle"/>
        </w:rPr>
        <w:t>40-105(1C)</w:t>
      </w:r>
      <w:r w:rsidRPr="00375F1D">
        <w:rPr>
          <w:rStyle w:val="Referencingstyle"/>
        </w:rPr>
        <w:t>]</w:t>
      </w:r>
    </w:p>
    <w:p w14:paraId="757495AC" w14:textId="77777777" w:rsidR="000C1E43" w:rsidRDefault="00890E14" w:rsidP="00890E14">
      <w:pPr>
        <w:pStyle w:val="base-text-paragraph"/>
      </w:pPr>
      <w:r w:rsidRPr="00890E14">
        <w:t>A depreciating asset starts to decline in value from its start time, which is generally when the taxpayer first uses the asset or has installed the asset ready for use for any purpose.</w:t>
      </w:r>
      <w:r w:rsidR="00627EFF">
        <w:t xml:space="preserve"> </w:t>
      </w:r>
    </w:p>
    <w:p w14:paraId="5E35690D" w14:textId="0174B795" w:rsidR="00837E5A" w:rsidRPr="004D5ACC" w:rsidRDefault="00837E5A" w:rsidP="00837E5A">
      <w:pPr>
        <w:pStyle w:val="base-text-paragraph"/>
      </w:pPr>
      <w:bookmarkStart w:id="39" w:name="_Hlk83889243"/>
      <w:r w:rsidRPr="004D5ACC">
        <w:t>Where the holder of an intangible depreciating asset specified in the table in subsection 40-95(7) has exclusive right</w:t>
      </w:r>
      <w:r w:rsidR="006D3C1B" w:rsidRPr="004D5ACC">
        <w:t>s</w:t>
      </w:r>
      <w:r w:rsidRPr="004D5ACC">
        <w:t xml:space="preserve"> to exploit that asset, the </w:t>
      </w:r>
      <w:r w:rsidR="008A6F18">
        <w:t xml:space="preserve">exercise </w:t>
      </w:r>
      <w:r w:rsidRPr="004D5ACC">
        <w:t>of th</w:t>
      </w:r>
      <w:r w:rsidR="008A6F18">
        <w:t>os</w:t>
      </w:r>
      <w:r w:rsidRPr="004D5ACC">
        <w:t>e rights may include preventing unauthorised use</w:t>
      </w:r>
      <w:r w:rsidR="005C7CDE" w:rsidRPr="004D5ACC">
        <w:t xml:space="preserve"> by </w:t>
      </w:r>
      <w:r w:rsidR="004351A9" w:rsidRPr="004D5ACC">
        <w:t>another</w:t>
      </w:r>
      <w:r w:rsidR="005C7CDE" w:rsidRPr="004D5ACC">
        <w:t xml:space="preserve"> person</w:t>
      </w:r>
      <w:r w:rsidRPr="004D5ACC">
        <w:t>.</w:t>
      </w:r>
    </w:p>
    <w:bookmarkEnd w:id="39"/>
    <w:p w14:paraId="53E6DE93" w14:textId="6A43C9EC" w:rsidR="00890E14" w:rsidRDefault="00890E14" w:rsidP="00C3452B">
      <w:pPr>
        <w:pStyle w:val="base-text-paragraph"/>
      </w:pPr>
      <w:r>
        <w:t>If the taxpayer chooses to self</w:t>
      </w:r>
      <w:r>
        <w:noBreakHyphen/>
        <w:t xml:space="preserve">assess the intangible depreciating asset’s effective life, the choice must be made for the income year in which the asset’s start time occurs. </w:t>
      </w:r>
      <w:r>
        <w:rPr>
          <w:rStyle w:val="Referencingstyle"/>
        </w:rPr>
        <w:t>[Schedule #, i</w:t>
      </w:r>
      <w:r w:rsidRPr="00375F1D">
        <w:rPr>
          <w:rStyle w:val="Referencingstyle"/>
        </w:rPr>
        <w:t xml:space="preserve">tem </w:t>
      </w:r>
      <w:r w:rsidR="004804E7">
        <w:rPr>
          <w:rStyle w:val="Referencingstyle"/>
        </w:rPr>
        <w:t>10</w:t>
      </w:r>
      <w:r w:rsidRPr="00375F1D">
        <w:rPr>
          <w:rStyle w:val="Referencingstyle"/>
        </w:rPr>
        <w:t>,</w:t>
      </w:r>
      <w:r>
        <w:rPr>
          <w:rStyle w:val="Referencingstyle"/>
        </w:rPr>
        <w:t xml:space="preserve"> subsection 40</w:t>
      </w:r>
      <w:r>
        <w:rPr>
          <w:rStyle w:val="Referencingstyle"/>
        </w:rPr>
        <w:noBreakHyphen/>
        <w:t>95(7A)</w:t>
      </w:r>
      <w:r w:rsidRPr="00375F1D">
        <w:rPr>
          <w:rStyle w:val="Referencingstyle"/>
        </w:rPr>
        <w:t>]</w:t>
      </w:r>
    </w:p>
    <w:p w14:paraId="310DAA13" w14:textId="46427D14" w:rsidR="00890E14" w:rsidRPr="00890E14" w:rsidRDefault="00890E14" w:rsidP="00890E14">
      <w:pPr>
        <w:pStyle w:val="base-text-paragraph"/>
      </w:pPr>
      <w:r w:rsidRPr="00890E14">
        <w:t>The choice must be made by the day the taxpayer lodges their income tax return for the income year</w:t>
      </w:r>
      <w:r w:rsidR="00FF0A13">
        <w:t xml:space="preserve"> </w:t>
      </w:r>
      <w:r w:rsidRPr="00890E14">
        <w:t>unless a later time is allowed by the Commissioner of Taxation.</w:t>
      </w:r>
    </w:p>
    <w:p w14:paraId="6D96B704" w14:textId="7C316AC5" w:rsidR="00890E14" w:rsidRDefault="00890E14" w:rsidP="00890E14">
      <w:pPr>
        <w:pStyle w:val="base-text-paragraph"/>
      </w:pPr>
      <w:r w:rsidRPr="00890E14">
        <w:t xml:space="preserve">The choice applies to that income year and all later income years, except where a choice is made to recalculate the effective </w:t>
      </w:r>
      <w:r w:rsidR="00AD335C" w:rsidRPr="00890E14">
        <w:t>life,</w:t>
      </w:r>
      <w:r w:rsidR="001B3881">
        <w:t xml:space="preserve"> or where the taxpayer must recalculate the effective life</w:t>
      </w:r>
      <w:r w:rsidRPr="00890E14">
        <w:t xml:space="preserve"> (see paragraph</w:t>
      </w:r>
      <w:r w:rsidR="002F1B67">
        <w:t xml:space="preserve">s </w:t>
      </w:r>
      <w:r w:rsidR="002F1B67">
        <w:fldChar w:fldCharType="begin"/>
      </w:r>
      <w:r w:rsidR="002F1B67">
        <w:instrText xml:space="preserve"> REF _Ref83109521 \r \h </w:instrText>
      </w:r>
      <w:r w:rsidR="002F1B67">
        <w:fldChar w:fldCharType="separate"/>
      </w:r>
      <w:r w:rsidR="004B0EEF">
        <w:t>1.21</w:t>
      </w:r>
      <w:r w:rsidR="002F1B67">
        <w:fldChar w:fldCharType="end"/>
      </w:r>
      <w:r w:rsidR="002F1B67">
        <w:t xml:space="preserve"> to </w:t>
      </w:r>
      <w:r w:rsidR="002F1B67">
        <w:fldChar w:fldCharType="begin"/>
      </w:r>
      <w:r w:rsidR="002F1B67">
        <w:instrText xml:space="preserve"> REF _Ref83392368 \r \h </w:instrText>
      </w:r>
      <w:r w:rsidR="002F1B67">
        <w:fldChar w:fldCharType="separate"/>
      </w:r>
      <w:r w:rsidR="004B0EEF">
        <w:t>1.25</w:t>
      </w:r>
      <w:r w:rsidR="002F1B67">
        <w:fldChar w:fldCharType="end"/>
      </w:r>
      <w:r w:rsidRPr="00D53435">
        <w:t>).</w:t>
      </w:r>
    </w:p>
    <w:p w14:paraId="58C27BCB" w14:textId="186EC64A" w:rsidR="00890E14" w:rsidRPr="00890E14" w:rsidRDefault="00890E14" w:rsidP="00890E14">
      <w:pPr>
        <w:pStyle w:val="Heading4"/>
      </w:pPr>
      <w:r>
        <w:t xml:space="preserve">Associate and same user rules </w:t>
      </w:r>
    </w:p>
    <w:p w14:paraId="352C4302" w14:textId="580A4F35" w:rsidR="00890E14" w:rsidRPr="00890E14" w:rsidRDefault="00890E14" w:rsidP="00890E14">
      <w:pPr>
        <w:pStyle w:val="base-text-paragraph"/>
      </w:pPr>
      <w:r w:rsidRPr="00890E14">
        <w:t>Subsections 40</w:t>
      </w:r>
      <w:r w:rsidR="00D53435">
        <w:noBreakHyphen/>
      </w:r>
      <w:r w:rsidRPr="00890E14">
        <w:t>95(4) and (5) continue to oblige a taxpayer to use an effective life equal to the effective life of the former holder that is yet to elapse at the time the new holder starts to hold the asset if a depreciating asset:</w:t>
      </w:r>
    </w:p>
    <w:p w14:paraId="123BA055" w14:textId="360C3A4F" w:rsidR="00890E14" w:rsidRDefault="00890E14" w:rsidP="00890E14">
      <w:pPr>
        <w:pStyle w:val="dotpoint"/>
      </w:pPr>
      <w:r>
        <w:lastRenderedPageBreak/>
        <w:t xml:space="preserve">is acquired from an associate, who has deducted or </w:t>
      </w:r>
      <w:r w:rsidR="00BF3F88">
        <w:t xml:space="preserve">can </w:t>
      </w:r>
      <w:r>
        <w:t>deduct the decline in value of the asset;</w:t>
      </w:r>
    </w:p>
    <w:p w14:paraId="1482851E" w14:textId="51565132" w:rsidR="00890E14" w:rsidRDefault="00890E14" w:rsidP="00890E14">
      <w:pPr>
        <w:pStyle w:val="dotpoint"/>
      </w:pPr>
      <w:r>
        <w:t xml:space="preserve">continues to be used by the same user; or </w:t>
      </w:r>
    </w:p>
    <w:p w14:paraId="7726A51B" w14:textId="19F022CD" w:rsidR="00890E14" w:rsidRDefault="00890E14" w:rsidP="00890E14">
      <w:pPr>
        <w:pStyle w:val="dotpoint"/>
      </w:pPr>
      <w:r>
        <w:t>has a new user who is an associate of the former user.</w:t>
      </w:r>
    </w:p>
    <w:p w14:paraId="2C73E280" w14:textId="0E25BB93" w:rsidR="00890E14" w:rsidRPr="00C80F21" w:rsidRDefault="00890E14" w:rsidP="00890E14">
      <w:pPr>
        <w:pStyle w:val="base-text-paragraph"/>
        <w:rPr>
          <w:rStyle w:val="Referencingstyle"/>
          <w:b w:val="0"/>
          <w:i w:val="0"/>
          <w:sz w:val="22"/>
        </w:rPr>
      </w:pPr>
      <w:r w:rsidRPr="00890E14">
        <w:t xml:space="preserve">These rules will apply consistently to intangible depreciating assets listed in </w:t>
      </w:r>
      <w:r w:rsidRPr="00C80F21">
        <w:t>the table in subsection 40</w:t>
      </w:r>
      <w:r w:rsidRPr="00C80F21">
        <w:noBreakHyphen/>
        <w:t>95(7)</w:t>
      </w:r>
      <w:r w:rsidR="007C3B00" w:rsidRPr="00C80F21">
        <w:t xml:space="preserve"> that a taxpayer starts to hold on or after 1 July 2023</w:t>
      </w:r>
      <w:r w:rsidRPr="00C80F21">
        <w:t>. Consequently, the new holder of the asset does not have the choice to self</w:t>
      </w:r>
      <w:r w:rsidRPr="00C80F21">
        <w:noBreakHyphen/>
        <w:t>assess the effective life of the asset or use the statutory effective life in the table in subsection 40</w:t>
      </w:r>
      <w:r w:rsidRPr="00C80F21">
        <w:noBreakHyphen/>
        <w:t>95(7).</w:t>
      </w:r>
      <w:r w:rsidR="00B1287F" w:rsidRPr="00C80F21">
        <w:t xml:space="preserve"> </w:t>
      </w:r>
      <w:r w:rsidR="00B1287F" w:rsidRPr="00C80F21">
        <w:rPr>
          <w:rStyle w:val="Referencingstyle"/>
        </w:rPr>
        <w:t xml:space="preserve">[Schedule #, item </w:t>
      </w:r>
      <w:r w:rsidR="00014003">
        <w:rPr>
          <w:rStyle w:val="Referencingstyle"/>
        </w:rPr>
        <w:t>10</w:t>
      </w:r>
      <w:r w:rsidR="00B1287F" w:rsidRPr="00C80F21">
        <w:rPr>
          <w:rStyle w:val="Referencingstyle"/>
        </w:rPr>
        <w:t>, subsection 40-95(7B)]</w:t>
      </w:r>
    </w:p>
    <w:p w14:paraId="2D6E02C0" w14:textId="4437E013" w:rsidR="00B1287F" w:rsidRPr="00C80F21" w:rsidRDefault="00B1287F" w:rsidP="00D53435">
      <w:pPr>
        <w:pStyle w:val="ExampleHeading"/>
        <w:rPr>
          <w:rStyle w:val="Referencingstyle"/>
          <w:i w:val="0"/>
          <w:sz w:val="22"/>
        </w:rPr>
      </w:pPr>
    </w:p>
    <w:p w14:paraId="64EF4870" w14:textId="7778EFF8" w:rsidR="00B1287F" w:rsidRPr="00C80F21" w:rsidRDefault="00B1287F" w:rsidP="00B1287F">
      <w:pPr>
        <w:pStyle w:val="exampletext"/>
      </w:pPr>
      <w:r w:rsidRPr="00C80F21">
        <w:t>Amy acquired a standard patent on 1 July 20</w:t>
      </w:r>
      <w:r w:rsidR="00D53435" w:rsidRPr="00C80F21">
        <w:t>24</w:t>
      </w:r>
      <w:r w:rsidRPr="00C80F21">
        <w:t xml:space="preserve"> for $150,000. She self</w:t>
      </w:r>
      <w:r w:rsidR="00D53435" w:rsidRPr="00C80F21">
        <w:noBreakHyphen/>
      </w:r>
      <w:r w:rsidRPr="00C80F21">
        <w:t>assesses the effective life of the standard patent to be 15 years and works out the decline in value to be $10,000 per annum.</w:t>
      </w:r>
    </w:p>
    <w:p w14:paraId="4ABAD311" w14:textId="6937219E" w:rsidR="00B1287F" w:rsidRPr="00C80F21" w:rsidRDefault="00B1287F" w:rsidP="00B1287F">
      <w:pPr>
        <w:pStyle w:val="exampletext"/>
      </w:pPr>
      <w:r w:rsidRPr="00C80F21">
        <w:t xml:space="preserve">Amy deducts the decline in value of the standard patent for the </w:t>
      </w:r>
      <w:r w:rsidR="00D53435" w:rsidRPr="00C80F21">
        <w:t>2024</w:t>
      </w:r>
      <w:r w:rsidR="00D53435" w:rsidRPr="00C80F21">
        <w:noBreakHyphen/>
        <w:t>25, 2025</w:t>
      </w:r>
      <w:r w:rsidR="00D53435" w:rsidRPr="00C80F21">
        <w:noBreakHyphen/>
        <w:t>26 and 2026</w:t>
      </w:r>
      <w:r w:rsidR="00D53435" w:rsidRPr="00C80F21">
        <w:noBreakHyphen/>
        <w:t xml:space="preserve">27 </w:t>
      </w:r>
      <w:r w:rsidRPr="00C80F21">
        <w:t>income years.</w:t>
      </w:r>
    </w:p>
    <w:p w14:paraId="7C401FF8" w14:textId="2DB5EAE3" w:rsidR="00B1287F" w:rsidRPr="00C80F21" w:rsidRDefault="00B1287F" w:rsidP="00B1287F">
      <w:pPr>
        <w:pStyle w:val="exampletext"/>
      </w:pPr>
      <w:r w:rsidRPr="00C80F21">
        <w:t>On 1 July 20</w:t>
      </w:r>
      <w:r w:rsidR="00FF0A13" w:rsidRPr="00C80F21">
        <w:t>27</w:t>
      </w:r>
      <w:r w:rsidRPr="00C80F21">
        <w:t>, Amy sells the standard patent for $120,000 to an associate, Michael.</w:t>
      </w:r>
    </w:p>
    <w:p w14:paraId="43176368" w14:textId="6F4CBEC9" w:rsidR="00B1287F" w:rsidRPr="00C80F21" w:rsidRDefault="00B1287F" w:rsidP="00B1287F">
      <w:pPr>
        <w:pStyle w:val="exampletext"/>
      </w:pPr>
      <w:r w:rsidRPr="00C80F21">
        <w:t>Michael is not able to choose to self</w:t>
      </w:r>
      <w:r w:rsidR="00FF0A13" w:rsidRPr="00C80F21">
        <w:noBreakHyphen/>
      </w:r>
      <w:r w:rsidRPr="00C80F21">
        <w:t>assess the effective life or use the statutory effective life for the standard patent, because the associate rule in subsection 40</w:t>
      </w:r>
      <w:r w:rsidR="00FF0A13" w:rsidRPr="00C80F21">
        <w:noBreakHyphen/>
      </w:r>
      <w:r w:rsidRPr="00C80F21">
        <w:t>95(4) would apply to him. He must use the effective life Amy has been using that is yet to elapse at the time he starts to hold the standard patent.</w:t>
      </w:r>
    </w:p>
    <w:p w14:paraId="2E9C13DE" w14:textId="441441CD" w:rsidR="00B1287F" w:rsidRPr="00B1287F" w:rsidRDefault="00B1287F" w:rsidP="00B1287F">
      <w:pPr>
        <w:pStyle w:val="exampletext"/>
      </w:pPr>
      <w:r w:rsidRPr="00C80F21">
        <w:t>On 1 July 202</w:t>
      </w:r>
      <w:r w:rsidR="00FF0A13" w:rsidRPr="00C80F21">
        <w:t>7</w:t>
      </w:r>
      <w:r w:rsidRPr="00C80F21">
        <w:t>, there</w:t>
      </w:r>
      <w:r>
        <w:t xml:space="preserve"> are 12 years yet to elapse on the effective life that Amy has been using, so Michael must use an effective life of 12</w:t>
      </w:r>
      <w:r w:rsidR="00FF0A13">
        <w:t> </w:t>
      </w:r>
      <w:r>
        <w:t>years for the standard patent in working out his decline in value.</w:t>
      </w:r>
    </w:p>
    <w:p w14:paraId="3A267592" w14:textId="77777777" w:rsidR="00B1287F" w:rsidRPr="00B1287F" w:rsidRDefault="00B1287F" w:rsidP="00B1287F">
      <w:pPr>
        <w:pStyle w:val="base-text-paragraph"/>
      </w:pPr>
      <w:r w:rsidRPr="00B1287F">
        <w:t>However, the new holder must use the effective life applicable to the asset in the table in subsection 40</w:t>
      </w:r>
      <w:r w:rsidRPr="00B1287F">
        <w:noBreakHyphen/>
        <w:t>95(7), where the asset continues to be used by the former user or has a new user who is an associate of the former user and:</w:t>
      </w:r>
    </w:p>
    <w:p w14:paraId="692E8DB4" w14:textId="77777777" w:rsidR="00B1287F" w:rsidRDefault="00B1287F" w:rsidP="00B1287F">
      <w:pPr>
        <w:pStyle w:val="dotpoint"/>
      </w:pPr>
      <w:r>
        <w:t>the new holder does not know and cannot readily find out which effective life the former holder was using; or</w:t>
      </w:r>
    </w:p>
    <w:p w14:paraId="5A3BDC8A" w14:textId="77777777" w:rsidR="00B1287F" w:rsidRDefault="00B1287F" w:rsidP="00B1287F">
      <w:pPr>
        <w:pStyle w:val="dotpoint"/>
      </w:pPr>
      <w:r>
        <w:t xml:space="preserve">the former holder did not use an effective life. </w:t>
      </w:r>
    </w:p>
    <w:p w14:paraId="39FF1B11" w14:textId="7195BBD9" w:rsidR="00B1287F" w:rsidRDefault="00B1287F" w:rsidP="00B1287F">
      <w:pPr>
        <w:pStyle w:val="dotpoint"/>
        <w:numPr>
          <w:ilvl w:val="0"/>
          <w:numId w:val="0"/>
        </w:numPr>
        <w:ind w:left="1984"/>
      </w:pPr>
      <w:r>
        <w:rPr>
          <w:rStyle w:val="Referencingstyle"/>
        </w:rPr>
        <w:t>[Schedule #, items 6 and 7, subsections 40</w:t>
      </w:r>
      <w:r>
        <w:rPr>
          <w:rStyle w:val="Referencingstyle"/>
        </w:rPr>
        <w:noBreakHyphen/>
        <w:t>95(6) and (6A</w:t>
      </w:r>
      <w:r w:rsidR="007C3B00">
        <w:rPr>
          <w:rStyle w:val="Referencingstyle"/>
        </w:rPr>
        <w:t>)</w:t>
      </w:r>
      <w:r w:rsidRPr="00375F1D">
        <w:rPr>
          <w:rStyle w:val="Referencingstyle"/>
        </w:rPr>
        <w:t>]</w:t>
      </w:r>
    </w:p>
    <w:p w14:paraId="4425F905" w14:textId="2A49703D" w:rsidR="00B1287F" w:rsidRDefault="00B1287F" w:rsidP="00B1287F">
      <w:pPr>
        <w:pStyle w:val="Heading4"/>
      </w:pPr>
      <w:r>
        <w:t>Recalculation of effective life</w:t>
      </w:r>
    </w:p>
    <w:p w14:paraId="3BF42561" w14:textId="3AAA7826" w:rsidR="00B1287F" w:rsidRPr="00B1287F" w:rsidRDefault="00B1287F" w:rsidP="00B1287F">
      <w:pPr>
        <w:pStyle w:val="base-text-paragraph"/>
      </w:pPr>
      <w:bookmarkStart w:id="40" w:name="_Ref83109521"/>
      <w:r w:rsidRPr="00B1287F">
        <w:t>Where there are changes in a later income year to the circumstances relating to the nature of the use of an intangible asset that is in the table in subsection 40</w:t>
      </w:r>
      <w:r w:rsidR="00FC3BC7">
        <w:noBreakHyphen/>
      </w:r>
      <w:r w:rsidRPr="00B1287F">
        <w:t>95(7) that the taxpayer starts to hold</w:t>
      </w:r>
      <w:r w:rsidR="00E57092">
        <w:t xml:space="preserve"> on or </w:t>
      </w:r>
      <w:r w:rsidRPr="00B1287F">
        <w:t>after 1</w:t>
      </w:r>
      <w:r w:rsidR="00FF0A13">
        <w:t> </w:t>
      </w:r>
      <w:r w:rsidRPr="00C80F21">
        <w:t>July 20</w:t>
      </w:r>
      <w:r w:rsidR="00FF0A13" w:rsidRPr="00C80F21">
        <w:t>23</w:t>
      </w:r>
      <w:r w:rsidRPr="00C80F21">
        <w:t>,</w:t>
      </w:r>
      <w:r w:rsidRPr="00B1287F">
        <w:t xml:space="preserve"> the effective life of the asset may be recalculated. This </w:t>
      </w:r>
      <w:r w:rsidRPr="00B1287F">
        <w:lastRenderedPageBreak/>
        <w:t>is only available where the change in use makes the effective life that is being used inaccurate.</w:t>
      </w:r>
      <w:r>
        <w:t xml:space="preserve"> </w:t>
      </w:r>
      <w:r>
        <w:rPr>
          <w:rStyle w:val="Referencingstyle"/>
        </w:rPr>
        <w:t xml:space="preserve">[Schedule #, </w:t>
      </w:r>
      <w:r w:rsidRPr="00B1287F">
        <w:rPr>
          <w:rStyle w:val="Referencingstyle"/>
        </w:rPr>
        <w:t xml:space="preserve">item </w:t>
      </w:r>
      <w:r w:rsidR="00B5046B">
        <w:rPr>
          <w:rStyle w:val="Referencingstyle"/>
        </w:rPr>
        <w:t>15</w:t>
      </w:r>
      <w:r w:rsidRPr="00B1287F">
        <w:rPr>
          <w:rStyle w:val="Referencingstyle"/>
        </w:rPr>
        <w:t>, subsection 40</w:t>
      </w:r>
      <w:r w:rsidR="00FC3BC7">
        <w:rPr>
          <w:rStyle w:val="Referencingstyle"/>
        </w:rPr>
        <w:noBreakHyphen/>
      </w:r>
      <w:r w:rsidRPr="00B1287F">
        <w:rPr>
          <w:rStyle w:val="Referencingstyle"/>
        </w:rPr>
        <w:t>110(5)</w:t>
      </w:r>
      <w:r w:rsidRPr="00375F1D">
        <w:rPr>
          <w:rStyle w:val="Referencingstyle"/>
        </w:rPr>
        <w:t>]</w:t>
      </w:r>
      <w:bookmarkEnd w:id="40"/>
    </w:p>
    <w:p w14:paraId="5727E80C" w14:textId="1C6F7BE9" w:rsidR="00B1287F" w:rsidRPr="00B1287F" w:rsidRDefault="00B1287F" w:rsidP="00B1287F">
      <w:pPr>
        <w:pStyle w:val="base-text-paragraph"/>
      </w:pPr>
      <w:r w:rsidRPr="00B1287F">
        <w:t>If the cost of the asset increases by at least 10 per cent in a later income year the taxpayer must recalculate the asset’s effective life.</w:t>
      </w:r>
      <w:r>
        <w:t xml:space="preserve"> </w:t>
      </w:r>
      <w:r w:rsidRPr="00B1287F">
        <w:rPr>
          <w:rStyle w:val="Referencingstyle"/>
        </w:rPr>
        <w:t xml:space="preserve">[Schedule </w:t>
      </w:r>
      <w:r w:rsidR="00136DE2">
        <w:rPr>
          <w:rStyle w:val="Referencingstyle"/>
        </w:rPr>
        <w:t>#</w:t>
      </w:r>
      <w:r w:rsidRPr="00B1287F">
        <w:rPr>
          <w:rStyle w:val="Referencingstyle"/>
        </w:rPr>
        <w:t xml:space="preserve">, items </w:t>
      </w:r>
      <w:r w:rsidR="00B5046B">
        <w:rPr>
          <w:rStyle w:val="Referencingstyle"/>
        </w:rPr>
        <w:t>13</w:t>
      </w:r>
      <w:r w:rsidRPr="00B1287F">
        <w:rPr>
          <w:rStyle w:val="Referencingstyle"/>
        </w:rPr>
        <w:t xml:space="preserve"> to </w:t>
      </w:r>
      <w:r w:rsidR="00B5046B">
        <w:rPr>
          <w:rStyle w:val="Referencingstyle"/>
        </w:rPr>
        <w:t>15</w:t>
      </w:r>
      <w:r w:rsidRPr="00B1287F">
        <w:rPr>
          <w:rStyle w:val="Referencingstyle"/>
        </w:rPr>
        <w:t>, subparagraphs 40</w:t>
      </w:r>
      <w:r w:rsidR="00136DE2">
        <w:rPr>
          <w:rStyle w:val="Referencingstyle"/>
        </w:rPr>
        <w:noBreakHyphen/>
      </w:r>
      <w:r w:rsidRPr="00B1287F">
        <w:rPr>
          <w:rStyle w:val="Referencingstyle"/>
        </w:rPr>
        <w:t>110(2)(a)(iii) and (iv)</w:t>
      </w:r>
      <w:r w:rsidR="00B5046B">
        <w:rPr>
          <w:rStyle w:val="Referencingstyle"/>
        </w:rPr>
        <w:t>,</w:t>
      </w:r>
      <w:r w:rsidRPr="00B1287F">
        <w:rPr>
          <w:rStyle w:val="Referencingstyle"/>
        </w:rPr>
        <w:t xml:space="preserve"> and subsection</w:t>
      </w:r>
      <w:r w:rsidR="00136DE2">
        <w:rPr>
          <w:rStyle w:val="Referencingstyle"/>
        </w:rPr>
        <w:t> </w:t>
      </w:r>
      <w:r w:rsidRPr="00B1287F">
        <w:rPr>
          <w:rStyle w:val="Referencingstyle"/>
        </w:rPr>
        <w:t>40</w:t>
      </w:r>
      <w:r w:rsidR="00136DE2">
        <w:rPr>
          <w:rStyle w:val="Referencingstyle"/>
        </w:rPr>
        <w:noBreakHyphen/>
      </w:r>
      <w:r w:rsidRPr="00B1287F">
        <w:rPr>
          <w:rStyle w:val="Referencingstyle"/>
        </w:rPr>
        <w:t>110(5)]</w:t>
      </w:r>
    </w:p>
    <w:p w14:paraId="03AA8EF3" w14:textId="77777777" w:rsidR="00B1287F" w:rsidRDefault="00B1287F" w:rsidP="00B1287F">
      <w:pPr>
        <w:pStyle w:val="base-text-paragraph"/>
      </w:pPr>
      <w:r>
        <w:t>The taxpayer must also recalculate the effective life of the asset for the income year that the taxpayer starts to hold it if:</w:t>
      </w:r>
    </w:p>
    <w:p w14:paraId="0A948124" w14:textId="77777777" w:rsidR="00B1287F" w:rsidRPr="00B1287F" w:rsidRDefault="00B1287F" w:rsidP="00B1287F">
      <w:pPr>
        <w:pStyle w:val="dotpoint"/>
      </w:pPr>
      <w:r w:rsidRPr="00B1287F">
        <w:t>the taxpayer is using an effective life because of the associate or same user rule in subsection 40</w:t>
      </w:r>
      <w:r w:rsidRPr="00B1287F">
        <w:noBreakHyphen/>
        <w:t>95(4) or (5); and</w:t>
      </w:r>
    </w:p>
    <w:p w14:paraId="23265050" w14:textId="7BF14A0B" w:rsidR="00B1287F" w:rsidRDefault="00B1287F" w:rsidP="00B1287F">
      <w:pPr>
        <w:pStyle w:val="dotpoint"/>
      </w:pPr>
      <w:r>
        <w:t>the asset’s cost increases after the taxpayer starts to hold it in that year by at least 10 per cent.</w:t>
      </w:r>
      <w:r w:rsidR="00EC669A">
        <w:t xml:space="preserve"> </w:t>
      </w:r>
      <w:r w:rsidR="00EC669A">
        <w:rPr>
          <w:rStyle w:val="Referencingstyle"/>
        </w:rPr>
        <w:t xml:space="preserve">[Schedule #, item </w:t>
      </w:r>
      <w:r w:rsidR="00B5046B">
        <w:rPr>
          <w:rStyle w:val="Referencingstyle"/>
        </w:rPr>
        <w:t>15</w:t>
      </w:r>
      <w:r w:rsidR="00EC669A">
        <w:rPr>
          <w:rStyle w:val="Referencingstyle"/>
        </w:rPr>
        <w:t>, subsection</w:t>
      </w:r>
      <w:r w:rsidR="00136DE2">
        <w:rPr>
          <w:rStyle w:val="Referencingstyle"/>
        </w:rPr>
        <w:t> </w:t>
      </w:r>
      <w:r w:rsidR="00EC669A">
        <w:rPr>
          <w:rStyle w:val="Referencingstyle"/>
        </w:rPr>
        <w:t>40</w:t>
      </w:r>
      <w:r w:rsidR="00EC669A">
        <w:rPr>
          <w:rStyle w:val="Referencingstyle"/>
        </w:rPr>
        <w:noBreakHyphen/>
        <w:t>110(5)]</w:t>
      </w:r>
    </w:p>
    <w:p w14:paraId="42C45E6E" w14:textId="77777777" w:rsidR="00EC669A" w:rsidRPr="00EC669A" w:rsidRDefault="00EC669A" w:rsidP="00EC669A">
      <w:pPr>
        <w:pStyle w:val="base-text-paragraph"/>
      </w:pPr>
      <w:r w:rsidRPr="00EC669A">
        <w:t>This treatment is consistent with the treatment of tangible depreciating assets.</w:t>
      </w:r>
    </w:p>
    <w:p w14:paraId="2DC4E4C7" w14:textId="7435655E" w:rsidR="00F40D43" w:rsidRDefault="00EC669A" w:rsidP="00EC669A">
      <w:pPr>
        <w:pStyle w:val="base-text-paragraph"/>
      </w:pPr>
      <w:bookmarkStart w:id="41" w:name="_Ref83392368"/>
      <w:r>
        <w:t xml:space="preserve">A recalculation of the effective life </w:t>
      </w:r>
      <w:r w:rsidRPr="00C80F21">
        <w:t>of an intangible depreciating asset</w:t>
      </w:r>
      <w:r w:rsidR="007C3B00" w:rsidRPr="00C80F21">
        <w:t xml:space="preserve"> that a taxpayer starts to hold on or after 1 July 2023</w:t>
      </w:r>
      <w:r w:rsidRPr="00C80F21">
        <w:t xml:space="preserve"> must be done under section 40</w:t>
      </w:r>
      <w:r w:rsidRPr="00C80F21">
        <w:noBreakHyphen/>
        <w:t>105 using self</w:t>
      </w:r>
      <w:r w:rsidRPr="00C80F21">
        <w:noBreakHyphen/>
        <w:t>assessment (see paragraph</w:t>
      </w:r>
      <w:r w:rsidR="00D221C9">
        <w:t xml:space="preserve"> </w:t>
      </w:r>
      <w:r w:rsidR="00D221C9">
        <w:fldChar w:fldCharType="begin"/>
      </w:r>
      <w:r w:rsidR="00D221C9">
        <w:instrText xml:space="preserve"> REF _Ref83891257 \r \h </w:instrText>
      </w:r>
      <w:r w:rsidR="00D221C9">
        <w:fldChar w:fldCharType="separate"/>
      </w:r>
      <w:r w:rsidR="004B0EEF">
        <w:t>1.12</w:t>
      </w:r>
      <w:r w:rsidR="00D221C9">
        <w:fldChar w:fldCharType="end"/>
      </w:r>
      <w:r>
        <w:t>).</w:t>
      </w:r>
      <w:bookmarkEnd w:id="41"/>
    </w:p>
    <w:p w14:paraId="18A70233" w14:textId="0E527A3A" w:rsidR="00A77818" w:rsidRDefault="00A77818" w:rsidP="00A77818">
      <w:pPr>
        <w:pStyle w:val="Heading2"/>
      </w:pPr>
      <w:r>
        <w:t>Consequential amendments</w:t>
      </w:r>
    </w:p>
    <w:p w14:paraId="278F6131" w14:textId="03F5922B" w:rsidR="00EC669A" w:rsidRDefault="00EC669A" w:rsidP="00EC669A">
      <w:pPr>
        <w:pStyle w:val="Heading4"/>
      </w:pPr>
      <w:r>
        <w:t>Adjustment to the prime cost method formula</w:t>
      </w:r>
    </w:p>
    <w:p w14:paraId="6665F9B3" w14:textId="45A1EC5A" w:rsidR="00EC669A" w:rsidRDefault="00EC669A" w:rsidP="00EC669A">
      <w:pPr>
        <w:pStyle w:val="base-text-paragraph"/>
      </w:pPr>
      <w:r>
        <w:t>If a holder of an intangible depreciating asset is not the first holder of the asset subsections 40</w:t>
      </w:r>
      <w:r>
        <w:noBreakHyphen/>
        <w:t>75(5) and (6) provide that the new holder needs to adjust the prime cost method formula to take into account the period that all former holders have held the asset. This adjustment does not apply to copyright, a licence relating to copyright or in</w:t>
      </w:r>
      <w:r>
        <w:noBreakHyphen/>
        <w:t>house software.</w:t>
      </w:r>
    </w:p>
    <w:p w14:paraId="71293785" w14:textId="77777777" w:rsidR="00EC669A" w:rsidRDefault="00EC669A" w:rsidP="00EC669A">
      <w:pPr>
        <w:pStyle w:val="base-text-paragraph"/>
      </w:pPr>
      <w:r>
        <w:t>That is, instead of using the statutory effective life in the table in subsection 40</w:t>
      </w:r>
      <w:r>
        <w:noBreakHyphen/>
        <w:t>95(7), the new holder must use the period remaining in that effective life as at the time the holder starts to hold the asset.</w:t>
      </w:r>
    </w:p>
    <w:p w14:paraId="5543CDF2" w14:textId="4B8C7A87" w:rsidR="00EC669A" w:rsidRDefault="00EC669A" w:rsidP="00EC669A">
      <w:pPr>
        <w:pStyle w:val="base-text-paragraph"/>
      </w:pPr>
      <w:r>
        <w:t>Subsections 40</w:t>
      </w:r>
      <w:r>
        <w:noBreakHyphen/>
        <w:t xml:space="preserve">75(5) and (6) are being amended to ensure that </w:t>
      </w:r>
      <w:r w:rsidR="002E7E1C">
        <w:t>the adjustment</w:t>
      </w:r>
      <w:r>
        <w:t xml:space="preserve"> applies only in situations where the new holder uses the statutory effective life specified in the table in subsection 40</w:t>
      </w:r>
      <w:r>
        <w:noBreakHyphen/>
        <w:t>95(7). This is the case regardless of whether the former holder used the statutory effective life or self</w:t>
      </w:r>
      <w:r>
        <w:noBreakHyphen/>
        <w:t xml:space="preserve">assessed effective life. </w:t>
      </w:r>
      <w:r>
        <w:rPr>
          <w:rStyle w:val="Referencingstyle"/>
        </w:rPr>
        <w:t>[Schedule #, items 1 to 5, subsections 40</w:t>
      </w:r>
      <w:r>
        <w:rPr>
          <w:rStyle w:val="Referencingstyle"/>
        </w:rPr>
        <w:noBreakHyphen/>
        <w:t>75(5) and (6)]</w:t>
      </w:r>
    </w:p>
    <w:p w14:paraId="5EC7BC20" w14:textId="77777777" w:rsidR="00EC669A" w:rsidRDefault="00EC669A" w:rsidP="00EC669A">
      <w:pPr>
        <w:pStyle w:val="Heading4"/>
      </w:pPr>
      <w:r>
        <w:lastRenderedPageBreak/>
        <w:t>Tax cost setting under the consolidation regime</w:t>
      </w:r>
    </w:p>
    <w:p w14:paraId="00C65BF3" w14:textId="36270C0D" w:rsidR="00EC669A" w:rsidRDefault="00EC669A" w:rsidP="00EC669A">
      <w:pPr>
        <w:pStyle w:val="base-text-paragraph"/>
      </w:pPr>
      <w:r>
        <w:t>When an entity joins or leaves a consolidated group its assets become or cease to be the assets of the group. The tax cost of the asset of the head company or leaving entity is set at the asset’s tax cost setting amount.</w:t>
      </w:r>
    </w:p>
    <w:p w14:paraId="410ACFFE" w14:textId="6BD0C60C" w:rsidR="00EC669A" w:rsidRPr="00FE32FC" w:rsidRDefault="00EC669A" w:rsidP="00FE32FC">
      <w:pPr>
        <w:pStyle w:val="base-text-paragraph"/>
        <w:rPr>
          <w:rStyle w:val="Referencingstyle"/>
          <w:b w:val="0"/>
          <w:i w:val="0"/>
        </w:rPr>
      </w:pPr>
      <w:r>
        <w:t xml:space="preserve">The meaning of </w:t>
      </w:r>
      <w:r>
        <w:rPr>
          <w:i/>
        </w:rPr>
        <w:t>tax cost is set</w:t>
      </w:r>
      <w:r>
        <w:t xml:space="preserve"> in section 701</w:t>
      </w:r>
      <w:r>
        <w:noBreakHyphen/>
        <w:t>55 is being amended so that it continues to apply appropriately to intangible depreciating assets listed in the table in subsection 40</w:t>
      </w:r>
      <w:r>
        <w:noBreakHyphen/>
        <w:t xml:space="preserve">95(7). </w:t>
      </w:r>
      <w:r>
        <w:rPr>
          <w:rStyle w:val="Referencingstyle"/>
        </w:rPr>
        <w:t xml:space="preserve">[Schedule </w:t>
      </w:r>
      <w:r w:rsidR="00136DE2">
        <w:rPr>
          <w:rStyle w:val="Referencingstyle"/>
        </w:rPr>
        <w:t>#</w:t>
      </w:r>
      <w:r>
        <w:rPr>
          <w:rStyle w:val="Referencingstyle"/>
        </w:rPr>
        <w:t xml:space="preserve">, items </w:t>
      </w:r>
      <w:r w:rsidR="00CC1A28">
        <w:rPr>
          <w:rStyle w:val="Referencingstyle"/>
        </w:rPr>
        <w:t>16</w:t>
      </w:r>
      <w:r>
        <w:rPr>
          <w:rStyle w:val="Referencingstyle"/>
        </w:rPr>
        <w:t xml:space="preserve"> to </w:t>
      </w:r>
      <w:r w:rsidR="00CC1A28">
        <w:rPr>
          <w:rStyle w:val="Referencingstyle"/>
        </w:rPr>
        <w:t>18</w:t>
      </w:r>
      <w:r>
        <w:rPr>
          <w:rStyle w:val="Referencingstyle"/>
        </w:rPr>
        <w:t>, paragraph 701-55(2)(d)]</w:t>
      </w:r>
    </w:p>
    <w:p w14:paraId="3997DC19" w14:textId="600B62E0" w:rsidR="00FE4CAD" w:rsidRPr="00FE4CAD" w:rsidRDefault="00FE4CAD" w:rsidP="002A6665">
      <w:pPr>
        <w:pStyle w:val="Heading4"/>
      </w:pPr>
      <w:r>
        <w:t>Minor and technical amendments</w:t>
      </w:r>
    </w:p>
    <w:p w14:paraId="38B100D0" w14:textId="5574A898" w:rsidR="00FE32FC" w:rsidRPr="00FE32FC" w:rsidRDefault="00FE32FC" w:rsidP="008C233E">
      <w:pPr>
        <w:pStyle w:val="base-text-paragraph"/>
        <w:rPr>
          <w:rStyle w:val="Referencingstyle"/>
          <w:b w:val="0"/>
          <w:i w:val="0"/>
        </w:rPr>
      </w:pPr>
      <w:r>
        <w:t xml:space="preserve">The table in subsection </w:t>
      </w:r>
      <w:r w:rsidRPr="00B1287F">
        <w:t>40</w:t>
      </w:r>
      <w:r w:rsidRPr="00B1287F">
        <w:noBreakHyphen/>
        <w:t>95(7</w:t>
      </w:r>
      <w:r>
        <w:t>) is amended to remove the</w:t>
      </w:r>
      <w:r w:rsidR="002141EA">
        <w:t xml:space="preserve"> table</w:t>
      </w:r>
      <w:r>
        <w:t xml:space="preserve"> item for petty patents. </w:t>
      </w:r>
      <w:r w:rsidR="007401C3">
        <w:t xml:space="preserve">The </w:t>
      </w:r>
      <w:r>
        <w:t xml:space="preserve">petty patent </w:t>
      </w:r>
      <w:r w:rsidR="007401C3">
        <w:t>system was replaced with the i</w:t>
      </w:r>
      <w:r>
        <w:t>nnovation patent system in 2001. T</w:t>
      </w:r>
      <w:r w:rsidRPr="00C02BAB">
        <w:t xml:space="preserve">here are no longer any petty patents that the depreciation rules could apply to. </w:t>
      </w:r>
      <w:r>
        <w:rPr>
          <w:rStyle w:val="Referencingstyle"/>
        </w:rPr>
        <w:t>[Schedule #, i</w:t>
      </w:r>
      <w:r w:rsidRPr="00375F1D">
        <w:rPr>
          <w:rStyle w:val="Referencingstyle"/>
        </w:rPr>
        <w:t xml:space="preserve">tem </w:t>
      </w:r>
      <w:r>
        <w:rPr>
          <w:rStyle w:val="Referencingstyle"/>
        </w:rPr>
        <w:t>9</w:t>
      </w:r>
      <w:r w:rsidRPr="00375F1D">
        <w:rPr>
          <w:rStyle w:val="Referencingstyle"/>
        </w:rPr>
        <w:t xml:space="preserve">, </w:t>
      </w:r>
      <w:r>
        <w:rPr>
          <w:rStyle w:val="Referencingstyle"/>
        </w:rPr>
        <w:t xml:space="preserve">table item 3 in the table in </w:t>
      </w:r>
      <w:r w:rsidRPr="00375F1D">
        <w:rPr>
          <w:rStyle w:val="Referencingstyle"/>
        </w:rPr>
        <w:t>s</w:t>
      </w:r>
      <w:r>
        <w:rPr>
          <w:rStyle w:val="Referencingstyle"/>
        </w:rPr>
        <w:t>ubs</w:t>
      </w:r>
      <w:r w:rsidRPr="00375F1D">
        <w:rPr>
          <w:rStyle w:val="Referencingstyle"/>
        </w:rPr>
        <w:t>ections</w:t>
      </w:r>
      <w:r>
        <w:rPr>
          <w:rStyle w:val="Referencingstyle"/>
        </w:rPr>
        <w:t xml:space="preserve"> 40</w:t>
      </w:r>
      <w:r>
        <w:rPr>
          <w:rStyle w:val="Referencingstyle"/>
        </w:rPr>
        <w:noBreakHyphen/>
        <w:t>95(7)</w:t>
      </w:r>
      <w:r w:rsidRPr="00375F1D">
        <w:rPr>
          <w:rStyle w:val="Referencingstyle"/>
        </w:rPr>
        <w:t>]</w:t>
      </w:r>
    </w:p>
    <w:p w14:paraId="4EE68207" w14:textId="77777777" w:rsidR="00EC669A" w:rsidRDefault="00EC669A" w:rsidP="00EC669A">
      <w:pPr>
        <w:pStyle w:val="Heading2"/>
      </w:pPr>
      <w:r>
        <w:t>Application and transitional provisions</w:t>
      </w:r>
    </w:p>
    <w:p w14:paraId="3D72D9E9" w14:textId="316F4376" w:rsidR="00C3452B" w:rsidRPr="00EC669A" w:rsidRDefault="00EC669A" w:rsidP="00C3452B">
      <w:pPr>
        <w:pStyle w:val="base-text-paragraph"/>
        <w:rPr>
          <w:rStyle w:val="Referencingstyle"/>
          <w:b w:val="0"/>
          <w:i w:val="0"/>
          <w:sz w:val="22"/>
        </w:rPr>
      </w:pPr>
      <w:r w:rsidRPr="00EC669A">
        <w:t xml:space="preserve">The new law applies to intangible depreciating assets, listed in the table </w:t>
      </w:r>
      <w:r w:rsidRPr="007A39C8">
        <w:t>in subsection 40</w:t>
      </w:r>
      <w:r w:rsidRPr="007A39C8">
        <w:noBreakHyphen/>
        <w:t>95(7), that a taxpayer starts to hold on or after 1 July 20</w:t>
      </w:r>
      <w:r w:rsidR="00EF3EC1" w:rsidRPr="007A39C8">
        <w:t>23</w:t>
      </w:r>
      <w:r w:rsidRPr="007A39C8">
        <w:t>. That is, the current law continues to apply to the intangible depreciating assets that a taxpayer holds before 1 July 20</w:t>
      </w:r>
      <w:r w:rsidR="00EF3EC1" w:rsidRPr="007A39C8">
        <w:t>23</w:t>
      </w:r>
      <w:r w:rsidRPr="007A39C8">
        <w:t xml:space="preserve">. </w:t>
      </w:r>
      <w:r w:rsidRPr="007A39C8">
        <w:rPr>
          <w:rStyle w:val="Referencingstyle"/>
        </w:rPr>
        <w:t>[Schedule</w:t>
      </w:r>
      <w:r>
        <w:rPr>
          <w:rStyle w:val="Referencingstyle"/>
        </w:rPr>
        <w:t xml:space="preserve"> #, items 8, </w:t>
      </w:r>
      <w:r w:rsidR="007C27CA">
        <w:rPr>
          <w:rStyle w:val="Referencingstyle"/>
        </w:rPr>
        <w:t>12</w:t>
      </w:r>
      <w:r>
        <w:rPr>
          <w:rStyle w:val="Referencingstyle"/>
        </w:rPr>
        <w:t> and </w:t>
      </w:r>
      <w:r w:rsidR="007C27CA">
        <w:rPr>
          <w:rStyle w:val="Referencingstyle"/>
        </w:rPr>
        <w:t>15</w:t>
      </w:r>
      <w:r>
        <w:rPr>
          <w:rStyle w:val="Referencingstyle"/>
        </w:rPr>
        <w:t>, subsection 40</w:t>
      </w:r>
      <w:r>
        <w:rPr>
          <w:rStyle w:val="Referencingstyle"/>
        </w:rPr>
        <w:noBreakHyphen/>
        <w:t>95(7), paragraph 40</w:t>
      </w:r>
      <w:r>
        <w:rPr>
          <w:rStyle w:val="Referencingstyle"/>
        </w:rPr>
        <w:noBreakHyphen/>
        <w:t>105(4)(a) and subsection 40</w:t>
      </w:r>
      <w:r>
        <w:rPr>
          <w:rStyle w:val="Referencingstyle"/>
        </w:rPr>
        <w:noBreakHyphen/>
        <w:t>110(5)</w:t>
      </w:r>
      <w:r w:rsidRPr="00375F1D">
        <w:rPr>
          <w:rStyle w:val="Referencingstyle"/>
        </w:rPr>
        <w:t>]</w:t>
      </w:r>
    </w:p>
    <w:p w14:paraId="488F66F3" w14:textId="50097044" w:rsidR="00C3452B" w:rsidRDefault="00EC669A" w:rsidP="008A13C1">
      <w:pPr>
        <w:pStyle w:val="base-text-paragraph"/>
        <w:spacing w:before="0" w:after="160" w:line="259" w:lineRule="auto"/>
      </w:pPr>
      <w:r>
        <w:t>In this regard, the new law is beneficial to affected taxpayers as it allows taxpayers to choose an effective life for an intangible depreciating asset that reflects the actual economic life of the asset, rather than using the statutory effective life.</w:t>
      </w:r>
    </w:p>
    <w:sectPr w:rsidR="00C3452B" w:rsidSect="00C10AAF">
      <w:footerReference w:type="even" r:id="rId24"/>
      <w:footerReference w:type="default" r:id="rId25"/>
      <w:footerReference w:type="first" r:id="rId2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F5809" w14:textId="77777777" w:rsidR="008C233E" w:rsidRDefault="008C233E" w:rsidP="00C3452B">
      <w:pPr>
        <w:spacing w:before="0" w:after="0"/>
      </w:pPr>
      <w:r>
        <w:separator/>
      </w:r>
    </w:p>
  </w:endnote>
  <w:endnote w:type="continuationSeparator" w:id="0">
    <w:p w14:paraId="2BE2A813" w14:textId="77777777" w:rsidR="008C233E" w:rsidRDefault="008C233E" w:rsidP="00C345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70B1" w14:textId="77777777" w:rsidR="008C233E" w:rsidRDefault="008C233E" w:rsidP="008C233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90F9" w14:textId="77777777" w:rsidR="008C233E" w:rsidRDefault="008C233E" w:rsidP="008C233E">
    <w:pPr>
      <w:pStyle w:val="leftfooter"/>
    </w:pPr>
    <w:r>
      <w:fldChar w:fldCharType="begin"/>
    </w:r>
    <w:r>
      <w:instrText xml:space="preserve"> PAGE   \* MERGEFORMAT </w:instrText>
    </w:r>
    <w:r>
      <w:fldChar w:fldCharType="separate"/>
    </w:r>
    <w:r>
      <w:rPr>
        <w:noProof/>
      </w:rPr>
      <w:t>6</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2" w:name="_Hlk26336195"/>
  <w:bookmarkStart w:id="43" w:name="_Hlk26336196"/>
  <w:bookmarkStart w:id="44" w:name="_Hlk26336199"/>
  <w:bookmarkStart w:id="45" w:name="_Hlk26336200"/>
  <w:p w14:paraId="2BEA9F14" w14:textId="77777777" w:rsidR="008C233E" w:rsidRDefault="008C233E" w:rsidP="008C233E">
    <w:pPr>
      <w:pStyle w:val="rightfooter"/>
    </w:pPr>
    <w:r>
      <w:fldChar w:fldCharType="begin"/>
    </w:r>
    <w:r>
      <w:instrText xml:space="preserve"> PAGE   \* MERGEFORMAT </w:instrText>
    </w:r>
    <w:r>
      <w:fldChar w:fldCharType="separate"/>
    </w:r>
    <w:r>
      <w:rPr>
        <w:noProof/>
      </w:rPr>
      <w:t>11</w:t>
    </w:r>
    <w:r>
      <w:rPr>
        <w:noProof/>
      </w:rPr>
      <w:fldChar w:fldCharType="end"/>
    </w:r>
    <w:bookmarkEnd w:id="42"/>
    <w:bookmarkEnd w:id="43"/>
    <w:bookmarkEnd w:id="44"/>
    <w:bookmarkEnd w:id="45"/>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6" w:name="_Hlk26336197"/>
  <w:bookmarkStart w:id="47" w:name="_Hlk26336198"/>
  <w:p w14:paraId="1C3859C7" w14:textId="77777777" w:rsidR="008C233E" w:rsidRDefault="008C233E" w:rsidP="008C233E">
    <w:pPr>
      <w:pStyle w:val="rightfooter"/>
    </w:pPr>
    <w:r>
      <w:fldChar w:fldCharType="begin"/>
    </w:r>
    <w:r>
      <w:instrText xml:space="preserve"> PAGE  \* Arabic  \* MERGEFORMAT </w:instrText>
    </w:r>
    <w:r>
      <w:fldChar w:fldCharType="separate"/>
    </w:r>
    <w:r>
      <w:rPr>
        <w:noProof/>
      </w:rPr>
      <w:t>5</w:t>
    </w:r>
    <w:r>
      <w:rPr>
        <w:noProof/>
      </w:rPr>
      <w:fldChar w:fldCharType="end"/>
    </w:r>
    <w:bookmarkEnd w:id="46"/>
    <w:bookmarkEnd w:id="4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 w:name="_Hlk26336147"/>
  <w:bookmarkStart w:id="7" w:name="_Hlk26336148"/>
  <w:bookmarkStart w:id="8" w:name="_Hlk26336151"/>
  <w:bookmarkStart w:id="9" w:name="_Hlk26336152"/>
  <w:p w14:paraId="04F704AF" w14:textId="77777777" w:rsidR="008C233E" w:rsidRDefault="008C233E" w:rsidP="008C233E">
    <w:pPr>
      <w:pStyle w:val="rightfooter"/>
    </w:pP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284D5" w14:textId="77777777" w:rsidR="008C233E" w:rsidRDefault="008C233E">
    <w:pPr>
      <w:pStyle w:val="Footer"/>
    </w:pPr>
    <w:bookmarkStart w:id="12" w:name="_Hlk26336149"/>
    <w:bookmarkStart w:id="13" w:name="_Hlk26336150"/>
    <w:bookmarkEnd w:id="12"/>
    <w:bookmarkEnd w:id="1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7550D" w14:textId="77777777" w:rsidR="008C233E" w:rsidRDefault="008C233E" w:rsidP="008C233E">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8" w:name="_Hlk26336159"/>
  <w:bookmarkStart w:id="19" w:name="_Hlk26336160"/>
  <w:bookmarkStart w:id="20" w:name="_Hlk26336163"/>
  <w:bookmarkStart w:id="21" w:name="_Hlk26336164"/>
  <w:p w14:paraId="4D7530B5" w14:textId="77777777" w:rsidR="008C233E" w:rsidRDefault="008C233E" w:rsidP="008C233E">
    <w:pPr>
      <w:pStyle w:val="rightfooter"/>
    </w:pPr>
    <w:r>
      <w:fldChar w:fldCharType="begin"/>
    </w:r>
    <w:r>
      <w:instrText xml:space="preserve"> PAGE   \* MERGEFORMAT </w:instrText>
    </w:r>
    <w:r>
      <w:fldChar w:fldCharType="separate"/>
    </w:r>
    <w:r>
      <w:rPr>
        <w:noProof/>
      </w:rPr>
      <w:t>5</w:t>
    </w:r>
    <w:r>
      <w:rPr>
        <w:noProof/>
      </w:rPr>
      <w:fldChar w:fldCharType="end"/>
    </w:r>
    <w:bookmarkEnd w:id="18"/>
    <w:bookmarkEnd w:id="19"/>
    <w:bookmarkEnd w:id="20"/>
    <w:bookmarkEnd w:id="21"/>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9E577" w14:textId="77777777" w:rsidR="008C233E" w:rsidRPr="00B2068E" w:rsidRDefault="008C233E" w:rsidP="008C233E">
    <w:pPr>
      <w:pStyle w:val="Footer"/>
    </w:pPr>
    <w:bookmarkStart w:id="24" w:name="_Hlk26336161"/>
    <w:bookmarkStart w:id="25" w:name="_Hlk26336162"/>
    <w:bookmarkEnd w:id="24"/>
    <w:bookmarkEnd w:id="25"/>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9699" w14:textId="77777777" w:rsidR="008C233E" w:rsidRDefault="008C233E" w:rsidP="008C233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0" w:name="_Hlk26336171"/>
  <w:bookmarkStart w:id="31" w:name="_Hlk26336172"/>
  <w:bookmarkStart w:id="32" w:name="_Hlk26336175"/>
  <w:bookmarkStart w:id="33" w:name="_Hlk26336176"/>
  <w:p w14:paraId="320D2DC9" w14:textId="77777777" w:rsidR="008C233E" w:rsidRDefault="008C233E" w:rsidP="008C233E">
    <w:pPr>
      <w:pStyle w:val="rightfooter"/>
    </w:pPr>
    <w:r>
      <w:fldChar w:fldCharType="begin"/>
    </w:r>
    <w:r>
      <w:instrText xml:space="preserve"> PAGE   \* MERGEFORMAT </w:instrText>
    </w:r>
    <w:r>
      <w:fldChar w:fldCharType="separate"/>
    </w:r>
    <w:r>
      <w:rPr>
        <w:noProof/>
      </w:rPr>
      <w:t>3</w:t>
    </w:r>
    <w:r>
      <w:rPr>
        <w:noProof/>
      </w:rPr>
      <w:fldChar w:fldCharType="end"/>
    </w:r>
    <w:bookmarkEnd w:id="30"/>
    <w:bookmarkEnd w:id="31"/>
    <w:bookmarkEnd w:id="32"/>
    <w:bookmarkEnd w:id="33"/>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4" w:name="_Hlk26336173"/>
  <w:bookmarkStart w:id="35" w:name="_Hlk26336174"/>
  <w:p w14:paraId="7295E8D3" w14:textId="77777777" w:rsidR="008C233E" w:rsidRDefault="008C233E" w:rsidP="008C233E">
    <w:pPr>
      <w:pStyle w:val="rightfooter"/>
    </w:pPr>
    <w:r>
      <w:fldChar w:fldCharType="begin"/>
    </w:r>
    <w:r>
      <w:instrText xml:space="preserve"> PAGE  \* Arabic  \* MERGEFORMAT </w:instrText>
    </w:r>
    <w:r>
      <w:fldChar w:fldCharType="separate"/>
    </w:r>
    <w:r>
      <w:rPr>
        <w:noProof/>
      </w:rPr>
      <w:t>1</w:t>
    </w:r>
    <w:r>
      <w:rPr>
        <w:noProof/>
      </w:rPr>
      <w:fldChar w:fldCharType="end"/>
    </w:r>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D47DB" w14:textId="77777777" w:rsidR="008C233E" w:rsidRDefault="008C233E" w:rsidP="00C3452B">
      <w:pPr>
        <w:spacing w:before="0" w:after="0"/>
      </w:pPr>
      <w:r>
        <w:separator/>
      </w:r>
    </w:p>
  </w:footnote>
  <w:footnote w:type="continuationSeparator" w:id="0">
    <w:p w14:paraId="7B6FF9B4" w14:textId="77777777" w:rsidR="008C233E" w:rsidRDefault="008C233E" w:rsidP="00C345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CACFD" w14:textId="77777777" w:rsidR="008C233E" w:rsidRDefault="008C233E" w:rsidP="008C233E">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26336141"/>
  <w:bookmarkStart w:id="3" w:name="_Hlk26336142"/>
  <w:bookmarkStart w:id="4" w:name="_Hlk26336145"/>
  <w:bookmarkStart w:id="5" w:name="_Hlk26336146"/>
  <w:p w14:paraId="41CDD7C3" w14:textId="77777777" w:rsidR="008C233E" w:rsidRDefault="008C233E" w:rsidP="008C233E">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0" w:name="_Hlk26336144" w:displacedByCustomXml="next"/>
  <w:bookmarkStart w:id="11" w:name="_Hlk26336143" w:displacedByCustomXml="next"/>
  <w:sdt>
    <w:sdtPr>
      <w:id w:val="-1403914990"/>
      <w:docPartObj>
        <w:docPartGallery w:val="Watermarks"/>
        <w:docPartUnique/>
      </w:docPartObj>
    </w:sdtPr>
    <w:sdtEndPr/>
    <w:sdtContent>
      <w:p w14:paraId="00D3AF8D" w14:textId="77777777" w:rsidR="008C233E" w:rsidRDefault="007C3694">
        <w:pPr>
          <w:pStyle w:val="Header"/>
        </w:pPr>
        <w:r>
          <w:rPr>
            <w:noProof/>
            <w:lang w:val="en-US" w:eastAsia="en-US"/>
          </w:rPr>
          <w:pict w14:anchorId="154D9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10" w:displacedByCustomXml="prev"/>
  <w:bookmarkEnd w:id="11" w:displacedByCustomXml="prev"/>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8377E" w14:textId="77777777" w:rsidR="008C233E" w:rsidRDefault="008C233E" w:rsidP="008C233E">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E20AA" w14:textId="77777777" w:rsidR="008C233E" w:rsidRDefault="008C233E" w:rsidP="008C233E">
    <w:pPr>
      <w:pStyle w:val="rightheader"/>
    </w:pPr>
    <w:bookmarkStart w:id="14" w:name="_Hlk26336153"/>
    <w:bookmarkStart w:id="15" w:name="_Hlk26336154"/>
    <w:bookmarkStart w:id="16" w:name="_Hlk26336157"/>
    <w:bookmarkStart w:id="17" w:name="_Hlk26336158"/>
    <w:bookmarkEnd w:id="14"/>
    <w:bookmarkEnd w:id="15"/>
    <w:bookmarkEnd w:id="16"/>
    <w:bookmarkEnd w:id="17"/>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86BFE" w14:textId="77777777" w:rsidR="008C233E" w:rsidRDefault="008C233E">
    <w:pPr>
      <w:pStyle w:val="Header"/>
    </w:pPr>
    <w:bookmarkStart w:id="22" w:name="_Hlk26336191"/>
    <w:bookmarkStart w:id="23" w:name="_Hlk26336192"/>
    <w:bookmarkEnd w:id="22"/>
    <w:bookmarkEnd w:id="23"/>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0DA11" w14:textId="32ECC26E" w:rsidR="008C233E" w:rsidRPr="00422FA2" w:rsidRDefault="004B0EEF" w:rsidP="008C233E">
    <w:pPr>
      <w:pStyle w:val="leftheader"/>
    </w:pPr>
    <w:fldSimple w:instr=" STYLEREF  &quot;Bill Name&quot;  \* MERGEFORMAT ">
      <w:r w:rsidR="007C3694">
        <w:rPr>
          <w:noProof/>
        </w:rPr>
        <w:t>Treasury Laws Amendment (Measures for CONSULTATION) Bill 2021: Intangible asset depreciation</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8" w:name="_Hlk26336193"/>
  <w:bookmarkStart w:id="29" w:name="_Hlk26336194"/>
  <w:p w14:paraId="3C50F230" w14:textId="75795F23" w:rsidR="008C233E" w:rsidRDefault="008C233E" w:rsidP="008C233E">
    <w:pPr>
      <w:pStyle w:val="rightheader"/>
    </w:pPr>
    <w:r>
      <w:fldChar w:fldCharType="begin"/>
    </w:r>
    <w:r>
      <w:instrText xml:space="preserve"> STYLEREF  "ChapterNameOnly"  \* MERGEFORMAT </w:instrText>
    </w:r>
    <w:r>
      <w:fldChar w:fldCharType="separate"/>
    </w:r>
    <w:r w:rsidR="007C3694">
      <w:rPr>
        <w:noProof/>
      </w:rPr>
      <w:t>Intangible asset depreciation</w:t>
    </w:r>
    <w:r>
      <w:rPr>
        <w:noProof/>
      </w:rPr>
      <w:fldChar w:fldCharType="end"/>
    </w:r>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C7720DC6"/>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C7720DC6"/>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num>
  <w:num w:numId="9">
    <w:abstractNumId w:val="16"/>
  </w:num>
  <w:num w:numId="10">
    <w:abstractNumId w:val="21"/>
  </w:num>
  <w:num w:numId="11">
    <w:abstractNumId w:val="17"/>
  </w:num>
  <w:num w:numId="12">
    <w:abstractNumId w:val="18"/>
  </w:num>
  <w:num w:numId="13">
    <w:abstractNumId w:val="20"/>
  </w:num>
  <w:num w:numId="14">
    <w:abstractNumId w:val="2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0"/>
  </w:num>
  <w:num w:numId="27">
    <w:abstractNumId w:val="21"/>
  </w:num>
  <w:num w:numId="28">
    <w:abstractNumId w:val="13"/>
  </w:num>
  <w:num w:numId="29">
    <w:abstractNumId w:val="21"/>
  </w:num>
  <w:num w:numId="30">
    <w:abstractNumId w:val="21"/>
    <w:lvlOverride w:ilvl="0">
      <w:lvl w:ilvl="0">
        <w:start w:val="1"/>
        <w:numFmt w:val="decimal"/>
        <w:lvlText w:val="Chapter %1"/>
        <w:lvlJc w:val="left"/>
        <w:pPr>
          <w:tabs>
            <w:tab w:val="num" w:pos="1134"/>
          </w:tabs>
          <w:ind w:left="0" w:firstLine="0"/>
        </w:pPr>
      </w:lvl>
    </w:lvlOverride>
    <w:lvlOverride w:ilvl="1">
      <w:lvl w:ilvl="1">
        <w:start w:val="1"/>
        <w:numFmt w:val="decimal"/>
        <w:pStyle w:val="base-text-paragraph"/>
        <w:lvlText w:val="%1.%2"/>
        <w:lvlJc w:val="left"/>
        <w:pPr>
          <w:tabs>
            <w:tab w:val="num" w:pos="1985"/>
          </w:tabs>
          <w:ind w:left="1134" w:firstLine="0"/>
        </w:pPr>
      </w:lvl>
    </w:lvlOverride>
    <w:lvlOverride w:ilvl="2">
      <w:lvl w:ilvl="2">
        <w:start w:val="1"/>
        <w:numFmt w:val="decimal"/>
        <w:lvlRestart w:val="1"/>
        <w:suff w:val="nothing"/>
        <w:lvlText w:val="Diagram %1.%3"/>
        <w:lvlJc w:val="left"/>
        <w:pPr>
          <w:ind w:left="1134" w:firstLine="0"/>
        </w:pPr>
      </w:lvl>
    </w:lvlOverride>
    <w:lvlOverride w:ilvl="3">
      <w:lvl w:ilvl="3">
        <w:start w:val="1"/>
        <w:numFmt w:val="decimal"/>
        <w:lvlRestart w:val="1"/>
        <w:suff w:val="nothing"/>
        <w:lvlText w:val="Example %1.%4"/>
        <w:lvlJc w:val="left"/>
        <w:pPr>
          <w:ind w:left="1134" w:firstLine="0"/>
        </w:pPr>
      </w:lvl>
    </w:lvlOverride>
    <w:lvlOverride w:ilvl="4">
      <w:lvl w:ilvl="4">
        <w:start w:val="1"/>
        <w:numFmt w:val="decimal"/>
        <w:lvlRestart w:val="1"/>
        <w:suff w:val="nothing"/>
        <w:lvlText w:val="Table %1.%5"/>
        <w:lvlJc w:val="left"/>
        <w:pPr>
          <w:ind w:left="1134" w:firstLine="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3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1"/>
    <w:lvlOverride w:ilvl="0">
      <w:lvl w:ilvl="0">
        <w:start w:val="1"/>
        <w:numFmt w:val="decimal"/>
        <w:lvlText w:val="Chapter %1"/>
        <w:lvlJc w:val="left"/>
        <w:pPr>
          <w:tabs>
            <w:tab w:val="num" w:pos="1134"/>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6A"/>
    <w:rsid w:val="000119FB"/>
    <w:rsid w:val="00014003"/>
    <w:rsid w:val="000316C0"/>
    <w:rsid w:val="00060281"/>
    <w:rsid w:val="000C1E43"/>
    <w:rsid w:val="00136DE2"/>
    <w:rsid w:val="00154968"/>
    <w:rsid w:val="001726E0"/>
    <w:rsid w:val="00181D71"/>
    <w:rsid w:val="001879DA"/>
    <w:rsid w:val="00193B16"/>
    <w:rsid w:val="001B3881"/>
    <w:rsid w:val="001D519F"/>
    <w:rsid w:val="00201715"/>
    <w:rsid w:val="002141EA"/>
    <w:rsid w:val="002226CC"/>
    <w:rsid w:val="0025357F"/>
    <w:rsid w:val="00270D6A"/>
    <w:rsid w:val="00291E6D"/>
    <w:rsid w:val="002A2CC0"/>
    <w:rsid w:val="002A6665"/>
    <w:rsid w:val="002B23D4"/>
    <w:rsid w:val="002E6881"/>
    <w:rsid w:val="002E7E1C"/>
    <w:rsid w:val="002F1B67"/>
    <w:rsid w:val="0031668D"/>
    <w:rsid w:val="003D6123"/>
    <w:rsid w:val="00432753"/>
    <w:rsid w:val="004351A9"/>
    <w:rsid w:val="00454E64"/>
    <w:rsid w:val="004601C2"/>
    <w:rsid w:val="004804E7"/>
    <w:rsid w:val="00484562"/>
    <w:rsid w:val="00491D8A"/>
    <w:rsid w:val="00497308"/>
    <w:rsid w:val="004B0EEF"/>
    <w:rsid w:val="004B2B24"/>
    <w:rsid w:val="004B32AF"/>
    <w:rsid w:val="004B43BE"/>
    <w:rsid w:val="004D5ACC"/>
    <w:rsid w:val="00546438"/>
    <w:rsid w:val="00582EAD"/>
    <w:rsid w:val="005A53F9"/>
    <w:rsid w:val="005C7CDE"/>
    <w:rsid w:val="005F4897"/>
    <w:rsid w:val="006254B5"/>
    <w:rsid w:val="00627EFF"/>
    <w:rsid w:val="00632546"/>
    <w:rsid w:val="00642789"/>
    <w:rsid w:val="0066087D"/>
    <w:rsid w:val="00664BF3"/>
    <w:rsid w:val="006A696A"/>
    <w:rsid w:val="006B5A7F"/>
    <w:rsid w:val="006D3C1B"/>
    <w:rsid w:val="006F2542"/>
    <w:rsid w:val="00703B4E"/>
    <w:rsid w:val="007050A4"/>
    <w:rsid w:val="00722DB6"/>
    <w:rsid w:val="007401C3"/>
    <w:rsid w:val="0078571E"/>
    <w:rsid w:val="0078648C"/>
    <w:rsid w:val="007A39C8"/>
    <w:rsid w:val="007A42BA"/>
    <w:rsid w:val="007B3B5B"/>
    <w:rsid w:val="007C27CA"/>
    <w:rsid w:val="007C3694"/>
    <w:rsid w:val="007C3B00"/>
    <w:rsid w:val="007E7CD1"/>
    <w:rsid w:val="00837E5A"/>
    <w:rsid w:val="0084728B"/>
    <w:rsid w:val="00870E2C"/>
    <w:rsid w:val="00890E14"/>
    <w:rsid w:val="008A6F18"/>
    <w:rsid w:val="008C233E"/>
    <w:rsid w:val="008D18D9"/>
    <w:rsid w:val="00997168"/>
    <w:rsid w:val="009A1CF7"/>
    <w:rsid w:val="00A10F6D"/>
    <w:rsid w:val="00A36A06"/>
    <w:rsid w:val="00A77818"/>
    <w:rsid w:val="00AC45D5"/>
    <w:rsid w:val="00AD335C"/>
    <w:rsid w:val="00AE2F83"/>
    <w:rsid w:val="00AF46C1"/>
    <w:rsid w:val="00B1287F"/>
    <w:rsid w:val="00B3385B"/>
    <w:rsid w:val="00B33DE8"/>
    <w:rsid w:val="00B5046B"/>
    <w:rsid w:val="00B80493"/>
    <w:rsid w:val="00BA29F6"/>
    <w:rsid w:val="00BA6374"/>
    <w:rsid w:val="00BA67DF"/>
    <w:rsid w:val="00BF3F88"/>
    <w:rsid w:val="00C02BAB"/>
    <w:rsid w:val="00C10AAF"/>
    <w:rsid w:val="00C149AD"/>
    <w:rsid w:val="00C2200C"/>
    <w:rsid w:val="00C3452B"/>
    <w:rsid w:val="00C80F21"/>
    <w:rsid w:val="00C9209D"/>
    <w:rsid w:val="00C9500F"/>
    <w:rsid w:val="00CA3571"/>
    <w:rsid w:val="00CC1A28"/>
    <w:rsid w:val="00CC1CAF"/>
    <w:rsid w:val="00CD5B95"/>
    <w:rsid w:val="00D068BF"/>
    <w:rsid w:val="00D221C9"/>
    <w:rsid w:val="00D3003C"/>
    <w:rsid w:val="00D43B68"/>
    <w:rsid w:val="00D47AE1"/>
    <w:rsid w:val="00D53435"/>
    <w:rsid w:val="00D60DDE"/>
    <w:rsid w:val="00D937F6"/>
    <w:rsid w:val="00DA2532"/>
    <w:rsid w:val="00DE7155"/>
    <w:rsid w:val="00DF32CC"/>
    <w:rsid w:val="00E140AD"/>
    <w:rsid w:val="00E32BD3"/>
    <w:rsid w:val="00E3662E"/>
    <w:rsid w:val="00E57092"/>
    <w:rsid w:val="00E60E5C"/>
    <w:rsid w:val="00EA2B59"/>
    <w:rsid w:val="00EB0993"/>
    <w:rsid w:val="00EC669A"/>
    <w:rsid w:val="00EF0A6A"/>
    <w:rsid w:val="00EF3EC1"/>
    <w:rsid w:val="00F23F78"/>
    <w:rsid w:val="00F40D43"/>
    <w:rsid w:val="00F47114"/>
    <w:rsid w:val="00F6286F"/>
    <w:rsid w:val="00F8419A"/>
    <w:rsid w:val="00FA08C9"/>
    <w:rsid w:val="00FC09EA"/>
    <w:rsid w:val="00FC0F37"/>
    <w:rsid w:val="00FC36CA"/>
    <w:rsid w:val="00FC3BC7"/>
    <w:rsid w:val="00FE32FC"/>
    <w:rsid w:val="00FE4CAD"/>
    <w:rsid w:val="00FF0A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E883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7"/>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870E2C"/>
    <w:rPr>
      <w:sz w:val="16"/>
      <w:szCs w:val="16"/>
    </w:rPr>
  </w:style>
  <w:style w:type="paragraph" w:styleId="CommentText">
    <w:name w:val="annotation text"/>
    <w:basedOn w:val="Normal"/>
    <w:link w:val="CommentTextChar"/>
    <w:uiPriority w:val="99"/>
    <w:semiHidden/>
    <w:unhideWhenUsed/>
    <w:rsid w:val="00870E2C"/>
    <w:rPr>
      <w:sz w:val="20"/>
    </w:rPr>
  </w:style>
  <w:style w:type="character" w:customStyle="1" w:styleId="CommentTextChar">
    <w:name w:val="Comment Text Char"/>
    <w:basedOn w:val="DefaultParagraphFont"/>
    <w:link w:val="CommentText"/>
    <w:uiPriority w:val="99"/>
    <w:semiHidden/>
    <w:rsid w:val="00870E2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70E2C"/>
    <w:rPr>
      <w:b/>
      <w:bCs/>
    </w:rPr>
  </w:style>
  <w:style w:type="character" w:customStyle="1" w:styleId="CommentSubjectChar">
    <w:name w:val="Comment Subject Char"/>
    <w:basedOn w:val="CommentTextChar"/>
    <w:link w:val="CommentSubject"/>
    <w:uiPriority w:val="99"/>
    <w:semiHidden/>
    <w:rsid w:val="00870E2C"/>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9873">
      <w:bodyDiv w:val="1"/>
      <w:marLeft w:val="0"/>
      <w:marRight w:val="0"/>
      <w:marTop w:val="0"/>
      <w:marBottom w:val="0"/>
      <w:divBdr>
        <w:top w:val="none" w:sz="0" w:space="0" w:color="auto"/>
        <w:left w:val="none" w:sz="0" w:space="0" w:color="auto"/>
        <w:bottom w:val="none" w:sz="0" w:space="0" w:color="auto"/>
        <w:right w:val="none" w:sz="0" w:space="0" w:color="auto"/>
      </w:divBdr>
    </w:div>
    <w:div w:id="69890393">
      <w:bodyDiv w:val="1"/>
      <w:marLeft w:val="0"/>
      <w:marRight w:val="0"/>
      <w:marTop w:val="0"/>
      <w:marBottom w:val="0"/>
      <w:divBdr>
        <w:top w:val="none" w:sz="0" w:space="0" w:color="auto"/>
        <w:left w:val="none" w:sz="0" w:space="0" w:color="auto"/>
        <w:bottom w:val="none" w:sz="0" w:space="0" w:color="auto"/>
        <w:right w:val="none" w:sz="0" w:space="0" w:color="auto"/>
      </w:divBdr>
    </w:div>
    <w:div w:id="208229367">
      <w:bodyDiv w:val="1"/>
      <w:marLeft w:val="0"/>
      <w:marRight w:val="0"/>
      <w:marTop w:val="0"/>
      <w:marBottom w:val="0"/>
      <w:divBdr>
        <w:top w:val="none" w:sz="0" w:space="0" w:color="auto"/>
        <w:left w:val="none" w:sz="0" w:space="0" w:color="auto"/>
        <w:bottom w:val="none" w:sz="0" w:space="0" w:color="auto"/>
        <w:right w:val="none" w:sz="0" w:space="0" w:color="auto"/>
      </w:divBdr>
    </w:div>
    <w:div w:id="222563538">
      <w:bodyDiv w:val="1"/>
      <w:marLeft w:val="0"/>
      <w:marRight w:val="0"/>
      <w:marTop w:val="0"/>
      <w:marBottom w:val="0"/>
      <w:divBdr>
        <w:top w:val="none" w:sz="0" w:space="0" w:color="auto"/>
        <w:left w:val="none" w:sz="0" w:space="0" w:color="auto"/>
        <w:bottom w:val="none" w:sz="0" w:space="0" w:color="auto"/>
        <w:right w:val="none" w:sz="0" w:space="0" w:color="auto"/>
      </w:divBdr>
    </w:div>
    <w:div w:id="223755905">
      <w:bodyDiv w:val="1"/>
      <w:marLeft w:val="0"/>
      <w:marRight w:val="0"/>
      <w:marTop w:val="0"/>
      <w:marBottom w:val="0"/>
      <w:divBdr>
        <w:top w:val="none" w:sz="0" w:space="0" w:color="auto"/>
        <w:left w:val="none" w:sz="0" w:space="0" w:color="auto"/>
        <w:bottom w:val="none" w:sz="0" w:space="0" w:color="auto"/>
        <w:right w:val="none" w:sz="0" w:space="0" w:color="auto"/>
      </w:divBdr>
    </w:div>
    <w:div w:id="269312871">
      <w:bodyDiv w:val="1"/>
      <w:marLeft w:val="0"/>
      <w:marRight w:val="0"/>
      <w:marTop w:val="0"/>
      <w:marBottom w:val="0"/>
      <w:divBdr>
        <w:top w:val="none" w:sz="0" w:space="0" w:color="auto"/>
        <w:left w:val="none" w:sz="0" w:space="0" w:color="auto"/>
        <w:bottom w:val="none" w:sz="0" w:space="0" w:color="auto"/>
        <w:right w:val="none" w:sz="0" w:space="0" w:color="auto"/>
      </w:divBdr>
    </w:div>
    <w:div w:id="286660979">
      <w:bodyDiv w:val="1"/>
      <w:marLeft w:val="0"/>
      <w:marRight w:val="0"/>
      <w:marTop w:val="0"/>
      <w:marBottom w:val="0"/>
      <w:divBdr>
        <w:top w:val="none" w:sz="0" w:space="0" w:color="auto"/>
        <w:left w:val="none" w:sz="0" w:space="0" w:color="auto"/>
        <w:bottom w:val="none" w:sz="0" w:space="0" w:color="auto"/>
        <w:right w:val="none" w:sz="0" w:space="0" w:color="auto"/>
      </w:divBdr>
    </w:div>
    <w:div w:id="290592823">
      <w:bodyDiv w:val="1"/>
      <w:marLeft w:val="0"/>
      <w:marRight w:val="0"/>
      <w:marTop w:val="0"/>
      <w:marBottom w:val="0"/>
      <w:divBdr>
        <w:top w:val="none" w:sz="0" w:space="0" w:color="auto"/>
        <w:left w:val="none" w:sz="0" w:space="0" w:color="auto"/>
        <w:bottom w:val="none" w:sz="0" w:space="0" w:color="auto"/>
        <w:right w:val="none" w:sz="0" w:space="0" w:color="auto"/>
      </w:divBdr>
    </w:div>
    <w:div w:id="352076295">
      <w:bodyDiv w:val="1"/>
      <w:marLeft w:val="0"/>
      <w:marRight w:val="0"/>
      <w:marTop w:val="0"/>
      <w:marBottom w:val="0"/>
      <w:divBdr>
        <w:top w:val="none" w:sz="0" w:space="0" w:color="auto"/>
        <w:left w:val="none" w:sz="0" w:space="0" w:color="auto"/>
        <w:bottom w:val="none" w:sz="0" w:space="0" w:color="auto"/>
        <w:right w:val="none" w:sz="0" w:space="0" w:color="auto"/>
      </w:divBdr>
    </w:div>
    <w:div w:id="525871783">
      <w:bodyDiv w:val="1"/>
      <w:marLeft w:val="0"/>
      <w:marRight w:val="0"/>
      <w:marTop w:val="0"/>
      <w:marBottom w:val="0"/>
      <w:divBdr>
        <w:top w:val="none" w:sz="0" w:space="0" w:color="auto"/>
        <w:left w:val="none" w:sz="0" w:space="0" w:color="auto"/>
        <w:bottom w:val="none" w:sz="0" w:space="0" w:color="auto"/>
        <w:right w:val="none" w:sz="0" w:space="0" w:color="auto"/>
      </w:divBdr>
    </w:div>
    <w:div w:id="546720134">
      <w:bodyDiv w:val="1"/>
      <w:marLeft w:val="0"/>
      <w:marRight w:val="0"/>
      <w:marTop w:val="0"/>
      <w:marBottom w:val="0"/>
      <w:divBdr>
        <w:top w:val="none" w:sz="0" w:space="0" w:color="auto"/>
        <w:left w:val="none" w:sz="0" w:space="0" w:color="auto"/>
        <w:bottom w:val="none" w:sz="0" w:space="0" w:color="auto"/>
        <w:right w:val="none" w:sz="0" w:space="0" w:color="auto"/>
      </w:divBdr>
    </w:div>
    <w:div w:id="566453438">
      <w:bodyDiv w:val="1"/>
      <w:marLeft w:val="0"/>
      <w:marRight w:val="0"/>
      <w:marTop w:val="0"/>
      <w:marBottom w:val="0"/>
      <w:divBdr>
        <w:top w:val="none" w:sz="0" w:space="0" w:color="auto"/>
        <w:left w:val="none" w:sz="0" w:space="0" w:color="auto"/>
        <w:bottom w:val="none" w:sz="0" w:space="0" w:color="auto"/>
        <w:right w:val="none" w:sz="0" w:space="0" w:color="auto"/>
      </w:divBdr>
    </w:div>
    <w:div w:id="577205038">
      <w:bodyDiv w:val="1"/>
      <w:marLeft w:val="0"/>
      <w:marRight w:val="0"/>
      <w:marTop w:val="0"/>
      <w:marBottom w:val="0"/>
      <w:divBdr>
        <w:top w:val="none" w:sz="0" w:space="0" w:color="auto"/>
        <w:left w:val="none" w:sz="0" w:space="0" w:color="auto"/>
        <w:bottom w:val="none" w:sz="0" w:space="0" w:color="auto"/>
        <w:right w:val="none" w:sz="0" w:space="0" w:color="auto"/>
      </w:divBdr>
    </w:div>
    <w:div w:id="718171682">
      <w:bodyDiv w:val="1"/>
      <w:marLeft w:val="0"/>
      <w:marRight w:val="0"/>
      <w:marTop w:val="0"/>
      <w:marBottom w:val="0"/>
      <w:divBdr>
        <w:top w:val="none" w:sz="0" w:space="0" w:color="auto"/>
        <w:left w:val="none" w:sz="0" w:space="0" w:color="auto"/>
        <w:bottom w:val="none" w:sz="0" w:space="0" w:color="auto"/>
        <w:right w:val="none" w:sz="0" w:space="0" w:color="auto"/>
      </w:divBdr>
    </w:div>
    <w:div w:id="744451339">
      <w:bodyDiv w:val="1"/>
      <w:marLeft w:val="0"/>
      <w:marRight w:val="0"/>
      <w:marTop w:val="0"/>
      <w:marBottom w:val="0"/>
      <w:divBdr>
        <w:top w:val="none" w:sz="0" w:space="0" w:color="auto"/>
        <w:left w:val="none" w:sz="0" w:space="0" w:color="auto"/>
        <w:bottom w:val="none" w:sz="0" w:space="0" w:color="auto"/>
        <w:right w:val="none" w:sz="0" w:space="0" w:color="auto"/>
      </w:divBdr>
    </w:div>
    <w:div w:id="763695531">
      <w:bodyDiv w:val="1"/>
      <w:marLeft w:val="0"/>
      <w:marRight w:val="0"/>
      <w:marTop w:val="0"/>
      <w:marBottom w:val="0"/>
      <w:divBdr>
        <w:top w:val="none" w:sz="0" w:space="0" w:color="auto"/>
        <w:left w:val="none" w:sz="0" w:space="0" w:color="auto"/>
        <w:bottom w:val="none" w:sz="0" w:space="0" w:color="auto"/>
        <w:right w:val="none" w:sz="0" w:space="0" w:color="auto"/>
      </w:divBdr>
    </w:div>
    <w:div w:id="826551446">
      <w:bodyDiv w:val="1"/>
      <w:marLeft w:val="0"/>
      <w:marRight w:val="0"/>
      <w:marTop w:val="0"/>
      <w:marBottom w:val="0"/>
      <w:divBdr>
        <w:top w:val="none" w:sz="0" w:space="0" w:color="auto"/>
        <w:left w:val="none" w:sz="0" w:space="0" w:color="auto"/>
        <w:bottom w:val="none" w:sz="0" w:space="0" w:color="auto"/>
        <w:right w:val="none" w:sz="0" w:space="0" w:color="auto"/>
      </w:divBdr>
    </w:div>
    <w:div w:id="843400711">
      <w:bodyDiv w:val="1"/>
      <w:marLeft w:val="0"/>
      <w:marRight w:val="0"/>
      <w:marTop w:val="0"/>
      <w:marBottom w:val="0"/>
      <w:divBdr>
        <w:top w:val="none" w:sz="0" w:space="0" w:color="auto"/>
        <w:left w:val="none" w:sz="0" w:space="0" w:color="auto"/>
        <w:bottom w:val="none" w:sz="0" w:space="0" w:color="auto"/>
        <w:right w:val="none" w:sz="0" w:space="0" w:color="auto"/>
      </w:divBdr>
    </w:div>
    <w:div w:id="899094574">
      <w:bodyDiv w:val="1"/>
      <w:marLeft w:val="0"/>
      <w:marRight w:val="0"/>
      <w:marTop w:val="0"/>
      <w:marBottom w:val="0"/>
      <w:divBdr>
        <w:top w:val="none" w:sz="0" w:space="0" w:color="auto"/>
        <w:left w:val="none" w:sz="0" w:space="0" w:color="auto"/>
        <w:bottom w:val="none" w:sz="0" w:space="0" w:color="auto"/>
        <w:right w:val="none" w:sz="0" w:space="0" w:color="auto"/>
      </w:divBdr>
    </w:div>
    <w:div w:id="919098916">
      <w:bodyDiv w:val="1"/>
      <w:marLeft w:val="0"/>
      <w:marRight w:val="0"/>
      <w:marTop w:val="0"/>
      <w:marBottom w:val="0"/>
      <w:divBdr>
        <w:top w:val="none" w:sz="0" w:space="0" w:color="auto"/>
        <w:left w:val="none" w:sz="0" w:space="0" w:color="auto"/>
        <w:bottom w:val="none" w:sz="0" w:space="0" w:color="auto"/>
        <w:right w:val="none" w:sz="0" w:space="0" w:color="auto"/>
      </w:divBdr>
    </w:div>
    <w:div w:id="954871573">
      <w:bodyDiv w:val="1"/>
      <w:marLeft w:val="0"/>
      <w:marRight w:val="0"/>
      <w:marTop w:val="0"/>
      <w:marBottom w:val="0"/>
      <w:divBdr>
        <w:top w:val="none" w:sz="0" w:space="0" w:color="auto"/>
        <w:left w:val="none" w:sz="0" w:space="0" w:color="auto"/>
        <w:bottom w:val="none" w:sz="0" w:space="0" w:color="auto"/>
        <w:right w:val="none" w:sz="0" w:space="0" w:color="auto"/>
      </w:divBdr>
    </w:div>
    <w:div w:id="1012100778">
      <w:bodyDiv w:val="1"/>
      <w:marLeft w:val="0"/>
      <w:marRight w:val="0"/>
      <w:marTop w:val="0"/>
      <w:marBottom w:val="0"/>
      <w:divBdr>
        <w:top w:val="none" w:sz="0" w:space="0" w:color="auto"/>
        <w:left w:val="none" w:sz="0" w:space="0" w:color="auto"/>
        <w:bottom w:val="none" w:sz="0" w:space="0" w:color="auto"/>
        <w:right w:val="none" w:sz="0" w:space="0" w:color="auto"/>
      </w:divBdr>
    </w:div>
    <w:div w:id="1042438283">
      <w:bodyDiv w:val="1"/>
      <w:marLeft w:val="0"/>
      <w:marRight w:val="0"/>
      <w:marTop w:val="0"/>
      <w:marBottom w:val="0"/>
      <w:divBdr>
        <w:top w:val="none" w:sz="0" w:space="0" w:color="auto"/>
        <w:left w:val="none" w:sz="0" w:space="0" w:color="auto"/>
        <w:bottom w:val="none" w:sz="0" w:space="0" w:color="auto"/>
        <w:right w:val="none" w:sz="0" w:space="0" w:color="auto"/>
      </w:divBdr>
    </w:div>
    <w:div w:id="1060595639">
      <w:bodyDiv w:val="1"/>
      <w:marLeft w:val="0"/>
      <w:marRight w:val="0"/>
      <w:marTop w:val="0"/>
      <w:marBottom w:val="0"/>
      <w:divBdr>
        <w:top w:val="none" w:sz="0" w:space="0" w:color="auto"/>
        <w:left w:val="none" w:sz="0" w:space="0" w:color="auto"/>
        <w:bottom w:val="none" w:sz="0" w:space="0" w:color="auto"/>
        <w:right w:val="none" w:sz="0" w:space="0" w:color="auto"/>
      </w:divBdr>
    </w:div>
    <w:div w:id="1063599831">
      <w:bodyDiv w:val="1"/>
      <w:marLeft w:val="0"/>
      <w:marRight w:val="0"/>
      <w:marTop w:val="0"/>
      <w:marBottom w:val="0"/>
      <w:divBdr>
        <w:top w:val="none" w:sz="0" w:space="0" w:color="auto"/>
        <w:left w:val="none" w:sz="0" w:space="0" w:color="auto"/>
        <w:bottom w:val="none" w:sz="0" w:space="0" w:color="auto"/>
        <w:right w:val="none" w:sz="0" w:space="0" w:color="auto"/>
      </w:divBdr>
    </w:div>
    <w:div w:id="1101098319">
      <w:bodyDiv w:val="1"/>
      <w:marLeft w:val="0"/>
      <w:marRight w:val="0"/>
      <w:marTop w:val="0"/>
      <w:marBottom w:val="0"/>
      <w:divBdr>
        <w:top w:val="none" w:sz="0" w:space="0" w:color="auto"/>
        <w:left w:val="none" w:sz="0" w:space="0" w:color="auto"/>
        <w:bottom w:val="none" w:sz="0" w:space="0" w:color="auto"/>
        <w:right w:val="none" w:sz="0" w:space="0" w:color="auto"/>
      </w:divBdr>
    </w:div>
    <w:div w:id="1142507233">
      <w:bodyDiv w:val="1"/>
      <w:marLeft w:val="0"/>
      <w:marRight w:val="0"/>
      <w:marTop w:val="0"/>
      <w:marBottom w:val="0"/>
      <w:divBdr>
        <w:top w:val="none" w:sz="0" w:space="0" w:color="auto"/>
        <w:left w:val="none" w:sz="0" w:space="0" w:color="auto"/>
        <w:bottom w:val="none" w:sz="0" w:space="0" w:color="auto"/>
        <w:right w:val="none" w:sz="0" w:space="0" w:color="auto"/>
      </w:divBdr>
    </w:div>
    <w:div w:id="1152677484">
      <w:bodyDiv w:val="1"/>
      <w:marLeft w:val="0"/>
      <w:marRight w:val="0"/>
      <w:marTop w:val="0"/>
      <w:marBottom w:val="0"/>
      <w:divBdr>
        <w:top w:val="none" w:sz="0" w:space="0" w:color="auto"/>
        <w:left w:val="none" w:sz="0" w:space="0" w:color="auto"/>
        <w:bottom w:val="none" w:sz="0" w:space="0" w:color="auto"/>
        <w:right w:val="none" w:sz="0" w:space="0" w:color="auto"/>
      </w:divBdr>
    </w:div>
    <w:div w:id="1170407852">
      <w:bodyDiv w:val="1"/>
      <w:marLeft w:val="0"/>
      <w:marRight w:val="0"/>
      <w:marTop w:val="0"/>
      <w:marBottom w:val="0"/>
      <w:divBdr>
        <w:top w:val="none" w:sz="0" w:space="0" w:color="auto"/>
        <w:left w:val="none" w:sz="0" w:space="0" w:color="auto"/>
        <w:bottom w:val="none" w:sz="0" w:space="0" w:color="auto"/>
        <w:right w:val="none" w:sz="0" w:space="0" w:color="auto"/>
      </w:divBdr>
    </w:div>
    <w:div w:id="1217743082">
      <w:bodyDiv w:val="1"/>
      <w:marLeft w:val="0"/>
      <w:marRight w:val="0"/>
      <w:marTop w:val="0"/>
      <w:marBottom w:val="0"/>
      <w:divBdr>
        <w:top w:val="none" w:sz="0" w:space="0" w:color="auto"/>
        <w:left w:val="none" w:sz="0" w:space="0" w:color="auto"/>
        <w:bottom w:val="none" w:sz="0" w:space="0" w:color="auto"/>
        <w:right w:val="none" w:sz="0" w:space="0" w:color="auto"/>
      </w:divBdr>
    </w:div>
    <w:div w:id="1236696875">
      <w:bodyDiv w:val="1"/>
      <w:marLeft w:val="0"/>
      <w:marRight w:val="0"/>
      <w:marTop w:val="0"/>
      <w:marBottom w:val="0"/>
      <w:divBdr>
        <w:top w:val="none" w:sz="0" w:space="0" w:color="auto"/>
        <w:left w:val="none" w:sz="0" w:space="0" w:color="auto"/>
        <w:bottom w:val="none" w:sz="0" w:space="0" w:color="auto"/>
        <w:right w:val="none" w:sz="0" w:space="0" w:color="auto"/>
      </w:divBdr>
    </w:div>
    <w:div w:id="1318534229">
      <w:bodyDiv w:val="1"/>
      <w:marLeft w:val="0"/>
      <w:marRight w:val="0"/>
      <w:marTop w:val="0"/>
      <w:marBottom w:val="0"/>
      <w:divBdr>
        <w:top w:val="none" w:sz="0" w:space="0" w:color="auto"/>
        <w:left w:val="none" w:sz="0" w:space="0" w:color="auto"/>
        <w:bottom w:val="none" w:sz="0" w:space="0" w:color="auto"/>
        <w:right w:val="none" w:sz="0" w:space="0" w:color="auto"/>
      </w:divBdr>
    </w:div>
    <w:div w:id="1328285022">
      <w:bodyDiv w:val="1"/>
      <w:marLeft w:val="0"/>
      <w:marRight w:val="0"/>
      <w:marTop w:val="0"/>
      <w:marBottom w:val="0"/>
      <w:divBdr>
        <w:top w:val="none" w:sz="0" w:space="0" w:color="auto"/>
        <w:left w:val="none" w:sz="0" w:space="0" w:color="auto"/>
        <w:bottom w:val="none" w:sz="0" w:space="0" w:color="auto"/>
        <w:right w:val="none" w:sz="0" w:space="0" w:color="auto"/>
      </w:divBdr>
    </w:div>
    <w:div w:id="1335761984">
      <w:bodyDiv w:val="1"/>
      <w:marLeft w:val="0"/>
      <w:marRight w:val="0"/>
      <w:marTop w:val="0"/>
      <w:marBottom w:val="0"/>
      <w:divBdr>
        <w:top w:val="none" w:sz="0" w:space="0" w:color="auto"/>
        <w:left w:val="none" w:sz="0" w:space="0" w:color="auto"/>
        <w:bottom w:val="none" w:sz="0" w:space="0" w:color="auto"/>
        <w:right w:val="none" w:sz="0" w:space="0" w:color="auto"/>
      </w:divBdr>
    </w:div>
    <w:div w:id="1343776665">
      <w:bodyDiv w:val="1"/>
      <w:marLeft w:val="0"/>
      <w:marRight w:val="0"/>
      <w:marTop w:val="0"/>
      <w:marBottom w:val="0"/>
      <w:divBdr>
        <w:top w:val="none" w:sz="0" w:space="0" w:color="auto"/>
        <w:left w:val="none" w:sz="0" w:space="0" w:color="auto"/>
        <w:bottom w:val="none" w:sz="0" w:space="0" w:color="auto"/>
        <w:right w:val="none" w:sz="0" w:space="0" w:color="auto"/>
      </w:divBdr>
    </w:div>
    <w:div w:id="1394693196">
      <w:bodyDiv w:val="1"/>
      <w:marLeft w:val="0"/>
      <w:marRight w:val="0"/>
      <w:marTop w:val="0"/>
      <w:marBottom w:val="0"/>
      <w:divBdr>
        <w:top w:val="none" w:sz="0" w:space="0" w:color="auto"/>
        <w:left w:val="none" w:sz="0" w:space="0" w:color="auto"/>
        <w:bottom w:val="none" w:sz="0" w:space="0" w:color="auto"/>
        <w:right w:val="none" w:sz="0" w:space="0" w:color="auto"/>
      </w:divBdr>
    </w:div>
    <w:div w:id="1402750524">
      <w:bodyDiv w:val="1"/>
      <w:marLeft w:val="0"/>
      <w:marRight w:val="0"/>
      <w:marTop w:val="0"/>
      <w:marBottom w:val="0"/>
      <w:divBdr>
        <w:top w:val="none" w:sz="0" w:space="0" w:color="auto"/>
        <w:left w:val="none" w:sz="0" w:space="0" w:color="auto"/>
        <w:bottom w:val="none" w:sz="0" w:space="0" w:color="auto"/>
        <w:right w:val="none" w:sz="0" w:space="0" w:color="auto"/>
      </w:divBdr>
    </w:div>
    <w:div w:id="1425875892">
      <w:bodyDiv w:val="1"/>
      <w:marLeft w:val="0"/>
      <w:marRight w:val="0"/>
      <w:marTop w:val="0"/>
      <w:marBottom w:val="0"/>
      <w:divBdr>
        <w:top w:val="none" w:sz="0" w:space="0" w:color="auto"/>
        <w:left w:val="none" w:sz="0" w:space="0" w:color="auto"/>
        <w:bottom w:val="none" w:sz="0" w:space="0" w:color="auto"/>
        <w:right w:val="none" w:sz="0" w:space="0" w:color="auto"/>
      </w:divBdr>
    </w:div>
    <w:div w:id="1450587831">
      <w:bodyDiv w:val="1"/>
      <w:marLeft w:val="0"/>
      <w:marRight w:val="0"/>
      <w:marTop w:val="0"/>
      <w:marBottom w:val="0"/>
      <w:divBdr>
        <w:top w:val="none" w:sz="0" w:space="0" w:color="auto"/>
        <w:left w:val="none" w:sz="0" w:space="0" w:color="auto"/>
        <w:bottom w:val="none" w:sz="0" w:space="0" w:color="auto"/>
        <w:right w:val="none" w:sz="0" w:space="0" w:color="auto"/>
      </w:divBdr>
    </w:div>
    <w:div w:id="1457335414">
      <w:bodyDiv w:val="1"/>
      <w:marLeft w:val="0"/>
      <w:marRight w:val="0"/>
      <w:marTop w:val="0"/>
      <w:marBottom w:val="0"/>
      <w:divBdr>
        <w:top w:val="none" w:sz="0" w:space="0" w:color="auto"/>
        <w:left w:val="none" w:sz="0" w:space="0" w:color="auto"/>
        <w:bottom w:val="none" w:sz="0" w:space="0" w:color="auto"/>
        <w:right w:val="none" w:sz="0" w:space="0" w:color="auto"/>
      </w:divBdr>
    </w:div>
    <w:div w:id="1461847444">
      <w:bodyDiv w:val="1"/>
      <w:marLeft w:val="0"/>
      <w:marRight w:val="0"/>
      <w:marTop w:val="0"/>
      <w:marBottom w:val="0"/>
      <w:divBdr>
        <w:top w:val="none" w:sz="0" w:space="0" w:color="auto"/>
        <w:left w:val="none" w:sz="0" w:space="0" w:color="auto"/>
        <w:bottom w:val="none" w:sz="0" w:space="0" w:color="auto"/>
        <w:right w:val="none" w:sz="0" w:space="0" w:color="auto"/>
      </w:divBdr>
    </w:div>
    <w:div w:id="1574659772">
      <w:bodyDiv w:val="1"/>
      <w:marLeft w:val="0"/>
      <w:marRight w:val="0"/>
      <w:marTop w:val="0"/>
      <w:marBottom w:val="0"/>
      <w:divBdr>
        <w:top w:val="none" w:sz="0" w:space="0" w:color="auto"/>
        <w:left w:val="none" w:sz="0" w:space="0" w:color="auto"/>
        <w:bottom w:val="none" w:sz="0" w:space="0" w:color="auto"/>
        <w:right w:val="none" w:sz="0" w:space="0" w:color="auto"/>
      </w:divBdr>
    </w:div>
    <w:div w:id="1591279843">
      <w:bodyDiv w:val="1"/>
      <w:marLeft w:val="0"/>
      <w:marRight w:val="0"/>
      <w:marTop w:val="0"/>
      <w:marBottom w:val="0"/>
      <w:divBdr>
        <w:top w:val="none" w:sz="0" w:space="0" w:color="auto"/>
        <w:left w:val="none" w:sz="0" w:space="0" w:color="auto"/>
        <w:bottom w:val="none" w:sz="0" w:space="0" w:color="auto"/>
        <w:right w:val="none" w:sz="0" w:space="0" w:color="auto"/>
      </w:divBdr>
    </w:div>
    <w:div w:id="1599215267">
      <w:bodyDiv w:val="1"/>
      <w:marLeft w:val="0"/>
      <w:marRight w:val="0"/>
      <w:marTop w:val="0"/>
      <w:marBottom w:val="0"/>
      <w:divBdr>
        <w:top w:val="none" w:sz="0" w:space="0" w:color="auto"/>
        <w:left w:val="none" w:sz="0" w:space="0" w:color="auto"/>
        <w:bottom w:val="none" w:sz="0" w:space="0" w:color="auto"/>
        <w:right w:val="none" w:sz="0" w:space="0" w:color="auto"/>
      </w:divBdr>
    </w:div>
    <w:div w:id="1601839930">
      <w:bodyDiv w:val="1"/>
      <w:marLeft w:val="0"/>
      <w:marRight w:val="0"/>
      <w:marTop w:val="0"/>
      <w:marBottom w:val="0"/>
      <w:divBdr>
        <w:top w:val="none" w:sz="0" w:space="0" w:color="auto"/>
        <w:left w:val="none" w:sz="0" w:space="0" w:color="auto"/>
        <w:bottom w:val="none" w:sz="0" w:space="0" w:color="auto"/>
        <w:right w:val="none" w:sz="0" w:space="0" w:color="auto"/>
      </w:divBdr>
    </w:div>
    <w:div w:id="1623144867">
      <w:bodyDiv w:val="1"/>
      <w:marLeft w:val="0"/>
      <w:marRight w:val="0"/>
      <w:marTop w:val="0"/>
      <w:marBottom w:val="0"/>
      <w:divBdr>
        <w:top w:val="none" w:sz="0" w:space="0" w:color="auto"/>
        <w:left w:val="none" w:sz="0" w:space="0" w:color="auto"/>
        <w:bottom w:val="none" w:sz="0" w:space="0" w:color="auto"/>
        <w:right w:val="none" w:sz="0" w:space="0" w:color="auto"/>
      </w:divBdr>
    </w:div>
    <w:div w:id="1641224151">
      <w:bodyDiv w:val="1"/>
      <w:marLeft w:val="0"/>
      <w:marRight w:val="0"/>
      <w:marTop w:val="0"/>
      <w:marBottom w:val="0"/>
      <w:divBdr>
        <w:top w:val="none" w:sz="0" w:space="0" w:color="auto"/>
        <w:left w:val="none" w:sz="0" w:space="0" w:color="auto"/>
        <w:bottom w:val="none" w:sz="0" w:space="0" w:color="auto"/>
        <w:right w:val="none" w:sz="0" w:space="0" w:color="auto"/>
      </w:divBdr>
    </w:div>
    <w:div w:id="1664122552">
      <w:bodyDiv w:val="1"/>
      <w:marLeft w:val="0"/>
      <w:marRight w:val="0"/>
      <w:marTop w:val="0"/>
      <w:marBottom w:val="0"/>
      <w:divBdr>
        <w:top w:val="none" w:sz="0" w:space="0" w:color="auto"/>
        <w:left w:val="none" w:sz="0" w:space="0" w:color="auto"/>
        <w:bottom w:val="none" w:sz="0" w:space="0" w:color="auto"/>
        <w:right w:val="none" w:sz="0" w:space="0" w:color="auto"/>
      </w:divBdr>
    </w:div>
    <w:div w:id="1854605140">
      <w:bodyDiv w:val="1"/>
      <w:marLeft w:val="0"/>
      <w:marRight w:val="0"/>
      <w:marTop w:val="0"/>
      <w:marBottom w:val="0"/>
      <w:divBdr>
        <w:top w:val="none" w:sz="0" w:space="0" w:color="auto"/>
        <w:left w:val="none" w:sz="0" w:space="0" w:color="auto"/>
        <w:bottom w:val="none" w:sz="0" w:space="0" w:color="auto"/>
        <w:right w:val="none" w:sz="0" w:space="0" w:color="auto"/>
      </w:divBdr>
    </w:div>
    <w:div w:id="1884907697">
      <w:bodyDiv w:val="1"/>
      <w:marLeft w:val="0"/>
      <w:marRight w:val="0"/>
      <w:marTop w:val="0"/>
      <w:marBottom w:val="0"/>
      <w:divBdr>
        <w:top w:val="none" w:sz="0" w:space="0" w:color="auto"/>
        <w:left w:val="none" w:sz="0" w:space="0" w:color="auto"/>
        <w:bottom w:val="none" w:sz="0" w:space="0" w:color="auto"/>
        <w:right w:val="none" w:sz="0" w:space="0" w:color="auto"/>
      </w:divBdr>
    </w:div>
    <w:div w:id="1969357778">
      <w:bodyDiv w:val="1"/>
      <w:marLeft w:val="0"/>
      <w:marRight w:val="0"/>
      <w:marTop w:val="0"/>
      <w:marBottom w:val="0"/>
      <w:divBdr>
        <w:top w:val="none" w:sz="0" w:space="0" w:color="auto"/>
        <w:left w:val="none" w:sz="0" w:space="0" w:color="auto"/>
        <w:bottom w:val="none" w:sz="0" w:space="0" w:color="auto"/>
        <w:right w:val="none" w:sz="0" w:space="0" w:color="auto"/>
      </w:divBdr>
    </w:div>
    <w:div w:id="2014599249">
      <w:bodyDiv w:val="1"/>
      <w:marLeft w:val="0"/>
      <w:marRight w:val="0"/>
      <w:marTop w:val="0"/>
      <w:marBottom w:val="0"/>
      <w:divBdr>
        <w:top w:val="none" w:sz="0" w:space="0" w:color="auto"/>
        <w:left w:val="none" w:sz="0" w:space="0" w:color="auto"/>
        <w:bottom w:val="none" w:sz="0" w:space="0" w:color="auto"/>
        <w:right w:val="none" w:sz="0" w:space="0" w:color="auto"/>
      </w:divBdr>
    </w:div>
    <w:div w:id="2032484640">
      <w:bodyDiv w:val="1"/>
      <w:marLeft w:val="0"/>
      <w:marRight w:val="0"/>
      <w:marTop w:val="0"/>
      <w:marBottom w:val="0"/>
      <w:divBdr>
        <w:top w:val="none" w:sz="0" w:space="0" w:color="auto"/>
        <w:left w:val="none" w:sz="0" w:space="0" w:color="auto"/>
        <w:bottom w:val="none" w:sz="0" w:space="0" w:color="auto"/>
        <w:right w:val="none" w:sz="0" w:space="0" w:color="auto"/>
      </w:divBdr>
    </w:div>
    <w:div w:id="2100249727">
      <w:bodyDiv w:val="1"/>
      <w:marLeft w:val="0"/>
      <w:marRight w:val="0"/>
      <w:marTop w:val="0"/>
      <w:marBottom w:val="0"/>
      <w:divBdr>
        <w:top w:val="none" w:sz="0" w:space="0" w:color="auto"/>
        <w:left w:val="none" w:sz="0" w:space="0" w:color="auto"/>
        <w:bottom w:val="none" w:sz="0" w:space="0" w:color="auto"/>
        <w:right w:val="none" w:sz="0" w:space="0" w:color="auto"/>
      </w:divBdr>
    </w:div>
    <w:div w:id="2136024705">
      <w:bodyDiv w:val="1"/>
      <w:marLeft w:val="0"/>
      <w:marRight w:val="0"/>
      <w:marTop w:val="0"/>
      <w:marBottom w:val="0"/>
      <w:divBdr>
        <w:top w:val="none" w:sz="0" w:space="0" w:color="auto"/>
        <w:left w:val="none" w:sz="0" w:space="0" w:color="auto"/>
        <w:bottom w:val="none" w:sz="0" w:space="0" w:color="auto"/>
        <w:right w:val="none" w:sz="0" w:space="0" w:color="auto"/>
      </w:divBdr>
    </w:div>
    <w:div w:id="21429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2409</Words>
  <Characters>11948</Characters>
  <Application>Microsoft Office Word</Application>
  <DocSecurity>0</DocSecurity>
  <Lines>310</Lines>
  <Paragraphs>104</Paragraphs>
  <ScaleCrop>false</ScaleCrop>
  <HeadingPairs>
    <vt:vector size="2" baseType="variant">
      <vt:variant>
        <vt:lpstr>Title</vt:lpstr>
      </vt:variant>
      <vt:variant>
        <vt:i4>1</vt:i4>
      </vt:variant>
    </vt:vector>
  </HeadingPairs>
  <TitlesOfParts>
    <vt:vector size="1" baseType="lpstr">
      <vt:lpstr>Exposure Draft Explanatory Materials - Treasury Laws Amendment (Measures for Consultation) Bill 2021: Intangible asset depreciation</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(Measures for Consultation) Bill 2021: Intangible asset depreciation</dc:title>
  <dc:subject/>
  <dc:creator/>
  <cp:keywords/>
  <dc:description/>
  <cp:lastModifiedBy/>
  <cp:revision>1</cp:revision>
  <dcterms:created xsi:type="dcterms:W3CDTF">2021-10-07T22:36:00Z</dcterms:created>
  <dcterms:modified xsi:type="dcterms:W3CDTF">2021-10-07T22:37:00Z</dcterms:modified>
</cp:coreProperties>
</file>