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83066" w14:textId="6555A831" w:rsidR="00F012EA" w:rsidRPr="0079191F" w:rsidRDefault="0014480D" w:rsidP="00F012EA">
      <w:pPr>
        <w:pStyle w:val="Title"/>
        <w:rPr>
          <w:rFonts w:asciiTheme="minorHAnsi" w:hAnsiTheme="minorHAnsi" w:cstheme="minorHAnsi"/>
        </w:rPr>
      </w:pPr>
      <w:r w:rsidRPr="0079191F">
        <w:rPr>
          <w:rFonts w:asciiTheme="minorHAnsi" w:hAnsiTheme="minorHAnsi" w:cstheme="minorHAnsi"/>
        </w:rPr>
        <w:t>Consumer Data Right</w:t>
      </w:r>
    </w:p>
    <w:p w14:paraId="60B59893" w14:textId="0852DE23" w:rsidR="00F012EA" w:rsidRPr="0079191F" w:rsidRDefault="0014480D" w:rsidP="0014480D">
      <w:pPr>
        <w:pStyle w:val="Subtitle"/>
        <w:tabs>
          <w:tab w:val="left" w:pos="1985"/>
        </w:tabs>
        <w:spacing w:after="0"/>
        <w:rPr>
          <w:rFonts w:asciiTheme="minorHAnsi" w:hAnsiTheme="minorHAnsi" w:cstheme="minorHAnsi"/>
          <w:color w:val="002C47" w:themeColor="accent1"/>
          <w:sz w:val="56"/>
          <w:szCs w:val="56"/>
        </w:rPr>
      </w:pPr>
      <w:r w:rsidRPr="0079191F">
        <w:rPr>
          <w:rFonts w:asciiTheme="minorHAnsi" w:hAnsiTheme="minorHAnsi" w:cstheme="minorHAnsi"/>
          <w:color w:val="002C47" w:themeColor="accent1"/>
          <w:sz w:val="56"/>
          <w:szCs w:val="56"/>
        </w:rPr>
        <w:t>Privacy Impact Assessment</w:t>
      </w:r>
    </w:p>
    <w:p w14:paraId="6E209C99" w14:textId="513125A8" w:rsidR="0014480D" w:rsidRPr="0079191F" w:rsidRDefault="0014480D" w:rsidP="0014480D">
      <w:pPr>
        <w:pStyle w:val="Subtitle"/>
        <w:tabs>
          <w:tab w:val="left" w:pos="1985"/>
        </w:tabs>
        <w:spacing w:before="0"/>
        <w:rPr>
          <w:rFonts w:asciiTheme="minorHAnsi" w:hAnsiTheme="minorHAnsi" w:cstheme="minorHAnsi"/>
          <w:color w:val="002C47" w:themeColor="accent1"/>
          <w:sz w:val="56"/>
          <w:szCs w:val="56"/>
        </w:rPr>
      </w:pPr>
      <w:r w:rsidRPr="0079191F">
        <w:rPr>
          <w:rFonts w:asciiTheme="minorHAnsi" w:hAnsiTheme="minorHAnsi" w:cstheme="minorHAnsi"/>
          <w:color w:val="002C47" w:themeColor="accent1"/>
          <w:sz w:val="56"/>
          <w:szCs w:val="56"/>
        </w:rPr>
        <w:t>Agency Response</w:t>
      </w:r>
    </w:p>
    <w:p w14:paraId="2BDF03F0" w14:textId="14BD5E0B" w:rsidR="000464B6" w:rsidRPr="0079191F" w:rsidRDefault="00BB0623" w:rsidP="0014480D">
      <w:pPr>
        <w:pStyle w:val="Subtitle"/>
        <w:rPr>
          <w:rFonts w:asciiTheme="minorHAnsi" w:hAnsiTheme="minorHAnsi" w:cstheme="minorHAnsi"/>
          <w:sz w:val="28"/>
          <w:szCs w:val="28"/>
        </w:rPr>
      </w:pPr>
      <w:r>
        <w:rPr>
          <w:rFonts w:asciiTheme="minorHAnsi" w:hAnsiTheme="minorHAnsi" w:cstheme="minorHAnsi"/>
          <w:sz w:val="28"/>
          <w:szCs w:val="28"/>
        </w:rPr>
        <w:t>October</w:t>
      </w:r>
      <w:r w:rsidRPr="0079191F">
        <w:rPr>
          <w:rFonts w:asciiTheme="minorHAnsi" w:hAnsiTheme="minorHAnsi" w:cstheme="minorHAnsi"/>
          <w:sz w:val="28"/>
          <w:szCs w:val="28"/>
        </w:rPr>
        <w:t xml:space="preserve"> </w:t>
      </w:r>
      <w:r w:rsidR="0014480D" w:rsidRPr="0079191F">
        <w:rPr>
          <w:rFonts w:asciiTheme="minorHAnsi" w:hAnsiTheme="minorHAnsi" w:cstheme="minorHAnsi"/>
          <w:sz w:val="28"/>
          <w:szCs w:val="28"/>
        </w:rPr>
        <w:t>2021</w:t>
      </w:r>
    </w:p>
    <w:p w14:paraId="25A6C8A2" w14:textId="77777777" w:rsidR="006C066C" w:rsidRPr="0079191F" w:rsidRDefault="006C066C" w:rsidP="00F012EA">
      <w:pPr>
        <w:pStyle w:val="AuthorName"/>
        <w:rPr>
          <w:rFonts w:asciiTheme="minorHAnsi" w:hAnsiTheme="minorHAnsi" w:cstheme="minorHAnsi"/>
          <w:szCs w:val="24"/>
        </w:rPr>
        <w:sectPr w:rsidR="006C066C" w:rsidRPr="0079191F" w:rsidSect="008C0793">
          <w:footerReference w:type="even" r:id="rId13"/>
          <w:footerReference w:type="default" r:id="rId14"/>
          <w:headerReference w:type="first" r:id="rId15"/>
          <w:pgSz w:w="11906" w:h="16838" w:code="9"/>
          <w:pgMar w:top="1418" w:right="1304" w:bottom="1418" w:left="1304" w:header="567" w:footer="567" w:gutter="0"/>
          <w:cols w:space="708"/>
          <w:titlePg/>
          <w:docGrid w:linePitch="360"/>
        </w:sectPr>
      </w:pPr>
    </w:p>
    <w:p w14:paraId="0A6BBC68" w14:textId="4E67BF77" w:rsidR="000464B6" w:rsidRPr="0079191F" w:rsidRDefault="000464B6" w:rsidP="000464B6">
      <w:pPr>
        <w:rPr>
          <w:rFonts w:asciiTheme="minorHAnsi" w:hAnsiTheme="minorHAnsi" w:cstheme="minorHAnsi"/>
        </w:rPr>
      </w:pPr>
      <w:r w:rsidRPr="0079191F">
        <w:rPr>
          <w:rFonts w:asciiTheme="minorHAnsi" w:hAnsiTheme="minorHAnsi" w:cstheme="minorHAnsi"/>
        </w:rPr>
        <w:lastRenderedPageBreak/>
        <w:t>© Commonwealth of Australia 20</w:t>
      </w:r>
      <w:r w:rsidR="0014480D" w:rsidRPr="0079191F">
        <w:rPr>
          <w:rFonts w:asciiTheme="minorHAnsi" w:hAnsiTheme="minorHAnsi" w:cstheme="minorHAnsi"/>
        </w:rPr>
        <w:t>21</w:t>
      </w:r>
    </w:p>
    <w:p w14:paraId="6227952E" w14:textId="77777777" w:rsidR="000464B6" w:rsidRPr="0079191F" w:rsidRDefault="000464B6" w:rsidP="000464B6">
      <w:pPr>
        <w:tabs>
          <w:tab w:val="left" w:pos="1650"/>
        </w:tabs>
        <w:rPr>
          <w:rStyle w:val="A5"/>
          <w:rFonts w:asciiTheme="minorHAnsi" w:hAnsiTheme="minorHAnsi" w:cstheme="minorHAnsi"/>
          <w:sz w:val="24"/>
          <w:szCs w:val="24"/>
        </w:rPr>
      </w:pPr>
      <w:r w:rsidRPr="0079191F">
        <w:rPr>
          <w:rFonts w:asciiTheme="minorHAnsi" w:hAnsiTheme="minorHAnsi" w:cstheme="minorHAnsi"/>
        </w:rPr>
        <w:t>This publication is available for your use under a</w:t>
      </w:r>
      <w:r w:rsidRPr="0079191F">
        <w:rPr>
          <w:rStyle w:val="A5"/>
          <w:rFonts w:asciiTheme="minorHAnsi" w:hAnsiTheme="minorHAnsi" w:cstheme="minorHAnsi"/>
          <w:sz w:val="24"/>
          <w:szCs w:val="24"/>
        </w:rPr>
        <w:t xml:space="preserve"> </w:t>
      </w:r>
      <w:hyperlink r:id="rId16" w:history="1">
        <w:r w:rsidRPr="0079191F">
          <w:rPr>
            <w:rStyle w:val="Hyperlink"/>
            <w:rFonts w:asciiTheme="minorHAnsi" w:hAnsiTheme="minorHAnsi" w:cstheme="minorHAnsi"/>
          </w:rPr>
          <w:t>Creative Commons BY Attribution 3.0 Australia</w:t>
        </w:r>
      </w:hyperlink>
      <w:r w:rsidRPr="0079191F">
        <w:rPr>
          <w:rStyle w:val="A5"/>
          <w:rFonts w:asciiTheme="minorHAnsi" w:hAnsiTheme="minorHAnsi" w:cstheme="minorHAnsi"/>
          <w:sz w:val="24"/>
          <w:szCs w:val="24"/>
        </w:rPr>
        <w:t xml:space="preserve"> </w:t>
      </w:r>
      <w:r w:rsidRPr="0079191F">
        <w:rPr>
          <w:rFonts w:asciiTheme="minorHAnsi" w:hAnsiTheme="minorHAnsi" w:cstheme="minorHAnsi"/>
        </w:rPr>
        <w:t>licence, with the exception of the Commonwealth Coat of Arms, the Treasury logo, photographs, images, signatures and where otherwise stated. The full licence terms are available from</w:t>
      </w:r>
      <w:r w:rsidRPr="0079191F">
        <w:rPr>
          <w:rStyle w:val="A5"/>
          <w:rFonts w:asciiTheme="minorHAnsi" w:hAnsiTheme="minorHAnsi" w:cstheme="minorHAnsi"/>
          <w:sz w:val="24"/>
          <w:szCs w:val="24"/>
        </w:rPr>
        <w:t xml:space="preserve"> </w:t>
      </w:r>
      <w:hyperlink r:id="rId17" w:history="1">
        <w:r w:rsidRPr="0079191F">
          <w:rPr>
            <w:rStyle w:val="Hyperlink"/>
            <w:rFonts w:asciiTheme="minorHAnsi" w:hAnsiTheme="minorHAnsi" w:cstheme="minorHAnsi"/>
          </w:rPr>
          <w:t>http://creativecommons.org/licenses/by/3.0/au/legalcode</w:t>
        </w:r>
      </w:hyperlink>
      <w:r w:rsidRPr="0079191F">
        <w:rPr>
          <w:rStyle w:val="Hyperlink"/>
          <w:rFonts w:asciiTheme="minorHAnsi" w:hAnsiTheme="minorHAnsi" w:cstheme="minorHAnsi"/>
        </w:rPr>
        <w:t>.</w:t>
      </w:r>
      <w:r w:rsidRPr="0079191F">
        <w:rPr>
          <w:rFonts w:asciiTheme="minorHAnsi" w:hAnsiTheme="minorHAnsi" w:cstheme="minorHAnsi"/>
          <w:sz w:val="24"/>
          <w:szCs w:val="24"/>
        </w:rPr>
        <w:t xml:space="preserve"> </w:t>
      </w:r>
    </w:p>
    <w:p w14:paraId="2392F6C8" w14:textId="77777777" w:rsidR="000464B6" w:rsidRPr="0079191F" w:rsidRDefault="000464B6" w:rsidP="000464B6">
      <w:pPr>
        <w:tabs>
          <w:tab w:val="left" w:pos="1650"/>
        </w:tabs>
        <w:spacing w:before="100" w:beforeAutospacing="1" w:after="100" w:afterAutospacing="1"/>
        <w:rPr>
          <w:rFonts w:asciiTheme="minorHAnsi" w:hAnsiTheme="minorHAnsi" w:cstheme="minorHAnsi"/>
          <w:sz w:val="24"/>
          <w:szCs w:val="24"/>
        </w:rPr>
      </w:pPr>
      <w:r w:rsidRPr="0079191F">
        <w:rPr>
          <w:rFonts w:asciiTheme="minorHAnsi" w:hAnsiTheme="minorHAnsi" w:cstheme="minorHAnsi"/>
          <w:noProof/>
          <w:sz w:val="24"/>
          <w:szCs w:val="24"/>
          <w:lang w:eastAsia="zh-CN"/>
        </w:rPr>
        <w:drawing>
          <wp:inline distT="0" distB="0" distL="0" distR="0" wp14:anchorId="6AA16223" wp14:editId="4C3ED851">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8120DCD" w14:textId="77777777" w:rsidR="000464B6" w:rsidRPr="0079191F" w:rsidRDefault="000464B6" w:rsidP="000464B6">
      <w:pPr>
        <w:tabs>
          <w:tab w:val="left" w:pos="1650"/>
        </w:tabs>
        <w:rPr>
          <w:rFonts w:asciiTheme="minorHAnsi" w:hAnsiTheme="minorHAnsi" w:cstheme="minorHAnsi"/>
        </w:rPr>
      </w:pPr>
      <w:r w:rsidRPr="0079191F">
        <w:rPr>
          <w:rFonts w:asciiTheme="minorHAnsi" w:hAnsiTheme="minorHAnsi" w:cstheme="minorHAnsi"/>
        </w:rPr>
        <w:t>Use of Treasury material under a</w:t>
      </w:r>
      <w:r w:rsidRPr="0079191F">
        <w:rPr>
          <w:rFonts w:asciiTheme="minorHAnsi" w:hAnsiTheme="minorHAnsi" w:cstheme="minorHAnsi"/>
          <w:sz w:val="24"/>
          <w:szCs w:val="24"/>
        </w:rPr>
        <w:t xml:space="preserve"> </w:t>
      </w:r>
      <w:hyperlink r:id="rId19" w:history="1">
        <w:r w:rsidRPr="0079191F">
          <w:rPr>
            <w:rStyle w:val="Hyperlink"/>
            <w:rFonts w:asciiTheme="minorHAnsi" w:hAnsiTheme="minorHAnsi" w:cstheme="minorHAnsi"/>
          </w:rPr>
          <w:t>Creative Commons BY Attribution 3.0 Australia</w:t>
        </w:r>
      </w:hyperlink>
      <w:r w:rsidRPr="0079191F">
        <w:rPr>
          <w:rStyle w:val="Hyperlink"/>
          <w:rFonts w:asciiTheme="minorHAnsi" w:hAnsiTheme="minorHAnsi" w:cstheme="minorHAnsi"/>
        </w:rPr>
        <w:t xml:space="preserve"> </w:t>
      </w:r>
      <w:r w:rsidRPr="0079191F">
        <w:rPr>
          <w:rFonts w:asciiTheme="minorHAnsi" w:hAnsiTheme="minorHAnsi" w:cstheme="minorHAnsi"/>
        </w:rPr>
        <w:t xml:space="preserve">licence requires you to attribute the work (but not in any way that suggests that the Treasury endorses you or your use of the work). </w:t>
      </w:r>
    </w:p>
    <w:p w14:paraId="47A865B0" w14:textId="77777777" w:rsidR="000464B6" w:rsidRPr="0079191F" w:rsidRDefault="000464B6" w:rsidP="000464B6">
      <w:pPr>
        <w:rPr>
          <w:rFonts w:asciiTheme="minorHAnsi" w:hAnsiTheme="minorHAnsi" w:cstheme="minorHAnsi"/>
          <w:i/>
        </w:rPr>
      </w:pPr>
      <w:r w:rsidRPr="0079191F">
        <w:rPr>
          <w:rFonts w:asciiTheme="minorHAnsi" w:hAnsiTheme="minorHAnsi" w:cstheme="minorHAnsi"/>
          <w:i/>
        </w:rPr>
        <w:t>Treasury material used 'as supplied'</w:t>
      </w:r>
    </w:p>
    <w:p w14:paraId="2251E037" w14:textId="77777777" w:rsidR="000464B6" w:rsidRPr="0079191F" w:rsidRDefault="000464B6" w:rsidP="000464B6">
      <w:pPr>
        <w:rPr>
          <w:rFonts w:asciiTheme="minorHAnsi" w:hAnsiTheme="minorHAnsi" w:cstheme="minorHAnsi"/>
        </w:rPr>
      </w:pPr>
      <w:r w:rsidRPr="0079191F">
        <w:rPr>
          <w:rFonts w:asciiTheme="minorHAnsi" w:hAnsiTheme="minorHAnsi" w:cstheme="minorHAns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3A135833" w14:textId="77777777" w:rsidR="000464B6" w:rsidRPr="0079191F" w:rsidRDefault="000464B6" w:rsidP="000464B6">
      <w:pPr>
        <w:ind w:firstLine="720"/>
        <w:rPr>
          <w:rFonts w:asciiTheme="minorHAnsi" w:hAnsiTheme="minorHAnsi" w:cstheme="minorHAnsi"/>
        </w:rPr>
      </w:pPr>
      <w:r w:rsidRPr="0079191F">
        <w:rPr>
          <w:rFonts w:asciiTheme="minorHAnsi" w:hAnsiTheme="minorHAnsi" w:cstheme="minorHAnsi"/>
          <w:i/>
        </w:rPr>
        <w:t xml:space="preserve">Source: The </w:t>
      </w:r>
      <w:r w:rsidRPr="0079191F">
        <w:rPr>
          <w:rFonts w:asciiTheme="minorHAnsi" w:hAnsiTheme="minorHAnsi" w:cstheme="minorHAnsi"/>
          <w:i/>
          <w:iCs/>
        </w:rPr>
        <w:t>Australian Government the Treasury</w:t>
      </w:r>
    </w:p>
    <w:p w14:paraId="132B7B8A" w14:textId="77777777" w:rsidR="000464B6" w:rsidRPr="0079191F" w:rsidRDefault="000464B6" w:rsidP="000464B6">
      <w:pPr>
        <w:rPr>
          <w:rFonts w:asciiTheme="minorHAnsi" w:hAnsiTheme="minorHAnsi" w:cstheme="minorHAnsi"/>
        </w:rPr>
      </w:pPr>
      <w:r w:rsidRPr="0079191F">
        <w:rPr>
          <w:rFonts w:asciiTheme="minorHAnsi" w:hAnsiTheme="minorHAnsi" w:cstheme="minorHAnsi"/>
        </w:rPr>
        <w:t>Derivative material</w:t>
      </w:r>
    </w:p>
    <w:p w14:paraId="062F1CE7" w14:textId="77777777" w:rsidR="000464B6" w:rsidRPr="0079191F" w:rsidRDefault="000464B6" w:rsidP="000464B6">
      <w:pPr>
        <w:rPr>
          <w:rFonts w:asciiTheme="minorHAnsi" w:hAnsiTheme="minorHAnsi" w:cstheme="minorHAnsi"/>
        </w:rPr>
      </w:pPr>
      <w:r w:rsidRPr="0079191F">
        <w:rPr>
          <w:rFonts w:asciiTheme="minorHAnsi" w:hAnsiTheme="minorHAnsi" w:cstheme="minorHAnsi"/>
        </w:rPr>
        <w:t xml:space="preserve">If you have modified or transformed Treasury material, or derived new material from those of the Treasury in any way, then Treasury prefers the following attribution: </w:t>
      </w:r>
    </w:p>
    <w:p w14:paraId="58746D22" w14:textId="77777777" w:rsidR="000464B6" w:rsidRPr="0079191F" w:rsidRDefault="000464B6" w:rsidP="000464B6">
      <w:pPr>
        <w:ind w:firstLine="720"/>
        <w:rPr>
          <w:rFonts w:asciiTheme="minorHAnsi" w:hAnsiTheme="minorHAnsi" w:cstheme="minorHAnsi"/>
        </w:rPr>
      </w:pPr>
      <w:r w:rsidRPr="0079191F">
        <w:rPr>
          <w:rFonts w:asciiTheme="minorHAnsi" w:hAnsiTheme="minorHAnsi" w:cstheme="minorHAnsi"/>
          <w:i/>
        </w:rPr>
        <w:t>Based on The Australian Government the Treasury data</w:t>
      </w:r>
    </w:p>
    <w:p w14:paraId="058B996E" w14:textId="77777777" w:rsidR="000464B6" w:rsidRPr="0079191F" w:rsidRDefault="000464B6" w:rsidP="000464B6">
      <w:pPr>
        <w:spacing w:after="40"/>
        <w:rPr>
          <w:rFonts w:asciiTheme="minorHAnsi" w:hAnsiTheme="minorHAnsi" w:cstheme="minorHAnsi"/>
          <w:b/>
        </w:rPr>
      </w:pPr>
      <w:r w:rsidRPr="0079191F">
        <w:rPr>
          <w:rFonts w:asciiTheme="minorHAnsi" w:hAnsiTheme="minorHAnsi" w:cstheme="minorHAnsi"/>
          <w:b/>
        </w:rPr>
        <w:t>Use of the Coat of Arms</w:t>
      </w:r>
    </w:p>
    <w:p w14:paraId="5789CFE6" w14:textId="77777777" w:rsidR="000464B6" w:rsidRPr="0079191F" w:rsidRDefault="000A12BC" w:rsidP="00CD13C3">
      <w:r w:rsidRPr="0079191F">
        <w:t xml:space="preserve">The terms under which the Coat of Arms can be used are set out on the Department of the Prime Minister and Cabinet website (see </w:t>
      </w:r>
      <w:hyperlink r:id="rId20" w:history="1">
        <w:r w:rsidRPr="0079191F">
          <w:rPr>
            <w:rStyle w:val="Hyperlink"/>
            <w:rFonts w:asciiTheme="minorHAnsi" w:hAnsiTheme="minorHAnsi" w:cstheme="minorHAnsi"/>
          </w:rPr>
          <w:t>www.pmc.gov.au/government/commonwealth-coat-arms</w:t>
        </w:r>
      </w:hyperlink>
      <w:r w:rsidRPr="0079191F">
        <w:t>).</w:t>
      </w:r>
    </w:p>
    <w:p w14:paraId="5CF99A92" w14:textId="77777777" w:rsidR="000464B6" w:rsidRPr="0079191F" w:rsidRDefault="00A57848" w:rsidP="000464B6">
      <w:pPr>
        <w:spacing w:after="40"/>
        <w:rPr>
          <w:rFonts w:asciiTheme="minorHAnsi" w:hAnsiTheme="minorHAnsi" w:cstheme="minorHAnsi"/>
          <w:b/>
        </w:rPr>
      </w:pPr>
      <w:r w:rsidRPr="0079191F">
        <w:rPr>
          <w:rFonts w:asciiTheme="minorHAnsi" w:hAnsiTheme="minorHAnsi" w:cstheme="minorHAnsi"/>
          <w:b/>
        </w:rPr>
        <w:t>Other u</w:t>
      </w:r>
      <w:r w:rsidR="000464B6" w:rsidRPr="0079191F">
        <w:rPr>
          <w:rFonts w:asciiTheme="minorHAnsi" w:hAnsiTheme="minorHAnsi" w:cstheme="minorHAnsi"/>
          <w:b/>
        </w:rPr>
        <w:t>ses</w:t>
      </w:r>
    </w:p>
    <w:p w14:paraId="6EABC215" w14:textId="77777777" w:rsidR="000464B6" w:rsidRPr="0079191F" w:rsidRDefault="00A57848" w:rsidP="00A57848">
      <w:pPr>
        <w:spacing w:after="120"/>
        <w:rPr>
          <w:rFonts w:asciiTheme="minorHAnsi" w:hAnsiTheme="minorHAnsi" w:cstheme="minorHAnsi"/>
        </w:rPr>
      </w:pPr>
      <w:r w:rsidRPr="0079191F">
        <w:rPr>
          <w:rFonts w:asciiTheme="minorHAnsi" w:hAnsiTheme="minorHAnsi" w:cstheme="minorHAnsi"/>
        </w:rPr>
        <w:t>E</w:t>
      </w:r>
      <w:r w:rsidR="000464B6" w:rsidRPr="0079191F">
        <w:rPr>
          <w:rFonts w:asciiTheme="minorHAnsi" w:hAnsiTheme="minorHAnsi" w:cstheme="minorHAnsi"/>
        </w:rPr>
        <w:t>nquiries regarding this licence and any other use of this document are welcome at:</w:t>
      </w:r>
    </w:p>
    <w:p w14:paraId="4E4180CF" w14:textId="77777777" w:rsidR="000464B6" w:rsidRPr="0079191F" w:rsidRDefault="000464B6" w:rsidP="000464B6">
      <w:pPr>
        <w:spacing w:after="0"/>
        <w:ind w:left="720"/>
        <w:rPr>
          <w:rFonts w:asciiTheme="minorHAnsi" w:hAnsiTheme="minorHAnsi" w:cstheme="minorHAnsi"/>
        </w:rPr>
      </w:pPr>
      <w:r w:rsidRPr="0079191F">
        <w:rPr>
          <w:rFonts w:asciiTheme="minorHAnsi" w:hAnsiTheme="minorHAnsi" w:cstheme="minorHAnsi"/>
        </w:rPr>
        <w:t>Manager</w:t>
      </w:r>
    </w:p>
    <w:p w14:paraId="41F775AB" w14:textId="77777777" w:rsidR="000464B6" w:rsidRPr="0079191F" w:rsidRDefault="00A57848" w:rsidP="000464B6">
      <w:pPr>
        <w:spacing w:after="0"/>
        <w:ind w:left="720"/>
        <w:rPr>
          <w:rFonts w:asciiTheme="minorHAnsi" w:hAnsiTheme="minorHAnsi" w:cstheme="minorHAnsi"/>
        </w:rPr>
      </w:pPr>
      <w:r w:rsidRPr="0079191F">
        <w:rPr>
          <w:rFonts w:asciiTheme="minorHAnsi" w:hAnsiTheme="minorHAnsi" w:cstheme="minorHAnsi"/>
        </w:rPr>
        <w:t>Media Unit</w:t>
      </w:r>
    </w:p>
    <w:p w14:paraId="4D69ED3F" w14:textId="77777777" w:rsidR="000464B6" w:rsidRPr="0079191F" w:rsidRDefault="000464B6" w:rsidP="000464B6">
      <w:pPr>
        <w:spacing w:after="0"/>
        <w:ind w:left="720"/>
        <w:rPr>
          <w:rFonts w:asciiTheme="minorHAnsi" w:hAnsiTheme="minorHAnsi" w:cstheme="minorHAnsi"/>
        </w:rPr>
      </w:pPr>
      <w:r w:rsidRPr="0079191F">
        <w:rPr>
          <w:rFonts w:asciiTheme="minorHAnsi" w:hAnsiTheme="minorHAnsi" w:cstheme="minorHAnsi"/>
        </w:rPr>
        <w:t>The Treasury</w:t>
      </w:r>
    </w:p>
    <w:p w14:paraId="73BF78B4" w14:textId="77777777" w:rsidR="000464B6" w:rsidRPr="0079191F" w:rsidRDefault="000464B6" w:rsidP="000464B6">
      <w:pPr>
        <w:spacing w:after="0"/>
        <w:ind w:left="720"/>
        <w:rPr>
          <w:rFonts w:asciiTheme="minorHAnsi" w:hAnsiTheme="minorHAnsi" w:cstheme="minorHAnsi"/>
        </w:rPr>
      </w:pPr>
      <w:r w:rsidRPr="0079191F">
        <w:rPr>
          <w:rFonts w:asciiTheme="minorHAnsi" w:hAnsiTheme="minorHAnsi" w:cstheme="minorHAnsi"/>
        </w:rPr>
        <w:t xml:space="preserve">Langton Crescent </w:t>
      </w:r>
      <w:r w:rsidR="00A57848" w:rsidRPr="0079191F">
        <w:rPr>
          <w:rFonts w:asciiTheme="minorHAnsi" w:hAnsiTheme="minorHAnsi" w:cstheme="minorHAnsi"/>
        </w:rPr>
        <w:br/>
      </w:r>
      <w:r w:rsidRPr="0079191F">
        <w:rPr>
          <w:rFonts w:asciiTheme="minorHAnsi" w:hAnsiTheme="minorHAnsi" w:cstheme="minorHAnsi"/>
        </w:rPr>
        <w:t>Parkes ACT 2600</w:t>
      </w:r>
    </w:p>
    <w:p w14:paraId="13868409" w14:textId="77777777" w:rsidR="000464B6" w:rsidRPr="0079191F" w:rsidRDefault="000464B6" w:rsidP="000464B6">
      <w:pPr>
        <w:spacing w:after="0"/>
        <w:ind w:left="720"/>
        <w:rPr>
          <w:rStyle w:val="Hyperlink"/>
          <w:rFonts w:asciiTheme="minorHAnsi" w:hAnsiTheme="minorHAnsi" w:cstheme="minorHAnsi"/>
        </w:rPr>
      </w:pPr>
      <w:r w:rsidRPr="0079191F">
        <w:rPr>
          <w:rFonts w:asciiTheme="minorHAnsi" w:hAnsiTheme="minorHAnsi" w:cstheme="minorHAnsi"/>
        </w:rPr>
        <w:t xml:space="preserve">Email: </w:t>
      </w:r>
      <w:hyperlink r:id="rId21" w:history="1">
        <w:r w:rsidR="0099283B" w:rsidRPr="0079191F">
          <w:rPr>
            <w:rStyle w:val="Hyperlink"/>
            <w:rFonts w:asciiTheme="minorHAnsi" w:hAnsiTheme="minorHAnsi" w:cstheme="minorHAnsi"/>
          </w:rPr>
          <w:t>media@treasury.gov.au</w:t>
        </w:r>
      </w:hyperlink>
      <w:r w:rsidRPr="0079191F">
        <w:rPr>
          <w:rStyle w:val="Hyperlink"/>
          <w:rFonts w:asciiTheme="minorHAnsi" w:hAnsiTheme="minorHAnsi" w:cstheme="minorHAnsi"/>
        </w:rPr>
        <w:t xml:space="preserve"> </w:t>
      </w:r>
      <w:r w:rsidR="0099283B" w:rsidRPr="0079191F">
        <w:rPr>
          <w:rStyle w:val="Hyperlink"/>
          <w:rFonts w:asciiTheme="minorHAnsi" w:hAnsiTheme="minorHAnsi" w:cstheme="minorHAnsi"/>
        </w:rPr>
        <w:t xml:space="preserve"> </w:t>
      </w:r>
    </w:p>
    <w:p w14:paraId="2A83FD73" w14:textId="77777777" w:rsidR="000464B6" w:rsidRPr="0079191F" w:rsidRDefault="000464B6" w:rsidP="000464B6">
      <w:pPr>
        <w:rPr>
          <w:rFonts w:asciiTheme="minorHAnsi" w:hAnsiTheme="minorHAnsi" w:cstheme="minorHAnsi"/>
        </w:rPr>
      </w:pPr>
    </w:p>
    <w:p w14:paraId="249EF6C0" w14:textId="77777777" w:rsidR="000464B6" w:rsidRPr="0079191F" w:rsidRDefault="000464B6" w:rsidP="000464B6">
      <w:pPr>
        <w:spacing w:after="0"/>
        <w:ind w:left="720"/>
        <w:rPr>
          <w:rStyle w:val="Hyperlink"/>
          <w:rFonts w:asciiTheme="minorHAnsi" w:hAnsiTheme="minorHAnsi" w:cstheme="minorHAnsi"/>
        </w:rPr>
        <w:sectPr w:rsidR="000464B6" w:rsidRPr="0079191F" w:rsidSect="008C0793">
          <w:headerReference w:type="even" r:id="rId22"/>
          <w:headerReference w:type="default" r:id="rId23"/>
          <w:headerReference w:type="first" r:id="rId24"/>
          <w:footerReference w:type="first" r:id="rId25"/>
          <w:pgSz w:w="11906" w:h="16838" w:code="9"/>
          <w:pgMar w:top="1418" w:right="1304" w:bottom="1418" w:left="1304" w:header="567" w:footer="567" w:gutter="0"/>
          <w:cols w:space="708"/>
          <w:titlePg/>
          <w:docGrid w:linePitch="360"/>
        </w:sectPr>
      </w:pPr>
    </w:p>
    <w:tbl>
      <w:tblPr>
        <w:tblStyle w:val="TableGrid"/>
        <w:tblW w:w="0" w:type="auto"/>
        <w:tblLook w:val="04A0" w:firstRow="1" w:lastRow="0" w:firstColumn="1" w:lastColumn="0" w:noHBand="0" w:noVBand="1"/>
      </w:tblPr>
      <w:tblGrid>
        <w:gridCol w:w="9288"/>
      </w:tblGrid>
      <w:tr w:rsidR="00253E13" w:rsidRPr="00CD13C3" w14:paraId="50273343" w14:textId="77777777" w:rsidTr="00996D2B">
        <w:tc>
          <w:tcPr>
            <w:tcW w:w="9288" w:type="dxa"/>
            <w:tcBorders>
              <w:top w:val="nil"/>
              <w:left w:val="nil"/>
              <w:bottom w:val="single" w:sz="4" w:space="0" w:color="auto"/>
              <w:right w:val="nil"/>
            </w:tcBorders>
          </w:tcPr>
          <w:p w14:paraId="05A6A6EC" w14:textId="4BBE2889" w:rsidR="00CD13C3" w:rsidRPr="00222600" w:rsidRDefault="00CD13C3" w:rsidP="00222600">
            <w:pPr>
              <w:pStyle w:val="Heading2"/>
              <w:numPr>
                <w:ilvl w:val="0"/>
                <w:numId w:val="0"/>
              </w:numPr>
              <w:outlineLvl w:val="1"/>
            </w:pPr>
            <w:r w:rsidRPr="00222600">
              <w:lastRenderedPageBreak/>
              <w:t xml:space="preserve">Treasury response to Privacy Impact Assessment - version 3 of the CDR rules </w:t>
            </w:r>
          </w:p>
          <w:p w14:paraId="61D071E5" w14:textId="66058AE7" w:rsidR="003F28B6" w:rsidRDefault="00443157" w:rsidP="00CD13C3">
            <w:pPr>
              <w:rPr>
                <w:rFonts w:asciiTheme="minorHAnsi" w:hAnsiTheme="minorHAnsi" w:cstheme="minorHAnsi"/>
                <w:sz w:val="22"/>
                <w:szCs w:val="22"/>
              </w:rPr>
            </w:pPr>
            <w:r>
              <w:rPr>
                <w:rFonts w:asciiTheme="minorHAnsi" w:hAnsiTheme="minorHAnsi" w:cstheme="minorHAnsi"/>
                <w:sz w:val="22"/>
                <w:szCs w:val="22"/>
              </w:rPr>
              <w:t xml:space="preserve">On </w:t>
            </w:r>
            <w:r w:rsidR="00D00631">
              <w:rPr>
                <w:rFonts w:asciiTheme="minorHAnsi" w:hAnsiTheme="minorHAnsi" w:cstheme="minorHAnsi"/>
                <w:sz w:val="22"/>
                <w:szCs w:val="22"/>
              </w:rPr>
              <w:t>30 September</w:t>
            </w:r>
            <w:r>
              <w:rPr>
                <w:rFonts w:asciiTheme="minorHAnsi" w:hAnsiTheme="minorHAnsi" w:cstheme="minorHAnsi"/>
                <w:sz w:val="22"/>
                <w:szCs w:val="22"/>
              </w:rPr>
              <w:t xml:space="preserve"> 2021 the Minister</w:t>
            </w:r>
            <w:r w:rsidRPr="00CD13C3">
              <w:rPr>
                <w:rFonts w:asciiTheme="minorHAnsi" w:hAnsiTheme="minorHAnsi" w:cstheme="minorHAnsi"/>
                <w:sz w:val="22"/>
                <w:szCs w:val="22"/>
              </w:rPr>
              <w:t xml:space="preserve"> made the Competition and Consumer (Consumer Data Right) Amendment Rules (No. 1).</w:t>
            </w:r>
            <w:r>
              <w:rPr>
                <w:rFonts w:asciiTheme="minorHAnsi" w:hAnsiTheme="minorHAnsi" w:cstheme="minorHAnsi"/>
                <w:sz w:val="22"/>
                <w:szCs w:val="22"/>
              </w:rPr>
              <w:t xml:space="preserve"> </w:t>
            </w:r>
            <w:r w:rsidRPr="00443157">
              <w:rPr>
                <w:rFonts w:asciiTheme="minorHAnsi" w:hAnsiTheme="minorHAnsi" w:cstheme="minorHAnsi"/>
                <w:sz w:val="22"/>
                <w:szCs w:val="22"/>
              </w:rPr>
              <w:t xml:space="preserve">The amendments to the Consumer </w:t>
            </w:r>
            <w:r w:rsidR="00CE49F4">
              <w:rPr>
                <w:rFonts w:asciiTheme="minorHAnsi" w:hAnsiTheme="minorHAnsi" w:cstheme="minorHAnsi"/>
                <w:sz w:val="22"/>
                <w:szCs w:val="22"/>
              </w:rPr>
              <w:t>D</w:t>
            </w:r>
            <w:r w:rsidRPr="00443157">
              <w:rPr>
                <w:rFonts w:asciiTheme="minorHAnsi" w:hAnsiTheme="minorHAnsi" w:cstheme="minorHAnsi"/>
                <w:sz w:val="22"/>
                <w:szCs w:val="22"/>
              </w:rPr>
              <w:t>ata Right rules (</w:t>
            </w:r>
            <w:r w:rsidRPr="00436D38">
              <w:rPr>
                <w:rFonts w:asciiTheme="minorHAnsi" w:hAnsiTheme="minorHAnsi" w:cstheme="minorHAnsi"/>
                <w:b/>
                <w:sz w:val="22"/>
                <w:szCs w:val="22"/>
              </w:rPr>
              <w:t xml:space="preserve">version 3 </w:t>
            </w:r>
            <w:r w:rsidRPr="00436D38">
              <w:rPr>
                <w:rFonts w:asciiTheme="minorHAnsi" w:hAnsiTheme="minorHAnsi" w:cstheme="minorHAnsi"/>
                <w:b/>
                <w:bCs/>
                <w:sz w:val="22"/>
                <w:szCs w:val="22"/>
              </w:rPr>
              <w:t>rules</w:t>
            </w:r>
            <w:r w:rsidRPr="00443157">
              <w:rPr>
                <w:rFonts w:asciiTheme="minorHAnsi" w:hAnsiTheme="minorHAnsi" w:cstheme="minorHAnsi"/>
                <w:sz w:val="22"/>
                <w:szCs w:val="22"/>
              </w:rPr>
              <w:t>) are an important step in increasing the ways businesses can participate in the CDR and enabling consumers to get the benefit of their data through an increased range of services.</w:t>
            </w:r>
          </w:p>
          <w:p w14:paraId="5863A1C3" w14:textId="7623063C" w:rsidR="00C46780" w:rsidRDefault="00BE5E9B" w:rsidP="00C904C9">
            <w:pPr>
              <w:rPr>
                <w:rFonts w:asciiTheme="minorHAnsi" w:hAnsiTheme="minorHAnsi" w:cstheme="minorHAnsi"/>
                <w:sz w:val="22"/>
                <w:szCs w:val="22"/>
              </w:rPr>
            </w:pPr>
            <w:r>
              <w:rPr>
                <w:rFonts w:asciiTheme="minorHAnsi" w:hAnsiTheme="minorHAnsi" w:cstheme="minorHAnsi"/>
                <w:sz w:val="22"/>
                <w:szCs w:val="22"/>
              </w:rPr>
              <w:t xml:space="preserve">This followed </w:t>
            </w:r>
            <w:r w:rsidR="00C904C9">
              <w:rPr>
                <w:rFonts w:asciiTheme="minorHAnsi" w:hAnsiTheme="minorHAnsi" w:cstheme="minorHAnsi"/>
                <w:sz w:val="22"/>
                <w:szCs w:val="22"/>
              </w:rPr>
              <w:t>formal</w:t>
            </w:r>
            <w:r w:rsidRPr="00BE5E9B">
              <w:rPr>
                <w:rFonts w:asciiTheme="minorHAnsi" w:hAnsiTheme="minorHAnsi" w:cstheme="minorHAnsi"/>
                <w:sz w:val="22"/>
                <w:szCs w:val="22"/>
              </w:rPr>
              <w:t xml:space="preserve"> consultation on the </w:t>
            </w:r>
            <w:r w:rsidR="00FB6603">
              <w:rPr>
                <w:rFonts w:asciiTheme="minorHAnsi" w:hAnsiTheme="minorHAnsi" w:cstheme="minorHAnsi"/>
                <w:sz w:val="22"/>
                <w:szCs w:val="22"/>
              </w:rPr>
              <w:t xml:space="preserve">exposure draft rules </w:t>
            </w:r>
            <w:r w:rsidR="00C904C9">
              <w:rPr>
                <w:rFonts w:asciiTheme="minorHAnsi" w:hAnsiTheme="minorHAnsi" w:cstheme="minorHAnsi"/>
                <w:sz w:val="22"/>
                <w:szCs w:val="22"/>
              </w:rPr>
              <w:t xml:space="preserve">in July, </w:t>
            </w:r>
            <w:r w:rsidR="009A0ADA">
              <w:rPr>
                <w:rFonts w:asciiTheme="minorHAnsi" w:hAnsiTheme="minorHAnsi" w:cstheme="minorHAnsi"/>
                <w:sz w:val="22"/>
                <w:szCs w:val="22"/>
              </w:rPr>
              <w:t>which</w:t>
            </w:r>
            <w:r w:rsidR="00C904C9">
              <w:rPr>
                <w:rFonts w:asciiTheme="minorHAnsi" w:hAnsiTheme="minorHAnsi" w:cstheme="minorHAnsi"/>
                <w:sz w:val="22"/>
                <w:szCs w:val="22"/>
              </w:rPr>
              <w:t xml:space="preserve"> built on an informal joint consultation </w:t>
            </w:r>
            <w:r w:rsidR="00E43D7E">
              <w:rPr>
                <w:rFonts w:asciiTheme="minorHAnsi" w:hAnsiTheme="minorHAnsi" w:cstheme="minorHAnsi"/>
                <w:sz w:val="22"/>
                <w:szCs w:val="22"/>
              </w:rPr>
              <w:t xml:space="preserve">process </w:t>
            </w:r>
            <w:r w:rsidR="00FB6603">
              <w:rPr>
                <w:rFonts w:asciiTheme="minorHAnsi" w:hAnsiTheme="minorHAnsi" w:cstheme="minorHAnsi"/>
                <w:sz w:val="22"/>
                <w:szCs w:val="22"/>
              </w:rPr>
              <w:t xml:space="preserve">conducted </w:t>
            </w:r>
            <w:r w:rsidR="00C904C9">
              <w:rPr>
                <w:rFonts w:asciiTheme="minorHAnsi" w:hAnsiTheme="minorHAnsi" w:cstheme="minorHAnsi"/>
                <w:sz w:val="22"/>
                <w:szCs w:val="22"/>
              </w:rPr>
              <w:t xml:space="preserve">with the Data Standards Body on the design of rules and standards relating </w:t>
            </w:r>
            <w:r w:rsidR="00FB6603">
              <w:rPr>
                <w:rFonts w:asciiTheme="minorHAnsi" w:hAnsiTheme="minorHAnsi" w:cstheme="minorHAnsi"/>
                <w:sz w:val="22"/>
                <w:szCs w:val="22"/>
              </w:rPr>
              <w:t xml:space="preserve">to </w:t>
            </w:r>
            <w:r w:rsidR="00C904C9">
              <w:rPr>
                <w:rFonts w:asciiTheme="minorHAnsi" w:hAnsiTheme="minorHAnsi" w:cstheme="minorHAnsi"/>
                <w:sz w:val="22"/>
                <w:szCs w:val="22"/>
              </w:rPr>
              <w:t xml:space="preserve">changes to the joint account rules. The development of the rules was informed by extensive feedback from a range of stakeholders including </w:t>
            </w:r>
            <w:r w:rsidRPr="00BE5E9B">
              <w:rPr>
                <w:rFonts w:asciiTheme="minorHAnsi" w:hAnsiTheme="minorHAnsi" w:cstheme="minorHAnsi"/>
                <w:sz w:val="22"/>
                <w:szCs w:val="22"/>
              </w:rPr>
              <w:t>banks, energy retailers, industry and professional bodies, fintechs, regulators, and consumer and privacy advocates.</w:t>
            </w:r>
          </w:p>
          <w:p w14:paraId="20949F04" w14:textId="6319F7E6" w:rsidR="00723557" w:rsidRDefault="00723557" w:rsidP="00723557">
            <w:pPr>
              <w:rPr>
                <w:rFonts w:asciiTheme="minorHAnsi" w:hAnsiTheme="minorHAnsi" w:cstheme="minorHAnsi"/>
                <w:sz w:val="22"/>
                <w:szCs w:val="22"/>
              </w:rPr>
            </w:pPr>
            <w:r w:rsidRPr="00CD13C3">
              <w:rPr>
                <w:rFonts w:asciiTheme="minorHAnsi" w:hAnsiTheme="minorHAnsi" w:cstheme="minorHAnsi"/>
                <w:sz w:val="22"/>
                <w:szCs w:val="22"/>
              </w:rPr>
              <w:t>The Privacy (Australian Government Agencies – Governance) APP Code 2017 requires a Privacy Impact Assessment (</w:t>
            </w:r>
            <w:r w:rsidRPr="00436D38">
              <w:rPr>
                <w:rFonts w:asciiTheme="minorHAnsi" w:hAnsiTheme="minorHAnsi" w:cstheme="minorHAnsi"/>
                <w:b/>
                <w:sz w:val="22"/>
                <w:szCs w:val="22"/>
              </w:rPr>
              <w:t>PIA</w:t>
            </w:r>
            <w:r w:rsidRPr="00CD13C3">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CD13C3">
              <w:rPr>
                <w:rFonts w:asciiTheme="minorHAnsi" w:hAnsiTheme="minorHAnsi" w:cstheme="minorHAnsi"/>
                <w:sz w:val="22"/>
                <w:szCs w:val="22"/>
              </w:rPr>
              <w:t xml:space="preserve">be conducted for all high privacy risk </w:t>
            </w:r>
            <w:proofErr w:type="gramStart"/>
            <w:r w:rsidRPr="00CD13C3">
              <w:rPr>
                <w:rFonts w:asciiTheme="minorHAnsi" w:hAnsiTheme="minorHAnsi" w:cstheme="minorHAnsi"/>
                <w:sz w:val="22"/>
                <w:szCs w:val="22"/>
              </w:rPr>
              <w:t>projects, and</w:t>
            </w:r>
            <w:proofErr w:type="gramEnd"/>
            <w:r w:rsidRPr="00CD13C3">
              <w:rPr>
                <w:rFonts w:asciiTheme="minorHAnsi" w:hAnsiTheme="minorHAnsi" w:cstheme="minorHAnsi"/>
                <w:sz w:val="22"/>
                <w:szCs w:val="22"/>
              </w:rPr>
              <w:t xml:space="preserve"> must identify impacts on the privacy of individuals and set out recommendations for managing, minimising or eliminating that impact.</w:t>
            </w:r>
          </w:p>
          <w:p w14:paraId="18896A3A" w14:textId="50096DE1" w:rsidR="00F204EF" w:rsidRDefault="00F204EF" w:rsidP="00EE76BC">
            <w:pPr>
              <w:rPr>
                <w:rFonts w:asciiTheme="minorHAnsi" w:hAnsiTheme="minorHAnsi" w:cstheme="minorHAnsi"/>
                <w:sz w:val="22"/>
                <w:szCs w:val="22"/>
              </w:rPr>
            </w:pPr>
            <w:r>
              <w:rPr>
                <w:rFonts w:asciiTheme="minorHAnsi" w:hAnsiTheme="minorHAnsi" w:cstheme="minorHAnsi"/>
                <w:sz w:val="22"/>
                <w:szCs w:val="22"/>
              </w:rPr>
              <w:t xml:space="preserve">The likely effect of making the rules on </w:t>
            </w:r>
            <w:r w:rsidR="00EE76BC">
              <w:rPr>
                <w:rFonts w:asciiTheme="minorHAnsi" w:hAnsiTheme="minorHAnsi" w:cstheme="minorHAnsi"/>
                <w:sz w:val="22"/>
                <w:szCs w:val="22"/>
              </w:rPr>
              <w:t>p</w:t>
            </w:r>
            <w:r>
              <w:rPr>
                <w:rFonts w:asciiTheme="minorHAnsi" w:hAnsiTheme="minorHAnsi" w:cstheme="minorHAnsi"/>
                <w:sz w:val="22"/>
                <w:szCs w:val="22"/>
              </w:rPr>
              <w:t xml:space="preserve">rivacy or confidentiality of consumers’ information </w:t>
            </w:r>
            <w:r w:rsidR="00EE76BC">
              <w:rPr>
                <w:rFonts w:asciiTheme="minorHAnsi" w:hAnsiTheme="minorHAnsi" w:cstheme="minorHAnsi"/>
                <w:sz w:val="22"/>
                <w:szCs w:val="22"/>
              </w:rPr>
              <w:t>must be considered by the Minister before making rules</w:t>
            </w:r>
            <w:r w:rsidR="006D622F">
              <w:rPr>
                <w:rFonts w:asciiTheme="minorHAnsi" w:hAnsiTheme="minorHAnsi" w:cstheme="minorHAnsi"/>
                <w:sz w:val="22"/>
                <w:szCs w:val="22"/>
              </w:rPr>
              <w:t>. This must be considered alongside a range of</w:t>
            </w:r>
            <w:r w:rsidR="00EE76BC">
              <w:rPr>
                <w:rFonts w:asciiTheme="minorHAnsi" w:hAnsiTheme="minorHAnsi" w:cstheme="minorHAnsi"/>
                <w:sz w:val="22"/>
                <w:szCs w:val="22"/>
              </w:rPr>
              <w:t xml:space="preserve"> other </w:t>
            </w:r>
            <w:r w:rsidR="006D622F">
              <w:rPr>
                <w:rFonts w:asciiTheme="minorHAnsi" w:hAnsiTheme="minorHAnsi" w:cstheme="minorHAnsi"/>
                <w:sz w:val="22"/>
                <w:szCs w:val="22"/>
              </w:rPr>
              <w:t>matters</w:t>
            </w:r>
            <w:r w:rsidR="00EE76BC">
              <w:rPr>
                <w:rFonts w:asciiTheme="minorHAnsi" w:hAnsiTheme="minorHAnsi" w:cstheme="minorHAnsi"/>
                <w:sz w:val="22"/>
                <w:szCs w:val="22"/>
              </w:rPr>
              <w:t xml:space="preserve">, including </w:t>
            </w:r>
            <w:r w:rsidRPr="00F204EF">
              <w:rPr>
                <w:rFonts w:asciiTheme="minorHAnsi" w:hAnsiTheme="minorHAnsi" w:cstheme="minorHAnsi"/>
                <w:sz w:val="22"/>
                <w:szCs w:val="22"/>
              </w:rPr>
              <w:t>the likely effect of making the instrument on the interests of consumers, the efficiency of relevant markets, promoting competition, promoting data driven innovation, any intellectual property in the information to be covered by the instrument, the public interest, as well as the likely regulatory impact</w:t>
            </w:r>
            <w:r w:rsidR="00CE49F4">
              <w:rPr>
                <w:rFonts w:asciiTheme="minorHAnsi" w:hAnsiTheme="minorHAnsi" w:cstheme="minorHAnsi"/>
                <w:sz w:val="22"/>
                <w:szCs w:val="22"/>
              </w:rPr>
              <w:t xml:space="preserve"> of the making of the r</w:t>
            </w:r>
            <w:r w:rsidR="00D00631">
              <w:rPr>
                <w:rFonts w:asciiTheme="minorHAnsi" w:hAnsiTheme="minorHAnsi" w:cstheme="minorHAnsi"/>
                <w:sz w:val="22"/>
                <w:szCs w:val="22"/>
              </w:rPr>
              <w:t>u</w:t>
            </w:r>
            <w:r w:rsidR="00CE49F4">
              <w:rPr>
                <w:rFonts w:asciiTheme="minorHAnsi" w:hAnsiTheme="minorHAnsi" w:cstheme="minorHAnsi"/>
                <w:sz w:val="22"/>
                <w:szCs w:val="22"/>
              </w:rPr>
              <w:t>les</w:t>
            </w:r>
            <w:r w:rsidRPr="00F204EF">
              <w:rPr>
                <w:rFonts w:asciiTheme="minorHAnsi" w:hAnsiTheme="minorHAnsi" w:cstheme="minorHAnsi"/>
                <w:sz w:val="22"/>
                <w:szCs w:val="22"/>
              </w:rPr>
              <w:t>.</w:t>
            </w:r>
          </w:p>
          <w:p w14:paraId="21F7CF32" w14:textId="66487E01" w:rsidR="00A80719" w:rsidRDefault="00443157" w:rsidP="00CD13C3">
            <w:pPr>
              <w:rPr>
                <w:rFonts w:asciiTheme="minorHAnsi" w:hAnsiTheme="minorHAnsi" w:cstheme="minorHAnsi"/>
                <w:sz w:val="22"/>
                <w:szCs w:val="22"/>
              </w:rPr>
            </w:pPr>
            <w:r w:rsidRPr="00CD13C3">
              <w:rPr>
                <w:rFonts w:asciiTheme="minorHAnsi" w:hAnsiTheme="minorHAnsi" w:cstheme="minorHAnsi"/>
                <w:sz w:val="22"/>
                <w:szCs w:val="22"/>
              </w:rPr>
              <w:t>Treasury engaged Maddocks to conduct a</w:t>
            </w:r>
            <w:r>
              <w:rPr>
                <w:rFonts w:asciiTheme="minorHAnsi" w:hAnsiTheme="minorHAnsi" w:cstheme="minorHAnsi"/>
                <w:sz w:val="22"/>
                <w:szCs w:val="22"/>
              </w:rPr>
              <w:t xml:space="preserve"> </w:t>
            </w:r>
            <w:r w:rsidRPr="00CD13C3">
              <w:rPr>
                <w:rFonts w:asciiTheme="minorHAnsi" w:hAnsiTheme="minorHAnsi" w:cstheme="minorHAnsi"/>
                <w:sz w:val="22"/>
                <w:szCs w:val="22"/>
              </w:rPr>
              <w:t xml:space="preserve">PIA </w:t>
            </w:r>
            <w:r>
              <w:rPr>
                <w:rFonts w:asciiTheme="minorHAnsi" w:hAnsiTheme="minorHAnsi" w:cstheme="minorHAnsi"/>
                <w:sz w:val="22"/>
                <w:szCs w:val="22"/>
              </w:rPr>
              <w:t>for</w:t>
            </w:r>
            <w:r w:rsidRPr="00CD13C3">
              <w:rPr>
                <w:rFonts w:asciiTheme="minorHAnsi" w:hAnsiTheme="minorHAnsi" w:cstheme="minorHAnsi"/>
                <w:sz w:val="22"/>
                <w:szCs w:val="22"/>
              </w:rPr>
              <w:t xml:space="preserve"> the proposed changes</w:t>
            </w:r>
            <w:r w:rsidR="00352BC1">
              <w:rPr>
                <w:rFonts w:asciiTheme="minorHAnsi" w:hAnsiTheme="minorHAnsi" w:cstheme="minorHAnsi"/>
                <w:sz w:val="22"/>
                <w:szCs w:val="22"/>
              </w:rPr>
              <w:t xml:space="preserve"> to assist the development of the version 3 rules and to inform the Minister’s decision to amend the CDR rules</w:t>
            </w:r>
            <w:r w:rsidRPr="00CD13C3">
              <w:rPr>
                <w:rFonts w:asciiTheme="minorHAnsi" w:hAnsiTheme="minorHAnsi" w:cstheme="minorHAnsi"/>
                <w:sz w:val="22"/>
                <w:szCs w:val="22"/>
              </w:rPr>
              <w:t>.</w:t>
            </w:r>
            <w:r>
              <w:rPr>
                <w:rFonts w:asciiTheme="minorHAnsi" w:hAnsiTheme="minorHAnsi" w:cstheme="minorHAnsi"/>
                <w:sz w:val="22"/>
                <w:szCs w:val="22"/>
              </w:rPr>
              <w:t xml:space="preserve"> Th</w:t>
            </w:r>
            <w:r w:rsidR="00352BC1">
              <w:rPr>
                <w:rFonts w:asciiTheme="minorHAnsi" w:hAnsiTheme="minorHAnsi" w:cstheme="minorHAnsi"/>
                <w:sz w:val="22"/>
                <w:szCs w:val="22"/>
              </w:rPr>
              <w:t>e</w:t>
            </w:r>
            <w:r>
              <w:rPr>
                <w:rFonts w:asciiTheme="minorHAnsi" w:hAnsiTheme="minorHAnsi" w:cstheme="minorHAnsi"/>
                <w:sz w:val="22"/>
                <w:szCs w:val="22"/>
              </w:rPr>
              <w:t xml:space="preserve"> </w:t>
            </w:r>
            <w:r w:rsidR="00352BC1">
              <w:rPr>
                <w:rFonts w:asciiTheme="minorHAnsi" w:hAnsiTheme="minorHAnsi" w:cstheme="minorHAnsi"/>
                <w:sz w:val="22"/>
                <w:szCs w:val="22"/>
              </w:rPr>
              <w:t>PIA</w:t>
            </w:r>
            <w:r>
              <w:rPr>
                <w:rFonts w:asciiTheme="minorHAnsi" w:hAnsiTheme="minorHAnsi" w:cstheme="minorHAnsi"/>
                <w:sz w:val="22"/>
                <w:szCs w:val="22"/>
              </w:rPr>
              <w:t xml:space="preserve"> was informed by submissions to the exposure draft rules </w:t>
            </w:r>
            <w:r w:rsidR="00A80719">
              <w:rPr>
                <w:rFonts w:asciiTheme="minorHAnsi" w:hAnsiTheme="minorHAnsi" w:cstheme="minorHAnsi"/>
                <w:sz w:val="22"/>
                <w:szCs w:val="22"/>
              </w:rPr>
              <w:t xml:space="preserve">and </w:t>
            </w:r>
            <w:r>
              <w:rPr>
                <w:rFonts w:asciiTheme="minorHAnsi" w:hAnsiTheme="minorHAnsi" w:cstheme="minorHAnsi"/>
                <w:sz w:val="22"/>
                <w:szCs w:val="22"/>
              </w:rPr>
              <w:t xml:space="preserve">a consumer privacy roundtable held </w:t>
            </w:r>
            <w:r w:rsidR="00352BC1">
              <w:rPr>
                <w:rFonts w:asciiTheme="minorHAnsi" w:hAnsiTheme="minorHAnsi" w:cstheme="minorHAnsi"/>
                <w:sz w:val="22"/>
                <w:szCs w:val="22"/>
              </w:rPr>
              <w:t xml:space="preserve">on privacy issues relating to </w:t>
            </w:r>
            <w:r w:rsidR="00A80719">
              <w:rPr>
                <w:rFonts w:asciiTheme="minorHAnsi" w:hAnsiTheme="minorHAnsi" w:cstheme="minorHAnsi"/>
                <w:sz w:val="22"/>
                <w:szCs w:val="22"/>
              </w:rPr>
              <w:t xml:space="preserve">the proposed </w:t>
            </w:r>
            <w:r w:rsidR="00352BC1">
              <w:rPr>
                <w:rFonts w:asciiTheme="minorHAnsi" w:hAnsiTheme="minorHAnsi" w:cstheme="minorHAnsi"/>
                <w:sz w:val="22"/>
                <w:szCs w:val="22"/>
              </w:rPr>
              <w:t>rule</w:t>
            </w:r>
            <w:r w:rsidR="00A80719">
              <w:rPr>
                <w:rFonts w:asciiTheme="minorHAnsi" w:hAnsiTheme="minorHAnsi" w:cstheme="minorHAnsi"/>
                <w:sz w:val="22"/>
                <w:szCs w:val="22"/>
              </w:rPr>
              <w:t>s</w:t>
            </w:r>
            <w:r w:rsidR="00352BC1">
              <w:rPr>
                <w:rFonts w:asciiTheme="minorHAnsi" w:hAnsiTheme="minorHAnsi" w:cstheme="minorHAnsi"/>
                <w:sz w:val="22"/>
                <w:szCs w:val="22"/>
              </w:rPr>
              <w:t>.</w:t>
            </w:r>
            <w:r w:rsidR="00352BC1" w:rsidRPr="00CD13C3">
              <w:rPr>
                <w:rFonts w:asciiTheme="minorHAnsi" w:hAnsiTheme="minorHAnsi" w:cstheme="minorHAnsi"/>
                <w:sz w:val="22"/>
                <w:szCs w:val="22"/>
              </w:rPr>
              <w:t xml:space="preserve"> The PIA was </w:t>
            </w:r>
            <w:r w:rsidR="00CE49F4">
              <w:rPr>
                <w:rFonts w:asciiTheme="minorHAnsi" w:hAnsiTheme="minorHAnsi" w:cstheme="minorHAnsi"/>
                <w:sz w:val="22"/>
                <w:szCs w:val="22"/>
              </w:rPr>
              <w:t>prepared</w:t>
            </w:r>
            <w:r w:rsidR="00352BC1" w:rsidRPr="00CD13C3">
              <w:rPr>
                <w:rFonts w:asciiTheme="minorHAnsi" w:hAnsiTheme="minorHAnsi" w:cstheme="minorHAnsi"/>
                <w:sz w:val="22"/>
                <w:szCs w:val="22"/>
              </w:rPr>
              <w:t xml:space="preserve"> on the basis that it was an update to previous PIAs Maddocks prepared in relation to earlier versions of the CDR Rules.</w:t>
            </w:r>
          </w:p>
          <w:p w14:paraId="54ABD568" w14:textId="243AFC7F" w:rsidR="00CD13C3" w:rsidRPr="00CD13C3" w:rsidRDefault="00A80719" w:rsidP="00CD13C3">
            <w:pPr>
              <w:rPr>
                <w:rFonts w:asciiTheme="minorHAnsi" w:hAnsiTheme="minorHAnsi" w:cstheme="minorHAnsi"/>
                <w:sz w:val="22"/>
                <w:szCs w:val="22"/>
              </w:rPr>
            </w:pPr>
            <w:r>
              <w:rPr>
                <w:rFonts w:asciiTheme="minorHAnsi" w:hAnsiTheme="minorHAnsi" w:cstheme="minorHAnsi"/>
                <w:sz w:val="22"/>
                <w:szCs w:val="22"/>
              </w:rPr>
              <w:t>T</w:t>
            </w:r>
            <w:r w:rsidR="00CD13C3" w:rsidRPr="00CD13C3">
              <w:rPr>
                <w:rFonts w:asciiTheme="minorHAnsi" w:hAnsiTheme="minorHAnsi" w:cstheme="minorHAnsi"/>
                <w:sz w:val="22"/>
                <w:szCs w:val="22"/>
              </w:rPr>
              <w:t>he final PIA</w:t>
            </w:r>
            <w:r>
              <w:rPr>
                <w:rFonts w:asciiTheme="minorHAnsi" w:hAnsiTheme="minorHAnsi" w:cstheme="minorHAnsi"/>
                <w:sz w:val="22"/>
                <w:szCs w:val="22"/>
              </w:rPr>
              <w:t xml:space="preserve"> and public submissions are now available on the Treasury website. The final PIA included </w:t>
            </w:r>
            <w:r w:rsidR="00CD13C3" w:rsidRPr="00CD13C3">
              <w:rPr>
                <w:rFonts w:asciiTheme="minorHAnsi" w:hAnsiTheme="minorHAnsi" w:cstheme="minorHAnsi"/>
                <w:sz w:val="22"/>
                <w:szCs w:val="22"/>
              </w:rPr>
              <w:t xml:space="preserve">19 recommendations. </w:t>
            </w:r>
            <w:r w:rsidR="00A23FB1">
              <w:rPr>
                <w:rFonts w:asciiTheme="minorHAnsi" w:hAnsiTheme="minorHAnsi" w:cstheme="minorHAnsi"/>
                <w:sz w:val="22"/>
                <w:szCs w:val="22"/>
              </w:rPr>
              <w:t xml:space="preserve">This document provides an agency response to each of these recommendations. </w:t>
            </w:r>
          </w:p>
          <w:p w14:paraId="32AA73BF" w14:textId="029A8B84"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1 - </w:t>
            </w:r>
            <w:bookmarkStart w:id="0" w:name="_Ref82715760"/>
            <w:r w:rsidRPr="00CD13C3">
              <w:rPr>
                <w:rFonts w:asciiTheme="minorHAnsi" w:hAnsiTheme="minorHAnsi" w:cstheme="minorHAnsi"/>
                <w:b/>
                <w:bCs/>
                <w:sz w:val="22"/>
                <w:szCs w:val="22"/>
              </w:rPr>
              <w:t>Complexity of the CDR regime</w:t>
            </w:r>
            <w:bookmarkEnd w:id="0"/>
          </w:p>
        </w:tc>
      </w:tr>
      <w:tr w:rsidR="00253E13" w:rsidRPr="00CD13C3" w14:paraId="53499775" w14:textId="77777777" w:rsidTr="00164F2C">
        <w:tc>
          <w:tcPr>
            <w:tcW w:w="9288" w:type="dxa"/>
            <w:tcBorders>
              <w:top w:val="single" w:sz="4" w:space="0" w:color="auto"/>
              <w:bottom w:val="single" w:sz="4" w:space="0" w:color="auto"/>
            </w:tcBorders>
            <w:shd w:val="clear" w:color="auto" w:fill="D5E1F1" w:themeFill="accent2" w:themeFillTint="33"/>
          </w:tcPr>
          <w:p w14:paraId="2FEEFF40"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detailed, comprehensive, and clear guidance about the intended application and operation of the CDR Rules be issued, or previously issued guidance amended, in order to explain the proposed changes. </w:t>
            </w:r>
          </w:p>
          <w:p w14:paraId="7EC3179B"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suggest that different forms of guidance could be developed and specifically tailored to assist:</w:t>
            </w:r>
          </w:p>
          <w:p w14:paraId="1D6DA1F4" w14:textId="0514652E"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CDR Consumers; </w:t>
            </w:r>
          </w:p>
          <w:p w14:paraId="11EABEDF" w14:textId="41423D81"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Data Holders; </w:t>
            </w:r>
          </w:p>
          <w:p w14:paraId="75A93172" w14:textId="64BFDA2A"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Accredited Persons at both the unrestricted level and the sponsored level; and </w:t>
            </w:r>
          </w:p>
          <w:p w14:paraId="0CE89FDD" w14:textId="2DB264C6"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persons receiving CDR Data who are outside of the CDR regime (including CDR Representatives, Trusted Advisers and recipients of CDR Insights).</w:t>
            </w:r>
          </w:p>
        </w:tc>
      </w:tr>
      <w:tr w:rsidR="00164F2C" w:rsidRPr="00CD13C3" w14:paraId="17694382" w14:textId="77777777" w:rsidTr="00164F2C">
        <w:tc>
          <w:tcPr>
            <w:tcW w:w="9288" w:type="dxa"/>
            <w:tcBorders>
              <w:top w:val="single" w:sz="4" w:space="0" w:color="auto"/>
            </w:tcBorders>
            <w:shd w:val="clear" w:color="auto" w:fill="FFFFFF" w:themeFill="background1"/>
          </w:tcPr>
          <w:p w14:paraId="7B18B055" w14:textId="77777777" w:rsidR="00164F2C" w:rsidRPr="00CD13C3" w:rsidRDefault="00164F2C" w:rsidP="00164F2C">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Agency response –</w:t>
            </w:r>
            <w:r w:rsidRPr="00CD13C3">
              <w:rPr>
                <w:rFonts w:asciiTheme="minorHAnsi" w:hAnsiTheme="minorHAnsi" w:cstheme="minorHAnsi"/>
                <w:b/>
                <w:bCs/>
                <w:sz w:val="22"/>
                <w:szCs w:val="22"/>
              </w:rPr>
              <w:t xml:space="preserve"> Noted</w:t>
            </w:r>
          </w:p>
          <w:p w14:paraId="6DC41BBE" w14:textId="1295B03C" w:rsidR="00164F2C" w:rsidRPr="00CD13C3" w:rsidRDefault="00164F2C" w:rsidP="00164F2C">
            <w:pPr>
              <w:spacing w:line="276" w:lineRule="auto"/>
              <w:rPr>
                <w:rFonts w:asciiTheme="minorHAnsi" w:hAnsiTheme="minorHAnsi" w:cstheme="minorHAnsi"/>
              </w:rPr>
            </w:pPr>
            <w:r w:rsidRPr="00CD13C3">
              <w:rPr>
                <w:rFonts w:asciiTheme="minorHAnsi" w:hAnsiTheme="minorHAnsi" w:cstheme="minorHAnsi"/>
                <w:sz w:val="22"/>
                <w:szCs w:val="22"/>
              </w:rPr>
              <w:t>In addition to the</w:t>
            </w:r>
            <w:r>
              <w:rPr>
                <w:rFonts w:asciiTheme="minorHAnsi" w:hAnsiTheme="minorHAnsi" w:cstheme="minorHAnsi"/>
                <w:sz w:val="22"/>
                <w:szCs w:val="22"/>
              </w:rPr>
              <w:t xml:space="preserve"> explanation of the intended operation of the rules in the</w:t>
            </w:r>
            <w:r w:rsidRPr="00CD13C3">
              <w:rPr>
                <w:rFonts w:asciiTheme="minorHAnsi" w:hAnsiTheme="minorHAnsi" w:cstheme="minorHAnsi"/>
                <w:sz w:val="22"/>
                <w:szCs w:val="22"/>
              </w:rPr>
              <w:t xml:space="preserve"> Explanatory Statement accompanying the version 3 rules, </w:t>
            </w:r>
            <w:r>
              <w:rPr>
                <w:rFonts w:asciiTheme="minorHAnsi" w:hAnsiTheme="minorHAnsi" w:cstheme="minorHAnsi"/>
                <w:sz w:val="22"/>
                <w:szCs w:val="22"/>
              </w:rPr>
              <w:t xml:space="preserve">regulatory guidance will be provided in relation to the new rules by the </w:t>
            </w:r>
            <w:r w:rsidRPr="00CD13C3">
              <w:rPr>
                <w:rFonts w:asciiTheme="minorHAnsi" w:hAnsiTheme="minorHAnsi" w:cstheme="minorHAnsi"/>
                <w:sz w:val="22"/>
                <w:szCs w:val="22"/>
              </w:rPr>
              <w:t xml:space="preserve">OAIC and the ACCC </w:t>
            </w:r>
            <w:r>
              <w:rPr>
                <w:rFonts w:asciiTheme="minorHAnsi" w:hAnsiTheme="minorHAnsi" w:cstheme="minorHAnsi"/>
                <w:sz w:val="22"/>
                <w:szCs w:val="22"/>
              </w:rPr>
              <w:t xml:space="preserve">as relevant to their </w:t>
            </w:r>
            <w:r w:rsidR="0086312C">
              <w:rPr>
                <w:rFonts w:asciiTheme="minorHAnsi" w:hAnsiTheme="minorHAnsi" w:cstheme="minorHAnsi"/>
                <w:sz w:val="22"/>
                <w:szCs w:val="22"/>
              </w:rPr>
              <w:t xml:space="preserve">CDR </w:t>
            </w:r>
            <w:r>
              <w:rPr>
                <w:rFonts w:asciiTheme="minorHAnsi" w:hAnsiTheme="minorHAnsi" w:cstheme="minorHAnsi"/>
                <w:sz w:val="22"/>
                <w:szCs w:val="22"/>
              </w:rPr>
              <w:t>regulatory functions</w:t>
            </w:r>
            <w:r w:rsidRPr="00CD13C3">
              <w:rPr>
                <w:rFonts w:asciiTheme="minorHAnsi" w:hAnsiTheme="minorHAnsi" w:cstheme="minorHAnsi"/>
                <w:sz w:val="22"/>
                <w:szCs w:val="22"/>
              </w:rPr>
              <w:t>.</w:t>
            </w:r>
          </w:p>
        </w:tc>
      </w:tr>
    </w:tbl>
    <w:p w14:paraId="20A314B9" w14:textId="7781BD32" w:rsidR="00996D2B" w:rsidRDefault="00996D2B"/>
    <w:tbl>
      <w:tblPr>
        <w:tblStyle w:val="TableGrid"/>
        <w:tblW w:w="0" w:type="auto"/>
        <w:tblInd w:w="-5" w:type="dxa"/>
        <w:tblLook w:val="04A0" w:firstRow="1" w:lastRow="0" w:firstColumn="1" w:lastColumn="0" w:noHBand="0" w:noVBand="1"/>
      </w:tblPr>
      <w:tblGrid>
        <w:gridCol w:w="9288"/>
      </w:tblGrid>
      <w:tr w:rsidR="00253E13" w:rsidRPr="00CD13C3" w14:paraId="3CAED5BB" w14:textId="77777777" w:rsidTr="00996D2B">
        <w:tc>
          <w:tcPr>
            <w:tcW w:w="9288" w:type="dxa"/>
            <w:tcBorders>
              <w:top w:val="nil"/>
              <w:left w:val="nil"/>
              <w:bottom w:val="single" w:sz="4" w:space="0" w:color="auto"/>
              <w:right w:val="nil"/>
            </w:tcBorders>
          </w:tcPr>
          <w:p w14:paraId="13B25D37" w14:textId="71A89EFD" w:rsidR="00253E13" w:rsidRPr="00CD13C3" w:rsidRDefault="00253E13" w:rsidP="0079191F">
            <w:pPr>
              <w:spacing w:line="276" w:lineRule="auto"/>
              <w:rPr>
                <w:rFonts w:asciiTheme="minorHAnsi" w:hAnsiTheme="minorHAnsi" w:cstheme="minorHAnsi"/>
                <w:b/>
                <w:bCs/>
                <w:sz w:val="22"/>
                <w:szCs w:val="22"/>
              </w:rPr>
            </w:pPr>
            <w:bookmarkStart w:id="1" w:name="_Hlk84251057"/>
            <w:r w:rsidRPr="00CD13C3">
              <w:rPr>
                <w:rFonts w:asciiTheme="minorHAnsi" w:hAnsiTheme="minorHAnsi" w:cstheme="minorHAnsi"/>
                <w:b/>
                <w:bCs/>
                <w:sz w:val="22"/>
                <w:szCs w:val="22"/>
              </w:rPr>
              <w:t>Maddocks Recommendation 2 - Transfer of CDR Data</w:t>
            </w:r>
          </w:p>
        </w:tc>
      </w:tr>
      <w:tr w:rsidR="00253E13" w:rsidRPr="00CD13C3" w14:paraId="71997403" w14:textId="77777777" w:rsidTr="00996D2B">
        <w:tc>
          <w:tcPr>
            <w:tcW w:w="9288" w:type="dxa"/>
            <w:tcBorders>
              <w:top w:val="single" w:sz="4" w:space="0" w:color="auto"/>
            </w:tcBorders>
            <w:shd w:val="clear" w:color="auto" w:fill="D5E1F1" w:themeFill="accent2" w:themeFillTint="33"/>
          </w:tcPr>
          <w:p w14:paraId="2CAC85E5" w14:textId="339CA1EB"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Treasury consider whether it is appropriate to amend the </w:t>
            </w:r>
            <w:r w:rsidR="006B3701" w:rsidRPr="00CD13C3">
              <w:rPr>
                <w:rFonts w:asciiTheme="minorHAnsi" w:hAnsiTheme="minorHAnsi" w:cstheme="minorHAnsi"/>
                <w:sz w:val="22"/>
                <w:szCs w:val="22"/>
              </w:rPr>
              <w:t>Data Standards</w:t>
            </w:r>
            <w:r w:rsidRPr="00CD13C3">
              <w:rPr>
                <w:rFonts w:asciiTheme="minorHAnsi" w:hAnsiTheme="minorHAnsi" w:cstheme="minorHAnsi"/>
                <w:sz w:val="22"/>
                <w:szCs w:val="22"/>
              </w:rPr>
              <w:t xml:space="preserve">, and/or ensure that appropriate guidance is provided, so that it is clear that all CDR Data (including CDR Insights) must be appropriately encrypted in accordance with Schedule 2 to the CDR Rules, from the time the data leaves the Accredited Data Recipient’s CDR data environment until it reaches the recipient’s IT environment.    </w:t>
            </w:r>
          </w:p>
        </w:tc>
      </w:tr>
      <w:tr w:rsidR="00253E13" w:rsidRPr="00CD13C3" w14:paraId="30C841EF" w14:textId="77777777" w:rsidTr="00996D2B">
        <w:tc>
          <w:tcPr>
            <w:tcW w:w="9288" w:type="dxa"/>
          </w:tcPr>
          <w:p w14:paraId="27047E6B" w14:textId="35E385F1"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3A23A7" w:rsidRPr="00CD13C3">
              <w:rPr>
                <w:rFonts w:asciiTheme="minorHAnsi" w:hAnsiTheme="minorHAnsi" w:cstheme="minorHAnsi"/>
                <w:b/>
                <w:bCs/>
                <w:sz w:val="22"/>
                <w:szCs w:val="22"/>
              </w:rPr>
              <w:t>Noted</w:t>
            </w:r>
          </w:p>
          <w:p w14:paraId="253626E6" w14:textId="3326BD6C" w:rsidR="00253E13" w:rsidRPr="00CD13C3" w:rsidRDefault="0063525F" w:rsidP="0079191F">
            <w:pPr>
              <w:spacing w:line="276" w:lineRule="auto"/>
              <w:rPr>
                <w:rFonts w:asciiTheme="minorHAnsi" w:hAnsiTheme="minorHAnsi" w:cstheme="minorHAnsi"/>
                <w:sz w:val="22"/>
                <w:szCs w:val="22"/>
              </w:rPr>
            </w:pPr>
            <w:r>
              <w:rPr>
                <w:rFonts w:asciiTheme="minorHAnsi" w:hAnsiTheme="minorHAnsi" w:cstheme="minorHAnsi"/>
                <w:sz w:val="22"/>
                <w:szCs w:val="22"/>
              </w:rPr>
              <w:t xml:space="preserve">The obligations in </w:t>
            </w:r>
            <w:r w:rsidR="00F40894" w:rsidRPr="00CD13C3">
              <w:rPr>
                <w:rFonts w:asciiTheme="minorHAnsi" w:hAnsiTheme="minorHAnsi" w:cstheme="minorHAnsi"/>
                <w:sz w:val="22"/>
                <w:szCs w:val="22"/>
              </w:rPr>
              <w:t>Schedule 2 require</w:t>
            </w:r>
            <w:r>
              <w:rPr>
                <w:rFonts w:asciiTheme="minorHAnsi" w:hAnsiTheme="minorHAnsi" w:cstheme="minorHAnsi"/>
                <w:sz w:val="22"/>
                <w:szCs w:val="22"/>
              </w:rPr>
              <w:t xml:space="preserve">, as a default, an accredited data recipient to </w:t>
            </w:r>
            <w:r w:rsidR="001B70E9">
              <w:rPr>
                <w:rFonts w:asciiTheme="minorHAnsi" w:hAnsiTheme="minorHAnsi" w:cstheme="minorHAnsi"/>
                <w:sz w:val="22"/>
                <w:szCs w:val="22"/>
              </w:rPr>
              <w:t>have in place</w:t>
            </w:r>
            <w:r w:rsidR="00D00631">
              <w:rPr>
                <w:rFonts w:asciiTheme="minorHAnsi" w:hAnsiTheme="minorHAnsi" w:cstheme="minorHAnsi"/>
                <w:sz w:val="22"/>
                <w:szCs w:val="22"/>
              </w:rPr>
              <w:t xml:space="preserve"> </w:t>
            </w:r>
            <w:r w:rsidR="00F40894" w:rsidRPr="00CD13C3">
              <w:rPr>
                <w:rFonts w:asciiTheme="minorHAnsi" w:hAnsiTheme="minorHAnsi" w:cstheme="minorHAnsi"/>
                <w:sz w:val="22"/>
                <w:szCs w:val="22"/>
              </w:rPr>
              <w:t>security controls to encrypt data-in-transit</w:t>
            </w:r>
            <w:r w:rsidR="00E175CF">
              <w:rPr>
                <w:rFonts w:asciiTheme="minorHAnsi" w:hAnsiTheme="minorHAnsi" w:cstheme="minorHAnsi"/>
                <w:sz w:val="22"/>
                <w:szCs w:val="22"/>
              </w:rPr>
              <w:t xml:space="preserve"> in accordance with data standards (if any) and industry best practice</w:t>
            </w:r>
            <w:r w:rsidR="00F40894" w:rsidRPr="00CD13C3">
              <w:rPr>
                <w:rFonts w:asciiTheme="minorHAnsi" w:hAnsiTheme="minorHAnsi" w:cstheme="minorHAnsi"/>
                <w:sz w:val="22"/>
                <w:szCs w:val="22"/>
              </w:rPr>
              <w:t xml:space="preserve">. </w:t>
            </w:r>
            <w:r w:rsidR="001B70E9">
              <w:rPr>
                <w:rFonts w:asciiTheme="minorHAnsi" w:hAnsiTheme="minorHAnsi" w:cstheme="minorHAnsi"/>
                <w:sz w:val="22"/>
                <w:szCs w:val="22"/>
              </w:rPr>
              <w:t>This would apply whenever an accredited data recipient makes a disclosure to another entity as permitted by the rules</w:t>
            </w:r>
            <w:r w:rsidR="008239C7">
              <w:rPr>
                <w:rFonts w:asciiTheme="minorHAnsi" w:hAnsiTheme="minorHAnsi" w:cstheme="minorHAnsi"/>
                <w:sz w:val="22"/>
                <w:szCs w:val="22"/>
              </w:rPr>
              <w:t>.</w:t>
            </w:r>
          </w:p>
          <w:p w14:paraId="727294ED" w14:textId="2FE7F5ED" w:rsidR="00FA5783" w:rsidRPr="00CD13C3" w:rsidRDefault="00FA578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New rule 7.5(2)(a) </w:t>
            </w:r>
            <w:r w:rsidR="009705FF" w:rsidRPr="00CD13C3">
              <w:rPr>
                <w:rFonts w:asciiTheme="minorHAnsi" w:hAnsiTheme="minorHAnsi" w:cstheme="minorHAnsi"/>
                <w:sz w:val="22"/>
                <w:szCs w:val="22"/>
              </w:rPr>
              <w:t>requires disclosures to be done in accordance with data standards</w:t>
            </w:r>
            <w:r w:rsidR="001B70E9">
              <w:rPr>
                <w:rFonts w:asciiTheme="minorHAnsi" w:hAnsiTheme="minorHAnsi" w:cstheme="minorHAnsi"/>
                <w:sz w:val="22"/>
                <w:szCs w:val="22"/>
              </w:rPr>
              <w:t xml:space="preserve">. This would require an accredited data recipient to comply with any standards that might be made by the Data Standards Chair in relation to secure disclosure of data to other entities, should such standards be made in the future. If such standards are </w:t>
            </w:r>
            <w:r w:rsidR="008239C7">
              <w:rPr>
                <w:rFonts w:asciiTheme="minorHAnsi" w:hAnsiTheme="minorHAnsi" w:cstheme="minorHAnsi"/>
                <w:sz w:val="22"/>
                <w:szCs w:val="22"/>
              </w:rPr>
              <w:t>made,</w:t>
            </w:r>
            <w:r w:rsidR="001B70E9">
              <w:rPr>
                <w:rFonts w:asciiTheme="minorHAnsi" w:hAnsiTheme="minorHAnsi" w:cstheme="minorHAnsi"/>
                <w:sz w:val="22"/>
                <w:szCs w:val="22"/>
              </w:rPr>
              <w:t xml:space="preserve"> they would apply in addition to</w:t>
            </w:r>
            <w:r w:rsidR="009705FF" w:rsidRPr="00CD13C3">
              <w:rPr>
                <w:rFonts w:asciiTheme="minorHAnsi" w:hAnsiTheme="minorHAnsi" w:cstheme="minorHAnsi"/>
                <w:sz w:val="22"/>
                <w:szCs w:val="22"/>
              </w:rPr>
              <w:t xml:space="preserve"> the controls in Schedule 2</w:t>
            </w:r>
            <w:r w:rsidRPr="00CD13C3">
              <w:rPr>
                <w:rFonts w:asciiTheme="minorHAnsi" w:hAnsiTheme="minorHAnsi" w:cstheme="minorHAnsi"/>
                <w:sz w:val="22"/>
                <w:szCs w:val="22"/>
              </w:rPr>
              <w:t xml:space="preserve">. </w:t>
            </w:r>
          </w:p>
        </w:tc>
      </w:tr>
      <w:bookmarkEnd w:id="1"/>
    </w:tbl>
    <w:p w14:paraId="14CCE679" w14:textId="15A02056" w:rsidR="00253E13" w:rsidRPr="00CD13C3" w:rsidRDefault="00253E1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443F6E9A" w14:textId="77777777" w:rsidTr="00996D2B">
        <w:tc>
          <w:tcPr>
            <w:tcW w:w="9288" w:type="dxa"/>
            <w:tcBorders>
              <w:top w:val="nil"/>
              <w:left w:val="nil"/>
              <w:bottom w:val="single" w:sz="4" w:space="0" w:color="auto"/>
              <w:right w:val="nil"/>
            </w:tcBorders>
          </w:tcPr>
          <w:p w14:paraId="3A3FFFA7" w14:textId="2B5EC30B"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Maddocks Recommendation 3 – Trusted Advisers</w:t>
            </w:r>
          </w:p>
        </w:tc>
      </w:tr>
      <w:tr w:rsidR="00253E13" w:rsidRPr="00CD13C3" w14:paraId="51A59F86" w14:textId="77777777" w:rsidTr="00996D2B">
        <w:tc>
          <w:tcPr>
            <w:tcW w:w="9288" w:type="dxa"/>
            <w:tcBorders>
              <w:top w:val="single" w:sz="4" w:space="0" w:color="auto"/>
            </w:tcBorders>
            <w:shd w:val="clear" w:color="auto" w:fill="D5E1F1" w:themeFill="accent2" w:themeFillTint="33"/>
          </w:tcPr>
          <w:p w14:paraId="4A29C2D6"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w:t>
            </w:r>
          </w:p>
          <w:p w14:paraId="3F24765E" w14:textId="59FF862E"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only allowing CDR Data to be disclosed outside of the CDR regime to Trusted Advisers who are APP entities for the purposes of the Privacy Act;</w:t>
            </w:r>
          </w:p>
          <w:p w14:paraId="792EF75E" w14:textId="2BBF2FFD"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if the above is not possible or practical (e.g. it would defeat the policy objective by excluding many small businesses who are Trusted Advisers (and not Accredited Data Recipients) from receiving the CDR Data), only allowing CDR Data to be disclosed outside of the CDR regime to Trusted Advisers who have agreed (through a contractual arrangement with the Accredited Data Recipient) to effectively comply with the requirements of APP 1, APP 6 and APP 11, and the Notifiable Data Breach scheme; or</w:t>
            </w:r>
          </w:p>
          <w:p w14:paraId="13C982F2" w14:textId="3C1295A3"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if the above is not possible or practical, requiring the Accredited Data Recipient to tell the Trusted Adviser of the scope of the CDR Consumer’s consent, and to remind the recipient (i.e. the Trusted Adviser) of their fiduciary or regulatory obligations in relation to the CDR Consumer. </w:t>
            </w:r>
          </w:p>
          <w:p w14:paraId="37CD14D9" w14:textId="34B140C0"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Additionally, we recommend that Treasury consider undertaking an analysis of whether each of the proposed classes of Trusted Adviser will at least be subject to obligations that will require the recipient to use CDR Data that it receives consistently with the consents provided by the CDR Consumer (e.g. if they would be required to do so as part of ethical obligations).</w:t>
            </w:r>
          </w:p>
        </w:tc>
      </w:tr>
      <w:tr w:rsidR="00253E13" w:rsidRPr="00CD13C3" w14:paraId="6EBEA071" w14:textId="77777777" w:rsidTr="00996D2B">
        <w:tc>
          <w:tcPr>
            <w:tcW w:w="9288" w:type="dxa"/>
          </w:tcPr>
          <w:p w14:paraId="59E5B796" w14:textId="7D40F766"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 xml:space="preserve">Agency response – </w:t>
            </w:r>
            <w:r w:rsidR="00D30BB5" w:rsidRPr="00CD13C3">
              <w:rPr>
                <w:rFonts w:asciiTheme="minorHAnsi" w:hAnsiTheme="minorHAnsi" w:cstheme="minorHAnsi"/>
                <w:b/>
                <w:bCs/>
                <w:sz w:val="22"/>
                <w:szCs w:val="22"/>
              </w:rPr>
              <w:t>Not accepted</w:t>
            </w:r>
          </w:p>
          <w:p w14:paraId="5CC0E283" w14:textId="24FE98F2" w:rsidR="00253E13" w:rsidRPr="00CD13C3" w:rsidRDefault="00055124">
            <w:pPr>
              <w:spacing w:line="276" w:lineRule="auto"/>
              <w:rPr>
                <w:rFonts w:asciiTheme="minorHAnsi" w:hAnsiTheme="minorHAnsi" w:cstheme="minorHAnsi"/>
                <w:sz w:val="22"/>
                <w:szCs w:val="22"/>
              </w:rPr>
            </w:pPr>
            <w:bookmarkStart w:id="2" w:name="_Hlk83126620"/>
            <w:r w:rsidRPr="00CD13C3">
              <w:rPr>
                <w:sz w:val="22"/>
                <w:szCs w:val="22"/>
              </w:rPr>
              <w:t xml:space="preserve">The classes </w:t>
            </w:r>
            <w:r w:rsidR="00DC73A3" w:rsidRPr="00CD13C3">
              <w:rPr>
                <w:sz w:val="22"/>
                <w:szCs w:val="22"/>
              </w:rPr>
              <w:t xml:space="preserve">of trusted adviser include </w:t>
            </w:r>
            <w:r w:rsidRPr="00CD13C3">
              <w:rPr>
                <w:sz w:val="22"/>
                <w:szCs w:val="22"/>
              </w:rPr>
              <w:t xml:space="preserve">professions that are regulated </w:t>
            </w:r>
            <w:r w:rsidR="00B42B62">
              <w:rPr>
                <w:sz w:val="22"/>
                <w:szCs w:val="22"/>
              </w:rPr>
              <w:t>and subject to professional duties and oversight that provide an appropriate level of consumer protections</w:t>
            </w:r>
            <w:r w:rsidRPr="00CD13C3">
              <w:rPr>
                <w:sz w:val="22"/>
                <w:szCs w:val="22"/>
              </w:rPr>
              <w:t xml:space="preserve">. While many </w:t>
            </w:r>
            <w:r w:rsidR="0000793D" w:rsidRPr="00CD13C3">
              <w:rPr>
                <w:sz w:val="22"/>
                <w:szCs w:val="22"/>
              </w:rPr>
              <w:t xml:space="preserve">trusted advisers will be APP entities under the Privacy Act, requiring all trusted advisers to be subject to the Privacy Act </w:t>
            </w:r>
            <w:r w:rsidR="001B70E9">
              <w:rPr>
                <w:sz w:val="22"/>
                <w:szCs w:val="22"/>
              </w:rPr>
              <w:t>may</w:t>
            </w:r>
            <w:r w:rsidR="0000793D" w:rsidRPr="00CD13C3">
              <w:rPr>
                <w:sz w:val="22"/>
                <w:szCs w:val="22"/>
              </w:rPr>
              <w:t xml:space="preserve"> </w:t>
            </w:r>
            <w:r w:rsidR="001B70E9">
              <w:rPr>
                <w:sz w:val="22"/>
                <w:szCs w:val="22"/>
              </w:rPr>
              <w:t xml:space="preserve">unduly impede consumer choice </w:t>
            </w:r>
            <w:r w:rsidR="00B42B62">
              <w:rPr>
                <w:sz w:val="22"/>
                <w:szCs w:val="22"/>
              </w:rPr>
              <w:t>in circumstances where professional oversight and regulation exists</w:t>
            </w:r>
            <w:r w:rsidR="001C669C" w:rsidRPr="00CD13C3">
              <w:rPr>
                <w:rFonts w:asciiTheme="minorHAnsi" w:hAnsiTheme="minorHAnsi" w:cstheme="minorHAnsi"/>
                <w:sz w:val="22"/>
                <w:szCs w:val="22"/>
              </w:rPr>
              <w:t>.</w:t>
            </w:r>
            <w:bookmarkEnd w:id="2"/>
          </w:p>
        </w:tc>
      </w:tr>
      <w:tr w:rsidR="00253E13" w:rsidRPr="00CD13C3" w14:paraId="296DA4A3" w14:textId="77777777" w:rsidTr="00996D2B">
        <w:tc>
          <w:tcPr>
            <w:tcW w:w="9288" w:type="dxa"/>
            <w:tcBorders>
              <w:top w:val="nil"/>
              <w:left w:val="nil"/>
              <w:bottom w:val="single" w:sz="4" w:space="0" w:color="auto"/>
              <w:right w:val="nil"/>
            </w:tcBorders>
          </w:tcPr>
          <w:p w14:paraId="1B23046E" w14:textId="0BDF534E" w:rsidR="00253E13" w:rsidRPr="00CD13C3" w:rsidRDefault="00996D2B" w:rsidP="0079191F">
            <w:pPr>
              <w:keepNext/>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253E13" w:rsidRPr="00CD13C3">
              <w:rPr>
                <w:rFonts w:asciiTheme="minorHAnsi" w:hAnsiTheme="minorHAnsi" w:cstheme="minorHAnsi"/>
                <w:b/>
                <w:bCs/>
                <w:sz w:val="22"/>
                <w:szCs w:val="22"/>
              </w:rPr>
              <w:t>Maddocks Recommendation 4 - Transparency for CDR Consumers</w:t>
            </w:r>
          </w:p>
        </w:tc>
      </w:tr>
      <w:tr w:rsidR="00253E13" w:rsidRPr="00CD13C3" w14:paraId="74F9CBBB" w14:textId="77777777" w:rsidTr="00996D2B">
        <w:tc>
          <w:tcPr>
            <w:tcW w:w="9288" w:type="dxa"/>
            <w:tcBorders>
              <w:top w:val="single" w:sz="4" w:space="0" w:color="auto"/>
            </w:tcBorders>
            <w:shd w:val="clear" w:color="auto" w:fill="D5E1F1" w:themeFill="accent2" w:themeFillTint="33"/>
          </w:tcPr>
          <w:p w14:paraId="52C9E776" w14:textId="2F0350AD"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whether it would be appropriate to continue, in consultation with the Data Standards Body, to conduct consumer research on what is the best way to present a CDR Consumer with information on the implications of providing a disclosure consent which permits the disclosure of their CDR Data to Trusted Advisers (and therefore outside of the CDR regime), to ensure that CDR Consumers are provided with an adequate amount of information before providing their consent, but balancing this against the risk of “information overload” for the CDR Consumer.</w:t>
            </w:r>
          </w:p>
          <w:p w14:paraId="03E03DA9"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suggest this could be achieved by expanding proposed Rule 8.11(1A) to require the Data Standards to include provisions that cover ensuring that CDR Consumers are made aware that if they provide a TA disclosure consent, their CDR Data will leave the CDR system. </w:t>
            </w:r>
          </w:p>
          <w:p w14:paraId="4CAA309E"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also recommend that Treasury consider whether the CDR Rules should allow the Data Standards to specify different standards for obtaining consent to disclose CDR Data to Trusted Advisers, depending on whether:</w:t>
            </w:r>
          </w:p>
          <w:p w14:paraId="38180E64" w14:textId="4566A8FB"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the CDR Consumer is an individual or sole trader and consenting to disclosure of their CDR Data; and</w:t>
            </w:r>
          </w:p>
          <w:p w14:paraId="2A1B50DC" w14:textId="776DABD9"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the CDR Consumer is a company or other business and is consenting to disclosure of CDR Data about their business.</w:t>
            </w:r>
          </w:p>
        </w:tc>
      </w:tr>
      <w:tr w:rsidR="00253E13" w:rsidRPr="00CD13C3" w14:paraId="4583E0CC" w14:textId="77777777" w:rsidTr="00996D2B">
        <w:tc>
          <w:tcPr>
            <w:tcW w:w="9288" w:type="dxa"/>
          </w:tcPr>
          <w:p w14:paraId="2E09AD89" w14:textId="78A3E41E"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0B523D">
              <w:rPr>
                <w:rFonts w:asciiTheme="minorHAnsi" w:hAnsiTheme="minorHAnsi" w:cstheme="minorHAnsi"/>
                <w:b/>
                <w:bCs/>
                <w:sz w:val="22"/>
                <w:szCs w:val="22"/>
              </w:rPr>
              <w:t>Noted</w:t>
            </w:r>
          </w:p>
          <w:p w14:paraId="44532A20" w14:textId="6DF2FBB3" w:rsidR="00253E13" w:rsidRPr="00CD13C3" w:rsidRDefault="005C3FA1" w:rsidP="005054C2">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rules require </w:t>
            </w:r>
            <w:r w:rsidR="00933080">
              <w:rPr>
                <w:rFonts w:asciiTheme="minorHAnsi" w:hAnsiTheme="minorHAnsi" w:cstheme="minorHAnsi"/>
                <w:sz w:val="22"/>
                <w:szCs w:val="22"/>
              </w:rPr>
              <w:t>consumer experience (</w:t>
            </w:r>
            <w:r w:rsidRPr="00933080">
              <w:rPr>
                <w:rFonts w:asciiTheme="minorHAnsi" w:hAnsiTheme="minorHAnsi" w:cstheme="minorHAnsi"/>
                <w:b/>
                <w:sz w:val="22"/>
                <w:szCs w:val="22"/>
              </w:rPr>
              <w:t>CX</w:t>
            </w:r>
            <w:r w:rsidR="00933080">
              <w:rPr>
                <w:rFonts w:asciiTheme="minorHAnsi" w:hAnsiTheme="minorHAnsi" w:cstheme="minorHAnsi"/>
                <w:sz w:val="22"/>
                <w:szCs w:val="22"/>
              </w:rPr>
              <w:t>)</w:t>
            </w:r>
            <w:r w:rsidRPr="00CD13C3">
              <w:rPr>
                <w:rFonts w:asciiTheme="minorHAnsi" w:hAnsiTheme="minorHAnsi" w:cstheme="minorHAnsi"/>
                <w:sz w:val="22"/>
                <w:szCs w:val="22"/>
              </w:rPr>
              <w:t xml:space="preserve"> standards to be made by the Data Standards Chair </w:t>
            </w:r>
            <w:r w:rsidR="000B316A" w:rsidRPr="00CD13C3">
              <w:rPr>
                <w:rFonts w:asciiTheme="minorHAnsi" w:hAnsiTheme="minorHAnsi" w:cstheme="minorHAnsi"/>
                <w:sz w:val="22"/>
                <w:szCs w:val="22"/>
              </w:rPr>
              <w:t xml:space="preserve">for the disclosure of CDR data to trusted advisers. CX </w:t>
            </w:r>
            <w:r w:rsidR="005054C2" w:rsidRPr="00CD13C3">
              <w:rPr>
                <w:rFonts w:asciiTheme="minorHAnsi" w:hAnsiTheme="minorHAnsi" w:cstheme="minorHAnsi"/>
                <w:sz w:val="22"/>
                <w:szCs w:val="22"/>
              </w:rPr>
              <w:t xml:space="preserve">data </w:t>
            </w:r>
            <w:r w:rsidR="000B316A" w:rsidRPr="00CD13C3">
              <w:rPr>
                <w:rFonts w:asciiTheme="minorHAnsi" w:hAnsiTheme="minorHAnsi" w:cstheme="minorHAnsi"/>
                <w:sz w:val="22"/>
                <w:szCs w:val="22"/>
              </w:rPr>
              <w:t>standards may also be made about the process for obtaining consents to disclose to trusted advisers</w:t>
            </w:r>
            <w:r w:rsidR="00DB251A">
              <w:rPr>
                <w:rFonts w:asciiTheme="minorHAnsi" w:hAnsiTheme="minorHAnsi" w:cstheme="minorHAnsi"/>
                <w:sz w:val="22"/>
                <w:szCs w:val="22"/>
              </w:rPr>
              <w:t>. T</w:t>
            </w:r>
            <w:r w:rsidR="000B316A" w:rsidRPr="00CD13C3">
              <w:rPr>
                <w:rFonts w:asciiTheme="minorHAnsi" w:hAnsiTheme="minorHAnsi" w:cstheme="minorHAnsi"/>
                <w:sz w:val="22"/>
                <w:szCs w:val="22"/>
              </w:rPr>
              <w:t xml:space="preserve">he Data Standards Body routinely conducts </w:t>
            </w:r>
            <w:r w:rsidR="00142115" w:rsidRPr="00CD13C3">
              <w:rPr>
                <w:rFonts w:asciiTheme="minorHAnsi" w:hAnsiTheme="minorHAnsi" w:cstheme="minorHAnsi"/>
                <w:sz w:val="22"/>
                <w:szCs w:val="22"/>
              </w:rPr>
              <w:t xml:space="preserve">consumer research </w:t>
            </w:r>
            <w:r w:rsidR="000B316A" w:rsidRPr="00CD13C3">
              <w:rPr>
                <w:rFonts w:asciiTheme="minorHAnsi" w:hAnsiTheme="minorHAnsi" w:cstheme="minorHAnsi"/>
                <w:sz w:val="22"/>
                <w:szCs w:val="22"/>
              </w:rPr>
              <w:t xml:space="preserve">to assist the development of </w:t>
            </w:r>
            <w:r w:rsidR="005054C2" w:rsidRPr="00CD13C3">
              <w:rPr>
                <w:rFonts w:asciiTheme="minorHAnsi" w:hAnsiTheme="minorHAnsi" w:cstheme="minorHAnsi"/>
                <w:sz w:val="22"/>
                <w:szCs w:val="22"/>
              </w:rPr>
              <w:t xml:space="preserve">CX data </w:t>
            </w:r>
            <w:r w:rsidR="000B316A" w:rsidRPr="00CD13C3">
              <w:rPr>
                <w:rFonts w:asciiTheme="minorHAnsi" w:hAnsiTheme="minorHAnsi" w:cstheme="minorHAnsi"/>
                <w:sz w:val="22"/>
                <w:szCs w:val="22"/>
              </w:rPr>
              <w:t>standards.</w:t>
            </w:r>
            <w:r w:rsidR="005054C2" w:rsidRPr="00CD13C3">
              <w:rPr>
                <w:rFonts w:asciiTheme="minorHAnsi" w:hAnsiTheme="minorHAnsi" w:cstheme="minorHAnsi"/>
                <w:sz w:val="22"/>
                <w:szCs w:val="22"/>
              </w:rPr>
              <w:t xml:space="preserve"> The rules do not preclude the Data Standards </w:t>
            </w:r>
            <w:r w:rsidR="00E175CF">
              <w:rPr>
                <w:rFonts w:asciiTheme="minorHAnsi" w:hAnsiTheme="minorHAnsi" w:cstheme="minorHAnsi"/>
                <w:sz w:val="22"/>
                <w:szCs w:val="22"/>
              </w:rPr>
              <w:t>Chair</w:t>
            </w:r>
            <w:r w:rsidR="00E175CF" w:rsidRPr="00CD13C3">
              <w:rPr>
                <w:rFonts w:asciiTheme="minorHAnsi" w:hAnsiTheme="minorHAnsi" w:cstheme="minorHAnsi"/>
                <w:sz w:val="22"/>
                <w:szCs w:val="22"/>
              </w:rPr>
              <w:t xml:space="preserve"> </w:t>
            </w:r>
            <w:r w:rsidR="005054C2" w:rsidRPr="00CD13C3">
              <w:rPr>
                <w:rFonts w:asciiTheme="minorHAnsi" w:hAnsiTheme="minorHAnsi" w:cstheme="minorHAnsi"/>
                <w:sz w:val="22"/>
                <w:szCs w:val="22"/>
              </w:rPr>
              <w:t>from making CX data standards that differ based on the context in which the consent is sought.</w:t>
            </w:r>
          </w:p>
        </w:tc>
      </w:tr>
    </w:tbl>
    <w:p w14:paraId="734AE43E" w14:textId="63481287" w:rsidR="00253E13" w:rsidRPr="00CD13C3" w:rsidRDefault="00253E1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779A4815" w14:textId="77777777" w:rsidTr="00996D2B">
        <w:tc>
          <w:tcPr>
            <w:tcW w:w="9288" w:type="dxa"/>
            <w:tcBorders>
              <w:top w:val="nil"/>
              <w:left w:val="nil"/>
              <w:bottom w:val="single" w:sz="4" w:space="0" w:color="auto"/>
              <w:right w:val="nil"/>
            </w:tcBorders>
          </w:tcPr>
          <w:p w14:paraId="7422D6E0" w14:textId="536CA28F"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lastRenderedPageBreak/>
              <w:t>Maddocks Recommendation 5 - Classes of Trusted Advisers</w:t>
            </w:r>
          </w:p>
        </w:tc>
      </w:tr>
      <w:tr w:rsidR="00253E13" w:rsidRPr="00CD13C3" w14:paraId="3E23AEAB" w14:textId="77777777" w:rsidTr="00996D2B">
        <w:tc>
          <w:tcPr>
            <w:tcW w:w="9288" w:type="dxa"/>
            <w:tcBorders>
              <w:top w:val="single" w:sz="4" w:space="0" w:color="auto"/>
            </w:tcBorders>
            <w:shd w:val="clear" w:color="auto" w:fill="D5E1F1" w:themeFill="accent2" w:themeFillTint="33"/>
          </w:tcPr>
          <w:p w14:paraId="451D6255" w14:textId="77777777"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further guidance be provided about what constitutes the ‘reasonable steps’ that an Accredited Data Recipient is required to take to establish that a Trusted Adviser falls within a class of persons to which CDR Data can be transferred. For example, we suggest that it might be best practice for the CDR Rules, or the Data Standards, to require the Accredited Data Recipient to:</w:t>
            </w:r>
          </w:p>
          <w:p w14:paraId="13523F55" w14:textId="5AE6993B"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obtain evidence that the Trusted Adviser falls within a class specified in proposed Rule 1.10C(2); or</w:t>
            </w:r>
          </w:p>
          <w:p w14:paraId="203F4E06" w14:textId="724CBA0D" w:rsidR="00253E13" w:rsidRPr="00CD13C3" w:rsidRDefault="00253E1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check a public register for the relevant class of Trusted Adviser.</w:t>
            </w:r>
          </w:p>
          <w:p w14:paraId="40A968BB" w14:textId="37A106BC"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also recommend that Treasury confirm that proposed Rule 1.10C(2) will not have the unintended effect of allowing persons who have been banned or disqualified by their profession, or who are subject to an enforceable undertaking, being included in a class of Trusted Adviser.</w:t>
            </w:r>
          </w:p>
        </w:tc>
      </w:tr>
      <w:tr w:rsidR="00253E13" w:rsidRPr="00CD13C3" w14:paraId="27910533" w14:textId="77777777" w:rsidTr="00996D2B">
        <w:tc>
          <w:tcPr>
            <w:tcW w:w="9288" w:type="dxa"/>
          </w:tcPr>
          <w:p w14:paraId="79F09CB3" w14:textId="769E03DD" w:rsidR="00253E13" w:rsidRPr="00CD13C3" w:rsidRDefault="00C06F63" w:rsidP="0079191F">
            <w:pPr>
              <w:spacing w:line="276" w:lineRule="auto"/>
              <w:rPr>
                <w:rFonts w:asciiTheme="minorHAnsi" w:hAnsiTheme="minorHAnsi" w:cstheme="minorHAnsi"/>
                <w:b/>
                <w:bCs/>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Accepted in part</w:t>
            </w:r>
          </w:p>
          <w:p w14:paraId="1EB88347" w14:textId="288B08FA" w:rsidR="00FC523B" w:rsidRPr="00CD13C3" w:rsidRDefault="00261699" w:rsidP="004B01CB">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w:t>
            </w:r>
            <w:r w:rsidR="00B42B62">
              <w:rPr>
                <w:rFonts w:asciiTheme="minorHAnsi" w:hAnsiTheme="minorHAnsi" w:cstheme="minorHAnsi"/>
                <w:sz w:val="22"/>
                <w:szCs w:val="22"/>
              </w:rPr>
              <w:t>intended operation</w:t>
            </w:r>
            <w:r w:rsidRPr="00CD13C3">
              <w:rPr>
                <w:rFonts w:asciiTheme="minorHAnsi" w:hAnsiTheme="minorHAnsi" w:cstheme="minorHAnsi"/>
                <w:sz w:val="22"/>
                <w:szCs w:val="22"/>
              </w:rPr>
              <w:t xml:space="preserve"> of the ‘reasonable steps’ provision is described in </w:t>
            </w:r>
            <w:r w:rsidR="000E2D63" w:rsidRPr="00CD13C3">
              <w:rPr>
                <w:rFonts w:asciiTheme="minorHAnsi" w:hAnsiTheme="minorHAnsi" w:cstheme="minorHAnsi"/>
                <w:sz w:val="22"/>
                <w:szCs w:val="22"/>
              </w:rPr>
              <w:t xml:space="preserve">the Explanatory Statement accompanying the version 3 rules. </w:t>
            </w:r>
            <w:r w:rsidR="00015CAF">
              <w:rPr>
                <w:rFonts w:asciiTheme="minorHAnsi" w:hAnsiTheme="minorHAnsi" w:cstheme="minorHAnsi"/>
                <w:sz w:val="22"/>
                <w:szCs w:val="22"/>
              </w:rPr>
              <w:t xml:space="preserve">This provides that a person is taken to be a member of a trusted adviser class for the purpose of the rules where the accredited person has taken reasonable steps to confirm that they are a member of the class. </w:t>
            </w:r>
            <w:r w:rsidR="00E42F6D" w:rsidRPr="00CD13C3">
              <w:rPr>
                <w:rFonts w:asciiTheme="minorHAnsi" w:hAnsiTheme="minorHAnsi" w:cstheme="minorHAnsi"/>
                <w:sz w:val="22"/>
                <w:szCs w:val="22"/>
              </w:rPr>
              <w:t xml:space="preserve">The reasonable steps that an accredited </w:t>
            </w:r>
            <w:r w:rsidR="00CF41E7" w:rsidRPr="00CD13C3">
              <w:rPr>
                <w:rFonts w:asciiTheme="minorHAnsi" w:hAnsiTheme="minorHAnsi" w:cstheme="minorHAnsi"/>
                <w:sz w:val="22"/>
                <w:szCs w:val="22"/>
              </w:rPr>
              <w:t>person</w:t>
            </w:r>
            <w:r w:rsidR="00E42F6D" w:rsidRPr="00CD13C3">
              <w:rPr>
                <w:rFonts w:asciiTheme="minorHAnsi" w:hAnsiTheme="minorHAnsi" w:cstheme="minorHAnsi"/>
                <w:sz w:val="22"/>
                <w:szCs w:val="22"/>
              </w:rPr>
              <w:t xml:space="preserve"> may take to confirm that a nominated trusted adviser is a member of a trusted adviser class is </w:t>
            </w:r>
            <w:r w:rsidR="00B42B62">
              <w:rPr>
                <w:rFonts w:asciiTheme="minorHAnsi" w:hAnsiTheme="minorHAnsi" w:cstheme="minorHAnsi"/>
                <w:sz w:val="22"/>
                <w:szCs w:val="22"/>
              </w:rPr>
              <w:t>a flexible concept</w:t>
            </w:r>
            <w:r w:rsidR="00015CAF">
              <w:rPr>
                <w:rFonts w:asciiTheme="minorHAnsi" w:hAnsiTheme="minorHAnsi" w:cstheme="minorHAnsi"/>
                <w:sz w:val="22"/>
                <w:szCs w:val="22"/>
              </w:rPr>
              <w:t xml:space="preserve"> </w:t>
            </w:r>
            <w:r w:rsidR="00E42F6D" w:rsidRPr="00CD13C3">
              <w:rPr>
                <w:rFonts w:asciiTheme="minorHAnsi" w:hAnsiTheme="minorHAnsi" w:cstheme="minorHAnsi"/>
                <w:sz w:val="22"/>
                <w:szCs w:val="22"/>
              </w:rPr>
              <w:t>that will depend on the circumstances</w:t>
            </w:r>
            <w:r w:rsidR="0047459E" w:rsidRPr="00CD13C3">
              <w:rPr>
                <w:rFonts w:asciiTheme="minorHAnsi" w:hAnsiTheme="minorHAnsi" w:cstheme="minorHAnsi"/>
                <w:sz w:val="22"/>
                <w:szCs w:val="22"/>
              </w:rPr>
              <w:t>. It</w:t>
            </w:r>
            <w:r w:rsidR="003824F4" w:rsidRPr="00CD13C3">
              <w:rPr>
                <w:rFonts w:asciiTheme="minorHAnsi" w:hAnsiTheme="minorHAnsi" w:cstheme="minorHAnsi"/>
                <w:sz w:val="22"/>
                <w:szCs w:val="22"/>
              </w:rPr>
              <w:t xml:space="preserve"> may include seeking confirmation that the person is a member of trusted adviser class</w:t>
            </w:r>
            <w:r w:rsidR="00B42B62">
              <w:rPr>
                <w:rFonts w:asciiTheme="minorHAnsi" w:hAnsiTheme="minorHAnsi" w:cstheme="minorHAnsi"/>
                <w:sz w:val="22"/>
                <w:szCs w:val="22"/>
              </w:rPr>
              <w:t xml:space="preserve"> or some other form of representation from an </w:t>
            </w:r>
            <w:proofErr w:type="gramStart"/>
            <w:r w:rsidR="00B42B62">
              <w:rPr>
                <w:rFonts w:asciiTheme="minorHAnsi" w:hAnsiTheme="minorHAnsi" w:cstheme="minorHAnsi"/>
                <w:sz w:val="22"/>
                <w:szCs w:val="22"/>
              </w:rPr>
              <w:t>advis</w:t>
            </w:r>
            <w:r w:rsidR="00015CAF">
              <w:rPr>
                <w:rFonts w:asciiTheme="minorHAnsi" w:hAnsiTheme="minorHAnsi" w:cstheme="minorHAnsi"/>
                <w:sz w:val="22"/>
                <w:szCs w:val="22"/>
              </w:rPr>
              <w:t>e</w:t>
            </w:r>
            <w:r w:rsidR="00B42B62">
              <w:rPr>
                <w:rFonts w:asciiTheme="minorHAnsi" w:hAnsiTheme="minorHAnsi" w:cstheme="minorHAnsi"/>
                <w:sz w:val="22"/>
                <w:szCs w:val="22"/>
              </w:rPr>
              <w:t>r</w:t>
            </w:r>
            <w:r w:rsidR="003824F4" w:rsidRPr="00CD13C3">
              <w:rPr>
                <w:rFonts w:asciiTheme="minorHAnsi" w:hAnsiTheme="minorHAnsi" w:cstheme="minorHAnsi"/>
                <w:sz w:val="22"/>
                <w:szCs w:val="22"/>
              </w:rPr>
              <w:t>, or</w:t>
            </w:r>
            <w:proofErr w:type="gramEnd"/>
            <w:r w:rsidR="003824F4" w:rsidRPr="00CD13C3">
              <w:rPr>
                <w:rFonts w:asciiTheme="minorHAnsi" w:hAnsiTheme="minorHAnsi" w:cstheme="minorHAnsi"/>
                <w:sz w:val="22"/>
                <w:szCs w:val="22"/>
              </w:rPr>
              <w:t xml:space="preserve"> </w:t>
            </w:r>
            <w:r w:rsidR="00BD5C4A" w:rsidRPr="00CD13C3">
              <w:rPr>
                <w:rFonts w:asciiTheme="minorHAnsi" w:hAnsiTheme="minorHAnsi" w:cstheme="minorHAnsi"/>
                <w:sz w:val="22"/>
                <w:szCs w:val="22"/>
              </w:rPr>
              <w:t>searching publicly available information</w:t>
            </w:r>
            <w:r w:rsidR="00E42F6D" w:rsidRPr="00CD13C3">
              <w:rPr>
                <w:rFonts w:asciiTheme="minorHAnsi" w:hAnsiTheme="minorHAnsi" w:cstheme="minorHAnsi"/>
                <w:sz w:val="22"/>
                <w:szCs w:val="22"/>
              </w:rPr>
              <w:t>.</w:t>
            </w:r>
          </w:p>
        </w:tc>
      </w:tr>
    </w:tbl>
    <w:p w14:paraId="5D80C190" w14:textId="2F8E884E" w:rsidR="00253E13" w:rsidRPr="00CD13C3" w:rsidRDefault="00253E1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287D83A9" w14:textId="77777777" w:rsidTr="00996D2B">
        <w:tc>
          <w:tcPr>
            <w:tcW w:w="9288" w:type="dxa"/>
            <w:tcBorders>
              <w:top w:val="nil"/>
              <w:left w:val="nil"/>
              <w:bottom w:val="single" w:sz="4" w:space="0" w:color="auto"/>
              <w:right w:val="nil"/>
            </w:tcBorders>
          </w:tcPr>
          <w:p w14:paraId="2020E1A7" w14:textId="34A12A01"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6 - Clarity regarding the CDR Rules  </w:t>
            </w:r>
          </w:p>
        </w:tc>
      </w:tr>
      <w:tr w:rsidR="00253E13" w:rsidRPr="00CD13C3" w14:paraId="3DA414BB" w14:textId="77777777" w:rsidTr="00996D2B">
        <w:tc>
          <w:tcPr>
            <w:tcW w:w="9288" w:type="dxa"/>
            <w:tcBorders>
              <w:top w:val="single" w:sz="4" w:space="0" w:color="auto"/>
            </w:tcBorders>
            <w:shd w:val="clear" w:color="auto" w:fill="D5E1F1" w:themeFill="accent2" w:themeFillTint="33"/>
          </w:tcPr>
          <w:p w14:paraId="17DE13A3" w14:textId="4D69C003" w:rsidR="00253E13" w:rsidRPr="00CD13C3" w:rsidRDefault="00253E13" w:rsidP="0079191F">
            <w:pPr>
              <w:spacing w:line="276" w:lineRule="auto"/>
              <w:rPr>
                <w:rFonts w:asciiTheme="minorHAnsi" w:hAnsiTheme="minorHAnsi" w:cstheme="minorHAnsi"/>
                <w:sz w:val="22"/>
                <w:szCs w:val="22"/>
              </w:rPr>
            </w:pPr>
            <w:r w:rsidRPr="00CD13C3">
              <w:rPr>
                <w:rFonts w:asciiTheme="minorHAnsi" w:eastAsia="Arial" w:hAnsiTheme="minorHAnsi" w:cstheme="minorHAnsi"/>
                <w:iCs/>
                <w:sz w:val="22"/>
                <w:szCs w:val="22"/>
              </w:rPr>
              <w:t>We recommend that Treasury consider whether it is appropriate for the CDR Rules to be further developed and refined for further clarity regarding the definition of CDR Insights, and/or that Treasury work with the relevant regulators of the CDR regime to ensure that further detailed guidance is issued about CDR Insights, before the proposed amendments to the CDR Rules are introduced.</w:t>
            </w:r>
          </w:p>
        </w:tc>
      </w:tr>
      <w:tr w:rsidR="00253E13" w:rsidRPr="00CD13C3" w14:paraId="11252D57" w14:textId="77777777" w:rsidTr="00996D2B">
        <w:tc>
          <w:tcPr>
            <w:tcW w:w="9288" w:type="dxa"/>
          </w:tcPr>
          <w:p w14:paraId="5ABC0C78" w14:textId="59D29735"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Not accepted</w:t>
            </w:r>
          </w:p>
          <w:p w14:paraId="7B373CD2" w14:textId="73B6CB09" w:rsidR="00253E13" w:rsidRPr="00CD13C3" w:rsidRDefault="002E14F5" w:rsidP="009E4807">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w:t>
            </w:r>
            <w:r w:rsidR="00462AC9">
              <w:rPr>
                <w:rFonts w:asciiTheme="minorHAnsi" w:hAnsiTheme="minorHAnsi" w:cstheme="minorHAnsi"/>
                <w:sz w:val="22"/>
                <w:szCs w:val="22"/>
              </w:rPr>
              <w:t>intended operation</w:t>
            </w:r>
            <w:r w:rsidR="00462AC9" w:rsidRPr="00CD13C3">
              <w:rPr>
                <w:rFonts w:asciiTheme="minorHAnsi" w:hAnsiTheme="minorHAnsi" w:cstheme="minorHAnsi"/>
                <w:sz w:val="22"/>
                <w:szCs w:val="22"/>
              </w:rPr>
              <w:t xml:space="preserve"> </w:t>
            </w:r>
            <w:r w:rsidRPr="00CD13C3">
              <w:rPr>
                <w:rFonts w:asciiTheme="minorHAnsi" w:hAnsiTheme="minorHAnsi" w:cstheme="minorHAnsi"/>
                <w:sz w:val="22"/>
                <w:szCs w:val="22"/>
              </w:rPr>
              <w:t xml:space="preserve">of the rules for the disclosure of CDR insights is described in the Explanatory Statement accompanying the version 3 rules. The rules require CX standards to be made by the Data Standards Chair for </w:t>
            </w:r>
            <w:r w:rsidR="00C818CA" w:rsidRPr="00CD13C3">
              <w:rPr>
                <w:rFonts w:asciiTheme="minorHAnsi" w:hAnsiTheme="minorHAnsi" w:cstheme="minorHAnsi"/>
                <w:sz w:val="22"/>
                <w:szCs w:val="22"/>
              </w:rPr>
              <w:t>the consent and disclosure of</w:t>
            </w:r>
            <w:r w:rsidRPr="00CD13C3">
              <w:rPr>
                <w:rFonts w:asciiTheme="minorHAnsi" w:hAnsiTheme="minorHAnsi" w:cstheme="minorHAnsi"/>
                <w:sz w:val="22"/>
                <w:szCs w:val="22"/>
              </w:rPr>
              <w:t xml:space="preserve"> CDR </w:t>
            </w:r>
            <w:r w:rsidR="00C818CA" w:rsidRPr="00CD13C3">
              <w:rPr>
                <w:rFonts w:asciiTheme="minorHAnsi" w:hAnsiTheme="minorHAnsi" w:cstheme="minorHAnsi"/>
                <w:sz w:val="22"/>
                <w:szCs w:val="22"/>
              </w:rPr>
              <w:t>insights</w:t>
            </w:r>
            <w:r w:rsidRPr="00CD13C3">
              <w:rPr>
                <w:rFonts w:asciiTheme="minorHAnsi" w:hAnsiTheme="minorHAnsi" w:cstheme="minorHAnsi"/>
                <w:sz w:val="22"/>
                <w:szCs w:val="22"/>
              </w:rPr>
              <w:t>.</w:t>
            </w:r>
            <w:r w:rsidR="009E4807" w:rsidRPr="00CD13C3">
              <w:rPr>
                <w:rFonts w:asciiTheme="minorHAnsi" w:hAnsiTheme="minorHAnsi" w:cstheme="minorHAnsi"/>
                <w:sz w:val="22"/>
                <w:szCs w:val="22"/>
              </w:rPr>
              <w:t xml:space="preserve"> Treasury will support the OAIC and the ACCC</w:t>
            </w:r>
            <w:r w:rsidR="00D763AB">
              <w:rPr>
                <w:rFonts w:asciiTheme="minorHAnsi" w:hAnsiTheme="minorHAnsi" w:cstheme="minorHAnsi"/>
                <w:sz w:val="22"/>
                <w:szCs w:val="22"/>
              </w:rPr>
              <w:t xml:space="preserve"> as needed</w:t>
            </w:r>
            <w:r w:rsidR="009E4807" w:rsidRPr="00CD13C3">
              <w:rPr>
                <w:rFonts w:asciiTheme="minorHAnsi" w:hAnsiTheme="minorHAnsi" w:cstheme="minorHAnsi"/>
                <w:sz w:val="22"/>
                <w:szCs w:val="22"/>
              </w:rPr>
              <w:t xml:space="preserve"> in the preparation of guidance related to their functions.</w:t>
            </w:r>
          </w:p>
        </w:tc>
      </w:tr>
    </w:tbl>
    <w:p w14:paraId="55E7A0D0" w14:textId="77777777" w:rsidR="00885DEE" w:rsidRDefault="00885DEE">
      <w:r>
        <w:br w:type="page"/>
      </w:r>
    </w:p>
    <w:tbl>
      <w:tblPr>
        <w:tblStyle w:val="TableGrid"/>
        <w:tblW w:w="0" w:type="auto"/>
        <w:tblLook w:val="04A0" w:firstRow="1" w:lastRow="0" w:firstColumn="1" w:lastColumn="0" w:noHBand="0" w:noVBand="1"/>
      </w:tblPr>
      <w:tblGrid>
        <w:gridCol w:w="9288"/>
      </w:tblGrid>
      <w:tr w:rsidR="00253E13" w:rsidRPr="00CD13C3" w14:paraId="1E53AEA3" w14:textId="77777777" w:rsidTr="00996D2B">
        <w:tc>
          <w:tcPr>
            <w:tcW w:w="9288" w:type="dxa"/>
            <w:tcBorders>
              <w:top w:val="nil"/>
              <w:left w:val="nil"/>
              <w:bottom w:val="single" w:sz="4" w:space="0" w:color="auto"/>
              <w:right w:val="nil"/>
            </w:tcBorders>
          </w:tcPr>
          <w:p w14:paraId="7D7F2EDF" w14:textId="34AC6D3E" w:rsidR="00DA78E4" w:rsidRDefault="00DA78E4" w:rsidP="0079191F">
            <w:pPr>
              <w:spacing w:line="276" w:lineRule="auto"/>
              <w:rPr>
                <w:rFonts w:asciiTheme="minorHAnsi" w:hAnsiTheme="minorHAnsi" w:cstheme="minorHAnsi"/>
                <w:b/>
                <w:bCs/>
                <w:sz w:val="22"/>
                <w:szCs w:val="22"/>
              </w:rPr>
            </w:pPr>
          </w:p>
          <w:p w14:paraId="509FD24D" w14:textId="08FA1834"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 xml:space="preserve">7 - Disclosing CDR Insights  </w:t>
            </w:r>
          </w:p>
        </w:tc>
      </w:tr>
      <w:tr w:rsidR="00253E13" w:rsidRPr="00CD13C3" w14:paraId="76320312" w14:textId="77777777" w:rsidTr="00996D2B">
        <w:tc>
          <w:tcPr>
            <w:tcW w:w="9288" w:type="dxa"/>
            <w:tcBorders>
              <w:top w:val="single" w:sz="4" w:space="0" w:color="auto"/>
            </w:tcBorders>
            <w:shd w:val="clear" w:color="auto" w:fill="D5E1F1" w:themeFill="accent2" w:themeFillTint="33"/>
          </w:tcPr>
          <w:p w14:paraId="760EAF56" w14:textId="77777777" w:rsidR="00B609C3" w:rsidRPr="00CD13C3" w:rsidRDefault="00B609C3" w:rsidP="0079191F">
            <w:pPr>
              <w:keepLines/>
              <w:spacing w:line="276" w:lineRule="auto"/>
              <w:rPr>
                <w:rFonts w:asciiTheme="minorHAnsi" w:eastAsia="Arial" w:hAnsiTheme="minorHAnsi" w:cstheme="minorHAnsi"/>
                <w:b/>
                <w:sz w:val="22"/>
                <w:szCs w:val="22"/>
              </w:rPr>
            </w:pPr>
            <w:r w:rsidRPr="00CD13C3">
              <w:rPr>
                <w:rFonts w:asciiTheme="minorHAnsi" w:eastAsia="Arial" w:hAnsiTheme="minorHAnsi" w:cstheme="minorHAnsi"/>
                <w:iCs/>
                <w:sz w:val="22"/>
                <w:szCs w:val="22"/>
              </w:rPr>
              <w:t xml:space="preserve">We </w:t>
            </w:r>
            <w:r w:rsidRPr="00CD13C3">
              <w:rPr>
                <w:rFonts w:asciiTheme="minorHAnsi" w:eastAsia="Arial" w:hAnsiTheme="minorHAnsi" w:cstheme="minorHAnsi"/>
                <w:sz w:val="22"/>
                <w:szCs w:val="22"/>
              </w:rPr>
              <w:t>recommend that Treasury consider:</w:t>
            </w:r>
          </w:p>
          <w:p w14:paraId="2C697433" w14:textId="77777777" w:rsidR="00B609C3" w:rsidRPr="00CD13C3" w:rsidRDefault="00B609C3" w:rsidP="0079191F">
            <w:pPr>
              <w:pStyle w:val="ListParagraph"/>
              <w:numPr>
                <w:ilvl w:val="0"/>
                <w:numId w:val="29"/>
              </w:numPr>
              <w:spacing w:after="220" w:line="276" w:lineRule="auto"/>
              <w:rPr>
                <w:rFonts w:asciiTheme="minorHAnsi" w:eastAsia="Arial" w:hAnsiTheme="minorHAnsi" w:cstheme="minorHAnsi"/>
                <w:sz w:val="22"/>
                <w:szCs w:val="22"/>
              </w:rPr>
            </w:pPr>
            <w:r w:rsidRPr="00CD13C3">
              <w:rPr>
                <w:rFonts w:asciiTheme="minorHAnsi" w:eastAsia="Arial" w:hAnsiTheme="minorHAnsi" w:cstheme="minorHAnsi"/>
                <w:sz w:val="22"/>
                <w:szCs w:val="22"/>
              </w:rPr>
              <w:t>only allowing CDR Insights to be disclosed outside of the CDR regime to recipients who are APP entities for the purposes of the Privacy Act; or</w:t>
            </w:r>
          </w:p>
          <w:p w14:paraId="743D7EAF" w14:textId="3DE52D88" w:rsidR="00253E1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eastAsia="Arial" w:hAnsiTheme="minorHAnsi" w:cstheme="minorHAnsi"/>
                <w:sz w:val="22"/>
                <w:szCs w:val="22"/>
              </w:rPr>
              <w:t>if the above is not possible or practical, only allowing CDR Insights to be disclosed outside of the CDR regime to recipients who have agreed (through a contractual arrangement with the Accredited Data Recipient) to effectively comply with the requirements of APP 1, APP 6 and APP 11, and the Notifiable Data Breach scheme.</w:t>
            </w:r>
          </w:p>
        </w:tc>
      </w:tr>
      <w:tr w:rsidR="00253E13" w:rsidRPr="00CD13C3" w14:paraId="5966C53E" w14:textId="77777777" w:rsidTr="00996D2B">
        <w:tc>
          <w:tcPr>
            <w:tcW w:w="9288" w:type="dxa"/>
          </w:tcPr>
          <w:p w14:paraId="77ACC159" w14:textId="355A9E75"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367A9D">
              <w:rPr>
                <w:rFonts w:asciiTheme="minorHAnsi" w:hAnsiTheme="minorHAnsi" w:cstheme="minorHAnsi"/>
                <w:b/>
                <w:bCs/>
                <w:sz w:val="22"/>
                <w:szCs w:val="22"/>
              </w:rPr>
              <w:t>Not accepted</w:t>
            </w:r>
          </w:p>
          <w:p w14:paraId="39825E41" w14:textId="7BC9B625" w:rsidR="00253E13" w:rsidRPr="00CD13C3" w:rsidRDefault="003B7C57"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The CDR insights model allows consumers to consent to insights</w:t>
            </w:r>
            <w:r w:rsidR="00D763AB">
              <w:rPr>
                <w:rFonts w:asciiTheme="minorHAnsi" w:hAnsiTheme="minorHAnsi" w:cstheme="minorHAnsi"/>
                <w:sz w:val="22"/>
                <w:szCs w:val="22"/>
              </w:rPr>
              <w:t xml:space="preserve"> generated or derived from</w:t>
            </w:r>
            <w:r w:rsidRPr="00CD13C3">
              <w:rPr>
                <w:rFonts w:asciiTheme="minorHAnsi" w:hAnsiTheme="minorHAnsi" w:cstheme="minorHAnsi"/>
                <w:sz w:val="22"/>
                <w:szCs w:val="22"/>
              </w:rPr>
              <w:t xml:space="preserve"> CDR data being shared outside the system for a range of prescribed purposes. The rules</w:t>
            </w:r>
            <w:r w:rsidR="0034620C" w:rsidRPr="00CD13C3">
              <w:rPr>
                <w:rFonts w:asciiTheme="minorHAnsi" w:hAnsiTheme="minorHAnsi" w:cstheme="minorHAnsi"/>
                <w:sz w:val="22"/>
                <w:szCs w:val="22"/>
              </w:rPr>
              <w:t xml:space="preserve"> also facilitate informed consumer consent by </w:t>
            </w:r>
            <w:r w:rsidRPr="00CD13C3">
              <w:rPr>
                <w:rFonts w:asciiTheme="minorHAnsi" w:hAnsiTheme="minorHAnsi" w:cstheme="minorHAnsi"/>
                <w:sz w:val="22"/>
                <w:szCs w:val="22"/>
              </w:rPr>
              <w:t>requir</w:t>
            </w:r>
            <w:r w:rsidR="0034620C" w:rsidRPr="00CD13C3">
              <w:rPr>
                <w:rFonts w:asciiTheme="minorHAnsi" w:hAnsiTheme="minorHAnsi" w:cstheme="minorHAnsi"/>
                <w:sz w:val="22"/>
                <w:szCs w:val="22"/>
              </w:rPr>
              <w:t>ing</w:t>
            </w:r>
            <w:r w:rsidRPr="00CD13C3">
              <w:rPr>
                <w:rFonts w:asciiTheme="minorHAnsi" w:hAnsiTheme="minorHAnsi" w:cstheme="minorHAnsi"/>
                <w:sz w:val="22"/>
                <w:szCs w:val="22"/>
              </w:rPr>
              <w:t xml:space="preserve"> CX standards </w:t>
            </w:r>
            <w:r w:rsidR="00D763AB">
              <w:rPr>
                <w:rFonts w:asciiTheme="minorHAnsi" w:hAnsiTheme="minorHAnsi" w:cstheme="minorHAnsi"/>
                <w:sz w:val="22"/>
                <w:szCs w:val="22"/>
              </w:rPr>
              <w:t xml:space="preserve">to be made </w:t>
            </w:r>
            <w:r w:rsidRPr="00CD13C3">
              <w:rPr>
                <w:rFonts w:asciiTheme="minorHAnsi" w:hAnsiTheme="minorHAnsi" w:cstheme="minorHAnsi"/>
                <w:sz w:val="22"/>
                <w:szCs w:val="22"/>
              </w:rPr>
              <w:t>to ensure consumers understand the nature of the information they are agreeing to disclose</w:t>
            </w:r>
            <w:r w:rsidR="00D763AB">
              <w:rPr>
                <w:rFonts w:asciiTheme="minorHAnsi" w:hAnsiTheme="minorHAnsi" w:cstheme="minorHAnsi"/>
                <w:sz w:val="22"/>
                <w:szCs w:val="22"/>
              </w:rPr>
              <w:t xml:space="preserve"> outside the CDR regime</w:t>
            </w:r>
            <w:r w:rsidRPr="00CD13C3">
              <w:rPr>
                <w:rFonts w:asciiTheme="minorHAnsi" w:hAnsiTheme="minorHAnsi" w:cstheme="minorHAnsi"/>
                <w:sz w:val="22"/>
                <w:szCs w:val="22"/>
              </w:rPr>
              <w:t>.</w:t>
            </w:r>
          </w:p>
        </w:tc>
      </w:tr>
      <w:tr w:rsidR="00253E13" w:rsidRPr="00CD13C3" w14:paraId="3E7BD8CA" w14:textId="77777777" w:rsidTr="00996D2B">
        <w:tc>
          <w:tcPr>
            <w:tcW w:w="9288" w:type="dxa"/>
            <w:tcBorders>
              <w:top w:val="nil"/>
              <w:left w:val="nil"/>
              <w:bottom w:val="single" w:sz="4" w:space="0" w:color="auto"/>
              <w:right w:val="nil"/>
            </w:tcBorders>
          </w:tcPr>
          <w:p w14:paraId="36FDB7AA" w14:textId="118B81C0" w:rsidR="00253E13" w:rsidRPr="00CD13C3" w:rsidRDefault="00996D2B" w:rsidP="0079191F">
            <w:pPr>
              <w:keepNext/>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253E13"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8</w:t>
            </w:r>
            <w:r w:rsidR="00253E13" w:rsidRPr="00CD13C3">
              <w:rPr>
                <w:rFonts w:asciiTheme="minorHAnsi" w:hAnsiTheme="minorHAnsi" w:cstheme="minorHAnsi"/>
                <w:b/>
                <w:bCs/>
                <w:sz w:val="22"/>
                <w:szCs w:val="22"/>
              </w:rPr>
              <w:t xml:space="preserve"> - </w:t>
            </w:r>
            <w:r w:rsidR="00B609C3" w:rsidRPr="00CD13C3">
              <w:rPr>
                <w:rFonts w:asciiTheme="minorHAnsi" w:hAnsiTheme="minorHAnsi" w:cstheme="minorHAnsi"/>
                <w:b/>
                <w:bCs/>
                <w:sz w:val="22"/>
                <w:szCs w:val="22"/>
              </w:rPr>
              <w:t xml:space="preserve">Transparency regarding CDR Insights  </w:t>
            </w:r>
          </w:p>
        </w:tc>
      </w:tr>
      <w:tr w:rsidR="00253E13" w:rsidRPr="00CD13C3" w14:paraId="05BC1292" w14:textId="77777777" w:rsidTr="00996D2B">
        <w:tc>
          <w:tcPr>
            <w:tcW w:w="9288" w:type="dxa"/>
            <w:tcBorders>
              <w:top w:val="single" w:sz="4" w:space="0" w:color="auto"/>
            </w:tcBorders>
            <w:shd w:val="clear" w:color="auto" w:fill="D5E1F1" w:themeFill="accent2" w:themeFillTint="33"/>
          </w:tcPr>
          <w:p w14:paraId="11912DAE" w14:textId="66BD44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amending the proposed CDR Rules to specify that Data Standards must be made to ensure that, in addition to the fact that the CDR Data will leave the CDR system, the CDR Consumer is made aware of the implications and consequences of their CDR Data leaving the CDR system (such as that their data will be afforded fewer privacy protections).</w:t>
            </w:r>
          </w:p>
          <w:p w14:paraId="099228C2"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Additionally, we recommend that Treasury consider:</w:t>
            </w:r>
          </w:p>
          <w:p w14:paraId="473244F6" w14:textId="57941E26"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whether different rules should be able to apply for CDR Consumers who are individuals or sole traders, and for CDR Consumers who are businesses;</w:t>
            </w:r>
          </w:p>
          <w:p w14:paraId="1BEB4293" w14:textId="6E689F87"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providing clear and detailed guidance to the market to ensure that potential recipients of CDR Insights understand that they must not seek to pressure a CDR Consumer to consent to the disclosure of their CDR Insight;</w:t>
            </w:r>
          </w:p>
          <w:p w14:paraId="7AE10A7D" w14:textId="0CAB2F4D"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whether (through the Data Standards) CDR Consumers should be made aware of the implications and consequences of their CDR Data leaving the CDR system;</w:t>
            </w:r>
          </w:p>
          <w:p w14:paraId="406922D1" w14:textId="6FA24E21"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working with the Data Standards Body to develop appropriate Data Standards (in consultation with industry and informed by consumer research), to ensure that CDR Consumers fully understand what it is they are consenting to in relation to their CDR Insights; and</w:t>
            </w:r>
          </w:p>
          <w:p w14:paraId="17689FF0" w14:textId="45A73BB0"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CDR Consumers should be required to be shown the particular CDR Insight before it is disclosed (as opposed to simply being provided with an explanation of the CDR Insight or the purpose for its disclosure), so that they can decide not to provide their consent if they do not wish it to be disclosed. For example, CDR Insights in relation to verifying credits and debits on </w:t>
            </w:r>
            <w:r w:rsidRPr="00CD13C3">
              <w:rPr>
                <w:rFonts w:asciiTheme="minorHAnsi" w:hAnsiTheme="minorHAnsi" w:cstheme="minorHAnsi"/>
                <w:sz w:val="22"/>
                <w:szCs w:val="22"/>
              </w:rPr>
              <w:lastRenderedPageBreak/>
              <w:t>an account may potentially disclose information which an individual CDR Consumer may be uncomfortable about disclosing.</w:t>
            </w:r>
          </w:p>
          <w:p w14:paraId="23CC7C20" w14:textId="3FD54271"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also recommend that Treasury consider requiring that further consumer research be conducted on whether CDR Consumers understand the difference between a one-off versus an ongoing use and disclosure consent in relation to CDR Insights, and based on this research, determine whether it would be appropriate for the CDR Rules and/or Data Standards to prescribe how such consent must be sought from CDR Consumers.</w:t>
            </w:r>
          </w:p>
          <w:p w14:paraId="76C2AB77"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Finally, we recommend that Treasury consider whether it would be appropriate to: </w:t>
            </w:r>
          </w:p>
          <w:p w14:paraId="2538FE40" w14:textId="75C39089"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consolidate the requirements on Accredited Persons to update Consumer Dashboards in relation to CDR Insights (as there is some overlap in requirements); and</w:t>
            </w:r>
          </w:p>
          <w:p w14:paraId="5D0436ED" w14:textId="36ED4CB9" w:rsidR="00253E1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proofErr w:type="gramStart"/>
            <w:r w:rsidRPr="00CD13C3">
              <w:rPr>
                <w:rFonts w:asciiTheme="minorHAnsi" w:hAnsiTheme="minorHAnsi" w:cstheme="minorHAnsi"/>
                <w:sz w:val="22"/>
                <w:szCs w:val="22"/>
              </w:rPr>
              <w:t>similar to</w:t>
            </w:r>
            <w:proofErr w:type="gramEnd"/>
            <w:r w:rsidRPr="00CD13C3">
              <w:rPr>
                <w:rFonts w:asciiTheme="minorHAnsi" w:hAnsiTheme="minorHAnsi" w:cstheme="minorHAnsi"/>
                <w:sz w:val="22"/>
                <w:szCs w:val="22"/>
              </w:rPr>
              <w:t xml:space="preserve"> the information provided when a CDR Consumer provides their consent, include a requirement for an Accredited Person to provide the preview (if that is the approach adopted) of the CDR Insight disclosed in its Consumer Dashboard.</w:t>
            </w:r>
          </w:p>
        </w:tc>
      </w:tr>
      <w:tr w:rsidR="00253E13" w:rsidRPr="00CD13C3" w14:paraId="1A834487" w14:textId="77777777" w:rsidTr="00996D2B">
        <w:tc>
          <w:tcPr>
            <w:tcW w:w="9288" w:type="dxa"/>
          </w:tcPr>
          <w:p w14:paraId="1B2110CE" w14:textId="7ED480A7"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 xml:space="preserve">Agency response – </w:t>
            </w:r>
            <w:r w:rsidR="00D30BB5" w:rsidRPr="00CD13C3">
              <w:rPr>
                <w:rFonts w:asciiTheme="minorHAnsi" w:hAnsiTheme="minorHAnsi" w:cstheme="minorHAnsi"/>
                <w:b/>
                <w:bCs/>
                <w:sz w:val="22"/>
                <w:szCs w:val="22"/>
              </w:rPr>
              <w:t>Accepted in part</w:t>
            </w:r>
          </w:p>
          <w:p w14:paraId="799F1D29" w14:textId="3BD74E67" w:rsidR="00862C55" w:rsidRPr="00CD13C3" w:rsidRDefault="00142115"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rules require </w:t>
            </w:r>
            <w:r w:rsidR="00862C55" w:rsidRPr="00CD13C3">
              <w:rPr>
                <w:rFonts w:asciiTheme="minorHAnsi" w:hAnsiTheme="minorHAnsi" w:cstheme="minorHAnsi"/>
                <w:sz w:val="22"/>
                <w:szCs w:val="22"/>
              </w:rPr>
              <w:t xml:space="preserve">CX standards to </w:t>
            </w:r>
            <w:r w:rsidR="00D763AB">
              <w:rPr>
                <w:rFonts w:asciiTheme="minorHAnsi" w:hAnsiTheme="minorHAnsi" w:cstheme="minorHAnsi"/>
                <w:sz w:val="22"/>
                <w:szCs w:val="22"/>
              </w:rPr>
              <w:t xml:space="preserve">be made in relation to disclosure of insights to </w:t>
            </w:r>
            <w:r w:rsidR="00862C55" w:rsidRPr="00CD13C3">
              <w:rPr>
                <w:rFonts w:asciiTheme="minorHAnsi" w:hAnsiTheme="minorHAnsi" w:cstheme="minorHAnsi"/>
                <w:sz w:val="22"/>
                <w:szCs w:val="22"/>
              </w:rPr>
              <w:t>ensure consumers properly understand the nature of the information they are agreeing to disclose as an insight</w:t>
            </w:r>
            <w:r w:rsidR="006759D4">
              <w:rPr>
                <w:rFonts w:asciiTheme="minorHAnsi" w:hAnsiTheme="minorHAnsi" w:cstheme="minorHAnsi"/>
                <w:sz w:val="22"/>
                <w:szCs w:val="22"/>
              </w:rPr>
              <w:t xml:space="preserve"> and that their data will leave the CDR system when disclosed</w:t>
            </w:r>
            <w:r w:rsidR="00862C55" w:rsidRPr="00CD13C3">
              <w:rPr>
                <w:rFonts w:asciiTheme="minorHAnsi" w:hAnsiTheme="minorHAnsi" w:cstheme="minorHAnsi"/>
                <w:sz w:val="22"/>
                <w:szCs w:val="22"/>
              </w:rPr>
              <w:t xml:space="preserve">. They do not preclude the Data Standards </w:t>
            </w:r>
            <w:r w:rsidR="00462AC9">
              <w:rPr>
                <w:rFonts w:asciiTheme="minorHAnsi" w:hAnsiTheme="minorHAnsi" w:cstheme="minorHAnsi"/>
                <w:sz w:val="22"/>
                <w:szCs w:val="22"/>
              </w:rPr>
              <w:t>Chair</w:t>
            </w:r>
            <w:r w:rsidR="00462AC9" w:rsidRPr="00CD13C3">
              <w:rPr>
                <w:rFonts w:asciiTheme="minorHAnsi" w:hAnsiTheme="minorHAnsi" w:cstheme="minorHAnsi"/>
                <w:sz w:val="22"/>
                <w:szCs w:val="22"/>
              </w:rPr>
              <w:t xml:space="preserve"> </w:t>
            </w:r>
            <w:r w:rsidR="00862C55" w:rsidRPr="00CD13C3">
              <w:rPr>
                <w:rFonts w:asciiTheme="minorHAnsi" w:hAnsiTheme="minorHAnsi" w:cstheme="minorHAnsi"/>
                <w:sz w:val="22"/>
                <w:szCs w:val="22"/>
              </w:rPr>
              <w:t>from making CX data standards that differ based on the context in which the consent is sought. Additionally, the Data Standards Body routinely conducts consumer research to assist the development of CX data standards.</w:t>
            </w:r>
          </w:p>
          <w:p w14:paraId="5E8E774A" w14:textId="08392DAD" w:rsidR="00253E13" w:rsidRPr="00CD13C3" w:rsidRDefault="006442B4" w:rsidP="0080264E">
            <w:pPr>
              <w:spacing w:line="276" w:lineRule="auto"/>
              <w:rPr>
                <w:rFonts w:asciiTheme="minorHAnsi" w:hAnsiTheme="minorHAnsi" w:cstheme="minorHAnsi"/>
                <w:i/>
                <w:sz w:val="22"/>
                <w:szCs w:val="22"/>
              </w:rPr>
            </w:pPr>
            <w:r w:rsidRPr="00CD13C3">
              <w:rPr>
                <w:rFonts w:asciiTheme="minorHAnsi" w:hAnsiTheme="minorHAnsi" w:cstheme="minorHAnsi"/>
                <w:iCs/>
                <w:sz w:val="22"/>
                <w:szCs w:val="22"/>
              </w:rPr>
              <w:t>Consent dashboards allow a consumer to easily track how they have shared their CDR data. Requiring the consumer to be shown the CDR insight before it</w:t>
            </w:r>
            <w:r w:rsidR="003D7C70" w:rsidRPr="00CD13C3">
              <w:rPr>
                <w:rFonts w:asciiTheme="minorHAnsi" w:hAnsiTheme="minorHAnsi" w:cstheme="minorHAnsi"/>
                <w:iCs/>
                <w:sz w:val="22"/>
                <w:szCs w:val="22"/>
              </w:rPr>
              <w:t xml:space="preserve"> i</w:t>
            </w:r>
            <w:r w:rsidRPr="00CD13C3">
              <w:rPr>
                <w:rFonts w:asciiTheme="minorHAnsi" w:hAnsiTheme="minorHAnsi" w:cstheme="minorHAnsi"/>
                <w:iCs/>
                <w:sz w:val="22"/>
                <w:szCs w:val="22"/>
              </w:rPr>
              <w:t>s disclose</w:t>
            </w:r>
            <w:r w:rsidR="003D7C70" w:rsidRPr="00CD13C3">
              <w:rPr>
                <w:rFonts w:asciiTheme="minorHAnsi" w:hAnsiTheme="minorHAnsi" w:cstheme="minorHAnsi"/>
                <w:iCs/>
                <w:sz w:val="22"/>
                <w:szCs w:val="22"/>
              </w:rPr>
              <w:t>d</w:t>
            </w:r>
            <w:r w:rsidRPr="00CD13C3">
              <w:rPr>
                <w:rFonts w:asciiTheme="minorHAnsi" w:hAnsiTheme="minorHAnsi" w:cstheme="minorHAnsi"/>
                <w:iCs/>
                <w:sz w:val="22"/>
                <w:szCs w:val="22"/>
              </w:rPr>
              <w:t xml:space="preserve"> </w:t>
            </w:r>
            <w:r w:rsidR="003D7C70" w:rsidRPr="00CD13C3">
              <w:rPr>
                <w:rFonts w:asciiTheme="minorHAnsi" w:hAnsiTheme="minorHAnsi" w:cstheme="minorHAnsi"/>
                <w:iCs/>
                <w:sz w:val="22"/>
                <w:szCs w:val="22"/>
              </w:rPr>
              <w:t>may not aid consumer comprehension in all circumstances</w:t>
            </w:r>
            <w:r w:rsidR="001451E4" w:rsidRPr="00CD13C3">
              <w:rPr>
                <w:rFonts w:asciiTheme="minorHAnsi" w:hAnsiTheme="minorHAnsi" w:cstheme="minorHAnsi"/>
                <w:iCs/>
                <w:sz w:val="22"/>
                <w:szCs w:val="22"/>
              </w:rPr>
              <w:t>.</w:t>
            </w:r>
          </w:p>
        </w:tc>
      </w:tr>
    </w:tbl>
    <w:p w14:paraId="6D4624C6" w14:textId="38E89F13" w:rsidR="00253E13" w:rsidRPr="00CD13C3" w:rsidRDefault="00253E1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1D1A1071" w14:textId="77777777" w:rsidTr="00996D2B">
        <w:tc>
          <w:tcPr>
            <w:tcW w:w="9288" w:type="dxa"/>
            <w:tcBorders>
              <w:top w:val="nil"/>
              <w:left w:val="nil"/>
              <w:bottom w:val="single" w:sz="4" w:space="0" w:color="auto"/>
              <w:right w:val="nil"/>
            </w:tcBorders>
          </w:tcPr>
          <w:p w14:paraId="09DDCD4F" w14:textId="2FFD4EE2" w:rsidR="00253E13" w:rsidRPr="00CD13C3" w:rsidRDefault="00253E13" w:rsidP="0079191F">
            <w:pPr>
              <w:spacing w:line="276" w:lineRule="auto"/>
              <w:rPr>
                <w:rFonts w:asciiTheme="minorHAnsi" w:hAnsiTheme="minorHAnsi" w:cstheme="minorHAnsi"/>
                <w:sz w:val="22"/>
                <w:szCs w:val="22"/>
              </w:rPr>
            </w:pPr>
            <w:r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9</w:t>
            </w:r>
            <w:r w:rsidRPr="00CD13C3">
              <w:rPr>
                <w:rFonts w:asciiTheme="minorHAnsi" w:hAnsiTheme="minorHAnsi" w:cstheme="minorHAnsi"/>
                <w:b/>
                <w:bCs/>
                <w:sz w:val="22"/>
                <w:szCs w:val="22"/>
              </w:rPr>
              <w:t xml:space="preserve"> -</w:t>
            </w:r>
            <w:r w:rsidR="00B609C3" w:rsidRPr="00CD13C3">
              <w:rPr>
                <w:rFonts w:asciiTheme="minorHAnsi" w:hAnsiTheme="minorHAnsi" w:cstheme="minorHAnsi"/>
                <w:b/>
                <w:bCs/>
                <w:sz w:val="22"/>
                <w:szCs w:val="22"/>
              </w:rPr>
              <w:t xml:space="preserve"> Role of Affiliates</w:t>
            </w:r>
            <w:r w:rsidR="00B609C3" w:rsidRPr="00CD13C3">
              <w:rPr>
                <w:rFonts w:asciiTheme="minorHAnsi" w:hAnsiTheme="minorHAnsi" w:cstheme="minorHAnsi"/>
                <w:sz w:val="22"/>
                <w:szCs w:val="22"/>
              </w:rPr>
              <w:t xml:space="preserve">  </w:t>
            </w:r>
          </w:p>
        </w:tc>
      </w:tr>
      <w:tr w:rsidR="00253E13" w:rsidRPr="00CD13C3" w14:paraId="41ABC2FB" w14:textId="77777777" w:rsidTr="00996D2B">
        <w:tc>
          <w:tcPr>
            <w:tcW w:w="9288" w:type="dxa"/>
            <w:tcBorders>
              <w:top w:val="single" w:sz="4" w:space="0" w:color="auto"/>
            </w:tcBorders>
            <w:shd w:val="clear" w:color="auto" w:fill="D5E1F1" w:themeFill="accent2" w:themeFillTint="33"/>
          </w:tcPr>
          <w:p w14:paraId="0D10341C" w14:textId="6D0621CA" w:rsidR="00253E1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whether it would be appropriate to continue, in consultation with the Data Standards Body, conducting consumer research on what is the best way to present a CDR Consumer with information on the implications of providing a consent which will permit the collection of CDR Data by a Sponsor at the request of an Affiliate, and the disclosure of that CDR Data to the Affiliate.</w:t>
            </w:r>
          </w:p>
        </w:tc>
      </w:tr>
      <w:tr w:rsidR="00253E13" w:rsidRPr="00CD13C3" w14:paraId="2A5BF9CC" w14:textId="77777777" w:rsidTr="00996D2B">
        <w:tc>
          <w:tcPr>
            <w:tcW w:w="9288" w:type="dxa"/>
          </w:tcPr>
          <w:p w14:paraId="7563E27C" w14:textId="5A720890"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733683" w:rsidRPr="00CD13C3">
              <w:rPr>
                <w:rFonts w:asciiTheme="minorHAnsi" w:hAnsiTheme="minorHAnsi" w:cstheme="minorHAnsi"/>
                <w:b/>
                <w:bCs/>
                <w:sz w:val="22"/>
                <w:szCs w:val="22"/>
              </w:rPr>
              <w:t>Noted</w:t>
            </w:r>
          </w:p>
          <w:p w14:paraId="13F49DF2" w14:textId="28BF1B7B" w:rsidR="00EB142A" w:rsidRPr="00CD13C3" w:rsidRDefault="0043539D"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w:t>
            </w:r>
            <w:r w:rsidR="00EB142A" w:rsidRPr="00CD13C3">
              <w:rPr>
                <w:rFonts w:asciiTheme="minorHAnsi" w:hAnsiTheme="minorHAnsi" w:cstheme="minorHAnsi"/>
                <w:sz w:val="22"/>
                <w:szCs w:val="22"/>
              </w:rPr>
              <w:t>Data Standards Body</w:t>
            </w:r>
            <w:r w:rsidRPr="00CD13C3">
              <w:rPr>
                <w:rFonts w:asciiTheme="minorHAnsi" w:hAnsiTheme="minorHAnsi" w:cstheme="minorHAnsi"/>
                <w:sz w:val="22"/>
                <w:szCs w:val="22"/>
              </w:rPr>
              <w:t xml:space="preserve"> routinely </w:t>
            </w:r>
            <w:r w:rsidR="00EB142A" w:rsidRPr="00CD13C3">
              <w:rPr>
                <w:rFonts w:asciiTheme="minorHAnsi" w:hAnsiTheme="minorHAnsi" w:cstheme="minorHAnsi"/>
                <w:sz w:val="22"/>
                <w:szCs w:val="22"/>
              </w:rPr>
              <w:t>conducts consumer research to assist the development of data standards</w:t>
            </w:r>
            <w:r w:rsidRPr="00CD13C3">
              <w:rPr>
                <w:rFonts w:asciiTheme="minorHAnsi" w:hAnsiTheme="minorHAnsi" w:cstheme="minorHAnsi"/>
                <w:sz w:val="22"/>
                <w:szCs w:val="22"/>
              </w:rPr>
              <w:t xml:space="preserve"> as appropriate</w:t>
            </w:r>
            <w:r w:rsidR="00911B43" w:rsidRPr="00CD13C3">
              <w:rPr>
                <w:rFonts w:asciiTheme="minorHAnsi" w:hAnsiTheme="minorHAnsi" w:cstheme="minorHAnsi"/>
                <w:sz w:val="22"/>
                <w:szCs w:val="22"/>
              </w:rPr>
              <w:t>.</w:t>
            </w:r>
          </w:p>
        </w:tc>
      </w:tr>
    </w:tbl>
    <w:p w14:paraId="4998E6DF" w14:textId="258AD962" w:rsidR="00253E13" w:rsidRPr="00CD13C3" w:rsidRDefault="00253E13" w:rsidP="0079191F">
      <w:pPr>
        <w:spacing w:line="276" w:lineRule="auto"/>
        <w:rPr>
          <w:rFonts w:asciiTheme="minorHAnsi" w:hAnsiTheme="minorHAnsi" w:cstheme="minorHAnsi"/>
        </w:rPr>
      </w:pPr>
    </w:p>
    <w:p w14:paraId="25FAFCC0" w14:textId="77777777" w:rsidR="00885DEE" w:rsidRDefault="00885DEE">
      <w:r>
        <w:br w:type="page"/>
      </w:r>
    </w:p>
    <w:tbl>
      <w:tblPr>
        <w:tblStyle w:val="TableGrid"/>
        <w:tblW w:w="0" w:type="auto"/>
        <w:tblLook w:val="04A0" w:firstRow="1" w:lastRow="0" w:firstColumn="1" w:lastColumn="0" w:noHBand="0" w:noVBand="1"/>
      </w:tblPr>
      <w:tblGrid>
        <w:gridCol w:w="9288"/>
      </w:tblGrid>
      <w:tr w:rsidR="00253E13" w:rsidRPr="00CD13C3" w14:paraId="23F2446C" w14:textId="77777777" w:rsidTr="00996D2B">
        <w:tc>
          <w:tcPr>
            <w:tcW w:w="9288" w:type="dxa"/>
            <w:tcBorders>
              <w:top w:val="nil"/>
              <w:left w:val="nil"/>
              <w:bottom w:val="single" w:sz="4" w:space="0" w:color="auto"/>
              <w:right w:val="nil"/>
            </w:tcBorders>
          </w:tcPr>
          <w:p w14:paraId="69A2C1D0" w14:textId="3475CB0A"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lastRenderedPageBreak/>
              <w:t xml:space="preserve">Maddocks Recommendation </w:t>
            </w:r>
            <w:r w:rsidR="00B609C3" w:rsidRPr="00CD13C3">
              <w:rPr>
                <w:rFonts w:asciiTheme="minorHAnsi" w:hAnsiTheme="minorHAnsi" w:cstheme="minorHAnsi"/>
                <w:b/>
                <w:bCs/>
                <w:sz w:val="22"/>
                <w:szCs w:val="22"/>
              </w:rPr>
              <w:t>10</w:t>
            </w:r>
            <w:r w:rsidRPr="00CD13C3">
              <w:rPr>
                <w:rFonts w:asciiTheme="minorHAnsi" w:hAnsiTheme="minorHAnsi" w:cstheme="minorHAnsi"/>
                <w:b/>
                <w:bCs/>
                <w:sz w:val="22"/>
                <w:szCs w:val="22"/>
              </w:rPr>
              <w:t xml:space="preserve"> </w:t>
            </w:r>
            <w:r w:rsidR="00B609C3" w:rsidRPr="00CD13C3">
              <w:rPr>
                <w:rFonts w:asciiTheme="minorHAnsi" w:hAnsiTheme="minorHAnsi" w:cstheme="minorHAnsi"/>
                <w:b/>
                <w:bCs/>
                <w:sz w:val="22"/>
                <w:szCs w:val="22"/>
              </w:rPr>
              <w:t>–</w:t>
            </w:r>
            <w:r w:rsidRPr="00CD13C3">
              <w:rPr>
                <w:rFonts w:asciiTheme="minorHAnsi" w:hAnsiTheme="minorHAnsi" w:cstheme="minorHAnsi"/>
                <w:b/>
                <w:bCs/>
                <w:sz w:val="22"/>
                <w:szCs w:val="22"/>
              </w:rPr>
              <w:t xml:space="preserve"> </w:t>
            </w:r>
            <w:r w:rsidR="00B609C3" w:rsidRPr="00CD13C3">
              <w:rPr>
                <w:rFonts w:asciiTheme="minorHAnsi" w:hAnsiTheme="minorHAnsi" w:cstheme="minorHAnsi"/>
                <w:b/>
                <w:bCs/>
                <w:sz w:val="22"/>
                <w:szCs w:val="22"/>
              </w:rPr>
              <w:t>Compliance by Affiliate</w:t>
            </w:r>
          </w:p>
        </w:tc>
      </w:tr>
      <w:tr w:rsidR="00253E13" w:rsidRPr="00CD13C3" w14:paraId="24BBDA6E" w14:textId="77777777" w:rsidTr="00996D2B">
        <w:tc>
          <w:tcPr>
            <w:tcW w:w="9288" w:type="dxa"/>
            <w:tcBorders>
              <w:top w:val="single" w:sz="4" w:space="0" w:color="auto"/>
            </w:tcBorders>
            <w:shd w:val="clear" w:color="auto" w:fill="D5E1F1" w:themeFill="accent2" w:themeFillTint="33"/>
          </w:tcPr>
          <w:p w14:paraId="642619E2" w14:textId="7F505D8E" w:rsidR="00253E1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takes steps to ensure that there is appropriate guidance about what is required for a Sponsor in relation to its Affiliate (particularly in relation to actively monitoring and ensuring that the Affiliate is suitable to handle CDR Data). For example, it is not clear whether a Sponsor would satisfy the test by simply including appropriate warranties or obligations in the Sponsorship Arrangement.</w:t>
            </w:r>
          </w:p>
        </w:tc>
      </w:tr>
      <w:tr w:rsidR="00253E13" w:rsidRPr="00CD13C3" w14:paraId="4E3FE8CE" w14:textId="77777777" w:rsidTr="00996D2B">
        <w:tc>
          <w:tcPr>
            <w:tcW w:w="9288" w:type="dxa"/>
          </w:tcPr>
          <w:p w14:paraId="55B773F1" w14:textId="78B88923"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6A0067" w:rsidRPr="00CD13C3">
              <w:rPr>
                <w:rFonts w:asciiTheme="minorHAnsi" w:hAnsiTheme="minorHAnsi" w:cstheme="minorHAnsi"/>
                <w:b/>
                <w:bCs/>
                <w:sz w:val="22"/>
                <w:szCs w:val="22"/>
              </w:rPr>
              <w:t>N</w:t>
            </w:r>
            <w:r w:rsidR="000F252B" w:rsidRPr="00CD13C3">
              <w:rPr>
                <w:rFonts w:asciiTheme="minorHAnsi" w:hAnsiTheme="minorHAnsi" w:cstheme="minorHAnsi"/>
                <w:b/>
                <w:bCs/>
                <w:sz w:val="22"/>
                <w:szCs w:val="22"/>
              </w:rPr>
              <w:t>oted</w:t>
            </w:r>
          </w:p>
          <w:p w14:paraId="79E7D76A" w14:textId="02AD5334" w:rsidR="00911B43" w:rsidRPr="00CD13C3" w:rsidRDefault="00911B4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Treasury will support the OAIC and the ACCC </w:t>
            </w:r>
            <w:r w:rsidR="00E2390E">
              <w:rPr>
                <w:rFonts w:asciiTheme="minorHAnsi" w:hAnsiTheme="minorHAnsi" w:cstheme="minorHAnsi"/>
                <w:sz w:val="22"/>
                <w:szCs w:val="22"/>
              </w:rPr>
              <w:t>as needed in relation to the preparation of guidance relating to their functions</w:t>
            </w:r>
            <w:r w:rsidRPr="00CD13C3">
              <w:rPr>
                <w:rFonts w:asciiTheme="minorHAnsi" w:hAnsiTheme="minorHAnsi" w:cstheme="minorHAnsi"/>
                <w:sz w:val="22"/>
                <w:szCs w:val="22"/>
              </w:rPr>
              <w:t>.</w:t>
            </w:r>
          </w:p>
        </w:tc>
      </w:tr>
    </w:tbl>
    <w:p w14:paraId="2FEA6935" w14:textId="4ED2D292" w:rsidR="001F775D" w:rsidRPr="00CD13C3" w:rsidRDefault="001F775D"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022743EE" w14:textId="77777777" w:rsidTr="00996D2B">
        <w:tc>
          <w:tcPr>
            <w:tcW w:w="9288" w:type="dxa"/>
            <w:tcBorders>
              <w:top w:val="nil"/>
              <w:left w:val="nil"/>
              <w:bottom w:val="single" w:sz="4" w:space="0" w:color="auto"/>
              <w:right w:val="nil"/>
            </w:tcBorders>
          </w:tcPr>
          <w:p w14:paraId="0D2C939A" w14:textId="18F10E75"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11</w:t>
            </w:r>
            <w:r w:rsidRPr="00CD13C3">
              <w:rPr>
                <w:rFonts w:asciiTheme="minorHAnsi" w:hAnsiTheme="minorHAnsi" w:cstheme="minorHAnsi"/>
                <w:b/>
                <w:bCs/>
                <w:sz w:val="22"/>
                <w:szCs w:val="22"/>
              </w:rPr>
              <w:t xml:space="preserve"> - </w:t>
            </w:r>
            <w:r w:rsidR="00B609C3" w:rsidRPr="00CD13C3">
              <w:rPr>
                <w:rFonts w:asciiTheme="minorHAnsi" w:hAnsiTheme="minorHAnsi" w:cstheme="minorHAnsi"/>
                <w:b/>
                <w:bCs/>
                <w:sz w:val="22"/>
                <w:szCs w:val="22"/>
              </w:rPr>
              <w:t xml:space="preserve">Disclosure of CDR Data to CDR Representatives  </w:t>
            </w:r>
          </w:p>
        </w:tc>
      </w:tr>
      <w:tr w:rsidR="00253E13" w:rsidRPr="00CD13C3" w14:paraId="5642025F" w14:textId="77777777" w:rsidTr="00885DEE">
        <w:tc>
          <w:tcPr>
            <w:tcW w:w="9288" w:type="dxa"/>
            <w:tcBorders>
              <w:top w:val="single" w:sz="4" w:space="0" w:color="auto"/>
              <w:bottom w:val="single" w:sz="4" w:space="0" w:color="auto"/>
            </w:tcBorders>
            <w:shd w:val="clear" w:color="auto" w:fill="D5E1F1" w:themeFill="accent2" w:themeFillTint="33"/>
          </w:tcPr>
          <w:p w14:paraId="04DF968F"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strengthening the requirements for CDR Representative Arrangements, to further ensure that a CDR Representative will only use and disclose CDR Data after receipt from the CDR Principal (i.e., the Accredited Data Recipient) in accordance with the consent of the CDR Consumer.</w:t>
            </w:r>
          </w:p>
          <w:p w14:paraId="109F9949"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This could be achieved by:</w:t>
            </w:r>
          </w:p>
          <w:p w14:paraId="55C834E0" w14:textId="212AB2D0"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extending the matters that must be in a CDR Representative Arrangement to include a contractual obligation on the CDR Representative to comply with section 56EI (Privacy Safeguard 6) of the CC Act, in respect of Service Data, as if it were an Accredited Person; or </w:t>
            </w:r>
          </w:p>
          <w:p w14:paraId="04373D94" w14:textId="2F53D607" w:rsidR="00253E1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including a requirement that the CDR Representative Arrangement must include an obligation on CDR Representative to comply with APP 6 of the Privacy Act (as if it were an ‘organisation’ under the Privacy Act).</w:t>
            </w:r>
          </w:p>
        </w:tc>
      </w:tr>
      <w:tr w:rsidR="00885DEE" w:rsidRPr="00CD13C3" w14:paraId="243BC5A5" w14:textId="77777777" w:rsidTr="00885DEE">
        <w:tc>
          <w:tcPr>
            <w:tcW w:w="9288" w:type="dxa"/>
            <w:tcBorders>
              <w:top w:val="single" w:sz="4" w:space="0" w:color="auto"/>
            </w:tcBorders>
            <w:shd w:val="clear" w:color="auto" w:fill="auto"/>
          </w:tcPr>
          <w:p w14:paraId="6FF4C072" w14:textId="77777777" w:rsidR="00885DEE" w:rsidRPr="00CD13C3" w:rsidRDefault="00885DEE" w:rsidP="00885DEE">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Pr="00CD13C3">
              <w:rPr>
                <w:rFonts w:asciiTheme="minorHAnsi" w:hAnsiTheme="minorHAnsi" w:cstheme="minorHAnsi"/>
                <w:b/>
                <w:bCs/>
                <w:sz w:val="22"/>
                <w:szCs w:val="22"/>
              </w:rPr>
              <w:t>Not accepted</w:t>
            </w:r>
          </w:p>
          <w:p w14:paraId="3854B1F5" w14:textId="3E46A1AF" w:rsidR="00885DEE" w:rsidRPr="00CD13C3" w:rsidRDefault="00885DEE" w:rsidP="00885DEE">
            <w:pPr>
              <w:spacing w:line="276" w:lineRule="auto"/>
              <w:rPr>
                <w:rFonts w:asciiTheme="minorHAnsi" w:hAnsiTheme="minorHAnsi" w:cstheme="minorHAnsi"/>
              </w:rPr>
            </w:pPr>
            <w:r>
              <w:rPr>
                <w:rFonts w:asciiTheme="minorHAnsi" w:hAnsiTheme="minorHAnsi" w:cstheme="minorHAnsi"/>
                <w:sz w:val="22"/>
                <w:szCs w:val="22"/>
              </w:rPr>
              <w:t>A</w:t>
            </w:r>
            <w:r w:rsidRPr="00CD13C3">
              <w:rPr>
                <w:rFonts w:asciiTheme="minorHAnsi" w:hAnsiTheme="minorHAnsi" w:cstheme="minorHAnsi"/>
                <w:sz w:val="22"/>
                <w:szCs w:val="22"/>
              </w:rPr>
              <w:t xml:space="preserve">ny use or disclosure by a CDR representative is taken to have been by the unrestricted accredited data recipient principal, including </w:t>
            </w:r>
            <w:r>
              <w:rPr>
                <w:rFonts w:asciiTheme="minorHAnsi" w:hAnsiTheme="minorHAnsi" w:cstheme="minorHAnsi"/>
                <w:sz w:val="22"/>
                <w:szCs w:val="22"/>
              </w:rPr>
              <w:t>those</w:t>
            </w:r>
            <w:r w:rsidRPr="00CD13C3">
              <w:rPr>
                <w:rFonts w:asciiTheme="minorHAnsi" w:hAnsiTheme="minorHAnsi" w:cstheme="minorHAnsi"/>
                <w:sz w:val="22"/>
                <w:szCs w:val="22"/>
              </w:rPr>
              <w:t xml:space="preserve"> that occur outside the scope of the CDR representative arrangement. </w:t>
            </w:r>
            <w:r w:rsidR="006F04E1" w:rsidRPr="006F04E1">
              <w:rPr>
                <w:rFonts w:asciiTheme="minorHAnsi" w:hAnsiTheme="minorHAnsi" w:cstheme="minorHAnsi"/>
                <w:sz w:val="22"/>
                <w:szCs w:val="22"/>
              </w:rPr>
              <w:t xml:space="preserve">Principals are therefore incentivised to ensure CDR representatives only make permitted uses or disclosures of CDR data, as they would be liable for contraventions of Privacy Safeguard 6 </w:t>
            </w:r>
            <w:r w:rsidR="006F04E1">
              <w:rPr>
                <w:rFonts w:asciiTheme="minorHAnsi" w:hAnsiTheme="minorHAnsi" w:cstheme="minorHAnsi"/>
                <w:sz w:val="22"/>
                <w:szCs w:val="22"/>
              </w:rPr>
              <w:t>in the event of any</w:t>
            </w:r>
            <w:r w:rsidR="006F04E1" w:rsidRPr="006F04E1">
              <w:rPr>
                <w:rFonts w:asciiTheme="minorHAnsi" w:hAnsiTheme="minorHAnsi" w:cstheme="minorHAnsi"/>
                <w:sz w:val="22"/>
                <w:szCs w:val="22"/>
              </w:rPr>
              <w:t xml:space="preserve"> non-permitted use</w:t>
            </w:r>
            <w:r w:rsidR="006F04E1">
              <w:rPr>
                <w:rFonts w:asciiTheme="minorHAnsi" w:hAnsiTheme="minorHAnsi" w:cstheme="minorHAnsi"/>
                <w:sz w:val="22"/>
                <w:szCs w:val="22"/>
              </w:rPr>
              <w:t>s</w:t>
            </w:r>
            <w:r w:rsidR="006F04E1" w:rsidRPr="006F04E1">
              <w:rPr>
                <w:rFonts w:asciiTheme="minorHAnsi" w:hAnsiTheme="minorHAnsi" w:cstheme="minorHAnsi"/>
                <w:sz w:val="22"/>
                <w:szCs w:val="22"/>
              </w:rPr>
              <w:t xml:space="preserve"> or disclosure</w:t>
            </w:r>
            <w:r w:rsidR="006F04E1">
              <w:rPr>
                <w:rFonts w:asciiTheme="minorHAnsi" w:hAnsiTheme="minorHAnsi" w:cstheme="minorHAnsi"/>
                <w:sz w:val="22"/>
                <w:szCs w:val="22"/>
              </w:rPr>
              <w:t>s</w:t>
            </w:r>
            <w:r w:rsidRPr="00CD13C3">
              <w:rPr>
                <w:rFonts w:asciiTheme="minorHAnsi" w:hAnsiTheme="minorHAnsi" w:cstheme="minorHAnsi"/>
                <w:sz w:val="22"/>
                <w:szCs w:val="22"/>
              </w:rPr>
              <w:t>.</w:t>
            </w:r>
          </w:p>
        </w:tc>
      </w:tr>
    </w:tbl>
    <w:p w14:paraId="2A1BF256" w14:textId="794BC856" w:rsidR="00253E13" w:rsidRPr="00CD13C3" w:rsidRDefault="00253E1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02DB89F1" w14:textId="77777777" w:rsidTr="00996D2B">
        <w:tc>
          <w:tcPr>
            <w:tcW w:w="9288" w:type="dxa"/>
            <w:tcBorders>
              <w:top w:val="nil"/>
              <w:left w:val="nil"/>
              <w:bottom w:val="single" w:sz="4" w:space="0" w:color="auto"/>
              <w:right w:val="nil"/>
            </w:tcBorders>
          </w:tcPr>
          <w:p w14:paraId="004C1C05" w14:textId="0D790375"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12</w:t>
            </w:r>
            <w:r w:rsidRPr="00CD13C3">
              <w:rPr>
                <w:rFonts w:asciiTheme="minorHAnsi" w:hAnsiTheme="minorHAnsi" w:cstheme="minorHAnsi"/>
                <w:b/>
                <w:bCs/>
                <w:sz w:val="22"/>
                <w:szCs w:val="22"/>
              </w:rPr>
              <w:t xml:space="preserve"> </w:t>
            </w:r>
            <w:r w:rsidR="00B609C3" w:rsidRPr="00CD13C3">
              <w:rPr>
                <w:rFonts w:asciiTheme="minorHAnsi" w:hAnsiTheme="minorHAnsi" w:cstheme="minorHAnsi"/>
                <w:b/>
                <w:bCs/>
                <w:sz w:val="22"/>
                <w:szCs w:val="22"/>
              </w:rPr>
              <w:t>–</w:t>
            </w:r>
            <w:r w:rsidRPr="00CD13C3">
              <w:rPr>
                <w:rFonts w:asciiTheme="minorHAnsi" w:hAnsiTheme="minorHAnsi" w:cstheme="minorHAnsi"/>
                <w:b/>
                <w:bCs/>
                <w:sz w:val="22"/>
                <w:szCs w:val="22"/>
              </w:rPr>
              <w:t xml:space="preserve"> </w:t>
            </w:r>
            <w:r w:rsidR="00B609C3" w:rsidRPr="00CD13C3">
              <w:rPr>
                <w:rFonts w:asciiTheme="minorHAnsi" w:hAnsiTheme="minorHAnsi" w:cstheme="minorHAnsi"/>
                <w:b/>
                <w:bCs/>
                <w:sz w:val="22"/>
                <w:szCs w:val="22"/>
              </w:rPr>
              <w:t>CDR Representative Arrangements</w:t>
            </w:r>
          </w:p>
        </w:tc>
      </w:tr>
      <w:tr w:rsidR="00253E13" w:rsidRPr="00CD13C3" w14:paraId="169C3A27" w14:textId="77777777" w:rsidTr="00996D2B">
        <w:tc>
          <w:tcPr>
            <w:tcW w:w="9288" w:type="dxa"/>
            <w:tcBorders>
              <w:top w:val="single" w:sz="4" w:space="0" w:color="auto"/>
            </w:tcBorders>
            <w:shd w:val="clear" w:color="auto" w:fill="D5E1F1" w:themeFill="accent2" w:themeFillTint="33"/>
          </w:tcPr>
          <w:p w14:paraId="60592279"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amending the draft CDR Rules so that CDR Representative Arrangements are expressly required to contain an obligation:</w:t>
            </w:r>
          </w:p>
          <w:p w14:paraId="568C550C" w14:textId="1A8E667A"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upon the CDR Representative to accurately communicate the CDR Consumer’s consent to the CDR Principal; and</w:t>
            </w:r>
          </w:p>
          <w:p w14:paraId="15CF6324" w14:textId="25969417"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in relation to withdrawal of a CDR Consumer’s consent or authorisation:</w:t>
            </w:r>
          </w:p>
          <w:p w14:paraId="3CA3048E" w14:textId="774527F4" w:rsidR="00B609C3" w:rsidRPr="00CD13C3" w:rsidRDefault="00B609C3" w:rsidP="0079191F">
            <w:pPr>
              <w:pStyle w:val="ListParagraph"/>
              <w:numPr>
                <w:ilvl w:val="0"/>
                <w:numId w:val="31"/>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upon the CDR Representative to notify the CDR Principal if the CDR Representative becomes aware that the CDR Consumer has withdrawn their consent; and</w:t>
            </w:r>
          </w:p>
          <w:p w14:paraId="41DE2C00" w14:textId="77777777" w:rsidR="0079191F" w:rsidRPr="00CD13C3" w:rsidRDefault="00B609C3" w:rsidP="0079191F">
            <w:pPr>
              <w:pStyle w:val="ListParagraph"/>
              <w:numPr>
                <w:ilvl w:val="0"/>
                <w:numId w:val="31"/>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upon the CDR Principal to notify the CDR Representative if they otherwise become aware that the consent or authorisation has been withdrawn or expired, </w:t>
            </w:r>
          </w:p>
          <w:p w14:paraId="42D23DDE" w14:textId="3B1C25AD" w:rsidR="00253E13" w:rsidRPr="00CD13C3" w:rsidRDefault="00B609C3" w:rsidP="0079191F">
            <w:pPr>
              <w:tabs>
                <w:tab w:val="left" w:pos="1029"/>
              </w:tabs>
              <w:spacing w:line="276" w:lineRule="auto"/>
              <w:ind w:left="1106"/>
              <w:rPr>
                <w:rFonts w:asciiTheme="minorHAnsi" w:hAnsiTheme="minorHAnsi" w:cstheme="minorHAnsi"/>
                <w:sz w:val="22"/>
                <w:szCs w:val="22"/>
              </w:rPr>
            </w:pPr>
            <w:r w:rsidRPr="00CD13C3">
              <w:rPr>
                <w:rFonts w:asciiTheme="minorHAnsi" w:hAnsiTheme="minorHAnsi" w:cstheme="minorHAnsi"/>
                <w:sz w:val="22"/>
                <w:szCs w:val="22"/>
              </w:rPr>
              <w:t>so that the CDR Representative and the CDR Principal do not inadvertently continue to collect, use or disclose CDR Data without an appropriate consent and authorisation.</w:t>
            </w:r>
          </w:p>
        </w:tc>
      </w:tr>
      <w:tr w:rsidR="00253E13" w:rsidRPr="00CD13C3" w14:paraId="5C0B84F3" w14:textId="77777777" w:rsidTr="00996D2B">
        <w:tc>
          <w:tcPr>
            <w:tcW w:w="9288" w:type="dxa"/>
          </w:tcPr>
          <w:p w14:paraId="026FAF1B" w14:textId="3DEA310F" w:rsidR="00253E1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 xml:space="preserve">Agency response – </w:t>
            </w:r>
            <w:r w:rsidR="00D30BB5" w:rsidRPr="00CD13C3">
              <w:rPr>
                <w:rFonts w:asciiTheme="minorHAnsi" w:hAnsiTheme="minorHAnsi" w:cstheme="minorHAnsi"/>
                <w:b/>
                <w:bCs/>
                <w:sz w:val="22"/>
                <w:szCs w:val="22"/>
              </w:rPr>
              <w:t>Not accepted</w:t>
            </w:r>
          </w:p>
          <w:p w14:paraId="119D567C" w14:textId="1B09E432" w:rsidR="00253E13" w:rsidRPr="00CD13C3" w:rsidRDefault="003A0890"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The liability framework for </w:t>
            </w:r>
            <w:r w:rsidR="00E2390E">
              <w:rPr>
                <w:rFonts w:asciiTheme="minorHAnsi" w:hAnsiTheme="minorHAnsi" w:cstheme="minorHAnsi"/>
                <w:sz w:val="22"/>
                <w:szCs w:val="22"/>
              </w:rPr>
              <w:t xml:space="preserve">the conduct of </w:t>
            </w:r>
            <w:r w:rsidRPr="00CD13C3">
              <w:rPr>
                <w:rFonts w:asciiTheme="minorHAnsi" w:hAnsiTheme="minorHAnsi" w:cstheme="minorHAnsi"/>
                <w:sz w:val="22"/>
                <w:szCs w:val="22"/>
              </w:rPr>
              <w:t xml:space="preserve">CDR representatives </w:t>
            </w:r>
            <w:r w:rsidR="00E2390E">
              <w:rPr>
                <w:rFonts w:asciiTheme="minorHAnsi" w:hAnsiTheme="minorHAnsi" w:cstheme="minorHAnsi"/>
                <w:sz w:val="22"/>
                <w:szCs w:val="22"/>
              </w:rPr>
              <w:t>ensures</w:t>
            </w:r>
            <w:r w:rsidRPr="00CD13C3">
              <w:rPr>
                <w:rFonts w:asciiTheme="minorHAnsi" w:hAnsiTheme="minorHAnsi" w:cstheme="minorHAnsi"/>
                <w:sz w:val="22"/>
                <w:szCs w:val="22"/>
              </w:rPr>
              <w:t xml:space="preserve"> that it is incumbent on the principal to ensure CDR representatives do not use</w:t>
            </w:r>
            <w:r w:rsidR="008E7C10" w:rsidRPr="00CD13C3">
              <w:rPr>
                <w:rFonts w:asciiTheme="minorHAnsi" w:hAnsiTheme="minorHAnsi" w:cstheme="minorHAnsi"/>
                <w:sz w:val="22"/>
                <w:szCs w:val="22"/>
              </w:rPr>
              <w:t xml:space="preserve"> or</w:t>
            </w:r>
            <w:r w:rsidR="007F2E42" w:rsidRPr="00CD13C3">
              <w:rPr>
                <w:rFonts w:asciiTheme="minorHAnsi" w:hAnsiTheme="minorHAnsi" w:cstheme="minorHAnsi"/>
                <w:sz w:val="22"/>
                <w:szCs w:val="22"/>
              </w:rPr>
              <w:t xml:space="preserve"> disclosure</w:t>
            </w:r>
            <w:r w:rsidRPr="00CD13C3">
              <w:rPr>
                <w:rFonts w:asciiTheme="minorHAnsi" w:hAnsiTheme="minorHAnsi" w:cstheme="minorHAnsi"/>
                <w:sz w:val="22"/>
                <w:szCs w:val="22"/>
              </w:rPr>
              <w:t xml:space="preserve"> data when there is no legal basis for them to do so (i.e. where consent has been withdrawn).</w:t>
            </w:r>
          </w:p>
        </w:tc>
      </w:tr>
    </w:tbl>
    <w:p w14:paraId="0402AEB3" w14:textId="77777777" w:rsidR="001B15C6" w:rsidRPr="00CD13C3" w:rsidRDefault="001B15C6"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253E13" w:rsidRPr="00CD13C3" w14:paraId="6BCC845D" w14:textId="77777777" w:rsidTr="00996D2B">
        <w:tc>
          <w:tcPr>
            <w:tcW w:w="9288" w:type="dxa"/>
            <w:tcBorders>
              <w:top w:val="nil"/>
              <w:left w:val="nil"/>
              <w:bottom w:val="single" w:sz="4" w:space="0" w:color="auto"/>
              <w:right w:val="nil"/>
            </w:tcBorders>
          </w:tcPr>
          <w:p w14:paraId="0264B04F" w14:textId="152C057A" w:rsidR="00253E13" w:rsidRPr="00CD13C3" w:rsidRDefault="00253E1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w:t>
            </w:r>
            <w:r w:rsidR="00B609C3" w:rsidRPr="00CD13C3">
              <w:rPr>
                <w:rFonts w:asciiTheme="minorHAnsi" w:hAnsiTheme="minorHAnsi" w:cstheme="minorHAnsi"/>
                <w:b/>
                <w:bCs/>
                <w:sz w:val="22"/>
                <w:szCs w:val="22"/>
              </w:rPr>
              <w:t>13</w:t>
            </w:r>
            <w:r w:rsidRPr="00CD13C3">
              <w:rPr>
                <w:rFonts w:asciiTheme="minorHAnsi" w:hAnsiTheme="minorHAnsi" w:cstheme="minorHAnsi"/>
                <w:b/>
                <w:bCs/>
                <w:sz w:val="22"/>
                <w:szCs w:val="22"/>
              </w:rPr>
              <w:t xml:space="preserve"> - </w:t>
            </w:r>
            <w:r w:rsidR="00B609C3" w:rsidRPr="00CD13C3">
              <w:rPr>
                <w:rFonts w:asciiTheme="minorHAnsi" w:hAnsiTheme="minorHAnsi" w:cstheme="minorHAnsi"/>
                <w:b/>
                <w:bCs/>
                <w:sz w:val="22"/>
                <w:szCs w:val="22"/>
              </w:rPr>
              <w:t xml:space="preserve">Continued use of CDR Data by a CDR Representative  </w:t>
            </w:r>
          </w:p>
        </w:tc>
      </w:tr>
      <w:tr w:rsidR="00253E13" w:rsidRPr="00CD13C3" w14:paraId="07F9B94D" w14:textId="77777777" w:rsidTr="00996D2B">
        <w:tc>
          <w:tcPr>
            <w:tcW w:w="9288" w:type="dxa"/>
            <w:tcBorders>
              <w:top w:val="single" w:sz="4" w:space="0" w:color="auto"/>
            </w:tcBorders>
            <w:shd w:val="clear" w:color="auto" w:fill="D5E1F1" w:themeFill="accent2" w:themeFillTint="33"/>
          </w:tcPr>
          <w:p w14:paraId="70D927AF"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amending the draft CDR Rules to provide that CDR Representative Arrangements must include a requirement for Accredited Data Recipients to notify a CDR Representative if their accreditation ends, and:</w:t>
            </w:r>
          </w:p>
          <w:p w14:paraId="55D45E08" w14:textId="36B599EE"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notify the CDR Representative that any consents it has collected in relation to the CDR Consumer’s CDR Data expire (explaining the consequences of this i.e. the CDR Representative can no longer use the CDR Data, nor further disclose this CDR Data); and</w:t>
            </w:r>
          </w:p>
          <w:p w14:paraId="56B93DD4" w14:textId="76B38D5F"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promptly direct them to delete any CDR Data (in accordance with the CDR Data deletion process). </w:t>
            </w:r>
          </w:p>
          <w:p w14:paraId="391C2665" w14:textId="61437A82" w:rsidR="00253E1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also recommend that similar protections could be imposed if a CDR Consumer subsequently withdraws their consent (or the consent otherwise expires), so that both the CDR Principal and the CDR Representative are made aware of the status of the consent and required to take appropriate actions.</w:t>
            </w:r>
          </w:p>
        </w:tc>
      </w:tr>
      <w:tr w:rsidR="00253E13" w:rsidRPr="00CD13C3" w14:paraId="7BD0619E" w14:textId="77777777" w:rsidTr="00996D2B">
        <w:tc>
          <w:tcPr>
            <w:tcW w:w="9288" w:type="dxa"/>
          </w:tcPr>
          <w:p w14:paraId="124672D3" w14:textId="3E4942B6" w:rsidR="00253E13" w:rsidRPr="00CD13C3" w:rsidRDefault="00C06F63" w:rsidP="0079191F">
            <w:pPr>
              <w:spacing w:line="276" w:lineRule="auto"/>
              <w:rPr>
                <w:rFonts w:asciiTheme="minorHAnsi" w:hAnsiTheme="minorHAnsi" w:cstheme="minorHAnsi"/>
                <w:b/>
                <w:bCs/>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Not accepted</w:t>
            </w:r>
          </w:p>
          <w:p w14:paraId="33AFD6CE" w14:textId="4AA8508C" w:rsidR="00253E13" w:rsidRPr="00CD13C3" w:rsidRDefault="007F5FFB"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See Recommendation 12 response.</w:t>
            </w:r>
            <w:r w:rsidR="00D13D25" w:rsidRPr="00CD13C3">
              <w:rPr>
                <w:rFonts w:asciiTheme="minorHAnsi" w:hAnsiTheme="minorHAnsi" w:cstheme="minorHAnsi"/>
                <w:sz w:val="22"/>
                <w:szCs w:val="22"/>
              </w:rPr>
              <w:t xml:space="preserve"> A principal is in breach of the rules if it does not direct its representative to</w:t>
            </w:r>
            <w:r w:rsidR="004B2D16" w:rsidRPr="00CD13C3">
              <w:rPr>
                <w:rFonts w:asciiTheme="minorHAnsi" w:hAnsiTheme="minorHAnsi" w:cstheme="minorHAnsi"/>
                <w:sz w:val="22"/>
                <w:szCs w:val="22"/>
              </w:rPr>
              <w:t xml:space="preserve"> cease</w:t>
            </w:r>
            <w:r w:rsidR="00EB5564">
              <w:rPr>
                <w:rFonts w:asciiTheme="minorHAnsi" w:hAnsiTheme="minorHAnsi" w:cstheme="minorHAnsi"/>
                <w:sz w:val="22"/>
                <w:szCs w:val="22"/>
              </w:rPr>
              <w:t xml:space="preserve"> </w:t>
            </w:r>
            <w:r w:rsidR="00F5466C" w:rsidRPr="00CD13C3">
              <w:rPr>
                <w:rFonts w:asciiTheme="minorHAnsi" w:hAnsiTheme="minorHAnsi" w:cstheme="minorHAnsi"/>
                <w:sz w:val="22"/>
                <w:szCs w:val="22"/>
              </w:rPr>
              <w:t xml:space="preserve">(or the representative does not </w:t>
            </w:r>
            <w:r w:rsidR="004B2D16" w:rsidRPr="00CD13C3">
              <w:rPr>
                <w:rFonts w:asciiTheme="minorHAnsi" w:hAnsiTheme="minorHAnsi" w:cstheme="minorHAnsi"/>
                <w:sz w:val="22"/>
                <w:szCs w:val="22"/>
              </w:rPr>
              <w:t>cease</w:t>
            </w:r>
            <w:r w:rsidR="00EB5564" w:rsidRPr="00CD13C3">
              <w:rPr>
                <w:rFonts w:asciiTheme="minorHAnsi" w:hAnsiTheme="minorHAnsi" w:cstheme="minorHAnsi"/>
                <w:sz w:val="22"/>
                <w:szCs w:val="22"/>
              </w:rPr>
              <w:t>)</w:t>
            </w:r>
            <w:r w:rsidR="004B2D16" w:rsidRPr="00CD13C3">
              <w:rPr>
                <w:rFonts w:asciiTheme="minorHAnsi" w:hAnsiTheme="minorHAnsi" w:cstheme="minorHAnsi"/>
                <w:sz w:val="22"/>
                <w:szCs w:val="22"/>
              </w:rPr>
              <w:t xml:space="preserve"> using data when there is no longer a relevant consent</w:t>
            </w:r>
            <w:r w:rsidR="00F5466C" w:rsidRPr="00CD13C3">
              <w:rPr>
                <w:rFonts w:asciiTheme="minorHAnsi" w:hAnsiTheme="minorHAnsi" w:cstheme="minorHAnsi"/>
                <w:sz w:val="22"/>
                <w:szCs w:val="22"/>
              </w:rPr>
              <w:t xml:space="preserve">. Similarly, </w:t>
            </w:r>
            <w:r w:rsidR="004B2D16" w:rsidRPr="00CD13C3">
              <w:rPr>
                <w:rFonts w:asciiTheme="minorHAnsi" w:hAnsiTheme="minorHAnsi" w:cstheme="minorHAnsi"/>
                <w:sz w:val="22"/>
                <w:szCs w:val="22"/>
              </w:rPr>
              <w:t>if the principal does not direct the representative</w:t>
            </w:r>
            <w:r w:rsidR="00E2390E">
              <w:rPr>
                <w:rFonts w:asciiTheme="minorHAnsi" w:hAnsiTheme="minorHAnsi" w:cstheme="minorHAnsi"/>
                <w:sz w:val="22"/>
                <w:szCs w:val="22"/>
              </w:rPr>
              <w:t xml:space="preserve"> to delete data,</w:t>
            </w:r>
            <w:r w:rsidR="004B2D16" w:rsidRPr="00CD13C3">
              <w:rPr>
                <w:rFonts w:asciiTheme="minorHAnsi" w:hAnsiTheme="minorHAnsi" w:cstheme="minorHAnsi"/>
                <w:sz w:val="22"/>
                <w:szCs w:val="22"/>
              </w:rPr>
              <w:t xml:space="preserve"> or the representative does not</w:t>
            </w:r>
            <w:r w:rsidR="00E2390E">
              <w:rPr>
                <w:rFonts w:asciiTheme="minorHAnsi" w:hAnsiTheme="minorHAnsi" w:cstheme="minorHAnsi"/>
                <w:sz w:val="22"/>
                <w:szCs w:val="22"/>
              </w:rPr>
              <w:t xml:space="preserve"> delete data</w:t>
            </w:r>
            <w:r w:rsidR="004B2D16" w:rsidRPr="00CD13C3">
              <w:rPr>
                <w:rFonts w:asciiTheme="minorHAnsi" w:hAnsiTheme="minorHAnsi" w:cstheme="minorHAnsi"/>
                <w:sz w:val="22"/>
                <w:szCs w:val="22"/>
              </w:rPr>
              <w:t xml:space="preserve"> in response to </w:t>
            </w:r>
            <w:r w:rsidR="00F5466C" w:rsidRPr="00CD13C3">
              <w:rPr>
                <w:rFonts w:asciiTheme="minorHAnsi" w:hAnsiTheme="minorHAnsi" w:cstheme="minorHAnsi"/>
                <w:sz w:val="22"/>
                <w:szCs w:val="22"/>
              </w:rPr>
              <w:t>the</w:t>
            </w:r>
            <w:r w:rsidR="004B2D16" w:rsidRPr="00CD13C3">
              <w:rPr>
                <w:rFonts w:asciiTheme="minorHAnsi" w:hAnsiTheme="minorHAnsi" w:cstheme="minorHAnsi"/>
                <w:sz w:val="22"/>
                <w:szCs w:val="22"/>
              </w:rPr>
              <w:t xml:space="preserve"> instruction</w:t>
            </w:r>
            <w:r w:rsidR="00E2390E">
              <w:rPr>
                <w:rFonts w:asciiTheme="minorHAnsi" w:hAnsiTheme="minorHAnsi" w:cstheme="minorHAnsi"/>
                <w:sz w:val="22"/>
                <w:szCs w:val="22"/>
              </w:rPr>
              <w:t>,</w:t>
            </w:r>
            <w:r w:rsidR="004B2D16" w:rsidRPr="00CD13C3">
              <w:rPr>
                <w:rFonts w:asciiTheme="minorHAnsi" w:hAnsiTheme="minorHAnsi" w:cstheme="minorHAnsi"/>
                <w:sz w:val="22"/>
                <w:szCs w:val="22"/>
              </w:rPr>
              <w:t xml:space="preserve"> in accordance with the rules</w:t>
            </w:r>
            <w:r w:rsidR="00F5466C" w:rsidRPr="00CD13C3">
              <w:rPr>
                <w:rFonts w:asciiTheme="minorHAnsi" w:hAnsiTheme="minorHAnsi" w:cstheme="minorHAnsi"/>
                <w:sz w:val="22"/>
                <w:szCs w:val="22"/>
              </w:rPr>
              <w:t xml:space="preserve">, </w:t>
            </w:r>
            <w:r w:rsidR="00C46C8A" w:rsidRPr="00CD13C3">
              <w:rPr>
                <w:rFonts w:asciiTheme="minorHAnsi" w:hAnsiTheme="minorHAnsi" w:cstheme="minorHAnsi"/>
                <w:sz w:val="22"/>
                <w:szCs w:val="22"/>
              </w:rPr>
              <w:t>the principal is</w:t>
            </w:r>
            <w:r w:rsidR="00F5466C" w:rsidRPr="00CD13C3">
              <w:rPr>
                <w:rFonts w:asciiTheme="minorHAnsi" w:hAnsiTheme="minorHAnsi" w:cstheme="minorHAnsi"/>
                <w:sz w:val="22"/>
                <w:szCs w:val="22"/>
              </w:rPr>
              <w:t xml:space="preserve"> in breach of the rules.</w:t>
            </w:r>
          </w:p>
        </w:tc>
      </w:tr>
    </w:tbl>
    <w:p w14:paraId="6D0CDD47" w14:textId="77777777" w:rsidR="00121935" w:rsidRPr="00CD13C3" w:rsidRDefault="00121935" w:rsidP="0079191F">
      <w:pPr>
        <w:spacing w:line="276" w:lineRule="auto"/>
        <w:rPr>
          <w:rFonts w:asciiTheme="minorHAnsi" w:hAnsiTheme="minorHAnsi" w:cstheme="minorHAnsi"/>
        </w:rPr>
      </w:pPr>
    </w:p>
    <w:p w14:paraId="04A77F93" w14:textId="77777777" w:rsidR="00885DEE" w:rsidRDefault="00885DEE">
      <w:r>
        <w:br w:type="page"/>
      </w:r>
    </w:p>
    <w:tbl>
      <w:tblPr>
        <w:tblStyle w:val="TableGrid"/>
        <w:tblW w:w="0" w:type="auto"/>
        <w:tblLook w:val="04A0" w:firstRow="1" w:lastRow="0" w:firstColumn="1" w:lastColumn="0" w:noHBand="0" w:noVBand="1"/>
      </w:tblPr>
      <w:tblGrid>
        <w:gridCol w:w="9288"/>
      </w:tblGrid>
      <w:tr w:rsidR="00B609C3" w:rsidRPr="00CD13C3" w14:paraId="6141FD97" w14:textId="77777777" w:rsidTr="00996D2B">
        <w:tc>
          <w:tcPr>
            <w:tcW w:w="9288" w:type="dxa"/>
            <w:tcBorders>
              <w:top w:val="nil"/>
              <w:left w:val="nil"/>
              <w:bottom w:val="single" w:sz="4" w:space="0" w:color="auto"/>
              <w:right w:val="nil"/>
            </w:tcBorders>
          </w:tcPr>
          <w:p w14:paraId="6BBD891D" w14:textId="11F1CF39" w:rsidR="00B609C3" w:rsidRPr="00CD13C3" w:rsidRDefault="00B609C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lastRenderedPageBreak/>
              <w:t>Maddocks Recommendation 1</w:t>
            </w:r>
            <w:r w:rsidR="00CC20BD" w:rsidRPr="00CD13C3">
              <w:rPr>
                <w:rFonts w:asciiTheme="minorHAnsi" w:hAnsiTheme="minorHAnsi" w:cstheme="minorHAnsi"/>
                <w:b/>
                <w:bCs/>
                <w:sz w:val="22"/>
                <w:szCs w:val="22"/>
              </w:rPr>
              <w:t>4</w:t>
            </w:r>
            <w:r w:rsidRPr="00CD13C3">
              <w:rPr>
                <w:rFonts w:asciiTheme="minorHAnsi" w:hAnsiTheme="minorHAnsi" w:cstheme="minorHAnsi"/>
                <w:b/>
                <w:bCs/>
                <w:sz w:val="22"/>
                <w:szCs w:val="22"/>
              </w:rPr>
              <w:t xml:space="preserve"> - Implementation of the default pre-approval model</w:t>
            </w:r>
          </w:p>
        </w:tc>
      </w:tr>
      <w:tr w:rsidR="00B609C3" w:rsidRPr="00CD13C3" w14:paraId="41A90341" w14:textId="77777777" w:rsidTr="00996D2B">
        <w:tc>
          <w:tcPr>
            <w:tcW w:w="9288" w:type="dxa"/>
            <w:tcBorders>
              <w:top w:val="single" w:sz="4" w:space="0" w:color="auto"/>
            </w:tcBorders>
            <w:shd w:val="clear" w:color="auto" w:fill="D5E1F1" w:themeFill="accent2" w:themeFillTint="33"/>
          </w:tcPr>
          <w:p w14:paraId="42B4ADE7"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the decrease in privacy protections that would be afforded to joint account holders under the proposed changes to the CDR Rules be carefully considered by Treasury, as part of the balancing of relevant factors. </w:t>
            </w:r>
          </w:p>
          <w:p w14:paraId="28804658"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also recommend that if a decision is made to implement the default pre-approval model despite the impact on privacy rights, consideration be given to implementing a process (if technically possible) so that:</w:t>
            </w:r>
          </w:p>
          <w:p w14:paraId="5C176620" w14:textId="153106C8"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after one joint account holder (JAH A) makes a Consumer Data Request in respect of joint account CDR Data, the data is not immediately shared; </w:t>
            </w:r>
          </w:p>
          <w:p w14:paraId="3D3CD335" w14:textId="3CACFAA9"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after JAH A makes the Consumer Data Request, the other joint account holder(s) (JAH B) is notified of the request and given a reasonable window of time in which to select a disclosure option (and notified that if the pre-approval option (or no option) is selected in the given timeframe, the joint account CDR Data will be shared in accordance with the Consumer Data Request); and </w:t>
            </w:r>
          </w:p>
          <w:p w14:paraId="1A7E35B9" w14:textId="7FD97FEA"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the joint account CDR Data is then:</w:t>
            </w:r>
          </w:p>
          <w:p w14:paraId="76DFC728" w14:textId="79804FBF" w:rsidR="00B609C3" w:rsidRPr="00CD13C3" w:rsidRDefault="00B609C3" w:rsidP="0079191F">
            <w:pPr>
              <w:pStyle w:val="ListParagraph"/>
              <w:numPr>
                <w:ilvl w:val="0"/>
                <w:numId w:val="30"/>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if JAH B selects the pre-approval option (or does not select an option in the given timeframe), shared in accordance with the Consumer Data Request; </w:t>
            </w:r>
          </w:p>
          <w:p w14:paraId="44C3C140" w14:textId="2D06B584" w:rsidR="00B609C3" w:rsidRPr="00CD13C3" w:rsidRDefault="00B609C3" w:rsidP="0079191F">
            <w:pPr>
              <w:pStyle w:val="ListParagraph"/>
              <w:numPr>
                <w:ilvl w:val="0"/>
                <w:numId w:val="30"/>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if JAH B selects the co-approval option and consents to the disclosure of the CDR Data, shared in accordance with the Consumer Data Request; </w:t>
            </w:r>
          </w:p>
          <w:p w14:paraId="4B5D77D0" w14:textId="65E169D2" w:rsidR="00B609C3" w:rsidRPr="00CD13C3" w:rsidRDefault="00B609C3" w:rsidP="0079191F">
            <w:pPr>
              <w:pStyle w:val="ListParagraph"/>
              <w:numPr>
                <w:ilvl w:val="0"/>
                <w:numId w:val="30"/>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if JAH B selects the co-approval option and does not consent to the disclosure of the CDR Data, not shared (i.e. the Consumer Data Request is not given effect); and</w:t>
            </w:r>
          </w:p>
          <w:p w14:paraId="62C1D8DA" w14:textId="5E5355DA" w:rsidR="00B609C3" w:rsidRPr="00CD13C3" w:rsidRDefault="00B609C3" w:rsidP="0079191F">
            <w:pPr>
              <w:pStyle w:val="ListParagraph"/>
              <w:numPr>
                <w:ilvl w:val="0"/>
                <w:numId w:val="30"/>
              </w:numPr>
              <w:tabs>
                <w:tab w:val="left" w:pos="1029"/>
              </w:tabs>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if JAH B selects the no disclosure option, not shared (i.e. the Consumer Data Request is not given effect).</w:t>
            </w:r>
          </w:p>
        </w:tc>
      </w:tr>
      <w:tr w:rsidR="00B609C3" w:rsidRPr="00CD13C3" w14:paraId="3052359B" w14:textId="77777777" w:rsidTr="00996D2B">
        <w:tc>
          <w:tcPr>
            <w:tcW w:w="9288" w:type="dxa"/>
          </w:tcPr>
          <w:p w14:paraId="0BEEA936" w14:textId="291C17FD" w:rsidR="00B609C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Not accepted</w:t>
            </w:r>
          </w:p>
          <w:p w14:paraId="6291F042" w14:textId="5BEA77A2" w:rsidR="001850E7" w:rsidRPr="00CD13C3" w:rsidRDefault="00CE6A99"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w:t>
            </w:r>
            <w:r w:rsidR="001850E7" w:rsidRPr="00CD13C3">
              <w:rPr>
                <w:rFonts w:asciiTheme="minorHAnsi" w:hAnsiTheme="minorHAnsi" w:cstheme="minorHAnsi"/>
                <w:sz w:val="22"/>
                <w:szCs w:val="22"/>
              </w:rPr>
              <w:t>he consumer privacy protections provided to joint account holders</w:t>
            </w:r>
            <w:r w:rsidRPr="00CD13C3">
              <w:rPr>
                <w:rFonts w:asciiTheme="minorHAnsi" w:hAnsiTheme="minorHAnsi" w:cstheme="minorHAnsi"/>
                <w:sz w:val="22"/>
                <w:szCs w:val="22"/>
              </w:rPr>
              <w:t xml:space="preserve"> have been considered </w:t>
            </w:r>
            <w:r w:rsidR="00177B25" w:rsidRPr="00CD13C3">
              <w:rPr>
                <w:rFonts w:asciiTheme="minorHAnsi" w:hAnsiTheme="minorHAnsi" w:cstheme="minorHAnsi"/>
                <w:sz w:val="22"/>
                <w:szCs w:val="22"/>
              </w:rPr>
              <w:t>carefully</w:t>
            </w:r>
            <w:r w:rsidR="00177B25">
              <w:rPr>
                <w:rFonts w:asciiTheme="minorHAnsi" w:hAnsiTheme="minorHAnsi" w:cstheme="minorHAnsi"/>
                <w:sz w:val="22"/>
                <w:szCs w:val="22"/>
              </w:rPr>
              <w:t xml:space="preserve"> and</w:t>
            </w:r>
            <w:r w:rsidR="006A7C66">
              <w:rPr>
                <w:rFonts w:asciiTheme="minorHAnsi" w:hAnsiTheme="minorHAnsi" w:cstheme="minorHAnsi"/>
                <w:sz w:val="22"/>
                <w:szCs w:val="22"/>
              </w:rPr>
              <w:t xml:space="preserve"> </w:t>
            </w:r>
            <w:r w:rsidR="00177B25">
              <w:rPr>
                <w:rFonts w:asciiTheme="minorHAnsi" w:hAnsiTheme="minorHAnsi" w:cstheme="minorHAnsi"/>
                <w:sz w:val="22"/>
                <w:szCs w:val="22"/>
              </w:rPr>
              <w:t xml:space="preserve">have been </w:t>
            </w:r>
            <w:r w:rsidR="006A7C66">
              <w:rPr>
                <w:rFonts w:asciiTheme="minorHAnsi" w:hAnsiTheme="minorHAnsi" w:cstheme="minorHAnsi"/>
                <w:sz w:val="22"/>
                <w:szCs w:val="22"/>
              </w:rPr>
              <w:t xml:space="preserve">balanced </w:t>
            </w:r>
            <w:r w:rsidR="002E656C">
              <w:rPr>
                <w:rFonts w:asciiTheme="minorHAnsi" w:hAnsiTheme="minorHAnsi" w:cstheme="minorHAnsi"/>
                <w:sz w:val="22"/>
                <w:szCs w:val="22"/>
              </w:rPr>
              <w:t xml:space="preserve">with </w:t>
            </w:r>
            <w:r w:rsidR="006A7C66">
              <w:rPr>
                <w:rFonts w:asciiTheme="minorHAnsi" w:hAnsiTheme="minorHAnsi" w:cstheme="minorHAnsi"/>
                <w:sz w:val="22"/>
                <w:szCs w:val="22"/>
              </w:rPr>
              <w:t>the other statutory factors that must be considered in relation to the making of the CDR rules</w:t>
            </w:r>
            <w:r w:rsidRPr="00CD13C3">
              <w:rPr>
                <w:rFonts w:asciiTheme="minorHAnsi" w:hAnsiTheme="minorHAnsi" w:cstheme="minorHAnsi"/>
                <w:sz w:val="22"/>
                <w:szCs w:val="22"/>
              </w:rPr>
              <w:t xml:space="preserve">. The single consent model </w:t>
            </w:r>
            <w:r w:rsidR="006A7C66">
              <w:rPr>
                <w:rFonts w:asciiTheme="minorHAnsi" w:hAnsiTheme="minorHAnsi" w:cstheme="minorHAnsi"/>
                <w:sz w:val="22"/>
                <w:szCs w:val="22"/>
              </w:rPr>
              <w:t xml:space="preserve">has privacy-enhancing features compared to data sharing on joint accounts that exists outside of the CDR. The CDR provides a safe and secure means of sharing data </w:t>
            </w:r>
            <w:proofErr w:type="gramStart"/>
            <w:r w:rsidR="006A7C66">
              <w:rPr>
                <w:rFonts w:asciiTheme="minorHAnsi" w:hAnsiTheme="minorHAnsi" w:cstheme="minorHAnsi"/>
                <w:sz w:val="22"/>
                <w:szCs w:val="22"/>
              </w:rPr>
              <w:t>and also</w:t>
            </w:r>
            <w:proofErr w:type="gramEnd"/>
            <w:r w:rsidR="006A7C66">
              <w:rPr>
                <w:rFonts w:asciiTheme="minorHAnsi" w:hAnsiTheme="minorHAnsi" w:cstheme="minorHAnsi"/>
                <w:sz w:val="22"/>
                <w:szCs w:val="22"/>
              </w:rPr>
              <w:t xml:space="preserve"> </w:t>
            </w:r>
            <w:r w:rsidRPr="00CD13C3">
              <w:rPr>
                <w:rFonts w:asciiTheme="minorHAnsi" w:hAnsiTheme="minorHAnsi" w:cstheme="minorHAnsi"/>
                <w:sz w:val="22"/>
                <w:szCs w:val="22"/>
              </w:rPr>
              <w:t>provides consumers with control and visibility over data sharing that do</w:t>
            </w:r>
            <w:r w:rsidR="004C5607">
              <w:rPr>
                <w:rFonts w:asciiTheme="minorHAnsi" w:hAnsiTheme="minorHAnsi" w:cstheme="minorHAnsi"/>
                <w:sz w:val="22"/>
                <w:szCs w:val="22"/>
              </w:rPr>
              <w:t>es</w:t>
            </w:r>
            <w:r w:rsidRPr="00CD13C3">
              <w:rPr>
                <w:rFonts w:asciiTheme="minorHAnsi" w:hAnsiTheme="minorHAnsi" w:cstheme="minorHAnsi"/>
                <w:sz w:val="22"/>
                <w:szCs w:val="22"/>
              </w:rPr>
              <w:t xml:space="preserve"> not exist outside of the CDR. </w:t>
            </w:r>
            <w:proofErr w:type="gramStart"/>
            <w:r w:rsidRPr="00CD13C3">
              <w:rPr>
                <w:rFonts w:asciiTheme="minorHAnsi" w:hAnsiTheme="minorHAnsi" w:cstheme="minorHAnsi"/>
                <w:sz w:val="22"/>
                <w:szCs w:val="22"/>
              </w:rPr>
              <w:t>In particular, data</w:t>
            </w:r>
            <w:proofErr w:type="gramEnd"/>
            <w:r w:rsidRPr="00CD13C3">
              <w:rPr>
                <w:rFonts w:asciiTheme="minorHAnsi" w:hAnsiTheme="minorHAnsi" w:cstheme="minorHAnsi"/>
                <w:sz w:val="22"/>
                <w:szCs w:val="22"/>
              </w:rPr>
              <w:t xml:space="preserve"> holders must provide notifications that ensure all joint account holders are aware of when sharing arrangements commence, are amended or cease.</w:t>
            </w:r>
            <w:r w:rsidR="006A7C66">
              <w:rPr>
                <w:rFonts w:asciiTheme="minorHAnsi" w:hAnsiTheme="minorHAnsi" w:cstheme="minorHAnsi"/>
                <w:sz w:val="22"/>
                <w:szCs w:val="22"/>
              </w:rPr>
              <w:t xml:space="preserve"> </w:t>
            </w:r>
          </w:p>
          <w:p w14:paraId="5DDE32DD" w14:textId="0CDC5D8D" w:rsidR="00B609C3" w:rsidRPr="00CD13C3" w:rsidRDefault="008E7C10"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I</w:t>
            </w:r>
            <w:r w:rsidR="006C5520" w:rsidRPr="00CD13C3">
              <w:rPr>
                <w:rFonts w:asciiTheme="minorHAnsi" w:hAnsiTheme="minorHAnsi" w:cstheme="minorHAnsi"/>
                <w:sz w:val="22"/>
                <w:szCs w:val="22"/>
              </w:rPr>
              <w:t>ntroduc</w:t>
            </w:r>
            <w:r w:rsidRPr="00CD13C3">
              <w:rPr>
                <w:rFonts w:asciiTheme="minorHAnsi" w:hAnsiTheme="minorHAnsi" w:cstheme="minorHAnsi"/>
                <w:sz w:val="22"/>
                <w:szCs w:val="22"/>
              </w:rPr>
              <w:t>ing</w:t>
            </w:r>
            <w:r w:rsidR="006C5520" w:rsidRPr="00CD13C3">
              <w:rPr>
                <w:rFonts w:asciiTheme="minorHAnsi" w:hAnsiTheme="minorHAnsi" w:cstheme="minorHAnsi"/>
                <w:sz w:val="22"/>
                <w:szCs w:val="22"/>
              </w:rPr>
              <w:t xml:space="preserve"> a </w:t>
            </w:r>
            <w:r w:rsidR="001850E7" w:rsidRPr="00CD13C3">
              <w:rPr>
                <w:rFonts w:asciiTheme="minorHAnsi" w:hAnsiTheme="minorHAnsi" w:cstheme="minorHAnsi"/>
                <w:sz w:val="22"/>
                <w:szCs w:val="22"/>
              </w:rPr>
              <w:t xml:space="preserve">delay </w:t>
            </w:r>
            <w:r w:rsidR="006C5520" w:rsidRPr="00CD13C3">
              <w:rPr>
                <w:rFonts w:asciiTheme="minorHAnsi" w:hAnsiTheme="minorHAnsi" w:cstheme="minorHAnsi"/>
                <w:sz w:val="22"/>
                <w:szCs w:val="22"/>
              </w:rPr>
              <w:t xml:space="preserve">in </w:t>
            </w:r>
            <w:r w:rsidR="001850E7" w:rsidRPr="00CD13C3">
              <w:rPr>
                <w:rFonts w:asciiTheme="minorHAnsi" w:hAnsiTheme="minorHAnsi" w:cstheme="minorHAnsi"/>
                <w:sz w:val="22"/>
                <w:szCs w:val="22"/>
              </w:rPr>
              <w:t>data sharing to give time for the other joint account holder(s) to either agree to or disagree to the proposed sharing</w:t>
            </w:r>
            <w:r w:rsidR="00CE6A99" w:rsidRPr="00CD13C3">
              <w:rPr>
                <w:rFonts w:asciiTheme="minorHAnsi" w:hAnsiTheme="minorHAnsi" w:cstheme="minorHAnsi"/>
                <w:sz w:val="22"/>
                <w:szCs w:val="22"/>
              </w:rPr>
              <w:t xml:space="preserve"> would be </w:t>
            </w:r>
            <w:r w:rsidRPr="00CD13C3">
              <w:rPr>
                <w:rFonts w:asciiTheme="minorHAnsi" w:hAnsiTheme="minorHAnsi" w:cstheme="minorHAnsi"/>
                <w:sz w:val="22"/>
                <w:szCs w:val="22"/>
              </w:rPr>
              <w:t>technically complex and</w:t>
            </w:r>
            <w:r w:rsidR="006C5520" w:rsidRPr="00CD13C3">
              <w:rPr>
                <w:rFonts w:asciiTheme="minorHAnsi" w:hAnsiTheme="minorHAnsi" w:cstheme="minorHAnsi"/>
                <w:sz w:val="22"/>
                <w:szCs w:val="22"/>
              </w:rPr>
              <w:t xml:space="preserve"> would </w:t>
            </w:r>
            <w:r w:rsidR="002E656C">
              <w:rPr>
                <w:rFonts w:asciiTheme="minorHAnsi" w:hAnsiTheme="minorHAnsi" w:cstheme="minorHAnsi"/>
                <w:sz w:val="22"/>
                <w:szCs w:val="22"/>
              </w:rPr>
              <w:t>not achieve the intended policy outcome of ensuring that joint account data sharing is</w:t>
            </w:r>
            <w:r w:rsidR="006C5520" w:rsidRPr="00CD13C3">
              <w:rPr>
                <w:rFonts w:asciiTheme="minorHAnsi" w:hAnsiTheme="minorHAnsi" w:cstheme="minorHAnsi"/>
                <w:sz w:val="22"/>
                <w:szCs w:val="22"/>
              </w:rPr>
              <w:t xml:space="preserve"> convenient for consumers</w:t>
            </w:r>
            <w:r w:rsidR="002E656C">
              <w:rPr>
                <w:rFonts w:asciiTheme="minorHAnsi" w:hAnsiTheme="minorHAnsi" w:cstheme="minorHAnsi"/>
                <w:sz w:val="22"/>
                <w:szCs w:val="22"/>
              </w:rPr>
              <w:t xml:space="preserve"> and does not impose undue friction</w:t>
            </w:r>
            <w:r w:rsidR="001850E7" w:rsidRPr="00CD13C3">
              <w:rPr>
                <w:rFonts w:asciiTheme="minorHAnsi" w:hAnsiTheme="minorHAnsi" w:cstheme="minorHAnsi"/>
                <w:sz w:val="22"/>
                <w:szCs w:val="22"/>
              </w:rPr>
              <w:t>.</w:t>
            </w:r>
          </w:p>
        </w:tc>
      </w:tr>
    </w:tbl>
    <w:p w14:paraId="5E61DF39" w14:textId="61B2345E" w:rsidR="00B609C3" w:rsidRPr="00CD13C3" w:rsidRDefault="00B609C3" w:rsidP="0079191F">
      <w:pPr>
        <w:spacing w:line="276" w:lineRule="auto"/>
        <w:rPr>
          <w:rFonts w:asciiTheme="minorHAnsi" w:hAnsiTheme="minorHAnsi" w:cstheme="minorHAnsi"/>
        </w:rPr>
      </w:pPr>
    </w:p>
    <w:p w14:paraId="2DBC88C9" w14:textId="77777777" w:rsidR="00885DEE" w:rsidRDefault="00885DEE">
      <w:r>
        <w:br w:type="page"/>
      </w:r>
    </w:p>
    <w:tbl>
      <w:tblPr>
        <w:tblStyle w:val="TableGrid"/>
        <w:tblW w:w="0" w:type="auto"/>
        <w:tblLook w:val="04A0" w:firstRow="1" w:lastRow="0" w:firstColumn="1" w:lastColumn="0" w:noHBand="0" w:noVBand="1"/>
      </w:tblPr>
      <w:tblGrid>
        <w:gridCol w:w="9288"/>
      </w:tblGrid>
      <w:tr w:rsidR="00B609C3" w:rsidRPr="00CD13C3" w14:paraId="5B486566" w14:textId="77777777" w:rsidTr="00996D2B">
        <w:tc>
          <w:tcPr>
            <w:tcW w:w="9288" w:type="dxa"/>
            <w:tcBorders>
              <w:top w:val="nil"/>
              <w:left w:val="nil"/>
              <w:bottom w:val="single" w:sz="4" w:space="0" w:color="auto"/>
              <w:right w:val="nil"/>
            </w:tcBorders>
          </w:tcPr>
          <w:p w14:paraId="44110061" w14:textId="28D5D0EB" w:rsidR="00B609C3" w:rsidRPr="00CD13C3" w:rsidRDefault="00B609C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lastRenderedPageBreak/>
              <w:t>Maddocks Recommendation 1</w:t>
            </w:r>
            <w:r w:rsidR="00CC20BD" w:rsidRPr="00CD13C3">
              <w:rPr>
                <w:rFonts w:asciiTheme="minorHAnsi" w:hAnsiTheme="minorHAnsi" w:cstheme="minorHAnsi"/>
                <w:b/>
                <w:bCs/>
                <w:sz w:val="22"/>
                <w:szCs w:val="22"/>
              </w:rPr>
              <w:t>5</w:t>
            </w:r>
            <w:r w:rsidRPr="00CD13C3">
              <w:rPr>
                <w:rFonts w:asciiTheme="minorHAnsi" w:hAnsiTheme="minorHAnsi" w:cstheme="minorHAnsi"/>
                <w:b/>
                <w:bCs/>
                <w:sz w:val="22"/>
                <w:szCs w:val="22"/>
              </w:rPr>
              <w:t xml:space="preserve"> - Protecting joint account holders from harm</w:t>
            </w:r>
          </w:p>
        </w:tc>
      </w:tr>
      <w:tr w:rsidR="00B609C3" w:rsidRPr="00CD13C3" w14:paraId="374C39FD" w14:textId="77777777" w:rsidTr="00996D2B">
        <w:tc>
          <w:tcPr>
            <w:tcW w:w="9288" w:type="dxa"/>
            <w:tcBorders>
              <w:top w:val="single" w:sz="4" w:space="0" w:color="auto"/>
            </w:tcBorders>
            <w:shd w:val="clear" w:color="auto" w:fill="D5E1F1" w:themeFill="accent2" w:themeFillTint="33"/>
          </w:tcPr>
          <w:p w14:paraId="381C789F" w14:textId="2F8B7C8F"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consider amending the draft CDR Rules to provide more detail about the standard to which the Data Holder must be satisfied that a joint account holder is at risk of physical, psychological or financial harm or abuse (e.g. an obligation for them to be reasonably satisfied or to reasonably believe this), so that the protection of that joint account holder from harm outweighs the impact on another joint account holder’s right to know how their joint account CDR Data is being shared.</w:t>
            </w:r>
          </w:p>
        </w:tc>
      </w:tr>
      <w:tr w:rsidR="00B609C3" w:rsidRPr="00CD13C3" w14:paraId="17C4582F" w14:textId="77777777" w:rsidTr="00996D2B">
        <w:tc>
          <w:tcPr>
            <w:tcW w:w="9288" w:type="dxa"/>
          </w:tcPr>
          <w:p w14:paraId="02596AAB" w14:textId="2E56EE4F" w:rsidR="00B609C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Not accepted</w:t>
            </w:r>
          </w:p>
          <w:p w14:paraId="3B5DC7BC" w14:textId="476B0203" w:rsidR="005946DA" w:rsidRPr="00CD13C3" w:rsidRDefault="00262DC0"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The rules provide exceptions to the</w:t>
            </w:r>
            <w:r w:rsidRPr="00CD13C3">
              <w:rPr>
                <w:sz w:val="22"/>
                <w:szCs w:val="22"/>
              </w:rPr>
              <w:t xml:space="preserve"> joint account provisions that data holders can rely on where they consider </w:t>
            </w:r>
            <w:r w:rsidR="00BC0AC9">
              <w:rPr>
                <w:sz w:val="22"/>
                <w:szCs w:val="22"/>
              </w:rPr>
              <w:t>it</w:t>
            </w:r>
            <w:r w:rsidRPr="00CD13C3">
              <w:rPr>
                <w:sz w:val="22"/>
                <w:szCs w:val="22"/>
              </w:rPr>
              <w:t xml:space="preserve"> necessary to prevent physical, psychological or financial harm or abuse. </w:t>
            </w:r>
            <w:r w:rsidR="00CD44DA" w:rsidRPr="00CD13C3">
              <w:rPr>
                <w:sz w:val="22"/>
                <w:szCs w:val="22"/>
              </w:rPr>
              <w:t>M</w:t>
            </w:r>
            <w:r w:rsidR="0012581C" w:rsidRPr="00CD13C3">
              <w:rPr>
                <w:sz w:val="22"/>
                <w:szCs w:val="22"/>
              </w:rPr>
              <w:t>aking th</w:t>
            </w:r>
            <w:r w:rsidR="00CD44DA" w:rsidRPr="00CD13C3">
              <w:rPr>
                <w:sz w:val="22"/>
                <w:szCs w:val="22"/>
              </w:rPr>
              <w:t xml:space="preserve">is rule more prescriptive </w:t>
            </w:r>
            <w:r w:rsidR="00273BAC">
              <w:rPr>
                <w:sz w:val="22"/>
                <w:szCs w:val="22"/>
              </w:rPr>
              <w:t>by</w:t>
            </w:r>
            <w:r w:rsidR="00273BAC" w:rsidRPr="00CD13C3">
              <w:rPr>
                <w:sz w:val="22"/>
                <w:szCs w:val="22"/>
              </w:rPr>
              <w:t xml:space="preserve"> </w:t>
            </w:r>
            <w:r w:rsidR="00CD44DA" w:rsidRPr="00CD13C3">
              <w:rPr>
                <w:sz w:val="22"/>
                <w:szCs w:val="22"/>
              </w:rPr>
              <w:t xml:space="preserve">specifying </w:t>
            </w:r>
            <w:r w:rsidR="00273BAC">
              <w:rPr>
                <w:sz w:val="22"/>
                <w:szCs w:val="22"/>
              </w:rPr>
              <w:t>a</w:t>
            </w:r>
            <w:r w:rsidR="00273BAC" w:rsidRPr="00CD13C3">
              <w:rPr>
                <w:sz w:val="22"/>
                <w:szCs w:val="22"/>
              </w:rPr>
              <w:t xml:space="preserve"> </w:t>
            </w:r>
            <w:r w:rsidR="00CD44DA" w:rsidRPr="00CD13C3">
              <w:rPr>
                <w:sz w:val="22"/>
                <w:szCs w:val="22"/>
              </w:rPr>
              <w:t xml:space="preserve">standard to which the Data Holder must be satisfied </w:t>
            </w:r>
            <w:r w:rsidR="00273BAC">
              <w:rPr>
                <w:sz w:val="22"/>
                <w:szCs w:val="22"/>
              </w:rPr>
              <w:t xml:space="preserve">that the joint account holder is at risk </w:t>
            </w:r>
            <w:r w:rsidR="00CD44DA" w:rsidRPr="00CD13C3">
              <w:rPr>
                <w:sz w:val="22"/>
                <w:szCs w:val="22"/>
              </w:rPr>
              <w:t xml:space="preserve">of harm </w:t>
            </w:r>
            <w:r w:rsidR="001D2A48" w:rsidRPr="00CD13C3">
              <w:rPr>
                <w:sz w:val="22"/>
                <w:szCs w:val="22"/>
              </w:rPr>
              <w:t xml:space="preserve">would increase complexity of this provision and </w:t>
            </w:r>
            <w:r w:rsidR="000F48B5" w:rsidRPr="00CD13C3">
              <w:rPr>
                <w:sz w:val="22"/>
                <w:szCs w:val="22"/>
              </w:rPr>
              <w:t xml:space="preserve">consequentially </w:t>
            </w:r>
            <w:r w:rsidR="00CD44DA" w:rsidRPr="00CD13C3">
              <w:rPr>
                <w:sz w:val="22"/>
                <w:szCs w:val="22"/>
              </w:rPr>
              <w:t>risk poorer outcomes for consumers.</w:t>
            </w:r>
          </w:p>
        </w:tc>
      </w:tr>
    </w:tbl>
    <w:p w14:paraId="2E77C6C3" w14:textId="6277C83B" w:rsidR="00B609C3" w:rsidRPr="00CD13C3" w:rsidRDefault="00B609C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B609C3" w:rsidRPr="00CD13C3" w14:paraId="0F5B2F77" w14:textId="77777777" w:rsidTr="00996D2B">
        <w:tc>
          <w:tcPr>
            <w:tcW w:w="9288" w:type="dxa"/>
            <w:tcBorders>
              <w:top w:val="nil"/>
              <w:left w:val="nil"/>
              <w:bottom w:val="single" w:sz="4" w:space="0" w:color="auto"/>
              <w:right w:val="nil"/>
            </w:tcBorders>
          </w:tcPr>
          <w:p w14:paraId="1AE99DE6" w14:textId="48DB7EB8" w:rsidR="00B609C3" w:rsidRPr="00CD13C3" w:rsidRDefault="00B609C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Maddocks Recommendation 1</w:t>
            </w:r>
            <w:r w:rsidR="00CC20BD" w:rsidRPr="00CD13C3">
              <w:rPr>
                <w:rFonts w:asciiTheme="minorHAnsi" w:hAnsiTheme="minorHAnsi" w:cstheme="minorHAnsi"/>
                <w:b/>
                <w:bCs/>
                <w:sz w:val="22"/>
                <w:szCs w:val="22"/>
              </w:rPr>
              <w:t>6</w:t>
            </w:r>
            <w:r w:rsidRPr="00CD13C3">
              <w:rPr>
                <w:rFonts w:asciiTheme="minorHAnsi" w:hAnsiTheme="minorHAnsi" w:cstheme="minorHAnsi"/>
                <w:b/>
                <w:bCs/>
                <w:sz w:val="22"/>
                <w:szCs w:val="22"/>
              </w:rPr>
              <w:t xml:space="preserve"> - Giving effect to elections made through DOMS</w:t>
            </w:r>
          </w:p>
        </w:tc>
      </w:tr>
      <w:tr w:rsidR="00B609C3" w:rsidRPr="00CD13C3" w14:paraId="487E3D7F" w14:textId="77777777" w:rsidTr="00996D2B">
        <w:tc>
          <w:tcPr>
            <w:tcW w:w="9288" w:type="dxa"/>
            <w:tcBorders>
              <w:top w:val="single" w:sz="4" w:space="0" w:color="auto"/>
            </w:tcBorders>
            <w:shd w:val="clear" w:color="auto" w:fill="D5E1F1" w:themeFill="accent2" w:themeFillTint="33"/>
          </w:tcPr>
          <w:p w14:paraId="3415EEFD" w14:textId="158DF97C"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We recommend that Treasury work with the regulators of the CDR regime to ensure that appropriate guidance (including guidance about technical requirements) is provided to Data Holders to ensure that they understand what ‘as soon as practicable’ means in the context of an election made through DOMS (which we consider should be as near real time as is technically possible).</w:t>
            </w:r>
          </w:p>
        </w:tc>
      </w:tr>
      <w:tr w:rsidR="00B609C3" w:rsidRPr="00CD13C3" w14:paraId="1BEA067E" w14:textId="77777777" w:rsidTr="00996D2B">
        <w:tc>
          <w:tcPr>
            <w:tcW w:w="9288" w:type="dxa"/>
          </w:tcPr>
          <w:p w14:paraId="550BDA88" w14:textId="77777777" w:rsidR="00B609C3" w:rsidRDefault="00C06F63" w:rsidP="0079191F">
            <w:pPr>
              <w:spacing w:line="276" w:lineRule="auto"/>
              <w:rPr>
                <w:rFonts w:asciiTheme="minorHAnsi" w:hAnsiTheme="minorHAnsi" w:cstheme="minorHAnsi"/>
                <w:b/>
                <w:bCs/>
                <w:sz w:val="22"/>
                <w:szCs w:val="22"/>
              </w:rPr>
            </w:pPr>
            <w:r w:rsidRPr="00CD13C3">
              <w:rPr>
                <w:rFonts w:asciiTheme="minorHAnsi" w:hAnsiTheme="minorHAnsi" w:cstheme="minorHAnsi"/>
                <w:sz w:val="22"/>
                <w:szCs w:val="22"/>
              </w:rPr>
              <w:t xml:space="preserve">Agency response – </w:t>
            </w:r>
            <w:r w:rsidR="001850E7" w:rsidRPr="00CD13C3">
              <w:rPr>
                <w:rFonts w:asciiTheme="minorHAnsi" w:hAnsiTheme="minorHAnsi" w:cstheme="minorHAnsi"/>
                <w:b/>
                <w:bCs/>
                <w:sz w:val="22"/>
                <w:szCs w:val="22"/>
              </w:rPr>
              <w:t>Noted</w:t>
            </w:r>
          </w:p>
          <w:p w14:paraId="51935328" w14:textId="42CB7C3B" w:rsidR="00E87967" w:rsidRPr="00CD13C3" w:rsidRDefault="00E87967"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Treasury will support the OAIC and the ACCC </w:t>
            </w:r>
            <w:r>
              <w:rPr>
                <w:rFonts w:asciiTheme="minorHAnsi" w:hAnsiTheme="minorHAnsi" w:cstheme="minorHAnsi"/>
                <w:sz w:val="22"/>
                <w:szCs w:val="22"/>
              </w:rPr>
              <w:t>as needed in relation to the preparation of guidance relating to their functions</w:t>
            </w:r>
            <w:r w:rsidRPr="00CD13C3">
              <w:rPr>
                <w:rFonts w:asciiTheme="minorHAnsi" w:hAnsiTheme="minorHAnsi" w:cstheme="minorHAnsi"/>
                <w:sz w:val="22"/>
                <w:szCs w:val="22"/>
              </w:rPr>
              <w:t>.</w:t>
            </w:r>
          </w:p>
        </w:tc>
      </w:tr>
    </w:tbl>
    <w:p w14:paraId="65B2E434" w14:textId="225C90D2" w:rsidR="00B609C3" w:rsidRPr="00CD13C3" w:rsidRDefault="00B609C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B609C3" w:rsidRPr="00CD13C3" w14:paraId="12387733" w14:textId="77777777" w:rsidTr="00996D2B">
        <w:tc>
          <w:tcPr>
            <w:tcW w:w="9288" w:type="dxa"/>
            <w:tcBorders>
              <w:top w:val="nil"/>
              <w:left w:val="nil"/>
              <w:bottom w:val="single" w:sz="4" w:space="0" w:color="auto"/>
              <w:right w:val="nil"/>
            </w:tcBorders>
          </w:tcPr>
          <w:p w14:paraId="1C0BF811" w14:textId="1525091E" w:rsidR="00B609C3" w:rsidRPr="00CD13C3" w:rsidRDefault="00B609C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Maddocks Recommendation 1</w:t>
            </w:r>
            <w:r w:rsidR="00CC20BD" w:rsidRPr="00CD13C3">
              <w:rPr>
                <w:rFonts w:asciiTheme="minorHAnsi" w:hAnsiTheme="minorHAnsi" w:cstheme="minorHAnsi"/>
                <w:b/>
                <w:bCs/>
                <w:sz w:val="22"/>
                <w:szCs w:val="22"/>
              </w:rPr>
              <w:t>7</w:t>
            </w:r>
            <w:r w:rsidRPr="00CD13C3">
              <w:rPr>
                <w:rFonts w:asciiTheme="minorHAnsi" w:hAnsiTheme="minorHAnsi" w:cstheme="minorHAnsi"/>
                <w:b/>
                <w:bCs/>
                <w:sz w:val="22"/>
                <w:szCs w:val="22"/>
              </w:rPr>
              <w:t xml:space="preserve"> - Ensuring CDR Consumers who are joint account holders are aware of the default pre-approval setting</w:t>
            </w:r>
          </w:p>
        </w:tc>
      </w:tr>
      <w:tr w:rsidR="00B609C3" w:rsidRPr="00CD13C3" w14:paraId="416E4895" w14:textId="77777777" w:rsidTr="00996D2B">
        <w:tc>
          <w:tcPr>
            <w:tcW w:w="9288" w:type="dxa"/>
            <w:tcBorders>
              <w:top w:val="single" w:sz="4" w:space="0" w:color="auto"/>
            </w:tcBorders>
            <w:shd w:val="clear" w:color="auto" w:fill="D5E1F1" w:themeFill="accent2" w:themeFillTint="33"/>
          </w:tcPr>
          <w:p w14:paraId="1FCB71DB"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if Treasury implements the proposed amendments to the CDR Rules, Treasury ensure that all CDR Consumers are made aware, prior to the commencement of the amended CDR Rules, of the change to the default disclosure option setting. For example, a broad education campaign could be a mechanism to:  </w:t>
            </w:r>
          </w:p>
          <w:p w14:paraId="34A0B364" w14:textId="1EBC41C4"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advise joint account holders of the default data setting for data sharing on joint accounts being set to ‘pre-approval’; </w:t>
            </w:r>
          </w:p>
          <w:p w14:paraId="178CE036" w14:textId="57265E04"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inform joint account holders about what options are available in relation to joint accounts;</w:t>
            </w:r>
          </w:p>
          <w:p w14:paraId="29C9E637" w14:textId="5378428D"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explain the effect of each disclosure option and how it operates;</w:t>
            </w:r>
          </w:p>
          <w:p w14:paraId="41919CFA" w14:textId="1361A662"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inform joint account holders about how they can change the default sharing setting on their joint accounts. </w:t>
            </w:r>
          </w:p>
          <w:p w14:paraId="2691C639" w14:textId="39B2ED19"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Additionally, we recommend that Treasury implement the above a reasonable amount of time before the default disclosure option is implemented. This will give joint account holders the opportunity to consider the impact of the various disclosure options and make an informed choice.</w:t>
            </w:r>
          </w:p>
        </w:tc>
      </w:tr>
      <w:tr w:rsidR="00B609C3" w:rsidRPr="00CD13C3" w14:paraId="6F0189CC" w14:textId="77777777" w:rsidTr="00996D2B">
        <w:tc>
          <w:tcPr>
            <w:tcW w:w="9288" w:type="dxa"/>
          </w:tcPr>
          <w:p w14:paraId="639625C7" w14:textId="48E67427" w:rsidR="00177B25" w:rsidRPr="00CD13C3" w:rsidRDefault="00C06F63" w:rsidP="008A0BD3">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 xml:space="preserve">Agency response – </w:t>
            </w:r>
            <w:r w:rsidR="00CA4D67" w:rsidRPr="00CD13C3">
              <w:rPr>
                <w:rFonts w:asciiTheme="minorHAnsi" w:hAnsiTheme="minorHAnsi" w:cstheme="minorHAnsi"/>
                <w:b/>
                <w:bCs/>
                <w:sz w:val="22"/>
                <w:szCs w:val="22"/>
              </w:rPr>
              <w:t>Not</w:t>
            </w:r>
            <w:r w:rsidR="008A0BD3">
              <w:rPr>
                <w:rFonts w:asciiTheme="minorHAnsi" w:hAnsiTheme="minorHAnsi" w:cstheme="minorHAnsi"/>
                <w:b/>
                <w:bCs/>
                <w:sz w:val="22"/>
                <w:szCs w:val="22"/>
              </w:rPr>
              <w:t xml:space="preserve"> </w:t>
            </w:r>
            <w:r w:rsidR="00177B25">
              <w:rPr>
                <w:rFonts w:asciiTheme="minorHAnsi" w:hAnsiTheme="minorHAnsi" w:cstheme="minorHAnsi"/>
                <w:b/>
                <w:bCs/>
                <w:sz w:val="22"/>
                <w:szCs w:val="22"/>
              </w:rPr>
              <w:t>a</w:t>
            </w:r>
            <w:r w:rsidR="008A0BD3">
              <w:rPr>
                <w:rFonts w:asciiTheme="minorHAnsi" w:hAnsiTheme="minorHAnsi" w:cstheme="minorHAnsi"/>
                <w:b/>
                <w:bCs/>
                <w:sz w:val="22"/>
                <w:szCs w:val="22"/>
              </w:rPr>
              <w:t>ccepted</w:t>
            </w:r>
          </w:p>
          <w:p w14:paraId="33B62DA3" w14:textId="53F17D24" w:rsidR="00BB2EEB" w:rsidRPr="00CD13C3" w:rsidRDefault="008A0BD3" w:rsidP="0079191F">
            <w:pPr>
              <w:spacing w:line="276" w:lineRule="auto"/>
              <w:rPr>
                <w:rFonts w:asciiTheme="minorHAnsi" w:hAnsiTheme="minorHAnsi" w:cstheme="minorHAnsi"/>
                <w:sz w:val="22"/>
                <w:szCs w:val="22"/>
              </w:rPr>
            </w:pPr>
            <w:r>
              <w:rPr>
                <w:rFonts w:asciiTheme="minorHAnsi" w:hAnsiTheme="minorHAnsi" w:cstheme="minorHAnsi"/>
                <w:sz w:val="22"/>
                <w:szCs w:val="22"/>
              </w:rPr>
              <w:t xml:space="preserve">Following consultation </w:t>
            </w:r>
            <w:r w:rsidR="00BB2EEB" w:rsidRPr="00CD13C3">
              <w:rPr>
                <w:rFonts w:asciiTheme="minorHAnsi" w:hAnsiTheme="minorHAnsi" w:cstheme="minorHAnsi"/>
                <w:sz w:val="22"/>
                <w:szCs w:val="22"/>
              </w:rPr>
              <w:t xml:space="preserve">Treasury </w:t>
            </w:r>
            <w:r>
              <w:rPr>
                <w:rFonts w:asciiTheme="minorHAnsi" w:hAnsiTheme="minorHAnsi" w:cstheme="minorHAnsi"/>
                <w:sz w:val="22"/>
                <w:szCs w:val="22"/>
              </w:rPr>
              <w:t>considers that a specific consumer awareness campaign in advance of the single consent model commencing in CDR would create undue confusion for consumers having regard to the nature of data sharing that currently occurs in relation to joint accounts now outside of the CDR and</w:t>
            </w:r>
            <w:r w:rsidR="008A1F44">
              <w:rPr>
                <w:rFonts w:asciiTheme="minorHAnsi" w:hAnsiTheme="minorHAnsi" w:cstheme="minorHAnsi"/>
                <w:sz w:val="22"/>
                <w:szCs w:val="22"/>
              </w:rPr>
              <w:t xml:space="preserve"> because it would occur without the context of a consumer commencing a CDR data sharing process.</w:t>
            </w:r>
            <w:r>
              <w:rPr>
                <w:rFonts w:asciiTheme="minorHAnsi" w:hAnsiTheme="minorHAnsi" w:cstheme="minorHAnsi"/>
                <w:sz w:val="22"/>
                <w:szCs w:val="22"/>
              </w:rPr>
              <w:t xml:space="preserve">  </w:t>
            </w:r>
          </w:p>
        </w:tc>
      </w:tr>
    </w:tbl>
    <w:p w14:paraId="092CF051" w14:textId="2910512B" w:rsidR="00B609C3" w:rsidRPr="00CD13C3" w:rsidRDefault="00B609C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B609C3" w:rsidRPr="00CD13C3" w14:paraId="5FDAF342" w14:textId="77777777" w:rsidTr="00996D2B">
        <w:tc>
          <w:tcPr>
            <w:tcW w:w="9288" w:type="dxa"/>
            <w:tcBorders>
              <w:top w:val="nil"/>
              <w:left w:val="nil"/>
              <w:bottom w:val="single" w:sz="4" w:space="0" w:color="auto"/>
              <w:right w:val="nil"/>
            </w:tcBorders>
          </w:tcPr>
          <w:p w14:paraId="2F941AF5" w14:textId="67647D3A" w:rsidR="00B609C3" w:rsidRPr="00CD13C3" w:rsidRDefault="00B609C3"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Maddocks Recommendation 1</w:t>
            </w:r>
            <w:r w:rsidR="00CC20BD" w:rsidRPr="00CD13C3">
              <w:rPr>
                <w:rFonts w:asciiTheme="minorHAnsi" w:hAnsiTheme="minorHAnsi" w:cstheme="minorHAnsi"/>
                <w:b/>
                <w:bCs/>
                <w:sz w:val="22"/>
                <w:szCs w:val="22"/>
              </w:rPr>
              <w:t>8</w:t>
            </w:r>
            <w:r w:rsidRPr="00CD13C3">
              <w:rPr>
                <w:rFonts w:asciiTheme="minorHAnsi" w:hAnsiTheme="minorHAnsi" w:cstheme="minorHAnsi"/>
                <w:b/>
                <w:bCs/>
                <w:sz w:val="22"/>
                <w:szCs w:val="22"/>
              </w:rPr>
              <w:t xml:space="preserve"> - Notifications for joint account holders</w:t>
            </w:r>
          </w:p>
        </w:tc>
      </w:tr>
      <w:tr w:rsidR="00B609C3" w:rsidRPr="00CD13C3" w14:paraId="172DFF6B" w14:textId="77777777" w:rsidTr="00996D2B">
        <w:tc>
          <w:tcPr>
            <w:tcW w:w="9288" w:type="dxa"/>
            <w:tcBorders>
              <w:top w:val="single" w:sz="4" w:space="0" w:color="auto"/>
            </w:tcBorders>
            <w:shd w:val="clear" w:color="auto" w:fill="D5E1F1" w:themeFill="accent2" w:themeFillTint="33"/>
          </w:tcPr>
          <w:p w14:paraId="0A9D829D" w14:textId="77777777" w:rsidR="00B609C3" w:rsidRPr="00CD13C3" w:rsidRDefault="00B609C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Treasury consider whether it would be appropriate to: </w:t>
            </w:r>
          </w:p>
          <w:p w14:paraId="32666275" w14:textId="77777777" w:rsidR="00A9276B"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 xml:space="preserve">ensure that CDR Consumers who are joint account holders are provided with appropriate guidance about what type of notifications they can disable, and the impacts of disabling those notifications; and </w:t>
            </w:r>
          </w:p>
          <w:p w14:paraId="53344453" w14:textId="3DDF1646" w:rsidR="00B609C3" w:rsidRPr="00CD13C3" w:rsidRDefault="00B609C3" w:rsidP="0079191F">
            <w:pPr>
              <w:pStyle w:val="ListParagraph"/>
              <w:numPr>
                <w:ilvl w:val="0"/>
                <w:numId w:val="29"/>
              </w:numPr>
              <w:spacing w:after="220" w:line="276" w:lineRule="auto"/>
              <w:rPr>
                <w:rFonts w:asciiTheme="minorHAnsi" w:hAnsiTheme="minorHAnsi" w:cstheme="minorHAnsi"/>
                <w:sz w:val="22"/>
                <w:szCs w:val="22"/>
              </w:rPr>
            </w:pPr>
            <w:r w:rsidRPr="00CD13C3">
              <w:rPr>
                <w:rFonts w:asciiTheme="minorHAnsi" w:hAnsiTheme="minorHAnsi" w:cstheme="minorHAnsi"/>
                <w:sz w:val="22"/>
                <w:szCs w:val="22"/>
              </w:rPr>
              <w:t>regularly remind joint account holders if they have disabled notifications, such that they are prompted to consider whether they should re-enable the notifications.</w:t>
            </w:r>
          </w:p>
        </w:tc>
      </w:tr>
      <w:tr w:rsidR="00B609C3" w:rsidRPr="00CD13C3" w14:paraId="3785956A" w14:textId="77777777" w:rsidTr="00996D2B">
        <w:tc>
          <w:tcPr>
            <w:tcW w:w="9288" w:type="dxa"/>
          </w:tcPr>
          <w:p w14:paraId="5AAC687D" w14:textId="16A23686" w:rsidR="00B609C3"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Agency response – </w:t>
            </w:r>
            <w:r w:rsidR="00D30BB5" w:rsidRPr="00CD13C3">
              <w:rPr>
                <w:rFonts w:asciiTheme="minorHAnsi" w:hAnsiTheme="minorHAnsi" w:cstheme="minorHAnsi"/>
                <w:b/>
                <w:bCs/>
                <w:sz w:val="22"/>
                <w:szCs w:val="22"/>
              </w:rPr>
              <w:t>Accepted in part</w:t>
            </w:r>
          </w:p>
          <w:p w14:paraId="3A6F7068" w14:textId="527421C1" w:rsidR="00E67E12" w:rsidRPr="00CD13C3" w:rsidRDefault="002626E9"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w:t>
            </w:r>
            <w:r w:rsidR="009B0DFC" w:rsidRPr="00CD13C3">
              <w:rPr>
                <w:rFonts w:asciiTheme="minorHAnsi" w:hAnsiTheme="minorHAnsi" w:cstheme="minorHAnsi"/>
                <w:sz w:val="22"/>
                <w:szCs w:val="22"/>
              </w:rPr>
              <w:t xml:space="preserve">he rules enable data standards to be developed </w:t>
            </w:r>
            <w:r w:rsidRPr="00CD13C3">
              <w:rPr>
                <w:rFonts w:asciiTheme="minorHAnsi" w:hAnsiTheme="minorHAnsi" w:cstheme="minorHAnsi"/>
                <w:sz w:val="22"/>
                <w:szCs w:val="22"/>
              </w:rPr>
              <w:t>about</w:t>
            </w:r>
            <w:r w:rsidR="009B0DFC" w:rsidRPr="00CD13C3">
              <w:rPr>
                <w:rFonts w:asciiTheme="minorHAnsi" w:hAnsiTheme="minorHAnsi" w:cstheme="minorHAnsi"/>
                <w:sz w:val="22"/>
                <w:szCs w:val="22"/>
              </w:rPr>
              <w:t xml:space="preserve"> how data holders must present information to consumers about managing their notification preferences. </w:t>
            </w:r>
            <w:r w:rsidR="00E67E12" w:rsidRPr="00CD13C3">
              <w:rPr>
                <w:rFonts w:asciiTheme="minorHAnsi" w:hAnsiTheme="minorHAnsi" w:cstheme="minorHAnsi"/>
                <w:sz w:val="22"/>
                <w:szCs w:val="22"/>
              </w:rPr>
              <w:t xml:space="preserve">The rules also require data holders to allow consumers to reverse any </w:t>
            </w:r>
            <w:r w:rsidR="0014335F" w:rsidRPr="00CD13C3">
              <w:rPr>
                <w:rFonts w:asciiTheme="minorHAnsi" w:hAnsiTheme="minorHAnsi" w:cstheme="minorHAnsi"/>
                <w:sz w:val="22"/>
                <w:szCs w:val="22"/>
              </w:rPr>
              <w:t xml:space="preserve">decision relating to their notification preferences. </w:t>
            </w:r>
          </w:p>
          <w:p w14:paraId="23315B3A" w14:textId="7F808DC5" w:rsidR="00B609C3" w:rsidRPr="00CD13C3" w:rsidRDefault="002626E9"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With respect to including requirements to </w:t>
            </w:r>
            <w:r w:rsidR="009B0DFC" w:rsidRPr="00CD13C3">
              <w:rPr>
                <w:rFonts w:asciiTheme="minorHAnsi" w:hAnsiTheme="minorHAnsi" w:cstheme="minorHAnsi"/>
                <w:sz w:val="22"/>
                <w:szCs w:val="22"/>
              </w:rPr>
              <w:t>regularly remind consumers about disabled notifications and prompting consumers to reconsider their decision</w:t>
            </w:r>
            <w:r w:rsidRPr="00CD13C3">
              <w:rPr>
                <w:rFonts w:asciiTheme="minorHAnsi" w:hAnsiTheme="minorHAnsi" w:cstheme="minorHAnsi"/>
                <w:sz w:val="22"/>
                <w:szCs w:val="22"/>
              </w:rPr>
              <w:t>, this is likely to</w:t>
            </w:r>
            <w:r w:rsidR="009B0DFC" w:rsidRPr="00CD13C3">
              <w:rPr>
                <w:rFonts w:asciiTheme="minorHAnsi" w:hAnsiTheme="minorHAnsi" w:cstheme="minorHAnsi"/>
                <w:sz w:val="22"/>
                <w:szCs w:val="22"/>
              </w:rPr>
              <w:t xml:space="preserve"> undermine consumer</w:t>
            </w:r>
            <w:r w:rsidR="00816BB7">
              <w:rPr>
                <w:rFonts w:asciiTheme="minorHAnsi" w:hAnsiTheme="minorHAnsi" w:cstheme="minorHAnsi"/>
                <w:sz w:val="22"/>
                <w:szCs w:val="22"/>
              </w:rPr>
              <w:t>s’</w:t>
            </w:r>
            <w:r w:rsidR="009B0DFC" w:rsidRPr="00CD13C3">
              <w:rPr>
                <w:rFonts w:asciiTheme="minorHAnsi" w:hAnsiTheme="minorHAnsi" w:cstheme="minorHAnsi"/>
                <w:sz w:val="22"/>
                <w:szCs w:val="22"/>
              </w:rPr>
              <w:t xml:space="preserve"> </w:t>
            </w:r>
            <w:r w:rsidRPr="00CD13C3">
              <w:rPr>
                <w:rFonts w:asciiTheme="minorHAnsi" w:hAnsiTheme="minorHAnsi" w:cstheme="minorHAnsi"/>
                <w:sz w:val="22"/>
                <w:szCs w:val="22"/>
              </w:rPr>
              <w:t>preference to receive fewer</w:t>
            </w:r>
            <w:r w:rsidR="009B0DFC" w:rsidRPr="00CD13C3">
              <w:rPr>
                <w:rFonts w:asciiTheme="minorHAnsi" w:hAnsiTheme="minorHAnsi" w:cstheme="minorHAnsi"/>
                <w:sz w:val="22"/>
                <w:szCs w:val="22"/>
              </w:rPr>
              <w:t xml:space="preserve"> </w:t>
            </w:r>
            <w:proofErr w:type="gramStart"/>
            <w:r w:rsidR="009B0DFC" w:rsidRPr="00CD13C3">
              <w:rPr>
                <w:rFonts w:asciiTheme="minorHAnsi" w:hAnsiTheme="minorHAnsi" w:cstheme="minorHAnsi"/>
                <w:sz w:val="22"/>
                <w:szCs w:val="22"/>
              </w:rPr>
              <w:t xml:space="preserve">notifications, </w:t>
            </w:r>
            <w:r w:rsidRPr="00CD13C3">
              <w:rPr>
                <w:rFonts w:asciiTheme="minorHAnsi" w:hAnsiTheme="minorHAnsi" w:cstheme="minorHAnsi"/>
                <w:sz w:val="22"/>
                <w:szCs w:val="22"/>
              </w:rPr>
              <w:t>and</w:t>
            </w:r>
            <w:proofErr w:type="gramEnd"/>
            <w:r w:rsidRPr="00CD13C3">
              <w:rPr>
                <w:rFonts w:asciiTheme="minorHAnsi" w:hAnsiTheme="minorHAnsi" w:cstheme="minorHAnsi"/>
                <w:sz w:val="22"/>
                <w:szCs w:val="22"/>
              </w:rPr>
              <w:t xml:space="preserve"> may contribute to</w:t>
            </w:r>
            <w:r w:rsidR="009B0DFC" w:rsidRPr="00CD13C3">
              <w:rPr>
                <w:rFonts w:asciiTheme="minorHAnsi" w:hAnsiTheme="minorHAnsi" w:cstheme="minorHAnsi"/>
                <w:sz w:val="22"/>
                <w:szCs w:val="22"/>
              </w:rPr>
              <w:t xml:space="preserve"> </w:t>
            </w:r>
            <w:r w:rsidRPr="00CD13C3">
              <w:rPr>
                <w:rFonts w:asciiTheme="minorHAnsi" w:hAnsiTheme="minorHAnsi" w:cstheme="minorHAnsi"/>
                <w:sz w:val="22"/>
                <w:szCs w:val="22"/>
              </w:rPr>
              <w:t>‘</w:t>
            </w:r>
            <w:r w:rsidR="009B0DFC" w:rsidRPr="00CD13C3">
              <w:rPr>
                <w:rFonts w:asciiTheme="minorHAnsi" w:hAnsiTheme="minorHAnsi" w:cstheme="minorHAnsi"/>
                <w:sz w:val="22"/>
                <w:szCs w:val="22"/>
              </w:rPr>
              <w:t>notification fatigue</w:t>
            </w:r>
            <w:r w:rsidRPr="00CD13C3">
              <w:rPr>
                <w:rFonts w:asciiTheme="minorHAnsi" w:hAnsiTheme="minorHAnsi" w:cstheme="minorHAnsi"/>
                <w:sz w:val="22"/>
                <w:szCs w:val="22"/>
              </w:rPr>
              <w:t>’</w:t>
            </w:r>
            <w:r w:rsidR="009B0DFC" w:rsidRPr="00CD13C3">
              <w:rPr>
                <w:rFonts w:asciiTheme="minorHAnsi" w:hAnsiTheme="minorHAnsi" w:cstheme="minorHAnsi"/>
                <w:sz w:val="22"/>
                <w:szCs w:val="22"/>
              </w:rPr>
              <w:t>.</w:t>
            </w:r>
          </w:p>
        </w:tc>
      </w:tr>
    </w:tbl>
    <w:p w14:paraId="7E7A296C" w14:textId="6E655254" w:rsidR="00B609C3" w:rsidRPr="00CD13C3" w:rsidRDefault="00B609C3" w:rsidP="0079191F">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288"/>
      </w:tblGrid>
      <w:tr w:rsidR="00001150" w:rsidRPr="00CD13C3" w14:paraId="0E52C159" w14:textId="77777777" w:rsidTr="00996D2B">
        <w:tc>
          <w:tcPr>
            <w:tcW w:w="9288" w:type="dxa"/>
            <w:tcBorders>
              <w:top w:val="nil"/>
              <w:left w:val="nil"/>
              <w:bottom w:val="single" w:sz="4" w:space="0" w:color="auto"/>
              <w:right w:val="nil"/>
            </w:tcBorders>
          </w:tcPr>
          <w:p w14:paraId="63DF732F" w14:textId="068697E4" w:rsidR="00001150" w:rsidRPr="00CD13C3" w:rsidRDefault="00001150" w:rsidP="0079191F">
            <w:pPr>
              <w:spacing w:line="276" w:lineRule="auto"/>
              <w:rPr>
                <w:rFonts w:asciiTheme="minorHAnsi" w:hAnsiTheme="minorHAnsi" w:cstheme="minorHAnsi"/>
                <w:b/>
                <w:bCs/>
                <w:sz w:val="22"/>
                <w:szCs w:val="22"/>
              </w:rPr>
            </w:pPr>
            <w:r w:rsidRPr="00CD13C3">
              <w:rPr>
                <w:rFonts w:asciiTheme="minorHAnsi" w:hAnsiTheme="minorHAnsi" w:cstheme="minorHAnsi"/>
                <w:b/>
                <w:bCs/>
                <w:sz w:val="22"/>
                <w:szCs w:val="22"/>
              </w:rPr>
              <w:t xml:space="preserve">Maddocks Recommendation </w:t>
            </w:r>
            <w:r w:rsidR="00CC20BD" w:rsidRPr="00CD13C3">
              <w:rPr>
                <w:rFonts w:asciiTheme="minorHAnsi" w:hAnsiTheme="minorHAnsi" w:cstheme="minorHAnsi"/>
                <w:b/>
                <w:bCs/>
                <w:sz w:val="22"/>
                <w:szCs w:val="22"/>
              </w:rPr>
              <w:t>19</w:t>
            </w:r>
            <w:r w:rsidRPr="00CD13C3">
              <w:rPr>
                <w:rFonts w:asciiTheme="minorHAnsi" w:hAnsiTheme="minorHAnsi" w:cstheme="minorHAnsi"/>
                <w:b/>
                <w:bCs/>
                <w:sz w:val="22"/>
                <w:szCs w:val="22"/>
              </w:rPr>
              <w:t xml:space="preserve"> - Application of the joint account CDR Rules to other designated Sectors  </w:t>
            </w:r>
          </w:p>
        </w:tc>
      </w:tr>
      <w:tr w:rsidR="00001150" w:rsidRPr="00CD13C3" w14:paraId="7B6FB3E0" w14:textId="77777777" w:rsidTr="00996D2B">
        <w:tc>
          <w:tcPr>
            <w:tcW w:w="9288" w:type="dxa"/>
            <w:tcBorders>
              <w:top w:val="single" w:sz="4" w:space="0" w:color="auto"/>
            </w:tcBorders>
            <w:shd w:val="clear" w:color="auto" w:fill="D5E1F1" w:themeFill="accent2" w:themeFillTint="33"/>
          </w:tcPr>
          <w:p w14:paraId="40764949" w14:textId="1100BCC2" w:rsidR="00001150" w:rsidRPr="00CD13C3" w:rsidRDefault="00001150"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We recommend that, because the privacy risks and issues for joint account holders may be very different for different Sectors, the privacy implications of joint accounts for any new Sector(s) are considered by Treasury for each current and new Sector, including whether it is necessary to adjust the application of the general joint account CDR Rules for a new sector through a Sector-specific schedule. </w:t>
            </w:r>
          </w:p>
          <w:p w14:paraId="5EEE6A45" w14:textId="14E65E0C" w:rsidR="00001150" w:rsidRPr="00CD13C3" w:rsidRDefault="00001150"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 xml:space="preserve">(For example, if all Data Holders in a Sector are not likely to already have mature processes in place to consider the likelihood that a joint account holder may suffer physical, psychological or financial </w:t>
            </w:r>
            <w:r w:rsidRPr="00CD13C3">
              <w:rPr>
                <w:rFonts w:asciiTheme="minorHAnsi" w:hAnsiTheme="minorHAnsi" w:cstheme="minorHAnsi"/>
                <w:sz w:val="22"/>
                <w:szCs w:val="22"/>
              </w:rPr>
              <w:lastRenderedPageBreak/>
              <w:t>harm or abuse, Treasury should consider whether proposed Rule 4.15A should be further supplemented by way of a Sector-specific Schedule).</w:t>
            </w:r>
          </w:p>
        </w:tc>
      </w:tr>
      <w:tr w:rsidR="00001150" w:rsidRPr="00CD13C3" w14:paraId="033BECA4" w14:textId="77777777" w:rsidTr="00996D2B">
        <w:tc>
          <w:tcPr>
            <w:tcW w:w="9288" w:type="dxa"/>
          </w:tcPr>
          <w:p w14:paraId="07549E47" w14:textId="20378098" w:rsidR="00001150" w:rsidRPr="00CD13C3" w:rsidRDefault="00C06F63"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lastRenderedPageBreak/>
              <w:t xml:space="preserve">Agency response – </w:t>
            </w:r>
            <w:r w:rsidR="0014335F" w:rsidRPr="00CD13C3">
              <w:rPr>
                <w:rFonts w:asciiTheme="minorHAnsi" w:hAnsiTheme="minorHAnsi" w:cstheme="minorHAnsi"/>
                <w:b/>
                <w:bCs/>
                <w:sz w:val="22"/>
                <w:szCs w:val="22"/>
              </w:rPr>
              <w:t>Noted</w:t>
            </w:r>
          </w:p>
          <w:p w14:paraId="5448ADAF" w14:textId="78E42E04" w:rsidR="00001150" w:rsidRPr="00CD13C3" w:rsidRDefault="00225771" w:rsidP="0079191F">
            <w:pPr>
              <w:spacing w:line="276" w:lineRule="auto"/>
              <w:rPr>
                <w:rFonts w:asciiTheme="minorHAnsi" w:hAnsiTheme="minorHAnsi" w:cstheme="minorHAnsi"/>
                <w:sz w:val="22"/>
                <w:szCs w:val="22"/>
              </w:rPr>
            </w:pPr>
            <w:r w:rsidRPr="00CD13C3">
              <w:rPr>
                <w:rFonts w:asciiTheme="minorHAnsi" w:hAnsiTheme="minorHAnsi" w:cstheme="minorHAnsi"/>
                <w:sz w:val="22"/>
                <w:szCs w:val="22"/>
              </w:rPr>
              <w:t>The amended rules allow for sector-specific rules to be made in relation to joint accounts.</w:t>
            </w:r>
          </w:p>
        </w:tc>
      </w:tr>
    </w:tbl>
    <w:p w14:paraId="6CD28905" w14:textId="77777777" w:rsidR="00001150" w:rsidRPr="00CD13C3" w:rsidRDefault="00001150" w:rsidP="00DA78E4">
      <w:pPr>
        <w:spacing w:line="276" w:lineRule="auto"/>
        <w:rPr>
          <w:rFonts w:asciiTheme="minorHAnsi" w:hAnsiTheme="minorHAnsi" w:cstheme="minorHAnsi"/>
        </w:rPr>
      </w:pPr>
    </w:p>
    <w:sectPr w:rsidR="00001150" w:rsidRPr="00CD13C3" w:rsidSect="008C0793">
      <w:headerReference w:type="even" r:id="rId26"/>
      <w:headerReference w:type="default" r:id="rId27"/>
      <w:headerReference w:type="first" r:id="rId28"/>
      <w:footerReference w:type="first" r:id="rId29"/>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BAD47" w14:textId="77777777" w:rsidR="006F04E1" w:rsidRDefault="006F04E1" w:rsidP="005F100C">
      <w:pPr>
        <w:spacing w:after="0"/>
      </w:pPr>
      <w:r>
        <w:separator/>
      </w:r>
    </w:p>
  </w:endnote>
  <w:endnote w:type="continuationSeparator" w:id="0">
    <w:p w14:paraId="7F2EE04B" w14:textId="77777777" w:rsidR="006F04E1" w:rsidRDefault="006F04E1" w:rsidP="005F100C">
      <w:pPr>
        <w:spacing w:after="0"/>
      </w:pPr>
      <w:r>
        <w:continuationSeparator/>
      </w:r>
    </w:p>
  </w:endnote>
  <w:endnote w:type="continuationNotice" w:id="1">
    <w:p w14:paraId="21594B6C" w14:textId="77777777" w:rsidR="006F04E1" w:rsidRDefault="006F0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60A9" w14:textId="77777777" w:rsidR="006F04E1" w:rsidRDefault="006F04E1"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B21DF" w14:textId="77777777" w:rsidR="006F04E1" w:rsidRDefault="006F04E1"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DA23" w14:textId="77777777" w:rsidR="006F04E1" w:rsidRPr="00096C34" w:rsidRDefault="006F04E1" w:rsidP="00096C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95784" w14:textId="77777777" w:rsidR="006F04E1" w:rsidRDefault="006F04E1"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3</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F514B" w14:textId="77777777" w:rsidR="006F04E1" w:rsidRDefault="006F04E1" w:rsidP="005F100C">
      <w:pPr>
        <w:spacing w:after="0"/>
      </w:pPr>
      <w:r>
        <w:separator/>
      </w:r>
    </w:p>
  </w:footnote>
  <w:footnote w:type="continuationSeparator" w:id="0">
    <w:p w14:paraId="7DAC0971" w14:textId="77777777" w:rsidR="006F04E1" w:rsidRDefault="006F04E1" w:rsidP="005F100C">
      <w:pPr>
        <w:spacing w:after="0"/>
      </w:pPr>
      <w:r>
        <w:continuationSeparator/>
      </w:r>
    </w:p>
  </w:footnote>
  <w:footnote w:type="continuationNotice" w:id="1">
    <w:p w14:paraId="49BE6F17" w14:textId="77777777" w:rsidR="006F04E1" w:rsidRDefault="006F04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581E" w14:textId="46F14056" w:rsidR="006F04E1" w:rsidRPr="00F012EA" w:rsidRDefault="006F04E1" w:rsidP="00F012EA">
    <w:pPr>
      <w:pStyle w:val="Header"/>
    </w:pPr>
    <w:r>
      <w:rPr>
        <w:noProof/>
        <w:lang w:eastAsia="zh-CN"/>
      </w:rPr>
      <w:drawing>
        <wp:anchor distT="0" distB="0" distL="114300" distR="114300" simplePos="0" relativeHeight="251658240" behindDoc="1" locked="0" layoutInCell="1" allowOverlap="1" wp14:anchorId="141C7FE9" wp14:editId="2463CF5C">
          <wp:simplePos x="0" y="0"/>
          <wp:positionH relativeFrom="page">
            <wp:posOffset>182880</wp:posOffset>
          </wp:positionH>
          <wp:positionV relativeFrom="page">
            <wp:posOffset>434340</wp:posOffset>
          </wp:positionV>
          <wp:extent cx="7198995" cy="9921240"/>
          <wp:effectExtent l="0" t="0" r="190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_TPaper.jpg"/>
                  <pic:cNvPicPr/>
                </pic:nvPicPr>
                <pic:blipFill>
                  <a:blip r:embed="rId1">
                    <a:extLst>
                      <a:ext uri="{28A0092B-C50C-407E-A947-70E740481C1C}">
                        <a14:useLocalDpi xmlns:a14="http://schemas.microsoft.com/office/drawing/2010/main" val="0"/>
                      </a:ext>
                    </a:extLst>
                  </a:blip>
                  <a:stretch>
                    <a:fillRect/>
                  </a:stretch>
                </pic:blipFill>
                <pic:spPr>
                  <a:xfrm>
                    <a:off x="0" y="0"/>
                    <a:ext cx="7198995" cy="9921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8A9C" w14:textId="1C7EA1FD" w:rsidR="006F04E1" w:rsidRDefault="006F0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6A21" w14:textId="41193775" w:rsidR="006F04E1" w:rsidRDefault="006F04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01121" w14:textId="479E3C5D" w:rsidR="006F04E1" w:rsidRPr="00F012EA" w:rsidRDefault="006F04E1" w:rsidP="00F0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73AF" w14:textId="3C9AD92F" w:rsidR="006F04E1" w:rsidRDefault="006F04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07A78" w14:textId="1B8AA649" w:rsidR="006F04E1" w:rsidRDefault="006F04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3434" w14:textId="7F716774" w:rsidR="006F04E1" w:rsidRPr="00096C34" w:rsidRDefault="006F04E1" w:rsidP="0009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15:restartNumberingAfterBreak="0">
    <w:nsid w:val="07ED3FC7"/>
    <w:multiLevelType w:val="multilevel"/>
    <w:tmpl w:val="F8BE2F76"/>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6CC4E5D"/>
    <w:multiLevelType w:val="multilevel"/>
    <w:tmpl w:val="414EA7D2"/>
    <w:numStyleLink w:val="OneLevelList"/>
  </w:abstractNum>
  <w:abstractNum w:abstractNumId="3" w15:restartNumberingAfterBreak="0">
    <w:nsid w:val="17000CFA"/>
    <w:multiLevelType w:val="hybridMultilevel"/>
    <w:tmpl w:val="BCC44FC6"/>
    <w:lvl w:ilvl="0" w:tplc="A3E05E94">
      <w:numFmt w:val="bullet"/>
      <w:lvlText w:val="-"/>
      <w:lvlJc w:val="left"/>
      <w:pPr>
        <w:ind w:left="927" w:hanging="360"/>
      </w:pPr>
      <w:rPr>
        <w:rFonts w:ascii="Times New Roman" w:eastAsia="Times New Roman" w:hAnsi="Times New Roman"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5EA2A0F"/>
    <w:multiLevelType w:val="multilevel"/>
    <w:tmpl w:val="18BC553E"/>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styleLink w:val="RecommendationBulletList"/>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8"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B441EC"/>
    <w:multiLevelType w:val="hybridMultilevel"/>
    <w:tmpl w:val="7048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C2710"/>
    <w:multiLevelType w:val="multilevel"/>
    <w:tmpl w:val="72940280"/>
    <w:styleLink w:val="TableTextBullet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4DAA0B3E"/>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E86B34"/>
    <w:multiLevelType w:val="hybridMultilevel"/>
    <w:tmpl w:val="CAFA5882"/>
    <w:lvl w:ilvl="0" w:tplc="0C090003">
      <w:start w:val="1"/>
      <w:numFmt w:val="bullet"/>
      <w:lvlText w:val="o"/>
      <w:lvlJc w:val="left"/>
      <w:pPr>
        <w:ind w:left="1466" w:hanging="360"/>
      </w:pPr>
      <w:rPr>
        <w:rFonts w:ascii="Courier New" w:hAnsi="Courier New" w:cs="Courier New"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13"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4"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45B0A7E"/>
    <w:multiLevelType w:val="multilevel"/>
    <w:tmpl w:val="9AFC5FD2"/>
    <w:numStyleLink w:val="RecommendationBulletList"/>
  </w:abstractNum>
  <w:abstractNum w:abstractNumId="16"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AB4AC0"/>
    <w:multiLevelType w:val="hybridMultilevel"/>
    <w:tmpl w:val="E7BA4CC8"/>
    <w:lvl w:ilvl="0" w:tplc="0C090003">
      <w:start w:val="1"/>
      <w:numFmt w:val="bullet"/>
      <w:lvlText w:val="o"/>
      <w:lvlJc w:val="left"/>
      <w:pPr>
        <w:ind w:left="1466" w:hanging="360"/>
      </w:pPr>
      <w:rPr>
        <w:rFonts w:ascii="Courier New" w:hAnsi="Courier New" w:cs="Courier New"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18" w15:restartNumberingAfterBreak="0">
    <w:nsid w:val="4B400F83"/>
    <w:multiLevelType w:val="multilevel"/>
    <w:tmpl w:val="43441392"/>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E06931"/>
    <w:multiLevelType w:val="singleLevel"/>
    <w:tmpl w:val="36E09474"/>
    <w:styleLink w:val="OutlineList"/>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51002E86"/>
    <w:multiLevelType w:val="hybridMultilevel"/>
    <w:tmpl w:val="AEE416AE"/>
    <w:styleLink w:val="BoxBulletedList"/>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10D2021"/>
    <w:multiLevelType w:val="singleLevel"/>
    <w:tmpl w:val="36E09474"/>
    <w:numStyleLink w:val="OutlineList"/>
  </w:abstractNum>
  <w:abstractNum w:abstractNumId="22" w15:restartNumberingAfterBreak="0">
    <w:nsid w:val="55F73129"/>
    <w:multiLevelType w:val="multilevel"/>
    <w:tmpl w:val="49A2339C"/>
    <w:numStyleLink w:val="RomanNumeralList"/>
  </w:abstractNum>
  <w:abstractNum w:abstractNumId="23" w15:restartNumberingAfterBreak="0">
    <w:nsid w:val="58101827"/>
    <w:multiLevelType w:val="multilevel"/>
    <w:tmpl w:val="414EA7D2"/>
    <w:styleLink w:val="OneLevelList"/>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5E9A7DFC"/>
    <w:multiLevelType w:val="hybridMultilevel"/>
    <w:tmpl w:val="14A2037C"/>
    <w:styleLink w:val="TableTestBulletList"/>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6"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7"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6C25F4"/>
    <w:multiLevelType w:val="multilevel"/>
    <w:tmpl w:val="49A2339C"/>
    <w:styleLink w:val="RomanNumeralList"/>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763F22"/>
    <w:multiLevelType w:val="hybridMultilevel"/>
    <w:tmpl w:val="9DE019E6"/>
    <w:lvl w:ilvl="0" w:tplc="0C090001">
      <w:start w:val="1"/>
      <w:numFmt w:val="bullet"/>
      <w:lvlText w:val=""/>
      <w:lvlJc w:val="left"/>
      <w:pPr>
        <w:ind w:left="720" w:hanging="360"/>
      </w:pPr>
      <w:rPr>
        <w:rFonts w:ascii="Symbol" w:hAnsi="Symbol" w:hint="default"/>
      </w:rPr>
    </w:lvl>
    <w:lvl w:ilvl="1" w:tplc="F546402A">
      <w:numFmt w:val="bullet"/>
      <w:lvlText w:val="•"/>
      <w:lvlJc w:val="left"/>
      <w:pPr>
        <w:ind w:left="1932" w:hanging="852"/>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A70C5A"/>
    <w:multiLevelType w:val="multilevel"/>
    <w:tmpl w:val="34C489A8"/>
    <w:styleLink w:val="ChartandTableFootnoteAlpha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2E57A2"/>
    <w:multiLevelType w:val="multilevel"/>
    <w:tmpl w:val="D1ECFDF4"/>
    <w:styleLink w:val="BulletedList"/>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1"/>
  </w:num>
  <w:num w:numId="2">
    <w:abstractNumId w:val="20"/>
  </w:num>
  <w:num w:numId="3">
    <w:abstractNumId w:val="7"/>
  </w:num>
  <w:num w:numId="4">
    <w:abstractNumId w:val="23"/>
  </w:num>
  <w:num w:numId="5">
    <w:abstractNumId w:val="19"/>
  </w:num>
  <w:num w:numId="6">
    <w:abstractNumId w:val="5"/>
  </w:num>
  <w:num w:numId="7">
    <w:abstractNumId w:val="28"/>
  </w:num>
  <w:num w:numId="8">
    <w:abstractNumId w:val="30"/>
  </w:num>
  <w:num w:numId="9">
    <w:abstractNumId w:val="24"/>
  </w:num>
  <w:num w:numId="10">
    <w:abstractNumId w:val="10"/>
  </w:num>
  <w:num w:numId="11">
    <w:abstractNumId w:val="1"/>
  </w:num>
  <w:num w:numId="12">
    <w:abstractNumId w:val="16"/>
  </w:num>
  <w:num w:numId="13">
    <w:abstractNumId w:val="2"/>
  </w:num>
  <w:num w:numId="14">
    <w:abstractNumId w:val="21"/>
  </w:num>
  <w:num w:numId="15">
    <w:abstractNumId w:val="15"/>
  </w:num>
  <w:num w:numId="16">
    <w:abstractNumId w:val="22"/>
  </w:num>
  <w:num w:numId="17">
    <w:abstractNumId w:val="11"/>
  </w:num>
  <w:num w:numId="18">
    <w:abstractNumId w:val="4"/>
  </w:num>
  <w:num w:numId="19">
    <w:abstractNumId w:val="14"/>
  </w:num>
  <w:num w:numId="20">
    <w:abstractNumId w:val="0"/>
  </w:num>
  <w:num w:numId="21">
    <w:abstractNumId w:val="25"/>
  </w:num>
  <w:num w:numId="22">
    <w:abstractNumId w:val="8"/>
  </w:num>
  <w:num w:numId="23">
    <w:abstractNumId w:val="13"/>
  </w:num>
  <w:num w:numId="24">
    <w:abstractNumId w:val="26"/>
  </w:num>
  <w:num w:numId="25">
    <w:abstractNumId w:val="27"/>
  </w:num>
  <w:num w:numId="26">
    <w:abstractNumId w:val="29"/>
  </w:num>
  <w:num w:numId="27">
    <w:abstractNumId w:val="18"/>
  </w:num>
  <w:num w:numId="28">
    <w:abstractNumId w:val="3"/>
  </w:num>
  <w:num w:numId="29">
    <w:abstractNumId w:val="9"/>
  </w:num>
  <w:num w:numId="30">
    <w:abstractNumId w:val="17"/>
  </w:num>
  <w:num w:numId="31">
    <w:abstractNumId w:val="12"/>
  </w:num>
  <w:num w:numId="3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53466E"/>
    <w:rsid w:val="00001150"/>
    <w:rsid w:val="00003ACD"/>
    <w:rsid w:val="0000793D"/>
    <w:rsid w:val="00007CDE"/>
    <w:rsid w:val="00015CAF"/>
    <w:rsid w:val="000167A9"/>
    <w:rsid w:val="000306F3"/>
    <w:rsid w:val="000322DE"/>
    <w:rsid w:val="00036BDE"/>
    <w:rsid w:val="0004015D"/>
    <w:rsid w:val="0004039B"/>
    <w:rsid w:val="00040B32"/>
    <w:rsid w:val="00045B5E"/>
    <w:rsid w:val="000464B6"/>
    <w:rsid w:val="00051C46"/>
    <w:rsid w:val="00055124"/>
    <w:rsid w:val="000576D4"/>
    <w:rsid w:val="00060A34"/>
    <w:rsid w:val="000622B2"/>
    <w:rsid w:val="0006676E"/>
    <w:rsid w:val="00077D52"/>
    <w:rsid w:val="000849BB"/>
    <w:rsid w:val="000906B7"/>
    <w:rsid w:val="00091054"/>
    <w:rsid w:val="000939B2"/>
    <w:rsid w:val="00095C3F"/>
    <w:rsid w:val="00096C34"/>
    <w:rsid w:val="00096FB6"/>
    <w:rsid w:val="000A12BC"/>
    <w:rsid w:val="000A28BC"/>
    <w:rsid w:val="000B316A"/>
    <w:rsid w:val="000B523D"/>
    <w:rsid w:val="000B5B53"/>
    <w:rsid w:val="000B5DDF"/>
    <w:rsid w:val="000B7896"/>
    <w:rsid w:val="000C0327"/>
    <w:rsid w:val="000D07A8"/>
    <w:rsid w:val="000D7933"/>
    <w:rsid w:val="000E2C01"/>
    <w:rsid w:val="000E2D63"/>
    <w:rsid w:val="000E51DE"/>
    <w:rsid w:val="000E711F"/>
    <w:rsid w:val="000F252B"/>
    <w:rsid w:val="000F37C6"/>
    <w:rsid w:val="000F48B5"/>
    <w:rsid w:val="0010021B"/>
    <w:rsid w:val="001004F3"/>
    <w:rsid w:val="00106499"/>
    <w:rsid w:val="00110E0F"/>
    <w:rsid w:val="00117348"/>
    <w:rsid w:val="00121935"/>
    <w:rsid w:val="0012581C"/>
    <w:rsid w:val="00142115"/>
    <w:rsid w:val="0014335F"/>
    <w:rsid w:val="0014480D"/>
    <w:rsid w:val="00144FE8"/>
    <w:rsid w:val="001451E4"/>
    <w:rsid w:val="001457B9"/>
    <w:rsid w:val="00146062"/>
    <w:rsid w:val="00147046"/>
    <w:rsid w:val="001471FD"/>
    <w:rsid w:val="0015332C"/>
    <w:rsid w:val="00162025"/>
    <w:rsid w:val="00164F2C"/>
    <w:rsid w:val="00166B2C"/>
    <w:rsid w:val="001759E9"/>
    <w:rsid w:val="00177B25"/>
    <w:rsid w:val="001850E7"/>
    <w:rsid w:val="0019187C"/>
    <w:rsid w:val="00195EA9"/>
    <w:rsid w:val="001A37FC"/>
    <w:rsid w:val="001A420D"/>
    <w:rsid w:val="001B15C6"/>
    <w:rsid w:val="001B70E9"/>
    <w:rsid w:val="001C0979"/>
    <w:rsid w:val="001C4642"/>
    <w:rsid w:val="001C669C"/>
    <w:rsid w:val="001D2A48"/>
    <w:rsid w:val="001D7CC7"/>
    <w:rsid w:val="001E1D66"/>
    <w:rsid w:val="001E293E"/>
    <w:rsid w:val="001E2E85"/>
    <w:rsid w:val="001E664D"/>
    <w:rsid w:val="001F775D"/>
    <w:rsid w:val="002015AB"/>
    <w:rsid w:val="00211545"/>
    <w:rsid w:val="002216A5"/>
    <w:rsid w:val="00222600"/>
    <w:rsid w:val="002249D2"/>
    <w:rsid w:val="00225771"/>
    <w:rsid w:val="002271BB"/>
    <w:rsid w:val="00232384"/>
    <w:rsid w:val="002330AC"/>
    <w:rsid w:val="00237D82"/>
    <w:rsid w:val="0024682C"/>
    <w:rsid w:val="00253E13"/>
    <w:rsid w:val="00257A2D"/>
    <w:rsid w:val="00261699"/>
    <w:rsid w:val="002626E9"/>
    <w:rsid w:val="00262DC0"/>
    <w:rsid w:val="00262F61"/>
    <w:rsid w:val="00262FA8"/>
    <w:rsid w:val="00273068"/>
    <w:rsid w:val="002733FC"/>
    <w:rsid w:val="00273BAC"/>
    <w:rsid w:val="002768B3"/>
    <w:rsid w:val="00280D28"/>
    <w:rsid w:val="00285CA2"/>
    <w:rsid w:val="00291937"/>
    <w:rsid w:val="00295D78"/>
    <w:rsid w:val="00297C46"/>
    <w:rsid w:val="002B1BFE"/>
    <w:rsid w:val="002B53E2"/>
    <w:rsid w:val="002B7255"/>
    <w:rsid w:val="002C084A"/>
    <w:rsid w:val="002C3075"/>
    <w:rsid w:val="002C3379"/>
    <w:rsid w:val="002C5398"/>
    <w:rsid w:val="002D0E17"/>
    <w:rsid w:val="002D27D1"/>
    <w:rsid w:val="002D316D"/>
    <w:rsid w:val="002E14F5"/>
    <w:rsid w:val="002E2F37"/>
    <w:rsid w:val="002E3A15"/>
    <w:rsid w:val="002E4FE4"/>
    <w:rsid w:val="002E5F5C"/>
    <w:rsid w:val="002E656C"/>
    <w:rsid w:val="002E6F9D"/>
    <w:rsid w:val="002E7527"/>
    <w:rsid w:val="002E7BDD"/>
    <w:rsid w:val="002F1406"/>
    <w:rsid w:val="002F3DFC"/>
    <w:rsid w:val="002F73DF"/>
    <w:rsid w:val="00301A52"/>
    <w:rsid w:val="00326337"/>
    <w:rsid w:val="00327D2C"/>
    <w:rsid w:val="003326C6"/>
    <w:rsid w:val="00334335"/>
    <w:rsid w:val="003406DF"/>
    <w:rsid w:val="003431D3"/>
    <w:rsid w:val="0034620C"/>
    <w:rsid w:val="00352BC1"/>
    <w:rsid w:val="00356407"/>
    <w:rsid w:val="00357574"/>
    <w:rsid w:val="003634AF"/>
    <w:rsid w:val="003641BA"/>
    <w:rsid w:val="0036479C"/>
    <w:rsid w:val="00365C6D"/>
    <w:rsid w:val="00367A9D"/>
    <w:rsid w:val="00372ACE"/>
    <w:rsid w:val="003809EA"/>
    <w:rsid w:val="003824F4"/>
    <w:rsid w:val="00390529"/>
    <w:rsid w:val="003A0890"/>
    <w:rsid w:val="003A1A88"/>
    <w:rsid w:val="003A23A7"/>
    <w:rsid w:val="003A5FF9"/>
    <w:rsid w:val="003B0501"/>
    <w:rsid w:val="003B5711"/>
    <w:rsid w:val="003B7C57"/>
    <w:rsid w:val="003C36A2"/>
    <w:rsid w:val="003C720F"/>
    <w:rsid w:val="003D0F38"/>
    <w:rsid w:val="003D27B3"/>
    <w:rsid w:val="003D296C"/>
    <w:rsid w:val="003D3DC9"/>
    <w:rsid w:val="003D6566"/>
    <w:rsid w:val="003D7C70"/>
    <w:rsid w:val="003E0E7B"/>
    <w:rsid w:val="003E3374"/>
    <w:rsid w:val="003E6B90"/>
    <w:rsid w:val="003F28B6"/>
    <w:rsid w:val="003F64FF"/>
    <w:rsid w:val="003F7C99"/>
    <w:rsid w:val="003F7D72"/>
    <w:rsid w:val="004052AE"/>
    <w:rsid w:val="00406016"/>
    <w:rsid w:val="00416E7C"/>
    <w:rsid w:val="00426CC1"/>
    <w:rsid w:val="0043275F"/>
    <w:rsid w:val="0043539D"/>
    <w:rsid w:val="00436D38"/>
    <w:rsid w:val="004370F4"/>
    <w:rsid w:val="00443157"/>
    <w:rsid w:val="004446C9"/>
    <w:rsid w:val="0045618C"/>
    <w:rsid w:val="00457AC1"/>
    <w:rsid w:val="00460338"/>
    <w:rsid w:val="00460A29"/>
    <w:rsid w:val="00460C65"/>
    <w:rsid w:val="00462AC9"/>
    <w:rsid w:val="004644F0"/>
    <w:rsid w:val="0047289B"/>
    <w:rsid w:val="0047459E"/>
    <w:rsid w:val="004942A1"/>
    <w:rsid w:val="00494DE6"/>
    <w:rsid w:val="004B01CB"/>
    <w:rsid w:val="004B07A5"/>
    <w:rsid w:val="004B2077"/>
    <w:rsid w:val="004B2D16"/>
    <w:rsid w:val="004B4F86"/>
    <w:rsid w:val="004B5249"/>
    <w:rsid w:val="004C167F"/>
    <w:rsid w:val="004C37C7"/>
    <w:rsid w:val="004C5607"/>
    <w:rsid w:val="004D17A5"/>
    <w:rsid w:val="004D1A64"/>
    <w:rsid w:val="004D442E"/>
    <w:rsid w:val="004F4EE7"/>
    <w:rsid w:val="004F794A"/>
    <w:rsid w:val="00500676"/>
    <w:rsid w:val="00500704"/>
    <w:rsid w:val="005037F7"/>
    <w:rsid w:val="005054C2"/>
    <w:rsid w:val="00506F05"/>
    <w:rsid w:val="00507F3F"/>
    <w:rsid w:val="0051251F"/>
    <w:rsid w:val="0052266B"/>
    <w:rsid w:val="0053466E"/>
    <w:rsid w:val="00555B0A"/>
    <w:rsid w:val="00562EFB"/>
    <w:rsid w:val="0057074A"/>
    <w:rsid w:val="00571529"/>
    <w:rsid w:val="00576102"/>
    <w:rsid w:val="005904CD"/>
    <w:rsid w:val="005946DA"/>
    <w:rsid w:val="00597D8F"/>
    <w:rsid w:val="005A1753"/>
    <w:rsid w:val="005A4CFB"/>
    <w:rsid w:val="005B2600"/>
    <w:rsid w:val="005B52C6"/>
    <w:rsid w:val="005C3FA1"/>
    <w:rsid w:val="005C45C3"/>
    <w:rsid w:val="005C7CED"/>
    <w:rsid w:val="005E0E0D"/>
    <w:rsid w:val="005E2F42"/>
    <w:rsid w:val="005E54EB"/>
    <w:rsid w:val="005F100C"/>
    <w:rsid w:val="005F3390"/>
    <w:rsid w:val="005F5653"/>
    <w:rsid w:val="005F66EC"/>
    <w:rsid w:val="005F6EA2"/>
    <w:rsid w:val="0060516F"/>
    <w:rsid w:val="00610FD7"/>
    <w:rsid w:val="00614BAC"/>
    <w:rsid w:val="00622253"/>
    <w:rsid w:val="0062242E"/>
    <w:rsid w:val="00623F9B"/>
    <w:rsid w:val="0062452D"/>
    <w:rsid w:val="0063525F"/>
    <w:rsid w:val="00643469"/>
    <w:rsid w:val="006442B4"/>
    <w:rsid w:val="006457CC"/>
    <w:rsid w:val="00653A3B"/>
    <w:rsid w:val="00656BBB"/>
    <w:rsid w:val="006618C2"/>
    <w:rsid w:val="00671E38"/>
    <w:rsid w:val="00672387"/>
    <w:rsid w:val="00672577"/>
    <w:rsid w:val="0067519B"/>
    <w:rsid w:val="006759AC"/>
    <w:rsid w:val="006759D4"/>
    <w:rsid w:val="00676B7F"/>
    <w:rsid w:val="006861D8"/>
    <w:rsid w:val="00686E27"/>
    <w:rsid w:val="006A0067"/>
    <w:rsid w:val="006A30A5"/>
    <w:rsid w:val="006A7C66"/>
    <w:rsid w:val="006B3701"/>
    <w:rsid w:val="006C066C"/>
    <w:rsid w:val="006C5520"/>
    <w:rsid w:val="006D13D3"/>
    <w:rsid w:val="006D29E7"/>
    <w:rsid w:val="006D56D9"/>
    <w:rsid w:val="006D5B08"/>
    <w:rsid w:val="006D5B4A"/>
    <w:rsid w:val="006D6023"/>
    <w:rsid w:val="006D622F"/>
    <w:rsid w:val="006E4318"/>
    <w:rsid w:val="006E525A"/>
    <w:rsid w:val="006F04E1"/>
    <w:rsid w:val="006F1A71"/>
    <w:rsid w:val="006F3239"/>
    <w:rsid w:val="006F3E0E"/>
    <w:rsid w:val="00710EA9"/>
    <w:rsid w:val="00710FFD"/>
    <w:rsid w:val="0071102B"/>
    <w:rsid w:val="007119FF"/>
    <w:rsid w:val="00714153"/>
    <w:rsid w:val="00723557"/>
    <w:rsid w:val="007245A6"/>
    <w:rsid w:val="00733683"/>
    <w:rsid w:val="007341DE"/>
    <w:rsid w:val="0075504D"/>
    <w:rsid w:val="007650C6"/>
    <w:rsid w:val="00767F36"/>
    <w:rsid w:val="0077505F"/>
    <w:rsid w:val="0078304B"/>
    <w:rsid w:val="00783562"/>
    <w:rsid w:val="00786AFC"/>
    <w:rsid w:val="007908B1"/>
    <w:rsid w:val="0079191F"/>
    <w:rsid w:val="00791B13"/>
    <w:rsid w:val="00793ACA"/>
    <w:rsid w:val="007A2ACB"/>
    <w:rsid w:val="007B0C23"/>
    <w:rsid w:val="007C3276"/>
    <w:rsid w:val="007C48F0"/>
    <w:rsid w:val="007E2BEC"/>
    <w:rsid w:val="007E5AC5"/>
    <w:rsid w:val="007E5B2F"/>
    <w:rsid w:val="007F2E42"/>
    <w:rsid w:val="007F40C8"/>
    <w:rsid w:val="007F5FFB"/>
    <w:rsid w:val="0080264E"/>
    <w:rsid w:val="00803885"/>
    <w:rsid w:val="00803B2A"/>
    <w:rsid w:val="00803C77"/>
    <w:rsid w:val="00805E7D"/>
    <w:rsid w:val="00812433"/>
    <w:rsid w:val="008131BB"/>
    <w:rsid w:val="00816636"/>
    <w:rsid w:val="00816BB7"/>
    <w:rsid w:val="008176C5"/>
    <w:rsid w:val="0082097D"/>
    <w:rsid w:val="008239C7"/>
    <w:rsid w:val="008274CC"/>
    <w:rsid w:val="00833945"/>
    <w:rsid w:val="008347CE"/>
    <w:rsid w:val="008351A9"/>
    <w:rsid w:val="008425B8"/>
    <w:rsid w:val="00852E43"/>
    <w:rsid w:val="008627B1"/>
    <w:rsid w:val="00862C55"/>
    <w:rsid w:val="0086312C"/>
    <w:rsid w:val="00864D1D"/>
    <w:rsid w:val="00865342"/>
    <w:rsid w:val="00866693"/>
    <w:rsid w:val="00870BA7"/>
    <w:rsid w:val="00880ADB"/>
    <w:rsid w:val="00881EC4"/>
    <w:rsid w:val="008847CC"/>
    <w:rsid w:val="00885DEE"/>
    <w:rsid w:val="00897A13"/>
    <w:rsid w:val="008A0BD3"/>
    <w:rsid w:val="008A1D0A"/>
    <w:rsid w:val="008A1F44"/>
    <w:rsid w:val="008A373D"/>
    <w:rsid w:val="008A7EDB"/>
    <w:rsid w:val="008B3E08"/>
    <w:rsid w:val="008B63BE"/>
    <w:rsid w:val="008C0793"/>
    <w:rsid w:val="008C1101"/>
    <w:rsid w:val="008C756C"/>
    <w:rsid w:val="008D08BE"/>
    <w:rsid w:val="008D7F7C"/>
    <w:rsid w:val="008E46ED"/>
    <w:rsid w:val="008E4FE3"/>
    <w:rsid w:val="008E7C10"/>
    <w:rsid w:val="008F17C5"/>
    <w:rsid w:val="008F1ACC"/>
    <w:rsid w:val="008F373B"/>
    <w:rsid w:val="0090017F"/>
    <w:rsid w:val="0090339D"/>
    <w:rsid w:val="00905F40"/>
    <w:rsid w:val="00911B43"/>
    <w:rsid w:val="00912C3C"/>
    <w:rsid w:val="00913FAE"/>
    <w:rsid w:val="00916AC7"/>
    <w:rsid w:val="0092354D"/>
    <w:rsid w:val="00923732"/>
    <w:rsid w:val="00923DFE"/>
    <w:rsid w:val="00933080"/>
    <w:rsid w:val="00936238"/>
    <w:rsid w:val="00940F4B"/>
    <w:rsid w:val="00946706"/>
    <w:rsid w:val="0095562B"/>
    <w:rsid w:val="00955F84"/>
    <w:rsid w:val="00962249"/>
    <w:rsid w:val="009705FF"/>
    <w:rsid w:val="0097280B"/>
    <w:rsid w:val="009862D1"/>
    <w:rsid w:val="00986C3E"/>
    <w:rsid w:val="00991BD9"/>
    <w:rsid w:val="0099283B"/>
    <w:rsid w:val="00996D2B"/>
    <w:rsid w:val="00997EC4"/>
    <w:rsid w:val="009A053A"/>
    <w:rsid w:val="009A0ADA"/>
    <w:rsid w:val="009A2B7A"/>
    <w:rsid w:val="009A4AFE"/>
    <w:rsid w:val="009B0DFC"/>
    <w:rsid w:val="009B0FFD"/>
    <w:rsid w:val="009B22BC"/>
    <w:rsid w:val="009B6F8F"/>
    <w:rsid w:val="009C1116"/>
    <w:rsid w:val="009C57C2"/>
    <w:rsid w:val="009C7E17"/>
    <w:rsid w:val="009D0790"/>
    <w:rsid w:val="009D2D48"/>
    <w:rsid w:val="009E232A"/>
    <w:rsid w:val="009E3EB9"/>
    <w:rsid w:val="009E4807"/>
    <w:rsid w:val="009F645E"/>
    <w:rsid w:val="009F68EF"/>
    <w:rsid w:val="00A00C8C"/>
    <w:rsid w:val="00A14CD9"/>
    <w:rsid w:val="00A1658C"/>
    <w:rsid w:val="00A23FB1"/>
    <w:rsid w:val="00A2407B"/>
    <w:rsid w:val="00A2599E"/>
    <w:rsid w:val="00A3355E"/>
    <w:rsid w:val="00A3513E"/>
    <w:rsid w:val="00A414CE"/>
    <w:rsid w:val="00A42F49"/>
    <w:rsid w:val="00A44201"/>
    <w:rsid w:val="00A515B7"/>
    <w:rsid w:val="00A537E0"/>
    <w:rsid w:val="00A54073"/>
    <w:rsid w:val="00A562A4"/>
    <w:rsid w:val="00A57848"/>
    <w:rsid w:val="00A62FC7"/>
    <w:rsid w:val="00A75F04"/>
    <w:rsid w:val="00A80719"/>
    <w:rsid w:val="00A821FD"/>
    <w:rsid w:val="00A84E59"/>
    <w:rsid w:val="00A8665A"/>
    <w:rsid w:val="00A9276B"/>
    <w:rsid w:val="00A9572D"/>
    <w:rsid w:val="00AA116E"/>
    <w:rsid w:val="00AA4528"/>
    <w:rsid w:val="00AA4D5E"/>
    <w:rsid w:val="00AA6271"/>
    <w:rsid w:val="00AA66C7"/>
    <w:rsid w:val="00AB11CB"/>
    <w:rsid w:val="00AB2004"/>
    <w:rsid w:val="00AB525B"/>
    <w:rsid w:val="00AC1A75"/>
    <w:rsid w:val="00AC3958"/>
    <w:rsid w:val="00AD1DCD"/>
    <w:rsid w:val="00AD27DF"/>
    <w:rsid w:val="00AE349B"/>
    <w:rsid w:val="00AF5CCB"/>
    <w:rsid w:val="00B12A42"/>
    <w:rsid w:val="00B14872"/>
    <w:rsid w:val="00B16E20"/>
    <w:rsid w:val="00B31AC4"/>
    <w:rsid w:val="00B326C6"/>
    <w:rsid w:val="00B42B62"/>
    <w:rsid w:val="00B43118"/>
    <w:rsid w:val="00B52FE8"/>
    <w:rsid w:val="00B55137"/>
    <w:rsid w:val="00B609C3"/>
    <w:rsid w:val="00B62C8A"/>
    <w:rsid w:val="00B717F7"/>
    <w:rsid w:val="00B74E4A"/>
    <w:rsid w:val="00B778B0"/>
    <w:rsid w:val="00B804EF"/>
    <w:rsid w:val="00B81882"/>
    <w:rsid w:val="00B81DDA"/>
    <w:rsid w:val="00B824AC"/>
    <w:rsid w:val="00B94E94"/>
    <w:rsid w:val="00BA1022"/>
    <w:rsid w:val="00BA160F"/>
    <w:rsid w:val="00BA6BF3"/>
    <w:rsid w:val="00BB0623"/>
    <w:rsid w:val="00BB2EEB"/>
    <w:rsid w:val="00BB3278"/>
    <w:rsid w:val="00BB6097"/>
    <w:rsid w:val="00BB62E8"/>
    <w:rsid w:val="00BC0AC9"/>
    <w:rsid w:val="00BC30EB"/>
    <w:rsid w:val="00BC32C4"/>
    <w:rsid w:val="00BC4ADF"/>
    <w:rsid w:val="00BC5A10"/>
    <w:rsid w:val="00BC6527"/>
    <w:rsid w:val="00BD3826"/>
    <w:rsid w:val="00BD491D"/>
    <w:rsid w:val="00BD5C4A"/>
    <w:rsid w:val="00BE59DB"/>
    <w:rsid w:val="00BE5E9B"/>
    <w:rsid w:val="00BE62F5"/>
    <w:rsid w:val="00BE79FB"/>
    <w:rsid w:val="00BF70D7"/>
    <w:rsid w:val="00BF7384"/>
    <w:rsid w:val="00BF7571"/>
    <w:rsid w:val="00C04E3C"/>
    <w:rsid w:val="00C06F63"/>
    <w:rsid w:val="00C07F94"/>
    <w:rsid w:val="00C111A0"/>
    <w:rsid w:val="00C17A7A"/>
    <w:rsid w:val="00C245A6"/>
    <w:rsid w:val="00C26351"/>
    <w:rsid w:val="00C34015"/>
    <w:rsid w:val="00C44322"/>
    <w:rsid w:val="00C44809"/>
    <w:rsid w:val="00C46780"/>
    <w:rsid w:val="00C46C8A"/>
    <w:rsid w:val="00C53DA6"/>
    <w:rsid w:val="00C63763"/>
    <w:rsid w:val="00C818CA"/>
    <w:rsid w:val="00C81F2B"/>
    <w:rsid w:val="00C86465"/>
    <w:rsid w:val="00C8767F"/>
    <w:rsid w:val="00C904C9"/>
    <w:rsid w:val="00C911C1"/>
    <w:rsid w:val="00C96CDF"/>
    <w:rsid w:val="00CA436E"/>
    <w:rsid w:val="00CA4D67"/>
    <w:rsid w:val="00CA7CC0"/>
    <w:rsid w:val="00CB1596"/>
    <w:rsid w:val="00CB1E5D"/>
    <w:rsid w:val="00CB2127"/>
    <w:rsid w:val="00CB224A"/>
    <w:rsid w:val="00CB6AA7"/>
    <w:rsid w:val="00CC086B"/>
    <w:rsid w:val="00CC0B12"/>
    <w:rsid w:val="00CC1A8A"/>
    <w:rsid w:val="00CC20BD"/>
    <w:rsid w:val="00CC3501"/>
    <w:rsid w:val="00CC67EF"/>
    <w:rsid w:val="00CC755F"/>
    <w:rsid w:val="00CD13C3"/>
    <w:rsid w:val="00CD418D"/>
    <w:rsid w:val="00CD44DA"/>
    <w:rsid w:val="00CD78ED"/>
    <w:rsid w:val="00CE49F4"/>
    <w:rsid w:val="00CE6A99"/>
    <w:rsid w:val="00CF0660"/>
    <w:rsid w:val="00CF41E7"/>
    <w:rsid w:val="00CF7B3C"/>
    <w:rsid w:val="00D00631"/>
    <w:rsid w:val="00D11517"/>
    <w:rsid w:val="00D11CEC"/>
    <w:rsid w:val="00D13D25"/>
    <w:rsid w:val="00D30BB5"/>
    <w:rsid w:val="00D31DC9"/>
    <w:rsid w:val="00D34062"/>
    <w:rsid w:val="00D3578A"/>
    <w:rsid w:val="00D36D0B"/>
    <w:rsid w:val="00D4005D"/>
    <w:rsid w:val="00D4102F"/>
    <w:rsid w:val="00D46334"/>
    <w:rsid w:val="00D50ED7"/>
    <w:rsid w:val="00D6257B"/>
    <w:rsid w:val="00D65F25"/>
    <w:rsid w:val="00D670B9"/>
    <w:rsid w:val="00D70526"/>
    <w:rsid w:val="00D72CD7"/>
    <w:rsid w:val="00D73FC6"/>
    <w:rsid w:val="00D7635B"/>
    <w:rsid w:val="00D763AB"/>
    <w:rsid w:val="00D83627"/>
    <w:rsid w:val="00D871CF"/>
    <w:rsid w:val="00D874E8"/>
    <w:rsid w:val="00D87B7F"/>
    <w:rsid w:val="00D94F39"/>
    <w:rsid w:val="00DA731B"/>
    <w:rsid w:val="00DA78E4"/>
    <w:rsid w:val="00DA7F44"/>
    <w:rsid w:val="00DB251A"/>
    <w:rsid w:val="00DC6201"/>
    <w:rsid w:val="00DC69B6"/>
    <w:rsid w:val="00DC73A3"/>
    <w:rsid w:val="00DD180A"/>
    <w:rsid w:val="00DD1E31"/>
    <w:rsid w:val="00DD3724"/>
    <w:rsid w:val="00DD7F45"/>
    <w:rsid w:val="00DE2B14"/>
    <w:rsid w:val="00DE2C36"/>
    <w:rsid w:val="00DE3811"/>
    <w:rsid w:val="00DF4F94"/>
    <w:rsid w:val="00E0001B"/>
    <w:rsid w:val="00E04524"/>
    <w:rsid w:val="00E13B71"/>
    <w:rsid w:val="00E14D6E"/>
    <w:rsid w:val="00E175CF"/>
    <w:rsid w:val="00E177C9"/>
    <w:rsid w:val="00E202EE"/>
    <w:rsid w:val="00E2390E"/>
    <w:rsid w:val="00E2425F"/>
    <w:rsid w:val="00E42F6D"/>
    <w:rsid w:val="00E43D7E"/>
    <w:rsid w:val="00E44260"/>
    <w:rsid w:val="00E50DD9"/>
    <w:rsid w:val="00E54BA2"/>
    <w:rsid w:val="00E54DB4"/>
    <w:rsid w:val="00E6420B"/>
    <w:rsid w:val="00E64898"/>
    <w:rsid w:val="00E67E12"/>
    <w:rsid w:val="00E85DBE"/>
    <w:rsid w:val="00E87967"/>
    <w:rsid w:val="00E9172C"/>
    <w:rsid w:val="00E94D33"/>
    <w:rsid w:val="00E96C21"/>
    <w:rsid w:val="00E97758"/>
    <w:rsid w:val="00E979FE"/>
    <w:rsid w:val="00EA666C"/>
    <w:rsid w:val="00EB142A"/>
    <w:rsid w:val="00EB169C"/>
    <w:rsid w:val="00EB32D3"/>
    <w:rsid w:val="00EB5564"/>
    <w:rsid w:val="00EC7A98"/>
    <w:rsid w:val="00EC7E15"/>
    <w:rsid w:val="00EE6D97"/>
    <w:rsid w:val="00EE6F94"/>
    <w:rsid w:val="00EE76BC"/>
    <w:rsid w:val="00EF01AD"/>
    <w:rsid w:val="00EF3E90"/>
    <w:rsid w:val="00EF5D56"/>
    <w:rsid w:val="00F012EA"/>
    <w:rsid w:val="00F026D5"/>
    <w:rsid w:val="00F036EF"/>
    <w:rsid w:val="00F05DAC"/>
    <w:rsid w:val="00F10822"/>
    <w:rsid w:val="00F204EF"/>
    <w:rsid w:val="00F234C3"/>
    <w:rsid w:val="00F264DD"/>
    <w:rsid w:val="00F26EA2"/>
    <w:rsid w:val="00F27783"/>
    <w:rsid w:val="00F31DCD"/>
    <w:rsid w:val="00F334D2"/>
    <w:rsid w:val="00F33A6A"/>
    <w:rsid w:val="00F34594"/>
    <w:rsid w:val="00F40894"/>
    <w:rsid w:val="00F41E30"/>
    <w:rsid w:val="00F43D4E"/>
    <w:rsid w:val="00F5466C"/>
    <w:rsid w:val="00F56908"/>
    <w:rsid w:val="00F60530"/>
    <w:rsid w:val="00F6091A"/>
    <w:rsid w:val="00F64CE4"/>
    <w:rsid w:val="00F703DE"/>
    <w:rsid w:val="00F73064"/>
    <w:rsid w:val="00F74714"/>
    <w:rsid w:val="00F805AB"/>
    <w:rsid w:val="00F81046"/>
    <w:rsid w:val="00F8675B"/>
    <w:rsid w:val="00F87048"/>
    <w:rsid w:val="00F90417"/>
    <w:rsid w:val="00F913A3"/>
    <w:rsid w:val="00FA0D2B"/>
    <w:rsid w:val="00FA5783"/>
    <w:rsid w:val="00FB3FED"/>
    <w:rsid w:val="00FB59AE"/>
    <w:rsid w:val="00FB6603"/>
    <w:rsid w:val="00FC523B"/>
    <w:rsid w:val="00FD10E2"/>
    <w:rsid w:val="00FD30F7"/>
    <w:rsid w:val="00FD5E28"/>
    <w:rsid w:val="00FD7466"/>
    <w:rsid w:val="00FF24C1"/>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28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14480D"/>
    <w:pPr>
      <w:spacing w:before="480" w:after="240"/>
      <w:outlineLvl w:val="0"/>
    </w:pPr>
    <w:rPr>
      <w:rFonts w:ascii="Arial Bold" w:hAnsi="Arial Bold"/>
      <w:b/>
      <w:smallCaps/>
      <w:sz w:val="36"/>
    </w:rPr>
  </w:style>
  <w:style w:type="paragraph" w:styleId="Heading2">
    <w:name w:val="heading 2"/>
    <w:basedOn w:val="HeadingBaseStyle"/>
    <w:next w:val="Normal"/>
    <w:link w:val="Heading2Char"/>
    <w:qFormat/>
    <w:rsid w:val="000849BB"/>
    <w:pPr>
      <w:widowControl w:val="0"/>
      <w:numPr>
        <w:numId w:val="24"/>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0849BB"/>
    <w:pPr>
      <w:keepNext/>
      <w:widowControl w:val="0"/>
      <w:tabs>
        <w:tab w:val="left" w:pos="0"/>
      </w:tabs>
      <w:adjustRightInd w:val="0"/>
      <w:spacing w:before="120" w:after="240"/>
      <w:textAlignment w:val="baseline"/>
      <w:outlineLvl w:val="2"/>
    </w:pPr>
    <w:rPr>
      <w:rFonts w:ascii="Arial" w:eastAsia="Times New Roman" w:hAnsi="Arial" w:cs="Times New Roman"/>
      <w:color w:val="002C47" w:themeColor="accent1"/>
      <w:sz w:val="28"/>
      <w:szCs w:val="20"/>
      <w:lang w:val="en-US" w:eastAsia="en-AU"/>
    </w:rPr>
  </w:style>
  <w:style w:type="paragraph" w:styleId="Heading4">
    <w:name w:val="heading 4"/>
    <w:basedOn w:val="HeadingBaseStyle"/>
    <w:next w:val="Normal"/>
    <w:link w:val="Heading4Char"/>
    <w:autoRedefine/>
    <w:qFormat/>
    <w:rsid w:val="000849BB"/>
    <w:pPr>
      <w:numPr>
        <w:ilvl w:val="2"/>
        <w:numId w:val="24"/>
      </w:numPr>
      <w:tabs>
        <w:tab w:val="left" w:pos="680"/>
      </w:tabs>
      <w:spacing w:after="120"/>
      <w:outlineLvl w:val="3"/>
    </w:pPr>
    <w:rPr>
      <w:b/>
    </w:rPr>
  </w:style>
  <w:style w:type="paragraph" w:styleId="Heading5">
    <w:name w:val="heading 5"/>
    <w:basedOn w:val="HeadingBaseStyle"/>
    <w:next w:val="Normal"/>
    <w:link w:val="Heading5Char"/>
    <w:autoRedefine/>
    <w:rsid w:val="000849BB"/>
    <w:pPr>
      <w:spacing w:after="240"/>
      <w:outlineLvl w:val="4"/>
    </w:pPr>
    <w:rPr>
      <w:i/>
    </w:rPr>
  </w:style>
  <w:style w:type="paragraph" w:styleId="Heading6">
    <w:name w:val="heading 6"/>
    <w:basedOn w:val="HeadingBaseStyle"/>
    <w:next w:val="Normal"/>
    <w:link w:val="Heading6Char"/>
    <w:rsid w:val="000849BB"/>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849BB"/>
    <w:pPr>
      <w:keepNext/>
      <w:spacing w:after="0" w:line="240" w:lineRule="auto"/>
    </w:pPr>
    <w:rPr>
      <w:rFonts w:asciiTheme="majorHAnsi" w:eastAsia="Times New Roman" w:hAnsiTheme="majorHAnsi" w:cs="Times New Roman"/>
      <w:color w:val="002C47" w:themeColor="accent1"/>
      <w:sz w:val="20"/>
      <w:szCs w:val="20"/>
      <w:lang w:eastAsia="en-AU"/>
    </w:rPr>
  </w:style>
  <w:style w:type="character" w:customStyle="1" w:styleId="Heading1Char">
    <w:name w:val="Heading 1 Char"/>
    <w:basedOn w:val="DefaultParagraphFont"/>
    <w:link w:val="Heading1"/>
    <w:rsid w:val="0014480D"/>
    <w:rPr>
      <w:rFonts w:ascii="Arial Bold" w:hAnsi="Arial Bold"/>
      <w:b/>
      <w:smallCaps/>
      <w:color w:val="002C47" w:themeColor="accent1"/>
      <w:sz w:val="36"/>
    </w:rPr>
  </w:style>
  <w:style w:type="character" w:customStyle="1" w:styleId="Heading2Char">
    <w:name w:val="Heading 2 Char"/>
    <w:basedOn w:val="DefaultParagraphFont"/>
    <w:link w:val="Heading2"/>
    <w:rsid w:val="000849BB"/>
    <w:rPr>
      <w:rFonts w:ascii="Arial Bold" w:hAnsi="Arial Bold"/>
      <w:b/>
      <w:smallCaps/>
      <w:color w:val="002C47" w:themeColor="accent1"/>
      <w:sz w:val="32"/>
    </w:rPr>
  </w:style>
  <w:style w:type="character" w:customStyle="1" w:styleId="Heading3Char">
    <w:name w:val="Heading 3 Char"/>
    <w:basedOn w:val="DefaultParagraphFont"/>
    <w:link w:val="Heading3"/>
    <w:rsid w:val="000849BB"/>
    <w:rPr>
      <w:rFonts w:ascii="Arial" w:eastAsia="Times New Roman" w:hAnsi="Arial" w:cs="Times New Roman"/>
      <w:color w:val="002C47" w:themeColor="accent1"/>
      <w:sz w:val="28"/>
      <w:szCs w:val="20"/>
      <w:lang w:val="en-US" w:eastAsia="en-AU"/>
    </w:rPr>
  </w:style>
  <w:style w:type="character" w:customStyle="1" w:styleId="Heading4Char">
    <w:name w:val="Heading 4 Char"/>
    <w:basedOn w:val="DefaultParagraphFont"/>
    <w:link w:val="Heading4"/>
    <w:rsid w:val="000849BB"/>
    <w:rPr>
      <w:rFonts w:ascii="Arial" w:hAnsi="Arial"/>
      <w:b/>
      <w:color w:val="002C47" w:themeColor="accent1"/>
    </w:rPr>
  </w:style>
  <w:style w:type="character" w:customStyle="1" w:styleId="Heading5Char">
    <w:name w:val="Heading 5 Char"/>
    <w:basedOn w:val="DefaultParagraphFont"/>
    <w:link w:val="Heading5"/>
    <w:rsid w:val="000849BB"/>
    <w:rPr>
      <w:rFonts w:ascii="Arial" w:hAnsi="Arial"/>
      <w:i/>
      <w:color w:val="002C47" w:themeColor="accent1"/>
    </w:rPr>
  </w:style>
  <w:style w:type="character" w:customStyle="1" w:styleId="Heading6Char">
    <w:name w:val="Heading 6 Char"/>
    <w:basedOn w:val="DefaultParagraphFont"/>
    <w:link w:val="Heading6"/>
    <w:rsid w:val="000849BB"/>
    <w:rPr>
      <w:rFonts w:ascii="Arial" w:hAnsi="Arial"/>
      <w:snapToGrid w:val="0"/>
      <w:color w:val="002C47" w:themeColor="accent1"/>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2"/>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1"/>
      </w:numPr>
    </w:pPr>
  </w:style>
  <w:style w:type="paragraph" w:customStyle="1" w:styleId="BoxDash">
    <w:name w:val="Box Dash"/>
    <w:basedOn w:val="Normal"/>
    <w:rsid w:val="005F5653"/>
    <w:pPr>
      <w:numPr>
        <w:ilvl w:val="1"/>
        <w:numId w:val="11"/>
      </w:numPr>
    </w:pPr>
  </w:style>
  <w:style w:type="paragraph" w:customStyle="1" w:styleId="BoxDoubleDot">
    <w:name w:val="Box Double Dot"/>
    <w:basedOn w:val="BoxTextBase"/>
    <w:rsid w:val="005F5653"/>
    <w:pPr>
      <w:numPr>
        <w:ilvl w:val="2"/>
        <w:numId w:val="11"/>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F73064"/>
    <w:pPr>
      <w:keepNext/>
      <w:numPr>
        <w:numId w:val="22"/>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22"/>
      </w:numPr>
      <w:tabs>
        <w:tab w:val="num" w:pos="360"/>
      </w:tabs>
      <w:ind w:left="0" w:firstLine="0"/>
    </w:pPr>
  </w:style>
  <w:style w:type="paragraph" w:customStyle="1" w:styleId="DoubleDot">
    <w:name w:val="Double Dot"/>
    <w:basedOn w:val="Dash"/>
    <w:rsid w:val="00F73064"/>
    <w:pPr>
      <w:numPr>
        <w:ilvl w:val="2"/>
      </w:numPr>
      <w:tabs>
        <w:tab w:val="clear" w:pos="1842"/>
        <w:tab w:val="num" w:pos="360"/>
        <w:tab w:val="num" w:pos="1228"/>
      </w:tabs>
      <w:ind w:left="0" w:firstLine="0"/>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0849BB"/>
    <w:rPr>
      <w:color w:val="3A6FAF" w:themeColor="accent2"/>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14"/>
      </w:numPr>
      <w:tabs>
        <w:tab w:val="num" w:pos="851"/>
      </w:tabs>
    </w:pPr>
  </w:style>
  <w:style w:type="paragraph" w:customStyle="1" w:styleId="OneLevelNumberedParagraph">
    <w:name w:val="One Level Numbered Paragraph"/>
    <w:basedOn w:val="Normal"/>
    <w:rsid w:val="003E0E7B"/>
    <w:pPr>
      <w:numPr>
        <w:numId w:val="13"/>
      </w:numPr>
      <w:tabs>
        <w:tab w:val="clear" w:pos="283"/>
        <w:tab w:val="num" w:pos="284"/>
      </w:tabs>
      <w:ind w:left="284" w:hanging="284"/>
    </w:pPr>
  </w:style>
  <w:style w:type="paragraph" w:customStyle="1" w:styleId="OutlineNumbered2">
    <w:name w:val="Outline Numbered 2"/>
    <w:basedOn w:val="Normal"/>
    <w:rsid w:val="003E0E7B"/>
    <w:pPr>
      <w:tabs>
        <w:tab w:val="num" w:pos="1134"/>
      </w:tabs>
      <w:ind w:left="1134" w:hanging="1134"/>
    </w:pPr>
  </w:style>
  <w:style w:type="paragraph" w:customStyle="1" w:styleId="OutlineNumbered3">
    <w:name w:val="Outline Numbered 3"/>
    <w:basedOn w:val="Normal"/>
    <w:rsid w:val="003E0E7B"/>
    <w:pPr>
      <w:tabs>
        <w:tab w:val="num" w:pos="1418"/>
      </w:tabs>
      <w:ind w:left="360" w:hanging="360"/>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5"/>
      </w:numPr>
      <w:tabs>
        <w:tab w:val="clear" w:pos="283"/>
        <w:tab w:val="num" w:pos="284"/>
      </w:tabs>
      <w:ind w:left="284" w:hanging="284"/>
    </w:pPr>
  </w:style>
  <w:style w:type="paragraph" w:customStyle="1" w:styleId="RecommendationDash">
    <w:name w:val="Recommendation Dash"/>
    <w:basedOn w:val="RecommendationTextBase"/>
    <w:rsid w:val="00301A52"/>
    <w:pPr>
      <w:numPr>
        <w:ilvl w:val="1"/>
        <w:numId w:val="15"/>
      </w:numPr>
    </w:pPr>
  </w:style>
  <w:style w:type="paragraph" w:customStyle="1" w:styleId="RecommendationDoubleDot">
    <w:name w:val="Recommendation Double Dot"/>
    <w:basedOn w:val="RecommendationTextBase"/>
    <w:rsid w:val="00301A52"/>
    <w:pPr>
      <w:numPr>
        <w:ilvl w:val="2"/>
        <w:numId w:val="15"/>
      </w:numPr>
      <w:tabs>
        <w:tab w:val="clear" w:pos="850"/>
        <w:tab w:val="num" w:pos="851"/>
      </w:tabs>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12"/>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8"/>
      </w:numPr>
    </w:pPr>
  </w:style>
  <w:style w:type="paragraph" w:customStyle="1" w:styleId="TableTextBullet">
    <w:name w:val="Table Text Bullet"/>
    <w:basedOn w:val="TableTextBase"/>
    <w:rsid w:val="002271BB"/>
    <w:pPr>
      <w:numPr>
        <w:numId w:val="18"/>
      </w:numPr>
    </w:pPr>
  </w:style>
  <w:style w:type="numbering" w:customStyle="1" w:styleId="TableTestBulletList">
    <w:name w:val="Table Test Bullet List"/>
    <w:uiPriority w:val="99"/>
    <w:rsid w:val="00E177C9"/>
    <w:pPr>
      <w:numPr>
        <w:numId w:val="9"/>
      </w:numPr>
    </w:pPr>
  </w:style>
  <w:style w:type="numbering" w:customStyle="1" w:styleId="TableTextBulletList">
    <w:name w:val="Table Text Bullet List"/>
    <w:uiPriority w:val="99"/>
    <w:rsid w:val="005F3390"/>
    <w:pPr>
      <w:numPr>
        <w:numId w:val="10"/>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C47"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C47"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C47"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C47"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C47"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C47"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C47"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C47"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9"/>
      </w:numPr>
    </w:pPr>
  </w:style>
  <w:style w:type="paragraph" w:customStyle="1" w:styleId="HeadingBaseStyle">
    <w:name w:val="HeadingBaseStyle"/>
    <w:basedOn w:val="Normal"/>
    <w:rsid w:val="000849BB"/>
    <w:pPr>
      <w:keepNext/>
      <w:spacing w:after="0"/>
    </w:pPr>
    <w:rPr>
      <w:rFonts w:ascii="Arial" w:hAnsi="Arial"/>
      <w:color w:val="002C47" w:themeColor="accent1"/>
    </w:rPr>
  </w:style>
  <w:style w:type="paragraph" w:customStyle="1" w:styleId="AppendixHeadingNotNumbered">
    <w:name w:val="Appendix Heading Not Numbered"/>
    <w:basedOn w:val="HeadingBaseStyle"/>
    <w:rsid w:val="00F73064"/>
    <w:pPr>
      <w:numPr>
        <w:numId w:val="20"/>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20"/>
      </w:numPr>
    </w:pPr>
  </w:style>
  <w:style w:type="paragraph" w:customStyle="1" w:styleId="AppendixHeadingLevel4">
    <w:name w:val="Appendix Heading Level 4"/>
    <w:basedOn w:val="Heading4"/>
    <w:next w:val="Normal"/>
    <w:rsid w:val="00F73064"/>
    <w:pPr>
      <w:numPr>
        <w:ilvl w:val="3"/>
        <w:numId w:val="20"/>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2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3"/>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0849BB"/>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C47" w:themeColor="accent1"/>
      </w:pBdr>
      <w:spacing w:before="200" w:after="280"/>
      <w:ind w:left="936" w:right="936"/>
    </w:pPr>
    <w:rPr>
      <w:b/>
      <w:bCs/>
      <w:i/>
      <w:iCs/>
      <w:color w:val="002C47" w:themeColor="accent1"/>
    </w:rPr>
  </w:style>
  <w:style w:type="character" w:customStyle="1" w:styleId="IntenseQuoteChar">
    <w:name w:val="Intense Quote Char"/>
    <w:basedOn w:val="DefaultParagraphFont"/>
    <w:link w:val="IntenseQuote"/>
    <w:uiPriority w:val="30"/>
    <w:rsid w:val="00F73064"/>
    <w:rPr>
      <w:b/>
      <w:bCs/>
      <w:i/>
      <w:iCs/>
      <w:color w:val="002C47"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5"/>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Heading1">
    <w:name w:val="Table Heading 1"/>
    <w:basedOn w:val="HeadingBaseStyle"/>
    <w:next w:val="Normal"/>
    <w:rsid w:val="00F73064"/>
    <w:pPr>
      <w:spacing w:before="120" w:after="20"/>
      <w:jc w:val="center"/>
    </w:pPr>
    <w:rPr>
      <w:sz w:val="24"/>
    </w:rPr>
  </w:style>
  <w:style w:type="paragraph" w:customStyle="1" w:styleId="Tableheading2">
    <w:name w:val="Table heading 2"/>
    <w:basedOn w:val="TableHeading1"/>
    <w:next w:val="Normal"/>
    <w:rsid w:val="00F73064"/>
    <w:pPr>
      <w:spacing w:before="0"/>
    </w:pPr>
    <w:rPr>
      <w:sz w:val="22"/>
    </w:rPr>
  </w:style>
  <w:style w:type="paragraph" w:customStyle="1" w:styleId="TableHeadingcontinued">
    <w:name w:val="Table Heading continued"/>
    <w:basedOn w:val="HeadingBaseStyle"/>
    <w:next w:val="Normal"/>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Number"/>
    <w:basedOn w:val="Normal"/>
    <w:link w:val="ListParagraphChar"/>
    <w:uiPriority w:val="34"/>
    <w:qFormat/>
    <w:rsid w:val="00B609C3"/>
    <w:pPr>
      <w:spacing w:after="0"/>
      <w:ind w:left="720"/>
      <w:contextualSpacing/>
    </w:pPr>
    <w:rPr>
      <w:rFonts w:ascii="Arial" w:eastAsia="Times New Roman" w:hAnsi="Arial"/>
      <w:color w:val="auto"/>
      <w:sz w:val="20"/>
      <w:szCs w:val="20"/>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B609C3"/>
    <w:rPr>
      <w:rFonts w:ascii="Arial" w:eastAsia="Times New Roman" w:hAnsi="Arial"/>
      <w:sz w:val="20"/>
      <w:szCs w:val="20"/>
    </w:rPr>
  </w:style>
  <w:style w:type="character" w:customStyle="1" w:styleId="BulletChar">
    <w:name w:val="Bullet Char"/>
    <w:basedOn w:val="DefaultParagraphFont"/>
    <w:link w:val="Bullet"/>
    <w:rsid w:val="00CA436E"/>
    <w:rPr>
      <w:rFonts w:ascii="Calibri" w:hAnsi="Calibri"/>
      <w:color w:val="000000" w:themeColor="text1"/>
    </w:rPr>
  </w:style>
  <w:style w:type="paragraph" w:styleId="Revision">
    <w:name w:val="Revision"/>
    <w:hidden/>
    <w:uiPriority w:val="99"/>
    <w:semiHidden/>
    <w:rsid w:val="00B326C6"/>
    <w:pPr>
      <w:spacing w:after="0" w:line="240" w:lineRule="auto"/>
    </w:pPr>
    <w:rPr>
      <w:rFonts w:ascii="Calibri" w:hAnsi="Calibri"/>
      <w:color w:val="000000" w:themeColor="text1"/>
    </w:rPr>
  </w:style>
  <w:style w:type="paragraph" w:customStyle="1" w:styleId="subsection">
    <w:name w:val="subsection"/>
    <w:aliases w:val="ss,Subsection,t_Main"/>
    <w:basedOn w:val="Normal"/>
    <w:link w:val="subsectionChar"/>
    <w:rsid w:val="006759D4"/>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link w:val="paragraphChar"/>
    <w:rsid w:val="006759D4"/>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6759D4"/>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6759D4"/>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64771">
      <w:bodyDiv w:val="1"/>
      <w:marLeft w:val="0"/>
      <w:marRight w:val="0"/>
      <w:marTop w:val="0"/>
      <w:marBottom w:val="0"/>
      <w:divBdr>
        <w:top w:val="none" w:sz="0" w:space="0" w:color="auto"/>
        <w:left w:val="none" w:sz="0" w:space="0" w:color="auto"/>
        <w:bottom w:val="none" w:sz="0" w:space="0" w:color="auto"/>
        <w:right w:val="none" w:sz="0" w:space="0" w:color="auto"/>
      </w:divBdr>
    </w:div>
    <w:div w:id="214317737">
      <w:bodyDiv w:val="1"/>
      <w:marLeft w:val="0"/>
      <w:marRight w:val="0"/>
      <w:marTop w:val="0"/>
      <w:marBottom w:val="0"/>
      <w:divBdr>
        <w:top w:val="none" w:sz="0" w:space="0" w:color="auto"/>
        <w:left w:val="none" w:sz="0" w:space="0" w:color="auto"/>
        <w:bottom w:val="none" w:sz="0" w:space="0" w:color="auto"/>
        <w:right w:val="none" w:sz="0" w:space="0" w:color="auto"/>
      </w:divBdr>
    </w:div>
    <w:div w:id="547036150">
      <w:bodyDiv w:val="1"/>
      <w:marLeft w:val="0"/>
      <w:marRight w:val="0"/>
      <w:marTop w:val="0"/>
      <w:marBottom w:val="0"/>
      <w:divBdr>
        <w:top w:val="none" w:sz="0" w:space="0" w:color="auto"/>
        <w:left w:val="none" w:sz="0" w:space="0" w:color="auto"/>
        <w:bottom w:val="none" w:sz="0" w:space="0" w:color="auto"/>
        <w:right w:val="none" w:sz="0" w:space="0" w:color="auto"/>
      </w:divBdr>
    </w:div>
    <w:div w:id="1773279090">
      <w:bodyDiv w:val="1"/>
      <w:marLeft w:val="0"/>
      <w:marRight w:val="0"/>
      <w:marTop w:val="0"/>
      <w:marBottom w:val="0"/>
      <w:divBdr>
        <w:top w:val="none" w:sz="0" w:space="0" w:color="auto"/>
        <w:left w:val="none" w:sz="0" w:space="0" w:color="auto"/>
        <w:bottom w:val="none" w:sz="0" w:space="0" w:color="auto"/>
        <w:right w:val="none" w:sz="0" w:space="0" w:color="auto"/>
      </w:divBdr>
    </w:div>
    <w:div w:id="19253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media@treasury.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legalco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2021MG-133-57296</_dlc_DocId>
    <SecurityClassification xmlns="d4dd4adf-ddb3-46a3-8d7c-fab3fb2a6bc7" xsi:nil="true"/>
    <TaxCatchAll xmlns="0f563589-9cf9-4143-b1eb-fb0534803d38"/>
    <TaxKeywordTaxHTField xmlns="0f563589-9cf9-4143-b1eb-fb0534803d38">
      <Terms xmlns="http://schemas.microsoft.com/office/infopath/2007/PartnerControls"/>
    </TaxKeywordTaxHTField>
    <IconOverlay xmlns="http://schemas.microsoft.com/sharepoint/v4" xsi:nil="true"/>
    <_dlc_DocIdUrl xmlns="0f563589-9cf9-4143-b1eb-fb0534803d38">
      <Url>http://tweb/sites/mg/sbccpd/_layouts/15/DocIdRedir.aspx?ID=2021MG-133-57296</Url>
      <Description>2021MG-133-57296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1397" ma:contentTypeDescription="" ma:contentTypeScope="" ma:versionID="437aedca236c7cc8616fa1e18c022d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8D73A6E-DFF2-4C75-ABC8-1A4355E16BAA}">
  <ds:schemaRefs>
    <ds:schemaRef ds:uri="http://schemas.openxmlformats.org/officeDocument/2006/bibliography"/>
  </ds:schemaRefs>
</ds:datastoreItem>
</file>

<file path=customXml/itemProps2.xml><?xml version="1.0" encoding="utf-8"?>
<ds:datastoreItem xmlns:ds="http://schemas.openxmlformats.org/officeDocument/2006/customXml" ds:itemID="{2FC23029-061F-4A31-B3F8-084B724915DD}">
  <ds:schemaRefs>
    <ds:schemaRef ds:uri="http://schemas.microsoft.com/sharepoint/events"/>
  </ds:schemaRefs>
</ds:datastoreItem>
</file>

<file path=customXml/itemProps3.xml><?xml version="1.0" encoding="utf-8"?>
<ds:datastoreItem xmlns:ds="http://schemas.openxmlformats.org/officeDocument/2006/customXml" ds:itemID="{57A8D98B-25EE-40D1-98F8-64E055B47B7D}">
  <ds:schemaRefs>
    <ds:schemaRef ds:uri="0f563589-9cf9-4143-b1eb-fb0534803d38"/>
    <ds:schemaRef ds:uri="http://schemas.microsoft.com/office/2006/documentManagement/types"/>
    <ds:schemaRef ds:uri="http://schemas.microsoft.com/office/2006/metadata/properties"/>
    <ds:schemaRef ds:uri="http://purl.org/dc/elements/1.1/"/>
    <ds:schemaRef ds:uri="http://schemas.microsoft.com/sharepoint/v4"/>
    <ds:schemaRef ds:uri="http://schemas.openxmlformats.org/package/2006/metadata/core-properties"/>
    <ds:schemaRef ds:uri="http://schemas.microsoft.com/office/infopath/2007/PartnerControls"/>
    <ds:schemaRef ds:uri="d4dd4adf-ddb3-46a3-8d7c-fab3fb2a6bc7"/>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8CA89CA5-E99E-4DC5-8C10-F2D226CF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D39A8E-C727-470F-890C-0C451080666C}">
  <ds:schemaRefs>
    <ds:schemaRef ds:uri="http://schemas.microsoft.com/sharepoint/v3/contenttype/forms"/>
  </ds:schemaRefs>
</ds:datastoreItem>
</file>

<file path=customXml/itemProps6.xml><?xml version="1.0" encoding="utf-8"?>
<ds:datastoreItem xmlns:ds="http://schemas.openxmlformats.org/officeDocument/2006/customXml" ds:itemID="{A16A7AB1-2F14-4C1E-B116-A7EAC932457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25275</Characters>
  <Application>Microsoft Office Word</Application>
  <DocSecurity>0</DocSecurity>
  <Lines>428</Lines>
  <Paragraphs>164</Paragraphs>
  <ScaleCrop>false</ScaleCrop>
  <HeadingPairs>
    <vt:vector size="2" baseType="variant">
      <vt:variant>
        <vt:lpstr>Title</vt:lpstr>
      </vt:variant>
      <vt:variant>
        <vt:i4>1</vt:i4>
      </vt:variant>
    </vt:vector>
  </HeadingPairs>
  <TitlesOfParts>
    <vt:vector size="1" baseType="lpstr">
      <vt:lpstr>The Consumer Data Right: Privacy Impact Assessment (September 2021)</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Consumer Data Right: Privacy Impact Assessment (September 2021)</dc:title>
  <dc:subject/>
  <dc:creator/>
  <cp:keywords/>
  <cp:lastModifiedBy/>
  <cp:revision>1</cp:revision>
  <dcterms:created xsi:type="dcterms:W3CDTF">2021-10-06T22:13:00Z</dcterms:created>
  <dcterms:modified xsi:type="dcterms:W3CDTF">2021-10-06T23:02:00Z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PM_InsertionValue">
    <vt:lpwstr/>
  </property>
  <property fmtid="{D5CDD505-2E9C-101B-9397-08002B2CF9AE}" pid="4" name="Language">
    <vt:lpwstr>English</vt:lpwstr>
  </property>
  <property fmtid="{D5CDD505-2E9C-101B-9397-08002B2CF9AE}" pid="5" name="PM_Originator_Hash_SHA1">
    <vt:lpwstr>65B4B6F1F11C183D2B9D7143C75A26499BBDDD68</vt:lpwstr>
  </property>
  <property fmtid="{D5CDD505-2E9C-101B-9397-08002B2CF9AE}" pid="6" name="PM_SecurityClassification">
    <vt:lpwstr/>
  </property>
  <property fmtid="{D5CDD505-2E9C-101B-9397-08002B2CF9AE}" pid="7" name="PM_OriginationTimeStamp">
    <vt:lpwstr>2020-08-10T08:03:37Z</vt:lpwstr>
  </property>
  <property fmtid="{D5CDD505-2E9C-101B-9397-08002B2CF9AE}" pid="8" name="PM_Hash_Salt">
    <vt:lpwstr>AD8678A2C70BDC6057274921645447C1</vt:lpwstr>
  </property>
  <property fmtid="{D5CDD505-2E9C-101B-9397-08002B2CF9AE}" pid="9" name="PM_ProtectiveMarkingImage_Header">
    <vt:lpwstr>C:\Program Files (x86)\Common Files\janusNET Shared\janusSEAL\Images\DocumentSlashBlue.png</vt:lpwstr>
  </property>
  <property fmtid="{D5CDD505-2E9C-101B-9397-08002B2CF9AE}" pid="10" name="ContentTypeId">
    <vt:lpwstr>0x010100E95D40E5DFEA714B90E88DB5CE07A6B500DDAFF7E1A29DE64F981B4EA50562BA75</vt:lpwstr>
  </property>
  <property fmtid="{D5CDD505-2E9C-101B-9397-08002B2CF9AE}" pid="11" name="PM_Caveats_Count">
    <vt:lpwstr>0</vt:lpwstr>
  </property>
  <property fmtid="{D5CDD505-2E9C-101B-9397-08002B2CF9AE}" pid="12" name="PM_Note">
    <vt:lpwstr/>
  </property>
  <property fmtid="{D5CDD505-2E9C-101B-9397-08002B2CF9AE}" pid="13" name="PM_Markers">
    <vt:lpwstr/>
  </property>
  <property fmtid="{D5CDD505-2E9C-101B-9397-08002B2CF9AE}" pid="14" name="PM_Namespace">
    <vt:lpwstr>gov.au</vt:lpwstr>
  </property>
  <property fmtid="{D5CDD505-2E9C-101B-9397-08002B2CF9AE}" pid="15" name="TSYRecordClass">
    <vt:lpwstr>2;#TSY RA-9081 - Retain as national archives|bbf0bcde-1687-4ff2-bc57-f31b5d545d4b</vt:lpwstr>
  </property>
  <property fmtid="{D5CDD505-2E9C-101B-9397-08002B2CF9AE}" pid="16" name="PM_ProtectiveMarkingImage_Footer">
    <vt:lpwstr>C:\Program Files (x86)\Common Files\janusNET Shared\janusSEAL\Images\DocumentSlashBlue.png</vt:lpwstr>
  </property>
  <property fmtid="{D5CDD505-2E9C-101B-9397-08002B2CF9AE}" pid="17" name="PM_DisplayValueSecClassificationWithQualifier">
    <vt:lpwstr/>
  </property>
  <property fmtid="{D5CDD505-2E9C-101B-9397-08002B2CF9AE}" pid="18" name="PM_ProtectiveMarkingValue_Header">
    <vt:lpwstr/>
  </property>
  <property fmtid="{D5CDD505-2E9C-101B-9397-08002B2CF9AE}" pid="19" name="PM_Hash_Version">
    <vt:lpwstr>2018.0</vt:lpwstr>
  </property>
  <property fmtid="{D5CDD505-2E9C-101B-9397-08002B2CF9AE}" pid="20" name="PM_Qualifier_Prev">
    <vt:lpwstr/>
  </property>
  <property fmtid="{D5CDD505-2E9C-101B-9397-08002B2CF9AE}" pid="21" name="DLMSecurityClassification">
    <vt:lpwstr>Sensitive</vt:lpwstr>
  </property>
  <property fmtid="{D5CDD505-2E9C-101B-9397-08002B2CF9AE}" pid="22" name="PM_Hash_SHA1">
    <vt:lpwstr>C761174D032061C67D591093F9871C5B09D15182</vt:lpwstr>
  </property>
  <property fmtid="{D5CDD505-2E9C-101B-9397-08002B2CF9AE}" pid="23" name="PM_Originating_FileId">
    <vt:lpwstr>AACA4B89572A4532BE14E1F45397B116</vt:lpwstr>
  </property>
  <property fmtid="{D5CDD505-2E9C-101B-9397-08002B2CF9AE}" pid="24" name="_dlc_DocIdItemGuid">
    <vt:lpwstr>7b212954-5ae0-4d93-a553-b7055300a572</vt:lpwstr>
  </property>
  <property fmtid="{D5CDD505-2E9C-101B-9397-08002B2CF9AE}" pid="25" name="PM_Version">
    <vt:lpwstr>2018.1</vt:lpwstr>
  </property>
  <property fmtid="{D5CDD505-2E9C-101B-9397-08002B2CF9AE}" pid="26" name="PM_Hash_Salt_Prev">
    <vt:lpwstr>A756B502D6DB8AB54EF0AF80A83372A9</vt:lpwstr>
  </property>
  <property fmtid="{D5CDD505-2E9C-101B-9397-08002B2CF9AE}" pid="27" name="PM_Qualifier">
    <vt:lpwstr/>
  </property>
  <property fmtid="{D5CDD505-2E9C-101B-9397-08002B2CF9AE}" pid="28" name="PM_SecurityClassification_Prev">
    <vt:lpwstr>OFFICIAL</vt:lpwstr>
  </property>
  <property fmtid="{D5CDD505-2E9C-101B-9397-08002B2CF9AE}" pid="29" name="WorkingDocStatus">
    <vt:lpwstr/>
  </property>
  <property fmtid="{D5CDD505-2E9C-101B-9397-08002B2CF9AE}" pid="30" name="PM_ProtectiveMarkingValue_Footer">
    <vt:lpwstr/>
  </property>
</Properties>
</file>