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88D64" w14:textId="2DDFF706" w:rsidR="00DA52F3" w:rsidRPr="00DA52F3" w:rsidRDefault="0018119D" w:rsidP="00DA52F3">
      <w:pPr>
        <w:keepNext/>
        <w:spacing w:before="240" w:after="360"/>
        <w:jc w:val="center"/>
        <w:outlineLvl w:val="0"/>
        <w:rPr>
          <w:b/>
          <w:kern w:val="28"/>
          <w:szCs w:val="24"/>
          <w:u w:val="single"/>
        </w:rPr>
      </w:pPr>
      <w:bookmarkStart w:id="0" w:name="_GoBack"/>
      <w:bookmarkEnd w:id="0"/>
      <w:r>
        <w:rPr>
          <w:b/>
          <w:kern w:val="28"/>
          <w:szCs w:val="24"/>
          <w:u w:val="single"/>
        </w:rPr>
        <w:t xml:space="preserve">DRAFT </w:t>
      </w:r>
      <w:r w:rsidR="00DA52F3" w:rsidRPr="00DA52F3">
        <w:rPr>
          <w:b/>
          <w:kern w:val="28"/>
          <w:szCs w:val="24"/>
          <w:u w:val="single"/>
        </w:rPr>
        <w:t>EXPLANATORY STATEMENT</w:t>
      </w:r>
    </w:p>
    <w:p w14:paraId="1544E1B0" w14:textId="00B0CF4A" w:rsidR="00DA52F3" w:rsidRPr="00DA52F3" w:rsidRDefault="00DA52F3" w:rsidP="00DA52F3">
      <w:pPr>
        <w:keepNext/>
        <w:spacing w:before="240" w:after="60"/>
        <w:jc w:val="center"/>
        <w:outlineLvl w:val="1"/>
        <w:rPr>
          <w:b/>
          <w:szCs w:val="24"/>
          <w:u w:val="single"/>
        </w:rPr>
      </w:pPr>
      <w:r w:rsidRPr="00DA52F3">
        <w:rPr>
          <w:b/>
          <w:szCs w:val="24"/>
          <w:u w:val="single"/>
        </w:rPr>
        <w:t xml:space="preserve">Issued by authority of the </w:t>
      </w:r>
      <w:sdt>
        <w:sdtPr>
          <w:rPr>
            <w:b/>
            <w:szCs w:val="24"/>
            <w:u w:val="single"/>
          </w:rPr>
          <w:id w:val="435951383"/>
          <w:placeholder>
            <w:docPart w:val="0DB2D918776A42858D7CFC3610734689"/>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272EA0">
            <w:rPr>
              <w:b/>
              <w:szCs w:val="24"/>
              <w:u w:val="single"/>
            </w:rPr>
            <w:t>Treasurer</w:t>
          </w:r>
        </w:sdtContent>
      </w:sdt>
    </w:p>
    <w:p w14:paraId="0E92E4CC" w14:textId="77777777" w:rsidR="00DA52F3" w:rsidRPr="00DA52F3" w:rsidRDefault="00DA52F3" w:rsidP="00DA52F3">
      <w:pPr>
        <w:spacing w:before="240" w:after="240"/>
        <w:jc w:val="center"/>
        <w:rPr>
          <w:i/>
        </w:rPr>
      </w:pPr>
      <w:r w:rsidRPr="00DA52F3">
        <w:rPr>
          <w:i/>
        </w:rPr>
        <w:t>Superannuation (Government Co-contribution for Low Income Earners) Act 2003</w:t>
      </w:r>
    </w:p>
    <w:p w14:paraId="34602101" w14:textId="3221C22F" w:rsidR="00DA52F3" w:rsidRPr="00DA52F3" w:rsidRDefault="00DA52F3" w:rsidP="00DA52F3">
      <w:pPr>
        <w:tabs>
          <w:tab w:val="left" w:pos="1418"/>
        </w:tabs>
        <w:spacing w:before="0" w:after="240"/>
        <w:jc w:val="center"/>
        <w:rPr>
          <w:i/>
        </w:rPr>
      </w:pPr>
      <w:r w:rsidRPr="00DA52F3">
        <w:rPr>
          <w:i/>
        </w:rPr>
        <w:t>Superannuation (Government Co-contribution for Low Income Earners) Regulations 202</w:t>
      </w:r>
      <w:r w:rsidR="00207E28">
        <w:rPr>
          <w:i/>
        </w:rPr>
        <w:t>2</w:t>
      </w:r>
    </w:p>
    <w:p w14:paraId="66DEF45C" w14:textId="77777777" w:rsidR="00DA52F3" w:rsidRPr="00DA52F3" w:rsidRDefault="00DA52F3" w:rsidP="00DA52F3">
      <w:pPr>
        <w:spacing w:before="240"/>
      </w:pPr>
      <w:bookmarkStart w:id="1" w:name="_Hlk88838595"/>
      <w:r w:rsidRPr="00DA52F3">
        <w:t xml:space="preserve">Section 55 of the </w:t>
      </w:r>
      <w:r w:rsidRPr="00DA52F3">
        <w:rPr>
          <w:i/>
          <w:iCs/>
        </w:rPr>
        <w:t>Superannuation (Government Co-contribution for Low Income Earners) Act 2003</w:t>
      </w:r>
      <w:r w:rsidRPr="00DA52F3">
        <w:t xml:space="preserve"> (the Act) provides that the Governor-General may make regulations prescribing matters required or permitted by the Act to be prescribed, or necessary or convenient to be prescribed for carrying out or giving effect to the Act.</w:t>
      </w:r>
    </w:p>
    <w:p w14:paraId="63A1493B" w14:textId="42339583" w:rsidR="00E346B5" w:rsidRDefault="00272EA0" w:rsidP="00DA52F3">
      <w:pPr>
        <w:spacing w:before="240"/>
        <w:rPr>
          <w:color w:val="000000"/>
        </w:rPr>
      </w:pPr>
      <w:r>
        <w:t xml:space="preserve">The purpose of the </w:t>
      </w:r>
      <w:r w:rsidRPr="00DA52F3">
        <w:rPr>
          <w:i/>
          <w:iCs/>
        </w:rPr>
        <w:t>Superannuation (Government Co-contribution for Low Income Earners)</w:t>
      </w:r>
      <w:r>
        <w:rPr>
          <w:i/>
          <w:iCs/>
        </w:rPr>
        <w:t xml:space="preserve"> Regulations 202</w:t>
      </w:r>
      <w:r w:rsidR="00207E28">
        <w:rPr>
          <w:i/>
          <w:iCs/>
        </w:rPr>
        <w:t>2</w:t>
      </w:r>
      <w:r>
        <w:rPr>
          <w:i/>
          <w:iCs/>
        </w:rPr>
        <w:t xml:space="preserve"> </w:t>
      </w:r>
      <w:r>
        <w:t>(the Regulations) is to remake and improve the operation of the</w:t>
      </w:r>
      <w:r w:rsidR="00004DFF" w:rsidRPr="00004DFF">
        <w:rPr>
          <w:i/>
          <w:iCs/>
        </w:rPr>
        <w:t xml:space="preserve"> </w:t>
      </w:r>
      <w:r w:rsidR="00004DFF" w:rsidRPr="00DA52F3">
        <w:rPr>
          <w:i/>
          <w:iCs/>
        </w:rPr>
        <w:t>Superannuation</w:t>
      </w:r>
      <w:r>
        <w:t xml:space="preserve"> </w:t>
      </w:r>
      <w:r w:rsidRPr="00DA52F3">
        <w:rPr>
          <w:i/>
          <w:iCs/>
        </w:rPr>
        <w:t>(Government Co-contribution for Low Income Earners)</w:t>
      </w:r>
      <w:r>
        <w:rPr>
          <w:i/>
          <w:iCs/>
        </w:rPr>
        <w:t xml:space="preserve"> Regulations</w:t>
      </w:r>
      <w:r>
        <w:t xml:space="preserve"> </w:t>
      </w:r>
      <w:r>
        <w:rPr>
          <w:i/>
          <w:iCs/>
        </w:rPr>
        <w:t>2004</w:t>
      </w:r>
      <w:r>
        <w:t xml:space="preserve"> </w:t>
      </w:r>
      <w:r w:rsidR="00172241">
        <w:t xml:space="preserve">(2004 Regulations) </w:t>
      </w:r>
      <w:r>
        <w:t>before they ‘sunset’</w:t>
      </w:r>
      <w:r w:rsidRPr="00E346B5">
        <w:t>.</w:t>
      </w:r>
      <w:r w:rsidR="00172241" w:rsidRPr="00E346B5">
        <w:t xml:space="preserve"> </w:t>
      </w:r>
      <w:r w:rsidRPr="00E346B5">
        <w:rPr>
          <w:color w:val="000000"/>
        </w:rPr>
        <w:t>The</w:t>
      </w:r>
      <w:r>
        <w:rPr>
          <w:color w:val="000000"/>
        </w:rPr>
        <w:t> </w:t>
      </w:r>
      <w:r>
        <w:rPr>
          <w:i/>
          <w:iCs/>
          <w:color w:val="000000"/>
        </w:rPr>
        <w:t>Legislation Act 2003</w:t>
      </w:r>
      <w:r>
        <w:rPr>
          <w:color w:val="000000"/>
        </w:rPr>
        <w:t xml:space="preserve"> provides that all legislative instruments, other than exempt instruments, progressively sunset according to the timetable in section 50 of that Act. </w:t>
      </w:r>
      <w:r w:rsidR="00E346B5" w:rsidRPr="00E346B5">
        <w:rPr>
          <w:color w:val="000000"/>
        </w:rPr>
        <w:t>Legislative instruments generally cease to have effect after 10 years unless their operation is extended such as by remaking the instrument.</w:t>
      </w:r>
    </w:p>
    <w:p w14:paraId="0DD93B07" w14:textId="68B605AC" w:rsidR="00E346B5" w:rsidRDefault="00272EA0" w:rsidP="00E346B5">
      <w:pPr>
        <w:spacing w:before="240"/>
        <w:rPr>
          <w:color w:val="000000"/>
        </w:rPr>
      </w:pPr>
      <w:r>
        <w:rPr>
          <w:color w:val="000000"/>
        </w:rPr>
        <w:t xml:space="preserve">Legislative instruments made in the years </w:t>
      </w:r>
      <w:r w:rsidR="00172241">
        <w:rPr>
          <w:color w:val="000000"/>
        </w:rPr>
        <w:t>2003</w:t>
      </w:r>
      <w:r>
        <w:rPr>
          <w:color w:val="000000"/>
        </w:rPr>
        <w:t xml:space="preserve"> </w:t>
      </w:r>
      <w:r w:rsidR="00172241">
        <w:rPr>
          <w:color w:val="000000"/>
        </w:rPr>
        <w:t>and</w:t>
      </w:r>
      <w:r>
        <w:rPr>
          <w:color w:val="000000"/>
        </w:rPr>
        <w:t xml:space="preserve"> </w:t>
      </w:r>
      <w:r w:rsidR="00172241">
        <w:rPr>
          <w:color w:val="000000"/>
        </w:rPr>
        <w:t>2004</w:t>
      </w:r>
      <w:r>
        <w:rPr>
          <w:color w:val="000000"/>
        </w:rPr>
        <w:t xml:space="preserve"> that were registered on the Federal Register of Legislation on 1 January 2005, such as the</w:t>
      </w:r>
      <w:r>
        <w:rPr>
          <w:i/>
          <w:iCs/>
          <w:color w:val="000000"/>
        </w:rPr>
        <w:t> </w:t>
      </w:r>
      <w:r w:rsidR="00172241" w:rsidRPr="00172241">
        <w:rPr>
          <w:color w:val="000000"/>
        </w:rPr>
        <w:t>2004</w:t>
      </w:r>
      <w:r>
        <w:rPr>
          <w:color w:val="000000"/>
        </w:rPr>
        <w:t> Regulations, are automatically repealed on 1 April 20</w:t>
      </w:r>
      <w:r w:rsidR="00172241">
        <w:rPr>
          <w:color w:val="000000"/>
        </w:rPr>
        <w:t>20</w:t>
      </w:r>
      <w:r>
        <w:rPr>
          <w:color w:val="000000"/>
        </w:rPr>
        <w:t>.</w:t>
      </w:r>
      <w:r w:rsidR="00E346B5">
        <w:rPr>
          <w:color w:val="000000"/>
        </w:rPr>
        <w:t xml:space="preserve"> </w:t>
      </w:r>
      <w:r w:rsidR="00E346B5" w:rsidRPr="00E346B5">
        <w:rPr>
          <w:color w:val="000000"/>
        </w:rPr>
        <w:t xml:space="preserve">However, a certificate of deferral for 24 months was obtained in the </w:t>
      </w:r>
      <w:r w:rsidR="00E346B5" w:rsidRPr="00E346B5">
        <w:rPr>
          <w:i/>
          <w:iCs/>
          <w:color w:val="000000"/>
        </w:rPr>
        <w:t>Legislation (Deferral of Sunsetting—Superannuation (Government Co‑contribution for Low Income Earners) Regulations) Certificate 2020</w:t>
      </w:r>
      <w:r w:rsidR="00E346B5">
        <w:rPr>
          <w:color w:val="000000"/>
        </w:rPr>
        <w:t xml:space="preserve"> </w:t>
      </w:r>
      <w:r w:rsidR="00E346B5" w:rsidRPr="00E346B5">
        <w:rPr>
          <w:color w:val="000000"/>
        </w:rPr>
        <w:t xml:space="preserve">which deferred the sunsetting date for the </w:t>
      </w:r>
      <w:r w:rsidR="00E346B5">
        <w:rPr>
          <w:color w:val="000000"/>
        </w:rPr>
        <w:t>2004</w:t>
      </w:r>
      <w:r w:rsidR="00E346B5" w:rsidRPr="00E346B5">
        <w:rPr>
          <w:color w:val="000000"/>
        </w:rPr>
        <w:t xml:space="preserve"> Regulations until 1 April 202</w:t>
      </w:r>
      <w:r w:rsidR="00E346B5">
        <w:rPr>
          <w:color w:val="000000"/>
        </w:rPr>
        <w:t>2</w:t>
      </w:r>
      <w:r w:rsidR="00E346B5" w:rsidRPr="00E346B5">
        <w:rPr>
          <w:color w:val="000000"/>
        </w:rPr>
        <w:t>.</w:t>
      </w:r>
    </w:p>
    <w:p w14:paraId="669DAC9C" w14:textId="06C7E3EF" w:rsidR="00DA52F3" w:rsidRPr="00DA52F3" w:rsidRDefault="00CD1D9D" w:rsidP="001450F0">
      <w:pPr>
        <w:spacing w:before="240"/>
      </w:pPr>
      <w:r w:rsidRPr="00CD1D9D">
        <w:rPr>
          <w:color w:val="000000"/>
        </w:rPr>
        <w:t xml:space="preserve">The Regulations remake and improve the </w:t>
      </w:r>
      <w:r>
        <w:rPr>
          <w:color w:val="000000"/>
        </w:rPr>
        <w:t>2004</w:t>
      </w:r>
      <w:r w:rsidRPr="00CD1D9D">
        <w:rPr>
          <w:color w:val="000000"/>
        </w:rPr>
        <w:t xml:space="preserve"> Regulations by omitting redundant provisions</w:t>
      </w:r>
      <w:r>
        <w:rPr>
          <w:color w:val="000000"/>
        </w:rPr>
        <w:t xml:space="preserve">, </w:t>
      </w:r>
      <w:r w:rsidRPr="00CD1D9D">
        <w:rPr>
          <w:color w:val="000000"/>
        </w:rPr>
        <w:t xml:space="preserve">simplifying language and </w:t>
      </w:r>
      <w:r w:rsidR="00004DFF" w:rsidRPr="00CD1D9D">
        <w:rPr>
          <w:color w:val="000000"/>
        </w:rPr>
        <w:t>re</w:t>
      </w:r>
      <w:r w:rsidR="00004DFF">
        <w:rPr>
          <w:color w:val="000000"/>
        </w:rPr>
        <w:t>numbering</w:t>
      </w:r>
      <w:r w:rsidRPr="00CD1D9D">
        <w:rPr>
          <w:color w:val="000000"/>
        </w:rPr>
        <w:t xml:space="preserve"> provisions for ease of navigation. These changes do not affect the substantive meaning or operation of the provisions except in limited cases that are specifically identified in Attachment A. The Regulations follow the structure of the </w:t>
      </w:r>
      <w:r>
        <w:rPr>
          <w:color w:val="000000"/>
        </w:rPr>
        <w:t>2004</w:t>
      </w:r>
      <w:r w:rsidRPr="00CD1D9D">
        <w:rPr>
          <w:color w:val="000000"/>
        </w:rPr>
        <w:t xml:space="preserve"> Regulations.</w:t>
      </w:r>
    </w:p>
    <w:bookmarkEnd w:id="1"/>
    <w:p w14:paraId="20C11DBD" w14:textId="77777777" w:rsidR="001450F0" w:rsidRDefault="001450F0" w:rsidP="00DA52F3">
      <w:pPr>
        <w:spacing w:before="240"/>
      </w:pPr>
      <w:r w:rsidRPr="001450F0">
        <w:t>The Act does not specify any conditions that need to be met before the power to make the Regulations may be exercised.</w:t>
      </w:r>
    </w:p>
    <w:p w14:paraId="2442970C" w14:textId="3F08F1BB" w:rsidR="00DA52F3" w:rsidRPr="00DA52F3" w:rsidRDefault="00DA52F3" w:rsidP="00DA52F3">
      <w:pPr>
        <w:spacing w:before="240"/>
      </w:pPr>
      <w:r w:rsidRPr="00DA52F3">
        <w:t xml:space="preserve">Details of the Regulations are set out in </w:t>
      </w:r>
      <w:r w:rsidRPr="00DA52F3">
        <w:rPr>
          <w:u w:val="single"/>
        </w:rPr>
        <w:t>Attachment</w:t>
      </w:r>
      <w:r w:rsidR="00D421A7">
        <w:rPr>
          <w:u w:val="single"/>
        </w:rPr>
        <w:t xml:space="preserve"> A</w:t>
      </w:r>
      <w:r w:rsidRPr="00DA52F3">
        <w:rPr>
          <w:u w:val="single"/>
        </w:rPr>
        <w:t>.</w:t>
      </w:r>
    </w:p>
    <w:p w14:paraId="29A95A50" w14:textId="0965B6AF" w:rsidR="00DA52F3" w:rsidRPr="00DA52F3" w:rsidRDefault="00DA52F3" w:rsidP="00DA52F3">
      <w:pPr>
        <w:spacing w:before="240"/>
      </w:pPr>
      <w:r w:rsidRPr="00DA52F3">
        <w:t xml:space="preserve">The Regulations are a legislative instrument for the purposes of the </w:t>
      </w:r>
      <w:r w:rsidRPr="00DA52F3">
        <w:rPr>
          <w:i/>
        </w:rPr>
        <w:t>Legislation Act 2003</w:t>
      </w:r>
      <w:r w:rsidRPr="00DA52F3">
        <w:t>.</w:t>
      </w:r>
      <w:r w:rsidR="00BB699C">
        <w:t xml:space="preserve"> </w:t>
      </w:r>
    </w:p>
    <w:p w14:paraId="2362D0B4" w14:textId="771B0F0B" w:rsidR="00DA52F3" w:rsidRPr="00CD1D9D" w:rsidRDefault="00DA52F3" w:rsidP="00DA52F3">
      <w:pPr>
        <w:spacing w:before="240"/>
        <w:rPr>
          <w:i/>
        </w:rPr>
      </w:pPr>
      <w:r w:rsidRPr="00DA52F3">
        <w:t>The Regulations commence</w:t>
      </w:r>
      <w:r w:rsidR="00CD1D9D">
        <w:t xml:space="preserve"> </w:t>
      </w:r>
      <w:r w:rsidRPr="00DA52F3">
        <w:t xml:space="preserve">on </w:t>
      </w:r>
      <w:r w:rsidR="00CD1D9D">
        <w:t>1 April 2022.</w:t>
      </w:r>
    </w:p>
    <w:p w14:paraId="48C07CC2" w14:textId="65AC33C2" w:rsidR="00DA52F3" w:rsidRPr="00DA52F3" w:rsidRDefault="00DA52F3" w:rsidP="00DA52F3">
      <w:pPr>
        <w:pageBreakBefore/>
        <w:spacing w:before="240"/>
        <w:jc w:val="right"/>
        <w:rPr>
          <w:b/>
          <w:u w:val="single"/>
        </w:rPr>
      </w:pPr>
      <w:r w:rsidRPr="00DA52F3">
        <w:rPr>
          <w:b/>
          <w:u w:val="single"/>
        </w:rPr>
        <w:lastRenderedPageBreak/>
        <w:t>ATTACHMENT</w:t>
      </w:r>
      <w:r w:rsidR="00D421A7">
        <w:rPr>
          <w:b/>
          <w:u w:val="single"/>
        </w:rPr>
        <w:t xml:space="preserve"> A</w:t>
      </w:r>
    </w:p>
    <w:p w14:paraId="1B7F067B" w14:textId="545A5B9C" w:rsidR="00DA52F3" w:rsidRDefault="00DA52F3" w:rsidP="00FC7D62">
      <w:pPr>
        <w:pStyle w:val="Heading2"/>
        <w:rPr>
          <w:sz w:val="24"/>
          <w:szCs w:val="18"/>
        </w:rPr>
      </w:pPr>
      <w:r w:rsidRPr="00FC7D62">
        <w:rPr>
          <w:sz w:val="24"/>
          <w:szCs w:val="18"/>
        </w:rPr>
        <w:t>Details of the Superannuation (Government Co-contribution for Low Income Earners) Regulations 202</w:t>
      </w:r>
      <w:r w:rsidR="000329C7">
        <w:rPr>
          <w:sz w:val="24"/>
          <w:szCs w:val="18"/>
        </w:rPr>
        <w:t>2</w:t>
      </w:r>
      <w:r w:rsidRPr="00FC7D62">
        <w:rPr>
          <w:sz w:val="24"/>
          <w:szCs w:val="18"/>
        </w:rPr>
        <w:t xml:space="preserve"> </w:t>
      </w:r>
    </w:p>
    <w:p w14:paraId="03695DE7" w14:textId="2BFD9B2A" w:rsidR="00FC7D62" w:rsidRPr="00F10276" w:rsidRDefault="00FC7D62" w:rsidP="00FC7D62">
      <w:r>
        <w:t xml:space="preserve">This attachment sets out further details of the </w:t>
      </w:r>
      <w:r>
        <w:rPr>
          <w:i/>
          <w:iCs/>
        </w:rPr>
        <w:t xml:space="preserve">Superannuation </w:t>
      </w:r>
      <w:r w:rsidRPr="00FC7D62">
        <w:rPr>
          <w:i/>
          <w:iCs/>
        </w:rPr>
        <w:t xml:space="preserve">(Government Co-contribution for Low Income Earners) Regulations </w:t>
      </w:r>
      <w:r w:rsidR="00180343" w:rsidRPr="00FC7D62">
        <w:rPr>
          <w:i/>
          <w:iCs/>
        </w:rPr>
        <w:t>202</w:t>
      </w:r>
      <w:r w:rsidR="00180343">
        <w:rPr>
          <w:i/>
          <w:iCs/>
        </w:rPr>
        <w:t>2</w:t>
      </w:r>
      <w:r w:rsidR="00180343" w:rsidRPr="00FC7D62">
        <w:t xml:space="preserve"> </w:t>
      </w:r>
      <w:r w:rsidRPr="00FC7D62">
        <w:t xml:space="preserve">(the Regulations). </w:t>
      </w:r>
      <w:r>
        <w:t xml:space="preserve">All references are to the Regulations unless otherwise stated. </w:t>
      </w:r>
    </w:p>
    <w:p w14:paraId="500948BD" w14:textId="552E6162" w:rsidR="00FC7D62" w:rsidRDefault="00207E28" w:rsidP="00FC7D62">
      <w:r>
        <w:t xml:space="preserve">The Regulations improve the </w:t>
      </w:r>
      <w:r>
        <w:rPr>
          <w:i/>
          <w:iCs/>
        </w:rPr>
        <w:t xml:space="preserve">Superannuation </w:t>
      </w:r>
      <w:r w:rsidRPr="00FC7D62">
        <w:rPr>
          <w:i/>
          <w:iCs/>
        </w:rPr>
        <w:t>(Government Co-contribution for Low Income Earners) Regulations 20</w:t>
      </w:r>
      <w:r>
        <w:rPr>
          <w:i/>
          <w:iCs/>
        </w:rPr>
        <w:t>04</w:t>
      </w:r>
      <w:r w:rsidRPr="00FC7D62">
        <w:t xml:space="preserve"> (</w:t>
      </w:r>
      <w:r>
        <w:t xml:space="preserve">2004 </w:t>
      </w:r>
      <w:r w:rsidRPr="00FC7D62">
        <w:t xml:space="preserve">Regulations) </w:t>
      </w:r>
      <w:r w:rsidRPr="00207E28">
        <w:t xml:space="preserve">by repealing redundant provisions, simplifying language, restructuring and renumbering provisions for ease of navigation. </w:t>
      </w:r>
      <w:r w:rsidR="00FC7D62">
        <w:t xml:space="preserve">Changes of a minor or machinery nature, such as the increased use of headings </w:t>
      </w:r>
      <w:r w:rsidR="00292088">
        <w:t>and</w:t>
      </w:r>
      <w:r w:rsidR="00FC7D62">
        <w:t xml:space="preserve"> references to ‘section’ rather than ‘regulation’ in accordance with modern drafting practice, are generally not specifically identified in this Attachment. Where changes are made that are intended to apply in a different way or require further explanation, these are identified and explained in this Attachment.</w:t>
      </w:r>
    </w:p>
    <w:p w14:paraId="6F5ACD42" w14:textId="213B9D5A" w:rsidR="00D421A7" w:rsidRPr="00FC7D62" w:rsidRDefault="00D421A7" w:rsidP="00FC7D62">
      <w:r>
        <w:t>T</w:t>
      </w:r>
      <w:r w:rsidRPr="00D421A7">
        <w:t xml:space="preserve">he finding table in </w:t>
      </w:r>
      <w:r w:rsidRPr="00D421A7">
        <w:rPr>
          <w:u w:val="single"/>
        </w:rPr>
        <w:t>Attachment B</w:t>
      </w:r>
      <w:r>
        <w:t xml:space="preserve"> </w:t>
      </w:r>
      <w:r w:rsidR="009272BE">
        <w:t>represents</w:t>
      </w:r>
      <w:r>
        <w:t xml:space="preserve"> the previous numbering of the 2004 </w:t>
      </w:r>
      <w:r w:rsidR="00C70DED">
        <w:t>R</w:t>
      </w:r>
      <w:r>
        <w:t xml:space="preserve">egulations and the updated </w:t>
      </w:r>
      <w:r w:rsidR="00C70DED">
        <w:t>numbering in the Regulations</w:t>
      </w:r>
      <w:r w:rsidRPr="00D421A7">
        <w:t>.</w:t>
      </w:r>
    </w:p>
    <w:p w14:paraId="73470497" w14:textId="24A8C128" w:rsidR="00C279EF" w:rsidRPr="00502615" w:rsidRDefault="00C279EF" w:rsidP="00C279EF">
      <w:pPr>
        <w:pStyle w:val="Heading3"/>
        <w:rPr>
          <w:u w:val="single"/>
        </w:rPr>
      </w:pPr>
      <w:r w:rsidRPr="00502615">
        <w:rPr>
          <w:u w:val="single"/>
        </w:rPr>
        <w:t xml:space="preserve">Part 1 – </w:t>
      </w:r>
      <w:r>
        <w:rPr>
          <w:u w:val="single"/>
        </w:rPr>
        <w:t>Preliminary</w:t>
      </w:r>
      <w:r w:rsidRPr="00502615">
        <w:rPr>
          <w:u w:val="single"/>
        </w:rPr>
        <w:t xml:space="preserve"> </w:t>
      </w:r>
    </w:p>
    <w:p w14:paraId="732854A7" w14:textId="7BAAB0EE" w:rsidR="00DA52F3" w:rsidRPr="00292088" w:rsidRDefault="00DA52F3" w:rsidP="00FC7D62">
      <w:pPr>
        <w:pStyle w:val="Heading4"/>
        <w:rPr>
          <w:rFonts w:ascii="Calibri" w:hAnsi="Calibri"/>
          <w:b w:val="0"/>
          <w:bCs/>
          <w:sz w:val="22"/>
          <w:szCs w:val="22"/>
          <w:u w:val="single"/>
          <w:lang w:eastAsia="en-US"/>
        </w:rPr>
      </w:pPr>
      <w:r w:rsidRPr="00292088">
        <w:rPr>
          <w:b w:val="0"/>
          <w:bCs/>
          <w:u w:val="single"/>
        </w:rPr>
        <w:t>Section 1 – Name of the Regulations</w:t>
      </w:r>
    </w:p>
    <w:p w14:paraId="6D447ECE" w14:textId="02ABD023" w:rsidR="00DA52F3" w:rsidRPr="00DA52F3" w:rsidRDefault="00DA52F3" w:rsidP="00DA52F3">
      <w:pPr>
        <w:spacing w:before="240"/>
      </w:pPr>
      <w:r w:rsidRPr="00DA52F3">
        <w:t xml:space="preserve">This section provides that the name of the Regulations is the </w:t>
      </w:r>
      <w:r w:rsidRPr="00DA52F3">
        <w:rPr>
          <w:i/>
        </w:rPr>
        <w:t>Superannuation (Government Co-contribution for Low Income Earners) Regulations 202</w:t>
      </w:r>
      <w:r w:rsidR="00207E28">
        <w:rPr>
          <w:i/>
        </w:rPr>
        <w:t>2</w:t>
      </w:r>
      <w:r w:rsidRPr="00DA52F3">
        <w:t>.</w:t>
      </w:r>
    </w:p>
    <w:p w14:paraId="77C193A7" w14:textId="77777777" w:rsidR="00DA52F3" w:rsidRPr="00292088" w:rsidRDefault="00DA52F3" w:rsidP="00FC7D62">
      <w:pPr>
        <w:pStyle w:val="Heading4"/>
        <w:rPr>
          <w:b w:val="0"/>
          <w:bCs/>
          <w:u w:val="single"/>
        </w:rPr>
      </w:pPr>
      <w:r w:rsidRPr="00292088">
        <w:rPr>
          <w:b w:val="0"/>
          <w:bCs/>
          <w:u w:val="single"/>
        </w:rPr>
        <w:t>Section 2 – Commencement</w:t>
      </w:r>
    </w:p>
    <w:p w14:paraId="584A6062" w14:textId="592B2605" w:rsidR="00DA52F3" w:rsidRPr="00DA52F3" w:rsidRDefault="002A6A2A" w:rsidP="00DA52F3">
      <w:pPr>
        <w:spacing w:before="240"/>
        <w:ind w:right="91"/>
      </w:pPr>
      <w:r>
        <w:t>T</w:t>
      </w:r>
      <w:r w:rsidR="00DA52F3" w:rsidRPr="00DA52F3">
        <w:t xml:space="preserve">he Regulations commence on </w:t>
      </w:r>
      <w:sdt>
        <w:sdtPr>
          <w:id w:val="-36432914"/>
          <w:placeholder>
            <w:docPart w:val="246238EAF918451194FB87F8A3283848"/>
          </w:placeholder>
          <w:date w:fullDate="2022-04-01T00:00:00Z">
            <w:dateFormat w:val="d MMMM yyyy"/>
            <w:lid w:val="en-AU"/>
            <w:storeMappedDataAs w:val="dateTime"/>
            <w:calendar w:val="gregorian"/>
          </w:date>
        </w:sdtPr>
        <w:sdtEndPr/>
        <w:sdtContent>
          <w:r w:rsidR="00EC5794">
            <w:t>1 April 2022</w:t>
          </w:r>
        </w:sdtContent>
      </w:sdt>
      <w:r w:rsidR="00DA52F3" w:rsidRPr="00DA52F3">
        <w:t>.</w:t>
      </w:r>
    </w:p>
    <w:p w14:paraId="38606D0A" w14:textId="77777777" w:rsidR="00DA52F3" w:rsidRPr="00292088" w:rsidRDefault="00DA52F3" w:rsidP="00FC7D62">
      <w:pPr>
        <w:pStyle w:val="Heading4"/>
        <w:rPr>
          <w:b w:val="0"/>
          <w:bCs/>
          <w:u w:val="single"/>
        </w:rPr>
      </w:pPr>
      <w:r w:rsidRPr="00292088">
        <w:rPr>
          <w:b w:val="0"/>
          <w:bCs/>
          <w:u w:val="single"/>
        </w:rPr>
        <w:t>Section 3 – Authority</w:t>
      </w:r>
    </w:p>
    <w:p w14:paraId="6643DF83" w14:textId="439F05A2" w:rsidR="00DA52F3" w:rsidRPr="00DA52F3" w:rsidRDefault="00DA52F3" w:rsidP="00DA52F3">
      <w:pPr>
        <w:spacing w:before="240"/>
        <w:ind w:right="91"/>
      </w:pPr>
      <w:r w:rsidRPr="00DA52F3">
        <w:t xml:space="preserve">The Regulations are made under the </w:t>
      </w:r>
      <w:r w:rsidR="002B6A78" w:rsidRPr="00DA52F3">
        <w:rPr>
          <w:i/>
        </w:rPr>
        <w:t>Superannuation (Government Co-contribution for Low Income Earners</w:t>
      </w:r>
      <w:r w:rsidR="002B6A78">
        <w:rPr>
          <w:i/>
        </w:rPr>
        <w:t xml:space="preserve"> Act 2003</w:t>
      </w:r>
      <w:r w:rsidRPr="00DA52F3">
        <w:t xml:space="preserve"> (the Act).</w:t>
      </w:r>
    </w:p>
    <w:p w14:paraId="54E29E59" w14:textId="77EDF23E" w:rsidR="00DA52F3" w:rsidRPr="00292088" w:rsidRDefault="00DA52F3" w:rsidP="00FC7D62">
      <w:pPr>
        <w:pStyle w:val="Heading4"/>
        <w:rPr>
          <w:b w:val="0"/>
          <w:bCs/>
          <w:u w:val="single"/>
        </w:rPr>
      </w:pPr>
      <w:r w:rsidRPr="00292088">
        <w:rPr>
          <w:b w:val="0"/>
          <w:bCs/>
          <w:u w:val="single"/>
        </w:rPr>
        <w:t>Section 4 – Schedule</w:t>
      </w:r>
    </w:p>
    <w:p w14:paraId="14E19C8B" w14:textId="77777777" w:rsidR="00DA52F3" w:rsidRPr="00DA52F3" w:rsidRDefault="00DA52F3" w:rsidP="00DA52F3">
      <w:pPr>
        <w:spacing w:before="240" w:after="200"/>
        <w:ind w:right="91"/>
        <w:rPr>
          <w:u w:val="single"/>
        </w:rPr>
      </w:pPr>
      <w:r w:rsidRPr="00DA52F3">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4B071A20" w14:textId="6C055867" w:rsidR="00DA52F3" w:rsidRPr="00292088" w:rsidRDefault="004D70F4" w:rsidP="00FC7D62">
      <w:pPr>
        <w:pStyle w:val="Heading4"/>
        <w:rPr>
          <w:b w:val="0"/>
          <w:bCs/>
          <w:color w:val="FF0000"/>
          <w:u w:val="single"/>
        </w:rPr>
      </w:pPr>
      <w:r w:rsidRPr="00292088">
        <w:rPr>
          <w:b w:val="0"/>
          <w:bCs/>
          <w:u w:val="single"/>
        </w:rPr>
        <w:t xml:space="preserve">Section </w:t>
      </w:r>
      <w:r w:rsidR="00C279EF" w:rsidRPr="00292088">
        <w:rPr>
          <w:b w:val="0"/>
          <w:bCs/>
          <w:u w:val="single"/>
        </w:rPr>
        <w:t>5</w:t>
      </w:r>
      <w:r w:rsidRPr="00292088">
        <w:rPr>
          <w:b w:val="0"/>
          <w:bCs/>
          <w:u w:val="single"/>
        </w:rPr>
        <w:t xml:space="preserve"> and </w:t>
      </w:r>
      <w:r w:rsidR="00C279EF" w:rsidRPr="00292088">
        <w:rPr>
          <w:b w:val="0"/>
          <w:bCs/>
          <w:u w:val="single"/>
        </w:rPr>
        <w:t>6</w:t>
      </w:r>
      <w:r w:rsidR="00DA52F3" w:rsidRPr="00292088">
        <w:rPr>
          <w:b w:val="0"/>
          <w:bCs/>
          <w:u w:val="single"/>
        </w:rPr>
        <w:t xml:space="preserve"> – </w:t>
      </w:r>
      <w:r w:rsidRPr="00292088">
        <w:rPr>
          <w:b w:val="0"/>
          <w:bCs/>
          <w:u w:val="single"/>
        </w:rPr>
        <w:t>Definitions</w:t>
      </w:r>
      <w:r w:rsidR="00DA52F3" w:rsidRPr="00292088">
        <w:rPr>
          <w:b w:val="0"/>
          <w:bCs/>
          <w:u w:val="single"/>
        </w:rPr>
        <w:t xml:space="preserve"> </w:t>
      </w:r>
    </w:p>
    <w:p w14:paraId="5A7BC1D6" w14:textId="758DEEA3" w:rsidR="00FF054B" w:rsidRDefault="00DA52F3" w:rsidP="00DA52F3">
      <w:pPr>
        <w:tabs>
          <w:tab w:val="left" w:pos="2835"/>
        </w:tabs>
        <w:spacing w:before="240"/>
        <w:ind w:right="91"/>
      </w:pPr>
      <w:r w:rsidRPr="00DA52F3">
        <w:t xml:space="preserve">Section </w:t>
      </w:r>
      <w:r w:rsidR="00C279EF">
        <w:t>5</w:t>
      </w:r>
      <w:r w:rsidRPr="00DA52F3">
        <w:t xml:space="preserve"> </w:t>
      </w:r>
      <w:r w:rsidR="00257205">
        <w:t xml:space="preserve">contains defined expressions used </w:t>
      </w:r>
      <w:r w:rsidR="00FF054B">
        <w:t>throughout the regulations</w:t>
      </w:r>
      <w:r w:rsidR="00CE52D9">
        <w:t xml:space="preserve">. </w:t>
      </w:r>
      <w:proofErr w:type="gramStart"/>
      <w:r w:rsidR="00CE52D9">
        <w:t>A number of</w:t>
      </w:r>
      <w:proofErr w:type="gramEnd"/>
      <w:r w:rsidR="00CE52D9">
        <w:t xml:space="preserve"> definitions have been updated including using a </w:t>
      </w:r>
      <w:r w:rsidR="00257205">
        <w:t>‘</w:t>
      </w:r>
      <w:r w:rsidR="00FF054B">
        <w:t>signpost</w:t>
      </w:r>
      <w:r w:rsidR="00257205">
        <w:t>’</w:t>
      </w:r>
      <w:r w:rsidR="00FF054B">
        <w:t xml:space="preserve"> </w:t>
      </w:r>
      <w:r w:rsidR="00CE52D9">
        <w:t xml:space="preserve">for </w:t>
      </w:r>
      <w:r w:rsidRPr="00DA52F3">
        <w:t xml:space="preserve">terms that have been defined in the Act. </w:t>
      </w:r>
      <w:r w:rsidR="00257205" w:rsidRPr="00257205">
        <w:t>This is done where it improves the comprehensibility of that section.</w:t>
      </w:r>
      <w:r w:rsidR="00CE52D9">
        <w:t xml:space="preserve"> </w:t>
      </w:r>
      <w:r w:rsidR="00CE52D9" w:rsidRPr="00CE52D9">
        <w:t xml:space="preserve">All expressions in section </w:t>
      </w:r>
      <w:r w:rsidR="00207E28">
        <w:t>5</w:t>
      </w:r>
      <w:r w:rsidR="00CE52D9" w:rsidRPr="00CE52D9">
        <w:t xml:space="preserve"> have the same meaning throughout the Regulations</w:t>
      </w:r>
      <w:r w:rsidR="00CE52D9">
        <w:t xml:space="preserve">, </w:t>
      </w:r>
      <w:r w:rsidR="00CE52D9" w:rsidRPr="00CE52D9">
        <w:t xml:space="preserve">consistent with modern drafting practice. </w:t>
      </w:r>
    </w:p>
    <w:p w14:paraId="245882CA" w14:textId="767085BE" w:rsidR="00DA52F3" w:rsidRPr="00DA52F3" w:rsidRDefault="00DA52F3" w:rsidP="00DA52F3">
      <w:pPr>
        <w:tabs>
          <w:tab w:val="left" w:pos="2835"/>
        </w:tabs>
        <w:spacing w:before="240"/>
        <w:ind w:right="91"/>
      </w:pPr>
      <w:r w:rsidRPr="00DA52F3">
        <w:t xml:space="preserve">The </w:t>
      </w:r>
      <w:r w:rsidR="00071FFB">
        <w:t xml:space="preserve">addition of the definition of </w:t>
      </w:r>
      <w:r w:rsidR="00ED042A">
        <w:t>‘</w:t>
      </w:r>
      <w:r w:rsidRPr="00DA52F3">
        <w:t>conditions of release</w:t>
      </w:r>
      <w:r w:rsidR="00ED042A">
        <w:t>’</w:t>
      </w:r>
      <w:r w:rsidRPr="00DA52F3">
        <w:t xml:space="preserve"> </w:t>
      </w:r>
      <w:r w:rsidR="00BB200F">
        <w:t xml:space="preserve">intends to provide easier </w:t>
      </w:r>
      <w:r w:rsidRPr="00DA52F3">
        <w:t>refer</w:t>
      </w:r>
      <w:r w:rsidR="00A33135">
        <w:t>ence</w:t>
      </w:r>
      <w:r w:rsidRPr="00DA52F3">
        <w:t xml:space="preserve"> to the relevant schedules for a complying superannuation fund or retirement savings account</w:t>
      </w:r>
      <w:r w:rsidR="00A33135">
        <w:t xml:space="preserve"> for the purposes of the eligible account definition</w:t>
      </w:r>
      <w:r w:rsidRPr="00DA52F3">
        <w:t xml:space="preserve">. The </w:t>
      </w:r>
      <w:r w:rsidR="00A33135">
        <w:lastRenderedPageBreak/>
        <w:t>note</w:t>
      </w:r>
      <w:r w:rsidRPr="00DA52F3">
        <w:t xml:space="preserve"> reference</w:t>
      </w:r>
      <w:r w:rsidR="00DB264F">
        <w:t>s</w:t>
      </w:r>
      <w:r w:rsidRPr="00DA52F3">
        <w:t xml:space="preserve"> </w:t>
      </w:r>
      <w:r w:rsidR="00A33135">
        <w:t xml:space="preserve">section </w:t>
      </w:r>
      <w:r w:rsidRPr="00DA52F3">
        <w:t xml:space="preserve">6.01B of the </w:t>
      </w:r>
      <w:r w:rsidR="00B203AA" w:rsidRPr="00B203AA">
        <w:rPr>
          <w:i/>
          <w:iCs/>
        </w:rPr>
        <w:t>Superannuation Industry (Supervision) Regulations 1994</w:t>
      </w:r>
      <w:r w:rsidR="00B203AA">
        <w:t xml:space="preserve"> </w:t>
      </w:r>
      <w:r w:rsidR="00CA6F92" w:rsidRPr="00CA6F92">
        <w:t>(SIS Regulations)</w:t>
      </w:r>
      <w:r w:rsidR="00CA6F92">
        <w:t xml:space="preserve"> </w:t>
      </w:r>
      <w:r w:rsidRPr="00DA52F3">
        <w:t xml:space="preserve">and </w:t>
      </w:r>
      <w:r w:rsidR="00A33135">
        <w:t xml:space="preserve">section </w:t>
      </w:r>
      <w:r w:rsidRPr="00DA52F3">
        <w:t xml:space="preserve">4.01B of the </w:t>
      </w:r>
      <w:r w:rsidRPr="00B203AA">
        <w:rPr>
          <w:i/>
          <w:iCs/>
        </w:rPr>
        <w:t>R</w:t>
      </w:r>
      <w:r w:rsidR="00B203AA">
        <w:rPr>
          <w:i/>
          <w:iCs/>
        </w:rPr>
        <w:t xml:space="preserve">etirement </w:t>
      </w:r>
      <w:r w:rsidRPr="00B203AA">
        <w:rPr>
          <w:i/>
          <w:iCs/>
        </w:rPr>
        <w:t>S</w:t>
      </w:r>
      <w:r w:rsidR="00B203AA">
        <w:rPr>
          <w:i/>
          <w:iCs/>
        </w:rPr>
        <w:t xml:space="preserve">avings </w:t>
      </w:r>
      <w:r w:rsidRPr="00B203AA">
        <w:rPr>
          <w:i/>
          <w:iCs/>
        </w:rPr>
        <w:t>A</w:t>
      </w:r>
      <w:r w:rsidR="00B203AA">
        <w:rPr>
          <w:i/>
          <w:iCs/>
        </w:rPr>
        <w:t xml:space="preserve">ccounts </w:t>
      </w:r>
      <w:r w:rsidRPr="00B203AA">
        <w:rPr>
          <w:i/>
          <w:iCs/>
        </w:rPr>
        <w:t>R</w:t>
      </w:r>
      <w:r w:rsidR="00B203AA">
        <w:rPr>
          <w:i/>
          <w:iCs/>
        </w:rPr>
        <w:t>egulations 1997</w:t>
      </w:r>
      <w:r w:rsidR="00A33135">
        <w:t xml:space="preserve"> </w:t>
      </w:r>
      <w:r w:rsidR="00CA6F92" w:rsidRPr="00CA6F92">
        <w:t>(</w:t>
      </w:r>
      <w:r w:rsidR="00CA6F92">
        <w:t>R</w:t>
      </w:r>
      <w:r w:rsidR="00CA6F92" w:rsidRPr="00CA6F92">
        <w:t>S</w:t>
      </w:r>
      <w:r w:rsidR="00CA6F92">
        <w:t>A</w:t>
      </w:r>
      <w:r w:rsidR="00CA6F92" w:rsidRPr="00CA6F92">
        <w:t xml:space="preserve"> Regulations)</w:t>
      </w:r>
      <w:r w:rsidR="00CA6F92">
        <w:t xml:space="preserve"> </w:t>
      </w:r>
      <w:r w:rsidR="00DB264F">
        <w:t xml:space="preserve">to </w:t>
      </w:r>
      <w:r w:rsidR="00096111">
        <w:t>ensure</w:t>
      </w:r>
      <w:r w:rsidR="00107A44">
        <w:t xml:space="preserve"> temporary residents </w:t>
      </w:r>
      <w:r w:rsidR="00096111">
        <w:t xml:space="preserve">are captured within the </w:t>
      </w:r>
      <w:r w:rsidR="00096111" w:rsidRPr="00096111">
        <w:t>conditions of release</w:t>
      </w:r>
      <w:r w:rsidR="00096111">
        <w:t xml:space="preserve"> </w:t>
      </w:r>
      <w:r w:rsidR="00FC7D62">
        <w:t>definition</w:t>
      </w:r>
      <w:r w:rsidR="00CA6F92">
        <w:t xml:space="preserve">. </w:t>
      </w:r>
      <w:r w:rsidR="00107A44">
        <w:t xml:space="preserve"> </w:t>
      </w:r>
    </w:p>
    <w:p w14:paraId="3D8EFAC9" w14:textId="36D8A911" w:rsidR="00ED042A" w:rsidRDefault="00292088" w:rsidP="00DA52F3">
      <w:pPr>
        <w:tabs>
          <w:tab w:val="left" w:pos="2835"/>
        </w:tabs>
        <w:spacing w:before="240"/>
        <w:ind w:right="91"/>
      </w:pPr>
      <w:r>
        <w:t xml:space="preserve">The definition of an </w:t>
      </w:r>
      <w:r w:rsidR="00ED042A">
        <w:t>‘</w:t>
      </w:r>
      <w:r>
        <w:t>eligible account</w:t>
      </w:r>
      <w:r w:rsidR="00ED042A">
        <w:t>’</w:t>
      </w:r>
      <w:r w:rsidR="00DA52F3" w:rsidRPr="00DA52F3">
        <w:t xml:space="preserve"> has been </w:t>
      </w:r>
      <w:r w:rsidR="0063757E">
        <w:t xml:space="preserve">separated </w:t>
      </w:r>
      <w:r w:rsidR="00ED042A">
        <w:t>in</w:t>
      </w:r>
      <w:r w:rsidR="0063757E">
        <w:t xml:space="preserve">to a new provision </w:t>
      </w:r>
      <w:r w:rsidR="00C65B64">
        <w:t xml:space="preserve">to clarify the different conditions for an account </w:t>
      </w:r>
      <w:r w:rsidR="00853232">
        <w:t xml:space="preserve">with a </w:t>
      </w:r>
      <w:r w:rsidR="00853232" w:rsidRPr="00853232">
        <w:t xml:space="preserve">complying superannuation fund </w:t>
      </w:r>
      <w:r w:rsidR="00C65B64">
        <w:t>under the SIS</w:t>
      </w:r>
      <w:r w:rsidR="00CA6F92">
        <w:t xml:space="preserve"> </w:t>
      </w:r>
      <w:r w:rsidR="00CA6F92" w:rsidRPr="00CA6F92">
        <w:t>Regulations</w:t>
      </w:r>
      <w:r w:rsidR="00C65B64">
        <w:t xml:space="preserve"> and </w:t>
      </w:r>
      <w:r w:rsidR="00853232">
        <w:t xml:space="preserve">or a retirement savings account as under the </w:t>
      </w:r>
      <w:r w:rsidR="00C65B64">
        <w:t>RSA</w:t>
      </w:r>
      <w:r w:rsidR="00CA6F92">
        <w:t xml:space="preserve"> </w:t>
      </w:r>
      <w:r w:rsidR="00CA6F92" w:rsidRPr="00CA6F92">
        <w:t>Regulations</w:t>
      </w:r>
      <w:r w:rsidR="0063757E">
        <w:t>.</w:t>
      </w:r>
      <w:r w:rsidR="00A61DB0">
        <w:t xml:space="preserve"> </w:t>
      </w:r>
      <w:r w:rsidR="00853232">
        <w:t>Consistent with the 2004 regulations,</w:t>
      </w:r>
      <w:r w:rsidR="00DA52F3" w:rsidRPr="00DA52F3">
        <w:t xml:space="preserve"> an eligible account is not an account </w:t>
      </w:r>
      <w:r w:rsidR="00853232">
        <w:t>that provides</w:t>
      </w:r>
      <w:r w:rsidR="00D75614">
        <w:t xml:space="preserve"> only</w:t>
      </w:r>
      <w:r w:rsidR="00853232">
        <w:t xml:space="preserve"> </w:t>
      </w:r>
      <w:r w:rsidR="00DA52F3" w:rsidRPr="00DA52F3">
        <w:t>dea</w:t>
      </w:r>
      <w:r w:rsidR="0063757E">
        <w:t>t</w:t>
      </w:r>
      <w:r w:rsidR="00D00F40">
        <w:t>h or incapacity</w:t>
      </w:r>
      <w:r w:rsidR="00853232">
        <w:t xml:space="preserve"> benefits</w:t>
      </w:r>
      <w:r w:rsidR="00DA52F3" w:rsidRPr="00DA52F3">
        <w:t>.</w:t>
      </w:r>
      <w:r w:rsidR="00A61DB0">
        <w:t xml:space="preserve"> </w:t>
      </w:r>
    </w:p>
    <w:p w14:paraId="06C3A2FE" w14:textId="650CF7E5" w:rsidR="00DA52F3" w:rsidRPr="002E4FB4" w:rsidRDefault="00A61DB0" w:rsidP="00DA52F3">
      <w:pPr>
        <w:tabs>
          <w:tab w:val="left" w:pos="2835"/>
        </w:tabs>
        <w:spacing w:before="240"/>
        <w:ind w:right="91"/>
      </w:pPr>
      <w:r>
        <w:t>The</w:t>
      </w:r>
      <w:r w:rsidR="00CB5DFF">
        <w:t xml:space="preserve"> purpose of excluding the</w:t>
      </w:r>
      <w:r>
        <w:t xml:space="preserve">se types of accounts </w:t>
      </w:r>
      <w:r w:rsidR="00CB5DFF">
        <w:t xml:space="preserve">is to identify </w:t>
      </w:r>
      <w:r>
        <w:t>insurance only accounts</w:t>
      </w:r>
      <w:r w:rsidR="00CB5DFF">
        <w:t xml:space="preserve">. </w:t>
      </w:r>
      <w:r>
        <w:t xml:space="preserve">Government co-contributions </w:t>
      </w:r>
      <w:r w:rsidR="00CB5DFF">
        <w:t>to insurance accounts would contribute towards</w:t>
      </w:r>
      <w:r>
        <w:t xml:space="preserve"> the </w:t>
      </w:r>
      <w:r w:rsidRPr="00A61DB0">
        <w:t>insurance premium rather than the individual’s retirement income.</w:t>
      </w:r>
      <w:r>
        <w:t xml:space="preserve"> </w:t>
      </w:r>
      <w:r w:rsidR="00CB5DFF">
        <w:t>On this basis, a</w:t>
      </w:r>
      <w:r w:rsidR="00853232">
        <w:t>n account that exclusively provides</w:t>
      </w:r>
      <w:r w:rsidR="0063757E">
        <w:t xml:space="preserve"> t</w:t>
      </w:r>
      <w:r w:rsidR="00DA52F3" w:rsidRPr="00DA52F3">
        <w:t xml:space="preserve">erminal medical condition </w:t>
      </w:r>
      <w:r w:rsidR="00853232">
        <w:t xml:space="preserve">benefits </w:t>
      </w:r>
      <w:r w:rsidR="00D42926">
        <w:t xml:space="preserve">has </w:t>
      </w:r>
      <w:r w:rsidR="00DA52F3" w:rsidRPr="00DA52F3">
        <w:t>been</w:t>
      </w:r>
      <w:r w:rsidR="00CB5DFF">
        <w:t xml:space="preserve"> included as an account that cannot receive a Government co-contribution</w:t>
      </w:r>
      <w:r w:rsidR="00DA52F3" w:rsidRPr="00DA52F3">
        <w:t>.</w:t>
      </w:r>
      <w:r w:rsidR="0063757E">
        <w:t xml:space="preserve"> </w:t>
      </w:r>
      <w:r w:rsidR="00853232">
        <w:t xml:space="preserve">As the intention of the </w:t>
      </w:r>
      <w:r w:rsidR="004E2074">
        <w:t>G</w:t>
      </w:r>
      <w:r w:rsidR="00CA6F92">
        <w:t>overnment co</w:t>
      </w:r>
      <w:r w:rsidR="00E9616A">
        <w:noBreakHyphen/>
      </w:r>
      <w:r w:rsidR="00CA6F92">
        <w:t>contribution</w:t>
      </w:r>
      <w:r w:rsidR="009D1AC1">
        <w:t xml:space="preserve"> is to contribute to </w:t>
      </w:r>
      <w:r w:rsidR="00853232">
        <w:t xml:space="preserve">an individual’s </w:t>
      </w:r>
      <w:r w:rsidR="009D1AC1">
        <w:t>retirement savings</w:t>
      </w:r>
      <w:r w:rsidR="00853232">
        <w:t>, excluding this type of account is necessary to ensure consistent operation</w:t>
      </w:r>
      <w:r w:rsidR="009D1AC1">
        <w:t>.</w:t>
      </w:r>
      <w:r w:rsidR="00CA6F92">
        <w:t xml:space="preserve"> </w:t>
      </w:r>
    </w:p>
    <w:p w14:paraId="38888AB1" w14:textId="4D4D16F6" w:rsidR="00C279EF" w:rsidRPr="00502615" w:rsidRDefault="00C279EF" w:rsidP="00C279EF">
      <w:pPr>
        <w:pStyle w:val="Heading3"/>
        <w:rPr>
          <w:u w:val="single"/>
        </w:rPr>
      </w:pPr>
      <w:r w:rsidRPr="00502615">
        <w:rPr>
          <w:u w:val="single"/>
        </w:rPr>
        <w:t xml:space="preserve">Part </w:t>
      </w:r>
      <w:r>
        <w:rPr>
          <w:u w:val="single"/>
        </w:rPr>
        <w:t>2</w:t>
      </w:r>
      <w:r w:rsidRPr="00502615">
        <w:rPr>
          <w:u w:val="single"/>
        </w:rPr>
        <w:t xml:space="preserve"> – </w:t>
      </w:r>
      <w:r>
        <w:rPr>
          <w:u w:val="single"/>
        </w:rPr>
        <w:t xml:space="preserve">Co-contributions </w:t>
      </w:r>
    </w:p>
    <w:p w14:paraId="24DF7E8D" w14:textId="74E2865D" w:rsidR="004D70F4" w:rsidRPr="00292088" w:rsidRDefault="004D70F4" w:rsidP="004D70F4">
      <w:pPr>
        <w:pStyle w:val="Heading4"/>
        <w:rPr>
          <w:b w:val="0"/>
          <w:bCs/>
          <w:u w:val="single"/>
        </w:rPr>
      </w:pPr>
      <w:r w:rsidRPr="00292088">
        <w:rPr>
          <w:b w:val="0"/>
          <w:bCs/>
          <w:u w:val="single"/>
        </w:rPr>
        <w:t xml:space="preserve">Section </w:t>
      </w:r>
      <w:r w:rsidR="00C279EF" w:rsidRPr="00292088">
        <w:rPr>
          <w:b w:val="0"/>
          <w:bCs/>
          <w:u w:val="single"/>
        </w:rPr>
        <w:t>7</w:t>
      </w:r>
      <w:r w:rsidRPr="00292088">
        <w:rPr>
          <w:b w:val="0"/>
          <w:bCs/>
          <w:u w:val="single"/>
        </w:rPr>
        <w:t xml:space="preserve"> - How and where a Government co-contribution is to be made </w:t>
      </w:r>
    </w:p>
    <w:p w14:paraId="39036273" w14:textId="77777777" w:rsidR="00134BF4" w:rsidRDefault="00DA52F3" w:rsidP="00DA52F3">
      <w:pPr>
        <w:tabs>
          <w:tab w:val="left" w:pos="2835"/>
        </w:tabs>
        <w:spacing w:before="240"/>
        <w:ind w:right="91"/>
      </w:pPr>
      <w:r w:rsidRPr="00DA52F3">
        <w:t xml:space="preserve">Section </w:t>
      </w:r>
      <w:r w:rsidR="00C279EF">
        <w:t>7</w:t>
      </w:r>
      <w:r w:rsidRPr="00DA52F3">
        <w:t xml:space="preserve"> details where a </w:t>
      </w:r>
      <w:r w:rsidR="00DB264F">
        <w:t>G</w:t>
      </w:r>
      <w:r w:rsidRPr="00DA52F3">
        <w:t xml:space="preserve">overnment </w:t>
      </w:r>
      <w:r w:rsidR="00853232">
        <w:t>co-</w:t>
      </w:r>
      <w:r w:rsidRPr="00DA52F3">
        <w:t xml:space="preserve">contribution is to be </w:t>
      </w:r>
      <w:r w:rsidR="00442D48">
        <w:t>directed</w:t>
      </w:r>
      <w:r w:rsidRPr="00DA52F3">
        <w:t xml:space="preserve"> depending on </w:t>
      </w:r>
      <w:r w:rsidR="00292088">
        <w:t xml:space="preserve">an individual’s </w:t>
      </w:r>
      <w:r w:rsidRPr="00DA52F3">
        <w:t>circumstances.</w:t>
      </w:r>
      <w:r w:rsidR="00451714">
        <w:t xml:space="preserve"> This section is consistent with the </w:t>
      </w:r>
      <w:r w:rsidR="00853232">
        <w:t xml:space="preserve">2004 </w:t>
      </w:r>
      <w:r w:rsidR="00451714">
        <w:t>regulation</w:t>
      </w:r>
      <w:r w:rsidR="00083AFD">
        <w:t>s</w:t>
      </w:r>
      <w:r w:rsidR="00451714">
        <w:t xml:space="preserve"> but explicitly specifies that</w:t>
      </w:r>
      <w:r w:rsidRPr="00DA52F3">
        <w:t xml:space="preserve"> </w:t>
      </w:r>
      <w:r w:rsidR="00451714">
        <w:t xml:space="preserve">only </w:t>
      </w:r>
      <w:r w:rsidRPr="00DA52F3">
        <w:t>one item will apply in the event of multiple circumstances being applicable</w:t>
      </w:r>
      <w:r w:rsidR="00B713E6">
        <w:t xml:space="preserve">. </w:t>
      </w:r>
    </w:p>
    <w:p w14:paraId="6061F182" w14:textId="51E49936" w:rsidR="00DA52F3" w:rsidRDefault="00DA52F3" w:rsidP="00DA52F3">
      <w:pPr>
        <w:tabs>
          <w:tab w:val="left" w:pos="2835"/>
        </w:tabs>
        <w:spacing w:before="240"/>
        <w:ind w:right="91"/>
      </w:pPr>
      <w:r w:rsidRPr="00DA52F3">
        <w:t>For example,</w:t>
      </w:r>
      <w:r w:rsidR="00726053">
        <w:t xml:space="preserve"> under the previous regulations,</w:t>
      </w:r>
      <w:r w:rsidRPr="00DA52F3">
        <w:t xml:space="preserve"> whe</w:t>
      </w:r>
      <w:r w:rsidR="009D59FE">
        <w:t>re</w:t>
      </w:r>
      <w:r w:rsidRPr="00DA52F3">
        <w:t xml:space="preserve"> a person </w:t>
      </w:r>
      <w:r w:rsidR="009D59FE">
        <w:t>has</w:t>
      </w:r>
      <w:r w:rsidRPr="00DA52F3">
        <w:t xml:space="preserve"> d</w:t>
      </w:r>
      <w:r w:rsidR="009D59FE">
        <w:t>i</w:t>
      </w:r>
      <w:r w:rsidRPr="00DA52F3">
        <w:t>ed</w:t>
      </w:r>
      <w:r w:rsidR="00134BF4">
        <w:t>,</w:t>
      </w:r>
      <w:r w:rsidRPr="00DA52F3">
        <w:t xml:space="preserve"> </w:t>
      </w:r>
      <w:r w:rsidR="00176147">
        <w:t>the</w:t>
      </w:r>
      <w:r w:rsidR="00726053">
        <w:t>ir</w:t>
      </w:r>
      <w:r w:rsidR="00176147">
        <w:t xml:space="preserve"> account becomes in</w:t>
      </w:r>
      <w:r w:rsidRPr="00DA52F3">
        <w:t>eligible</w:t>
      </w:r>
      <w:r w:rsidR="00726053">
        <w:t xml:space="preserve">, </w:t>
      </w:r>
      <w:r w:rsidRPr="00DA52F3">
        <w:t>giv</w:t>
      </w:r>
      <w:r w:rsidR="00726053">
        <w:t xml:space="preserve">ing </w:t>
      </w:r>
      <w:r w:rsidRPr="00DA52F3">
        <w:t xml:space="preserve">rise to </w:t>
      </w:r>
      <w:r w:rsidR="009D59FE">
        <w:t xml:space="preserve">both </w:t>
      </w:r>
      <w:r w:rsidRPr="00DA52F3">
        <w:t xml:space="preserve">items 1 and 5 applying to where the </w:t>
      </w:r>
      <w:r w:rsidR="008806DF">
        <w:t>G</w:t>
      </w:r>
      <w:r w:rsidR="009D59FE">
        <w:t xml:space="preserve">overnment co-contribution </w:t>
      </w:r>
      <w:r w:rsidRPr="00DA52F3">
        <w:t>could be</w:t>
      </w:r>
      <w:r w:rsidR="009D59FE">
        <w:t xml:space="preserve"> directed</w:t>
      </w:r>
      <w:r w:rsidRPr="00DA52F3">
        <w:t xml:space="preserve">. </w:t>
      </w:r>
      <w:r w:rsidR="00A61DB0">
        <w:t>The clarification assures that</w:t>
      </w:r>
      <w:r w:rsidR="009D59FE">
        <w:t xml:space="preserve"> </w:t>
      </w:r>
      <w:r w:rsidR="00A61DB0">
        <w:t xml:space="preserve">only one item will </w:t>
      </w:r>
      <w:r w:rsidR="00DB264F">
        <w:t xml:space="preserve">be applicable </w:t>
      </w:r>
      <w:r w:rsidR="00A61DB0">
        <w:t xml:space="preserve">and the </w:t>
      </w:r>
      <w:r w:rsidR="008806DF">
        <w:t>G</w:t>
      </w:r>
      <w:r w:rsidR="009D59FE">
        <w:t>overnment co</w:t>
      </w:r>
      <w:r w:rsidR="00E9616A">
        <w:noBreakHyphen/>
      </w:r>
      <w:r w:rsidRPr="00DA52F3">
        <w:t xml:space="preserve">contribution </w:t>
      </w:r>
      <w:r w:rsidR="00A61DB0">
        <w:t xml:space="preserve">is </w:t>
      </w:r>
      <w:r w:rsidRPr="00DA52F3">
        <w:t>paid to the person’s legal representative</w:t>
      </w:r>
      <w:r w:rsidR="009D59FE">
        <w:t xml:space="preserve"> (item 1)</w:t>
      </w:r>
      <w:r w:rsidRPr="00DA52F3">
        <w:t xml:space="preserve">.  </w:t>
      </w:r>
    </w:p>
    <w:p w14:paraId="2805F2E4" w14:textId="4B52317C" w:rsidR="00E5605A" w:rsidRPr="00DA52F3" w:rsidRDefault="001C2A95" w:rsidP="00DA52F3">
      <w:pPr>
        <w:tabs>
          <w:tab w:val="left" w:pos="2835"/>
        </w:tabs>
        <w:spacing w:before="240"/>
        <w:ind w:right="91"/>
      </w:pPr>
      <w:r>
        <w:t>N</w:t>
      </w:r>
      <w:r w:rsidR="00E5605A">
        <w:t>ominations of eligible accounts</w:t>
      </w:r>
      <w:r w:rsidR="00D00F40">
        <w:t xml:space="preserve"> made </w:t>
      </w:r>
      <w:r>
        <w:t xml:space="preserve">under the 2004 regulations </w:t>
      </w:r>
      <w:r w:rsidR="00E5605A">
        <w:t>remain eligible</w:t>
      </w:r>
      <w:r w:rsidR="00D00F40">
        <w:t xml:space="preserve"> </w:t>
      </w:r>
      <w:r>
        <w:t>under</w:t>
      </w:r>
      <w:r w:rsidR="00292088">
        <w:t xml:space="preserve"> section </w:t>
      </w:r>
      <w:r w:rsidR="00B82BD8">
        <w:t>16</w:t>
      </w:r>
      <w:r>
        <w:t xml:space="preserve"> </w:t>
      </w:r>
      <w:r w:rsidR="00D00F40">
        <w:t>for the next contribution</w:t>
      </w:r>
      <w:r w:rsidR="00B82BD8">
        <w:t xml:space="preserve"> to be made</w:t>
      </w:r>
      <w:r w:rsidR="000E7ECA">
        <w:t>. The provision ensure</w:t>
      </w:r>
      <w:r w:rsidR="00D00F40">
        <w:t>s</w:t>
      </w:r>
      <w:r w:rsidR="000E7ECA">
        <w:t xml:space="preserve"> that in circumstances where a determination has been made prior to these regulations, that determination continues to have effect until the contribution is made. </w:t>
      </w:r>
    </w:p>
    <w:p w14:paraId="6C838913" w14:textId="6CCC4C48" w:rsidR="004D70F4" w:rsidRPr="00292088" w:rsidRDefault="004D70F4" w:rsidP="004D70F4">
      <w:pPr>
        <w:pStyle w:val="Heading4"/>
        <w:rPr>
          <w:b w:val="0"/>
          <w:bCs/>
          <w:u w:val="single"/>
        </w:rPr>
      </w:pPr>
      <w:bookmarkStart w:id="2" w:name="_Hlk89184805"/>
      <w:r w:rsidRPr="00292088">
        <w:rPr>
          <w:b w:val="0"/>
          <w:bCs/>
          <w:u w:val="single"/>
        </w:rPr>
        <w:t xml:space="preserve">Section </w:t>
      </w:r>
      <w:bookmarkEnd w:id="2"/>
      <w:r w:rsidRPr="00292088">
        <w:rPr>
          <w:b w:val="0"/>
          <w:bCs/>
          <w:u w:val="single"/>
        </w:rPr>
        <w:t>8 - Payment dates</w:t>
      </w:r>
    </w:p>
    <w:p w14:paraId="374773BB" w14:textId="1E92A824" w:rsidR="00251E7C" w:rsidRDefault="00DA52F3" w:rsidP="00DA52F3">
      <w:pPr>
        <w:tabs>
          <w:tab w:val="left" w:pos="2835"/>
        </w:tabs>
        <w:spacing w:before="240"/>
        <w:ind w:right="91"/>
      </w:pPr>
      <w:r w:rsidRPr="00DA52F3">
        <w:t xml:space="preserve">Section </w:t>
      </w:r>
      <w:r w:rsidR="00BD72A8">
        <w:t>8</w:t>
      </w:r>
      <w:r w:rsidRPr="00DA52F3">
        <w:t xml:space="preserve"> </w:t>
      </w:r>
      <w:r w:rsidR="00B27205">
        <w:t>replicates the existing provision</w:t>
      </w:r>
      <w:r w:rsidR="00442603">
        <w:t xml:space="preserve"> with</w:t>
      </w:r>
      <w:r w:rsidR="00B27205">
        <w:t xml:space="preserve"> </w:t>
      </w:r>
      <w:r w:rsidR="00442603" w:rsidRPr="00442603">
        <w:t>minor editorial updates</w:t>
      </w:r>
      <w:r w:rsidR="00442603">
        <w:t xml:space="preserve">. </w:t>
      </w:r>
      <w:r w:rsidR="000446F6">
        <w:t xml:space="preserve">The payment date is 60 days from when the </w:t>
      </w:r>
      <w:r w:rsidRPr="00DA52F3">
        <w:t xml:space="preserve">Commissioner </w:t>
      </w:r>
      <w:r w:rsidR="00B27205">
        <w:t xml:space="preserve">determines that a </w:t>
      </w:r>
      <w:r w:rsidR="00475182">
        <w:t>Government</w:t>
      </w:r>
      <w:r w:rsidR="00B27205">
        <w:t xml:space="preserve"> co</w:t>
      </w:r>
      <w:r w:rsidR="00384805">
        <w:noBreakHyphen/>
      </w:r>
      <w:r w:rsidR="00B27205">
        <w:t xml:space="preserve">contribution can be made </w:t>
      </w:r>
      <w:r w:rsidR="00F111D9">
        <w:t xml:space="preserve">based on the taxpayer’s information, as outlined in section 14 of the Act. </w:t>
      </w:r>
      <w:r w:rsidR="00207E28">
        <w:t>T</w:t>
      </w:r>
      <w:r w:rsidR="00207E28" w:rsidRPr="00207E28">
        <w:t>his section also determines</w:t>
      </w:r>
      <w:r w:rsidR="00207E28">
        <w:t xml:space="preserve"> the</w:t>
      </w:r>
      <w:r w:rsidR="00207E28" w:rsidRPr="00207E28">
        <w:t xml:space="preserve"> payment date for an underpaid amount.</w:t>
      </w:r>
    </w:p>
    <w:p w14:paraId="21B1F31D" w14:textId="0A501E12" w:rsidR="004D70F4" w:rsidRPr="00292088" w:rsidRDefault="004D70F4" w:rsidP="004D70F4">
      <w:pPr>
        <w:pStyle w:val="Heading4"/>
        <w:rPr>
          <w:b w:val="0"/>
          <w:bCs/>
          <w:u w:val="single"/>
        </w:rPr>
      </w:pPr>
      <w:r w:rsidRPr="00292088">
        <w:rPr>
          <w:b w:val="0"/>
          <w:bCs/>
          <w:u w:val="single"/>
        </w:rPr>
        <w:t>Section 9 - Information to be given by the Commissioner</w:t>
      </w:r>
    </w:p>
    <w:p w14:paraId="6F167480" w14:textId="044F29AD" w:rsidR="005627FF" w:rsidRDefault="00F111D9" w:rsidP="00DA52F3">
      <w:pPr>
        <w:tabs>
          <w:tab w:val="left" w:pos="2835"/>
        </w:tabs>
        <w:spacing w:before="240"/>
        <w:ind w:right="91"/>
      </w:pPr>
      <w:r>
        <w:t xml:space="preserve">The structure of the </w:t>
      </w:r>
      <w:r w:rsidR="00AC147B">
        <w:t>s</w:t>
      </w:r>
      <w:r w:rsidR="005627FF">
        <w:t>ection 9</w:t>
      </w:r>
      <w:r w:rsidR="00384805">
        <w:t xml:space="preserve"> </w:t>
      </w:r>
      <w:r w:rsidR="00AC147B">
        <w:t xml:space="preserve">has been simplified to incorporate information that was formerly set out in Schedule 3. </w:t>
      </w:r>
      <w:r w:rsidR="00384805">
        <w:t>The provision details information that the Commissioner must provide to the recipient of the</w:t>
      </w:r>
      <w:r w:rsidR="00384805" w:rsidRPr="00384805">
        <w:t xml:space="preserve"> Government co</w:t>
      </w:r>
      <w:r w:rsidR="00384805">
        <w:noBreakHyphen/>
      </w:r>
      <w:r w:rsidR="00384805" w:rsidRPr="00384805">
        <w:t>contribution</w:t>
      </w:r>
      <w:r w:rsidR="00384805">
        <w:t xml:space="preserve">. </w:t>
      </w:r>
      <w:r w:rsidR="00AC147B" w:rsidRPr="00AC147B">
        <w:lastRenderedPageBreak/>
        <w:t>These changes have not altered its scope or any other feature of its substantive operation.</w:t>
      </w:r>
      <w:r w:rsidR="00251E7C">
        <w:t xml:space="preserve"> </w:t>
      </w:r>
    </w:p>
    <w:p w14:paraId="1A92A6DA" w14:textId="3E9E3FA7" w:rsidR="004D70F4" w:rsidRPr="00292088" w:rsidRDefault="004D70F4" w:rsidP="004D70F4">
      <w:pPr>
        <w:pStyle w:val="Heading4"/>
        <w:rPr>
          <w:b w:val="0"/>
          <w:bCs/>
          <w:u w:val="single"/>
        </w:rPr>
      </w:pPr>
      <w:r w:rsidRPr="00292088">
        <w:rPr>
          <w:b w:val="0"/>
          <w:bCs/>
          <w:u w:val="single"/>
        </w:rPr>
        <w:t xml:space="preserve">Section 10 – Notices </w:t>
      </w:r>
    </w:p>
    <w:p w14:paraId="7A0DF1B5" w14:textId="10748C85" w:rsidR="00BB0E26" w:rsidRDefault="005911C5" w:rsidP="00DA52F3">
      <w:pPr>
        <w:tabs>
          <w:tab w:val="left" w:pos="2835"/>
        </w:tabs>
        <w:spacing w:before="240"/>
        <w:ind w:right="91"/>
      </w:pPr>
      <w:r>
        <w:t xml:space="preserve">Schedule 3 to the 2004 Regulations that listed required information to be included in notices has been incorporated </w:t>
      </w:r>
      <w:r w:rsidR="00180343">
        <w:t xml:space="preserve">into </w:t>
      </w:r>
      <w:r>
        <w:t>section 10</w:t>
      </w:r>
      <w:r w:rsidR="006C64AD">
        <w:t>, to be</w:t>
      </w:r>
      <w:r>
        <w:t xml:space="preserve"> consistent with current drafting practices. </w:t>
      </w:r>
      <w:r w:rsidRPr="005911C5">
        <w:t xml:space="preserve">This change to </w:t>
      </w:r>
      <w:r w:rsidR="002F24AF">
        <w:t>how</w:t>
      </w:r>
      <w:r w:rsidRPr="005911C5">
        <w:t xml:space="preserve"> the provision</w:t>
      </w:r>
      <w:r w:rsidR="002F24AF">
        <w:t xml:space="preserve"> is </w:t>
      </w:r>
      <w:r w:rsidRPr="005911C5">
        <w:t>expressed has not altered the substantive operation of the provision.</w:t>
      </w:r>
    </w:p>
    <w:p w14:paraId="6CE792AB" w14:textId="30BF9F4E" w:rsidR="00C279EF" w:rsidRPr="00502615" w:rsidRDefault="00C279EF" w:rsidP="00C279EF">
      <w:pPr>
        <w:pStyle w:val="Heading3"/>
        <w:rPr>
          <w:u w:val="single"/>
        </w:rPr>
      </w:pPr>
      <w:r w:rsidRPr="00502615">
        <w:rPr>
          <w:u w:val="single"/>
        </w:rPr>
        <w:t xml:space="preserve">Part </w:t>
      </w:r>
      <w:r>
        <w:rPr>
          <w:u w:val="single"/>
        </w:rPr>
        <w:t>3</w:t>
      </w:r>
      <w:r w:rsidRPr="00502615">
        <w:rPr>
          <w:u w:val="single"/>
        </w:rPr>
        <w:t xml:space="preserve"> – </w:t>
      </w:r>
      <w:r>
        <w:rPr>
          <w:u w:val="single"/>
        </w:rPr>
        <w:t>Information generally</w:t>
      </w:r>
    </w:p>
    <w:p w14:paraId="5F34E330" w14:textId="037742F4" w:rsidR="004D70F4" w:rsidRPr="00292088" w:rsidRDefault="004D70F4" w:rsidP="004D70F4">
      <w:pPr>
        <w:pStyle w:val="Heading4"/>
        <w:rPr>
          <w:b w:val="0"/>
          <w:bCs/>
          <w:u w:val="single"/>
        </w:rPr>
      </w:pPr>
      <w:r w:rsidRPr="00292088">
        <w:rPr>
          <w:b w:val="0"/>
          <w:bCs/>
          <w:u w:val="single"/>
        </w:rPr>
        <w:t xml:space="preserve">Section 11 </w:t>
      </w:r>
      <w:r w:rsidR="00C279EF" w:rsidRPr="00292088">
        <w:rPr>
          <w:b w:val="0"/>
          <w:bCs/>
          <w:u w:val="single"/>
        </w:rPr>
        <w:t>and 12</w:t>
      </w:r>
      <w:r w:rsidR="008A65A0" w:rsidRPr="00292088">
        <w:rPr>
          <w:b w:val="0"/>
          <w:bCs/>
          <w:u w:val="single"/>
        </w:rPr>
        <w:t xml:space="preserve"> </w:t>
      </w:r>
      <w:r w:rsidRPr="00292088">
        <w:rPr>
          <w:b w:val="0"/>
          <w:bCs/>
          <w:u w:val="single"/>
        </w:rPr>
        <w:t>– Change in information given</w:t>
      </w:r>
      <w:r w:rsidR="00E27712">
        <w:rPr>
          <w:b w:val="0"/>
          <w:bCs/>
          <w:u w:val="single"/>
        </w:rPr>
        <w:t xml:space="preserve"> and giving a tax file number statement</w:t>
      </w:r>
      <w:r w:rsidRPr="00292088">
        <w:rPr>
          <w:b w:val="0"/>
          <w:bCs/>
          <w:u w:val="single"/>
        </w:rPr>
        <w:t xml:space="preserve"> to the Commissioner</w:t>
      </w:r>
    </w:p>
    <w:p w14:paraId="35BF0F70" w14:textId="5E0DD39F" w:rsidR="008C3FE1" w:rsidRDefault="007F1C77" w:rsidP="00DA52F3">
      <w:pPr>
        <w:tabs>
          <w:tab w:val="left" w:pos="2835"/>
        </w:tabs>
        <w:spacing w:before="240"/>
        <w:ind w:right="91"/>
      </w:pPr>
      <w:r>
        <w:t>Section 11</w:t>
      </w:r>
      <w:r w:rsidR="0059028C">
        <w:t xml:space="preserve"> and section</w:t>
      </w:r>
      <w:r>
        <w:t xml:space="preserve"> 12</w:t>
      </w:r>
      <w:r w:rsidR="00616A8C">
        <w:t xml:space="preserve"> </w:t>
      </w:r>
      <w:r w:rsidR="00541D73" w:rsidRPr="00541D73">
        <w:t>rely on the necessary and convenient power in section 55 of the Act</w:t>
      </w:r>
      <w:r w:rsidR="00541D73">
        <w:t xml:space="preserve">. These two provisions </w:t>
      </w:r>
      <w:r w:rsidR="00E27712">
        <w:t>in the 2004 Regulations required</w:t>
      </w:r>
      <w:r w:rsidR="006C64AD">
        <w:t xml:space="preserve"> information</w:t>
      </w:r>
      <w:r w:rsidR="002F24AF">
        <w:t xml:space="preserve"> </w:t>
      </w:r>
      <w:r w:rsidR="00E27712">
        <w:t xml:space="preserve">to be provided </w:t>
      </w:r>
      <w:r w:rsidR="002F24AF">
        <w:t xml:space="preserve">in the </w:t>
      </w:r>
      <w:r w:rsidR="0059028C">
        <w:t xml:space="preserve">approved form. </w:t>
      </w:r>
      <w:r w:rsidR="00D421A7">
        <w:t>The amendments to these sections allow s</w:t>
      </w:r>
      <w:r w:rsidR="00D55F48">
        <w:t>uperannuation providers to</w:t>
      </w:r>
      <w:r w:rsidR="00A13E27">
        <w:t xml:space="preserve"> write directly to the Commissioner in the event additional information is required. </w:t>
      </w:r>
      <w:r w:rsidR="00D14747" w:rsidRPr="00D14747">
        <w:t xml:space="preserve">The transitional provision </w:t>
      </w:r>
      <w:r w:rsidR="00180343" w:rsidRPr="00D14747">
        <w:t>i</w:t>
      </w:r>
      <w:r w:rsidR="00180343">
        <w:t>n</w:t>
      </w:r>
      <w:r w:rsidR="00180343" w:rsidRPr="00D14747">
        <w:t xml:space="preserve"> </w:t>
      </w:r>
      <w:r w:rsidR="00D14747" w:rsidRPr="00D14747">
        <w:t>subsection 16(5) provides continuity for approved forms</w:t>
      </w:r>
      <w:r w:rsidR="00180343">
        <w:t xml:space="preserve"> made under the 2004 Regulations</w:t>
      </w:r>
      <w:r w:rsidR="00D14747">
        <w:t xml:space="preserve">. </w:t>
      </w:r>
    </w:p>
    <w:p w14:paraId="54437C63" w14:textId="6894F670" w:rsidR="00D14747" w:rsidRDefault="002F24AF" w:rsidP="00DA52F3">
      <w:pPr>
        <w:tabs>
          <w:tab w:val="left" w:pos="2835"/>
        </w:tabs>
        <w:spacing w:before="240"/>
        <w:ind w:right="91"/>
      </w:pPr>
      <w:r>
        <w:t xml:space="preserve">The Regulations now </w:t>
      </w:r>
      <w:r w:rsidR="0059028C">
        <w:t xml:space="preserve">allow for </w:t>
      </w:r>
      <w:r w:rsidR="00DE6B13">
        <w:t>superannuation</w:t>
      </w:r>
      <w:r w:rsidR="007F1C77">
        <w:t xml:space="preserve"> </w:t>
      </w:r>
      <w:r w:rsidR="00DE6B13">
        <w:t xml:space="preserve">providers </w:t>
      </w:r>
      <w:r w:rsidR="00361EF8">
        <w:t xml:space="preserve">to </w:t>
      </w:r>
      <w:r w:rsidR="00541D73">
        <w:t xml:space="preserve">notify </w:t>
      </w:r>
      <w:r w:rsidR="0059028C">
        <w:t xml:space="preserve">the Commissioner </w:t>
      </w:r>
      <w:r w:rsidR="00361EF8">
        <w:t xml:space="preserve">in </w:t>
      </w:r>
      <w:r w:rsidR="00541D73">
        <w:t xml:space="preserve">writing </w:t>
      </w:r>
      <w:r w:rsidR="00361EF8">
        <w:t xml:space="preserve">where </w:t>
      </w:r>
      <w:r w:rsidR="006C64AD">
        <w:t xml:space="preserve">a tax file statement must be given or in the instance of </w:t>
      </w:r>
      <w:r w:rsidR="00361EF8">
        <w:t xml:space="preserve">a change </w:t>
      </w:r>
      <w:r w:rsidR="00DE6B13">
        <w:t xml:space="preserve">in a member’s information or </w:t>
      </w:r>
      <w:r w:rsidR="00361EF8">
        <w:t>if</w:t>
      </w:r>
      <w:r w:rsidR="00DE6B13">
        <w:t xml:space="preserve"> information </w:t>
      </w:r>
      <w:r w:rsidR="00361EF8">
        <w:t xml:space="preserve">was not included. </w:t>
      </w:r>
      <w:r w:rsidR="006C64AD">
        <w:t>T</w:t>
      </w:r>
      <w:r w:rsidR="00541D73">
        <w:t xml:space="preserve">he superannuation provider must include all relevant information </w:t>
      </w:r>
      <w:r w:rsidR="006C64AD">
        <w:t xml:space="preserve">for the Commissioner </w:t>
      </w:r>
      <w:r w:rsidR="00541D73">
        <w:t>to identify the member</w:t>
      </w:r>
      <w:r w:rsidR="003B3945">
        <w:t>. F</w:t>
      </w:r>
      <w:r w:rsidR="006C64AD">
        <w:t xml:space="preserve">urther information may be requested from </w:t>
      </w:r>
      <w:r w:rsidR="00541D73" w:rsidRPr="00541D73">
        <w:t>the provider.</w:t>
      </w:r>
      <w:r w:rsidR="00513E45">
        <w:t xml:space="preserve"> </w:t>
      </w:r>
    </w:p>
    <w:p w14:paraId="66B535A6" w14:textId="6B28F599" w:rsidR="008A65A0" w:rsidRPr="00502615" w:rsidRDefault="008A65A0" w:rsidP="008A65A0">
      <w:pPr>
        <w:pStyle w:val="Heading3"/>
        <w:rPr>
          <w:u w:val="single"/>
        </w:rPr>
      </w:pPr>
      <w:r w:rsidRPr="00502615">
        <w:rPr>
          <w:u w:val="single"/>
        </w:rPr>
        <w:t xml:space="preserve">Part </w:t>
      </w:r>
      <w:r>
        <w:rPr>
          <w:u w:val="single"/>
        </w:rPr>
        <w:t>4</w:t>
      </w:r>
      <w:r w:rsidRPr="00502615">
        <w:rPr>
          <w:u w:val="single"/>
        </w:rPr>
        <w:t xml:space="preserve"> – </w:t>
      </w:r>
      <w:r>
        <w:rPr>
          <w:u w:val="single"/>
        </w:rPr>
        <w:t>Administration</w:t>
      </w:r>
    </w:p>
    <w:p w14:paraId="48BFDAB9" w14:textId="26314708" w:rsidR="004D70F4" w:rsidRPr="00292088" w:rsidRDefault="004D70F4" w:rsidP="004D70F4">
      <w:pPr>
        <w:pStyle w:val="Heading4"/>
        <w:rPr>
          <w:b w:val="0"/>
          <w:bCs/>
          <w:u w:val="single"/>
        </w:rPr>
      </w:pPr>
      <w:r w:rsidRPr="00292088">
        <w:rPr>
          <w:b w:val="0"/>
          <w:bCs/>
          <w:u w:val="single"/>
        </w:rPr>
        <w:t>Section 13 and 14 - Reports to Parliament</w:t>
      </w:r>
    </w:p>
    <w:p w14:paraId="7CEC9229" w14:textId="5A999EB8" w:rsidR="004E2074" w:rsidRDefault="004E2074" w:rsidP="004E2074">
      <w:pPr>
        <w:tabs>
          <w:tab w:val="left" w:pos="2835"/>
        </w:tabs>
        <w:spacing w:before="240"/>
        <w:ind w:right="91"/>
      </w:pPr>
      <w:r>
        <w:t xml:space="preserve">Section 13 and 14 replicates the corresponding regulation in the </w:t>
      </w:r>
      <w:r w:rsidR="006E71CD">
        <w:t>2004</w:t>
      </w:r>
      <w:r>
        <w:t xml:space="preserve"> Regulations with some clarifications made to the way in which the provision is expressed consistent with current drafting practice. Schedule </w:t>
      </w:r>
      <w:r w:rsidR="006E71CD">
        <w:t>7</w:t>
      </w:r>
      <w:r>
        <w:t xml:space="preserve"> to the </w:t>
      </w:r>
      <w:r w:rsidR="006E71CD">
        <w:t xml:space="preserve">2004 </w:t>
      </w:r>
      <w:r>
        <w:t xml:space="preserve">Regulations </w:t>
      </w:r>
      <w:r w:rsidR="006E71CD">
        <w:t xml:space="preserve">that specified the ranges of total and taxable income </w:t>
      </w:r>
      <w:r>
        <w:t xml:space="preserve">has been incorporated </w:t>
      </w:r>
      <w:r w:rsidR="006E71CD">
        <w:t xml:space="preserve">in a simplified description </w:t>
      </w:r>
      <w:r>
        <w:t>within s</w:t>
      </w:r>
      <w:r w:rsidR="008C3FE1">
        <w:t>ubs</w:t>
      </w:r>
      <w:r>
        <w:t>ection</w:t>
      </w:r>
      <w:r w:rsidR="008C3FE1">
        <w:t>s</w:t>
      </w:r>
      <w:r>
        <w:t xml:space="preserve"> </w:t>
      </w:r>
      <w:r w:rsidR="00616A8C">
        <w:t>1</w:t>
      </w:r>
      <w:r w:rsidR="00096111">
        <w:t>3</w:t>
      </w:r>
      <w:r w:rsidR="006E71CD">
        <w:t>(3)</w:t>
      </w:r>
      <w:r w:rsidR="008C3FE1">
        <w:t>,</w:t>
      </w:r>
      <w:r w:rsidR="006E71CD">
        <w:t xml:space="preserve"> </w:t>
      </w:r>
      <w:r w:rsidR="008C3FE1">
        <w:t>13</w:t>
      </w:r>
      <w:r w:rsidR="006E71CD">
        <w:t xml:space="preserve">(4) and </w:t>
      </w:r>
      <w:r w:rsidR="008C3FE1">
        <w:t xml:space="preserve">paragraph </w:t>
      </w:r>
      <w:r w:rsidR="00096111">
        <w:t>14(</w:t>
      </w:r>
      <w:r w:rsidR="006E71CD">
        <w:t>2</w:t>
      </w:r>
      <w:r w:rsidR="00096111">
        <w:t>)</w:t>
      </w:r>
      <w:r w:rsidR="006E71CD">
        <w:t>(d)</w:t>
      </w:r>
      <w:r>
        <w:t xml:space="preserve"> consistent with current drafting practice. These changes to the way the provisions are expressed have not altered the substantive operation of the provisions.</w:t>
      </w:r>
    </w:p>
    <w:p w14:paraId="34171CD8" w14:textId="77777777" w:rsidR="008C3FE1" w:rsidRPr="00502615" w:rsidRDefault="008C3FE1" w:rsidP="008C3FE1">
      <w:pPr>
        <w:pStyle w:val="Heading3"/>
        <w:rPr>
          <w:u w:val="single"/>
        </w:rPr>
      </w:pPr>
      <w:r w:rsidRPr="00502615">
        <w:rPr>
          <w:u w:val="single"/>
        </w:rPr>
        <w:t xml:space="preserve">Part </w:t>
      </w:r>
      <w:r>
        <w:rPr>
          <w:u w:val="single"/>
        </w:rPr>
        <w:t>5</w:t>
      </w:r>
      <w:r w:rsidRPr="00502615">
        <w:rPr>
          <w:u w:val="single"/>
        </w:rPr>
        <w:t xml:space="preserve"> –</w:t>
      </w:r>
      <w:r>
        <w:rPr>
          <w:u w:val="single"/>
        </w:rPr>
        <w:t xml:space="preserve"> Miscellaneous </w:t>
      </w:r>
    </w:p>
    <w:p w14:paraId="75BA5C96" w14:textId="77777777" w:rsidR="008C3FE1" w:rsidRPr="00292088" w:rsidRDefault="008C3FE1" w:rsidP="008C3FE1">
      <w:pPr>
        <w:pStyle w:val="Heading4"/>
        <w:rPr>
          <w:b w:val="0"/>
          <w:bCs/>
          <w:u w:val="single"/>
        </w:rPr>
      </w:pPr>
      <w:r w:rsidRPr="00292088">
        <w:rPr>
          <w:b w:val="0"/>
          <w:bCs/>
          <w:u w:val="single"/>
        </w:rPr>
        <w:t xml:space="preserve">Section 15 </w:t>
      </w:r>
      <w:r>
        <w:rPr>
          <w:b w:val="0"/>
          <w:bCs/>
          <w:u w:val="single"/>
        </w:rPr>
        <w:t>–</w:t>
      </w:r>
      <w:r w:rsidRPr="00292088">
        <w:rPr>
          <w:b w:val="0"/>
          <w:bCs/>
          <w:u w:val="single"/>
        </w:rPr>
        <w:t xml:space="preserve"> </w:t>
      </w:r>
      <w:r>
        <w:rPr>
          <w:b w:val="0"/>
          <w:bCs/>
          <w:u w:val="single"/>
        </w:rPr>
        <w:t>Amounts to be paid or rounded up</w:t>
      </w:r>
    </w:p>
    <w:p w14:paraId="5C86A28F" w14:textId="4CE2B923" w:rsidR="008C3FE1" w:rsidRDefault="008C3FE1" w:rsidP="004E2074">
      <w:pPr>
        <w:tabs>
          <w:tab w:val="left" w:pos="2835"/>
        </w:tabs>
        <w:spacing w:before="240"/>
        <w:ind w:right="91"/>
      </w:pPr>
      <w:r w:rsidRPr="001C0ACF">
        <w:t>Section 15</w:t>
      </w:r>
      <w:r>
        <w:t xml:space="preserve"> is consistent with the 2004 regulations with minor editorial updates and </w:t>
      </w:r>
      <w:r w:rsidRPr="007904FB">
        <w:t>rel</w:t>
      </w:r>
      <w:r>
        <w:t xml:space="preserve">ies </w:t>
      </w:r>
      <w:r w:rsidRPr="007904FB">
        <w:t>on the necessary and convenient power in section 55 of the Act.</w:t>
      </w:r>
      <w:r>
        <w:t xml:space="preserve"> The amount of the Government co</w:t>
      </w:r>
      <w:r>
        <w:noBreakHyphen/>
        <w:t xml:space="preserve">contribution is calculated first and then the interest where the final figures is the sum of these </w:t>
      </w:r>
      <w:r w:rsidRPr="00DA52F3">
        <w:t>two amounts.</w:t>
      </w:r>
    </w:p>
    <w:p w14:paraId="6D36EAF4" w14:textId="77777777" w:rsidR="00DF5CE6" w:rsidRPr="008A65A0" w:rsidRDefault="00DF5CE6" w:rsidP="00FC7D62">
      <w:pPr>
        <w:pStyle w:val="Heading3"/>
        <w:rPr>
          <w:u w:val="single"/>
        </w:rPr>
      </w:pPr>
      <w:r w:rsidRPr="008A65A0">
        <w:rPr>
          <w:u w:val="single"/>
        </w:rPr>
        <w:lastRenderedPageBreak/>
        <w:t xml:space="preserve">Part 6 – </w:t>
      </w:r>
      <w:r w:rsidR="003F1077" w:rsidRPr="008A65A0">
        <w:rPr>
          <w:u w:val="single"/>
        </w:rPr>
        <w:t>Transitional</w:t>
      </w:r>
      <w:r w:rsidRPr="008A65A0">
        <w:rPr>
          <w:u w:val="single"/>
        </w:rPr>
        <w:t xml:space="preserve"> matters</w:t>
      </w:r>
      <w:r w:rsidR="00FF054B" w:rsidRPr="008A65A0">
        <w:rPr>
          <w:u w:val="single"/>
        </w:rPr>
        <w:t xml:space="preserve"> </w:t>
      </w:r>
    </w:p>
    <w:p w14:paraId="407057F4" w14:textId="2AC85DE9" w:rsidR="003F1077" w:rsidRPr="00292088" w:rsidRDefault="00DF5CE6" w:rsidP="008A65A0">
      <w:pPr>
        <w:pStyle w:val="Heading4"/>
        <w:rPr>
          <w:b w:val="0"/>
          <w:bCs/>
          <w:u w:val="single"/>
        </w:rPr>
      </w:pPr>
      <w:r w:rsidRPr="00292088">
        <w:rPr>
          <w:b w:val="0"/>
          <w:bCs/>
          <w:u w:val="single"/>
        </w:rPr>
        <w:t>S</w:t>
      </w:r>
      <w:r w:rsidR="00FF054B" w:rsidRPr="00292088">
        <w:rPr>
          <w:b w:val="0"/>
          <w:bCs/>
          <w:u w:val="single"/>
        </w:rPr>
        <w:t>ection 16</w:t>
      </w:r>
      <w:r w:rsidR="00616A8C">
        <w:rPr>
          <w:b w:val="0"/>
          <w:bCs/>
          <w:u w:val="single"/>
        </w:rPr>
        <w:t xml:space="preserve"> – </w:t>
      </w:r>
      <w:r w:rsidR="00616A8C" w:rsidRPr="00616A8C">
        <w:rPr>
          <w:b w:val="0"/>
          <w:bCs/>
          <w:u w:val="single"/>
        </w:rPr>
        <w:t>Application and transitional provisions relating to the commencement of this instrument</w:t>
      </w:r>
    </w:p>
    <w:p w14:paraId="6CE58F87" w14:textId="05C4396E" w:rsidR="008C3FE1" w:rsidRDefault="00D14747" w:rsidP="00716F9B">
      <w:pPr>
        <w:tabs>
          <w:tab w:val="left" w:pos="2835"/>
        </w:tabs>
        <w:spacing w:before="240"/>
        <w:ind w:right="91"/>
      </w:pPr>
      <w:r w:rsidRPr="00D14747">
        <w:t xml:space="preserve">Where a form has been approved under section 388-50 in Schedule 1 to the </w:t>
      </w:r>
      <w:r w:rsidR="008C3FE1">
        <w:rPr>
          <w:i/>
          <w:iCs/>
        </w:rPr>
        <w:t xml:space="preserve">Taxation Administration Act 1953 </w:t>
      </w:r>
      <w:r w:rsidRPr="00D14747">
        <w:t xml:space="preserve">for the purposes of a provision of the </w:t>
      </w:r>
      <w:r w:rsidR="008C3FE1">
        <w:t>2004 Regulations</w:t>
      </w:r>
      <w:r w:rsidRPr="00D14747">
        <w:t xml:space="preserve">, and the form could be approved for that purpose under this instrument, the form will continue to have effect as if it had been approved under the corresponding provision of this instrument. </w:t>
      </w:r>
    </w:p>
    <w:p w14:paraId="5EC9695E" w14:textId="66372724" w:rsidR="00DF5CE6" w:rsidRDefault="00D14747" w:rsidP="00716F9B">
      <w:pPr>
        <w:tabs>
          <w:tab w:val="left" w:pos="2835"/>
        </w:tabs>
        <w:spacing w:before="240"/>
        <w:ind w:right="91"/>
      </w:pPr>
      <w:r w:rsidRPr="00D14747">
        <w:t>This ensures that forms do not have to be re-approved, and that any existing approved forms remain valid. Because the forms that have been approved for those purposes remain approved forms, there is no need for further transitional provisions.</w:t>
      </w:r>
    </w:p>
    <w:p w14:paraId="4979BF6B" w14:textId="72874ABE" w:rsidR="00DF5CE6" w:rsidRPr="008A65A0" w:rsidRDefault="00DF5CE6" w:rsidP="00FC7D62">
      <w:pPr>
        <w:pStyle w:val="Heading3"/>
        <w:rPr>
          <w:u w:val="single"/>
        </w:rPr>
      </w:pPr>
      <w:r w:rsidRPr="008A65A0">
        <w:rPr>
          <w:u w:val="single"/>
        </w:rPr>
        <w:t xml:space="preserve">Schedule </w:t>
      </w:r>
      <w:r w:rsidR="008A65A0" w:rsidRPr="008A65A0">
        <w:rPr>
          <w:u w:val="single"/>
        </w:rPr>
        <w:t>1</w:t>
      </w:r>
      <w:r w:rsidRPr="008A65A0">
        <w:rPr>
          <w:u w:val="single"/>
        </w:rPr>
        <w:t>—Repeals</w:t>
      </w:r>
    </w:p>
    <w:p w14:paraId="6B824409" w14:textId="5EA7C5DC" w:rsidR="00DF5CE6" w:rsidRPr="00716F9B" w:rsidRDefault="00DF5CE6" w:rsidP="00DF5CE6">
      <w:pPr>
        <w:tabs>
          <w:tab w:val="left" w:pos="2835"/>
        </w:tabs>
        <w:spacing w:before="240"/>
        <w:ind w:right="91"/>
      </w:pPr>
      <w:r>
        <w:t xml:space="preserve">This section repeals the whole of the </w:t>
      </w:r>
      <w:r w:rsidRPr="00DF5CE6">
        <w:rPr>
          <w:i/>
          <w:iCs/>
        </w:rPr>
        <w:t>Superannuation (Government Co-contribution for Low Income Earners) Regulations 2004</w:t>
      </w:r>
      <w:r w:rsidR="00292088">
        <w:rPr>
          <w:i/>
          <w:iCs/>
        </w:rPr>
        <w:t xml:space="preserve">. </w:t>
      </w:r>
    </w:p>
    <w:p w14:paraId="325BABD8" w14:textId="5EA7C5DC" w:rsidR="00F768ED" w:rsidRDefault="00F768ED">
      <w:pPr>
        <w:spacing w:before="0" w:after="0"/>
      </w:pPr>
      <w:r>
        <w:br w:type="page"/>
      </w:r>
    </w:p>
    <w:p w14:paraId="19ED9626" w14:textId="77777777" w:rsidR="00A63234" w:rsidRDefault="00A63234" w:rsidP="00A63234">
      <w:pPr>
        <w:pageBreakBefore/>
        <w:spacing w:before="240"/>
        <w:jc w:val="right"/>
        <w:rPr>
          <w:b/>
          <w:u w:val="single"/>
        </w:rPr>
      </w:pPr>
      <w:r w:rsidRPr="007B335E">
        <w:rPr>
          <w:b/>
          <w:u w:val="single"/>
        </w:rPr>
        <w:lastRenderedPageBreak/>
        <w:t>ATTACHMENT</w:t>
      </w:r>
      <w:r>
        <w:rPr>
          <w:b/>
          <w:u w:val="single"/>
        </w:rPr>
        <w:t xml:space="preserve"> B</w:t>
      </w:r>
    </w:p>
    <w:p w14:paraId="655E7A5D" w14:textId="70E97A38" w:rsidR="00B86A1B" w:rsidRDefault="00A63234" w:rsidP="002E5476">
      <w:pPr>
        <w:spacing w:before="0" w:after="0"/>
        <w:rPr>
          <w:b/>
          <w:bCs/>
          <w:i/>
          <w:iCs/>
          <w:color w:val="000000"/>
        </w:rPr>
      </w:pPr>
      <w:r>
        <w:rPr>
          <w:b/>
          <w:bCs/>
          <w:color w:val="000000"/>
        </w:rPr>
        <w:t xml:space="preserve">FINDING TABLES – </w:t>
      </w:r>
      <w:r w:rsidRPr="00A63234">
        <w:rPr>
          <w:b/>
          <w:bCs/>
          <w:i/>
          <w:iCs/>
          <w:color w:val="000000"/>
        </w:rPr>
        <w:t>Superannuation (Government Co-contribution for Low Income Earners) Regulations 2022</w:t>
      </w:r>
    </w:p>
    <w:p w14:paraId="4802BB0B" w14:textId="4703EBC7" w:rsidR="00A63234" w:rsidRDefault="00A63234" w:rsidP="002E5476">
      <w:pPr>
        <w:spacing w:before="0" w:after="0"/>
        <w:rPr>
          <w:b/>
          <w:bCs/>
          <w:i/>
          <w:iCs/>
          <w:color w:val="000000"/>
        </w:rPr>
      </w:pPr>
    </w:p>
    <w:tbl>
      <w:tblPr>
        <w:tblStyle w:val="TableGrid"/>
        <w:tblW w:w="0" w:type="auto"/>
        <w:tblLook w:val="04A0" w:firstRow="1" w:lastRow="0" w:firstColumn="1" w:lastColumn="0" w:noHBand="0" w:noVBand="1"/>
      </w:tblPr>
      <w:tblGrid>
        <w:gridCol w:w="4146"/>
        <w:gridCol w:w="4150"/>
      </w:tblGrid>
      <w:tr w:rsidR="00A63234" w:rsidRPr="004C3AA8" w14:paraId="1FAE0E16" w14:textId="77777777" w:rsidTr="00724BA5">
        <w:trPr>
          <w:tblHeader/>
        </w:trPr>
        <w:tc>
          <w:tcPr>
            <w:tcW w:w="4146" w:type="dxa"/>
          </w:tcPr>
          <w:p w14:paraId="721289C0" w14:textId="77777777" w:rsidR="00A63234" w:rsidRPr="004C3AA8" w:rsidRDefault="00A63234" w:rsidP="00724BA5">
            <w:pPr>
              <w:jc w:val="center"/>
              <w:rPr>
                <w:b/>
                <w:i/>
                <w:color w:val="000000"/>
                <w:szCs w:val="24"/>
              </w:rPr>
            </w:pPr>
            <w:r w:rsidRPr="004C3AA8">
              <w:rPr>
                <w:b/>
                <w:i/>
                <w:color w:val="000000"/>
                <w:szCs w:val="24"/>
              </w:rPr>
              <w:t>Old Law</w:t>
            </w:r>
          </w:p>
        </w:tc>
        <w:tc>
          <w:tcPr>
            <w:tcW w:w="4150" w:type="dxa"/>
          </w:tcPr>
          <w:p w14:paraId="4C3B72C0" w14:textId="77777777" w:rsidR="00A63234" w:rsidRPr="004C3AA8" w:rsidRDefault="00A63234" w:rsidP="00724BA5">
            <w:pPr>
              <w:jc w:val="center"/>
              <w:rPr>
                <w:b/>
                <w:i/>
                <w:color w:val="000000"/>
                <w:szCs w:val="24"/>
              </w:rPr>
            </w:pPr>
            <w:r w:rsidRPr="004C3AA8">
              <w:rPr>
                <w:b/>
                <w:i/>
                <w:color w:val="000000"/>
                <w:szCs w:val="24"/>
              </w:rPr>
              <w:t>New Law</w:t>
            </w:r>
          </w:p>
        </w:tc>
      </w:tr>
      <w:tr w:rsidR="00A63234" w:rsidRPr="004C3AA8" w14:paraId="2D692FCB" w14:textId="77777777" w:rsidTr="00724BA5">
        <w:trPr>
          <w:tblHeader/>
        </w:trPr>
        <w:tc>
          <w:tcPr>
            <w:tcW w:w="4146" w:type="dxa"/>
          </w:tcPr>
          <w:p w14:paraId="735F2FC4" w14:textId="27D26664" w:rsidR="00A63234" w:rsidRPr="004C3AA8" w:rsidRDefault="00A63234" w:rsidP="00724BA5">
            <w:pPr>
              <w:rPr>
                <w:bCs/>
                <w:color w:val="000000"/>
                <w:szCs w:val="24"/>
              </w:rPr>
            </w:pPr>
            <w:r w:rsidRPr="00A63234">
              <w:rPr>
                <w:bCs/>
                <w:i/>
                <w:color w:val="000000"/>
                <w:szCs w:val="24"/>
              </w:rPr>
              <w:t>Superannuation (Government Co-contribution for Low Income Earners) Regulations 20</w:t>
            </w:r>
            <w:r>
              <w:rPr>
                <w:bCs/>
                <w:i/>
                <w:color w:val="000000"/>
                <w:szCs w:val="24"/>
              </w:rPr>
              <w:t>04</w:t>
            </w:r>
          </w:p>
        </w:tc>
        <w:tc>
          <w:tcPr>
            <w:tcW w:w="4150" w:type="dxa"/>
          </w:tcPr>
          <w:p w14:paraId="25B860E0" w14:textId="2C1C4FF7" w:rsidR="00A63234" w:rsidRPr="004C3AA8" w:rsidRDefault="00A63234" w:rsidP="00724BA5">
            <w:pPr>
              <w:rPr>
                <w:bCs/>
                <w:i/>
                <w:color w:val="000000"/>
                <w:szCs w:val="24"/>
              </w:rPr>
            </w:pPr>
            <w:r w:rsidRPr="00A63234">
              <w:rPr>
                <w:bCs/>
                <w:i/>
                <w:color w:val="000000"/>
                <w:szCs w:val="24"/>
              </w:rPr>
              <w:t>Superannuation (Government Co-contribution for Low Income Earners) Regulations 2022</w:t>
            </w:r>
          </w:p>
        </w:tc>
      </w:tr>
      <w:tr w:rsidR="00A63234" w:rsidRPr="004C3AA8" w14:paraId="57390176" w14:textId="77777777" w:rsidTr="00724BA5">
        <w:tc>
          <w:tcPr>
            <w:tcW w:w="4146" w:type="dxa"/>
          </w:tcPr>
          <w:p w14:paraId="375B3DFD" w14:textId="7A8A22B5" w:rsidR="00A63234" w:rsidRPr="004C3AA8" w:rsidRDefault="00A63234" w:rsidP="00A63234">
            <w:pPr>
              <w:rPr>
                <w:bCs/>
                <w:color w:val="000000"/>
                <w:szCs w:val="24"/>
              </w:rPr>
            </w:pPr>
            <w:r w:rsidRPr="00A63234">
              <w:rPr>
                <w:rFonts w:eastAsia="Calibri"/>
                <w:szCs w:val="24"/>
                <w:lang w:eastAsia="en-US"/>
              </w:rPr>
              <w:t>1</w:t>
            </w:r>
          </w:p>
        </w:tc>
        <w:tc>
          <w:tcPr>
            <w:tcW w:w="4150" w:type="dxa"/>
          </w:tcPr>
          <w:p w14:paraId="4265D213" w14:textId="20627BC2" w:rsidR="00A63234" w:rsidRPr="004C3AA8" w:rsidRDefault="00A63234" w:rsidP="00A63234">
            <w:pPr>
              <w:rPr>
                <w:bCs/>
                <w:color w:val="000000"/>
                <w:szCs w:val="24"/>
              </w:rPr>
            </w:pPr>
            <w:r w:rsidRPr="00A63234">
              <w:rPr>
                <w:rFonts w:eastAsia="Calibri"/>
                <w:szCs w:val="24"/>
                <w:lang w:eastAsia="en-US"/>
              </w:rPr>
              <w:t>1</w:t>
            </w:r>
          </w:p>
        </w:tc>
      </w:tr>
      <w:tr w:rsidR="00A63234" w:rsidRPr="004C3AA8" w14:paraId="18205817" w14:textId="77777777" w:rsidTr="00724BA5">
        <w:tc>
          <w:tcPr>
            <w:tcW w:w="4146" w:type="dxa"/>
          </w:tcPr>
          <w:p w14:paraId="40F9EE8C" w14:textId="7D327AA5" w:rsidR="00A63234" w:rsidRPr="004C3AA8" w:rsidRDefault="00A63234" w:rsidP="00A63234">
            <w:pPr>
              <w:rPr>
                <w:bCs/>
                <w:color w:val="000000"/>
                <w:szCs w:val="24"/>
              </w:rPr>
            </w:pPr>
            <w:r w:rsidRPr="00A63234">
              <w:rPr>
                <w:rFonts w:eastAsia="Calibri"/>
                <w:szCs w:val="24"/>
                <w:lang w:eastAsia="en-US"/>
              </w:rPr>
              <w:t>2</w:t>
            </w:r>
          </w:p>
        </w:tc>
        <w:tc>
          <w:tcPr>
            <w:tcW w:w="4150" w:type="dxa"/>
          </w:tcPr>
          <w:p w14:paraId="4F41532A" w14:textId="1497FC7D" w:rsidR="00A63234" w:rsidRPr="004C3AA8" w:rsidRDefault="00A63234" w:rsidP="00A63234">
            <w:pPr>
              <w:rPr>
                <w:bCs/>
                <w:color w:val="000000"/>
                <w:szCs w:val="24"/>
              </w:rPr>
            </w:pPr>
            <w:r w:rsidRPr="00A63234">
              <w:rPr>
                <w:rFonts w:eastAsia="Calibri"/>
                <w:szCs w:val="24"/>
                <w:lang w:eastAsia="en-US"/>
              </w:rPr>
              <w:t>2</w:t>
            </w:r>
          </w:p>
        </w:tc>
      </w:tr>
      <w:tr w:rsidR="00A63234" w:rsidRPr="004C3AA8" w14:paraId="7E8F6087" w14:textId="77777777" w:rsidTr="00724BA5">
        <w:tc>
          <w:tcPr>
            <w:tcW w:w="4146" w:type="dxa"/>
          </w:tcPr>
          <w:p w14:paraId="2BE01810" w14:textId="25BDF44B" w:rsidR="00A63234" w:rsidRPr="004C3AA8" w:rsidRDefault="00A63234" w:rsidP="00A63234">
            <w:pPr>
              <w:rPr>
                <w:bCs/>
                <w:color w:val="000000"/>
                <w:szCs w:val="24"/>
              </w:rPr>
            </w:pPr>
            <w:r w:rsidRPr="00A63234">
              <w:rPr>
                <w:rFonts w:eastAsia="Calibri"/>
                <w:szCs w:val="24"/>
                <w:lang w:eastAsia="en-US"/>
              </w:rPr>
              <w:t>3A</w:t>
            </w:r>
          </w:p>
        </w:tc>
        <w:tc>
          <w:tcPr>
            <w:tcW w:w="4150" w:type="dxa"/>
          </w:tcPr>
          <w:p w14:paraId="4F07F002" w14:textId="0351B385" w:rsidR="00A63234" w:rsidRPr="004C3AA8" w:rsidRDefault="00A63234" w:rsidP="00A63234">
            <w:pPr>
              <w:rPr>
                <w:bCs/>
                <w:color w:val="000000"/>
                <w:szCs w:val="24"/>
              </w:rPr>
            </w:pPr>
            <w:r w:rsidRPr="00A63234">
              <w:rPr>
                <w:rFonts w:eastAsia="Calibri"/>
                <w:szCs w:val="24"/>
                <w:lang w:eastAsia="en-US"/>
              </w:rPr>
              <w:t>3</w:t>
            </w:r>
          </w:p>
        </w:tc>
      </w:tr>
      <w:tr w:rsidR="00A63234" w:rsidRPr="004C3AA8" w14:paraId="26C6BF46" w14:textId="77777777" w:rsidTr="00724BA5">
        <w:tc>
          <w:tcPr>
            <w:tcW w:w="4146" w:type="dxa"/>
          </w:tcPr>
          <w:p w14:paraId="5D771925" w14:textId="7060B9B9" w:rsidR="00A63234" w:rsidRPr="004C3AA8" w:rsidRDefault="00A63234" w:rsidP="00A63234">
            <w:pPr>
              <w:rPr>
                <w:bCs/>
                <w:color w:val="000000"/>
                <w:szCs w:val="24"/>
              </w:rPr>
            </w:pPr>
            <w:r w:rsidRPr="00A63234">
              <w:rPr>
                <w:rFonts w:eastAsia="Calibri"/>
                <w:szCs w:val="24"/>
                <w:lang w:eastAsia="en-US"/>
              </w:rPr>
              <w:t>3B</w:t>
            </w:r>
          </w:p>
        </w:tc>
        <w:tc>
          <w:tcPr>
            <w:tcW w:w="4150" w:type="dxa"/>
          </w:tcPr>
          <w:p w14:paraId="3D0C9541" w14:textId="49C1E831" w:rsidR="00A63234" w:rsidRPr="004C3AA8" w:rsidRDefault="00A63234" w:rsidP="00A63234">
            <w:pPr>
              <w:rPr>
                <w:bCs/>
                <w:color w:val="000000"/>
                <w:szCs w:val="24"/>
              </w:rPr>
            </w:pPr>
            <w:r w:rsidRPr="00A63234">
              <w:rPr>
                <w:rFonts w:eastAsia="Calibri"/>
                <w:szCs w:val="24"/>
                <w:lang w:eastAsia="en-US"/>
              </w:rPr>
              <w:t>4</w:t>
            </w:r>
          </w:p>
        </w:tc>
      </w:tr>
      <w:tr w:rsidR="00A63234" w:rsidRPr="004C3AA8" w14:paraId="7BE5F850" w14:textId="77777777" w:rsidTr="00724BA5">
        <w:tc>
          <w:tcPr>
            <w:tcW w:w="4146" w:type="dxa"/>
          </w:tcPr>
          <w:p w14:paraId="31A4A00C" w14:textId="2EF585A1" w:rsidR="00A63234" w:rsidRPr="004C3AA8" w:rsidRDefault="00A63234" w:rsidP="00A63234">
            <w:pPr>
              <w:rPr>
                <w:bCs/>
                <w:color w:val="000000"/>
                <w:szCs w:val="24"/>
              </w:rPr>
            </w:pPr>
            <w:r w:rsidRPr="00A63234">
              <w:rPr>
                <w:rFonts w:eastAsia="Calibri"/>
                <w:szCs w:val="24"/>
                <w:lang w:eastAsia="en-US"/>
              </w:rPr>
              <w:t>3</w:t>
            </w:r>
          </w:p>
        </w:tc>
        <w:tc>
          <w:tcPr>
            <w:tcW w:w="4150" w:type="dxa"/>
          </w:tcPr>
          <w:p w14:paraId="139CA801" w14:textId="1C14458F" w:rsidR="00A63234" w:rsidRPr="004C3AA8" w:rsidRDefault="00A63234" w:rsidP="00A63234">
            <w:pPr>
              <w:rPr>
                <w:bCs/>
                <w:color w:val="000000"/>
                <w:szCs w:val="24"/>
              </w:rPr>
            </w:pPr>
            <w:r w:rsidRPr="00A63234">
              <w:rPr>
                <w:rFonts w:eastAsia="Calibri"/>
                <w:szCs w:val="24"/>
                <w:lang w:eastAsia="en-US"/>
              </w:rPr>
              <w:t>5</w:t>
            </w:r>
          </w:p>
        </w:tc>
      </w:tr>
      <w:tr w:rsidR="00A63234" w:rsidRPr="004C3AA8" w14:paraId="6FC3595E" w14:textId="77777777" w:rsidTr="00724BA5">
        <w:tc>
          <w:tcPr>
            <w:tcW w:w="4146" w:type="dxa"/>
          </w:tcPr>
          <w:p w14:paraId="40741FFB" w14:textId="50BD5125" w:rsidR="00A63234" w:rsidRPr="004C3AA8" w:rsidRDefault="00A63234" w:rsidP="00A63234">
            <w:pPr>
              <w:rPr>
                <w:bCs/>
                <w:color w:val="000000"/>
                <w:szCs w:val="24"/>
              </w:rPr>
            </w:pPr>
            <w:r w:rsidRPr="00A63234">
              <w:rPr>
                <w:rFonts w:eastAsia="Calibri"/>
                <w:szCs w:val="24"/>
                <w:lang w:eastAsia="en-US"/>
              </w:rPr>
              <w:t>3C</w:t>
            </w:r>
          </w:p>
        </w:tc>
        <w:tc>
          <w:tcPr>
            <w:tcW w:w="4150" w:type="dxa"/>
          </w:tcPr>
          <w:p w14:paraId="41FBB108" w14:textId="09DEDC40" w:rsidR="00A63234" w:rsidRPr="004C3AA8" w:rsidRDefault="00A63234" w:rsidP="00A63234">
            <w:pPr>
              <w:rPr>
                <w:bCs/>
                <w:color w:val="000000"/>
                <w:szCs w:val="24"/>
              </w:rPr>
            </w:pPr>
            <w:r w:rsidRPr="00A63234">
              <w:rPr>
                <w:rFonts w:eastAsia="Calibri"/>
                <w:szCs w:val="24"/>
                <w:lang w:eastAsia="en-US"/>
              </w:rPr>
              <w:t>6</w:t>
            </w:r>
          </w:p>
        </w:tc>
      </w:tr>
      <w:tr w:rsidR="00A63234" w:rsidRPr="004C3AA8" w14:paraId="7F0D832F" w14:textId="77777777" w:rsidTr="00724BA5">
        <w:tc>
          <w:tcPr>
            <w:tcW w:w="4146" w:type="dxa"/>
          </w:tcPr>
          <w:p w14:paraId="344866B5" w14:textId="45B434A1" w:rsidR="00A63234" w:rsidRPr="004C3AA8" w:rsidRDefault="00A63234" w:rsidP="00A63234">
            <w:pPr>
              <w:rPr>
                <w:bCs/>
                <w:color w:val="000000"/>
                <w:szCs w:val="24"/>
              </w:rPr>
            </w:pPr>
            <w:r w:rsidRPr="00A63234">
              <w:rPr>
                <w:rFonts w:eastAsia="Calibri"/>
                <w:szCs w:val="24"/>
                <w:lang w:eastAsia="en-US"/>
              </w:rPr>
              <w:t>5</w:t>
            </w:r>
          </w:p>
        </w:tc>
        <w:tc>
          <w:tcPr>
            <w:tcW w:w="4150" w:type="dxa"/>
          </w:tcPr>
          <w:p w14:paraId="5898F576" w14:textId="2D53D2DD" w:rsidR="00A63234" w:rsidRPr="004C3AA8" w:rsidRDefault="00A63234" w:rsidP="00A63234">
            <w:pPr>
              <w:rPr>
                <w:bCs/>
                <w:color w:val="000000"/>
                <w:szCs w:val="24"/>
              </w:rPr>
            </w:pPr>
            <w:r w:rsidRPr="00A63234">
              <w:rPr>
                <w:rFonts w:eastAsia="Calibri"/>
                <w:szCs w:val="24"/>
                <w:lang w:eastAsia="en-US"/>
              </w:rPr>
              <w:t>7</w:t>
            </w:r>
          </w:p>
        </w:tc>
      </w:tr>
      <w:tr w:rsidR="00A63234" w:rsidRPr="004C3AA8" w14:paraId="4248F25E" w14:textId="77777777" w:rsidTr="00724BA5">
        <w:tc>
          <w:tcPr>
            <w:tcW w:w="4146" w:type="dxa"/>
          </w:tcPr>
          <w:p w14:paraId="446EA1AD" w14:textId="03CD41FA" w:rsidR="00A63234" w:rsidRPr="004C3AA8" w:rsidRDefault="00A63234" w:rsidP="00A63234">
            <w:pPr>
              <w:rPr>
                <w:bCs/>
                <w:color w:val="000000"/>
                <w:szCs w:val="24"/>
              </w:rPr>
            </w:pPr>
            <w:r w:rsidRPr="00A63234">
              <w:rPr>
                <w:rFonts w:eastAsia="Calibri"/>
                <w:szCs w:val="24"/>
                <w:lang w:eastAsia="en-US"/>
              </w:rPr>
              <w:t>7</w:t>
            </w:r>
          </w:p>
        </w:tc>
        <w:tc>
          <w:tcPr>
            <w:tcW w:w="4150" w:type="dxa"/>
          </w:tcPr>
          <w:p w14:paraId="633D5093" w14:textId="7468D78D" w:rsidR="00A63234" w:rsidRPr="004C3AA8" w:rsidRDefault="00A63234" w:rsidP="00A63234">
            <w:pPr>
              <w:rPr>
                <w:bCs/>
                <w:color w:val="000000"/>
                <w:szCs w:val="24"/>
              </w:rPr>
            </w:pPr>
            <w:r w:rsidRPr="00A63234">
              <w:rPr>
                <w:rFonts w:eastAsia="Calibri"/>
                <w:szCs w:val="24"/>
                <w:lang w:eastAsia="en-US"/>
              </w:rPr>
              <w:t>8</w:t>
            </w:r>
          </w:p>
        </w:tc>
      </w:tr>
      <w:tr w:rsidR="00A63234" w:rsidRPr="004C3AA8" w14:paraId="0DA514DB" w14:textId="77777777" w:rsidTr="00724BA5">
        <w:tc>
          <w:tcPr>
            <w:tcW w:w="4146" w:type="dxa"/>
          </w:tcPr>
          <w:p w14:paraId="0386C742" w14:textId="75224437" w:rsidR="00A63234" w:rsidRPr="004C3AA8" w:rsidRDefault="00A63234" w:rsidP="00A63234">
            <w:pPr>
              <w:rPr>
                <w:bCs/>
                <w:color w:val="000000"/>
                <w:szCs w:val="24"/>
              </w:rPr>
            </w:pPr>
            <w:r w:rsidRPr="00A63234">
              <w:rPr>
                <w:rFonts w:eastAsia="Calibri"/>
                <w:szCs w:val="24"/>
                <w:lang w:eastAsia="en-US"/>
              </w:rPr>
              <w:t>8</w:t>
            </w:r>
          </w:p>
        </w:tc>
        <w:tc>
          <w:tcPr>
            <w:tcW w:w="4150" w:type="dxa"/>
          </w:tcPr>
          <w:p w14:paraId="6496F0E9" w14:textId="3E9FE5E5" w:rsidR="00A63234" w:rsidRPr="004C3AA8" w:rsidRDefault="00A63234" w:rsidP="00A63234">
            <w:pPr>
              <w:rPr>
                <w:bCs/>
                <w:color w:val="000000"/>
                <w:szCs w:val="24"/>
              </w:rPr>
            </w:pPr>
            <w:r w:rsidRPr="00A63234">
              <w:rPr>
                <w:rFonts w:eastAsia="Calibri"/>
                <w:szCs w:val="24"/>
                <w:lang w:eastAsia="en-US"/>
              </w:rPr>
              <w:t>9</w:t>
            </w:r>
          </w:p>
        </w:tc>
      </w:tr>
      <w:tr w:rsidR="00A63234" w:rsidRPr="004C3AA8" w14:paraId="5C62399E" w14:textId="77777777" w:rsidTr="00724BA5">
        <w:tc>
          <w:tcPr>
            <w:tcW w:w="4146" w:type="dxa"/>
          </w:tcPr>
          <w:p w14:paraId="111DD2DA" w14:textId="17435C09" w:rsidR="00A63234" w:rsidRPr="004C3AA8" w:rsidRDefault="00A63234" w:rsidP="00A63234">
            <w:pPr>
              <w:rPr>
                <w:bCs/>
                <w:color w:val="000000"/>
                <w:szCs w:val="24"/>
              </w:rPr>
            </w:pPr>
            <w:r w:rsidRPr="00A63234">
              <w:rPr>
                <w:rFonts w:eastAsia="Calibri"/>
                <w:szCs w:val="24"/>
                <w:lang w:eastAsia="en-US"/>
              </w:rPr>
              <w:t>9</w:t>
            </w:r>
          </w:p>
        </w:tc>
        <w:tc>
          <w:tcPr>
            <w:tcW w:w="4150" w:type="dxa"/>
          </w:tcPr>
          <w:p w14:paraId="402EBF00" w14:textId="0E2E7095" w:rsidR="00A63234" w:rsidRPr="004C3AA8" w:rsidRDefault="00A63234" w:rsidP="00A63234">
            <w:pPr>
              <w:rPr>
                <w:bCs/>
                <w:color w:val="000000"/>
                <w:szCs w:val="24"/>
              </w:rPr>
            </w:pPr>
            <w:r w:rsidRPr="00A63234">
              <w:rPr>
                <w:rFonts w:eastAsia="Calibri"/>
                <w:szCs w:val="24"/>
                <w:lang w:eastAsia="en-US"/>
              </w:rPr>
              <w:t>10</w:t>
            </w:r>
          </w:p>
        </w:tc>
      </w:tr>
      <w:tr w:rsidR="00A63234" w:rsidRPr="004C3AA8" w14:paraId="0F03EB15" w14:textId="77777777" w:rsidTr="00724BA5">
        <w:tc>
          <w:tcPr>
            <w:tcW w:w="4146" w:type="dxa"/>
          </w:tcPr>
          <w:p w14:paraId="3F493B57" w14:textId="26A1B728" w:rsidR="00A63234" w:rsidRPr="004C3AA8" w:rsidRDefault="00A63234" w:rsidP="00A63234">
            <w:pPr>
              <w:rPr>
                <w:bCs/>
                <w:color w:val="000000"/>
                <w:szCs w:val="24"/>
              </w:rPr>
            </w:pPr>
            <w:r w:rsidRPr="00A63234">
              <w:rPr>
                <w:rFonts w:eastAsia="Calibri"/>
                <w:szCs w:val="24"/>
                <w:lang w:eastAsia="en-US"/>
              </w:rPr>
              <w:t>17</w:t>
            </w:r>
          </w:p>
        </w:tc>
        <w:tc>
          <w:tcPr>
            <w:tcW w:w="4150" w:type="dxa"/>
          </w:tcPr>
          <w:p w14:paraId="77764361" w14:textId="24FC47C2" w:rsidR="00A63234" w:rsidRPr="004C3AA8" w:rsidRDefault="00A63234" w:rsidP="00A63234">
            <w:pPr>
              <w:rPr>
                <w:bCs/>
                <w:color w:val="000000"/>
                <w:szCs w:val="24"/>
              </w:rPr>
            </w:pPr>
            <w:r w:rsidRPr="00A63234">
              <w:rPr>
                <w:rFonts w:eastAsia="Calibri"/>
                <w:szCs w:val="24"/>
                <w:lang w:eastAsia="en-US"/>
              </w:rPr>
              <w:t>11</w:t>
            </w:r>
          </w:p>
        </w:tc>
      </w:tr>
      <w:tr w:rsidR="00A63234" w:rsidRPr="004C3AA8" w14:paraId="3456CC7E" w14:textId="77777777" w:rsidTr="00724BA5">
        <w:tc>
          <w:tcPr>
            <w:tcW w:w="4146" w:type="dxa"/>
          </w:tcPr>
          <w:p w14:paraId="245E4E6F" w14:textId="7D59A93A" w:rsidR="00A63234" w:rsidRPr="004C3AA8" w:rsidRDefault="00A63234" w:rsidP="00A63234">
            <w:pPr>
              <w:rPr>
                <w:bCs/>
                <w:color w:val="000000"/>
                <w:szCs w:val="24"/>
              </w:rPr>
            </w:pPr>
            <w:r w:rsidRPr="00A63234">
              <w:rPr>
                <w:rFonts w:eastAsia="Calibri"/>
                <w:szCs w:val="24"/>
                <w:lang w:eastAsia="en-US"/>
              </w:rPr>
              <w:t>18</w:t>
            </w:r>
          </w:p>
        </w:tc>
        <w:tc>
          <w:tcPr>
            <w:tcW w:w="4150" w:type="dxa"/>
          </w:tcPr>
          <w:p w14:paraId="50F3CEF1" w14:textId="73BE0868" w:rsidR="00A63234" w:rsidRPr="004C3AA8" w:rsidRDefault="00A63234" w:rsidP="00A63234">
            <w:pPr>
              <w:rPr>
                <w:bCs/>
                <w:color w:val="000000"/>
                <w:szCs w:val="24"/>
              </w:rPr>
            </w:pPr>
            <w:r w:rsidRPr="00A63234">
              <w:rPr>
                <w:rFonts w:eastAsia="Calibri"/>
                <w:szCs w:val="24"/>
                <w:lang w:eastAsia="en-US"/>
              </w:rPr>
              <w:t>12</w:t>
            </w:r>
          </w:p>
        </w:tc>
      </w:tr>
      <w:tr w:rsidR="00A63234" w:rsidRPr="004C3AA8" w14:paraId="7E2D9C1E" w14:textId="77777777" w:rsidTr="00724BA5">
        <w:tc>
          <w:tcPr>
            <w:tcW w:w="4146" w:type="dxa"/>
          </w:tcPr>
          <w:p w14:paraId="00EFC88E" w14:textId="5C55852D" w:rsidR="00A63234" w:rsidRPr="004C3AA8" w:rsidRDefault="00A63234" w:rsidP="00A63234">
            <w:pPr>
              <w:rPr>
                <w:bCs/>
                <w:color w:val="000000"/>
                <w:szCs w:val="24"/>
              </w:rPr>
            </w:pPr>
            <w:r w:rsidRPr="00A63234">
              <w:rPr>
                <w:rFonts w:eastAsia="Calibri"/>
                <w:szCs w:val="24"/>
                <w:lang w:eastAsia="en-US"/>
              </w:rPr>
              <w:t>21A</w:t>
            </w:r>
          </w:p>
        </w:tc>
        <w:tc>
          <w:tcPr>
            <w:tcW w:w="4150" w:type="dxa"/>
          </w:tcPr>
          <w:p w14:paraId="09EDADB5" w14:textId="57E2F1E1" w:rsidR="00A63234" w:rsidRPr="004C3AA8" w:rsidRDefault="00A63234" w:rsidP="00A63234">
            <w:pPr>
              <w:rPr>
                <w:bCs/>
                <w:color w:val="000000"/>
                <w:szCs w:val="24"/>
              </w:rPr>
            </w:pPr>
            <w:r w:rsidRPr="00A63234">
              <w:rPr>
                <w:rFonts w:eastAsia="Calibri"/>
                <w:szCs w:val="24"/>
                <w:lang w:eastAsia="en-US"/>
              </w:rPr>
              <w:t>13</w:t>
            </w:r>
          </w:p>
        </w:tc>
      </w:tr>
      <w:tr w:rsidR="00A63234" w:rsidRPr="004C3AA8" w14:paraId="0E66232F" w14:textId="77777777" w:rsidTr="00724BA5">
        <w:tc>
          <w:tcPr>
            <w:tcW w:w="4146" w:type="dxa"/>
          </w:tcPr>
          <w:p w14:paraId="36CB2C6A" w14:textId="3866191C" w:rsidR="00A63234" w:rsidRPr="004C3AA8" w:rsidRDefault="00A63234" w:rsidP="00A63234">
            <w:pPr>
              <w:rPr>
                <w:bCs/>
                <w:color w:val="000000"/>
                <w:szCs w:val="24"/>
              </w:rPr>
            </w:pPr>
            <w:r w:rsidRPr="00A63234">
              <w:rPr>
                <w:rFonts w:eastAsia="Calibri"/>
                <w:szCs w:val="24"/>
                <w:lang w:eastAsia="en-US"/>
              </w:rPr>
              <w:t>21B</w:t>
            </w:r>
          </w:p>
        </w:tc>
        <w:tc>
          <w:tcPr>
            <w:tcW w:w="4150" w:type="dxa"/>
          </w:tcPr>
          <w:p w14:paraId="2B73A3F8" w14:textId="3FDE0EE1" w:rsidR="00A63234" w:rsidRPr="004C3AA8" w:rsidRDefault="00A63234" w:rsidP="00A63234">
            <w:pPr>
              <w:rPr>
                <w:bCs/>
                <w:color w:val="000000"/>
                <w:szCs w:val="24"/>
              </w:rPr>
            </w:pPr>
            <w:r w:rsidRPr="00A63234">
              <w:rPr>
                <w:rFonts w:eastAsia="Calibri"/>
                <w:szCs w:val="24"/>
                <w:lang w:eastAsia="en-US"/>
              </w:rPr>
              <w:t>14</w:t>
            </w:r>
          </w:p>
        </w:tc>
      </w:tr>
      <w:tr w:rsidR="00A63234" w:rsidRPr="004C3AA8" w14:paraId="2DB4C9FE" w14:textId="77777777" w:rsidTr="00724BA5">
        <w:tc>
          <w:tcPr>
            <w:tcW w:w="4146" w:type="dxa"/>
          </w:tcPr>
          <w:p w14:paraId="7F607D7D" w14:textId="44EDA10F" w:rsidR="00A63234" w:rsidRPr="004C3AA8" w:rsidRDefault="00A63234" w:rsidP="00A63234">
            <w:pPr>
              <w:rPr>
                <w:bCs/>
                <w:color w:val="000000"/>
                <w:szCs w:val="24"/>
              </w:rPr>
            </w:pPr>
            <w:r w:rsidRPr="00A63234">
              <w:rPr>
                <w:rFonts w:eastAsia="Calibri"/>
                <w:szCs w:val="24"/>
                <w:lang w:eastAsia="en-US"/>
              </w:rPr>
              <w:t>24</w:t>
            </w:r>
          </w:p>
        </w:tc>
        <w:tc>
          <w:tcPr>
            <w:tcW w:w="4150" w:type="dxa"/>
          </w:tcPr>
          <w:p w14:paraId="33BB2630" w14:textId="6B4895B0" w:rsidR="00A63234" w:rsidRPr="004C3AA8" w:rsidRDefault="00A63234" w:rsidP="00A63234">
            <w:pPr>
              <w:rPr>
                <w:bCs/>
                <w:color w:val="000000"/>
                <w:szCs w:val="24"/>
              </w:rPr>
            </w:pPr>
            <w:r w:rsidRPr="00A63234">
              <w:rPr>
                <w:rFonts w:eastAsia="Calibri"/>
                <w:szCs w:val="24"/>
                <w:lang w:eastAsia="en-US"/>
              </w:rPr>
              <w:t>15</w:t>
            </w:r>
          </w:p>
        </w:tc>
      </w:tr>
      <w:tr w:rsidR="00A63234" w:rsidRPr="004C3AA8" w14:paraId="4D2A089F" w14:textId="77777777" w:rsidTr="00724BA5">
        <w:tc>
          <w:tcPr>
            <w:tcW w:w="4146" w:type="dxa"/>
          </w:tcPr>
          <w:p w14:paraId="0BB5E4DA" w14:textId="5AA36797" w:rsidR="00A63234" w:rsidRPr="004C3AA8" w:rsidRDefault="00A63234" w:rsidP="00A63234">
            <w:pPr>
              <w:rPr>
                <w:bCs/>
                <w:color w:val="000000"/>
                <w:szCs w:val="24"/>
              </w:rPr>
            </w:pPr>
            <w:r w:rsidRPr="00A63234">
              <w:rPr>
                <w:rFonts w:eastAsia="Calibri"/>
                <w:szCs w:val="24"/>
                <w:lang w:eastAsia="en-US"/>
              </w:rPr>
              <w:t>25</w:t>
            </w:r>
          </w:p>
        </w:tc>
        <w:tc>
          <w:tcPr>
            <w:tcW w:w="4150" w:type="dxa"/>
          </w:tcPr>
          <w:p w14:paraId="5C192EEC" w14:textId="49C9E000" w:rsidR="00A63234" w:rsidRPr="004C3AA8" w:rsidRDefault="00A63234" w:rsidP="00A63234">
            <w:pPr>
              <w:rPr>
                <w:bCs/>
                <w:color w:val="000000"/>
                <w:szCs w:val="24"/>
              </w:rPr>
            </w:pPr>
            <w:r w:rsidRPr="00A63234">
              <w:rPr>
                <w:rFonts w:eastAsia="Calibri"/>
                <w:szCs w:val="24"/>
                <w:lang w:eastAsia="en-US"/>
              </w:rPr>
              <w:t>16</w:t>
            </w:r>
          </w:p>
        </w:tc>
      </w:tr>
    </w:tbl>
    <w:p w14:paraId="27B2EE1C" w14:textId="77777777" w:rsidR="00A63234" w:rsidRDefault="00A63234" w:rsidP="002E5476">
      <w:pPr>
        <w:spacing w:before="0" w:after="0"/>
      </w:pPr>
    </w:p>
    <w:sectPr w:rsidR="00A63234"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7E1D0" w14:textId="77777777" w:rsidR="00F768ED" w:rsidRDefault="00F768ED" w:rsidP="00954679">
      <w:pPr>
        <w:spacing w:before="0" w:after="0"/>
      </w:pPr>
      <w:r>
        <w:separator/>
      </w:r>
    </w:p>
  </w:endnote>
  <w:endnote w:type="continuationSeparator" w:id="0">
    <w:p w14:paraId="5822B305" w14:textId="77777777" w:rsidR="00F768ED" w:rsidRDefault="00F768ED" w:rsidP="00954679">
      <w:pPr>
        <w:spacing w:before="0" w:after="0"/>
      </w:pPr>
      <w:r>
        <w:continuationSeparator/>
      </w:r>
    </w:p>
  </w:endnote>
  <w:endnote w:type="continuationNotice" w:id="1">
    <w:p w14:paraId="51DEC274" w14:textId="77777777" w:rsidR="00F768ED" w:rsidRDefault="00F768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9AE6395" w14:textId="77777777" w:rsidR="00F768ED" w:rsidRDefault="00F768ED"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407E9" w14:textId="77777777" w:rsidR="00F768ED" w:rsidRDefault="00F768ED" w:rsidP="00954679">
      <w:pPr>
        <w:spacing w:before="0" w:after="0"/>
      </w:pPr>
      <w:r>
        <w:separator/>
      </w:r>
    </w:p>
  </w:footnote>
  <w:footnote w:type="continuationSeparator" w:id="0">
    <w:p w14:paraId="76939B45" w14:textId="77777777" w:rsidR="00F768ED" w:rsidRDefault="00F768ED" w:rsidP="00954679">
      <w:pPr>
        <w:spacing w:before="0" w:after="0"/>
      </w:pPr>
      <w:r>
        <w:continuationSeparator/>
      </w:r>
    </w:p>
  </w:footnote>
  <w:footnote w:type="continuationNotice" w:id="1">
    <w:p w14:paraId="1DA7E6AB" w14:textId="77777777" w:rsidR="00F768ED" w:rsidRDefault="00F768E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9113" w14:textId="4F26D320" w:rsidR="00F768ED" w:rsidRDefault="00F768ED" w:rsidP="001450F0">
    <w:pPr>
      <w:pStyle w:val="Header"/>
      <w:jc w:val="center"/>
    </w:pPr>
    <w:r w:rsidRPr="00290521">
      <w:rPr>
        <w:b/>
        <w:sz w:val="26"/>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85"/>
    <w:rsid w:val="000001CF"/>
    <w:rsid w:val="00004DFF"/>
    <w:rsid w:val="00013390"/>
    <w:rsid w:val="00016EA2"/>
    <w:rsid w:val="000277FE"/>
    <w:rsid w:val="000329C7"/>
    <w:rsid w:val="000446F6"/>
    <w:rsid w:val="00063CED"/>
    <w:rsid w:val="00071FFB"/>
    <w:rsid w:val="00076178"/>
    <w:rsid w:val="0008058C"/>
    <w:rsid w:val="0008285B"/>
    <w:rsid w:val="00083AFD"/>
    <w:rsid w:val="00095211"/>
    <w:rsid w:val="00096111"/>
    <w:rsid w:val="000B123E"/>
    <w:rsid w:val="000B39A1"/>
    <w:rsid w:val="000B6E45"/>
    <w:rsid w:val="000C10DF"/>
    <w:rsid w:val="000C6935"/>
    <w:rsid w:val="000E32E3"/>
    <w:rsid w:val="000E7ECA"/>
    <w:rsid w:val="001051E9"/>
    <w:rsid w:val="00107A44"/>
    <w:rsid w:val="001129FF"/>
    <w:rsid w:val="00113B45"/>
    <w:rsid w:val="00123C02"/>
    <w:rsid w:val="0012438D"/>
    <w:rsid w:val="001273A2"/>
    <w:rsid w:val="001326C8"/>
    <w:rsid w:val="0013279B"/>
    <w:rsid w:val="00134BF4"/>
    <w:rsid w:val="001450F0"/>
    <w:rsid w:val="00172241"/>
    <w:rsid w:val="00176147"/>
    <w:rsid w:val="00180343"/>
    <w:rsid w:val="0018119D"/>
    <w:rsid w:val="001852D0"/>
    <w:rsid w:val="001B3D4E"/>
    <w:rsid w:val="001B6CAE"/>
    <w:rsid w:val="001B7535"/>
    <w:rsid w:val="001C0ACF"/>
    <w:rsid w:val="001C2A95"/>
    <w:rsid w:val="001E6A74"/>
    <w:rsid w:val="001E704B"/>
    <w:rsid w:val="001F3C1A"/>
    <w:rsid w:val="001F41D0"/>
    <w:rsid w:val="00205E01"/>
    <w:rsid w:val="00207E28"/>
    <w:rsid w:val="00220F16"/>
    <w:rsid w:val="00222DEA"/>
    <w:rsid w:val="00236CB2"/>
    <w:rsid w:val="00250B0B"/>
    <w:rsid w:val="00251E7C"/>
    <w:rsid w:val="00254C5B"/>
    <w:rsid w:val="00257205"/>
    <w:rsid w:val="00272EA0"/>
    <w:rsid w:val="00273A26"/>
    <w:rsid w:val="00286C6D"/>
    <w:rsid w:val="00292088"/>
    <w:rsid w:val="002A6A2A"/>
    <w:rsid w:val="002A7E1F"/>
    <w:rsid w:val="002B6A78"/>
    <w:rsid w:val="002C226C"/>
    <w:rsid w:val="002E4FB4"/>
    <w:rsid w:val="002E5476"/>
    <w:rsid w:val="002F24AF"/>
    <w:rsid w:val="003041FA"/>
    <w:rsid w:val="003167B1"/>
    <w:rsid w:val="0032239F"/>
    <w:rsid w:val="00323AEF"/>
    <w:rsid w:val="003342CD"/>
    <w:rsid w:val="00335042"/>
    <w:rsid w:val="0033669A"/>
    <w:rsid w:val="00361EF8"/>
    <w:rsid w:val="00362B70"/>
    <w:rsid w:val="00384805"/>
    <w:rsid w:val="00392BBA"/>
    <w:rsid w:val="003954FD"/>
    <w:rsid w:val="003A2258"/>
    <w:rsid w:val="003B3945"/>
    <w:rsid w:val="003C7907"/>
    <w:rsid w:val="003D59BF"/>
    <w:rsid w:val="003D5A08"/>
    <w:rsid w:val="003D60D7"/>
    <w:rsid w:val="003E1CE3"/>
    <w:rsid w:val="003F1077"/>
    <w:rsid w:val="00406BA7"/>
    <w:rsid w:val="004162F7"/>
    <w:rsid w:val="004360DA"/>
    <w:rsid w:val="00442603"/>
    <w:rsid w:val="00442D48"/>
    <w:rsid w:val="004511F8"/>
    <w:rsid w:val="00451714"/>
    <w:rsid w:val="00462095"/>
    <w:rsid w:val="00465A48"/>
    <w:rsid w:val="00475182"/>
    <w:rsid w:val="00482B81"/>
    <w:rsid w:val="00482D4C"/>
    <w:rsid w:val="004A76D3"/>
    <w:rsid w:val="004B3C0F"/>
    <w:rsid w:val="004C05E4"/>
    <w:rsid w:val="004D70F4"/>
    <w:rsid w:val="004E2074"/>
    <w:rsid w:val="004E39E1"/>
    <w:rsid w:val="004F56D0"/>
    <w:rsid w:val="005020D5"/>
    <w:rsid w:val="00502615"/>
    <w:rsid w:val="00503E44"/>
    <w:rsid w:val="00513E45"/>
    <w:rsid w:val="00515283"/>
    <w:rsid w:val="005262FC"/>
    <w:rsid w:val="00527DD2"/>
    <w:rsid w:val="00533926"/>
    <w:rsid w:val="00541D73"/>
    <w:rsid w:val="00546443"/>
    <w:rsid w:val="0055675D"/>
    <w:rsid w:val="005627FF"/>
    <w:rsid w:val="00564700"/>
    <w:rsid w:val="0056540A"/>
    <w:rsid w:val="00566E8F"/>
    <w:rsid w:val="00572185"/>
    <w:rsid w:val="0057422E"/>
    <w:rsid w:val="005833BE"/>
    <w:rsid w:val="0059028C"/>
    <w:rsid w:val="005911C5"/>
    <w:rsid w:val="005A4C40"/>
    <w:rsid w:val="005D7D5A"/>
    <w:rsid w:val="005E4BAC"/>
    <w:rsid w:val="0060130D"/>
    <w:rsid w:val="00613866"/>
    <w:rsid w:val="00616A8C"/>
    <w:rsid w:val="00620796"/>
    <w:rsid w:val="0063757E"/>
    <w:rsid w:val="00637FAE"/>
    <w:rsid w:val="0064129F"/>
    <w:rsid w:val="00647BB7"/>
    <w:rsid w:val="006531A3"/>
    <w:rsid w:val="00653F2D"/>
    <w:rsid w:val="00655300"/>
    <w:rsid w:val="00676772"/>
    <w:rsid w:val="00680297"/>
    <w:rsid w:val="006873CE"/>
    <w:rsid w:val="00694506"/>
    <w:rsid w:val="0069496A"/>
    <w:rsid w:val="006A0786"/>
    <w:rsid w:val="006A32C4"/>
    <w:rsid w:val="006C64AD"/>
    <w:rsid w:val="006C68DC"/>
    <w:rsid w:val="006D4CF6"/>
    <w:rsid w:val="006E71CD"/>
    <w:rsid w:val="00704516"/>
    <w:rsid w:val="00710E94"/>
    <w:rsid w:val="00716F9B"/>
    <w:rsid w:val="00724211"/>
    <w:rsid w:val="00726053"/>
    <w:rsid w:val="00727D8A"/>
    <w:rsid w:val="00731FEA"/>
    <w:rsid w:val="00736F61"/>
    <w:rsid w:val="00742253"/>
    <w:rsid w:val="007662C7"/>
    <w:rsid w:val="007707D6"/>
    <w:rsid w:val="00770DBB"/>
    <w:rsid w:val="00776306"/>
    <w:rsid w:val="007904FB"/>
    <w:rsid w:val="0079470B"/>
    <w:rsid w:val="007A55A7"/>
    <w:rsid w:val="007B1F10"/>
    <w:rsid w:val="007B335E"/>
    <w:rsid w:val="007B538E"/>
    <w:rsid w:val="007E018D"/>
    <w:rsid w:val="007F1B71"/>
    <w:rsid w:val="007F1C77"/>
    <w:rsid w:val="00807E7D"/>
    <w:rsid w:val="00831675"/>
    <w:rsid w:val="00841155"/>
    <w:rsid w:val="008463AB"/>
    <w:rsid w:val="00847F7B"/>
    <w:rsid w:val="00853232"/>
    <w:rsid w:val="00855225"/>
    <w:rsid w:val="00863774"/>
    <w:rsid w:val="008806DF"/>
    <w:rsid w:val="0088467C"/>
    <w:rsid w:val="00894579"/>
    <w:rsid w:val="008A5364"/>
    <w:rsid w:val="008A5B67"/>
    <w:rsid w:val="008A65A0"/>
    <w:rsid w:val="008C3FE1"/>
    <w:rsid w:val="008D16F7"/>
    <w:rsid w:val="008E1427"/>
    <w:rsid w:val="009143A0"/>
    <w:rsid w:val="00926A68"/>
    <w:rsid w:val="009272BE"/>
    <w:rsid w:val="00936902"/>
    <w:rsid w:val="009453FE"/>
    <w:rsid w:val="009535EE"/>
    <w:rsid w:val="00954679"/>
    <w:rsid w:val="00985CF6"/>
    <w:rsid w:val="009C6A1E"/>
    <w:rsid w:val="009D1AC1"/>
    <w:rsid w:val="009D34CA"/>
    <w:rsid w:val="009D52F2"/>
    <w:rsid w:val="009D59FE"/>
    <w:rsid w:val="009D5DC9"/>
    <w:rsid w:val="009D6242"/>
    <w:rsid w:val="009E2F86"/>
    <w:rsid w:val="00A05F9C"/>
    <w:rsid w:val="00A12209"/>
    <w:rsid w:val="00A1266B"/>
    <w:rsid w:val="00A13E27"/>
    <w:rsid w:val="00A33135"/>
    <w:rsid w:val="00A36DF3"/>
    <w:rsid w:val="00A426F9"/>
    <w:rsid w:val="00A532DD"/>
    <w:rsid w:val="00A61DB0"/>
    <w:rsid w:val="00A63234"/>
    <w:rsid w:val="00A63AAD"/>
    <w:rsid w:val="00A70CE7"/>
    <w:rsid w:val="00A72273"/>
    <w:rsid w:val="00A7584E"/>
    <w:rsid w:val="00A80BCF"/>
    <w:rsid w:val="00A8369C"/>
    <w:rsid w:val="00AA1689"/>
    <w:rsid w:val="00AA5770"/>
    <w:rsid w:val="00AA7AC9"/>
    <w:rsid w:val="00AC147B"/>
    <w:rsid w:val="00AC1D15"/>
    <w:rsid w:val="00AC24A1"/>
    <w:rsid w:val="00AE7725"/>
    <w:rsid w:val="00AF64B6"/>
    <w:rsid w:val="00B07B0C"/>
    <w:rsid w:val="00B203AA"/>
    <w:rsid w:val="00B25563"/>
    <w:rsid w:val="00B26D48"/>
    <w:rsid w:val="00B27205"/>
    <w:rsid w:val="00B42EE1"/>
    <w:rsid w:val="00B713E6"/>
    <w:rsid w:val="00B8293D"/>
    <w:rsid w:val="00B82BD8"/>
    <w:rsid w:val="00B82E00"/>
    <w:rsid w:val="00B86A1B"/>
    <w:rsid w:val="00B86DDF"/>
    <w:rsid w:val="00B92478"/>
    <w:rsid w:val="00BA6188"/>
    <w:rsid w:val="00BB0E26"/>
    <w:rsid w:val="00BB200F"/>
    <w:rsid w:val="00BB699C"/>
    <w:rsid w:val="00BB7E63"/>
    <w:rsid w:val="00BD61A2"/>
    <w:rsid w:val="00BD6F1A"/>
    <w:rsid w:val="00BD72A8"/>
    <w:rsid w:val="00BE484D"/>
    <w:rsid w:val="00BE7D1F"/>
    <w:rsid w:val="00C279EF"/>
    <w:rsid w:val="00C37E05"/>
    <w:rsid w:val="00C52DA7"/>
    <w:rsid w:val="00C55D29"/>
    <w:rsid w:val="00C65522"/>
    <w:rsid w:val="00C65B64"/>
    <w:rsid w:val="00C70DED"/>
    <w:rsid w:val="00C72235"/>
    <w:rsid w:val="00C7355A"/>
    <w:rsid w:val="00C81776"/>
    <w:rsid w:val="00CA0BE9"/>
    <w:rsid w:val="00CA138D"/>
    <w:rsid w:val="00CA351B"/>
    <w:rsid w:val="00CA6F92"/>
    <w:rsid w:val="00CB5DFF"/>
    <w:rsid w:val="00CC7641"/>
    <w:rsid w:val="00CD1D9D"/>
    <w:rsid w:val="00CD2126"/>
    <w:rsid w:val="00CD6B8A"/>
    <w:rsid w:val="00CE1385"/>
    <w:rsid w:val="00CE52D9"/>
    <w:rsid w:val="00D00F40"/>
    <w:rsid w:val="00D13794"/>
    <w:rsid w:val="00D14747"/>
    <w:rsid w:val="00D24052"/>
    <w:rsid w:val="00D24386"/>
    <w:rsid w:val="00D31575"/>
    <w:rsid w:val="00D34626"/>
    <w:rsid w:val="00D34FB4"/>
    <w:rsid w:val="00D417EF"/>
    <w:rsid w:val="00D421A7"/>
    <w:rsid w:val="00D4257A"/>
    <w:rsid w:val="00D42926"/>
    <w:rsid w:val="00D533BC"/>
    <w:rsid w:val="00D54A10"/>
    <w:rsid w:val="00D55F48"/>
    <w:rsid w:val="00D5788E"/>
    <w:rsid w:val="00D62665"/>
    <w:rsid w:val="00D640FB"/>
    <w:rsid w:val="00D75614"/>
    <w:rsid w:val="00D779E5"/>
    <w:rsid w:val="00D82E47"/>
    <w:rsid w:val="00D92139"/>
    <w:rsid w:val="00DA0DC5"/>
    <w:rsid w:val="00DA52F3"/>
    <w:rsid w:val="00DB264F"/>
    <w:rsid w:val="00DC0CDE"/>
    <w:rsid w:val="00DC123E"/>
    <w:rsid w:val="00DC4476"/>
    <w:rsid w:val="00DC4D72"/>
    <w:rsid w:val="00DD00BF"/>
    <w:rsid w:val="00DE6B13"/>
    <w:rsid w:val="00DF5CE6"/>
    <w:rsid w:val="00E02F37"/>
    <w:rsid w:val="00E0624D"/>
    <w:rsid w:val="00E27712"/>
    <w:rsid w:val="00E346B5"/>
    <w:rsid w:val="00E37748"/>
    <w:rsid w:val="00E4438C"/>
    <w:rsid w:val="00E457F3"/>
    <w:rsid w:val="00E5605A"/>
    <w:rsid w:val="00E9616A"/>
    <w:rsid w:val="00EA4DD8"/>
    <w:rsid w:val="00EB2AEF"/>
    <w:rsid w:val="00EB7E71"/>
    <w:rsid w:val="00EC5794"/>
    <w:rsid w:val="00ED042A"/>
    <w:rsid w:val="00ED185D"/>
    <w:rsid w:val="00EE3782"/>
    <w:rsid w:val="00EE7AE0"/>
    <w:rsid w:val="00EF56C4"/>
    <w:rsid w:val="00EF6E9B"/>
    <w:rsid w:val="00F054E1"/>
    <w:rsid w:val="00F10276"/>
    <w:rsid w:val="00F109D4"/>
    <w:rsid w:val="00F111D9"/>
    <w:rsid w:val="00F15D85"/>
    <w:rsid w:val="00F15EE9"/>
    <w:rsid w:val="00F40EA2"/>
    <w:rsid w:val="00F4633C"/>
    <w:rsid w:val="00F47585"/>
    <w:rsid w:val="00F54A65"/>
    <w:rsid w:val="00F67B94"/>
    <w:rsid w:val="00F71BFB"/>
    <w:rsid w:val="00F75571"/>
    <w:rsid w:val="00F768ED"/>
    <w:rsid w:val="00F85E6F"/>
    <w:rsid w:val="00FA55FE"/>
    <w:rsid w:val="00FC055F"/>
    <w:rsid w:val="00FC7D62"/>
    <w:rsid w:val="00FD3E6D"/>
    <w:rsid w:val="00FE04E4"/>
    <w:rsid w:val="00FE73F9"/>
    <w:rsid w:val="00FF054B"/>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3613C"/>
  <w15:docId w15:val="{3C1A8C7A-7133-47FA-BD35-DEFB697C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DF5CE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F5CE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567"/>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Heading6Char">
    <w:name w:val="Heading 6 Char"/>
    <w:basedOn w:val="DefaultParagraphFont"/>
    <w:link w:val="Heading6"/>
    <w:uiPriority w:val="9"/>
    <w:rsid w:val="00DF5CE6"/>
    <w:rPr>
      <w:rFonts w:asciiTheme="majorHAnsi" w:eastAsiaTheme="majorEastAsia" w:hAnsiTheme="majorHAnsi" w:cstheme="majorBidi"/>
      <w:color w:val="243F60" w:themeColor="accent1" w:themeShade="7F"/>
      <w:sz w:val="24"/>
    </w:rPr>
  </w:style>
  <w:style w:type="character" w:customStyle="1" w:styleId="Heading5Char">
    <w:name w:val="Heading 5 Char"/>
    <w:basedOn w:val="DefaultParagraphFont"/>
    <w:link w:val="Heading5"/>
    <w:uiPriority w:val="9"/>
    <w:rsid w:val="00DF5CE6"/>
    <w:rPr>
      <w:rFonts w:asciiTheme="majorHAnsi" w:eastAsiaTheme="majorEastAsia" w:hAnsiTheme="majorHAnsi" w:cstheme="majorBidi"/>
      <w:color w:val="365F91" w:themeColor="accent1" w:themeShade="BF"/>
      <w:sz w:val="24"/>
    </w:rPr>
  </w:style>
  <w:style w:type="table" w:styleId="TableGrid">
    <w:name w:val="Table Grid"/>
    <w:basedOn w:val="TableNormal"/>
    <w:uiPriority w:val="59"/>
    <w:rsid w:val="00E02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9932">
      <w:bodyDiv w:val="1"/>
      <w:marLeft w:val="0"/>
      <w:marRight w:val="0"/>
      <w:marTop w:val="0"/>
      <w:marBottom w:val="0"/>
      <w:divBdr>
        <w:top w:val="none" w:sz="0" w:space="0" w:color="auto"/>
        <w:left w:val="none" w:sz="0" w:space="0" w:color="auto"/>
        <w:bottom w:val="none" w:sz="0" w:space="0" w:color="auto"/>
        <w:right w:val="none" w:sz="0" w:space="0" w:color="auto"/>
      </w:divBdr>
    </w:div>
    <w:div w:id="263418057">
      <w:bodyDiv w:val="1"/>
      <w:marLeft w:val="0"/>
      <w:marRight w:val="0"/>
      <w:marTop w:val="0"/>
      <w:marBottom w:val="0"/>
      <w:divBdr>
        <w:top w:val="none" w:sz="0" w:space="0" w:color="auto"/>
        <w:left w:val="none" w:sz="0" w:space="0" w:color="auto"/>
        <w:bottom w:val="none" w:sz="0" w:space="0" w:color="auto"/>
        <w:right w:val="none" w:sz="0" w:space="0" w:color="auto"/>
      </w:divBdr>
    </w:div>
    <w:div w:id="422452684">
      <w:bodyDiv w:val="1"/>
      <w:marLeft w:val="0"/>
      <w:marRight w:val="0"/>
      <w:marTop w:val="0"/>
      <w:marBottom w:val="0"/>
      <w:divBdr>
        <w:top w:val="none" w:sz="0" w:space="0" w:color="auto"/>
        <w:left w:val="none" w:sz="0" w:space="0" w:color="auto"/>
        <w:bottom w:val="none" w:sz="0" w:space="0" w:color="auto"/>
        <w:right w:val="none" w:sz="0" w:space="0" w:color="auto"/>
      </w:divBdr>
    </w:div>
    <w:div w:id="554391332">
      <w:bodyDiv w:val="1"/>
      <w:marLeft w:val="0"/>
      <w:marRight w:val="0"/>
      <w:marTop w:val="0"/>
      <w:marBottom w:val="0"/>
      <w:divBdr>
        <w:top w:val="none" w:sz="0" w:space="0" w:color="auto"/>
        <w:left w:val="none" w:sz="0" w:space="0" w:color="auto"/>
        <w:bottom w:val="none" w:sz="0" w:space="0" w:color="auto"/>
        <w:right w:val="none" w:sz="0" w:space="0" w:color="auto"/>
      </w:divBdr>
    </w:div>
    <w:div w:id="556479781">
      <w:bodyDiv w:val="1"/>
      <w:marLeft w:val="0"/>
      <w:marRight w:val="0"/>
      <w:marTop w:val="0"/>
      <w:marBottom w:val="0"/>
      <w:divBdr>
        <w:top w:val="none" w:sz="0" w:space="0" w:color="auto"/>
        <w:left w:val="none" w:sz="0" w:space="0" w:color="auto"/>
        <w:bottom w:val="none" w:sz="0" w:space="0" w:color="auto"/>
        <w:right w:val="none" w:sz="0" w:space="0" w:color="auto"/>
      </w:divBdr>
    </w:div>
    <w:div w:id="570845352">
      <w:bodyDiv w:val="1"/>
      <w:marLeft w:val="0"/>
      <w:marRight w:val="0"/>
      <w:marTop w:val="0"/>
      <w:marBottom w:val="0"/>
      <w:divBdr>
        <w:top w:val="none" w:sz="0" w:space="0" w:color="auto"/>
        <w:left w:val="none" w:sz="0" w:space="0" w:color="auto"/>
        <w:bottom w:val="none" w:sz="0" w:space="0" w:color="auto"/>
        <w:right w:val="none" w:sz="0" w:space="0" w:color="auto"/>
      </w:divBdr>
    </w:div>
    <w:div w:id="644507481">
      <w:bodyDiv w:val="1"/>
      <w:marLeft w:val="0"/>
      <w:marRight w:val="0"/>
      <w:marTop w:val="0"/>
      <w:marBottom w:val="0"/>
      <w:divBdr>
        <w:top w:val="none" w:sz="0" w:space="0" w:color="auto"/>
        <w:left w:val="none" w:sz="0" w:space="0" w:color="auto"/>
        <w:bottom w:val="none" w:sz="0" w:space="0" w:color="auto"/>
        <w:right w:val="none" w:sz="0" w:space="0" w:color="auto"/>
      </w:divBdr>
    </w:div>
    <w:div w:id="783689025">
      <w:bodyDiv w:val="1"/>
      <w:marLeft w:val="0"/>
      <w:marRight w:val="0"/>
      <w:marTop w:val="0"/>
      <w:marBottom w:val="0"/>
      <w:divBdr>
        <w:top w:val="none" w:sz="0" w:space="0" w:color="auto"/>
        <w:left w:val="none" w:sz="0" w:space="0" w:color="auto"/>
        <w:bottom w:val="none" w:sz="0" w:space="0" w:color="auto"/>
        <w:right w:val="none" w:sz="0" w:space="0" w:color="auto"/>
      </w:divBdr>
    </w:div>
    <w:div w:id="882710897">
      <w:bodyDiv w:val="1"/>
      <w:marLeft w:val="0"/>
      <w:marRight w:val="0"/>
      <w:marTop w:val="0"/>
      <w:marBottom w:val="0"/>
      <w:divBdr>
        <w:top w:val="none" w:sz="0" w:space="0" w:color="auto"/>
        <w:left w:val="none" w:sz="0" w:space="0" w:color="auto"/>
        <w:bottom w:val="none" w:sz="0" w:space="0" w:color="auto"/>
        <w:right w:val="none" w:sz="0" w:space="0" w:color="auto"/>
      </w:divBdr>
    </w:div>
    <w:div w:id="1381055571">
      <w:bodyDiv w:val="1"/>
      <w:marLeft w:val="0"/>
      <w:marRight w:val="0"/>
      <w:marTop w:val="0"/>
      <w:marBottom w:val="0"/>
      <w:divBdr>
        <w:top w:val="none" w:sz="0" w:space="0" w:color="auto"/>
        <w:left w:val="none" w:sz="0" w:space="0" w:color="auto"/>
        <w:bottom w:val="none" w:sz="0" w:space="0" w:color="auto"/>
        <w:right w:val="none" w:sz="0" w:space="0" w:color="auto"/>
      </w:divBdr>
    </w:div>
    <w:div w:id="1409811848">
      <w:bodyDiv w:val="1"/>
      <w:marLeft w:val="0"/>
      <w:marRight w:val="0"/>
      <w:marTop w:val="0"/>
      <w:marBottom w:val="0"/>
      <w:divBdr>
        <w:top w:val="none" w:sz="0" w:space="0" w:color="auto"/>
        <w:left w:val="none" w:sz="0" w:space="0" w:color="auto"/>
        <w:bottom w:val="none" w:sz="0" w:space="0" w:color="auto"/>
        <w:right w:val="none" w:sz="0" w:space="0" w:color="auto"/>
      </w:divBdr>
    </w:div>
    <w:div w:id="1437556500">
      <w:bodyDiv w:val="1"/>
      <w:marLeft w:val="0"/>
      <w:marRight w:val="0"/>
      <w:marTop w:val="0"/>
      <w:marBottom w:val="0"/>
      <w:divBdr>
        <w:top w:val="none" w:sz="0" w:space="0" w:color="auto"/>
        <w:left w:val="none" w:sz="0" w:space="0" w:color="auto"/>
        <w:bottom w:val="none" w:sz="0" w:space="0" w:color="auto"/>
        <w:right w:val="none" w:sz="0" w:space="0" w:color="auto"/>
      </w:divBdr>
    </w:div>
    <w:div w:id="1444809781">
      <w:bodyDiv w:val="1"/>
      <w:marLeft w:val="0"/>
      <w:marRight w:val="0"/>
      <w:marTop w:val="0"/>
      <w:marBottom w:val="0"/>
      <w:divBdr>
        <w:top w:val="none" w:sz="0" w:space="0" w:color="auto"/>
        <w:left w:val="none" w:sz="0" w:space="0" w:color="auto"/>
        <w:bottom w:val="none" w:sz="0" w:space="0" w:color="auto"/>
        <w:right w:val="none" w:sz="0" w:space="0" w:color="auto"/>
      </w:divBdr>
    </w:div>
    <w:div w:id="1610818554">
      <w:bodyDiv w:val="1"/>
      <w:marLeft w:val="0"/>
      <w:marRight w:val="0"/>
      <w:marTop w:val="0"/>
      <w:marBottom w:val="0"/>
      <w:divBdr>
        <w:top w:val="none" w:sz="0" w:space="0" w:color="auto"/>
        <w:left w:val="none" w:sz="0" w:space="0" w:color="auto"/>
        <w:bottom w:val="none" w:sz="0" w:space="0" w:color="auto"/>
        <w:right w:val="none" w:sz="0" w:space="0" w:color="auto"/>
      </w:divBdr>
    </w:div>
    <w:div w:id="165360521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66745290">
      <w:bodyDiv w:val="1"/>
      <w:marLeft w:val="0"/>
      <w:marRight w:val="0"/>
      <w:marTop w:val="0"/>
      <w:marBottom w:val="0"/>
      <w:divBdr>
        <w:top w:val="none" w:sz="0" w:space="0" w:color="auto"/>
        <w:left w:val="none" w:sz="0" w:space="0" w:color="auto"/>
        <w:bottom w:val="none" w:sz="0" w:space="0" w:color="auto"/>
        <w:right w:val="none" w:sz="0" w:space="0" w:color="auto"/>
      </w:divBdr>
    </w:div>
    <w:div w:id="1917742286">
      <w:bodyDiv w:val="1"/>
      <w:marLeft w:val="0"/>
      <w:marRight w:val="0"/>
      <w:marTop w:val="0"/>
      <w:marBottom w:val="0"/>
      <w:divBdr>
        <w:top w:val="none" w:sz="0" w:space="0" w:color="auto"/>
        <w:left w:val="none" w:sz="0" w:space="0" w:color="auto"/>
        <w:bottom w:val="none" w:sz="0" w:space="0" w:color="auto"/>
        <w:right w:val="none" w:sz="0" w:space="0" w:color="auto"/>
      </w:divBdr>
    </w:div>
    <w:div w:id="209689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B2D918776A42858D7CFC3610734689"/>
        <w:category>
          <w:name w:val="General"/>
          <w:gallery w:val="placeholder"/>
        </w:category>
        <w:types>
          <w:type w:val="bbPlcHdr"/>
        </w:types>
        <w:behaviors>
          <w:behavior w:val="content"/>
        </w:behaviors>
        <w:guid w:val="{56886611-8E29-44B7-981B-CFBCF300AE17}"/>
      </w:docPartPr>
      <w:docPartBody>
        <w:p w:rsidR="003A2059" w:rsidRDefault="00CC5A86" w:rsidP="00CC5A86">
          <w:pPr>
            <w:pStyle w:val="0DB2D918776A42858D7CFC3610734689"/>
          </w:pPr>
          <w:r>
            <w:rPr>
              <w:rStyle w:val="PlaceholderText"/>
            </w:rPr>
            <w:t>Select a Minister</w:t>
          </w:r>
        </w:p>
      </w:docPartBody>
    </w:docPart>
    <w:docPart>
      <w:docPartPr>
        <w:name w:val="246238EAF918451194FB87F8A3283848"/>
        <w:category>
          <w:name w:val="General"/>
          <w:gallery w:val="placeholder"/>
        </w:category>
        <w:types>
          <w:type w:val="bbPlcHdr"/>
        </w:types>
        <w:behaviors>
          <w:behavior w:val="content"/>
        </w:behaviors>
        <w:guid w:val="{EE704E04-D971-4365-A805-89E23AE736AF}"/>
      </w:docPartPr>
      <w:docPartBody>
        <w:p w:rsidR="003A2059" w:rsidRDefault="00CC5A86" w:rsidP="00CC5A86">
          <w:pPr>
            <w:pStyle w:val="246238EAF918451194FB87F8A3283848"/>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67"/>
    <w:rsid w:val="00234EF8"/>
    <w:rsid w:val="003A2059"/>
    <w:rsid w:val="008F3AA0"/>
    <w:rsid w:val="008F4072"/>
    <w:rsid w:val="00900467"/>
    <w:rsid w:val="00BF2F30"/>
    <w:rsid w:val="00CC5A86"/>
    <w:rsid w:val="00FE7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A86"/>
  </w:style>
  <w:style w:type="paragraph" w:customStyle="1" w:styleId="0DB2D918776A42858D7CFC3610734689">
    <w:name w:val="0DB2D918776A42858D7CFC3610734689"/>
    <w:rsid w:val="00CC5A86"/>
  </w:style>
  <w:style w:type="paragraph" w:customStyle="1" w:styleId="246238EAF918451194FB87F8A3283848">
    <w:name w:val="246238EAF918451194FB87F8A3283848"/>
    <w:rsid w:val="00CC5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3051" ma:contentTypeDescription="" ma:contentTypeScope="" ma:versionID="d4066cecd5afb7506eaf9ac75e6a6c02">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2021RG-136-66453</_dlc_DocId>
    <_dlc_DocIdUrl xmlns="0f563589-9cf9-4143-b1eb-fb0534803d38">
      <Url>http://tweb/sites/rg/ldp/_layouts/15/DocIdRedir.aspx?ID=2021RG-136-66453</Url>
      <Description>2021RG-136-66453</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64D55-D1F3-480E-9648-FEBCADC7D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AA572-5228-47CF-8791-64353123F3B8}">
  <ds:schemaRefs>
    <ds:schemaRef ds:uri="http://schemas.microsoft.com/sharepoint/events"/>
  </ds:schemaRefs>
</ds:datastoreItem>
</file>

<file path=customXml/itemProps3.xml><?xml version="1.0" encoding="utf-8"?>
<ds:datastoreItem xmlns:ds="http://schemas.openxmlformats.org/officeDocument/2006/customXml" ds:itemID="{46278533-3486-40E5-9013-DD26FD164D39}">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http://schemas.microsoft.com/office/2006/metadata/properties"/>
    <ds:schemaRef ds:uri="687b78b0-2ddd-4441-8a8b-c9638c2a1939"/>
    <ds:schemaRef ds:uri="http://www.w3.org/XML/1998/namespace"/>
    <ds:schemaRef ds:uri="http://purl.org/dc/dcmitype/"/>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1FE31E51-C7AF-40BB-9BD1-DBB1E033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TotalTime>
  <Pages>6</Pages>
  <Words>1713</Words>
  <Characters>9680</Characters>
  <Application>Microsoft Office Word</Application>
  <DocSecurity>0</DocSecurity>
  <Lines>210</Lines>
  <Paragraphs>96</Paragraphs>
  <ScaleCrop>false</ScaleCrop>
  <HeadingPairs>
    <vt:vector size="2" baseType="variant">
      <vt:variant>
        <vt:lpstr>Title</vt:lpstr>
      </vt:variant>
      <vt:variant>
        <vt:i4>1</vt:i4>
      </vt:variant>
    </vt:vector>
  </HeadingPairs>
  <TitlesOfParts>
    <vt:vector size="1" baseType="lpstr">
      <vt:lpstr>Explanatory Statement - Superannuation (Government Co-contribution for Low Income Earners)</vt:lpstr>
    </vt:vector>
  </TitlesOfParts>
  <Company>Treasury</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Superannuation (Government Co-contribution for Low Income Earners)</dc:title>
  <dc:creator>Australian Government</dc:creator>
  <cp:lastModifiedBy>Hill, Christine</cp:lastModifiedBy>
  <cp:revision>3</cp:revision>
  <cp:lastPrinted>2021-12-15T02:50:00Z</cp:lastPrinted>
  <dcterms:created xsi:type="dcterms:W3CDTF">2021-12-15T03:00:00Z</dcterms:created>
  <dcterms:modified xsi:type="dcterms:W3CDTF">2021-12-17T04:46:00Z</dcterms:modified>
</cp:coreProperties>
</file>