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1F14" w14:textId="111D7AA8" w:rsidR="005A7C0B" w:rsidRDefault="00257FF4" w:rsidP="00E32B74">
      <w:pPr>
        <w:pStyle w:val="PartHeading"/>
        <w:spacing w:after="1200"/>
      </w:pPr>
      <w:r w:rsidRPr="005A7C0B">
        <w:t>Department of</w:t>
      </w:r>
      <w:r w:rsidR="009D1785">
        <w:t xml:space="preserve"> </w:t>
      </w:r>
      <w:r w:rsidR="00ED6715">
        <w:t>t</w:t>
      </w:r>
      <w:r w:rsidR="009D1785" w:rsidRPr="009D1785">
        <w:t xml:space="preserve">he </w:t>
      </w:r>
      <w:r w:rsidR="00A357A4">
        <w:br/>
      </w:r>
      <w:r w:rsidR="009D1785" w:rsidRPr="009D1785">
        <w:t>Treasury</w:t>
      </w:r>
    </w:p>
    <w:p w14:paraId="6F0A1A14" w14:textId="77777777" w:rsidR="00257FF4" w:rsidRDefault="007E6BBD" w:rsidP="006B7542">
      <w:pPr>
        <w:pStyle w:val="PartHeading-TOC"/>
      </w:pPr>
      <w:bookmarkStart w:id="0" w:name="_Toc65243501"/>
      <w:r>
        <w:t xml:space="preserve">Entity </w:t>
      </w:r>
      <w:r w:rsidR="00605163">
        <w:t>resources and planned performance</w:t>
      </w:r>
      <w:bookmarkEnd w:id="0"/>
    </w:p>
    <w:p w14:paraId="7C8C4A98" w14:textId="77777777" w:rsidR="00257FF4" w:rsidRDefault="00257FF4" w:rsidP="005A7C0B">
      <w:pPr>
        <w:pStyle w:val="PartHeading"/>
        <w:sectPr w:rsidR="00257FF4" w:rsidSect="008162F6">
          <w:type w:val="oddPage"/>
          <w:pgSz w:w="11907" w:h="16840" w:code="9"/>
          <w:pgMar w:top="2835" w:right="2098" w:bottom="2466" w:left="2098" w:header="1814" w:footer="1814" w:gutter="0"/>
          <w:cols w:space="708"/>
          <w:vAlign w:val="center"/>
          <w:titlePg/>
          <w:docGrid w:linePitch="360"/>
        </w:sectPr>
      </w:pPr>
    </w:p>
    <w:p w14:paraId="2D16B08A" w14:textId="41A5D993" w:rsidR="00257FF4" w:rsidRPr="002A32FD" w:rsidRDefault="00257FF4" w:rsidP="002A32FD">
      <w:pPr>
        <w:pStyle w:val="ContentsHeading"/>
      </w:pPr>
      <w:bookmarkStart w:id="1" w:name="_Toc190766150"/>
      <w:r w:rsidRPr="002A32FD">
        <w:lastRenderedPageBreak/>
        <w:t xml:space="preserve">Department of </w:t>
      </w:r>
      <w:bookmarkEnd w:id="1"/>
      <w:r w:rsidR="006873D4">
        <w:t>t</w:t>
      </w:r>
      <w:r w:rsidR="009D1785" w:rsidRPr="009D1785">
        <w:t>he Treasury</w:t>
      </w:r>
    </w:p>
    <w:p w14:paraId="2ED091BF" w14:textId="4B5B88B7" w:rsidR="003044B9"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8941809" w:history="1">
        <w:r w:rsidR="003044B9" w:rsidRPr="003B4511">
          <w:rPr>
            <w:rStyle w:val="Hyperlink"/>
            <w:noProof/>
          </w:rPr>
          <w:t>Section 1: Entity overview and resources</w:t>
        </w:r>
        <w:r w:rsidR="003044B9">
          <w:rPr>
            <w:noProof/>
            <w:webHidden/>
          </w:rPr>
          <w:tab/>
        </w:r>
        <w:r w:rsidR="003044B9">
          <w:rPr>
            <w:noProof/>
            <w:webHidden/>
          </w:rPr>
          <w:fldChar w:fldCharType="begin"/>
        </w:r>
        <w:r w:rsidR="003044B9">
          <w:rPr>
            <w:noProof/>
            <w:webHidden/>
          </w:rPr>
          <w:instrText xml:space="preserve"> PAGEREF _Toc98941809 \h </w:instrText>
        </w:r>
        <w:r w:rsidR="003044B9">
          <w:rPr>
            <w:noProof/>
            <w:webHidden/>
          </w:rPr>
        </w:r>
        <w:r w:rsidR="003044B9">
          <w:rPr>
            <w:noProof/>
            <w:webHidden/>
          </w:rPr>
          <w:fldChar w:fldCharType="separate"/>
        </w:r>
        <w:r w:rsidR="009B233A">
          <w:rPr>
            <w:noProof/>
            <w:webHidden/>
          </w:rPr>
          <w:t>9</w:t>
        </w:r>
        <w:r w:rsidR="003044B9">
          <w:rPr>
            <w:noProof/>
            <w:webHidden/>
          </w:rPr>
          <w:fldChar w:fldCharType="end"/>
        </w:r>
      </w:hyperlink>
    </w:p>
    <w:p w14:paraId="1274203C" w14:textId="7D14D7E7" w:rsidR="003044B9" w:rsidRDefault="00F84ADD">
      <w:pPr>
        <w:pStyle w:val="TOC2"/>
        <w:tabs>
          <w:tab w:val="left" w:pos="800"/>
        </w:tabs>
        <w:rPr>
          <w:rFonts w:asciiTheme="minorHAnsi" w:eastAsiaTheme="minorEastAsia" w:hAnsiTheme="minorHAnsi" w:cstheme="minorBidi"/>
          <w:noProof/>
          <w:sz w:val="22"/>
          <w:szCs w:val="22"/>
        </w:rPr>
      </w:pPr>
      <w:hyperlink w:anchor="_Toc98941810" w:history="1">
        <w:r w:rsidR="003044B9" w:rsidRPr="003B4511">
          <w:rPr>
            <w:rStyle w:val="Hyperlink"/>
            <w:noProof/>
          </w:rPr>
          <w:t>1.1</w:t>
        </w:r>
        <w:r w:rsidR="003044B9">
          <w:rPr>
            <w:rFonts w:asciiTheme="minorHAnsi" w:eastAsiaTheme="minorEastAsia" w:hAnsiTheme="minorHAnsi" w:cstheme="minorBidi"/>
            <w:noProof/>
            <w:sz w:val="22"/>
            <w:szCs w:val="22"/>
          </w:rPr>
          <w:tab/>
        </w:r>
        <w:r w:rsidR="003044B9" w:rsidRPr="003B4511">
          <w:rPr>
            <w:rStyle w:val="Hyperlink"/>
            <w:noProof/>
          </w:rPr>
          <w:t>Strategic direction statement</w:t>
        </w:r>
        <w:r w:rsidR="003044B9">
          <w:rPr>
            <w:noProof/>
            <w:webHidden/>
          </w:rPr>
          <w:tab/>
        </w:r>
        <w:r w:rsidR="003044B9">
          <w:rPr>
            <w:noProof/>
            <w:webHidden/>
          </w:rPr>
          <w:fldChar w:fldCharType="begin"/>
        </w:r>
        <w:r w:rsidR="003044B9">
          <w:rPr>
            <w:noProof/>
            <w:webHidden/>
          </w:rPr>
          <w:instrText xml:space="preserve"> PAGEREF _Toc98941810 \h </w:instrText>
        </w:r>
        <w:r w:rsidR="003044B9">
          <w:rPr>
            <w:noProof/>
            <w:webHidden/>
          </w:rPr>
        </w:r>
        <w:r w:rsidR="003044B9">
          <w:rPr>
            <w:noProof/>
            <w:webHidden/>
          </w:rPr>
          <w:fldChar w:fldCharType="separate"/>
        </w:r>
        <w:r w:rsidR="009B233A">
          <w:rPr>
            <w:noProof/>
            <w:webHidden/>
          </w:rPr>
          <w:t>9</w:t>
        </w:r>
        <w:r w:rsidR="003044B9">
          <w:rPr>
            <w:noProof/>
            <w:webHidden/>
          </w:rPr>
          <w:fldChar w:fldCharType="end"/>
        </w:r>
      </w:hyperlink>
    </w:p>
    <w:p w14:paraId="0C055B17" w14:textId="0B4ECA04" w:rsidR="003044B9" w:rsidRDefault="00F84ADD">
      <w:pPr>
        <w:pStyle w:val="TOC2"/>
        <w:tabs>
          <w:tab w:val="left" w:pos="800"/>
        </w:tabs>
        <w:rPr>
          <w:rFonts w:asciiTheme="minorHAnsi" w:eastAsiaTheme="minorEastAsia" w:hAnsiTheme="minorHAnsi" w:cstheme="minorBidi"/>
          <w:noProof/>
          <w:sz w:val="22"/>
          <w:szCs w:val="22"/>
        </w:rPr>
      </w:pPr>
      <w:hyperlink w:anchor="_Toc98941811" w:history="1">
        <w:r w:rsidR="003044B9" w:rsidRPr="003B4511">
          <w:rPr>
            <w:rStyle w:val="Hyperlink"/>
            <w:noProof/>
          </w:rPr>
          <w:t>1.2</w:t>
        </w:r>
        <w:r w:rsidR="003044B9">
          <w:rPr>
            <w:rFonts w:asciiTheme="minorHAnsi" w:eastAsiaTheme="minorEastAsia" w:hAnsiTheme="minorHAnsi" w:cstheme="minorBidi"/>
            <w:noProof/>
            <w:sz w:val="22"/>
            <w:szCs w:val="22"/>
          </w:rPr>
          <w:tab/>
        </w:r>
        <w:r w:rsidR="003044B9" w:rsidRPr="003B4511">
          <w:rPr>
            <w:rStyle w:val="Hyperlink"/>
            <w:noProof/>
          </w:rPr>
          <w:t>Entity resource statement</w:t>
        </w:r>
        <w:r w:rsidR="003044B9">
          <w:rPr>
            <w:noProof/>
            <w:webHidden/>
          </w:rPr>
          <w:tab/>
        </w:r>
        <w:r w:rsidR="003044B9">
          <w:rPr>
            <w:noProof/>
            <w:webHidden/>
          </w:rPr>
          <w:fldChar w:fldCharType="begin"/>
        </w:r>
        <w:r w:rsidR="003044B9">
          <w:rPr>
            <w:noProof/>
            <w:webHidden/>
          </w:rPr>
          <w:instrText xml:space="preserve"> PAGEREF _Toc98941811 \h </w:instrText>
        </w:r>
        <w:r w:rsidR="003044B9">
          <w:rPr>
            <w:noProof/>
            <w:webHidden/>
          </w:rPr>
        </w:r>
        <w:r w:rsidR="003044B9">
          <w:rPr>
            <w:noProof/>
            <w:webHidden/>
          </w:rPr>
          <w:fldChar w:fldCharType="separate"/>
        </w:r>
        <w:r w:rsidR="009B233A">
          <w:rPr>
            <w:noProof/>
            <w:webHidden/>
          </w:rPr>
          <w:t>10</w:t>
        </w:r>
        <w:r w:rsidR="003044B9">
          <w:rPr>
            <w:noProof/>
            <w:webHidden/>
          </w:rPr>
          <w:fldChar w:fldCharType="end"/>
        </w:r>
      </w:hyperlink>
    </w:p>
    <w:p w14:paraId="44844B29" w14:textId="2AD2CC0E" w:rsidR="003044B9" w:rsidRDefault="00F84ADD">
      <w:pPr>
        <w:pStyle w:val="TOC2"/>
        <w:tabs>
          <w:tab w:val="left" w:pos="800"/>
        </w:tabs>
        <w:rPr>
          <w:rFonts w:asciiTheme="minorHAnsi" w:eastAsiaTheme="minorEastAsia" w:hAnsiTheme="minorHAnsi" w:cstheme="minorBidi"/>
          <w:noProof/>
          <w:sz w:val="22"/>
          <w:szCs w:val="22"/>
        </w:rPr>
      </w:pPr>
      <w:hyperlink w:anchor="_Toc98941812" w:history="1">
        <w:r w:rsidR="003044B9" w:rsidRPr="003B4511">
          <w:rPr>
            <w:rStyle w:val="Hyperlink"/>
            <w:noProof/>
          </w:rPr>
          <w:t>1.3</w:t>
        </w:r>
        <w:r w:rsidR="003044B9">
          <w:rPr>
            <w:rFonts w:asciiTheme="minorHAnsi" w:eastAsiaTheme="minorEastAsia" w:hAnsiTheme="minorHAnsi" w:cstheme="minorBidi"/>
            <w:noProof/>
            <w:sz w:val="22"/>
            <w:szCs w:val="22"/>
          </w:rPr>
          <w:tab/>
        </w:r>
        <w:r w:rsidR="003044B9" w:rsidRPr="003B4511">
          <w:rPr>
            <w:rStyle w:val="Hyperlink"/>
            <w:noProof/>
          </w:rPr>
          <w:t>Budget measures</w:t>
        </w:r>
        <w:r w:rsidR="003044B9">
          <w:rPr>
            <w:noProof/>
            <w:webHidden/>
          </w:rPr>
          <w:tab/>
        </w:r>
        <w:r w:rsidR="003044B9">
          <w:rPr>
            <w:noProof/>
            <w:webHidden/>
          </w:rPr>
          <w:fldChar w:fldCharType="begin"/>
        </w:r>
        <w:r w:rsidR="003044B9">
          <w:rPr>
            <w:noProof/>
            <w:webHidden/>
          </w:rPr>
          <w:instrText xml:space="preserve"> PAGEREF _Toc98941812 \h </w:instrText>
        </w:r>
        <w:r w:rsidR="003044B9">
          <w:rPr>
            <w:noProof/>
            <w:webHidden/>
          </w:rPr>
        </w:r>
        <w:r w:rsidR="003044B9">
          <w:rPr>
            <w:noProof/>
            <w:webHidden/>
          </w:rPr>
          <w:fldChar w:fldCharType="separate"/>
        </w:r>
        <w:r w:rsidR="009B233A">
          <w:rPr>
            <w:noProof/>
            <w:webHidden/>
          </w:rPr>
          <w:t>13</w:t>
        </w:r>
        <w:r w:rsidR="003044B9">
          <w:rPr>
            <w:noProof/>
            <w:webHidden/>
          </w:rPr>
          <w:fldChar w:fldCharType="end"/>
        </w:r>
      </w:hyperlink>
    </w:p>
    <w:p w14:paraId="22443A84" w14:textId="1B4F4FC8" w:rsidR="003044B9" w:rsidRDefault="00F84ADD">
      <w:pPr>
        <w:pStyle w:val="TOC1"/>
        <w:rPr>
          <w:rFonts w:asciiTheme="minorHAnsi" w:eastAsiaTheme="minorEastAsia" w:hAnsiTheme="minorHAnsi" w:cstheme="minorBidi"/>
          <w:b w:val="0"/>
          <w:caps w:val="0"/>
          <w:noProof/>
          <w:sz w:val="22"/>
          <w:szCs w:val="22"/>
        </w:rPr>
      </w:pPr>
      <w:hyperlink w:anchor="_Toc98941813" w:history="1">
        <w:r w:rsidR="003044B9" w:rsidRPr="003B4511">
          <w:rPr>
            <w:rStyle w:val="Hyperlink"/>
            <w:noProof/>
          </w:rPr>
          <w:t>Section 2: Outcomes and planned performance</w:t>
        </w:r>
        <w:r w:rsidR="003044B9">
          <w:rPr>
            <w:noProof/>
            <w:webHidden/>
          </w:rPr>
          <w:tab/>
        </w:r>
        <w:r w:rsidR="003044B9">
          <w:rPr>
            <w:noProof/>
            <w:webHidden/>
          </w:rPr>
          <w:fldChar w:fldCharType="begin"/>
        </w:r>
        <w:r w:rsidR="003044B9">
          <w:rPr>
            <w:noProof/>
            <w:webHidden/>
          </w:rPr>
          <w:instrText xml:space="preserve"> PAGEREF _Toc98941813 \h </w:instrText>
        </w:r>
        <w:r w:rsidR="003044B9">
          <w:rPr>
            <w:noProof/>
            <w:webHidden/>
          </w:rPr>
        </w:r>
        <w:r w:rsidR="003044B9">
          <w:rPr>
            <w:noProof/>
            <w:webHidden/>
          </w:rPr>
          <w:fldChar w:fldCharType="separate"/>
        </w:r>
        <w:r w:rsidR="009B233A">
          <w:rPr>
            <w:noProof/>
            <w:webHidden/>
          </w:rPr>
          <w:t>17</w:t>
        </w:r>
        <w:r w:rsidR="003044B9">
          <w:rPr>
            <w:noProof/>
            <w:webHidden/>
          </w:rPr>
          <w:fldChar w:fldCharType="end"/>
        </w:r>
      </w:hyperlink>
    </w:p>
    <w:p w14:paraId="2E858C88" w14:textId="4089D7D0" w:rsidR="003044B9" w:rsidRDefault="00F84ADD">
      <w:pPr>
        <w:pStyle w:val="TOC2"/>
        <w:tabs>
          <w:tab w:val="left" w:pos="800"/>
        </w:tabs>
        <w:rPr>
          <w:rFonts w:asciiTheme="minorHAnsi" w:eastAsiaTheme="minorEastAsia" w:hAnsiTheme="minorHAnsi" w:cstheme="minorBidi"/>
          <w:noProof/>
          <w:sz w:val="22"/>
          <w:szCs w:val="22"/>
        </w:rPr>
      </w:pPr>
      <w:hyperlink w:anchor="_Toc98941814" w:history="1">
        <w:r w:rsidR="003044B9" w:rsidRPr="003B4511">
          <w:rPr>
            <w:rStyle w:val="Hyperlink"/>
            <w:noProof/>
          </w:rPr>
          <w:t xml:space="preserve">2.1 </w:t>
        </w:r>
        <w:r w:rsidR="003044B9">
          <w:rPr>
            <w:rFonts w:asciiTheme="minorHAnsi" w:eastAsiaTheme="minorEastAsia" w:hAnsiTheme="minorHAnsi" w:cstheme="minorBidi"/>
            <w:noProof/>
            <w:sz w:val="22"/>
            <w:szCs w:val="22"/>
          </w:rPr>
          <w:tab/>
        </w:r>
        <w:r w:rsidR="003044B9" w:rsidRPr="003B4511">
          <w:rPr>
            <w:rStyle w:val="Hyperlink"/>
            <w:noProof/>
          </w:rPr>
          <w:t>Budgeted expenses and performance for Outcome 1</w:t>
        </w:r>
        <w:r w:rsidR="003044B9">
          <w:rPr>
            <w:noProof/>
            <w:webHidden/>
          </w:rPr>
          <w:tab/>
        </w:r>
        <w:r w:rsidR="003044B9">
          <w:rPr>
            <w:noProof/>
            <w:webHidden/>
          </w:rPr>
          <w:fldChar w:fldCharType="begin"/>
        </w:r>
        <w:r w:rsidR="003044B9">
          <w:rPr>
            <w:noProof/>
            <w:webHidden/>
          </w:rPr>
          <w:instrText xml:space="preserve"> PAGEREF _Toc98941814 \h </w:instrText>
        </w:r>
        <w:r w:rsidR="003044B9">
          <w:rPr>
            <w:noProof/>
            <w:webHidden/>
          </w:rPr>
        </w:r>
        <w:r w:rsidR="003044B9">
          <w:rPr>
            <w:noProof/>
            <w:webHidden/>
          </w:rPr>
          <w:fldChar w:fldCharType="separate"/>
        </w:r>
        <w:r w:rsidR="009B233A">
          <w:rPr>
            <w:noProof/>
            <w:webHidden/>
          </w:rPr>
          <w:t>18</w:t>
        </w:r>
        <w:r w:rsidR="003044B9">
          <w:rPr>
            <w:noProof/>
            <w:webHidden/>
          </w:rPr>
          <w:fldChar w:fldCharType="end"/>
        </w:r>
      </w:hyperlink>
    </w:p>
    <w:p w14:paraId="546D082F" w14:textId="5DEF0884" w:rsidR="003044B9" w:rsidRDefault="00F84ADD">
      <w:pPr>
        <w:pStyle w:val="TOC1"/>
        <w:rPr>
          <w:rFonts w:asciiTheme="minorHAnsi" w:eastAsiaTheme="minorEastAsia" w:hAnsiTheme="minorHAnsi" w:cstheme="minorBidi"/>
          <w:b w:val="0"/>
          <w:caps w:val="0"/>
          <w:noProof/>
          <w:sz w:val="22"/>
          <w:szCs w:val="22"/>
        </w:rPr>
      </w:pPr>
      <w:hyperlink w:anchor="_Toc98941815" w:history="1">
        <w:r w:rsidR="003044B9" w:rsidRPr="003B4511">
          <w:rPr>
            <w:rStyle w:val="Hyperlink"/>
            <w:noProof/>
          </w:rPr>
          <w:t>Section 3: Budgeted financial statements</w:t>
        </w:r>
        <w:r w:rsidR="003044B9">
          <w:rPr>
            <w:noProof/>
            <w:webHidden/>
          </w:rPr>
          <w:tab/>
        </w:r>
        <w:r w:rsidR="003044B9">
          <w:rPr>
            <w:noProof/>
            <w:webHidden/>
          </w:rPr>
          <w:fldChar w:fldCharType="begin"/>
        </w:r>
        <w:r w:rsidR="003044B9">
          <w:rPr>
            <w:noProof/>
            <w:webHidden/>
          </w:rPr>
          <w:instrText xml:space="preserve"> PAGEREF _Toc98941815 \h </w:instrText>
        </w:r>
        <w:r w:rsidR="003044B9">
          <w:rPr>
            <w:noProof/>
            <w:webHidden/>
          </w:rPr>
        </w:r>
        <w:r w:rsidR="003044B9">
          <w:rPr>
            <w:noProof/>
            <w:webHidden/>
          </w:rPr>
          <w:fldChar w:fldCharType="separate"/>
        </w:r>
        <w:r w:rsidR="009B233A">
          <w:rPr>
            <w:noProof/>
            <w:webHidden/>
          </w:rPr>
          <w:t>35</w:t>
        </w:r>
        <w:r w:rsidR="003044B9">
          <w:rPr>
            <w:noProof/>
            <w:webHidden/>
          </w:rPr>
          <w:fldChar w:fldCharType="end"/>
        </w:r>
      </w:hyperlink>
    </w:p>
    <w:p w14:paraId="75DFD78D" w14:textId="02D3F325" w:rsidR="003044B9" w:rsidRDefault="00F84ADD">
      <w:pPr>
        <w:pStyle w:val="TOC2"/>
        <w:tabs>
          <w:tab w:val="left" w:pos="800"/>
        </w:tabs>
        <w:rPr>
          <w:rFonts w:asciiTheme="minorHAnsi" w:eastAsiaTheme="minorEastAsia" w:hAnsiTheme="minorHAnsi" w:cstheme="minorBidi"/>
          <w:noProof/>
          <w:sz w:val="22"/>
          <w:szCs w:val="22"/>
        </w:rPr>
      </w:pPr>
      <w:hyperlink w:anchor="_Toc98941816" w:history="1">
        <w:r w:rsidR="003044B9" w:rsidRPr="003B4511">
          <w:rPr>
            <w:rStyle w:val="Hyperlink"/>
            <w:noProof/>
          </w:rPr>
          <w:t>3.1</w:t>
        </w:r>
        <w:r w:rsidR="003044B9">
          <w:rPr>
            <w:rFonts w:asciiTheme="minorHAnsi" w:eastAsiaTheme="minorEastAsia" w:hAnsiTheme="minorHAnsi" w:cstheme="minorBidi"/>
            <w:noProof/>
            <w:sz w:val="22"/>
            <w:szCs w:val="22"/>
          </w:rPr>
          <w:tab/>
        </w:r>
        <w:r w:rsidR="003044B9" w:rsidRPr="003B4511">
          <w:rPr>
            <w:rStyle w:val="Hyperlink"/>
            <w:noProof/>
          </w:rPr>
          <w:t>Budgeted financial statements</w:t>
        </w:r>
        <w:r w:rsidR="003044B9">
          <w:rPr>
            <w:noProof/>
            <w:webHidden/>
          </w:rPr>
          <w:tab/>
        </w:r>
        <w:r w:rsidR="003044B9">
          <w:rPr>
            <w:noProof/>
            <w:webHidden/>
          </w:rPr>
          <w:fldChar w:fldCharType="begin"/>
        </w:r>
        <w:r w:rsidR="003044B9">
          <w:rPr>
            <w:noProof/>
            <w:webHidden/>
          </w:rPr>
          <w:instrText xml:space="preserve"> PAGEREF _Toc98941816 \h </w:instrText>
        </w:r>
        <w:r w:rsidR="003044B9">
          <w:rPr>
            <w:noProof/>
            <w:webHidden/>
          </w:rPr>
        </w:r>
        <w:r w:rsidR="003044B9">
          <w:rPr>
            <w:noProof/>
            <w:webHidden/>
          </w:rPr>
          <w:fldChar w:fldCharType="separate"/>
        </w:r>
        <w:r w:rsidR="009B233A">
          <w:rPr>
            <w:noProof/>
            <w:webHidden/>
          </w:rPr>
          <w:t>35</w:t>
        </w:r>
        <w:r w:rsidR="003044B9">
          <w:rPr>
            <w:noProof/>
            <w:webHidden/>
          </w:rPr>
          <w:fldChar w:fldCharType="end"/>
        </w:r>
      </w:hyperlink>
    </w:p>
    <w:p w14:paraId="7DA5ECAA" w14:textId="26F0C3B3" w:rsidR="003E2B5E" w:rsidRPr="008B5AFD" w:rsidRDefault="00915F49" w:rsidP="00C37F04">
      <w:pPr>
        <w:pStyle w:val="TOC1"/>
      </w:pPr>
      <w:r>
        <w:fldChar w:fldCharType="end"/>
      </w:r>
    </w:p>
    <w:p w14:paraId="15CBB10D" w14:textId="77777777" w:rsidR="00257FF4" w:rsidRDefault="00257FF4" w:rsidP="00257FF4">
      <w:pPr>
        <w:sectPr w:rsidR="00257FF4" w:rsidSect="008162F6">
          <w:footerReference w:type="first" r:id="rId9"/>
          <w:type w:val="oddPage"/>
          <w:pgSz w:w="11907" w:h="16840" w:code="9"/>
          <w:pgMar w:top="2835" w:right="2098" w:bottom="2466" w:left="2098" w:header="1814" w:footer="1814" w:gutter="0"/>
          <w:cols w:space="708"/>
          <w:titlePg/>
          <w:docGrid w:linePitch="360"/>
        </w:sectPr>
      </w:pPr>
    </w:p>
    <w:p w14:paraId="4253FB97" w14:textId="1CCCD139" w:rsidR="00257FF4" w:rsidRDefault="00257FF4" w:rsidP="00834F9A">
      <w:pPr>
        <w:pStyle w:val="Heading1"/>
      </w:pPr>
      <w:bookmarkStart w:id="2" w:name="_Toc65243502"/>
      <w:r>
        <w:lastRenderedPageBreak/>
        <w:t xml:space="preserve">Department of </w:t>
      </w:r>
      <w:bookmarkEnd w:id="2"/>
      <w:r w:rsidR="006873D4">
        <w:t>t</w:t>
      </w:r>
      <w:r w:rsidR="009D1785" w:rsidRPr="009D1785">
        <w:t>he Treasury</w:t>
      </w:r>
    </w:p>
    <w:p w14:paraId="2AE7AEB7" w14:textId="29146157" w:rsidR="00257FF4" w:rsidRPr="002C4D41" w:rsidRDefault="00257FF4" w:rsidP="00257FF4">
      <w:pPr>
        <w:pStyle w:val="Heading2"/>
      </w:pPr>
      <w:bookmarkStart w:id="3" w:name="_Toc190682308"/>
      <w:bookmarkStart w:id="4" w:name="_Toc190682526"/>
      <w:bookmarkStart w:id="5" w:name="_Toc444523508"/>
      <w:bookmarkStart w:id="6" w:name="_Toc98941809"/>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3"/>
      <w:bookmarkEnd w:id="4"/>
      <w:bookmarkEnd w:id="5"/>
      <w:bookmarkEnd w:id="6"/>
    </w:p>
    <w:p w14:paraId="15267AAD" w14:textId="77777777" w:rsidR="00257FF4" w:rsidRDefault="00257FF4" w:rsidP="00257FF4">
      <w:pPr>
        <w:pStyle w:val="Heading3"/>
      </w:pPr>
      <w:bookmarkStart w:id="7" w:name="_Toc190682309"/>
      <w:bookmarkStart w:id="8" w:name="_Toc190682527"/>
      <w:bookmarkStart w:id="9" w:name="_Toc444523509"/>
      <w:bookmarkStart w:id="10" w:name="_Toc98941810"/>
      <w:r>
        <w:t>1.1</w:t>
      </w:r>
      <w:r>
        <w:tab/>
        <w:t xml:space="preserve">Strategic </w:t>
      </w:r>
      <w:r w:rsidR="00D81071">
        <w:t>direction</w:t>
      </w:r>
      <w:bookmarkEnd w:id="7"/>
      <w:bookmarkEnd w:id="8"/>
      <w:r w:rsidR="00D81071">
        <w:t xml:space="preserve"> </w:t>
      </w:r>
      <w:r w:rsidR="00605163">
        <w:t>statement</w:t>
      </w:r>
      <w:bookmarkEnd w:id="9"/>
      <w:bookmarkEnd w:id="10"/>
    </w:p>
    <w:p w14:paraId="0D887BBC" w14:textId="77EC19EC" w:rsidR="008032A9" w:rsidRPr="008032A9" w:rsidRDefault="008032A9" w:rsidP="008032A9">
      <w:bookmarkStart w:id="11" w:name="_Toc190682310"/>
      <w:bookmarkStart w:id="12" w:name="_Toc190682528"/>
      <w:r w:rsidRPr="008032A9">
        <w:t>Treasury is the Government</w:t>
      </w:r>
      <w:r w:rsidR="00B33758">
        <w:t>’</w:t>
      </w:r>
      <w:r w:rsidRPr="008032A9">
        <w:t>s lead economic adviser. Treasury</w:t>
      </w:r>
      <w:r w:rsidR="00B33758">
        <w:t>’</w:t>
      </w:r>
      <w:r w:rsidRPr="008032A9">
        <w:t>s purpose is to provide advice to the Government and implement policies and programs to achieve strong and sustainable economic and fiscal outcomes for Australians.</w:t>
      </w:r>
    </w:p>
    <w:p w14:paraId="47FF9C42" w14:textId="0F903CD1" w:rsidR="008032A9" w:rsidRPr="008032A9" w:rsidRDefault="008032A9" w:rsidP="008032A9">
      <w:r w:rsidRPr="008032A9">
        <w:t>Our work includes promoting a sound economic environment, effective Government spending arrangements and regulations, well</w:t>
      </w:r>
      <w:r w:rsidR="00B33758">
        <w:noBreakHyphen/>
      </w:r>
      <w:r w:rsidRPr="008032A9">
        <w:t xml:space="preserve">functioning markets to serve consumers and investors, and sustainable taxation and revenue arrangements. </w:t>
      </w:r>
    </w:p>
    <w:p w14:paraId="341A7C53" w14:textId="6F862C3A" w:rsidR="008032A9" w:rsidRPr="008032A9" w:rsidRDefault="008032A9" w:rsidP="008032A9">
      <w:r w:rsidRPr="008032A9">
        <w:t>The Treasury achieves this through providing policy advice, analysis and the delivery of economic policies and programs, including legislation, administrative payments and our regulatory functions</w:t>
      </w:r>
      <w:r w:rsidR="00C45C60">
        <w:t>,</w:t>
      </w:r>
      <w:r w:rsidRPr="008032A9">
        <w:t xml:space="preserve"> which support the effective management of the Australian economy.</w:t>
      </w:r>
    </w:p>
    <w:p w14:paraId="772048A7" w14:textId="7AF31321" w:rsidR="008032A9" w:rsidRPr="008032A9" w:rsidRDefault="008032A9" w:rsidP="008032A9">
      <w:r w:rsidRPr="008032A9">
        <w:t>Our priorities to achieve this over 2022</w:t>
      </w:r>
      <w:r w:rsidR="00B33758">
        <w:noBreakHyphen/>
      </w:r>
      <w:r w:rsidRPr="008032A9">
        <w:t>23 include:</w:t>
      </w:r>
    </w:p>
    <w:p w14:paraId="2C9019F7" w14:textId="46AD3B36" w:rsidR="008032A9" w:rsidRPr="008032A9" w:rsidRDefault="008032A9" w:rsidP="008032A9">
      <w:pPr>
        <w:pStyle w:val="Bullet"/>
      </w:pPr>
      <w:r w:rsidRPr="008032A9">
        <w:t>continuing Australia</w:t>
      </w:r>
      <w:r w:rsidR="00B33758">
        <w:t>’</w:t>
      </w:r>
      <w:r w:rsidRPr="008032A9">
        <w:t>s COVID</w:t>
      </w:r>
      <w:r w:rsidR="00B33758">
        <w:noBreakHyphen/>
      </w:r>
      <w:r w:rsidRPr="008032A9">
        <w:t>19 response and recovery work</w:t>
      </w:r>
    </w:p>
    <w:p w14:paraId="2F40F6C4" w14:textId="62E517CA" w:rsidR="008032A9" w:rsidRPr="008032A9" w:rsidRDefault="008032A9" w:rsidP="008032A9">
      <w:pPr>
        <w:pStyle w:val="Bullet"/>
      </w:pPr>
      <w:r w:rsidRPr="008032A9">
        <w:t>delivering the Budget, the Mid</w:t>
      </w:r>
      <w:r w:rsidR="00B33758">
        <w:noBreakHyphen/>
      </w:r>
      <w:r w:rsidRPr="008032A9">
        <w:t>Year Economic and Fiscal Outlook and any other economic updates as required by Government</w:t>
      </w:r>
    </w:p>
    <w:p w14:paraId="6A479577" w14:textId="77777777" w:rsidR="008032A9" w:rsidRPr="008032A9" w:rsidRDefault="008032A9" w:rsidP="008032A9">
      <w:pPr>
        <w:pStyle w:val="Bullet"/>
      </w:pPr>
      <w:r w:rsidRPr="008032A9">
        <w:t>promoting a stronger, more sustainable tax system in line with Government priorities</w:t>
      </w:r>
    </w:p>
    <w:p w14:paraId="573DF562" w14:textId="77777777" w:rsidR="008032A9" w:rsidRPr="008032A9" w:rsidRDefault="008032A9" w:rsidP="008032A9">
      <w:pPr>
        <w:pStyle w:val="Bullet"/>
      </w:pPr>
      <w:r w:rsidRPr="008032A9">
        <w:t>ensuring payments to the States and Territories are timely and accurate</w:t>
      </w:r>
    </w:p>
    <w:p w14:paraId="7EFB93CE" w14:textId="75545733" w:rsidR="008032A9" w:rsidRPr="008032A9" w:rsidRDefault="008032A9" w:rsidP="008032A9">
      <w:pPr>
        <w:pStyle w:val="Bullet"/>
      </w:pPr>
      <w:r w:rsidRPr="008032A9">
        <w:t>ensuring effective implementation of Australia</w:t>
      </w:r>
      <w:r w:rsidR="00B33758">
        <w:t>’</w:t>
      </w:r>
      <w:r w:rsidRPr="008032A9">
        <w:t>s foreign investment regulatory framework</w:t>
      </w:r>
    </w:p>
    <w:p w14:paraId="1462328F" w14:textId="4BB09A7E" w:rsidR="008032A9" w:rsidRPr="008032A9" w:rsidRDefault="008032A9" w:rsidP="008032A9">
      <w:pPr>
        <w:pStyle w:val="Bullet"/>
      </w:pPr>
      <w:r w:rsidRPr="008032A9">
        <w:t>strengthening Australia</w:t>
      </w:r>
      <w:r w:rsidR="00B33758">
        <w:t>’</w:t>
      </w:r>
      <w:r w:rsidRPr="008032A9">
        <w:t>s financial system and promoting sound corporate and consumer regulation in line with Government priorities</w:t>
      </w:r>
    </w:p>
    <w:p w14:paraId="163A6102" w14:textId="77777777" w:rsidR="008032A9" w:rsidRPr="008032A9" w:rsidRDefault="008032A9" w:rsidP="008032A9">
      <w:pPr>
        <w:pStyle w:val="Bullet"/>
      </w:pPr>
      <w:r w:rsidRPr="008032A9">
        <w:t>delivering measures focused on supporting small to medium business, the digital economy and reducing the regulatory burden on business</w:t>
      </w:r>
    </w:p>
    <w:p w14:paraId="58A84106" w14:textId="77777777" w:rsidR="008032A9" w:rsidRPr="008032A9" w:rsidRDefault="008032A9" w:rsidP="008032A9">
      <w:pPr>
        <w:pStyle w:val="Bullet"/>
      </w:pPr>
      <w:r w:rsidRPr="008032A9">
        <w:t>informing Government infrastructure planning and investment decision making</w:t>
      </w:r>
    </w:p>
    <w:p w14:paraId="49D35EF7" w14:textId="6434EA43" w:rsidR="008032A9" w:rsidRPr="008032A9" w:rsidRDefault="008032A9" w:rsidP="008032A9">
      <w:pPr>
        <w:pStyle w:val="Bullet"/>
      </w:pPr>
      <w:r w:rsidRPr="008032A9">
        <w:t>increasing choice, control, transparency and competition for Australia</w:t>
      </w:r>
      <w:r w:rsidR="00B33758">
        <w:t>’</w:t>
      </w:r>
      <w:r w:rsidRPr="008032A9">
        <w:t>s consumers</w:t>
      </w:r>
    </w:p>
    <w:p w14:paraId="4CEF1720" w14:textId="77777777" w:rsidR="008032A9" w:rsidRPr="008032A9" w:rsidRDefault="008032A9" w:rsidP="008032A9">
      <w:pPr>
        <w:pStyle w:val="Bullet"/>
      </w:pPr>
      <w:r w:rsidRPr="008032A9">
        <w:t>continuing to improve our governance across the Treasury portfolio.</w:t>
      </w:r>
    </w:p>
    <w:p w14:paraId="6A8E544A" w14:textId="0CD672B7" w:rsidR="00257FF4" w:rsidRDefault="00257FF4" w:rsidP="0079797F">
      <w:pPr>
        <w:pStyle w:val="Heading3"/>
      </w:pPr>
      <w:bookmarkStart w:id="13" w:name="_Toc444523510"/>
      <w:bookmarkStart w:id="14" w:name="_Toc98941811"/>
      <w:r>
        <w:lastRenderedPageBreak/>
        <w:t>1.2</w:t>
      </w:r>
      <w:r>
        <w:tab/>
      </w:r>
      <w:r w:rsidR="007E6BBD">
        <w:t xml:space="preserve">Entity </w:t>
      </w:r>
      <w:r>
        <w:t>resource statement</w:t>
      </w:r>
      <w:bookmarkEnd w:id="11"/>
      <w:bookmarkEnd w:id="12"/>
      <w:bookmarkEnd w:id="13"/>
      <w:bookmarkEnd w:id="14"/>
    </w:p>
    <w:p w14:paraId="714495FD" w14:textId="77777777" w:rsidR="00E1129E" w:rsidRDefault="00257FF4" w:rsidP="00257FF4">
      <w:bookmarkStart w:id="15" w:name="OLE_LINK11"/>
      <w:bookmarkStart w:id="16"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6F3AF575" w14:textId="753A347F"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(for the entity</w:t>
      </w:r>
      <w:r w:rsidR="00B33758">
        <w:t>’</w:t>
      </w:r>
      <w:r w:rsidR="00331B40">
        <w:t xml:space="preserve">s operations) </w:t>
      </w:r>
      <w:r>
        <w:t>classification.</w:t>
      </w:r>
    </w:p>
    <w:p w14:paraId="43E76EBB"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08B01EA0" w14:textId="69A9C34C" w:rsidR="00F94E8C" w:rsidRPr="00C01093" w:rsidRDefault="00645E69" w:rsidP="00C01093">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B33758">
        <w:t>‘</w:t>
      </w:r>
      <w:r w:rsidR="00E1129E">
        <w:t xml:space="preserve">Budgeted expenses by </w:t>
      </w:r>
      <w:r w:rsidR="00E7371B">
        <w:t xml:space="preserve">Outcome </w:t>
      </w:r>
      <w:r w:rsidR="00B72380">
        <w:t>1</w:t>
      </w:r>
      <w:r w:rsidR="00B33758">
        <w:t>’</w:t>
      </w:r>
      <w:r w:rsidR="00E7371B">
        <w:t xml:space="preserve"> </w:t>
      </w:r>
      <w:r>
        <w:t>tables in Section 2 and the financial statements in Section 3 are</w:t>
      </w:r>
      <w:r w:rsidR="00831489">
        <w:t xml:space="preserve"> presented on an accrual basis.</w:t>
      </w:r>
      <w:bookmarkEnd w:id="15"/>
      <w:bookmarkEnd w:id="16"/>
    </w:p>
    <w:p w14:paraId="162EFDF3" w14:textId="1F360EED" w:rsidR="00BC049F" w:rsidRPr="00BC049F" w:rsidRDefault="00D44150" w:rsidP="0066176D">
      <w:pPr>
        <w:pStyle w:val="TableHeading"/>
        <w:rPr>
          <w:b w:val="0"/>
        </w:rPr>
      </w:pPr>
      <w:r>
        <w:br w:type="page"/>
      </w:r>
      <w:r w:rsidR="0066176D" w:rsidRPr="00D44150">
        <w:lastRenderedPageBreak/>
        <w:t xml:space="preserve">Table 1.1: </w:t>
      </w:r>
      <w:r>
        <w:fldChar w:fldCharType="begin"/>
      </w:r>
      <w:r>
        <w:instrText>STYLEREF  "Heading 1"</w:instrText>
      </w:r>
      <w:r>
        <w:fldChar w:fldCharType="separate"/>
      </w:r>
      <w:r w:rsidR="009B233A">
        <w:rPr>
          <w:noProof/>
        </w:rPr>
        <w:t>Department of the Treasury</w:t>
      </w:r>
      <w:r>
        <w:fldChar w:fldCharType="end"/>
      </w:r>
      <w:r w:rsidR="006873D4">
        <w:rPr>
          <w:lang w:val="en-AU"/>
        </w:rPr>
        <w:t xml:space="preserve"> </w:t>
      </w:r>
      <w:r w:rsidR="0066176D" w:rsidRPr="00D44150">
        <w:t>resource statement</w:t>
      </w:r>
      <w:r w:rsidR="003532AB">
        <w:t xml:space="preserve"> – </w:t>
      </w:r>
      <w:r w:rsidR="0066176D">
        <w:t xml:space="preserve">Budget estimates for </w:t>
      </w:r>
      <w:r w:rsidR="00400A8B">
        <w:rPr>
          <w:lang w:val="en-AU"/>
        </w:rPr>
        <w:t>2022</w:t>
      </w:r>
      <w:r w:rsidR="00B33758">
        <w:rPr>
          <w:lang w:val="en-AU"/>
        </w:rPr>
        <w:noBreakHyphen/>
      </w:r>
      <w:r w:rsidR="00400A8B">
        <w:rPr>
          <w:lang w:val="en-AU"/>
        </w:rPr>
        <w:t>23</w:t>
      </w:r>
      <w:r w:rsidR="00400A8B">
        <w:t xml:space="preserve"> </w:t>
      </w:r>
      <w:r w:rsidR="0066176D" w:rsidRPr="00D44150">
        <w:t xml:space="preserve">as at Budget </w:t>
      </w:r>
      <w:r w:rsidR="00ED3B06">
        <w:rPr>
          <w:lang w:val="en-AU"/>
        </w:rPr>
        <w:t>Ma</w:t>
      </w:r>
      <w:r w:rsidR="00006B50">
        <w:rPr>
          <w:lang w:val="en-AU"/>
        </w:rPr>
        <w:t>rch</w:t>
      </w:r>
      <w:r w:rsidR="00ED3B06">
        <w:rPr>
          <w:lang w:val="en-AU"/>
        </w:rPr>
        <w:t xml:space="preserve"> </w:t>
      </w:r>
      <w:r w:rsidR="00400A8B">
        <w:rPr>
          <w:lang w:val="en-AU"/>
        </w:rPr>
        <w:t>2022</w:t>
      </w:r>
    </w:p>
    <w:tbl>
      <w:tblPr>
        <w:tblW w:w="5000" w:type="pct"/>
        <w:tblCellMar>
          <w:left w:w="0" w:type="dxa"/>
          <w:right w:w="28" w:type="dxa"/>
        </w:tblCellMar>
        <w:tblLook w:val="04A0" w:firstRow="1" w:lastRow="0" w:firstColumn="1" w:lastColumn="0" w:noHBand="0" w:noVBand="1"/>
      </w:tblPr>
      <w:tblGrid>
        <w:gridCol w:w="5343"/>
        <w:gridCol w:w="1184"/>
        <w:gridCol w:w="1184"/>
      </w:tblGrid>
      <w:tr w:rsidR="00BC049F" w:rsidRPr="00BC049F" w14:paraId="5EE587E1" w14:textId="77777777" w:rsidTr="00BC049F">
        <w:trPr>
          <w:trHeight w:hRule="exact" w:val="900"/>
        </w:trPr>
        <w:tc>
          <w:tcPr>
            <w:tcW w:w="3464" w:type="pct"/>
            <w:tcBorders>
              <w:top w:val="single" w:sz="4" w:space="0" w:color="auto"/>
              <w:left w:val="nil"/>
              <w:bottom w:val="nil"/>
              <w:right w:val="nil"/>
            </w:tcBorders>
            <w:shd w:val="clear" w:color="000000" w:fill="FFFFFF"/>
            <w:vAlign w:val="bottom"/>
            <w:hideMark/>
          </w:tcPr>
          <w:p w14:paraId="374F38B1" w14:textId="2625E0D4" w:rsidR="00BC049F" w:rsidRPr="00BC049F" w:rsidRDefault="00BC049F" w:rsidP="00BC049F">
            <w:pPr>
              <w:spacing w:after="0" w:line="240" w:lineRule="auto"/>
              <w:rPr>
                <w:rFonts w:ascii="Arial" w:hAnsi="Arial" w:cs="Arial"/>
                <w:color w:val="000000"/>
                <w:sz w:val="16"/>
                <w:szCs w:val="16"/>
              </w:rPr>
            </w:pPr>
            <w:r w:rsidRPr="00BC049F">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753EA9FA" w14:textId="1540843E"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2021</w:t>
            </w:r>
            <w:r w:rsidR="00B33758">
              <w:rPr>
                <w:rFonts w:ascii="Arial" w:hAnsi="Arial" w:cs="Arial"/>
                <w:i/>
                <w:iCs/>
                <w:color w:val="000000"/>
                <w:sz w:val="16"/>
                <w:szCs w:val="16"/>
              </w:rPr>
              <w:noBreakHyphen/>
            </w:r>
            <w:r w:rsidRPr="00BC049F">
              <w:rPr>
                <w:rFonts w:ascii="Arial" w:hAnsi="Arial" w:cs="Arial"/>
                <w:i/>
                <w:iCs/>
                <w:color w:val="000000"/>
                <w:sz w:val="16"/>
                <w:szCs w:val="16"/>
              </w:rPr>
              <w:t>22 Estimated actual</w:t>
            </w:r>
            <w:r w:rsidRPr="00BC049F">
              <w:rPr>
                <w:rFonts w:ascii="Arial" w:hAnsi="Arial" w:cs="Arial"/>
                <w:i/>
                <w:iCs/>
                <w:color w:val="000000"/>
                <w:sz w:val="16"/>
                <w:szCs w:val="16"/>
              </w:rPr>
              <w:br/>
              <w:t>$</w:t>
            </w:r>
            <w:r w:rsidR="00B33758">
              <w:rPr>
                <w:rFonts w:ascii="Arial" w:hAnsi="Arial" w:cs="Arial"/>
                <w:i/>
                <w:iCs/>
                <w:color w:val="000000"/>
                <w:sz w:val="16"/>
                <w:szCs w:val="16"/>
              </w:rPr>
              <w:t>’</w:t>
            </w:r>
            <w:r w:rsidRPr="00BC049F">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000BC732" w14:textId="0723CA46"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2022</w:t>
            </w:r>
            <w:r w:rsidR="00B33758">
              <w:rPr>
                <w:rFonts w:ascii="Arial" w:hAnsi="Arial" w:cs="Arial"/>
                <w:color w:val="000000"/>
                <w:sz w:val="16"/>
                <w:szCs w:val="16"/>
              </w:rPr>
              <w:noBreakHyphen/>
            </w:r>
            <w:r w:rsidRPr="00BC049F">
              <w:rPr>
                <w:rFonts w:ascii="Arial" w:hAnsi="Arial" w:cs="Arial"/>
                <w:color w:val="000000"/>
                <w:sz w:val="16"/>
                <w:szCs w:val="16"/>
              </w:rPr>
              <w:t>23 Estimate</w:t>
            </w:r>
            <w:r w:rsidRPr="00BC049F">
              <w:rPr>
                <w:rFonts w:ascii="Arial" w:hAnsi="Arial" w:cs="Arial"/>
                <w:color w:val="000000"/>
                <w:sz w:val="16"/>
                <w:szCs w:val="16"/>
              </w:rPr>
              <w:br/>
            </w:r>
            <w:r w:rsidRPr="00BC049F">
              <w:rPr>
                <w:rFonts w:ascii="Arial" w:hAnsi="Arial" w:cs="Arial"/>
                <w:color w:val="000000"/>
                <w:sz w:val="16"/>
                <w:szCs w:val="16"/>
              </w:rPr>
              <w:br/>
              <w:t>$</w:t>
            </w:r>
            <w:r w:rsidR="00B33758">
              <w:rPr>
                <w:rFonts w:ascii="Arial" w:hAnsi="Arial" w:cs="Arial"/>
                <w:color w:val="000000"/>
                <w:sz w:val="16"/>
                <w:szCs w:val="16"/>
              </w:rPr>
              <w:t>’</w:t>
            </w:r>
            <w:r w:rsidRPr="00BC049F">
              <w:rPr>
                <w:rFonts w:ascii="Arial" w:hAnsi="Arial" w:cs="Arial"/>
                <w:color w:val="000000"/>
                <w:sz w:val="16"/>
                <w:szCs w:val="16"/>
              </w:rPr>
              <w:t>000</w:t>
            </w:r>
          </w:p>
        </w:tc>
      </w:tr>
      <w:tr w:rsidR="00BC049F" w:rsidRPr="00BC049F" w14:paraId="7DA28609" w14:textId="77777777" w:rsidTr="00BC049F">
        <w:trPr>
          <w:trHeight w:hRule="exact" w:val="240"/>
        </w:trPr>
        <w:tc>
          <w:tcPr>
            <w:tcW w:w="3464" w:type="pct"/>
            <w:tcBorders>
              <w:top w:val="nil"/>
              <w:left w:val="nil"/>
              <w:bottom w:val="nil"/>
              <w:right w:val="nil"/>
            </w:tcBorders>
            <w:shd w:val="clear" w:color="000000" w:fill="FFFFFF"/>
            <w:vAlign w:val="bottom"/>
            <w:hideMark/>
          </w:tcPr>
          <w:p w14:paraId="269A9DDB" w14:textId="77777777" w:rsidR="00BC049F" w:rsidRPr="00BC049F" w:rsidRDefault="00BC049F" w:rsidP="00BC049F">
            <w:pPr>
              <w:spacing w:after="0" w:line="240" w:lineRule="auto"/>
              <w:jc w:val="left"/>
              <w:rPr>
                <w:rFonts w:ascii="Arial" w:hAnsi="Arial" w:cs="Arial"/>
                <w:b/>
                <w:bCs/>
                <w:color w:val="000000"/>
                <w:sz w:val="16"/>
                <w:szCs w:val="16"/>
              </w:rPr>
            </w:pPr>
            <w:r w:rsidRPr="00BC049F">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14A696E1" w14:textId="77777777" w:rsidR="00BC049F" w:rsidRPr="00BC049F" w:rsidRDefault="00BC049F" w:rsidP="00BC049F">
            <w:pPr>
              <w:spacing w:after="0" w:line="240" w:lineRule="auto"/>
              <w:jc w:val="lef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55F6F1AE"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w:t>
            </w:r>
          </w:p>
        </w:tc>
      </w:tr>
      <w:tr w:rsidR="00BC049F" w:rsidRPr="00BC049F" w14:paraId="12489D23" w14:textId="77777777" w:rsidTr="00BC049F">
        <w:trPr>
          <w:trHeight w:hRule="exact" w:val="240"/>
        </w:trPr>
        <w:tc>
          <w:tcPr>
            <w:tcW w:w="3464" w:type="pct"/>
            <w:tcBorders>
              <w:top w:val="nil"/>
              <w:left w:val="nil"/>
              <w:bottom w:val="nil"/>
              <w:right w:val="nil"/>
            </w:tcBorders>
            <w:shd w:val="clear" w:color="000000" w:fill="FFFFFF"/>
            <w:vAlign w:val="bottom"/>
            <w:hideMark/>
          </w:tcPr>
          <w:p w14:paraId="5EFD01B3" w14:textId="5E796E69"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Annual appropriations</w:t>
            </w:r>
            <w:r w:rsidR="00B33758">
              <w:rPr>
                <w:rFonts w:ascii="Arial" w:hAnsi="Arial" w:cs="Arial"/>
                <w:color w:val="000000"/>
                <w:sz w:val="16"/>
                <w:szCs w:val="16"/>
              </w:rPr>
              <w:t xml:space="preserve"> – </w:t>
            </w:r>
            <w:r w:rsidRPr="00BC049F">
              <w:rPr>
                <w:rFonts w:ascii="Arial" w:hAnsi="Arial" w:cs="Arial"/>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2B3728BD"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7E22A609"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w:t>
            </w:r>
          </w:p>
        </w:tc>
      </w:tr>
      <w:tr w:rsidR="00BC049F" w:rsidRPr="00BC049F" w14:paraId="3D3EEEC4" w14:textId="77777777" w:rsidTr="00BC049F">
        <w:trPr>
          <w:trHeight w:hRule="exact" w:val="240"/>
        </w:trPr>
        <w:tc>
          <w:tcPr>
            <w:tcW w:w="3464" w:type="pct"/>
            <w:tcBorders>
              <w:top w:val="nil"/>
              <w:left w:val="nil"/>
              <w:bottom w:val="nil"/>
              <w:right w:val="nil"/>
            </w:tcBorders>
            <w:shd w:val="clear" w:color="000000" w:fill="FFFFFF"/>
            <w:vAlign w:val="bottom"/>
            <w:hideMark/>
          </w:tcPr>
          <w:p w14:paraId="06C0F08E"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32D92AD7"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83,378 </w:t>
            </w:r>
          </w:p>
        </w:tc>
        <w:tc>
          <w:tcPr>
            <w:tcW w:w="768" w:type="pct"/>
            <w:tcBorders>
              <w:top w:val="nil"/>
              <w:left w:val="nil"/>
              <w:bottom w:val="nil"/>
              <w:right w:val="nil"/>
            </w:tcBorders>
            <w:shd w:val="clear" w:color="000000" w:fill="E6E6E6"/>
            <w:vAlign w:val="bottom"/>
            <w:hideMark/>
          </w:tcPr>
          <w:p w14:paraId="504D36DF"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100,872 </w:t>
            </w:r>
          </w:p>
        </w:tc>
      </w:tr>
      <w:tr w:rsidR="00BC049F" w:rsidRPr="00BC049F" w14:paraId="4416FC58" w14:textId="77777777" w:rsidTr="00BC049F">
        <w:trPr>
          <w:trHeight w:hRule="exact" w:val="240"/>
        </w:trPr>
        <w:tc>
          <w:tcPr>
            <w:tcW w:w="3464" w:type="pct"/>
            <w:tcBorders>
              <w:top w:val="nil"/>
              <w:left w:val="nil"/>
              <w:bottom w:val="nil"/>
              <w:right w:val="nil"/>
            </w:tcBorders>
            <w:shd w:val="clear" w:color="000000" w:fill="FFFFFF"/>
            <w:vAlign w:val="bottom"/>
            <w:hideMark/>
          </w:tcPr>
          <w:p w14:paraId="325AA24E"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5A1160A7"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324,281 </w:t>
            </w:r>
          </w:p>
        </w:tc>
        <w:tc>
          <w:tcPr>
            <w:tcW w:w="768" w:type="pct"/>
            <w:tcBorders>
              <w:top w:val="nil"/>
              <w:left w:val="nil"/>
              <w:bottom w:val="nil"/>
              <w:right w:val="nil"/>
            </w:tcBorders>
            <w:shd w:val="clear" w:color="000000" w:fill="E6E6E6"/>
            <w:vAlign w:val="bottom"/>
            <w:hideMark/>
          </w:tcPr>
          <w:p w14:paraId="67B5CA19"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325,426 </w:t>
            </w:r>
          </w:p>
        </w:tc>
      </w:tr>
      <w:tr w:rsidR="00BC049F" w:rsidRPr="00BC049F" w14:paraId="677C1961" w14:textId="77777777" w:rsidTr="00BC049F">
        <w:trPr>
          <w:trHeight w:hRule="exact" w:val="240"/>
        </w:trPr>
        <w:tc>
          <w:tcPr>
            <w:tcW w:w="3464" w:type="pct"/>
            <w:tcBorders>
              <w:top w:val="nil"/>
              <w:left w:val="nil"/>
              <w:bottom w:val="nil"/>
              <w:right w:val="nil"/>
            </w:tcBorders>
            <w:shd w:val="clear" w:color="000000" w:fill="FFFFFF"/>
            <w:vAlign w:val="bottom"/>
            <w:hideMark/>
          </w:tcPr>
          <w:p w14:paraId="40DB9EF3"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s74 External Revenue (c)</w:t>
            </w:r>
          </w:p>
        </w:tc>
        <w:tc>
          <w:tcPr>
            <w:tcW w:w="768" w:type="pct"/>
            <w:tcBorders>
              <w:top w:val="nil"/>
              <w:left w:val="nil"/>
              <w:bottom w:val="nil"/>
              <w:right w:val="nil"/>
            </w:tcBorders>
            <w:shd w:val="clear" w:color="000000" w:fill="FFFFFF"/>
            <w:vAlign w:val="bottom"/>
            <w:hideMark/>
          </w:tcPr>
          <w:p w14:paraId="446DA818"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11,023 </w:t>
            </w:r>
          </w:p>
        </w:tc>
        <w:tc>
          <w:tcPr>
            <w:tcW w:w="768" w:type="pct"/>
            <w:tcBorders>
              <w:top w:val="nil"/>
              <w:left w:val="nil"/>
              <w:bottom w:val="nil"/>
              <w:right w:val="nil"/>
            </w:tcBorders>
            <w:shd w:val="clear" w:color="000000" w:fill="E6E6E6"/>
            <w:vAlign w:val="bottom"/>
            <w:hideMark/>
          </w:tcPr>
          <w:p w14:paraId="3DD67610"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11,023 </w:t>
            </w:r>
          </w:p>
        </w:tc>
      </w:tr>
      <w:tr w:rsidR="00BC049F" w:rsidRPr="00BC049F" w14:paraId="4326C101" w14:textId="77777777" w:rsidTr="00BC049F">
        <w:trPr>
          <w:trHeight w:hRule="exact" w:val="240"/>
        </w:trPr>
        <w:tc>
          <w:tcPr>
            <w:tcW w:w="3464" w:type="pct"/>
            <w:tcBorders>
              <w:top w:val="nil"/>
              <w:left w:val="nil"/>
              <w:bottom w:val="nil"/>
              <w:right w:val="nil"/>
            </w:tcBorders>
            <w:shd w:val="clear" w:color="000000" w:fill="FFFFFF"/>
            <w:vAlign w:val="bottom"/>
            <w:hideMark/>
          </w:tcPr>
          <w:p w14:paraId="1EE688B7"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Departmental capital budget (d)</w:t>
            </w:r>
          </w:p>
        </w:tc>
        <w:tc>
          <w:tcPr>
            <w:tcW w:w="768" w:type="pct"/>
            <w:tcBorders>
              <w:top w:val="nil"/>
              <w:left w:val="nil"/>
              <w:bottom w:val="nil"/>
              <w:right w:val="nil"/>
            </w:tcBorders>
            <w:shd w:val="clear" w:color="000000" w:fill="FFFFFF"/>
            <w:vAlign w:val="bottom"/>
            <w:hideMark/>
          </w:tcPr>
          <w:p w14:paraId="0D178C3B"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10,262 </w:t>
            </w:r>
          </w:p>
        </w:tc>
        <w:tc>
          <w:tcPr>
            <w:tcW w:w="768" w:type="pct"/>
            <w:tcBorders>
              <w:top w:val="nil"/>
              <w:left w:val="nil"/>
              <w:bottom w:val="nil"/>
              <w:right w:val="nil"/>
            </w:tcBorders>
            <w:shd w:val="clear" w:color="000000" w:fill="E6E6E6"/>
            <w:vAlign w:val="bottom"/>
            <w:hideMark/>
          </w:tcPr>
          <w:p w14:paraId="5B6B6C4E"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8,837 </w:t>
            </w:r>
          </w:p>
        </w:tc>
      </w:tr>
      <w:tr w:rsidR="00BC049F" w:rsidRPr="00BC049F" w14:paraId="577E27F9" w14:textId="77777777" w:rsidTr="00BC049F">
        <w:trPr>
          <w:trHeight w:hRule="exact" w:val="240"/>
        </w:trPr>
        <w:tc>
          <w:tcPr>
            <w:tcW w:w="3464" w:type="pct"/>
            <w:tcBorders>
              <w:top w:val="nil"/>
              <w:left w:val="nil"/>
              <w:bottom w:val="nil"/>
              <w:right w:val="nil"/>
            </w:tcBorders>
            <w:shd w:val="clear" w:color="000000" w:fill="FFFFFF"/>
            <w:vAlign w:val="bottom"/>
            <w:hideMark/>
          </w:tcPr>
          <w:p w14:paraId="40C726F1" w14:textId="2B919A96"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Annual appropriations</w:t>
            </w:r>
            <w:r w:rsidR="00B33758">
              <w:rPr>
                <w:rFonts w:ascii="Arial" w:hAnsi="Arial" w:cs="Arial"/>
                <w:color w:val="000000"/>
                <w:sz w:val="16"/>
                <w:szCs w:val="16"/>
              </w:rPr>
              <w:t xml:space="preserve"> – </w:t>
            </w:r>
            <w:r w:rsidRPr="00BC049F">
              <w:rPr>
                <w:rFonts w:ascii="Arial" w:hAnsi="Arial" w:cs="Arial"/>
                <w:color w:val="000000"/>
                <w:sz w:val="16"/>
                <w:szCs w:val="16"/>
              </w:rPr>
              <w:t>other services</w:t>
            </w:r>
            <w:r w:rsidR="00B33758">
              <w:rPr>
                <w:rFonts w:ascii="Arial" w:hAnsi="Arial" w:cs="Arial"/>
                <w:color w:val="000000"/>
                <w:sz w:val="16"/>
                <w:szCs w:val="16"/>
              </w:rPr>
              <w:t xml:space="preserve"> – </w:t>
            </w:r>
            <w:r w:rsidRPr="00BC049F">
              <w:rPr>
                <w:rFonts w:ascii="Arial" w:hAnsi="Arial" w:cs="Arial"/>
                <w:color w:val="000000"/>
                <w:sz w:val="16"/>
                <w:szCs w:val="16"/>
              </w:rPr>
              <w:t>non</w:t>
            </w:r>
            <w:r w:rsidR="00B33758">
              <w:rPr>
                <w:rFonts w:ascii="Arial" w:hAnsi="Arial" w:cs="Arial"/>
                <w:color w:val="000000"/>
                <w:sz w:val="16"/>
                <w:szCs w:val="16"/>
              </w:rPr>
              <w:noBreakHyphen/>
            </w:r>
            <w:r w:rsidRPr="00BC049F">
              <w:rPr>
                <w:rFonts w:ascii="Arial" w:hAnsi="Arial" w:cs="Arial"/>
                <w:color w:val="000000"/>
                <w:sz w:val="16"/>
                <w:szCs w:val="16"/>
              </w:rPr>
              <w:t>operating (e)</w:t>
            </w:r>
          </w:p>
        </w:tc>
        <w:tc>
          <w:tcPr>
            <w:tcW w:w="768" w:type="pct"/>
            <w:tcBorders>
              <w:top w:val="nil"/>
              <w:left w:val="nil"/>
              <w:bottom w:val="nil"/>
              <w:right w:val="nil"/>
            </w:tcBorders>
            <w:shd w:val="clear" w:color="000000" w:fill="FFFFFF"/>
            <w:vAlign w:val="bottom"/>
            <w:hideMark/>
          </w:tcPr>
          <w:p w14:paraId="332DD4C0"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0047A47E"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w:t>
            </w:r>
          </w:p>
        </w:tc>
      </w:tr>
      <w:tr w:rsidR="00BC049F" w:rsidRPr="00BC049F" w14:paraId="5D0DD9AE" w14:textId="77777777" w:rsidTr="00BC049F">
        <w:trPr>
          <w:trHeight w:hRule="exact" w:val="240"/>
        </w:trPr>
        <w:tc>
          <w:tcPr>
            <w:tcW w:w="3464" w:type="pct"/>
            <w:tcBorders>
              <w:top w:val="nil"/>
              <w:left w:val="nil"/>
              <w:bottom w:val="nil"/>
              <w:right w:val="nil"/>
            </w:tcBorders>
            <w:shd w:val="clear" w:color="000000" w:fill="FFFFFF"/>
            <w:vAlign w:val="bottom"/>
            <w:hideMark/>
          </w:tcPr>
          <w:p w14:paraId="1DD07020"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Equity injection</w:t>
            </w:r>
          </w:p>
        </w:tc>
        <w:tc>
          <w:tcPr>
            <w:tcW w:w="768" w:type="pct"/>
            <w:tcBorders>
              <w:top w:val="nil"/>
              <w:left w:val="nil"/>
              <w:bottom w:val="nil"/>
              <w:right w:val="nil"/>
            </w:tcBorders>
            <w:shd w:val="clear" w:color="000000" w:fill="FFFFFF"/>
            <w:vAlign w:val="bottom"/>
            <w:hideMark/>
          </w:tcPr>
          <w:p w14:paraId="606A365E"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301 </w:t>
            </w:r>
          </w:p>
        </w:tc>
        <w:tc>
          <w:tcPr>
            <w:tcW w:w="768" w:type="pct"/>
            <w:tcBorders>
              <w:top w:val="nil"/>
              <w:left w:val="nil"/>
              <w:bottom w:val="nil"/>
              <w:right w:val="nil"/>
            </w:tcBorders>
            <w:shd w:val="clear" w:color="000000" w:fill="E6E6E6"/>
            <w:vAlign w:val="bottom"/>
            <w:hideMark/>
          </w:tcPr>
          <w:p w14:paraId="65B49D92"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303 </w:t>
            </w:r>
          </w:p>
        </w:tc>
      </w:tr>
      <w:tr w:rsidR="00BC049F" w:rsidRPr="00BC049F" w14:paraId="2FD590D8" w14:textId="77777777" w:rsidTr="00BC049F">
        <w:trPr>
          <w:trHeight w:hRule="exact" w:val="240"/>
        </w:trPr>
        <w:tc>
          <w:tcPr>
            <w:tcW w:w="3464" w:type="pct"/>
            <w:tcBorders>
              <w:top w:val="nil"/>
              <w:left w:val="nil"/>
              <w:bottom w:val="nil"/>
              <w:right w:val="nil"/>
            </w:tcBorders>
            <w:shd w:val="clear" w:color="000000" w:fill="FFFFFF"/>
            <w:vAlign w:val="bottom"/>
            <w:hideMark/>
          </w:tcPr>
          <w:p w14:paraId="7764DAC6"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7329D3B7"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429,245 </w:t>
            </w:r>
          </w:p>
        </w:tc>
        <w:tc>
          <w:tcPr>
            <w:tcW w:w="768" w:type="pct"/>
            <w:tcBorders>
              <w:top w:val="single" w:sz="4" w:space="0" w:color="auto"/>
              <w:left w:val="nil"/>
              <w:bottom w:val="single" w:sz="4" w:space="0" w:color="auto"/>
              <w:right w:val="nil"/>
            </w:tcBorders>
            <w:shd w:val="clear" w:color="000000" w:fill="E6E6E6"/>
            <w:vAlign w:val="bottom"/>
            <w:hideMark/>
          </w:tcPr>
          <w:p w14:paraId="26AC0200"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446,461 </w:t>
            </w:r>
          </w:p>
        </w:tc>
      </w:tr>
      <w:tr w:rsidR="00BC049F" w:rsidRPr="00BC049F" w14:paraId="216BDB78" w14:textId="77777777" w:rsidTr="00BC049F">
        <w:trPr>
          <w:trHeight w:hRule="exact" w:val="240"/>
        </w:trPr>
        <w:tc>
          <w:tcPr>
            <w:tcW w:w="3464" w:type="pct"/>
            <w:tcBorders>
              <w:top w:val="nil"/>
              <w:left w:val="nil"/>
              <w:bottom w:val="nil"/>
              <w:right w:val="nil"/>
            </w:tcBorders>
            <w:shd w:val="clear" w:color="000000" w:fill="FFFFFF"/>
            <w:vAlign w:val="bottom"/>
            <w:hideMark/>
          </w:tcPr>
          <w:p w14:paraId="2F2275F4" w14:textId="77777777" w:rsidR="00BC049F" w:rsidRPr="001833A3" w:rsidRDefault="00BC049F" w:rsidP="00BC049F">
            <w:pPr>
              <w:spacing w:after="0" w:line="240" w:lineRule="auto"/>
              <w:jc w:val="left"/>
              <w:rPr>
                <w:rFonts w:ascii="Arial" w:hAnsi="Arial" w:cs="Arial"/>
                <w:b/>
                <w:bCs/>
                <w:color w:val="000000"/>
                <w:sz w:val="16"/>
                <w:szCs w:val="16"/>
              </w:rPr>
            </w:pPr>
            <w:r w:rsidRPr="001833A3">
              <w:rPr>
                <w:rFonts w:ascii="Arial" w:hAnsi="Arial" w:cs="Arial"/>
                <w:b/>
                <w:bCs/>
                <w:color w:val="000000"/>
                <w:sz w:val="16"/>
                <w:szCs w:val="16"/>
              </w:rPr>
              <w:t>Total departmental resourcing</w:t>
            </w:r>
          </w:p>
        </w:tc>
        <w:tc>
          <w:tcPr>
            <w:tcW w:w="768" w:type="pct"/>
            <w:tcBorders>
              <w:top w:val="nil"/>
              <w:left w:val="nil"/>
              <w:bottom w:val="single" w:sz="4" w:space="0" w:color="auto"/>
              <w:right w:val="nil"/>
            </w:tcBorders>
            <w:shd w:val="clear" w:color="000000" w:fill="FFFFFF"/>
            <w:vAlign w:val="bottom"/>
            <w:hideMark/>
          </w:tcPr>
          <w:p w14:paraId="5813D00E" w14:textId="77777777" w:rsidR="00BC049F" w:rsidRPr="00BC049F" w:rsidRDefault="00BC049F" w:rsidP="00BC049F">
            <w:pPr>
              <w:spacing w:after="0" w:line="240" w:lineRule="auto"/>
              <w:jc w:val="right"/>
              <w:rPr>
                <w:rFonts w:ascii="Arial" w:hAnsi="Arial" w:cs="Arial"/>
                <w:b/>
                <w:bCs/>
                <w:i/>
                <w:iCs/>
                <w:color w:val="000000"/>
                <w:sz w:val="16"/>
                <w:szCs w:val="16"/>
              </w:rPr>
            </w:pPr>
            <w:r w:rsidRPr="00BC049F">
              <w:rPr>
                <w:rFonts w:ascii="Arial" w:hAnsi="Arial" w:cs="Arial"/>
                <w:b/>
                <w:bCs/>
                <w:i/>
                <w:iCs/>
                <w:color w:val="000000"/>
                <w:sz w:val="16"/>
                <w:szCs w:val="16"/>
              </w:rPr>
              <w:t xml:space="preserve">429,245 </w:t>
            </w:r>
          </w:p>
        </w:tc>
        <w:tc>
          <w:tcPr>
            <w:tcW w:w="768" w:type="pct"/>
            <w:tcBorders>
              <w:top w:val="nil"/>
              <w:left w:val="nil"/>
              <w:bottom w:val="single" w:sz="4" w:space="0" w:color="auto"/>
              <w:right w:val="nil"/>
            </w:tcBorders>
            <w:shd w:val="clear" w:color="000000" w:fill="E6E6E6"/>
            <w:vAlign w:val="bottom"/>
            <w:hideMark/>
          </w:tcPr>
          <w:p w14:paraId="0B218EB1" w14:textId="77777777" w:rsidR="00BC049F" w:rsidRPr="00BC049F" w:rsidRDefault="00BC049F" w:rsidP="00BC049F">
            <w:pPr>
              <w:spacing w:after="0" w:line="240" w:lineRule="auto"/>
              <w:jc w:val="right"/>
              <w:rPr>
                <w:rFonts w:ascii="Arial" w:hAnsi="Arial" w:cs="Arial"/>
                <w:b/>
                <w:bCs/>
                <w:color w:val="000000"/>
                <w:sz w:val="16"/>
                <w:szCs w:val="16"/>
              </w:rPr>
            </w:pPr>
            <w:r w:rsidRPr="00BC049F">
              <w:rPr>
                <w:rFonts w:ascii="Arial" w:hAnsi="Arial" w:cs="Arial"/>
                <w:b/>
                <w:bCs/>
                <w:color w:val="000000"/>
                <w:sz w:val="16"/>
                <w:szCs w:val="16"/>
              </w:rPr>
              <w:t xml:space="preserve">446,461 </w:t>
            </w:r>
          </w:p>
        </w:tc>
      </w:tr>
      <w:tr w:rsidR="00BC049F" w:rsidRPr="00BC049F" w14:paraId="58553EBA" w14:textId="77777777" w:rsidTr="00BC049F">
        <w:trPr>
          <w:trHeight w:hRule="exact" w:val="240"/>
        </w:trPr>
        <w:tc>
          <w:tcPr>
            <w:tcW w:w="3464" w:type="pct"/>
            <w:tcBorders>
              <w:top w:val="nil"/>
              <w:left w:val="nil"/>
              <w:bottom w:val="nil"/>
              <w:right w:val="nil"/>
            </w:tcBorders>
            <w:shd w:val="clear" w:color="000000" w:fill="FFFFFF"/>
            <w:vAlign w:val="bottom"/>
            <w:hideMark/>
          </w:tcPr>
          <w:p w14:paraId="41CF42CA" w14:textId="77777777" w:rsidR="00BC049F" w:rsidRPr="00BC049F" w:rsidRDefault="00BC049F" w:rsidP="00BC049F">
            <w:pPr>
              <w:spacing w:after="0" w:line="240" w:lineRule="auto"/>
              <w:jc w:val="left"/>
              <w:rPr>
                <w:rFonts w:ascii="Arial" w:hAnsi="Arial" w:cs="Arial"/>
                <w:b/>
                <w:bCs/>
                <w:color w:val="000000"/>
                <w:sz w:val="16"/>
                <w:szCs w:val="16"/>
              </w:rPr>
            </w:pPr>
            <w:r w:rsidRPr="00BC049F">
              <w:rPr>
                <w:rFonts w:ascii="Arial" w:hAnsi="Arial" w:cs="Arial"/>
                <w:b/>
                <w:bCs/>
                <w:color w:val="000000"/>
                <w:sz w:val="16"/>
                <w:szCs w:val="16"/>
              </w:rPr>
              <w:t>Administered</w:t>
            </w:r>
          </w:p>
        </w:tc>
        <w:tc>
          <w:tcPr>
            <w:tcW w:w="768" w:type="pct"/>
            <w:tcBorders>
              <w:top w:val="nil"/>
              <w:left w:val="nil"/>
              <w:bottom w:val="nil"/>
              <w:right w:val="nil"/>
            </w:tcBorders>
            <w:shd w:val="clear" w:color="000000" w:fill="FFFFFF"/>
            <w:vAlign w:val="bottom"/>
            <w:hideMark/>
          </w:tcPr>
          <w:p w14:paraId="47422210"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F21A21E"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w:t>
            </w:r>
          </w:p>
        </w:tc>
      </w:tr>
      <w:tr w:rsidR="00BC049F" w:rsidRPr="00BC049F" w14:paraId="17F3610A" w14:textId="77777777" w:rsidTr="00BC049F">
        <w:trPr>
          <w:trHeight w:hRule="exact" w:val="240"/>
        </w:trPr>
        <w:tc>
          <w:tcPr>
            <w:tcW w:w="3464" w:type="pct"/>
            <w:tcBorders>
              <w:top w:val="nil"/>
              <w:left w:val="nil"/>
              <w:bottom w:val="nil"/>
              <w:right w:val="nil"/>
            </w:tcBorders>
            <w:shd w:val="clear" w:color="000000" w:fill="FFFFFF"/>
            <w:vAlign w:val="bottom"/>
            <w:hideMark/>
          </w:tcPr>
          <w:p w14:paraId="595439A3" w14:textId="611905BB"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Annual appropriations</w:t>
            </w:r>
            <w:r w:rsidR="00B33758">
              <w:rPr>
                <w:rFonts w:ascii="Arial" w:hAnsi="Arial" w:cs="Arial"/>
                <w:color w:val="000000"/>
                <w:sz w:val="16"/>
                <w:szCs w:val="16"/>
              </w:rPr>
              <w:t xml:space="preserve"> – </w:t>
            </w:r>
            <w:r w:rsidRPr="00BC049F">
              <w:rPr>
                <w:rFonts w:ascii="Arial" w:hAnsi="Arial" w:cs="Arial"/>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0F341AC7"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5CF401BC"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w:t>
            </w:r>
          </w:p>
        </w:tc>
      </w:tr>
      <w:tr w:rsidR="00BC049F" w:rsidRPr="00BC049F" w14:paraId="1F36A4D0" w14:textId="77777777" w:rsidTr="00BC049F">
        <w:trPr>
          <w:trHeight w:hRule="exact" w:val="240"/>
        </w:trPr>
        <w:tc>
          <w:tcPr>
            <w:tcW w:w="3464" w:type="pct"/>
            <w:tcBorders>
              <w:top w:val="nil"/>
              <w:left w:val="nil"/>
              <w:bottom w:val="nil"/>
              <w:right w:val="nil"/>
            </w:tcBorders>
            <w:shd w:val="clear" w:color="000000" w:fill="FFFFFF"/>
            <w:vAlign w:val="bottom"/>
            <w:hideMark/>
          </w:tcPr>
          <w:p w14:paraId="6EDE8B01"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Outcome 1 (b)</w:t>
            </w:r>
          </w:p>
        </w:tc>
        <w:tc>
          <w:tcPr>
            <w:tcW w:w="768" w:type="pct"/>
            <w:tcBorders>
              <w:top w:val="nil"/>
              <w:left w:val="nil"/>
              <w:bottom w:val="nil"/>
              <w:right w:val="nil"/>
            </w:tcBorders>
            <w:shd w:val="clear" w:color="auto" w:fill="auto"/>
            <w:vAlign w:val="bottom"/>
            <w:hideMark/>
          </w:tcPr>
          <w:p w14:paraId="6A87A56A" w14:textId="77777777" w:rsidR="00BC049F" w:rsidRPr="00BC049F" w:rsidRDefault="00BC049F" w:rsidP="00BC049F">
            <w:pPr>
              <w:spacing w:after="0" w:line="240" w:lineRule="auto"/>
              <w:jc w:val="right"/>
              <w:rPr>
                <w:rFonts w:ascii="Arial" w:hAnsi="Arial" w:cs="Arial"/>
                <w:i/>
                <w:iCs/>
                <w:sz w:val="16"/>
                <w:szCs w:val="16"/>
              </w:rPr>
            </w:pPr>
            <w:r w:rsidRPr="00BC049F">
              <w:rPr>
                <w:rFonts w:ascii="Arial" w:hAnsi="Arial" w:cs="Arial"/>
                <w:i/>
                <w:iCs/>
                <w:sz w:val="16"/>
                <w:szCs w:val="16"/>
              </w:rPr>
              <w:t xml:space="preserve">90,949 </w:t>
            </w:r>
          </w:p>
        </w:tc>
        <w:tc>
          <w:tcPr>
            <w:tcW w:w="768" w:type="pct"/>
            <w:tcBorders>
              <w:top w:val="nil"/>
              <w:left w:val="nil"/>
              <w:bottom w:val="nil"/>
              <w:right w:val="nil"/>
            </w:tcBorders>
            <w:shd w:val="clear" w:color="000000" w:fill="E6E6E6"/>
            <w:vAlign w:val="bottom"/>
            <w:hideMark/>
          </w:tcPr>
          <w:p w14:paraId="70E1BDAE"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99,194 </w:t>
            </w:r>
          </w:p>
        </w:tc>
      </w:tr>
      <w:tr w:rsidR="00BC049F" w:rsidRPr="00BC049F" w14:paraId="2C29C601" w14:textId="77777777" w:rsidTr="00BC049F">
        <w:trPr>
          <w:trHeight w:hRule="exact" w:val="240"/>
        </w:trPr>
        <w:tc>
          <w:tcPr>
            <w:tcW w:w="3464" w:type="pct"/>
            <w:tcBorders>
              <w:top w:val="nil"/>
              <w:left w:val="nil"/>
              <w:bottom w:val="nil"/>
              <w:right w:val="nil"/>
            </w:tcBorders>
            <w:shd w:val="clear" w:color="000000" w:fill="FFFFFF"/>
            <w:vAlign w:val="bottom"/>
            <w:hideMark/>
          </w:tcPr>
          <w:p w14:paraId="0E5D88EC" w14:textId="4A40B80A"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Annual appropriations</w:t>
            </w:r>
            <w:r w:rsidR="00B33758">
              <w:rPr>
                <w:rFonts w:ascii="Arial" w:hAnsi="Arial" w:cs="Arial"/>
                <w:color w:val="000000"/>
                <w:sz w:val="16"/>
                <w:szCs w:val="16"/>
              </w:rPr>
              <w:t xml:space="preserve"> – </w:t>
            </w:r>
            <w:r w:rsidRPr="00BC049F">
              <w:rPr>
                <w:rFonts w:ascii="Arial" w:hAnsi="Arial" w:cs="Arial"/>
                <w:color w:val="000000"/>
                <w:sz w:val="16"/>
                <w:szCs w:val="16"/>
              </w:rPr>
              <w:t>other services</w:t>
            </w:r>
            <w:r w:rsidR="00B33758">
              <w:rPr>
                <w:rFonts w:ascii="Arial" w:hAnsi="Arial" w:cs="Arial"/>
                <w:color w:val="000000"/>
                <w:sz w:val="16"/>
                <w:szCs w:val="16"/>
              </w:rPr>
              <w:t xml:space="preserve"> – </w:t>
            </w:r>
            <w:r w:rsidRPr="00BC049F">
              <w:rPr>
                <w:rFonts w:ascii="Arial" w:hAnsi="Arial" w:cs="Arial"/>
                <w:color w:val="000000"/>
                <w:sz w:val="16"/>
                <w:szCs w:val="16"/>
              </w:rPr>
              <w:t>non</w:t>
            </w:r>
            <w:r w:rsidR="00B33758">
              <w:rPr>
                <w:rFonts w:ascii="Arial" w:hAnsi="Arial" w:cs="Arial"/>
                <w:color w:val="000000"/>
                <w:sz w:val="16"/>
                <w:szCs w:val="16"/>
              </w:rPr>
              <w:noBreakHyphen/>
            </w:r>
            <w:r w:rsidRPr="00BC049F">
              <w:rPr>
                <w:rFonts w:ascii="Arial" w:hAnsi="Arial" w:cs="Arial"/>
                <w:color w:val="000000"/>
                <w:sz w:val="16"/>
                <w:szCs w:val="16"/>
              </w:rPr>
              <w:t xml:space="preserve">operating </w:t>
            </w:r>
            <w:r w:rsidR="0049392C">
              <w:rPr>
                <w:rFonts w:ascii="Arial" w:hAnsi="Arial" w:cs="Arial"/>
                <w:color w:val="000000"/>
                <w:sz w:val="16"/>
                <w:szCs w:val="16"/>
              </w:rPr>
              <w:t>(e)</w:t>
            </w:r>
          </w:p>
        </w:tc>
        <w:tc>
          <w:tcPr>
            <w:tcW w:w="768" w:type="pct"/>
            <w:tcBorders>
              <w:top w:val="nil"/>
              <w:left w:val="nil"/>
              <w:bottom w:val="nil"/>
              <w:right w:val="nil"/>
            </w:tcBorders>
            <w:shd w:val="clear" w:color="000000" w:fill="FFFFFF"/>
            <w:vAlign w:val="bottom"/>
            <w:hideMark/>
          </w:tcPr>
          <w:p w14:paraId="355A728B"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69E909CC"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w:t>
            </w:r>
          </w:p>
        </w:tc>
      </w:tr>
      <w:tr w:rsidR="00BC049F" w:rsidRPr="00BC049F" w14:paraId="1AFBF0C6" w14:textId="77777777" w:rsidTr="00BC049F">
        <w:trPr>
          <w:trHeight w:hRule="exact" w:val="240"/>
        </w:trPr>
        <w:tc>
          <w:tcPr>
            <w:tcW w:w="3464" w:type="pct"/>
            <w:tcBorders>
              <w:top w:val="nil"/>
              <w:left w:val="nil"/>
              <w:bottom w:val="nil"/>
              <w:right w:val="nil"/>
            </w:tcBorders>
            <w:shd w:val="clear" w:color="000000" w:fill="FFFFFF"/>
            <w:vAlign w:val="bottom"/>
            <w:hideMark/>
          </w:tcPr>
          <w:p w14:paraId="599DE79B"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Administered assets and liabilities (b)</w:t>
            </w:r>
          </w:p>
        </w:tc>
        <w:tc>
          <w:tcPr>
            <w:tcW w:w="768" w:type="pct"/>
            <w:tcBorders>
              <w:top w:val="nil"/>
              <w:left w:val="nil"/>
              <w:bottom w:val="nil"/>
              <w:right w:val="nil"/>
            </w:tcBorders>
            <w:shd w:val="clear" w:color="auto" w:fill="auto"/>
            <w:vAlign w:val="bottom"/>
            <w:hideMark/>
          </w:tcPr>
          <w:p w14:paraId="19CB1DF2" w14:textId="77777777" w:rsidR="00BC049F" w:rsidRPr="00BC049F" w:rsidRDefault="00BC049F" w:rsidP="00BC049F">
            <w:pPr>
              <w:spacing w:after="0" w:line="240" w:lineRule="auto"/>
              <w:jc w:val="right"/>
              <w:rPr>
                <w:rFonts w:ascii="Arial" w:hAnsi="Arial" w:cs="Arial"/>
                <w:i/>
                <w:iCs/>
                <w:sz w:val="16"/>
                <w:szCs w:val="16"/>
              </w:rPr>
            </w:pPr>
            <w:r w:rsidRPr="00BC049F">
              <w:rPr>
                <w:rFonts w:ascii="Arial" w:hAnsi="Arial" w:cs="Arial"/>
                <w:i/>
                <w:iCs/>
                <w:sz w:val="16"/>
                <w:szCs w:val="16"/>
              </w:rPr>
              <w:t xml:space="preserve">165,000 </w:t>
            </w:r>
          </w:p>
        </w:tc>
        <w:tc>
          <w:tcPr>
            <w:tcW w:w="768" w:type="pct"/>
            <w:tcBorders>
              <w:top w:val="nil"/>
              <w:left w:val="nil"/>
              <w:bottom w:val="nil"/>
              <w:right w:val="nil"/>
            </w:tcBorders>
            <w:shd w:val="clear" w:color="000000" w:fill="E6E6E6"/>
            <w:vAlign w:val="bottom"/>
            <w:hideMark/>
          </w:tcPr>
          <w:p w14:paraId="20489153"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165,000 </w:t>
            </w:r>
          </w:p>
        </w:tc>
      </w:tr>
      <w:tr w:rsidR="00BC049F" w:rsidRPr="00BC049F" w14:paraId="11035271" w14:textId="77777777" w:rsidTr="00BC049F">
        <w:trPr>
          <w:trHeight w:hRule="exact" w:val="225"/>
        </w:trPr>
        <w:tc>
          <w:tcPr>
            <w:tcW w:w="3464" w:type="pct"/>
            <w:tcBorders>
              <w:top w:val="nil"/>
              <w:left w:val="nil"/>
              <w:bottom w:val="nil"/>
              <w:right w:val="nil"/>
            </w:tcBorders>
            <w:shd w:val="clear" w:color="000000" w:fill="FFFFFF"/>
            <w:vAlign w:val="bottom"/>
            <w:hideMark/>
          </w:tcPr>
          <w:p w14:paraId="4E50AAAE"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Total administered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07B0AB62"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255,949 </w:t>
            </w:r>
          </w:p>
        </w:tc>
        <w:tc>
          <w:tcPr>
            <w:tcW w:w="768" w:type="pct"/>
            <w:tcBorders>
              <w:top w:val="single" w:sz="4" w:space="0" w:color="auto"/>
              <w:left w:val="nil"/>
              <w:bottom w:val="single" w:sz="4" w:space="0" w:color="auto"/>
              <w:right w:val="nil"/>
            </w:tcBorders>
            <w:shd w:val="clear" w:color="000000" w:fill="E6E6E6"/>
            <w:vAlign w:val="bottom"/>
            <w:hideMark/>
          </w:tcPr>
          <w:p w14:paraId="1FAB7DBC"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264,194 </w:t>
            </w:r>
          </w:p>
        </w:tc>
      </w:tr>
      <w:tr w:rsidR="00BC049F" w:rsidRPr="00BC049F" w14:paraId="3916E8F3" w14:textId="77777777" w:rsidTr="00BC049F">
        <w:trPr>
          <w:trHeight w:hRule="exact" w:val="225"/>
        </w:trPr>
        <w:tc>
          <w:tcPr>
            <w:tcW w:w="3464" w:type="pct"/>
            <w:tcBorders>
              <w:top w:val="nil"/>
              <w:left w:val="nil"/>
              <w:bottom w:val="nil"/>
              <w:right w:val="nil"/>
            </w:tcBorders>
            <w:shd w:val="clear" w:color="auto" w:fill="auto"/>
            <w:vAlign w:val="bottom"/>
            <w:hideMark/>
          </w:tcPr>
          <w:p w14:paraId="477E74EB"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Special appropriations</w:t>
            </w:r>
          </w:p>
        </w:tc>
        <w:tc>
          <w:tcPr>
            <w:tcW w:w="768" w:type="pct"/>
            <w:tcBorders>
              <w:top w:val="nil"/>
              <w:left w:val="nil"/>
              <w:bottom w:val="nil"/>
              <w:right w:val="nil"/>
            </w:tcBorders>
            <w:shd w:val="clear" w:color="000000" w:fill="FFFFFF"/>
            <w:vAlign w:val="bottom"/>
            <w:hideMark/>
          </w:tcPr>
          <w:p w14:paraId="59583A3B"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8BEC1A0"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w:t>
            </w:r>
          </w:p>
        </w:tc>
      </w:tr>
      <w:tr w:rsidR="00BC049F" w:rsidRPr="00BC049F" w14:paraId="742864DD" w14:textId="77777777" w:rsidTr="00E33A6E">
        <w:trPr>
          <w:trHeight w:hRule="exact" w:val="519"/>
        </w:trPr>
        <w:tc>
          <w:tcPr>
            <w:tcW w:w="3464" w:type="pct"/>
            <w:tcBorders>
              <w:top w:val="nil"/>
              <w:left w:val="nil"/>
              <w:bottom w:val="nil"/>
              <w:right w:val="nil"/>
            </w:tcBorders>
            <w:shd w:val="clear" w:color="000000" w:fill="FFFFFF"/>
            <w:vAlign w:val="bottom"/>
            <w:hideMark/>
          </w:tcPr>
          <w:p w14:paraId="3EF3733E" w14:textId="39D800B1" w:rsidR="00BC049F" w:rsidRPr="00BC049F" w:rsidRDefault="00BC049F" w:rsidP="00BC049F">
            <w:pPr>
              <w:spacing w:after="0" w:line="240" w:lineRule="auto"/>
              <w:ind w:left="170"/>
              <w:jc w:val="left"/>
              <w:rPr>
                <w:rFonts w:ascii="Arial" w:hAnsi="Arial" w:cs="Arial"/>
                <w:i/>
                <w:iCs/>
                <w:color w:val="000000"/>
                <w:sz w:val="16"/>
                <w:szCs w:val="16"/>
              </w:rPr>
            </w:pPr>
            <w:r w:rsidRPr="00BC049F">
              <w:rPr>
                <w:rFonts w:ascii="Arial" w:hAnsi="Arial" w:cs="Arial"/>
                <w:i/>
                <w:iCs/>
                <w:color w:val="000000"/>
                <w:sz w:val="16"/>
                <w:szCs w:val="16"/>
              </w:rPr>
              <w:t>Australian Business Growth Fund</w:t>
            </w:r>
            <w:r w:rsidR="001833A3">
              <w:t xml:space="preserve"> </w:t>
            </w:r>
            <w:r w:rsidR="00E33A6E">
              <w:t>(</w:t>
            </w:r>
            <w:r w:rsidR="001833A3" w:rsidRPr="001833A3">
              <w:rPr>
                <w:rFonts w:ascii="Arial" w:hAnsi="Arial" w:cs="Arial"/>
                <w:i/>
                <w:iCs/>
                <w:color w:val="000000"/>
                <w:sz w:val="16"/>
                <w:szCs w:val="16"/>
              </w:rPr>
              <w:t>Coronavirus Economic Response Package) Act 2020</w:t>
            </w:r>
          </w:p>
        </w:tc>
        <w:tc>
          <w:tcPr>
            <w:tcW w:w="768" w:type="pct"/>
            <w:tcBorders>
              <w:top w:val="nil"/>
              <w:left w:val="nil"/>
              <w:bottom w:val="nil"/>
              <w:right w:val="nil"/>
            </w:tcBorders>
            <w:shd w:val="clear" w:color="000000" w:fill="FFFFFF"/>
            <w:vAlign w:val="bottom"/>
            <w:hideMark/>
          </w:tcPr>
          <w:p w14:paraId="1C98D782"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12,407 </w:t>
            </w:r>
          </w:p>
        </w:tc>
        <w:tc>
          <w:tcPr>
            <w:tcW w:w="768" w:type="pct"/>
            <w:tcBorders>
              <w:top w:val="nil"/>
              <w:left w:val="nil"/>
              <w:bottom w:val="nil"/>
              <w:right w:val="nil"/>
            </w:tcBorders>
            <w:shd w:val="clear" w:color="000000" w:fill="E6E6E6"/>
            <w:vAlign w:val="bottom"/>
            <w:hideMark/>
          </w:tcPr>
          <w:p w14:paraId="2E9062BB" w14:textId="6F83E5FC" w:rsidR="00BC049F" w:rsidRPr="00BC049F" w:rsidRDefault="00B33758" w:rsidP="00BC049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BC049F" w:rsidRPr="00BC049F">
              <w:rPr>
                <w:rFonts w:ascii="Arial" w:hAnsi="Arial" w:cs="Arial"/>
                <w:color w:val="000000"/>
                <w:sz w:val="16"/>
                <w:szCs w:val="16"/>
              </w:rPr>
              <w:t xml:space="preserve"> </w:t>
            </w:r>
          </w:p>
        </w:tc>
      </w:tr>
      <w:tr w:rsidR="00BC049F" w:rsidRPr="00BC049F" w14:paraId="1F1A1570" w14:textId="77777777" w:rsidTr="00BC049F">
        <w:trPr>
          <w:trHeight w:hRule="exact" w:val="225"/>
        </w:trPr>
        <w:tc>
          <w:tcPr>
            <w:tcW w:w="3464" w:type="pct"/>
            <w:tcBorders>
              <w:top w:val="nil"/>
              <w:left w:val="nil"/>
              <w:bottom w:val="nil"/>
              <w:right w:val="nil"/>
            </w:tcBorders>
            <w:shd w:val="clear" w:color="000000" w:fill="FFFFFF"/>
            <w:vAlign w:val="bottom"/>
            <w:hideMark/>
          </w:tcPr>
          <w:p w14:paraId="4CB276AF" w14:textId="77777777" w:rsidR="00BC049F" w:rsidRPr="00BC049F" w:rsidRDefault="00BC049F" w:rsidP="00BC049F">
            <w:pPr>
              <w:spacing w:after="0" w:line="240" w:lineRule="auto"/>
              <w:ind w:left="170"/>
              <w:jc w:val="left"/>
              <w:rPr>
                <w:rFonts w:ascii="Arial" w:hAnsi="Arial" w:cs="Arial"/>
                <w:i/>
                <w:iCs/>
                <w:color w:val="000000"/>
                <w:sz w:val="16"/>
                <w:szCs w:val="16"/>
              </w:rPr>
            </w:pPr>
            <w:r w:rsidRPr="00BC049F">
              <w:rPr>
                <w:rFonts w:ascii="Arial" w:hAnsi="Arial" w:cs="Arial"/>
                <w:i/>
                <w:iCs/>
                <w:color w:val="000000"/>
                <w:sz w:val="16"/>
                <w:szCs w:val="16"/>
              </w:rPr>
              <w:t>Federal Financial Relations Act 2009</w:t>
            </w:r>
          </w:p>
        </w:tc>
        <w:tc>
          <w:tcPr>
            <w:tcW w:w="768" w:type="pct"/>
            <w:tcBorders>
              <w:top w:val="nil"/>
              <w:left w:val="nil"/>
              <w:bottom w:val="nil"/>
              <w:right w:val="nil"/>
            </w:tcBorders>
            <w:shd w:val="clear" w:color="000000" w:fill="FFFFFF"/>
            <w:vAlign w:val="bottom"/>
            <w:hideMark/>
          </w:tcPr>
          <w:p w14:paraId="757FEFE9"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108,946,951 </w:t>
            </w:r>
          </w:p>
        </w:tc>
        <w:tc>
          <w:tcPr>
            <w:tcW w:w="768" w:type="pct"/>
            <w:tcBorders>
              <w:top w:val="nil"/>
              <w:left w:val="nil"/>
              <w:bottom w:val="nil"/>
              <w:right w:val="nil"/>
            </w:tcBorders>
            <w:shd w:val="clear" w:color="000000" w:fill="E6E6E6"/>
            <w:vAlign w:val="bottom"/>
            <w:hideMark/>
          </w:tcPr>
          <w:p w14:paraId="4823C3C4"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114,595,530 </w:t>
            </w:r>
          </w:p>
        </w:tc>
      </w:tr>
      <w:tr w:rsidR="00BC049F" w:rsidRPr="00BC049F" w14:paraId="6D2C673E" w14:textId="77777777" w:rsidTr="00BC049F">
        <w:trPr>
          <w:trHeight w:hRule="exact" w:val="450"/>
        </w:trPr>
        <w:tc>
          <w:tcPr>
            <w:tcW w:w="3464" w:type="pct"/>
            <w:tcBorders>
              <w:top w:val="nil"/>
              <w:left w:val="nil"/>
              <w:bottom w:val="nil"/>
              <w:right w:val="nil"/>
            </w:tcBorders>
            <w:shd w:val="clear" w:color="000000" w:fill="FFFFFF"/>
            <w:vAlign w:val="bottom"/>
            <w:hideMark/>
          </w:tcPr>
          <w:p w14:paraId="46B53E5B" w14:textId="77777777" w:rsidR="00BC049F" w:rsidRPr="00BC049F" w:rsidRDefault="00BC049F" w:rsidP="00BC049F">
            <w:pPr>
              <w:spacing w:after="0" w:line="240" w:lineRule="auto"/>
              <w:ind w:left="170"/>
              <w:jc w:val="left"/>
              <w:rPr>
                <w:rFonts w:ascii="Arial" w:hAnsi="Arial" w:cs="Arial"/>
                <w:i/>
                <w:iCs/>
                <w:color w:val="000000"/>
                <w:sz w:val="16"/>
                <w:szCs w:val="16"/>
              </w:rPr>
            </w:pPr>
            <w:r w:rsidRPr="00BC049F">
              <w:rPr>
                <w:rFonts w:ascii="Arial" w:hAnsi="Arial" w:cs="Arial"/>
                <w:i/>
                <w:iCs/>
                <w:color w:val="000000"/>
                <w:sz w:val="16"/>
                <w:szCs w:val="16"/>
              </w:rPr>
              <w:t xml:space="preserve">Guarantee of Lending to Small and Medium Enterprises </w:t>
            </w:r>
            <w:r w:rsidRPr="00BC049F">
              <w:rPr>
                <w:rFonts w:ascii="Arial" w:hAnsi="Arial" w:cs="Arial"/>
                <w:i/>
                <w:iCs/>
                <w:color w:val="000000"/>
                <w:sz w:val="16"/>
                <w:szCs w:val="16"/>
              </w:rPr>
              <w:br/>
              <w:t>(Coronavirus Economic Response Package) Act 2020</w:t>
            </w:r>
          </w:p>
        </w:tc>
        <w:tc>
          <w:tcPr>
            <w:tcW w:w="768" w:type="pct"/>
            <w:tcBorders>
              <w:top w:val="nil"/>
              <w:left w:val="nil"/>
              <w:bottom w:val="nil"/>
              <w:right w:val="nil"/>
            </w:tcBorders>
            <w:shd w:val="clear" w:color="000000" w:fill="FFFFFF"/>
            <w:vAlign w:val="bottom"/>
            <w:hideMark/>
          </w:tcPr>
          <w:p w14:paraId="32260CA4"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18,587 </w:t>
            </w:r>
          </w:p>
        </w:tc>
        <w:tc>
          <w:tcPr>
            <w:tcW w:w="768" w:type="pct"/>
            <w:tcBorders>
              <w:top w:val="nil"/>
              <w:left w:val="nil"/>
              <w:bottom w:val="nil"/>
              <w:right w:val="nil"/>
            </w:tcBorders>
            <w:shd w:val="clear" w:color="000000" w:fill="E6E6E6"/>
            <w:vAlign w:val="bottom"/>
            <w:hideMark/>
          </w:tcPr>
          <w:p w14:paraId="78BFB269"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136,777 </w:t>
            </w:r>
          </w:p>
        </w:tc>
      </w:tr>
      <w:tr w:rsidR="00BC049F" w:rsidRPr="00BC049F" w14:paraId="2F7E7EE1" w14:textId="77777777" w:rsidTr="00BC049F">
        <w:trPr>
          <w:trHeight w:hRule="exact" w:val="225"/>
        </w:trPr>
        <w:tc>
          <w:tcPr>
            <w:tcW w:w="3464" w:type="pct"/>
            <w:tcBorders>
              <w:top w:val="nil"/>
              <w:left w:val="nil"/>
              <w:bottom w:val="nil"/>
              <w:right w:val="nil"/>
            </w:tcBorders>
            <w:shd w:val="clear" w:color="000000" w:fill="FFFFFF"/>
            <w:vAlign w:val="bottom"/>
            <w:hideMark/>
          </w:tcPr>
          <w:p w14:paraId="5B81B487" w14:textId="77777777" w:rsidR="00BC049F" w:rsidRPr="00BC049F" w:rsidRDefault="00BC049F" w:rsidP="00BC049F">
            <w:pPr>
              <w:spacing w:after="0" w:line="240" w:lineRule="auto"/>
              <w:ind w:left="170"/>
              <w:jc w:val="left"/>
              <w:rPr>
                <w:rFonts w:ascii="Arial" w:hAnsi="Arial" w:cs="Arial"/>
                <w:i/>
                <w:iCs/>
                <w:color w:val="000000"/>
                <w:sz w:val="16"/>
                <w:szCs w:val="16"/>
              </w:rPr>
            </w:pPr>
            <w:r w:rsidRPr="00BC049F">
              <w:rPr>
                <w:rFonts w:ascii="Arial" w:hAnsi="Arial" w:cs="Arial"/>
                <w:i/>
                <w:iCs/>
                <w:color w:val="000000"/>
                <w:sz w:val="16"/>
                <w:szCs w:val="16"/>
              </w:rPr>
              <w:t>International Finance Corporation Act 1955</w:t>
            </w:r>
          </w:p>
        </w:tc>
        <w:tc>
          <w:tcPr>
            <w:tcW w:w="768" w:type="pct"/>
            <w:tcBorders>
              <w:top w:val="nil"/>
              <w:left w:val="nil"/>
              <w:bottom w:val="nil"/>
              <w:right w:val="nil"/>
            </w:tcBorders>
            <w:shd w:val="clear" w:color="000000" w:fill="FFFFFF"/>
            <w:vAlign w:val="bottom"/>
            <w:hideMark/>
          </w:tcPr>
          <w:p w14:paraId="19F77464"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27,588 </w:t>
            </w:r>
          </w:p>
        </w:tc>
        <w:tc>
          <w:tcPr>
            <w:tcW w:w="768" w:type="pct"/>
            <w:tcBorders>
              <w:top w:val="nil"/>
              <w:left w:val="nil"/>
              <w:bottom w:val="nil"/>
              <w:right w:val="nil"/>
            </w:tcBorders>
            <w:shd w:val="clear" w:color="000000" w:fill="E6E6E6"/>
            <w:vAlign w:val="bottom"/>
            <w:hideMark/>
          </w:tcPr>
          <w:p w14:paraId="4538CF88"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27,470 </w:t>
            </w:r>
          </w:p>
        </w:tc>
      </w:tr>
      <w:tr w:rsidR="00BC049F" w:rsidRPr="00BC049F" w14:paraId="53C26D0C" w14:textId="77777777" w:rsidTr="00BC049F">
        <w:trPr>
          <w:trHeight w:hRule="exact" w:val="225"/>
        </w:trPr>
        <w:tc>
          <w:tcPr>
            <w:tcW w:w="3464" w:type="pct"/>
            <w:tcBorders>
              <w:top w:val="nil"/>
              <w:left w:val="nil"/>
              <w:bottom w:val="nil"/>
              <w:right w:val="nil"/>
            </w:tcBorders>
            <w:shd w:val="clear" w:color="000000" w:fill="FFFFFF"/>
            <w:vAlign w:val="bottom"/>
            <w:hideMark/>
          </w:tcPr>
          <w:p w14:paraId="22D65BDA" w14:textId="77777777" w:rsidR="00BC049F" w:rsidRPr="00BC049F" w:rsidRDefault="00BC049F" w:rsidP="00BC049F">
            <w:pPr>
              <w:spacing w:after="0" w:line="240" w:lineRule="auto"/>
              <w:ind w:left="170"/>
              <w:jc w:val="left"/>
              <w:rPr>
                <w:rFonts w:ascii="Arial" w:hAnsi="Arial" w:cs="Arial"/>
                <w:i/>
                <w:iCs/>
                <w:color w:val="000000"/>
                <w:sz w:val="16"/>
                <w:szCs w:val="16"/>
              </w:rPr>
            </w:pPr>
            <w:r w:rsidRPr="00BC049F">
              <w:rPr>
                <w:rFonts w:ascii="Arial" w:hAnsi="Arial" w:cs="Arial"/>
                <w:i/>
                <w:iCs/>
                <w:color w:val="000000"/>
                <w:sz w:val="16"/>
                <w:szCs w:val="16"/>
              </w:rPr>
              <w:t>International Monetary Agreements Act 1947</w:t>
            </w:r>
          </w:p>
        </w:tc>
        <w:tc>
          <w:tcPr>
            <w:tcW w:w="768" w:type="pct"/>
            <w:tcBorders>
              <w:top w:val="nil"/>
              <w:left w:val="nil"/>
              <w:bottom w:val="nil"/>
              <w:right w:val="nil"/>
            </w:tcBorders>
            <w:shd w:val="clear" w:color="000000" w:fill="FFFFFF"/>
            <w:vAlign w:val="bottom"/>
            <w:hideMark/>
          </w:tcPr>
          <w:p w14:paraId="148E7312"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871,065 </w:t>
            </w:r>
          </w:p>
        </w:tc>
        <w:tc>
          <w:tcPr>
            <w:tcW w:w="768" w:type="pct"/>
            <w:tcBorders>
              <w:top w:val="nil"/>
              <w:left w:val="nil"/>
              <w:bottom w:val="nil"/>
              <w:right w:val="nil"/>
            </w:tcBorders>
            <w:shd w:val="clear" w:color="000000" w:fill="E6E6E6"/>
            <w:vAlign w:val="bottom"/>
            <w:hideMark/>
          </w:tcPr>
          <w:p w14:paraId="37E127D8"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82,520 </w:t>
            </w:r>
          </w:p>
        </w:tc>
      </w:tr>
      <w:tr w:rsidR="00BC049F" w:rsidRPr="00BC049F" w14:paraId="0F09892B" w14:textId="77777777" w:rsidTr="00BC049F">
        <w:trPr>
          <w:trHeight w:hRule="exact" w:val="225"/>
        </w:trPr>
        <w:tc>
          <w:tcPr>
            <w:tcW w:w="3464" w:type="pct"/>
            <w:tcBorders>
              <w:top w:val="nil"/>
              <w:left w:val="nil"/>
              <w:bottom w:val="nil"/>
              <w:right w:val="nil"/>
            </w:tcBorders>
            <w:shd w:val="clear" w:color="000000" w:fill="FFFFFF"/>
            <w:vAlign w:val="bottom"/>
            <w:hideMark/>
          </w:tcPr>
          <w:p w14:paraId="64DE4E8F"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Total administered special appropriations (f)</w:t>
            </w:r>
          </w:p>
        </w:tc>
        <w:tc>
          <w:tcPr>
            <w:tcW w:w="768" w:type="pct"/>
            <w:tcBorders>
              <w:top w:val="single" w:sz="4" w:space="0" w:color="auto"/>
              <w:left w:val="nil"/>
              <w:bottom w:val="single" w:sz="4" w:space="0" w:color="auto"/>
              <w:right w:val="nil"/>
            </w:tcBorders>
            <w:shd w:val="clear" w:color="000000" w:fill="FFFFFF"/>
            <w:vAlign w:val="bottom"/>
            <w:hideMark/>
          </w:tcPr>
          <w:p w14:paraId="3F789EB0"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109,876,598 </w:t>
            </w:r>
          </w:p>
        </w:tc>
        <w:tc>
          <w:tcPr>
            <w:tcW w:w="768" w:type="pct"/>
            <w:tcBorders>
              <w:top w:val="single" w:sz="4" w:space="0" w:color="auto"/>
              <w:left w:val="nil"/>
              <w:bottom w:val="single" w:sz="4" w:space="0" w:color="auto"/>
              <w:right w:val="nil"/>
            </w:tcBorders>
            <w:shd w:val="clear" w:color="000000" w:fill="E6E6E6"/>
            <w:vAlign w:val="bottom"/>
            <w:hideMark/>
          </w:tcPr>
          <w:p w14:paraId="116C9E82"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114,842,297 </w:t>
            </w:r>
          </w:p>
        </w:tc>
      </w:tr>
      <w:tr w:rsidR="00BC049F" w:rsidRPr="00BC049F" w14:paraId="15BC72B3" w14:textId="77777777" w:rsidTr="00BC049F">
        <w:trPr>
          <w:trHeight w:hRule="exact" w:val="225"/>
        </w:trPr>
        <w:tc>
          <w:tcPr>
            <w:tcW w:w="3464" w:type="pct"/>
            <w:tcBorders>
              <w:top w:val="nil"/>
              <w:left w:val="nil"/>
              <w:bottom w:val="nil"/>
              <w:right w:val="nil"/>
            </w:tcBorders>
            <w:shd w:val="clear" w:color="000000" w:fill="FFFFFF"/>
            <w:vAlign w:val="bottom"/>
            <w:hideMark/>
          </w:tcPr>
          <w:p w14:paraId="7BDFE2FA"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Special accounts (f)</w:t>
            </w:r>
          </w:p>
        </w:tc>
        <w:tc>
          <w:tcPr>
            <w:tcW w:w="768" w:type="pct"/>
            <w:tcBorders>
              <w:top w:val="nil"/>
              <w:left w:val="nil"/>
              <w:bottom w:val="nil"/>
              <w:right w:val="nil"/>
            </w:tcBorders>
            <w:shd w:val="clear" w:color="000000" w:fill="FFFFFF"/>
            <w:vAlign w:val="bottom"/>
            <w:hideMark/>
          </w:tcPr>
          <w:p w14:paraId="57137F0A"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1FD83F8"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w:t>
            </w:r>
          </w:p>
        </w:tc>
      </w:tr>
      <w:tr w:rsidR="00BC049F" w:rsidRPr="00BC049F" w14:paraId="17A12FAC" w14:textId="77777777" w:rsidTr="00BC049F">
        <w:trPr>
          <w:trHeight w:hRule="exact" w:val="225"/>
        </w:trPr>
        <w:tc>
          <w:tcPr>
            <w:tcW w:w="3464" w:type="pct"/>
            <w:tcBorders>
              <w:top w:val="nil"/>
              <w:left w:val="nil"/>
              <w:bottom w:val="nil"/>
              <w:right w:val="nil"/>
            </w:tcBorders>
            <w:shd w:val="clear" w:color="000000" w:fill="FFFFFF"/>
            <w:vAlign w:val="bottom"/>
            <w:hideMark/>
          </w:tcPr>
          <w:p w14:paraId="7988F9F1"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Opening balance</w:t>
            </w:r>
          </w:p>
        </w:tc>
        <w:tc>
          <w:tcPr>
            <w:tcW w:w="768" w:type="pct"/>
            <w:tcBorders>
              <w:top w:val="nil"/>
              <w:left w:val="nil"/>
              <w:bottom w:val="nil"/>
              <w:right w:val="nil"/>
            </w:tcBorders>
            <w:shd w:val="clear" w:color="000000" w:fill="FFFFFF"/>
            <w:vAlign w:val="bottom"/>
            <w:hideMark/>
          </w:tcPr>
          <w:p w14:paraId="16E9863E"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797,269 </w:t>
            </w:r>
          </w:p>
        </w:tc>
        <w:tc>
          <w:tcPr>
            <w:tcW w:w="768" w:type="pct"/>
            <w:tcBorders>
              <w:top w:val="nil"/>
              <w:left w:val="nil"/>
              <w:bottom w:val="nil"/>
              <w:right w:val="nil"/>
            </w:tcBorders>
            <w:shd w:val="clear" w:color="000000" w:fill="E6E6E6"/>
            <w:vAlign w:val="bottom"/>
            <w:hideMark/>
          </w:tcPr>
          <w:p w14:paraId="17CFBD63"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1,024,065 </w:t>
            </w:r>
          </w:p>
        </w:tc>
      </w:tr>
      <w:tr w:rsidR="00BC049F" w:rsidRPr="00BC049F" w14:paraId="6F9AD34C" w14:textId="77777777" w:rsidTr="00BC049F">
        <w:trPr>
          <w:trHeight w:hRule="exact" w:val="240"/>
        </w:trPr>
        <w:tc>
          <w:tcPr>
            <w:tcW w:w="3464" w:type="pct"/>
            <w:tcBorders>
              <w:top w:val="nil"/>
              <w:left w:val="nil"/>
              <w:bottom w:val="nil"/>
              <w:right w:val="nil"/>
            </w:tcBorders>
            <w:shd w:val="clear" w:color="000000" w:fill="FFFFFF"/>
            <w:vAlign w:val="bottom"/>
            <w:hideMark/>
          </w:tcPr>
          <w:p w14:paraId="1DAE8F83"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Appropriation receipts</w:t>
            </w:r>
          </w:p>
        </w:tc>
        <w:tc>
          <w:tcPr>
            <w:tcW w:w="768" w:type="pct"/>
            <w:tcBorders>
              <w:top w:val="nil"/>
              <w:left w:val="nil"/>
              <w:bottom w:val="nil"/>
              <w:right w:val="nil"/>
            </w:tcBorders>
            <w:shd w:val="clear" w:color="000000" w:fill="FFFFFF"/>
            <w:vAlign w:val="bottom"/>
            <w:hideMark/>
          </w:tcPr>
          <w:p w14:paraId="4CC446A4"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165,000 </w:t>
            </w:r>
          </w:p>
        </w:tc>
        <w:tc>
          <w:tcPr>
            <w:tcW w:w="768" w:type="pct"/>
            <w:tcBorders>
              <w:top w:val="nil"/>
              <w:left w:val="nil"/>
              <w:bottom w:val="nil"/>
              <w:right w:val="nil"/>
            </w:tcBorders>
            <w:shd w:val="clear" w:color="000000" w:fill="E6E6E6"/>
            <w:vAlign w:val="bottom"/>
            <w:hideMark/>
          </w:tcPr>
          <w:p w14:paraId="20D6E84F" w14:textId="4E5D44CF"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w:t>
            </w:r>
            <w:r w:rsidR="00B33758">
              <w:rPr>
                <w:rFonts w:ascii="Arial" w:hAnsi="Arial" w:cs="Arial"/>
                <w:color w:val="000000"/>
                <w:sz w:val="16"/>
                <w:szCs w:val="16"/>
              </w:rPr>
              <w:noBreakHyphen/>
            </w:r>
          </w:p>
        </w:tc>
      </w:tr>
      <w:tr w:rsidR="00BC049F" w:rsidRPr="00BC049F" w14:paraId="6E1D08DC" w14:textId="77777777" w:rsidTr="00BC049F">
        <w:trPr>
          <w:trHeight w:hRule="exact" w:val="240"/>
        </w:trPr>
        <w:tc>
          <w:tcPr>
            <w:tcW w:w="3464" w:type="pct"/>
            <w:tcBorders>
              <w:top w:val="nil"/>
              <w:left w:val="nil"/>
              <w:bottom w:val="nil"/>
              <w:right w:val="nil"/>
            </w:tcBorders>
            <w:shd w:val="clear" w:color="000000" w:fill="FFFFFF"/>
            <w:vAlign w:val="bottom"/>
            <w:hideMark/>
          </w:tcPr>
          <w:p w14:paraId="21A8F815" w14:textId="1AF9DEA5"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xml:space="preserve">    Non</w:t>
            </w:r>
            <w:r w:rsidR="00B33758">
              <w:rPr>
                <w:rFonts w:ascii="Arial" w:hAnsi="Arial" w:cs="Arial"/>
                <w:color w:val="000000"/>
                <w:sz w:val="16"/>
                <w:szCs w:val="16"/>
              </w:rPr>
              <w:noBreakHyphen/>
            </w:r>
            <w:r w:rsidRPr="00BC049F">
              <w:rPr>
                <w:rFonts w:ascii="Arial" w:hAnsi="Arial" w:cs="Arial"/>
                <w:color w:val="000000"/>
                <w:sz w:val="16"/>
                <w:szCs w:val="16"/>
              </w:rPr>
              <w:t>appropriated receipts</w:t>
            </w:r>
          </w:p>
        </w:tc>
        <w:tc>
          <w:tcPr>
            <w:tcW w:w="768" w:type="pct"/>
            <w:tcBorders>
              <w:top w:val="nil"/>
              <w:left w:val="nil"/>
              <w:bottom w:val="nil"/>
              <w:right w:val="nil"/>
            </w:tcBorders>
            <w:shd w:val="clear" w:color="auto" w:fill="auto"/>
            <w:vAlign w:val="bottom"/>
            <w:hideMark/>
          </w:tcPr>
          <w:p w14:paraId="6A41FFA3" w14:textId="77777777" w:rsidR="00BC049F" w:rsidRPr="00BC049F" w:rsidRDefault="00BC049F" w:rsidP="00BC049F">
            <w:pPr>
              <w:spacing w:after="0" w:line="240" w:lineRule="auto"/>
              <w:jc w:val="right"/>
              <w:rPr>
                <w:rFonts w:ascii="Arial" w:hAnsi="Arial" w:cs="Arial"/>
                <w:i/>
                <w:iCs/>
                <w:sz w:val="16"/>
                <w:szCs w:val="16"/>
              </w:rPr>
            </w:pPr>
            <w:r w:rsidRPr="00BC049F">
              <w:rPr>
                <w:rFonts w:ascii="Arial" w:hAnsi="Arial" w:cs="Arial"/>
                <w:i/>
                <w:iCs/>
                <w:sz w:val="16"/>
                <w:szCs w:val="16"/>
              </w:rPr>
              <w:t xml:space="preserve">75,322,388 </w:t>
            </w:r>
          </w:p>
        </w:tc>
        <w:tc>
          <w:tcPr>
            <w:tcW w:w="768" w:type="pct"/>
            <w:tcBorders>
              <w:top w:val="nil"/>
              <w:left w:val="nil"/>
              <w:bottom w:val="nil"/>
              <w:right w:val="nil"/>
            </w:tcBorders>
            <w:shd w:val="clear" w:color="000000" w:fill="E6E6E6"/>
            <w:vAlign w:val="bottom"/>
            <w:hideMark/>
          </w:tcPr>
          <w:p w14:paraId="00F91165"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71,343,518 </w:t>
            </w:r>
          </w:p>
        </w:tc>
      </w:tr>
      <w:tr w:rsidR="00BC049F" w:rsidRPr="00BC049F" w14:paraId="0348B4E2" w14:textId="77777777" w:rsidTr="00BC049F">
        <w:trPr>
          <w:trHeight w:hRule="exact" w:val="225"/>
        </w:trPr>
        <w:tc>
          <w:tcPr>
            <w:tcW w:w="3464" w:type="pct"/>
            <w:tcBorders>
              <w:top w:val="nil"/>
              <w:left w:val="nil"/>
              <w:bottom w:val="nil"/>
              <w:right w:val="nil"/>
            </w:tcBorders>
            <w:shd w:val="clear" w:color="000000" w:fill="FFFFFF"/>
            <w:vAlign w:val="bottom"/>
            <w:hideMark/>
          </w:tcPr>
          <w:p w14:paraId="6AE9D077"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Total special account receipts</w:t>
            </w:r>
          </w:p>
        </w:tc>
        <w:tc>
          <w:tcPr>
            <w:tcW w:w="768" w:type="pct"/>
            <w:tcBorders>
              <w:top w:val="single" w:sz="4" w:space="0" w:color="auto"/>
              <w:left w:val="nil"/>
              <w:bottom w:val="single" w:sz="4" w:space="0" w:color="auto"/>
              <w:right w:val="nil"/>
            </w:tcBorders>
            <w:shd w:val="clear" w:color="000000" w:fill="FFFFFF"/>
            <w:vAlign w:val="bottom"/>
            <w:hideMark/>
          </w:tcPr>
          <w:p w14:paraId="26EF43DE"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76,284,657 </w:t>
            </w:r>
          </w:p>
        </w:tc>
        <w:tc>
          <w:tcPr>
            <w:tcW w:w="768" w:type="pct"/>
            <w:tcBorders>
              <w:top w:val="single" w:sz="4" w:space="0" w:color="auto"/>
              <w:left w:val="nil"/>
              <w:bottom w:val="single" w:sz="4" w:space="0" w:color="auto"/>
              <w:right w:val="nil"/>
            </w:tcBorders>
            <w:shd w:val="clear" w:color="000000" w:fill="E6E6E6"/>
            <w:vAlign w:val="bottom"/>
            <w:hideMark/>
          </w:tcPr>
          <w:p w14:paraId="440B5F02"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72,367,583 </w:t>
            </w:r>
          </w:p>
        </w:tc>
      </w:tr>
      <w:tr w:rsidR="00BC049F" w:rsidRPr="00BC049F" w14:paraId="09D1963F" w14:textId="77777777" w:rsidTr="00BC049F">
        <w:trPr>
          <w:trHeight w:hRule="exact" w:val="240"/>
        </w:trPr>
        <w:tc>
          <w:tcPr>
            <w:tcW w:w="3464" w:type="pct"/>
            <w:tcBorders>
              <w:top w:val="nil"/>
              <w:left w:val="nil"/>
              <w:bottom w:val="nil"/>
              <w:right w:val="nil"/>
            </w:tcBorders>
            <w:shd w:val="clear" w:color="000000" w:fill="FFFFFF"/>
            <w:vAlign w:val="bottom"/>
            <w:hideMark/>
          </w:tcPr>
          <w:p w14:paraId="174FFDD2" w14:textId="77777777" w:rsidR="00BC049F" w:rsidRPr="00BC049F" w:rsidRDefault="00BC049F" w:rsidP="00BC049F">
            <w:pPr>
              <w:spacing w:after="0" w:line="240" w:lineRule="auto"/>
              <w:jc w:val="left"/>
              <w:rPr>
                <w:rFonts w:ascii="Arial" w:hAnsi="Arial" w:cs="Arial"/>
                <w:b/>
                <w:bCs/>
                <w:color w:val="000000"/>
                <w:sz w:val="16"/>
                <w:szCs w:val="16"/>
              </w:rPr>
            </w:pPr>
            <w:r w:rsidRPr="00BC049F">
              <w:rPr>
                <w:rFonts w:ascii="Arial" w:hAnsi="Arial" w:cs="Arial"/>
                <w:b/>
                <w:bCs/>
                <w:color w:val="000000"/>
                <w:sz w:val="16"/>
                <w:szCs w:val="16"/>
              </w:rPr>
              <w:t>Total administered resourcing</w:t>
            </w:r>
          </w:p>
        </w:tc>
        <w:tc>
          <w:tcPr>
            <w:tcW w:w="768" w:type="pct"/>
            <w:tcBorders>
              <w:top w:val="nil"/>
              <w:left w:val="nil"/>
              <w:bottom w:val="single" w:sz="4" w:space="0" w:color="auto"/>
              <w:right w:val="nil"/>
            </w:tcBorders>
            <w:shd w:val="clear" w:color="000000" w:fill="FFFFFF"/>
            <w:vAlign w:val="bottom"/>
            <w:hideMark/>
          </w:tcPr>
          <w:p w14:paraId="72C93236" w14:textId="77777777" w:rsidR="00BC049F" w:rsidRPr="00BC049F" w:rsidRDefault="00BC049F" w:rsidP="00BC049F">
            <w:pPr>
              <w:spacing w:after="0" w:line="240" w:lineRule="auto"/>
              <w:jc w:val="right"/>
              <w:rPr>
                <w:rFonts w:ascii="Arial" w:hAnsi="Arial" w:cs="Arial"/>
                <w:b/>
                <w:bCs/>
                <w:i/>
                <w:iCs/>
                <w:color w:val="000000"/>
                <w:sz w:val="16"/>
                <w:szCs w:val="16"/>
              </w:rPr>
            </w:pPr>
            <w:r w:rsidRPr="00BC049F">
              <w:rPr>
                <w:rFonts w:ascii="Arial" w:hAnsi="Arial" w:cs="Arial"/>
                <w:b/>
                <w:bCs/>
                <w:i/>
                <w:iCs/>
                <w:color w:val="000000"/>
                <w:sz w:val="16"/>
                <w:szCs w:val="16"/>
              </w:rPr>
              <w:t xml:space="preserve">186,417,204 </w:t>
            </w:r>
          </w:p>
        </w:tc>
        <w:tc>
          <w:tcPr>
            <w:tcW w:w="768" w:type="pct"/>
            <w:tcBorders>
              <w:top w:val="nil"/>
              <w:left w:val="nil"/>
              <w:bottom w:val="single" w:sz="4" w:space="0" w:color="auto"/>
              <w:right w:val="nil"/>
            </w:tcBorders>
            <w:shd w:val="clear" w:color="000000" w:fill="E6E6E6"/>
            <w:vAlign w:val="bottom"/>
            <w:hideMark/>
          </w:tcPr>
          <w:p w14:paraId="2B98390E" w14:textId="77777777" w:rsidR="00BC049F" w:rsidRPr="00BC049F" w:rsidRDefault="00BC049F" w:rsidP="00BC049F">
            <w:pPr>
              <w:spacing w:after="0" w:line="240" w:lineRule="auto"/>
              <w:jc w:val="right"/>
              <w:rPr>
                <w:rFonts w:ascii="Arial" w:hAnsi="Arial" w:cs="Arial"/>
                <w:b/>
                <w:bCs/>
                <w:color w:val="000000"/>
                <w:sz w:val="16"/>
                <w:szCs w:val="16"/>
              </w:rPr>
            </w:pPr>
            <w:r w:rsidRPr="00BC049F">
              <w:rPr>
                <w:rFonts w:ascii="Arial" w:hAnsi="Arial" w:cs="Arial"/>
                <w:b/>
                <w:bCs/>
                <w:color w:val="000000"/>
                <w:sz w:val="16"/>
                <w:szCs w:val="16"/>
              </w:rPr>
              <w:t xml:space="preserve">187,474,074 </w:t>
            </w:r>
          </w:p>
        </w:tc>
      </w:tr>
      <w:tr w:rsidR="00BC049F" w:rsidRPr="00BC049F" w14:paraId="0EE8371B" w14:textId="77777777" w:rsidTr="00BC049F">
        <w:trPr>
          <w:trHeight w:hRule="exact" w:val="225"/>
        </w:trPr>
        <w:tc>
          <w:tcPr>
            <w:tcW w:w="3464" w:type="pct"/>
            <w:tcBorders>
              <w:top w:val="nil"/>
              <w:left w:val="nil"/>
              <w:bottom w:val="single" w:sz="4" w:space="0" w:color="auto"/>
              <w:right w:val="nil"/>
            </w:tcBorders>
            <w:shd w:val="clear" w:color="000000" w:fill="FFFFFF"/>
            <w:vAlign w:val="bottom"/>
            <w:hideMark/>
          </w:tcPr>
          <w:p w14:paraId="487D9F4A" w14:textId="77777777" w:rsidR="00BC049F" w:rsidRPr="00BC049F" w:rsidRDefault="00BC049F" w:rsidP="00BC049F">
            <w:pPr>
              <w:spacing w:after="0" w:line="240" w:lineRule="auto"/>
              <w:jc w:val="left"/>
              <w:rPr>
                <w:rFonts w:ascii="Arial" w:hAnsi="Arial" w:cs="Arial"/>
                <w:b/>
                <w:bCs/>
                <w:color w:val="000000"/>
                <w:sz w:val="16"/>
                <w:szCs w:val="16"/>
              </w:rPr>
            </w:pPr>
            <w:r w:rsidRPr="00BC049F">
              <w:rPr>
                <w:rFonts w:ascii="Arial" w:hAnsi="Arial" w:cs="Arial"/>
                <w:b/>
                <w:bCs/>
                <w:color w:val="000000"/>
                <w:sz w:val="16"/>
                <w:szCs w:val="16"/>
              </w:rPr>
              <w:t>Total resourcing for Treasury</w:t>
            </w:r>
          </w:p>
        </w:tc>
        <w:tc>
          <w:tcPr>
            <w:tcW w:w="768" w:type="pct"/>
            <w:tcBorders>
              <w:top w:val="nil"/>
              <w:left w:val="nil"/>
              <w:bottom w:val="single" w:sz="4" w:space="0" w:color="auto"/>
              <w:right w:val="nil"/>
            </w:tcBorders>
            <w:shd w:val="clear" w:color="000000" w:fill="FFFFFF"/>
            <w:vAlign w:val="bottom"/>
            <w:hideMark/>
          </w:tcPr>
          <w:p w14:paraId="1654C0C3" w14:textId="77777777" w:rsidR="00BC049F" w:rsidRPr="00BC049F" w:rsidRDefault="00BC049F" w:rsidP="00BC049F">
            <w:pPr>
              <w:spacing w:after="0" w:line="240" w:lineRule="auto"/>
              <w:jc w:val="right"/>
              <w:rPr>
                <w:rFonts w:ascii="Arial" w:hAnsi="Arial" w:cs="Arial"/>
                <w:b/>
                <w:bCs/>
                <w:i/>
                <w:iCs/>
                <w:color w:val="000000"/>
                <w:sz w:val="16"/>
                <w:szCs w:val="16"/>
              </w:rPr>
            </w:pPr>
            <w:r w:rsidRPr="00BC049F">
              <w:rPr>
                <w:rFonts w:ascii="Arial" w:hAnsi="Arial" w:cs="Arial"/>
                <w:b/>
                <w:bCs/>
                <w:i/>
                <w:iCs/>
                <w:color w:val="000000"/>
                <w:sz w:val="16"/>
                <w:szCs w:val="16"/>
              </w:rPr>
              <w:t xml:space="preserve">186,846,449 </w:t>
            </w:r>
          </w:p>
        </w:tc>
        <w:tc>
          <w:tcPr>
            <w:tcW w:w="768" w:type="pct"/>
            <w:tcBorders>
              <w:top w:val="nil"/>
              <w:left w:val="nil"/>
              <w:bottom w:val="single" w:sz="4" w:space="0" w:color="auto"/>
              <w:right w:val="nil"/>
            </w:tcBorders>
            <w:shd w:val="clear" w:color="000000" w:fill="E6E6E6"/>
            <w:vAlign w:val="bottom"/>
            <w:hideMark/>
          </w:tcPr>
          <w:p w14:paraId="4C73BB60" w14:textId="77777777" w:rsidR="00BC049F" w:rsidRPr="00BC049F" w:rsidRDefault="00BC049F" w:rsidP="00BC049F">
            <w:pPr>
              <w:spacing w:after="0" w:line="240" w:lineRule="auto"/>
              <w:jc w:val="right"/>
              <w:rPr>
                <w:rFonts w:ascii="Arial" w:hAnsi="Arial" w:cs="Arial"/>
                <w:b/>
                <w:bCs/>
                <w:color w:val="000000"/>
                <w:sz w:val="16"/>
                <w:szCs w:val="16"/>
              </w:rPr>
            </w:pPr>
            <w:r w:rsidRPr="00BC049F">
              <w:rPr>
                <w:rFonts w:ascii="Arial" w:hAnsi="Arial" w:cs="Arial"/>
                <w:b/>
                <w:bCs/>
                <w:color w:val="000000"/>
                <w:sz w:val="16"/>
                <w:szCs w:val="16"/>
              </w:rPr>
              <w:t xml:space="preserve">187,920,535 </w:t>
            </w:r>
          </w:p>
        </w:tc>
      </w:tr>
      <w:tr w:rsidR="00BC049F" w:rsidRPr="00BC049F" w14:paraId="1F59600F" w14:textId="77777777" w:rsidTr="00BC049F">
        <w:trPr>
          <w:trHeight w:hRule="exact" w:val="70"/>
        </w:trPr>
        <w:tc>
          <w:tcPr>
            <w:tcW w:w="3464" w:type="pct"/>
            <w:tcBorders>
              <w:top w:val="nil"/>
              <w:left w:val="nil"/>
              <w:bottom w:val="nil"/>
              <w:right w:val="nil"/>
            </w:tcBorders>
            <w:shd w:val="clear" w:color="000000" w:fill="FFFFFF"/>
            <w:vAlign w:val="bottom"/>
            <w:hideMark/>
          </w:tcPr>
          <w:p w14:paraId="7D96C97E"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1CBCD9F1" w14:textId="77777777" w:rsidR="00BC049F" w:rsidRPr="00BC049F" w:rsidRDefault="00BC049F" w:rsidP="00BC049F">
            <w:pPr>
              <w:spacing w:after="0" w:line="240" w:lineRule="auto"/>
              <w:jc w:val="left"/>
              <w:rPr>
                <w:rFonts w:ascii="Arial" w:hAnsi="Arial" w:cs="Arial"/>
                <w:i/>
                <w:iCs/>
                <w:color w:val="000000"/>
                <w:sz w:val="16"/>
                <w:szCs w:val="16"/>
              </w:rPr>
            </w:pPr>
            <w:r w:rsidRPr="00BC049F">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1401AD13"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w:t>
            </w:r>
          </w:p>
        </w:tc>
      </w:tr>
      <w:tr w:rsidR="00BC049F" w:rsidRPr="00BC049F" w14:paraId="4E1E5EB1" w14:textId="77777777" w:rsidTr="00BC049F">
        <w:trPr>
          <w:trHeight w:hRule="exact" w:val="225"/>
        </w:trPr>
        <w:tc>
          <w:tcPr>
            <w:tcW w:w="3464" w:type="pct"/>
            <w:tcBorders>
              <w:top w:val="single" w:sz="4" w:space="0" w:color="auto"/>
              <w:left w:val="nil"/>
              <w:bottom w:val="nil"/>
              <w:right w:val="nil"/>
            </w:tcBorders>
            <w:shd w:val="clear" w:color="000000" w:fill="FFFFFF"/>
            <w:vAlign w:val="bottom"/>
            <w:hideMark/>
          </w:tcPr>
          <w:p w14:paraId="42C6F518" w14:textId="77777777" w:rsidR="00BC049F" w:rsidRPr="00BC049F" w:rsidRDefault="00BC049F" w:rsidP="00BC049F">
            <w:pPr>
              <w:spacing w:after="0" w:line="240" w:lineRule="auto"/>
              <w:jc w:val="left"/>
              <w:rPr>
                <w:rFonts w:ascii="Arial" w:hAnsi="Arial" w:cs="Arial"/>
                <w:color w:val="000000"/>
                <w:sz w:val="16"/>
                <w:szCs w:val="16"/>
              </w:rPr>
            </w:pPr>
            <w:r w:rsidRPr="00BC049F">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65B564CC" w14:textId="506E70BB"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2021</w:t>
            </w:r>
            <w:r w:rsidR="00B33758">
              <w:rPr>
                <w:rFonts w:ascii="Arial" w:hAnsi="Arial" w:cs="Arial"/>
                <w:i/>
                <w:iCs/>
                <w:color w:val="000000"/>
                <w:sz w:val="16"/>
                <w:szCs w:val="16"/>
              </w:rPr>
              <w:noBreakHyphen/>
            </w:r>
            <w:r w:rsidRPr="00BC049F">
              <w:rPr>
                <w:rFonts w:ascii="Arial" w:hAnsi="Arial" w:cs="Arial"/>
                <w:i/>
                <w:iCs/>
                <w:color w:val="000000"/>
                <w:sz w:val="16"/>
                <w:szCs w:val="16"/>
              </w:rPr>
              <w:t>22</w:t>
            </w:r>
          </w:p>
        </w:tc>
        <w:tc>
          <w:tcPr>
            <w:tcW w:w="768" w:type="pct"/>
            <w:tcBorders>
              <w:top w:val="single" w:sz="4" w:space="0" w:color="auto"/>
              <w:left w:val="nil"/>
              <w:bottom w:val="single" w:sz="4" w:space="0" w:color="auto"/>
              <w:right w:val="nil"/>
            </w:tcBorders>
            <w:shd w:val="clear" w:color="000000" w:fill="E6E6E6"/>
            <w:vAlign w:val="bottom"/>
            <w:hideMark/>
          </w:tcPr>
          <w:p w14:paraId="7AE8C018" w14:textId="49A5EF0D"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2022</w:t>
            </w:r>
            <w:r w:rsidR="00B33758">
              <w:rPr>
                <w:rFonts w:ascii="Arial" w:hAnsi="Arial" w:cs="Arial"/>
                <w:color w:val="000000"/>
                <w:sz w:val="16"/>
                <w:szCs w:val="16"/>
              </w:rPr>
              <w:noBreakHyphen/>
            </w:r>
            <w:r w:rsidRPr="00BC049F">
              <w:rPr>
                <w:rFonts w:ascii="Arial" w:hAnsi="Arial" w:cs="Arial"/>
                <w:color w:val="000000"/>
                <w:sz w:val="16"/>
                <w:szCs w:val="16"/>
              </w:rPr>
              <w:t>23</w:t>
            </w:r>
          </w:p>
        </w:tc>
      </w:tr>
      <w:tr w:rsidR="00BC049F" w:rsidRPr="00BC049F" w14:paraId="4EC86286" w14:textId="77777777" w:rsidTr="00BC049F">
        <w:trPr>
          <w:trHeight w:hRule="exact" w:val="225"/>
        </w:trPr>
        <w:tc>
          <w:tcPr>
            <w:tcW w:w="3464" w:type="pct"/>
            <w:tcBorders>
              <w:top w:val="nil"/>
              <w:left w:val="nil"/>
              <w:bottom w:val="single" w:sz="4" w:space="0" w:color="auto"/>
              <w:right w:val="nil"/>
            </w:tcBorders>
            <w:shd w:val="clear" w:color="000000" w:fill="FFFFFF"/>
            <w:vAlign w:val="bottom"/>
            <w:hideMark/>
          </w:tcPr>
          <w:p w14:paraId="7E237D72" w14:textId="77777777" w:rsidR="00BC049F" w:rsidRPr="00BC049F" w:rsidRDefault="00BC049F" w:rsidP="00BC049F">
            <w:pPr>
              <w:spacing w:after="0" w:line="240" w:lineRule="auto"/>
              <w:jc w:val="left"/>
              <w:rPr>
                <w:rFonts w:ascii="Arial" w:hAnsi="Arial" w:cs="Arial"/>
                <w:b/>
                <w:bCs/>
                <w:color w:val="000000"/>
                <w:sz w:val="16"/>
                <w:szCs w:val="16"/>
              </w:rPr>
            </w:pPr>
            <w:r w:rsidRPr="00BC049F">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329073C1" w14:textId="77777777" w:rsidR="00BC049F" w:rsidRPr="00BC049F" w:rsidRDefault="00BC049F" w:rsidP="00BC049F">
            <w:pPr>
              <w:spacing w:after="0" w:line="240" w:lineRule="auto"/>
              <w:jc w:val="right"/>
              <w:rPr>
                <w:rFonts w:ascii="Arial" w:hAnsi="Arial" w:cs="Arial"/>
                <w:i/>
                <w:iCs/>
                <w:color w:val="000000"/>
                <w:sz w:val="16"/>
                <w:szCs w:val="16"/>
              </w:rPr>
            </w:pPr>
            <w:r w:rsidRPr="00BC049F">
              <w:rPr>
                <w:rFonts w:ascii="Arial" w:hAnsi="Arial" w:cs="Arial"/>
                <w:i/>
                <w:iCs/>
                <w:color w:val="000000"/>
                <w:sz w:val="16"/>
                <w:szCs w:val="16"/>
              </w:rPr>
              <w:t xml:space="preserve">1,360 </w:t>
            </w:r>
          </w:p>
        </w:tc>
        <w:tc>
          <w:tcPr>
            <w:tcW w:w="768" w:type="pct"/>
            <w:tcBorders>
              <w:top w:val="nil"/>
              <w:left w:val="nil"/>
              <w:bottom w:val="single" w:sz="4" w:space="0" w:color="auto"/>
              <w:right w:val="nil"/>
            </w:tcBorders>
            <w:shd w:val="clear" w:color="000000" w:fill="E6E6E6"/>
            <w:vAlign w:val="bottom"/>
            <w:hideMark/>
          </w:tcPr>
          <w:p w14:paraId="6AB577F8" w14:textId="77777777" w:rsidR="00BC049F" w:rsidRPr="00BC049F" w:rsidRDefault="00BC049F" w:rsidP="00BC049F">
            <w:pPr>
              <w:spacing w:after="0" w:line="240" w:lineRule="auto"/>
              <w:jc w:val="right"/>
              <w:rPr>
                <w:rFonts w:ascii="Arial" w:hAnsi="Arial" w:cs="Arial"/>
                <w:color w:val="000000"/>
                <w:sz w:val="16"/>
                <w:szCs w:val="16"/>
              </w:rPr>
            </w:pPr>
            <w:r w:rsidRPr="00BC049F">
              <w:rPr>
                <w:rFonts w:ascii="Arial" w:hAnsi="Arial" w:cs="Arial"/>
                <w:color w:val="000000"/>
                <w:sz w:val="16"/>
                <w:szCs w:val="16"/>
              </w:rPr>
              <w:t xml:space="preserve">1,357 </w:t>
            </w:r>
          </w:p>
        </w:tc>
      </w:tr>
    </w:tbl>
    <w:p w14:paraId="407906DA" w14:textId="6FB0A925" w:rsidR="0066176D" w:rsidRDefault="0066176D" w:rsidP="0066176D">
      <w:pPr>
        <w:pStyle w:val="TableHeading"/>
      </w:pPr>
      <w:r>
        <w:br w:type="page"/>
      </w:r>
    </w:p>
    <w:p w14:paraId="67CC0E7D" w14:textId="3946E449" w:rsidR="00BE3D0E" w:rsidRDefault="00C7638D" w:rsidP="00BE3D0E">
      <w:pPr>
        <w:pStyle w:val="TableHeading"/>
        <w:rPr>
          <w:rFonts w:ascii="Times New Roman" w:hAnsi="Times New Roman"/>
          <w:color w:val="auto"/>
          <w:lang w:val="en-AU" w:eastAsia="en-AU"/>
        </w:rPr>
      </w:pPr>
      <w:r w:rsidRPr="005C4BEE">
        <w:lastRenderedPageBreak/>
        <w:t xml:space="preserve">Third party payments from and on behalf of other </w:t>
      </w:r>
      <w:r w:rsidR="00422F4B">
        <w:t>entitie</w:t>
      </w:r>
      <w:r w:rsidR="000D2424">
        <w:rPr>
          <w:lang w:val="en-AU"/>
        </w:rPr>
        <w:t>s</w:t>
      </w:r>
    </w:p>
    <w:tbl>
      <w:tblPr>
        <w:tblW w:w="5000" w:type="pct"/>
        <w:tblCellMar>
          <w:left w:w="0" w:type="dxa"/>
          <w:right w:w="28" w:type="dxa"/>
        </w:tblCellMar>
        <w:tblLook w:val="04A0" w:firstRow="1" w:lastRow="0" w:firstColumn="1" w:lastColumn="0" w:noHBand="0" w:noVBand="1"/>
      </w:tblPr>
      <w:tblGrid>
        <w:gridCol w:w="5343"/>
        <w:gridCol w:w="1184"/>
        <w:gridCol w:w="1184"/>
      </w:tblGrid>
      <w:tr w:rsidR="00BE3D0E" w:rsidRPr="00BE3D0E" w14:paraId="702705D0" w14:textId="77777777" w:rsidTr="00BE3D0E">
        <w:trPr>
          <w:trHeight w:hRule="exact" w:val="900"/>
        </w:trPr>
        <w:tc>
          <w:tcPr>
            <w:tcW w:w="3464" w:type="pct"/>
            <w:tcBorders>
              <w:top w:val="single" w:sz="4" w:space="0" w:color="auto"/>
              <w:left w:val="nil"/>
              <w:bottom w:val="nil"/>
              <w:right w:val="nil"/>
            </w:tcBorders>
            <w:shd w:val="clear" w:color="000000" w:fill="FFFFFF"/>
            <w:vAlign w:val="bottom"/>
            <w:hideMark/>
          </w:tcPr>
          <w:p w14:paraId="370EDE4B" w14:textId="0FF291B2" w:rsidR="00BE3D0E" w:rsidRPr="00BE3D0E" w:rsidRDefault="00BE3D0E" w:rsidP="00BE3D0E">
            <w:pPr>
              <w:spacing w:after="0" w:line="240" w:lineRule="auto"/>
              <w:jc w:val="left"/>
              <w:rPr>
                <w:rFonts w:ascii="Arial" w:hAnsi="Arial" w:cs="Arial"/>
                <w:color w:val="000000"/>
                <w:sz w:val="16"/>
                <w:szCs w:val="16"/>
              </w:rPr>
            </w:pPr>
            <w:r w:rsidRPr="00BE3D0E">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5072B884" w14:textId="20B2A30F" w:rsidR="00BE3D0E" w:rsidRPr="00BE3D0E" w:rsidRDefault="00BE3D0E" w:rsidP="00BE3D0E">
            <w:pPr>
              <w:spacing w:after="0" w:line="240" w:lineRule="auto"/>
              <w:jc w:val="right"/>
              <w:rPr>
                <w:rFonts w:ascii="Arial" w:hAnsi="Arial" w:cs="Arial"/>
                <w:i/>
                <w:iCs/>
                <w:color w:val="000000"/>
                <w:sz w:val="16"/>
                <w:szCs w:val="16"/>
              </w:rPr>
            </w:pPr>
            <w:r w:rsidRPr="00BE3D0E">
              <w:rPr>
                <w:rFonts w:ascii="Arial" w:hAnsi="Arial" w:cs="Arial"/>
                <w:i/>
                <w:iCs/>
                <w:color w:val="000000"/>
                <w:sz w:val="16"/>
                <w:szCs w:val="16"/>
              </w:rPr>
              <w:t>2021</w:t>
            </w:r>
            <w:r w:rsidR="00B33758">
              <w:rPr>
                <w:rFonts w:ascii="Arial" w:hAnsi="Arial" w:cs="Arial"/>
                <w:i/>
                <w:iCs/>
                <w:color w:val="000000"/>
                <w:sz w:val="16"/>
                <w:szCs w:val="16"/>
              </w:rPr>
              <w:noBreakHyphen/>
            </w:r>
            <w:r w:rsidRPr="00BE3D0E">
              <w:rPr>
                <w:rFonts w:ascii="Arial" w:hAnsi="Arial" w:cs="Arial"/>
                <w:i/>
                <w:iCs/>
                <w:color w:val="000000"/>
                <w:sz w:val="16"/>
                <w:szCs w:val="16"/>
              </w:rPr>
              <w:t>22 Estimated actual</w:t>
            </w:r>
            <w:r w:rsidRPr="00BE3D0E">
              <w:rPr>
                <w:rFonts w:ascii="Arial" w:hAnsi="Arial" w:cs="Arial"/>
                <w:i/>
                <w:iCs/>
                <w:color w:val="000000"/>
                <w:sz w:val="16"/>
                <w:szCs w:val="16"/>
              </w:rPr>
              <w:br/>
              <w:t>$</w:t>
            </w:r>
            <w:r w:rsidR="00B33758">
              <w:rPr>
                <w:rFonts w:ascii="Arial" w:hAnsi="Arial" w:cs="Arial"/>
                <w:i/>
                <w:iCs/>
                <w:color w:val="000000"/>
                <w:sz w:val="16"/>
                <w:szCs w:val="16"/>
              </w:rPr>
              <w:t>’</w:t>
            </w:r>
            <w:r w:rsidRPr="00BE3D0E">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5C1D6E8D" w14:textId="5664EC44" w:rsidR="00BE3D0E" w:rsidRPr="00BE3D0E" w:rsidRDefault="00BE3D0E" w:rsidP="00BE3D0E">
            <w:pPr>
              <w:spacing w:after="0" w:line="240" w:lineRule="auto"/>
              <w:jc w:val="right"/>
              <w:rPr>
                <w:rFonts w:ascii="Arial" w:hAnsi="Arial" w:cs="Arial"/>
                <w:color w:val="000000"/>
                <w:sz w:val="16"/>
                <w:szCs w:val="16"/>
              </w:rPr>
            </w:pPr>
            <w:r w:rsidRPr="00BE3D0E">
              <w:rPr>
                <w:rFonts w:ascii="Arial" w:hAnsi="Arial" w:cs="Arial"/>
                <w:color w:val="000000"/>
                <w:sz w:val="16"/>
                <w:szCs w:val="16"/>
              </w:rPr>
              <w:t>2022</w:t>
            </w:r>
            <w:r w:rsidR="00B33758">
              <w:rPr>
                <w:rFonts w:ascii="Arial" w:hAnsi="Arial" w:cs="Arial"/>
                <w:color w:val="000000"/>
                <w:sz w:val="16"/>
                <w:szCs w:val="16"/>
              </w:rPr>
              <w:noBreakHyphen/>
            </w:r>
            <w:r w:rsidRPr="00BE3D0E">
              <w:rPr>
                <w:rFonts w:ascii="Arial" w:hAnsi="Arial" w:cs="Arial"/>
                <w:color w:val="000000"/>
                <w:sz w:val="16"/>
                <w:szCs w:val="16"/>
              </w:rPr>
              <w:t>23 Estimate</w:t>
            </w:r>
            <w:r w:rsidRPr="00BE3D0E">
              <w:rPr>
                <w:rFonts w:ascii="Arial" w:hAnsi="Arial" w:cs="Arial"/>
                <w:color w:val="000000"/>
                <w:sz w:val="16"/>
                <w:szCs w:val="16"/>
              </w:rPr>
              <w:br/>
            </w:r>
            <w:r w:rsidRPr="00BE3D0E">
              <w:rPr>
                <w:rFonts w:ascii="Arial" w:hAnsi="Arial" w:cs="Arial"/>
                <w:color w:val="000000"/>
                <w:sz w:val="16"/>
                <w:szCs w:val="16"/>
              </w:rPr>
              <w:br/>
              <w:t>$</w:t>
            </w:r>
            <w:r w:rsidR="00B33758">
              <w:rPr>
                <w:rFonts w:ascii="Arial" w:hAnsi="Arial" w:cs="Arial"/>
                <w:color w:val="000000"/>
                <w:sz w:val="16"/>
                <w:szCs w:val="16"/>
              </w:rPr>
              <w:t>’</w:t>
            </w:r>
            <w:r w:rsidRPr="00BE3D0E">
              <w:rPr>
                <w:rFonts w:ascii="Arial" w:hAnsi="Arial" w:cs="Arial"/>
                <w:color w:val="000000"/>
                <w:sz w:val="16"/>
                <w:szCs w:val="16"/>
              </w:rPr>
              <w:t>000</w:t>
            </w:r>
          </w:p>
        </w:tc>
      </w:tr>
      <w:tr w:rsidR="00BE3D0E" w:rsidRPr="00BE3D0E" w14:paraId="1F6BFFDD" w14:textId="77777777" w:rsidTr="00BE3D0E">
        <w:trPr>
          <w:trHeight w:hRule="exact" w:val="450"/>
        </w:trPr>
        <w:tc>
          <w:tcPr>
            <w:tcW w:w="3464" w:type="pct"/>
            <w:tcBorders>
              <w:top w:val="nil"/>
              <w:left w:val="nil"/>
              <w:bottom w:val="nil"/>
              <w:right w:val="nil"/>
            </w:tcBorders>
            <w:shd w:val="clear" w:color="000000" w:fill="FFFFFF"/>
            <w:vAlign w:val="bottom"/>
            <w:hideMark/>
          </w:tcPr>
          <w:p w14:paraId="241700AA" w14:textId="4CE81ADA" w:rsidR="00BE3D0E" w:rsidRPr="00BE3D0E" w:rsidRDefault="00BE3D0E" w:rsidP="00BE3D0E">
            <w:pPr>
              <w:spacing w:after="0" w:line="240" w:lineRule="auto"/>
              <w:jc w:val="left"/>
              <w:rPr>
                <w:rFonts w:ascii="Arial" w:hAnsi="Arial" w:cs="Arial"/>
                <w:color w:val="000000"/>
                <w:sz w:val="16"/>
                <w:szCs w:val="16"/>
              </w:rPr>
            </w:pPr>
            <w:r w:rsidRPr="00BE3D0E">
              <w:rPr>
                <w:rFonts w:ascii="Arial" w:hAnsi="Arial" w:cs="Arial"/>
                <w:color w:val="000000"/>
                <w:sz w:val="16"/>
                <w:szCs w:val="16"/>
              </w:rPr>
              <w:t xml:space="preserve">Payments made on behalf of another entity </w:t>
            </w:r>
            <w:r w:rsidRPr="00BE3D0E">
              <w:rPr>
                <w:rFonts w:ascii="Arial" w:hAnsi="Arial" w:cs="Arial"/>
                <w:color w:val="000000"/>
                <w:sz w:val="16"/>
                <w:szCs w:val="16"/>
              </w:rPr>
              <w:br/>
              <w:t xml:space="preserve">  (as disclosed in the respective entity</w:t>
            </w:r>
            <w:r w:rsidR="00B33758">
              <w:rPr>
                <w:rFonts w:ascii="Arial" w:hAnsi="Arial" w:cs="Arial"/>
                <w:color w:val="000000"/>
                <w:sz w:val="16"/>
                <w:szCs w:val="16"/>
              </w:rPr>
              <w:t>’</w:t>
            </w:r>
            <w:r w:rsidRPr="00BE3D0E">
              <w:rPr>
                <w:rFonts w:ascii="Arial" w:hAnsi="Arial" w:cs="Arial"/>
                <w:color w:val="000000"/>
                <w:sz w:val="16"/>
                <w:szCs w:val="16"/>
              </w:rPr>
              <w:t>s resource statement)</w:t>
            </w:r>
          </w:p>
        </w:tc>
        <w:tc>
          <w:tcPr>
            <w:tcW w:w="768" w:type="pct"/>
            <w:tcBorders>
              <w:top w:val="nil"/>
              <w:left w:val="nil"/>
              <w:bottom w:val="nil"/>
              <w:right w:val="nil"/>
            </w:tcBorders>
            <w:shd w:val="clear" w:color="000000" w:fill="FFFFFF"/>
            <w:vAlign w:val="bottom"/>
            <w:hideMark/>
          </w:tcPr>
          <w:p w14:paraId="2181363A" w14:textId="77777777" w:rsidR="00BE3D0E" w:rsidRPr="00BE3D0E" w:rsidRDefault="00BE3D0E" w:rsidP="00BE3D0E">
            <w:pPr>
              <w:spacing w:after="0" w:line="240" w:lineRule="auto"/>
              <w:jc w:val="left"/>
              <w:rPr>
                <w:rFonts w:ascii="Arial" w:hAnsi="Arial" w:cs="Arial"/>
                <w:i/>
                <w:iCs/>
                <w:color w:val="000000"/>
                <w:sz w:val="16"/>
                <w:szCs w:val="16"/>
              </w:rPr>
            </w:pPr>
            <w:r w:rsidRPr="00BE3D0E">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750A18F2" w14:textId="77777777" w:rsidR="00BE3D0E" w:rsidRPr="00BE3D0E" w:rsidRDefault="00BE3D0E" w:rsidP="00BE3D0E">
            <w:pPr>
              <w:spacing w:after="0" w:line="240" w:lineRule="auto"/>
              <w:jc w:val="left"/>
              <w:rPr>
                <w:rFonts w:ascii="Arial" w:hAnsi="Arial" w:cs="Arial"/>
                <w:color w:val="000000"/>
                <w:sz w:val="16"/>
                <w:szCs w:val="16"/>
              </w:rPr>
            </w:pPr>
            <w:r w:rsidRPr="00BE3D0E">
              <w:rPr>
                <w:rFonts w:ascii="Arial" w:hAnsi="Arial" w:cs="Arial"/>
                <w:color w:val="000000"/>
                <w:sz w:val="16"/>
                <w:szCs w:val="16"/>
              </w:rPr>
              <w:t> </w:t>
            </w:r>
          </w:p>
        </w:tc>
      </w:tr>
      <w:tr w:rsidR="00BE3D0E" w:rsidRPr="00BE3D0E" w14:paraId="6B6395EA" w14:textId="77777777" w:rsidTr="00BE3D0E">
        <w:trPr>
          <w:trHeight w:hRule="exact" w:val="225"/>
        </w:trPr>
        <w:tc>
          <w:tcPr>
            <w:tcW w:w="3464" w:type="pct"/>
            <w:tcBorders>
              <w:top w:val="nil"/>
              <w:left w:val="nil"/>
              <w:bottom w:val="nil"/>
              <w:right w:val="nil"/>
            </w:tcBorders>
            <w:shd w:val="clear" w:color="000000" w:fill="FFFFFF"/>
            <w:vAlign w:val="bottom"/>
            <w:hideMark/>
          </w:tcPr>
          <w:p w14:paraId="0D43962F" w14:textId="77777777" w:rsidR="00BE3D0E" w:rsidRPr="00BE3D0E" w:rsidRDefault="00BE3D0E" w:rsidP="00BE3D0E">
            <w:pPr>
              <w:spacing w:after="0" w:line="240" w:lineRule="auto"/>
              <w:ind w:left="170"/>
              <w:jc w:val="left"/>
              <w:rPr>
                <w:rFonts w:ascii="Arial" w:hAnsi="Arial" w:cs="Arial"/>
                <w:i/>
                <w:iCs/>
                <w:color w:val="000000"/>
                <w:sz w:val="16"/>
                <w:szCs w:val="16"/>
              </w:rPr>
            </w:pPr>
            <w:r w:rsidRPr="00BE3D0E">
              <w:rPr>
                <w:rFonts w:ascii="Arial" w:hAnsi="Arial" w:cs="Arial"/>
                <w:i/>
                <w:iCs/>
                <w:color w:val="000000"/>
                <w:sz w:val="16"/>
                <w:szCs w:val="16"/>
              </w:rPr>
              <w:t>Department of Finance</w:t>
            </w:r>
          </w:p>
        </w:tc>
        <w:tc>
          <w:tcPr>
            <w:tcW w:w="768" w:type="pct"/>
            <w:tcBorders>
              <w:top w:val="nil"/>
              <w:left w:val="nil"/>
              <w:bottom w:val="nil"/>
              <w:right w:val="nil"/>
            </w:tcBorders>
            <w:shd w:val="clear" w:color="000000" w:fill="FFFFFF"/>
            <w:vAlign w:val="bottom"/>
            <w:hideMark/>
          </w:tcPr>
          <w:p w14:paraId="74E534D4" w14:textId="77777777" w:rsidR="00BE3D0E" w:rsidRPr="00BE3D0E" w:rsidRDefault="00BE3D0E" w:rsidP="00BE3D0E">
            <w:pPr>
              <w:spacing w:after="0" w:line="240" w:lineRule="auto"/>
              <w:jc w:val="right"/>
              <w:rPr>
                <w:rFonts w:ascii="Arial" w:hAnsi="Arial" w:cs="Arial"/>
                <w:i/>
                <w:iCs/>
                <w:color w:val="000000"/>
                <w:sz w:val="16"/>
                <w:szCs w:val="16"/>
              </w:rPr>
            </w:pPr>
            <w:r w:rsidRPr="00BE3D0E">
              <w:rPr>
                <w:rFonts w:ascii="Arial" w:hAnsi="Arial" w:cs="Arial"/>
                <w:i/>
                <w:iCs/>
                <w:color w:val="000000"/>
                <w:sz w:val="16"/>
                <w:szCs w:val="16"/>
              </w:rPr>
              <w:t xml:space="preserve">2,191,177 </w:t>
            </w:r>
          </w:p>
        </w:tc>
        <w:tc>
          <w:tcPr>
            <w:tcW w:w="768" w:type="pct"/>
            <w:tcBorders>
              <w:top w:val="nil"/>
              <w:left w:val="nil"/>
              <w:bottom w:val="nil"/>
              <w:right w:val="nil"/>
            </w:tcBorders>
            <w:shd w:val="clear" w:color="000000" w:fill="E6E6E6"/>
            <w:vAlign w:val="bottom"/>
            <w:hideMark/>
          </w:tcPr>
          <w:p w14:paraId="1828AC38" w14:textId="77777777" w:rsidR="00BE3D0E" w:rsidRPr="00BE3D0E" w:rsidRDefault="00BE3D0E" w:rsidP="00BE3D0E">
            <w:pPr>
              <w:spacing w:after="0" w:line="240" w:lineRule="auto"/>
              <w:jc w:val="right"/>
              <w:rPr>
                <w:rFonts w:ascii="Arial" w:hAnsi="Arial" w:cs="Arial"/>
                <w:color w:val="000000"/>
                <w:sz w:val="16"/>
                <w:szCs w:val="16"/>
              </w:rPr>
            </w:pPr>
            <w:r w:rsidRPr="00BE3D0E">
              <w:rPr>
                <w:rFonts w:ascii="Arial" w:hAnsi="Arial" w:cs="Arial"/>
                <w:color w:val="000000"/>
                <w:sz w:val="16"/>
                <w:szCs w:val="16"/>
              </w:rPr>
              <w:t xml:space="preserve">1,286,744 </w:t>
            </w:r>
          </w:p>
        </w:tc>
      </w:tr>
      <w:tr w:rsidR="00BE3D0E" w:rsidRPr="00BE3D0E" w14:paraId="067DDD43" w14:textId="77777777" w:rsidTr="00BE3D0E">
        <w:trPr>
          <w:trHeight w:hRule="exact" w:val="225"/>
        </w:trPr>
        <w:tc>
          <w:tcPr>
            <w:tcW w:w="3464" w:type="pct"/>
            <w:tcBorders>
              <w:top w:val="nil"/>
              <w:left w:val="nil"/>
              <w:bottom w:val="nil"/>
              <w:right w:val="nil"/>
            </w:tcBorders>
            <w:shd w:val="clear" w:color="000000" w:fill="FFFFFF"/>
            <w:vAlign w:val="bottom"/>
            <w:hideMark/>
          </w:tcPr>
          <w:p w14:paraId="667B2D56" w14:textId="77777777" w:rsidR="00BE3D0E" w:rsidRPr="00BE3D0E" w:rsidRDefault="00BE3D0E" w:rsidP="00BE3D0E">
            <w:pPr>
              <w:spacing w:after="0" w:line="240" w:lineRule="auto"/>
              <w:ind w:left="170"/>
              <w:jc w:val="left"/>
              <w:rPr>
                <w:rFonts w:ascii="Arial" w:hAnsi="Arial" w:cs="Arial"/>
                <w:i/>
                <w:iCs/>
                <w:color w:val="000000"/>
                <w:sz w:val="16"/>
                <w:szCs w:val="16"/>
              </w:rPr>
            </w:pPr>
            <w:r w:rsidRPr="00BE3D0E">
              <w:rPr>
                <w:rFonts w:ascii="Arial" w:hAnsi="Arial" w:cs="Arial"/>
                <w:i/>
                <w:iCs/>
                <w:color w:val="000000"/>
                <w:sz w:val="16"/>
                <w:szCs w:val="16"/>
              </w:rPr>
              <w:t>Department of Agriculture, Water and Environment</w:t>
            </w:r>
          </w:p>
        </w:tc>
        <w:tc>
          <w:tcPr>
            <w:tcW w:w="768" w:type="pct"/>
            <w:tcBorders>
              <w:top w:val="nil"/>
              <w:left w:val="nil"/>
              <w:bottom w:val="nil"/>
              <w:right w:val="nil"/>
            </w:tcBorders>
            <w:shd w:val="clear" w:color="000000" w:fill="FFFFFF"/>
            <w:vAlign w:val="bottom"/>
            <w:hideMark/>
          </w:tcPr>
          <w:p w14:paraId="1E873BD9" w14:textId="77777777" w:rsidR="00BE3D0E" w:rsidRPr="00BE3D0E" w:rsidRDefault="00BE3D0E" w:rsidP="00BE3D0E">
            <w:pPr>
              <w:spacing w:after="0" w:line="240" w:lineRule="auto"/>
              <w:jc w:val="right"/>
              <w:rPr>
                <w:rFonts w:ascii="Arial" w:hAnsi="Arial" w:cs="Arial"/>
                <w:i/>
                <w:iCs/>
                <w:color w:val="000000"/>
                <w:sz w:val="16"/>
                <w:szCs w:val="16"/>
              </w:rPr>
            </w:pPr>
            <w:r w:rsidRPr="00BE3D0E">
              <w:rPr>
                <w:rFonts w:ascii="Arial" w:hAnsi="Arial" w:cs="Arial"/>
                <w:i/>
                <w:iCs/>
                <w:color w:val="000000"/>
                <w:sz w:val="16"/>
                <w:szCs w:val="16"/>
              </w:rPr>
              <w:t xml:space="preserve">38,467 </w:t>
            </w:r>
          </w:p>
        </w:tc>
        <w:tc>
          <w:tcPr>
            <w:tcW w:w="768" w:type="pct"/>
            <w:tcBorders>
              <w:top w:val="nil"/>
              <w:left w:val="nil"/>
              <w:bottom w:val="nil"/>
              <w:right w:val="nil"/>
            </w:tcBorders>
            <w:shd w:val="clear" w:color="000000" w:fill="E6E6E6"/>
            <w:vAlign w:val="bottom"/>
            <w:hideMark/>
          </w:tcPr>
          <w:p w14:paraId="450FB41F" w14:textId="77777777" w:rsidR="00BE3D0E" w:rsidRPr="00BE3D0E" w:rsidRDefault="00BE3D0E" w:rsidP="00BE3D0E">
            <w:pPr>
              <w:spacing w:after="0" w:line="240" w:lineRule="auto"/>
              <w:jc w:val="right"/>
              <w:rPr>
                <w:rFonts w:ascii="Arial" w:hAnsi="Arial" w:cs="Arial"/>
                <w:color w:val="000000"/>
                <w:sz w:val="16"/>
                <w:szCs w:val="16"/>
              </w:rPr>
            </w:pPr>
            <w:r w:rsidRPr="00BE3D0E">
              <w:rPr>
                <w:rFonts w:ascii="Arial" w:hAnsi="Arial" w:cs="Arial"/>
                <w:color w:val="000000"/>
                <w:sz w:val="16"/>
                <w:szCs w:val="16"/>
              </w:rPr>
              <w:t xml:space="preserve">30,467 </w:t>
            </w:r>
          </w:p>
        </w:tc>
      </w:tr>
      <w:tr w:rsidR="00BE3D0E" w:rsidRPr="00BE3D0E" w14:paraId="6EB88E24" w14:textId="77777777" w:rsidTr="00BE3D0E">
        <w:trPr>
          <w:trHeight w:hRule="exact" w:val="200"/>
        </w:trPr>
        <w:tc>
          <w:tcPr>
            <w:tcW w:w="3464" w:type="pct"/>
            <w:tcBorders>
              <w:top w:val="nil"/>
              <w:left w:val="nil"/>
              <w:bottom w:val="nil"/>
              <w:right w:val="nil"/>
            </w:tcBorders>
            <w:shd w:val="clear" w:color="000000" w:fill="FFFFFF"/>
            <w:vAlign w:val="bottom"/>
            <w:hideMark/>
          </w:tcPr>
          <w:p w14:paraId="259DF835" w14:textId="77777777" w:rsidR="00BE3D0E" w:rsidRPr="00BE3D0E" w:rsidRDefault="00BE3D0E" w:rsidP="00BE3D0E">
            <w:pPr>
              <w:spacing w:after="0" w:line="240" w:lineRule="auto"/>
              <w:jc w:val="left"/>
              <w:rPr>
                <w:rFonts w:ascii="Arial" w:hAnsi="Arial" w:cs="Arial"/>
                <w:color w:val="000000"/>
                <w:sz w:val="16"/>
                <w:szCs w:val="16"/>
              </w:rPr>
            </w:pPr>
            <w:r w:rsidRPr="00BE3D0E">
              <w:rPr>
                <w:rFonts w:ascii="Arial" w:hAnsi="Arial" w:cs="Arial"/>
                <w:color w:val="000000"/>
                <w:sz w:val="16"/>
                <w:szCs w:val="16"/>
              </w:rPr>
              <w:t xml:space="preserve">Payments made to corporate entities within the Portfolio </w:t>
            </w:r>
          </w:p>
        </w:tc>
        <w:tc>
          <w:tcPr>
            <w:tcW w:w="768" w:type="pct"/>
            <w:tcBorders>
              <w:top w:val="nil"/>
              <w:left w:val="nil"/>
              <w:bottom w:val="nil"/>
              <w:right w:val="nil"/>
            </w:tcBorders>
            <w:shd w:val="clear" w:color="000000" w:fill="FFFFFF"/>
            <w:vAlign w:val="bottom"/>
            <w:hideMark/>
          </w:tcPr>
          <w:p w14:paraId="3847CAD1" w14:textId="77777777" w:rsidR="00BE3D0E" w:rsidRPr="00BE3D0E" w:rsidRDefault="00BE3D0E" w:rsidP="00BE3D0E">
            <w:pPr>
              <w:spacing w:after="0" w:line="240" w:lineRule="auto"/>
              <w:jc w:val="left"/>
              <w:rPr>
                <w:rFonts w:ascii="Arial" w:hAnsi="Arial" w:cs="Arial"/>
                <w:i/>
                <w:iCs/>
                <w:color w:val="000000"/>
                <w:sz w:val="16"/>
                <w:szCs w:val="16"/>
              </w:rPr>
            </w:pPr>
            <w:r w:rsidRPr="00BE3D0E">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53C8B4B" w14:textId="77777777" w:rsidR="00BE3D0E" w:rsidRPr="00BE3D0E" w:rsidRDefault="00BE3D0E" w:rsidP="00BE3D0E">
            <w:pPr>
              <w:spacing w:after="0" w:line="240" w:lineRule="auto"/>
              <w:jc w:val="left"/>
              <w:rPr>
                <w:rFonts w:ascii="Arial" w:hAnsi="Arial" w:cs="Arial"/>
                <w:color w:val="000000"/>
                <w:sz w:val="16"/>
                <w:szCs w:val="16"/>
              </w:rPr>
            </w:pPr>
            <w:r w:rsidRPr="00BE3D0E">
              <w:rPr>
                <w:rFonts w:ascii="Arial" w:hAnsi="Arial" w:cs="Arial"/>
                <w:color w:val="000000"/>
                <w:sz w:val="16"/>
                <w:szCs w:val="16"/>
              </w:rPr>
              <w:t> </w:t>
            </w:r>
          </w:p>
        </w:tc>
      </w:tr>
      <w:tr w:rsidR="00BE3D0E" w:rsidRPr="00BE3D0E" w14:paraId="6890838B" w14:textId="77777777" w:rsidTr="00AC716E">
        <w:trPr>
          <w:trHeight w:hRule="exact" w:val="304"/>
        </w:trPr>
        <w:tc>
          <w:tcPr>
            <w:tcW w:w="3464" w:type="pct"/>
            <w:tcBorders>
              <w:top w:val="nil"/>
              <w:left w:val="nil"/>
              <w:bottom w:val="single" w:sz="4" w:space="0" w:color="auto"/>
              <w:right w:val="nil"/>
            </w:tcBorders>
            <w:shd w:val="clear" w:color="000000" w:fill="FFFFFF"/>
            <w:vAlign w:val="bottom"/>
            <w:hideMark/>
          </w:tcPr>
          <w:p w14:paraId="3931E960" w14:textId="229D43B2" w:rsidR="00BE3D0E" w:rsidRPr="00BE3D0E" w:rsidRDefault="00BE3D0E" w:rsidP="00BE3D0E">
            <w:pPr>
              <w:spacing w:after="0" w:line="240" w:lineRule="auto"/>
              <w:ind w:left="170"/>
              <w:jc w:val="left"/>
              <w:rPr>
                <w:rFonts w:ascii="Arial" w:hAnsi="Arial" w:cs="Arial"/>
                <w:i/>
                <w:iCs/>
                <w:color w:val="000000"/>
                <w:sz w:val="16"/>
                <w:szCs w:val="16"/>
              </w:rPr>
            </w:pPr>
            <w:r w:rsidRPr="00BE3D0E">
              <w:rPr>
                <w:rFonts w:ascii="Arial" w:hAnsi="Arial" w:cs="Arial"/>
                <w:i/>
                <w:iCs/>
                <w:color w:val="000000"/>
                <w:sz w:val="16"/>
                <w:szCs w:val="16"/>
              </w:rPr>
              <w:t xml:space="preserve"> </w:t>
            </w:r>
            <w:r w:rsidR="0049392C" w:rsidRPr="0049392C">
              <w:rPr>
                <w:rFonts w:ascii="Arial" w:hAnsi="Arial" w:cs="Arial"/>
                <w:i/>
                <w:iCs/>
                <w:color w:val="000000"/>
                <w:sz w:val="16"/>
                <w:szCs w:val="16"/>
              </w:rPr>
              <w:t xml:space="preserve">National Housing Finance and Investment Corporation </w:t>
            </w:r>
          </w:p>
        </w:tc>
        <w:tc>
          <w:tcPr>
            <w:tcW w:w="768" w:type="pct"/>
            <w:tcBorders>
              <w:top w:val="nil"/>
              <w:left w:val="nil"/>
              <w:bottom w:val="single" w:sz="4" w:space="0" w:color="auto"/>
              <w:right w:val="nil"/>
            </w:tcBorders>
            <w:shd w:val="clear" w:color="000000" w:fill="FFFFFF"/>
            <w:vAlign w:val="bottom"/>
            <w:hideMark/>
          </w:tcPr>
          <w:p w14:paraId="4AD2C9BD" w14:textId="77777777" w:rsidR="00BE3D0E" w:rsidRPr="00BE3D0E" w:rsidRDefault="00BE3D0E" w:rsidP="00BE3D0E">
            <w:pPr>
              <w:spacing w:after="0" w:line="240" w:lineRule="auto"/>
              <w:jc w:val="right"/>
              <w:rPr>
                <w:rFonts w:ascii="Arial" w:hAnsi="Arial" w:cs="Arial"/>
                <w:i/>
                <w:iCs/>
                <w:color w:val="000000"/>
                <w:sz w:val="16"/>
                <w:szCs w:val="16"/>
              </w:rPr>
            </w:pPr>
            <w:r w:rsidRPr="00BE3D0E">
              <w:rPr>
                <w:rFonts w:ascii="Arial" w:hAnsi="Arial" w:cs="Arial"/>
                <w:i/>
                <w:iCs/>
                <w:color w:val="000000"/>
                <w:sz w:val="16"/>
                <w:szCs w:val="16"/>
              </w:rPr>
              <w:t xml:space="preserve">39,939 </w:t>
            </w:r>
          </w:p>
        </w:tc>
        <w:tc>
          <w:tcPr>
            <w:tcW w:w="768" w:type="pct"/>
            <w:tcBorders>
              <w:top w:val="nil"/>
              <w:left w:val="nil"/>
              <w:bottom w:val="single" w:sz="4" w:space="0" w:color="auto"/>
              <w:right w:val="nil"/>
            </w:tcBorders>
            <w:shd w:val="clear" w:color="000000" w:fill="E6E6E6"/>
            <w:vAlign w:val="bottom"/>
            <w:hideMark/>
          </w:tcPr>
          <w:p w14:paraId="1392248A" w14:textId="77777777" w:rsidR="00BE3D0E" w:rsidRPr="00BE3D0E" w:rsidRDefault="00BE3D0E" w:rsidP="00BE3D0E">
            <w:pPr>
              <w:spacing w:after="0" w:line="240" w:lineRule="auto"/>
              <w:jc w:val="right"/>
              <w:rPr>
                <w:rFonts w:ascii="Arial" w:hAnsi="Arial" w:cs="Arial"/>
                <w:color w:val="000000"/>
                <w:sz w:val="16"/>
                <w:szCs w:val="16"/>
              </w:rPr>
            </w:pPr>
            <w:r w:rsidRPr="00BE3D0E">
              <w:rPr>
                <w:rFonts w:ascii="Arial" w:hAnsi="Arial" w:cs="Arial"/>
                <w:color w:val="000000"/>
                <w:sz w:val="16"/>
                <w:szCs w:val="16"/>
              </w:rPr>
              <w:t xml:space="preserve">41,416 </w:t>
            </w:r>
          </w:p>
        </w:tc>
      </w:tr>
    </w:tbl>
    <w:p w14:paraId="671977B7" w14:textId="6D358547" w:rsidR="00CB2844" w:rsidRPr="00CB2844" w:rsidRDefault="00CB2844" w:rsidP="00B821F7">
      <w:pPr>
        <w:pStyle w:val="ChartandTableFootnote"/>
      </w:pPr>
      <w:bookmarkStart w:id="17" w:name="_Toc190682311"/>
      <w:bookmarkStart w:id="18" w:name="_Toc190682529"/>
      <w:r w:rsidRPr="00696AA8">
        <w:t xml:space="preserve">All figures shown above are GST exclusive </w:t>
      </w:r>
      <w:r w:rsidR="003532AB">
        <w:t>–</w:t>
      </w:r>
      <w:r w:rsidRPr="00696AA8">
        <w:t xml:space="preserve"> these may not match figures in the cash flow statement.</w:t>
      </w:r>
    </w:p>
    <w:p w14:paraId="57128A29" w14:textId="74AA1502" w:rsidR="00CB2844" w:rsidRDefault="00CB2844" w:rsidP="00CB2844">
      <w:pPr>
        <w:pStyle w:val="ChartandTableFootnote"/>
      </w:pPr>
      <w:r>
        <w:t>Prepared on a resourcing (</w:t>
      </w:r>
      <w:r>
        <w:rPr>
          <w:lang w:val="en-AU"/>
        </w:rPr>
        <w:t>that is,</w:t>
      </w:r>
      <w:r>
        <w:t xml:space="preserve"> appropriations available) basis.</w:t>
      </w:r>
    </w:p>
    <w:p w14:paraId="586A5190" w14:textId="03092DBB" w:rsidR="00B26F23" w:rsidRPr="00B26F23" w:rsidRDefault="00B26F23" w:rsidP="009546F4">
      <w:pPr>
        <w:pStyle w:val="ChartandTableFootnoteAlpha"/>
      </w:pPr>
      <w:r w:rsidRPr="00B26F23">
        <w:t>Appropriation Bill (No. 1) 2022</w:t>
      </w:r>
      <w:r w:rsidR="00B33758">
        <w:noBreakHyphen/>
      </w:r>
      <w:r w:rsidRPr="00B26F23">
        <w:t>23.</w:t>
      </w:r>
      <w:r w:rsidRPr="00B26F23">
        <w:tab/>
      </w:r>
      <w:r w:rsidRPr="00B26F23">
        <w:tab/>
      </w:r>
    </w:p>
    <w:p w14:paraId="01C7F408" w14:textId="04233513" w:rsidR="00B26F23" w:rsidRPr="00B26F23" w:rsidRDefault="00BF4C99" w:rsidP="009546F4">
      <w:pPr>
        <w:pStyle w:val="ChartandTableFootnoteAlpha"/>
      </w:pPr>
      <w:r w:rsidRPr="00B26F23">
        <w:t>$3.676 million</w:t>
      </w:r>
      <w:r>
        <w:t xml:space="preserve"> (Departmental) and </w:t>
      </w:r>
      <w:r w:rsidRPr="00964105">
        <w:t xml:space="preserve">$47.966 million </w:t>
      </w:r>
      <w:r>
        <w:t>(Administered)</w:t>
      </w:r>
      <w:r w:rsidRPr="00B26F23">
        <w:t xml:space="preserve"> will be received through the 2021</w:t>
      </w:r>
      <w:r w:rsidR="00B33758">
        <w:noBreakHyphen/>
      </w:r>
      <w:r w:rsidRPr="00B26F23">
        <w:t>22 Annual Appropriation Bill No.3</w:t>
      </w:r>
      <w:r>
        <w:t xml:space="preserve">, </w:t>
      </w:r>
      <w:r w:rsidRPr="00964105">
        <w:t>and $6.153 million</w:t>
      </w:r>
      <w:r>
        <w:t xml:space="preserve"> (Administered)</w:t>
      </w:r>
      <w:r w:rsidRPr="00964105">
        <w:t xml:space="preserve"> will be received through 2021</w:t>
      </w:r>
      <w:r w:rsidR="00B33758">
        <w:noBreakHyphen/>
      </w:r>
      <w:r w:rsidRPr="00964105">
        <w:t>22 Annual Appropriation Bill No.4.</w:t>
      </w:r>
      <w:r w:rsidRPr="00B26F23">
        <w:t xml:space="preserve"> The annual appropriations received from these bills will be recognised in a future Portfolio Budget Statement but only after the Bills have received Royal Assent.</w:t>
      </w:r>
      <w:r w:rsidRPr="00B26F23">
        <w:tab/>
      </w:r>
    </w:p>
    <w:p w14:paraId="6EE98DE7" w14:textId="5045E6E7" w:rsidR="00B26F23" w:rsidRPr="00B26F23" w:rsidRDefault="00B26F23" w:rsidP="009546F4">
      <w:pPr>
        <w:pStyle w:val="ChartandTableFootnoteAlpha"/>
      </w:pPr>
      <w:r w:rsidRPr="00B26F23">
        <w:t>Estimated External Revenue receipts under section 74 of the PGPA Act.</w:t>
      </w:r>
    </w:p>
    <w:p w14:paraId="10F5BD33" w14:textId="2D13EB04" w:rsidR="00B26F23" w:rsidRPr="00B26F23" w:rsidRDefault="00B26F23" w:rsidP="009546F4">
      <w:pPr>
        <w:pStyle w:val="ChartandTableFootnoteAlpha"/>
      </w:pPr>
      <w:r w:rsidRPr="00B26F23">
        <w:t xml:space="preserve">Departmental capital budgets are not separately identified in Appropriation Bill (No.1) and form part of ordinary annual services items. Please refer to Table 3.5 for further details. For accounting purposes, this amount has been designated as a </w:t>
      </w:r>
      <w:r w:rsidR="00B33758">
        <w:t>‘</w:t>
      </w:r>
      <w:r w:rsidRPr="00B26F23">
        <w:t>contribution by owner</w:t>
      </w:r>
      <w:r w:rsidR="00B33758">
        <w:t>’</w:t>
      </w:r>
      <w:r w:rsidRPr="00B26F23">
        <w:t>.</w:t>
      </w:r>
      <w:r w:rsidRPr="00B26F23">
        <w:tab/>
      </w:r>
      <w:r w:rsidRPr="00B26F23">
        <w:tab/>
      </w:r>
    </w:p>
    <w:p w14:paraId="3E6815AF" w14:textId="09DB568F" w:rsidR="00B26F23" w:rsidRPr="00B26F23" w:rsidRDefault="00B26F23" w:rsidP="009546F4">
      <w:pPr>
        <w:pStyle w:val="ChartandTableFootnoteAlpha"/>
      </w:pPr>
      <w:r w:rsidRPr="00B26F23">
        <w:t>Appropriation Bill (No. 2) 2022</w:t>
      </w:r>
      <w:r w:rsidR="00B33758">
        <w:noBreakHyphen/>
      </w:r>
      <w:r w:rsidRPr="00B26F23">
        <w:t>23.</w:t>
      </w:r>
      <w:r w:rsidRPr="00B26F23">
        <w:tab/>
      </w:r>
      <w:r w:rsidRPr="00B26F23">
        <w:tab/>
      </w:r>
    </w:p>
    <w:p w14:paraId="3A14B158" w14:textId="58B15925" w:rsidR="00B26F23" w:rsidRPr="00B26F23" w:rsidRDefault="00B26F23" w:rsidP="009546F4">
      <w:pPr>
        <w:pStyle w:val="ChartandTableFootnoteAlpha"/>
      </w:pPr>
      <w:r w:rsidRPr="00B26F23">
        <w:t xml:space="preserve">Excludes trust moneys held in Services for Other Entities and Trust Moneys (SOETM) and other special accounts. For further information on special accounts, please refer to Budget Paper No. 4 </w:t>
      </w:r>
      <w:r w:rsidR="003532AB">
        <w:t>–</w:t>
      </w:r>
      <w:r w:rsidRPr="00B26F23">
        <w:t xml:space="preserve"> Agency Resourcing. Please also see Table 2.1 for further information on outcome and program expenses broken down by various funding sources, </w:t>
      </w:r>
      <w:proofErr w:type="gramStart"/>
      <w:r w:rsidRPr="00B26F23">
        <w:t>e.g.</w:t>
      </w:r>
      <w:proofErr w:type="gramEnd"/>
      <w:r w:rsidRPr="00B26F23">
        <w:t xml:space="preserve"> annual appropriations, special appropriations and special accounts. </w:t>
      </w:r>
    </w:p>
    <w:p w14:paraId="2F84097E" w14:textId="77777777" w:rsidR="0008449F" w:rsidRPr="005A7C0B" w:rsidRDefault="00E06F9F" w:rsidP="00AD42E2">
      <w:pPr>
        <w:pStyle w:val="Heading3"/>
        <w:spacing w:before="0"/>
      </w:pPr>
      <w:r>
        <w:br w:type="page"/>
      </w:r>
      <w:bookmarkStart w:id="19" w:name="_Toc444523511"/>
      <w:bookmarkStart w:id="20" w:name="_Toc98941812"/>
      <w:r w:rsidR="0008449F" w:rsidRPr="005A7C0B">
        <w:lastRenderedPageBreak/>
        <w:t>1.3</w:t>
      </w:r>
      <w:r w:rsidR="0008449F" w:rsidRPr="005A7C0B">
        <w:tab/>
        <w:t>Budget measures</w:t>
      </w:r>
      <w:bookmarkEnd w:id="17"/>
      <w:bookmarkEnd w:id="18"/>
      <w:bookmarkEnd w:id="19"/>
      <w:bookmarkEnd w:id="20"/>
    </w:p>
    <w:p w14:paraId="776D009C" w14:textId="16BA3B8F" w:rsidR="00F20B6E" w:rsidRDefault="00DC32EC" w:rsidP="0008449F">
      <w:r w:rsidRPr="00DC32EC">
        <w:t xml:space="preserve">Budget measures </w:t>
      </w:r>
      <w:r w:rsidR="005C4BEE">
        <w:t xml:space="preserve">in Part 1 </w:t>
      </w:r>
      <w:r w:rsidRPr="00DC32EC">
        <w:t>relating to</w:t>
      </w:r>
      <w:r w:rsidR="001B03CC">
        <w:t xml:space="preserve"> </w:t>
      </w:r>
      <w:r w:rsidR="00B72380">
        <w:t>Treasury</w:t>
      </w:r>
      <w:r w:rsidRPr="00DC32EC">
        <w:t xml:space="preserve"> a</w:t>
      </w:r>
      <w:r w:rsidR="00CB4589">
        <w:t>re detailed in Budget Paper No. </w:t>
      </w:r>
      <w:r w:rsidRPr="00DC32EC">
        <w:t>2</w:t>
      </w:r>
      <w:r w:rsidR="00C2641F">
        <w:t xml:space="preserve"> and are summarised </w:t>
      </w:r>
      <w:r w:rsidR="002C7703">
        <w:t>below</w:t>
      </w:r>
      <w:r w:rsidR="003D4188">
        <w:t>.</w:t>
      </w:r>
    </w:p>
    <w:p w14:paraId="2BBD58B5" w14:textId="2C058A89" w:rsidR="00AF3811" w:rsidRPr="0049392C" w:rsidRDefault="00AF3811" w:rsidP="00E5444F">
      <w:pPr>
        <w:pStyle w:val="TableHeading"/>
      </w:pPr>
      <w:r w:rsidRPr="0049392C">
        <w:t xml:space="preserve">Table 1.2: </w:t>
      </w:r>
      <w:r w:rsidR="007E6BBD" w:rsidRPr="0049392C">
        <w:t xml:space="preserve">Entity </w:t>
      </w:r>
      <w:r w:rsidR="00400A8B" w:rsidRPr="0049392C">
        <w:rPr>
          <w:lang w:val="en-AU"/>
        </w:rPr>
        <w:t>2022</w:t>
      </w:r>
      <w:r w:rsidR="00B33758">
        <w:rPr>
          <w:lang w:val="en-AU"/>
        </w:rPr>
        <w:noBreakHyphen/>
      </w:r>
      <w:r w:rsidR="00400A8B" w:rsidRPr="0049392C">
        <w:rPr>
          <w:lang w:val="en-AU"/>
        </w:rPr>
        <w:t xml:space="preserve">23 </w:t>
      </w:r>
      <w:r w:rsidRPr="0049392C">
        <w:t>Budget measures</w:t>
      </w:r>
    </w:p>
    <w:p w14:paraId="3D0EDA11" w14:textId="659055B9" w:rsidR="006C211B" w:rsidRDefault="00C65397" w:rsidP="006C211B">
      <w:pPr>
        <w:pStyle w:val="TableGraphic"/>
        <w:jc w:val="left"/>
        <w:rPr>
          <w:rFonts w:ascii="Times New Roman" w:hAnsi="Times New Roman"/>
        </w:rPr>
      </w:pPr>
      <w:r w:rsidRPr="0049392C">
        <w:rPr>
          <w:rFonts w:ascii="Arial Bold" w:hAnsi="Arial Bold"/>
          <w:b/>
        </w:rPr>
        <w:t xml:space="preserve">Part 1: </w:t>
      </w:r>
      <w:r w:rsidR="007F6CAD" w:rsidRPr="0049392C">
        <w:rPr>
          <w:rFonts w:ascii="Arial Bold" w:hAnsi="Arial Bold"/>
          <w:b/>
        </w:rPr>
        <w:t xml:space="preserve">Measures announced </w:t>
      </w:r>
      <w:r w:rsidR="00FC6CF3" w:rsidRPr="0049392C">
        <w:rPr>
          <w:rFonts w:ascii="Arial Bold" w:hAnsi="Arial Bold"/>
          <w:b/>
        </w:rPr>
        <w:t xml:space="preserve">since </w:t>
      </w:r>
      <w:r w:rsidR="007F6CAD" w:rsidRPr="0049392C">
        <w:rPr>
          <w:rFonts w:ascii="Arial Bold" w:hAnsi="Arial Bold"/>
          <w:b/>
        </w:rPr>
        <w:t xml:space="preserve">the </w:t>
      </w:r>
      <w:r w:rsidR="00400A8B" w:rsidRPr="0049392C">
        <w:rPr>
          <w:rFonts w:ascii="Arial Bold" w:hAnsi="Arial Bold"/>
          <w:b/>
        </w:rPr>
        <w:t>202</w:t>
      </w:r>
      <w:r w:rsidR="002E59C4" w:rsidRPr="0049392C">
        <w:rPr>
          <w:rFonts w:ascii="Arial Bold" w:hAnsi="Arial Bold"/>
          <w:b/>
        </w:rPr>
        <w:t>1</w:t>
      </w:r>
      <w:r w:rsidR="00B33758">
        <w:rPr>
          <w:rFonts w:ascii="Arial Bold" w:hAnsi="Arial Bold"/>
          <w:b/>
        </w:rPr>
        <w:noBreakHyphen/>
      </w:r>
      <w:r w:rsidR="002E59C4" w:rsidRPr="0049392C">
        <w:rPr>
          <w:rFonts w:ascii="Arial Bold" w:hAnsi="Arial Bold"/>
          <w:b/>
        </w:rPr>
        <w:t xml:space="preserve">22 </w:t>
      </w:r>
      <w:r w:rsidR="00FC6CF3" w:rsidRPr="0049392C">
        <w:rPr>
          <w:rFonts w:ascii="Arial Bold" w:hAnsi="Arial Bold"/>
          <w:b/>
        </w:rPr>
        <w:t>Mid</w:t>
      </w:r>
      <w:r w:rsidR="00B33758">
        <w:rPr>
          <w:rFonts w:ascii="Arial Bold" w:hAnsi="Arial Bold"/>
          <w:b/>
        </w:rPr>
        <w:noBreakHyphen/>
      </w:r>
      <w:r w:rsidR="00FC6CF3" w:rsidRPr="0049392C">
        <w:rPr>
          <w:rFonts w:ascii="Arial Bold" w:hAnsi="Arial Bold"/>
          <w:b/>
        </w:rPr>
        <w:t>Year Economic and Fiscal Outlook (MYEFO)</w:t>
      </w:r>
    </w:p>
    <w:tbl>
      <w:tblPr>
        <w:tblW w:w="5000" w:type="pct"/>
        <w:tblCellMar>
          <w:left w:w="0" w:type="dxa"/>
          <w:right w:w="28" w:type="dxa"/>
        </w:tblCellMar>
        <w:tblLook w:val="04A0" w:firstRow="1" w:lastRow="0" w:firstColumn="1" w:lastColumn="0" w:noHBand="0" w:noVBand="1"/>
      </w:tblPr>
      <w:tblGrid>
        <w:gridCol w:w="2570"/>
        <w:gridCol w:w="740"/>
        <w:gridCol w:w="891"/>
        <w:gridCol w:w="891"/>
        <w:gridCol w:w="873"/>
        <w:gridCol w:w="873"/>
        <w:gridCol w:w="873"/>
      </w:tblGrid>
      <w:tr w:rsidR="006C211B" w:rsidRPr="006C211B" w14:paraId="5EEBC27C" w14:textId="77777777" w:rsidTr="006C211B">
        <w:trPr>
          <w:trHeight w:hRule="exact" w:val="450"/>
        </w:trPr>
        <w:tc>
          <w:tcPr>
            <w:tcW w:w="1672" w:type="pct"/>
            <w:tcBorders>
              <w:top w:val="single" w:sz="4" w:space="0" w:color="auto"/>
              <w:left w:val="nil"/>
              <w:bottom w:val="nil"/>
              <w:right w:val="nil"/>
            </w:tcBorders>
            <w:shd w:val="clear" w:color="auto" w:fill="auto"/>
            <w:noWrap/>
            <w:vAlign w:val="bottom"/>
            <w:hideMark/>
          </w:tcPr>
          <w:p w14:paraId="4B1143E5" w14:textId="3D2484FE"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486" w:type="pct"/>
            <w:tcBorders>
              <w:top w:val="single" w:sz="4" w:space="0" w:color="auto"/>
              <w:left w:val="nil"/>
              <w:bottom w:val="single" w:sz="4" w:space="0" w:color="auto"/>
              <w:right w:val="nil"/>
            </w:tcBorders>
            <w:shd w:val="clear" w:color="auto" w:fill="auto"/>
            <w:noWrap/>
            <w:vAlign w:val="bottom"/>
            <w:hideMark/>
          </w:tcPr>
          <w:p w14:paraId="70667A4F"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Program</w:t>
            </w:r>
          </w:p>
        </w:tc>
        <w:tc>
          <w:tcPr>
            <w:tcW w:w="568" w:type="pct"/>
            <w:tcBorders>
              <w:top w:val="single" w:sz="4" w:space="0" w:color="auto"/>
              <w:left w:val="nil"/>
              <w:bottom w:val="single" w:sz="4" w:space="0" w:color="auto"/>
              <w:right w:val="nil"/>
            </w:tcBorders>
            <w:shd w:val="clear" w:color="000000" w:fill="E6E6E6"/>
            <w:vAlign w:val="bottom"/>
            <w:hideMark/>
          </w:tcPr>
          <w:p w14:paraId="266F2BE7" w14:textId="3303A584"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2021</w:t>
            </w:r>
            <w:r w:rsidR="00B33758">
              <w:rPr>
                <w:rFonts w:ascii="Arial" w:hAnsi="Arial" w:cs="Arial"/>
                <w:sz w:val="16"/>
                <w:szCs w:val="16"/>
              </w:rPr>
              <w:noBreakHyphen/>
            </w:r>
            <w:r w:rsidRPr="006C211B">
              <w:rPr>
                <w:rFonts w:ascii="Arial" w:hAnsi="Arial" w:cs="Arial"/>
                <w:sz w:val="16"/>
                <w:szCs w:val="16"/>
              </w:rPr>
              <w:t>22</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11F3F27F" w14:textId="27880832"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2022</w:t>
            </w:r>
            <w:r w:rsidR="00B33758">
              <w:rPr>
                <w:rFonts w:ascii="Arial" w:hAnsi="Arial" w:cs="Arial"/>
                <w:sz w:val="16"/>
                <w:szCs w:val="16"/>
              </w:rPr>
              <w:noBreakHyphen/>
            </w:r>
            <w:r w:rsidRPr="006C211B">
              <w:rPr>
                <w:rFonts w:ascii="Arial" w:hAnsi="Arial" w:cs="Arial"/>
                <w:sz w:val="16"/>
                <w:szCs w:val="16"/>
              </w:rPr>
              <w:t>23</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56AAA0BE" w14:textId="641AD05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2023</w:t>
            </w:r>
            <w:r w:rsidR="00B33758">
              <w:rPr>
                <w:rFonts w:ascii="Arial" w:hAnsi="Arial" w:cs="Arial"/>
                <w:sz w:val="16"/>
                <w:szCs w:val="16"/>
              </w:rPr>
              <w:noBreakHyphen/>
            </w:r>
            <w:r w:rsidRPr="006C211B">
              <w:rPr>
                <w:rFonts w:ascii="Arial" w:hAnsi="Arial" w:cs="Arial"/>
                <w:sz w:val="16"/>
                <w:szCs w:val="16"/>
              </w:rPr>
              <w:t>24</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6AE5721C" w14:textId="6C625D7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2024</w:t>
            </w:r>
            <w:r w:rsidR="00B33758">
              <w:rPr>
                <w:rFonts w:ascii="Arial" w:hAnsi="Arial" w:cs="Arial"/>
                <w:sz w:val="16"/>
                <w:szCs w:val="16"/>
              </w:rPr>
              <w:noBreakHyphen/>
            </w:r>
            <w:r w:rsidRPr="006C211B">
              <w:rPr>
                <w:rFonts w:ascii="Arial" w:hAnsi="Arial" w:cs="Arial"/>
                <w:sz w:val="16"/>
                <w:szCs w:val="16"/>
              </w:rPr>
              <w:t>25</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7F579B3F" w14:textId="512FCF98"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2025</w:t>
            </w:r>
            <w:r w:rsidR="00B33758">
              <w:rPr>
                <w:rFonts w:ascii="Arial" w:hAnsi="Arial" w:cs="Arial"/>
                <w:sz w:val="16"/>
                <w:szCs w:val="16"/>
              </w:rPr>
              <w:noBreakHyphen/>
            </w:r>
            <w:r w:rsidRPr="006C211B">
              <w:rPr>
                <w:rFonts w:ascii="Arial" w:hAnsi="Arial" w:cs="Arial"/>
                <w:sz w:val="16"/>
                <w:szCs w:val="16"/>
              </w:rPr>
              <w:t>26</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r>
      <w:tr w:rsidR="006C211B" w:rsidRPr="006C211B" w14:paraId="78AE38B5" w14:textId="77777777" w:rsidTr="006C211B">
        <w:trPr>
          <w:trHeight w:hRule="exact" w:val="240"/>
        </w:trPr>
        <w:tc>
          <w:tcPr>
            <w:tcW w:w="1672" w:type="pct"/>
            <w:tcBorders>
              <w:top w:val="nil"/>
              <w:left w:val="nil"/>
              <w:bottom w:val="nil"/>
              <w:right w:val="nil"/>
            </w:tcBorders>
            <w:shd w:val="clear" w:color="auto" w:fill="auto"/>
            <w:vAlign w:val="bottom"/>
            <w:hideMark/>
          </w:tcPr>
          <w:p w14:paraId="1590FFF7" w14:textId="77777777" w:rsidR="006C211B" w:rsidRPr="006C211B" w:rsidRDefault="006C211B" w:rsidP="006C211B">
            <w:pPr>
              <w:spacing w:after="0" w:line="240" w:lineRule="auto"/>
              <w:jc w:val="left"/>
              <w:rPr>
                <w:rFonts w:ascii="Arial" w:hAnsi="Arial" w:cs="Arial"/>
                <w:b/>
                <w:bCs/>
                <w:sz w:val="16"/>
                <w:szCs w:val="16"/>
              </w:rPr>
            </w:pPr>
            <w:r w:rsidRPr="006C211B">
              <w:rPr>
                <w:rFonts w:ascii="Arial" w:hAnsi="Arial" w:cs="Arial"/>
                <w:b/>
                <w:bCs/>
                <w:sz w:val="16"/>
                <w:szCs w:val="16"/>
              </w:rPr>
              <w:t>Payment measures</w:t>
            </w:r>
          </w:p>
        </w:tc>
        <w:tc>
          <w:tcPr>
            <w:tcW w:w="486" w:type="pct"/>
            <w:tcBorders>
              <w:top w:val="nil"/>
              <w:left w:val="nil"/>
              <w:bottom w:val="nil"/>
              <w:right w:val="nil"/>
            </w:tcBorders>
            <w:shd w:val="clear" w:color="auto" w:fill="auto"/>
            <w:noWrap/>
            <w:vAlign w:val="bottom"/>
            <w:hideMark/>
          </w:tcPr>
          <w:p w14:paraId="76B8764D" w14:textId="77777777" w:rsidR="006C211B" w:rsidRPr="006C211B" w:rsidRDefault="006C211B" w:rsidP="006C211B">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1D9F646E"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6DC9E91"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8BBC28B"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6232C3B"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E64B630"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r>
      <w:tr w:rsidR="006C211B" w:rsidRPr="006C211B" w14:paraId="7687CD49" w14:textId="77777777" w:rsidTr="006C211B">
        <w:trPr>
          <w:trHeight w:hRule="exact" w:val="675"/>
        </w:trPr>
        <w:tc>
          <w:tcPr>
            <w:tcW w:w="1672" w:type="pct"/>
            <w:tcBorders>
              <w:top w:val="nil"/>
              <w:left w:val="nil"/>
              <w:bottom w:val="nil"/>
              <w:right w:val="nil"/>
            </w:tcBorders>
            <w:shd w:val="clear" w:color="auto" w:fill="auto"/>
            <w:vAlign w:val="bottom"/>
            <w:hideMark/>
          </w:tcPr>
          <w:p w14:paraId="4EC27FE6"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Addressing Cost of Living Pressures – Temporary Reduction in Fuel Excise</w:t>
            </w:r>
          </w:p>
        </w:tc>
        <w:tc>
          <w:tcPr>
            <w:tcW w:w="486" w:type="pct"/>
            <w:tcBorders>
              <w:top w:val="nil"/>
              <w:left w:val="nil"/>
              <w:bottom w:val="nil"/>
              <w:right w:val="nil"/>
            </w:tcBorders>
            <w:shd w:val="clear" w:color="auto" w:fill="auto"/>
            <w:noWrap/>
            <w:vAlign w:val="bottom"/>
            <w:hideMark/>
          </w:tcPr>
          <w:p w14:paraId="16B1760C"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1.4</w:t>
            </w:r>
          </w:p>
        </w:tc>
        <w:tc>
          <w:tcPr>
            <w:tcW w:w="568" w:type="pct"/>
            <w:tcBorders>
              <w:top w:val="nil"/>
              <w:left w:val="nil"/>
              <w:bottom w:val="nil"/>
              <w:right w:val="nil"/>
            </w:tcBorders>
            <w:shd w:val="clear" w:color="000000" w:fill="E6E6E6"/>
            <w:noWrap/>
            <w:vAlign w:val="bottom"/>
            <w:hideMark/>
          </w:tcPr>
          <w:p w14:paraId="310A558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47F9AC4"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E614E0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5FB7A6C"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B94623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D43F61E"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2DB6167"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45349E3C"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EA73A4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(65,000)</w:t>
            </w:r>
          </w:p>
        </w:tc>
        <w:tc>
          <w:tcPr>
            <w:tcW w:w="568" w:type="pct"/>
            <w:tcBorders>
              <w:top w:val="nil"/>
              <w:left w:val="nil"/>
              <w:bottom w:val="nil"/>
              <w:right w:val="nil"/>
            </w:tcBorders>
            <w:shd w:val="clear" w:color="auto" w:fill="auto"/>
            <w:noWrap/>
            <w:vAlign w:val="bottom"/>
            <w:hideMark/>
          </w:tcPr>
          <w:p w14:paraId="40730DB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(130,000)</w:t>
            </w:r>
          </w:p>
        </w:tc>
        <w:tc>
          <w:tcPr>
            <w:tcW w:w="568" w:type="pct"/>
            <w:tcBorders>
              <w:top w:val="nil"/>
              <w:left w:val="nil"/>
              <w:bottom w:val="nil"/>
              <w:right w:val="nil"/>
            </w:tcBorders>
            <w:shd w:val="clear" w:color="000000" w:fill="E6E6E6"/>
            <w:noWrap/>
            <w:vAlign w:val="bottom"/>
            <w:hideMark/>
          </w:tcPr>
          <w:p w14:paraId="18E1ABC7" w14:textId="47BA7E24"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487AEA9" w14:textId="2968F22E"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04445A2C" w14:textId="6B5E3D38"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781EC372" w14:textId="77777777" w:rsidTr="006C211B">
        <w:trPr>
          <w:trHeight w:hRule="exact" w:val="450"/>
        </w:trPr>
        <w:tc>
          <w:tcPr>
            <w:tcW w:w="1672" w:type="pct"/>
            <w:tcBorders>
              <w:top w:val="nil"/>
              <w:left w:val="nil"/>
              <w:bottom w:val="nil"/>
              <w:right w:val="nil"/>
            </w:tcBorders>
            <w:shd w:val="clear" w:color="auto" w:fill="auto"/>
            <w:vAlign w:val="bottom"/>
            <w:hideMark/>
          </w:tcPr>
          <w:p w14:paraId="4345B637"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Affordable Housing and Home Ownership</w:t>
            </w:r>
          </w:p>
        </w:tc>
        <w:tc>
          <w:tcPr>
            <w:tcW w:w="486" w:type="pct"/>
            <w:tcBorders>
              <w:top w:val="nil"/>
              <w:left w:val="nil"/>
              <w:bottom w:val="nil"/>
              <w:right w:val="nil"/>
            </w:tcBorders>
            <w:shd w:val="clear" w:color="auto" w:fill="auto"/>
            <w:noWrap/>
            <w:vAlign w:val="bottom"/>
            <w:hideMark/>
          </w:tcPr>
          <w:p w14:paraId="646C233C"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1.1</w:t>
            </w:r>
          </w:p>
        </w:tc>
        <w:tc>
          <w:tcPr>
            <w:tcW w:w="568" w:type="pct"/>
            <w:tcBorders>
              <w:top w:val="nil"/>
              <w:left w:val="nil"/>
              <w:bottom w:val="nil"/>
              <w:right w:val="nil"/>
            </w:tcBorders>
            <w:shd w:val="clear" w:color="000000" w:fill="E6E6E6"/>
            <w:noWrap/>
            <w:vAlign w:val="bottom"/>
            <w:hideMark/>
          </w:tcPr>
          <w:p w14:paraId="2390AB0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FFE43DE"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87EA66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DC319A3"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0BB2FA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3279A055"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F3CE0B4"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D852FA1"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9813651" w14:textId="01530AC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5D0D7A9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1,255 </w:t>
            </w:r>
          </w:p>
        </w:tc>
        <w:tc>
          <w:tcPr>
            <w:tcW w:w="568" w:type="pct"/>
            <w:tcBorders>
              <w:top w:val="nil"/>
              <w:left w:val="nil"/>
              <w:bottom w:val="nil"/>
              <w:right w:val="nil"/>
            </w:tcBorders>
            <w:shd w:val="clear" w:color="000000" w:fill="E6E6E6"/>
            <w:noWrap/>
            <w:vAlign w:val="bottom"/>
            <w:hideMark/>
          </w:tcPr>
          <w:p w14:paraId="692509C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1,408 </w:t>
            </w:r>
          </w:p>
        </w:tc>
        <w:tc>
          <w:tcPr>
            <w:tcW w:w="568" w:type="pct"/>
            <w:tcBorders>
              <w:top w:val="nil"/>
              <w:left w:val="nil"/>
              <w:bottom w:val="nil"/>
              <w:right w:val="nil"/>
            </w:tcBorders>
            <w:shd w:val="clear" w:color="auto" w:fill="auto"/>
            <w:noWrap/>
            <w:vAlign w:val="bottom"/>
            <w:hideMark/>
          </w:tcPr>
          <w:p w14:paraId="4CF450E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1,729 </w:t>
            </w:r>
          </w:p>
        </w:tc>
        <w:tc>
          <w:tcPr>
            <w:tcW w:w="568" w:type="pct"/>
            <w:tcBorders>
              <w:top w:val="nil"/>
              <w:left w:val="nil"/>
              <w:bottom w:val="nil"/>
              <w:right w:val="nil"/>
            </w:tcBorders>
            <w:shd w:val="clear" w:color="000000" w:fill="E6E6E6"/>
            <w:noWrap/>
            <w:vAlign w:val="bottom"/>
            <w:hideMark/>
          </w:tcPr>
          <w:p w14:paraId="53D1CB8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4,174 </w:t>
            </w:r>
          </w:p>
        </w:tc>
      </w:tr>
      <w:tr w:rsidR="006C211B" w:rsidRPr="006C211B" w14:paraId="4DBE63A2" w14:textId="77777777" w:rsidTr="006C211B">
        <w:trPr>
          <w:trHeight w:hRule="exact" w:val="225"/>
        </w:trPr>
        <w:tc>
          <w:tcPr>
            <w:tcW w:w="1672" w:type="pct"/>
            <w:tcBorders>
              <w:top w:val="nil"/>
              <w:left w:val="nil"/>
              <w:bottom w:val="nil"/>
              <w:right w:val="nil"/>
            </w:tcBorders>
            <w:shd w:val="clear" w:color="auto" w:fill="auto"/>
            <w:vAlign w:val="bottom"/>
            <w:hideMark/>
          </w:tcPr>
          <w:p w14:paraId="7F08AFBF"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Ageing and Aged Care</w:t>
            </w:r>
          </w:p>
        </w:tc>
        <w:tc>
          <w:tcPr>
            <w:tcW w:w="486" w:type="pct"/>
            <w:tcBorders>
              <w:top w:val="nil"/>
              <w:left w:val="nil"/>
              <w:bottom w:val="nil"/>
              <w:right w:val="nil"/>
            </w:tcBorders>
            <w:shd w:val="clear" w:color="auto" w:fill="auto"/>
            <w:noWrap/>
            <w:vAlign w:val="bottom"/>
            <w:hideMark/>
          </w:tcPr>
          <w:p w14:paraId="0B4B2E8C"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5E45639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70A4A3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0CDAF7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DD23F40"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5D1693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23CDE82" w14:textId="77777777" w:rsidTr="006C211B">
        <w:trPr>
          <w:trHeight w:hRule="exact" w:val="225"/>
        </w:trPr>
        <w:tc>
          <w:tcPr>
            <w:tcW w:w="1672" w:type="pct"/>
            <w:tcBorders>
              <w:top w:val="nil"/>
              <w:left w:val="nil"/>
              <w:bottom w:val="nil"/>
              <w:right w:val="nil"/>
            </w:tcBorders>
            <w:shd w:val="clear" w:color="auto" w:fill="auto"/>
            <w:noWrap/>
            <w:vAlign w:val="bottom"/>
            <w:hideMark/>
          </w:tcPr>
          <w:p w14:paraId="1C0112F9"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70419B1E"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FE8C4BD" w14:textId="205E411E"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3FD03D6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10,301 </w:t>
            </w:r>
          </w:p>
        </w:tc>
        <w:tc>
          <w:tcPr>
            <w:tcW w:w="568" w:type="pct"/>
            <w:tcBorders>
              <w:top w:val="nil"/>
              <w:left w:val="nil"/>
              <w:bottom w:val="nil"/>
              <w:right w:val="nil"/>
            </w:tcBorders>
            <w:shd w:val="clear" w:color="000000" w:fill="E6E6E6"/>
            <w:noWrap/>
            <w:vAlign w:val="bottom"/>
            <w:hideMark/>
          </w:tcPr>
          <w:p w14:paraId="32D19CB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10,301 </w:t>
            </w:r>
          </w:p>
        </w:tc>
        <w:tc>
          <w:tcPr>
            <w:tcW w:w="568" w:type="pct"/>
            <w:tcBorders>
              <w:top w:val="nil"/>
              <w:left w:val="nil"/>
              <w:bottom w:val="nil"/>
              <w:right w:val="nil"/>
            </w:tcBorders>
            <w:shd w:val="clear" w:color="auto" w:fill="auto"/>
            <w:noWrap/>
            <w:vAlign w:val="bottom"/>
            <w:hideMark/>
          </w:tcPr>
          <w:p w14:paraId="2E753C8B" w14:textId="004AFEF1"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62A07F34" w14:textId="56B2A825"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656A5BD8" w14:textId="77777777" w:rsidTr="006C211B">
        <w:trPr>
          <w:trHeight w:hRule="exact" w:val="450"/>
        </w:trPr>
        <w:tc>
          <w:tcPr>
            <w:tcW w:w="1672" w:type="pct"/>
            <w:tcBorders>
              <w:top w:val="nil"/>
              <w:left w:val="nil"/>
              <w:bottom w:val="nil"/>
              <w:right w:val="nil"/>
            </w:tcBorders>
            <w:shd w:val="clear" w:color="auto" w:fill="auto"/>
            <w:vAlign w:val="bottom"/>
            <w:hideMark/>
          </w:tcPr>
          <w:p w14:paraId="3430FB4B"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Agriculture – continuing to deliver Agriculture 2030</w:t>
            </w:r>
          </w:p>
        </w:tc>
        <w:tc>
          <w:tcPr>
            <w:tcW w:w="486" w:type="pct"/>
            <w:tcBorders>
              <w:top w:val="nil"/>
              <w:left w:val="nil"/>
              <w:bottom w:val="nil"/>
              <w:right w:val="nil"/>
            </w:tcBorders>
            <w:shd w:val="clear" w:color="auto" w:fill="auto"/>
            <w:noWrap/>
            <w:vAlign w:val="bottom"/>
            <w:hideMark/>
          </w:tcPr>
          <w:p w14:paraId="56252C75"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6B2777E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42F5B8A"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7D7A4C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6D88854"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BF3074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A37956F" w14:textId="77777777" w:rsidTr="006C211B">
        <w:trPr>
          <w:trHeight w:hRule="exact" w:val="225"/>
        </w:trPr>
        <w:tc>
          <w:tcPr>
            <w:tcW w:w="1672" w:type="pct"/>
            <w:tcBorders>
              <w:top w:val="nil"/>
              <w:left w:val="nil"/>
              <w:bottom w:val="nil"/>
              <w:right w:val="nil"/>
            </w:tcBorders>
            <w:shd w:val="clear" w:color="auto" w:fill="auto"/>
            <w:noWrap/>
            <w:vAlign w:val="bottom"/>
            <w:hideMark/>
          </w:tcPr>
          <w:p w14:paraId="3C526AD3"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40D8F612"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E64ED13" w14:textId="7D2068AB"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60E7D84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6,000 </w:t>
            </w:r>
          </w:p>
        </w:tc>
        <w:tc>
          <w:tcPr>
            <w:tcW w:w="568" w:type="pct"/>
            <w:tcBorders>
              <w:top w:val="nil"/>
              <w:left w:val="nil"/>
              <w:bottom w:val="nil"/>
              <w:right w:val="nil"/>
            </w:tcBorders>
            <w:shd w:val="clear" w:color="000000" w:fill="E6E6E6"/>
            <w:noWrap/>
            <w:vAlign w:val="bottom"/>
            <w:hideMark/>
          </w:tcPr>
          <w:p w14:paraId="3960141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14,000 </w:t>
            </w:r>
          </w:p>
        </w:tc>
        <w:tc>
          <w:tcPr>
            <w:tcW w:w="568" w:type="pct"/>
            <w:tcBorders>
              <w:top w:val="nil"/>
              <w:left w:val="nil"/>
              <w:bottom w:val="nil"/>
              <w:right w:val="nil"/>
            </w:tcBorders>
            <w:shd w:val="clear" w:color="auto" w:fill="auto"/>
            <w:noWrap/>
            <w:vAlign w:val="bottom"/>
            <w:hideMark/>
          </w:tcPr>
          <w:p w14:paraId="35EFDEC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11,700 </w:t>
            </w:r>
          </w:p>
        </w:tc>
        <w:tc>
          <w:tcPr>
            <w:tcW w:w="568" w:type="pct"/>
            <w:tcBorders>
              <w:top w:val="nil"/>
              <w:left w:val="nil"/>
              <w:bottom w:val="nil"/>
              <w:right w:val="nil"/>
            </w:tcBorders>
            <w:shd w:val="clear" w:color="000000" w:fill="E6E6E6"/>
            <w:noWrap/>
            <w:vAlign w:val="bottom"/>
            <w:hideMark/>
          </w:tcPr>
          <w:p w14:paraId="4E42F82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5,300 </w:t>
            </w:r>
          </w:p>
        </w:tc>
      </w:tr>
      <w:tr w:rsidR="006C211B" w:rsidRPr="006C211B" w14:paraId="59F15CF1" w14:textId="77777777" w:rsidTr="006C211B">
        <w:trPr>
          <w:trHeight w:hRule="exact" w:val="225"/>
        </w:trPr>
        <w:tc>
          <w:tcPr>
            <w:tcW w:w="1672" w:type="pct"/>
            <w:tcBorders>
              <w:top w:val="nil"/>
              <w:left w:val="nil"/>
              <w:bottom w:val="nil"/>
              <w:right w:val="nil"/>
            </w:tcBorders>
            <w:shd w:val="clear" w:color="auto" w:fill="auto"/>
            <w:vAlign w:val="bottom"/>
            <w:hideMark/>
          </w:tcPr>
          <w:p w14:paraId="416CC147"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Albury Wodonga Regional Deal (b)</w:t>
            </w:r>
          </w:p>
        </w:tc>
        <w:tc>
          <w:tcPr>
            <w:tcW w:w="486" w:type="pct"/>
            <w:tcBorders>
              <w:top w:val="nil"/>
              <w:left w:val="nil"/>
              <w:bottom w:val="nil"/>
              <w:right w:val="nil"/>
            </w:tcBorders>
            <w:shd w:val="clear" w:color="auto" w:fill="auto"/>
            <w:noWrap/>
            <w:vAlign w:val="bottom"/>
            <w:hideMark/>
          </w:tcPr>
          <w:p w14:paraId="043FA7AC"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1910340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DA8890C"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59E540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60B1D2A"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36A8EB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58282D0B" w14:textId="77777777" w:rsidTr="006C211B">
        <w:trPr>
          <w:trHeight w:hRule="exact" w:val="225"/>
        </w:trPr>
        <w:tc>
          <w:tcPr>
            <w:tcW w:w="1672" w:type="pct"/>
            <w:tcBorders>
              <w:top w:val="nil"/>
              <w:left w:val="nil"/>
              <w:bottom w:val="nil"/>
              <w:right w:val="nil"/>
            </w:tcBorders>
            <w:shd w:val="clear" w:color="auto" w:fill="auto"/>
            <w:noWrap/>
            <w:vAlign w:val="bottom"/>
            <w:hideMark/>
          </w:tcPr>
          <w:p w14:paraId="1B876364"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33FCC500"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31E6A65" w14:textId="767A112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40E44C8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19,000 </w:t>
            </w:r>
          </w:p>
        </w:tc>
        <w:tc>
          <w:tcPr>
            <w:tcW w:w="568" w:type="pct"/>
            <w:tcBorders>
              <w:top w:val="nil"/>
              <w:left w:val="nil"/>
              <w:bottom w:val="nil"/>
              <w:right w:val="nil"/>
            </w:tcBorders>
            <w:shd w:val="clear" w:color="000000" w:fill="E6E6E6"/>
            <w:noWrap/>
            <w:vAlign w:val="bottom"/>
            <w:hideMark/>
          </w:tcPr>
          <w:p w14:paraId="1159AF5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20,000 </w:t>
            </w:r>
          </w:p>
        </w:tc>
        <w:tc>
          <w:tcPr>
            <w:tcW w:w="568" w:type="pct"/>
            <w:tcBorders>
              <w:top w:val="nil"/>
              <w:left w:val="nil"/>
              <w:bottom w:val="nil"/>
              <w:right w:val="nil"/>
            </w:tcBorders>
            <w:shd w:val="clear" w:color="auto" w:fill="auto"/>
            <w:noWrap/>
            <w:vAlign w:val="bottom"/>
            <w:hideMark/>
          </w:tcPr>
          <w:p w14:paraId="38A87F9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21,000 </w:t>
            </w:r>
          </w:p>
        </w:tc>
        <w:tc>
          <w:tcPr>
            <w:tcW w:w="568" w:type="pct"/>
            <w:tcBorders>
              <w:top w:val="nil"/>
              <w:left w:val="nil"/>
              <w:bottom w:val="nil"/>
              <w:right w:val="nil"/>
            </w:tcBorders>
            <w:shd w:val="clear" w:color="000000" w:fill="E6E6E6"/>
            <w:noWrap/>
            <w:vAlign w:val="bottom"/>
            <w:hideMark/>
          </w:tcPr>
          <w:p w14:paraId="3333754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15,000 </w:t>
            </w:r>
          </w:p>
        </w:tc>
      </w:tr>
      <w:tr w:rsidR="006C211B" w:rsidRPr="006C211B" w14:paraId="059ED08D" w14:textId="77777777" w:rsidTr="006C211B">
        <w:trPr>
          <w:trHeight w:hRule="exact" w:val="450"/>
        </w:trPr>
        <w:tc>
          <w:tcPr>
            <w:tcW w:w="1672" w:type="pct"/>
            <w:tcBorders>
              <w:top w:val="nil"/>
              <w:left w:val="nil"/>
              <w:bottom w:val="nil"/>
              <w:right w:val="nil"/>
            </w:tcBorders>
            <w:shd w:val="clear" w:color="auto" w:fill="auto"/>
            <w:vAlign w:val="bottom"/>
            <w:hideMark/>
          </w:tcPr>
          <w:p w14:paraId="1854D491" w14:textId="3D5428D6"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Attorney</w:t>
            </w:r>
            <w:r w:rsidR="00B33758">
              <w:rPr>
                <w:rFonts w:ascii="Arial" w:hAnsi="Arial" w:cs="Arial"/>
                <w:sz w:val="16"/>
                <w:szCs w:val="16"/>
              </w:rPr>
              <w:noBreakHyphen/>
            </w:r>
            <w:r w:rsidRPr="006C211B">
              <w:rPr>
                <w:rFonts w:ascii="Arial" w:hAnsi="Arial" w:cs="Arial"/>
                <w:sz w:val="16"/>
                <w:szCs w:val="16"/>
              </w:rPr>
              <w:t>General</w:t>
            </w:r>
            <w:r w:rsidR="00B33758">
              <w:rPr>
                <w:rFonts w:ascii="Arial" w:hAnsi="Arial" w:cs="Arial"/>
                <w:sz w:val="16"/>
                <w:szCs w:val="16"/>
              </w:rPr>
              <w:t>’</w:t>
            </w:r>
            <w:r w:rsidRPr="006C211B">
              <w:rPr>
                <w:rFonts w:ascii="Arial" w:hAnsi="Arial" w:cs="Arial"/>
                <w:sz w:val="16"/>
                <w:szCs w:val="16"/>
              </w:rPr>
              <w:t>s Portfolio</w:t>
            </w:r>
            <w:r w:rsidR="00B33758">
              <w:rPr>
                <w:rFonts w:ascii="Arial" w:hAnsi="Arial" w:cs="Arial"/>
                <w:sz w:val="16"/>
                <w:szCs w:val="16"/>
              </w:rPr>
              <w:t xml:space="preserve"> – </w:t>
            </w:r>
            <w:r w:rsidRPr="006C211B">
              <w:rPr>
                <w:rFonts w:ascii="Arial" w:hAnsi="Arial" w:cs="Arial"/>
                <w:sz w:val="16"/>
                <w:szCs w:val="16"/>
              </w:rPr>
              <w:t>additional resourcing</w:t>
            </w:r>
          </w:p>
        </w:tc>
        <w:tc>
          <w:tcPr>
            <w:tcW w:w="486" w:type="pct"/>
            <w:tcBorders>
              <w:top w:val="nil"/>
              <w:left w:val="nil"/>
              <w:bottom w:val="nil"/>
              <w:right w:val="nil"/>
            </w:tcBorders>
            <w:shd w:val="clear" w:color="auto" w:fill="auto"/>
            <w:noWrap/>
            <w:vAlign w:val="bottom"/>
            <w:hideMark/>
          </w:tcPr>
          <w:p w14:paraId="096B82CA"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7C85372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DA0CC39"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CC77B7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BD7D553"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21FB63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1D4F7203" w14:textId="77777777" w:rsidTr="006C211B">
        <w:trPr>
          <w:trHeight w:hRule="exact" w:val="225"/>
        </w:trPr>
        <w:tc>
          <w:tcPr>
            <w:tcW w:w="1672" w:type="pct"/>
            <w:tcBorders>
              <w:top w:val="nil"/>
              <w:left w:val="nil"/>
              <w:bottom w:val="nil"/>
              <w:right w:val="nil"/>
            </w:tcBorders>
            <w:shd w:val="clear" w:color="auto" w:fill="auto"/>
            <w:noWrap/>
            <w:vAlign w:val="bottom"/>
            <w:hideMark/>
          </w:tcPr>
          <w:p w14:paraId="38B35FE7"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547300FA"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AF94B6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8,271 </w:t>
            </w:r>
          </w:p>
        </w:tc>
        <w:tc>
          <w:tcPr>
            <w:tcW w:w="568" w:type="pct"/>
            <w:tcBorders>
              <w:top w:val="nil"/>
              <w:left w:val="nil"/>
              <w:bottom w:val="nil"/>
              <w:right w:val="nil"/>
            </w:tcBorders>
            <w:shd w:val="clear" w:color="auto" w:fill="auto"/>
            <w:noWrap/>
            <w:vAlign w:val="bottom"/>
            <w:hideMark/>
          </w:tcPr>
          <w:p w14:paraId="28CEFE1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8,271 </w:t>
            </w:r>
          </w:p>
        </w:tc>
        <w:tc>
          <w:tcPr>
            <w:tcW w:w="568" w:type="pct"/>
            <w:tcBorders>
              <w:top w:val="nil"/>
              <w:left w:val="nil"/>
              <w:bottom w:val="nil"/>
              <w:right w:val="nil"/>
            </w:tcBorders>
            <w:shd w:val="clear" w:color="000000" w:fill="E6E6E6"/>
            <w:noWrap/>
            <w:vAlign w:val="bottom"/>
            <w:hideMark/>
          </w:tcPr>
          <w:p w14:paraId="27F7B238" w14:textId="7A79FBE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647CE8B5" w14:textId="0ABE866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26F843D8" w14:textId="1EABC832"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2B929229" w14:textId="77777777" w:rsidTr="006C211B">
        <w:trPr>
          <w:trHeight w:hRule="exact" w:val="900"/>
        </w:trPr>
        <w:tc>
          <w:tcPr>
            <w:tcW w:w="1672" w:type="pct"/>
            <w:tcBorders>
              <w:top w:val="nil"/>
              <w:left w:val="nil"/>
              <w:bottom w:val="nil"/>
              <w:right w:val="nil"/>
            </w:tcBorders>
            <w:shd w:val="clear" w:color="auto" w:fill="auto"/>
            <w:vAlign w:val="bottom"/>
            <w:hideMark/>
          </w:tcPr>
          <w:p w14:paraId="0BD5ADF1" w14:textId="468E2190"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Australia</w:t>
            </w:r>
            <w:r w:rsidR="00B33758">
              <w:rPr>
                <w:rFonts w:ascii="Arial" w:hAnsi="Arial" w:cs="Arial"/>
                <w:sz w:val="16"/>
                <w:szCs w:val="16"/>
              </w:rPr>
              <w:noBreakHyphen/>
            </w:r>
            <w:r w:rsidRPr="006C211B">
              <w:rPr>
                <w:rFonts w:ascii="Arial" w:hAnsi="Arial" w:cs="Arial"/>
                <w:sz w:val="16"/>
                <w:szCs w:val="16"/>
              </w:rPr>
              <w:t>UK Free Trade Agreement – increasing market access opportunities and strengthening ties between our two countries</w:t>
            </w:r>
          </w:p>
        </w:tc>
        <w:tc>
          <w:tcPr>
            <w:tcW w:w="486" w:type="pct"/>
            <w:tcBorders>
              <w:top w:val="nil"/>
              <w:left w:val="nil"/>
              <w:bottom w:val="nil"/>
              <w:right w:val="nil"/>
            </w:tcBorders>
            <w:shd w:val="clear" w:color="auto" w:fill="auto"/>
            <w:noWrap/>
            <w:vAlign w:val="bottom"/>
            <w:hideMark/>
          </w:tcPr>
          <w:p w14:paraId="1F7EA9A7"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1.4</w:t>
            </w:r>
          </w:p>
        </w:tc>
        <w:tc>
          <w:tcPr>
            <w:tcW w:w="568" w:type="pct"/>
            <w:tcBorders>
              <w:top w:val="nil"/>
              <w:left w:val="nil"/>
              <w:bottom w:val="nil"/>
              <w:right w:val="nil"/>
            </w:tcBorders>
            <w:shd w:val="clear" w:color="000000" w:fill="E6E6E6"/>
            <w:noWrap/>
            <w:vAlign w:val="bottom"/>
            <w:hideMark/>
          </w:tcPr>
          <w:p w14:paraId="593F40D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AA825EA"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FC374B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861BA92"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83F32F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13051A0D" w14:textId="77777777" w:rsidTr="006C211B">
        <w:trPr>
          <w:trHeight w:hRule="exact" w:val="225"/>
        </w:trPr>
        <w:tc>
          <w:tcPr>
            <w:tcW w:w="1672" w:type="pct"/>
            <w:tcBorders>
              <w:top w:val="nil"/>
              <w:left w:val="nil"/>
              <w:bottom w:val="nil"/>
              <w:right w:val="nil"/>
            </w:tcBorders>
            <w:shd w:val="clear" w:color="auto" w:fill="auto"/>
            <w:noWrap/>
            <w:vAlign w:val="bottom"/>
            <w:hideMark/>
          </w:tcPr>
          <w:p w14:paraId="30FDE85E"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17C81DD7"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32D83B7" w14:textId="14B2E76E"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3422EFAE" w14:textId="7663BB7D"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3B51A4C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10,000 </w:t>
            </w:r>
          </w:p>
        </w:tc>
        <w:tc>
          <w:tcPr>
            <w:tcW w:w="568" w:type="pct"/>
            <w:tcBorders>
              <w:top w:val="nil"/>
              <w:left w:val="nil"/>
              <w:bottom w:val="nil"/>
              <w:right w:val="nil"/>
            </w:tcBorders>
            <w:shd w:val="clear" w:color="auto" w:fill="auto"/>
            <w:noWrap/>
            <w:vAlign w:val="bottom"/>
            <w:hideMark/>
          </w:tcPr>
          <w:p w14:paraId="462B337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25,000 </w:t>
            </w:r>
          </w:p>
        </w:tc>
        <w:tc>
          <w:tcPr>
            <w:tcW w:w="568" w:type="pct"/>
            <w:tcBorders>
              <w:top w:val="nil"/>
              <w:left w:val="nil"/>
              <w:bottom w:val="nil"/>
              <w:right w:val="nil"/>
            </w:tcBorders>
            <w:shd w:val="clear" w:color="000000" w:fill="E6E6E6"/>
            <w:noWrap/>
            <w:vAlign w:val="bottom"/>
            <w:hideMark/>
          </w:tcPr>
          <w:p w14:paraId="02625FE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35,000 </w:t>
            </w:r>
          </w:p>
        </w:tc>
      </w:tr>
      <w:tr w:rsidR="006C211B" w:rsidRPr="006C211B" w14:paraId="4D6D8C29" w14:textId="77777777" w:rsidTr="006C211B">
        <w:trPr>
          <w:trHeight w:hRule="exact" w:val="450"/>
        </w:trPr>
        <w:tc>
          <w:tcPr>
            <w:tcW w:w="1672" w:type="pct"/>
            <w:tcBorders>
              <w:top w:val="nil"/>
              <w:left w:val="nil"/>
              <w:bottom w:val="nil"/>
              <w:right w:val="nil"/>
            </w:tcBorders>
            <w:shd w:val="clear" w:color="auto" w:fill="auto"/>
            <w:vAlign w:val="bottom"/>
            <w:hideMark/>
          </w:tcPr>
          <w:p w14:paraId="45C51A00" w14:textId="44B2DB28"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Boosting Participation and Building Australia</w:t>
            </w:r>
            <w:r w:rsidR="00B33758">
              <w:rPr>
                <w:rFonts w:ascii="Arial" w:hAnsi="Arial" w:cs="Arial"/>
                <w:sz w:val="16"/>
                <w:szCs w:val="16"/>
              </w:rPr>
              <w:t>’</w:t>
            </w:r>
            <w:r w:rsidRPr="006C211B">
              <w:rPr>
                <w:rFonts w:ascii="Arial" w:hAnsi="Arial" w:cs="Arial"/>
                <w:sz w:val="16"/>
                <w:szCs w:val="16"/>
              </w:rPr>
              <w:t>s Workforce</w:t>
            </w:r>
          </w:p>
        </w:tc>
        <w:tc>
          <w:tcPr>
            <w:tcW w:w="486" w:type="pct"/>
            <w:tcBorders>
              <w:top w:val="nil"/>
              <w:left w:val="nil"/>
              <w:bottom w:val="nil"/>
              <w:right w:val="nil"/>
            </w:tcBorders>
            <w:shd w:val="clear" w:color="auto" w:fill="auto"/>
            <w:noWrap/>
            <w:vAlign w:val="bottom"/>
            <w:hideMark/>
          </w:tcPr>
          <w:p w14:paraId="35834219"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078B999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1900DE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E71F47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4BB5C41"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2CF153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32433A2" w14:textId="77777777" w:rsidTr="006C211B">
        <w:trPr>
          <w:trHeight w:hRule="exact" w:val="225"/>
        </w:trPr>
        <w:tc>
          <w:tcPr>
            <w:tcW w:w="1672" w:type="pct"/>
            <w:tcBorders>
              <w:top w:val="nil"/>
              <w:left w:val="nil"/>
              <w:bottom w:val="nil"/>
              <w:right w:val="nil"/>
            </w:tcBorders>
            <w:shd w:val="clear" w:color="auto" w:fill="auto"/>
            <w:noWrap/>
            <w:vAlign w:val="bottom"/>
            <w:hideMark/>
          </w:tcPr>
          <w:p w14:paraId="7EA6EF09"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52D2CEB"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1212EEE" w14:textId="433D9810"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4112281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26,461 </w:t>
            </w:r>
          </w:p>
        </w:tc>
        <w:tc>
          <w:tcPr>
            <w:tcW w:w="568" w:type="pct"/>
            <w:tcBorders>
              <w:top w:val="nil"/>
              <w:left w:val="nil"/>
              <w:bottom w:val="nil"/>
              <w:right w:val="nil"/>
            </w:tcBorders>
            <w:shd w:val="clear" w:color="000000" w:fill="E6E6E6"/>
            <w:noWrap/>
            <w:vAlign w:val="bottom"/>
            <w:hideMark/>
          </w:tcPr>
          <w:p w14:paraId="7098ED1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22,051 </w:t>
            </w:r>
          </w:p>
        </w:tc>
        <w:tc>
          <w:tcPr>
            <w:tcW w:w="568" w:type="pct"/>
            <w:tcBorders>
              <w:top w:val="nil"/>
              <w:left w:val="nil"/>
              <w:bottom w:val="nil"/>
              <w:right w:val="nil"/>
            </w:tcBorders>
            <w:shd w:val="clear" w:color="auto" w:fill="auto"/>
            <w:noWrap/>
            <w:vAlign w:val="bottom"/>
            <w:hideMark/>
          </w:tcPr>
          <w:p w14:paraId="35CBA8E7" w14:textId="61C5FA82"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611B65FB" w14:textId="388630CB"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38F6E304" w14:textId="77777777" w:rsidTr="006C211B">
        <w:trPr>
          <w:trHeight w:hRule="exact" w:val="450"/>
        </w:trPr>
        <w:tc>
          <w:tcPr>
            <w:tcW w:w="1672" w:type="pct"/>
            <w:tcBorders>
              <w:top w:val="nil"/>
              <w:left w:val="nil"/>
              <w:bottom w:val="nil"/>
              <w:right w:val="nil"/>
            </w:tcBorders>
            <w:shd w:val="clear" w:color="auto" w:fill="auto"/>
            <w:vAlign w:val="bottom"/>
            <w:hideMark/>
          </w:tcPr>
          <w:p w14:paraId="4EDDCBCE" w14:textId="1D9F1F01"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Building Australia</w:t>
            </w:r>
            <w:r w:rsidR="00B33758">
              <w:rPr>
                <w:rFonts w:ascii="Arial" w:hAnsi="Arial" w:cs="Arial"/>
                <w:sz w:val="16"/>
                <w:szCs w:val="16"/>
              </w:rPr>
              <w:t>’</w:t>
            </w:r>
            <w:r w:rsidRPr="006C211B">
              <w:rPr>
                <w:rFonts w:ascii="Arial" w:hAnsi="Arial" w:cs="Arial"/>
                <w:sz w:val="16"/>
                <w:szCs w:val="16"/>
              </w:rPr>
              <w:t>s Circular Waste Economy</w:t>
            </w:r>
          </w:p>
        </w:tc>
        <w:tc>
          <w:tcPr>
            <w:tcW w:w="486" w:type="pct"/>
            <w:tcBorders>
              <w:top w:val="nil"/>
              <w:left w:val="nil"/>
              <w:bottom w:val="nil"/>
              <w:right w:val="nil"/>
            </w:tcBorders>
            <w:shd w:val="clear" w:color="auto" w:fill="auto"/>
            <w:noWrap/>
            <w:vAlign w:val="bottom"/>
            <w:hideMark/>
          </w:tcPr>
          <w:p w14:paraId="2DE084B7"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1950230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25C35AF"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6843D4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A2F0024"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82545E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6C47E048" w14:textId="77777777" w:rsidTr="006C211B">
        <w:trPr>
          <w:trHeight w:hRule="exact" w:val="225"/>
        </w:trPr>
        <w:tc>
          <w:tcPr>
            <w:tcW w:w="1672" w:type="pct"/>
            <w:tcBorders>
              <w:top w:val="nil"/>
              <w:left w:val="nil"/>
              <w:bottom w:val="nil"/>
              <w:right w:val="nil"/>
            </w:tcBorders>
            <w:shd w:val="clear" w:color="auto" w:fill="auto"/>
            <w:noWrap/>
            <w:vAlign w:val="bottom"/>
            <w:hideMark/>
          </w:tcPr>
          <w:p w14:paraId="726FEA37"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4A79310C"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65B76F2" w14:textId="28F0A3A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1DEEF6B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5,750 </w:t>
            </w:r>
          </w:p>
        </w:tc>
        <w:tc>
          <w:tcPr>
            <w:tcW w:w="568" w:type="pct"/>
            <w:tcBorders>
              <w:top w:val="nil"/>
              <w:left w:val="nil"/>
              <w:bottom w:val="nil"/>
              <w:right w:val="nil"/>
            </w:tcBorders>
            <w:shd w:val="clear" w:color="000000" w:fill="E6E6E6"/>
            <w:noWrap/>
            <w:vAlign w:val="bottom"/>
            <w:hideMark/>
          </w:tcPr>
          <w:p w14:paraId="737C557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20,750 </w:t>
            </w:r>
          </w:p>
        </w:tc>
        <w:tc>
          <w:tcPr>
            <w:tcW w:w="568" w:type="pct"/>
            <w:tcBorders>
              <w:top w:val="nil"/>
              <w:left w:val="nil"/>
              <w:bottom w:val="nil"/>
              <w:right w:val="nil"/>
            </w:tcBorders>
            <w:shd w:val="clear" w:color="auto" w:fill="auto"/>
            <w:noWrap/>
            <w:vAlign w:val="bottom"/>
            <w:hideMark/>
          </w:tcPr>
          <w:p w14:paraId="03E6FDB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20,750 </w:t>
            </w:r>
          </w:p>
        </w:tc>
        <w:tc>
          <w:tcPr>
            <w:tcW w:w="568" w:type="pct"/>
            <w:tcBorders>
              <w:top w:val="nil"/>
              <w:left w:val="nil"/>
              <w:bottom w:val="nil"/>
              <w:right w:val="nil"/>
            </w:tcBorders>
            <w:shd w:val="clear" w:color="000000" w:fill="E6E6E6"/>
            <w:noWrap/>
            <w:vAlign w:val="bottom"/>
            <w:hideMark/>
          </w:tcPr>
          <w:p w14:paraId="4FA0F0E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12,750 </w:t>
            </w:r>
          </w:p>
        </w:tc>
      </w:tr>
      <w:tr w:rsidR="006C211B" w:rsidRPr="006C211B" w14:paraId="6120CC54" w14:textId="77777777" w:rsidTr="006C211B">
        <w:trPr>
          <w:trHeight w:hRule="exact" w:val="675"/>
        </w:trPr>
        <w:tc>
          <w:tcPr>
            <w:tcW w:w="1672" w:type="pct"/>
            <w:tcBorders>
              <w:top w:val="nil"/>
              <w:left w:val="nil"/>
              <w:bottom w:val="nil"/>
              <w:right w:val="nil"/>
            </w:tcBorders>
            <w:shd w:val="clear" w:color="auto" w:fill="auto"/>
            <w:vAlign w:val="bottom"/>
            <w:hideMark/>
          </w:tcPr>
          <w:p w14:paraId="1C7413BC" w14:textId="389A5F55"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Changes To Visa Rules – supplementing Australia</w:t>
            </w:r>
            <w:r w:rsidR="00B33758">
              <w:rPr>
                <w:rFonts w:ascii="Arial" w:hAnsi="Arial" w:cs="Arial"/>
                <w:sz w:val="16"/>
                <w:szCs w:val="16"/>
              </w:rPr>
              <w:t>’</w:t>
            </w:r>
            <w:r w:rsidRPr="006C211B">
              <w:rPr>
                <w:rFonts w:ascii="Arial" w:hAnsi="Arial" w:cs="Arial"/>
                <w:sz w:val="16"/>
                <w:szCs w:val="16"/>
              </w:rPr>
              <w:t>s workforce during the recovery</w:t>
            </w:r>
          </w:p>
        </w:tc>
        <w:tc>
          <w:tcPr>
            <w:tcW w:w="486" w:type="pct"/>
            <w:tcBorders>
              <w:top w:val="nil"/>
              <w:left w:val="nil"/>
              <w:bottom w:val="nil"/>
              <w:right w:val="nil"/>
            </w:tcBorders>
            <w:shd w:val="clear" w:color="auto" w:fill="auto"/>
            <w:noWrap/>
            <w:vAlign w:val="bottom"/>
            <w:hideMark/>
          </w:tcPr>
          <w:p w14:paraId="2C25C43A"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1.4</w:t>
            </w:r>
          </w:p>
        </w:tc>
        <w:tc>
          <w:tcPr>
            <w:tcW w:w="568" w:type="pct"/>
            <w:tcBorders>
              <w:top w:val="nil"/>
              <w:left w:val="nil"/>
              <w:bottom w:val="nil"/>
              <w:right w:val="nil"/>
            </w:tcBorders>
            <w:shd w:val="clear" w:color="000000" w:fill="E6E6E6"/>
            <w:noWrap/>
            <w:vAlign w:val="bottom"/>
            <w:hideMark/>
          </w:tcPr>
          <w:p w14:paraId="3FE5B00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99DBC0D"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344269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888A5CD"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D4D7F7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6E95367D"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24B9E43"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A0351D2"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C66CB32" w14:textId="7D8434C5"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E8DF1D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5,000 </w:t>
            </w:r>
          </w:p>
        </w:tc>
        <w:tc>
          <w:tcPr>
            <w:tcW w:w="568" w:type="pct"/>
            <w:tcBorders>
              <w:top w:val="nil"/>
              <w:left w:val="nil"/>
              <w:bottom w:val="nil"/>
              <w:right w:val="nil"/>
            </w:tcBorders>
            <w:shd w:val="clear" w:color="000000" w:fill="E6E6E6"/>
            <w:noWrap/>
            <w:vAlign w:val="bottom"/>
            <w:hideMark/>
          </w:tcPr>
          <w:p w14:paraId="1683932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10,000 </w:t>
            </w:r>
          </w:p>
        </w:tc>
        <w:tc>
          <w:tcPr>
            <w:tcW w:w="568" w:type="pct"/>
            <w:tcBorders>
              <w:top w:val="nil"/>
              <w:left w:val="nil"/>
              <w:bottom w:val="nil"/>
              <w:right w:val="nil"/>
            </w:tcBorders>
            <w:shd w:val="clear" w:color="auto" w:fill="auto"/>
            <w:noWrap/>
            <w:vAlign w:val="bottom"/>
            <w:hideMark/>
          </w:tcPr>
          <w:p w14:paraId="50B22FE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5,000 </w:t>
            </w:r>
          </w:p>
        </w:tc>
        <w:tc>
          <w:tcPr>
            <w:tcW w:w="568" w:type="pct"/>
            <w:tcBorders>
              <w:top w:val="nil"/>
              <w:left w:val="nil"/>
              <w:bottom w:val="nil"/>
              <w:right w:val="nil"/>
            </w:tcBorders>
            <w:shd w:val="clear" w:color="000000" w:fill="E6E6E6"/>
            <w:noWrap/>
            <w:vAlign w:val="bottom"/>
            <w:hideMark/>
          </w:tcPr>
          <w:p w14:paraId="5EE4120C" w14:textId="3E0F8AEE"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0CF01E1B" w14:textId="77777777" w:rsidTr="006C211B">
        <w:trPr>
          <w:trHeight w:hRule="exact" w:val="450"/>
        </w:trPr>
        <w:tc>
          <w:tcPr>
            <w:tcW w:w="1672" w:type="pct"/>
            <w:tcBorders>
              <w:top w:val="nil"/>
              <w:left w:val="nil"/>
              <w:bottom w:val="nil"/>
              <w:right w:val="nil"/>
            </w:tcBorders>
            <w:shd w:val="clear" w:color="auto" w:fill="auto"/>
            <w:vAlign w:val="bottom"/>
            <w:hideMark/>
          </w:tcPr>
          <w:p w14:paraId="6D585B55" w14:textId="05B35E9D"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Commonwealth</w:t>
            </w:r>
            <w:r w:rsidR="00B33758">
              <w:rPr>
                <w:rFonts w:ascii="Arial" w:hAnsi="Arial" w:cs="Arial"/>
                <w:sz w:val="16"/>
                <w:szCs w:val="16"/>
              </w:rPr>
              <w:t>’</w:t>
            </w:r>
            <w:r w:rsidRPr="006C211B">
              <w:rPr>
                <w:rFonts w:ascii="Arial" w:hAnsi="Arial" w:cs="Arial"/>
                <w:sz w:val="16"/>
                <w:szCs w:val="16"/>
              </w:rPr>
              <w:t>s Deregulation Agenda</w:t>
            </w:r>
            <w:r w:rsidR="001833A3">
              <w:rPr>
                <w:rFonts w:ascii="Arial" w:hAnsi="Arial" w:cs="Arial"/>
                <w:sz w:val="16"/>
                <w:szCs w:val="16"/>
              </w:rPr>
              <w:t xml:space="preserve"> (b)</w:t>
            </w:r>
          </w:p>
        </w:tc>
        <w:tc>
          <w:tcPr>
            <w:tcW w:w="486" w:type="pct"/>
            <w:tcBorders>
              <w:top w:val="nil"/>
              <w:left w:val="nil"/>
              <w:bottom w:val="nil"/>
              <w:right w:val="nil"/>
            </w:tcBorders>
            <w:shd w:val="clear" w:color="auto" w:fill="auto"/>
            <w:noWrap/>
            <w:vAlign w:val="bottom"/>
            <w:hideMark/>
          </w:tcPr>
          <w:p w14:paraId="71B4CAE1"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1.1, 1.9</w:t>
            </w:r>
          </w:p>
        </w:tc>
        <w:tc>
          <w:tcPr>
            <w:tcW w:w="568" w:type="pct"/>
            <w:tcBorders>
              <w:top w:val="nil"/>
              <w:left w:val="nil"/>
              <w:bottom w:val="nil"/>
              <w:right w:val="nil"/>
            </w:tcBorders>
            <w:shd w:val="clear" w:color="000000" w:fill="E6E6E6"/>
            <w:noWrap/>
            <w:vAlign w:val="bottom"/>
            <w:hideMark/>
          </w:tcPr>
          <w:p w14:paraId="3FD8157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FBB8C0E"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8F8E68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FB0A308"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66B498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15258448" w14:textId="77777777" w:rsidTr="006C211B">
        <w:trPr>
          <w:trHeight w:hRule="exact" w:val="225"/>
        </w:trPr>
        <w:tc>
          <w:tcPr>
            <w:tcW w:w="1672" w:type="pct"/>
            <w:tcBorders>
              <w:top w:val="nil"/>
              <w:left w:val="nil"/>
              <w:bottom w:val="nil"/>
              <w:right w:val="nil"/>
            </w:tcBorders>
            <w:shd w:val="clear" w:color="auto" w:fill="auto"/>
            <w:noWrap/>
            <w:vAlign w:val="bottom"/>
            <w:hideMark/>
          </w:tcPr>
          <w:p w14:paraId="72BF9A7E"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3B96C5D1"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22FA816" w14:textId="5788539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1950209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4,000 </w:t>
            </w:r>
          </w:p>
        </w:tc>
        <w:tc>
          <w:tcPr>
            <w:tcW w:w="568" w:type="pct"/>
            <w:tcBorders>
              <w:top w:val="nil"/>
              <w:left w:val="nil"/>
              <w:bottom w:val="nil"/>
              <w:right w:val="nil"/>
            </w:tcBorders>
            <w:shd w:val="clear" w:color="000000" w:fill="E6E6E6"/>
            <w:noWrap/>
            <w:vAlign w:val="bottom"/>
            <w:hideMark/>
          </w:tcPr>
          <w:p w14:paraId="31FE4CF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4,700 </w:t>
            </w:r>
          </w:p>
        </w:tc>
        <w:tc>
          <w:tcPr>
            <w:tcW w:w="568" w:type="pct"/>
            <w:tcBorders>
              <w:top w:val="nil"/>
              <w:left w:val="nil"/>
              <w:bottom w:val="nil"/>
              <w:right w:val="nil"/>
            </w:tcBorders>
            <w:shd w:val="clear" w:color="auto" w:fill="auto"/>
            <w:noWrap/>
            <w:vAlign w:val="bottom"/>
            <w:hideMark/>
          </w:tcPr>
          <w:p w14:paraId="03DA937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1,800 </w:t>
            </w:r>
          </w:p>
        </w:tc>
        <w:tc>
          <w:tcPr>
            <w:tcW w:w="568" w:type="pct"/>
            <w:tcBorders>
              <w:top w:val="nil"/>
              <w:left w:val="nil"/>
              <w:bottom w:val="nil"/>
              <w:right w:val="nil"/>
            </w:tcBorders>
            <w:shd w:val="clear" w:color="000000" w:fill="E6E6E6"/>
            <w:noWrap/>
            <w:vAlign w:val="bottom"/>
            <w:hideMark/>
          </w:tcPr>
          <w:p w14:paraId="735814DE" w14:textId="1A37635D"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27E45DB5" w14:textId="77777777" w:rsidTr="006C211B">
        <w:trPr>
          <w:trHeight w:hRule="exact" w:val="225"/>
        </w:trPr>
        <w:tc>
          <w:tcPr>
            <w:tcW w:w="1672" w:type="pct"/>
            <w:tcBorders>
              <w:top w:val="nil"/>
              <w:left w:val="nil"/>
              <w:bottom w:val="single" w:sz="4" w:space="0" w:color="auto"/>
              <w:right w:val="nil"/>
            </w:tcBorders>
            <w:shd w:val="clear" w:color="auto" w:fill="auto"/>
            <w:noWrap/>
            <w:vAlign w:val="bottom"/>
            <w:hideMark/>
          </w:tcPr>
          <w:p w14:paraId="5B508CE8"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Departmental payments</w:t>
            </w:r>
          </w:p>
        </w:tc>
        <w:tc>
          <w:tcPr>
            <w:tcW w:w="486" w:type="pct"/>
            <w:tcBorders>
              <w:top w:val="nil"/>
              <w:left w:val="nil"/>
              <w:bottom w:val="single" w:sz="4" w:space="0" w:color="auto"/>
              <w:right w:val="nil"/>
            </w:tcBorders>
            <w:shd w:val="clear" w:color="auto" w:fill="auto"/>
            <w:noWrap/>
            <w:vAlign w:val="bottom"/>
            <w:hideMark/>
          </w:tcPr>
          <w:p w14:paraId="3C3A7673"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 </w:t>
            </w:r>
          </w:p>
        </w:tc>
        <w:tc>
          <w:tcPr>
            <w:tcW w:w="568" w:type="pct"/>
            <w:tcBorders>
              <w:top w:val="nil"/>
              <w:left w:val="nil"/>
              <w:bottom w:val="single" w:sz="4" w:space="0" w:color="auto"/>
              <w:right w:val="nil"/>
            </w:tcBorders>
            <w:shd w:val="clear" w:color="000000" w:fill="E6E6E6"/>
            <w:noWrap/>
            <w:vAlign w:val="bottom"/>
            <w:hideMark/>
          </w:tcPr>
          <w:p w14:paraId="29DEEF46" w14:textId="34157A85"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 xml:space="preserve">245 </w:t>
            </w:r>
          </w:p>
        </w:tc>
        <w:tc>
          <w:tcPr>
            <w:tcW w:w="568" w:type="pct"/>
            <w:tcBorders>
              <w:top w:val="nil"/>
              <w:left w:val="nil"/>
              <w:bottom w:val="single" w:sz="4" w:space="0" w:color="auto"/>
              <w:right w:val="nil"/>
            </w:tcBorders>
            <w:shd w:val="clear" w:color="auto" w:fill="auto"/>
            <w:noWrap/>
            <w:vAlign w:val="bottom"/>
            <w:hideMark/>
          </w:tcPr>
          <w:p w14:paraId="688E0D92" w14:textId="7397E203"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 xml:space="preserve">622 </w:t>
            </w:r>
          </w:p>
        </w:tc>
        <w:tc>
          <w:tcPr>
            <w:tcW w:w="568" w:type="pct"/>
            <w:tcBorders>
              <w:top w:val="nil"/>
              <w:left w:val="nil"/>
              <w:bottom w:val="single" w:sz="4" w:space="0" w:color="auto"/>
              <w:right w:val="nil"/>
            </w:tcBorders>
            <w:shd w:val="clear" w:color="000000" w:fill="E6E6E6"/>
            <w:noWrap/>
            <w:vAlign w:val="bottom"/>
            <w:hideMark/>
          </w:tcPr>
          <w:p w14:paraId="2CAB7C46" w14:textId="70744C23" w:rsidR="006C211B" w:rsidRPr="006C211B" w:rsidRDefault="001833A3" w:rsidP="006C211B">
            <w:pPr>
              <w:spacing w:after="0" w:line="240" w:lineRule="auto"/>
              <w:jc w:val="right"/>
              <w:rPr>
                <w:rFonts w:ascii="Arial" w:hAnsi="Arial" w:cs="Arial"/>
                <w:sz w:val="16"/>
                <w:szCs w:val="16"/>
              </w:rPr>
            </w:pPr>
            <w:r>
              <w:rPr>
                <w:rFonts w:ascii="Arial" w:hAnsi="Arial" w:cs="Arial"/>
                <w:sz w:val="16"/>
                <w:szCs w:val="16"/>
              </w:rPr>
              <w:t>–</w:t>
            </w:r>
            <w:r w:rsidR="006C211B">
              <w:rPr>
                <w:rFonts w:ascii="Arial" w:hAnsi="Arial" w:cs="Arial"/>
                <w:sz w:val="16"/>
                <w:szCs w:val="16"/>
              </w:rPr>
              <w:t xml:space="preserve"> </w:t>
            </w:r>
          </w:p>
        </w:tc>
        <w:tc>
          <w:tcPr>
            <w:tcW w:w="568" w:type="pct"/>
            <w:tcBorders>
              <w:top w:val="nil"/>
              <w:left w:val="nil"/>
              <w:bottom w:val="single" w:sz="4" w:space="0" w:color="auto"/>
              <w:right w:val="nil"/>
            </w:tcBorders>
            <w:shd w:val="clear" w:color="auto" w:fill="auto"/>
            <w:noWrap/>
            <w:vAlign w:val="bottom"/>
            <w:hideMark/>
          </w:tcPr>
          <w:p w14:paraId="49CB41ED" w14:textId="2BACE9A8" w:rsidR="006C211B" w:rsidRPr="006C211B" w:rsidRDefault="001833A3" w:rsidP="006C211B">
            <w:pPr>
              <w:spacing w:after="0" w:line="240" w:lineRule="auto"/>
              <w:jc w:val="right"/>
              <w:rPr>
                <w:rFonts w:ascii="Arial" w:hAnsi="Arial" w:cs="Arial"/>
                <w:sz w:val="16"/>
                <w:szCs w:val="16"/>
              </w:rPr>
            </w:pPr>
            <w:r>
              <w:rPr>
                <w:rFonts w:ascii="Arial" w:hAnsi="Arial" w:cs="Arial"/>
                <w:sz w:val="16"/>
                <w:szCs w:val="16"/>
              </w:rPr>
              <w:t>–</w:t>
            </w:r>
            <w:r w:rsidR="006C211B">
              <w:rPr>
                <w:rFonts w:ascii="Arial" w:hAnsi="Arial" w:cs="Arial"/>
                <w:sz w:val="16"/>
                <w:szCs w:val="16"/>
              </w:rPr>
              <w:t xml:space="preserve"> </w:t>
            </w:r>
          </w:p>
        </w:tc>
        <w:tc>
          <w:tcPr>
            <w:tcW w:w="568" w:type="pct"/>
            <w:tcBorders>
              <w:top w:val="nil"/>
              <w:left w:val="nil"/>
              <w:bottom w:val="single" w:sz="4" w:space="0" w:color="auto"/>
              <w:right w:val="nil"/>
            </w:tcBorders>
            <w:shd w:val="clear" w:color="000000" w:fill="E6E6E6"/>
            <w:noWrap/>
            <w:vAlign w:val="bottom"/>
            <w:hideMark/>
          </w:tcPr>
          <w:p w14:paraId="15ACF94B" w14:textId="2B053083" w:rsidR="006C211B" w:rsidRPr="006C211B" w:rsidRDefault="001833A3" w:rsidP="006C211B">
            <w:pPr>
              <w:spacing w:after="0" w:line="240" w:lineRule="auto"/>
              <w:jc w:val="right"/>
              <w:rPr>
                <w:rFonts w:ascii="Arial" w:hAnsi="Arial" w:cs="Arial"/>
                <w:sz w:val="16"/>
                <w:szCs w:val="16"/>
              </w:rPr>
            </w:pPr>
            <w:r>
              <w:rPr>
                <w:rFonts w:ascii="Arial" w:hAnsi="Arial" w:cs="Arial"/>
                <w:sz w:val="16"/>
                <w:szCs w:val="16"/>
              </w:rPr>
              <w:t>–</w:t>
            </w:r>
            <w:r w:rsidR="006C211B">
              <w:rPr>
                <w:rFonts w:ascii="Arial" w:hAnsi="Arial" w:cs="Arial"/>
                <w:sz w:val="16"/>
                <w:szCs w:val="16"/>
              </w:rPr>
              <w:t xml:space="preserve"> </w:t>
            </w:r>
          </w:p>
        </w:tc>
      </w:tr>
    </w:tbl>
    <w:p w14:paraId="29F4FDD3" w14:textId="09F3B5C1" w:rsidR="005C5279" w:rsidRPr="00A933F4" w:rsidRDefault="005C5279" w:rsidP="00381178">
      <w:pPr>
        <w:rPr>
          <w:highlight w:val="yellow"/>
        </w:rPr>
      </w:pPr>
    </w:p>
    <w:p w14:paraId="1ECDBD7E" w14:textId="4FABB962" w:rsidR="006C211B" w:rsidRDefault="005C5279" w:rsidP="006C211B">
      <w:pPr>
        <w:pStyle w:val="TableHeadingcontinued0"/>
        <w:rPr>
          <w:rFonts w:ascii="Times New Roman" w:hAnsi="Times New Roman"/>
        </w:rPr>
      </w:pPr>
      <w:r w:rsidRPr="0049392C">
        <w:lastRenderedPageBreak/>
        <w:t>Part 1: Measures announced since the 2021</w:t>
      </w:r>
      <w:r w:rsidR="00B33758">
        <w:noBreakHyphen/>
      </w:r>
      <w:r w:rsidRPr="0049392C">
        <w:t>22 Mid</w:t>
      </w:r>
      <w:r w:rsidR="00B33758">
        <w:noBreakHyphen/>
      </w:r>
      <w:r w:rsidRPr="0049392C">
        <w:t>Year Economic and Fiscal Outlook (MYEFO) (continued)</w:t>
      </w:r>
    </w:p>
    <w:tbl>
      <w:tblPr>
        <w:tblW w:w="5000" w:type="pct"/>
        <w:tblCellMar>
          <w:left w:w="0" w:type="dxa"/>
          <w:right w:w="28" w:type="dxa"/>
        </w:tblCellMar>
        <w:tblLook w:val="04A0" w:firstRow="1" w:lastRow="0" w:firstColumn="1" w:lastColumn="0" w:noHBand="0" w:noVBand="1"/>
      </w:tblPr>
      <w:tblGrid>
        <w:gridCol w:w="2577"/>
        <w:gridCol w:w="747"/>
        <w:gridCol w:w="874"/>
        <w:gridCol w:w="891"/>
        <w:gridCol w:w="874"/>
        <w:gridCol w:w="874"/>
        <w:gridCol w:w="874"/>
      </w:tblGrid>
      <w:tr w:rsidR="006C211B" w:rsidRPr="006C211B" w14:paraId="6EC1728D" w14:textId="77777777" w:rsidTr="006C211B">
        <w:trPr>
          <w:trHeight w:hRule="exact" w:val="450"/>
        </w:trPr>
        <w:tc>
          <w:tcPr>
            <w:tcW w:w="1672" w:type="pct"/>
            <w:tcBorders>
              <w:top w:val="single" w:sz="4" w:space="0" w:color="auto"/>
              <w:left w:val="nil"/>
              <w:bottom w:val="nil"/>
              <w:right w:val="nil"/>
            </w:tcBorders>
            <w:shd w:val="clear" w:color="auto" w:fill="auto"/>
            <w:noWrap/>
            <w:vAlign w:val="bottom"/>
            <w:hideMark/>
          </w:tcPr>
          <w:p w14:paraId="616DAE6C" w14:textId="0889855C"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486" w:type="pct"/>
            <w:tcBorders>
              <w:top w:val="single" w:sz="4" w:space="0" w:color="auto"/>
              <w:left w:val="nil"/>
              <w:bottom w:val="single" w:sz="4" w:space="0" w:color="auto"/>
              <w:right w:val="nil"/>
            </w:tcBorders>
            <w:shd w:val="clear" w:color="auto" w:fill="auto"/>
            <w:noWrap/>
            <w:vAlign w:val="bottom"/>
            <w:hideMark/>
          </w:tcPr>
          <w:p w14:paraId="47C9478A"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Program</w:t>
            </w:r>
          </w:p>
        </w:tc>
        <w:tc>
          <w:tcPr>
            <w:tcW w:w="568" w:type="pct"/>
            <w:tcBorders>
              <w:top w:val="single" w:sz="4" w:space="0" w:color="auto"/>
              <w:left w:val="nil"/>
              <w:bottom w:val="single" w:sz="4" w:space="0" w:color="auto"/>
              <w:right w:val="nil"/>
            </w:tcBorders>
            <w:shd w:val="clear" w:color="000000" w:fill="E6E6E6"/>
            <w:vAlign w:val="bottom"/>
            <w:hideMark/>
          </w:tcPr>
          <w:p w14:paraId="0FCA5EF7" w14:textId="5B8FE3DC"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2021</w:t>
            </w:r>
            <w:r w:rsidR="00B33758">
              <w:rPr>
                <w:rFonts w:ascii="Arial" w:hAnsi="Arial" w:cs="Arial"/>
                <w:sz w:val="16"/>
                <w:szCs w:val="16"/>
              </w:rPr>
              <w:noBreakHyphen/>
            </w:r>
            <w:r w:rsidRPr="006C211B">
              <w:rPr>
                <w:rFonts w:ascii="Arial" w:hAnsi="Arial" w:cs="Arial"/>
                <w:sz w:val="16"/>
                <w:szCs w:val="16"/>
              </w:rPr>
              <w:t>22</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61A9D76F" w14:textId="471F879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2022</w:t>
            </w:r>
            <w:r w:rsidR="00B33758">
              <w:rPr>
                <w:rFonts w:ascii="Arial" w:hAnsi="Arial" w:cs="Arial"/>
                <w:sz w:val="16"/>
                <w:szCs w:val="16"/>
              </w:rPr>
              <w:noBreakHyphen/>
            </w:r>
            <w:r w:rsidRPr="006C211B">
              <w:rPr>
                <w:rFonts w:ascii="Arial" w:hAnsi="Arial" w:cs="Arial"/>
                <w:sz w:val="16"/>
                <w:szCs w:val="16"/>
              </w:rPr>
              <w:t>23</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4BBAB5E2" w14:textId="7D7102B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2023</w:t>
            </w:r>
            <w:r w:rsidR="00B33758">
              <w:rPr>
                <w:rFonts w:ascii="Arial" w:hAnsi="Arial" w:cs="Arial"/>
                <w:sz w:val="16"/>
                <w:szCs w:val="16"/>
              </w:rPr>
              <w:noBreakHyphen/>
            </w:r>
            <w:r w:rsidRPr="006C211B">
              <w:rPr>
                <w:rFonts w:ascii="Arial" w:hAnsi="Arial" w:cs="Arial"/>
                <w:sz w:val="16"/>
                <w:szCs w:val="16"/>
              </w:rPr>
              <w:t>24</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54E082E8" w14:textId="6F784A8B"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2024</w:t>
            </w:r>
            <w:r w:rsidR="00B33758">
              <w:rPr>
                <w:rFonts w:ascii="Arial" w:hAnsi="Arial" w:cs="Arial"/>
                <w:sz w:val="16"/>
                <w:szCs w:val="16"/>
              </w:rPr>
              <w:noBreakHyphen/>
            </w:r>
            <w:r w:rsidRPr="006C211B">
              <w:rPr>
                <w:rFonts w:ascii="Arial" w:hAnsi="Arial" w:cs="Arial"/>
                <w:sz w:val="16"/>
                <w:szCs w:val="16"/>
              </w:rPr>
              <w:t>25</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440AD606" w14:textId="0390DEB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2025</w:t>
            </w:r>
            <w:r w:rsidR="00B33758">
              <w:rPr>
                <w:rFonts w:ascii="Arial" w:hAnsi="Arial" w:cs="Arial"/>
                <w:sz w:val="16"/>
                <w:szCs w:val="16"/>
              </w:rPr>
              <w:noBreakHyphen/>
            </w:r>
            <w:r w:rsidRPr="006C211B">
              <w:rPr>
                <w:rFonts w:ascii="Arial" w:hAnsi="Arial" w:cs="Arial"/>
                <w:sz w:val="16"/>
                <w:szCs w:val="16"/>
              </w:rPr>
              <w:t>26</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r>
      <w:tr w:rsidR="006C211B" w:rsidRPr="006C211B" w14:paraId="2E5BA6A8" w14:textId="77777777" w:rsidTr="006C211B">
        <w:trPr>
          <w:trHeight w:hRule="exact" w:val="240"/>
        </w:trPr>
        <w:tc>
          <w:tcPr>
            <w:tcW w:w="1672" w:type="pct"/>
            <w:tcBorders>
              <w:top w:val="nil"/>
              <w:left w:val="nil"/>
              <w:bottom w:val="nil"/>
              <w:right w:val="nil"/>
            </w:tcBorders>
            <w:shd w:val="clear" w:color="auto" w:fill="auto"/>
            <w:vAlign w:val="bottom"/>
            <w:hideMark/>
          </w:tcPr>
          <w:p w14:paraId="0E548B47" w14:textId="77777777" w:rsidR="006C211B" w:rsidRPr="006C211B" w:rsidRDefault="006C211B" w:rsidP="006C211B">
            <w:pPr>
              <w:spacing w:after="0" w:line="240" w:lineRule="auto"/>
              <w:jc w:val="left"/>
              <w:rPr>
                <w:rFonts w:ascii="Arial" w:hAnsi="Arial" w:cs="Arial"/>
                <w:b/>
                <w:bCs/>
                <w:sz w:val="16"/>
                <w:szCs w:val="16"/>
              </w:rPr>
            </w:pPr>
            <w:r w:rsidRPr="006C211B">
              <w:rPr>
                <w:rFonts w:ascii="Arial" w:hAnsi="Arial" w:cs="Arial"/>
                <w:b/>
                <w:bCs/>
                <w:sz w:val="16"/>
                <w:szCs w:val="16"/>
              </w:rPr>
              <w:t>Payment measures</w:t>
            </w:r>
          </w:p>
        </w:tc>
        <w:tc>
          <w:tcPr>
            <w:tcW w:w="486" w:type="pct"/>
            <w:tcBorders>
              <w:top w:val="nil"/>
              <w:left w:val="nil"/>
              <w:bottom w:val="nil"/>
              <w:right w:val="nil"/>
            </w:tcBorders>
            <w:shd w:val="clear" w:color="auto" w:fill="auto"/>
            <w:noWrap/>
            <w:vAlign w:val="bottom"/>
            <w:hideMark/>
          </w:tcPr>
          <w:p w14:paraId="5C6FE69A" w14:textId="77777777" w:rsidR="006C211B" w:rsidRPr="006C211B" w:rsidRDefault="006C211B" w:rsidP="006C211B">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4BEE8A8B"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945E638"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99D9F27"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EEF6679"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13AF87C"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r>
      <w:tr w:rsidR="006C211B" w:rsidRPr="006C211B" w14:paraId="0B31BB78" w14:textId="77777777" w:rsidTr="006C211B">
        <w:trPr>
          <w:trHeight w:hRule="exact" w:val="225"/>
        </w:trPr>
        <w:tc>
          <w:tcPr>
            <w:tcW w:w="1672" w:type="pct"/>
            <w:tcBorders>
              <w:top w:val="nil"/>
              <w:left w:val="nil"/>
              <w:bottom w:val="nil"/>
              <w:right w:val="nil"/>
            </w:tcBorders>
            <w:shd w:val="clear" w:color="auto" w:fill="auto"/>
            <w:vAlign w:val="bottom"/>
            <w:hideMark/>
          </w:tcPr>
          <w:p w14:paraId="0D154D4E" w14:textId="6147A67C"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COVID</w:t>
            </w:r>
            <w:r w:rsidR="00B33758">
              <w:rPr>
                <w:rFonts w:ascii="Arial" w:hAnsi="Arial" w:cs="Arial"/>
                <w:sz w:val="16"/>
                <w:szCs w:val="16"/>
              </w:rPr>
              <w:noBreakHyphen/>
            </w:r>
            <w:r w:rsidRPr="006C211B">
              <w:rPr>
                <w:rFonts w:ascii="Arial" w:hAnsi="Arial" w:cs="Arial"/>
                <w:sz w:val="16"/>
                <w:szCs w:val="16"/>
              </w:rPr>
              <w:t>19 Economic Support</w:t>
            </w:r>
          </w:p>
        </w:tc>
        <w:tc>
          <w:tcPr>
            <w:tcW w:w="486" w:type="pct"/>
            <w:tcBorders>
              <w:top w:val="nil"/>
              <w:left w:val="nil"/>
              <w:bottom w:val="nil"/>
              <w:right w:val="nil"/>
            </w:tcBorders>
            <w:shd w:val="clear" w:color="auto" w:fill="auto"/>
            <w:noWrap/>
            <w:vAlign w:val="bottom"/>
            <w:hideMark/>
          </w:tcPr>
          <w:p w14:paraId="05436DC0"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06D60C0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C97777A"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9CF597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2A8E5E7"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488B26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1EA6D49A" w14:textId="77777777" w:rsidTr="006C211B">
        <w:trPr>
          <w:trHeight w:hRule="exact" w:val="225"/>
        </w:trPr>
        <w:tc>
          <w:tcPr>
            <w:tcW w:w="1672" w:type="pct"/>
            <w:tcBorders>
              <w:top w:val="nil"/>
              <w:left w:val="nil"/>
              <w:bottom w:val="nil"/>
              <w:right w:val="nil"/>
            </w:tcBorders>
            <w:shd w:val="clear" w:color="auto" w:fill="auto"/>
            <w:noWrap/>
            <w:vAlign w:val="bottom"/>
            <w:hideMark/>
          </w:tcPr>
          <w:p w14:paraId="0DF1A318"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0A0A818D"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018A9A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53,875 </w:t>
            </w:r>
          </w:p>
        </w:tc>
        <w:tc>
          <w:tcPr>
            <w:tcW w:w="568" w:type="pct"/>
            <w:tcBorders>
              <w:top w:val="nil"/>
              <w:left w:val="nil"/>
              <w:bottom w:val="nil"/>
              <w:right w:val="nil"/>
            </w:tcBorders>
            <w:shd w:val="clear" w:color="auto" w:fill="auto"/>
            <w:noWrap/>
            <w:vAlign w:val="bottom"/>
            <w:hideMark/>
          </w:tcPr>
          <w:p w14:paraId="5D325F89" w14:textId="41F3A6B2"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7087F71D" w14:textId="5C23D48C"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B200667" w14:textId="77BC6C9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06A2626E" w14:textId="6DFBDA9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73717746" w14:textId="77777777" w:rsidTr="006C211B">
        <w:trPr>
          <w:trHeight w:hRule="exact" w:val="675"/>
        </w:trPr>
        <w:tc>
          <w:tcPr>
            <w:tcW w:w="1672" w:type="pct"/>
            <w:tcBorders>
              <w:top w:val="nil"/>
              <w:left w:val="nil"/>
              <w:bottom w:val="nil"/>
              <w:right w:val="nil"/>
            </w:tcBorders>
            <w:shd w:val="clear" w:color="auto" w:fill="auto"/>
            <w:vAlign w:val="bottom"/>
            <w:hideMark/>
          </w:tcPr>
          <w:p w14:paraId="0136EC18" w14:textId="63E3887E"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COVID</w:t>
            </w:r>
            <w:r w:rsidR="00B33758">
              <w:rPr>
                <w:rFonts w:ascii="Arial" w:hAnsi="Arial" w:cs="Arial"/>
                <w:sz w:val="16"/>
                <w:szCs w:val="16"/>
              </w:rPr>
              <w:noBreakHyphen/>
            </w:r>
            <w:r w:rsidRPr="006C211B">
              <w:rPr>
                <w:rFonts w:ascii="Arial" w:hAnsi="Arial" w:cs="Arial"/>
                <w:sz w:val="16"/>
                <w:szCs w:val="16"/>
              </w:rPr>
              <w:t>19 Response Package</w:t>
            </w:r>
            <w:r w:rsidR="00B33758">
              <w:rPr>
                <w:rFonts w:ascii="Arial" w:hAnsi="Arial" w:cs="Arial"/>
                <w:sz w:val="16"/>
                <w:szCs w:val="16"/>
              </w:rPr>
              <w:t xml:space="preserve"> – </w:t>
            </w:r>
            <w:r w:rsidRPr="006C211B">
              <w:rPr>
                <w:rFonts w:ascii="Arial" w:hAnsi="Arial" w:cs="Arial"/>
                <w:sz w:val="16"/>
                <w:szCs w:val="16"/>
              </w:rPr>
              <w:t>guaranteeing Medicare and access to medicines</w:t>
            </w:r>
          </w:p>
        </w:tc>
        <w:tc>
          <w:tcPr>
            <w:tcW w:w="486" w:type="pct"/>
            <w:tcBorders>
              <w:top w:val="nil"/>
              <w:left w:val="nil"/>
              <w:bottom w:val="nil"/>
              <w:right w:val="nil"/>
            </w:tcBorders>
            <w:shd w:val="clear" w:color="auto" w:fill="auto"/>
            <w:noWrap/>
            <w:vAlign w:val="bottom"/>
            <w:hideMark/>
          </w:tcPr>
          <w:p w14:paraId="330C0785"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6F89590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328389F"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910DEF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745795A"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F4D4C3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B3C3F28" w14:textId="77777777" w:rsidTr="006C211B">
        <w:trPr>
          <w:trHeight w:hRule="exact" w:val="225"/>
        </w:trPr>
        <w:tc>
          <w:tcPr>
            <w:tcW w:w="1672" w:type="pct"/>
            <w:tcBorders>
              <w:top w:val="nil"/>
              <w:left w:val="nil"/>
              <w:bottom w:val="nil"/>
              <w:right w:val="nil"/>
            </w:tcBorders>
            <w:shd w:val="clear" w:color="auto" w:fill="auto"/>
            <w:noWrap/>
            <w:vAlign w:val="bottom"/>
            <w:hideMark/>
          </w:tcPr>
          <w:p w14:paraId="62F9B974"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214C8F41"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1206A9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14,494 </w:t>
            </w:r>
          </w:p>
        </w:tc>
        <w:tc>
          <w:tcPr>
            <w:tcW w:w="568" w:type="pct"/>
            <w:tcBorders>
              <w:top w:val="nil"/>
              <w:left w:val="nil"/>
              <w:bottom w:val="nil"/>
              <w:right w:val="nil"/>
            </w:tcBorders>
            <w:shd w:val="clear" w:color="auto" w:fill="auto"/>
            <w:noWrap/>
            <w:vAlign w:val="bottom"/>
            <w:hideMark/>
          </w:tcPr>
          <w:p w14:paraId="23A6ACC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8,862 </w:t>
            </w:r>
          </w:p>
        </w:tc>
        <w:tc>
          <w:tcPr>
            <w:tcW w:w="568" w:type="pct"/>
            <w:tcBorders>
              <w:top w:val="nil"/>
              <w:left w:val="nil"/>
              <w:bottom w:val="nil"/>
              <w:right w:val="nil"/>
            </w:tcBorders>
            <w:shd w:val="clear" w:color="000000" w:fill="E6E6E6"/>
            <w:noWrap/>
            <w:vAlign w:val="bottom"/>
            <w:hideMark/>
          </w:tcPr>
          <w:p w14:paraId="4C3F1A6B" w14:textId="3B2AA9C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BE569B1" w14:textId="03AD2FB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1B147795" w14:textId="4F985D0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3D23A7B9" w14:textId="77777777" w:rsidTr="006C211B">
        <w:trPr>
          <w:trHeight w:hRule="exact" w:val="675"/>
        </w:trPr>
        <w:tc>
          <w:tcPr>
            <w:tcW w:w="1672" w:type="pct"/>
            <w:tcBorders>
              <w:top w:val="nil"/>
              <w:left w:val="nil"/>
              <w:bottom w:val="nil"/>
              <w:right w:val="nil"/>
            </w:tcBorders>
            <w:shd w:val="clear" w:color="auto" w:fill="auto"/>
            <w:vAlign w:val="bottom"/>
            <w:hideMark/>
          </w:tcPr>
          <w:p w14:paraId="514FCBEE" w14:textId="0DBA215B"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COVID</w:t>
            </w:r>
            <w:r w:rsidR="00B33758">
              <w:rPr>
                <w:rFonts w:ascii="Arial" w:hAnsi="Arial" w:cs="Arial"/>
                <w:sz w:val="16"/>
                <w:szCs w:val="16"/>
              </w:rPr>
              <w:noBreakHyphen/>
            </w:r>
            <w:r w:rsidRPr="006C211B">
              <w:rPr>
                <w:rFonts w:ascii="Arial" w:hAnsi="Arial" w:cs="Arial"/>
                <w:sz w:val="16"/>
                <w:szCs w:val="16"/>
              </w:rPr>
              <w:t>19 Response Package</w:t>
            </w:r>
            <w:r w:rsidR="00B33758">
              <w:rPr>
                <w:rFonts w:ascii="Arial" w:hAnsi="Arial" w:cs="Arial"/>
                <w:sz w:val="16"/>
                <w:szCs w:val="16"/>
              </w:rPr>
              <w:t xml:space="preserve"> – </w:t>
            </w:r>
            <w:r w:rsidRPr="006C211B">
              <w:rPr>
                <w:rFonts w:ascii="Arial" w:hAnsi="Arial" w:cs="Arial"/>
                <w:sz w:val="16"/>
                <w:szCs w:val="16"/>
              </w:rPr>
              <w:t>personal protective equipment and rapid antigen tests (a)</w:t>
            </w:r>
          </w:p>
        </w:tc>
        <w:tc>
          <w:tcPr>
            <w:tcW w:w="486" w:type="pct"/>
            <w:tcBorders>
              <w:top w:val="nil"/>
              <w:left w:val="nil"/>
              <w:bottom w:val="nil"/>
              <w:right w:val="nil"/>
            </w:tcBorders>
            <w:shd w:val="clear" w:color="auto" w:fill="auto"/>
            <w:noWrap/>
            <w:vAlign w:val="bottom"/>
            <w:hideMark/>
          </w:tcPr>
          <w:p w14:paraId="7D4F4099"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646E374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34C596A"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30F2C8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82CC63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8BCC6C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3D93CF22" w14:textId="77777777" w:rsidTr="006C211B">
        <w:trPr>
          <w:trHeight w:hRule="exact" w:val="225"/>
        </w:trPr>
        <w:tc>
          <w:tcPr>
            <w:tcW w:w="1672" w:type="pct"/>
            <w:tcBorders>
              <w:top w:val="nil"/>
              <w:left w:val="nil"/>
              <w:bottom w:val="nil"/>
              <w:right w:val="nil"/>
            </w:tcBorders>
            <w:shd w:val="clear" w:color="auto" w:fill="auto"/>
            <w:noWrap/>
            <w:vAlign w:val="bottom"/>
            <w:hideMark/>
          </w:tcPr>
          <w:p w14:paraId="1BE64AB6"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CCCEE2C"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CDA07D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67,169 </w:t>
            </w:r>
          </w:p>
        </w:tc>
        <w:tc>
          <w:tcPr>
            <w:tcW w:w="568" w:type="pct"/>
            <w:tcBorders>
              <w:top w:val="nil"/>
              <w:left w:val="nil"/>
              <w:bottom w:val="nil"/>
              <w:right w:val="nil"/>
            </w:tcBorders>
            <w:shd w:val="clear" w:color="auto" w:fill="auto"/>
            <w:noWrap/>
            <w:vAlign w:val="bottom"/>
            <w:hideMark/>
          </w:tcPr>
          <w:p w14:paraId="236AC44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(95,260)</w:t>
            </w:r>
          </w:p>
        </w:tc>
        <w:tc>
          <w:tcPr>
            <w:tcW w:w="568" w:type="pct"/>
            <w:tcBorders>
              <w:top w:val="nil"/>
              <w:left w:val="nil"/>
              <w:bottom w:val="nil"/>
              <w:right w:val="nil"/>
            </w:tcBorders>
            <w:shd w:val="clear" w:color="000000" w:fill="E6E6E6"/>
            <w:noWrap/>
            <w:vAlign w:val="bottom"/>
            <w:hideMark/>
          </w:tcPr>
          <w:p w14:paraId="51F7B798" w14:textId="609E315B"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74B3516" w14:textId="1780CF44"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0B4051EE" w14:textId="5551DB78"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4CFA2A0A" w14:textId="77777777" w:rsidTr="006C211B">
        <w:trPr>
          <w:trHeight w:hRule="exact" w:val="675"/>
        </w:trPr>
        <w:tc>
          <w:tcPr>
            <w:tcW w:w="1672" w:type="pct"/>
            <w:tcBorders>
              <w:top w:val="nil"/>
              <w:left w:val="nil"/>
              <w:bottom w:val="nil"/>
              <w:right w:val="nil"/>
            </w:tcBorders>
            <w:shd w:val="clear" w:color="auto" w:fill="auto"/>
            <w:vAlign w:val="bottom"/>
            <w:hideMark/>
          </w:tcPr>
          <w:p w14:paraId="6A7E239D" w14:textId="2D565C2D"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COVID</w:t>
            </w:r>
            <w:r w:rsidR="00B33758">
              <w:rPr>
                <w:rFonts w:ascii="Arial" w:hAnsi="Arial" w:cs="Arial"/>
                <w:sz w:val="16"/>
                <w:szCs w:val="16"/>
              </w:rPr>
              <w:noBreakHyphen/>
            </w:r>
            <w:r w:rsidRPr="006C211B">
              <w:rPr>
                <w:rFonts w:ascii="Arial" w:hAnsi="Arial" w:cs="Arial"/>
                <w:sz w:val="16"/>
                <w:szCs w:val="16"/>
              </w:rPr>
              <w:t>19 Response Package</w:t>
            </w:r>
            <w:r w:rsidR="00B33758">
              <w:rPr>
                <w:rFonts w:ascii="Arial" w:hAnsi="Arial" w:cs="Arial"/>
                <w:sz w:val="16"/>
                <w:szCs w:val="16"/>
              </w:rPr>
              <w:t xml:space="preserve"> – </w:t>
            </w:r>
            <w:r w:rsidRPr="006C211B">
              <w:rPr>
                <w:rFonts w:ascii="Arial" w:hAnsi="Arial" w:cs="Arial"/>
                <w:sz w:val="16"/>
                <w:szCs w:val="16"/>
              </w:rPr>
              <w:t>supporting hospitals and emergency response extension</w:t>
            </w:r>
          </w:p>
        </w:tc>
        <w:tc>
          <w:tcPr>
            <w:tcW w:w="486" w:type="pct"/>
            <w:tcBorders>
              <w:top w:val="nil"/>
              <w:left w:val="nil"/>
              <w:bottom w:val="nil"/>
              <w:right w:val="nil"/>
            </w:tcBorders>
            <w:shd w:val="clear" w:color="auto" w:fill="auto"/>
            <w:noWrap/>
            <w:vAlign w:val="bottom"/>
            <w:hideMark/>
          </w:tcPr>
          <w:p w14:paraId="04293D31"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3D1D3DA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5D2A94D"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DB5B7F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F5EE255"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61DB6C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DFE9107" w14:textId="77777777" w:rsidTr="006C211B">
        <w:trPr>
          <w:trHeight w:hRule="exact" w:val="225"/>
        </w:trPr>
        <w:tc>
          <w:tcPr>
            <w:tcW w:w="1672" w:type="pct"/>
            <w:tcBorders>
              <w:top w:val="nil"/>
              <w:left w:val="nil"/>
              <w:bottom w:val="nil"/>
              <w:right w:val="nil"/>
            </w:tcBorders>
            <w:shd w:val="clear" w:color="auto" w:fill="auto"/>
            <w:noWrap/>
            <w:vAlign w:val="bottom"/>
            <w:hideMark/>
          </w:tcPr>
          <w:p w14:paraId="342BA67D"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099ECF9F"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C8FC1CF" w14:textId="5BFF2FAE"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20ADAC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982,488 </w:t>
            </w:r>
          </w:p>
        </w:tc>
        <w:tc>
          <w:tcPr>
            <w:tcW w:w="568" w:type="pct"/>
            <w:tcBorders>
              <w:top w:val="nil"/>
              <w:left w:val="nil"/>
              <w:bottom w:val="nil"/>
              <w:right w:val="nil"/>
            </w:tcBorders>
            <w:shd w:val="clear" w:color="000000" w:fill="E6E6E6"/>
            <w:noWrap/>
            <w:vAlign w:val="bottom"/>
            <w:hideMark/>
          </w:tcPr>
          <w:p w14:paraId="157796BA" w14:textId="75FECFE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7DE2B46" w14:textId="271E9641"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112EDDC5" w14:textId="7FE112F1"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4F86AD1C" w14:textId="77777777" w:rsidTr="006C211B">
        <w:trPr>
          <w:trHeight w:hRule="exact" w:val="450"/>
        </w:trPr>
        <w:tc>
          <w:tcPr>
            <w:tcW w:w="1672" w:type="pct"/>
            <w:tcBorders>
              <w:top w:val="nil"/>
              <w:left w:val="nil"/>
              <w:bottom w:val="nil"/>
              <w:right w:val="nil"/>
            </w:tcBorders>
            <w:shd w:val="clear" w:color="auto" w:fill="auto"/>
            <w:vAlign w:val="bottom"/>
            <w:hideMark/>
          </w:tcPr>
          <w:p w14:paraId="3A0E97CE" w14:textId="4C51CB1F"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COVID</w:t>
            </w:r>
            <w:r w:rsidR="00B33758">
              <w:rPr>
                <w:rFonts w:ascii="Arial" w:hAnsi="Arial" w:cs="Arial"/>
                <w:sz w:val="16"/>
                <w:szCs w:val="16"/>
              </w:rPr>
              <w:noBreakHyphen/>
            </w:r>
            <w:r w:rsidRPr="006C211B">
              <w:rPr>
                <w:rFonts w:ascii="Arial" w:hAnsi="Arial" w:cs="Arial"/>
                <w:sz w:val="16"/>
                <w:szCs w:val="16"/>
              </w:rPr>
              <w:t>19 Response Package —vaccines and treatments (a)(c)</w:t>
            </w:r>
          </w:p>
        </w:tc>
        <w:tc>
          <w:tcPr>
            <w:tcW w:w="486" w:type="pct"/>
            <w:tcBorders>
              <w:top w:val="nil"/>
              <w:left w:val="nil"/>
              <w:bottom w:val="nil"/>
              <w:right w:val="nil"/>
            </w:tcBorders>
            <w:shd w:val="clear" w:color="auto" w:fill="auto"/>
            <w:noWrap/>
            <w:vAlign w:val="bottom"/>
            <w:hideMark/>
          </w:tcPr>
          <w:p w14:paraId="5CE280A4"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786E065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FF7287B"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7D8B28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F46AA1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4F7BFD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AA8E274" w14:textId="77777777" w:rsidTr="006C211B">
        <w:trPr>
          <w:trHeight w:hRule="exact" w:val="225"/>
        </w:trPr>
        <w:tc>
          <w:tcPr>
            <w:tcW w:w="1672" w:type="pct"/>
            <w:tcBorders>
              <w:top w:val="nil"/>
              <w:left w:val="nil"/>
              <w:bottom w:val="nil"/>
              <w:right w:val="nil"/>
            </w:tcBorders>
            <w:shd w:val="clear" w:color="auto" w:fill="auto"/>
            <w:noWrap/>
            <w:vAlign w:val="bottom"/>
            <w:hideMark/>
          </w:tcPr>
          <w:p w14:paraId="7CABF27F"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B82DE7B"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69E07B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479A30F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c>
          <w:tcPr>
            <w:tcW w:w="568" w:type="pct"/>
            <w:tcBorders>
              <w:top w:val="nil"/>
              <w:left w:val="nil"/>
              <w:bottom w:val="nil"/>
              <w:right w:val="nil"/>
            </w:tcBorders>
            <w:shd w:val="clear" w:color="000000" w:fill="E6E6E6"/>
            <w:noWrap/>
            <w:vAlign w:val="bottom"/>
            <w:hideMark/>
          </w:tcPr>
          <w:p w14:paraId="01559D3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4C7D423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c>
          <w:tcPr>
            <w:tcW w:w="568" w:type="pct"/>
            <w:tcBorders>
              <w:top w:val="nil"/>
              <w:left w:val="nil"/>
              <w:bottom w:val="nil"/>
              <w:right w:val="nil"/>
            </w:tcBorders>
            <w:shd w:val="clear" w:color="000000" w:fill="E6E6E6"/>
            <w:noWrap/>
            <w:vAlign w:val="bottom"/>
            <w:hideMark/>
          </w:tcPr>
          <w:p w14:paraId="7C62F04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r>
      <w:tr w:rsidR="006C211B" w:rsidRPr="006C211B" w14:paraId="72DC3F14" w14:textId="77777777" w:rsidTr="006C211B">
        <w:trPr>
          <w:trHeight w:hRule="exact" w:val="900"/>
        </w:trPr>
        <w:tc>
          <w:tcPr>
            <w:tcW w:w="1672" w:type="pct"/>
            <w:tcBorders>
              <w:top w:val="nil"/>
              <w:left w:val="nil"/>
              <w:bottom w:val="nil"/>
              <w:right w:val="nil"/>
            </w:tcBorders>
            <w:shd w:val="clear" w:color="auto" w:fill="auto"/>
            <w:vAlign w:val="bottom"/>
            <w:hideMark/>
          </w:tcPr>
          <w:p w14:paraId="3C047659"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Development of Future Support for Improved Outcomes for Indigenous Australians in the Northern Territory (a)</w:t>
            </w:r>
          </w:p>
        </w:tc>
        <w:tc>
          <w:tcPr>
            <w:tcW w:w="486" w:type="pct"/>
            <w:tcBorders>
              <w:top w:val="nil"/>
              <w:left w:val="nil"/>
              <w:bottom w:val="nil"/>
              <w:right w:val="nil"/>
            </w:tcBorders>
            <w:shd w:val="clear" w:color="auto" w:fill="auto"/>
            <w:noWrap/>
            <w:vAlign w:val="bottom"/>
            <w:hideMark/>
          </w:tcPr>
          <w:p w14:paraId="123D1811"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4CD0EE9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65DC2FE"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60E3D3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B4FA153"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8ECE36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269752C9" w14:textId="77777777" w:rsidTr="006C211B">
        <w:trPr>
          <w:trHeight w:hRule="exact" w:val="225"/>
        </w:trPr>
        <w:tc>
          <w:tcPr>
            <w:tcW w:w="1672" w:type="pct"/>
            <w:tcBorders>
              <w:top w:val="nil"/>
              <w:left w:val="nil"/>
              <w:bottom w:val="nil"/>
              <w:right w:val="nil"/>
            </w:tcBorders>
            <w:shd w:val="clear" w:color="auto" w:fill="auto"/>
            <w:noWrap/>
            <w:vAlign w:val="bottom"/>
            <w:hideMark/>
          </w:tcPr>
          <w:p w14:paraId="066CD49C"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18251F58"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3302F0F" w14:textId="466A479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4A8A4637" w14:textId="2223FC11"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35B477CF" w14:textId="1A6168C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67651325" w14:textId="0EEE76DC"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2B9C4F34" w14:textId="15CC38E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424E7A60" w14:textId="77777777" w:rsidTr="006C211B">
        <w:trPr>
          <w:trHeight w:hRule="exact" w:val="225"/>
        </w:trPr>
        <w:tc>
          <w:tcPr>
            <w:tcW w:w="1672" w:type="pct"/>
            <w:tcBorders>
              <w:top w:val="nil"/>
              <w:left w:val="nil"/>
              <w:bottom w:val="nil"/>
              <w:right w:val="nil"/>
            </w:tcBorders>
            <w:shd w:val="clear" w:color="auto" w:fill="auto"/>
            <w:vAlign w:val="bottom"/>
            <w:hideMark/>
          </w:tcPr>
          <w:p w14:paraId="164FBB25"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Digital Economy Strategy (b)</w:t>
            </w:r>
          </w:p>
        </w:tc>
        <w:tc>
          <w:tcPr>
            <w:tcW w:w="486" w:type="pct"/>
            <w:tcBorders>
              <w:top w:val="nil"/>
              <w:left w:val="nil"/>
              <w:bottom w:val="nil"/>
              <w:right w:val="nil"/>
            </w:tcBorders>
            <w:shd w:val="clear" w:color="auto" w:fill="auto"/>
            <w:noWrap/>
            <w:vAlign w:val="bottom"/>
            <w:hideMark/>
          </w:tcPr>
          <w:p w14:paraId="0BCB30EB"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1.1</w:t>
            </w:r>
          </w:p>
        </w:tc>
        <w:tc>
          <w:tcPr>
            <w:tcW w:w="568" w:type="pct"/>
            <w:tcBorders>
              <w:top w:val="nil"/>
              <w:left w:val="nil"/>
              <w:bottom w:val="nil"/>
              <w:right w:val="nil"/>
            </w:tcBorders>
            <w:shd w:val="clear" w:color="000000" w:fill="E6E6E6"/>
            <w:noWrap/>
            <w:vAlign w:val="bottom"/>
            <w:hideMark/>
          </w:tcPr>
          <w:p w14:paraId="0D205CE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D97A503"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DA2414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4AFFF50"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EE27FD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17E0B42B"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7B97B9B"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Departmental payments</w:t>
            </w:r>
          </w:p>
        </w:tc>
        <w:tc>
          <w:tcPr>
            <w:tcW w:w="486" w:type="pct"/>
            <w:tcBorders>
              <w:top w:val="nil"/>
              <w:left w:val="nil"/>
              <w:bottom w:val="nil"/>
              <w:right w:val="nil"/>
            </w:tcBorders>
            <w:shd w:val="clear" w:color="auto" w:fill="auto"/>
            <w:noWrap/>
            <w:vAlign w:val="bottom"/>
            <w:hideMark/>
          </w:tcPr>
          <w:p w14:paraId="01C7D522"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A483B70" w14:textId="58A7572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701D197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3,914 </w:t>
            </w:r>
          </w:p>
        </w:tc>
        <w:tc>
          <w:tcPr>
            <w:tcW w:w="568" w:type="pct"/>
            <w:tcBorders>
              <w:top w:val="nil"/>
              <w:left w:val="nil"/>
              <w:bottom w:val="nil"/>
              <w:right w:val="nil"/>
            </w:tcBorders>
            <w:shd w:val="clear" w:color="000000" w:fill="E6E6E6"/>
            <w:noWrap/>
            <w:vAlign w:val="bottom"/>
            <w:hideMark/>
          </w:tcPr>
          <w:p w14:paraId="2767030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8,366 </w:t>
            </w:r>
          </w:p>
        </w:tc>
        <w:tc>
          <w:tcPr>
            <w:tcW w:w="568" w:type="pct"/>
            <w:tcBorders>
              <w:top w:val="nil"/>
              <w:left w:val="nil"/>
              <w:bottom w:val="nil"/>
              <w:right w:val="nil"/>
            </w:tcBorders>
            <w:shd w:val="clear" w:color="auto" w:fill="auto"/>
            <w:noWrap/>
            <w:vAlign w:val="bottom"/>
            <w:hideMark/>
          </w:tcPr>
          <w:p w14:paraId="35EB4BA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8,366 </w:t>
            </w:r>
          </w:p>
        </w:tc>
        <w:tc>
          <w:tcPr>
            <w:tcW w:w="568" w:type="pct"/>
            <w:tcBorders>
              <w:top w:val="nil"/>
              <w:left w:val="nil"/>
              <w:bottom w:val="nil"/>
              <w:right w:val="nil"/>
            </w:tcBorders>
            <w:shd w:val="clear" w:color="000000" w:fill="E6E6E6"/>
            <w:noWrap/>
            <w:vAlign w:val="bottom"/>
            <w:hideMark/>
          </w:tcPr>
          <w:p w14:paraId="1EC21D0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8,366 </w:t>
            </w:r>
          </w:p>
        </w:tc>
      </w:tr>
      <w:tr w:rsidR="006C211B" w:rsidRPr="006C211B" w14:paraId="44606B56" w14:textId="77777777" w:rsidTr="006C211B">
        <w:trPr>
          <w:trHeight w:hRule="exact" w:val="225"/>
        </w:trPr>
        <w:tc>
          <w:tcPr>
            <w:tcW w:w="1672" w:type="pct"/>
            <w:tcBorders>
              <w:top w:val="nil"/>
              <w:left w:val="nil"/>
              <w:bottom w:val="nil"/>
              <w:right w:val="nil"/>
            </w:tcBorders>
            <w:shd w:val="clear" w:color="auto" w:fill="auto"/>
            <w:vAlign w:val="bottom"/>
            <w:hideMark/>
          </w:tcPr>
          <w:p w14:paraId="226C9D8E"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Disaster Support</w:t>
            </w:r>
          </w:p>
        </w:tc>
        <w:tc>
          <w:tcPr>
            <w:tcW w:w="486" w:type="pct"/>
            <w:tcBorders>
              <w:top w:val="nil"/>
              <w:left w:val="nil"/>
              <w:bottom w:val="nil"/>
              <w:right w:val="nil"/>
            </w:tcBorders>
            <w:shd w:val="clear" w:color="auto" w:fill="auto"/>
            <w:noWrap/>
            <w:vAlign w:val="bottom"/>
            <w:hideMark/>
          </w:tcPr>
          <w:p w14:paraId="3BE51273"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5E0192A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D63F871"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F3EF6D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D90969C"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EEEA5E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ACFF61C"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2028DD8"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77087BDF"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B850323" w14:textId="576F18C5"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58D6298F" w14:textId="5A471784"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2B05369B" w14:textId="5694F3F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020CA21E" w14:textId="0C4EC53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39B40927" w14:textId="6D4D7368"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70626693" w14:textId="77777777" w:rsidTr="006C211B">
        <w:trPr>
          <w:trHeight w:hRule="exact" w:val="225"/>
        </w:trPr>
        <w:tc>
          <w:tcPr>
            <w:tcW w:w="1672" w:type="pct"/>
            <w:tcBorders>
              <w:top w:val="nil"/>
              <w:left w:val="nil"/>
              <w:bottom w:val="nil"/>
              <w:right w:val="nil"/>
            </w:tcBorders>
            <w:shd w:val="clear" w:color="auto" w:fill="auto"/>
            <w:vAlign w:val="bottom"/>
            <w:hideMark/>
          </w:tcPr>
          <w:p w14:paraId="272171F5"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Fighting Cancer</w:t>
            </w:r>
          </w:p>
        </w:tc>
        <w:tc>
          <w:tcPr>
            <w:tcW w:w="486" w:type="pct"/>
            <w:tcBorders>
              <w:top w:val="nil"/>
              <w:left w:val="nil"/>
              <w:bottom w:val="nil"/>
              <w:right w:val="nil"/>
            </w:tcBorders>
            <w:shd w:val="clear" w:color="auto" w:fill="auto"/>
            <w:noWrap/>
            <w:vAlign w:val="bottom"/>
            <w:hideMark/>
          </w:tcPr>
          <w:p w14:paraId="491D790E"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0AB9D8A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6B8DB28"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CBC3D4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C8701DD"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25F62E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39639329" w14:textId="77777777" w:rsidTr="006C211B">
        <w:trPr>
          <w:trHeight w:hRule="exact" w:val="225"/>
        </w:trPr>
        <w:tc>
          <w:tcPr>
            <w:tcW w:w="1672" w:type="pct"/>
            <w:tcBorders>
              <w:top w:val="nil"/>
              <w:left w:val="nil"/>
              <w:bottom w:val="nil"/>
              <w:right w:val="nil"/>
            </w:tcBorders>
            <w:shd w:val="clear" w:color="auto" w:fill="auto"/>
            <w:noWrap/>
            <w:vAlign w:val="bottom"/>
            <w:hideMark/>
          </w:tcPr>
          <w:p w14:paraId="0A05FEC1"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230AF494"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65589A9" w14:textId="7B52B05D"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4A8F059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58,343 </w:t>
            </w:r>
          </w:p>
        </w:tc>
        <w:tc>
          <w:tcPr>
            <w:tcW w:w="568" w:type="pct"/>
            <w:tcBorders>
              <w:top w:val="nil"/>
              <w:left w:val="nil"/>
              <w:bottom w:val="nil"/>
              <w:right w:val="nil"/>
            </w:tcBorders>
            <w:shd w:val="clear" w:color="000000" w:fill="E6E6E6"/>
            <w:noWrap/>
            <w:vAlign w:val="bottom"/>
            <w:hideMark/>
          </w:tcPr>
          <w:p w14:paraId="6BD5582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105,931 </w:t>
            </w:r>
          </w:p>
        </w:tc>
        <w:tc>
          <w:tcPr>
            <w:tcW w:w="568" w:type="pct"/>
            <w:tcBorders>
              <w:top w:val="nil"/>
              <w:left w:val="nil"/>
              <w:bottom w:val="nil"/>
              <w:right w:val="nil"/>
            </w:tcBorders>
            <w:shd w:val="clear" w:color="auto" w:fill="auto"/>
            <w:noWrap/>
            <w:vAlign w:val="bottom"/>
            <w:hideMark/>
          </w:tcPr>
          <w:p w14:paraId="72A4A1A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199,471 </w:t>
            </w:r>
          </w:p>
        </w:tc>
        <w:tc>
          <w:tcPr>
            <w:tcW w:w="568" w:type="pct"/>
            <w:tcBorders>
              <w:top w:val="nil"/>
              <w:left w:val="nil"/>
              <w:bottom w:val="nil"/>
              <w:right w:val="nil"/>
            </w:tcBorders>
            <w:shd w:val="clear" w:color="000000" w:fill="E6E6E6"/>
            <w:noWrap/>
            <w:vAlign w:val="bottom"/>
            <w:hideMark/>
          </w:tcPr>
          <w:p w14:paraId="30DA14F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11,292 </w:t>
            </w:r>
          </w:p>
        </w:tc>
      </w:tr>
      <w:tr w:rsidR="006C211B" w:rsidRPr="006C211B" w14:paraId="4CEAF6C5" w14:textId="77777777" w:rsidTr="006C211B">
        <w:trPr>
          <w:trHeight w:hRule="exact" w:val="225"/>
        </w:trPr>
        <w:tc>
          <w:tcPr>
            <w:tcW w:w="1672" w:type="pct"/>
            <w:tcBorders>
              <w:top w:val="nil"/>
              <w:left w:val="nil"/>
              <w:bottom w:val="nil"/>
              <w:right w:val="nil"/>
            </w:tcBorders>
            <w:shd w:val="clear" w:color="auto" w:fill="auto"/>
            <w:vAlign w:val="bottom"/>
            <w:hideMark/>
          </w:tcPr>
          <w:p w14:paraId="3C116BA7"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Flood Package</w:t>
            </w:r>
          </w:p>
        </w:tc>
        <w:tc>
          <w:tcPr>
            <w:tcW w:w="486" w:type="pct"/>
            <w:tcBorders>
              <w:top w:val="nil"/>
              <w:left w:val="nil"/>
              <w:bottom w:val="nil"/>
              <w:right w:val="nil"/>
            </w:tcBorders>
            <w:shd w:val="clear" w:color="auto" w:fill="auto"/>
            <w:noWrap/>
            <w:vAlign w:val="bottom"/>
            <w:hideMark/>
          </w:tcPr>
          <w:p w14:paraId="035BC4C2"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7297E6D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87FD84A"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B99776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986B987"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0886DD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21A124EE" w14:textId="77777777" w:rsidTr="006C211B">
        <w:trPr>
          <w:trHeight w:hRule="exact" w:val="225"/>
        </w:trPr>
        <w:tc>
          <w:tcPr>
            <w:tcW w:w="1672" w:type="pct"/>
            <w:tcBorders>
              <w:top w:val="nil"/>
              <w:left w:val="nil"/>
              <w:bottom w:val="nil"/>
              <w:right w:val="nil"/>
            </w:tcBorders>
            <w:shd w:val="clear" w:color="auto" w:fill="auto"/>
            <w:noWrap/>
            <w:vAlign w:val="bottom"/>
            <w:hideMark/>
          </w:tcPr>
          <w:p w14:paraId="6D09D4B5"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2D32083C"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372AF9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154,209 </w:t>
            </w:r>
          </w:p>
        </w:tc>
        <w:tc>
          <w:tcPr>
            <w:tcW w:w="568" w:type="pct"/>
            <w:tcBorders>
              <w:top w:val="nil"/>
              <w:left w:val="nil"/>
              <w:bottom w:val="nil"/>
              <w:right w:val="nil"/>
            </w:tcBorders>
            <w:shd w:val="clear" w:color="auto" w:fill="auto"/>
            <w:noWrap/>
            <w:vAlign w:val="bottom"/>
            <w:hideMark/>
          </w:tcPr>
          <w:p w14:paraId="11C77D9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1,195,540 </w:t>
            </w:r>
          </w:p>
        </w:tc>
        <w:tc>
          <w:tcPr>
            <w:tcW w:w="568" w:type="pct"/>
            <w:tcBorders>
              <w:top w:val="nil"/>
              <w:left w:val="nil"/>
              <w:bottom w:val="nil"/>
              <w:right w:val="nil"/>
            </w:tcBorders>
            <w:shd w:val="clear" w:color="000000" w:fill="E6E6E6"/>
            <w:noWrap/>
            <w:vAlign w:val="bottom"/>
            <w:hideMark/>
          </w:tcPr>
          <w:p w14:paraId="2D28D641" w14:textId="24E14CC2"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12B04665" w14:textId="2D06A382"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0F894ECF" w14:textId="1F5E00D5"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37E8FB12" w14:textId="77777777" w:rsidTr="006C211B">
        <w:trPr>
          <w:trHeight w:hRule="exact" w:val="450"/>
        </w:trPr>
        <w:tc>
          <w:tcPr>
            <w:tcW w:w="1672" w:type="pct"/>
            <w:tcBorders>
              <w:top w:val="nil"/>
              <w:left w:val="nil"/>
              <w:bottom w:val="nil"/>
              <w:right w:val="nil"/>
            </w:tcBorders>
            <w:shd w:val="clear" w:color="auto" w:fill="auto"/>
            <w:vAlign w:val="bottom"/>
            <w:hideMark/>
          </w:tcPr>
          <w:p w14:paraId="3E128E1C" w14:textId="55493BF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Forestry and Fishing</w:t>
            </w:r>
            <w:r w:rsidR="00B33758">
              <w:rPr>
                <w:rFonts w:ascii="Arial" w:hAnsi="Arial" w:cs="Arial"/>
                <w:sz w:val="16"/>
                <w:szCs w:val="16"/>
              </w:rPr>
              <w:t xml:space="preserve"> – </w:t>
            </w:r>
            <w:r w:rsidRPr="006C211B">
              <w:rPr>
                <w:rFonts w:ascii="Arial" w:hAnsi="Arial" w:cs="Arial"/>
                <w:sz w:val="16"/>
                <w:szCs w:val="16"/>
              </w:rPr>
              <w:t>supporting the forestry and fishery industry (b)</w:t>
            </w:r>
          </w:p>
        </w:tc>
        <w:tc>
          <w:tcPr>
            <w:tcW w:w="486" w:type="pct"/>
            <w:tcBorders>
              <w:top w:val="nil"/>
              <w:left w:val="nil"/>
              <w:bottom w:val="nil"/>
              <w:right w:val="nil"/>
            </w:tcBorders>
            <w:shd w:val="clear" w:color="auto" w:fill="auto"/>
            <w:noWrap/>
            <w:vAlign w:val="bottom"/>
            <w:hideMark/>
          </w:tcPr>
          <w:p w14:paraId="68E2A53B"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59E9B93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672C18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B77366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76DF517"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06042A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01CD6F22" w14:textId="77777777" w:rsidTr="006C211B">
        <w:trPr>
          <w:trHeight w:hRule="exact" w:val="225"/>
        </w:trPr>
        <w:tc>
          <w:tcPr>
            <w:tcW w:w="1672" w:type="pct"/>
            <w:tcBorders>
              <w:top w:val="nil"/>
              <w:left w:val="nil"/>
              <w:bottom w:val="nil"/>
              <w:right w:val="nil"/>
            </w:tcBorders>
            <w:shd w:val="clear" w:color="auto" w:fill="auto"/>
            <w:noWrap/>
            <w:vAlign w:val="bottom"/>
            <w:hideMark/>
          </w:tcPr>
          <w:p w14:paraId="7FF4C09F"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B8E80DB"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4F23D61" w14:textId="252E54FC"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6C299AC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10,000 </w:t>
            </w:r>
          </w:p>
        </w:tc>
        <w:tc>
          <w:tcPr>
            <w:tcW w:w="568" w:type="pct"/>
            <w:tcBorders>
              <w:top w:val="nil"/>
              <w:left w:val="nil"/>
              <w:bottom w:val="nil"/>
              <w:right w:val="nil"/>
            </w:tcBorders>
            <w:shd w:val="clear" w:color="000000" w:fill="E6E6E6"/>
            <w:noWrap/>
            <w:vAlign w:val="bottom"/>
            <w:hideMark/>
          </w:tcPr>
          <w:p w14:paraId="1323139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25,000 </w:t>
            </w:r>
          </w:p>
        </w:tc>
        <w:tc>
          <w:tcPr>
            <w:tcW w:w="568" w:type="pct"/>
            <w:tcBorders>
              <w:top w:val="nil"/>
              <w:left w:val="nil"/>
              <w:bottom w:val="nil"/>
              <w:right w:val="nil"/>
            </w:tcBorders>
            <w:shd w:val="clear" w:color="auto" w:fill="auto"/>
            <w:noWrap/>
            <w:vAlign w:val="bottom"/>
            <w:hideMark/>
          </w:tcPr>
          <w:p w14:paraId="43B35F4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30,000 </w:t>
            </w:r>
          </w:p>
        </w:tc>
        <w:tc>
          <w:tcPr>
            <w:tcW w:w="568" w:type="pct"/>
            <w:tcBorders>
              <w:top w:val="nil"/>
              <w:left w:val="nil"/>
              <w:bottom w:val="nil"/>
              <w:right w:val="nil"/>
            </w:tcBorders>
            <w:shd w:val="clear" w:color="000000" w:fill="E6E6E6"/>
            <w:noWrap/>
            <w:vAlign w:val="bottom"/>
            <w:hideMark/>
          </w:tcPr>
          <w:p w14:paraId="535BBF7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20,000 </w:t>
            </w:r>
          </w:p>
        </w:tc>
      </w:tr>
      <w:tr w:rsidR="006C211B" w:rsidRPr="006C211B" w14:paraId="197D262B" w14:textId="77777777" w:rsidTr="006C211B">
        <w:trPr>
          <w:trHeight w:hRule="exact" w:val="450"/>
        </w:trPr>
        <w:tc>
          <w:tcPr>
            <w:tcW w:w="1672" w:type="pct"/>
            <w:tcBorders>
              <w:top w:val="nil"/>
              <w:left w:val="nil"/>
              <w:bottom w:val="nil"/>
              <w:right w:val="nil"/>
            </w:tcBorders>
            <w:shd w:val="clear" w:color="auto" w:fill="auto"/>
            <w:vAlign w:val="bottom"/>
            <w:hideMark/>
          </w:tcPr>
          <w:p w14:paraId="412D2D97" w14:textId="729486BF"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Guaranteeing Medicare</w:t>
            </w:r>
            <w:r w:rsidR="00B33758">
              <w:rPr>
                <w:rFonts w:ascii="Arial" w:hAnsi="Arial" w:cs="Arial"/>
                <w:sz w:val="16"/>
                <w:szCs w:val="16"/>
              </w:rPr>
              <w:t xml:space="preserve"> – </w:t>
            </w:r>
            <w:r w:rsidRPr="006C211B">
              <w:rPr>
                <w:rFonts w:ascii="Arial" w:hAnsi="Arial" w:cs="Arial"/>
                <w:sz w:val="16"/>
                <w:szCs w:val="16"/>
              </w:rPr>
              <w:t>strengthening primary care</w:t>
            </w:r>
          </w:p>
        </w:tc>
        <w:tc>
          <w:tcPr>
            <w:tcW w:w="486" w:type="pct"/>
            <w:tcBorders>
              <w:top w:val="nil"/>
              <w:left w:val="nil"/>
              <w:bottom w:val="nil"/>
              <w:right w:val="nil"/>
            </w:tcBorders>
            <w:shd w:val="clear" w:color="auto" w:fill="auto"/>
            <w:noWrap/>
            <w:vAlign w:val="bottom"/>
            <w:hideMark/>
          </w:tcPr>
          <w:p w14:paraId="7D3AC336"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525FD8C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20CA60F"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A4B5DC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85943FB"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391BFE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493F4A2" w14:textId="77777777" w:rsidTr="006C211B">
        <w:trPr>
          <w:trHeight w:hRule="exact" w:val="225"/>
        </w:trPr>
        <w:tc>
          <w:tcPr>
            <w:tcW w:w="1672" w:type="pct"/>
            <w:tcBorders>
              <w:top w:val="nil"/>
              <w:left w:val="nil"/>
              <w:bottom w:val="nil"/>
              <w:right w:val="nil"/>
            </w:tcBorders>
            <w:shd w:val="clear" w:color="auto" w:fill="auto"/>
            <w:noWrap/>
            <w:vAlign w:val="bottom"/>
            <w:hideMark/>
          </w:tcPr>
          <w:p w14:paraId="712DFA23"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0BE20B9A"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9E3C239" w14:textId="0EDABF8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319EF62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107,755 </w:t>
            </w:r>
          </w:p>
        </w:tc>
        <w:tc>
          <w:tcPr>
            <w:tcW w:w="568" w:type="pct"/>
            <w:tcBorders>
              <w:top w:val="nil"/>
              <w:left w:val="nil"/>
              <w:bottom w:val="nil"/>
              <w:right w:val="nil"/>
            </w:tcBorders>
            <w:shd w:val="clear" w:color="000000" w:fill="E6E6E6"/>
            <w:noWrap/>
            <w:vAlign w:val="bottom"/>
            <w:hideMark/>
          </w:tcPr>
          <w:p w14:paraId="3A55E9F2" w14:textId="165BD01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0CFCB019" w14:textId="7064954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54FC77FC" w14:textId="07D41DD2"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620E571A" w14:textId="77777777" w:rsidTr="006C211B">
        <w:trPr>
          <w:trHeight w:hRule="exact" w:val="450"/>
        </w:trPr>
        <w:tc>
          <w:tcPr>
            <w:tcW w:w="1672" w:type="pct"/>
            <w:tcBorders>
              <w:top w:val="nil"/>
              <w:left w:val="nil"/>
              <w:bottom w:val="nil"/>
              <w:right w:val="nil"/>
            </w:tcBorders>
            <w:shd w:val="clear" w:color="auto" w:fill="auto"/>
            <w:vAlign w:val="bottom"/>
            <w:hideMark/>
          </w:tcPr>
          <w:p w14:paraId="6B1CCEE1"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Humanitarian Program and Update on Afghan Arrivals</w:t>
            </w:r>
          </w:p>
        </w:tc>
        <w:tc>
          <w:tcPr>
            <w:tcW w:w="486" w:type="pct"/>
            <w:tcBorders>
              <w:top w:val="nil"/>
              <w:left w:val="nil"/>
              <w:bottom w:val="nil"/>
              <w:right w:val="nil"/>
            </w:tcBorders>
            <w:shd w:val="clear" w:color="auto" w:fill="auto"/>
            <w:noWrap/>
            <w:vAlign w:val="bottom"/>
            <w:hideMark/>
          </w:tcPr>
          <w:p w14:paraId="4B397A75"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1.4</w:t>
            </w:r>
          </w:p>
        </w:tc>
        <w:tc>
          <w:tcPr>
            <w:tcW w:w="568" w:type="pct"/>
            <w:tcBorders>
              <w:top w:val="nil"/>
              <w:left w:val="nil"/>
              <w:bottom w:val="nil"/>
              <w:right w:val="nil"/>
            </w:tcBorders>
            <w:shd w:val="clear" w:color="000000" w:fill="E6E6E6"/>
            <w:noWrap/>
            <w:vAlign w:val="bottom"/>
            <w:hideMark/>
          </w:tcPr>
          <w:p w14:paraId="771BC9E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01E406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3993EA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9047B75"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C011EF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A9C42B0"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B306B11"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B885738"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886FCB2" w14:textId="682190AE"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1D993486" w14:textId="398967B4"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1980B5D3" w14:textId="5A4D5DC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79CC1B8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5,000 </w:t>
            </w:r>
          </w:p>
        </w:tc>
        <w:tc>
          <w:tcPr>
            <w:tcW w:w="568" w:type="pct"/>
            <w:tcBorders>
              <w:top w:val="nil"/>
              <w:left w:val="nil"/>
              <w:bottom w:val="nil"/>
              <w:right w:val="nil"/>
            </w:tcBorders>
            <w:shd w:val="clear" w:color="000000" w:fill="E6E6E6"/>
            <w:noWrap/>
            <w:vAlign w:val="bottom"/>
            <w:hideMark/>
          </w:tcPr>
          <w:p w14:paraId="26489C2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5,000 </w:t>
            </w:r>
          </w:p>
        </w:tc>
      </w:tr>
      <w:tr w:rsidR="006C211B" w:rsidRPr="006C211B" w14:paraId="54BAAB07" w14:textId="77777777" w:rsidTr="006C211B">
        <w:trPr>
          <w:trHeight w:hRule="exact" w:val="541"/>
        </w:trPr>
        <w:tc>
          <w:tcPr>
            <w:tcW w:w="1672" w:type="pct"/>
            <w:tcBorders>
              <w:top w:val="nil"/>
              <w:left w:val="nil"/>
              <w:bottom w:val="nil"/>
              <w:right w:val="nil"/>
            </w:tcBorders>
            <w:shd w:val="clear" w:color="auto" w:fill="auto"/>
            <w:vAlign w:val="bottom"/>
            <w:hideMark/>
          </w:tcPr>
          <w:p w14:paraId="67B739B2"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Indirect Tax Concession Scheme – diplomatic and consular concessions</w:t>
            </w:r>
          </w:p>
        </w:tc>
        <w:tc>
          <w:tcPr>
            <w:tcW w:w="486" w:type="pct"/>
            <w:tcBorders>
              <w:top w:val="nil"/>
              <w:left w:val="nil"/>
              <w:bottom w:val="nil"/>
              <w:right w:val="nil"/>
            </w:tcBorders>
            <w:shd w:val="clear" w:color="auto" w:fill="auto"/>
            <w:noWrap/>
            <w:vAlign w:val="bottom"/>
            <w:hideMark/>
          </w:tcPr>
          <w:p w14:paraId="7B2D40BF"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1.4</w:t>
            </w:r>
          </w:p>
        </w:tc>
        <w:tc>
          <w:tcPr>
            <w:tcW w:w="568" w:type="pct"/>
            <w:tcBorders>
              <w:top w:val="nil"/>
              <w:left w:val="nil"/>
              <w:bottom w:val="nil"/>
              <w:right w:val="nil"/>
            </w:tcBorders>
            <w:shd w:val="clear" w:color="000000" w:fill="E6E6E6"/>
            <w:noWrap/>
            <w:vAlign w:val="bottom"/>
            <w:hideMark/>
          </w:tcPr>
          <w:p w14:paraId="1219CC7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2C67682"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2BD1B5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BCDADD8"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C9329E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2B6165C4" w14:textId="77777777" w:rsidTr="006C211B">
        <w:trPr>
          <w:trHeight w:hRule="exact" w:val="225"/>
        </w:trPr>
        <w:tc>
          <w:tcPr>
            <w:tcW w:w="1672" w:type="pct"/>
            <w:tcBorders>
              <w:top w:val="nil"/>
              <w:left w:val="nil"/>
              <w:bottom w:val="single" w:sz="4" w:space="0" w:color="auto"/>
              <w:right w:val="nil"/>
            </w:tcBorders>
            <w:shd w:val="clear" w:color="auto" w:fill="auto"/>
            <w:noWrap/>
            <w:vAlign w:val="bottom"/>
            <w:hideMark/>
          </w:tcPr>
          <w:p w14:paraId="184002E9"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single" w:sz="4" w:space="0" w:color="auto"/>
              <w:right w:val="nil"/>
            </w:tcBorders>
            <w:shd w:val="clear" w:color="auto" w:fill="auto"/>
            <w:noWrap/>
            <w:vAlign w:val="bottom"/>
            <w:hideMark/>
          </w:tcPr>
          <w:p w14:paraId="6ABC768A"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 </w:t>
            </w:r>
          </w:p>
        </w:tc>
        <w:tc>
          <w:tcPr>
            <w:tcW w:w="568" w:type="pct"/>
            <w:tcBorders>
              <w:top w:val="nil"/>
              <w:left w:val="nil"/>
              <w:bottom w:val="single" w:sz="4" w:space="0" w:color="auto"/>
              <w:right w:val="nil"/>
            </w:tcBorders>
            <w:shd w:val="clear" w:color="000000" w:fill="E6E6E6"/>
            <w:noWrap/>
            <w:vAlign w:val="bottom"/>
            <w:hideMark/>
          </w:tcPr>
          <w:p w14:paraId="5B1C7A6D" w14:textId="658630F6"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(2,600)</w:t>
            </w:r>
          </w:p>
        </w:tc>
        <w:tc>
          <w:tcPr>
            <w:tcW w:w="568" w:type="pct"/>
            <w:tcBorders>
              <w:top w:val="nil"/>
              <w:left w:val="nil"/>
              <w:bottom w:val="single" w:sz="4" w:space="0" w:color="auto"/>
              <w:right w:val="nil"/>
            </w:tcBorders>
            <w:shd w:val="clear" w:color="auto" w:fill="auto"/>
            <w:noWrap/>
            <w:vAlign w:val="bottom"/>
            <w:hideMark/>
          </w:tcPr>
          <w:p w14:paraId="6E918FD2" w14:textId="445E46ED"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(1,500)</w:t>
            </w:r>
          </w:p>
        </w:tc>
        <w:tc>
          <w:tcPr>
            <w:tcW w:w="568" w:type="pct"/>
            <w:tcBorders>
              <w:top w:val="nil"/>
              <w:left w:val="nil"/>
              <w:bottom w:val="single" w:sz="4" w:space="0" w:color="auto"/>
              <w:right w:val="nil"/>
            </w:tcBorders>
            <w:shd w:val="clear" w:color="000000" w:fill="E6E6E6"/>
            <w:noWrap/>
            <w:vAlign w:val="bottom"/>
            <w:hideMark/>
          </w:tcPr>
          <w:p w14:paraId="61475E87" w14:textId="393C6E54"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(1,500)</w:t>
            </w:r>
          </w:p>
        </w:tc>
        <w:tc>
          <w:tcPr>
            <w:tcW w:w="568" w:type="pct"/>
            <w:tcBorders>
              <w:top w:val="nil"/>
              <w:left w:val="nil"/>
              <w:bottom w:val="single" w:sz="4" w:space="0" w:color="auto"/>
              <w:right w:val="nil"/>
            </w:tcBorders>
            <w:shd w:val="clear" w:color="auto" w:fill="auto"/>
            <w:noWrap/>
            <w:vAlign w:val="bottom"/>
            <w:hideMark/>
          </w:tcPr>
          <w:p w14:paraId="0A0248F9" w14:textId="0FE085A1"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(400)</w:t>
            </w:r>
          </w:p>
        </w:tc>
        <w:tc>
          <w:tcPr>
            <w:tcW w:w="568" w:type="pct"/>
            <w:tcBorders>
              <w:top w:val="nil"/>
              <w:left w:val="nil"/>
              <w:bottom w:val="single" w:sz="4" w:space="0" w:color="auto"/>
              <w:right w:val="nil"/>
            </w:tcBorders>
            <w:shd w:val="clear" w:color="000000" w:fill="E6E6E6"/>
            <w:noWrap/>
            <w:vAlign w:val="bottom"/>
            <w:hideMark/>
          </w:tcPr>
          <w:p w14:paraId="14B62977" w14:textId="4A8672F3"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(400)</w:t>
            </w:r>
          </w:p>
        </w:tc>
      </w:tr>
    </w:tbl>
    <w:p w14:paraId="4F24CDF9" w14:textId="170C587F" w:rsidR="00C01093" w:rsidRDefault="00C01093" w:rsidP="00381178">
      <w:pPr>
        <w:rPr>
          <w:highlight w:val="yellow"/>
        </w:rPr>
      </w:pPr>
    </w:p>
    <w:p w14:paraId="446D3A43" w14:textId="4EEADF52" w:rsidR="0049392C" w:rsidRDefault="0049392C" w:rsidP="00381178">
      <w:pPr>
        <w:rPr>
          <w:highlight w:val="yellow"/>
        </w:rPr>
      </w:pPr>
    </w:p>
    <w:p w14:paraId="1DC19335" w14:textId="3E1A6E75" w:rsidR="006C211B" w:rsidRDefault="0049392C" w:rsidP="003C1AEB">
      <w:pPr>
        <w:pStyle w:val="TableHeadingcontinued0"/>
        <w:rPr>
          <w:rFonts w:ascii="Times New Roman" w:hAnsi="Times New Roman"/>
          <w:b w:val="0"/>
          <w:lang w:val="en-AU"/>
        </w:rPr>
      </w:pPr>
      <w:r w:rsidRPr="0049392C">
        <w:lastRenderedPageBreak/>
        <w:t>Part 1: Measures announced since the 2021</w:t>
      </w:r>
      <w:r w:rsidR="00B33758">
        <w:noBreakHyphen/>
      </w:r>
      <w:r w:rsidRPr="0049392C">
        <w:t>22 Mid</w:t>
      </w:r>
      <w:r w:rsidR="00B33758">
        <w:noBreakHyphen/>
      </w:r>
      <w:r w:rsidRPr="0049392C">
        <w:t>Year Economic and Fiscal Outlook (MYEFO) (continued)</w:t>
      </w:r>
    </w:p>
    <w:tbl>
      <w:tblPr>
        <w:tblW w:w="5000" w:type="pct"/>
        <w:tblCellMar>
          <w:left w:w="0" w:type="dxa"/>
          <w:right w:w="28" w:type="dxa"/>
        </w:tblCellMar>
        <w:tblLook w:val="04A0" w:firstRow="1" w:lastRow="0" w:firstColumn="1" w:lastColumn="0" w:noHBand="0" w:noVBand="1"/>
      </w:tblPr>
      <w:tblGrid>
        <w:gridCol w:w="2581"/>
        <w:gridCol w:w="750"/>
        <w:gridCol w:w="876"/>
        <w:gridCol w:w="876"/>
        <w:gridCol w:w="876"/>
        <w:gridCol w:w="876"/>
        <w:gridCol w:w="876"/>
      </w:tblGrid>
      <w:tr w:rsidR="006C211B" w:rsidRPr="006C211B" w14:paraId="58C83309" w14:textId="77777777" w:rsidTr="006C211B">
        <w:trPr>
          <w:trHeight w:hRule="exact" w:val="450"/>
        </w:trPr>
        <w:tc>
          <w:tcPr>
            <w:tcW w:w="1672" w:type="pct"/>
            <w:tcBorders>
              <w:top w:val="single" w:sz="4" w:space="0" w:color="auto"/>
              <w:left w:val="nil"/>
              <w:bottom w:val="nil"/>
              <w:right w:val="nil"/>
            </w:tcBorders>
            <w:shd w:val="clear" w:color="auto" w:fill="auto"/>
            <w:noWrap/>
            <w:vAlign w:val="bottom"/>
            <w:hideMark/>
          </w:tcPr>
          <w:p w14:paraId="4F1D02BE" w14:textId="551EE845"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486" w:type="pct"/>
            <w:tcBorders>
              <w:top w:val="single" w:sz="4" w:space="0" w:color="auto"/>
              <w:left w:val="nil"/>
              <w:bottom w:val="single" w:sz="4" w:space="0" w:color="auto"/>
              <w:right w:val="nil"/>
            </w:tcBorders>
            <w:shd w:val="clear" w:color="auto" w:fill="auto"/>
            <w:noWrap/>
            <w:vAlign w:val="bottom"/>
            <w:hideMark/>
          </w:tcPr>
          <w:p w14:paraId="26FF1D89"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Program</w:t>
            </w:r>
          </w:p>
        </w:tc>
        <w:tc>
          <w:tcPr>
            <w:tcW w:w="568" w:type="pct"/>
            <w:tcBorders>
              <w:top w:val="single" w:sz="4" w:space="0" w:color="auto"/>
              <w:left w:val="nil"/>
              <w:bottom w:val="single" w:sz="4" w:space="0" w:color="auto"/>
              <w:right w:val="nil"/>
            </w:tcBorders>
            <w:shd w:val="clear" w:color="000000" w:fill="E6E6E6"/>
            <w:vAlign w:val="bottom"/>
            <w:hideMark/>
          </w:tcPr>
          <w:p w14:paraId="241CDF26" w14:textId="4C6B430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2021</w:t>
            </w:r>
            <w:r w:rsidR="00B33758">
              <w:rPr>
                <w:rFonts w:ascii="Arial" w:hAnsi="Arial" w:cs="Arial"/>
                <w:sz w:val="16"/>
                <w:szCs w:val="16"/>
              </w:rPr>
              <w:noBreakHyphen/>
            </w:r>
            <w:r w:rsidRPr="006C211B">
              <w:rPr>
                <w:rFonts w:ascii="Arial" w:hAnsi="Arial" w:cs="Arial"/>
                <w:sz w:val="16"/>
                <w:szCs w:val="16"/>
              </w:rPr>
              <w:t>22</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02A96822" w14:textId="5D0F4080"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2022</w:t>
            </w:r>
            <w:r w:rsidR="00B33758">
              <w:rPr>
                <w:rFonts w:ascii="Arial" w:hAnsi="Arial" w:cs="Arial"/>
                <w:sz w:val="16"/>
                <w:szCs w:val="16"/>
              </w:rPr>
              <w:noBreakHyphen/>
            </w:r>
            <w:r w:rsidRPr="006C211B">
              <w:rPr>
                <w:rFonts w:ascii="Arial" w:hAnsi="Arial" w:cs="Arial"/>
                <w:sz w:val="16"/>
                <w:szCs w:val="16"/>
              </w:rPr>
              <w:t>23</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380CA416" w14:textId="4A3182C2"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2023</w:t>
            </w:r>
            <w:r w:rsidR="00B33758">
              <w:rPr>
                <w:rFonts w:ascii="Arial" w:hAnsi="Arial" w:cs="Arial"/>
                <w:sz w:val="16"/>
                <w:szCs w:val="16"/>
              </w:rPr>
              <w:noBreakHyphen/>
            </w:r>
            <w:r w:rsidRPr="006C211B">
              <w:rPr>
                <w:rFonts w:ascii="Arial" w:hAnsi="Arial" w:cs="Arial"/>
                <w:sz w:val="16"/>
                <w:szCs w:val="16"/>
              </w:rPr>
              <w:t>24</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57FFC1A0" w14:textId="016ADE1D"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2024</w:t>
            </w:r>
            <w:r w:rsidR="00B33758">
              <w:rPr>
                <w:rFonts w:ascii="Arial" w:hAnsi="Arial" w:cs="Arial"/>
                <w:sz w:val="16"/>
                <w:szCs w:val="16"/>
              </w:rPr>
              <w:noBreakHyphen/>
            </w:r>
            <w:r w:rsidRPr="006C211B">
              <w:rPr>
                <w:rFonts w:ascii="Arial" w:hAnsi="Arial" w:cs="Arial"/>
                <w:sz w:val="16"/>
                <w:szCs w:val="16"/>
              </w:rPr>
              <w:t>25</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09B3FB9C" w14:textId="1E5BDD2D"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2025</w:t>
            </w:r>
            <w:r w:rsidR="00B33758">
              <w:rPr>
                <w:rFonts w:ascii="Arial" w:hAnsi="Arial" w:cs="Arial"/>
                <w:sz w:val="16"/>
                <w:szCs w:val="16"/>
              </w:rPr>
              <w:noBreakHyphen/>
            </w:r>
            <w:r w:rsidRPr="006C211B">
              <w:rPr>
                <w:rFonts w:ascii="Arial" w:hAnsi="Arial" w:cs="Arial"/>
                <w:sz w:val="16"/>
                <w:szCs w:val="16"/>
              </w:rPr>
              <w:t>26</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r>
      <w:tr w:rsidR="006C211B" w:rsidRPr="006C211B" w14:paraId="38D610CA" w14:textId="77777777" w:rsidTr="006C211B">
        <w:trPr>
          <w:trHeight w:hRule="exact" w:val="240"/>
        </w:trPr>
        <w:tc>
          <w:tcPr>
            <w:tcW w:w="1672" w:type="pct"/>
            <w:tcBorders>
              <w:top w:val="nil"/>
              <w:left w:val="nil"/>
              <w:bottom w:val="nil"/>
              <w:right w:val="nil"/>
            </w:tcBorders>
            <w:shd w:val="clear" w:color="auto" w:fill="auto"/>
            <w:vAlign w:val="bottom"/>
            <w:hideMark/>
          </w:tcPr>
          <w:p w14:paraId="135AD649" w14:textId="77777777" w:rsidR="006C211B" w:rsidRPr="006C211B" w:rsidRDefault="006C211B" w:rsidP="006C211B">
            <w:pPr>
              <w:spacing w:after="0" w:line="240" w:lineRule="auto"/>
              <w:jc w:val="left"/>
              <w:rPr>
                <w:rFonts w:ascii="Arial" w:hAnsi="Arial" w:cs="Arial"/>
                <w:b/>
                <w:bCs/>
                <w:sz w:val="16"/>
                <w:szCs w:val="16"/>
              </w:rPr>
            </w:pPr>
            <w:r w:rsidRPr="006C211B">
              <w:rPr>
                <w:rFonts w:ascii="Arial" w:hAnsi="Arial" w:cs="Arial"/>
                <w:b/>
                <w:bCs/>
                <w:sz w:val="16"/>
                <w:szCs w:val="16"/>
              </w:rPr>
              <w:t>Payment measures</w:t>
            </w:r>
          </w:p>
        </w:tc>
        <w:tc>
          <w:tcPr>
            <w:tcW w:w="486" w:type="pct"/>
            <w:tcBorders>
              <w:top w:val="nil"/>
              <w:left w:val="nil"/>
              <w:bottom w:val="nil"/>
              <w:right w:val="nil"/>
            </w:tcBorders>
            <w:shd w:val="clear" w:color="auto" w:fill="auto"/>
            <w:noWrap/>
            <w:vAlign w:val="bottom"/>
            <w:hideMark/>
          </w:tcPr>
          <w:p w14:paraId="1EDB6538" w14:textId="77777777" w:rsidR="006C211B" w:rsidRPr="006C211B" w:rsidRDefault="006C211B" w:rsidP="006C211B">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61C6DFBF"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5828A64"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C03D64D"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A4115BF"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DEC2F0F"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r>
      <w:tr w:rsidR="006C211B" w:rsidRPr="006C211B" w14:paraId="57487687" w14:textId="77777777" w:rsidTr="006C211B">
        <w:trPr>
          <w:trHeight w:hRule="exact" w:val="225"/>
        </w:trPr>
        <w:tc>
          <w:tcPr>
            <w:tcW w:w="1672" w:type="pct"/>
            <w:tcBorders>
              <w:top w:val="nil"/>
              <w:left w:val="nil"/>
              <w:bottom w:val="nil"/>
              <w:right w:val="nil"/>
            </w:tcBorders>
            <w:shd w:val="clear" w:color="auto" w:fill="auto"/>
            <w:vAlign w:val="bottom"/>
            <w:hideMark/>
          </w:tcPr>
          <w:p w14:paraId="074EF405"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(b)</w:t>
            </w:r>
          </w:p>
        </w:tc>
        <w:tc>
          <w:tcPr>
            <w:tcW w:w="486" w:type="pct"/>
            <w:tcBorders>
              <w:top w:val="nil"/>
              <w:left w:val="nil"/>
              <w:bottom w:val="nil"/>
              <w:right w:val="nil"/>
            </w:tcBorders>
            <w:shd w:val="clear" w:color="auto" w:fill="auto"/>
            <w:noWrap/>
            <w:vAlign w:val="bottom"/>
            <w:hideMark/>
          </w:tcPr>
          <w:p w14:paraId="7AF42719"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038CEEA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0AB7CC4"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DDE42B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2B26CAE"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2000EE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0BE9CE4" w14:textId="77777777" w:rsidTr="006C211B">
        <w:trPr>
          <w:trHeight w:hRule="exact" w:val="225"/>
        </w:trPr>
        <w:tc>
          <w:tcPr>
            <w:tcW w:w="1672" w:type="pct"/>
            <w:tcBorders>
              <w:top w:val="nil"/>
              <w:left w:val="nil"/>
              <w:bottom w:val="nil"/>
              <w:right w:val="nil"/>
            </w:tcBorders>
            <w:shd w:val="clear" w:color="auto" w:fill="auto"/>
            <w:noWrap/>
            <w:vAlign w:val="bottom"/>
            <w:hideMark/>
          </w:tcPr>
          <w:p w14:paraId="11F8053F"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72EDF117"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D46E9D4" w14:textId="342B85ED"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1485483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140,000 </w:t>
            </w:r>
          </w:p>
        </w:tc>
        <w:tc>
          <w:tcPr>
            <w:tcW w:w="568" w:type="pct"/>
            <w:tcBorders>
              <w:top w:val="nil"/>
              <w:left w:val="nil"/>
              <w:bottom w:val="nil"/>
              <w:right w:val="nil"/>
            </w:tcBorders>
            <w:shd w:val="clear" w:color="000000" w:fill="E6E6E6"/>
            <w:noWrap/>
            <w:vAlign w:val="bottom"/>
            <w:hideMark/>
          </w:tcPr>
          <w:p w14:paraId="582FB2B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290,000 </w:t>
            </w:r>
          </w:p>
        </w:tc>
        <w:tc>
          <w:tcPr>
            <w:tcW w:w="568" w:type="pct"/>
            <w:tcBorders>
              <w:top w:val="nil"/>
              <w:left w:val="nil"/>
              <w:bottom w:val="nil"/>
              <w:right w:val="nil"/>
            </w:tcBorders>
            <w:shd w:val="clear" w:color="auto" w:fill="auto"/>
            <w:noWrap/>
            <w:vAlign w:val="bottom"/>
            <w:hideMark/>
          </w:tcPr>
          <w:p w14:paraId="38E8807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334,000 </w:t>
            </w:r>
          </w:p>
        </w:tc>
        <w:tc>
          <w:tcPr>
            <w:tcW w:w="568" w:type="pct"/>
            <w:tcBorders>
              <w:top w:val="nil"/>
              <w:left w:val="nil"/>
              <w:bottom w:val="nil"/>
              <w:right w:val="nil"/>
            </w:tcBorders>
            <w:shd w:val="clear" w:color="000000" w:fill="E6E6E6"/>
            <w:noWrap/>
            <w:vAlign w:val="bottom"/>
            <w:hideMark/>
          </w:tcPr>
          <w:p w14:paraId="4A95D2A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258,000 </w:t>
            </w:r>
          </w:p>
        </w:tc>
      </w:tr>
      <w:tr w:rsidR="006C211B" w:rsidRPr="006C211B" w14:paraId="497BA26F" w14:textId="77777777" w:rsidTr="006C211B">
        <w:trPr>
          <w:trHeight w:hRule="exact" w:val="450"/>
        </w:trPr>
        <w:tc>
          <w:tcPr>
            <w:tcW w:w="1672" w:type="pct"/>
            <w:tcBorders>
              <w:top w:val="nil"/>
              <w:left w:val="nil"/>
              <w:bottom w:val="nil"/>
              <w:right w:val="nil"/>
            </w:tcBorders>
            <w:shd w:val="clear" w:color="auto" w:fill="auto"/>
            <w:vAlign w:val="bottom"/>
            <w:hideMark/>
          </w:tcPr>
          <w:p w14:paraId="5B95C353"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 Australian Capital Territory (b)</w:t>
            </w:r>
          </w:p>
        </w:tc>
        <w:tc>
          <w:tcPr>
            <w:tcW w:w="486" w:type="pct"/>
            <w:tcBorders>
              <w:top w:val="nil"/>
              <w:left w:val="nil"/>
              <w:bottom w:val="nil"/>
              <w:right w:val="nil"/>
            </w:tcBorders>
            <w:shd w:val="clear" w:color="auto" w:fill="auto"/>
            <w:noWrap/>
            <w:vAlign w:val="bottom"/>
            <w:hideMark/>
          </w:tcPr>
          <w:p w14:paraId="1B732198"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2ADC80E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84A496D"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4EFD23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F5F2B03"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1021F6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5ED835CB" w14:textId="77777777" w:rsidTr="006C211B">
        <w:trPr>
          <w:trHeight w:hRule="exact" w:val="225"/>
        </w:trPr>
        <w:tc>
          <w:tcPr>
            <w:tcW w:w="1672" w:type="pct"/>
            <w:tcBorders>
              <w:top w:val="nil"/>
              <w:left w:val="nil"/>
              <w:bottom w:val="nil"/>
              <w:right w:val="nil"/>
            </w:tcBorders>
            <w:shd w:val="clear" w:color="auto" w:fill="auto"/>
            <w:noWrap/>
            <w:vAlign w:val="bottom"/>
            <w:hideMark/>
          </w:tcPr>
          <w:p w14:paraId="27136B5F"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2F0AE1CC"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F85111F" w14:textId="7815EB1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3EEEAD1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1,500 </w:t>
            </w:r>
          </w:p>
        </w:tc>
        <w:tc>
          <w:tcPr>
            <w:tcW w:w="568" w:type="pct"/>
            <w:tcBorders>
              <w:top w:val="nil"/>
              <w:left w:val="nil"/>
              <w:bottom w:val="nil"/>
              <w:right w:val="nil"/>
            </w:tcBorders>
            <w:shd w:val="clear" w:color="000000" w:fill="E6E6E6"/>
            <w:noWrap/>
            <w:vAlign w:val="bottom"/>
            <w:hideMark/>
          </w:tcPr>
          <w:p w14:paraId="6572916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12,325 </w:t>
            </w:r>
          </w:p>
        </w:tc>
        <w:tc>
          <w:tcPr>
            <w:tcW w:w="568" w:type="pct"/>
            <w:tcBorders>
              <w:top w:val="nil"/>
              <w:left w:val="nil"/>
              <w:bottom w:val="nil"/>
              <w:right w:val="nil"/>
            </w:tcBorders>
            <w:shd w:val="clear" w:color="auto" w:fill="auto"/>
            <w:noWrap/>
            <w:vAlign w:val="bottom"/>
            <w:hideMark/>
          </w:tcPr>
          <w:p w14:paraId="77423FD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12,647 </w:t>
            </w:r>
          </w:p>
        </w:tc>
        <w:tc>
          <w:tcPr>
            <w:tcW w:w="568" w:type="pct"/>
            <w:tcBorders>
              <w:top w:val="nil"/>
              <w:left w:val="nil"/>
              <w:bottom w:val="nil"/>
              <w:right w:val="nil"/>
            </w:tcBorders>
            <w:shd w:val="clear" w:color="000000" w:fill="E6E6E6"/>
            <w:noWrap/>
            <w:vAlign w:val="bottom"/>
            <w:hideMark/>
          </w:tcPr>
          <w:p w14:paraId="4398FAB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22,166 </w:t>
            </w:r>
          </w:p>
        </w:tc>
      </w:tr>
      <w:tr w:rsidR="006C211B" w:rsidRPr="006C211B" w14:paraId="08EF29AC" w14:textId="77777777" w:rsidTr="006C211B">
        <w:trPr>
          <w:trHeight w:hRule="exact" w:val="450"/>
        </w:trPr>
        <w:tc>
          <w:tcPr>
            <w:tcW w:w="1672" w:type="pct"/>
            <w:tcBorders>
              <w:top w:val="nil"/>
              <w:left w:val="nil"/>
              <w:bottom w:val="nil"/>
              <w:right w:val="nil"/>
            </w:tcBorders>
            <w:shd w:val="clear" w:color="auto" w:fill="auto"/>
            <w:vAlign w:val="bottom"/>
            <w:hideMark/>
          </w:tcPr>
          <w:p w14:paraId="2794A6BB"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 New South Wales (a)(b)</w:t>
            </w:r>
          </w:p>
        </w:tc>
        <w:tc>
          <w:tcPr>
            <w:tcW w:w="486" w:type="pct"/>
            <w:tcBorders>
              <w:top w:val="nil"/>
              <w:left w:val="nil"/>
              <w:bottom w:val="nil"/>
              <w:right w:val="nil"/>
            </w:tcBorders>
            <w:shd w:val="clear" w:color="auto" w:fill="auto"/>
            <w:noWrap/>
            <w:vAlign w:val="bottom"/>
            <w:hideMark/>
          </w:tcPr>
          <w:p w14:paraId="0CCD22B0"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34B869B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1BD7385"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C05727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804D4BB"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C620F3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0E91F2D1"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A1E59DD"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596A5DD5"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09E997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2,000 </w:t>
            </w:r>
          </w:p>
        </w:tc>
        <w:tc>
          <w:tcPr>
            <w:tcW w:w="568" w:type="pct"/>
            <w:tcBorders>
              <w:top w:val="nil"/>
              <w:left w:val="nil"/>
              <w:bottom w:val="nil"/>
              <w:right w:val="nil"/>
            </w:tcBorders>
            <w:shd w:val="clear" w:color="auto" w:fill="auto"/>
            <w:noWrap/>
            <w:vAlign w:val="bottom"/>
            <w:hideMark/>
          </w:tcPr>
          <w:p w14:paraId="3F71F89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210,484 </w:t>
            </w:r>
          </w:p>
        </w:tc>
        <w:tc>
          <w:tcPr>
            <w:tcW w:w="568" w:type="pct"/>
            <w:tcBorders>
              <w:top w:val="nil"/>
              <w:left w:val="nil"/>
              <w:bottom w:val="nil"/>
              <w:right w:val="nil"/>
            </w:tcBorders>
            <w:shd w:val="clear" w:color="000000" w:fill="E6E6E6"/>
            <w:noWrap/>
            <w:vAlign w:val="bottom"/>
            <w:hideMark/>
          </w:tcPr>
          <w:p w14:paraId="125B9A7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422,076 </w:t>
            </w:r>
          </w:p>
        </w:tc>
        <w:tc>
          <w:tcPr>
            <w:tcW w:w="568" w:type="pct"/>
            <w:tcBorders>
              <w:top w:val="nil"/>
              <w:left w:val="nil"/>
              <w:bottom w:val="nil"/>
              <w:right w:val="nil"/>
            </w:tcBorders>
            <w:shd w:val="clear" w:color="auto" w:fill="auto"/>
            <w:noWrap/>
            <w:vAlign w:val="bottom"/>
            <w:hideMark/>
          </w:tcPr>
          <w:p w14:paraId="5F40C11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420,431 </w:t>
            </w:r>
          </w:p>
        </w:tc>
        <w:tc>
          <w:tcPr>
            <w:tcW w:w="568" w:type="pct"/>
            <w:tcBorders>
              <w:top w:val="nil"/>
              <w:left w:val="nil"/>
              <w:bottom w:val="nil"/>
              <w:right w:val="nil"/>
            </w:tcBorders>
            <w:shd w:val="clear" w:color="000000" w:fill="E6E6E6"/>
            <w:noWrap/>
            <w:vAlign w:val="bottom"/>
            <w:hideMark/>
          </w:tcPr>
          <w:p w14:paraId="523D23C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583,354 </w:t>
            </w:r>
          </w:p>
        </w:tc>
      </w:tr>
      <w:tr w:rsidR="006C211B" w:rsidRPr="006C211B" w14:paraId="08A1F9AF" w14:textId="77777777" w:rsidTr="006C211B">
        <w:trPr>
          <w:trHeight w:hRule="exact" w:val="450"/>
        </w:trPr>
        <w:tc>
          <w:tcPr>
            <w:tcW w:w="1672" w:type="pct"/>
            <w:tcBorders>
              <w:top w:val="nil"/>
              <w:left w:val="nil"/>
              <w:bottom w:val="nil"/>
              <w:right w:val="nil"/>
            </w:tcBorders>
            <w:shd w:val="clear" w:color="auto" w:fill="auto"/>
            <w:vAlign w:val="bottom"/>
            <w:hideMark/>
          </w:tcPr>
          <w:p w14:paraId="101D02E3"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 Northern Territory (b)</w:t>
            </w:r>
          </w:p>
        </w:tc>
        <w:tc>
          <w:tcPr>
            <w:tcW w:w="486" w:type="pct"/>
            <w:tcBorders>
              <w:top w:val="nil"/>
              <w:left w:val="nil"/>
              <w:bottom w:val="nil"/>
              <w:right w:val="nil"/>
            </w:tcBorders>
            <w:shd w:val="clear" w:color="auto" w:fill="auto"/>
            <w:noWrap/>
            <w:vAlign w:val="bottom"/>
            <w:hideMark/>
          </w:tcPr>
          <w:p w14:paraId="44047277"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79A81B5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12CD555"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000EEB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ED32F08"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6C0419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18AE29A0"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8F4534A"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02C17DF"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69CA5A0" w14:textId="266A0105"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128A95E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29,772 </w:t>
            </w:r>
          </w:p>
        </w:tc>
        <w:tc>
          <w:tcPr>
            <w:tcW w:w="568" w:type="pct"/>
            <w:tcBorders>
              <w:top w:val="nil"/>
              <w:left w:val="nil"/>
              <w:bottom w:val="nil"/>
              <w:right w:val="nil"/>
            </w:tcBorders>
            <w:shd w:val="clear" w:color="000000" w:fill="E6E6E6"/>
            <w:noWrap/>
            <w:vAlign w:val="bottom"/>
            <w:hideMark/>
          </w:tcPr>
          <w:p w14:paraId="69A5DA9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43,029 </w:t>
            </w:r>
          </w:p>
        </w:tc>
        <w:tc>
          <w:tcPr>
            <w:tcW w:w="568" w:type="pct"/>
            <w:tcBorders>
              <w:top w:val="nil"/>
              <w:left w:val="nil"/>
              <w:bottom w:val="nil"/>
              <w:right w:val="nil"/>
            </w:tcBorders>
            <w:shd w:val="clear" w:color="auto" w:fill="auto"/>
            <w:noWrap/>
            <w:vAlign w:val="bottom"/>
            <w:hideMark/>
          </w:tcPr>
          <w:p w14:paraId="1AC0CA7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44,999 </w:t>
            </w:r>
          </w:p>
        </w:tc>
        <w:tc>
          <w:tcPr>
            <w:tcW w:w="568" w:type="pct"/>
            <w:tcBorders>
              <w:top w:val="nil"/>
              <w:left w:val="nil"/>
              <w:bottom w:val="nil"/>
              <w:right w:val="nil"/>
            </w:tcBorders>
            <w:shd w:val="clear" w:color="000000" w:fill="E6E6E6"/>
            <w:noWrap/>
            <w:vAlign w:val="bottom"/>
            <w:hideMark/>
          </w:tcPr>
          <w:p w14:paraId="71244D1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40,000 </w:t>
            </w:r>
          </w:p>
        </w:tc>
      </w:tr>
      <w:tr w:rsidR="006C211B" w:rsidRPr="006C211B" w14:paraId="775B2D5F" w14:textId="77777777" w:rsidTr="006C211B">
        <w:trPr>
          <w:trHeight w:hRule="exact" w:val="450"/>
        </w:trPr>
        <w:tc>
          <w:tcPr>
            <w:tcW w:w="1672" w:type="pct"/>
            <w:tcBorders>
              <w:top w:val="nil"/>
              <w:left w:val="nil"/>
              <w:bottom w:val="nil"/>
              <w:right w:val="nil"/>
            </w:tcBorders>
            <w:shd w:val="clear" w:color="auto" w:fill="auto"/>
            <w:vAlign w:val="bottom"/>
            <w:hideMark/>
          </w:tcPr>
          <w:p w14:paraId="6C7F9080"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 Queensland (b)</w:t>
            </w:r>
          </w:p>
        </w:tc>
        <w:tc>
          <w:tcPr>
            <w:tcW w:w="486" w:type="pct"/>
            <w:tcBorders>
              <w:top w:val="nil"/>
              <w:left w:val="nil"/>
              <w:bottom w:val="nil"/>
              <w:right w:val="nil"/>
            </w:tcBorders>
            <w:shd w:val="clear" w:color="auto" w:fill="auto"/>
            <w:noWrap/>
            <w:vAlign w:val="bottom"/>
            <w:hideMark/>
          </w:tcPr>
          <w:p w14:paraId="74D7733C"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086CC50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FCE62BF"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BAF19B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77B7E7E"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7B073E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5326E8C" w14:textId="77777777" w:rsidTr="006C211B">
        <w:trPr>
          <w:trHeight w:hRule="exact" w:val="225"/>
        </w:trPr>
        <w:tc>
          <w:tcPr>
            <w:tcW w:w="1672" w:type="pct"/>
            <w:tcBorders>
              <w:top w:val="nil"/>
              <w:left w:val="nil"/>
              <w:bottom w:val="nil"/>
              <w:right w:val="nil"/>
            </w:tcBorders>
            <w:shd w:val="clear" w:color="auto" w:fill="auto"/>
            <w:noWrap/>
            <w:vAlign w:val="bottom"/>
            <w:hideMark/>
          </w:tcPr>
          <w:p w14:paraId="7FE88826"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16BC16B7"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8C0162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6,000 </w:t>
            </w:r>
          </w:p>
        </w:tc>
        <w:tc>
          <w:tcPr>
            <w:tcW w:w="568" w:type="pct"/>
            <w:tcBorders>
              <w:top w:val="nil"/>
              <w:left w:val="nil"/>
              <w:bottom w:val="nil"/>
              <w:right w:val="nil"/>
            </w:tcBorders>
            <w:shd w:val="clear" w:color="auto" w:fill="auto"/>
            <w:noWrap/>
            <w:vAlign w:val="bottom"/>
            <w:hideMark/>
          </w:tcPr>
          <w:p w14:paraId="0C1F1F2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103,602 </w:t>
            </w:r>
          </w:p>
        </w:tc>
        <w:tc>
          <w:tcPr>
            <w:tcW w:w="568" w:type="pct"/>
            <w:tcBorders>
              <w:top w:val="nil"/>
              <w:left w:val="nil"/>
              <w:bottom w:val="nil"/>
              <w:right w:val="nil"/>
            </w:tcBorders>
            <w:shd w:val="clear" w:color="000000" w:fill="E6E6E6"/>
            <w:noWrap/>
            <w:vAlign w:val="bottom"/>
            <w:hideMark/>
          </w:tcPr>
          <w:p w14:paraId="20F9EE9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222,276 </w:t>
            </w:r>
          </w:p>
        </w:tc>
        <w:tc>
          <w:tcPr>
            <w:tcW w:w="568" w:type="pct"/>
            <w:tcBorders>
              <w:top w:val="nil"/>
              <w:left w:val="nil"/>
              <w:bottom w:val="nil"/>
              <w:right w:val="nil"/>
            </w:tcBorders>
            <w:shd w:val="clear" w:color="auto" w:fill="auto"/>
            <w:noWrap/>
            <w:vAlign w:val="bottom"/>
            <w:hideMark/>
          </w:tcPr>
          <w:p w14:paraId="2F43A44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347,937 </w:t>
            </w:r>
          </w:p>
        </w:tc>
        <w:tc>
          <w:tcPr>
            <w:tcW w:w="568" w:type="pct"/>
            <w:tcBorders>
              <w:top w:val="nil"/>
              <w:left w:val="nil"/>
              <w:bottom w:val="nil"/>
              <w:right w:val="nil"/>
            </w:tcBorders>
            <w:shd w:val="clear" w:color="000000" w:fill="E6E6E6"/>
            <w:noWrap/>
            <w:vAlign w:val="bottom"/>
            <w:hideMark/>
          </w:tcPr>
          <w:p w14:paraId="5102D85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510,045 </w:t>
            </w:r>
          </w:p>
        </w:tc>
      </w:tr>
      <w:tr w:rsidR="006C211B" w:rsidRPr="006C211B" w14:paraId="69B0D7D0" w14:textId="77777777" w:rsidTr="006C211B">
        <w:trPr>
          <w:trHeight w:hRule="exact" w:val="450"/>
        </w:trPr>
        <w:tc>
          <w:tcPr>
            <w:tcW w:w="1672" w:type="pct"/>
            <w:tcBorders>
              <w:top w:val="nil"/>
              <w:left w:val="nil"/>
              <w:bottom w:val="nil"/>
              <w:right w:val="nil"/>
            </w:tcBorders>
            <w:shd w:val="clear" w:color="auto" w:fill="auto"/>
            <w:vAlign w:val="bottom"/>
            <w:hideMark/>
          </w:tcPr>
          <w:p w14:paraId="2AC7F51C"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 South Australia (b)</w:t>
            </w:r>
          </w:p>
        </w:tc>
        <w:tc>
          <w:tcPr>
            <w:tcW w:w="486" w:type="pct"/>
            <w:tcBorders>
              <w:top w:val="nil"/>
              <w:left w:val="nil"/>
              <w:bottom w:val="nil"/>
              <w:right w:val="nil"/>
            </w:tcBorders>
            <w:shd w:val="clear" w:color="auto" w:fill="auto"/>
            <w:noWrap/>
            <w:vAlign w:val="bottom"/>
            <w:hideMark/>
          </w:tcPr>
          <w:p w14:paraId="5412FD93"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7796D86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0F8C5C0"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2C74AF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293B515"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796A7D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611CFDC5"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0544411"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7BC42387"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E93ECB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24,221 </w:t>
            </w:r>
          </w:p>
        </w:tc>
        <w:tc>
          <w:tcPr>
            <w:tcW w:w="568" w:type="pct"/>
            <w:tcBorders>
              <w:top w:val="nil"/>
              <w:left w:val="nil"/>
              <w:bottom w:val="nil"/>
              <w:right w:val="nil"/>
            </w:tcBorders>
            <w:shd w:val="clear" w:color="auto" w:fill="auto"/>
            <w:noWrap/>
            <w:vAlign w:val="bottom"/>
            <w:hideMark/>
          </w:tcPr>
          <w:p w14:paraId="7BEC763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65,131 </w:t>
            </w:r>
          </w:p>
        </w:tc>
        <w:tc>
          <w:tcPr>
            <w:tcW w:w="568" w:type="pct"/>
            <w:tcBorders>
              <w:top w:val="nil"/>
              <w:left w:val="nil"/>
              <w:bottom w:val="nil"/>
              <w:right w:val="nil"/>
            </w:tcBorders>
            <w:shd w:val="clear" w:color="000000" w:fill="E6E6E6"/>
            <w:noWrap/>
            <w:vAlign w:val="bottom"/>
            <w:hideMark/>
          </w:tcPr>
          <w:p w14:paraId="397F874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114,248 </w:t>
            </w:r>
          </w:p>
        </w:tc>
        <w:tc>
          <w:tcPr>
            <w:tcW w:w="568" w:type="pct"/>
            <w:tcBorders>
              <w:top w:val="nil"/>
              <w:left w:val="nil"/>
              <w:bottom w:val="nil"/>
              <w:right w:val="nil"/>
            </w:tcBorders>
            <w:shd w:val="clear" w:color="auto" w:fill="auto"/>
            <w:noWrap/>
            <w:vAlign w:val="bottom"/>
            <w:hideMark/>
          </w:tcPr>
          <w:p w14:paraId="6C7669B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492,500 </w:t>
            </w:r>
          </w:p>
        </w:tc>
        <w:tc>
          <w:tcPr>
            <w:tcW w:w="568" w:type="pct"/>
            <w:tcBorders>
              <w:top w:val="nil"/>
              <w:left w:val="nil"/>
              <w:bottom w:val="nil"/>
              <w:right w:val="nil"/>
            </w:tcBorders>
            <w:shd w:val="clear" w:color="000000" w:fill="E6E6E6"/>
            <w:noWrap/>
            <w:vAlign w:val="bottom"/>
            <w:hideMark/>
          </w:tcPr>
          <w:p w14:paraId="15C27C0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433,200 </w:t>
            </w:r>
          </w:p>
        </w:tc>
      </w:tr>
      <w:tr w:rsidR="006C211B" w:rsidRPr="006C211B" w14:paraId="06FC5555" w14:textId="77777777" w:rsidTr="006C211B">
        <w:trPr>
          <w:trHeight w:hRule="exact" w:val="450"/>
        </w:trPr>
        <w:tc>
          <w:tcPr>
            <w:tcW w:w="1672" w:type="pct"/>
            <w:tcBorders>
              <w:top w:val="nil"/>
              <w:left w:val="nil"/>
              <w:bottom w:val="nil"/>
              <w:right w:val="nil"/>
            </w:tcBorders>
            <w:shd w:val="clear" w:color="auto" w:fill="auto"/>
            <w:vAlign w:val="bottom"/>
            <w:hideMark/>
          </w:tcPr>
          <w:p w14:paraId="3040579E"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 Tasmania (b)</w:t>
            </w:r>
          </w:p>
        </w:tc>
        <w:tc>
          <w:tcPr>
            <w:tcW w:w="486" w:type="pct"/>
            <w:tcBorders>
              <w:top w:val="nil"/>
              <w:left w:val="nil"/>
              <w:bottom w:val="nil"/>
              <w:right w:val="nil"/>
            </w:tcBorders>
            <w:shd w:val="clear" w:color="auto" w:fill="auto"/>
            <w:noWrap/>
            <w:vAlign w:val="bottom"/>
            <w:hideMark/>
          </w:tcPr>
          <w:p w14:paraId="2F6E1534"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2D30265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B3B7ECB"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47C0B8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5D26B4B"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46AF9C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2EF9B0B7" w14:textId="77777777" w:rsidTr="006C211B">
        <w:trPr>
          <w:trHeight w:hRule="exact" w:val="225"/>
        </w:trPr>
        <w:tc>
          <w:tcPr>
            <w:tcW w:w="1672" w:type="pct"/>
            <w:tcBorders>
              <w:top w:val="nil"/>
              <w:left w:val="nil"/>
              <w:bottom w:val="nil"/>
              <w:right w:val="nil"/>
            </w:tcBorders>
            <w:shd w:val="clear" w:color="auto" w:fill="auto"/>
            <w:noWrap/>
            <w:vAlign w:val="bottom"/>
            <w:hideMark/>
          </w:tcPr>
          <w:p w14:paraId="196246CB"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6A4293F7"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73349BE" w14:textId="1A3B10F4"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5A0BDC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5,000 </w:t>
            </w:r>
          </w:p>
        </w:tc>
        <w:tc>
          <w:tcPr>
            <w:tcW w:w="568" w:type="pct"/>
            <w:tcBorders>
              <w:top w:val="nil"/>
              <w:left w:val="nil"/>
              <w:bottom w:val="nil"/>
              <w:right w:val="nil"/>
            </w:tcBorders>
            <w:shd w:val="clear" w:color="000000" w:fill="E6E6E6"/>
            <w:noWrap/>
            <w:vAlign w:val="bottom"/>
            <w:hideMark/>
          </w:tcPr>
          <w:p w14:paraId="229DB7F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38,200 </w:t>
            </w:r>
          </w:p>
        </w:tc>
        <w:tc>
          <w:tcPr>
            <w:tcW w:w="568" w:type="pct"/>
            <w:tcBorders>
              <w:top w:val="nil"/>
              <w:left w:val="nil"/>
              <w:bottom w:val="nil"/>
              <w:right w:val="nil"/>
            </w:tcBorders>
            <w:shd w:val="clear" w:color="auto" w:fill="auto"/>
            <w:noWrap/>
            <w:vAlign w:val="bottom"/>
            <w:hideMark/>
          </w:tcPr>
          <w:p w14:paraId="17A7407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125,300 </w:t>
            </w:r>
          </w:p>
        </w:tc>
        <w:tc>
          <w:tcPr>
            <w:tcW w:w="568" w:type="pct"/>
            <w:tcBorders>
              <w:top w:val="nil"/>
              <w:left w:val="nil"/>
              <w:bottom w:val="nil"/>
              <w:right w:val="nil"/>
            </w:tcBorders>
            <w:shd w:val="clear" w:color="000000" w:fill="E6E6E6"/>
            <w:noWrap/>
            <w:vAlign w:val="bottom"/>
            <w:hideMark/>
          </w:tcPr>
          <w:p w14:paraId="0660145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126,800 </w:t>
            </w:r>
          </w:p>
        </w:tc>
      </w:tr>
      <w:tr w:rsidR="006C211B" w:rsidRPr="006C211B" w14:paraId="6C001485" w14:textId="77777777" w:rsidTr="006C211B">
        <w:trPr>
          <w:trHeight w:hRule="exact" w:val="450"/>
        </w:trPr>
        <w:tc>
          <w:tcPr>
            <w:tcW w:w="1672" w:type="pct"/>
            <w:tcBorders>
              <w:top w:val="nil"/>
              <w:left w:val="nil"/>
              <w:bottom w:val="nil"/>
              <w:right w:val="nil"/>
            </w:tcBorders>
            <w:shd w:val="clear" w:color="auto" w:fill="auto"/>
            <w:vAlign w:val="bottom"/>
            <w:hideMark/>
          </w:tcPr>
          <w:p w14:paraId="3BFD2529"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 Victoria (a)(b)</w:t>
            </w:r>
          </w:p>
        </w:tc>
        <w:tc>
          <w:tcPr>
            <w:tcW w:w="486" w:type="pct"/>
            <w:tcBorders>
              <w:top w:val="nil"/>
              <w:left w:val="nil"/>
              <w:bottom w:val="nil"/>
              <w:right w:val="nil"/>
            </w:tcBorders>
            <w:shd w:val="clear" w:color="auto" w:fill="auto"/>
            <w:noWrap/>
            <w:vAlign w:val="bottom"/>
            <w:hideMark/>
          </w:tcPr>
          <w:p w14:paraId="79877713"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5CF0044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EE19CC4"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047FE2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4ED9D7E"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ABFD2A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98BEA3D"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A202EB2"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1FAC5096"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09C4FE1" w14:textId="7177BAF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77B125D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72,187 </w:t>
            </w:r>
          </w:p>
        </w:tc>
        <w:tc>
          <w:tcPr>
            <w:tcW w:w="568" w:type="pct"/>
            <w:tcBorders>
              <w:top w:val="nil"/>
              <w:left w:val="nil"/>
              <w:bottom w:val="nil"/>
              <w:right w:val="nil"/>
            </w:tcBorders>
            <w:shd w:val="clear" w:color="000000" w:fill="E6E6E6"/>
            <w:noWrap/>
            <w:vAlign w:val="bottom"/>
            <w:hideMark/>
          </w:tcPr>
          <w:p w14:paraId="6206287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144,526 </w:t>
            </w:r>
          </w:p>
        </w:tc>
        <w:tc>
          <w:tcPr>
            <w:tcW w:w="568" w:type="pct"/>
            <w:tcBorders>
              <w:top w:val="nil"/>
              <w:left w:val="nil"/>
              <w:bottom w:val="nil"/>
              <w:right w:val="nil"/>
            </w:tcBorders>
            <w:shd w:val="clear" w:color="auto" w:fill="auto"/>
            <w:noWrap/>
            <w:vAlign w:val="bottom"/>
            <w:hideMark/>
          </w:tcPr>
          <w:p w14:paraId="214B11E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275,724 </w:t>
            </w:r>
          </w:p>
        </w:tc>
        <w:tc>
          <w:tcPr>
            <w:tcW w:w="568" w:type="pct"/>
            <w:tcBorders>
              <w:top w:val="nil"/>
              <w:left w:val="nil"/>
              <w:bottom w:val="nil"/>
              <w:right w:val="nil"/>
            </w:tcBorders>
            <w:shd w:val="clear" w:color="000000" w:fill="E6E6E6"/>
            <w:noWrap/>
            <w:vAlign w:val="bottom"/>
            <w:hideMark/>
          </w:tcPr>
          <w:p w14:paraId="57FABF5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330,954 </w:t>
            </w:r>
          </w:p>
        </w:tc>
      </w:tr>
      <w:tr w:rsidR="006C211B" w:rsidRPr="006C211B" w14:paraId="06F68454" w14:textId="77777777" w:rsidTr="006C211B">
        <w:trPr>
          <w:trHeight w:hRule="exact" w:val="450"/>
        </w:trPr>
        <w:tc>
          <w:tcPr>
            <w:tcW w:w="1672" w:type="pct"/>
            <w:tcBorders>
              <w:top w:val="nil"/>
              <w:left w:val="nil"/>
              <w:bottom w:val="nil"/>
              <w:right w:val="nil"/>
            </w:tcBorders>
            <w:shd w:val="clear" w:color="auto" w:fill="auto"/>
            <w:vAlign w:val="bottom"/>
            <w:hideMark/>
          </w:tcPr>
          <w:p w14:paraId="17A5FA62"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Infrastructure Investment – Western Australia (b)</w:t>
            </w:r>
          </w:p>
        </w:tc>
        <w:tc>
          <w:tcPr>
            <w:tcW w:w="486" w:type="pct"/>
            <w:tcBorders>
              <w:top w:val="nil"/>
              <w:left w:val="nil"/>
              <w:bottom w:val="nil"/>
              <w:right w:val="nil"/>
            </w:tcBorders>
            <w:shd w:val="clear" w:color="auto" w:fill="auto"/>
            <w:noWrap/>
            <w:vAlign w:val="bottom"/>
            <w:hideMark/>
          </w:tcPr>
          <w:p w14:paraId="55833B5F"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2689871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50FBC6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7BB360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4145B05"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BF4BCA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4E87D3D" w14:textId="77777777" w:rsidTr="006C211B">
        <w:trPr>
          <w:trHeight w:hRule="exact" w:val="225"/>
        </w:trPr>
        <w:tc>
          <w:tcPr>
            <w:tcW w:w="1672" w:type="pct"/>
            <w:tcBorders>
              <w:top w:val="nil"/>
              <w:left w:val="nil"/>
              <w:bottom w:val="nil"/>
              <w:right w:val="nil"/>
            </w:tcBorders>
            <w:shd w:val="clear" w:color="auto" w:fill="auto"/>
            <w:noWrap/>
            <w:vAlign w:val="bottom"/>
            <w:hideMark/>
          </w:tcPr>
          <w:p w14:paraId="3A3F3154"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255440CE"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C46D7C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1,000 </w:t>
            </w:r>
          </w:p>
        </w:tc>
        <w:tc>
          <w:tcPr>
            <w:tcW w:w="568" w:type="pct"/>
            <w:tcBorders>
              <w:top w:val="nil"/>
              <w:left w:val="nil"/>
              <w:bottom w:val="nil"/>
              <w:right w:val="nil"/>
            </w:tcBorders>
            <w:shd w:val="clear" w:color="auto" w:fill="auto"/>
            <w:noWrap/>
            <w:vAlign w:val="bottom"/>
            <w:hideMark/>
          </w:tcPr>
          <w:p w14:paraId="34D0EF4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348,842 </w:t>
            </w:r>
          </w:p>
        </w:tc>
        <w:tc>
          <w:tcPr>
            <w:tcW w:w="568" w:type="pct"/>
            <w:tcBorders>
              <w:top w:val="nil"/>
              <w:left w:val="nil"/>
              <w:bottom w:val="nil"/>
              <w:right w:val="nil"/>
            </w:tcBorders>
            <w:shd w:val="clear" w:color="000000" w:fill="E6E6E6"/>
            <w:noWrap/>
            <w:vAlign w:val="bottom"/>
            <w:hideMark/>
          </w:tcPr>
          <w:p w14:paraId="4E78EFB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393,734 </w:t>
            </w:r>
          </w:p>
        </w:tc>
        <w:tc>
          <w:tcPr>
            <w:tcW w:w="568" w:type="pct"/>
            <w:tcBorders>
              <w:top w:val="nil"/>
              <w:left w:val="nil"/>
              <w:bottom w:val="nil"/>
              <w:right w:val="nil"/>
            </w:tcBorders>
            <w:shd w:val="clear" w:color="auto" w:fill="auto"/>
            <w:noWrap/>
            <w:vAlign w:val="bottom"/>
            <w:hideMark/>
          </w:tcPr>
          <w:p w14:paraId="1090B5F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286,290 </w:t>
            </w:r>
          </w:p>
        </w:tc>
        <w:tc>
          <w:tcPr>
            <w:tcW w:w="568" w:type="pct"/>
            <w:tcBorders>
              <w:top w:val="nil"/>
              <w:left w:val="nil"/>
              <w:bottom w:val="nil"/>
              <w:right w:val="nil"/>
            </w:tcBorders>
            <w:shd w:val="clear" w:color="000000" w:fill="E6E6E6"/>
            <w:noWrap/>
            <w:vAlign w:val="bottom"/>
            <w:hideMark/>
          </w:tcPr>
          <w:p w14:paraId="1AA19BF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361,634 </w:t>
            </w:r>
          </w:p>
        </w:tc>
      </w:tr>
      <w:tr w:rsidR="006C211B" w:rsidRPr="006C211B" w14:paraId="7DEB5D31" w14:textId="77777777" w:rsidTr="006C211B">
        <w:trPr>
          <w:trHeight w:hRule="exact" w:val="225"/>
        </w:trPr>
        <w:tc>
          <w:tcPr>
            <w:tcW w:w="1672" w:type="pct"/>
            <w:tcBorders>
              <w:top w:val="nil"/>
              <w:left w:val="nil"/>
              <w:bottom w:val="nil"/>
              <w:right w:val="nil"/>
            </w:tcBorders>
            <w:shd w:val="clear" w:color="auto" w:fill="auto"/>
            <w:vAlign w:val="bottom"/>
            <w:hideMark/>
          </w:tcPr>
          <w:p w14:paraId="26195D56"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International Support (d)</w:t>
            </w:r>
          </w:p>
        </w:tc>
        <w:tc>
          <w:tcPr>
            <w:tcW w:w="486" w:type="pct"/>
            <w:tcBorders>
              <w:top w:val="nil"/>
              <w:left w:val="nil"/>
              <w:bottom w:val="nil"/>
              <w:right w:val="nil"/>
            </w:tcBorders>
            <w:shd w:val="clear" w:color="auto" w:fill="auto"/>
            <w:noWrap/>
            <w:vAlign w:val="bottom"/>
            <w:hideMark/>
          </w:tcPr>
          <w:p w14:paraId="361E6D5B"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1.2</w:t>
            </w:r>
          </w:p>
        </w:tc>
        <w:tc>
          <w:tcPr>
            <w:tcW w:w="568" w:type="pct"/>
            <w:tcBorders>
              <w:top w:val="nil"/>
              <w:left w:val="nil"/>
              <w:bottom w:val="nil"/>
              <w:right w:val="nil"/>
            </w:tcBorders>
            <w:shd w:val="clear" w:color="000000" w:fill="E6E6E6"/>
            <w:noWrap/>
            <w:vAlign w:val="bottom"/>
            <w:hideMark/>
          </w:tcPr>
          <w:p w14:paraId="48560FF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8AFD472"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C75DF1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0FC9913"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589436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EF347C4"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9632965"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7C37E69F"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797674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5662295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c>
          <w:tcPr>
            <w:tcW w:w="568" w:type="pct"/>
            <w:tcBorders>
              <w:top w:val="nil"/>
              <w:left w:val="nil"/>
              <w:bottom w:val="nil"/>
              <w:right w:val="nil"/>
            </w:tcBorders>
            <w:shd w:val="clear" w:color="000000" w:fill="E6E6E6"/>
            <w:noWrap/>
            <w:vAlign w:val="bottom"/>
            <w:hideMark/>
          </w:tcPr>
          <w:p w14:paraId="0ED9F0C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59F72F9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c>
          <w:tcPr>
            <w:tcW w:w="568" w:type="pct"/>
            <w:tcBorders>
              <w:top w:val="nil"/>
              <w:left w:val="nil"/>
              <w:bottom w:val="nil"/>
              <w:right w:val="nil"/>
            </w:tcBorders>
            <w:shd w:val="clear" w:color="000000" w:fill="E6E6E6"/>
            <w:noWrap/>
            <w:vAlign w:val="bottom"/>
            <w:hideMark/>
          </w:tcPr>
          <w:p w14:paraId="7AEA05F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proofErr w:type="spellStart"/>
            <w:r w:rsidRPr="006C211B">
              <w:rPr>
                <w:rFonts w:ascii="Arial" w:hAnsi="Arial" w:cs="Arial"/>
                <w:sz w:val="16"/>
                <w:szCs w:val="16"/>
              </w:rPr>
              <w:t>nfp</w:t>
            </w:r>
            <w:proofErr w:type="spellEnd"/>
            <w:r w:rsidRPr="006C211B">
              <w:rPr>
                <w:rFonts w:ascii="Arial" w:hAnsi="Arial" w:cs="Arial"/>
                <w:sz w:val="16"/>
                <w:szCs w:val="16"/>
              </w:rPr>
              <w:t xml:space="preserve"> </w:t>
            </w:r>
          </w:p>
        </w:tc>
      </w:tr>
      <w:tr w:rsidR="006C211B" w:rsidRPr="006C211B" w14:paraId="6821C6F3" w14:textId="77777777" w:rsidTr="006C211B">
        <w:trPr>
          <w:trHeight w:hRule="exact" w:val="450"/>
        </w:trPr>
        <w:tc>
          <w:tcPr>
            <w:tcW w:w="1672" w:type="pct"/>
            <w:tcBorders>
              <w:top w:val="nil"/>
              <w:left w:val="nil"/>
              <w:bottom w:val="nil"/>
              <w:right w:val="nil"/>
            </w:tcBorders>
            <w:shd w:val="clear" w:color="auto" w:fill="auto"/>
            <w:vAlign w:val="bottom"/>
            <w:hideMark/>
          </w:tcPr>
          <w:p w14:paraId="56151A38"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Japanese Encephalitis Virus National Plan</w:t>
            </w:r>
          </w:p>
        </w:tc>
        <w:tc>
          <w:tcPr>
            <w:tcW w:w="486" w:type="pct"/>
            <w:tcBorders>
              <w:top w:val="nil"/>
              <w:left w:val="nil"/>
              <w:bottom w:val="nil"/>
              <w:right w:val="nil"/>
            </w:tcBorders>
            <w:shd w:val="clear" w:color="auto" w:fill="auto"/>
            <w:noWrap/>
            <w:vAlign w:val="bottom"/>
            <w:hideMark/>
          </w:tcPr>
          <w:p w14:paraId="029BC577"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2CF3280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7530DBB"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842751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8937329"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BB5CA6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042970F" w14:textId="77777777" w:rsidTr="006C211B">
        <w:trPr>
          <w:trHeight w:hRule="exact" w:val="225"/>
        </w:trPr>
        <w:tc>
          <w:tcPr>
            <w:tcW w:w="1672" w:type="pct"/>
            <w:tcBorders>
              <w:top w:val="nil"/>
              <w:left w:val="nil"/>
              <w:bottom w:val="nil"/>
              <w:right w:val="nil"/>
            </w:tcBorders>
            <w:shd w:val="clear" w:color="auto" w:fill="auto"/>
            <w:noWrap/>
            <w:vAlign w:val="bottom"/>
            <w:hideMark/>
          </w:tcPr>
          <w:p w14:paraId="72DA3EB4"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39A464D8"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2BD8A3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22,500 </w:t>
            </w:r>
          </w:p>
        </w:tc>
        <w:tc>
          <w:tcPr>
            <w:tcW w:w="568" w:type="pct"/>
            <w:tcBorders>
              <w:top w:val="nil"/>
              <w:left w:val="nil"/>
              <w:bottom w:val="nil"/>
              <w:right w:val="nil"/>
            </w:tcBorders>
            <w:shd w:val="clear" w:color="auto" w:fill="auto"/>
            <w:noWrap/>
            <w:vAlign w:val="bottom"/>
            <w:hideMark/>
          </w:tcPr>
          <w:p w14:paraId="6C6C07F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5,000 </w:t>
            </w:r>
          </w:p>
        </w:tc>
        <w:tc>
          <w:tcPr>
            <w:tcW w:w="568" w:type="pct"/>
            <w:tcBorders>
              <w:top w:val="nil"/>
              <w:left w:val="nil"/>
              <w:bottom w:val="nil"/>
              <w:right w:val="nil"/>
            </w:tcBorders>
            <w:shd w:val="clear" w:color="000000" w:fill="E6E6E6"/>
            <w:noWrap/>
            <w:vAlign w:val="bottom"/>
            <w:hideMark/>
          </w:tcPr>
          <w:p w14:paraId="077B751E" w14:textId="22C3186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2648AB49" w14:textId="6C84C624"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4CDFC983" w14:textId="1F65AC0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3A9D6F91" w14:textId="77777777" w:rsidTr="006C211B">
        <w:trPr>
          <w:trHeight w:hRule="exact" w:val="450"/>
        </w:trPr>
        <w:tc>
          <w:tcPr>
            <w:tcW w:w="1672" w:type="pct"/>
            <w:tcBorders>
              <w:top w:val="nil"/>
              <w:left w:val="nil"/>
              <w:bottom w:val="nil"/>
              <w:right w:val="nil"/>
            </w:tcBorders>
            <w:shd w:val="clear" w:color="auto" w:fill="auto"/>
            <w:vAlign w:val="bottom"/>
            <w:hideMark/>
          </w:tcPr>
          <w:p w14:paraId="55A9E693" w14:textId="3AD9B3A6"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Migration Program – 2022</w:t>
            </w:r>
            <w:r w:rsidR="00B33758">
              <w:rPr>
                <w:rFonts w:ascii="Arial" w:hAnsi="Arial" w:cs="Arial"/>
                <w:sz w:val="16"/>
                <w:szCs w:val="16"/>
              </w:rPr>
              <w:noBreakHyphen/>
            </w:r>
            <w:r w:rsidRPr="006C211B">
              <w:rPr>
                <w:rFonts w:ascii="Arial" w:hAnsi="Arial" w:cs="Arial"/>
                <w:sz w:val="16"/>
                <w:szCs w:val="16"/>
              </w:rPr>
              <w:t>23 planning levels</w:t>
            </w:r>
          </w:p>
        </w:tc>
        <w:tc>
          <w:tcPr>
            <w:tcW w:w="486" w:type="pct"/>
            <w:tcBorders>
              <w:top w:val="nil"/>
              <w:left w:val="nil"/>
              <w:bottom w:val="nil"/>
              <w:right w:val="nil"/>
            </w:tcBorders>
            <w:shd w:val="clear" w:color="auto" w:fill="auto"/>
            <w:noWrap/>
            <w:vAlign w:val="bottom"/>
            <w:hideMark/>
          </w:tcPr>
          <w:p w14:paraId="71FF8438"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1.4</w:t>
            </w:r>
          </w:p>
        </w:tc>
        <w:tc>
          <w:tcPr>
            <w:tcW w:w="568" w:type="pct"/>
            <w:tcBorders>
              <w:top w:val="nil"/>
              <w:left w:val="nil"/>
              <w:bottom w:val="nil"/>
              <w:right w:val="nil"/>
            </w:tcBorders>
            <w:shd w:val="clear" w:color="000000" w:fill="E6E6E6"/>
            <w:noWrap/>
            <w:vAlign w:val="bottom"/>
            <w:hideMark/>
          </w:tcPr>
          <w:p w14:paraId="72804AF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EC97C17"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2AA506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ADB5549"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B63B18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594FB260"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4CDCF17"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268E6EC9"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13CEF29" w14:textId="70E6DD9B"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59AFBF13" w14:textId="522F604E"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46422B2C" w14:textId="36EB44C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737F06B5" w14:textId="52C8E8F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6B3131C8" w14:textId="3623B76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625FDD03" w14:textId="77777777" w:rsidTr="006C211B">
        <w:trPr>
          <w:trHeight w:hRule="exact" w:val="450"/>
        </w:trPr>
        <w:tc>
          <w:tcPr>
            <w:tcW w:w="1672" w:type="pct"/>
            <w:tcBorders>
              <w:top w:val="nil"/>
              <w:left w:val="nil"/>
              <w:bottom w:val="nil"/>
              <w:right w:val="nil"/>
            </w:tcBorders>
            <w:shd w:val="clear" w:color="auto" w:fill="auto"/>
            <w:vAlign w:val="bottom"/>
            <w:hideMark/>
          </w:tcPr>
          <w:p w14:paraId="617AFC4B" w14:textId="3E68229E"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National Water Grid Fund</w:t>
            </w:r>
            <w:r w:rsidR="00B33758">
              <w:rPr>
                <w:rFonts w:ascii="Arial" w:hAnsi="Arial" w:cs="Arial"/>
                <w:sz w:val="16"/>
                <w:szCs w:val="16"/>
              </w:rPr>
              <w:t xml:space="preserve"> – </w:t>
            </w:r>
            <w:r w:rsidRPr="006C211B">
              <w:rPr>
                <w:rFonts w:ascii="Arial" w:hAnsi="Arial" w:cs="Arial"/>
                <w:sz w:val="16"/>
                <w:szCs w:val="16"/>
              </w:rPr>
              <w:t>project funding (b)</w:t>
            </w:r>
          </w:p>
        </w:tc>
        <w:tc>
          <w:tcPr>
            <w:tcW w:w="486" w:type="pct"/>
            <w:tcBorders>
              <w:top w:val="nil"/>
              <w:left w:val="nil"/>
              <w:bottom w:val="nil"/>
              <w:right w:val="nil"/>
            </w:tcBorders>
            <w:shd w:val="clear" w:color="auto" w:fill="auto"/>
            <w:noWrap/>
            <w:vAlign w:val="bottom"/>
            <w:hideMark/>
          </w:tcPr>
          <w:p w14:paraId="462DA6E8"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6068EE1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481EF92"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7D0955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7FF357B"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4B36CC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2397F4F5" w14:textId="77777777" w:rsidTr="006C211B">
        <w:trPr>
          <w:trHeight w:hRule="exact" w:val="225"/>
        </w:trPr>
        <w:tc>
          <w:tcPr>
            <w:tcW w:w="1672" w:type="pct"/>
            <w:tcBorders>
              <w:top w:val="nil"/>
              <w:left w:val="nil"/>
              <w:bottom w:val="nil"/>
              <w:right w:val="nil"/>
            </w:tcBorders>
            <w:shd w:val="clear" w:color="auto" w:fill="auto"/>
            <w:noWrap/>
            <w:vAlign w:val="bottom"/>
            <w:hideMark/>
          </w:tcPr>
          <w:p w14:paraId="12AE9F13"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50194D5B"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5B9716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 </w:t>
            </w:r>
          </w:p>
        </w:tc>
        <w:tc>
          <w:tcPr>
            <w:tcW w:w="568" w:type="pct"/>
            <w:tcBorders>
              <w:top w:val="nil"/>
              <w:left w:val="nil"/>
              <w:bottom w:val="nil"/>
              <w:right w:val="nil"/>
            </w:tcBorders>
            <w:shd w:val="clear" w:color="auto" w:fill="auto"/>
            <w:noWrap/>
            <w:vAlign w:val="bottom"/>
            <w:hideMark/>
          </w:tcPr>
          <w:p w14:paraId="664051F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15,470 </w:t>
            </w:r>
          </w:p>
        </w:tc>
        <w:tc>
          <w:tcPr>
            <w:tcW w:w="568" w:type="pct"/>
            <w:tcBorders>
              <w:top w:val="nil"/>
              <w:left w:val="nil"/>
              <w:bottom w:val="nil"/>
              <w:right w:val="nil"/>
            </w:tcBorders>
            <w:shd w:val="clear" w:color="000000" w:fill="E6E6E6"/>
            <w:noWrap/>
            <w:vAlign w:val="bottom"/>
            <w:hideMark/>
          </w:tcPr>
          <w:p w14:paraId="4C961B2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230,000 </w:t>
            </w:r>
          </w:p>
        </w:tc>
        <w:tc>
          <w:tcPr>
            <w:tcW w:w="568" w:type="pct"/>
            <w:tcBorders>
              <w:top w:val="nil"/>
              <w:left w:val="nil"/>
              <w:bottom w:val="nil"/>
              <w:right w:val="nil"/>
            </w:tcBorders>
            <w:shd w:val="clear" w:color="auto" w:fill="auto"/>
            <w:noWrap/>
            <w:vAlign w:val="bottom"/>
            <w:hideMark/>
          </w:tcPr>
          <w:p w14:paraId="359D2CA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563,900 </w:t>
            </w:r>
          </w:p>
        </w:tc>
        <w:tc>
          <w:tcPr>
            <w:tcW w:w="568" w:type="pct"/>
            <w:tcBorders>
              <w:top w:val="nil"/>
              <w:left w:val="nil"/>
              <w:bottom w:val="nil"/>
              <w:right w:val="nil"/>
            </w:tcBorders>
            <w:shd w:val="clear" w:color="000000" w:fill="E6E6E6"/>
            <w:noWrap/>
            <w:vAlign w:val="bottom"/>
            <w:hideMark/>
          </w:tcPr>
          <w:p w14:paraId="69C7731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820,600 </w:t>
            </w:r>
          </w:p>
        </w:tc>
      </w:tr>
      <w:tr w:rsidR="006C211B" w:rsidRPr="006C211B" w14:paraId="469F7B19" w14:textId="77777777" w:rsidTr="006C211B">
        <w:trPr>
          <w:trHeight w:hRule="exact" w:val="450"/>
        </w:trPr>
        <w:tc>
          <w:tcPr>
            <w:tcW w:w="1672" w:type="pct"/>
            <w:tcBorders>
              <w:top w:val="nil"/>
              <w:left w:val="nil"/>
              <w:bottom w:val="nil"/>
              <w:right w:val="nil"/>
            </w:tcBorders>
            <w:shd w:val="clear" w:color="auto" w:fill="auto"/>
            <w:vAlign w:val="bottom"/>
            <w:hideMark/>
          </w:tcPr>
          <w:p w14:paraId="179D112E"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Perth City Deal – Edith Cowan University CBD Campus</w:t>
            </w:r>
          </w:p>
        </w:tc>
        <w:tc>
          <w:tcPr>
            <w:tcW w:w="486" w:type="pct"/>
            <w:tcBorders>
              <w:top w:val="nil"/>
              <w:left w:val="nil"/>
              <w:bottom w:val="nil"/>
              <w:right w:val="nil"/>
            </w:tcBorders>
            <w:shd w:val="clear" w:color="auto" w:fill="auto"/>
            <w:noWrap/>
            <w:vAlign w:val="bottom"/>
            <w:hideMark/>
          </w:tcPr>
          <w:p w14:paraId="7FA8D1B2"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0A819E8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9AAE361"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BE1C74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FA6836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20BB80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2AE306B" w14:textId="77777777" w:rsidTr="006C211B">
        <w:trPr>
          <w:trHeight w:hRule="exact" w:val="225"/>
        </w:trPr>
        <w:tc>
          <w:tcPr>
            <w:tcW w:w="1672" w:type="pct"/>
            <w:tcBorders>
              <w:top w:val="nil"/>
              <w:left w:val="nil"/>
              <w:bottom w:val="single" w:sz="4" w:space="0" w:color="auto"/>
              <w:right w:val="nil"/>
            </w:tcBorders>
            <w:shd w:val="clear" w:color="auto" w:fill="auto"/>
            <w:noWrap/>
            <w:vAlign w:val="bottom"/>
            <w:hideMark/>
          </w:tcPr>
          <w:p w14:paraId="6F423B7B"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single" w:sz="4" w:space="0" w:color="auto"/>
              <w:right w:val="nil"/>
            </w:tcBorders>
            <w:shd w:val="clear" w:color="auto" w:fill="auto"/>
            <w:noWrap/>
            <w:vAlign w:val="bottom"/>
            <w:hideMark/>
          </w:tcPr>
          <w:p w14:paraId="5AF0CFDF"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 </w:t>
            </w:r>
          </w:p>
        </w:tc>
        <w:tc>
          <w:tcPr>
            <w:tcW w:w="568" w:type="pct"/>
            <w:tcBorders>
              <w:top w:val="nil"/>
              <w:left w:val="nil"/>
              <w:bottom w:val="single" w:sz="4" w:space="0" w:color="auto"/>
              <w:right w:val="nil"/>
            </w:tcBorders>
            <w:shd w:val="clear" w:color="000000" w:fill="E6E6E6"/>
            <w:noWrap/>
            <w:vAlign w:val="bottom"/>
            <w:hideMark/>
          </w:tcPr>
          <w:p w14:paraId="63639752" w14:textId="3E271436" w:rsidR="006C211B" w:rsidRPr="006C211B" w:rsidRDefault="001833A3" w:rsidP="006C211B">
            <w:pPr>
              <w:spacing w:after="0" w:line="240" w:lineRule="auto"/>
              <w:jc w:val="right"/>
              <w:rPr>
                <w:rFonts w:ascii="Arial" w:hAnsi="Arial" w:cs="Arial"/>
                <w:sz w:val="16"/>
                <w:szCs w:val="16"/>
              </w:rPr>
            </w:pPr>
            <w:r>
              <w:rPr>
                <w:rFonts w:ascii="Arial" w:hAnsi="Arial" w:cs="Arial"/>
                <w:sz w:val="16"/>
                <w:szCs w:val="16"/>
              </w:rPr>
              <w:t>–</w:t>
            </w:r>
            <w:r w:rsidR="006C211B">
              <w:rPr>
                <w:rFonts w:ascii="Arial" w:hAnsi="Arial" w:cs="Arial"/>
                <w:sz w:val="16"/>
                <w:szCs w:val="16"/>
              </w:rPr>
              <w:t xml:space="preserve"> </w:t>
            </w:r>
          </w:p>
        </w:tc>
        <w:tc>
          <w:tcPr>
            <w:tcW w:w="568" w:type="pct"/>
            <w:tcBorders>
              <w:top w:val="nil"/>
              <w:left w:val="nil"/>
              <w:bottom w:val="single" w:sz="4" w:space="0" w:color="auto"/>
              <w:right w:val="nil"/>
            </w:tcBorders>
            <w:shd w:val="clear" w:color="auto" w:fill="auto"/>
            <w:noWrap/>
            <w:vAlign w:val="bottom"/>
            <w:hideMark/>
          </w:tcPr>
          <w:p w14:paraId="7EB1018C" w14:textId="3B1F0D7B"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 xml:space="preserve">15,000 </w:t>
            </w:r>
          </w:p>
        </w:tc>
        <w:tc>
          <w:tcPr>
            <w:tcW w:w="568" w:type="pct"/>
            <w:tcBorders>
              <w:top w:val="nil"/>
              <w:left w:val="nil"/>
              <w:bottom w:val="single" w:sz="4" w:space="0" w:color="auto"/>
              <w:right w:val="nil"/>
            </w:tcBorders>
            <w:shd w:val="clear" w:color="000000" w:fill="E6E6E6"/>
            <w:noWrap/>
            <w:vAlign w:val="bottom"/>
            <w:hideMark/>
          </w:tcPr>
          <w:p w14:paraId="6795531D" w14:textId="49FE1BBC"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 xml:space="preserve">15,000 </w:t>
            </w:r>
          </w:p>
        </w:tc>
        <w:tc>
          <w:tcPr>
            <w:tcW w:w="568" w:type="pct"/>
            <w:tcBorders>
              <w:top w:val="nil"/>
              <w:left w:val="nil"/>
              <w:bottom w:val="single" w:sz="4" w:space="0" w:color="auto"/>
              <w:right w:val="nil"/>
            </w:tcBorders>
            <w:shd w:val="clear" w:color="auto" w:fill="auto"/>
            <w:noWrap/>
            <w:vAlign w:val="bottom"/>
            <w:hideMark/>
          </w:tcPr>
          <w:p w14:paraId="66A27818" w14:textId="2AF4062C" w:rsidR="006C211B" w:rsidRPr="006C211B" w:rsidRDefault="006C211B" w:rsidP="006C211B">
            <w:pPr>
              <w:spacing w:after="0" w:line="240" w:lineRule="auto"/>
              <w:jc w:val="right"/>
              <w:rPr>
                <w:rFonts w:ascii="Arial" w:hAnsi="Arial" w:cs="Arial"/>
                <w:sz w:val="16"/>
                <w:szCs w:val="16"/>
              </w:rPr>
            </w:pPr>
            <w:r>
              <w:rPr>
                <w:rFonts w:ascii="Arial" w:hAnsi="Arial" w:cs="Arial"/>
                <w:sz w:val="16"/>
                <w:szCs w:val="16"/>
              </w:rPr>
              <w:t xml:space="preserve">19,000 </w:t>
            </w:r>
          </w:p>
        </w:tc>
        <w:tc>
          <w:tcPr>
            <w:tcW w:w="568" w:type="pct"/>
            <w:tcBorders>
              <w:top w:val="nil"/>
              <w:left w:val="nil"/>
              <w:bottom w:val="single" w:sz="4" w:space="0" w:color="auto"/>
              <w:right w:val="nil"/>
            </w:tcBorders>
            <w:shd w:val="clear" w:color="000000" w:fill="E6E6E6"/>
            <w:noWrap/>
            <w:vAlign w:val="bottom"/>
            <w:hideMark/>
          </w:tcPr>
          <w:p w14:paraId="01E61487" w14:textId="61A3AA4E" w:rsidR="006C211B" w:rsidRPr="006C211B" w:rsidRDefault="001833A3" w:rsidP="006C211B">
            <w:pPr>
              <w:spacing w:after="0" w:line="240" w:lineRule="auto"/>
              <w:jc w:val="right"/>
              <w:rPr>
                <w:rFonts w:ascii="Arial" w:hAnsi="Arial" w:cs="Arial"/>
                <w:sz w:val="16"/>
                <w:szCs w:val="16"/>
              </w:rPr>
            </w:pPr>
            <w:r>
              <w:rPr>
                <w:rFonts w:ascii="Arial" w:hAnsi="Arial" w:cs="Arial"/>
                <w:sz w:val="16"/>
                <w:szCs w:val="16"/>
              </w:rPr>
              <w:t>–</w:t>
            </w:r>
            <w:r w:rsidR="006C211B">
              <w:rPr>
                <w:rFonts w:ascii="Arial" w:hAnsi="Arial" w:cs="Arial"/>
                <w:sz w:val="16"/>
                <w:szCs w:val="16"/>
              </w:rPr>
              <w:t xml:space="preserve"> </w:t>
            </w:r>
          </w:p>
        </w:tc>
      </w:tr>
    </w:tbl>
    <w:p w14:paraId="086A6249" w14:textId="5D5918D4" w:rsidR="003C1AEB" w:rsidRDefault="00C01093" w:rsidP="00B32776">
      <w:pPr>
        <w:pStyle w:val="TableHeadingcontinued0"/>
        <w:rPr>
          <w:highlight w:val="yellow"/>
        </w:rPr>
      </w:pPr>
      <w:r w:rsidRPr="00A933F4">
        <w:rPr>
          <w:highlight w:val="yellow"/>
        </w:rPr>
        <w:br w:type="page"/>
      </w:r>
    </w:p>
    <w:p w14:paraId="6A73B252" w14:textId="662CBCEF" w:rsidR="006C211B" w:rsidRDefault="0049392C" w:rsidP="003C1AEB">
      <w:pPr>
        <w:pStyle w:val="TableHeadingcontinued0"/>
        <w:rPr>
          <w:rFonts w:ascii="Times New Roman" w:hAnsi="Times New Roman"/>
          <w:b w:val="0"/>
          <w:lang w:val="en-AU"/>
        </w:rPr>
      </w:pPr>
      <w:r w:rsidRPr="0049392C">
        <w:lastRenderedPageBreak/>
        <w:t>Part 1: Measures announced since the 2021</w:t>
      </w:r>
      <w:r w:rsidR="00B33758">
        <w:noBreakHyphen/>
      </w:r>
      <w:r w:rsidRPr="0049392C">
        <w:t>22 Mid</w:t>
      </w:r>
      <w:r w:rsidR="00B33758">
        <w:noBreakHyphen/>
      </w:r>
      <w:r w:rsidRPr="0049392C">
        <w:t>Year Economic and Fiscal Outlook (MYEFO) (continued)</w:t>
      </w:r>
    </w:p>
    <w:tbl>
      <w:tblPr>
        <w:tblW w:w="5000" w:type="pct"/>
        <w:tblCellMar>
          <w:left w:w="0" w:type="dxa"/>
          <w:right w:w="28" w:type="dxa"/>
        </w:tblCellMar>
        <w:tblLook w:val="04A0" w:firstRow="1" w:lastRow="0" w:firstColumn="1" w:lastColumn="0" w:noHBand="0" w:noVBand="1"/>
      </w:tblPr>
      <w:tblGrid>
        <w:gridCol w:w="2577"/>
        <w:gridCol w:w="747"/>
        <w:gridCol w:w="874"/>
        <w:gridCol w:w="891"/>
        <w:gridCol w:w="874"/>
        <w:gridCol w:w="874"/>
        <w:gridCol w:w="874"/>
      </w:tblGrid>
      <w:tr w:rsidR="006C211B" w:rsidRPr="006C211B" w14:paraId="156481C1" w14:textId="77777777" w:rsidTr="006C211B">
        <w:trPr>
          <w:trHeight w:hRule="exact" w:val="450"/>
        </w:trPr>
        <w:tc>
          <w:tcPr>
            <w:tcW w:w="1672" w:type="pct"/>
            <w:tcBorders>
              <w:top w:val="single" w:sz="4" w:space="0" w:color="auto"/>
              <w:left w:val="nil"/>
              <w:bottom w:val="nil"/>
              <w:right w:val="nil"/>
            </w:tcBorders>
            <w:shd w:val="clear" w:color="auto" w:fill="auto"/>
            <w:noWrap/>
            <w:vAlign w:val="bottom"/>
            <w:hideMark/>
          </w:tcPr>
          <w:p w14:paraId="633E6511" w14:textId="669E857B"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486" w:type="pct"/>
            <w:tcBorders>
              <w:top w:val="single" w:sz="4" w:space="0" w:color="auto"/>
              <w:left w:val="nil"/>
              <w:bottom w:val="single" w:sz="4" w:space="0" w:color="auto"/>
              <w:right w:val="nil"/>
            </w:tcBorders>
            <w:shd w:val="clear" w:color="auto" w:fill="auto"/>
            <w:noWrap/>
            <w:vAlign w:val="bottom"/>
            <w:hideMark/>
          </w:tcPr>
          <w:p w14:paraId="6BB83B94"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Program</w:t>
            </w:r>
          </w:p>
        </w:tc>
        <w:tc>
          <w:tcPr>
            <w:tcW w:w="568" w:type="pct"/>
            <w:tcBorders>
              <w:top w:val="single" w:sz="4" w:space="0" w:color="auto"/>
              <w:left w:val="nil"/>
              <w:bottom w:val="single" w:sz="4" w:space="0" w:color="auto"/>
              <w:right w:val="nil"/>
            </w:tcBorders>
            <w:shd w:val="clear" w:color="000000" w:fill="E6E6E6"/>
            <w:vAlign w:val="bottom"/>
            <w:hideMark/>
          </w:tcPr>
          <w:p w14:paraId="15D28704" w14:textId="63345551"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2021</w:t>
            </w:r>
            <w:r w:rsidR="00B33758">
              <w:rPr>
                <w:rFonts w:ascii="Arial" w:hAnsi="Arial" w:cs="Arial"/>
                <w:sz w:val="16"/>
                <w:szCs w:val="16"/>
              </w:rPr>
              <w:noBreakHyphen/>
            </w:r>
            <w:r w:rsidRPr="006C211B">
              <w:rPr>
                <w:rFonts w:ascii="Arial" w:hAnsi="Arial" w:cs="Arial"/>
                <w:sz w:val="16"/>
                <w:szCs w:val="16"/>
              </w:rPr>
              <w:t>22</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48926DCF" w14:textId="1E0BC04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2022</w:t>
            </w:r>
            <w:r w:rsidR="00B33758">
              <w:rPr>
                <w:rFonts w:ascii="Arial" w:hAnsi="Arial" w:cs="Arial"/>
                <w:sz w:val="16"/>
                <w:szCs w:val="16"/>
              </w:rPr>
              <w:noBreakHyphen/>
            </w:r>
            <w:r w:rsidRPr="006C211B">
              <w:rPr>
                <w:rFonts w:ascii="Arial" w:hAnsi="Arial" w:cs="Arial"/>
                <w:sz w:val="16"/>
                <w:szCs w:val="16"/>
              </w:rPr>
              <w:t>23</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348B715F" w14:textId="7CE8D1C8"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2023</w:t>
            </w:r>
            <w:r w:rsidR="00B33758">
              <w:rPr>
                <w:rFonts w:ascii="Arial" w:hAnsi="Arial" w:cs="Arial"/>
                <w:sz w:val="16"/>
                <w:szCs w:val="16"/>
              </w:rPr>
              <w:noBreakHyphen/>
            </w:r>
            <w:r w:rsidRPr="006C211B">
              <w:rPr>
                <w:rFonts w:ascii="Arial" w:hAnsi="Arial" w:cs="Arial"/>
                <w:sz w:val="16"/>
                <w:szCs w:val="16"/>
              </w:rPr>
              <w:t>24</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648914D0" w14:textId="3FB5AF08"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2024</w:t>
            </w:r>
            <w:r w:rsidR="00B33758">
              <w:rPr>
                <w:rFonts w:ascii="Arial" w:hAnsi="Arial" w:cs="Arial"/>
                <w:sz w:val="16"/>
                <w:szCs w:val="16"/>
              </w:rPr>
              <w:noBreakHyphen/>
            </w:r>
            <w:r w:rsidRPr="006C211B">
              <w:rPr>
                <w:rFonts w:ascii="Arial" w:hAnsi="Arial" w:cs="Arial"/>
                <w:sz w:val="16"/>
                <w:szCs w:val="16"/>
              </w:rPr>
              <w:t>25</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79F05E74" w14:textId="3B08350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2025</w:t>
            </w:r>
            <w:r w:rsidR="00B33758">
              <w:rPr>
                <w:rFonts w:ascii="Arial" w:hAnsi="Arial" w:cs="Arial"/>
                <w:sz w:val="16"/>
                <w:szCs w:val="16"/>
              </w:rPr>
              <w:noBreakHyphen/>
            </w:r>
            <w:r w:rsidRPr="006C211B">
              <w:rPr>
                <w:rFonts w:ascii="Arial" w:hAnsi="Arial" w:cs="Arial"/>
                <w:sz w:val="16"/>
                <w:szCs w:val="16"/>
              </w:rPr>
              <w:t>26</w:t>
            </w:r>
            <w:r w:rsidRPr="006C211B">
              <w:rPr>
                <w:rFonts w:ascii="Arial" w:hAnsi="Arial" w:cs="Arial"/>
                <w:sz w:val="16"/>
                <w:szCs w:val="16"/>
              </w:rPr>
              <w:br/>
              <w:t>$</w:t>
            </w:r>
            <w:r w:rsidR="00B33758">
              <w:rPr>
                <w:rFonts w:ascii="Arial" w:hAnsi="Arial" w:cs="Arial"/>
                <w:sz w:val="16"/>
                <w:szCs w:val="16"/>
              </w:rPr>
              <w:t>’</w:t>
            </w:r>
            <w:r w:rsidRPr="006C211B">
              <w:rPr>
                <w:rFonts w:ascii="Arial" w:hAnsi="Arial" w:cs="Arial"/>
                <w:sz w:val="16"/>
                <w:szCs w:val="16"/>
              </w:rPr>
              <w:t>000</w:t>
            </w:r>
          </w:p>
        </w:tc>
      </w:tr>
      <w:tr w:rsidR="006C211B" w:rsidRPr="006C211B" w14:paraId="2F07727C" w14:textId="77777777" w:rsidTr="006C211B">
        <w:trPr>
          <w:trHeight w:hRule="exact" w:val="240"/>
        </w:trPr>
        <w:tc>
          <w:tcPr>
            <w:tcW w:w="1672" w:type="pct"/>
            <w:tcBorders>
              <w:top w:val="nil"/>
              <w:left w:val="nil"/>
              <w:bottom w:val="nil"/>
              <w:right w:val="nil"/>
            </w:tcBorders>
            <w:shd w:val="clear" w:color="auto" w:fill="auto"/>
            <w:vAlign w:val="bottom"/>
            <w:hideMark/>
          </w:tcPr>
          <w:p w14:paraId="4BD27519" w14:textId="77777777" w:rsidR="006C211B" w:rsidRPr="006C211B" w:rsidRDefault="006C211B" w:rsidP="006C211B">
            <w:pPr>
              <w:spacing w:after="0" w:line="240" w:lineRule="auto"/>
              <w:jc w:val="left"/>
              <w:rPr>
                <w:rFonts w:ascii="Arial" w:hAnsi="Arial" w:cs="Arial"/>
                <w:b/>
                <w:bCs/>
                <w:sz w:val="16"/>
                <w:szCs w:val="16"/>
              </w:rPr>
            </w:pPr>
            <w:r w:rsidRPr="006C211B">
              <w:rPr>
                <w:rFonts w:ascii="Arial" w:hAnsi="Arial" w:cs="Arial"/>
                <w:b/>
                <w:bCs/>
                <w:sz w:val="16"/>
                <w:szCs w:val="16"/>
              </w:rPr>
              <w:t>Payment measures</w:t>
            </w:r>
          </w:p>
        </w:tc>
        <w:tc>
          <w:tcPr>
            <w:tcW w:w="486" w:type="pct"/>
            <w:tcBorders>
              <w:top w:val="nil"/>
              <w:left w:val="nil"/>
              <w:bottom w:val="nil"/>
              <w:right w:val="nil"/>
            </w:tcBorders>
            <w:shd w:val="clear" w:color="auto" w:fill="auto"/>
            <w:noWrap/>
            <w:vAlign w:val="bottom"/>
            <w:hideMark/>
          </w:tcPr>
          <w:p w14:paraId="63E30B75" w14:textId="77777777" w:rsidR="006C211B" w:rsidRPr="006C211B" w:rsidRDefault="006C211B" w:rsidP="006C211B">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183B7D5E"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D454E46"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6D8A614"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0680E27"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2F3D38D"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 </w:t>
            </w:r>
          </w:p>
        </w:tc>
      </w:tr>
      <w:tr w:rsidR="006C211B" w:rsidRPr="006C211B" w14:paraId="39FD98C2" w14:textId="77777777" w:rsidTr="006C211B">
        <w:trPr>
          <w:trHeight w:hRule="exact" w:val="225"/>
        </w:trPr>
        <w:tc>
          <w:tcPr>
            <w:tcW w:w="1672" w:type="pct"/>
            <w:tcBorders>
              <w:top w:val="nil"/>
              <w:left w:val="nil"/>
              <w:bottom w:val="nil"/>
              <w:right w:val="nil"/>
            </w:tcBorders>
            <w:shd w:val="clear" w:color="auto" w:fill="auto"/>
            <w:vAlign w:val="bottom"/>
            <w:hideMark/>
          </w:tcPr>
          <w:p w14:paraId="4BBFC39B"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Preventive Health</w:t>
            </w:r>
          </w:p>
        </w:tc>
        <w:tc>
          <w:tcPr>
            <w:tcW w:w="486" w:type="pct"/>
            <w:tcBorders>
              <w:top w:val="nil"/>
              <w:left w:val="nil"/>
              <w:bottom w:val="nil"/>
              <w:right w:val="nil"/>
            </w:tcBorders>
            <w:shd w:val="clear" w:color="auto" w:fill="auto"/>
            <w:noWrap/>
            <w:vAlign w:val="bottom"/>
            <w:hideMark/>
          </w:tcPr>
          <w:p w14:paraId="16BFF2DE"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5CD4F52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0CDD672"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3A8C83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D1639CE"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8B45A6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07ED00E5"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0DA14E1"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595FE3BD"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EB0A7FF" w14:textId="230809E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6A29AF6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1,950 </w:t>
            </w:r>
          </w:p>
        </w:tc>
        <w:tc>
          <w:tcPr>
            <w:tcW w:w="568" w:type="pct"/>
            <w:tcBorders>
              <w:top w:val="nil"/>
              <w:left w:val="nil"/>
              <w:bottom w:val="nil"/>
              <w:right w:val="nil"/>
            </w:tcBorders>
            <w:shd w:val="clear" w:color="000000" w:fill="E6E6E6"/>
            <w:noWrap/>
            <w:vAlign w:val="bottom"/>
            <w:hideMark/>
          </w:tcPr>
          <w:p w14:paraId="5C3B3DD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7,750 </w:t>
            </w:r>
          </w:p>
        </w:tc>
        <w:tc>
          <w:tcPr>
            <w:tcW w:w="568" w:type="pct"/>
            <w:tcBorders>
              <w:top w:val="nil"/>
              <w:left w:val="nil"/>
              <w:bottom w:val="nil"/>
              <w:right w:val="nil"/>
            </w:tcBorders>
            <w:shd w:val="clear" w:color="auto" w:fill="auto"/>
            <w:noWrap/>
            <w:vAlign w:val="bottom"/>
            <w:hideMark/>
          </w:tcPr>
          <w:p w14:paraId="67BF3944" w14:textId="3715E7C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2E04C457" w14:textId="1B4F4F0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75FF0D30" w14:textId="77777777" w:rsidTr="006C211B">
        <w:trPr>
          <w:trHeight w:hRule="exact" w:val="225"/>
        </w:trPr>
        <w:tc>
          <w:tcPr>
            <w:tcW w:w="1672" w:type="pct"/>
            <w:tcBorders>
              <w:top w:val="nil"/>
              <w:left w:val="nil"/>
              <w:bottom w:val="nil"/>
              <w:right w:val="nil"/>
            </w:tcBorders>
            <w:shd w:val="clear" w:color="auto" w:fill="auto"/>
            <w:vAlign w:val="bottom"/>
            <w:hideMark/>
          </w:tcPr>
          <w:p w14:paraId="2A480904"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School Education Support</w:t>
            </w:r>
          </w:p>
        </w:tc>
        <w:tc>
          <w:tcPr>
            <w:tcW w:w="486" w:type="pct"/>
            <w:tcBorders>
              <w:top w:val="nil"/>
              <w:left w:val="nil"/>
              <w:bottom w:val="nil"/>
              <w:right w:val="nil"/>
            </w:tcBorders>
            <w:shd w:val="clear" w:color="auto" w:fill="auto"/>
            <w:noWrap/>
            <w:vAlign w:val="bottom"/>
            <w:hideMark/>
          </w:tcPr>
          <w:p w14:paraId="288E9E4B"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025B73C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97616B4"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251B6B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3DB1AE1"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7A3123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06D0CE17"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4A9EDA3"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160E6228"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0D84723" w14:textId="6692161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442DE2C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6,300 </w:t>
            </w:r>
          </w:p>
        </w:tc>
        <w:tc>
          <w:tcPr>
            <w:tcW w:w="568" w:type="pct"/>
            <w:tcBorders>
              <w:top w:val="nil"/>
              <w:left w:val="nil"/>
              <w:bottom w:val="nil"/>
              <w:right w:val="nil"/>
            </w:tcBorders>
            <w:shd w:val="clear" w:color="000000" w:fill="E6E6E6"/>
            <w:noWrap/>
            <w:vAlign w:val="bottom"/>
            <w:hideMark/>
          </w:tcPr>
          <w:p w14:paraId="2F62D18D" w14:textId="3CD9A444"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7D0DEA75" w14:textId="2CF5430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19E87B59" w14:textId="0955786E"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07D348EC" w14:textId="77777777" w:rsidTr="006C211B">
        <w:trPr>
          <w:trHeight w:hRule="exact" w:val="450"/>
        </w:trPr>
        <w:tc>
          <w:tcPr>
            <w:tcW w:w="1672" w:type="pct"/>
            <w:tcBorders>
              <w:top w:val="nil"/>
              <w:left w:val="nil"/>
              <w:bottom w:val="nil"/>
              <w:right w:val="nil"/>
            </w:tcBorders>
            <w:shd w:val="clear" w:color="auto" w:fill="auto"/>
            <w:vAlign w:val="bottom"/>
            <w:hideMark/>
          </w:tcPr>
          <w:p w14:paraId="137F0A25"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Skills Reform to Support Future Growth</w:t>
            </w:r>
          </w:p>
        </w:tc>
        <w:tc>
          <w:tcPr>
            <w:tcW w:w="486" w:type="pct"/>
            <w:tcBorders>
              <w:top w:val="nil"/>
              <w:left w:val="nil"/>
              <w:bottom w:val="nil"/>
              <w:right w:val="nil"/>
            </w:tcBorders>
            <w:shd w:val="clear" w:color="auto" w:fill="auto"/>
            <w:noWrap/>
            <w:vAlign w:val="bottom"/>
            <w:hideMark/>
          </w:tcPr>
          <w:p w14:paraId="0BB4F35A"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37E8893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EE5657C"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1734A1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EED7079"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600CD5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223CF1F1"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FA13AEF"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775EBB50"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844D9C3" w14:textId="3EB58D40"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5462BE5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461,100 </w:t>
            </w:r>
          </w:p>
        </w:tc>
        <w:tc>
          <w:tcPr>
            <w:tcW w:w="568" w:type="pct"/>
            <w:tcBorders>
              <w:top w:val="nil"/>
              <w:left w:val="nil"/>
              <w:bottom w:val="nil"/>
              <w:right w:val="nil"/>
            </w:tcBorders>
            <w:shd w:val="clear" w:color="000000" w:fill="E6E6E6"/>
            <w:noWrap/>
            <w:vAlign w:val="bottom"/>
            <w:hideMark/>
          </w:tcPr>
          <w:p w14:paraId="6B2C1745"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545,132 </w:t>
            </w:r>
          </w:p>
        </w:tc>
        <w:tc>
          <w:tcPr>
            <w:tcW w:w="568" w:type="pct"/>
            <w:tcBorders>
              <w:top w:val="nil"/>
              <w:left w:val="nil"/>
              <w:bottom w:val="nil"/>
              <w:right w:val="nil"/>
            </w:tcBorders>
            <w:shd w:val="clear" w:color="auto" w:fill="auto"/>
            <w:noWrap/>
            <w:vAlign w:val="bottom"/>
            <w:hideMark/>
          </w:tcPr>
          <w:p w14:paraId="158596D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727,245 </w:t>
            </w:r>
          </w:p>
        </w:tc>
        <w:tc>
          <w:tcPr>
            <w:tcW w:w="568" w:type="pct"/>
            <w:tcBorders>
              <w:top w:val="nil"/>
              <w:left w:val="nil"/>
              <w:bottom w:val="nil"/>
              <w:right w:val="nil"/>
            </w:tcBorders>
            <w:shd w:val="clear" w:color="000000" w:fill="E6E6E6"/>
            <w:noWrap/>
            <w:vAlign w:val="bottom"/>
            <w:hideMark/>
          </w:tcPr>
          <w:p w14:paraId="40F8C22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845,535 </w:t>
            </w:r>
          </w:p>
        </w:tc>
      </w:tr>
      <w:tr w:rsidR="006C211B" w:rsidRPr="006C211B" w14:paraId="5D1B745D" w14:textId="77777777" w:rsidTr="006C211B">
        <w:trPr>
          <w:trHeight w:hRule="exact" w:val="368"/>
        </w:trPr>
        <w:tc>
          <w:tcPr>
            <w:tcW w:w="1672" w:type="pct"/>
            <w:tcBorders>
              <w:top w:val="nil"/>
              <w:left w:val="nil"/>
              <w:bottom w:val="nil"/>
              <w:right w:val="nil"/>
            </w:tcBorders>
            <w:shd w:val="clear" w:color="auto" w:fill="auto"/>
            <w:vAlign w:val="bottom"/>
            <w:hideMark/>
          </w:tcPr>
          <w:p w14:paraId="171A5EA1"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Small Business Support Package (a)</w:t>
            </w:r>
          </w:p>
        </w:tc>
        <w:tc>
          <w:tcPr>
            <w:tcW w:w="486" w:type="pct"/>
            <w:tcBorders>
              <w:top w:val="nil"/>
              <w:left w:val="nil"/>
              <w:bottom w:val="nil"/>
              <w:right w:val="nil"/>
            </w:tcBorders>
            <w:shd w:val="clear" w:color="auto" w:fill="auto"/>
            <w:noWrap/>
            <w:vAlign w:val="bottom"/>
            <w:hideMark/>
          </w:tcPr>
          <w:p w14:paraId="69AD032E"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1.1, 1.3</w:t>
            </w:r>
          </w:p>
        </w:tc>
        <w:tc>
          <w:tcPr>
            <w:tcW w:w="568" w:type="pct"/>
            <w:tcBorders>
              <w:top w:val="nil"/>
              <w:left w:val="nil"/>
              <w:bottom w:val="nil"/>
              <w:right w:val="nil"/>
            </w:tcBorders>
            <w:shd w:val="clear" w:color="000000" w:fill="E6E6E6"/>
            <w:noWrap/>
            <w:vAlign w:val="bottom"/>
            <w:hideMark/>
          </w:tcPr>
          <w:p w14:paraId="2D5FDA7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14E0B5C"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A169E5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0C63CBD"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014E82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9A89332" w14:textId="77777777" w:rsidTr="006C211B">
        <w:trPr>
          <w:trHeight w:hRule="exact" w:val="225"/>
        </w:trPr>
        <w:tc>
          <w:tcPr>
            <w:tcW w:w="1672" w:type="pct"/>
            <w:tcBorders>
              <w:top w:val="nil"/>
              <w:left w:val="nil"/>
              <w:bottom w:val="nil"/>
              <w:right w:val="nil"/>
            </w:tcBorders>
            <w:shd w:val="clear" w:color="auto" w:fill="auto"/>
            <w:noWrap/>
            <w:vAlign w:val="bottom"/>
            <w:hideMark/>
          </w:tcPr>
          <w:p w14:paraId="014BFD37"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5B3DC9E5"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C7748C1" w14:textId="3CFE846B"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372F155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8,000 </w:t>
            </w:r>
          </w:p>
        </w:tc>
        <w:tc>
          <w:tcPr>
            <w:tcW w:w="568" w:type="pct"/>
            <w:tcBorders>
              <w:top w:val="nil"/>
              <w:left w:val="nil"/>
              <w:bottom w:val="nil"/>
              <w:right w:val="nil"/>
            </w:tcBorders>
            <w:shd w:val="clear" w:color="000000" w:fill="E6E6E6"/>
            <w:noWrap/>
            <w:vAlign w:val="bottom"/>
            <w:hideMark/>
          </w:tcPr>
          <w:p w14:paraId="2453775D" w14:textId="06D1E66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3116F7D0" w14:textId="0E3CE54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592DB5E9" w14:textId="76EF7D5C"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4ECC73C8" w14:textId="77777777" w:rsidTr="006C211B">
        <w:trPr>
          <w:trHeight w:hRule="exact" w:val="225"/>
        </w:trPr>
        <w:tc>
          <w:tcPr>
            <w:tcW w:w="1672" w:type="pct"/>
            <w:tcBorders>
              <w:top w:val="nil"/>
              <w:left w:val="nil"/>
              <w:bottom w:val="nil"/>
              <w:right w:val="nil"/>
            </w:tcBorders>
            <w:shd w:val="clear" w:color="auto" w:fill="auto"/>
            <w:noWrap/>
            <w:vAlign w:val="bottom"/>
            <w:hideMark/>
          </w:tcPr>
          <w:p w14:paraId="6323C00D"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Departmental payments</w:t>
            </w:r>
          </w:p>
        </w:tc>
        <w:tc>
          <w:tcPr>
            <w:tcW w:w="486" w:type="pct"/>
            <w:tcBorders>
              <w:top w:val="nil"/>
              <w:left w:val="nil"/>
              <w:bottom w:val="nil"/>
              <w:right w:val="nil"/>
            </w:tcBorders>
            <w:shd w:val="clear" w:color="auto" w:fill="auto"/>
            <w:noWrap/>
            <w:vAlign w:val="bottom"/>
            <w:hideMark/>
          </w:tcPr>
          <w:p w14:paraId="6D8B9939"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F820C21" w14:textId="61FF562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5B18218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5,909 </w:t>
            </w:r>
          </w:p>
        </w:tc>
        <w:tc>
          <w:tcPr>
            <w:tcW w:w="568" w:type="pct"/>
            <w:tcBorders>
              <w:top w:val="nil"/>
              <w:left w:val="nil"/>
              <w:bottom w:val="nil"/>
              <w:right w:val="nil"/>
            </w:tcBorders>
            <w:shd w:val="clear" w:color="000000" w:fill="E6E6E6"/>
            <w:noWrap/>
            <w:vAlign w:val="bottom"/>
            <w:hideMark/>
          </w:tcPr>
          <w:p w14:paraId="47CB4C8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4,528 </w:t>
            </w:r>
          </w:p>
        </w:tc>
        <w:tc>
          <w:tcPr>
            <w:tcW w:w="568" w:type="pct"/>
            <w:tcBorders>
              <w:top w:val="nil"/>
              <w:left w:val="nil"/>
              <w:bottom w:val="nil"/>
              <w:right w:val="nil"/>
            </w:tcBorders>
            <w:shd w:val="clear" w:color="auto" w:fill="auto"/>
            <w:noWrap/>
            <w:vAlign w:val="bottom"/>
            <w:hideMark/>
          </w:tcPr>
          <w:p w14:paraId="5D449783" w14:textId="0503481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2B7551B6" w14:textId="16BA8A6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45DD8670" w14:textId="77777777" w:rsidTr="006C211B">
        <w:trPr>
          <w:trHeight w:hRule="exact" w:val="394"/>
        </w:trPr>
        <w:tc>
          <w:tcPr>
            <w:tcW w:w="1672" w:type="pct"/>
            <w:tcBorders>
              <w:top w:val="nil"/>
              <w:left w:val="nil"/>
              <w:bottom w:val="nil"/>
              <w:right w:val="nil"/>
            </w:tcBorders>
            <w:shd w:val="clear" w:color="auto" w:fill="auto"/>
            <w:vAlign w:val="bottom"/>
            <w:hideMark/>
          </w:tcPr>
          <w:p w14:paraId="14829022" w14:textId="77777777" w:rsidR="006C211B" w:rsidRPr="006C211B" w:rsidRDefault="006C211B" w:rsidP="006C211B">
            <w:pPr>
              <w:spacing w:after="0" w:line="240" w:lineRule="auto"/>
              <w:jc w:val="left"/>
              <w:rPr>
                <w:rFonts w:ascii="Arial" w:hAnsi="Arial" w:cs="Arial"/>
                <w:sz w:val="16"/>
                <w:szCs w:val="16"/>
              </w:rPr>
            </w:pPr>
            <w:proofErr w:type="gramStart"/>
            <w:r w:rsidRPr="006C211B">
              <w:rPr>
                <w:rFonts w:ascii="Arial" w:hAnsi="Arial" w:cs="Arial"/>
                <w:sz w:val="16"/>
                <w:szCs w:val="16"/>
              </w:rPr>
              <w:t>South East</w:t>
            </w:r>
            <w:proofErr w:type="gramEnd"/>
            <w:r w:rsidRPr="006C211B">
              <w:rPr>
                <w:rFonts w:ascii="Arial" w:hAnsi="Arial" w:cs="Arial"/>
                <w:sz w:val="16"/>
                <w:szCs w:val="16"/>
              </w:rPr>
              <w:t xml:space="preserve"> Queensland City Deal (b)</w:t>
            </w:r>
          </w:p>
        </w:tc>
        <w:tc>
          <w:tcPr>
            <w:tcW w:w="486" w:type="pct"/>
            <w:tcBorders>
              <w:top w:val="nil"/>
              <w:left w:val="nil"/>
              <w:bottom w:val="nil"/>
              <w:right w:val="nil"/>
            </w:tcBorders>
            <w:shd w:val="clear" w:color="auto" w:fill="auto"/>
            <w:noWrap/>
            <w:vAlign w:val="bottom"/>
            <w:hideMark/>
          </w:tcPr>
          <w:p w14:paraId="6FE01EF9"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04112042"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200F49BD"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58C8F4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C60A845"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324625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72E964A3"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E7B4091"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3968D843"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63D572A" w14:textId="3941ADC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7A458B0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59,810 </w:t>
            </w:r>
          </w:p>
        </w:tc>
        <w:tc>
          <w:tcPr>
            <w:tcW w:w="568" w:type="pct"/>
            <w:tcBorders>
              <w:top w:val="nil"/>
              <w:left w:val="nil"/>
              <w:bottom w:val="nil"/>
              <w:right w:val="nil"/>
            </w:tcBorders>
            <w:shd w:val="clear" w:color="000000" w:fill="E6E6E6"/>
            <w:noWrap/>
            <w:vAlign w:val="bottom"/>
            <w:hideMark/>
          </w:tcPr>
          <w:p w14:paraId="58F42C5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152,333 </w:t>
            </w:r>
          </w:p>
        </w:tc>
        <w:tc>
          <w:tcPr>
            <w:tcW w:w="568" w:type="pct"/>
            <w:tcBorders>
              <w:top w:val="nil"/>
              <w:left w:val="nil"/>
              <w:bottom w:val="nil"/>
              <w:right w:val="nil"/>
            </w:tcBorders>
            <w:shd w:val="clear" w:color="auto" w:fill="auto"/>
            <w:noWrap/>
            <w:vAlign w:val="bottom"/>
            <w:hideMark/>
          </w:tcPr>
          <w:p w14:paraId="2A54FB1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141,525 </w:t>
            </w:r>
          </w:p>
        </w:tc>
        <w:tc>
          <w:tcPr>
            <w:tcW w:w="568" w:type="pct"/>
            <w:tcBorders>
              <w:top w:val="nil"/>
              <w:left w:val="nil"/>
              <w:bottom w:val="nil"/>
              <w:right w:val="nil"/>
            </w:tcBorders>
            <w:shd w:val="clear" w:color="000000" w:fill="E6E6E6"/>
            <w:noWrap/>
            <w:vAlign w:val="bottom"/>
            <w:hideMark/>
          </w:tcPr>
          <w:p w14:paraId="1930744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115,600 </w:t>
            </w:r>
          </w:p>
        </w:tc>
      </w:tr>
      <w:tr w:rsidR="006C211B" w:rsidRPr="006C211B" w14:paraId="7A484F42" w14:textId="77777777" w:rsidTr="006C211B">
        <w:trPr>
          <w:trHeight w:hRule="exact" w:val="900"/>
        </w:trPr>
        <w:tc>
          <w:tcPr>
            <w:tcW w:w="1672" w:type="pct"/>
            <w:tcBorders>
              <w:top w:val="nil"/>
              <w:left w:val="nil"/>
              <w:bottom w:val="nil"/>
              <w:right w:val="nil"/>
            </w:tcBorders>
            <w:shd w:val="clear" w:color="auto" w:fill="auto"/>
            <w:vAlign w:val="bottom"/>
            <w:hideMark/>
          </w:tcPr>
          <w:p w14:paraId="7EC6BECB" w14:textId="008EAEA1"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Strengthening Australia</w:t>
            </w:r>
            <w:r w:rsidR="00B33758">
              <w:rPr>
                <w:rFonts w:ascii="Arial" w:hAnsi="Arial" w:cs="Arial"/>
                <w:sz w:val="16"/>
                <w:szCs w:val="16"/>
              </w:rPr>
              <w:t>’</w:t>
            </w:r>
            <w:r w:rsidRPr="006C211B">
              <w:rPr>
                <w:rFonts w:ascii="Arial" w:hAnsi="Arial" w:cs="Arial"/>
                <w:sz w:val="16"/>
                <w:szCs w:val="16"/>
              </w:rPr>
              <w:t>s arrangements for managing terrorist offenders and countering violent extremism (a)</w:t>
            </w:r>
          </w:p>
        </w:tc>
        <w:tc>
          <w:tcPr>
            <w:tcW w:w="486" w:type="pct"/>
            <w:tcBorders>
              <w:top w:val="nil"/>
              <w:left w:val="nil"/>
              <w:bottom w:val="nil"/>
              <w:right w:val="nil"/>
            </w:tcBorders>
            <w:shd w:val="clear" w:color="auto" w:fill="auto"/>
            <w:noWrap/>
            <w:vAlign w:val="bottom"/>
            <w:hideMark/>
          </w:tcPr>
          <w:p w14:paraId="29925C12"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6EE2EEC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2EF8378"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09933C2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0788347"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A51417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363B01BE" w14:textId="77777777" w:rsidTr="006C211B">
        <w:trPr>
          <w:trHeight w:hRule="exact" w:val="225"/>
        </w:trPr>
        <w:tc>
          <w:tcPr>
            <w:tcW w:w="1672" w:type="pct"/>
            <w:tcBorders>
              <w:top w:val="nil"/>
              <w:left w:val="nil"/>
              <w:bottom w:val="nil"/>
              <w:right w:val="nil"/>
            </w:tcBorders>
            <w:shd w:val="clear" w:color="auto" w:fill="auto"/>
            <w:noWrap/>
            <w:vAlign w:val="bottom"/>
            <w:hideMark/>
          </w:tcPr>
          <w:p w14:paraId="4315948E"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2DF0F5E9"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016BBD2" w14:textId="3C17A760"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53302867" w14:textId="3C2E508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798ACB56" w14:textId="7B7EBE7C"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5CA78CDD" w14:textId="6F124808"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22D3E669" w14:textId="745FD4BF"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5B8C7773" w14:textId="77777777" w:rsidTr="006C211B">
        <w:trPr>
          <w:trHeight w:hRule="exact" w:val="450"/>
        </w:trPr>
        <w:tc>
          <w:tcPr>
            <w:tcW w:w="1672" w:type="pct"/>
            <w:tcBorders>
              <w:top w:val="nil"/>
              <w:left w:val="nil"/>
              <w:bottom w:val="nil"/>
              <w:right w:val="nil"/>
            </w:tcBorders>
            <w:shd w:val="clear" w:color="auto" w:fill="auto"/>
            <w:vAlign w:val="bottom"/>
            <w:hideMark/>
          </w:tcPr>
          <w:p w14:paraId="10BEA753"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Treasury Portfolio – resourcing for Government priorities</w:t>
            </w:r>
          </w:p>
        </w:tc>
        <w:tc>
          <w:tcPr>
            <w:tcW w:w="486" w:type="pct"/>
            <w:tcBorders>
              <w:top w:val="nil"/>
              <w:left w:val="nil"/>
              <w:bottom w:val="nil"/>
              <w:right w:val="nil"/>
            </w:tcBorders>
            <w:shd w:val="clear" w:color="auto" w:fill="auto"/>
            <w:noWrap/>
            <w:vAlign w:val="bottom"/>
            <w:hideMark/>
          </w:tcPr>
          <w:p w14:paraId="7D25D1B2" w14:textId="77777777" w:rsidR="006C211B" w:rsidRPr="006C211B" w:rsidRDefault="006C211B" w:rsidP="006C211B">
            <w:pPr>
              <w:spacing w:after="0" w:line="240" w:lineRule="auto"/>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EEAA2D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A769BDF"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346C4E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3CFDAF4F"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B3B432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20F94DC1" w14:textId="77777777" w:rsidTr="006C211B">
        <w:trPr>
          <w:trHeight w:hRule="exact" w:val="225"/>
        </w:trPr>
        <w:tc>
          <w:tcPr>
            <w:tcW w:w="1672" w:type="pct"/>
            <w:tcBorders>
              <w:top w:val="nil"/>
              <w:left w:val="nil"/>
              <w:bottom w:val="nil"/>
              <w:right w:val="nil"/>
            </w:tcBorders>
            <w:shd w:val="clear" w:color="auto" w:fill="auto"/>
            <w:noWrap/>
            <w:vAlign w:val="bottom"/>
            <w:hideMark/>
          </w:tcPr>
          <w:p w14:paraId="36CF64D9"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Departmental payments</w:t>
            </w:r>
          </w:p>
        </w:tc>
        <w:tc>
          <w:tcPr>
            <w:tcW w:w="486" w:type="pct"/>
            <w:tcBorders>
              <w:top w:val="nil"/>
              <w:left w:val="nil"/>
              <w:bottom w:val="nil"/>
              <w:right w:val="nil"/>
            </w:tcBorders>
            <w:shd w:val="clear" w:color="auto" w:fill="auto"/>
            <w:noWrap/>
            <w:vAlign w:val="bottom"/>
            <w:hideMark/>
          </w:tcPr>
          <w:p w14:paraId="4D5CAC27"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1.1</w:t>
            </w:r>
          </w:p>
        </w:tc>
        <w:tc>
          <w:tcPr>
            <w:tcW w:w="568" w:type="pct"/>
            <w:tcBorders>
              <w:top w:val="nil"/>
              <w:left w:val="nil"/>
              <w:bottom w:val="nil"/>
              <w:right w:val="nil"/>
            </w:tcBorders>
            <w:shd w:val="clear" w:color="000000" w:fill="E6E6E6"/>
            <w:noWrap/>
            <w:vAlign w:val="bottom"/>
            <w:hideMark/>
          </w:tcPr>
          <w:p w14:paraId="77452D6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900 </w:t>
            </w:r>
          </w:p>
        </w:tc>
        <w:tc>
          <w:tcPr>
            <w:tcW w:w="568" w:type="pct"/>
            <w:tcBorders>
              <w:top w:val="nil"/>
              <w:left w:val="nil"/>
              <w:bottom w:val="nil"/>
              <w:right w:val="nil"/>
            </w:tcBorders>
            <w:shd w:val="clear" w:color="auto" w:fill="auto"/>
            <w:noWrap/>
            <w:vAlign w:val="bottom"/>
            <w:hideMark/>
          </w:tcPr>
          <w:p w14:paraId="33EBD56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5,900 </w:t>
            </w:r>
          </w:p>
        </w:tc>
        <w:tc>
          <w:tcPr>
            <w:tcW w:w="568" w:type="pct"/>
            <w:tcBorders>
              <w:top w:val="nil"/>
              <w:left w:val="nil"/>
              <w:bottom w:val="nil"/>
              <w:right w:val="nil"/>
            </w:tcBorders>
            <w:shd w:val="clear" w:color="000000" w:fill="E6E6E6"/>
            <w:noWrap/>
            <w:vAlign w:val="bottom"/>
            <w:hideMark/>
          </w:tcPr>
          <w:p w14:paraId="7967D77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2,600 </w:t>
            </w:r>
          </w:p>
        </w:tc>
        <w:tc>
          <w:tcPr>
            <w:tcW w:w="568" w:type="pct"/>
            <w:tcBorders>
              <w:top w:val="nil"/>
              <w:left w:val="nil"/>
              <w:bottom w:val="nil"/>
              <w:right w:val="nil"/>
            </w:tcBorders>
            <w:shd w:val="clear" w:color="auto" w:fill="auto"/>
            <w:noWrap/>
            <w:vAlign w:val="bottom"/>
            <w:hideMark/>
          </w:tcPr>
          <w:p w14:paraId="1FC1EFC3" w14:textId="6E19F22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6E17C54F" w14:textId="64E72A03"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009F8100" w14:textId="77777777" w:rsidTr="006C211B">
        <w:trPr>
          <w:trHeight w:hRule="exact" w:val="450"/>
        </w:trPr>
        <w:tc>
          <w:tcPr>
            <w:tcW w:w="1672" w:type="pct"/>
            <w:tcBorders>
              <w:top w:val="nil"/>
              <w:left w:val="nil"/>
              <w:bottom w:val="nil"/>
              <w:right w:val="nil"/>
            </w:tcBorders>
            <w:shd w:val="clear" w:color="auto" w:fill="auto"/>
            <w:vAlign w:val="bottom"/>
            <w:hideMark/>
          </w:tcPr>
          <w:p w14:paraId="1728A7E1" w14:textId="77777777"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Varying the GDP uplift factor for tax instalments</w:t>
            </w:r>
          </w:p>
        </w:tc>
        <w:tc>
          <w:tcPr>
            <w:tcW w:w="486" w:type="pct"/>
            <w:tcBorders>
              <w:top w:val="nil"/>
              <w:left w:val="nil"/>
              <w:bottom w:val="nil"/>
              <w:right w:val="nil"/>
            </w:tcBorders>
            <w:shd w:val="clear" w:color="auto" w:fill="auto"/>
            <w:noWrap/>
            <w:vAlign w:val="bottom"/>
            <w:hideMark/>
          </w:tcPr>
          <w:p w14:paraId="0DBD1026"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1.4</w:t>
            </w:r>
          </w:p>
        </w:tc>
        <w:tc>
          <w:tcPr>
            <w:tcW w:w="568" w:type="pct"/>
            <w:tcBorders>
              <w:top w:val="nil"/>
              <w:left w:val="nil"/>
              <w:bottom w:val="nil"/>
              <w:right w:val="nil"/>
            </w:tcBorders>
            <w:shd w:val="clear" w:color="000000" w:fill="E6E6E6"/>
            <w:noWrap/>
            <w:vAlign w:val="bottom"/>
            <w:hideMark/>
          </w:tcPr>
          <w:p w14:paraId="2921382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A7317E9"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C69424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D1F6DC9"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9C39E60"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6B657470" w14:textId="77777777" w:rsidTr="006C211B">
        <w:trPr>
          <w:trHeight w:hRule="exact" w:val="225"/>
        </w:trPr>
        <w:tc>
          <w:tcPr>
            <w:tcW w:w="1672" w:type="pct"/>
            <w:tcBorders>
              <w:top w:val="nil"/>
              <w:left w:val="nil"/>
              <w:bottom w:val="nil"/>
              <w:right w:val="nil"/>
            </w:tcBorders>
            <w:shd w:val="clear" w:color="auto" w:fill="auto"/>
            <w:noWrap/>
            <w:vAlign w:val="bottom"/>
            <w:hideMark/>
          </w:tcPr>
          <w:p w14:paraId="0224925A"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500F46C2"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51A716D" w14:textId="261EE07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127E583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(50,000)</w:t>
            </w:r>
          </w:p>
        </w:tc>
        <w:tc>
          <w:tcPr>
            <w:tcW w:w="568" w:type="pct"/>
            <w:tcBorders>
              <w:top w:val="nil"/>
              <w:left w:val="nil"/>
              <w:bottom w:val="nil"/>
              <w:right w:val="nil"/>
            </w:tcBorders>
            <w:shd w:val="clear" w:color="000000" w:fill="E6E6E6"/>
            <w:noWrap/>
            <w:vAlign w:val="bottom"/>
            <w:hideMark/>
          </w:tcPr>
          <w:p w14:paraId="140BD68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50,000 </w:t>
            </w:r>
          </w:p>
        </w:tc>
        <w:tc>
          <w:tcPr>
            <w:tcW w:w="568" w:type="pct"/>
            <w:tcBorders>
              <w:top w:val="nil"/>
              <w:left w:val="nil"/>
              <w:bottom w:val="nil"/>
              <w:right w:val="nil"/>
            </w:tcBorders>
            <w:shd w:val="clear" w:color="auto" w:fill="auto"/>
            <w:noWrap/>
            <w:vAlign w:val="bottom"/>
            <w:hideMark/>
          </w:tcPr>
          <w:p w14:paraId="2531E5FE" w14:textId="66CB441C"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0650F8CD" w14:textId="7D066B6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34A9B841" w14:textId="77777777" w:rsidTr="006C211B">
        <w:trPr>
          <w:trHeight w:hRule="exact" w:val="225"/>
        </w:trPr>
        <w:tc>
          <w:tcPr>
            <w:tcW w:w="1672" w:type="pct"/>
            <w:tcBorders>
              <w:top w:val="nil"/>
              <w:left w:val="nil"/>
              <w:bottom w:val="nil"/>
              <w:right w:val="nil"/>
            </w:tcBorders>
            <w:shd w:val="clear" w:color="auto" w:fill="auto"/>
            <w:vAlign w:val="bottom"/>
            <w:hideMark/>
          </w:tcPr>
          <w:p w14:paraId="2E30CDB9" w14:textId="079D77B1"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Women</w:t>
            </w:r>
            <w:r w:rsidR="00B33758">
              <w:rPr>
                <w:rFonts w:ascii="Arial" w:hAnsi="Arial" w:cs="Arial"/>
                <w:sz w:val="16"/>
                <w:szCs w:val="16"/>
              </w:rPr>
              <w:t>’</w:t>
            </w:r>
            <w:r w:rsidRPr="006C211B">
              <w:rPr>
                <w:rFonts w:ascii="Arial" w:hAnsi="Arial" w:cs="Arial"/>
                <w:sz w:val="16"/>
                <w:szCs w:val="16"/>
              </w:rPr>
              <w:t>s Health Package</w:t>
            </w:r>
          </w:p>
        </w:tc>
        <w:tc>
          <w:tcPr>
            <w:tcW w:w="486" w:type="pct"/>
            <w:tcBorders>
              <w:top w:val="nil"/>
              <w:left w:val="nil"/>
              <w:bottom w:val="nil"/>
              <w:right w:val="nil"/>
            </w:tcBorders>
            <w:shd w:val="clear" w:color="auto" w:fill="auto"/>
            <w:noWrap/>
            <w:vAlign w:val="bottom"/>
            <w:hideMark/>
          </w:tcPr>
          <w:p w14:paraId="2150EE60"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38D5AD3F"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78641197"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203C78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560AD25F"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8356D2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1A312D7" w14:textId="77777777" w:rsidTr="006C211B">
        <w:trPr>
          <w:trHeight w:hRule="exact" w:val="225"/>
        </w:trPr>
        <w:tc>
          <w:tcPr>
            <w:tcW w:w="1672" w:type="pct"/>
            <w:tcBorders>
              <w:top w:val="nil"/>
              <w:left w:val="nil"/>
              <w:bottom w:val="nil"/>
              <w:right w:val="nil"/>
            </w:tcBorders>
            <w:shd w:val="clear" w:color="auto" w:fill="auto"/>
            <w:noWrap/>
            <w:vAlign w:val="bottom"/>
            <w:hideMark/>
          </w:tcPr>
          <w:p w14:paraId="6E0E60EA"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38A8DFE7"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1A2742A" w14:textId="7419BB7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104F418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4,390 </w:t>
            </w:r>
          </w:p>
        </w:tc>
        <w:tc>
          <w:tcPr>
            <w:tcW w:w="568" w:type="pct"/>
            <w:tcBorders>
              <w:top w:val="nil"/>
              <w:left w:val="nil"/>
              <w:bottom w:val="nil"/>
              <w:right w:val="nil"/>
            </w:tcBorders>
            <w:shd w:val="clear" w:color="000000" w:fill="E6E6E6"/>
            <w:noWrap/>
            <w:vAlign w:val="bottom"/>
            <w:hideMark/>
          </w:tcPr>
          <w:p w14:paraId="4B91C2D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4,464 </w:t>
            </w:r>
          </w:p>
        </w:tc>
        <w:tc>
          <w:tcPr>
            <w:tcW w:w="568" w:type="pct"/>
            <w:tcBorders>
              <w:top w:val="nil"/>
              <w:left w:val="nil"/>
              <w:bottom w:val="nil"/>
              <w:right w:val="nil"/>
            </w:tcBorders>
            <w:shd w:val="clear" w:color="auto" w:fill="auto"/>
            <w:noWrap/>
            <w:vAlign w:val="bottom"/>
            <w:hideMark/>
          </w:tcPr>
          <w:p w14:paraId="31EB9F8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4,541 </w:t>
            </w:r>
          </w:p>
        </w:tc>
        <w:tc>
          <w:tcPr>
            <w:tcW w:w="568" w:type="pct"/>
            <w:tcBorders>
              <w:top w:val="nil"/>
              <w:left w:val="nil"/>
              <w:bottom w:val="nil"/>
              <w:right w:val="nil"/>
            </w:tcBorders>
            <w:shd w:val="clear" w:color="000000" w:fill="E6E6E6"/>
            <w:noWrap/>
            <w:vAlign w:val="bottom"/>
            <w:hideMark/>
          </w:tcPr>
          <w:p w14:paraId="37548C9C" w14:textId="3FAE6F48"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575D78B7" w14:textId="77777777" w:rsidTr="006C211B">
        <w:trPr>
          <w:trHeight w:hRule="exact" w:val="225"/>
        </w:trPr>
        <w:tc>
          <w:tcPr>
            <w:tcW w:w="1672" w:type="pct"/>
            <w:tcBorders>
              <w:top w:val="nil"/>
              <w:left w:val="nil"/>
              <w:bottom w:val="nil"/>
              <w:right w:val="nil"/>
            </w:tcBorders>
            <w:shd w:val="clear" w:color="auto" w:fill="auto"/>
            <w:vAlign w:val="bottom"/>
            <w:hideMark/>
          </w:tcPr>
          <w:p w14:paraId="2816979A" w14:textId="4F9185A3"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Women</w:t>
            </w:r>
            <w:r w:rsidR="00B33758">
              <w:rPr>
                <w:rFonts w:ascii="Arial" w:hAnsi="Arial" w:cs="Arial"/>
                <w:sz w:val="16"/>
                <w:szCs w:val="16"/>
              </w:rPr>
              <w:t>’</w:t>
            </w:r>
            <w:r w:rsidRPr="006C211B">
              <w:rPr>
                <w:rFonts w:ascii="Arial" w:hAnsi="Arial" w:cs="Arial"/>
                <w:sz w:val="16"/>
                <w:szCs w:val="16"/>
              </w:rPr>
              <w:t>s Leadership Package</w:t>
            </w:r>
          </w:p>
        </w:tc>
        <w:tc>
          <w:tcPr>
            <w:tcW w:w="486" w:type="pct"/>
            <w:tcBorders>
              <w:top w:val="nil"/>
              <w:left w:val="nil"/>
              <w:bottom w:val="nil"/>
              <w:right w:val="nil"/>
            </w:tcBorders>
            <w:shd w:val="clear" w:color="auto" w:fill="auto"/>
            <w:noWrap/>
            <w:vAlign w:val="bottom"/>
            <w:hideMark/>
          </w:tcPr>
          <w:p w14:paraId="05C2AC17"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1.1</w:t>
            </w:r>
          </w:p>
        </w:tc>
        <w:tc>
          <w:tcPr>
            <w:tcW w:w="568" w:type="pct"/>
            <w:tcBorders>
              <w:top w:val="nil"/>
              <w:left w:val="nil"/>
              <w:bottom w:val="nil"/>
              <w:right w:val="nil"/>
            </w:tcBorders>
            <w:shd w:val="clear" w:color="000000" w:fill="E6E6E6"/>
            <w:noWrap/>
            <w:vAlign w:val="bottom"/>
            <w:hideMark/>
          </w:tcPr>
          <w:p w14:paraId="1850AA3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699F2B90"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1A5731D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E20E379"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6EC359E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58926E09" w14:textId="77777777" w:rsidTr="006C211B">
        <w:trPr>
          <w:trHeight w:hRule="exact" w:val="225"/>
        </w:trPr>
        <w:tc>
          <w:tcPr>
            <w:tcW w:w="1672" w:type="pct"/>
            <w:tcBorders>
              <w:top w:val="nil"/>
              <w:left w:val="nil"/>
              <w:bottom w:val="nil"/>
              <w:right w:val="nil"/>
            </w:tcBorders>
            <w:shd w:val="clear" w:color="auto" w:fill="auto"/>
            <w:noWrap/>
            <w:vAlign w:val="bottom"/>
            <w:hideMark/>
          </w:tcPr>
          <w:p w14:paraId="37ECF77F"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Departmental payments</w:t>
            </w:r>
          </w:p>
        </w:tc>
        <w:tc>
          <w:tcPr>
            <w:tcW w:w="486" w:type="pct"/>
            <w:tcBorders>
              <w:top w:val="nil"/>
              <w:left w:val="nil"/>
              <w:bottom w:val="nil"/>
              <w:right w:val="nil"/>
            </w:tcBorders>
            <w:shd w:val="clear" w:color="auto" w:fill="auto"/>
            <w:noWrap/>
            <w:vAlign w:val="bottom"/>
            <w:hideMark/>
          </w:tcPr>
          <w:p w14:paraId="18DF9603"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48AA085" w14:textId="0CF4D10C"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653CE754" w14:textId="6F4345C0"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6C8379A0" w14:textId="291131D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0ADDCF7D" w14:textId="304327B6"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000000" w:fill="E6E6E6"/>
            <w:noWrap/>
            <w:vAlign w:val="bottom"/>
            <w:hideMark/>
          </w:tcPr>
          <w:p w14:paraId="7A6D924C" w14:textId="7C540829"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r>
      <w:tr w:rsidR="006C211B" w:rsidRPr="006C211B" w14:paraId="6B4F5F79" w14:textId="77777777" w:rsidTr="006C211B">
        <w:trPr>
          <w:trHeight w:hRule="exact" w:val="225"/>
        </w:trPr>
        <w:tc>
          <w:tcPr>
            <w:tcW w:w="1672" w:type="pct"/>
            <w:tcBorders>
              <w:top w:val="nil"/>
              <w:left w:val="nil"/>
              <w:bottom w:val="nil"/>
              <w:right w:val="nil"/>
            </w:tcBorders>
            <w:shd w:val="clear" w:color="auto" w:fill="auto"/>
            <w:vAlign w:val="bottom"/>
            <w:hideMark/>
          </w:tcPr>
          <w:p w14:paraId="04943600" w14:textId="23E69F24" w:rsidR="006C211B" w:rsidRPr="006C211B" w:rsidRDefault="006C211B" w:rsidP="006C211B">
            <w:pPr>
              <w:spacing w:after="0" w:line="240" w:lineRule="auto"/>
              <w:jc w:val="left"/>
              <w:rPr>
                <w:rFonts w:ascii="Arial" w:hAnsi="Arial" w:cs="Arial"/>
                <w:sz w:val="16"/>
                <w:szCs w:val="16"/>
              </w:rPr>
            </w:pPr>
            <w:r w:rsidRPr="006C211B">
              <w:rPr>
                <w:rFonts w:ascii="Arial" w:hAnsi="Arial" w:cs="Arial"/>
                <w:sz w:val="16"/>
                <w:szCs w:val="16"/>
              </w:rPr>
              <w:t>Women</w:t>
            </w:r>
            <w:r w:rsidR="00B33758">
              <w:rPr>
                <w:rFonts w:ascii="Arial" w:hAnsi="Arial" w:cs="Arial"/>
                <w:sz w:val="16"/>
                <w:szCs w:val="16"/>
              </w:rPr>
              <w:t>’</w:t>
            </w:r>
            <w:r w:rsidRPr="006C211B">
              <w:rPr>
                <w:rFonts w:ascii="Arial" w:hAnsi="Arial" w:cs="Arial"/>
                <w:sz w:val="16"/>
                <w:szCs w:val="16"/>
              </w:rPr>
              <w:t>s Safety Package</w:t>
            </w:r>
          </w:p>
        </w:tc>
        <w:tc>
          <w:tcPr>
            <w:tcW w:w="486" w:type="pct"/>
            <w:tcBorders>
              <w:top w:val="nil"/>
              <w:left w:val="nil"/>
              <w:bottom w:val="nil"/>
              <w:right w:val="nil"/>
            </w:tcBorders>
            <w:shd w:val="clear" w:color="auto" w:fill="auto"/>
            <w:noWrap/>
            <w:vAlign w:val="bottom"/>
            <w:hideMark/>
          </w:tcPr>
          <w:p w14:paraId="44E8529A"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1.9</w:t>
            </w:r>
          </w:p>
        </w:tc>
        <w:tc>
          <w:tcPr>
            <w:tcW w:w="568" w:type="pct"/>
            <w:tcBorders>
              <w:top w:val="nil"/>
              <w:left w:val="nil"/>
              <w:bottom w:val="nil"/>
              <w:right w:val="nil"/>
            </w:tcBorders>
            <w:shd w:val="clear" w:color="000000" w:fill="E6E6E6"/>
            <w:noWrap/>
            <w:vAlign w:val="bottom"/>
            <w:hideMark/>
          </w:tcPr>
          <w:p w14:paraId="1FB5A50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689CC07"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F64D60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1A7387D6"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5D2EE68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46F405FF" w14:textId="77777777" w:rsidTr="006C211B">
        <w:trPr>
          <w:trHeight w:hRule="exact" w:val="225"/>
        </w:trPr>
        <w:tc>
          <w:tcPr>
            <w:tcW w:w="1672" w:type="pct"/>
            <w:tcBorders>
              <w:top w:val="nil"/>
              <w:left w:val="nil"/>
              <w:bottom w:val="nil"/>
              <w:right w:val="nil"/>
            </w:tcBorders>
            <w:shd w:val="clear" w:color="auto" w:fill="auto"/>
            <w:noWrap/>
            <w:vAlign w:val="bottom"/>
            <w:hideMark/>
          </w:tcPr>
          <w:p w14:paraId="5F0EA442"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 payments</w:t>
            </w:r>
          </w:p>
        </w:tc>
        <w:tc>
          <w:tcPr>
            <w:tcW w:w="486" w:type="pct"/>
            <w:tcBorders>
              <w:top w:val="nil"/>
              <w:left w:val="nil"/>
              <w:bottom w:val="nil"/>
              <w:right w:val="nil"/>
            </w:tcBorders>
            <w:shd w:val="clear" w:color="auto" w:fill="auto"/>
            <w:noWrap/>
            <w:vAlign w:val="bottom"/>
            <w:hideMark/>
          </w:tcPr>
          <w:p w14:paraId="4FC06931"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23906840" w14:textId="6568AC3A"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w:t>
            </w:r>
            <w:r w:rsidR="00B33758">
              <w:rPr>
                <w:rFonts w:ascii="Arial" w:hAnsi="Arial" w:cs="Arial"/>
                <w:sz w:val="16"/>
                <w:szCs w:val="16"/>
              </w:rPr>
              <w:t xml:space="preserve"> – </w:t>
            </w:r>
          </w:p>
        </w:tc>
        <w:tc>
          <w:tcPr>
            <w:tcW w:w="568" w:type="pct"/>
            <w:tcBorders>
              <w:top w:val="nil"/>
              <w:left w:val="nil"/>
              <w:bottom w:val="nil"/>
              <w:right w:val="nil"/>
            </w:tcBorders>
            <w:shd w:val="clear" w:color="auto" w:fill="auto"/>
            <w:noWrap/>
            <w:vAlign w:val="bottom"/>
            <w:hideMark/>
          </w:tcPr>
          <w:p w14:paraId="75FC24D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19,673 </w:t>
            </w:r>
          </w:p>
        </w:tc>
        <w:tc>
          <w:tcPr>
            <w:tcW w:w="568" w:type="pct"/>
            <w:tcBorders>
              <w:top w:val="nil"/>
              <w:left w:val="nil"/>
              <w:bottom w:val="nil"/>
              <w:right w:val="nil"/>
            </w:tcBorders>
            <w:shd w:val="clear" w:color="000000" w:fill="E6E6E6"/>
            <w:noWrap/>
            <w:vAlign w:val="bottom"/>
            <w:hideMark/>
          </w:tcPr>
          <w:p w14:paraId="651EDBF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12,604 </w:t>
            </w:r>
          </w:p>
        </w:tc>
        <w:tc>
          <w:tcPr>
            <w:tcW w:w="568" w:type="pct"/>
            <w:tcBorders>
              <w:top w:val="nil"/>
              <w:left w:val="nil"/>
              <w:bottom w:val="nil"/>
              <w:right w:val="nil"/>
            </w:tcBorders>
            <w:shd w:val="clear" w:color="auto" w:fill="auto"/>
            <w:noWrap/>
            <w:vAlign w:val="bottom"/>
            <w:hideMark/>
          </w:tcPr>
          <w:p w14:paraId="6BE8AC7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15,709 </w:t>
            </w:r>
          </w:p>
        </w:tc>
        <w:tc>
          <w:tcPr>
            <w:tcW w:w="568" w:type="pct"/>
            <w:tcBorders>
              <w:top w:val="nil"/>
              <w:left w:val="nil"/>
              <w:bottom w:val="nil"/>
              <w:right w:val="nil"/>
            </w:tcBorders>
            <w:shd w:val="clear" w:color="000000" w:fill="E6E6E6"/>
            <w:noWrap/>
            <w:vAlign w:val="bottom"/>
            <w:hideMark/>
          </w:tcPr>
          <w:p w14:paraId="582CBA4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8,550 </w:t>
            </w:r>
          </w:p>
        </w:tc>
      </w:tr>
      <w:tr w:rsidR="006C211B" w:rsidRPr="006C211B" w14:paraId="0A247AAA" w14:textId="77777777" w:rsidTr="006C211B">
        <w:trPr>
          <w:trHeight w:hRule="exact" w:val="285"/>
        </w:trPr>
        <w:tc>
          <w:tcPr>
            <w:tcW w:w="1672" w:type="pct"/>
            <w:tcBorders>
              <w:top w:val="nil"/>
              <w:left w:val="nil"/>
              <w:bottom w:val="nil"/>
              <w:right w:val="nil"/>
            </w:tcBorders>
            <w:shd w:val="clear" w:color="auto" w:fill="auto"/>
            <w:noWrap/>
            <w:vAlign w:val="bottom"/>
            <w:hideMark/>
          </w:tcPr>
          <w:p w14:paraId="1A96E24D" w14:textId="77777777" w:rsidR="006C211B" w:rsidRPr="006C211B" w:rsidRDefault="006C211B" w:rsidP="006C211B">
            <w:pPr>
              <w:spacing w:after="0" w:line="240" w:lineRule="auto"/>
              <w:jc w:val="left"/>
              <w:rPr>
                <w:rFonts w:ascii="Arial" w:hAnsi="Arial" w:cs="Arial"/>
                <w:b/>
                <w:bCs/>
                <w:sz w:val="16"/>
                <w:szCs w:val="16"/>
              </w:rPr>
            </w:pPr>
            <w:r w:rsidRPr="006C211B">
              <w:rPr>
                <w:rFonts w:ascii="Arial" w:hAnsi="Arial" w:cs="Arial"/>
                <w:b/>
                <w:bCs/>
                <w:sz w:val="16"/>
                <w:szCs w:val="16"/>
              </w:rPr>
              <w:t xml:space="preserve">Total </w:t>
            </w:r>
          </w:p>
        </w:tc>
        <w:tc>
          <w:tcPr>
            <w:tcW w:w="486" w:type="pct"/>
            <w:tcBorders>
              <w:top w:val="nil"/>
              <w:left w:val="nil"/>
              <w:bottom w:val="nil"/>
              <w:right w:val="nil"/>
            </w:tcBorders>
            <w:shd w:val="clear" w:color="auto" w:fill="auto"/>
            <w:noWrap/>
            <w:vAlign w:val="bottom"/>
            <w:hideMark/>
          </w:tcPr>
          <w:p w14:paraId="29747592" w14:textId="77777777" w:rsidR="006C211B" w:rsidRPr="006C211B" w:rsidRDefault="006C211B" w:rsidP="006C211B">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73CF3475" w14:textId="77777777" w:rsidR="006C211B" w:rsidRPr="006C211B" w:rsidRDefault="006C211B" w:rsidP="006C211B">
            <w:pPr>
              <w:spacing w:after="0" w:line="240" w:lineRule="auto"/>
              <w:jc w:val="right"/>
              <w:rPr>
                <w:rFonts w:ascii="Arial" w:hAnsi="Arial" w:cs="Arial"/>
                <w:b/>
                <w:bCs/>
                <w:sz w:val="16"/>
                <w:szCs w:val="16"/>
              </w:rPr>
            </w:pPr>
            <w:r w:rsidRPr="006C211B">
              <w:rPr>
                <w:rFonts w:ascii="Arial" w:hAnsi="Arial" w:cs="Arial"/>
                <w:b/>
                <w:bCs/>
                <w:sz w:val="16"/>
                <w:szCs w:val="16"/>
              </w:rPr>
              <w:t xml:space="preserve">     287,784 </w:t>
            </w:r>
          </w:p>
        </w:tc>
        <w:tc>
          <w:tcPr>
            <w:tcW w:w="568" w:type="pct"/>
            <w:tcBorders>
              <w:top w:val="nil"/>
              <w:left w:val="nil"/>
              <w:bottom w:val="nil"/>
              <w:right w:val="nil"/>
            </w:tcBorders>
            <w:shd w:val="clear" w:color="auto" w:fill="auto"/>
            <w:noWrap/>
            <w:vAlign w:val="bottom"/>
            <w:hideMark/>
          </w:tcPr>
          <w:p w14:paraId="6F1C6536" w14:textId="77777777" w:rsidR="006C211B" w:rsidRPr="006C211B" w:rsidRDefault="006C211B" w:rsidP="006C211B">
            <w:pPr>
              <w:spacing w:after="0" w:line="240" w:lineRule="auto"/>
              <w:jc w:val="right"/>
              <w:rPr>
                <w:rFonts w:ascii="Arial" w:hAnsi="Arial" w:cs="Arial"/>
                <w:b/>
                <w:bCs/>
                <w:sz w:val="16"/>
                <w:szCs w:val="16"/>
              </w:rPr>
            </w:pPr>
            <w:r w:rsidRPr="006C211B">
              <w:rPr>
                <w:rFonts w:ascii="Arial" w:hAnsi="Arial" w:cs="Arial"/>
                <w:b/>
                <w:bCs/>
                <w:sz w:val="16"/>
                <w:szCs w:val="16"/>
              </w:rPr>
              <w:t xml:space="preserve">  3,761,822 </w:t>
            </w:r>
          </w:p>
        </w:tc>
        <w:tc>
          <w:tcPr>
            <w:tcW w:w="568" w:type="pct"/>
            <w:tcBorders>
              <w:top w:val="nil"/>
              <w:left w:val="nil"/>
              <w:bottom w:val="nil"/>
              <w:right w:val="nil"/>
            </w:tcBorders>
            <w:shd w:val="clear" w:color="000000" w:fill="E6E6E6"/>
            <w:noWrap/>
            <w:vAlign w:val="bottom"/>
            <w:hideMark/>
          </w:tcPr>
          <w:p w14:paraId="2F63BA6F" w14:textId="77777777" w:rsidR="006C211B" w:rsidRPr="006C211B" w:rsidRDefault="006C211B" w:rsidP="006C211B">
            <w:pPr>
              <w:spacing w:after="0" w:line="240" w:lineRule="auto"/>
              <w:jc w:val="right"/>
              <w:rPr>
                <w:rFonts w:ascii="Arial" w:hAnsi="Arial" w:cs="Arial"/>
                <w:b/>
                <w:bCs/>
                <w:sz w:val="16"/>
                <w:szCs w:val="16"/>
              </w:rPr>
            </w:pPr>
            <w:r w:rsidRPr="006C211B">
              <w:rPr>
                <w:rFonts w:ascii="Arial" w:hAnsi="Arial" w:cs="Arial"/>
                <w:b/>
                <w:bCs/>
                <w:sz w:val="16"/>
                <w:szCs w:val="16"/>
              </w:rPr>
              <w:t xml:space="preserve">  2,955,832 </w:t>
            </w:r>
          </w:p>
        </w:tc>
        <w:tc>
          <w:tcPr>
            <w:tcW w:w="568" w:type="pct"/>
            <w:tcBorders>
              <w:top w:val="nil"/>
              <w:left w:val="nil"/>
              <w:bottom w:val="nil"/>
              <w:right w:val="nil"/>
            </w:tcBorders>
            <w:shd w:val="clear" w:color="auto" w:fill="auto"/>
            <w:noWrap/>
            <w:vAlign w:val="bottom"/>
            <w:hideMark/>
          </w:tcPr>
          <w:p w14:paraId="1FF40ADE" w14:textId="77777777" w:rsidR="006C211B" w:rsidRPr="006C211B" w:rsidRDefault="006C211B" w:rsidP="006C211B">
            <w:pPr>
              <w:spacing w:after="0" w:line="240" w:lineRule="auto"/>
              <w:jc w:val="right"/>
              <w:rPr>
                <w:rFonts w:ascii="Arial" w:hAnsi="Arial" w:cs="Arial"/>
                <w:b/>
                <w:bCs/>
                <w:sz w:val="16"/>
                <w:szCs w:val="16"/>
              </w:rPr>
            </w:pPr>
            <w:r w:rsidRPr="006C211B">
              <w:rPr>
                <w:rFonts w:ascii="Arial" w:hAnsi="Arial" w:cs="Arial"/>
                <w:b/>
                <w:bCs/>
                <w:sz w:val="16"/>
                <w:szCs w:val="16"/>
              </w:rPr>
              <w:t xml:space="preserve">  4,141,164 </w:t>
            </w:r>
          </w:p>
        </w:tc>
        <w:tc>
          <w:tcPr>
            <w:tcW w:w="568" w:type="pct"/>
            <w:tcBorders>
              <w:top w:val="nil"/>
              <w:left w:val="nil"/>
              <w:bottom w:val="nil"/>
              <w:right w:val="nil"/>
            </w:tcBorders>
            <w:shd w:val="clear" w:color="000000" w:fill="E6E6E6"/>
            <w:noWrap/>
            <w:vAlign w:val="bottom"/>
            <w:hideMark/>
          </w:tcPr>
          <w:p w14:paraId="7051B89E" w14:textId="77777777" w:rsidR="006C211B" w:rsidRPr="006C211B" w:rsidRDefault="006C211B" w:rsidP="006C211B">
            <w:pPr>
              <w:spacing w:after="0" w:line="240" w:lineRule="auto"/>
              <w:jc w:val="right"/>
              <w:rPr>
                <w:rFonts w:ascii="Arial" w:hAnsi="Arial" w:cs="Arial"/>
                <w:b/>
                <w:bCs/>
                <w:sz w:val="16"/>
                <w:szCs w:val="16"/>
              </w:rPr>
            </w:pPr>
            <w:r w:rsidRPr="006C211B">
              <w:rPr>
                <w:rFonts w:ascii="Arial" w:hAnsi="Arial" w:cs="Arial"/>
                <w:b/>
                <w:bCs/>
                <w:sz w:val="16"/>
                <w:szCs w:val="16"/>
              </w:rPr>
              <w:t xml:space="preserve">  4,572,920 </w:t>
            </w:r>
          </w:p>
        </w:tc>
      </w:tr>
      <w:tr w:rsidR="006C211B" w:rsidRPr="006C211B" w14:paraId="24F3F920" w14:textId="77777777" w:rsidTr="006C211B">
        <w:trPr>
          <w:trHeight w:hRule="exact" w:val="240"/>
        </w:trPr>
        <w:tc>
          <w:tcPr>
            <w:tcW w:w="1672" w:type="pct"/>
            <w:tcBorders>
              <w:top w:val="nil"/>
              <w:left w:val="nil"/>
              <w:bottom w:val="nil"/>
              <w:right w:val="nil"/>
            </w:tcBorders>
            <w:shd w:val="clear" w:color="auto" w:fill="auto"/>
            <w:noWrap/>
            <w:vAlign w:val="bottom"/>
            <w:hideMark/>
          </w:tcPr>
          <w:p w14:paraId="34828993" w14:textId="77777777" w:rsidR="006C211B" w:rsidRPr="006C211B" w:rsidRDefault="006C211B" w:rsidP="006C211B">
            <w:pPr>
              <w:spacing w:after="0" w:line="240" w:lineRule="auto"/>
              <w:jc w:val="left"/>
              <w:rPr>
                <w:rFonts w:ascii="Arial" w:hAnsi="Arial" w:cs="Arial"/>
                <w:b/>
                <w:bCs/>
                <w:sz w:val="16"/>
                <w:szCs w:val="16"/>
              </w:rPr>
            </w:pPr>
            <w:r w:rsidRPr="006C211B">
              <w:rPr>
                <w:rFonts w:ascii="Arial" w:hAnsi="Arial" w:cs="Arial"/>
                <w:b/>
                <w:bCs/>
                <w:sz w:val="16"/>
                <w:szCs w:val="16"/>
              </w:rPr>
              <w:t>Total payment measures</w:t>
            </w:r>
          </w:p>
        </w:tc>
        <w:tc>
          <w:tcPr>
            <w:tcW w:w="486" w:type="pct"/>
            <w:tcBorders>
              <w:top w:val="nil"/>
              <w:left w:val="nil"/>
              <w:bottom w:val="nil"/>
              <w:right w:val="nil"/>
            </w:tcBorders>
            <w:shd w:val="clear" w:color="auto" w:fill="auto"/>
            <w:noWrap/>
            <w:vAlign w:val="bottom"/>
            <w:hideMark/>
          </w:tcPr>
          <w:p w14:paraId="0EE4A0A0" w14:textId="77777777" w:rsidR="006C211B" w:rsidRPr="006C211B" w:rsidRDefault="006C211B" w:rsidP="006C211B">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73F2D3E4"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45B7D3C1"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8436BC1"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c>
          <w:tcPr>
            <w:tcW w:w="568" w:type="pct"/>
            <w:tcBorders>
              <w:top w:val="nil"/>
              <w:left w:val="nil"/>
              <w:bottom w:val="nil"/>
              <w:right w:val="nil"/>
            </w:tcBorders>
            <w:shd w:val="clear" w:color="auto" w:fill="auto"/>
            <w:noWrap/>
            <w:vAlign w:val="bottom"/>
            <w:hideMark/>
          </w:tcPr>
          <w:p w14:paraId="0D89A063" w14:textId="77777777" w:rsidR="006C211B" w:rsidRPr="006C211B" w:rsidRDefault="006C211B" w:rsidP="006C211B">
            <w:pPr>
              <w:spacing w:after="0" w:line="240" w:lineRule="auto"/>
              <w:jc w:val="righ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73DA9E33"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w:t>
            </w:r>
          </w:p>
        </w:tc>
      </w:tr>
      <w:tr w:rsidR="006C211B" w:rsidRPr="006C211B" w14:paraId="1DF030E9" w14:textId="77777777" w:rsidTr="006C211B">
        <w:trPr>
          <w:trHeight w:hRule="exact" w:val="240"/>
        </w:trPr>
        <w:tc>
          <w:tcPr>
            <w:tcW w:w="1672" w:type="pct"/>
            <w:tcBorders>
              <w:top w:val="nil"/>
              <w:left w:val="nil"/>
              <w:bottom w:val="nil"/>
              <w:right w:val="nil"/>
            </w:tcBorders>
            <w:shd w:val="clear" w:color="auto" w:fill="auto"/>
            <w:noWrap/>
            <w:vAlign w:val="bottom"/>
            <w:hideMark/>
          </w:tcPr>
          <w:p w14:paraId="3EA8F7FF"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Administered</w:t>
            </w:r>
          </w:p>
        </w:tc>
        <w:tc>
          <w:tcPr>
            <w:tcW w:w="486" w:type="pct"/>
            <w:tcBorders>
              <w:top w:val="nil"/>
              <w:left w:val="nil"/>
              <w:bottom w:val="nil"/>
              <w:right w:val="nil"/>
            </w:tcBorders>
            <w:shd w:val="clear" w:color="auto" w:fill="auto"/>
            <w:noWrap/>
            <w:vAlign w:val="bottom"/>
            <w:hideMark/>
          </w:tcPr>
          <w:p w14:paraId="733ED464"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4C66E99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286,639 </w:t>
            </w:r>
          </w:p>
        </w:tc>
        <w:tc>
          <w:tcPr>
            <w:tcW w:w="568" w:type="pct"/>
            <w:tcBorders>
              <w:top w:val="nil"/>
              <w:left w:val="nil"/>
              <w:bottom w:val="nil"/>
              <w:right w:val="nil"/>
            </w:tcBorders>
            <w:shd w:val="clear" w:color="auto" w:fill="auto"/>
            <w:noWrap/>
            <w:vAlign w:val="bottom"/>
            <w:hideMark/>
          </w:tcPr>
          <w:p w14:paraId="231C9ABB"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3,745,477 </w:t>
            </w:r>
          </w:p>
        </w:tc>
        <w:tc>
          <w:tcPr>
            <w:tcW w:w="568" w:type="pct"/>
            <w:tcBorders>
              <w:top w:val="nil"/>
              <w:left w:val="nil"/>
              <w:bottom w:val="nil"/>
              <w:right w:val="nil"/>
            </w:tcBorders>
            <w:shd w:val="clear" w:color="000000" w:fill="E6E6E6"/>
            <w:noWrap/>
            <w:vAlign w:val="bottom"/>
            <w:hideMark/>
          </w:tcPr>
          <w:p w14:paraId="1B68ACFC"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2,940,338 </w:t>
            </w:r>
          </w:p>
        </w:tc>
        <w:tc>
          <w:tcPr>
            <w:tcW w:w="568" w:type="pct"/>
            <w:tcBorders>
              <w:top w:val="nil"/>
              <w:left w:val="nil"/>
              <w:bottom w:val="nil"/>
              <w:right w:val="nil"/>
            </w:tcBorders>
            <w:shd w:val="clear" w:color="auto" w:fill="auto"/>
            <w:noWrap/>
            <w:vAlign w:val="bottom"/>
            <w:hideMark/>
          </w:tcPr>
          <w:p w14:paraId="19C10A1A"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4,132,798 </w:t>
            </w:r>
          </w:p>
        </w:tc>
        <w:tc>
          <w:tcPr>
            <w:tcW w:w="568" w:type="pct"/>
            <w:tcBorders>
              <w:top w:val="nil"/>
              <w:left w:val="nil"/>
              <w:bottom w:val="nil"/>
              <w:right w:val="nil"/>
            </w:tcBorders>
            <w:shd w:val="clear" w:color="000000" w:fill="E6E6E6"/>
            <w:noWrap/>
            <w:vAlign w:val="bottom"/>
            <w:hideMark/>
          </w:tcPr>
          <w:p w14:paraId="1DAD5706"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4,564,554 </w:t>
            </w:r>
          </w:p>
        </w:tc>
      </w:tr>
      <w:tr w:rsidR="006C211B" w:rsidRPr="006C211B" w14:paraId="52CCC057" w14:textId="77777777" w:rsidTr="006C211B">
        <w:trPr>
          <w:trHeight w:hRule="exact" w:val="240"/>
        </w:trPr>
        <w:tc>
          <w:tcPr>
            <w:tcW w:w="1672" w:type="pct"/>
            <w:tcBorders>
              <w:top w:val="nil"/>
              <w:left w:val="nil"/>
              <w:bottom w:val="nil"/>
              <w:right w:val="nil"/>
            </w:tcBorders>
            <w:shd w:val="clear" w:color="auto" w:fill="auto"/>
            <w:noWrap/>
            <w:vAlign w:val="bottom"/>
            <w:hideMark/>
          </w:tcPr>
          <w:p w14:paraId="2291292C" w14:textId="77777777" w:rsidR="006C211B" w:rsidRPr="006C211B" w:rsidRDefault="006C211B" w:rsidP="006C211B">
            <w:pPr>
              <w:spacing w:after="0" w:line="240" w:lineRule="auto"/>
              <w:ind w:left="170"/>
              <w:jc w:val="left"/>
              <w:rPr>
                <w:rFonts w:ascii="Arial" w:hAnsi="Arial" w:cs="Arial"/>
                <w:sz w:val="16"/>
                <w:szCs w:val="16"/>
              </w:rPr>
            </w:pPr>
            <w:r w:rsidRPr="006C211B">
              <w:rPr>
                <w:rFonts w:ascii="Arial" w:hAnsi="Arial" w:cs="Arial"/>
                <w:sz w:val="16"/>
                <w:szCs w:val="16"/>
              </w:rPr>
              <w:t>Departmental</w:t>
            </w:r>
          </w:p>
        </w:tc>
        <w:tc>
          <w:tcPr>
            <w:tcW w:w="486" w:type="pct"/>
            <w:tcBorders>
              <w:top w:val="nil"/>
              <w:left w:val="nil"/>
              <w:bottom w:val="nil"/>
              <w:right w:val="nil"/>
            </w:tcBorders>
            <w:shd w:val="clear" w:color="auto" w:fill="auto"/>
            <w:noWrap/>
            <w:vAlign w:val="bottom"/>
            <w:hideMark/>
          </w:tcPr>
          <w:p w14:paraId="35E53E3F" w14:textId="77777777" w:rsidR="006C211B" w:rsidRPr="006C211B" w:rsidRDefault="006C211B" w:rsidP="006C211B">
            <w:pPr>
              <w:spacing w:after="0" w:line="240" w:lineRule="auto"/>
              <w:ind w:firstLineChars="100" w:firstLine="160"/>
              <w:jc w:val="left"/>
              <w:rPr>
                <w:rFonts w:ascii="Arial" w:hAnsi="Arial" w:cs="Arial"/>
                <w:sz w:val="16"/>
                <w:szCs w:val="16"/>
              </w:rPr>
            </w:pPr>
          </w:p>
        </w:tc>
        <w:tc>
          <w:tcPr>
            <w:tcW w:w="568" w:type="pct"/>
            <w:tcBorders>
              <w:top w:val="nil"/>
              <w:left w:val="nil"/>
              <w:bottom w:val="nil"/>
              <w:right w:val="nil"/>
            </w:tcBorders>
            <w:shd w:val="clear" w:color="000000" w:fill="E6E6E6"/>
            <w:noWrap/>
            <w:vAlign w:val="bottom"/>
            <w:hideMark/>
          </w:tcPr>
          <w:p w14:paraId="3691D8BE"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1,145 </w:t>
            </w:r>
          </w:p>
        </w:tc>
        <w:tc>
          <w:tcPr>
            <w:tcW w:w="568" w:type="pct"/>
            <w:tcBorders>
              <w:top w:val="nil"/>
              <w:left w:val="nil"/>
              <w:bottom w:val="nil"/>
              <w:right w:val="nil"/>
            </w:tcBorders>
            <w:shd w:val="clear" w:color="auto" w:fill="auto"/>
            <w:noWrap/>
            <w:vAlign w:val="bottom"/>
            <w:hideMark/>
          </w:tcPr>
          <w:p w14:paraId="1434D368"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16,345 </w:t>
            </w:r>
          </w:p>
        </w:tc>
        <w:tc>
          <w:tcPr>
            <w:tcW w:w="568" w:type="pct"/>
            <w:tcBorders>
              <w:top w:val="nil"/>
              <w:left w:val="nil"/>
              <w:bottom w:val="nil"/>
              <w:right w:val="nil"/>
            </w:tcBorders>
            <w:shd w:val="clear" w:color="000000" w:fill="E6E6E6"/>
            <w:noWrap/>
            <w:vAlign w:val="bottom"/>
            <w:hideMark/>
          </w:tcPr>
          <w:p w14:paraId="499F0337"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15,494 </w:t>
            </w:r>
          </w:p>
        </w:tc>
        <w:tc>
          <w:tcPr>
            <w:tcW w:w="568" w:type="pct"/>
            <w:tcBorders>
              <w:top w:val="nil"/>
              <w:left w:val="nil"/>
              <w:bottom w:val="nil"/>
              <w:right w:val="nil"/>
            </w:tcBorders>
            <w:shd w:val="clear" w:color="auto" w:fill="auto"/>
            <w:noWrap/>
            <w:vAlign w:val="bottom"/>
            <w:hideMark/>
          </w:tcPr>
          <w:p w14:paraId="744B24ED"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8,366 </w:t>
            </w:r>
          </w:p>
        </w:tc>
        <w:tc>
          <w:tcPr>
            <w:tcW w:w="568" w:type="pct"/>
            <w:tcBorders>
              <w:top w:val="nil"/>
              <w:left w:val="nil"/>
              <w:bottom w:val="nil"/>
              <w:right w:val="nil"/>
            </w:tcBorders>
            <w:shd w:val="clear" w:color="000000" w:fill="E6E6E6"/>
            <w:noWrap/>
            <w:vAlign w:val="bottom"/>
            <w:hideMark/>
          </w:tcPr>
          <w:p w14:paraId="01D49109" w14:textId="77777777" w:rsidR="006C211B" w:rsidRPr="006C211B" w:rsidRDefault="006C211B" w:rsidP="006C211B">
            <w:pPr>
              <w:spacing w:after="0" w:line="240" w:lineRule="auto"/>
              <w:jc w:val="right"/>
              <w:rPr>
                <w:rFonts w:ascii="Arial" w:hAnsi="Arial" w:cs="Arial"/>
                <w:sz w:val="16"/>
                <w:szCs w:val="16"/>
              </w:rPr>
            </w:pPr>
            <w:r w:rsidRPr="006C211B">
              <w:rPr>
                <w:rFonts w:ascii="Arial" w:hAnsi="Arial" w:cs="Arial"/>
                <w:sz w:val="16"/>
                <w:szCs w:val="16"/>
              </w:rPr>
              <w:t xml:space="preserve">         8,366 </w:t>
            </w:r>
          </w:p>
        </w:tc>
      </w:tr>
      <w:tr w:rsidR="006C211B" w:rsidRPr="006C211B" w14:paraId="6BBD2B2C" w14:textId="77777777" w:rsidTr="006C211B">
        <w:trPr>
          <w:trHeight w:hRule="exact" w:val="285"/>
        </w:trPr>
        <w:tc>
          <w:tcPr>
            <w:tcW w:w="1672" w:type="pct"/>
            <w:tcBorders>
              <w:top w:val="nil"/>
              <w:left w:val="nil"/>
              <w:bottom w:val="single" w:sz="4" w:space="0" w:color="auto"/>
              <w:right w:val="nil"/>
            </w:tcBorders>
            <w:shd w:val="clear" w:color="auto" w:fill="auto"/>
            <w:noWrap/>
            <w:vAlign w:val="bottom"/>
            <w:hideMark/>
          </w:tcPr>
          <w:p w14:paraId="13FB9AAF" w14:textId="77777777" w:rsidR="006C211B" w:rsidRPr="006C211B" w:rsidRDefault="006C211B" w:rsidP="006C211B">
            <w:pPr>
              <w:spacing w:after="0" w:line="240" w:lineRule="auto"/>
              <w:jc w:val="left"/>
              <w:rPr>
                <w:rFonts w:ascii="Arial" w:hAnsi="Arial" w:cs="Arial"/>
                <w:b/>
                <w:bCs/>
                <w:sz w:val="16"/>
                <w:szCs w:val="16"/>
              </w:rPr>
            </w:pPr>
            <w:r w:rsidRPr="006C211B">
              <w:rPr>
                <w:rFonts w:ascii="Arial" w:hAnsi="Arial" w:cs="Arial"/>
                <w:b/>
                <w:bCs/>
                <w:sz w:val="16"/>
                <w:szCs w:val="16"/>
              </w:rPr>
              <w:t>Total</w:t>
            </w:r>
          </w:p>
        </w:tc>
        <w:tc>
          <w:tcPr>
            <w:tcW w:w="486" w:type="pct"/>
            <w:tcBorders>
              <w:top w:val="nil"/>
              <w:left w:val="nil"/>
              <w:bottom w:val="single" w:sz="4" w:space="0" w:color="auto"/>
              <w:right w:val="nil"/>
            </w:tcBorders>
            <w:shd w:val="clear" w:color="auto" w:fill="auto"/>
            <w:noWrap/>
            <w:vAlign w:val="bottom"/>
            <w:hideMark/>
          </w:tcPr>
          <w:p w14:paraId="3669E439" w14:textId="77777777" w:rsidR="006C211B" w:rsidRPr="006C211B" w:rsidRDefault="006C211B" w:rsidP="006C211B">
            <w:pPr>
              <w:spacing w:after="0" w:line="240" w:lineRule="auto"/>
              <w:jc w:val="center"/>
              <w:rPr>
                <w:rFonts w:ascii="Arial" w:hAnsi="Arial" w:cs="Arial"/>
                <w:sz w:val="16"/>
                <w:szCs w:val="16"/>
              </w:rPr>
            </w:pPr>
            <w:r w:rsidRPr="006C211B">
              <w:rPr>
                <w:rFonts w:ascii="Arial" w:hAnsi="Arial" w:cs="Arial"/>
                <w:sz w:val="16"/>
                <w:szCs w:val="16"/>
              </w:rPr>
              <w:t> </w:t>
            </w:r>
          </w:p>
        </w:tc>
        <w:tc>
          <w:tcPr>
            <w:tcW w:w="568" w:type="pct"/>
            <w:tcBorders>
              <w:top w:val="nil"/>
              <w:left w:val="nil"/>
              <w:bottom w:val="single" w:sz="4" w:space="0" w:color="auto"/>
              <w:right w:val="nil"/>
            </w:tcBorders>
            <w:shd w:val="clear" w:color="000000" w:fill="E6E6E6"/>
            <w:noWrap/>
            <w:vAlign w:val="bottom"/>
            <w:hideMark/>
          </w:tcPr>
          <w:p w14:paraId="17651E79" w14:textId="148167F4" w:rsidR="006C211B" w:rsidRPr="006C211B" w:rsidRDefault="006C211B" w:rsidP="006C211B">
            <w:pPr>
              <w:spacing w:after="0" w:line="240" w:lineRule="auto"/>
              <w:jc w:val="right"/>
              <w:rPr>
                <w:rFonts w:ascii="Arial" w:hAnsi="Arial" w:cs="Arial"/>
                <w:b/>
                <w:bCs/>
                <w:sz w:val="16"/>
                <w:szCs w:val="16"/>
              </w:rPr>
            </w:pPr>
            <w:r>
              <w:rPr>
                <w:rFonts w:ascii="Arial" w:hAnsi="Arial" w:cs="Arial"/>
                <w:b/>
                <w:bCs/>
                <w:sz w:val="16"/>
                <w:szCs w:val="16"/>
              </w:rPr>
              <w:t xml:space="preserve">287,784 </w:t>
            </w:r>
          </w:p>
        </w:tc>
        <w:tc>
          <w:tcPr>
            <w:tcW w:w="568" w:type="pct"/>
            <w:tcBorders>
              <w:top w:val="nil"/>
              <w:left w:val="nil"/>
              <w:bottom w:val="single" w:sz="4" w:space="0" w:color="auto"/>
              <w:right w:val="nil"/>
            </w:tcBorders>
            <w:shd w:val="clear" w:color="auto" w:fill="auto"/>
            <w:noWrap/>
            <w:vAlign w:val="bottom"/>
            <w:hideMark/>
          </w:tcPr>
          <w:p w14:paraId="1D4ED18A" w14:textId="3E5F1187" w:rsidR="006C211B" w:rsidRPr="006C211B" w:rsidRDefault="006C211B" w:rsidP="006C211B">
            <w:pPr>
              <w:spacing w:after="0" w:line="240" w:lineRule="auto"/>
              <w:jc w:val="right"/>
              <w:rPr>
                <w:rFonts w:ascii="Arial" w:hAnsi="Arial" w:cs="Arial"/>
                <w:b/>
                <w:bCs/>
                <w:sz w:val="16"/>
                <w:szCs w:val="16"/>
              </w:rPr>
            </w:pPr>
            <w:r>
              <w:rPr>
                <w:rFonts w:ascii="Arial" w:hAnsi="Arial" w:cs="Arial"/>
                <w:b/>
                <w:bCs/>
                <w:sz w:val="16"/>
                <w:szCs w:val="16"/>
              </w:rPr>
              <w:t xml:space="preserve">3,761,822 </w:t>
            </w:r>
          </w:p>
        </w:tc>
        <w:tc>
          <w:tcPr>
            <w:tcW w:w="568" w:type="pct"/>
            <w:tcBorders>
              <w:top w:val="nil"/>
              <w:left w:val="nil"/>
              <w:bottom w:val="single" w:sz="4" w:space="0" w:color="auto"/>
              <w:right w:val="nil"/>
            </w:tcBorders>
            <w:shd w:val="clear" w:color="000000" w:fill="E6E6E6"/>
            <w:noWrap/>
            <w:vAlign w:val="bottom"/>
            <w:hideMark/>
          </w:tcPr>
          <w:p w14:paraId="73C95CD8" w14:textId="7D693FF1" w:rsidR="006C211B" w:rsidRPr="006C211B" w:rsidRDefault="006C211B" w:rsidP="006C211B">
            <w:pPr>
              <w:spacing w:after="0" w:line="240" w:lineRule="auto"/>
              <w:jc w:val="right"/>
              <w:rPr>
                <w:rFonts w:ascii="Arial" w:hAnsi="Arial" w:cs="Arial"/>
                <w:b/>
                <w:bCs/>
                <w:sz w:val="16"/>
                <w:szCs w:val="16"/>
              </w:rPr>
            </w:pPr>
            <w:r>
              <w:rPr>
                <w:rFonts w:ascii="Arial" w:hAnsi="Arial" w:cs="Arial"/>
                <w:b/>
                <w:bCs/>
                <w:sz w:val="16"/>
                <w:szCs w:val="16"/>
              </w:rPr>
              <w:t xml:space="preserve">2,955,832 </w:t>
            </w:r>
          </w:p>
        </w:tc>
        <w:tc>
          <w:tcPr>
            <w:tcW w:w="568" w:type="pct"/>
            <w:tcBorders>
              <w:top w:val="nil"/>
              <w:left w:val="nil"/>
              <w:bottom w:val="single" w:sz="4" w:space="0" w:color="auto"/>
              <w:right w:val="nil"/>
            </w:tcBorders>
            <w:shd w:val="clear" w:color="auto" w:fill="auto"/>
            <w:noWrap/>
            <w:vAlign w:val="bottom"/>
            <w:hideMark/>
          </w:tcPr>
          <w:p w14:paraId="0EFBAFC6" w14:textId="4D3F43CC" w:rsidR="006C211B" w:rsidRPr="006C211B" w:rsidRDefault="006C211B" w:rsidP="006C211B">
            <w:pPr>
              <w:spacing w:after="0" w:line="240" w:lineRule="auto"/>
              <w:jc w:val="right"/>
              <w:rPr>
                <w:rFonts w:ascii="Arial" w:hAnsi="Arial" w:cs="Arial"/>
                <w:b/>
                <w:bCs/>
                <w:sz w:val="16"/>
                <w:szCs w:val="16"/>
              </w:rPr>
            </w:pPr>
            <w:r>
              <w:rPr>
                <w:rFonts w:ascii="Arial" w:hAnsi="Arial" w:cs="Arial"/>
                <w:b/>
                <w:bCs/>
                <w:sz w:val="16"/>
                <w:szCs w:val="16"/>
              </w:rPr>
              <w:t xml:space="preserve">4,141,164 </w:t>
            </w:r>
          </w:p>
        </w:tc>
        <w:tc>
          <w:tcPr>
            <w:tcW w:w="568" w:type="pct"/>
            <w:tcBorders>
              <w:top w:val="nil"/>
              <w:left w:val="nil"/>
              <w:bottom w:val="single" w:sz="4" w:space="0" w:color="auto"/>
              <w:right w:val="nil"/>
            </w:tcBorders>
            <w:shd w:val="clear" w:color="000000" w:fill="E6E6E6"/>
            <w:noWrap/>
            <w:vAlign w:val="bottom"/>
            <w:hideMark/>
          </w:tcPr>
          <w:p w14:paraId="68930895" w14:textId="4425FD21" w:rsidR="006C211B" w:rsidRPr="006C211B" w:rsidRDefault="006C211B" w:rsidP="006C211B">
            <w:pPr>
              <w:spacing w:after="0" w:line="240" w:lineRule="auto"/>
              <w:jc w:val="right"/>
              <w:rPr>
                <w:rFonts w:ascii="Arial" w:hAnsi="Arial" w:cs="Arial"/>
                <w:b/>
                <w:bCs/>
                <w:sz w:val="16"/>
                <w:szCs w:val="16"/>
              </w:rPr>
            </w:pPr>
            <w:r>
              <w:rPr>
                <w:rFonts w:ascii="Arial" w:hAnsi="Arial" w:cs="Arial"/>
                <w:b/>
                <w:bCs/>
                <w:sz w:val="16"/>
                <w:szCs w:val="16"/>
              </w:rPr>
              <w:t xml:space="preserve">4,572,920 </w:t>
            </w:r>
          </w:p>
        </w:tc>
      </w:tr>
    </w:tbl>
    <w:p w14:paraId="5DB9A35A" w14:textId="6838CD66" w:rsidR="0049392C" w:rsidRPr="006C211B" w:rsidRDefault="0071548B" w:rsidP="006C211B">
      <w:pPr>
        <w:pStyle w:val="ChartandTableFootnote"/>
      </w:pPr>
      <w:r w:rsidRPr="0071548B">
        <w:t>Prepared on a Government Finance Statistics (Underlying Cash) basis. Figures displayed as a negative (</w:t>
      </w:r>
      <w:r w:rsidR="00B33758">
        <w:noBreakHyphen/>
      </w:r>
      <w:r w:rsidRPr="0071548B">
        <w:t>) represent a decrease in funds and a positive (+) represent an increase in funds.</w:t>
      </w:r>
    </w:p>
    <w:p w14:paraId="0CBB1133" w14:textId="6A620D9F" w:rsidR="006C211B" w:rsidRDefault="006C211B" w:rsidP="006C211B">
      <w:pPr>
        <w:pStyle w:val="ChartandTableFootnoteAlpha"/>
        <w:numPr>
          <w:ilvl w:val="0"/>
          <w:numId w:val="27"/>
        </w:numPr>
      </w:pPr>
      <w:r w:rsidRPr="006C211B">
        <w:t>The financial implications for this measure exclude amounts previously disclosed in the 2021</w:t>
      </w:r>
      <w:r w:rsidR="00B33758">
        <w:noBreakHyphen/>
      </w:r>
      <w:r w:rsidRPr="006C211B">
        <w:t>22 Portfolio Additional Estimates Statements.</w:t>
      </w:r>
    </w:p>
    <w:p w14:paraId="7F8F7AF6" w14:textId="0863607B" w:rsidR="006C211B" w:rsidRPr="006C211B" w:rsidRDefault="006C211B" w:rsidP="006C211B">
      <w:pPr>
        <w:pStyle w:val="ChartandTableFootnoteAlpha"/>
      </w:pPr>
      <w:r w:rsidRPr="006C211B">
        <w:t xml:space="preserve">The financial implications for this measure include amounts </w:t>
      </w:r>
      <w:r w:rsidR="009B0C25">
        <w:t xml:space="preserve">previously </w:t>
      </w:r>
      <w:r w:rsidRPr="006C211B">
        <w:t>provisioned in the Contingency Reserve in the 2021</w:t>
      </w:r>
      <w:r w:rsidR="00B33758">
        <w:noBreakHyphen/>
      </w:r>
      <w:r w:rsidRPr="006C211B">
        <w:t>22 MYEFO or earlier Budget updates.</w:t>
      </w:r>
    </w:p>
    <w:p w14:paraId="3E6D1A5D" w14:textId="6A394C15" w:rsidR="006C211B" w:rsidRPr="006C211B" w:rsidRDefault="006C211B" w:rsidP="006C211B">
      <w:pPr>
        <w:pStyle w:val="ChartandTableFootnoteAlpha"/>
      </w:pPr>
      <w:r w:rsidRPr="006C211B">
        <w:t>The financial implications for this measure are not for publication (</w:t>
      </w:r>
      <w:proofErr w:type="spellStart"/>
      <w:r w:rsidRPr="006C211B">
        <w:t>nfp</w:t>
      </w:r>
      <w:proofErr w:type="spellEnd"/>
      <w:r w:rsidRPr="006C211B">
        <w:t>) due to commercial sensitivities.</w:t>
      </w:r>
    </w:p>
    <w:p w14:paraId="24F32C03" w14:textId="02746BAF" w:rsidR="0071548B" w:rsidRPr="00732618" w:rsidRDefault="006C211B" w:rsidP="00732618">
      <w:pPr>
        <w:pStyle w:val="ChartandTableFootnoteAlpha"/>
      </w:pPr>
      <w:r w:rsidRPr="006C211B">
        <w:t>The financial implications for this measure are not for publication (</w:t>
      </w:r>
      <w:proofErr w:type="spellStart"/>
      <w:r w:rsidRPr="006C211B">
        <w:t>nfp</w:t>
      </w:r>
      <w:proofErr w:type="spellEnd"/>
      <w:r w:rsidRPr="006C211B">
        <w:t>) due to international negotiations.</w:t>
      </w:r>
    </w:p>
    <w:p w14:paraId="4C1F59FE" w14:textId="00743E20" w:rsidR="00BE7D58" w:rsidRPr="00810C6A" w:rsidRDefault="00BE7D58" w:rsidP="00810C6A">
      <w:pPr>
        <w:pStyle w:val="Heading2"/>
      </w:pPr>
      <w:bookmarkStart w:id="21" w:name="_Toc444523512"/>
      <w:bookmarkStart w:id="22" w:name="_Toc98941813"/>
      <w:bookmarkStart w:id="23" w:name="_Toc190682312"/>
      <w:bookmarkStart w:id="24" w:name="_Toc190682530"/>
      <w:r w:rsidRPr="00810C6A">
        <w:lastRenderedPageBreak/>
        <w:t xml:space="preserve">Section 2: Outcomes and </w:t>
      </w:r>
      <w:r w:rsidR="00CD3382" w:rsidRPr="00810C6A">
        <w:t>p</w:t>
      </w:r>
      <w:r w:rsidR="0069466B" w:rsidRPr="00810C6A">
        <w:t>lanned</w:t>
      </w:r>
      <w:r w:rsidRPr="00810C6A">
        <w:t xml:space="preserve"> performance</w:t>
      </w:r>
      <w:bookmarkEnd w:id="21"/>
      <w:bookmarkEnd w:id="22"/>
    </w:p>
    <w:p w14:paraId="69CC4627"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5CAC410D" w14:textId="64D50EDF" w:rsidR="00A61BD0" w:rsidRDefault="00BE7D58" w:rsidP="00BE7D58">
      <w:pPr>
        <w:rPr>
          <w:i/>
          <w:color w:val="FF0000"/>
        </w:rPr>
      </w:pPr>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32F04EA9" w14:textId="77777777" w:rsidTr="009763C1">
        <w:tc>
          <w:tcPr>
            <w:tcW w:w="7700" w:type="dxa"/>
          </w:tcPr>
          <w:p w14:paraId="5748655D" w14:textId="77777777" w:rsidR="00CE4D05" w:rsidRPr="006906E4" w:rsidRDefault="00CE4D05" w:rsidP="009763C1">
            <w:pPr>
              <w:spacing w:before="120" w:after="120" w:line="240" w:lineRule="auto"/>
              <w:rPr>
                <w:b/>
              </w:rPr>
            </w:pPr>
            <w:r w:rsidRPr="006906E4">
              <w:rPr>
                <w:b/>
              </w:rPr>
              <w:t>Note:</w:t>
            </w:r>
          </w:p>
          <w:p w14:paraId="0F65923B" w14:textId="3E065359" w:rsidR="00CE4D05" w:rsidRDefault="00CE4D05" w:rsidP="009546F4">
            <w:pPr>
              <w:pStyle w:val="BoxText"/>
            </w:pPr>
            <w:r>
              <w:t xml:space="preserve">Performance reporting requirements in the Portfolio Budget Statements are part of the Commonwealth performance framework established by the </w:t>
            </w:r>
            <w:r w:rsidRPr="00801EF6">
              <w:rPr>
                <w:i/>
              </w:rPr>
              <w:t>Public Governance, Performance and Accountability Act 2013</w:t>
            </w:r>
            <w:r>
              <w:t xml:space="preserve">. It is anticipated that the performance </w:t>
            </w:r>
            <w:r w:rsidR="001A50DE">
              <w:t xml:space="preserve">measure </w:t>
            </w:r>
            <w:r>
              <w:t>described in Portfolio Budget Statements will be read with broader information provided in an entity</w:t>
            </w:r>
            <w:r w:rsidR="00B33758">
              <w:t>’</w:t>
            </w:r>
            <w:r>
              <w:t xml:space="preserve">s corporate plans and annual performance statements – included in Annual Reports </w:t>
            </w:r>
            <w:r w:rsidR="003532AB">
              <w:t>–</w:t>
            </w:r>
            <w:r>
              <w:t xml:space="preserve"> to provide a complete picture of an entity</w:t>
            </w:r>
            <w:r w:rsidR="00B33758">
              <w:t>’</w:t>
            </w:r>
            <w:r>
              <w:t>s planned and actual performance.</w:t>
            </w:r>
          </w:p>
          <w:p w14:paraId="0BBC509A" w14:textId="28D8EA9E" w:rsidR="00CE4D05" w:rsidRDefault="00CE4D05" w:rsidP="009546F4">
            <w:pPr>
              <w:pStyle w:val="BoxText"/>
            </w:pPr>
            <w:r>
              <w:t xml:space="preserve">The most recent corporate plan for </w:t>
            </w:r>
            <w:r w:rsidR="007F48CD">
              <w:t>Treasury</w:t>
            </w:r>
            <w:r>
              <w:t xml:space="preserve"> can be found at: </w:t>
            </w:r>
            <w:r w:rsidR="009516EB">
              <w:t>(</w:t>
            </w:r>
            <w:r w:rsidR="00542307" w:rsidRPr="009516EB">
              <w:t>https://corporate</w:t>
            </w:r>
            <w:r w:rsidR="00B33758">
              <w:noBreakHyphen/>
            </w:r>
            <w:r w:rsidR="00542307" w:rsidRPr="009516EB">
              <w:t>plan.treasury.gov.au</w:t>
            </w:r>
            <w:r w:rsidRPr="009516EB">
              <w:t>).</w:t>
            </w:r>
          </w:p>
          <w:p w14:paraId="526CCC8E" w14:textId="1EAC57B8" w:rsidR="00CE4D05" w:rsidRDefault="00CE4D05" w:rsidP="009546F4">
            <w:pPr>
              <w:pStyle w:val="BoxText"/>
            </w:pPr>
            <w:r>
              <w:t xml:space="preserve">The most recent annual performance statement can be found at: </w:t>
            </w:r>
            <w:r w:rsidR="009516EB">
              <w:t>(</w:t>
            </w:r>
            <w:r w:rsidR="00542307" w:rsidRPr="009516EB">
              <w:t>https://treasury.gov.au/publication</w:t>
            </w:r>
            <w:r w:rsidR="009516EB">
              <w:t>)</w:t>
            </w:r>
          </w:p>
        </w:tc>
      </w:tr>
    </w:tbl>
    <w:p w14:paraId="48067286" w14:textId="77777777" w:rsidR="00810C6A" w:rsidRDefault="00810C6A" w:rsidP="00BE7D58">
      <w:pPr>
        <w:rPr>
          <w:highlight w:val="yellow"/>
        </w:rPr>
      </w:pPr>
    </w:p>
    <w:p w14:paraId="6AA13B28" w14:textId="77777777" w:rsidR="00950281" w:rsidRDefault="00950281" w:rsidP="003876AB">
      <w:pPr>
        <w:pStyle w:val="Heading3"/>
        <w:sectPr w:rsidR="00950281" w:rsidSect="00F55AEE">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2835" w:right="2098" w:bottom="2466" w:left="2098" w:header="1814" w:footer="1814" w:gutter="0"/>
          <w:pgNumType w:start="9"/>
          <w:cols w:space="708"/>
          <w:titlePg/>
          <w:docGrid w:linePitch="360"/>
        </w:sectPr>
      </w:pPr>
    </w:p>
    <w:p w14:paraId="46676172" w14:textId="098DA1EF" w:rsidR="003876AB" w:rsidRPr="00F743D8" w:rsidRDefault="008462FB" w:rsidP="003876AB">
      <w:pPr>
        <w:pStyle w:val="Heading3"/>
      </w:pPr>
      <w:bookmarkStart w:id="28" w:name="_Toc444523513"/>
      <w:bookmarkStart w:id="29" w:name="_Toc98941814"/>
      <w:bookmarkStart w:id="30" w:name="_Hlk97566176"/>
      <w:r>
        <w:lastRenderedPageBreak/>
        <w:t>2.1</w:t>
      </w:r>
      <w:r w:rsidR="003876AB" w:rsidRPr="00F743D8">
        <w:t xml:space="preserve"> </w:t>
      </w:r>
      <w:r w:rsidR="003876AB" w:rsidRPr="00F743D8">
        <w:tab/>
        <w:t xml:space="preserve">Budgeted expenses and performance for Outcome </w:t>
      </w:r>
      <w:bookmarkEnd w:id="28"/>
      <w:r w:rsidR="00542307">
        <w:t>1</w:t>
      </w:r>
      <w:bookmarkEnd w:id="2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488910AF" w14:textId="77777777" w:rsidTr="00542307">
        <w:tc>
          <w:tcPr>
            <w:tcW w:w="7704" w:type="dxa"/>
            <w:shd w:val="clear" w:color="auto" w:fill="E6E6E6"/>
          </w:tcPr>
          <w:p w14:paraId="6F3E6A83" w14:textId="1F5FE267" w:rsidR="00BE7D58" w:rsidRPr="005E6F2B" w:rsidRDefault="00AE4A3C" w:rsidP="009516EB">
            <w:pPr>
              <w:pStyle w:val="BoxHeading"/>
            </w:pPr>
            <w:r w:rsidRPr="008847C7">
              <w:t>Outcome 1: Supporting and implementing informed decisions on policies for the good of the Australian people, including for achieving strong, sustainable economic growth, through the provision of advice to Treasury Ministers and the efficient administration of Treasury</w:t>
            </w:r>
            <w:r w:rsidR="00B33758">
              <w:t>’</w:t>
            </w:r>
            <w:r w:rsidRPr="008847C7">
              <w:t>s functions.</w:t>
            </w:r>
          </w:p>
        </w:tc>
      </w:tr>
    </w:tbl>
    <w:p w14:paraId="4D51F565" w14:textId="77777777" w:rsidR="00451501" w:rsidRPr="005E6F2B" w:rsidRDefault="00451501" w:rsidP="00350F81">
      <w:pPr>
        <w:pStyle w:val="SingleParagraph"/>
      </w:pPr>
    </w:p>
    <w:p w14:paraId="5C400C24" w14:textId="742F2E0C" w:rsidR="00F743D8" w:rsidRPr="005E6F2B" w:rsidRDefault="00F743D8" w:rsidP="00810C6A">
      <w:pPr>
        <w:pStyle w:val="Heading4"/>
      </w:pPr>
      <w:r w:rsidRPr="005E6F2B">
        <w:t>Linked programs</w:t>
      </w:r>
      <w:r w:rsidR="005E54A3" w:rsidRPr="005E6F2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tblGrid>
      <w:tr w:rsidR="00AE4A3C" w:rsidRPr="002D608D" w14:paraId="50D1E550" w14:textId="77777777" w:rsidTr="00B11CF6">
        <w:trPr>
          <w:trHeight w:val="113"/>
        </w:trPr>
        <w:tc>
          <w:tcPr>
            <w:tcW w:w="7701" w:type="dxa"/>
          </w:tcPr>
          <w:p w14:paraId="77DED6A3" w14:textId="77777777" w:rsidR="00AE4A3C" w:rsidRPr="009516EB" w:rsidRDefault="00AE4A3C" w:rsidP="00A43E85">
            <w:pPr>
              <w:pStyle w:val="BoxHeading"/>
              <w:rPr>
                <w:rStyle w:val="ExampletextCharChar"/>
                <w:rFonts w:ascii="Arial" w:hAnsi="Arial"/>
                <w:i w:val="0"/>
                <w:color w:val="auto"/>
                <w:lang w:val="en-AU" w:eastAsia="en-AU"/>
              </w:rPr>
            </w:pPr>
            <w:r w:rsidRPr="009516EB">
              <w:rPr>
                <w:rStyle w:val="ExampletextCharChar"/>
                <w:rFonts w:ascii="Arial" w:hAnsi="Arial"/>
                <w:i w:val="0"/>
                <w:color w:val="auto"/>
                <w:lang w:val="en-AU" w:eastAsia="en-AU"/>
              </w:rPr>
              <w:t xml:space="preserve">Contribution made by Outcome 1 </w:t>
            </w:r>
          </w:p>
          <w:p w14:paraId="3ADD2499" w14:textId="045DEEE8" w:rsidR="00AE4A3C" w:rsidRPr="002D608D" w:rsidRDefault="00AE4A3C" w:rsidP="00D75368">
            <w:pPr>
              <w:pStyle w:val="BoxHeading"/>
              <w:jc w:val="both"/>
              <w:rPr>
                <w:rStyle w:val="ExampletextCharChar"/>
                <w:b w:val="0"/>
                <w:i w:val="0"/>
                <w:highlight w:val="yellow"/>
              </w:rPr>
            </w:pPr>
            <w:r w:rsidRPr="00AA258F">
              <w:t xml:space="preserve">Treasury Outcome 1 contributes to the following programs by making </w:t>
            </w:r>
            <w:r w:rsidR="00D75368">
              <w:t>p</w:t>
            </w:r>
            <w:r w:rsidRPr="00AA258F">
              <w:t>ayments to the states and territories under National Partnership agreements, National Specific Purpose Payments (SPP) and bilateral agreements that support the delivery of the programs.</w:t>
            </w:r>
          </w:p>
        </w:tc>
      </w:tr>
      <w:tr w:rsidR="00AE4A3C" w:rsidRPr="00AA258F" w14:paraId="677B2A3C" w14:textId="77777777" w:rsidTr="00B11CF6">
        <w:trPr>
          <w:trHeight w:val="113"/>
        </w:trPr>
        <w:tc>
          <w:tcPr>
            <w:tcW w:w="7701" w:type="dxa"/>
          </w:tcPr>
          <w:p w14:paraId="1F56FED6" w14:textId="2F9540D3" w:rsidR="00AE4A3C" w:rsidRPr="00AA258F" w:rsidRDefault="00AE4A3C" w:rsidP="009516EB">
            <w:pPr>
              <w:pStyle w:val="BoxHeading"/>
              <w:rPr>
                <w:rStyle w:val="ExampletextCharChar"/>
                <w:b w:val="0"/>
                <w:i w:val="0"/>
              </w:rPr>
            </w:pPr>
            <w:r w:rsidRPr="00AA258F">
              <w:t>Attorney</w:t>
            </w:r>
            <w:r w:rsidR="00B33758">
              <w:noBreakHyphen/>
            </w:r>
            <w:r w:rsidRPr="00AA258F">
              <w:t>General</w:t>
            </w:r>
            <w:r w:rsidR="00B33758">
              <w:t>’</w:t>
            </w:r>
            <w:r w:rsidRPr="00AA258F">
              <w:t>s Department</w:t>
            </w:r>
          </w:p>
        </w:tc>
      </w:tr>
      <w:tr w:rsidR="00AE4A3C" w:rsidRPr="00AA258F" w14:paraId="30E9E7B7" w14:textId="77777777" w:rsidTr="00B11CF6">
        <w:trPr>
          <w:trHeight w:val="113"/>
        </w:trPr>
        <w:tc>
          <w:tcPr>
            <w:tcW w:w="7701" w:type="dxa"/>
          </w:tcPr>
          <w:p w14:paraId="7B103F79" w14:textId="49F5A066" w:rsidR="00AE4A3C" w:rsidRPr="00AA258F" w:rsidRDefault="00AE4A3C" w:rsidP="009516EB">
            <w:pPr>
              <w:pStyle w:val="BoxHeadinglevel2"/>
            </w:pPr>
            <w:r w:rsidRPr="00AA258F">
              <w:t>Program</w:t>
            </w:r>
          </w:p>
          <w:p w14:paraId="395FF294" w14:textId="77777777" w:rsidR="00AE4A3C" w:rsidRPr="00AA258F" w:rsidRDefault="00AE4A3C" w:rsidP="004751E1">
            <w:pPr>
              <w:pStyle w:val="TableTextBullet"/>
            </w:pPr>
            <w:r w:rsidRPr="00AA258F">
              <w:t>Program 1.4 – Justice Services</w:t>
            </w:r>
          </w:p>
        </w:tc>
      </w:tr>
      <w:tr w:rsidR="00AE4A3C" w:rsidRPr="00AA258F" w14:paraId="62391501" w14:textId="77777777" w:rsidTr="00B11CF6">
        <w:trPr>
          <w:trHeight w:val="113"/>
        </w:trPr>
        <w:tc>
          <w:tcPr>
            <w:tcW w:w="7701" w:type="dxa"/>
          </w:tcPr>
          <w:p w14:paraId="186B2A0E" w14:textId="77777777" w:rsidR="00AE4A3C" w:rsidRPr="00AA258F" w:rsidRDefault="00AE4A3C" w:rsidP="009516EB">
            <w:pPr>
              <w:pStyle w:val="BoxHeading"/>
            </w:pPr>
            <w:r>
              <w:t>Australian Trade and Investment Commission</w:t>
            </w:r>
          </w:p>
        </w:tc>
      </w:tr>
      <w:tr w:rsidR="00AE4A3C" w:rsidRPr="00091608" w14:paraId="30FDF5DA" w14:textId="77777777" w:rsidTr="00B11CF6">
        <w:trPr>
          <w:trHeight w:val="113"/>
        </w:trPr>
        <w:tc>
          <w:tcPr>
            <w:tcW w:w="7701" w:type="dxa"/>
            <w:vAlign w:val="bottom"/>
          </w:tcPr>
          <w:p w14:paraId="42E7B0DD" w14:textId="77777777" w:rsidR="00AE4A3C" w:rsidRPr="00091608" w:rsidRDefault="00AE4A3C" w:rsidP="009516EB">
            <w:pPr>
              <w:pStyle w:val="BoxHeadinglevel2"/>
            </w:pPr>
            <w:r w:rsidRPr="00091608">
              <w:t>Program</w:t>
            </w:r>
          </w:p>
          <w:p w14:paraId="4D78DE88" w14:textId="5F10DC42" w:rsidR="00AE4A3C" w:rsidRPr="00091608" w:rsidRDefault="00AE4A3C" w:rsidP="001C7A6A">
            <w:pPr>
              <w:pStyle w:val="TableTextBullet"/>
              <w:rPr>
                <w:b/>
              </w:rPr>
            </w:pPr>
            <w:r w:rsidRPr="00091608">
              <w:t>Program 1.2 – Programs to promote Australia</w:t>
            </w:r>
            <w:r w:rsidR="00B33758">
              <w:t>’</w:t>
            </w:r>
            <w:r w:rsidRPr="00091608">
              <w:t>s export and other international economic interests</w:t>
            </w:r>
          </w:p>
        </w:tc>
      </w:tr>
      <w:tr w:rsidR="00AE4A3C" w:rsidRPr="00AA258F" w14:paraId="12E92AA2" w14:textId="77777777" w:rsidTr="00B11CF6">
        <w:trPr>
          <w:trHeight w:val="113"/>
        </w:trPr>
        <w:tc>
          <w:tcPr>
            <w:tcW w:w="7701" w:type="dxa"/>
            <w:tcBorders>
              <w:bottom w:val="single" w:sz="4" w:space="0" w:color="auto"/>
            </w:tcBorders>
          </w:tcPr>
          <w:p w14:paraId="1AED0BC4" w14:textId="77777777" w:rsidR="00AE4A3C" w:rsidRPr="00AA258F" w:rsidRDefault="00AE4A3C" w:rsidP="009516EB">
            <w:pPr>
              <w:pStyle w:val="BoxHeading"/>
            </w:pPr>
            <w:r w:rsidRPr="00AA258F">
              <w:t>Department of Agriculture, Water and the Environment</w:t>
            </w:r>
          </w:p>
        </w:tc>
      </w:tr>
      <w:tr w:rsidR="00AE4A3C" w:rsidRPr="00AA258F" w14:paraId="391E7C40" w14:textId="77777777" w:rsidTr="00B11CF6">
        <w:trPr>
          <w:trHeight w:val="113"/>
        </w:trPr>
        <w:tc>
          <w:tcPr>
            <w:tcW w:w="7701" w:type="dxa"/>
            <w:tcBorders>
              <w:bottom w:val="single" w:sz="4" w:space="0" w:color="auto"/>
            </w:tcBorders>
          </w:tcPr>
          <w:p w14:paraId="161546D2" w14:textId="77777777" w:rsidR="00AE4A3C" w:rsidRPr="00AA258F" w:rsidRDefault="00AE4A3C" w:rsidP="009516EB">
            <w:pPr>
              <w:pStyle w:val="BoxHeadinglevel2"/>
            </w:pPr>
            <w:r w:rsidRPr="00AA258F">
              <w:t>Programs</w:t>
            </w:r>
          </w:p>
          <w:p w14:paraId="494AA215" w14:textId="0F613C5C" w:rsidR="00AE4A3C" w:rsidRPr="00AA258F" w:rsidRDefault="00AE4A3C" w:rsidP="001C7A6A">
            <w:pPr>
              <w:pStyle w:val="TableTextBullet"/>
            </w:pPr>
            <w:r w:rsidRPr="00AA258F">
              <w:t xml:space="preserve">Program 1.1 – Sustainable Management </w:t>
            </w:r>
            <w:r w:rsidR="003532AB">
              <w:t>–</w:t>
            </w:r>
            <w:r w:rsidRPr="00AA258F">
              <w:t xml:space="preserve"> Natural Resources and Environment</w:t>
            </w:r>
          </w:p>
          <w:p w14:paraId="4F38D785" w14:textId="0CE08BB4" w:rsidR="00AE4A3C" w:rsidRPr="00AA258F" w:rsidRDefault="00AE4A3C" w:rsidP="001C7A6A">
            <w:pPr>
              <w:pStyle w:val="TableTextBullet"/>
            </w:pPr>
            <w:r w:rsidRPr="00AA258F">
              <w:t>Program 1.4 – Conservation of Australia</w:t>
            </w:r>
            <w:r w:rsidR="00B33758">
              <w:t>’</w:t>
            </w:r>
            <w:r w:rsidRPr="00AA258F">
              <w:t>s Heritage and Environment</w:t>
            </w:r>
          </w:p>
          <w:p w14:paraId="52B0E5A1" w14:textId="77777777" w:rsidR="00AE4A3C" w:rsidRPr="00AA258F" w:rsidRDefault="00AE4A3C" w:rsidP="001C7A6A">
            <w:pPr>
              <w:pStyle w:val="TableTextBullet"/>
            </w:pPr>
            <w:r w:rsidRPr="00AA258F">
              <w:t>Program 1.5 – Environmental Regulation</w:t>
            </w:r>
          </w:p>
          <w:p w14:paraId="676622EF" w14:textId="77777777" w:rsidR="00AE4A3C" w:rsidRPr="00AA258F" w:rsidRDefault="00AE4A3C" w:rsidP="001C7A6A">
            <w:pPr>
              <w:pStyle w:val="TableTextBullet"/>
            </w:pPr>
            <w:r w:rsidRPr="00AA258F">
              <w:t xml:space="preserve">Program 1.6 – Management </w:t>
            </w:r>
            <w:r>
              <w:t>o</w:t>
            </w:r>
            <w:r w:rsidRPr="00AA258F">
              <w:t xml:space="preserve">f Hazardous Wastes, Substances </w:t>
            </w:r>
            <w:r>
              <w:t>a</w:t>
            </w:r>
            <w:r w:rsidRPr="00AA258F">
              <w:t>nd Pollutants</w:t>
            </w:r>
          </w:p>
          <w:p w14:paraId="545715AC" w14:textId="77777777" w:rsidR="00AE4A3C" w:rsidRPr="00AA258F" w:rsidRDefault="00AE4A3C" w:rsidP="001C7A6A">
            <w:pPr>
              <w:pStyle w:val="TableTextBullet"/>
            </w:pPr>
            <w:r w:rsidRPr="00AA258F">
              <w:t>Program 3.2 – Sustainable Management – Natural Resources</w:t>
            </w:r>
          </w:p>
          <w:p w14:paraId="2BE74213" w14:textId="77777777" w:rsidR="00AE4A3C" w:rsidRPr="00AA258F" w:rsidRDefault="00AE4A3C" w:rsidP="001C7A6A">
            <w:pPr>
              <w:pStyle w:val="TableTextBullet"/>
            </w:pPr>
            <w:r w:rsidRPr="00AA258F">
              <w:t>Program 3.3 – Forestry Industry</w:t>
            </w:r>
          </w:p>
          <w:p w14:paraId="0D756192" w14:textId="77777777" w:rsidR="006E4451" w:rsidRDefault="00AE4A3C" w:rsidP="006E4451">
            <w:pPr>
              <w:pStyle w:val="TableTextBullet"/>
              <w:rPr>
                <w:bCs/>
              </w:rPr>
            </w:pPr>
            <w:r w:rsidRPr="00AA258F">
              <w:t>Program 3.4 – Fishing Industry</w:t>
            </w:r>
            <w:r w:rsidR="006E4451" w:rsidRPr="006E4451">
              <w:rPr>
                <w:bCs/>
              </w:rPr>
              <w:t xml:space="preserve"> </w:t>
            </w:r>
          </w:p>
          <w:p w14:paraId="459207E8" w14:textId="0FCB8336" w:rsidR="006E4451" w:rsidRPr="006E4451" w:rsidRDefault="006E4451" w:rsidP="006E4451">
            <w:pPr>
              <w:pStyle w:val="TableTextBullet"/>
              <w:rPr>
                <w:bCs/>
              </w:rPr>
            </w:pPr>
            <w:r w:rsidRPr="006E4451">
              <w:rPr>
                <w:bCs/>
              </w:rPr>
              <w:t>Program 3.10 – Agricultural Resource</w:t>
            </w:r>
          </w:p>
          <w:p w14:paraId="0E462F7E" w14:textId="77777777" w:rsidR="006E4451" w:rsidRPr="006E4451" w:rsidRDefault="006E4451" w:rsidP="006E4451">
            <w:pPr>
              <w:pStyle w:val="TableTextBullet"/>
              <w:rPr>
                <w:bCs/>
              </w:rPr>
            </w:pPr>
            <w:r w:rsidRPr="006E4451">
              <w:rPr>
                <w:bCs/>
              </w:rPr>
              <w:t>Program 3.11 – Drought Programs</w:t>
            </w:r>
          </w:p>
          <w:p w14:paraId="3598B0F1" w14:textId="77777777" w:rsidR="006E4451" w:rsidRPr="006E4451" w:rsidRDefault="006E4451" w:rsidP="006E4451">
            <w:pPr>
              <w:pStyle w:val="TableTextBullet"/>
              <w:rPr>
                <w:bCs/>
              </w:rPr>
            </w:pPr>
            <w:r w:rsidRPr="006E4451">
              <w:rPr>
                <w:bCs/>
              </w:rPr>
              <w:t>Program 4.1 – Biosecurity and Export Services</w:t>
            </w:r>
          </w:p>
          <w:p w14:paraId="3DC8E1EC" w14:textId="77777777" w:rsidR="006E4451" w:rsidRPr="006E4451" w:rsidRDefault="006E4451" w:rsidP="006E4451">
            <w:pPr>
              <w:pStyle w:val="TableTextBullet"/>
              <w:rPr>
                <w:bCs/>
              </w:rPr>
            </w:pPr>
            <w:r w:rsidRPr="006E4451">
              <w:rPr>
                <w:bCs/>
              </w:rPr>
              <w:t>Program 4.2 – Plant and Animal Health</w:t>
            </w:r>
          </w:p>
          <w:p w14:paraId="344E40F3" w14:textId="5E8FE270" w:rsidR="00AE4A3C" w:rsidRPr="00AA258F" w:rsidRDefault="006E4451" w:rsidP="006E4451">
            <w:pPr>
              <w:pStyle w:val="TableTextBullet"/>
            </w:pPr>
            <w:r w:rsidRPr="006E4451">
              <w:rPr>
                <w:bCs/>
              </w:rPr>
              <w:t>Program 5.1 – Water Reform</w:t>
            </w:r>
          </w:p>
        </w:tc>
      </w:tr>
    </w:tbl>
    <w:p w14:paraId="5CAA463B" w14:textId="77777777" w:rsidR="00C819F0" w:rsidRDefault="00C819F0">
      <w:r>
        <w:br w:type="page"/>
      </w:r>
    </w:p>
    <w:tbl>
      <w:tblPr>
        <w:tblW w:w="7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tblGrid>
      <w:tr w:rsidR="00AE4A3C" w:rsidRPr="00AA258F" w14:paraId="11507380" w14:textId="77777777" w:rsidTr="00AE4A3C">
        <w:trPr>
          <w:trHeight w:val="113"/>
        </w:trPr>
        <w:tc>
          <w:tcPr>
            <w:tcW w:w="7701" w:type="dxa"/>
            <w:tcBorders>
              <w:top w:val="single" w:sz="4" w:space="0" w:color="auto"/>
            </w:tcBorders>
          </w:tcPr>
          <w:p w14:paraId="6D19C967" w14:textId="77777777" w:rsidR="00AE4A3C" w:rsidRPr="00AA258F" w:rsidRDefault="00AE4A3C" w:rsidP="009516EB">
            <w:pPr>
              <w:pStyle w:val="BoxHeading"/>
            </w:pPr>
            <w:r w:rsidRPr="00AA258F">
              <w:lastRenderedPageBreak/>
              <w:t>Department of Defence</w:t>
            </w:r>
          </w:p>
        </w:tc>
      </w:tr>
      <w:tr w:rsidR="00AE4A3C" w:rsidRPr="00AA258F" w14:paraId="697007A9" w14:textId="77777777" w:rsidTr="00AE4A3C">
        <w:trPr>
          <w:trHeight w:val="113"/>
        </w:trPr>
        <w:tc>
          <w:tcPr>
            <w:tcW w:w="7701" w:type="dxa"/>
          </w:tcPr>
          <w:p w14:paraId="566BAB5F" w14:textId="77777777" w:rsidR="00AE4A3C" w:rsidRPr="00AA258F" w:rsidRDefault="00AE4A3C" w:rsidP="009516EB">
            <w:pPr>
              <w:pStyle w:val="BoxHeadinglevel2"/>
            </w:pPr>
            <w:r w:rsidRPr="00AA258F">
              <w:t>Program</w:t>
            </w:r>
          </w:p>
          <w:p w14:paraId="7B9A4C5A" w14:textId="77777777" w:rsidR="00AE4A3C" w:rsidRPr="00AA258F" w:rsidRDefault="00AE4A3C" w:rsidP="001C7A6A">
            <w:pPr>
              <w:pStyle w:val="TableTextBullet"/>
              <w:rPr>
                <w:b/>
              </w:rPr>
            </w:pPr>
            <w:r w:rsidRPr="00AA258F">
              <w:t>Program 2.1 – Strategic Policy and Intelligence</w:t>
            </w:r>
          </w:p>
        </w:tc>
      </w:tr>
      <w:tr w:rsidR="00AE4A3C" w:rsidRPr="00AA258F" w14:paraId="5F93A47A" w14:textId="77777777" w:rsidTr="00AE4A3C">
        <w:trPr>
          <w:trHeight w:val="113"/>
        </w:trPr>
        <w:tc>
          <w:tcPr>
            <w:tcW w:w="7701" w:type="dxa"/>
          </w:tcPr>
          <w:p w14:paraId="09E2DF0D" w14:textId="77777777" w:rsidR="00AE4A3C" w:rsidRPr="00AA258F" w:rsidRDefault="00AE4A3C" w:rsidP="009516EB">
            <w:pPr>
              <w:pStyle w:val="BoxHeading"/>
            </w:pPr>
            <w:r w:rsidRPr="00AA258F">
              <w:t>Department of Education, Skills and Employment</w:t>
            </w:r>
          </w:p>
        </w:tc>
      </w:tr>
      <w:tr w:rsidR="00AE4A3C" w:rsidRPr="00AA258F" w14:paraId="773FF629" w14:textId="77777777" w:rsidTr="00AE4A3C">
        <w:trPr>
          <w:trHeight w:val="113"/>
        </w:trPr>
        <w:tc>
          <w:tcPr>
            <w:tcW w:w="7701" w:type="dxa"/>
          </w:tcPr>
          <w:p w14:paraId="3E19C359" w14:textId="5AA1A218" w:rsidR="00AE4A3C" w:rsidRPr="00AA258F" w:rsidRDefault="00AE4A3C" w:rsidP="009516EB">
            <w:pPr>
              <w:pStyle w:val="BoxHeadinglevel2"/>
            </w:pPr>
            <w:r w:rsidRPr="00AA258F">
              <w:t>Program</w:t>
            </w:r>
          </w:p>
          <w:p w14:paraId="7D67FDCD" w14:textId="77777777" w:rsidR="00AE4A3C" w:rsidRPr="00AA258F" w:rsidRDefault="00AE4A3C" w:rsidP="001C7A6A">
            <w:pPr>
              <w:pStyle w:val="TableTextBullet"/>
            </w:pPr>
            <w:r w:rsidRPr="00AA258F">
              <w:t>Program 1.5 – Early Learning and Schools Support</w:t>
            </w:r>
          </w:p>
          <w:p w14:paraId="1980A4D3" w14:textId="77777777" w:rsidR="00AE4A3C" w:rsidRPr="00AA258F" w:rsidRDefault="00AE4A3C" w:rsidP="001C7A6A">
            <w:pPr>
              <w:pStyle w:val="TableTextBullet"/>
            </w:pPr>
            <w:r w:rsidRPr="00AA258F">
              <w:t>Program 3.1 – Building Skills and Capability</w:t>
            </w:r>
          </w:p>
        </w:tc>
      </w:tr>
      <w:tr w:rsidR="00AE4A3C" w:rsidRPr="00AA258F" w14:paraId="2A621E63" w14:textId="77777777" w:rsidTr="00AE4A3C">
        <w:trPr>
          <w:trHeight w:val="113"/>
        </w:trPr>
        <w:tc>
          <w:tcPr>
            <w:tcW w:w="7701" w:type="dxa"/>
          </w:tcPr>
          <w:p w14:paraId="6BD375FB" w14:textId="77777777" w:rsidR="00AE4A3C" w:rsidRPr="00AA258F" w:rsidRDefault="00AE4A3C" w:rsidP="009516EB">
            <w:pPr>
              <w:pStyle w:val="BoxHeading"/>
            </w:pPr>
            <w:r w:rsidRPr="00AA258F">
              <w:t>Department of Finance</w:t>
            </w:r>
          </w:p>
        </w:tc>
      </w:tr>
      <w:tr w:rsidR="00AE4A3C" w:rsidRPr="00AA258F" w14:paraId="6FB4956C" w14:textId="77777777" w:rsidTr="00AE4A3C">
        <w:trPr>
          <w:trHeight w:val="113"/>
        </w:trPr>
        <w:tc>
          <w:tcPr>
            <w:tcW w:w="7701" w:type="dxa"/>
          </w:tcPr>
          <w:p w14:paraId="11348DB7" w14:textId="77777777" w:rsidR="00AE4A3C" w:rsidRPr="00AA258F" w:rsidRDefault="00AE4A3C" w:rsidP="009516EB">
            <w:pPr>
              <w:pStyle w:val="BoxHeadinglevel2"/>
            </w:pPr>
            <w:r w:rsidRPr="00AA258F">
              <w:t>Program</w:t>
            </w:r>
          </w:p>
          <w:p w14:paraId="282D5F7A" w14:textId="77777777" w:rsidR="00AE4A3C" w:rsidRPr="00AA258F" w:rsidRDefault="00AE4A3C" w:rsidP="001C7A6A">
            <w:pPr>
              <w:pStyle w:val="TableTextBullet"/>
              <w:rPr>
                <w:b/>
              </w:rPr>
            </w:pPr>
            <w:r w:rsidRPr="00AA258F">
              <w:t>Program 2.4 – Insurance and Risk Management</w:t>
            </w:r>
          </w:p>
        </w:tc>
      </w:tr>
      <w:tr w:rsidR="00AE4A3C" w:rsidRPr="00AA258F" w14:paraId="796DA206" w14:textId="77777777" w:rsidTr="00AE4A3C">
        <w:trPr>
          <w:trHeight w:val="113"/>
        </w:trPr>
        <w:tc>
          <w:tcPr>
            <w:tcW w:w="7701" w:type="dxa"/>
          </w:tcPr>
          <w:p w14:paraId="7DD542B9" w14:textId="77777777" w:rsidR="00AE4A3C" w:rsidRPr="00AA258F" w:rsidRDefault="00AE4A3C" w:rsidP="009516EB">
            <w:pPr>
              <w:pStyle w:val="BoxHeading"/>
            </w:pPr>
            <w:r w:rsidRPr="00AA258F">
              <w:t>Department of Health</w:t>
            </w:r>
          </w:p>
        </w:tc>
      </w:tr>
      <w:tr w:rsidR="00AE4A3C" w:rsidRPr="00AA258F" w14:paraId="01A209DB" w14:textId="77777777" w:rsidTr="00AE4A3C">
        <w:trPr>
          <w:trHeight w:val="113"/>
        </w:trPr>
        <w:tc>
          <w:tcPr>
            <w:tcW w:w="7701" w:type="dxa"/>
          </w:tcPr>
          <w:p w14:paraId="7DEDB2E4" w14:textId="77777777" w:rsidR="00AE4A3C" w:rsidRPr="00AA258F" w:rsidRDefault="00AE4A3C" w:rsidP="009516EB">
            <w:pPr>
              <w:pStyle w:val="BoxHeadinglevel2"/>
            </w:pPr>
            <w:r w:rsidRPr="00AA258F">
              <w:t>Programs</w:t>
            </w:r>
          </w:p>
          <w:p w14:paraId="22F4D8A1" w14:textId="77777777" w:rsidR="00AE4A3C" w:rsidRDefault="00AE4A3C" w:rsidP="001C7A6A">
            <w:pPr>
              <w:pStyle w:val="TableTextBullet"/>
            </w:pPr>
            <w:r w:rsidRPr="00AA258F">
              <w:t xml:space="preserve">Program 1.1 – Health </w:t>
            </w:r>
            <w:r>
              <w:t>Research, Coordination and Access</w:t>
            </w:r>
            <w:r w:rsidRPr="00AA258F">
              <w:t xml:space="preserve"> </w:t>
            </w:r>
          </w:p>
          <w:p w14:paraId="26275F73" w14:textId="77777777" w:rsidR="00AE4A3C" w:rsidRPr="00AA258F" w:rsidRDefault="00AE4A3C" w:rsidP="001C7A6A">
            <w:pPr>
              <w:pStyle w:val="TableTextBullet"/>
            </w:pPr>
            <w:r>
              <w:t>Program 1.2 – Mental Health</w:t>
            </w:r>
          </w:p>
          <w:p w14:paraId="4F8572C7" w14:textId="77777777" w:rsidR="00AE4A3C" w:rsidRPr="00AA258F" w:rsidRDefault="00AE4A3C" w:rsidP="001C7A6A">
            <w:pPr>
              <w:pStyle w:val="TableTextBullet"/>
            </w:pPr>
            <w:r w:rsidRPr="00AA258F">
              <w:t xml:space="preserve">Program 1.3 – </w:t>
            </w:r>
            <w:r>
              <w:t>Aboriginal and Torres Strait Islander Health</w:t>
            </w:r>
          </w:p>
          <w:p w14:paraId="4D911861" w14:textId="77777777" w:rsidR="00AE4A3C" w:rsidRDefault="00AE4A3C" w:rsidP="001C7A6A">
            <w:pPr>
              <w:pStyle w:val="TableTextBullet"/>
            </w:pPr>
            <w:r w:rsidRPr="00AA258F">
              <w:t xml:space="preserve">Program </w:t>
            </w:r>
            <w:r>
              <w:t>1.5</w:t>
            </w:r>
            <w:r w:rsidRPr="00AA258F">
              <w:t xml:space="preserve"> – </w:t>
            </w:r>
            <w:r>
              <w:t>Preventative Health and Chronic Disease Support</w:t>
            </w:r>
          </w:p>
          <w:p w14:paraId="52612425" w14:textId="77777777" w:rsidR="00AE4A3C" w:rsidRDefault="00AE4A3C" w:rsidP="001C7A6A">
            <w:pPr>
              <w:pStyle w:val="TableTextBullet"/>
            </w:pPr>
            <w:r>
              <w:t>Program 1.6 – Primary Health Care Quality and Coordination</w:t>
            </w:r>
          </w:p>
          <w:p w14:paraId="73B47049" w14:textId="77777777" w:rsidR="00AE4A3C" w:rsidRDefault="00AE4A3C" w:rsidP="001C7A6A">
            <w:pPr>
              <w:pStyle w:val="TableTextBullet"/>
            </w:pPr>
            <w:r>
              <w:t>Program 1.8 – Health Protection, Emergency Response and Regulation</w:t>
            </w:r>
          </w:p>
          <w:p w14:paraId="6C44A058" w14:textId="77777777" w:rsidR="00AE4A3C" w:rsidRDefault="00AE4A3C" w:rsidP="001C7A6A">
            <w:pPr>
              <w:pStyle w:val="TableTextBullet"/>
            </w:pPr>
            <w:r>
              <w:t>Program 2.5 – Dental Services</w:t>
            </w:r>
          </w:p>
          <w:p w14:paraId="1FC84BAD" w14:textId="77777777" w:rsidR="00AE4A3C" w:rsidRDefault="00AE4A3C" w:rsidP="001C7A6A">
            <w:pPr>
              <w:pStyle w:val="TableTextBullet"/>
            </w:pPr>
            <w:r>
              <w:t>Program 3.2 – Aged Care Services</w:t>
            </w:r>
          </w:p>
          <w:p w14:paraId="620C017D" w14:textId="77777777" w:rsidR="00AE4A3C" w:rsidRPr="00AA258F" w:rsidRDefault="00AE4A3C" w:rsidP="001C7A6A">
            <w:pPr>
              <w:pStyle w:val="TableTextBullet"/>
            </w:pPr>
            <w:r>
              <w:t>Program 4.1 – Sport and Recreation</w:t>
            </w:r>
          </w:p>
        </w:tc>
      </w:tr>
      <w:tr w:rsidR="006E4451" w:rsidRPr="00AA258F" w14:paraId="7CD85832" w14:textId="77777777" w:rsidTr="006E4451">
        <w:trPr>
          <w:trHeight w:val="113"/>
        </w:trPr>
        <w:tc>
          <w:tcPr>
            <w:tcW w:w="7701" w:type="dxa"/>
            <w:tcBorders>
              <w:top w:val="single" w:sz="4" w:space="0" w:color="auto"/>
              <w:left w:val="single" w:sz="4" w:space="0" w:color="auto"/>
              <w:bottom w:val="single" w:sz="4" w:space="0" w:color="auto"/>
              <w:right w:val="single" w:sz="4" w:space="0" w:color="auto"/>
            </w:tcBorders>
          </w:tcPr>
          <w:p w14:paraId="62FC1C58" w14:textId="77777777" w:rsidR="006E4451" w:rsidRPr="00AA258F" w:rsidRDefault="006E4451" w:rsidP="006E4451">
            <w:pPr>
              <w:pStyle w:val="BoxHeading"/>
            </w:pPr>
            <w:r w:rsidRPr="00AA258F">
              <w:t>Department of Home Affairs</w:t>
            </w:r>
          </w:p>
        </w:tc>
      </w:tr>
      <w:tr w:rsidR="006E4451" w:rsidRPr="00AA258F" w14:paraId="27E3AD96" w14:textId="77777777" w:rsidTr="006E4451">
        <w:trPr>
          <w:trHeight w:val="113"/>
        </w:trPr>
        <w:tc>
          <w:tcPr>
            <w:tcW w:w="7701" w:type="dxa"/>
            <w:tcBorders>
              <w:top w:val="single" w:sz="4" w:space="0" w:color="auto"/>
              <w:left w:val="single" w:sz="4" w:space="0" w:color="auto"/>
              <w:bottom w:val="single" w:sz="4" w:space="0" w:color="auto"/>
              <w:right w:val="single" w:sz="4" w:space="0" w:color="auto"/>
            </w:tcBorders>
          </w:tcPr>
          <w:p w14:paraId="12BC7C83" w14:textId="77777777" w:rsidR="006E4451" w:rsidRPr="00AA258F" w:rsidRDefault="006E4451" w:rsidP="00212221">
            <w:pPr>
              <w:pStyle w:val="BoxHeadinglevel2"/>
            </w:pPr>
            <w:r w:rsidRPr="00AA258F">
              <w:t>Program</w:t>
            </w:r>
          </w:p>
          <w:p w14:paraId="64017B4A" w14:textId="77777777" w:rsidR="006E4451" w:rsidRPr="002A097B" w:rsidRDefault="006E4451" w:rsidP="00212221">
            <w:pPr>
              <w:pStyle w:val="TableTextBullet"/>
              <w:rPr>
                <w:bCs/>
              </w:rPr>
            </w:pPr>
            <w:r w:rsidRPr="002A097B">
              <w:rPr>
                <w:bCs/>
              </w:rPr>
              <w:t>Program 1.7 – National Security and Criminal Justice</w:t>
            </w:r>
          </w:p>
        </w:tc>
      </w:tr>
      <w:tr w:rsidR="006E4451" w:rsidRPr="00AA258F" w14:paraId="3710F5EC" w14:textId="77777777" w:rsidTr="006E4451">
        <w:trPr>
          <w:trHeight w:val="113"/>
        </w:trPr>
        <w:tc>
          <w:tcPr>
            <w:tcW w:w="7701" w:type="dxa"/>
            <w:tcBorders>
              <w:top w:val="single" w:sz="4" w:space="0" w:color="auto"/>
              <w:left w:val="single" w:sz="4" w:space="0" w:color="auto"/>
              <w:bottom w:val="single" w:sz="4" w:space="0" w:color="auto"/>
              <w:right w:val="single" w:sz="4" w:space="0" w:color="auto"/>
            </w:tcBorders>
          </w:tcPr>
          <w:p w14:paraId="11AD0E79" w14:textId="77777777" w:rsidR="006E4451" w:rsidRPr="00AA258F" w:rsidRDefault="006E4451" w:rsidP="006E4451">
            <w:pPr>
              <w:pStyle w:val="BoxHeading"/>
            </w:pPr>
            <w:r w:rsidRPr="00AA258F">
              <w:t>Department of Industry, Science, Energy and Resources</w:t>
            </w:r>
          </w:p>
        </w:tc>
      </w:tr>
      <w:tr w:rsidR="006E4451" w:rsidRPr="00AA258F" w14:paraId="114A05AC" w14:textId="77777777" w:rsidTr="006E4451">
        <w:trPr>
          <w:trHeight w:val="113"/>
        </w:trPr>
        <w:tc>
          <w:tcPr>
            <w:tcW w:w="7701" w:type="dxa"/>
            <w:tcBorders>
              <w:top w:val="single" w:sz="4" w:space="0" w:color="auto"/>
              <w:left w:val="single" w:sz="4" w:space="0" w:color="auto"/>
              <w:bottom w:val="single" w:sz="4" w:space="0" w:color="auto"/>
              <w:right w:val="single" w:sz="4" w:space="0" w:color="auto"/>
            </w:tcBorders>
          </w:tcPr>
          <w:p w14:paraId="20B740E5" w14:textId="77777777" w:rsidR="006E4451" w:rsidRPr="00AA258F" w:rsidRDefault="006E4451" w:rsidP="00212221">
            <w:pPr>
              <w:pStyle w:val="BoxHeadinglevel2"/>
            </w:pPr>
            <w:r w:rsidRPr="00AA258F">
              <w:t>Program</w:t>
            </w:r>
            <w:r>
              <w:t>s</w:t>
            </w:r>
          </w:p>
          <w:p w14:paraId="314142B8" w14:textId="77777777" w:rsidR="006E4451" w:rsidRPr="006E4451" w:rsidRDefault="006E4451" w:rsidP="00212221">
            <w:pPr>
              <w:pStyle w:val="TableTextBullet"/>
              <w:rPr>
                <w:bCs/>
              </w:rPr>
            </w:pPr>
            <w:r w:rsidRPr="006E4451">
              <w:rPr>
                <w:bCs/>
              </w:rPr>
              <w:t>Program 1.3 – Supporting a strong resources sector</w:t>
            </w:r>
          </w:p>
          <w:p w14:paraId="2FA96928" w14:textId="774D4FD0" w:rsidR="006E4451" w:rsidRPr="006E4451" w:rsidRDefault="006E4451" w:rsidP="00212221">
            <w:pPr>
              <w:pStyle w:val="TableTextBullet"/>
              <w:rPr>
                <w:bCs/>
              </w:rPr>
            </w:pPr>
            <w:r w:rsidRPr="006E4451">
              <w:rPr>
                <w:bCs/>
              </w:rPr>
              <w:t>Program 2.1 – Reducing Australia</w:t>
            </w:r>
            <w:r w:rsidR="00B33758">
              <w:rPr>
                <w:bCs/>
              </w:rPr>
              <w:t>’</w:t>
            </w:r>
            <w:r w:rsidRPr="006E4451">
              <w:rPr>
                <w:bCs/>
              </w:rPr>
              <w:t>s greenhouse gas emissions</w:t>
            </w:r>
          </w:p>
          <w:p w14:paraId="1133F4FB" w14:textId="77777777" w:rsidR="006E4451" w:rsidRPr="006E4451" w:rsidRDefault="006E4451" w:rsidP="00212221">
            <w:pPr>
              <w:pStyle w:val="TableTextBullet"/>
              <w:rPr>
                <w:b/>
              </w:rPr>
            </w:pPr>
            <w:r w:rsidRPr="006E4451">
              <w:rPr>
                <w:bCs/>
              </w:rPr>
              <w:t>Program 3.1 – Supporting reliable, secure and affordable energy</w:t>
            </w:r>
          </w:p>
        </w:tc>
      </w:tr>
    </w:tbl>
    <w:p w14:paraId="5E2E37F4" w14:textId="77777777" w:rsidR="006E4451" w:rsidRDefault="006E4451"/>
    <w:tbl>
      <w:tblPr>
        <w:tblW w:w="7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tblGrid>
      <w:tr w:rsidR="00AE4A3C" w:rsidRPr="00AA258F" w14:paraId="18776C6A" w14:textId="77777777" w:rsidTr="00AE4A3C">
        <w:trPr>
          <w:trHeight w:val="113"/>
        </w:trPr>
        <w:tc>
          <w:tcPr>
            <w:tcW w:w="7701" w:type="dxa"/>
          </w:tcPr>
          <w:p w14:paraId="669FB88A" w14:textId="6A6A6F34" w:rsidR="00AE4A3C" w:rsidRPr="00AA258F" w:rsidRDefault="00AE4A3C" w:rsidP="009516EB">
            <w:pPr>
              <w:pStyle w:val="BoxHeading"/>
            </w:pPr>
            <w:r w:rsidRPr="00AA258F">
              <w:lastRenderedPageBreak/>
              <w:t xml:space="preserve">Department of Infrastructure, </w:t>
            </w:r>
            <w:r w:rsidR="00C45C60">
              <w:t xml:space="preserve">Transport, </w:t>
            </w:r>
            <w:r w:rsidRPr="00AA258F">
              <w:t xml:space="preserve">Regional Development and </w:t>
            </w:r>
            <w:r w:rsidR="00C45C60">
              <w:t>Communications</w:t>
            </w:r>
          </w:p>
        </w:tc>
      </w:tr>
      <w:tr w:rsidR="00AE4A3C" w:rsidRPr="00AA258F" w14:paraId="254A3113" w14:textId="77777777" w:rsidTr="00AE4A3C">
        <w:trPr>
          <w:trHeight w:val="113"/>
        </w:trPr>
        <w:tc>
          <w:tcPr>
            <w:tcW w:w="7701" w:type="dxa"/>
          </w:tcPr>
          <w:p w14:paraId="3886CFA9" w14:textId="77777777" w:rsidR="00AE4A3C" w:rsidRPr="00AA258F" w:rsidRDefault="00AE4A3C" w:rsidP="009516EB">
            <w:pPr>
              <w:pStyle w:val="BoxHeadinglevel2"/>
            </w:pPr>
            <w:r w:rsidRPr="00AA258F">
              <w:t>Programs</w:t>
            </w:r>
          </w:p>
          <w:p w14:paraId="26D9663B" w14:textId="77777777" w:rsidR="00AE4A3C" w:rsidRPr="00AA258F" w:rsidRDefault="00AE4A3C" w:rsidP="001C7A6A">
            <w:pPr>
              <w:pStyle w:val="TableTextBullet"/>
            </w:pPr>
            <w:r w:rsidRPr="00AA258F">
              <w:t>Program 1.1 – Infrastructure Investment</w:t>
            </w:r>
          </w:p>
          <w:p w14:paraId="7D33A51F" w14:textId="77777777" w:rsidR="00AE4A3C" w:rsidRPr="00AA258F" w:rsidRDefault="00AE4A3C" w:rsidP="001C7A6A">
            <w:pPr>
              <w:pStyle w:val="TableTextBullet"/>
            </w:pPr>
            <w:r w:rsidRPr="00AA258F">
              <w:t>Program 3.1 – Regional Development</w:t>
            </w:r>
          </w:p>
          <w:p w14:paraId="41527F3D" w14:textId="77777777" w:rsidR="00AE4A3C" w:rsidRPr="00AA258F" w:rsidRDefault="00AE4A3C" w:rsidP="001C7A6A">
            <w:pPr>
              <w:pStyle w:val="TableTextBullet"/>
            </w:pPr>
            <w:r w:rsidRPr="00AA258F">
              <w:t>Program 3.3 – Cities</w:t>
            </w:r>
          </w:p>
          <w:p w14:paraId="14E80D12" w14:textId="77777777" w:rsidR="00AE4A3C" w:rsidRPr="00AA258F" w:rsidRDefault="00AE4A3C" w:rsidP="001C7A6A">
            <w:pPr>
              <w:pStyle w:val="TableTextBullet"/>
            </w:pPr>
            <w:r w:rsidRPr="00AA258F">
              <w:t>Program 5.1 – Digital Technologies and Communications Services</w:t>
            </w:r>
          </w:p>
        </w:tc>
      </w:tr>
      <w:tr w:rsidR="00AE4A3C" w:rsidRPr="00AA258F" w14:paraId="5E328AAA" w14:textId="77777777" w:rsidTr="00AE4A3C">
        <w:trPr>
          <w:trHeight w:val="113"/>
        </w:trPr>
        <w:tc>
          <w:tcPr>
            <w:tcW w:w="7701" w:type="dxa"/>
          </w:tcPr>
          <w:p w14:paraId="2A496EF6" w14:textId="77777777" w:rsidR="00AE4A3C" w:rsidRPr="00AA258F" w:rsidRDefault="00AE4A3C" w:rsidP="009516EB">
            <w:pPr>
              <w:pStyle w:val="BoxHeading"/>
            </w:pPr>
            <w:r w:rsidRPr="00AA258F">
              <w:t>Department of the Prime Minister and Cabinet</w:t>
            </w:r>
          </w:p>
        </w:tc>
      </w:tr>
      <w:tr w:rsidR="00AE4A3C" w:rsidRPr="00AA258F" w14:paraId="12BE982A" w14:textId="77777777" w:rsidTr="00AE4A3C">
        <w:trPr>
          <w:trHeight w:val="113"/>
        </w:trPr>
        <w:tc>
          <w:tcPr>
            <w:tcW w:w="7701" w:type="dxa"/>
          </w:tcPr>
          <w:p w14:paraId="53FE778B" w14:textId="68B221FA" w:rsidR="00AE4A3C" w:rsidRPr="00AA258F" w:rsidRDefault="00AE4A3C" w:rsidP="009516EB">
            <w:pPr>
              <w:pStyle w:val="BoxHeadinglevel2"/>
            </w:pPr>
            <w:r w:rsidRPr="00AA258F">
              <w:t>Program</w:t>
            </w:r>
          </w:p>
          <w:p w14:paraId="643CFCE4" w14:textId="77777777" w:rsidR="00AE4A3C" w:rsidRPr="00AA258F" w:rsidRDefault="00AE4A3C" w:rsidP="001C7A6A">
            <w:pPr>
              <w:pStyle w:val="TableTextBullet"/>
            </w:pPr>
            <w:r>
              <w:t>Program 1.1 – Prime Minister and Cabinet</w:t>
            </w:r>
          </w:p>
        </w:tc>
      </w:tr>
      <w:tr w:rsidR="00AE4A3C" w:rsidRPr="00AA258F" w14:paraId="1858BF34" w14:textId="77777777" w:rsidTr="00AE4A3C">
        <w:trPr>
          <w:trHeight w:val="113"/>
        </w:trPr>
        <w:tc>
          <w:tcPr>
            <w:tcW w:w="7701" w:type="dxa"/>
          </w:tcPr>
          <w:p w14:paraId="34E034DD" w14:textId="77777777" w:rsidR="00AE4A3C" w:rsidRPr="00AA258F" w:rsidRDefault="00AE4A3C" w:rsidP="009516EB">
            <w:pPr>
              <w:pStyle w:val="BoxHeading"/>
            </w:pPr>
            <w:r w:rsidRPr="00AA258F">
              <w:t>Department of Social Services</w:t>
            </w:r>
          </w:p>
        </w:tc>
      </w:tr>
      <w:tr w:rsidR="00AE4A3C" w:rsidRPr="00AA258F" w14:paraId="47855FB6" w14:textId="77777777" w:rsidTr="00AE4A3C">
        <w:trPr>
          <w:trHeight w:val="113"/>
        </w:trPr>
        <w:tc>
          <w:tcPr>
            <w:tcW w:w="7701" w:type="dxa"/>
          </w:tcPr>
          <w:p w14:paraId="1FABFB38" w14:textId="77777777" w:rsidR="00AE4A3C" w:rsidRPr="00AA258F" w:rsidRDefault="00AE4A3C" w:rsidP="009516EB">
            <w:pPr>
              <w:pStyle w:val="BoxHeadinglevel2"/>
            </w:pPr>
            <w:r w:rsidRPr="00AA258F">
              <w:t>Programs</w:t>
            </w:r>
          </w:p>
          <w:p w14:paraId="23D15834" w14:textId="77777777" w:rsidR="00AE4A3C" w:rsidRPr="00AA258F" w:rsidRDefault="00AE4A3C" w:rsidP="001C7A6A">
            <w:pPr>
              <w:pStyle w:val="TableTextBullet"/>
            </w:pPr>
            <w:r w:rsidRPr="00AA258F">
              <w:t xml:space="preserve">Program 1.10 – </w:t>
            </w:r>
            <w:r>
              <w:t>Family Assistance</w:t>
            </w:r>
          </w:p>
          <w:p w14:paraId="313199F5" w14:textId="77777777" w:rsidR="00AE4A3C" w:rsidRPr="00AA258F" w:rsidRDefault="00AE4A3C" w:rsidP="001C7A6A">
            <w:pPr>
              <w:pStyle w:val="TableTextBullet"/>
            </w:pPr>
            <w:r w:rsidRPr="00AA258F">
              <w:t>Program 2.1 – Families and Communities</w:t>
            </w:r>
          </w:p>
          <w:p w14:paraId="56EC2864" w14:textId="77777777" w:rsidR="00AE4A3C" w:rsidRPr="00AA258F" w:rsidRDefault="00AE4A3C" w:rsidP="001C7A6A">
            <w:pPr>
              <w:pStyle w:val="TableTextBullet"/>
            </w:pPr>
            <w:r w:rsidRPr="00AA258F">
              <w:t>Program 2.3 – Social and Community Services</w:t>
            </w:r>
          </w:p>
          <w:p w14:paraId="3CD65CBE" w14:textId="77777777" w:rsidR="00AE4A3C" w:rsidRPr="00AA258F" w:rsidRDefault="00AE4A3C" w:rsidP="001C7A6A">
            <w:pPr>
              <w:pStyle w:val="TableTextBullet"/>
            </w:pPr>
            <w:r w:rsidRPr="00AA258F">
              <w:t>Program 3.2 – National Disability Insurance Scheme</w:t>
            </w:r>
          </w:p>
          <w:p w14:paraId="06B0CBC1" w14:textId="77777777" w:rsidR="00AE4A3C" w:rsidRPr="00AA258F" w:rsidRDefault="00AE4A3C" w:rsidP="001C7A6A">
            <w:pPr>
              <w:pStyle w:val="TableTextBullet"/>
            </w:pPr>
            <w:r w:rsidRPr="00AA258F">
              <w:t>Program 4.1 – Housing and Homelessness</w:t>
            </w:r>
          </w:p>
        </w:tc>
      </w:tr>
      <w:tr w:rsidR="00AE4A3C" w:rsidRPr="00AA258F" w14:paraId="702A80CA" w14:textId="77777777" w:rsidTr="00AE4A3C">
        <w:trPr>
          <w:trHeight w:val="113"/>
        </w:trPr>
        <w:tc>
          <w:tcPr>
            <w:tcW w:w="7701" w:type="dxa"/>
          </w:tcPr>
          <w:p w14:paraId="62B5B696" w14:textId="37AC61D0" w:rsidR="00AE4A3C" w:rsidRPr="00AA258F" w:rsidRDefault="00AE4A3C" w:rsidP="009516EB">
            <w:pPr>
              <w:pStyle w:val="BoxHeading"/>
            </w:pPr>
            <w:r w:rsidRPr="00AA258F">
              <w:t>Department of Veterans</w:t>
            </w:r>
            <w:r w:rsidR="00B33758">
              <w:t>’</w:t>
            </w:r>
            <w:r w:rsidRPr="00AA258F">
              <w:t xml:space="preserve"> Affairs</w:t>
            </w:r>
          </w:p>
        </w:tc>
      </w:tr>
      <w:tr w:rsidR="00AE4A3C" w:rsidRPr="00AA258F" w14:paraId="64EE3643" w14:textId="77777777" w:rsidTr="00AE4A3C">
        <w:trPr>
          <w:trHeight w:val="113"/>
        </w:trPr>
        <w:tc>
          <w:tcPr>
            <w:tcW w:w="7701" w:type="dxa"/>
            <w:tcBorders>
              <w:bottom w:val="single" w:sz="4" w:space="0" w:color="auto"/>
            </w:tcBorders>
          </w:tcPr>
          <w:p w14:paraId="299BBF98" w14:textId="77777777" w:rsidR="00AE4A3C" w:rsidRPr="00AA258F" w:rsidRDefault="00AE4A3C" w:rsidP="009516EB">
            <w:pPr>
              <w:pStyle w:val="BoxHeadinglevel2"/>
            </w:pPr>
            <w:r w:rsidRPr="00AA258F">
              <w:t>Program</w:t>
            </w:r>
          </w:p>
          <w:p w14:paraId="5711E795" w14:textId="5CECAE28" w:rsidR="00AE4A3C" w:rsidRPr="00AA258F" w:rsidRDefault="00AE4A3C" w:rsidP="001C7A6A">
            <w:pPr>
              <w:pStyle w:val="TableTextBullet"/>
              <w:rPr>
                <w:b/>
              </w:rPr>
            </w:pPr>
            <w:r w:rsidRPr="00AA258F">
              <w:t>Program 2.</w:t>
            </w:r>
            <w:r>
              <w:t>4 – Veterans</w:t>
            </w:r>
            <w:r w:rsidR="00B33758">
              <w:t>’</w:t>
            </w:r>
            <w:r>
              <w:t xml:space="preserve"> Community Care and Support</w:t>
            </w:r>
          </w:p>
        </w:tc>
      </w:tr>
      <w:tr w:rsidR="001C7A6A" w:rsidRPr="00AA258F" w14:paraId="243E50F6" w14:textId="77777777" w:rsidTr="001C7A6A">
        <w:trPr>
          <w:trHeight w:val="113"/>
        </w:trPr>
        <w:tc>
          <w:tcPr>
            <w:tcW w:w="7701" w:type="dxa"/>
            <w:tcBorders>
              <w:top w:val="single" w:sz="4" w:space="0" w:color="auto"/>
              <w:left w:val="single" w:sz="4" w:space="0" w:color="auto"/>
              <w:bottom w:val="single" w:sz="4" w:space="0" w:color="auto"/>
              <w:right w:val="single" w:sz="4" w:space="0" w:color="auto"/>
            </w:tcBorders>
          </w:tcPr>
          <w:p w14:paraId="6F261D48" w14:textId="77777777" w:rsidR="001C7A6A" w:rsidRPr="00AA258F" w:rsidRDefault="001C7A6A" w:rsidP="007E701F">
            <w:pPr>
              <w:pStyle w:val="BoxHeading"/>
            </w:pPr>
            <w:r>
              <w:t>National Indigenous Australians Agency</w:t>
            </w:r>
          </w:p>
        </w:tc>
      </w:tr>
      <w:tr w:rsidR="001C7A6A" w:rsidRPr="00AA258F" w14:paraId="50568700" w14:textId="77777777" w:rsidTr="001C7A6A">
        <w:trPr>
          <w:trHeight w:val="113"/>
        </w:trPr>
        <w:tc>
          <w:tcPr>
            <w:tcW w:w="7701" w:type="dxa"/>
            <w:tcBorders>
              <w:top w:val="single" w:sz="4" w:space="0" w:color="auto"/>
              <w:left w:val="single" w:sz="4" w:space="0" w:color="auto"/>
              <w:bottom w:val="single" w:sz="4" w:space="0" w:color="auto"/>
              <w:right w:val="single" w:sz="4" w:space="0" w:color="auto"/>
            </w:tcBorders>
          </w:tcPr>
          <w:p w14:paraId="7096F307" w14:textId="77777777" w:rsidR="006E4451" w:rsidRDefault="006E4451" w:rsidP="006E4451">
            <w:pPr>
              <w:pStyle w:val="BoxHeadinglevel2"/>
              <w:rPr>
                <w:rFonts w:cs="Arial"/>
              </w:rPr>
            </w:pPr>
            <w:r>
              <w:rPr>
                <w:rFonts w:cs="Arial"/>
              </w:rPr>
              <w:t>Programs</w:t>
            </w:r>
          </w:p>
          <w:p w14:paraId="69F654A4" w14:textId="77777777" w:rsidR="006E4451" w:rsidRDefault="006E4451" w:rsidP="006E4451">
            <w:pPr>
              <w:pStyle w:val="TableTextBullet"/>
            </w:pPr>
            <w:r>
              <w:t>Program 1.1 – Jobs, Land and the Economy</w:t>
            </w:r>
          </w:p>
          <w:p w14:paraId="2A1A1695" w14:textId="77777777" w:rsidR="006E4451" w:rsidRDefault="006E4451" w:rsidP="006E4451">
            <w:pPr>
              <w:pStyle w:val="TableTextBullet"/>
            </w:pPr>
            <w:r>
              <w:t>Program 1.2 – Children and Schooling</w:t>
            </w:r>
          </w:p>
          <w:p w14:paraId="45E12766" w14:textId="77777777" w:rsidR="006E4451" w:rsidRDefault="006E4451" w:rsidP="006E4451">
            <w:pPr>
              <w:pStyle w:val="TableTextBullet"/>
            </w:pPr>
            <w:r>
              <w:t>Program 1.3 – Safety and Wellbeing</w:t>
            </w:r>
          </w:p>
          <w:p w14:paraId="61B0A27D" w14:textId="69B142A7" w:rsidR="001C7A6A" w:rsidRPr="001C7A6A" w:rsidRDefault="006E4451" w:rsidP="006E4451">
            <w:pPr>
              <w:pStyle w:val="TableTextBullet"/>
              <w:rPr>
                <w:b/>
              </w:rPr>
            </w:pPr>
            <w:r>
              <w:t>Program 1.5 – Remote Australia Strategies</w:t>
            </w:r>
          </w:p>
        </w:tc>
      </w:tr>
      <w:bookmarkEnd w:id="30"/>
      <w:tr w:rsidR="006E4451" w:rsidRPr="006E4451" w14:paraId="3E017413" w14:textId="77777777" w:rsidTr="006E4451">
        <w:trPr>
          <w:trHeight w:val="113"/>
        </w:trPr>
        <w:tc>
          <w:tcPr>
            <w:tcW w:w="7701" w:type="dxa"/>
            <w:tcBorders>
              <w:top w:val="single" w:sz="4" w:space="0" w:color="auto"/>
              <w:left w:val="single" w:sz="4" w:space="0" w:color="auto"/>
              <w:bottom w:val="single" w:sz="4" w:space="0" w:color="auto"/>
              <w:right w:val="single" w:sz="4" w:space="0" w:color="auto"/>
            </w:tcBorders>
          </w:tcPr>
          <w:p w14:paraId="2421C14D" w14:textId="77777777" w:rsidR="006E4451" w:rsidRDefault="006E4451" w:rsidP="006E4451">
            <w:pPr>
              <w:pStyle w:val="BoxHeading"/>
            </w:pPr>
            <w:r>
              <w:t>National Recovery and Resilience Agency</w:t>
            </w:r>
          </w:p>
        </w:tc>
      </w:tr>
      <w:tr w:rsidR="006E4451" w14:paraId="7399FD31" w14:textId="77777777" w:rsidTr="006E4451">
        <w:trPr>
          <w:trHeight w:val="113"/>
        </w:trPr>
        <w:tc>
          <w:tcPr>
            <w:tcW w:w="7701" w:type="dxa"/>
            <w:tcBorders>
              <w:top w:val="single" w:sz="4" w:space="0" w:color="auto"/>
              <w:left w:val="single" w:sz="4" w:space="0" w:color="auto"/>
              <w:bottom w:val="single" w:sz="4" w:space="0" w:color="auto"/>
              <w:right w:val="single" w:sz="4" w:space="0" w:color="auto"/>
            </w:tcBorders>
          </w:tcPr>
          <w:p w14:paraId="58CED338" w14:textId="77777777" w:rsidR="006E4451" w:rsidRDefault="006E4451">
            <w:pPr>
              <w:pStyle w:val="BoxHeadinglevel2"/>
            </w:pPr>
            <w:r>
              <w:t>Program</w:t>
            </w:r>
          </w:p>
          <w:p w14:paraId="1189EEC7" w14:textId="77777777" w:rsidR="006E4451" w:rsidRPr="006E4451" w:rsidRDefault="006E4451" w:rsidP="006E4451">
            <w:pPr>
              <w:pStyle w:val="TableTextBullet"/>
              <w:numPr>
                <w:ilvl w:val="0"/>
                <w:numId w:val="25"/>
              </w:numPr>
              <w:rPr>
                <w:bCs/>
              </w:rPr>
            </w:pPr>
            <w:r w:rsidRPr="006E4451">
              <w:rPr>
                <w:bCs/>
              </w:rPr>
              <w:t>Program 1.2 – Australian Government Resilience, Preparedness and Disaster Risk Reduction Support</w:t>
            </w:r>
          </w:p>
        </w:tc>
      </w:tr>
    </w:tbl>
    <w:p w14:paraId="7D7FB776" w14:textId="23387712" w:rsidR="00190773" w:rsidRDefault="00190773" w:rsidP="00190773">
      <w:pPr>
        <w:pStyle w:val="Heading5"/>
        <w:tabs>
          <w:tab w:val="left" w:pos="6360"/>
        </w:tabs>
        <w:sectPr w:rsidR="00190773" w:rsidSect="008162F6">
          <w:headerReference w:type="even" r:id="rId16"/>
          <w:headerReference w:type="default" r:id="rId17"/>
          <w:footerReference w:type="even" r:id="rId18"/>
          <w:footerReference w:type="default" r:id="rId19"/>
          <w:headerReference w:type="first" r:id="rId20"/>
          <w:footerReference w:type="first" r:id="rId21"/>
          <w:pgSz w:w="11907" w:h="16840" w:code="9"/>
          <w:pgMar w:top="2835" w:right="2098" w:bottom="2466" w:left="2098" w:header="1814" w:footer="1814" w:gutter="0"/>
          <w:cols w:space="708"/>
          <w:titlePg/>
          <w:docGrid w:linePitch="360"/>
        </w:sectPr>
      </w:pPr>
    </w:p>
    <w:p w14:paraId="38A1AA64" w14:textId="77777777" w:rsidR="00190773" w:rsidRPr="00D36AC5" w:rsidRDefault="00190773" w:rsidP="00190773">
      <w:pPr>
        <w:pStyle w:val="Heading5"/>
        <w:rPr>
          <w:b/>
          <w:bCs w:val="0"/>
        </w:rPr>
      </w:pPr>
      <w:bookmarkStart w:id="31" w:name="_Hlk98871889"/>
      <w:r w:rsidRPr="00D36AC5">
        <w:rPr>
          <w:b/>
          <w:bCs w:val="0"/>
        </w:rPr>
        <w:lastRenderedPageBreak/>
        <w:t>Budgeted expenses for Outcome 1</w:t>
      </w:r>
    </w:p>
    <w:p w14:paraId="2D128B81" w14:textId="1A6C64F7" w:rsidR="00190773" w:rsidRDefault="00190773" w:rsidP="00190773">
      <w:r w:rsidRPr="00950281">
        <w:t>This table shows how much the entity intends to spend (on an accrual basis) on achieving the outcome, broken down by program, as well as by Administered an</w:t>
      </w:r>
      <w:r>
        <w:t>d Departmental funding sources.</w:t>
      </w:r>
    </w:p>
    <w:p w14:paraId="4B6A2103" w14:textId="693716A8" w:rsidR="006701F4" w:rsidRDefault="00AF6C17" w:rsidP="00190773">
      <w:bookmarkStart w:id="32" w:name="_Hlk98872887"/>
      <w:r w:rsidRPr="00ED71CA">
        <w:t>Detailed information about</w:t>
      </w:r>
      <w:r w:rsidR="00B51CE1" w:rsidRPr="00ED71CA">
        <w:t xml:space="preserve"> </w:t>
      </w:r>
      <w:r w:rsidRPr="00ED71CA">
        <w:t xml:space="preserve">general revenue assistance (Program 1.4) and payments for specific purposes (Programs 1.5, 1.6, 1.7, 1.8 and 1.9) can be found </w:t>
      </w:r>
      <w:r w:rsidR="00ED71CA" w:rsidRPr="00ED71CA">
        <w:t>in</w:t>
      </w:r>
      <w:r w:rsidRPr="00ED71CA">
        <w:t xml:space="preserve"> Budget Paper No. 3, Federal Financial Relations 2022</w:t>
      </w:r>
      <w:r w:rsidR="00B33758">
        <w:noBreakHyphen/>
      </w:r>
      <w:r w:rsidRPr="00ED71CA">
        <w:t>23.</w:t>
      </w:r>
      <w:bookmarkEnd w:id="32"/>
    </w:p>
    <w:p w14:paraId="16F248E3" w14:textId="461D2C49" w:rsidR="00BF4C99" w:rsidRPr="00BF4C99" w:rsidRDefault="00190773" w:rsidP="009516EB">
      <w:pPr>
        <w:pStyle w:val="TableHeading"/>
        <w:rPr>
          <w:bCs/>
          <w:iCs/>
          <w:szCs w:val="26"/>
        </w:rPr>
      </w:pPr>
      <w:r w:rsidRPr="008B1DAB">
        <w:rPr>
          <w:bCs/>
        </w:rPr>
        <w:t>Table 2.1: Budgeted expenses for Outcome</w:t>
      </w:r>
      <w:r w:rsidR="00DE6613" w:rsidRPr="008B1DAB">
        <w:rPr>
          <w:bCs/>
        </w:rPr>
        <w:t xml:space="preserve"> 1</w:t>
      </w:r>
      <w:bookmarkEnd w:id="31"/>
    </w:p>
    <w:tbl>
      <w:tblPr>
        <w:tblW w:w="5000" w:type="pct"/>
        <w:tblCellMar>
          <w:left w:w="0" w:type="dxa"/>
          <w:right w:w="28" w:type="dxa"/>
        </w:tblCellMar>
        <w:tblLook w:val="04A0" w:firstRow="1" w:lastRow="0" w:firstColumn="1" w:lastColumn="0" w:noHBand="0" w:noVBand="1"/>
      </w:tblPr>
      <w:tblGrid>
        <w:gridCol w:w="4915"/>
        <w:gridCol w:w="1324"/>
        <w:gridCol w:w="1325"/>
        <w:gridCol w:w="1325"/>
        <w:gridCol w:w="1325"/>
        <w:gridCol w:w="1325"/>
      </w:tblGrid>
      <w:tr w:rsidR="00BF4C99" w:rsidRPr="00BF4C99" w14:paraId="605BE71C" w14:textId="77777777" w:rsidTr="00BF4C99">
        <w:trPr>
          <w:trHeight w:hRule="exact" w:val="900"/>
        </w:trPr>
        <w:tc>
          <w:tcPr>
            <w:tcW w:w="2130" w:type="pct"/>
            <w:tcBorders>
              <w:top w:val="single" w:sz="4" w:space="0" w:color="auto"/>
              <w:left w:val="nil"/>
              <w:bottom w:val="single" w:sz="4" w:space="0" w:color="auto"/>
              <w:right w:val="nil"/>
            </w:tcBorders>
            <w:shd w:val="clear" w:color="auto" w:fill="auto"/>
            <w:vAlign w:val="center"/>
            <w:hideMark/>
          </w:tcPr>
          <w:p w14:paraId="64B0D1E5" w14:textId="5C327654" w:rsidR="00BF4C99" w:rsidRPr="00BF4C99" w:rsidRDefault="00BF4C99" w:rsidP="00BF4C99">
            <w:pPr>
              <w:spacing w:after="0" w:line="240" w:lineRule="auto"/>
              <w:rPr>
                <w:rFonts w:ascii="Arial" w:hAnsi="Arial" w:cs="Arial"/>
                <w:b/>
                <w:bCs/>
                <w:color w:val="000000"/>
                <w:sz w:val="16"/>
                <w:szCs w:val="16"/>
              </w:rPr>
            </w:pPr>
            <w:r w:rsidRPr="00BF4C99">
              <w:rPr>
                <w:rFonts w:ascii="Arial" w:hAnsi="Arial" w:cs="Arial"/>
                <w:b/>
                <w:bCs/>
                <w:color w:val="000000"/>
                <w:sz w:val="16"/>
                <w:szCs w:val="16"/>
              </w:rPr>
              <w:t> </w:t>
            </w:r>
          </w:p>
        </w:tc>
        <w:tc>
          <w:tcPr>
            <w:tcW w:w="574" w:type="pct"/>
            <w:tcBorders>
              <w:top w:val="single" w:sz="4" w:space="0" w:color="auto"/>
              <w:left w:val="nil"/>
              <w:bottom w:val="single" w:sz="4" w:space="0" w:color="auto"/>
              <w:right w:val="nil"/>
            </w:tcBorders>
            <w:shd w:val="clear" w:color="auto" w:fill="auto"/>
            <w:hideMark/>
          </w:tcPr>
          <w:p w14:paraId="6E7123A4" w14:textId="42BE13A1"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2021</w:t>
            </w:r>
            <w:r w:rsidR="00B33758">
              <w:rPr>
                <w:rFonts w:ascii="Arial" w:hAnsi="Arial" w:cs="Arial"/>
                <w:sz w:val="16"/>
                <w:szCs w:val="16"/>
              </w:rPr>
              <w:noBreakHyphen/>
            </w:r>
            <w:r w:rsidRPr="00BF4C99">
              <w:rPr>
                <w:rFonts w:ascii="Arial" w:hAnsi="Arial" w:cs="Arial"/>
                <w:sz w:val="16"/>
                <w:szCs w:val="16"/>
              </w:rPr>
              <w:t>22 Estimated actual</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000000" w:fill="E6E6E6"/>
            <w:hideMark/>
          </w:tcPr>
          <w:p w14:paraId="05714889" w14:textId="5E4C9526"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2022</w:t>
            </w:r>
            <w:r w:rsidR="00B33758">
              <w:rPr>
                <w:rFonts w:ascii="Arial" w:hAnsi="Arial" w:cs="Arial"/>
                <w:sz w:val="16"/>
                <w:szCs w:val="16"/>
              </w:rPr>
              <w:noBreakHyphen/>
            </w:r>
            <w:r w:rsidRPr="00BF4C99">
              <w:rPr>
                <w:rFonts w:ascii="Arial" w:hAnsi="Arial" w:cs="Arial"/>
                <w:sz w:val="16"/>
                <w:szCs w:val="16"/>
              </w:rPr>
              <w:t>23</w:t>
            </w:r>
            <w:r w:rsidRPr="00BF4C99">
              <w:rPr>
                <w:rFonts w:ascii="Arial" w:hAnsi="Arial" w:cs="Arial"/>
                <w:sz w:val="16"/>
                <w:szCs w:val="16"/>
              </w:rPr>
              <w:br/>
              <w:t>Budget</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65F87048" w14:textId="747D1B62"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2023</w:t>
            </w:r>
            <w:r w:rsidR="00B33758">
              <w:rPr>
                <w:rFonts w:ascii="Arial" w:hAnsi="Arial" w:cs="Arial"/>
                <w:sz w:val="16"/>
                <w:szCs w:val="16"/>
              </w:rPr>
              <w:noBreakHyphen/>
            </w:r>
            <w:r w:rsidRPr="00BF4C99">
              <w:rPr>
                <w:rFonts w:ascii="Arial" w:hAnsi="Arial" w:cs="Arial"/>
                <w:sz w:val="16"/>
                <w:szCs w:val="16"/>
              </w:rPr>
              <w:t xml:space="preserve">24 </w:t>
            </w:r>
            <w:r w:rsidRPr="00BF4C99">
              <w:rPr>
                <w:rFonts w:ascii="Arial" w:hAnsi="Arial" w:cs="Arial"/>
                <w:sz w:val="16"/>
                <w:szCs w:val="16"/>
              </w:rPr>
              <w:b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06F8630F" w14:textId="040DA83F"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2024</w:t>
            </w:r>
            <w:r w:rsidR="00B33758">
              <w:rPr>
                <w:rFonts w:ascii="Arial" w:hAnsi="Arial" w:cs="Arial"/>
                <w:sz w:val="16"/>
                <w:szCs w:val="16"/>
              </w:rPr>
              <w:noBreakHyphen/>
            </w:r>
            <w:r w:rsidRPr="00BF4C99">
              <w:rPr>
                <w:rFonts w:ascii="Arial" w:hAnsi="Arial" w:cs="Arial"/>
                <w:sz w:val="16"/>
                <w:szCs w:val="16"/>
              </w:rPr>
              <w:t xml:space="preserve">25 </w:t>
            </w:r>
            <w:r w:rsidRPr="00BF4C99">
              <w:rPr>
                <w:rFonts w:ascii="Arial" w:hAnsi="Arial" w:cs="Arial"/>
                <w:sz w:val="16"/>
                <w:szCs w:val="16"/>
              </w:rPr>
              <w:b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01FCF551" w14:textId="59ABA185"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2025</w:t>
            </w:r>
            <w:r w:rsidR="00B33758">
              <w:rPr>
                <w:rFonts w:ascii="Arial" w:hAnsi="Arial" w:cs="Arial"/>
                <w:sz w:val="16"/>
                <w:szCs w:val="16"/>
              </w:rPr>
              <w:noBreakHyphen/>
            </w:r>
            <w:r w:rsidRPr="00BF4C99">
              <w:rPr>
                <w:rFonts w:ascii="Arial" w:hAnsi="Arial" w:cs="Arial"/>
                <w:sz w:val="16"/>
                <w:szCs w:val="16"/>
              </w:rPr>
              <w:t>26</w:t>
            </w:r>
            <w:r w:rsidRPr="00BF4C99">
              <w:rPr>
                <w:rFonts w:ascii="Arial" w:hAnsi="Arial" w:cs="Arial"/>
                <w:sz w:val="16"/>
                <w:szCs w:val="16"/>
              </w:rPr>
              <w:b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r>
      <w:tr w:rsidR="00BF4C99" w:rsidRPr="00BF4C99" w14:paraId="63A98805" w14:textId="77777777" w:rsidTr="00BF4C99">
        <w:trPr>
          <w:trHeight w:hRule="exact" w:val="225"/>
        </w:trPr>
        <w:tc>
          <w:tcPr>
            <w:tcW w:w="2130" w:type="pct"/>
            <w:tcBorders>
              <w:top w:val="nil"/>
              <w:left w:val="nil"/>
              <w:bottom w:val="nil"/>
              <w:right w:val="nil"/>
            </w:tcBorders>
            <w:shd w:val="clear" w:color="000000" w:fill="E6E6E6"/>
            <w:vAlign w:val="center"/>
            <w:hideMark/>
          </w:tcPr>
          <w:p w14:paraId="40BE1057" w14:textId="77777777"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Program 1.1: Department of the Treasury</w:t>
            </w:r>
          </w:p>
        </w:tc>
        <w:tc>
          <w:tcPr>
            <w:tcW w:w="574" w:type="pct"/>
            <w:tcBorders>
              <w:top w:val="nil"/>
              <w:left w:val="nil"/>
              <w:bottom w:val="nil"/>
              <w:right w:val="nil"/>
            </w:tcBorders>
            <w:shd w:val="clear" w:color="000000" w:fill="E6E6E6"/>
            <w:vAlign w:val="center"/>
            <w:hideMark/>
          </w:tcPr>
          <w:p w14:paraId="5685AB0D" w14:textId="77777777"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 </w:t>
            </w:r>
          </w:p>
        </w:tc>
        <w:tc>
          <w:tcPr>
            <w:tcW w:w="574" w:type="pct"/>
            <w:tcBorders>
              <w:top w:val="nil"/>
              <w:left w:val="nil"/>
              <w:bottom w:val="nil"/>
              <w:right w:val="nil"/>
            </w:tcBorders>
            <w:shd w:val="clear" w:color="000000" w:fill="E6E6E6"/>
            <w:vAlign w:val="center"/>
            <w:hideMark/>
          </w:tcPr>
          <w:p w14:paraId="60FFFC92" w14:textId="77777777"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 </w:t>
            </w:r>
          </w:p>
        </w:tc>
        <w:tc>
          <w:tcPr>
            <w:tcW w:w="574" w:type="pct"/>
            <w:tcBorders>
              <w:top w:val="nil"/>
              <w:left w:val="nil"/>
              <w:bottom w:val="nil"/>
              <w:right w:val="nil"/>
            </w:tcBorders>
            <w:shd w:val="clear" w:color="000000" w:fill="E6E6E6"/>
            <w:vAlign w:val="center"/>
            <w:hideMark/>
          </w:tcPr>
          <w:p w14:paraId="578947A0" w14:textId="77777777"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 </w:t>
            </w:r>
          </w:p>
        </w:tc>
        <w:tc>
          <w:tcPr>
            <w:tcW w:w="574" w:type="pct"/>
            <w:tcBorders>
              <w:top w:val="nil"/>
              <w:left w:val="nil"/>
              <w:bottom w:val="nil"/>
              <w:right w:val="nil"/>
            </w:tcBorders>
            <w:shd w:val="clear" w:color="000000" w:fill="E6E6E6"/>
            <w:vAlign w:val="center"/>
            <w:hideMark/>
          </w:tcPr>
          <w:p w14:paraId="488DB61E" w14:textId="77777777"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 </w:t>
            </w:r>
          </w:p>
        </w:tc>
        <w:tc>
          <w:tcPr>
            <w:tcW w:w="574" w:type="pct"/>
            <w:tcBorders>
              <w:top w:val="nil"/>
              <w:left w:val="nil"/>
              <w:bottom w:val="nil"/>
              <w:right w:val="nil"/>
            </w:tcBorders>
            <w:shd w:val="clear" w:color="000000" w:fill="E6E6E6"/>
            <w:vAlign w:val="center"/>
            <w:hideMark/>
          </w:tcPr>
          <w:p w14:paraId="7F907370" w14:textId="77777777"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 </w:t>
            </w:r>
          </w:p>
        </w:tc>
      </w:tr>
      <w:tr w:rsidR="00BF4C99" w:rsidRPr="00BF4C99" w14:paraId="0A3D993C" w14:textId="77777777" w:rsidTr="00BF4C99">
        <w:trPr>
          <w:trHeight w:hRule="exact" w:val="225"/>
        </w:trPr>
        <w:tc>
          <w:tcPr>
            <w:tcW w:w="2130" w:type="pct"/>
            <w:tcBorders>
              <w:top w:val="single" w:sz="4" w:space="0" w:color="000000"/>
              <w:left w:val="nil"/>
              <w:bottom w:val="nil"/>
              <w:right w:val="nil"/>
            </w:tcBorders>
            <w:shd w:val="clear" w:color="auto" w:fill="auto"/>
            <w:noWrap/>
            <w:vAlign w:val="center"/>
            <w:hideMark/>
          </w:tcPr>
          <w:p w14:paraId="79D41D3A" w14:textId="77777777" w:rsidR="00BF4C99" w:rsidRPr="00BF4C99" w:rsidRDefault="00BF4C99" w:rsidP="00BF4C99">
            <w:pPr>
              <w:spacing w:after="0" w:line="240" w:lineRule="auto"/>
              <w:jc w:val="left"/>
              <w:rPr>
                <w:rFonts w:ascii="Arial" w:hAnsi="Arial" w:cs="Arial"/>
                <w:sz w:val="16"/>
                <w:szCs w:val="16"/>
              </w:rPr>
            </w:pPr>
            <w:r w:rsidRPr="00BF4C99">
              <w:rPr>
                <w:rFonts w:ascii="Arial" w:hAnsi="Arial" w:cs="Arial"/>
                <w:sz w:val="16"/>
                <w:szCs w:val="16"/>
              </w:rPr>
              <w:t>Administered expenses</w:t>
            </w:r>
          </w:p>
        </w:tc>
        <w:tc>
          <w:tcPr>
            <w:tcW w:w="574" w:type="pct"/>
            <w:tcBorders>
              <w:top w:val="single" w:sz="4" w:space="0" w:color="000000"/>
              <w:left w:val="nil"/>
              <w:bottom w:val="nil"/>
              <w:right w:val="nil"/>
            </w:tcBorders>
            <w:shd w:val="clear" w:color="auto" w:fill="auto"/>
            <w:noWrap/>
            <w:vAlign w:val="center"/>
            <w:hideMark/>
          </w:tcPr>
          <w:p w14:paraId="59722C1C"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w:t>
            </w:r>
          </w:p>
        </w:tc>
        <w:tc>
          <w:tcPr>
            <w:tcW w:w="574" w:type="pct"/>
            <w:tcBorders>
              <w:top w:val="single" w:sz="4" w:space="0" w:color="000000"/>
              <w:left w:val="nil"/>
              <w:bottom w:val="nil"/>
              <w:right w:val="nil"/>
            </w:tcBorders>
            <w:shd w:val="clear" w:color="000000" w:fill="E6E6E6"/>
            <w:noWrap/>
            <w:vAlign w:val="center"/>
            <w:hideMark/>
          </w:tcPr>
          <w:p w14:paraId="0C1319B3"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w:t>
            </w:r>
          </w:p>
        </w:tc>
        <w:tc>
          <w:tcPr>
            <w:tcW w:w="574" w:type="pct"/>
            <w:tcBorders>
              <w:top w:val="single" w:sz="4" w:space="0" w:color="000000"/>
              <w:left w:val="nil"/>
              <w:bottom w:val="nil"/>
              <w:right w:val="nil"/>
            </w:tcBorders>
            <w:shd w:val="clear" w:color="auto" w:fill="auto"/>
            <w:noWrap/>
            <w:vAlign w:val="center"/>
            <w:hideMark/>
          </w:tcPr>
          <w:p w14:paraId="53CD8E3D" w14:textId="77777777" w:rsidR="00BF4C99" w:rsidRPr="00BF4C99" w:rsidRDefault="00BF4C99" w:rsidP="00BF4C99">
            <w:pPr>
              <w:spacing w:after="0" w:line="240" w:lineRule="auto"/>
              <w:jc w:val="left"/>
              <w:rPr>
                <w:rFonts w:ascii="Arial" w:hAnsi="Arial" w:cs="Arial"/>
                <w:sz w:val="16"/>
                <w:szCs w:val="16"/>
              </w:rPr>
            </w:pPr>
            <w:r w:rsidRPr="00BF4C99">
              <w:rPr>
                <w:rFonts w:ascii="Arial" w:hAnsi="Arial" w:cs="Arial"/>
                <w:sz w:val="16"/>
                <w:szCs w:val="16"/>
              </w:rPr>
              <w:t> </w:t>
            </w:r>
          </w:p>
        </w:tc>
        <w:tc>
          <w:tcPr>
            <w:tcW w:w="574" w:type="pct"/>
            <w:tcBorders>
              <w:top w:val="single" w:sz="4" w:space="0" w:color="000000"/>
              <w:left w:val="nil"/>
              <w:bottom w:val="nil"/>
              <w:right w:val="nil"/>
            </w:tcBorders>
            <w:shd w:val="clear" w:color="auto" w:fill="auto"/>
            <w:noWrap/>
            <w:vAlign w:val="center"/>
            <w:hideMark/>
          </w:tcPr>
          <w:p w14:paraId="0FD6AC6E" w14:textId="77777777" w:rsidR="00BF4C99" w:rsidRPr="00BF4C99" w:rsidRDefault="00BF4C99" w:rsidP="00BF4C99">
            <w:pPr>
              <w:spacing w:after="0" w:line="240" w:lineRule="auto"/>
              <w:jc w:val="left"/>
              <w:rPr>
                <w:rFonts w:ascii="Arial" w:hAnsi="Arial" w:cs="Arial"/>
                <w:sz w:val="16"/>
                <w:szCs w:val="16"/>
              </w:rPr>
            </w:pPr>
            <w:r w:rsidRPr="00BF4C99">
              <w:rPr>
                <w:rFonts w:ascii="Arial" w:hAnsi="Arial" w:cs="Arial"/>
                <w:sz w:val="16"/>
                <w:szCs w:val="16"/>
              </w:rPr>
              <w:t> </w:t>
            </w:r>
          </w:p>
        </w:tc>
        <w:tc>
          <w:tcPr>
            <w:tcW w:w="574" w:type="pct"/>
            <w:tcBorders>
              <w:top w:val="single" w:sz="4" w:space="0" w:color="000000"/>
              <w:left w:val="nil"/>
              <w:bottom w:val="nil"/>
              <w:right w:val="nil"/>
            </w:tcBorders>
            <w:shd w:val="clear" w:color="auto" w:fill="auto"/>
            <w:noWrap/>
            <w:vAlign w:val="center"/>
            <w:hideMark/>
          </w:tcPr>
          <w:p w14:paraId="39A1AB83" w14:textId="77777777" w:rsidR="00BF4C99" w:rsidRPr="00BF4C99" w:rsidRDefault="00BF4C99" w:rsidP="00BF4C99">
            <w:pPr>
              <w:spacing w:after="0" w:line="240" w:lineRule="auto"/>
              <w:jc w:val="left"/>
              <w:rPr>
                <w:rFonts w:ascii="Arial" w:hAnsi="Arial" w:cs="Arial"/>
                <w:sz w:val="16"/>
                <w:szCs w:val="16"/>
              </w:rPr>
            </w:pPr>
            <w:r w:rsidRPr="00BF4C99">
              <w:rPr>
                <w:rFonts w:ascii="Arial" w:hAnsi="Arial" w:cs="Arial"/>
                <w:sz w:val="16"/>
                <w:szCs w:val="16"/>
              </w:rPr>
              <w:t> </w:t>
            </w:r>
          </w:p>
        </w:tc>
      </w:tr>
      <w:tr w:rsidR="00BF4C99" w:rsidRPr="00BF4C99" w14:paraId="5E4BD307" w14:textId="77777777" w:rsidTr="00BF4C99">
        <w:trPr>
          <w:trHeight w:hRule="exact" w:val="450"/>
        </w:trPr>
        <w:tc>
          <w:tcPr>
            <w:tcW w:w="2130" w:type="pct"/>
            <w:tcBorders>
              <w:top w:val="nil"/>
              <w:left w:val="nil"/>
              <w:bottom w:val="nil"/>
              <w:right w:val="nil"/>
            </w:tcBorders>
            <w:shd w:val="clear" w:color="auto" w:fill="auto"/>
            <w:vAlign w:val="center"/>
            <w:hideMark/>
          </w:tcPr>
          <w:p w14:paraId="782C41B3"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Ordinary annual services</w:t>
            </w:r>
            <w:r w:rsidRPr="00BF4C99">
              <w:rPr>
                <w:rFonts w:ascii="Arial" w:hAnsi="Arial" w:cs="Arial"/>
                <w:sz w:val="16"/>
                <w:szCs w:val="16"/>
              </w:rPr>
              <w:br/>
              <w:t xml:space="preserve">  (Appropriation Bill No. 1)</w:t>
            </w:r>
          </w:p>
        </w:tc>
        <w:tc>
          <w:tcPr>
            <w:tcW w:w="574" w:type="pct"/>
            <w:tcBorders>
              <w:top w:val="nil"/>
              <w:left w:val="nil"/>
              <w:bottom w:val="nil"/>
              <w:right w:val="nil"/>
            </w:tcBorders>
            <w:shd w:val="clear" w:color="auto" w:fill="auto"/>
            <w:noWrap/>
            <w:vAlign w:val="center"/>
            <w:hideMark/>
          </w:tcPr>
          <w:p w14:paraId="54E164FD" w14:textId="77777777" w:rsidR="00BF4C99" w:rsidRPr="00BF4C99" w:rsidRDefault="00BF4C99" w:rsidP="00BF4C99">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65EC2C94"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30770E78" w14:textId="77777777" w:rsidR="00BF4C99" w:rsidRPr="00BF4C99" w:rsidRDefault="00BF4C99" w:rsidP="00BF4C99">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6272F03A"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6E76CAB7" w14:textId="77777777" w:rsidR="00BF4C99" w:rsidRPr="00BF4C99" w:rsidRDefault="00BF4C99" w:rsidP="00BF4C99">
            <w:pPr>
              <w:spacing w:after="0" w:line="240" w:lineRule="auto"/>
              <w:jc w:val="left"/>
              <w:rPr>
                <w:rFonts w:ascii="Times New Roman" w:hAnsi="Times New Roman"/>
              </w:rPr>
            </w:pPr>
          </w:p>
        </w:tc>
      </w:tr>
      <w:tr w:rsidR="00BF4C99" w:rsidRPr="00BF4C99" w14:paraId="595E60A8" w14:textId="77777777" w:rsidTr="00BF4C99">
        <w:trPr>
          <w:trHeight w:hRule="exact" w:val="225"/>
        </w:trPr>
        <w:tc>
          <w:tcPr>
            <w:tcW w:w="2130" w:type="pct"/>
            <w:tcBorders>
              <w:top w:val="nil"/>
              <w:left w:val="nil"/>
              <w:bottom w:val="nil"/>
              <w:right w:val="nil"/>
            </w:tcBorders>
            <w:shd w:val="clear" w:color="000000" w:fill="FFFFFF"/>
            <w:vAlign w:val="center"/>
            <w:hideMark/>
          </w:tcPr>
          <w:p w14:paraId="1DEB99D3"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 xml:space="preserve">   National Housing Finance and Investment Corporation</w:t>
            </w:r>
          </w:p>
        </w:tc>
        <w:tc>
          <w:tcPr>
            <w:tcW w:w="574" w:type="pct"/>
            <w:tcBorders>
              <w:top w:val="nil"/>
              <w:left w:val="nil"/>
              <w:bottom w:val="nil"/>
              <w:right w:val="nil"/>
            </w:tcBorders>
            <w:shd w:val="clear" w:color="auto" w:fill="auto"/>
            <w:noWrap/>
            <w:vAlign w:val="center"/>
            <w:hideMark/>
          </w:tcPr>
          <w:p w14:paraId="7278E4CD"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39,939 </w:t>
            </w:r>
          </w:p>
        </w:tc>
        <w:tc>
          <w:tcPr>
            <w:tcW w:w="574" w:type="pct"/>
            <w:tcBorders>
              <w:top w:val="nil"/>
              <w:left w:val="nil"/>
              <w:bottom w:val="nil"/>
              <w:right w:val="nil"/>
            </w:tcBorders>
            <w:shd w:val="clear" w:color="000000" w:fill="E6E6E6"/>
            <w:noWrap/>
            <w:vAlign w:val="center"/>
            <w:hideMark/>
          </w:tcPr>
          <w:p w14:paraId="22EE92AC"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41,416 </w:t>
            </w:r>
          </w:p>
        </w:tc>
        <w:tc>
          <w:tcPr>
            <w:tcW w:w="574" w:type="pct"/>
            <w:tcBorders>
              <w:top w:val="nil"/>
              <w:left w:val="nil"/>
              <w:bottom w:val="nil"/>
              <w:right w:val="nil"/>
            </w:tcBorders>
            <w:shd w:val="clear" w:color="auto" w:fill="auto"/>
            <w:noWrap/>
            <w:vAlign w:val="center"/>
            <w:hideMark/>
          </w:tcPr>
          <w:p w14:paraId="357D9040"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4,845 </w:t>
            </w:r>
          </w:p>
        </w:tc>
        <w:tc>
          <w:tcPr>
            <w:tcW w:w="574" w:type="pct"/>
            <w:tcBorders>
              <w:top w:val="nil"/>
              <w:left w:val="nil"/>
              <w:bottom w:val="nil"/>
              <w:right w:val="nil"/>
            </w:tcBorders>
            <w:shd w:val="clear" w:color="auto" w:fill="auto"/>
            <w:noWrap/>
            <w:vAlign w:val="center"/>
            <w:hideMark/>
          </w:tcPr>
          <w:p w14:paraId="2D13B0D5"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4,878 </w:t>
            </w:r>
          </w:p>
        </w:tc>
        <w:tc>
          <w:tcPr>
            <w:tcW w:w="574" w:type="pct"/>
            <w:tcBorders>
              <w:top w:val="nil"/>
              <w:left w:val="nil"/>
              <w:bottom w:val="nil"/>
              <w:right w:val="nil"/>
            </w:tcBorders>
            <w:shd w:val="clear" w:color="auto" w:fill="auto"/>
            <w:noWrap/>
            <w:vAlign w:val="center"/>
            <w:hideMark/>
          </w:tcPr>
          <w:p w14:paraId="67739D17"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4,220 </w:t>
            </w:r>
          </w:p>
        </w:tc>
      </w:tr>
      <w:tr w:rsidR="00BF4C99" w:rsidRPr="00BF4C99" w14:paraId="4258D19D" w14:textId="77777777" w:rsidTr="00BF4C99">
        <w:trPr>
          <w:trHeight w:hRule="exact" w:val="225"/>
        </w:trPr>
        <w:tc>
          <w:tcPr>
            <w:tcW w:w="2130" w:type="pct"/>
            <w:tcBorders>
              <w:top w:val="nil"/>
              <w:left w:val="nil"/>
              <w:bottom w:val="nil"/>
              <w:right w:val="nil"/>
            </w:tcBorders>
            <w:shd w:val="clear" w:color="000000" w:fill="FFFFFF"/>
            <w:vAlign w:val="center"/>
            <w:hideMark/>
          </w:tcPr>
          <w:p w14:paraId="14AEFD0D"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 xml:space="preserve">   Other</w:t>
            </w:r>
          </w:p>
        </w:tc>
        <w:tc>
          <w:tcPr>
            <w:tcW w:w="574" w:type="pct"/>
            <w:tcBorders>
              <w:top w:val="nil"/>
              <w:left w:val="nil"/>
              <w:bottom w:val="nil"/>
              <w:right w:val="nil"/>
            </w:tcBorders>
            <w:shd w:val="clear" w:color="auto" w:fill="auto"/>
            <w:noWrap/>
            <w:vAlign w:val="center"/>
            <w:hideMark/>
          </w:tcPr>
          <w:p w14:paraId="182EA468"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53,944 </w:t>
            </w:r>
          </w:p>
        </w:tc>
        <w:tc>
          <w:tcPr>
            <w:tcW w:w="574" w:type="pct"/>
            <w:tcBorders>
              <w:top w:val="nil"/>
              <w:left w:val="nil"/>
              <w:bottom w:val="nil"/>
              <w:right w:val="nil"/>
            </w:tcBorders>
            <w:shd w:val="clear" w:color="000000" w:fill="E6E6E6"/>
            <w:noWrap/>
            <w:vAlign w:val="center"/>
            <w:hideMark/>
          </w:tcPr>
          <w:p w14:paraId="5065E499"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27,375 </w:t>
            </w:r>
          </w:p>
        </w:tc>
        <w:tc>
          <w:tcPr>
            <w:tcW w:w="574" w:type="pct"/>
            <w:tcBorders>
              <w:top w:val="nil"/>
              <w:left w:val="nil"/>
              <w:bottom w:val="nil"/>
              <w:right w:val="nil"/>
            </w:tcBorders>
            <w:shd w:val="clear" w:color="auto" w:fill="auto"/>
            <w:noWrap/>
            <w:vAlign w:val="center"/>
            <w:hideMark/>
          </w:tcPr>
          <w:p w14:paraId="6FFFB1F9"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11,412 </w:t>
            </w:r>
          </w:p>
        </w:tc>
        <w:tc>
          <w:tcPr>
            <w:tcW w:w="574" w:type="pct"/>
            <w:tcBorders>
              <w:top w:val="nil"/>
              <w:left w:val="nil"/>
              <w:bottom w:val="nil"/>
              <w:right w:val="nil"/>
            </w:tcBorders>
            <w:shd w:val="clear" w:color="auto" w:fill="auto"/>
            <w:noWrap/>
            <w:vAlign w:val="center"/>
            <w:hideMark/>
          </w:tcPr>
          <w:p w14:paraId="3F5B88FB"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9,514 </w:t>
            </w:r>
          </w:p>
        </w:tc>
        <w:tc>
          <w:tcPr>
            <w:tcW w:w="574" w:type="pct"/>
            <w:tcBorders>
              <w:top w:val="nil"/>
              <w:left w:val="nil"/>
              <w:bottom w:val="nil"/>
              <w:right w:val="nil"/>
            </w:tcBorders>
            <w:shd w:val="clear" w:color="auto" w:fill="auto"/>
            <w:noWrap/>
            <w:vAlign w:val="center"/>
            <w:hideMark/>
          </w:tcPr>
          <w:p w14:paraId="35A2D1D6"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7,887 </w:t>
            </w:r>
          </w:p>
        </w:tc>
      </w:tr>
      <w:tr w:rsidR="00BF4C99" w:rsidRPr="00BF4C99" w14:paraId="1C302ABA" w14:textId="77777777" w:rsidTr="00BF4C99">
        <w:trPr>
          <w:trHeight w:hRule="exact" w:val="225"/>
        </w:trPr>
        <w:tc>
          <w:tcPr>
            <w:tcW w:w="2130" w:type="pct"/>
            <w:tcBorders>
              <w:top w:val="nil"/>
              <w:left w:val="nil"/>
              <w:bottom w:val="nil"/>
              <w:right w:val="nil"/>
            </w:tcBorders>
            <w:shd w:val="clear" w:color="000000" w:fill="FFFFFF"/>
            <w:vAlign w:val="center"/>
            <w:hideMark/>
          </w:tcPr>
          <w:p w14:paraId="646E49D3"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Special accounts</w:t>
            </w:r>
          </w:p>
        </w:tc>
        <w:tc>
          <w:tcPr>
            <w:tcW w:w="574" w:type="pct"/>
            <w:tcBorders>
              <w:top w:val="nil"/>
              <w:left w:val="nil"/>
              <w:bottom w:val="nil"/>
              <w:right w:val="nil"/>
            </w:tcBorders>
            <w:shd w:val="clear" w:color="auto" w:fill="auto"/>
            <w:noWrap/>
            <w:vAlign w:val="center"/>
            <w:hideMark/>
          </w:tcPr>
          <w:p w14:paraId="76132307" w14:textId="77777777" w:rsidR="00BF4C99" w:rsidRPr="00BF4C99" w:rsidRDefault="00BF4C99" w:rsidP="00BF4C99">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5733BBA7"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76B2D619" w14:textId="77777777" w:rsidR="00BF4C99" w:rsidRPr="00BF4C99" w:rsidRDefault="00BF4C99" w:rsidP="00BF4C99">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45CC7485"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F9EDA79" w14:textId="77777777" w:rsidR="00BF4C99" w:rsidRPr="00BF4C99" w:rsidRDefault="00BF4C99" w:rsidP="00BF4C99">
            <w:pPr>
              <w:spacing w:after="0" w:line="240" w:lineRule="auto"/>
              <w:jc w:val="left"/>
              <w:rPr>
                <w:rFonts w:ascii="Times New Roman" w:hAnsi="Times New Roman"/>
              </w:rPr>
            </w:pPr>
          </w:p>
        </w:tc>
      </w:tr>
      <w:tr w:rsidR="00BF4C99" w:rsidRPr="00BF4C99" w14:paraId="1483314C" w14:textId="77777777" w:rsidTr="00BF4C99">
        <w:trPr>
          <w:trHeight w:hRule="exact" w:val="225"/>
        </w:trPr>
        <w:tc>
          <w:tcPr>
            <w:tcW w:w="2130" w:type="pct"/>
            <w:tcBorders>
              <w:top w:val="nil"/>
              <w:left w:val="nil"/>
              <w:bottom w:val="nil"/>
              <w:right w:val="nil"/>
            </w:tcBorders>
            <w:shd w:val="clear" w:color="000000" w:fill="FFFFFF"/>
            <w:vAlign w:val="center"/>
            <w:hideMark/>
          </w:tcPr>
          <w:p w14:paraId="7EE3E214" w14:textId="565A973B" w:rsidR="00BF4C99" w:rsidRPr="00BF4C99" w:rsidRDefault="00BF4C99" w:rsidP="00BF4C99">
            <w:pPr>
              <w:spacing w:after="0" w:line="240" w:lineRule="auto"/>
              <w:ind w:left="340"/>
              <w:jc w:val="left"/>
              <w:rPr>
                <w:rFonts w:ascii="Arial" w:hAnsi="Arial" w:cs="Arial"/>
                <w:sz w:val="16"/>
                <w:szCs w:val="16"/>
              </w:rPr>
            </w:pPr>
            <w:r w:rsidRPr="00BF4C99">
              <w:rPr>
                <w:rFonts w:ascii="Arial" w:hAnsi="Arial" w:cs="Arial"/>
                <w:sz w:val="16"/>
                <w:szCs w:val="16"/>
              </w:rPr>
              <w:t>Special account</w:t>
            </w:r>
            <w:r w:rsidR="00B33758">
              <w:rPr>
                <w:rFonts w:ascii="Arial" w:hAnsi="Arial" w:cs="Arial"/>
                <w:sz w:val="16"/>
                <w:szCs w:val="16"/>
              </w:rPr>
              <w:t xml:space="preserve"> – </w:t>
            </w:r>
            <w:r w:rsidRPr="00BF4C99">
              <w:rPr>
                <w:rFonts w:ascii="Arial" w:hAnsi="Arial" w:cs="Arial"/>
                <w:sz w:val="16"/>
                <w:szCs w:val="16"/>
              </w:rPr>
              <w:t>Medicare Guarantee Fund</w:t>
            </w:r>
          </w:p>
        </w:tc>
        <w:tc>
          <w:tcPr>
            <w:tcW w:w="574" w:type="pct"/>
            <w:tcBorders>
              <w:top w:val="nil"/>
              <w:left w:val="nil"/>
              <w:bottom w:val="nil"/>
              <w:right w:val="nil"/>
            </w:tcBorders>
            <w:shd w:val="clear" w:color="auto" w:fill="auto"/>
            <w:noWrap/>
            <w:vAlign w:val="center"/>
            <w:hideMark/>
          </w:tcPr>
          <w:p w14:paraId="07652888"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44,867,877 </w:t>
            </w:r>
          </w:p>
        </w:tc>
        <w:tc>
          <w:tcPr>
            <w:tcW w:w="574" w:type="pct"/>
            <w:tcBorders>
              <w:top w:val="nil"/>
              <w:left w:val="nil"/>
              <w:bottom w:val="nil"/>
              <w:right w:val="nil"/>
            </w:tcBorders>
            <w:shd w:val="clear" w:color="000000" w:fill="E6E6E6"/>
            <w:noWrap/>
            <w:vAlign w:val="center"/>
            <w:hideMark/>
          </w:tcPr>
          <w:p w14:paraId="4ED0A845"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46,467,038 </w:t>
            </w:r>
          </w:p>
        </w:tc>
        <w:tc>
          <w:tcPr>
            <w:tcW w:w="574" w:type="pct"/>
            <w:tcBorders>
              <w:top w:val="nil"/>
              <w:left w:val="nil"/>
              <w:bottom w:val="nil"/>
              <w:right w:val="nil"/>
            </w:tcBorders>
            <w:shd w:val="clear" w:color="auto" w:fill="auto"/>
            <w:noWrap/>
            <w:vAlign w:val="center"/>
            <w:hideMark/>
          </w:tcPr>
          <w:p w14:paraId="35D4481E"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47,296,749 </w:t>
            </w:r>
          </w:p>
        </w:tc>
        <w:tc>
          <w:tcPr>
            <w:tcW w:w="574" w:type="pct"/>
            <w:tcBorders>
              <w:top w:val="nil"/>
              <w:left w:val="nil"/>
              <w:bottom w:val="nil"/>
              <w:right w:val="nil"/>
            </w:tcBorders>
            <w:shd w:val="clear" w:color="auto" w:fill="auto"/>
            <w:noWrap/>
            <w:vAlign w:val="center"/>
            <w:hideMark/>
          </w:tcPr>
          <w:p w14:paraId="2BDF73B4"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49,001,481 </w:t>
            </w:r>
          </w:p>
        </w:tc>
        <w:tc>
          <w:tcPr>
            <w:tcW w:w="574" w:type="pct"/>
            <w:tcBorders>
              <w:top w:val="nil"/>
              <w:left w:val="nil"/>
              <w:bottom w:val="nil"/>
              <w:right w:val="nil"/>
            </w:tcBorders>
            <w:shd w:val="clear" w:color="auto" w:fill="auto"/>
            <w:noWrap/>
            <w:vAlign w:val="center"/>
            <w:hideMark/>
          </w:tcPr>
          <w:p w14:paraId="36667AD6"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50,770,771 </w:t>
            </w:r>
          </w:p>
        </w:tc>
      </w:tr>
      <w:tr w:rsidR="00BF4C99" w:rsidRPr="00BF4C99" w14:paraId="1A2A6E3E" w14:textId="77777777" w:rsidTr="00BF4C99">
        <w:trPr>
          <w:trHeight w:hRule="exact" w:val="450"/>
        </w:trPr>
        <w:tc>
          <w:tcPr>
            <w:tcW w:w="2130" w:type="pct"/>
            <w:tcBorders>
              <w:top w:val="nil"/>
              <w:left w:val="nil"/>
              <w:bottom w:val="nil"/>
              <w:right w:val="nil"/>
            </w:tcBorders>
            <w:shd w:val="clear" w:color="auto" w:fill="auto"/>
            <w:vAlign w:val="center"/>
            <w:hideMark/>
          </w:tcPr>
          <w:p w14:paraId="0806E404"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Expenses not requiring appropriation in</w:t>
            </w:r>
            <w:r w:rsidRPr="00BF4C99">
              <w:rPr>
                <w:rFonts w:ascii="Arial" w:hAnsi="Arial" w:cs="Arial"/>
                <w:sz w:val="16"/>
                <w:szCs w:val="16"/>
              </w:rPr>
              <w:br/>
              <w:t xml:space="preserve">  the Budget year (b)</w:t>
            </w:r>
          </w:p>
        </w:tc>
        <w:tc>
          <w:tcPr>
            <w:tcW w:w="574" w:type="pct"/>
            <w:tcBorders>
              <w:top w:val="nil"/>
              <w:left w:val="nil"/>
              <w:bottom w:val="nil"/>
              <w:right w:val="nil"/>
            </w:tcBorders>
            <w:shd w:val="clear" w:color="auto" w:fill="auto"/>
            <w:noWrap/>
            <w:vAlign w:val="center"/>
            <w:hideMark/>
          </w:tcPr>
          <w:p w14:paraId="0B6611CC"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7,368 </w:t>
            </w:r>
          </w:p>
        </w:tc>
        <w:tc>
          <w:tcPr>
            <w:tcW w:w="574" w:type="pct"/>
            <w:tcBorders>
              <w:top w:val="nil"/>
              <w:left w:val="nil"/>
              <w:bottom w:val="nil"/>
              <w:right w:val="nil"/>
            </w:tcBorders>
            <w:shd w:val="clear" w:color="000000" w:fill="E6E6E6"/>
            <w:noWrap/>
            <w:vAlign w:val="center"/>
            <w:hideMark/>
          </w:tcPr>
          <w:p w14:paraId="65C57641"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32,268 </w:t>
            </w:r>
          </w:p>
        </w:tc>
        <w:tc>
          <w:tcPr>
            <w:tcW w:w="574" w:type="pct"/>
            <w:tcBorders>
              <w:top w:val="nil"/>
              <w:left w:val="nil"/>
              <w:bottom w:val="nil"/>
              <w:right w:val="nil"/>
            </w:tcBorders>
            <w:shd w:val="clear" w:color="auto" w:fill="auto"/>
            <w:noWrap/>
            <w:vAlign w:val="center"/>
            <w:hideMark/>
          </w:tcPr>
          <w:p w14:paraId="63568FD3"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33,424 </w:t>
            </w:r>
          </w:p>
        </w:tc>
        <w:tc>
          <w:tcPr>
            <w:tcW w:w="574" w:type="pct"/>
            <w:tcBorders>
              <w:top w:val="nil"/>
              <w:left w:val="nil"/>
              <w:bottom w:val="nil"/>
              <w:right w:val="nil"/>
            </w:tcBorders>
            <w:shd w:val="clear" w:color="auto" w:fill="auto"/>
            <w:noWrap/>
            <w:vAlign w:val="center"/>
            <w:hideMark/>
          </w:tcPr>
          <w:p w14:paraId="0AD8874B"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34,630 </w:t>
            </w:r>
          </w:p>
        </w:tc>
        <w:tc>
          <w:tcPr>
            <w:tcW w:w="574" w:type="pct"/>
            <w:tcBorders>
              <w:top w:val="nil"/>
              <w:left w:val="nil"/>
              <w:bottom w:val="nil"/>
              <w:right w:val="nil"/>
            </w:tcBorders>
            <w:shd w:val="clear" w:color="auto" w:fill="auto"/>
            <w:noWrap/>
            <w:vAlign w:val="center"/>
            <w:hideMark/>
          </w:tcPr>
          <w:p w14:paraId="2FCB0277"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26,114 </w:t>
            </w:r>
          </w:p>
        </w:tc>
      </w:tr>
      <w:tr w:rsidR="00BF4C99" w:rsidRPr="00BF4C99" w14:paraId="3C10F594" w14:textId="77777777" w:rsidTr="00BF4C99">
        <w:trPr>
          <w:trHeight w:hRule="exact" w:val="225"/>
        </w:trPr>
        <w:tc>
          <w:tcPr>
            <w:tcW w:w="2130" w:type="pct"/>
            <w:tcBorders>
              <w:top w:val="nil"/>
              <w:left w:val="nil"/>
              <w:bottom w:val="nil"/>
              <w:right w:val="nil"/>
            </w:tcBorders>
            <w:shd w:val="clear" w:color="000000" w:fill="FFFFFF"/>
            <w:vAlign w:val="center"/>
            <w:hideMark/>
          </w:tcPr>
          <w:p w14:paraId="68D40049"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Administered total</w:t>
            </w:r>
          </w:p>
        </w:tc>
        <w:tc>
          <w:tcPr>
            <w:tcW w:w="574" w:type="pct"/>
            <w:tcBorders>
              <w:top w:val="single" w:sz="4" w:space="0" w:color="000000"/>
              <w:left w:val="nil"/>
              <w:bottom w:val="single" w:sz="4" w:space="0" w:color="000000"/>
              <w:right w:val="nil"/>
            </w:tcBorders>
            <w:shd w:val="clear" w:color="auto" w:fill="auto"/>
            <w:noWrap/>
            <w:vAlign w:val="center"/>
            <w:hideMark/>
          </w:tcPr>
          <w:p w14:paraId="281BE077" w14:textId="77777777" w:rsidR="00BF4C99" w:rsidRPr="00BF4C99" w:rsidRDefault="00BF4C99" w:rsidP="00BF4C99">
            <w:pPr>
              <w:spacing w:after="0" w:line="240" w:lineRule="auto"/>
              <w:jc w:val="right"/>
              <w:rPr>
                <w:rFonts w:ascii="Arial" w:hAnsi="Arial" w:cs="Arial"/>
                <w:b/>
                <w:bCs/>
                <w:color w:val="000000"/>
                <w:sz w:val="16"/>
                <w:szCs w:val="16"/>
              </w:rPr>
            </w:pPr>
            <w:r w:rsidRPr="00BF4C99">
              <w:rPr>
                <w:rFonts w:ascii="Arial" w:hAnsi="Arial" w:cs="Arial"/>
                <w:b/>
                <w:bCs/>
                <w:color w:val="000000"/>
                <w:sz w:val="16"/>
                <w:szCs w:val="16"/>
              </w:rPr>
              <w:t xml:space="preserve">44,969,128 </w:t>
            </w:r>
          </w:p>
        </w:tc>
        <w:tc>
          <w:tcPr>
            <w:tcW w:w="574" w:type="pct"/>
            <w:tcBorders>
              <w:top w:val="single" w:sz="4" w:space="0" w:color="000000"/>
              <w:left w:val="nil"/>
              <w:bottom w:val="single" w:sz="4" w:space="0" w:color="000000"/>
              <w:right w:val="nil"/>
            </w:tcBorders>
            <w:shd w:val="clear" w:color="000000" w:fill="E6E6E6"/>
            <w:noWrap/>
            <w:vAlign w:val="center"/>
            <w:hideMark/>
          </w:tcPr>
          <w:p w14:paraId="507EF6F1"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46,568,098 </w:t>
            </w:r>
          </w:p>
        </w:tc>
        <w:tc>
          <w:tcPr>
            <w:tcW w:w="574" w:type="pct"/>
            <w:tcBorders>
              <w:top w:val="single" w:sz="4" w:space="0" w:color="000000"/>
              <w:left w:val="nil"/>
              <w:bottom w:val="single" w:sz="4" w:space="0" w:color="000000"/>
              <w:right w:val="nil"/>
            </w:tcBorders>
            <w:shd w:val="clear" w:color="auto" w:fill="auto"/>
            <w:noWrap/>
            <w:vAlign w:val="center"/>
            <w:hideMark/>
          </w:tcPr>
          <w:p w14:paraId="31D460DB"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47,346,429 </w:t>
            </w:r>
          </w:p>
        </w:tc>
        <w:tc>
          <w:tcPr>
            <w:tcW w:w="574" w:type="pct"/>
            <w:tcBorders>
              <w:top w:val="single" w:sz="4" w:space="0" w:color="000000"/>
              <w:left w:val="nil"/>
              <w:bottom w:val="single" w:sz="4" w:space="0" w:color="000000"/>
              <w:right w:val="nil"/>
            </w:tcBorders>
            <w:shd w:val="clear" w:color="auto" w:fill="auto"/>
            <w:noWrap/>
            <w:vAlign w:val="center"/>
            <w:hideMark/>
          </w:tcPr>
          <w:p w14:paraId="3B947B37"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49,050,504 </w:t>
            </w:r>
          </w:p>
        </w:tc>
        <w:tc>
          <w:tcPr>
            <w:tcW w:w="574" w:type="pct"/>
            <w:tcBorders>
              <w:top w:val="single" w:sz="4" w:space="0" w:color="000000"/>
              <w:left w:val="nil"/>
              <w:bottom w:val="single" w:sz="4" w:space="0" w:color="000000"/>
              <w:right w:val="nil"/>
            </w:tcBorders>
            <w:shd w:val="clear" w:color="auto" w:fill="auto"/>
            <w:noWrap/>
            <w:vAlign w:val="center"/>
            <w:hideMark/>
          </w:tcPr>
          <w:p w14:paraId="4A47B5A9"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50,808,992 </w:t>
            </w:r>
          </w:p>
        </w:tc>
      </w:tr>
      <w:tr w:rsidR="00BF4C99" w:rsidRPr="00BF4C99" w14:paraId="7D794628" w14:textId="77777777" w:rsidTr="00BF4C99">
        <w:trPr>
          <w:trHeight w:hRule="exact" w:val="225"/>
        </w:trPr>
        <w:tc>
          <w:tcPr>
            <w:tcW w:w="2130" w:type="pct"/>
            <w:tcBorders>
              <w:top w:val="nil"/>
              <w:left w:val="nil"/>
              <w:bottom w:val="nil"/>
              <w:right w:val="nil"/>
            </w:tcBorders>
            <w:shd w:val="clear" w:color="000000" w:fill="FFFFFF"/>
            <w:noWrap/>
            <w:vAlign w:val="center"/>
            <w:hideMark/>
          </w:tcPr>
          <w:p w14:paraId="71A9F8CB" w14:textId="77777777" w:rsidR="00BF4C99" w:rsidRPr="00BF4C99" w:rsidRDefault="00BF4C99" w:rsidP="00BF4C99">
            <w:pPr>
              <w:spacing w:after="0" w:line="240" w:lineRule="auto"/>
              <w:jc w:val="left"/>
              <w:rPr>
                <w:rFonts w:ascii="Arial" w:hAnsi="Arial" w:cs="Arial"/>
                <w:sz w:val="16"/>
                <w:szCs w:val="16"/>
              </w:rPr>
            </w:pPr>
            <w:r w:rsidRPr="00BF4C99">
              <w:rPr>
                <w:rFonts w:ascii="Arial" w:hAnsi="Arial" w:cs="Arial"/>
                <w:sz w:val="16"/>
                <w:szCs w:val="16"/>
              </w:rPr>
              <w:t>Departmental expenses</w:t>
            </w:r>
          </w:p>
        </w:tc>
        <w:tc>
          <w:tcPr>
            <w:tcW w:w="574" w:type="pct"/>
            <w:tcBorders>
              <w:top w:val="nil"/>
              <w:left w:val="nil"/>
              <w:bottom w:val="nil"/>
              <w:right w:val="nil"/>
            </w:tcBorders>
            <w:shd w:val="clear" w:color="auto" w:fill="auto"/>
            <w:noWrap/>
            <w:vAlign w:val="center"/>
            <w:hideMark/>
          </w:tcPr>
          <w:p w14:paraId="20BA6F45" w14:textId="77777777" w:rsidR="00BF4C99" w:rsidRPr="00BF4C99" w:rsidRDefault="00BF4C99" w:rsidP="00BF4C99">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2B4B76B8"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091643B8" w14:textId="77777777" w:rsidR="00BF4C99" w:rsidRPr="00BF4C99" w:rsidRDefault="00BF4C99" w:rsidP="00BF4C99">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36309946"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0174EB73" w14:textId="77777777" w:rsidR="00BF4C99" w:rsidRPr="00BF4C99" w:rsidRDefault="00BF4C99" w:rsidP="00BF4C99">
            <w:pPr>
              <w:spacing w:after="0" w:line="240" w:lineRule="auto"/>
              <w:jc w:val="left"/>
              <w:rPr>
                <w:rFonts w:ascii="Times New Roman" w:hAnsi="Times New Roman"/>
              </w:rPr>
            </w:pPr>
          </w:p>
        </w:tc>
      </w:tr>
      <w:tr w:rsidR="00BF4C99" w:rsidRPr="00BF4C99" w14:paraId="0070F3A4" w14:textId="77777777" w:rsidTr="00BF4C99">
        <w:trPr>
          <w:trHeight w:hRule="exact" w:val="225"/>
        </w:trPr>
        <w:tc>
          <w:tcPr>
            <w:tcW w:w="2130" w:type="pct"/>
            <w:tcBorders>
              <w:top w:val="nil"/>
              <w:left w:val="nil"/>
              <w:bottom w:val="nil"/>
              <w:right w:val="nil"/>
            </w:tcBorders>
            <w:shd w:val="clear" w:color="000000" w:fill="FFFFFF"/>
            <w:noWrap/>
            <w:vAlign w:val="center"/>
            <w:hideMark/>
          </w:tcPr>
          <w:p w14:paraId="30857341"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Departmental appropriation</w:t>
            </w:r>
          </w:p>
        </w:tc>
        <w:tc>
          <w:tcPr>
            <w:tcW w:w="574" w:type="pct"/>
            <w:tcBorders>
              <w:top w:val="nil"/>
              <w:left w:val="nil"/>
              <w:bottom w:val="nil"/>
              <w:right w:val="nil"/>
            </w:tcBorders>
            <w:shd w:val="clear" w:color="auto" w:fill="auto"/>
            <w:noWrap/>
            <w:vAlign w:val="center"/>
            <w:hideMark/>
          </w:tcPr>
          <w:p w14:paraId="0AA35A43"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327,640 </w:t>
            </w:r>
          </w:p>
        </w:tc>
        <w:tc>
          <w:tcPr>
            <w:tcW w:w="574" w:type="pct"/>
            <w:tcBorders>
              <w:top w:val="nil"/>
              <w:left w:val="nil"/>
              <w:bottom w:val="nil"/>
              <w:right w:val="nil"/>
            </w:tcBorders>
            <w:shd w:val="clear" w:color="000000" w:fill="E6E6E6"/>
            <w:noWrap/>
            <w:vAlign w:val="center"/>
            <w:hideMark/>
          </w:tcPr>
          <w:p w14:paraId="37CA610E"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324,281 </w:t>
            </w:r>
          </w:p>
        </w:tc>
        <w:tc>
          <w:tcPr>
            <w:tcW w:w="574" w:type="pct"/>
            <w:tcBorders>
              <w:top w:val="nil"/>
              <w:left w:val="nil"/>
              <w:bottom w:val="nil"/>
              <w:right w:val="nil"/>
            </w:tcBorders>
            <w:shd w:val="clear" w:color="auto" w:fill="auto"/>
            <w:noWrap/>
            <w:vAlign w:val="center"/>
            <w:hideMark/>
          </w:tcPr>
          <w:p w14:paraId="69FA3013"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271,589 </w:t>
            </w:r>
          </w:p>
        </w:tc>
        <w:tc>
          <w:tcPr>
            <w:tcW w:w="574" w:type="pct"/>
            <w:tcBorders>
              <w:top w:val="nil"/>
              <w:left w:val="nil"/>
              <w:bottom w:val="nil"/>
              <w:right w:val="nil"/>
            </w:tcBorders>
            <w:shd w:val="clear" w:color="auto" w:fill="auto"/>
            <w:noWrap/>
            <w:vAlign w:val="center"/>
            <w:hideMark/>
          </w:tcPr>
          <w:p w14:paraId="3E132883"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249,850 </w:t>
            </w:r>
          </w:p>
        </w:tc>
        <w:tc>
          <w:tcPr>
            <w:tcW w:w="574" w:type="pct"/>
            <w:tcBorders>
              <w:top w:val="nil"/>
              <w:left w:val="nil"/>
              <w:bottom w:val="nil"/>
              <w:right w:val="nil"/>
            </w:tcBorders>
            <w:shd w:val="clear" w:color="auto" w:fill="auto"/>
            <w:noWrap/>
            <w:vAlign w:val="center"/>
            <w:hideMark/>
          </w:tcPr>
          <w:p w14:paraId="0005FABE"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243,323 </w:t>
            </w:r>
          </w:p>
        </w:tc>
      </w:tr>
      <w:tr w:rsidR="00BF4C99" w:rsidRPr="00BF4C99" w14:paraId="0BF0BC41" w14:textId="77777777" w:rsidTr="00BF4C99">
        <w:trPr>
          <w:trHeight w:hRule="exact" w:val="225"/>
        </w:trPr>
        <w:tc>
          <w:tcPr>
            <w:tcW w:w="2130" w:type="pct"/>
            <w:tcBorders>
              <w:top w:val="nil"/>
              <w:left w:val="nil"/>
              <w:bottom w:val="nil"/>
              <w:right w:val="nil"/>
            </w:tcBorders>
            <w:shd w:val="clear" w:color="000000" w:fill="FFFFFF"/>
            <w:vAlign w:val="center"/>
            <w:hideMark/>
          </w:tcPr>
          <w:p w14:paraId="083F78EE"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s74 External Revenue (a)</w:t>
            </w:r>
          </w:p>
        </w:tc>
        <w:tc>
          <w:tcPr>
            <w:tcW w:w="574" w:type="pct"/>
            <w:tcBorders>
              <w:top w:val="nil"/>
              <w:left w:val="nil"/>
              <w:bottom w:val="nil"/>
              <w:right w:val="nil"/>
            </w:tcBorders>
            <w:shd w:val="clear" w:color="auto" w:fill="auto"/>
            <w:noWrap/>
            <w:vAlign w:val="center"/>
            <w:hideMark/>
          </w:tcPr>
          <w:p w14:paraId="060EF2E3"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15,156 </w:t>
            </w:r>
          </w:p>
        </w:tc>
        <w:tc>
          <w:tcPr>
            <w:tcW w:w="574" w:type="pct"/>
            <w:tcBorders>
              <w:top w:val="nil"/>
              <w:left w:val="nil"/>
              <w:bottom w:val="nil"/>
              <w:right w:val="nil"/>
            </w:tcBorders>
            <w:shd w:val="clear" w:color="000000" w:fill="E6E6E6"/>
            <w:noWrap/>
            <w:vAlign w:val="center"/>
            <w:hideMark/>
          </w:tcPr>
          <w:p w14:paraId="0688A162"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15,156 </w:t>
            </w:r>
          </w:p>
        </w:tc>
        <w:tc>
          <w:tcPr>
            <w:tcW w:w="574" w:type="pct"/>
            <w:tcBorders>
              <w:top w:val="nil"/>
              <w:left w:val="nil"/>
              <w:bottom w:val="nil"/>
              <w:right w:val="nil"/>
            </w:tcBorders>
            <w:shd w:val="clear" w:color="auto" w:fill="auto"/>
            <w:noWrap/>
            <w:vAlign w:val="center"/>
            <w:hideMark/>
          </w:tcPr>
          <w:p w14:paraId="42A3DD31"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15,156 </w:t>
            </w:r>
          </w:p>
        </w:tc>
        <w:tc>
          <w:tcPr>
            <w:tcW w:w="574" w:type="pct"/>
            <w:tcBorders>
              <w:top w:val="nil"/>
              <w:left w:val="nil"/>
              <w:bottom w:val="nil"/>
              <w:right w:val="nil"/>
            </w:tcBorders>
            <w:shd w:val="clear" w:color="auto" w:fill="auto"/>
            <w:noWrap/>
            <w:vAlign w:val="center"/>
            <w:hideMark/>
          </w:tcPr>
          <w:p w14:paraId="236985EB"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15,156 </w:t>
            </w:r>
          </w:p>
        </w:tc>
        <w:tc>
          <w:tcPr>
            <w:tcW w:w="574" w:type="pct"/>
            <w:tcBorders>
              <w:top w:val="nil"/>
              <w:left w:val="nil"/>
              <w:bottom w:val="nil"/>
              <w:right w:val="nil"/>
            </w:tcBorders>
            <w:shd w:val="clear" w:color="auto" w:fill="auto"/>
            <w:noWrap/>
            <w:vAlign w:val="center"/>
            <w:hideMark/>
          </w:tcPr>
          <w:p w14:paraId="224353C0"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15,156 </w:t>
            </w:r>
          </w:p>
        </w:tc>
      </w:tr>
      <w:tr w:rsidR="00BF4C99" w:rsidRPr="00BF4C99" w14:paraId="2605D968" w14:textId="77777777" w:rsidTr="00BF4C99">
        <w:trPr>
          <w:trHeight w:hRule="exact" w:val="450"/>
        </w:trPr>
        <w:tc>
          <w:tcPr>
            <w:tcW w:w="2130" w:type="pct"/>
            <w:tcBorders>
              <w:top w:val="nil"/>
              <w:left w:val="nil"/>
              <w:bottom w:val="nil"/>
              <w:right w:val="nil"/>
            </w:tcBorders>
            <w:shd w:val="clear" w:color="000000" w:fill="FFFFFF"/>
            <w:vAlign w:val="center"/>
            <w:hideMark/>
          </w:tcPr>
          <w:p w14:paraId="2D72B260"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Expenses not requiring appropriation in the Budget</w:t>
            </w:r>
            <w:r w:rsidRPr="00BF4C99">
              <w:rPr>
                <w:rFonts w:ascii="Arial" w:hAnsi="Arial" w:cs="Arial"/>
                <w:sz w:val="16"/>
                <w:szCs w:val="16"/>
              </w:rPr>
              <w:br/>
              <w:t xml:space="preserve">  year (b)</w:t>
            </w:r>
          </w:p>
        </w:tc>
        <w:tc>
          <w:tcPr>
            <w:tcW w:w="574" w:type="pct"/>
            <w:tcBorders>
              <w:top w:val="nil"/>
              <w:left w:val="nil"/>
              <w:bottom w:val="nil"/>
              <w:right w:val="nil"/>
            </w:tcBorders>
            <w:shd w:val="clear" w:color="auto" w:fill="auto"/>
            <w:noWrap/>
            <w:vAlign w:val="center"/>
            <w:hideMark/>
          </w:tcPr>
          <w:p w14:paraId="2431DF86"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9,118 </w:t>
            </w:r>
          </w:p>
        </w:tc>
        <w:tc>
          <w:tcPr>
            <w:tcW w:w="574" w:type="pct"/>
            <w:tcBorders>
              <w:top w:val="nil"/>
              <w:left w:val="nil"/>
              <w:bottom w:val="nil"/>
              <w:right w:val="nil"/>
            </w:tcBorders>
            <w:shd w:val="clear" w:color="000000" w:fill="E6E6E6"/>
            <w:noWrap/>
            <w:vAlign w:val="center"/>
            <w:hideMark/>
          </w:tcPr>
          <w:p w14:paraId="2858D892"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8,508 </w:t>
            </w:r>
          </w:p>
        </w:tc>
        <w:tc>
          <w:tcPr>
            <w:tcW w:w="574" w:type="pct"/>
            <w:tcBorders>
              <w:top w:val="nil"/>
              <w:left w:val="nil"/>
              <w:bottom w:val="nil"/>
              <w:right w:val="nil"/>
            </w:tcBorders>
            <w:shd w:val="clear" w:color="auto" w:fill="auto"/>
            <w:noWrap/>
            <w:vAlign w:val="center"/>
            <w:hideMark/>
          </w:tcPr>
          <w:p w14:paraId="7379180D"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8,464 </w:t>
            </w:r>
          </w:p>
        </w:tc>
        <w:tc>
          <w:tcPr>
            <w:tcW w:w="574" w:type="pct"/>
            <w:tcBorders>
              <w:top w:val="nil"/>
              <w:left w:val="nil"/>
              <w:bottom w:val="nil"/>
              <w:right w:val="nil"/>
            </w:tcBorders>
            <w:shd w:val="clear" w:color="auto" w:fill="auto"/>
            <w:noWrap/>
            <w:vAlign w:val="center"/>
            <w:hideMark/>
          </w:tcPr>
          <w:p w14:paraId="079CA1B6"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8,671 </w:t>
            </w:r>
          </w:p>
        </w:tc>
        <w:tc>
          <w:tcPr>
            <w:tcW w:w="574" w:type="pct"/>
            <w:tcBorders>
              <w:top w:val="nil"/>
              <w:left w:val="nil"/>
              <w:bottom w:val="nil"/>
              <w:right w:val="nil"/>
            </w:tcBorders>
            <w:shd w:val="clear" w:color="auto" w:fill="auto"/>
            <w:noWrap/>
            <w:vAlign w:val="center"/>
            <w:hideMark/>
          </w:tcPr>
          <w:p w14:paraId="1EF487AE"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8,622 </w:t>
            </w:r>
          </w:p>
        </w:tc>
      </w:tr>
      <w:tr w:rsidR="00BF4C99" w:rsidRPr="00BF4C99" w14:paraId="7F6E43EB" w14:textId="77777777" w:rsidTr="00BF4C99">
        <w:trPr>
          <w:trHeight w:hRule="exact" w:val="225"/>
        </w:trPr>
        <w:tc>
          <w:tcPr>
            <w:tcW w:w="2130" w:type="pct"/>
            <w:tcBorders>
              <w:top w:val="nil"/>
              <w:left w:val="nil"/>
              <w:bottom w:val="nil"/>
              <w:right w:val="nil"/>
            </w:tcBorders>
            <w:shd w:val="clear" w:color="auto" w:fill="auto"/>
            <w:vAlign w:val="center"/>
            <w:hideMark/>
          </w:tcPr>
          <w:p w14:paraId="4972314A"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Departmental total</w:t>
            </w:r>
          </w:p>
        </w:tc>
        <w:tc>
          <w:tcPr>
            <w:tcW w:w="574" w:type="pct"/>
            <w:tcBorders>
              <w:top w:val="single" w:sz="4" w:space="0" w:color="000000"/>
              <w:left w:val="nil"/>
              <w:bottom w:val="single" w:sz="4" w:space="0" w:color="000000"/>
              <w:right w:val="nil"/>
            </w:tcBorders>
            <w:shd w:val="clear" w:color="auto" w:fill="auto"/>
            <w:noWrap/>
            <w:vAlign w:val="center"/>
            <w:hideMark/>
          </w:tcPr>
          <w:p w14:paraId="3CD9BACD" w14:textId="77777777" w:rsidR="00BF4C99" w:rsidRPr="00BF4C99" w:rsidRDefault="00BF4C99" w:rsidP="00BF4C99">
            <w:pPr>
              <w:spacing w:after="0" w:line="240" w:lineRule="auto"/>
              <w:jc w:val="right"/>
              <w:rPr>
                <w:rFonts w:ascii="Arial" w:hAnsi="Arial" w:cs="Arial"/>
                <w:b/>
                <w:bCs/>
                <w:color w:val="000000"/>
                <w:sz w:val="16"/>
                <w:szCs w:val="16"/>
              </w:rPr>
            </w:pPr>
            <w:r w:rsidRPr="00BF4C99">
              <w:rPr>
                <w:rFonts w:ascii="Arial" w:hAnsi="Arial" w:cs="Arial"/>
                <w:b/>
                <w:bCs/>
                <w:color w:val="000000"/>
                <w:sz w:val="16"/>
                <w:szCs w:val="16"/>
              </w:rPr>
              <w:t xml:space="preserve">351,914 </w:t>
            </w:r>
          </w:p>
        </w:tc>
        <w:tc>
          <w:tcPr>
            <w:tcW w:w="574" w:type="pct"/>
            <w:tcBorders>
              <w:top w:val="single" w:sz="4" w:space="0" w:color="000000"/>
              <w:left w:val="nil"/>
              <w:bottom w:val="single" w:sz="4" w:space="0" w:color="000000"/>
              <w:right w:val="nil"/>
            </w:tcBorders>
            <w:shd w:val="clear" w:color="000000" w:fill="E6E6E6"/>
            <w:noWrap/>
            <w:vAlign w:val="center"/>
            <w:hideMark/>
          </w:tcPr>
          <w:p w14:paraId="07E018ED"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347,945 </w:t>
            </w:r>
          </w:p>
        </w:tc>
        <w:tc>
          <w:tcPr>
            <w:tcW w:w="574" w:type="pct"/>
            <w:tcBorders>
              <w:top w:val="single" w:sz="4" w:space="0" w:color="000000"/>
              <w:left w:val="nil"/>
              <w:bottom w:val="single" w:sz="4" w:space="0" w:color="000000"/>
              <w:right w:val="nil"/>
            </w:tcBorders>
            <w:shd w:val="clear" w:color="auto" w:fill="auto"/>
            <w:noWrap/>
            <w:vAlign w:val="center"/>
            <w:hideMark/>
          </w:tcPr>
          <w:p w14:paraId="3B28F664"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295,209 </w:t>
            </w:r>
          </w:p>
        </w:tc>
        <w:tc>
          <w:tcPr>
            <w:tcW w:w="574" w:type="pct"/>
            <w:tcBorders>
              <w:top w:val="single" w:sz="4" w:space="0" w:color="000000"/>
              <w:left w:val="nil"/>
              <w:bottom w:val="single" w:sz="4" w:space="0" w:color="000000"/>
              <w:right w:val="nil"/>
            </w:tcBorders>
            <w:shd w:val="clear" w:color="auto" w:fill="auto"/>
            <w:noWrap/>
            <w:vAlign w:val="center"/>
            <w:hideMark/>
          </w:tcPr>
          <w:p w14:paraId="2D81404F"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273,677 </w:t>
            </w:r>
          </w:p>
        </w:tc>
        <w:tc>
          <w:tcPr>
            <w:tcW w:w="574" w:type="pct"/>
            <w:tcBorders>
              <w:top w:val="single" w:sz="4" w:space="0" w:color="000000"/>
              <w:left w:val="nil"/>
              <w:bottom w:val="single" w:sz="4" w:space="0" w:color="000000"/>
              <w:right w:val="nil"/>
            </w:tcBorders>
            <w:shd w:val="clear" w:color="auto" w:fill="auto"/>
            <w:noWrap/>
            <w:vAlign w:val="center"/>
            <w:hideMark/>
          </w:tcPr>
          <w:p w14:paraId="528CD257"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267,101 </w:t>
            </w:r>
          </w:p>
        </w:tc>
      </w:tr>
      <w:tr w:rsidR="00BF4C99" w:rsidRPr="00BF4C99" w14:paraId="502B4093" w14:textId="77777777" w:rsidTr="00BF4C99">
        <w:trPr>
          <w:trHeight w:hRule="exact" w:val="225"/>
        </w:trPr>
        <w:tc>
          <w:tcPr>
            <w:tcW w:w="2130" w:type="pct"/>
            <w:tcBorders>
              <w:top w:val="nil"/>
              <w:left w:val="nil"/>
              <w:bottom w:val="single" w:sz="4" w:space="0" w:color="000000"/>
              <w:right w:val="nil"/>
            </w:tcBorders>
            <w:shd w:val="clear" w:color="auto" w:fill="auto"/>
            <w:vAlign w:val="center"/>
            <w:hideMark/>
          </w:tcPr>
          <w:p w14:paraId="4430994A" w14:textId="77777777"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Total expenses for program 1.1</w:t>
            </w:r>
          </w:p>
        </w:tc>
        <w:tc>
          <w:tcPr>
            <w:tcW w:w="574" w:type="pct"/>
            <w:tcBorders>
              <w:top w:val="nil"/>
              <w:left w:val="nil"/>
              <w:bottom w:val="single" w:sz="4" w:space="0" w:color="000000"/>
              <w:right w:val="nil"/>
            </w:tcBorders>
            <w:shd w:val="clear" w:color="auto" w:fill="auto"/>
            <w:noWrap/>
            <w:vAlign w:val="center"/>
            <w:hideMark/>
          </w:tcPr>
          <w:p w14:paraId="17757CBC" w14:textId="77777777" w:rsidR="00BF4C99" w:rsidRPr="00BF4C99" w:rsidRDefault="00BF4C99" w:rsidP="00BF4C99">
            <w:pPr>
              <w:spacing w:after="0" w:line="240" w:lineRule="auto"/>
              <w:jc w:val="right"/>
              <w:rPr>
                <w:rFonts w:ascii="Arial" w:hAnsi="Arial" w:cs="Arial"/>
                <w:b/>
                <w:bCs/>
                <w:color w:val="000000"/>
                <w:sz w:val="16"/>
                <w:szCs w:val="16"/>
              </w:rPr>
            </w:pPr>
            <w:r w:rsidRPr="00BF4C99">
              <w:rPr>
                <w:rFonts w:ascii="Arial" w:hAnsi="Arial" w:cs="Arial"/>
                <w:b/>
                <w:bCs/>
                <w:color w:val="000000"/>
                <w:sz w:val="16"/>
                <w:szCs w:val="16"/>
              </w:rPr>
              <w:t xml:space="preserve">45,321,042 </w:t>
            </w:r>
          </w:p>
        </w:tc>
        <w:tc>
          <w:tcPr>
            <w:tcW w:w="574" w:type="pct"/>
            <w:tcBorders>
              <w:top w:val="nil"/>
              <w:left w:val="nil"/>
              <w:bottom w:val="single" w:sz="4" w:space="0" w:color="000000"/>
              <w:right w:val="nil"/>
            </w:tcBorders>
            <w:shd w:val="clear" w:color="000000" w:fill="E6E6E6"/>
            <w:noWrap/>
            <w:vAlign w:val="center"/>
            <w:hideMark/>
          </w:tcPr>
          <w:p w14:paraId="113EEB67" w14:textId="77777777" w:rsidR="00BF4C99" w:rsidRPr="00BF4C99" w:rsidRDefault="00BF4C99" w:rsidP="00BF4C99">
            <w:pPr>
              <w:spacing w:after="0" w:line="240" w:lineRule="auto"/>
              <w:jc w:val="right"/>
              <w:rPr>
                <w:rFonts w:ascii="Arial" w:hAnsi="Arial" w:cs="Arial"/>
                <w:b/>
                <w:bCs/>
                <w:color w:val="000000"/>
                <w:sz w:val="16"/>
                <w:szCs w:val="16"/>
              </w:rPr>
            </w:pPr>
            <w:r w:rsidRPr="00BF4C99">
              <w:rPr>
                <w:rFonts w:ascii="Arial" w:hAnsi="Arial" w:cs="Arial"/>
                <w:b/>
                <w:bCs/>
                <w:color w:val="000000"/>
                <w:sz w:val="16"/>
                <w:szCs w:val="16"/>
              </w:rPr>
              <w:t xml:space="preserve">46,916,043 </w:t>
            </w:r>
          </w:p>
        </w:tc>
        <w:tc>
          <w:tcPr>
            <w:tcW w:w="574" w:type="pct"/>
            <w:tcBorders>
              <w:top w:val="nil"/>
              <w:left w:val="nil"/>
              <w:bottom w:val="single" w:sz="4" w:space="0" w:color="000000"/>
              <w:right w:val="nil"/>
            </w:tcBorders>
            <w:shd w:val="clear" w:color="auto" w:fill="auto"/>
            <w:noWrap/>
            <w:vAlign w:val="center"/>
            <w:hideMark/>
          </w:tcPr>
          <w:p w14:paraId="35D97D40"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47,641,638 </w:t>
            </w:r>
          </w:p>
        </w:tc>
        <w:tc>
          <w:tcPr>
            <w:tcW w:w="574" w:type="pct"/>
            <w:tcBorders>
              <w:top w:val="nil"/>
              <w:left w:val="nil"/>
              <w:bottom w:val="single" w:sz="4" w:space="0" w:color="000000"/>
              <w:right w:val="nil"/>
            </w:tcBorders>
            <w:shd w:val="clear" w:color="auto" w:fill="auto"/>
            <w:noWrap/>
            <w:vAlign w:val="center"/>
            <w:hideMark/>
          </w:tcPr>
          <w:p w14:paraId="73A6C7E1"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49,324,181 </w:t>
            </w:r>
          </w:p>
        </w:tc>
        <w:tc>
          <w:tcPr>
            <w:tcW w:w="574" w:type="pct"/>
            <w:tcBorders>
              <w:top w:val="nil"/>
              <w:left w:val="nil"/>
              <w:bottom w:val="single" w:sz="4" w:space="0" w:color="000000"/>
              <w:right w:val="nil"/>
            </w:tcBorders>
            <w:shd w:val="clear" w:color="auto" w:fill="auto"/>
            <w:noWrap/>
            <w:vAlign w:val="center"/>
            <w:hideMark/>
          </w:tcPr>
          <w:p w14:paraId="604EF574"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51,076,093 </w:t>
            </w:r>
          </w:p>
        </w:tc>
      </w:tr>
    </w:tbl>
    <w:p w14:paraId="128D8381" w14:textId="1C3F5E9B" w:rsidR="00DE6613" w:rsidRPr="009516EB" w:rsidRDefault="006E4DF1" w:rsidP="009516EB">
      <w:pPr>
        <w:pStyle w:val="TableHeadingcontinued0"/>
      </w:pPr>
      <w:r w:rsidRPr="008B1DAB">
        <w:lastRenderedPageBreak/>
        <w:t>Table 2.</w:t>
      </w:r>
      <w:r w:rsidR="00D36AC5" w:rsidRPr="008B1DAB">
        <w:t>1</w:t>
      </w:r>
      <w:r w:rsidRPr="008B1DAB">
        <w:t xml:space="preserve">: Budgeted expenses for Outcome </w:t>
      </w:r>
      <w:r w:rsidR="00D36AC5" w:rsidRPr="008B1DAB">
        <w:t>1</w:t>
      </w:r>
      <w:r w:rsidR="00190773" w:rsidRPr="008B1DAB">
        <w:t xml:space="preserve"> (continued)</w:t>
      </w:r>
    </w:p>
    <w:tbl>
      <w:tblPr>
        <w:tblW w:w="5000" w:type="pct"/>
        <w:tblCellMar>
          <w:left w:w="0" w:type="dxa"/>
          <w:right w:w="28" w:type="dxa"/>
        </w:tblCellMar>
        <w:tblLook w:val="04A0" w:firstRow="1" w:lastRow="0" w:firstColumn="1" w:lastColumn="0" w:noHBand="0" w:noVBand="1"/>
      </w:tblPr>
      <w:tblGrid>
        <w:gridCol w:w="4917"/>
        <w:gridCol w:w="1325"/>
        <w:gridCol w:w="1325"/>
        <w:gridCol w:w="1325"/>
        <w:gridCol w:w="1325"/>
        <w:gridCol w:w="1322"/>
      </w:tblGrid>
      <w:tr w:rsidR="00DE6613" w:rsidRPr="00DE6613" w14:paraId="33086B41" w14:textId="77777777" w:rsidTr="00BF4C99">
        <w:trPr>
          <w:trHeight w:hRule="exact" w:val="900"/>
        </w:trPr>
        <w:tc>
          <w:tcPr>
            <w:tcW w:w="2131" w:type="pct"/>
            <w:tcBorders>
              <w:top w:val="single" w:sz="4" w:space="0" w:color="auto"/>
              <w:left w:val="nil"/>
              <w:bottom w:val="single" w:sz="4" w:space="0" w:color="auto"/>
              <w:right w:val="nil"/>
            </w:tcBorders>
            <w:shd w:val="clear" w:color="auto" w:fill="auto"/>
            <w:vAlign w:val="center"/>
            <w:hideMark/>
          </w:tcPr>
          <w:p w14:paraId="1E286EB1" w14:textId="46DFCB78" w:rsidR="00DE6613" w:rsidRPr="00DE6613" w:rsidRDefault="00DE6613" w:rsidP="00DE6613">
            <w:pPr>
              <w:spacing w:after="0" w:line="240" w:lineRule="auto"/>
              <w:rPr>
                <w:rFonts w:ascii="Arial" w:hAnsi="Arial" w:cs="Arial"/>
                <w:b/>
                <w:bCs/>
                <w:sz w:val="16"/>
                <w:szCs w:val="16"/>
              </w:rPr>
            </w:pPr>
            <w:r w:rsidRPr="00DE6613">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auto" w:fill="auto"/>
            <w:hideMark/>
          </w:tcPr>
          <w:p w14:paraId="102B36F9" w14:textId="14CD6D38"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2021</w:t>
            </w:r>
            <w:r w:rsidR="00B33758">
              <w:rPr>
                <w:rFonts w:ascii="Arial" w:hAnsi="Arial" w:cs="Arial"/>
                <w:sz w:val="16"/>
                <w:szCs w:val="16"/>
              </w:rPr>
              <w:noBreakHyphen/>
            </w:r>
            <w:r w:rsidRPr="00DE6613">
              <w:rPr>
                <w:rFonts w:ascii="Arial" w:hAnsi="Arial" w:cs="Arial"/>
                <w:sz w:val="16"/>
                <w:szCs w:val="16"/>
              </w:rPr>
              <w:t>22 Estimated actual</w:t>
            </w:r>
            <w:r w:rsidRPr="00DE6613">
              <w:rPr>
                <w:rFonts w:ascii="Arial" w:hAnsi="Arial" w:cs="Arial"/>
                <w:sz w:val="16"/>
                <w:szCs w:val="16"/>
              </w:rPr>
              <w:br/>
              <w:t>$</w:t>
            </w:r>
            <w:r w:rsidR="00B33758">
              <w:rPr>
                <w:rFonts w:ascii="Arial" w:hAnsi="Arial" w:cs="Arial"/>
                <w:sz w:val="16"/>
                <w:szCs w:val="16"/>
              </w:rPr>
              <w:t>’</w:t>
            </w:r>
            <w:r w:rsidRPr="00DE6613">
              <w:rPr>
                <w:rFonts w:ascii="Arial" w:hAnsi="Arial" w:cs="Arial"/>
                <w:sz w:val="16"/>
                <w:szCs w:val="16"/>
              </w:rPr>
              <w:t>000</w:t>
            </w:r>
          </w:p>
        </w:tc>
        <w:tc>
          <w:tcPr>
            <w:tcW w:w="574" w:type="pct"/>
            <w:tcBorders>
              <w:top w:val="single" w:sz="4" w:space="0" w:color="auto"/>
              <w:left w:val="nil"/>
              <w:bottom w:val="single" w:sz="4" w:space="0" w:color="auto"/>
              <w:right w:val="nil"/>
            </w:tcBorders>
            <w:shd w:val="clear" w:color="000000" w:fill="E6E6E6"/>
            <w:hideMark/>
          </w:tcPr>
          <w:p w14:paraId="64E8AA8C" w14:textId="63E3C6E4"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2022</w:t>
            </w:r>
            <w:r w:rsidR="00B33758">
              <w:rPr>
                <w:rFonts w:ascii="Arial" w:hAnsi="Arial" w:cs="Arial"/>
                <w:sz w:val="16"/>
                <w:szCs w:val="16"/>
              </w:rPr>
              <w:noBreakHyphen/>
            </w:r>
            <w:r w:rsidRPr="00DE6613">
              <w:rPr>
                <w:rFonts w:ascii="Arial" w:hAnsi="Arial" w:cs="Arial"/>
                <w:sz w:val="16"/>
                <w:szCs w:val="16"/>
              </w:rPr>
              <w:t>23</w:t>
            </w:r>
            <w:r w:rsidRPr="00DE6613">
              <w:rPr>
                <w:rFonts w:ascii="Arial" w:hAnsi="Arial" w:cs="Arial"/>
                <w:sz w:val="16"/>
                <w:szCs w:val="16"/>
              </w:rPr>
              <w:br/>
              <w:t>Budget</w:t>
            </w:r>
            <w:r w:rsidRPr="00DE6613">
              <w:rPr>
                <w:rFonts w:ascii="Arial" w:hAnsi="Arial" w:cs="Arial"/>
                <w:sz w:val="16"/>
                <w:szCs w:val="16"/>
              </w:rPr>
              <w:br/>
              <w:t>$</w:t>
            </w:r>
            <w:r w:rsidR="00B33758">
              <w:rPr>
                <w:rFonts w:ascii="Arial" w:hAnsi="Arial" w:cs="Arial"/>
                <w:sz w:val="16"/>
                <w:szCs w:val="16"/>
              </w:rPr>
              <w:t>’</w:t>
            </w:r>
            <w:r w:rsidRPr="00DE6613">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4CE3B0A0" w14:textId="4B0A6B6D"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2023</w:t>
            </w:r>
            <w:r w:rsidR="00B33758">
              <w:rPr>
                <w:rFonts w:ascii="Arial" w:hAnsi="Arial" w:cs="Arial"/>
                <w:sz w:val="16"/>
                <w:szCs w:val="16"/>
              </w:rPr>
              <w:noBreakHyphen/>
            </w:r>
            <w:r w:rsidRPr="00DE6613">
              <w:rPr>
                <w:rFonts w:ascii="Arial" w:hAnsi="Arial" w:cs="Arial"/>
                <w:sz w:val="16"/>
                <w:szCs w:val="16"/>
              </w:rPr>
              <w:t xml:space="preserve">24 </w:t>
            </w:r>
            <w:r w:rsidRPr="00DE6613">
              <w:rPr>
                <w:rFonts w:ascii="Arial" w:hAnsi="Arial" w:cs="Arial"/>
                <w:sz w:val="16"/>
                <w:szCs w:val="16"/>
              </w:rPr>
              <w:br/>
              <w:t>Forward estimate</w:t>
            </w:r>
            <w:r w:rsidRPr="00DE6613">
              <w:rPr>
                <w:rFonts w:ascii="Arial" w:hAnsi="Arial" w:cs="Arial"/>
                <w:sz w:val="16"/>
                <w:szCs w:val="16"/>
              </w:rPr>
              <w:br/>
              <w:t>$</w:t>
            </w:r>
            <w:r w:rsidR="00B33758">
              <w:rPr>
                <w:rFonts w:ascii="Arial" w:hAnsi="Arial" w:cs="Arial"/>
                <w:sz w:val="16"/>
                <w:szCs w:val="16"/>
              </w:rPr>
              <w:t>’</w:t>
            </w:r>
            <w:r w:rsidRPr="00DE6613">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55FBB5F4" w14:textId="39CABCC6"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2024</w:t>
            </w:r>
            <w:r w:rsidR="00B33758">
              <w:rPr>
                <w:rFonts w:ascii="Arial" w:hAnsi="Arial" w:cs="Arial"/>
                <w:sz w:val="16"/>
                <w:szCs w:val="16"/>
              </w:rPr>
              <w:noBreakHyphen/>
            </w:r>
            <w:r w:rsidRPr="00DE6613">
              <w:rPr>
                <w:rFonts w:ascii="Arial" w:hAnsi="Arial" w:cs="Arial"/>
                <w:sz w:val="16"/>
                <w:szCs w:val="16"/>
              </w:rPr>
              <w:t xml:space="preserve">25 </w:t>
            </w:r>
            <w:r w:rsidRPr="00DE6613">
              <w:rPr>
                <w:rFonts w:ascii="Arial" w:hAnsi="Arial" w:cs="Arial"/>
                <w:sz w:val="16"/>
                <w:szCs w:val="16"/>
              </w:rPr>
              <w:br/>
              <w:t>Forward estimate</w:t>
            </w:r>
            <w:r w:rsidRPr="00DE6613">
              <w:rPr>
                <w:rFonts w:ascii="Arial" w:hAnsi="Arial" w:cs="Arial"/>
                <w:sz w:val="16"/>
                <w:szCs w:val="16"/>
              </w:rPr>
              <w:br/>
              <w:t>$</w:t>
            </w:r>
            <w:r w:rsidR="00B33758">
              <w:rPr>
                <w:rFonts w:ascii="Arial" w:hAnsi="Arial" w:cs="Arial"/>
                <w:sz w:val="16"/>
                <w:szCs w:val="16"/>
              </w:rPr>
              <w:t>’</w:t>
            </w:r>
            <w:r w:rsidRPr="00DE6613">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34802496" w14:textId="1C0EF053"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2025</w:t>
            </w:r>
            <w:r w:rsidR="00B33758">
              <w:rPr>
                <w:rFonts w:ascii="Arial" w:hAnsi="Arial" w:cs="Arial"/>
                <w:sz w:val="16"/>
                <w:szCs w:val="16"/>
              </w:rPr>
              <w:noBreakHyphen/>
            </w:r>
            <w:r w:rsidRPr="00DE6613">
              <w:rPr>
                <w:rFonts w:ascii="Arial" w:hAnsi="Arial" w:cs="Arial"/>
                <w:sz w:val="16"/>
                <w:szCs w:val="16"/>
              </w:rPr>
              <w:t>26</w:t>
            </w:r>
            <w:r w:rsidRPr="00DE6613">
              <w:rPr>
                <w:rFonts w:ascii="Arial" w:hAnsi="Arial" w:cs="Arial"/>
                <w:sz w:val="16"/>
                <w:szCs w:val="16"/>
              </w:rPr>
              <w:br/>
              <w:t>Forward estimate</w:t>
            </w:r>
            <w:r w:rsidRPr="00DE6613">
              <w:rPr>
                <w:rFonts w:ascii="Arial" w:hAnsi="Arial" w:cs="Arial"/>
                <w:sz w:val="16"/>
                <w:szCs w:val="16"/>
              </w:rPr>
              <w:br/>
              <w:t>$</w:t>
            </w:r>
            <w:r w:rsidR="00B33758">
              <w:rPr>
                <w:rFonts w:ascii="Arial" w:hAnsi="Arial" w:cs="Arial"/>
                <w:sz w:val="16"/>
                <w:szCs w:val="16"/>
              </w:rPr>
              <w:t>’</w:t>
            </w:r>
            <w:r w:rsidRPr="00DE6613">
              <w:rPr>
                <w:rFonts w:ascii="Arial" w:hAnsi="Arial" w:cs="Arial"/>
                <w:sz w:val="16"/>
                <w:szCs w:val="16"/>
              </w:rPr>
              <w:t>000</w:t>
            </w:r>
          </w:p>
        </w:tc>
      </w:tr>
      <w:tr w:rsidR="00DE6613" w:rsidRPr="00DE6613" w14:paraId="2CBC8E92" w14:textId="77777777" w:rsidTr="00BF4C99">
        <w:trPr>
          <w:trHeight w:hRule="exact" w:val="225"/>
        </w:trPr>
        <w:tc>
          <w:tcPr>
            <w:tcW w:w="2705" w:type="pct"/>
            <w:gridSpan w:val="2"/>
            <w:tcBorders>
              <w:top w:val="single" w:sz="4" w:space="0" w:color="auto"/>
              <w:left w:val="nil"/>
              <w:bottom w:val="single" w:sz="4" w:space="0" w:color="auto"/>
              <w:right w:val="nil"/>
            </w:tcBorders>
            <w:shd w:val="clear" w:color="000000" w:fill="E6E6E6"/>
            <w:noWrap/>
            <w:vAlign w:val="center"/>
            <w:hideMark/>
          </w:tcPr>
          <w:p w14:paraId="65077181"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Program 1.2: Payments to International Financial Institutions</w:t>
            </w:r>
          </w:p>
        </w:tc>
        <w:tc>
          <w:tcPr>
            <w:tcW w:w="574" w:type="pct"/>
            <w:tcBorders>
              <w:top w:val="nil"/>
              <w:left w:val="nil"/>
              <w:bottom w:val="single" w:sz="4" w:space="0" w:color="auto"/>
              <w:right w:val="nil"/>
            </w:tcBorders>
            <w:shd w:val="clear" w:color="000000" w:fill="E6E6E6"/>
            <w:vAlign w:val="center"/>
            <w:hideMark/>
          </w:tcPr>
          <w:p w14:paraId="699A5A59"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6188E52B"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5BCC7E7B"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4F1D290C"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r>
      <w:tr w:rsidR="00DE6613" w:rsidRPr="00DE6613" w14:paraId="2AA09B00" w14:textId="77777777" w:rsidTr="00BF4C99">
        <w:trPr>
          <w:trHeight w:hRule="exact" w:val="225"/>
        </w:trPr>
        <w:tc>
          <w:tcPr>
            <w:tcW w:w="2131" w:type="pct"/>
            <w:tcBorders>
              <w:top w:val="nil"/>
              <w:left w:val="nil"/>
              <w:bottom w:val="nil"/>
              <w:right w:val="nil"/>
            </w:tcBorders>
            <w:shd w:val="clear" w:color="auto" w:fill="auto"/>
            <w:noWrap/>
            <w:vAlign w:val="center"/>
            <w:hideMark/>
          </w:tcPr>
          <w:p w14:paraId="58B64F61" w14:textId="77777777" w:rsidR="00DE6613" w:rsidRPr="00DE6613" w:rsidRDefault="00DE6613" w:rsidP="00DE6613">
            <w:pPr>
              <w:spacing w:after="0" w:line="240" w:lineRule="auto"/>
              <w:jc w:val="left"/>
              <w:rPr>
                <w:rFonts w:ascii="Arial" w:hAnsi="Arial" w:cs="Arial"/>
                <w:sz w:val="16"/>
                <w:szCs w:val="16"/>
              </w:rPr>
            </w:pPr>
            <w:r w:rsidRPr="00DE6613">
              <w:rPr>
                <w:rFonts w:ascii="Arial" w:hAnsi="Arial" w:cs="Arial"/>
                <w:sz w:val="16"/>
                <w:szCs w:val="16"/>
              </w:rPr>
              <w:t>Administered expenses</w:t>
            </w:r>
          </w:p>
        </w:tc>
        <w:tc>
          <w:tcPr>
            <w:tcW w:w="574" w:type="pct"/>
            <w:tcBorders>
              <w:top w:val="nil"/>
              <w:left w:val="nil"/>
              <w:bottom w:val="nil"/>
              <w:right w:val="nil"/>
            </w:tcBorders>
            <w:shd w:val="clear" w:color="auto" w:fill="auto"/>
            <w:noWrap/>
            <w:vAlign w:val="center"/>
            <w:hideMark/>
          </w:tcPr>
          <w:p w14:paraId="65101BFF" w14:textId="77777777" w:rsidR="00DE6613" w:rsidRPr="00DE6613" w:rsidRDefault="00DE6613" w:rsidP="00DE6613">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360EE4B9"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746953F0" w14:textId="77777777" w:rsidR="00DE6613" w:rsidRPr="00DE6613" w:rsidRDefault="00DE6613" w:rsidP="00DE661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07C60A03" w14:textId="77777777" w:rsidR="00DE6613" w:rsidRPr="00DE6613" w:rsidRDefault="00DE6613" w:rsidP="00DE661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537AD740" w14:textId="77777777" w:rsidR="00DE6613" w:rsidRPr="00DE6613" w:rsidRDefault="00DE6613" w:rsidP="00DE6613">
            <w:pPr>
              <w:spacing w:after="0" w:line="240" w:lineRule="auto"/>
              <w:jc w:val="left"/>
              <w:rPr>
                <w:rFonts w:ascii="Times New Roman" w:hAnsi="Times New Roman"/>
              </w:rPr>
            </w:pPr>
          </w:p>
        </w:tc>
      </w:tr>
      <w:tr w:rsidR="00DE6613" w:rsidRPr="00DE6613" w14:paraId="78062FFD" w14:textId="77777777" w:rsidTr="00BF4C99">
        <w:trPr>
          <w:trHeight w:hRule="exact" w:val="225"/>
        </w:trPr>
        <w:tc>
          <w:tcPr>
            <w:tcW w:w="2131" w:type="pct"/>
            <w:tcBorders>
              <w:top w:val="nil"/>
              <w:left w:val="nil"/>
              <w:bottom w:val="nil"/>
              <w:right w:val="nil"/>
            </w:tcBorders>
            <w:shd w:val="clear" w:color="000000" w:fill="FFFFFF"/>
            <w:noWrap/>
            <w:vAlign w:val="center"/>
            <w:hideMark/>
          </w:tcPr>
          <w:p w14:paraId="6E67264A" w14:textId="77777777" w:rsidR="00DE6613" w:rsidRPr="00DE6613" w:rsidRDefault="00DE6613" w:rsidP="00DE6613">
            <w:pPr>
              <w:spacing w:after="0" w:line="240" w:lineRule="auto"/>
              <w:ind w:left="170"/>
              <w:jc w:val="left"/>
              <w:rPr>
                <w:rFonts w:ascii="Arial" w:hAnsi="Arial" w:cs="Arial"/>
                <w:sz w:val="16"/>
                <w:szCs w:val="16"/>
              </w:rPr>
            </w:pPr>
            <w:r w:rsidRPr="00DE6613">
              <w:rPr>
                <w:rFonts w:ascii="Arial" w:hAnsi="Arial" w:cs="Arial"/>
                <w:sz w:val="16"/>
                <w:szCs w:val="16"/>
              </w:rPr>
              <w:t>Special appropriations</w:t>
            </w:r>
          </w:p>
        </w:tc>
        <w:tc>
          <w:tcPr>
            <w:tcW w:w="574" w:type="pct"/>
            <w:tcBorders>
              <w:top w:val="nil"/>
              <w:left w:val="nil"/>
              <w:bottom w:val="nil"/>
              <w:right w:val="nil"/>
            </w:tcBorders>
            <w:shd w:val="clear" w:color="auto" w:fill="auto"/>
            <w:noWrap/>
            <w:vAlign w:val="center"/>
            <w:hideMark/>
          </w:tcPr>
          <w:p w14:paraId="0634D62E" w14:textId="77777777" w:rsidR="00DE6613" w:rsidRPr="00DE6613" w:rsidRDefault="00DE6613" w:rsidP="00DE6613">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34094867"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632B58E7" w14:textId="77777777" w:rsidR="00DE6613" w:rsidRPr="00DE6613" w:rsidRDefault="00DE6613" w:rsidP="00DE661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10FE8CAF" w14:textId="77777777" w:rsidR="00DE6613" w:rsidRPr="00DE6613" w:rsidRDefault="00DE6613" w:rsidP="00DE661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1067C53B" w14:textId="77777777" w:rsidR="00DE6613" w:rsidRPr="00DE6613" w:rsidRDefault="00DE6613" w:rsidP="00DE6613">
            <w:pPr>
              <w:spacing w:after="0" w:line="240" w:lineRule="auto"/>
              <w:jc w:val="left"/>
              <w:rPr>
                <w:rFonts w:ascii="Times New Roman" w:hAnsi="Times New Roman"/>
              </w:rPr>
            </w:pPr>
          </w:p>
        </w:tc>
      </w:tr>
      <w:tr w:rsidR="00DE6613" w:rsidRPr="00DE6613" w14:paraId="7FC2EBB8" w14:textId="77777777" w:rsidTr="00BF4C99">
        <w:trPr>
          <w:trHeight w:hRule="exact" w:val="450"/>
        </w:trPr>
        <w:tc>
          <w:tcPr>
            <w:tcW w:w="2131" w:type="pct"/>
            <w:tcBorders>
              <w:top w:val="nil"/>
              <w:left w:val="nil"/>
              <w:bottom w:val="nil"/>
              <w:right w:val="nil"/>
            </w:tcBorders>
            <w:shd w:val="clear" w:color="000000" w:fill="FFFFFF"/>
            <w:vAlign w:val="center"/>
            <w:hideMark/>
          </w:tcPr>
          <w:p w14:paraId="206BE8A9" w14:textId="2CF1384B" w:rsidR="00DE6613" w:rsidRPr="00DE6613" w:rsidRDefault="00DE6613" w:rsidP="00DE6613">
            <w:pPr>
              <w:spacing w:after="0" w:line="240" w:lineRule="auto"/>
              <w:ind w:left="340"/>
              <w:jc w:val="left"/>
              <w:rPr>
                <w:rFonts w:ascii="Arial" w:hAnsi="Arial" w:cs="Arial"/>
                <w:i/>
                <w:iCs/>
                <w:sz w:val="16"/>
                <w:szCs w:val="16"/>
              </w:rPr>
            </w:pPr>
            <w:r w:rsidRPr="00DE6613">
              <w:rPr>
                <w:rFonts w:ascii="Arial" w:hAnsi="Arial" w:cs="Arial"/>
                <w:i/>
                <w:iCs/>
                <w:sz w:val="16"/>
                <w:szCs w:val="16"/>
              </w:rPr>
              <w:t>Special appropriation</w:t>
            </w:r>
            <w:r w:rsidR="00B33758">
              <w:rPr>
                <w:rFonts w:ascii="Arial" w:hAnsi="Arial" w:cs="Arial"/>
                <w:i/>
                <w:iCs/>
                <w:sz w:val="16"/>
                <w:szCs w:val="16"/>
              </w:rPr>
              <w:noBreakHyphen/>
            </w:r>
            <w:r w:rsidRPr="00DE6613">
              <w:rPr>
                <w:rFonts w:ascii="Arial" w:hAnsi="Arial" w:cs="Arial"/>
                <w:i/>
                <w:iCs/>
                <w:sz w:val="16"/>
                <w:szCs w:val="16"/>
              </w:rPr>
              <w:t xml:space="preserve"> International Monetary Agreements Act 1947</w:t>
            </w:r>
          </w:p>
        </w:tc>
        <w:tc>
          <w:tcPr>
            <w:tcW w:w="574" w:type="pct"/>
            <w:tcBorders>
              <w:top w:val="nil"/>
              <w:left w:val="nil"/>
              <w:bottom w:val="nil"/>
              <w:right w:val="nil"/>
            </w:tcBorders>
            <w:shd w:val="clear" w:color="auto" w:fill="auto"/>
            <w:noWrap/>
            <w:vAlign w:val="center"/>
            <w:hideMark/>
          </w:tcPr>
          <w:p w14:paraId="66C956A9"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23,354 </w:t>
            </w:r>
          </w:p>
        </w:tc>
        <w:tc>
          <w:tcPr>
            <w:tcW w:w="574" w:type="pct"/>
            <w:tcBorders>
              <w:top w:val="nil"/>
              <w:left w:val="nil"/>
              <w:bottom w:val="nil"/>
              <w:right w:val="nil"/>
            </w:tcBorders>
            <w:shd w:val="clear" w:color="000000" w:fill="E6E6E6"/>
            <w:noWrap/>
            <w:vAlign w:val="center"/>
            <w:hideMark/>
          </w:tcPr>
          <w:p w14:paraId="550E853C"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62,164 </w:t>
            </w:r>
          </w:p>
        </w:tc>
        <w:tc>
          <w:tcPr>
            <w:tcW w:w="574" w:type="pct"/>
            <w:tcBorders>
              <w:top w:val="nil"/>
              <w:left w:val="nil"/>
              <w:bottom w:val="nil"/>
              <w:right w:val="nil"/>
            </w:tcBorders>
            <w:shd w:val="clear" w:color="auto" w:fill="auto"/>
            <w:noWrap/>
            <w:vAlign w:val="center"/>
            <w:hideMark/>
          </w:tcPr>
          <w:p w14:paraId="291A2198"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111,117 </w:t>
            </w:r>
          </w:p>
        </w:tc>
        <w:tc>
          <w:tcPr>
            <w:tcW w:w="574" w:type="pct"/>
            <w:tcBorders>
              <w:top w:val="nil"/>
              <w:left w:val="nil"/>
              <w:bottom w:val="nil"/>
              <w:right w:val="nil"/>
            </w:tcBorders>
            <w:shd w:val="clear" w:color="auto" w:fill="auto"/>
            <w:noWrap/>
            <w:vAlign w:val="center"/>
            <w:hideMark/>
          </w:tcPr>
          <w:p w14:paraId="6A87930B"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147,179 </w:t>
            </w:r>
          </w:p>
        </w:tc>
        <w:tc>
          <w:tcPr>
            <w:tcW w:w="574" w:type="pct"/>
            <w:tcBorders>
              <w:top w:val="nil"/>
              <w:left w:val="nil"/>
              <w:bottom w:val="nil"/>
              <w:right w:val="nil"/>
            </w:tcBorders>
            <w:shd w:val="clear" w:color="auto" w:fill="auto"/>
            <w:noWrap/>
            <w:vAlign w:val="center"/>
            <w:hideMark/>
          </w:tcPr>
          <w:p w14:paraId="6E20EA21"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193,392 </w:t>
            </w:r>
          </w:p>
        </w:tc>
      </w:tr>
      <w:tr w:rsidR="00DE6613" w:rsidRPr="00DE6613" w14:paraId="130E9AB4" w14:textId="77777777" w:rsidTr="004A5972">
        <w:trPr>
          <w:trHeight w:hRule="exact" w:val="414"/>
        </w:trPr>
        <w:tc>
          <w:tcPr>
            <w:tcW w:w="2131" w:type="pct"/>
            <w:tcBorders>
              <w:top w:val="nil"/>
              <w:left w:val="nil"/>
              <w:bottom w:val="nil"/>
              <w:right w:val="nil"/>
            </w:tcBorders>
            <w:shd w:val="clear" w:color="000000" w:fill="FFFFFF"/>
            <w:vAlign w:val="center"/>
            <w:hideMark/>
          </w:tcPr>
          <w:p w14:paraId="73D9FC3C" w14:textId="77777777" w:rsidR="00DE6613" w:rsidRPr="00DE6613" w:rsidRDefault="00DE6613" w:rsidP="00DE6613">
            <w:pPr>
              <w:spacing w:after="0" w:line="240" w:lineRule="auto"/>
              <w:ind w:left="170"/>
              <w:jc w:val="left"/>
              <w:rPr>
                <w:rFonts w:ascii="Arial" w:hAnsi="Arial" w:cs="Arial"/>
                <w:sz w:val="16"/>
                <w:szCs w:val="16"/>
              </w:rPr>
            </w:pPr>
            <w:r w:rsidRPr="00DE6613">
              <w:rPr>
                <w:rFonts w:ascii="Arial" w:hAnsi="Arial" w:cs="Arial"/>
                <w:sz w:val="16"/>
                <w:szCs w:val="16"/>
              </w:rPr>
              <w:t>Expenses not requiring appropriation in the Budget</w:t>
            </w:r>
            <w:r w:rsidRPr="00DE6613">
              <w:rPr>
                <w:rFonts w:ascii="Arial" w:hAnsi="Arial" w:cs="Arial"/>
                <w:sz w:val="16"/>
                <w:szCs w:val="16"/>
              </w:rPr>
              <w:br/>
              <w:t xml:space="preserve">  year (b)</w:t>
            </w:r>
          </w:p>
        </w:tc>
        <w:tc>
          <w:tcPr>
            <w:tcW w:w="574" w:type="pct"/>
            <w:tcBorders>
              <w:top w:val="nil"/>
              <w:left w:val="nil"/>
              <w:bottom w:val="nil"/>
              <w:right w:val="nil"/>
            </w:tcBorders>
            <w:shd w:val="clear" w:color="auto" w:fill="auto"/>
            <w:noWrap/>
            <w:vAlign w:val="center"/>
            <w:hideMark/>
          </w:tcPr>
          <w:p w14:paraId="0CAE7685"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1,331,102 </w:t>
            </w:r>
          </w:p>
        </w:tc>
        <w:tc>
          <w:tcPr>
            <w:tcW w:w="574" w:type="pct"/>
            <w:tcBorders>
              <w:top w:val="nil"/>
              <w:left w:val="nil"/>
              <w:bottom w:val="nil"/>
              <w:right w:val="nil"/>
            </w:tcBorders>
            <w:shd w:val="clear" w:color="000000" w:fill="E6E6E6"/>
            <w:noWrap/>
            <w:vAlign w:val="center"/>
            <w:hideMark/>
          </w:tcPr>
          <w:p w14:paraId="1C059560"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161,155 </w:t>
            </w:r>
          </w:p>
        </w:tc>
        <w:tc>
          <w:tcPr>
            <w:tcW w:w="574" w:type="pct"/>
            <w:tcBorders>
              <w:top w:val="nil"/>
              <w:left w:val="nil"/>
              <w:bottom w:val="nil"/>
              <w:right w:val="nil"/>
            </w:tcBorders>
            <w:shd w:val="clear" w:color="auto" w:fill="auto"/>
            <w:noWrap/>
            <w:vAlign w:val="center"/>
            <w:hideMark/>
          </w:tcPr>
          <w:p w14:paraId="1D403B2D"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352,720 </w:t>
            </w:r>
          </w:p>
        </w:tc>
        <w:tc>
          <w:tcPr>
            <w:tcW w:w="574" w:type="pct"/>
            <w:tcBorders>
              <w:top w:val="nil"/>
              <w:left w:val="nil"/>
              <w:bottom w:val="nil"/>
              <w:right w:val="nil"/>
            </w:tcBorders>
            <w:shd w:val="clear" w:color="auto" w:fill="auto"/>
            <w:noWrap/>
            <w:vAlign w:val="center"/>
            <w:hideMark/>
          </w:tcPr>
          <w:p w14:paraId="442AE2C6"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304,791 </w:t>
            </w:r>
          </w:p>
        </w:tc>
        <w:tc>
          <w:tcPr>
            <w:tcW w:w="574" w:type="pct"/>
            <w:tcBorders>
              <w:top w:val="nil"/>
              <w:left w:val="nil"/>
              <w:bottom w:val="nil"/>
              <w:right w:val="nil"/>
            </w:tcBorders>
            <w:shd w:val="clear" w:color="auto" w:fill="auto"/>
            <w:noWrap/>
            <w:vAlign w:val="center"/>
            <w:hideMark/>
          </w:tcPr>
          <w:p w14:paraId="3C4A8CF6"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469,872 </w:t>
            </w:r>
          </w:p>
        </w:tc>
      </w:tr>
      <w:tr w:rsidR="00DE6613" w:rsidRPr="00DE6613" w14:paraId="15CB43F3" w14:textId="77777777" w:rsidTr="00BF4C99">
        <w:trPr>
          <w:trHeight w:hRule="exact" w:val="225"/>
        </w:trPr>
        <w:tc>
          <w:tcPr>
            <w:tcW w:w="2131" w:type="pct"/>
            <w:tcBorders>
              <w:top w:val="nil"/>
              <w:left w:val="nil"/>
              <w:bottom w:val="nil"/>
              <w:right w:val="nil"/>
            </w:tcBorders>
            <w:shd w:val="clear" w:color="000000" w:fill="FFFFFF"/>
            <w:vAlign w:val="center"/>
            <w:hideMark/>
          </w:tcPr>
          <w:p w14:paraId="32519CFF"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Administered total</w:t>
            </w:r>
          </w:p>
        </w:tc>
        <w:tc>
          <w:tcPr>
            <w:tcW w:w="574" w:type="pct"/>
            <w:tcBorders>
              <w:top w:val="single" w:sz="4" w:space="0" w:color="auto"/>
              <w:left w:val="nil"/>
              <w:bottom w:val="single" w:sz="4" w:space="0" w:color="auto"/>
              <w:right w:val="nil"/>
            </w:tcBorders>
            <w:shd w:val="clear" w:color="auto" w:fill="auto"/>
            <w:noWrap/>
            <w:vAlign w:val="center"/>
            <w:hideMark/>
          </w:tcPr>
          <w:p w14:paraId="00009F8F"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1,354,456 </w:t>
            </w:r>
          </w:p>
        </w:tc>
        <w:tc>
          <w:tcPr>
            <w:tcW w:w="574" w:type="pct"/>
            <w:tcBorders>
              <w:top w:val="single" w:sz="4" w:space="0" w:color="auto"/>
              <w:left w:val="nil"/>
              <w:bottom w:val="single" w:sz="4" w:space="0" w:color="auto"/>
              <w:right w:val="nil"/>
            </w:tcBorders>
            <w:shd w:val="clear" w:color="000000" w:fill="E6E6E6"/>
            <w:noWrap/>
            <w:vAlign w:val="center"/>
            <w:hideMark/>
          </w:tcPr>
          <w:p w14:paraId="32F5D7EA"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223,319 </w:t>
            </w:r>
          </w:p>
        </w:tc>
        <w:tc>
          <w:tcPr>
            <w:tcW w:w="574" w:type="pct"/>
            <w:tcBorders>
              <w:top w:val="single" w:sz="4" w:space="0" w:color="auto"/>
              <w:left w:val="nil"/>
              <w:bottom w:val="single" w:sz="4" w:space="0" w:color="auto"/>
              <w:right w:val="nil"/>
            </w:tcBorders>
            <w:shd w:val="clear" w:color="auto" w:fill="auto"/>
            <w:noWrap/>
            <w:vAlign w:val="center"/>
            <w:hideMark/>
          </w:tcPr>
          <w:p w14:paraId="1C68F0DF"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463,837 </w:t>
            </w:r>
          </w:p>
        </w:tc>
        <w:tc>
          <w:tcPr>
            <w:tcW w:w="574" w:type="pct"/>
            <w:tcBorders>
              <w:top w:val="single" w:sz="4" w:space="0" w:color="auto"/>
              <w:left w:val="nil"/>
              <w:bottom w:val="single" w:sz="4" w:space="0" w:color="auto"/>
              <w:right w:val="nil"/>
            </w:tcBorders>
            <w:shd w:val="clear" w:color="auto" w:fill="auto"/>
            <w:noWrap/>
            <w:vAlign w:val="center"/>
            <w:hideMark/>
          </w:tcPr>
          <w:p w14:paraId="00ED5982"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451,970 </w:t>
            </w:r>
          </w:p>
        </w:tc>
        <w:tc>
          <w:tcPr>
            <w:tcW w:w="574" w:type="pct"/>
            <w:tcBorders>
              <w:top w:val="single" w:sz="4" w:space="0" w:color="auto"/>
              <w:left w:val="nil"/>
              <w:bottom w:val="single" w:sz="4" w:space="0" w:color="auto"/>
              <w:right w:val="nil"/>
            </w:tcBorders>
            <w:shd w:val="clear" w:color="auto" w:fill="auto"/>
            <w:noWrap/>
            <w:vAlign w:val="center"/>
            <w:hideMark/>
          </w:tcPr>
          <w:p w14:paraId="2C8F7013"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663,264 </w:t>
            </w:r>
          </w:p>
        </w:tc>
      </w:tr>
      <w:tr w:rsidR="00DE6613" w:rsidRPr="00DE6613" w14:paraId="43D0F9AF" w14:textId="77777777" w:rsidTr="00BF4C99">
        <w:trPr>
          <w:trHeight w:hRule="exact" w:val="225"/>
        </w:trPr>
        <w:tc>
          <w:tcPr>
            <w:tcW w:w="2131" w:type="pct"/>
            <w:tcBorders>
              <w:top w:val="nil"/>
              <w:left w:val="nil"/>
              <w:bottom w:val="single" w:sz="4" w:space="0" w:color="auto"/>
              <w:right w:val="nil"/>
            </w:tcBorders>
            <w:shd w:val="clear" w:color="auto" w:fill="auto"/>
            <w:noWrap/>
            <w:vAlign w:val="center"/>
            <w:hideMark/>
          </w:tcPr>
          <w:p w14:paraId="31FA855A" w14:textId="059D5F60"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Total expenses for program 1.2</w:t>
            </w:r>
          </w:p>
        </w:tc>
        <w:tc>
          <w:tcPr>
            <w:tcW w:w="574" w:type="pct"/>
            <w:tcBorders>
              <w:top w:val="nil"/>
              <w:left w:val="nil"/>
              <w:bottom w:val="single" w:sz="4" w:space="0" w:color="000000"/>
              <w:right w:val="nil"/>
            </w:tcBorders>
            <w:shd w:val="clear" w:color="auto" w:fill="auto"/>
            <w:noWrap/>
            <w:vAlign w:val="center"/>
            <w:hideMark/>
          </w:tcPr>
          <w:p w14:paraId="72DA9523"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1,354,456 </w:t>
            </w:r>
          </w:p>
        </w:tc>
        <w:tc>
          <w:tcPr>
            <w:tcW w:w="574" w:type="pct"/>
            <w:tcBorders>
              <w:top w:val="nil"/>
              <w:left w:val="nil"/>
              <w:bottom w:val="single" w:sz="4" w:space="0" w:color="000000"/>
              <w:right w:val="nil"/>
            </w:tcBorders>
            <w:shd w:val="clear" w:color="000000" w:fill="E6E6E6"/>
            <w:noWrap/>
            <w:vAlign w:val="center"/>
            <w:hideMark/>
          </w:tcPr>
          <w:p w14:paraId="46985431"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223,319 </w:t>
            </w:r>
          </w:p>
        </w:tc>
        <w:tc>
          <w:tcPr>
            <w:tcW w:w="574" w:type="pct"/>
            <w:tcBorders>
              <w:top w:val="nil"/>
              <w:left w:val="nil"/>
              <w:bottom w:val="single" w:sz="4" w:space="0" w:color="000000"/>
              <w:right w:val="nil"/>
            </w:tcBorders>
            <w:shd w:val="clear" w:color="auto" w:fill="auto"/>
            <w:noWrap/>
            <w:vAlign w:val="center"/>
            <w:hideMark/>
          </w:tcPr>
          <w:p w14:paraId="5CE2B065"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463,837 </w:t>
            </w:r>
          </w:p>
        </w:tc>
        <w:tc>
          <w:tcPr>
            <w:tcW w:w="574" w:type="pct"/>
            <w:tcBorders>
              <w:top w:val="nil"/>
              <w:left w:val="nil"/>
              <w:bottom w:val="single" w:sz="4" w:space="0" w:color="000000"/>
              <w:right w:val="nil"/>
            </w:tcBorders>
            <w:shd w:val="clear" w:color="auto" w:fill="auto"/>
            <w:noWrap/>
            <w:vAlign w:val="center"/>
            <w:hideMark/>
          </w:tcPr>
          <w:p w14:paraId="7F95EF4D"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451,970 </w:t>
            </w:r>
          </w:p>
        </w:tc>
        <w:tc>
          <w:tcPr>
            <w:tcW w:w="574" w:type="pct"/>
            <w:tcBorders>
              <w:top w:val="nil"/>
              <w:left w:val="nil"/>
              <w:bottom w:val="single" w:sz="4" w:space="0" w:color="000000"/>
              <w:right w:val="nil"/>
            </w:tcBorders>
            <w:shd w:val="clear" w:color="auto" w:fill="auto"/>
            <w:noWrap/>
            <w:vAlign w:val="center"/>
            <w:hideMark/>
          </w:tcPr>
          <w:p w14:paraId="360A4A4B"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663,264 </w:t>
            </w:r>
          </w:p>
        </w:tc>
      </w:tr>
      <w:tr w:rsidR="00DE6613" w:rsidRPr="00DE6613" w14:paraId="506FCD98" w14:textId="77777777" w:rsidTr="00FB630A">
        <w:trPr>
          <w:trHeight w:hRule="exact" w:val="225"/>
        </w:trPr>
        <w:tc>
          <w:tcPr>
            <w:tcW w:w="2131" w:type="pct"/>
            <w:tcBorders>
              <w:top w:val="nil"/>
              <w:left w:val="nil"/>
              <w:bottom w:val="single" w:sz="4" w:space="0" w:color="auto"/>
              <w:right w:val="nil"/>
            </w:tcBorders>
            <w:shd w:val="clear" w:color="auto" w:fill="auto"/>
            <w:vAlign w:val="center"/>
            <w:hideMark/>
          </w:tcPr>
          <w:p w14:paraId="430791A1" w14:textId="77777777" w:rsidR="00DE6613" w:rsidRPr="00DE6613" w:rsidRDefault="00DE6613" w:rsidP="00DE6613">
            <w:pPr>
              <w:spacing w:after="0" w:line="240" w:lineRule="auto"/>
              <w:jc w:val="right"/>
              <w:rPr>
                <w:rFonts w:ascii="Arial" w:hAnsi="Arial" w:cs="Arial"/>
                <w:b/>
                <w:bCs/>
                <w:sz w:val="16"/>
                <w:szCs w:val="16"/>
              </w:rPr>
            </w:pPr>
          </w:p>
        </w:tc>
        <w:tc>
          <w:tcPr>
            <w:tcW w:w="574" w:type="pct"/>
            <w:tcBorders>
              <w:top w:val="nil"/>
              <w:left w:val="nil"/>
              <w:bottom w:val="single" w:sz="4" w:space="0" w:color="auto"/>
              <w:right w:val="nil"/>
            </w:tcBorders>
            <w:shd w:val="clear" w:color="auto" w:fill="auto"/>
            <w:noWrap/>
            <w:vAlign w:val="center"/>
            <w:hideMark/>
          </w:tcPr>
          <w:p w14:paraId="146AAC47" w14:textId="77777777" w:rsidR="00DE6613" w:rsidRPr="00DE6613" w:rsidRDefault="00DE6613" w:rsidP="00DE6613">
            <w:pPr>
              <w:spacing w:after="0" w:line="240" w:lineRule="auto"/>
              <w:jc w:val="left"/>
              <w:rPr>
                <w:rFonts w:ascii="Times New Roman" w:hAnsi="Times New Roman"/>
              </w:rPr>
            </w:pPr>
          </w:p>
        </w:tc>
        <w:tc>
          <w:tcPr>
            <w:tcW w:w="574" w:type="pct"/>
            <w:tcBorders>
              <w:top w:val="nil"/>
              <w:left w:val="nil"/>
              <w:bottom w:val="single" w:sz="4" w:space="0" w:color="auto"/>
              <w:right w:val="nil"/>
            </w:tcBorders>
            <w:shd w:val="clear" w:color="auto" w:fill="auto"/>
            <w:noWrap/>
            <w:vAlign w:val="center"/>
            <w:hideMark/>
          </w:tcPr>
          <w:p w14:paraId="5B5FCAA7" w14:textId="77777777" w:rsidR="00DE6613" w:rsidRPr="00DE6613" w:rsidRDefault="00DE6613" w:rsidP="00DE6613">
            <w:pPr>
              <w:spacing w:after="0" w:line="240" w:lineRule="auto"/>
              <w:jc w:val="right"/>
              <w:rPr>
                <w:rFonts w:ascii="Times New Roman" w:hAnsi="Times New Roman"/>
              </w:rPr>
            </w:pPr>
          </w:p>
        </w:tc>
        <w:tc>
          <w:tcPr>
            <w:tcW w:w="574" w:type="pct"/>
            <w:tcBorders>
              <w:top w:val="nil"/>
              <w:left w:val="nil"/>
              <w:bottom w:val="single" w:sz="4" w:space="0" w:color="auto"/>
              <w:right w:val="nil"/>
            </w:tcBorders>
            <w:shd w:val="clear" w:color="auto" w:fill="auto"/>
            <w:noWrap/>
            <w:vAlign w:val="center"/>
            <w:hideMark/>
          </w:tcPr>
          <w:p w14:paraId="04EE3E9D" w14:textId="77777777" w:rsidR="00DE6613" w:rsidRPr="00DE6613" w:rsidRDefault="00DE6613" w:rsidP="00DE6613">
            <w:pPr>
              <w:spacing w:after="0" w:line="240" w:lineRule="auto"/>
              <w:jc w:val="left"/>
              <w:rPr>
                <w:rFonts w:ascii="Times New Roman" w:hAnsi="Times New Roman"/>
              </w:rPr>
            </w:pPr>
          </w:p>
        </w:tc>
        <w:tc>
          <w:tcPr>
            <w:tcW w:w="574" w:type="pct"/>
            <w:tcBorders>
              <w:top w:val="nil"/>
              <w:left w:val="nil"/>
              <w:bottom w:val="single" w:sz="4" w:space="0" w:color="auto"/>
              <w:right w:val="nil"/>
            </w:tcBorders>
            <w:shd w:val="clear" w:color="auto" w:fill="auto"/>
            <w:noWrap/>
            <w:vAlign w:val="center"/>
            <w:hideMark/>
          </w:tcPr>
          <w:p w14:paraId="42E4CDA0" w14:textId="77777777" w:rsidR="00DE6613" w:rsidRPr="00DE6613" w:rsidRDefault="00DE6613" w:rsidP="00DE6613">
            <w:pPr>
              <w:spacing w:after="0" w:line="240" w:lineRule="auto"/>
              <w:jc w:val="right"/>
              <w:rPr>
                <w:rFonts w:ascii="Times New Roman" w:hAnsi="Times New Roman"/>
              </w:rPr>
            </w:pPr>
          </w:p>
        </w:tc>
        <w:tc>
          <w:tcPr>
            <w:tcW w:w="574" w:type="pct"/>
            <w:tcBorders>
              <w:top w:val="nil"/>
              <w:left w:val="nil"/>
              <w:bottom w:val="single" w:sz="4" w:space="0" w:color="auto"/>
              <w:right w:val="nil"/>
            </w:tcBorders>
            <w:shd w:val="clear" w:color="auto" w:fill="auto"/>
            <w:noWrap/>
            <w:vAlign w:val="center"/>
            <w:hideMark/>
          </w:tcPr>
          <w:p w14:paraId="5EB13CA1" w14:textId="77777777" w:rsidR="00DE6613" w:rsidRPr="00DE6613" w:rsidRDefault="00DE6613" w:rsidP="00DE6613">
            <w:pPr>
              <w:spacing w:after="0" w:line="240" w:lineRule="auto"/>
              <w:jc w:val="right"/>
              <w:rPr>
                <w:rFonts w:ascii="Times New Roman" w:hAnsi="Times New Roman"/>
              </w:rPr>
            </w:pPr>
          </w:p>
        </w:tc>
      </w:tr>
      <w:tr w:rsidR="00DE6613" w:rsidRPr="00DE6613" w14:paraId="076D7AA3" w14:textId="77777777" w:rsidTr="00FB630A">
        <w:trPr>
          <w:trHeight w:hRule="exact" w:val="225"/>
        </w:trPr>
        <w:tc>
          <w:tcPr>
            <w:tcW w:w="2131" w:type="pct"/>
            <w:tcBorders>
              <w:top w:val="single" w:sz="4" w:space="0" w:color="auto"/>
              <w:left w:val="nil"/>
              <w:bottom w:val="single" w:sz="4" w:space="0" w:color="auto"/>
              <w:right w:val="nil"/>
            </w:tcBorders>
            <w:shd w:val="clear" w:color="000000" w:fill="E6E6E6"/>
            <w:noWrap/>
            <w:vAlign w:val="center"/>
            <w:hideMark/>
          </w:tcPr>
          <w:p w14:paraId="3EE0F788"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Program 1.3: Support for Markets and Business</w:t>
            </w:r>
          </w:p>
        </w:tc>
        <w:tc>
          <w:tcPr>
            <w:tcW w:w="574" w:type="pct"/>
            <w:tcBorders>
              <w:top w:val="single" w:sz="4" w:space="0" w:color="auto"/>
              <w:left w:val="nil"/>
              <w:bottom w:val="single" w:sz="4" w:space="0" w:color="auto"/>
              <w:right w:val="nil"/>
            </w:tcBorders>
            <w:shd w:val="clear" w:color="000000" w:fill="E6E6E6"/>
            <w:vAlign w:val="center"/>
            <w:hideMark/>
          </w:tcPr>
          <w:p w14:paraId="5784E5FC"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000000" w:fill="E6E6E6"/>
            <w:vAlign w:val="center"/>
            <w:hideMark/>
          </w:tcPr>
          <w:p w14:paraId="2077DCA0"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000000" w:fill="E6E6E6"/>
            <w:vAlign w:val="center"/>
            <w:hideMark/>
          </w:tcPr>
          <w:p w14:paraId="3157A511"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000000" w:fill="E6E6E6"/>
            <w:vAlign w:val="center"/>
            <w:hideMark/>
          </w:tcPr>
          <w:p w14:paraId="0A6446D5"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000000" w:fill="E6E6E6"/>
            <w:vAlign w:val="center"/>
            <w:hideMark/>
          </w:tcPr>
          <w:p w14:paraId="43FE220F" w14:textId="77777777" w:rsidR="00DE6613" w:rsidRPr="00DE6613" w:rsidRDefault="00DE6613" w:rsidP="00DE6613">
            <w:pPr>
              <w:spacing w:after="0" w:line="240" w:lineRule="auto"/>
              <w:jc w:val="left"/>
              <w:rPr>
                <w:rFonts w:ascii="Arial" w:hAnsi="Arial" w:cs="Arial"/>
                <w:b/>
                <w:bCs/>
                <w:sz w:val="16"/>
                <w:szCs w:val="16"/>
              </w:rPr>
            </w:pPr>
            <w:r w:rsidRPr="00DE6613">
              <w:rPr>
                <w:rFonts w:ascii="Arial" w:hAnsi="Arial" w:cs="Arial"/>
                <w:b/>
                <w:bCs/>
                <w:sz w:val="16"/>
                <w:szCs w:val="16"/>
              </w:rPr>
              <w:t> </w:t>
            </w:r>
          </w:p>
        </w:tc>
      </w:tr>
      <w:tr w:rsidR="00DE6613" w:rsidRPr="00DE6613" w14:paraId="777EAB03" w14:textId="77777777" w:rsidTr="00BF4C99">
        <w:trPr>
          <w:trHeight w:hRule="exact" w:val="235"/>
        </w:trPr>
        <w:tc>
          <w:tcPr>
            <w:tcW w:w="2131" w:type="pct"/>
            <w:tcBorders>
              <w:top w:val="nil"/>
              <w:left w:val="nil"/>
              <w:bottom w:val="nil"/>
              <w:right w:val="nil"/>
            </w:tcBorders>
            <w:shd w:val="clear" w:color="auto" w:fill="auto"/>
            <w:noWrap/>
            <w:vAlign w:val="center"/>
            <w:hideMark/>
          </w:tcPr>
          <w:p w14:paraId="0E0662E2" w14:textId="77777777" w:rsidR="00DE6613" w:rsidRPr="00DE6613" w:rsidRDefault="00DE6613" w:rsidP="00DE6613">
            <w:pPr>
              <w:spacing w:after="0" w:line="240" w:lineRule="auto"/>
              <w:jc w:val="left"/>
              <w:rPr>
                <w:rFonts w:ascii="Arial" w:hAnsi="Arial" w:cs="Arial"/>
                <w:sz w:val="16"/>
                <w:szCs w:val="16"/>
              </w:rPr>
            </w:pPr>
            <w:r w:rsidRPr="00DE6613">
              <w:rPr>
                <w:rFonts w:ascii="Arial" w:hAnsi="Arial" w:cs="Arial"/>
                <w:sz w:val="16"/>
                <w:szCs w:val="16"/>
              </w:rPr>
              <w:t>Administered expenses</w:t>
            </w:r>
          </w:p>
        </w:tc>
        <w:tc>
          <w:tcPr>
            <w:tcW w:w="574" w:type="pct"/>
            <w:tcBorders>
              <w:top w:val="nil"/>
              <w:left w:val="nil"/>
              <w:bottom w:val="nil"/>
              <w:right w:val="nil"/>
            </w:tcBorders>
            <w:shd w:val="clear" w:color="auto" w:fill="auto"/>
            <w:noWrap/>
            <w:vAlign w:val="center"/>
            <w:hideMark/>
          </w:tcPr>
          <w:p w14:paraId="260C3D43" w14:textId="77777777" w:rsidR="00DE6613" w:rsidRPr="00DE6613" w:rsidRDefault="00DE6613" w:rsidP="00DE6613">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3E96FFEB"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41E4A646" w14:textId="77777777" w:rsidR="00DE6613" w:rsidRPr="00DE6613" w:rsidRDefault="00DE6613" w:rsidP="00DE661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7BCBA557" w14:textId="77777777" w:rsidR="00DE6613" w:rsidRPr="00DE6613" w:rsidRDefault="00DE6613" w:rsidP="00DE661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E92F99C" w14:textId="77777777" w:rsidR="00DE6613" w:rsidRPr="00DE6613" w:rsidRDefault="00DE6613" w:rsidP="00DE6613">
            <w:pPr>
              <w:spacing w:after="0" w:line="240" w:lineRule="auto"/>
              <w:jc w:val="left"/>
              <w:rPr>
                <w:rFonts w:ascii="Times New Roman" w:hAnsi="Times New Roman"/>
              </w:rPr>
            </w:pPr>
          </w:p>
        </w:tc>
      </w:tr>
      <w:tr w:rsidR="00DE6613" w:rsidRPr="00DE6613" w14:paraId="751DFE93" w14:textId="77777777" w:rsidTr="00BF4C99">
        <w:trPr>
          <w:trHeight w:hRule="exact" w:val="450"/>
        </w:trPr>
        <w:tc>
          <w:tcPr>
            <w:tcW w:w="2131" w:type="pct"/>
            <w:tcBorders>
              <w:top w:val="nil"/>
              <w:left w:val="nil"/>
              <w:bottom w:val="nil"/>
              <w:right w:val="nil"/>
            </w:tcBorders>
            <w:shd w:val="clear" w:color="auto" w:fill="auto"/>
            <w:vAlign w:val="center"/>
            <w:hideMark/>
          </w:tcPr>
          <w:p w14:paraId="51738E05" w14:textId="201413BB" w:rsidR="00DE6613" w:rsidRPr="00DE6613" w:rsidRDefault="00DE6613" w:rsidP="00DE6613">
            <w:pPr>
              <w:spacing w:after="0" w:line="240" w:lineRule="auto"/>
              <w:ind w:left="170"/>
              <w:jc w:val="left"/>
              <w:rPr>
                <w:rFonts w:ascii="Arial" w:hAnsi="Arial" w:cs="Arial"/>
                <w:sz w:val="16"/>
                <w:szCs w:val="16"/>
              </w:rPr>
            </w:pPr>
            <w:r w:rsidRPr="00DE6613">
              <w:rPr>
                <w:rFonts w:ascii="Arial" w:hAnsi="Arial" w:cs="Arial"/>
                <w:sz w:val="16"/>
                <w:szCs w:val="16"/>
              </w:rPr>
              <w:t>Ordinary annual services (Appropriation</w:t>
            </w:r>
            <w:r w:rsidRPr="00DE6613">
              <w:rPr>
                <w:rFonts w:ascii="Arial" w:hAnsi="Arial" w:cs="Arial"/>
                <w:sz w:val="16"/>
                <w:szCs w:val="16"/>
              </w:rPr>
              <w:br/>
              <w:t xml:space="preserve">  </w:t>
            </w:r>
            <w:r w:rsidR="006935EF">
              <w:rPr>
                <w:rFonts w:ascii="Arial" w:hAnsi="Arial" w:cs="Arial"/>
                <w:sz w:val="16"/>
                <w:szCs w:val="16"/>
              </w:rPr>
              <w:t>Bill</w:t>
            </w:r>
            <w:r w:rsidRPr="00DE6613">
              <w:rPr>
                <w:rFonts w:ascii="Arial" w:hAnsi="Arial" w:cs="Arial"/>
                <w:sz w:val="16"/>
                <w:szCs w:val="16"/>
              </w:rPr>
              <w:t xml:space="preserve"> No. 1)</w:t>
            </w:r>
          </w:p>
        </w:tc>
        <w:tc>
          <w:tcPr>
            <w:tcW w:w="574" w:type="pct"/>
            <w:tcBorders>
              <w:top w:val="nil"/>
              <w:left w:val="nil"/>
              <w:bottom w:val="nil"/>
              <w:right w:val="nil"/>
            </w:tcBorders>
            <w:shd w:val="clear" w:color="auto" w:fill="auto"/>
            <w:noWrap/>
            <w:vAlign w:val="center"/>
            <w:hideMark/>
          </w:tcPr>
          <w:p w14:paraId="591C4070" w14:textId="77777777" w:rsidR="00DE6613" w:rsidRPr="00DE6613" w:rsidRDefault="00DE6613" w:rsidP="00DE6613">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2BE0F4BC"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7019A749" w14:textId="77777777" w:rsidR="00DE6613" w:rsidRPr="00DE6613" w:rsidRDefault="00DE6613" w:rsidP="00DE661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2333974E" w14:textId="77777777" w:rsidR="00DE6613" w:rsidRPr="00DE6613" w:rsidRDefault="00DE6613" w:rsidP="00DE6613">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0D404183" w14:textId="77777777" w:rsidR="00DE6613" w:rsidRPr="00DE6613" w:rsidRDefault="00DE6613" w:rsidP="00DE6613">
            <w:pPr>
              <w:spacing w:after="0" w:line="240" w:lineRule="auto"/>
              <w:jc w:val="right"/>
              <w:rPr>
                <w:rFonts w:ascii="Times New Roman" w:hAnsi="Times New Roman"/>
              </w:rPr>
            </w:pPr>
          </w:p>
        </w:tc>
      </w:tr>
      <w:tr w:rsidR="00DE6613" w:rsidRPr="00DE6613" w14:paraId="2281A2A1" w14:textId="77777777" w:rsidTr="00BF4C99">
        <w:trPr>
          <w:trHeight w:hRule="exact" w:val="225"/>
        </w:trPr>
        <w:tc>
          <w:tcPr>
            <w:tcW w:w="2131" w:type="pct"/>
            <w:tcBorders>
              <w:top w:val="nil"/>
              <w:left w:val="nil"/>
              <w:bottom w:val="nil"/>
              <w:right w:val="nil"/>
            </w:tcBorders>
            <w:shd w:val="clear" w:color="auto" w:fill="auto"/>
            <w:vAlign w:val="center"/>
            <w:hideMark/>
          </w:tcPr>
          <w:p w14:paraId="1ABC5241" w14:textId="1BF81051" w:rsidR="00DE6613" w:rsidRPr="00DE6613" w:rsidRDefault="00DE6613" w:rsidP="00DE6613">
            <w:pPr>
              <w:spacing w:after="0" w:line="240" w:lineRule="auto"/>
              <w:ind w:left="170"/>
              <w:jc w:val="left"/>
              <w:rPr>
                <w:rFonts w:ascii="Arial" w:hAnsi="Arial" w:cs="Arial"/>
                <w:sz w:val="16"/>
                <w:szCs w:val="16"/>
              </w:rPr>
            </w:pPr>
            <w:r w:rsidRPr="00DE6613">
              <w:rPr>
                <w:rFonts w:ascii="Arial" w:hAnsi="Arial" w:cs="Arial"/>
                <w:sz w:val="16"/>
                <w:szCs w:val="16"/>
              </w:rPr>
              <w:t xml:space="preserve">   Payment to </w:t>
            </w:r>
            <w:r w:rsidR="0071548B" w:rsidRPr="0071548B">
              <w:rPr>
                <w:rFonts w:ascii="Arial" w:hAnsi="Arial" w:cs="Arial"/>
                <w:sz w:val="16"/>
                <w:szCs w:val="16"/>
              </w:rPr>
              <w:t>International Financial Reporting Standards</w:t>
            </w:r>
          </w:p>
        </w:tc>
        <w:tc>
          <w:tcPr>
            <w:tcW w:w="574" w:type="pct"/>
            <w:tcBorders>
              <w:top w:val="nil"/>
              <w:left w:val="nil"/>
              <w:bottom w:val="nil"/>
              <w:right w:val="nil"/>
            </w:tcBorders>
            <w:shd w:val="clear" w:color="auto" w:fill="auto"/>
            <w:noWrap/>
            <w:vAlign w:val="center"/>
            <w:hideMark/>
          </w:tcPr>
          <w:p w14:paraId="45AC3D0A"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1,000 </w:t>
            </w:r>
          </w:p>
        </w:tc>
        <w:tc>
          <w:tcPr>
            <w:tcW w:w="574" w:type="pct"/>
            <w:tcBorders>
              <w:top w:val="nil"/>
              <w:left w:val="nil"/>
              <w:bottom w:val="nil"/>
              <w:right w:val="nil"/>
            </w:tcBorders>
            <w:shd w:val="clear" w:color="000000" w:fill="E6E6E6"/>
            <w:noWrap/>
            <w:vAlign w:val="center"/>
            <w:hideMark/>
          </w:tcPr>
          <w:p w14:paraId="7BAE6FA9"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1,000 </w:t>
            </w:r>
          </w:p>
        </w:tc>
        <w:tc>
          <w:tcPr>
            <w:tcW w:w="574" w:type="pct"/>
            <w:tcBorders>
              <w:top w:val="nil"/>
              <w:left w:val="nil"/>
              <w:bottom w:val="nil"/>
              <w:right w:val="nil"/>
            </w:tcBorders>
            <w:shd w:val="clear" w:color="auto" w:fill="auto"/>
            <w:noWrap/>
            <w:vAlign w:val="center"/>
            <w:hideMark/>
          </w:tcPr>
          <w:p w14:paraId="6DFEAE16"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1,000 </w:t>
            </w:r>
          </w:p>
        </w:tc>
        <w:tc>
          <w:tcPr>
            <w:tcW w:w="574" w:type="pct"/>
            <w:tcBorders>
              <w:top w:val="nil"/>
              <w:left w:val="nil"/>
              <w:bottom w:val="nil"/>
              <w:right w:val="nil"/>
            </w:tcBorders>
            <w:shd w:val="clear" w:color="auto" w:fill="auto"/>
            <w:noWrap/>
            <w:vAlign w:val="center"/>
            <w:hideMark/>
          </w:tcPr>
          <w:p w14:paraId="5E698065" w14:textId="29E9BF5A" w:rsidR="00DE6613" w:rsidRPr="00DE6613" w:rsidRDefault="00B33758" w:rsidP="00DE661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E6613" w:rsidRPr="00DE6613">
              <w:rPr>
                <w:rFonts w:ascii="Arial" w:hAnsi="Arial" w:cs="Arial"/>
                <w:color w:val="000000"/>
                <w:sz w:val="16"/>
                <w:szCs w:val="16"/>
              </w:rPr>
              <w:t xml:space="preserve"> </w:t>
            </w:r>
          </w:p>
        </w:tc>
        <w:tc>
          <w:tcPr>
            <w:tcW w:w="574" w:type="pct"/>
            <w:tcBorders>
              <w:top w:val="nil"/>
              <w:left w:val="nil"/>
              <w:bottom w:val="nil"/>
              <w:right w:val="nil"/>
            </w:tcBorders>
            <w:shd w:val="clear" w:color="auto" w:fill="auto"/>
            <w:noWrap/>
            <w:vAlign w:val="center"/>
            <w:hideMark/>
          </w:tcPr>
          <w:p w14:paraId="106F8D05" w14:textId="56AA7DD5" w:rsidR="00DE6613" w:rsidRPr="00DE6613" w:rsidRDefault="00B33758" w:rsidP="00DE661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E6613" w:rsidRPr="00DE6613">
              <w:rPr>
                <w:rFonts w:ascii="Arial" w:hAnsi="Arial" w:cs="Arial"/>
                <w:color w:val="000000"/>
                <w:sz w:val="16"/>
                <w:szCs w:val="16"/>
              </w:rPr>
              <w:t xml:space="preserve"> </w:t>
            </w:r>
          </w:p>
        </w:tc>
      </w:tr>
      <w:tr w:rsidR="00DE6613" w:rsidRPr="00DE6613" w14:paraId="0858517B" w14:textId="77777777" w:rsidTr="00BF4C99">
        <w:trPr>
          <w:trHeight w:hRule="exact" w:val="225"/>
        </w:trPr>
        <w:tc>
          <w:tcPr>
            <w:tcW w:w="2131" w:type="pct"/>
            <w:tcBorders>
              <w:top w:val="nil"/>
              <w:left w:val="nil"/>
              <w:bottom w:val="nil"/>
              <w:right w:val="nil"/>
            </w:tcBorders>
            <w:shd w:val="clear" w:color="auto" w:fill="auto"/>
            <w:vAlign w:val="center"/>
            <w:hideMark/>
          </w:tcPr>
          <w:p w14:paraId="6248BB99" w14:textId="77777777" w:rsidR="00DE6613" w:rsidRPr="00DE6613" w:rsidRDefault="00DE6613" w:rsidP="00DE6613">
            <w:pPr>
              <w:spacing w:after="0" w:line="240" w:lineRule="auto"/>
              <w:ind w:left="170"/>
              <w:jc w:val="left"/>
              <w:rPr>
                <w:rFonts w:ascii="Arial" w:hAnsi="Arial" w:cs="Arial"/>
                <w:sz w:val="16"/>
                <w:szCs w:val="16"/>
              </w:rPr>
            </w:pPr>
            <w:r w:rsidRPr="00DE6613">
              <w:rPr>
                <w:rFonts w:ascii="Arial" w:hAnsi="Arial" w:cs="Arial"/>
                <w:sz w:val="16"/>
                <w:szCs w:val="16"/>
              </w:rPr>
              <w:t xml:space="preserve">   Other</w:t>
            </w:r>
          </w:p>
        </w:tc>
        <w:tc>
          <w:tcPr>
            <w:tcW w:w="574" w:type="pct"/>
            <w:tcBorders>
              <w:top w:val="nil"/>
              <w:left w:val="nil"/>
              <w:bottom w:val="nil"/>
              <w:right w:val="nil"/>
            </w:tcBorders>
            <w:shd w:val="clear" w:color="auto" w:fill="auto"/>
            <w:noWrap/>
            <w:vAlign w:val="center"/>
            <w:hideMark/>
          </w:tcPr>
          <w:p w14:paraId="1B51D6DE"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42,077 </w:t>
            </w:r>
          </w:p>
        </w:tc>
        <w:tc>
          <w:tcPr>
            <w:tcW w:w="574" w:type="pct"/>
            <w:tcBorders>
              <w:top w:val="nil"/>
              <w:left w:val="nil"/>
              <w:bottom w:val="nil"/>
              <w:right w:val="nil"/>
            </w:tcBorders>
            <w:shd w:val="clear" w:color="000000" w:fill="E6E6E6"/>
            <w:noWrap/>
            <w:vAlign w:val="center"/>
            <w:hideMark/>
          </w:tcPr>
          <w:p w14:paraId="2DACC6E9"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29,115 </w:t>
            </w:r>
          </w:p>
        </w:tc>
        <w:tc>
          <w:tcPr>
            <w:tcW w:w="574" w:type="pct"/>
            <w:tcBorders>
              <w:top w:val="nil"/>
              <w:left w:val="nil"/>
              <w:bottom w:val="nil"/>
              <w:right w:val="nil"/>
            </w:tcBorders>
            <w:shd w:val="clear" w:color="auto" w:fill="auto"/>
            <w:noWrap/>
            <w:vAlign w:val="center"/>
            <w:hideMark/>
          </w:tcPr>
          <w:p w14:paraId="58579E54"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7,818 </w:t>
            </w:r>
          </w:p>
        </w:tc>
        <w:tc>
          <w:tcPr>
            <w:tcW w:w="574" w:type="pct"/>
            <w:tcBorders>
              <w:top w:val="nil"/>
              <w:left w:val="nil"/>
              <w:bottom w:val="nil"/>
              <w:right w:val="nil"/>
            </w:tcBorders>
            <w:shd w:val="clear" w:color="auto" w:fill="auto"/>
            <w:noWrap/>
            <w:vAlign w:val="center"/>
            <w:hideMark/>
          </w:tcPr>
          <w:p w14:paraId="3461D382"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7,691 </w:t>
            </w:r>
          </w:p>
        </w:tc>
        <w:tc>
          <w:tcPr>
            <w:tcW w:w="574" w:type="pct"/>
            <w:tcBorders>
              <w:top w:val="nil"/>
              <w:left w:val="nil"/>
              <w:bottom w:val="nil"/>
              <w:right w:val="nil"/>
            </w:tcBorders>
            <w:shd w:val="clear" w:color="auto" w:fill="auto"/>
            <w:noWrap/>
            <w:vAlign w:val="center"/>
            <w:hideMark/>
          </w:tcPr>
          <w:p w14:paraId="27FBF7A6"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7,691 </w:t>
            </w:r>
          </w:p>
        </w:tc>
      </w:tr>
      <w:tr w:rsidR="00DE6613" w:rsidRPr="00DE6613" w14:paraId="43B2AD1E" w14:textId="77777777" w:rsidTr="00BF4C99">
        <w:trPr>
          <w:trHeight w:hRule="exact" w:val="460"/>
        </w:trPr>
        <w:tc>
          <w:tcPr>
            <w:tcW w:w="2131" w:type="pct"/>
            <w:tcBorders>
              <w:top w:val="nil"/>
              <w:left w:val="nil"/>
              <w:bottom w:val="nil"/>
              <w:right w:val="nil"/>
            </w:tcBorders>
            <w:shd w:val="clear" w:color="000000" w:fill="FFFFFF"/>
            <w:vAlign w:val="center"/>
            <w:hideMark/>
          </w:tcPr>
          <w:p w14:paraId="3F3A9BAC" w14:textId="77777777" w:rsidR="00DE6613" w:rsidRPr="00DE6613" w:rsidRDefault="00DE6613" w:rsidP="00DE6613">
            <w:pPr>
              <w:spacing w:after="0" w:line="240" w:lineRule="auto"/>
              <w:ind w:left="170"/>
              <w:jc w:val="left"/>
              <w:rPr>
                <w:rFonts w:ascii="Arial" w:hAnsi="Arial" w:cs="Arial"/>
                <w:sz w:val="16"/>
                <w:szCs w:val="16"/>
              </w:rPr>
            </w:pPr>
            <w:r w:rsidRPr="00DE6613">
              <w:rPr>
                <w:rFonts w:ascii="Arial" w:hAnsi="Arial" w:cs="Arial"/>
                <w:sz w:val="16"/>
                <w:szCs w:val="16"/>
              </w:rPr>
              <w:t>Expenses not requiring appropriation in the Budget</w:t>
            </w:r>
            <w:r w:rsidRPr="00DE6613">
              <w:rPr>
                <w:rFonts w:ascii="Arial" w:hAnsi="Arial" w:cs="Arial"/>
                <w:sz w:val="16"/>
                <w:szCs w:val="16"/>
              </w:rPr>
              <w:br/>
              <w:t xml:space="preserve">  year (b)</w:t>
            </w:r>
          </w:p>
        </w:tc>
        <w:tc>
          <w:tcPr>
            <w:tcW w:w="574" w:type="pct"/>
            <w:tcBorders>
              <w:top w:val="nil"/>
              <w:left w:val="nil"/>
              <w:bottom w:val="nil"/>
              <w:right w:val="nil"/>
            </w:tcBorders>
            <w:shd w:val="clear" w:color="auto" w:fill="auto"/>
            <w:noWrap/>
            <w:vAlign w:val="center"/>
            <w:hideMark/>
          </w:tcPr>
          <w:p w14:paraId="4672F3F8"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995,921 </w:t>
            </w:r>
          </w:p>
        </w:tc>
        <w:tc>
          <w:tcPr>
            <w:tcW w:w="574" w:type="pct"/>
            <w:tcBorders>
              <w:top w:val="nil"/>
              <w:left w:val="nil"/>
              <w:bottom w:val="nil"/>
              <w:right w:val="nil"/>
            </w:tcBorders>
            <w:shd w:val="clear" w:color="000000" w:fill="E6E6E6"/>
            <w:noWrap/>
            <w:vAlign w:val="center"/>
            <w:hideMark/>
          </w:tcPr>
          <w:p w14:paraId="43064CCE" w14:textId="77777777" w:rsidR="00DE6613" w:rsidRPr="00DE6613" w:rsidRDefault="00DE6613" w:rsidP="00DE6613">
            <w:pPr>
              <w:spacing w:after="0" w:line="240" w:lineRule="auto"/>
              <w:jc w:val="right"/>
              <w:rPr>
                <w:rFonts w:ascii="Arial" w:hAnsi="Arial" w:cs="Arial"/>
                <w:sz w:val="16"/>
                <w:szCs w:val="16"/>
              </w:rPr>
            </w:pPr>
            <w:r w:rsidRPr="00DE6613">
              <w:rPr>
                <w:rFonts w:ascii="Arial" w:hAnsi="Arial" w:cs="Arial"/>
                <w:sz w:val="16"/>
                <w:szCs w:val="16"/>
              </w:rPr>
              <w:t xml:space="preserve">19,782 </w:t>
            </w:r>
          </w:p>
        </w:tc>
        <w:tc>
          <w:tcPr>
            <w:tcW w:w="574" w:type="pct"/>
            <w:tcBorders>
              <w:top w:val="nil"/>
              <w:left w:val="nil"/>
              <w:bottom w:val="nil"/>
              <w:right w:val="nil"/>
            </w:tcBorders>
            <w:shd w:val="clear" w:color="auto" w:fill="auto"/>
            <w:noWrap/>
            <w:vAlign w:val="center"/>
            <w:hideMark/>
          </w:tcPr>
          <w:p w14:paraId="63BD6143"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16,941 </w:t>
            </w:r>
          </w:p>
        </w:tc>
        <w:tc>
          <w:tcPr>
            <w:tcW w:w="574" w:type="pct"/>
            <w:tcBorders>
              <w:top w:val="nil"/>
              <w:left w:val="nil"/>
              <w:bottom w:val="nil"/>
              <w:right w:val="nil"/>
            </w:tcBorders>
            <w:shd w:val="clear" w:color="auto" w:fill="auto"/>
            <w:noWrap/>
            <w:vAlign w:val="center"/>
            <w:hideMark/>
          </w:tcPr>
          <w:p w14:paraId="73492CCA"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12,035 </w:t>
            </w:r>
          </w:p>
        </w:tc>
        <w:tc>
          <w:tcPr>
            <w:tcW w:w="574" w:type="pct"/>
            <w:tcBorders>
              <w:top w:val="nil"/>
              <w:left w:val="nil"/>
              <w:bottom w:val="nil"/>
              <w:right w:val="nil"/>
            </w:tcBorders>
            <w:shd w:val="clear" w:color="auto" w:fill="auto"/>
            <w:noWrap/>
            <w:vAlign w:val="center"/>
            <w:hideMark/>
          </w:tcPr>
          <w:p w14:paraId="59483F56" w14:textId="77777777" w:rsidR="00DE6613" w:rsidRPr="00DE6613" w:rsidRDefault="00DE6613" w:rsidP="00DE6613">
            <w:pPr>
              <w:spacing w:after="0" w:line="240" w:lineRule="auto"/>
              <w:jc w:val="right"/>
              <w:rPr>
                <w:rFonts w:ascii="Arial" w:hAnsi="Arial" w:cs="Arial"/>
                <w:color w:val="000000"/>
                <w:sz w:val="16"/>
                <w:szCs w:val="16"/>
              </w:rPr>
            </w:pPr>
            <w:r w:rsidRPr="00DE6613">
              <w:rPr>
                <w:rFonts w:ascii="Arial" w:hAnsi="Arial" w:cs="Arial"/>
                <w:color w:val="000000"/>
                <w:sz w:val="16"/>
                <w:szCs w:val="16"/>
              </w:rPr>
              <w:t xml:space="preserve">8,989 </w:t>
            </w:r>
          </w:p>
        </w:tc>
      </w:tr>
      <w:tr w:rsidR="00DE6613" w:rsidRPr="00DE6613" w14:paraId="732552BF" w14:textId="77777777" w:rsidTr="00BF4C99">
        <w:trPr>
          <w:trHeight w:hRule="exact" w:val="235"/>
        </w:trPr>
        <w:tc>
          <w:tcPr>
            <w:tcW w:w="2131" w:type="pct"/>
            <w:tcBorders>
              <w:top w:val="nil"/>
              <w:left w:val="nil"/>
              <w:bottom w:val="nil"/>
              <w:right w:val="nil"/>
            </w:tcBorders>
            <w:shd w:val="clear" w:color="auto" w:fill="auto"/>
            <w:vAlign w:val="center"/>
            <w:hideMark/>
          </w:tcPr>
          <w:p w14:paraId="38A840CC"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Administered total</w:t>
            </w:r>
          </w:p>
        </w:tc>
        <w:tc>
          <w:tcPr>
            <w:tcW w:w="574" w:type="pct"/>
            <w:tcBorders>
              <w:top w:val="single" w:sz="4" w:space="0" w:color="auto"/>
              <w:left w:val="nil"/>
              <w:bottom w:val="single" w:sz="4" w:space="0" w:color="auto"/>
              <w:right w:val="nil"/>
            </w:tcBorders>
            <w:shd w:val="clear" w:color="auto" w:fill="auto"/>
            <w:noWrap/>
            <w:vAlign w:val="center"/>
            <w:hideMark/>
          </w:tcPr>
          <w:p w14:paraId="29CAB757"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1,038,998 </w:t>
            </w:r>
          </w:p>
        </w:tc>
        <w:tc>
          <w:tcPr>
            <w:tcW w:w="574" w:type="pct"/>
            <w:tcBorders>
              <w:top w:val="single" w:sz="4" w:space="0" w:color="auto"/>
              <w:left w:val="nil"/>
              <w:bottom w:val="single" w:sz="4" w:space="0" w:color="auto"/>
              <w:right w:val="nil"/>
            </w:tcBorders>
            <w:shd w:val="clear" w:color="000000" w:fill="E6E6E6"/>
            <w:noWrap/>
            <w:vAlign w:val="center"/>
            <w:hideMark/>
          </w:tcPr>
          <w:p w14:paraId="60E8474A"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49,897 </w:t>
            </w:r>
          </w:p>
        </w:tc>
        <w:tc>
          <w:tcPr>
            <w:tcW w:w="574" w:type="pct"/>
            <w:tcBorders>
              <w:top w:val="single" w:sz="4" w:space="0" w:color="auto"/>
              <w:left w:val="nil"/>
              <w:bottom w:val="single" w:sz="4" w:space="0" w:color="auto"/>
              <w:right w:val="nil"/>
            </w:tcBorders>
            <w:shd w:val="clear" w:color="auto" w:fill="auto"/>
            <w:noWrap/>
            <w:vAlign w:val="center"/>
            <w:hideMark/>
          </w:tcPr>
          <w:p w14:paraId="4A03D50C"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25,759 </w:t>
            </w:r>
          </w:p>
        </w:tc>
        <w:tc>
          <w:tcPr>
            <w:tcW w:w="574" w:type="pct"/>
            <w:tcBorders>
              <w:top w:val="single" w:sz="4" w:space="0" w:color="auto"/>
              <w:left w:val="nil"/>
              <w:bottom w:val="single" w:sz="4" w:space="0" w:color="auto"/>
              <w:right w:val="nil"/>
            </w:tcBorders>
            <w:shd w:val="clear" w:color="auto" w:fill="auto"/>
            <w:noWrap/>
            <w:vAlign w:val="center"/>
            <w:hideMark/>
          </w:tcPr>
          <w:p w14:paraId="10110E2C"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19,726 </w:t>
            </w:r>
          </w:p>
        </w:tc>
        <w:tc>
          <w:tcPr>
            <w:tcW w:w="574" w:type="pct"/>
            <w:tcBorders>
              <w:top w:val="single" w:sz="4" w:space="0" w:color="auto"/>
              <w:left w:val="nil"/>
              <w:bottom w:val="single" w:sz="4" w:space="0" w:color="auto"/>
              <w:right w:val="nil"/>
            </w:tcBorders>
            <w:shd w:val="clear" w:color="auto" w:fill="auto"/>
            <w:noWrap/>
            <w:vAlign w:val="center"/>
            <w:hideMark/>
          </w:tcPr>
          <w:p w14:paraId="7959552B"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16,680 </w:t>
            </w:r>
          </w:p>
        </w:tc>
      </w:tr>
      <w:tr w:rsidR="00DE6613" w:rsidRPr="00DE6613" w14:paraId="7F30035F" w14:textId="77777777" w:rsidTr="00BF4C99">
        <w:trPr>
          <w:trHeight w:hRule="exact" w:val="235"/>
        </w:trPr>
        <w:tc>
          <w:tcPr>
            <w:tcW w:w="2131" w:type="pct"/>
            <w:tcBorders>
              <w:top w:val="nil"/>
              <w:left w:val="nil"/>
              <w:bottom w:val="single" w:sz="4" w:space="0" w:color="auto"/>
              <w:right w:val="nil"/>
            </w:tcBorders>
            <w:shd w:val="clear" w:color="auto" w:fill="auto"/>
            <w:noWrap/>
            <w:vAlign w:val="center"/>
            <w:hideMark/>
          </w:tcPr>
          <w:p w14:paraId="79E45A9A" w14:textId="77777777" w:rsidR="00DE6613" w:rsidRPr="00DE6613" w:rsidRDefault="00DE6613" w:rsidP="00DE6613">
            <w:pPr>
              <w:spacing w:after="0" w:line="240" w:lineRule="auto"/>
              <w:jc w:val="left"/>
              <w:rPr>
                <w:rFonts w:ascii="Arial" w:hAnsi="Arial" w:cs="Arial"/>
                <w:b/>
                <w:bCs/>
                <w:color w:val="000000"/>
                <w:sz w:val="16"/>
                <w:szCs w:val="16"/>
              </w:rPr>
            </w:pPr>
            <w:r w:rsidRPr="00DE6613">
              <w:rPr>
                <w:rFonts w:ascii="Arial" w:hAnsi="Arial" w:cs="Arial"/>
                <w:b/>
                <w:bCs/>
                <w:color w:val="000000"/>
                <w:sz w:val="16"/>
                <w:szCs w:val="16"/>
              </w:rPr>
              <w:t>Total expenses for program 1.3</w:t>
            </w:r>
          </w:p>
        </w:tc>
        <w:tc>
          <w:tcPr>
            <w:tcW w:w="574" w:type="pct"/>
            <w:tcBorders>
              <w:top w:val="nil"/>
              <w:left w:val="nil"/>
              <w:bottom w:val="single" w:sz="4" w:space="0" w:color="auto"/>
              <w:right w:val="nil"/>
            </w:tcBorders>
            <w:shd w:val="clear" w:color="auto" w:fill="auto"/>
            <w:noWrap/>
            <w:vAlign w:val="center"/>
            <w:hideMark/>
          </w:tcPr>
          <w:p w14:paraId="4874B178"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1,038,998 </w:t>
            </w:r>
          </w:p>
        </w:tc>
        <w:tc>
          <w:tcPr>
            <w:tcW w:w="574" w:type="pct"/>
            <w:tcBorders>
              <w:top w:val="nil"/>
              <w:left w:val="nil"/>
              <w:bottom w:val="single" w:sz="4" w:space="0" w:color="auto"/>
              <w:right w:val="nil"/>
            </w:tcBorders>
            <w:shd w:val="clear" w:color="000000" w:fill="E6E6E6"/>
            <w:noWrap/>
            <w:vAlign w:val="center"/>
            <w:hideMark/>
          </w:tcPr>
          <w:p w14:paraId="3FC9153F" w14:textId="77777777" w:rsidR="00DE6613" w:rsidRPr="00DE6613" w:rsidRDefault="00DE6613" w:rsidP="00DE6613">
            <w:pPr>
              <w:spacing w:after="0" w:line="240" w:lineRule="auto"/>
              <w:jc w:val="right"/>
              <w:rPr>
                <w:rFonts w:ascii="Arial" w:hAnsi="Arial" w:cs="Arial"/>
                <w:b/>
                <w:bCs/>
                <w:sz w:val="16"/>
                <w:szCs w:val="16"/>
              </w:rPr>
            </w:pPr>
            <w:r w:rsidRPr="00DE6613">
              <w:rPr>
                <w:rFonts w:ascii="Arial" w:hAnsi="Arial" w:cs="Arial"/>
                <w:b/>
                <w:bCs/>
                <w:sz w:val="16"/>
                <w:szCs w:val="16"/>
              </w:rPr>
              <w:t xml:space="preserve">49,897 </w:t>
            </w:r>
          </w:p>
        </w:tc>
        <w:tc>
          <w:tcPr>
            <w:tcW w:w="574" w:type="pct"/>
            <w:tcBorders>
              <w:top w:val="nil"/>
              <w:left w:val="nil"/>
              <w:bottom w:val="single" w:sz="4" w:space="0" w:color="auto"/>
              <w:right w:val="nil"/>
            </w:tcBorders>
            <w:shd w:val="clear" w:color="auto" w:fill="auto"/>
            <w:noWrap/>
            <w:vAlign w:val="center"/>
            <w:hideMark/>
          </w:tcPr>
          <w:p w14:paraId="2040E4C2"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25,759 </w:t>
            </w:r>
          </w:p>
        </w:tc>
        <w:tc>
          <w:tcPr>
            <w:tcW w:w="574" w:type="pct"/>
            <w:tcBorders>
              <w:top w:val="nil"/>
              <w:left w:val="nil"/>
              <w:bottom w:val="single" w:sz="4" w:space="0" w:color="auto"/>
              <w:right w:val="nil"/>
            </w:tcBorders>
            <w:shd w:val="clear" w:color="auto" w:fill="auto"/>
            <w:noWrap/>
            <w:vAlign w:val="center"/>
            <w:hideMark/>
          </w:tcPr>
          <w:p w14:paraId="7494BC44"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19,726 </w:t>
            </w:r>
          </w:p>
        </w:tc>
        <w:tc>
          <w:tcPr>
            <w:tcW w:w="574" w:type="pct"/>
            <w:tcBorders>
              <w:top w:val="nil"/>
              <w:left w:val="nil"/>
              <w:bottom w:val="single" w:sz="4" w:space="0" w:color="auto"/>
              <w:right w:val="nil"/>
            </w:tcBorders>
            <w:shd w:val="clear" w:color="auto" w:fill="auto"/>
            <w:noWrap/>
            <w:vAlign w:val="center"/>
            <w:hideMark/>
          </w:tcPr>
          <w:p w14:paraId="09077C16" w14:textId="77777777" w:rsidR="00DE6613" w:rsidRPr="00DE6613" w:rsidRDefault="00DE6613" w:rsidP="00DE6613">
            <w:pPr>
              <w:spacing w:after="0" w:line="240" w:lineRule="auto"/>
              <w:jc w:val="right"/>
              <w:rPr>
                <w:rFonts w:ascii="Arial" w:hAnsi="Arial" w:cs="Arial"/>
                <w:b/>
                <w:bCs/>
                <w:color w:val="000000"/>
                <w:sz w:val="16"/>
                <w:szCs w:val="16"/>
              </w:rPr>
            </w:pPr>
            <w:r w:rsidRPr="00DE6613">
              <w:rPr>
                <w:rFonts w:ascii="Arial" w:hAnsi="Arial" w:cs="Arial"/>
                <w:b/>
                <w:bCs/>
                <w:color w:val="000000"/>
                <w:sz w:val="16"/>
                <w:szCs w:val="16"/>
              </w:rPr>
              <w:t xml:space="preserve">16,680 </w:t>
            </w:r>
          </w:p>
        </w:tc>
      </w:tr>
    </w:tbl>
    <w:p w14:paraId="5CE6E366" w14:textId="6CFF0098" w:rsidR="009516EB" w:rsidRDefault="009516EB" w:rsidP="00CD5034">
      <w:pPr>
        <w:spacing w:after="0"/>
      </w:pPr>
    </w:p>
    <w:p w14:paraId="5A54BAF5" w14:textId="77777777" w:rsidR="009516EB" w:rsidRDefault="009516EB">
      <w:pPr>
        <w:spacing w:after="0" w:line="240" w:lineRule="auto"/>
        <w:jc w:val="left"/>
      </w:pPr>
      <w:r>
        <w:br w:type="page"/>
      </w:r>
    </w:p>
    <w:p w14:paraId="04C8C80D" w14:textId="7CD0B00E" w:rsidR="00DC2A23" w:rsidRDefault="00190773" w:rsidP="00DC2A23">
      <w:pPr>
        <w:pStyle w:val="TableHeadingcontinued0"/>
        <w:rPr>
          <w:rFonts w:ascii="Times New Roman" w:hAnsi="Times New Roman"/>
        </w:rPr>
      </w:pPr>
      <w:r w:rsidRPr="00190773">
        <w:lastRenderedPageBreak/>
        <w:t>Table 2.1: Budgeted expenses for Outcome 1 (continued</w:t>
      </w:r>
      <w:r w:rsidR="00EC4677">
        <w:rPr>
          <w:lang w:val="en-AU"/>
        </w:rPr>
        <w:t>)</w:t>
      </w:r>
    </w:p>
    <w:tbl>
      <w:tblPr>
        <w:tblW w:w="5000" w:type="pct"/>
        <w:tblCellMar>
          <w:left w:w="0" w:type="dxa"/>
          <w:right w:w="28" w:type="dxa"/>
        </w:tblCellMar>
        <w:tblLook w:val="04A0" w:firstRow="1" w:lastRow="0" w:firstColumn="1" w:lastColumn="0" w:noHBand="0" w:noVBand="1"/>
      </w:tblPr>
      <w:tblGrid>
        <w:gridCol w:w="4915"/>
        <w:gridCol w:w="1324"/>
        <w:gridCol w:w="1325"/>
        <w:gridCol w:w="1325"/>
        <w:gridCol w:w="1325"/>
        <w:gridCol w:w="1325"/>
      </w:tblGrid>
      <w:tr w:rsidR="00DC2A23" w:rsidRPr="00DC2A23" w14:paraId="6907443D" w14:textId="77777777" w:rsidTr="00DC2A23">
        <w:trPr>
          <w:trHeight w:hRule="exact" w:val="900"/>
        </w:trPr>
        <w:tc>
          <w:tcPr>
            <w:tcW w:w="2130" w:type="pct"/>
            <w:tcBorders>
              <w:top w:val="single" w:sz="4" w:space="0" w:color="auto"/>
              <w:left w:val="nil"/>
              <w:bottom w:val="single" w:sz="4" w:space="0" w:color="auto"/>
              <w:right w:val="nil"/>
            </w:tcBorders>
            <w:shd w:val="clear" w:color="auto" w:fill="auto"/>
            <w:vAlign w:val="center"/>
            <w:hideMark/>
          </w:tcPr>
          <w:p w14:paraId="5D94F09C" w14:textId="17CF3FA1" w:rsidR="00DC2A23" w:rsidRPr="00DC2A23" w:rsidRDefault="00DC2A23" w:rsidP="00DC2A23">
            <w:pPr>
              <w:spacing w:after="0" w:line="240" w:lineRule="auto"/>
              <w:jc w:val="left"/>
              <w:rPr>
                <w:rFonts w:ascii="Arial" w:hAnsi="Arial" w:cs="Arial"/>
                <w:b/>
                <w:bCs/>
                <w:color w:val="000000"/>
                <w:sz w:val="16"/>
                <w:szCs w:val="16"/>
              </w:rPr>
            </w:pPr>
            <w:r w:rsidRPr="00DC2A23">
              <w:rPr>
                <w:rFonts w:ascii="Arial" w:hAnsi="Arial" w:cs="Arial"/>
                <w:b/>
                <w:bCs/>
                <w:color w:val="000000"/>
                <w:sz w:val="16"/>
                <w:szCs w:val="16"/>
              </w:rPr>
              <w:t> </w:t>
            </w:r>
          </w:p>
        </w:tc>
        <w:tc>
          <w:tcPr>
            <w:tcW w:w="574" w:type="pct"/>
            <w:tcBorders>
              <w:top w:val="single" w:sz="4" w:space="0" w:color="auto"/>
              <w:left w:val="nil"/>
              <w:bottom w:val="single" w:sz="4" w:space="0" w:color="auto"/>
              <w:right w:val="nil"/>
            </w:tcBorders>
            <w:shd w:val="clear" w:color="auto" w:fill="auto"/>
            <w:hideMark/>
          </w:tcPr>
          <w:p w14:paraId="35DF6DCF" w14:textId="4FF27BAC"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2021</w:t>
            </w:r>
            <w:r w:rsidR="00B33758">
              <w:rPr>
                <w:rFonts w:ascii="Arial" w:hAnsi="Arial" w:cs="Arial"/>
                <w:sz w:val="16"/>
                <w:szCs w:val="16"/>
              </w:rPr>
              <w:noBreakHyphen/>
            </w:r>
            <w:r w:rsidRPr="00DC2A23">
              <w:rPr>
                <w:rFonts w:ascii="Arial" w:hAnsi="Arial" w:cs="Arial"/>
                <w:sz w:val="16"/>
                <w:szCs w:val="16"/>
              </w:rPr>
              <w:t>22 Estimated actual</w:t>
            </w:r>
            <w:r w:rsidRPr="00DC2A23">
              <w:rPr>
                <w:rFonts w:ascii="Arial" w:hAnsi="Arial" w:cs="Arial"/>
                <w:sz w:val="16"/>
                <w:szCs w:val="16"/>
              </w:rPr>
              <w:br/>
              <w:t>$</w:t>
            </w:r>
            <w:r w:rsidR="00B33758">
              <w:rPr>
                <w:rFonts w:ascii="Arial" w:hAnsi="Arial" w:cs="Arial"/>
                <w:sz w:val="16"/>
                <w:szCs w:val="16"/>
              </w:rPr>
              <w:t>’</w:t>
            </w:r>
            <w:r w:rsidRPr="00DC2A23">
              <w:rPr>
                <w:rFonts w:ascii="Arial" w:hAnsi="Arial" w:cs="Arial"/>
                <w:sz w:val="16"/>
                <w:szCs w:val="16"/>
              </w:rPr>
              <w:t>000</w:t>
            </w:r>
          </w:p>
        </w:tc>
        <w:tc>
          <w:tcPr>
            <w:tcW w:w="574" w:type="pct"/>
            <w:tcBorders>
              <w:top w:val="single" w:sz="4" w:space="0" w:color="auto"/>
              <w:left w:val="nil"/>
              <w:bottom w:val="single" w:sz="4" w:space="0" w:color="auto"/>
              <w:right w:val="nil"/>
            </w:tcBorders>
            <w:shd w:val="clear" w:color="000000" w:fill="E6E6E6"/>
            <w:hideMark/>
          </w:tcPr>
          <w:p w14:paraId="57846F92" w14:textId="45ED13FA"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2022</w:t>
            </w:r>
            <w:r w:rsidR="00B33758">
              <w:rPr>
                <w:rFonts w:ascii="Arial" w:hAnsi="Arial" w:cs="Arial"/>
                <w:sz w:val="16"/>
                <w:szCs w:val="16"/>
              </w:rPr>
              <w:noBreakHyphen/>
            </w:r>
            <w:r w:rsidRPr="00DC2A23">
              <w:rPr>
                <w:rFonts w:ascii="Arial" w:hAnsi="Arial" w:cs="Arial"/>
                <w:sz w:val="16"/>
                <w:szCs w:val="16"/>
              </w:rPr>
              <w:t>23</w:t>
            </w:r>
            <w:r w:rsidRPr="00DC2A23">
              <w:rPr>
                <w:rFonts w:ascii="Arial" w:hAnsi="Arial" w:cs="Arial"/>
                <w:sz w:val="16"/>
                <w:szCs w:val="16"/>
              </w:rPr>
              <w:br/>
              <w:t>Budget</w:t>
            </w:r>
            <w:r w:rsidRPr="00DC2A23">
              <w:rPr>
                <w:rFonts w:ascii="Arial" w:hAnsi="Arial" w:cs="Arial"/>
                <w:sz w:val="16"/>
                <w:szCs w:val="16"/>
              </w:rPr>
              <w:br/>
              <w:t>$</w:t>
            </w:r>
            <w:r w:rsidR="00B33758">
              <w:rPr>
                <w:rFonts w:ascii="Arial" w:hAnsi="Arial" w:cs="Arial"/>
                <w:sz w:val="16"/>
                <w:szCs w:val="16"/>
              </w:rPr>
              <w:t>’</w:t>
            </w:r>
            <w:r w:rsidRPr="00DC2A23">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0EB917EC" w14:textId="0DC333BA"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2023</w:t>
            </w:r>
            <w:r w:rsidR="00B33758">
              <w:rPr>
                <w:rFonts w:ascii="Arial" w:hAnsi="Arial" w:cs="Arial"/>
                <w:sz w:val="16"/>
                <w:szCs w:val="16"/>
              </w:rPr>
              <w:noBreakHyphen/>
            </w:r>
            <w:r w:rsidRPr="00DC2A23">
              <w:rPr>
                <w:rFonts w:ascii="Arial" w:hAnsi="Arial" w:cs="Arial"/>
                <w:sz w:val="16"/>
                <w:szCs w:val="16"/>
              </w:rPr>
              <w:t xml:space="preserve">24 </w:t>
            </w:r>
            <w:r w:rsidRPr="00DC2A23">
              <w:rPr>
                <w:rFonts w:ascii="Arial" w:hAnsi="Arial" w:cs="Arial"/>
                <w:sz w:val="16"/>
                <w:szCs w:val="16"/>
              </w:rPr>
              <w:br/>
              <w:t>Forward estimate</w:t>
            </w:r>
            <w:r w:rsidRPr="00DC2A23">
              <w:rPr>
                <w:rFonts w:ascii="Arial" w:hAnsi="Arial" w:cs="Arial"/>
                <w:sz w:val="16"/>
                <w:szCs w:val="16"/>
              </w:rPr>
              <w:br/>
              <w:t>$</w:t>
            </w:r>
            <w:r w:rsidR="00B33758">
              <w:rPr>
                <w:rFonts w:ascii="Arial" w:hAnsi="Arial" w:cs="Arial"/>
                <w:sz w:val="16"/>
                <w:szCs w:val="16"/>
              </w:rPr>
              <w:t>’</w:t>
            </w:r>
            <w:r w:rsidRPr="00DC2A23">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6DD77114" w14:textId="7859BB14"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2024</w:t>
            </w:r>
            <w:r w:rsidR="00B33758">
              <w:rPr>
                <w:rFonts w:ascii="Arial" w:hAnsi="Arial" w:cs="Arial"/>
                <w:sz w:val="16"/>
                <w:szCs w:val="16"/>
              </w:rPr>
              <w:noBreakHyphen/>
            </w:r>
            <w:r w:rsidRPr="00DC2A23">
              <w:rPr>
                <w:rFonts w:ascii="Arial" w:hAnsi="Arial" w:cs="Arial"/>
                <w:sz w:val="16"/>
                <w:szCs w:val="16"/>
              </w:rPr>
              <w:t xml:space="preserve">25 </w:t>
            </w:r>
            <w:r w:rsidRPr="00DC2A23">
              <w:rPr>
                <w:rFonts w:ascii="Arial" w:hAnsi="Arial" w:cs="Arial"/>
                <w:sz w:val="16"/>
                <w:szCs w:val="16"/>
              </w:rPr>
              <w:br/>
              <w:t>Forward estimate</w:t>
            </w:r>
            <w:r w:rsidRPr="00DC2A23">
              <w:rPr>
                <w:rFonts w:ascii="Arial" w:hAnsi="Arial" w:cs="Arial"/>
                <w:sz w:val="16"/>
                <w:szCs w:val="16"/>
              </w:rPr>
              <w:br/>
              <w:t>$</w:t>
            </w:r>
            <w:r w:rsidR="00B33758">
              <w:rPr>
                <w:rFonts w:ascii="Arial" w:hAnsi="Arial" w:cs="Arial"/>
                <w:sz w:val="16"/>
                <w:szCs w:val="16"/>
              </w:rPr>
              <w:t>’</w:t>
            </w:r>
            <w:r w:rsidRPr="00DC2A23">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7D19FCE1" w14:textId="0FE9DEC3"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2025</w:t>
            </w:r>
            <w:r w:rsidR="00B33758">
              <w:rPr>
                <w:rFonts w:ascii="Arial" w:hAnsi="Arial" w:cs="Arial"/>
                <w:sz w:val="16"/>
                <w:szCs w:val="16"/>
              </w:rPr>
              <w:noBreakHyphen/>
            </w:r>
            <w:r w:rsidRPr="00DC2A23">
              <w:rPr>
                <w:rFonts w:ascii="Arial" w:hAnsi="Arial" w:cs="Arial"/>
                <w:sz w:val="16"/>
                <w:szCs w:val="16"/>
              </w:rPr>
              <w:t>26</w:t>
            </w:r>
            <w:r w:rsidRPr="00DC2A23">
              <w:rPr>
                <w:rFonts w:ascii="Arial" w:hAnsi="Arial" w:cs="Arial"/>
                <w:sz w:val="16"/>
                <w:szCs w:val="16"/>
              </w:rPr>
              <w:br/>
              <w:t>Forward estimate</w:t>
            </w:r>
            <w:r w:rsidRPr="00DC2A23">
              <w:rPr>
                <w:rFonts w:ascii="Arial" w:hAnsi="Arial" w:cs="Arial"/>
                <w:sz w:val="16"/>
                <w:szCs w:val="16"/>
              </w:rPr>
              <w:br/>
              <w:t>$</w:t>
            </w:r>
            <w:r w:rsidR="00B33758">
              <w:rPr>
                <w:rFonts w:ascii="Arial" w:hAnsi="Arial" w:cs="Arial"/>
                <w:sz w:val="16"/>
                <w:szCs w:val="16"/>
              </w:rPr>
              <w:t>’</w:t>
            </w:r>
            <w:r w:rsidRPr="00DC2A23">
              <w:rPr>
                <w:rFonts w:ascii="Arial" w:hAnsi="Arial" w:cs="Arial"/>
                <w:sz w:val="16"/>
                <w:szCs w:val="16"/>
              </w:rPr>
              <w:t>000</w:t>
            </w:r>
          </w:p>
        </w:tc>
      </w:tr>
      <w:tr w:rsidR="00DC2A23" w:rsidRPr="00DC2A23" w14:paraId="6E5672F7" w14:textId="77777777" w:rsidTr="00DC2A23">
        <w:trPr>
          <w:trHeight w:hRule="exact" w:val="225"/>
        </w:trPr>
        <w:tc>
          <w:tcPr>
            <w:tcW w:w="2130" w:type="pct"/>
            <w:tcBorders>
              <w:top w:val="nil"/>
              <w:left w:val="nil"/>
              <w:bottom w:val="nil"/>
              <w:right w:val="nil"/>
            </w:tcBorders>
            <w:shd w:val="clear" w:color="000000" w:fill="E6E6E6"/>
            <w:noWrap/>
            <w:vAlign w:val="center"/>
            <w:hideMark/>
          </w:tcPr>
          <w:p w14:paraId="56D1C5C7"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Program 1.4: General Revenue Assistance</w:t>
            </w:r>
          </w:p>
        </w:tc>
        <w:tc>
          <w:tcPr>
            <w:tcW w:w="574" w:type="pct"/>
            <w:tcBorders>
              <w:top w:val="nil"/>
              <w:left w:val="nil"/>
              <w:bottom w:val="nil"/>
              <w:right w:val="nil"/>
            </w:tcBorders>
            <w:shd w:val="clear" w:color="000000" w:fill="E6E6E6"/>
            <w:vAlign w:val="center"/>
            <w:hideMark/>
          </w:tcPr>
          <w:p w14:paraId="489D5988"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c>
          <w:tcPr>
            <w:tcW w:w="574" w:type="pct"/>
            <w:tcBorders>
              <w:top w:val="nil"/>
              <w:left w:val="nil"/>
              <w:bottom w:val="nil"/>
              <w:right w:val="nil"/>
            </w:tcBorders>
            <w:shd w:val="clear" w:color="000000" w:fill="E6E6E6"/>
            <w:vAlign w:val="center"/>
            <w:hideMark/>
          </w:tcPr>
          <w:p w14:paraId="57808202"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78086B21"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7602BA1C"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61AABE61"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r>
      <w:tr w:rsidR="00DC2A23" w:rsidRPr="00DC2A23" w14:paraId="1455A7B6" w14:textId="77777777" w:rsidTr="00DC2A23">
        <w:trPr>
          <w:trHeight w:hRule="exact" w:val="235"/>
        </w:trPr>
        <w:tc>
          <w:tcPr>
            <w:tcW w:w="2130" w:type="pct"/>
            <w:tcBorders>
              <w:top w:val="single" w:sz="4" w:space="0" w:color="000000"/>
              <w:left w:val="nil"/>
              <w:bottom w:val="nil"/>
              <w:right w:val="nil"/>
            </w:tcBorders>
            <w:shd w:val="clear" w:color="auto" w:fill="auto"/>
            <w:noWrap/>
            <w:vAlign w:val="center"/>
            <w:hideMark/>
          </w:tcPr>
          <w:p w14:paraId="058564DF" w14:textId="77777777" w:rsidR="00DC2A23" w:rsidRPr="00DC2A23" w:rsidRDefault="00DC2A23" w:rsidP="00DC2A23">
            <w:pPr>
              <w:spacing w:after="0" w:line="240" w:lineRule="auto"/>
              <w:jc w:val="left"/>
              <w:rPr>
                <w:rFonts w:ascii="Arial" w:hAnsi="Arial" w:cs="Arial"/>
                <w:sz w:val="16"/>
                <w:szCs w:val="16"/>
              </w:rPr>
            </w:pPr>
            <w:r w:rsidRPr="00DC2A23">
              <w:rPr>
                <w:rFonts w:ascii="Arial" w:hAnsi="Arial" w:cs="Arial"/>
                <w:sz w:val="16"/>
                <w:szCs w:val="16"/>
              </w:rPr>
              <w:t>Administered expenses</w:t>
            </w:r>
          </w:p>
        </w:tc>
        <w:tc>
          <w:tcPr>
            <w:tcW w:w="574" w:type="pct"/>
            <w:tcBorders>
              <w:top w:val="single" w:sz="4" w:space="0" w:color="000000"/>
              <w:left w:val="nil"/>
              <w:bottom w:val="nil"/>
              <w:right w:val="nil"/>
            </w:tcBorders>
            <w:shd w:val="clear" w:color="auto" w:fill="auto"/>
            <w:noWrap/>
            <w:vAlign w:val="center"/>
            <w:hideMark/>
          </w:tcPr>
          <w:p w14:paraId="697B6B4B" w14:textId="77777777" w:rsidR="00DC2A23" w:rsidRPr="00DC2A23" w:rsidRDefault="00DC2A23" w:rsidP="00DC2A23">
            <w:pPr>
              <w:spacing w:after="0" w:line="240" w:lineRule="auto"/>
              <w:jc w:val="right"/>
              <w:rPr>
                <w:rFonts w:ascii="Arial" w:hAnsi="Arial" w:cs="Arial"/>
                <w:color w:val="000000"/>
                <w:sz w:val="16"/>
                <w:szCs w:val="16"/>
              </w:rPr>
            </w:pPr>
            <w:r w:rsidRPr="00DC2A23">
              <w:rPr>
                <w:rFonts w:ascii="Arial" w:hAnsi="Arial" w:cs="Arial"/>
                <w:color w:val="000000"/>
                <w:sz w:val="16"/>
                <w:szCs w:val="16"/>
              </w:rPr>
              <w:t> </w:t>
            </w:r>
          </w:p>
        </w:tc>
        <w:tc>
          <w:tcPr>
            <w:tcW w:w="574" w:type="pct"/>
            <w:tcBorders>
              <w:top w:val="single" w:sz="4" w:space="0" w:color="000000"/>
              <w:left w:val="nil"/>
              <w:bottom w:val="nil"/>
              <w:right w:val="nil"/>
            </w:tcBorders>
            <w:shd w:val="clear" w:color="000000" w:fill="E6E6E6"/>
            <w:noWrap/>
            <w:vAlign w:val="center"/>
            <w:hideMark/>
          </w:tcPr>
          <w:p w14:paraId="3ED0037F"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4D230484"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53710C93"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32FC4E53" w14:textId="77777777" w:rsidR="00DC2A23" w:rsidRPr="00DC2A23" w:rsidRDefault="00DC2A23" w:rsidP="00DC2A23">
            <w:pPr>
              <w:spacing w:after="0" w:line="240" w:lineRule="auto"/>
              <w:jc w:val="left"/>
              <w:rPr>
                <w:rFonts w:ascii="Times New Roman" w:hAnsi="Times New Roman"/>
              </w:rPr>
            </w:pPr>
          </w:p>
        </w:tc>
      </w:tr>
      <w:tr w:rsidR="00DC2A23" w:rsidRPr="00DC2A23" w14:paraId="51A44252" w14:textId="77777777" w:rsidTr="00DC2A23">
        <w:trPr>
          <w:trHeight w:hRule="exact" w:val="235"/>
        </w:trPr>
        <w:tc>
          <w:tcPr>
            <w:tcW w:w="2130" w:type="pct"/>
            <w:tcBorders>
              <w:top w:val="nil"/>
              <w:left w:val="nil"/>
              <w:bottom w:val="nil"/>
              <w:right w:val="nil"/>
            </w:tcBorders>
            <w:shd w:val="clear" w:color="000000" w:fill="FFFFFF"/>
            <w:vAlign w:val="center"/>
            <w:hideMark/>
          </w:tcPr>
          <w:p w14:paraId="350FB7A0" w14:textId="77777777" w:rsidR="00DC2A23" w:rsidRPr="00DC2A23" w:rsidRDefault="00DC2A23" w:rsidP="00DC2A23">
            <w:pPr>
              <w:spacing w:after="0" w:line="240" w:lineRule="auto"/>
              <w:ind w:left="170"/>
              <w:jc w:val="left"/>
              <w:rPr>
                <w:rFonts w:ascii="Arial" w:hAnsi="Arial" w:cs="Arial"/>
                <w:sz w:val="16"/>
                <w:szCs w:val="16"/>
              </w:rPr>
            </w:pPr>
            <w:r w:rsidRPr="00DC2A23">
              <w:rPr>
                <w:rFonts w:ascii="Arial" w:hAnsi="Arial" w:cs="Arial"/>
                <w:sz w:val="16"/>
                <w:szCs w:val="16"/>
              </w:rPr>
              <w:t>Special appropriations</w:t>
            </w:r>
          </w:p>
        </w:tc>
        <w:tc>
          <w:tcPr>
            <w:tcW w:w="574" w:type="pct"/>
            <w:tcBorders>
              <w:top w:val="nil"/>
              <w:left w:val="nil"/>
              <w:bottom w:val="nil"/>
              <w:right w:val="nil"/>
            </w:tcBorders>
            <w:shd w:val="clear" w:color="auto" w:fill="auto"/>
            <w:noWrap/>
            <w:vAlign w:val="center"/>
            <w:hideMark/>
          </w:tcPr>
          <w:p w14:paraId="37044C0B" w14:textId="77777777" w:rsidR="00DC2A23" w:rsidRPr="00DC2A23" w:rsidRDefault="00DC2A23" w:rsidP="00DC2A23">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3AE61072"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2711C613"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6FE88684"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67D57F6" w14:textId="77777777" w:rsidR="00DC2A23" w:rsidRPr="00DC2A23" w:rsidRDefault="00DC2A23" w:rsidP="00DC2A23">
            <w:pPr>
              <w:spacing w:after="0" w:line="240" w:lineRule="auto"/>
              <w:jc w:val="left"/>
              <w:rPr>
                <w:rFonts w:ascii="Times New Roman" w:hAnsi="Times New Roman"/>
              </w:rPr>
            </w:pPr>
          </w:p>
        </w:tc>
      </w:tr>
      <w:tr w:rsidR="00DC2A23" w:rsidRPr="00DC2A23" w14:paraId="304E1322" w14:textId="77777777" w:rsidTr="00DC2A23">
        <w:trPr>
          <w:trHeight w:hRule="exact" w:val="235"/>
        </w:trPr>
        <w:tc>
          <w:tcPr>
            <w:tcW w:w="2130" w:type="pct"/>
            <w:tcBorders>
              <w:top w:val="nil"/>
              <w:left w:val="nil"/>
              <w:bottom w:val="nil"/>
              <w:right w:val="nil"/>
            </w:tcBorders>
            <w:shd w:val="clear" w:color="000000" w:fill="FFFFFF"/>
            <w:vAlign w:val="center"/>
            <w:hideMark/>
          </w:tcPr>
          <w:p w14:paraId="25912858" w14:textId="054CA367" w:rsidR="00DC2A23" w:rsidRPr="00DC2A23" w:rsidRDefault="00DC2A23" w:rsidP="00DC2A23">
            <w:pPr>
              <w:spacing w:after="0" w:line="240" w:lineRule="auto"/>
              <w:ind w:left="340"/>
              <w:jc w:val="left"/>
              <w:rPr>
                <w:rFonts w:ascii="Arial" w:hAnsi="Arial" w:cs="Arial"/>
                <w:sz w:val="16"/>
                <w:szCs w:val="16"/>
              </w:rPr>
            </w:pPr>
            <w:r w:rsidRPr="00DC2A23">
              <w:rPr>
                <w:rFonts w:ascii="Arial" w:hAnsi="Arial" w:cs="Arial"/>
                <w:sz w:val="16"/>
                <w:szCs w:val="16"/>
              </w:rPr>
              <w:t>GST Revenue Entitlements</w:t>
            </w:r>
            <w:r w:rsidR="00B33758">
              <w:rPr>
                <w:rFonts w:ascii="Arial" w:hAnsi="Arial" w:cs="Arial"/>
                <w:sz w:val="16"/>
                <w:szCs w:val="16"/>
              </w:rPr>
              <w:t xml:space="preserve"> – </w:t>
            </w:r>
          </w:p>
        </w:tc>
        <w:tc>
          <w:tcPr>
            <w:tcW w:w="574" w:type="pct"/>
            <w:tcBorders>
              <w:top w:val="nil"/>
              <w:left w:val="nil"/>
              <w:bottom w:val="nil"/>
              <w:right w:val="nil"/>
            </w:tcBorders>
            <w:shd w:val="clear" w:color="auto" w:fill="auto"/>
            <w:noWrap/>
            <w:vAlign w:val="center"/>
            <w:hideMark/>
          </w:tcPr>
          <w:p w14:paraId="4CC588AB" w14:textId="77777777" w:rsidR="00DC2A23" w:rsidRPr="00DC2A23" w:rsidRDefault="00DC2A23" w:rsidP="00DC2A23">
            <w:pPr>
              <w:spacing w:after="0" w:line="240" w:lineRule="auto"/>
              <w:ind w:firstLineChars="200" w:firstLine="32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5118D3A6"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407C64BE"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7F3193E7"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2C03FEAE" w14:textId="77777777" w:rsidR="00DC2A23" w:rsidRPr="00DC2A23" w:rsidRDefault="00DC2A23" w:rsidP="00DC2A23">
            <w:pPr>
              <w:spacing w:after="0" w:line="240" w:lineRule="auto"/>
              <w:jc w:val="left"/>
              <w:rPr>
                <w:rFonts w:ascii="Times New Roman" w:hAnsi="Times New Roman"/>
              </w:rPr>
            </w:pPr>
          </w:p>
        </w:tc>
      </w:tr>
      <w:tr w:rsidR="00DC2A23" w:rsidRPr="00DC2A23" w14:paraId="25859F3B" w14:textId="77777777" w:rsidTr="00DC2A23">
        <w:trPr>
          <w:trHeight w:hRule="exact" w:val="235"/>
        </w:trPr>
        <w:tc>
          <w:tcPr>
            <w:tcW w:w="2130" w:type="pct"/>
            <w:tcBorders>
              <w:top w:val="nil"/>
              <w:left w:val="nil"/>
              <w:bottom w:val="nil"/>
              <w:right w:val="nil"/>
            </w:tcBorders>
            <w:shd w:val="clear" w:color="000000" w:fill="FFFFFF"/>
            <w:vAlign w:val="center"/>
            <w:hideMark/>
          </w:tcPr>
          <w:p w14:paraId="3E40C27D" w14:textId="77777777" w:rsidR="00DC2A23" w:rsidRPr="00DC2A23" w:rsidRDefault="00DC2A23" w:rsidP="00DC2A23">
            <w:pPr>
              <w:spacing w:after="0" w:line="240" w:lineRule="auto"/>
              <w:ind w:left="340"/>
              <w:jc w:val="left"/>
              <w:rPr>
                <w:rFonts w:ascii="Arial" w:hAnsi="Arial" w:cs="Arial"/>
                <w:i/>
                <w:iCs/>
                <w:sz w:val="16"/>
                <w:szCs w:val="16"/>
              </w:rPr>
            </w:pPr>
            <w:r w:rsidRPr="00DC2A23">
              <w:rPr>
                <w:rFonts w:ascii="Arial" w:hAnsi="Arial" w:cs="Arial"/>
                <w:i/>
                <w:iCs/>
                <w:sz w:val="16"/>
                <w:szCs w:val="16"/>
              </w:rPr>
              <w:t xml:space="preserve">Federal Financial Relations Act 2009 </w:t>
            </w:r>
          </w:p>
        </w:tc>
        <w:tc>
          <w:tcPr>
            <w:tcW w:w="574" w:type="pct"/>
            <w:tcBorders>
              <w:top w:val="nil"/>
              <w:left w:val="nil"/>
              <w:bottom w:val="nil"/>
              <w:right w:val="nil"/>
            </w:tcBorders>
            <w:shd w:val="clear" w:color="auto" w:fill="auto"/>
            <w:noWrap/>
            <w:vAlign w:val="center"/>
            <w:hideMark/>
          </w:tcPr>
          <w:p w14:paraId="557205A8" w14:textId="77777777" w:rsidR="00DC2A23" w:rsidRPr="00DC2A23" w:rsidRDefault="00DC2A23" w:rsidP="00DC2A23">
            <w:pPr>
              <w:spacing w:after="0" w:line="240" w:lineRule="auto"/>
              <w:jc w:val="right"/>
              <w:rPr>
                <w:rFonts w:ascii="Arial" w:hAnsi="Arial" w:cs="Arial"/>
                <w:color w:val="000000"/>
                <w:sz w:val="16"/>
                <w:szCs w:val="16"/>
              </w:rPr>
            </w:pPr>
            <w:r w:rsidRPr="00DC2A23">
              <w:rPr>
                <w:rFonts w:ascii="Arial" w:hAnsi="Arial" w:cs="Arial"/>
                <w:color w:val="000000"/>
                <w:sz w:val="16"/>
                <w:szCs w:val="16"/>
              </w:rPr>
              <w:t xml:space="preserve">73,443,199 </w:t>
            </w:r>
          </w:p>
        </w:tc>
        <w:tc>
          <w:tcPr>
            <w:tcW w:w="574" w:type="pct"/>
            <w:tcBorders>
              <w:top w:val="nil"/>
              <w:left w:val="nil"/>
              <w:bottom w:val="nil"/>
              <w:right w:val="nil"/>
            </w:tcBorders>
            <w:shd w:val="clear" w:color="000000" w:fill="E6E6E6"/>
            <w:noWrap/>
            <w:vAlign w:val="center"/>
            <w:hideMark/>
          </w:tcPr>
          <w:p w14:paraId="124FEC7B"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83,884,879 </w:t>
            </w:r>
          </w:p>
        </w:tc>
        <w:tc>
          <w:tcPr>
            <w:tcW w:w="574" w:type="pct"/>
            <w:tcBorders>
              <w:top w:val="nil"/>
              <w:left w:val="nil"/>
              <w:bottom w:val="nil"/>
              <w:right w:val="nil"/>
            </w:tcBorders>
            <w:shd w:val="clear" w:color="auto" w:fill="auto"/>
            <w:noWrap/>
            <w:vAlign w:val="center"/>
            <w:hideMark/>
          </w:tcPr>
          <w:p w14:paraId="1F2FD41F"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87,608,615 </w:t>
            </w:r>
          </w:p>
        </w:tc>
        <w:tc>
          <w:tcPr>
            <w:tcW w:w="574" w:type="pct"/>
            <w:tcBorders>
              <w:top w:val="nil"/>
              <w:left w:val="nil"/>
              <w:bottom w:val="nil"/>
              <w:right w:val="nil"/>
            </w:tcBorders>
            <w:shd w:val="clear" w:color="auto" w:fill="auto"/>
            <w:noWrap/>
            <w:vAlign w:val="center"/>
            <w:hideMark/>
          </w:tcPr>
          <w:p w14:paraId="08E96DE6"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91,984,863 </w:t>
            </w:r>
          </w:p>
        </w:tc>
        <w:tc>
          <w:tcPr>
            <w:tcW w:w="574" w:type="pct"/>
            <w:tcBorders>
              <w:top w:val="nil"/>
              <w:left w:val="nil"/>
              <w:bottom w:val="nil"/>
              <w:right w:val="nil"/>
            </w:tcBorders>
            <w:shd w:val="clear" w:color="auto" w:fill="auto"/>
            <w:noWrap/>
            <w:vAlign w:val="center"/>
            <w:hideMark/>
          </w:tcPr>
          <w:p w14:paraId="7E29D2B7"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93,641,231 </w:t>
            </w:r>
          </w:p>
        </w:tc>
      </w:tr>
      <w:tr w:rsidR="00DC2A23" w:rsidRPr="00DC2A23" w14:paraId="3FC73E4A" w14:textId="77777777" w:rsidTr="00DC2A23">
        <w:trPr>
          <w:trHeight w:hRule="exact" w:val="235"/>
        </w:trPr>
        <w:tc>
          <w:tcPr>
            <w:tcW w:w="2130" w:type="pct"/>
            <w:tcBorders>
              <w:top w:val="nil"/>
              <w:left w:val="nil"/>
              <w:bottom w:val="nil"/>
              <w:right w:val="nil"/>
            </w:tcBorders>
            <w:shd w:val="clear" w:color="000000" w:fill="FFFFFF"/>
            <w:vAlign w:val="center"/>
            <w:hideMark/>
          </w:tcPr>
          <w:p w14:paraId="123A71E1" w14:textId="77777777" w:rsidR="00DC2A23" w:rsidRPr="00DC2A23" w:rsidRDefault="00DC2A23" w:rsidP="00DC2A23">
            <w:pPr>
              <w:spacing w:after="0" w:line="240" w:lineRule="auto"/>
              <w:ind w:left="170"/>
              <w:jc w:val="left"/>
              <w:rPr>
                <w:rFonts w:ascii="Arial" w:hAnsi="Arial" w:cs="Arial"/>
                <w:sz w:val="16"/>
                <w:szCs w:val="16"/>
              </w:rPr>
            </w:pPr>
            <w:r w:rsidRPr="00DC2A23">
              <w:rPr>
                <w:rFonts w:ascii="Arial" w:hAnsi="Arial" w:cs="Arial"/>
                <w:sz w:val="16"/>
                <w:szCs w:val="16"/>
              </w:rPr>
              <w:t>Special accounts</w:t>
            </w:r>
          </w:p>
        </w:tc>
        <w:tc>
          <w:tcPr>
            <w:tcW w:w="574" w:type="pct"/>
            <w:tcBorders>
              <w:top w:val="nil"/>
              <w:left w:val="nil"/>
              <w:bottom w:val="nil"/>
              <w:right w:val="nil"/>
            </w:tcBorders>
            <w:shd w:val="clear" w:color="auto" w:fill="auto"/>
            <w:noWrap/>
            <w:vAlign w:val="center"/>
            <w:hideMark/>
          </w:tcPr>
          <w:p w14:paraId="672F773D" w14:textId="77777777" w:rsidR="00DC2A23" w:rsidRPr="00DC2A23" w:rsidRDefault="00DC2A23" w:rsidP="00DC2A23">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22FE4956"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10502A7B"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6E7A7A09"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6BA8A4CD" w14:textId="77777777" w:rsidR="00DC2A23" w:rsidRPr="00DC2A23" w:rsidRDefault="00DC2A23" w:rsidP="00DC2A23">
            <w:pPr>
              <w:spacing w:after="0" w:line="240" w:lineRule="auto"/>
              <w:jc w:val="left"/>
              <w:rPr>
                <w:rFonts w:ascii="Times New Roman" w:hAnsi="Times New Roman"/>
              </w:rPr>
            </w:pPr>
          </w:p>
        </w:tc>
      </w:tr>
      <w:tr w:rsidR="00DC2A23" w:rsidRPr="00DC2A23" w14:paraId="541239B8" w14:textId="77777777" w:rsidTr="00DC2A23">
        <w:trPr>
          <w:trHeight w:hRule="exact" w:val="235"/>
        </w:trPr>
        <w:tc>
          <w:tcPr>
            <w:tcW w:w="2130" w:type="pct"/>
            <w:tcBorders>
              <w:top w:val="nil"/>
              <w:left w:val="nil"/>
              <w:bottom w:val="nil"/>
              <w:right w:val="nil"/>
            </w:tcBorders>
            <w:shd w:val="clear" w:color="000000" w:fill="FFFFFF"/>
            <w:vAlign w:val="center"/>
            <w:hideMark/>
          </w:tcPr>
          <w:p w14:paraId="59AD736C" w14:textId="77777777" w:rsidR="00DC2A23" w:rsidRPr="00DC2A23" w:rsidRDefault="00DC2A23" w:rsidP="00DC2A23">
            <w:pPr>
              <w:spacing w:after="0" w:line="240" w:lineRule="auto"/>
              <w:ind w:left="340"/>
              <w:jc w:val="left"/>
              <w:rPr>
                <w:rFonts w:ascii="Arial" w:hAnsi="Arial" w:cs="Arial"/>
                <w:sz w:val="16"/>
                <w:szCs w:val="16"/>
              </w:rPr>
            </w:pPr>
            <w:r w:rsidRPr="00DC2A23">
              <w:rPr>
                <w:rFonts w:ascii="Arial" w:hAnsi="Arial" w:cs="Arial"/>
                <w:sz w:val="16"/>
                <w:szCs w:val="16"/>
              </w:rPr>
              <w:t>COAG Reform Fund</w:t>
            </w:r>
          </w:p>
        </w:tc>
        <w:tc>
          <w:tcPr>
            <w:tcW w:w="574" w:type="pct"/>
            <w:tcBorders>
              <w:top w:val="nil"/>
              <w:left w:val="nil"/>
              <w:bottom w:val="nil"/>
              <w:right w:val="nil"/>
            </w:tcBorders>
            <w:shd w:val="clear" w:color="auto" w:fill="auto"/>
            <w:noWrap/>
            <w:vAlign w:val="center"/>
            <w:hideMark/>
          </w:tcPr>
          <w:p w14:paraId="6E31EE91" w14:textId="77777777" w:rsidR="00DC2A23" w:rsidRPr="00DC2A23" w:rsidRDefault="00DC2A23" w:rsidP="00DC2A23">
            <w:pPr>
              <w:spacing w:after="0" w:line="240" w:lineRule="auto"/>
              <w:ind w:firstLineChars="200" w:firstLine="32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0C9A25F1"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10AE4C5F"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09B4865F"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6D93A447" w14:textId="77777777" w:rsidR="00DC2A23" w:rsidRPr="00DC2A23" w:rsidRDefault="00DC2A23" w:rsidP="00DC2A23">
            <w:pPr>
              <w:spacing w:after="0" w:line="240" w:lineRule="auto"/>
              <w:jc w:val="left"/>
              <w:rPr>
                <w:rFonts w:ascii="Times New Roman" w:hAnsi="Times New Roman"/>
              </w:rPr>
            </w:pPr>
          </w:p>
        </w:tc>
      </w:tr>
      <w:tr w:rsidR="00DC2A23" w:rsidRPr="00DC2A23" w14:paraId="5B5B39F5" w14:textId="77777777" w:rsidTr="00DC2A23">
        <w:trPr>
          <w:trHeight w:hRule="exact" w:val="235"/>
        </w:trPr>
        <w:tc>
          <w:tcPr>
            <w:tcW w:w="2130" w:type="pct"/>
            <w:tcBorders>
              <w:top w:val="nil"/>
              <w:left w:val="nil"/>
              <w:bottom w:val="nil"/>
              <w:right w:val="nil"/>
            </w:tcBorders>
            <w:shd w:val="clear" w:color="000000" w:fill="FFFFFF"/>
            <w:vAlign w:val="center"/>
            <w:hideMark/>
          </w:tcPr>
          <w:p w14:paraId="5A3D207C" w14:textId="77777777" w:rsidR="00DC2A23" w:rsidRPr="00DC2A23" w:rsidRDefault="00DC2A23" w:rsidP="00DC2A23">
            <w:pPr>
              <w:spacing w:after="0" w:line="240" w:lineRule="auto"/>
              <w:ind w:left="510"/>
              <w:jc w:val="left"/>
              <w:rPr>
                <w:rFonts w:ascii="Arial" w:hAnsi="Arial" w:cs="Arial"/>
                <w:sz w:val="16"/>
                <w:szCs w:val="16"/>
              </w:rPr>
            </w:pPr>
            <w:r w:rsidRPr="00DC2A23">
              <w:rPr>
                <w:rFonts w:ascii="Arial" w:hAnsi="Arial" w:cs="Arial"/>
                <w:sz w:val="16"/>
                <w:szCs w:val="16"/>
              </w:rPr>
              <w:t>ACT municipal services</w:t>
            </w:r>
          </w:p>
        </w:tc>
        <w:tc>
          <w:tcPr>
            <w:tcW w:w="574" w:type="pct"/>
            <w:tcBorders>
              <w:top w:val="nil"/>
              <w:left w:val="nil"/>
              <w:bottom w:val="nil"/>
              <w:right w:val="nil"/>
            </w:tcBorders>
            <w:shd w:val="clear" w:color="auto" w:fill="auto"/>
            <w:noWrap/>
            <w:vAlign w:val="center"/>
            <w:hideMark/>
          </w:tcPr>
          <w:p w14:paraId="76140A50" w14:textId="77777777" w:rsidR="00DC2A23" w:rsidRPr="00DC2A23" w:rsidRDefault="00DC2A23" w:rsidP="00DC2A23">
            <w:pPr>
              <w:spacing w:after="0" w:line="240" w:lineRule="auto"/>
              <w:jc w:val="right"/>
              <w:rPr>
                <w:rFonts w:ascii="Arial" w:hAnsi="Arial" w:cs="Arial"/>
                <w:color w:val="000000"/>
                <w:sz w:val="16"/>
                <w:szCs w:val="16"/>
              </w:rPr>
            </w:pPr>
            <w:r w:rsidRPr="00DC2A23">
              <w:rPr>
                <w:rFonts w:ascii="Arial" w:hAnsi="Arial" w:cs="Arial"/>
                <w:color w:val="000000"/>
                <w:sz w:val="16"/>
                <w:szCs w:val="16"/>
              </w:rPr>
              <w:t xml:space="preserve">41,700 </w:t>
            </w:r>
          </w:p>
        </w:tc>
        <w:tc>
          <w:tcPr>
            <w:tcW w:w="574" w:type="pct"/>
            <w:tcBorders>
              <w:top w:val="nil"/>
              <w:left w:val="nil"/>
              <w:bottom w:val="nil"/>
              <w:right w:val="nil"/>
            </w:tcBorders>
            <w:shd w:val="clear" w:color="000000" w:fill="E6E6E6"/>
            <w:noWrap/>
            <w:vAlign w:val="center"/>
            <w:hideMark/>
          </w:tcPr>
          <w:p w14:paraId="79DC9406"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42,409 </w:t>
            </w:r>
          </w:p>
        </w:tc>
        <w:tc>
          <w:tcPr>
            <w:tcW w:w="574" w:type="pct"/>
            <w:tcBorders>
              <w:top w:val="nil"/>
              <w:left w:val="nil"/>
              <w:bottom w:val="nil"/>
              <w:right w:val="nil"/>
            </w:tcBorders>
            <w:shd w:val="clear" w:color="auto" w:fill="auto"/>
            <w:noWrap/>
            <w:vAlign w:val="center"/>
            <w:hideMark/>
          </w:tcPr>
          <w:p w14:paraId="1E2798DA"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43,045 </w:t>
            </w:r>
          </w:p>
        </w:tc>
        <w:tc>
          <w:tcPr>
            <w:tcW w:w="574" w:type="pct"/>
            <w:tcBorders>
              <w:top w:val="nil"/>
              <w:left w:val="nil"/>
              <w:bottom w:val="nil"/>
              <w:right w:val="nil"/>
            </w:tcBorders>
            <w:shd w:val="clear" w:color="auto" w:fill="auto"/>
            <w:noWrap/>
            <w:vAlign w:val="center"/>
            <w:hideMark/>
          </w:tcPr>
          <w:p w14:paraId="701FA19C"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43,734 </w:t>
            </w:r>
          </w:p>
        </w:tc>
        <w:tc>
          <w:tcPr>
            <w:tcW w:w="574" w:type="pct"/>
            <w:tcBorders>
              <w:top w:val="nil"/>
              <w:left w:val="nil"/>
              <w:bottom w:val="nil"/>
              <w:right w:val="nil"/>
            </w:tcBorders>
            <w:shd w:val="clear" w:color="auto" w:fill="auto"/>
            <w:noWrap/>
            <w:vAlign w:val="center"/>
            <w:hideMark/>
          </w:tcPr>
          <w:p w14:paraId="0887C347"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44,390 </w:t>
            </w:r>
          </w:p>
        </w:tc>
      </w:tr>
      <w:tr w:rsidR="00DC2A23" w:rsidRPr="00DC2A23" w14:paraId="68BFA425" w14:textId="77777777" w:rsidTr="00DC2A23">
        <w:trPr>
          <w:trHeight w:hRule="exact" w:val="225"/>
        </w:trPr>
        <w:tc>
          <w:tcPr>
            <w:tcW w:w="2130" w:type="pct"/>
            <w:tcBorders>
              <w:top w:val="nil"/>
              <w:left w:val="nil"/>
              <w:bottom w:val="nil"/>
              <w:right w:val="nil"/>
            </w:tcBorders>
            <w:shd w:val="clear" w:color="000000" w:fill="FFFFFF"/>
            <w:vAlign w:val="center"/>
            <w:hideMark/>
          </w:tcPr>
          <w:p w14:paraId="55CB4A90" w14:textId="77777777" w:rsidR="00DC2A23" w:rsidRPr="00DC2A23" w:rsidRDefault="00DC2A23" w:rsidP="00DC2A23">
            <w:pPr>
              <w:spacing w:after="0" w:line="240" w:lineRule="auto"/>
              <w:ind w:left="510"/>
              <w:jc w:val="left"/>
              <w:rPr>
                <w:rFonts w:ascii="Arial" w:hAnsi="Arial" w:cs="Arial"/>
                <w:sz w:val="16"/>
                <w:szCs w:val="16"/>
              </w:rPr>
            </w:pPr>
            <w:r w:rsidRPr="00DC2A23">
              <w:rPr>
                <w:rFonts w:ascii="Arial" w:hAnsi="Arial" w:cs="Arial"/>
                <w:sz w:val="16"/>
                <w:szCs w:val="16"/>
              </w:rPr>
              <w:t>Compensation for reduced royalties</w:t>
            </w:r>
          </w:p>
        </w:tc>
        <w:tc>
          <w:tcPr>
            <w:tcW w:w="574" w:type="pct"/>
            <w:tcBorders>
              <w:top w:val="nil"/>
              <w:left w:val="nil"/>
              <w:bottom w:val="nil"/>
              <w:right w:val="nil"/>
            </w:tcBorders>
            <w:shd w:val="clear" w:color="auto" w:fill="auto"/>
            <w:noWrap/>
            <w:vAlign w:val="center"/>
            <w:hideMark/>
          </w:tcPr>
          <w:p w14:paraId="72F858FE" w14:textId="77777777" w:rsidR="00DC2A23" w:rsidRPr="00DC2A23" w:rsidRDefault="00DC2A23" w:rsidP="00DC2A23">
            <w:pPr>
              <w:spacing w:after="0" w:line="240" w:lineRule="auto"/>
              <w:jc w:val="right"/>
              <w:rPr>
                <w:rFonts w:ascii="Arial" w:hAnsi="Arial" w:cs="Arial"/>
                <w:color w:val="000000"/>
                <w:sz w:val="16"/>
                <w:szCs w:val="16"/>
              </w:rPr>
            </w:pPr>
            <w:r w:rsidRPr="00DC2A23">
              <w:rPr>
                <w:rFonts w:ascii="Arial" w:hAnsi="Arial" w:cs="Arial"/>
                <w:color w:val="000000"/>
                <w:sz w:val="16"/>
                <w:szCs w:val="16"/>
              </w:rPr>
              <w:t xml:space="preserve">34,110 </w:t>
            </w:r>
          </w:p>
        </w:tc>
        <w:tc>
          <w:tcPr>
            <w:tcW w:w="574" w:type="pct"/>
            <w:tcBorders>
              <w:top w:val="nil"/>
              <w:left w:val="nil"/>
              <w:bottom w:val="nil"/>
              <w:right w:val="nil"/>
            </w:tcBorders>
            <w:shd w:val="clear" w:color="000000" w:fill="E6E6E6"/>
            <w:noWrap/>
            <w:vAlign w:val="center"/>
            <w:hideMark/>
          </w:tcPr>
          <w:p w14:paraId="3C7AEA94"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42,708 </w:t>
            </w:r>
          </w:p>
        </w:tc>
        <w:tc>
          <w:tcPr>
            <w:tcW w:w="574" w:type="pct"/>
            <w:tcBorders>
              <w:top w:val="nil"/>
              <w:left w:val="nil"/>
              <w:bottom w:val="nil"/>
              <w:right w:val="nil"/>
            </w:tcBorders>
            <w:shd w:val="clear" w:color="auto" w:fill="auto"/>
            <w:noWrap/>
            <w:vAlign w:val="center"/>
            <w:hideMark/>
          </w:tcPr>
          <w:p w14:paraId="52861598"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39,092 </w:t>
            </w:r>
          </w:p>
        </w:tc>
        <w:tc>
          <w:tcPr>
            <w:tcW w:w="574" w:type="pct"/>
            <w:tcBorders>
              <w:top w:val="nil"/>
              <w:left w:val="nil"/>
              <w:bottom w:val="nil"/>
              <w:right w:val="nil"/>
            </w:tcBorders>
            <w:shd w:val="clear" w:color="auto" w:fill="auto"/>
            <w:noWrap/>
            <w:vAlign w:val="center"/>
            <w:hideMark/>
          </w:tcPr>
          <w:p w14:paraId="7CF73C49"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29,766 </w:t>
            </w:r>
          </w:p>
        </w:tc>
        <w:tc>
          <w:tcPr>
            <w:tcW w:w="574" w:type="pct"/>
            <w:tcBorders>
              <w:top w:val="nil"/>
              <w:left w:val="nil"/>
              <w:bottom w:val="nil"/>
              <w:right w:val="nil"/>
            </w:tcBorders>
            <w:shd w:val="clear" w:color="auto" w:fill="auto"/>
            <w:noWrap/>
            <w:vAlign w:val="center"/>
            <w:hideMark/>
          </w:tcPr>
          <w:p w14:paraId="33D0B515"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21,523 </w:t>
            </w:r>
          </w:p>
        </w:tc>
      </w:tr>
      <w:tr w:rsidR="00DC2A23" w:rsidRPr="00DC2A23" w14:paraId="3CEAAA51" w14:textId="77777777" w:rsidTr="00DC2A23">
        <w:trPr>
          <w:trHeight w:hRule="exact" w:val="235"/>
        </w:trPr>
        <w:tc>
          <w:tcPr>
            <w:tcW w:w="2130" w:type="pct"/>
            <w:tcBorders>
              <w:top w:val="nil"/>
              <w:left w:val="nil"/>
              <w:bottom w:val="nil"/>
              <w:right w:val="nil"/>
            </w:tcBorders>
            <w:shd w:val="clear" w:color="000000" w:fill="FFFFFF"/>
            <w:vAlign w:val="center"/>
            <w:hideMark/>
          </w:tcPr>
          <w:p w14:paraId="1B08FE27" w14:textId="77777777" w:rsidR="00DC2A23" w:rsidRPr="00DC2A23" w:rsidRDefault="00DC2A23" w:rsidP="00DC2A23">
            <w:pPr>
              <w:spacing w:after="0" w:line="240" w:lineRule="auto"/>
              <w:ind w:left="510"/>
              <w:jc w:val="left"/>
              <w:rPr>
                <w:rFonts w:ascii="Arial" w:hAnsi="Arial" w:cs="Arial"/>
                <w:sz w:val="16"/>
                <w:szCs w:val="16"/>
              </w:rPr>
            </w:pPr>
            <w:r w:rsidRPr="00DC2A23">
              <w:rPr>
                <w:rFonts w:ascii="Arial" w:hAnsi="Arial" w:cs="Arial"/>
                <w:sz w:val="16"/>
                <w:szCs w:val="16"/>
              </w:rPr>
              <w:t>Royalties</w:t>
            </w:r>
          </w:p>
        </w:tc>
        <w:tc>
          <w:tcPr>
            <w:tcW w:w="574" w:type="pct"/>
            <w:tcBorders>
              <w:top w:val="nil"/>
              <w:left w:val="nil"/>
              <w:bottom w:val="nil"/>
              <w:right w:val="nil"/>
            </w:tcBorders>
            <w:shd w:val="clear" w:color="auto" w:fill="auto"/>
            <w:noWrap/>
            <w:vAlign w:val="center"/>
            <w:hideMark/>
          </w:tcPr>
          <w:p w14:paraId="430AE86C" w14:textId="77777777" w:rsidR="00DC2A23" w:rsidRPr="00DC2A23" w:rsidRDefault="00DC2A23" w:rsidP="00DC2A23">
            <w:pPr>
              <w:spacing w:after="0" w:line="240" w:lineRule="auto"/>
              <w:jc w:val="right"/>
              <w:rPr>
                <w:rFonts w:ascii="Arial" w:hAnsi="Arial" w:cs="Arial"/>
                <w:color w:val="000000"/>
                <w:sz w:val="16"/>
                <w:szCs w:val="16"/>
              </w:rPr>
            </w:pPr>
            <w:r w:rsidRPr="00DC2A23">
              <w:rPr>
                <w:rFonts w:ascii="Arial" w:hAnsi="Arial" w:cs="Arial"/>
                <w:color w:val="000000"/>
                <w:sz w:val="16"/>
                <w:szCs w:val="16"/>
              </w:rPr>
              <w:t xml:space="preserve">860,424 </w:t>
            </w:r>
          </w:p>
        </w:tc>
        <w:tc>
          <w:tcPr>
            <w:tcW w:w="574" w:type="pct"/>
            <w:tcBorders>
              <w:top w:val="nil"/>
              <w:left w:val="nil"/>
              <w:bottom w:val="nil"/>
              <w:right w:val="nil"/>
            </w:tcBorders>
            <w:shd w:val="clear" w:color="000000" w:fill="E6E6E6"/>
            <w:noWrap/>
            <w:vAlign w:val="center"/>
            <w:hideMark/>
          </w:tcPr>
          <w:p w14:paraId="1483514D"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816,815 </w:t>
            </w:r>
          </w:p>
        </w:tc>
        <w:tc>
          <w:tcPr>
            <w:tcW w:w="574" w:type="pct"/>
            <w:tcBorders>
              <w:top w:val="nil"/>
              <w:left w:val="nil"/>
              <w:bottom w:val="nil"/>
              <w:right w:val="nil"/>
            </w:tcBorders>
            <w:shd w:val="clear" w:color="auto" w:fill="auto"/>
            <w:noWrap/>
            <w:vAlign w:val="center"/>
            <w:hideMark/>
          </w:tcPr>
          <w:p w14:paraId="0CD2B731"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714,054 </w:t>
            </w:r>
          </w:p>
        </w:tc>
        <w:tc>
          <w:tcPr>
            <w:tcW w:w="574" w:type="pct"/>
            <w:tcBorders>
              <w:top w:val="nil"/>
              <w:left w:val="nil"/>
              <w:bottom w:val="nil"/>
              <w:right w:val="nil"/>
            </w:tcBorders>
            <w:shd w:val="clear" w:color="auto" w:fill="auto"/>
            <w:noWrap/>
            <w:vAlign w:val="center"/>
            <w:hideMark/>
          </w:tcPr>
          <w:p w14:paraId="0ACA7978"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608,961 </w:t>
            </w:r>
          </w:p>
        </w:tc>
        <w:tc>
          <w:tcPr>
            <w:tcW w:w="574" w:type="pct"/>
            <w:tcBorders>
              <w:top w:val="nil"/>
              <w:left w:val="nil"/>
              <w:bottom w:val="nil"/>
              <w:right w:val="nil"/>
            </w:tcBorders>
            <w:shd w:val="clear" w:color="auto" w:fill="auto"/>
            <w:noWrap/>
            <w:vAlign w:val="center"/>
            <w:hideMark/>
          </w:tcPr>
          <w:p w14:paraId="14A29995"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450,795 </w:t>
            </w:r>
          </w:p>
        </w:tc>
      </w:tr>
      <w:tr w:rsidR="00DC2A23" w:rsidRPr="00DC2A23" w14:paraId="0837780D" w14:textId="77777777" w:rsidTr="00DC2A23">
        <w:trPr>
          <w:trHeight w:hRule="exact" w:val="235"/>
        </w:trPr>
        <w:tc>
          <w:tcPr>
            <w:tcW w:w="2130" w:type="pct"/>
            <w:tcBorders>
              <w:top w:val="nil"/>
              <w:left w:val="nil"/>
              <w:bottom w:val="nil"/>
              <w:right w:val="nil"/>
            </w:tcBorders>
            <w:shd w:val="clear" w:color="000000" w:fill="FFFFFF"/>
            <w:vAlign w:val="center"/>
            <w:hideMark/>
          </w:tcPr>
          <w:p w14:paraId="1194C051" w14:textId="77777777" w:rsidR="00DC2A23" w:rsidRPr="00DC2A23" w:rsidRDefault="00DC2A23" w:rsidP="00DC2A23">
            <w:pPr>
              <w:spacing w:after="0" w:line="240" w:lineRule="auto"/>
              <w:ind w:left="510"/>
              <w:jc w:val="left"/>
              <w:rPr>
                <w:rFonts w:ascii="Arial" w:hAnsi="Arial" w:cs="Arial"/>
                <w:sz w:val="16"/>
                <w:szCs w:val="16"/>
              </w:rPr>
            </w:pPr>
            <w:r w:rsidRPr="00DC2A23">
              <w:rPr>
                <w:rFonts w:ascii="Arial" w:hAnsi="Arial" w:cs="Arial"/>
                <w:sz w:val="16"/>
                <w:szCs w:val="16"/>
              </w:rPr>
              <w:t>GST Transitional assistance</w:t>
            </w:r>
          </w:p>
        </w:tc>
        <w:tc>
          <w:tcPr>
            <w:tcW w:w="574" w:type="pct"/>
            <w:tcBorders>
              <w:top w:val="nil"/>
              <w:left w:val="nil"/>
              <w:bottom w:val="nil"/>
              <w:right w:val="nil"/>
            </w:tcBorders>
            <w:shd w:val="clear" w:color="auto" w:fill="auto"/>
            <w:noWrap/>
            <w:vAlign w:val="center"/>
            <w:hideMark/>
          </w:tcPr>
          <w:p w14:paraId="12A2A391" w14:textId="77777777" w:rsidR="00DC2A23" w:rsidRPr="00DC2A23" w:rsidRDefault="00DC2A23" w:rsidP="00DC2A23">
            <w:pPr>
              <w:spacing w:after="0" w:line="240" w:lineRule="auto"/>
              <w:jc w:val="right"/>
              <w:rPr>
                <w:rFonts w:ascii="Arial" w:hAnsi="Arial" w:cs="Arial"/>
                <w:color w:val="000000"/>
                <w:sz w:val="16"/>
                <w:szCs w:val="16"/>
              </w:rPr>
            </w:pPr>
            <w:r w:rsidRPr="00DC2A23">
              <w:rPr>
                <w:rFonts w:ascii="Arial" w:hAnsi="Arial" w:cs="Arial"/>
                <w:color w:val="000000"/>
                <w:sz w:val="16"/>
                <w:szCs w:val="16"/>
              </w:rPr>
              <w:t xml:space="preserve">2,115,221 </w:t>
            </w:r>
          </w:p>
        </w:tc>
        <w:tc>
          <w:tcPr>
            <w:tcW w:w="574" w:type="pct"/>
            <w:tcBorders>
              <w:top w:val="nil"/>
              <w:left w:val="nil"/>
              <w:bottom w:val="nil"/>
              <w:right w:val="nil"/>
            </w:tcBorders>
            <w:shd w:val="clear" w:color="000000" w:fill="E6E6E6"/>
            <w:noWrap/>
            <w:vAlign w:val="center"/>
            <w:hideMark/>
          </w:tcPr>
          <w:p w14:paraId="0469B7BD" w14:textId="68D47878" w:rsidR="00DC2A23" w:rsidRPr="00DC2A23" w:rsidRDefault="00B33758" w:rsidP="00DC2A23">
            <w:pPr>
              <w:spacing w:after="0" w:line="240" w:lineRule="auto"/>
              <w:jc w:val="right"/>
              <w:rPr>
                <w:rFonts w:ascii="Arial" w:hAnsi="Arial" w:cs="Arial"/>
                <w:sz w:val="16"/>
                <w:szCs w:val="16"/>
              </w:rPr>
            </w:pPr>
            <w:r>
              <w:rPr>
                <w:rFonts w:ascii="Arial" w:hAnsi="Arial" w:cs="Arial"/>
                <w:sz w:val="16"/>
                <w:szCs w:val="16"/>
              </w:rPr>
              <w:noBreakHyphen/>
            </w:r>
            <w:r w:rsidR="00DC2A23" w:rsidRPr="00DC2A23">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66BA7AC4" w14:textId="407DBD46" w:rsidR="00DC2A23" w:rsidRPr="00DC2A23" w:rsidRDefault="00B33758" w:rsidP="00DC2A23">
            <w:pPr>
              <w:spacing w:after="0" w:line="240" w:lineRule="auto"/>
              <w:jc w:val="right"/>
              <w:rPr>
                <w:rFonts w:ascii="Arial" w:hAnsi="Arial" w:cs="Arial"/>
                <w:sz w:val="16"/>
                <w:szCs w:val="16"/>
              </w:rPr>
            </w:pPr>
            <w:r>
              <w:rPr>
                <w:rFonts w:ascii="Arial" w:hAnsi="Arial" w:cs="Arial"/>
                <w:sz w:val="16"/>
                <w:szCs w:val="16"/>
              </w:rPr>
              <w:noBreakHyphen/>
            </w:r>
            <w:r w:rsidR="00DC2A23" w:rsidRPr="00DC2A23">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1B049862" w14:textId="65C0B196" w:rsidR="00DC2A23" w:rsidRPr="00DC2A23" w:rsidRDefault="00B33758" w:rsidP="00DC2A23">
            <w:pPr>
              <w:spacing w:after="0" w:line="240" w:lineRule="auto"/>
              <w:jc w:val="right"/>
              <w:rPr>
                <w:rFonts w:ascii="Arial" w:hAnsi="Arial" w:cs="Arial"/>
                <w:sz w:val="16"/>
                <w:szCs w:val="16"/>
              </w:rPr>
            </w:pPr>
            <w:r>
              <w:rPr>
                <w:rFonts w:ascii="Arial" w:hAnsi="Arial" w:cs="Arial"/>
                <w:sz w:val="16"/>
                <w:szCs w:val="16"/>
              </w:rPr>
              <w:noBreakHyphen/>
            </w:r>
            <w:r w:rsidR="00DC2A23" w:rsidRPr="00DC2A23">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1A569FA7" w14:textId="6FBD393E" w:rsidR="00DC2A23" w:rsidRPr="00DC2A23" w:rsidRDefault="00B33758" w:rsidP="00DC2A23">
            <w:pPr>
              <w:spacing w:after="0" w:line="240" w:lineRule="auto"/>
              <w:jc w:val="right"/>
              <w:rPr>
                <w:rFonts w:ascii="Arial" w:hAnsi="Arial" w:cs="Arial"/>
                <w:sz w:val="16"/>
                <w:szCs w:val="16"/>
              </w:rPr>
            </w:pPr>
            <w:r>
              <w:rPr>
                <w:rFonts w:ascii="Arial" w:hAnsi="Arial" w:cs="Arial"/>
                <w:sz w:val="16"/>
                <w:szCs w:val="16"/>
              </w:rPr>
              <w:noBreakHyphen/>
            </w:r>
            <w:r w:rsidR="00DC2A23" w:rsidRPr="00DC2A23">
              <w:rPr>
                <w:rFonts w:ascii="Arial" w:hAnsi="Arial" w:cs="Arial"/>
                <w:sz w:val="16"/>
                <w:szCs w:val="16"/>
              </w:rPr>
              <w:t xml:space="preserve"> </w:t>
            </w:r>
          </w:p>
        </w:tc>
      </w:tr>
      <w:tr w:rsidR="00DC2A23" w:rsidRPr="00DC2A23" w14:paraId="3571EDBF" w14:textId="77777777" w:rsidTr="00DC2A23">
        <w:trPr>
          <w:trHeight w:hRule="exact" w:val="235"/>
        </w:trPr>
        <w:tc>
          <w:tcPr>
            <w:tcW w:w="2130" w:type="pct"/>
            <w:tcBorders>
              <w:top w:val="nil"/>
              <w:left w:val="nil"/>
              <w:bottom w:val="nil"/>
              <w:right w:val="nil"/>
            </w:tcBorders>
            <w:shd w:val="clear" w:color="auto" w:fill="auto"/>
            <w:vAlign w:val="center"/>
            <w:hideMark/>
          </w:tcPr>
          <w:p w14:paraId="53054EE8" w14:textId="77777777" w:rsidR="00DC2A23" w:rsidRPr="00DC2A23" w:rsidRDefault="00DC2A23" w:rsidP="00DC2A23">
            <w:pPr>
              <w:spacing w:after="0" w:line="240" w:lineRule="auto"/>
              <w:jc w:val="right"/>
              <w:rPr>
                <w:rFonts w:ascii="Arial" w:hAnsi="Arial" w:cs="Arial"/>
                <w:b/>
                <w:bCs/>
                <w:sz w:val="16"/>
                <w:szCs w:val="16"/>
              </w:rPr>
            </w:pPr>
            <w:r w:rsidRPr="00DC2A23">
              <w:rPr>
                <w:rFonts w:ascii="Arial" w:hAnsi="Arial" w:cs="Arial"/>
                <w:b/>
                <w:bCs/>
                <w:sz w:val="16"/>
                <w:szCs w:val="16"/>
              </w:rPr>
              <w:t>Administered total</w:t>
            </w:r>
          </w:p>
        </w:tc>
        <w:tc>
          <w:tcPr>
            <w:tcW w:w="574" w:type="pct"/>
            <w:tcBorders>
              <w:top w:val="single" w:sz="4" w:space="0" w:color="000000"/>
              <w:left w:val="nil"/>
              <w:bottom w:val="single" w:sz="4" w:space="0" w:color="000000"/>
              <w:right w:val="nil"/>
            </w:tcBorders>
            <w:shd w:val="clear" w:color="auto" w:fill="auto"/>
            <w:noWrap/>
            <w:vAlign w:val="center"/>
            <w:hideMark/>
          </w:tcPr>
          <w:p w14:paraId="0DB0FF5D"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76,494,654 </w:t>
            </w:r>
          </w:p>
        </w:tc>
        <w:tc>
          <w:tcPr>
            <w:tcW w:w="574" w:type="pct"/>
            <w:tcBorders>
              <w:top w:val="single" w:sz="4" w:space="0" w:color="000000"/>
              <w:left w:val="nil"/>
              <w:bottom w:val="single" w:sz="4" w:space="0" w:color="000000"/>
              <w:right w:val="nil"/>
            </w:tcBorders>
            <w:shd w:val="clear" w:color="000000" w:fill="E6E6E6"/>
            <w:noWrap/>
            <w:vAlign w:val="center"/>
            <w:hideMark/>
          </w:tcPr>
          <w:p w14:paraId="5A414789" w14:textId="77777777" w:rsidR="00DC2A23" w:rsidRPr="00DC2A23" w:rsidRDefault="00DC2A23" w:rsidP="00DC2A23">
            <w:pPr>
              <w:spacing w:after="0" w:line="240" w:lineRule="auto"/>
              <w:jc w:val="right"/>
              <w:rPr>
                <w:rFonts w:ascii="Arial" w:hAnsi="Arial" w:cs="Arial"/>
                <w:b/>
                <w:bCs/>
                <w:sz w:val="16"/>
                <w:szCs w:val="16"/>
              </w:rPr>
            </w:pPr>
            <w:r w:rsidRPr="00DC2A23">
              <w:rPr>
                <w:rFonts w:ascii="Arial" w:hAnsi="Arial" w:cs="Arial"/>
                <w:b/>
                <w:bCs/>
                <w:sz w:val="16"/>
                <w:szCs w:val="16"/>
              </w:rPr>
              <w:t xml:space="preserve">84,786,811 </w:t>
            </w:r>
          </w:p>
        </w:tc>
        <w:tc>
          <w:tcPr>
            <w:tcW w:w="574" w:type="pct"/>
            <w:tcBorders>
              <w:top w:val="single" w:sz="4" w:space="0" w:color="000000"/>
              <w:left w:val="nil"/>
              <w:bottom w:val="single" w:sz="4" w:space="0" w:color="000000"/>
              <w:right w:val="nil"/>
            </w:tcBorders>
            <w:shd w:val="clear" w:color="auto" w:fill="auto"/>
            <w:noWrap/>
            <w:vAlign w:val="center"/>
            <w:hideMark/>
          </w:tcPr>
          <w:p w14:paraId="156227D1"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88,404,806 </w:t>
            </w:r>
          </w:p>
        </w:tc>
        <w:tc>
          <w:tcPr>
            <w:tcW w:w="574" w:type="pct"/>
            <w:tcBorders>
              <w:top w:val="single" w:sz="4" w:space="0" w:color="000000"/>
              <w:left w:val="nil"/>
              <w:bottom w:val="single" w:sz="4" w:space="0" w:color="000000"/>
              <w:right w:val="nil"/>
            </w:tcBorders>
            <w:shd w:val="clear" w:color="auto" w:fill="auto"/>
            <w:noWrap/>
            <w:vAlign w:val="center"/>
            <w:hideMark/>
          </w:tcPr>
          <w:p w14:paraId="719E369E"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92,667,324 </w:t>
            </w:r>
          </w:p>
        </w:tc>
        <w:tc>
          <w:tcPr>
            <w:tcW w:w="574" w:type="pct"/>
            <w:tcBorders>
              <w:top w:val="single" w:sz="4" w:space="0" w:color="000000"/>
              <w:left w:val="nil"/>
              <w:bottom w:val="single" w:sz="4" w:space="0" w:color="000000"/>
              <w:right w:val="nil"/>
            </w:tcBorders>
            <w:shd w:val="clear" w:color="auto" w:fill="auto"/>
            <w:noWrap/>
            <w:vAlign w:val="center"/>
            <w:hideMark/>
          </w:tcPr>
          <w:p w14:paraId="5DA2465B"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94,157,939 </w:t>
            </w:r>
          </w:p>
        </w:tc>
      </w:tr>
      <w:tr w:rsidR="00DC2A23" w:rsidRPr="00DC2A23" w14:paraId="57BCCE97" w14:textId="77777777" w:rsidTr="00DC2A23">
        <w:trPr>
          <w:trHeight w:hRule="exact" w:val="235"/>
        </w:trPr>
        <w:tc>
          <w:tcPr>
            <w:tcW w:w="2130" w:type="pct"/>
            <w:tcBorders>
              <w:top w:val="nil"/>
              <w:left w:val="nil"/>
              <w:bottom w:val="single" w:sz="4" w:space="0" w:color="000000"/>
              <w:right w:val="nil"/>
            </w:tcBorders>
            <w:shd w:val="clear" w:color="auto" w:fill="auto"/>
            <w:noWrap/>
            <w:vAlign w:val="center"/>
            <w:hideMark/>
          </w:tcPr>
          <w:p w14:paraId="6EBA864F"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Total expenses for program 1.4</w:t>
            </w:r>
          </w:p>
        </w:tc>
        <w:tc>
          <w:tcPr>
            <w:tcW w:w="574" w:type="pct"/>
            <w:tcBorders>
              <w:top w:val="nil"/>
              <w:left w:val="nil"/>
              <w:bottom w:val="single" w:sz="4" w:space="0" w:color="000000"/>
              <w:right w:val="nil"/>
            </w:tcBorders>
            <w:shd w:val="clear" w:color="auto" w:fill="auto"/>
            <w:noWrap/>
            <w:vAlign w:val="center"/>
            <w:hideMark/>
          </w:tcPr>
          <w:p w14:paraId="04BF814F"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76,494,654 </w:t>
            </w:r>
          </w:p>
        </w:tc>
        <w:tc>
          <w:tcPr>
            <w:tcW w:w="574" w:type="pct"/>
            <w:tcBorders>
              <w:top w:val="nil"/>
              <w:left w:val="nil"/>
              <w:bottom w:val="single" w:sz="4" w:space="0" w:color="000000"/>
              <w:right w:val="nil"/>
            </w:tcBorders>
            <w:shd w:val="clear" w:color="000000" w:fill="E6E6E6"/>
            <w:noWrap/>
            <w:vAlign w:val="center"/>
            <w:hideMark/>
          </w:tcPr>
          <w:p w14:paraId="41D069DF" w14:textId="77777777" w:rsidR="00DC2A23" w:rsidRPr="00DC2A23" w:rsidRDefault="00DC2A23" w:rsidP="00DC2A23">
            <w:pPr>
              <w:spacing w:after="0" w:line="240" w:lineRule="auto"/>
              <w:jc w:val="right"/>
              <w:rPr>
                <w:rFonts w:ascii="Arial" w:hAnsi="Arial" w:cs="Arial"/>
                <w:b/>
                <w:bCs/>
                <w:sz w:val="16"/>
                <w:szCs w:val="16"/>
              </w:rPr>
            </w:pPr>
            <w:r w:rsidRPr="00DC2A23">
              <w:rPr>
                <w:rFonts w:ascii="Arial" w:hAnsi="Arial" w:cs="Arial"/>
                <w:b/>
                <w:bCs/>
                <w:sz w:val="16"/>
                <w:szCs w:val="16"/>
              </w:rPr>
              <w:t xml:space="preserve">84,786,811 </w:t>
            </w:r>
          </w:p>
        </w:tc>
        <w:tc>
          <w:tcPr>
            <w:tcW w:w="574" w:type="pct"/>
            <w:tcBorders>
              <w:top w:val="nil"/>
              <w:left w:val="nil"/>
              <w:bottom w:val="single" w:sz="4" w:space="0" w:color="000000"/>
              <w:right w:val="nil"/>
            </w:tcBorders>
            <w:shd w:val="clear" w:color="auto" w:fill="auto"/>
            <w:noWrap/>
            <w:vAlign w:val="center"/>
            <w:hideMark/>
          </w:tcPr>
          <w:p w14:paraId="737A765C"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88,404,806 </w:t>
            </w:r>
          </w:p>
        </w:tc>
        <w:tc>
          <w:tcPr>
            <w:tcW w:w="574" w:type="pct"/>
            <w:tcBorders>
              <w:top w:val="nil"/>
              <w:left w:val="nil"/>
              <w:bottom w:val="single" w:sz="4" w:space="0" w:color="000000"/>
              <w:right w:val="nil"/>
            </w:tcBorders>
            <w:shd w:val="clear" w:color="auto" w:fill="auto"/>
            <w:noWrap/>
            <w:vAlign w:val="center"/>
            <w:hideMark/>
          </w:tcPr>
          <w:p w14:paraId="3C1BAC45"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92,667,324 </w:t>
            </w:r>
          </w:p>
        </w:tc>
        <w:tc>
          <w:tcPr>
            <w:tcW w:w="574" w:type="pct"/>
            <w:tcBorders>
              <w:top w:val="nil"/>
              <w:left w:val="nil"/>
              <w:bottom w:val="single" w:sz="4" w:space="0" w:color="000000"/>
              <w:right w:val="nil"/>
            </w:tcBorders>
            <w:shd w:val="clear" w:color="auto" w:fill="auto"/>
            <w:noWrap/>
            <w:vAlign w:val="center"/>
            <w:hideMark/>
          </w:tcPr>
          <w:p w14:paraId="0CACAEDB"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94,157,939 </w:t>
            </w:r>
          </w:p>
        </w:tc>
      </w:tr>
      <w:tr w:rsidR="00DC2A23" w:rsidRPr="00DC2A23" w14:paraId="2D80F1FD" w14:textId="77777777" w:rsidTr="0071548B">
        <w:trPr>
          <w:trHeight w:hRule="exact" w:val="225"/>
        </w:trPr>
        <w:tc>
          <w:tcPr>
            <w:tcW w:w="2130" w:type="pct"/>
            <w:tcBorders>
              <w:top w:val="nil"/>
              <w:left w:val="nil"/>
              <w:bottom w:val="single" w:sz="4" w:space="0" w:color="auto"/>
              <w:right w:val="nil"/>
            </w:tcBorders>
            <w:shd w:val="clear" w:color="auto" w:fill="auto"/>
            <w:vAlign w:val="center"/>
            <w:hideMark/>
          </w:tcPr>
          <w:p w14:paraId="014E5831" w14:textId="77777777" w:rsidR="00DC2A23" w:rsidRPr="00DC2A23" w:rsidRDefault="00DC2A23" w:rsidP="00DC2A23">
            <w:pPr>
              <w:spacing w:after="0" w:line="240" w:lineRule="auto"/>
              <w:jc w:val="right"/>
              <w:rPr>
                <w:rFonts w:ascii="Arial" w:hAnsi="Arial" w:cs="Arial"/>
                <w:b/>
                <w:bCs/>
                <w:color w:val="000000"/>
                <w:sz w:val="16"/>
                <w:szCs w:val="16"/>
              </w:rPr>
            </w:pPr>
          </w:p>
        </w:tc>
        <w:tc>
          <w:tcPr>
            <w:tcW w:w="574" w:type="pct"/>
            <w:tcBorders>
              <w:top w:val="nil"/>
              <w:left w:val="nil"/>
              <w:bottom w:val="single" w:sz="4" w:space="0" w:color="auto"/>
              <w:right w:val="nil"/>
            </w:tcBorders>
            <w:shd w:val="clear" w:color="auto" w:fill="auto"/>
            <w:noWrap/>
            <w:vAlign w:val="center"/>
            <w:hideMark/>
          </w:tcPr>
          <w:p w14:paraId="359A0167"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single" w:sz="4" w:space="0" w:color="auto"/>
              <w:right w:val="nil"/>
            </w:tcBorders>
            <w:shd w:val="clear" w:color="auto" w:fill="auto"/>
            <w:noWrap/>
            <w:vAlign w:val="center"/>
            <w:hideMark/>
          </w:tcPr>
          <w:p w14:paraId="7034AFB2" w14:textId="77777777" w:rsidR="00DC2A23" w:rsidRPr="00DC2A23" w:rsidRDefault="00DC2A23" w:rsidP="00DC2A23">
            <w:pPr>
              <w:spacing w:after="0" w:line="240" w:lineRule="auto"/>
              <w:jc w:val="right"/>
              <w:rPr>
                <w:rFonts w:ascii="Times New Roman" w:hAnsi="Times New Roman"/>
              </w:rPr>
            </w:pPr>
          </w:p>
        </w:tc>
        <w:tc>
          <w:tcPr>
            <w:tcW w:w="574" w:type="pct"/>
            <w:tcBorders>
              <w:top w:val="nil"/>
              <w:left w:val="nil"/>
              <w:bottom w:val="single" w:sz="4" w:space="0" w:color="auto"/>
              <w:right w:val="nil"/>
            </w:tcBorders>
            <w:shd w:val="clear" w:color="auto" w:fill="auto"/>
            <w:noWrap/>
            <w:vAlign w:val="center"/>
            <w:hideMark/>
          </w:tcPr>
          <w:p w14:paraId="30453ED2" w14:textId="77777777" w:rsidR="00DC2A23" w:rsidRPr="00DC2A23" w:rsidRDefault="00DC2A23" w:rsidP="00DC2A23">
            <w:pPr>
              <w:spacing w:after="0" w:line="240" w:lineRule="auto"/>
              <w:jc w:val="right"/>
              <w:rPr>
                <w:rFonts w:ascii="Times New Roman" w:hAnsi="Times New Roman"/>
              </w:rPr>
            </w:pPr>
          </w:p>
        </w:tc>
        <w:tc>
          <w:tcPr>
            <w:tcW w:w="574" w:type="pct"/>
            <w:tcBorders>
              <w:top w:val="nil"/>
              <w:left w:val="nil"/>
              <w:bottom w:val="single" w:sz="4" w:space="0" w:color="auto"/>
              <w:right w:val="nil"/>
            </w:tcBorders>
            <w:shd w:val="clear" w:color="auto" w:fill="auto"/>
            <w:noWrap/>
            <w:vAlign w:val="center"/>
            <w:hideMark/>
          </w:tcPr>
          <w:p w14:paraId="6B87BB34" w14:textId="77777777" w:rsidR="00DC2A23" w:rsidRPr="00DC2A23" w:rsidRDefault="00DC2A23" w:rsidP="00DC2A23">
            <w:pPr>
              <w:spacing w:after="0" w:line="240" w:lineRule="auto"/>
              <w:jc w:val="right"/>
              <w:rPr>
                <w:rFonts w:ascii="Times New Roman" w:hAnsi="Times New Roman"/>
              </w:rPr>
            </w:pPr>
          </w:p>
        </w:tc>
        <w:tc>
          <w:tcPr>
            <w:tcW w:w="574" w:type="pct"/>
            <w:tcBorders>
              <w:top w:val="nil"/>
              <w:left w:val="nil"/>
              <w:bottom w:val="single" w:sz="4" w:space="0" w:color="auto"/>
              <w:right w:val="nil"/>
            </w:tcBorders>
            <w:shd w:val="clear" w:color="auto" w:fill="auto"/>
            <w:noWrap/>
            <w:vAlign w:val="center"/>
            <w:hideMark/>
          </w:tcPr>
          <w:p w14:paraId="5125AD94" w14:textId="77777777" w:rsidR="00DC2A23" w:rsidRPr="00DC2A23" w:rsidRDefault="00DC2A23" w:rsidP="00DC2A23">
            <w:pPr>
              <w:spacing w:after="0" w:line="240" w:lineRule="auto"/>
              <w:jc w:val="right"/>
              <w:rPr>
                <w:rFonts w:ascii="Times New Roman" w:hAnsi="Times New Roman"/>
              </w:rPr>
            </w:pPr>
          </w:p>
        </w:tc>
      </w:tr>
      <w:tr w:rsidR="00DC2A23" w:rsidRPr="00DC2A23" w14:paraId="133C0B38" w14:textId="77777777" w:rsidTr="0071548B">
        <w:trPr>
          <w:trHeight w:hRule="exact" w:val="225"/>
        </w:trPr>
        <w:tc>
          <w:tcPr>
            <w:tcW w:w="2704" w:type="pct"/>
            <w:gridSpan w:val="2"/>
            <w:tcBorders>
              <w:top w:val="single" w:sz="4" w:space="0" w:color="auto"/>
              <w:left w:val="nil"/>
              <w:bottom w:val="single" w:sz="4" w:space="0" w:color="auto"/>
              <w:right w:val="nil"/>
            </w:tcBorders>
            <w:shd w:val="clear" w:color="000000" w:fill="E6E6E6"/>
            <w:noWrap/>
            <w:vAlign w:val="center"/>
            <w:hideMark/>
          </w:tcPr>
          <w:p w14:paraId="46D04DFA"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Program 1.5: Assistance to the States for Healthcare Services</w:t>
            </w:r>
          </w:p>
        </w:tc>
        <w:tc>
          <w:tcPr>
            <w:tcW w:w="574" w:type="pct"/>
            <w:tcBorders>
              <w:top w:val="single" w:sz="4" w:space="0" w:color="auto"/>
              <w:left w:val="nil"/>
              <w:bottom w:val="single" w:sz="4" w:space="0" w:color="auto"/>
              <w:right w:val="nil"/>
            </w:tcBorders>
            <w:shd w:val="clear" w:color="000000" w:fill="E6E6E6"/>
            <w:vAlign w:val="center"/>
            <w:hideMark/>
          </w:tcPr>
          <w:p w14:paraId="404C4C35"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000000" w:fill="E6E6E6"/>
            <w:vAlign w:val="center"/>
            <w:hideMark/>
          </w:tcPr>
          <w:p w14:paraId="4A1465AB"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000000" w:fill="E6E6E6"/>
            <w:vAlign w:val="center"/>
            <w:hideMark/>
          </w:tcPr>
          <w:p w14:paraId="0B8D37DA"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000000" w:fill="E6E6E6"/>
            <w:vAlign w:val="center"/>
            <w:hideMark/>
          </w:tcPr>
          <w:p w14:paraId="43A45ACC"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 </w:t>
            </w:r>
          </w:p>
        </w:tc>
      </w:tr>
      <w:tr w:rsidR="00DC2A23" w:rsidRPr="00DC2A23" w14:paraId="0AE9AF97" w14:textId="77777777" w:rsidTr="00DC2A23">
        <w:trPr>
          <w:trHeight w:hRule="exact" w:val="235"/>
        </w:trPr>
        <w:tc>
          <w:tcPr>
            <w:tcW w:w="2130" w:type="pct"/>
            <w:tcBorders>
              <w:top w:val="nil"/>
              <w:left w:val="nil"/>
              <w:bottom w:val="nil"/>
              <w:right w:val="nil"/>
            </w:tcBorders>
            <w:shd w:val="clear" w:color="auto" w:fill="auto"/>
            <w:noWrap/>
            <w:vAlign w:val="center"/>
            <w:hideMark/>
          </w:tcPr>
          <w:p w14:paraId="01872549" w14:textId="77777777" w:rsidR="00DC2A23" w:rsidRPr="00DC2A23" w:rsidRDefault="00DC2A23" w:rsidP="00DC2A23">
            <w:pPr>
              <w:spacing w:after="0" w:line="240" w:lineRule="auto"/>
              <w:jc w:val="left"/>
              <w:rPr>
                <w:rFonts w:ascii="Arial" w:hAnsi="Arial" w:cs="Arial"/>
                <w:sz w:val="16"/>
                <w:szCs w:val="16"/>
              </w:rPr>
            </w:pPr>
            <w:r w:rsidRPr="00DC2A23">
              <w:rPr>
                <w:rFonts w:ascii="Arial" w:hAnsi="Arial" w:cs="Arial"/>
                <w:sz w:val="16"/>
                <w:szCs w:val="16"/>
              </w:rPr>
              <w:t>Administered expenses</w:t>
            </w:r>
          </w:p>
        </w:tc>
        <w:tc>
          <w:tcPr>
            <w:tcW w:w="574" w:type="pct"/>
            <w:tcBorders>
              <w:top w:val="nil"/>
              <w:left w:val="nil"/>
              <w:bottom w:val="nil"/>
              <w:right w:val="nil"/>
            </w:tcBorders>
            <w:shd w:val="clear" w:color="auto" w:fill="auto"/>
            <w:noWrap/>
            <w:vAlign w:val="center"/>
            <w:hideMark/>
          </w:tcPr>
          <w:p w14:paraId="38AE0F00" w14:textId="77777777" w:rsidR="00DC2A23" w:rsidRPr="00DC2A23" w:rsidRDefault="00DC2A23" w:rsidP="00DC2A23">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088256A9"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0B43404E"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2E069893"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E1807A2" w14:textId="77777777" w:rsidR="00DC2A23" w:rsidRPr="00DC2A23" w:rsidRDefault="00DC2A23" w:rsidP="00DC2A23">
            <w:pPr>
              <w:spacing w:after="0" w:line="240" w:lineRule="auto"/>
              <w:jc w:val="left"/>
              <w:rPr>
                <w:rFonts w:ascii="Times New Roman" w:hAnsi="Times New Roman"/>
              </w:rPr>
            </w:pPr>
          </w:p>
        </w:tc>
      </w:tr>
      <w:tr w:rsidR="00DC2A23" w:rsidRPr="00DC2A23" w14:paraId="4BC601ED" w14:textId="77777777" w:rsidTr="00DC2A23">
        <w:trPr>
          <w:trHeight w:hRule="exact" w:val="235"/>
        </w:trPr>
        <w:tc>
          <w:tcPr>
            <w:tcW w:w="2130" w:type="pct"/>
            <w:tcBorders>
              <w:top w:val="nil"/>
              <w:left w:val="nil"/>
              <w:bottom w:val="nil"/>
              <w:right w:val="nil"/>
            </w:tcBorders>
            <w:shd w:val="clear" w:color="auto" w:fill="auto"/>
            <w:noWrap/>
            <w:vAlign w:val="center"/>
            <w:hideMark/>
          </w:tcPr>
          <w:p w14:paraId="4201F03F" w14:textId="77777777" w:rsidR="00DC2A23" w:rsidRPr="00DC2A23" w:rsidRDefault="00DC2A23" w:rsidP="00DC2A23">
            <w:pPr>
              <w:spacing w:after="0" w:line="240" w:lineRule="auto"/>
              <w:ind w:left="170"/>
              <w:jc w:val="left"/>
              <w:rPr>
                <w:rFonts w:ascii="Arial" w:hAnsi="Arial" w:cs="Arial"/>
                <w:sz w:val="16"/>
                <w:szCs w:val="16"/>
              </w:rPr>
            </w:pPr>
            <w:r w:rsidRPr="00DC2A23">
              <w:rPr>
                <w:rFonts w:ascii="Arial" w:hAnsi="Arial" w:cs="Arial"/>
                <w:sz w:val="16"/>
                <w:szCs w:val="16"/>
              </w:rPr>
              <w:t>Special appropriations</w:t>
            </w:r>
          </w:p>
        </w:tc>
        <w:tc>
          <w:tcPr>
            <w:tcW w:w="574" w:type="pct"/>
            <w:tcBorders>
              <w:top w:val="nil"/>
              <w:left w:val="nil"/>
              <w:bottom w:val="nil"/>
              <w:right w:val="nil"/>
            </w:tcBorders>
            <w:shd w:val="clear" w:color="auto" w:fill="auto"/>
            <w:noWrap/>
            <w:vAlign w:val="center"/>
            <w:hideMark/>
          </w:tcPr>
          <w:p w14:paraId="5F6A8A29" w14:textId="77777777" w:rsidR="00DC2A23" w:rsidRPr="00DC2A23" w:rsidRDefault="00DC2A23" w:rsidP="00DC2A23">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1543289B"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4C797064"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69D97B00"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5750A490" w14:textId="77777777" w:rsidR="00DC2A23" w:rsidRPr="00DC2A23" w:rsidRDefault="00DC2A23" w:rsidP="00DC2A23">
            <w:pPr>
              <w:spacing w:after="0" w:line="240" w:lineRule="auto"/>
              <w:jc w:val="left"/>
              <w:rPr>
                <w:rFonts w:ascii="Times New Roman" w:hAnsi="Times New Roman"/>
              </w:rPr>
            </w:pPr>
          </w:p>
        </w:tc>
      </w:tr>
      <w:tr w:rsidR="00DC2A23" w:rsidRPr="00DC2A23" w14:paraId="1D295CFD" w14:textId="77777777" w:rsidTr="00DC2A23">
        <w:trPr>
          <w:trHeight w:hRule="exact" w:val="225"/>
        </w:trPr>
        <w:tc>
          <w:tcPr>
            <w:tcW w:w="2130" w:type="pct"/>
            <w:tcBorders>
              <w:top w:val="nil"/>
              <w:left w:val="nil"/>
              <w:bottom w:val="nil"/>
              <w:right w:val="nil"/>
            </w:tcBorders>
            <w:shd w:val="clear" w:color="000000" w:fill="FFFFFF"/>
            <w:vAlign w:val="center"/>
            <w:hideMark/>
          </w:tcPr>
          <w:p w14:paraId="0644C43B" w14:textId="324CA94A" w:rsidR="00DC2A23" w:rsidRPr="00391732" w:rsidRDefault="00DC2A23" w:rsidP="00DC2A23">
            <w:pPr>
              <w:spacing w:after="0" w:line="240" w:lineRule="auto"/>
              <w:ind w:left="340"/>
              <w:jc w:val="left"/>
              <w:rPr>
                <w:rFonts w:ascii="Arial" w:hAnsi="Arial" w:cs="Arial"/>
                <w:sz w:val="16"/>
                <w:szCs w:val="16"/>
              </w:rPr>
            </w:pPr>
            <w:r w:rsidRPr="00391732">
              <w:rPr>
                <w:rFonts w:ascii="Arial" w:hAnsi="Arial" w:cs="Arial"/>
                <w:sz w:val="16"/>
                <w:szCs w:val="16"/>
              </w:rPr>
              <w:t xml:space="preserve">National Health Reform funding </w:t>
            </w:r>
            <w:r w:rsidR="00B33758" w:rsidRPr="00391732">
              <w:rPr>
                <w:rFonts w:ascii="Arial" w:hAnsi="Arial" w:cs="Arial"/>
                <w:sz w:val="16"/>
                <w:szCs w:val="16"/>
              </w:rPr>
              <w:noBreakHyphen/>
            </w:r>
          </w:p>
        </w:tc>
        <w:tc>
          <w:tcPr>
            <w:tcW w:w="574" w:type="pct"/>
            <w:tcBorders>
              <w:top w:val="nil"/>
              <w:left w:val="nil"/>
              <w:bottom w:val="nil"/>
              <w:right w:val="nil"/>
            </w:tcBorders>
            <w:shd w:val="clear" w:color="auto" w:fill="auto"/>
            <w:noWrap/>
            <w:vAlign w:val="center"/>
            <w:hideMark/>
          </w:tcPr>
          <w:p w14:paraId="1728CAD3" w14:textId="77777777" w:rsidR="00DC2A23" w:rsidRPr="00DC2A23" w:rsidRDefault="00DC2A23" w:rsidP="00DC2A23">
            <w:pPr>
              <w:spacing w:after="0" w:line="240" w:lineRule="auto"/>
              <w:ind w:firstLineChars="200" w:firstLine="320"/>
              <w:jc w:val="left"/>
              <w:rPr>
                <w:rFonts w:ascii="Arial" w:hAnsi="Arial" w:cs="Arial"/>
                <w:i/>
                <w:iCs/>
                <w:sz w:val="16"/>
                <w:szCs w:val="16"/>
              </w:rPr>
            </w:pPr>
          </w:p>
        </w:tc>
        <w:tc>
          <w:tcPr>
            <w:tcW w:w="574" w:type="pct"/>
            <w:tcBorders>
              <w:top w:val="nil"/>
              <w:left w:val="nil"/>
              <w:bottom w:val="nil"/>
              <w:right w:val="nil"/>
            </w:tcBorders>
            <w:shd w:val="clear" w:color="000000" w:fill="E6E6E6"/>
            <w:noWrap/>
            <w:vAlign w:val="center"/>
            <w:hideMark/>
          </w:tcPr>
          <w:p w14:paraId="12F9CDC2"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14573B6F"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718FCE63"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34EDAD98" w14:textId="77777777" w:rsidR="00DC2A23" w:rsidRPr="00DC2A23" w:rsidRDefault="00DC2A23" w:rsidP="00DC2A23">
            <w:pPr>
              <w:spacing w:after="0" w:line="240" w:lineRule="auto"/>
              <w:jc w:val="left"/>
              <w:rPr>
                <w:rFonts w:ascii="Times New Roman" w:hAnsi="Times New Roman"/>
              </w:rPr>
            </w:pPr>
          </w:p>
        </w:tc>
      </w:tr>
      <w:tr w:rsidR="00DC2A23" w:rsidRPr="00DC2A23" w14:paraId="35BFBB79" w14:textId="77777777" w:rsidTr="00DC2A23">
        <w:trPr>
          <w:trHeight w:hRule="exact" w:val="225"/>
        </w:trPr>
        <w:tc>
          <w:tcPr>
            <w:tcW w:w="2130" w:type="pct"/>
            <w:tcBorders>
              <w:top w:val="nil"/>
              <w:left w:val="nil"/>
              <w:bottom w:val="nil"/>
              <w:right w:val="nil"/>
            </w:tcBorders>
            <w:shd w:val="clear" w:color="000000" w:fill="FFFFFF"/>
            <w:vAlign w:val="center"/>
            <w:hideMark/>
          </w:tcPr>
          <w:p w14:paraId="56E1154C" w14:textId="77777777" w:rsidR="00DC2A23" w:rsidRPr="00DC2A23" w:rsidRDefault="00DC2A23" w:rsidP="00DC2A23">
            <w:pPr>
              <w:spacing w:after="0" w:line="240" w:lineRule="auto"/>
              <w:ind w:left="510"/>
              <w:jc w:val="left"/>
              <w:rPr>
                <w:rFonts w:ascii="Arial" w:hAnsi="Arial" w:cs="Arial"/>
                <w:i/>
                <w:iCs/>
                <w:sz w:val="16"/>
                <w:szCs w:val="16"/>
              </w:rPr>
            </w:pPr>
            <w:r w:rsidRPr="00DC2A23">
              <w:rPr>
                <w:rFonts w:ascii="Arial" w:hAnsi="Arial" w:cs="Arial"/>
                <w:i/>
                <w:iCs/>
                <w:sz w:val="16"/>
                <w:szCs w:val="16"/>
              </w:rPr>
              <w:t xml:space="preserve">Federal Financial Relations Act 2009 </w:t>
            </w:r>
          </w:p>
        </w:tc>
        <w:tc>
          <w:tcPr>
            <w:tcW w:w="574" w:type="pct"/>
            <w:tcBorders>
              <w:top w:val="nil"/>
              <w:left w:val="nil"/>
              <w:bottom w:val="nil"/>
              <w:right w:val="nil"/>
            </w:tcBorders>
            <w:shd w:val="clear" w:color="auto" w:fill="auto"/>
            <w:noWrap/>
            <w:vAlign w:val="center"/>
            <w:hideMark/>
          </w:tcPr>
          <w:p w14:paraId="13FAF814" w14:textId="77777777" w:rsidR="00DC2A23" w:rsidRPr="00DC2A23" w:rsidRDefault="00DC2A23" w:rsidP="00DC2A23">
            <w:pPr>
              <w:spacing w:after="0" w:line="240" w:lineRule="auto"/>
              <w:jc w:val="right"/>
              <w:rPr>
                <w:rFonts w:ascii="Arial" w:hAnsi="Arial" w:cs="Arial"/>
                <w:color w:val="000000"/>
                <w:sz w:val="16"/>
                <w:szCs w:val="16"/>
              </w:rPr>
            </w:pPr>
            <w:r w:rsidRPr="00DC2A23">
              <w:rPr>
                <w:rFonts w:ascii="Arial" w:hAnsi="Arial" w:cs="Arial"/>
                <w:color w:val="000000"/>
                <w:sz w:val="16"/>
                <w:szCs w:val="16"/>
              </w:rPr>
              <w:t xml:space="preserve">24,694,171 </w:t>
            </w:r>
          </w:p>
        </w:tc>
        <w:tc>
          <w:tcPr>
            <w:tcW w:w="574" w:type="pct"/>
            <w:tcBorders>
              <w:top w:val="nil"/>
              <w:left w:val="nil"/>
              <w:bottom w:val="nil"/>
              <w:right w:val="nil"/>
            </w:tcBorders>
            <w:shd w:val="clear" w:color="000000" w:fill="E6E6E6"/>
            <w:noWrap/>
            <w:vAlign w:val="center"/>
            <w:hideMark/>
          </w:tcPr>
          <w:p w14:paraId="1E0BC739"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27,205,410 </w:t>
            </w:r>
          </w:p>
        </w:tc>
        <w:tc>
          <w:tcPr>
            <w:tcW w:w="574" w:type="pct"/>
            <w:tcBorders>
              <w:top w:val="nil"/>
              <w:left w:val="nil"/>
              <w:bottom w:val="nil"/>
              <w:right w:val="nil"/>
            </w:tcBorders>
            <w:shd w:val="clear" w:color="auto" w:fill="auto"/>
            <w:noWrap/>
            <w:vAlign w:val="center"/>
            <w:hideMark/>
          </w:tcPr>
          <w:p w14:paraId="44E692C6"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28,717,335 </w:t>
            </w:r>
          </w:p>
        </w:tc>
        <w:tc>
          <w:tcPr>
            <w:tcW w:w="574" w:type="pct"/>
            <w:tcBorders>
              <w:top w:val="nil"/>
              <w:left w:val="nil"/>
              <w:bottom w:val="nil"/>
              <w:right w:val="nil"/>
            </w:tcBorders>
            <w:shd w:val="clear" w:color="auto" w:fill="auto"/>
            <w:noWrap/>
            <w:vAlign w:val="center"/>
            <w:hideMark/>
          </w:tcPr>
          <w:p w14:paraId="5C999131"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30,659,300 </w:t>
            </w:r>
          </w:p>
        </w:tc>
        <w:tc>
          <w:tcPr>
            <w:tcW w:w="574" w:type="pct"/>
            <w:tcBorders>
              <w:top w:val="nil"/>
              <w:left w:val="nil"/>
              <w:bottom w:val="nil"/>
              <w:right w:val="nil"/>
            </w:tcBorders>
            <w:shd w:val="clear" w:color="auto" w:fill="auto"/>
            <w:noWrap/>
            <w:vAlign w:val="center"/>
            <w:hideMark/>
          </w:tcPr>
          <w:p w14:paraId="0A63E7C9"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32,652,513 </w:t>
            </w:r>
          </w:p>
        </w:tc>
      </w:tr>
      <w:tr w:rsidR="00DC2A23" w:rsidRPr="00DC2A23" w14:paraId="19FDACE7" w14:textId="77777777" w:rsidTr="00DC2A23">
        <w:trPr>
          <w:trHeight w:hRule="exact" w:val="225"/>
        </w:trPr>
        <w:tc>
          <w:tcPr>
            <w:tcW w:w="2130" w:type="pct"/>
            <w:tcBorders>
              <w:top w:val="nil"/>
              <w:left w:val="nil"/>
              <w:bottom w:val="nil"/>
              <w:right w:val="nil"/>
            </w:tcBorders>
            <w:shd w:val="clear" w:color="000000" w:fill="FFFFFF"/>
            <w:vAlign w:val="center"/>
            <w:hideMark/>
          </w:tcPr>
          <w:p w14:paraId="1787E64E" w14:textId="77777777" w:rsidR="00DC2A23" w:rsidRPr="00DC2A23" w:rsidRDefault="00DC2A23" w:rsidP="00DC2A23">
            <w:pPr>
              <w:spacing w:after="0" w:line="240" w:lineRule="auto"/>
              <w:ind w:left="170"/>
              <w:jc w:val="left"/>
              <w:rPr>
                <w:rFonts w:ascii="Arial" w:hAnsi="Arial" w:cs="Arial"/>
                <w:sz w:val="16"/>
                <w:szCs w:val="16"/>
              </w:rPr>
            </w:pPr>
            <w:r w:rsidRPr="00DC2A23">
              <w:rPr>
                <w:rFonts w:ascii="Arial" w:hAnsi="Arial" w:cs="Arial"/>
                <w:sz w:val="16"/>
                <w:szCs w:val="16"/>
              </w:rPr>
              <w:t>Special accounts</w:t>
            </w:r>
          </w:p>
        </w:tc>
        <w:tc>
          <w:tcPr>
            <w:tcW w:w="574" w:type="pct"/>
            <w:tcBorders>
              <w:top w:val="nil"/>
              <w:left w:val="nil"/>
              <w:bottom w:val="nil"/>
              <w:right w:val="nil"/>
            </w:tcBorders>
            <w:shd w:val="clear" w:color="auto" w:fill="auto"/>
            <w:noWrap/>
            <w:vAlign w:val="center"/>
            <w:hideMark/>
          </w:tcPr>
          <w:p w14:paraId="539AED8A" w14:textId="77777777" w:rsidR="00DC2A23" w:rsidRPr="00DC2A23" w:rsidRDefault="00DC2A23" w:rsidP="00DC2A23">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7997B19A"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4B85656B" w14:textId="77777777" w:rsidR="00DC2A23" w:rsidRPr="00DC2A23" w:rsidRDefault="00DC2A23" w:rsidP="00DC2A23">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5790991B" w14:textId="77777777" w:rsidR="00DC2A23" w:rsidRPr="00DC2A23" w:rsidRDefault="00DC2A23" w:rsidP="00DC2A23">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614E757A" w14:textId="77777777" w:rsidR="00DC2A23" w:rsidRPr="00DC2A23" w:rsidRDefault="00DC2A23" w:rsidP="00DC2A23">
            <w:pPr>
              <w:spacing w:after="0" w:line="240" w:lineRule="auto"/>
              <w:jc w:val="left"/>
              <w:rPr>
                <w:rFonts w:ascii="Times New Roman" w:hAnsi="Times New Roman"/>
              </w:rPr>
            </w:pPr>
          </w:p>
        </w:tc>
      </w:tr>
      <w:tr w:rsidR="00DC2A23" w:rsidRPr="00DC2A23" w14:paraId="048E06C7" w14:textId="77777777" w:rsidTr="00DC2A23">
        <w:trPr>
          <w:trHeight w:hRule="exact" w:val="225"/>
        </w:trPr>
        <w:tc>
          <w:tcPr>
            <w:tcW w:w="2130" w:type="pct"/>
            <w:tcBorders>
              <w:top w:val="nil"/>
              <w:left w:val="nil"/>
              <w:bottom w:val="nil"/>
              <w:right w:val="nil"/>
            </w:tcBorders>
            <w:shd w:val="clear" w:color="000000" w:fill="FFFFFF"/>
            <w:vAlign w:val="center"/>
            <w:hideMark/>
          </w:tcPr>
          <w:p w14:paraId="33DEDCC1" w14:textId="77777777" w:rsidR="00DC2A23" w:rsidRPr="00DC2A23" w:rsidRDefault="00DC2A23" w:rsidP="00DC2A23">
            <w:pPr>
              <w:spacing w:after="0" w:line="240" w:lineRule="auto"/>
              <w:ind w:left="510"/>
              <w:jc w:val="left"/>
              <w:rPr>
                <w:rFonts w:ascii="Arial" w:hAnsi="Arial" w:cs="Arial"/>
                <w:sz w:val="16"/>
                <w:szCs w:val="16"/>
              </w:rPr>
            </w:pPr>
            <w:r w:rsidRPr="00DC2A23">
              <w:rPr>
                <w:rFonts w:ascii="Arial" w:hAnsi="Arial" w:cs="Arial"/>
                <w:sz w:val="16"/>
                <w:szCs w:val="16"/>
              </w:rPr>
              <w:t>COAG Reform Fund</w:t>
            </w:r>
          </w:p>
        </w:tc>
        <w:tc>
          <w:tcPr>
            <w:tcW w:w="574" w:type="pct"/>
            <w:tcBorders>
              <w:top w:val="nil"/>
              <w:left w:val="nil"/>
              <w:bottom w:val="nil"/>
              <w:right w:val="nil"/>
            </w:tcBorders>
            <w:shd w:val="clear" w:color="auto" w:fill="auto"/>
            <w:noWrap/>
            <w:vAlign w:val="center"/>
            <w:hideMark/>
          </w:tcPr>
          <w:p w14:paraId="07C7B2DB" w14:textId="77777777" w:rsidR="00DC2A23" w:rsidRPr="00DC2A23" w:rsidRDefault="00DC2A23" w:rsidP="00DC2A23">
            <w:pPr>
              <w:spacing w:after="0" w:line="240" w:lineRule="auto"/>
              <w:jc w:val="right"/>
              <w:rPr>
                <w:rFonts w:ascii="Arial" w:hAnsi="Arial" w:cs="Arial"/>
                <w:color w:val="000000"/>
                <w:sz w:val="16"/>
                <w:szCs w:val="16"/>
              </w:rPr>
            </w:pPr>
            <w:r w:rsidRPr="00DC2A23">
              <w:rPr>
                <w:rFonts w:ascii="Arial" w:hAnsi="Arial" w:cs="Arial"/>
                <w:color w:val="000000"/>
                <w:sz w:val="16"/>
                <w:szCs w:val="16"/>
              </w:rPr>
              <w:t xml:space="preserve">318,687 </w:t>
            </w:r>
          </w:p>
        </w:tc>
        <w:tc>
          <w:tcPr>
            <w:tcW w:w="574" w:type="pct"/>
            <w:tcBorders>
              <w:top w:val="nil"/>
              <w:left w:val="nil"/>
              <w:bottom w:val="nil"/>
              <w:right w:val="nil"/>
            </w:tcBorders>
            <w:shd w:val="clear" w:color="000000" w:fill="E6E6E6"/>
            <w:noWrap/>
            <w:vAlign w:val="center"/>
            <w:hideMark/>
          </w:tcPr>
          <w:p w14:paraId="13252DC3" w14:textId="77777777" w:rsidR="00DC2A23" w:rsidRPr="00DC2A23" w:rsidRDefault="00DC2A23" w:rsidP="00DC2A23">
            <w:pPr>
              <w:spacing w:after="0" w:line="240" w:lineRule="auto"/>
              <w:jc w:val="right"/>
              <w:rPr>
                <w:rFonts w:ascii="Arial" w:hAnsi="Arial" w:cs="Arial"/>
                <w:sz w:val="16"/>
                <w:szCs w:val="16"/>
              </w:rPr>
            </w:pPr>
            <w:r w:rsidRPr="00DC2A23">
              <w:rPr>
                <w:rFonts w:ascii="Arial" w:hAnsi="Arial" w:cs="Arial"/>
                <w:sz w:val="16"/>
                <w:szCs w:val="16"/>
              </w:rPr>
              <w:t xml:space="preserve">127,806 </w:t>
            </w:r>
          </w:p>
        </w:tc>
        <w:tc>
          <w:tcPr>
            <w:tcW w:w="574" w:type="pct"/>
            <w:tcBorders>
              <w:top w:val="nil"/>
              <w:left w:val="nil"/>
              <w:bottom w:val="nil"/>
              <w:right w:val="nil"/>
            </w:tcBorders>
            <w:shd w:val="clear" w:color="auto" w:fill="auto"/>
            <w:noWrap/>
            <w:vAlign w:val="center"/>
            <w:hideMark/>
          </w:tcPr>
          <w:p w14:paraId="14596025" w14:textId="2A573B16" w:rsidR="00DC2A23" w:rsidRPr="00DC2A23" w:rsidRDefault="00B33758" w:rsidP="00DC2A23">
            <w:pPr>
              <w:spacing w:after="0" w:line="240" w:lineRule="auto"/>
              <w:jc w:val="right"/>
              <w:rPr>
                <w:rFonts w:ascii="Arial" w:hAnsi="Arial" w:cs="Arial"/>
                <w:sz w:val="16"/>
                <w:szCs w:val="16"/>
              </w:rPr>
            </w:pPr>
            <w:r>
              <w:rPr>
                <w:rFonts w:ascii="Arial" w:hAnsi="Arial" w:cs="Arial"/>
                <w:sz w:val="16"/>
                <w:szCs w:val="16"/>
              </w:rPr>
              <w:noBreakHyphen/>
            </w:r>
            <w:r w:rsidR="00DC2A23" w:rsidRPr="00DC2A23">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43CA17CD" w14:textId="7AF71633" w:rsidR="00DC2A23" w:rsidRPr="00DC2A23" w:rsidRDefault="00B33758" w:rsidP="00DC2A23">
            <w:pPr>
              <w:spacing w:after="0" w:line="240" w:lineRule="auto"/>
              <w:jc w:val="right"/>
              <w:rPr>
                <w:rFonts w:ascii="Arial" w:hAnsi="Arial" w:cs="Arial"/>
                <w:sz w:val="16"/>
                <w:szCs w:val="16"/>
              </w:rPr>
            </w:pPr>
            <w:r>
              <w:rPr>
                <w:rFonts w:ascii="Arial" w:hAnsi="Arial" w:cs="Arial"/>
                <w:sz w:val="16"/>
                <w:szCs w:val="16"/>
              </w:rPr>
              <w:noBreakHyphen/>
            </w:r>
            <w:r w:rsidR="00DC2A23" w:rsidRPr="00DC2A23">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3AFFDB54" w14:textId="640DA85E" w:rsidR="00DC2A23" w:rsidRPr="00DC2A23" w:rsidRDefault="00B33758" w:rsidP="00DC2A23">
            <w:pPr>
              <w:spacing w:after="0" w:line="240" w:lineRule="auto"/>
              <w:jc w:val="right"/>
              <w:rPr>
                <w:rFonts w:ascii="Arial" w:hAnsi="Arial" w:cs="Arial"/>
                <w:sz w:val="16"/>
                <w:szCs w:val="16"/>
              </w:rPr>
            </w:pPr>
            <w:r>
              <w:rPr>
                <w:rFonts w:ascii="Arial" w:hAnsi="Arial" w:cs="Arial"/>
                <w:sz w:val="16"/>
                <w:szCs w:val="16"/>
              </w:rPr>
              <w:noBreakHyphen/>
            </w:r>
            <w:r w:rsidR="00DC2A23" w:rsidRPr="00DC2A23">
              <w:rPr>
                <w:rFonts w:ascii="Arial" w:hAnsi="Arial" w:cs="Arial"/>
                <w:sz w:val="16"/>
                <w:szCs w:val="16"/>
              </w:rPr>
              <w:t xml:space="preserve"> </w:t>
            </w:r>
          </w:p>
        </w:tc>
      </w:tr>
      <w:tr w:rsidR="00DC2A23" w:rsidRPr="00DC2A23" w14:paraId="52F31442" w14:textId="77777777" w:rsidTr="00DC2A23">
        <w:trPr>
          <w:trHeight w:hRule="exact" w:val="235"/>
        </w:trPr>
        <w:tc>
          <w:tcPr>
            <w:tcW w:w="2130" w:type="pct"/>
            <w:tcBorders>
              <w:top w:val="nil"/>
              <w:left w:val="nil"/>
              <w:bottom w:val="nil"/>
              <w:right w:val="nil"/>
            </w:tcBorders>
            <w:shd w:val="clear" w:color="auto" w:fill="auto"/>
            <w:vAlign w:val="center"/>
            <w:hideMark/>
          </w:tcPr>
          <w:p w14:paraId="57A6AAED" w14:textId="77777777" w:rsidR="00DC2A23" w:rsidRPr="00DC2A23" w:rsidRDefault="00DC2A23" w:rsidP="00DC2A23">
            <w:pPr>
              <w:spacing w:after="0" w:line="240" w:lineRule="auto"/>
              <w:jc w:val="right"/>
              <w:rPr>
                <w:rFonts w:ascii="Arial" w:hAnsi="Arial" w:cs="Arial"/>
                <w:b/>
                <w:bCs/>
                <w:sz w:val="16"/>
                <w:szCs w:val="16"/>
              </w:rPr>
            </w:pPr>
            <w:r w:rsidRPr="00DC2A23">
              <w:rPr>
                <w:rFonts w:ascii="Arial" w:hAnsi="Arial" w:cs="Arial"/>
                <w:b/>
                <w:bCs/>
                <w:sz w:val="16"/>
                <w:szCs w:val="16"/>
              </w:rPr>
              <w:t>Administered total</w:t>
            </w:r>
          </w:p>
        </w:tc>
        <w:tc>
          <w:tcPr>
            <w:tcW w:w="574" w:type="pct"/>
            <w:tcBorders>
              <w:top w:val="single" w:sz="4" w:space="0" w:color="auto"/>
              <w:left w:val="nil"/>
              <w:bottom w:val="single" w:sz="4" w:space="0" w:color="auto"/>
              <w:right w:val="nil"/>
            </w:tcBorders>
            <w:shd w:val="clear" w:color="auto" w:fill="auto"/>
            <w:noWrap/>
            <w:vAlign w:val="center"/>
            <w:hideMark/>
          </w:tcPr>
          <w:p w14:paraId="2FF82D80"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25,012,858 </w:t>
            </w:r>
          </w:p>
        </w:tc>
        <w:tc>
          <w:tcPr>
            <w:tcW w:w="574" w:type="pct"/>
            <w:tcBorders>
              <w:top w:val="single" w:sz="4" w:space="0" w:color="auto"/>
              <w:left w:val="nil"/>
              <w:bottom w:val="single" w:sz="4" w:space="0" w:color="auto"/>
              <w:right w:val="nil"/>
            </w:tcBorders>
            <w:shd w:val="clear" w:color="000000" w:fill="E6E6E6"/>
            <w:noWrap/>
            <w:vAlign w:val="center"/>
            <w:hideMark/>
          </w:tcPr>
          <w:p w14:paraId="5EF65473" w14:textId="77777777" w:rsidR="00DC2A23" w:rsidRPr="00DC2A23" w:rsidRDefault="00DC2A23" w:rsidP="00DC2A23">
            <w:pPr>
              <w:spacing w:after="0" w:line="240" w:lineRule="auto"/>
              <w:jc w:val="right"/>
              <w:rPr>
                <w:rFonts w:ascii="Arial" w:hAnsi="Arial" w:cs="Arial"/>
                <w:b/>
                <w:bCs/>
                <w:sz w:val="16"/>
                <w:szCs w:val="16"/>
              </w:rPr>
            </w:pPr>
            <w:r w:rsidRPr="00DC2A23">
              <w:rPr>
                <w:rFonts w:ascii="Arial" w:hAnsi="Arial" w:cs="Arial"/>
                <w:b/>
                <w:bCs/>
                <w:sz w:val="16"/>
                <w:szCs w:val="16"/>
              </w:rPr>
              <w:t xml:space="preserve">27,333,216 </w:t>
            </w:r>
          </w:p>
        </w:tc>
        <w:tc>
          <w:tcPr>
            <w:tcW w:w="574" w:type="pct"/>
            <w:tcBorders>
              <w:top w:val="single" w:sz="4" w:space="0" w:color="auto"/>
              <w:left w:val="nil"/>
              <w:bottom w:val="single" w:sz="4" w:space="0" w:color="auto"/>
              <w:right w:val="nil"/>
            </w:tcBorders>
            <w:shd w:val="clear" w:color="auto" w:fill="auto"/>
            <w:noWrap/>
            <w:vAlign w:val="center"/>
            <w:hideMark/>
          </w:tcPr>
          <w:p w14:paraId="2B12AE86"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28,717,335 </w:t>
            </w:r>
          </w:p>
        </w:tc>
        <w:tc>
          <w:tcPr>
            <w:tcW w:w="574" w:type="pct"/>
            <w:tcBorders>
              <w:top w:val="single" w:sz="4" w:space="0" w:color="auto"/>
              <w:left w:val="nil"/>
              <w:bottom w:val="single" w:sz="4" w:space="0" w:color="auto"/>
              <w:right w:val="nil"/>
            </w:tcBorders>
            <w:shd w:val="clear" w:color="auto" w:fill="auto"/>
            <w:noWrap/>
            <w:vAlign w:val="center"/>
            <w:hideMark/>
          </w:tcPr>
          <w:p w14:paraId="06BE0FFE"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30,659,300 </w:t>
            </w:r>
          </w:p>
        </w:tc>
        <w:tc>
          <w:tcPr>
            <w:tcW w:w="574" w:type="pct"/>
            <w:tcBorders>
              <w:top w:val="single" w:sz="4" w:space="0" w:color="auto"/>
              <w:left w:val="nil"/>
              <w:bottom w:val="single" w:sz="4" w:space="0" w:color="auto"/>
              <w:right w:val="nil"/>
            </w:tcBorders>
            <w:shd w:val="clear" w:color="auto" w:fill="auto"/>
            <w:noWrap/>
            <w:vAlign w:val="center"/>
            <w:hideMark/>
          </w:tcPr>
          <w:p w14:paraId="4478376C"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32,652,513 </w:t>
            </w:r>
          </w:p>
        </w:tc>
      </w:tr>
      <w:tr w:rsidR="00DC2A23" w:rsidRPr="00DC2A23" w14:paraId="0FDB475C" w14:textId="77777777" w:rsidTr="00DC2A23">
        <w:trPr>
          <w:trHeight w:hRule="exact" w:val="235"/>
        </w:trPr>
        <w:tc>
          <w:tcPr>
            <w:tcW w:w="2130" w:type="pct"/>
            <w:tcBorders>
              <w:top w:val="nil"/>
              <w:left w:val="nil"/>
              <w:bottom w:val="single" w:sz="4" w:space="0" w:color="000000"/>
              <w:right w:val="nil"/>
            </w:tcBorders>
            <w:shd w:val="clear" w:color="auto" w:fill="auto"/>
            <w:noWrap/>
            <w:vAlign w:val="center"/>
            <w:hideMark/>
          </w:tcPr>
          <w:p w14:paraId="525D02A4" w14:textId="77777777" w:rsidR="00DC2A23" w:rsidRPr="00DC2A23" w:rsidRDefault="00DC2A23" w:rsidP="00DC2A23">
            <w:pPr>
              <w:spacing w:after="0" w:line="240" w:lineRule="auto"/>
              <w:jc w:val="left"/>
              <w:rPr>
                <w:rFonts w:ascii="Arial" w:hAnsi="Arial" w:cs="Arial"/>
                <w:b/>
                <w:bCs/>
                <w:sz w:val="16"/>
                <w:szCs w:val="16"/>
              </w:rPr>
            </w:pPr>
            <w:r w:rsidRPr="00DC2A23">
              <w:rPr>
                <w:rFonts w:ascii="Arial" w:hAnsi="Arial" w:cs="Arial"/>
                <w:b/>
                <w:bCs/>
                <w:sz w:val="16"/>
                <w:szCs w:val="16"/>
              </w:rPr>
              <w:t>Total expenses for program 1.5</w:t>
            </w:r>
          </w:p>
        </w:tc>
        <w:tc>
          <w:tcPr>
            <w:tcW w:w="574" w:type="pct"/>
            <w:tcBorders>
              <w:top w:val="nil"/>
              <w:left w:val="nil"/>
              <w:bottom w:val="single" w:sz="4" w:space="0" w:color="auto"/>
              <w:right w:val="nil"/>
            </w:tcBorders>
            <w:shd w:val="clear" w:color="auto" w:fill="auto"/>
            <w:noWrap/>
            <w:vAlign w:val="center"/>
            <w:hideMark/>
          </w:tcPr>
          <w:p w14:paraId="553B1F2D"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25,012,858 </w:t>
            </w:r>
          </w:p>
        </w:tc>
        <w:tc>
          <w:tcPr>
            <w:tcW w:w="574" w:type="pct"/>
            <w:tcBorders>
              <w:top w:val="nil"/>
              <w:left w:val="nil"/>
              <w:bottom w:val="single" w:sz="4" w:space="0" w:color="000000"/>
              <w:right w:val="nil"/>
            </w:tcBorders>
            <w:shd w:val="clear" w:color="000000" w:fill="E6E6E6"/>
            <w:noWrap/>
            <w:vAlign w:val="center"/>
            <w:hideMark/>
          </w:tcPr>
          <w:p w14:paraId="5827D3C5" w14:textId="77777777" w:rsidR="00DC2A23" w:rsidRPr="00DC2A23" w:rsidRDefault="00DC2A23" w:rsidP="00DC2A23">
            <w:pPr>
              <w:spacing w:after="0" w:line="240" w:lineRule="auto"/>
              <w:jc w:val="right"/>
              <w:rPr>
                <w:rFonts w:ascii="Arial" w:hAnsi="Arial" w:cs="Arial"/>
                <w:b/>
                <w:bCs/>
                <w:sz w:val="16"/>
                <w:szCs w:val="16"/>
              </w:rPr>
            </w:pPr>
            <w:r w:rsidRPr="00DC2A23">
              <w:rPr>
                <w:rFonts w:ascii="Arial" w:hAnsi="Arial" w:cs="Arial"/>
                <w:b/>
                <w:bCs/>
                <w:sz w:val="16"/>
                <w:szCs w:val="16"/>
              </w:rPr>
              <w:t xml:space="preserve">27,333,216 </w:t>
            </w:r>
          </w:p>
        </w:tc>
        <w:tc>
          <w:tcPr>
            <w:tcW w:w="574" w:type="pct"/>
            <w:tcBorders>
              <w:top w:val="nil"/>
              <w:left w:val="nil"/>
              <w:bottom w:val="single" w:sz="4" w:space="0" w:color="000000"/>
              <w:right w:val="nil"/>
            </w:tcBorders>
            <w:shd w:val="clear" w:color="auto" w:fill="auto"/>
            <w:noWrap/>
            <w:vAlign w:val="center"/>
            <w:hideMark/>
          </w:tcPr>
          <w:p w14:paraId="0AF3FEEB"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28,717,335 </w:t>
            </w:r>
          </w:p>
        </w:tc>
        <w:tc>
          <w:tcPr>
            <w:tcW w:w="574" w:type="pct"/>
            <w:tcBorders>
              <w:top w:val="nil"/>
              <w:left w:val="nil"/>
              <w:bottom w:val="single" w:sz="4" w:space="0" w:color="000000"/>
              <w:right w:val="nil"/>
            </w:tcBorders>
            <w:shd w:val="clear" w:color="auto" w:fill="auto"/>
            <w:noWrap/>
            <w:vAlign w:val="center"/>
            <w:hideMark/>
          </w:tcPr>
          <w:p w14:paraId="4D872263"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30,659,300 </w:t>
            </w:r>
          </w:p>
        </w:tc>
        <w:tc>
          <w:tcPr>
            <w:tcW w:w="574" w:type="pct"/>
            <w:tcBorders>
              <w:top w:val="nil"/>
              <w:left w:val="nil"/>
              <w:bottom w:val="single" w:sz="4" w:space="0" w:color="000000"/>
              <w:right w:val="nil"/>
            </w:tcBorders>
            <w:shd w:val="clear" w:color="auto" w:fill="auto"/>
            <w:noWrap/>
            <w:vAlign w:val="center"/>
            <w:hideMark/>
          </w:tcPr>
          <w:p w14:paraId="543EFF76" w14:textId="77777777" w:rsidR="00DC2A23" w:rsidRPr="00DC2A23" w:rsidRDefault="00DC2A23" w:rsidP="00DC2A23">
            <w:pPr>
              <w:spacing w:after="0" w:line="240" w:lineRule="auto"/>
              <w:jc w:val="right"/>
              <w:rPr>
                <w:rFonts w:ascii="Arial" w:hAnsi="Arial" w:cs="Arial"/>
                <w:b/>
                <w:bCs/>
                <w:color w:val="000000"/>
                <w:sz w:val="16"/>
                <w:szCs w:val="16"/>
              </w:rPr>
            </w:pPr>
            <w:r w:rsidRPr="00DC2A23">
              <w:rPr>
                <w:rFonts w:ascii="Arial" w:hAnsi="Arial" w:cs="Arial"/>
                <w:b/>
                <w:bCs/>
                <w:color w:val="000000"/>
                <w:sz w:val="16"/>
                <w:szCs w:val="16"/>
              </w:rPr>
              <w:t xml:space="preserve">32,652,513 </w:t>
            </w:r>
          </w:p>
        </w:tc>
      </w:tr>
    </w:tbl>
    <w:p w14:paraId="23991B34" w14:textId="7642D41F" w:rsidR="00247D37" w:rsidRDefault="00247D37" w:rsidP="00DE6613">
      <w:pPr>
        <w:spacing w:after="0"/>
        <w:rPr>
          <w:b/>
        </w:rPr>
      </w:pPr>
    </w:p>
    <w:p w14:paraId="21E0CD39" w14:textId="77777777" w:rsidR="00247D37" w:rsidRDefault="00247D37">
      <w:pPr>
        <w:spacing w:after="0" w:line="240" w:lineRule="auto"/>
        <w:jc w:val="left"/>
        <w:rPr>
          <w:b/>
        </w:rPr>
      </w:pPr>
      <w:r>
        <w:rPr>
          <w:b/>
        </w:rPr>
        <w:br w:type="page"/>
      </w:r>
    </w:p>
    <w:p w14:paraId="32A82BE0" w14:textId="74FF03D4" w:rsidR="006935EF" w:rsidRDefault="00190773" w:rsidP="00DC2A23">
      <w:pPr>
        <w:pStyle w:val="TableHeadingcontinued0"/>
        <w:spacing w:after="0"/>
        <w:rPr>
          <w:rFonts w:ascii="Times New Roman" w:hAnsi="Times New Roman"/>
          <w:b w:val="0"/>
          <w:lang w:val="en-AU"/>
        </w:rPr>
      </w:pPr>
      <w:r w:rsidRPr="00190773">
        <w:lastRenderedPageBreak/>
        <w:t>Table 2.1: Budgeted expenses for Outcome 1 (continue</w:t>
      </w:r>
      <w:r w:rsidR="00EC4677">
        <w:rPr>
          <w:lang w:val="en-AU"/>
        </w:rPr>
        <w:t>d</w:t>
      </w:r>
      <w:r w:rsidR="00E30774">
        <w:rPr>
          <w:lang w:val="en-AU"/>
        </w:rPr>
        <w:t>)</w:t>
      </w:r>
    </w:p>
    <w:tbl>
      <w:tblPr>
        <w:tblW w:w="5000" w:type="pct"/>
        <w:tblCellMar>
          <w:left w:w="0" w:type="dxa"/>
          <w:right w:w="28" w:type="dxa"/>
        </w:tblCellMar>
        <w:tblLook w:val="04A0" w:firstRow="1" w:lastRow="0" w:firstColumn="1" w:lastColumn="0" w:noHBand="0" w:noVBand="1"/>
      </w:tblPr>
      <w:tblGrid>
        <w:gridCol w:w="4915"/>
        <w:gridCol w:w="1324"/>
        <w:gridCol w:w="1325"/>
        <w:gridCol w:w="1325"/>
        <w:gridCol w:w="1325"/>
        <w:gridCol w:w="1325"/>
      </w:tblGrid>
      <w:tr w:rsidR="006935EF" w:rsidRPr="006935EF" w14:paraId="117CDA40" w14:textId="77777777" w:rsidTr="006935EF">
        <w:trPr>
          <w:trHeight w:hRule="exact" w:val="900"/>
        </w:trPr>
        <w:tc>
          <w:tcPr>
            <w:tcW w:w="2130" w:type="pct"/>
            <w:tcBorders>
              <w:top w:val="single" w:sz="4" w:space="0" w:color="auto"/>
              <w:left w:val="nil"/>
              <w:bottom w:val="single" w:sz="4" w:space="0" w:color="auto"/>
              <w:right w:val="nil"/>
            </w:tcBorders>
            <w:shd w:val="clear" w:color="auto" w:fill="auto"/>
            <w:vAlign w:val="center"/>
            <w:hideMark/>
          </w:tcPr>
          <w:p w14:paraId="00ECD4DA" w14:textId="0F1EFBA2" w:rsidR="006935EF" w:rsidRPr="006935EF" w:rsidRDefault="006935EF" w:rsidP="006935EF">
            <w:pPr>
              <w:spacing w:after="0" w:line="240" w:lineRule="auto"/>
              <w:jc w:val="left"/>
              <w:rPr>
                <w:rFonts w:ascii="Arial" w:hAnsi="Arial" w:cs="Arial"/>
                <w:b/>
                <w:bCs/>
                <w:color w:val="000000"/>
                <w:sz w:val="16"/>
                <w:szCs w:val="16"/>
              </w:rPr>
            </w:pPr>
            <w:r w:rsidRPr="006935EF">
              <w:rPr>
                <w:rFonts w:ascii="Arial" w:hAnsi="Arial" w:cs="Arial"/>
                <w:b/>
                <w:bCs/>
                <w:color w:val="000000"/>
                <w:sz w:val="16"/>
                <w:szCs w:val="16"/>
              </w:rPr>
              <w:t> </w:t>
            </w:r>
          </w:p>
        </w:tc>
        <w:tc>
          <w:tcPr>
            <w:tcW w:w="574" w:type="pct"/>
            <w:tcBorders>
              <w:top w:val="single" w:sz="4" w:space="0" w:color="auto"/>
              <w:left w:val="nil"/>
              <w:bottom w:val="single" w:sz="4" w:space="0" w:color="auto"/>
              <w:right w:val="nil"/>
            </w:tcBorders>
            <w:shd w:val="clear" w:color="auto" w:fill="auto"/>
            <w:hideMark/>
          </w:tcPr>
          <w:p w14:paraId="18AE5C3B" w14:textId="7B8DA2D8"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2021</w:t>
            </w:r>
            <w:r w:rsidR="00B33758">
              <w:rPr>
                <w:rFonts w:ascii="Arial" w:hAnsi="Arial" w:cs="Arial"/>
                <w:sz w:val="16"/>
                <w:szCs w:val="16"/>
              </w:rPr>
              <w:noBreakHyphen/>
            </w:r>
            <w:r w:rsidRPr="006935EF">
              <w:rPr>
                <w:rFonts w:ascii="Arial" w:hAnsi="Arial" w:cs="Arial"/>
                <w:sz w:val="16"/>
                <w:szCs w:val="16"/>
              </w:rPr>
              <w:t>22 Estimated actual</w:t>
            </w:r>
            <w:r w:rsidRPr="006935EF">
              <w:rPr>
                <w:rFonts w:ascii="Arial" w:hAnsi="Arial" w:cs="Arial"/>
                <w:sz w:val="16"/>
                <w:szCs w:val="16"/>
              </w:rPr>
              <w:br/>
              <w:t>$</w:t>
            </w:r>
            <w:r w:rsidR="00B33758">
              <w:rPr>
                <w:rFonts w:ascii="Arial" w:hAnsi="Arial" w:cs="Arial"/>
                <w:sz w:val="16"/>
                <w:szCs w:val="16"/>
              </w:rPr>
              <w:t>’</w:t>
            </w:r>
            <w:r w:rsidRPr="006935EF">
              <w:rPr>
                <w:rFonts w:ascii="Arial" w:hAnsi="Arial" w:cs="Arial"/>
                <w:sz w:val="16"/>
                <w:szCs w:val="16"/>
              </w:rPr>
              <w:t>000</w:t>
            </w:r>
          </w:p>
        </w:tc>
        <w:tc>
          <w:tcPr>
            <w:tcW w:w="574" w:type="pct"/>
            <w:tcBorders>
              <w:top w:val="single" w:sz="4" w:space="0" w:color="auto"/>
              <w:left w:val="nil"/>
              <w:bottom w:val="single" w:sz="4" w:space="0" w:color="auto"/>
              <w:right w:val="nil"/>
            </w:tcBorders>
            <w:shd w:val="clear" w:color="000000" w:fill="E6E6E6"/>
            <w:hideMark/>
          </w:tcPr>
          <w:p w14:paraId="7414FD47" w14:textId="27FC494E"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2022</w:t>
            </w:r>
            <w:r w:rsidR="00B33758">
              <w:rPr>
                <w:rFonts w:ascii="Arial" w:hAnsi="Arial" w:cs="Arial"/>
                <w:sz w:val="16"/>
                <w:szCs w:val="16"/>
              </w:rPr>
              <w:noBreakHyphen/>
            </w:r>
            <w:r w:rsidRPr="006935EF">
              <w:rPr>
                <w:rFonts w:ascii="Arial" w:hAnsi="Arial" w:cs="Arial"/>
                <w:sz w:val="16"/>
                <w:szCs w:val="16"/>
              </w:rPr>
              <w:t>23</w:t>
            </w:r>
            <w:r w:rsidRPr="006935EF">
              <w:rPr>
                <w:rFonts w:ascii="Arial" w:hAnsi="Arial" w:cs="Arial"/>
                <w:sz w:val="16"/>
                <w:szCs w:val="16"/>
              </w:rPr>
              <w:br/>
              <w:t>Budget</w:t>
            </w:r>
            <w:r w:rsidRPr="006935EF">
              <w:rPr>
                <w:rFonts w:ascii="Arial" w:hAnsi="Arial" w:cs="Arial"/>
                <w:sz w:val="16"/>
                <w:szCs w:val="16"/>
              </w:rPr>
              <w:br/>
              <w:t>$</w:t>
            </w:r>
            <w:r w:rsidR="00B33758">
              <w:rPr>
                <w:rFonts w:ascii="Arial" w:hAnsi="Arial" w:cs="Arial"/>
                <w:sz w:val="16"/>
                <w:szCs w:val="16"/>
              </w:rPr>
              <w:t>’</w:t>
            </w:r>
            <w:r w:rsidRPr="006935EF">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64457AD3" w14:textId="316651B5"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2023</w:t>
            </w:r>
            <w:r w:rsidR="00B33758">
              <w:rPr>
                <w:rFonts w:ascii="Arial" w:hAnsi="Arial" w:cs="Arial"/>
                <w:sz w:val="16"/>
                <w:szCs w:val="16"/>
              </w:rPr>
              <w:noBreakHyphen/>
            </w:r>
            <w:r w:rsidRPr="006935EF">
              <w:rPr>
                <w:rFonts w:ascii="Arial" w:hAnsi="Arial" w:cs="Arial"/>
                <w:sz w:val="16"/>
                <w:szCs w:val="16"/>
              </w:rPr>
              <w:t xml:space="preserve">24 </w:t>
            </w:r>
            <w:r w:rsidRPr="006935EF">
              <w:rPr>
                <w:rFonts w:ascii="Arial" w:hAnsi="Arial" w:cs="Arial"/>
                <w:sz w:val="16"/>
                <w:szCs w:val="16"/>
              </w:rPr>
              <w:br/>
              <w:t>Forward estimate</w:t>
            </w:r>
            <w:r w:rsidRPr="006935EF">
              <w:rPr>
                <w:rFonts w:ascii="Arial" w:hAnsi="Arial" w:cs="Arial"/>
                <w:sz w:val="16"/>
                <w:szCs w:val="16"/>
              </w:rPr>
              <w:br/>
              <w:t>$</w:t>
            </w:r>
            <w:r w:rsidR="00B33758">
              <w:rPr>
                <w:rFonts w:ascii="Arial" w:hAnsi="Arial" w:cs="Arial"/>
                <w:sz w:val="16"/>
                <w:szCs w:val="16"/>
              </w:rPr>
              <w:t>’</w:t>
            </w:r>
            <w:r w:rsidRPr="006935EF">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5885D3C8" w14:textId="286B9648"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2024</w:t>
            </w:r>
            <w:r w:rsidR="00B33758">
              <w:rPr>
                <w:rFonts w:ascii="Arial" w:hAnsi="Arial" w:cs="Arial"/>
                <w:sz w:val="16"/>
                <w:szCs w:val="16"/>
              </w:rPr>
              <w:noBreakHyphen/>
            </w:r>
            <w:r w:rsidRPr="006935EF">
              <w:rPr>
                <w:rFonts w:ascii="Arial" w:hAnsi="Arial" w:cs="Arial"/>
                <w:sz w:val="16"/>
                <w:szCs w:val="16"/>
              </w:rPr>
              <w:t xml:space="preserve">25 </w:t>
            </w:r>
            <w:r w:rsidRPr="006935EF">
              <w:rPr>
                <w:rFonts w:ascii="Arial" w:hAnsi="Arial" w:cs="Arial"/>
                <w:sz w:val="16"/>
                <w:szCs w:val="16"/>
              </w:rPr>
              <w:br/>
              <w:t>Forward estimate</w:t>
            </w:r>
            <w:r w:rsidRPr="006935EF">
              <w:rPr>
                <w:rFonts w:ascii="Arial" w:hAnsi="Arial" w:cs="Arial"/>
                <w:sz w:val="16"/>
                <w:szCs w:val="16"/>
              </w:rPr>
              <w:br/>
              <w:t>$</w:t>
            </w:r>
            <w:r w:rsidR="00B33758">
              <w:rPr>
                <w:rFonts w:ascii="Arial" w:hAnsi="Arial" w:cs="Arial"/>
                <w:sz w:val="16"/>
                <w:szCs w:val="16"/>
              </w:rPr>
              <w:t>’</w:t>
            </w:r>
            <w:r w:rsidRPr="006935EF">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211A8569" w14:textId="07E1B472"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2025</w:t>
            </w:r>
            <w:r w:rsidR="00B33758">
              <w:rPr>
                <w:rFonts w:ascii="Arial" w:hAnsi="Arial" w:cs="Arial"/>
                <w:sz w:val="16"/>
                <w:szCs w:val="16"/>
              </w:rPr>
              <w:noBreakHyphen/>
            </w:r>
            <w:r w:rsidRPr="006935EF">
              <w:rPr>
                <w:rFonts w:ascii="Arial" w:hAnsi="Arial" w:cs="Arial"/>
                <w:sz w:val="16"/>
                <w:szCs w:val="16"/>
              </w:rPr>
              <w:t>26</w:t>
            </w:r>
            <w:r w:rsidRPr="006935EF">
              <w:rPr>
                <w:rFonts w:ascii="Arial" w:hAnsi="Arial" w:cs="Arial"/>
                <w:sz w:val="16"/>
                <w:szCs w:val="16"/>
              </w:rPr>
              <w:br/>
              <w:t>Forward estimate</w:t>
            </w:r>
            <w:r w:rsidRPr="006935EF">
              <w:rPr>
                <w:rFonts w:ascii="Arial" w:hAnsi="Arial" w:cs="Arial"/>
                <w:sz w:val="16"/>
                <w:szCs w:val="16"/>
              </w:rPr>
              <w:br/>
              <w:t>$</w:t>
            </w:r>
            <w:r w:rsidR="00B33758">
              <w:rPr>
                <w:rFonts w:ascii="Arial" w:hAnsi="Arial" w:cs="Arial"/>
                <w:sz w:val="16"/>
                <w:szCs w:val="16"/>
              </w:rPr>
              <w:t>’</w:t>
            </w:r>
            <w:r w:rsidRPr="006935EF">
              <w:rPr>
                <w:rFonts w:ascii="Arial" w:hAnsi="Arial" w:cs="Arial"/>
                <w:sz w:val="16"/>
                <w:szCs w:val="16"/>
              </w:rPr>
              <w:t>000</w:t>
            </w:r>
          </w:p>
        </w:tc>
      </w:tr>
      <w:tr w:rsidR="006935EF" w:rsidRPr="006935EF" w14:paraId="1D44D81A" w14:textId="77777777" w:rsidTr="006935EF">
        <w:trPr>
          <w:trHeight w:hRule="exact" w:val="225"/>
        </w:trPr>
        <w:tc>
          <w:tcPr>
            <w:tcW w:w="3278" w:type="pct"/>
            <w:gridSpan w:val="3"/>
            <w:tcBorders>
              <w:top w:val="nil"/>
              <w:left w:val="nil"/>
              <w:bottom w:val="single" w:sz="4" w:space="0" w:color="auto"/>
              <w:right w:val="nil"/>
            </w:tcBorders>
            <w:shd w:val="clear" w:color="000000" w:fill="E6E6E6"/>
            <w:noWrap/>
            <w:vAlign w:val="center"/>
            <w:hideMark/>
          </w:tcPr>
          <w:p w14:paraId="7DCD7933" w14:textId="77777777" w:rsidR="006935EF" w:rsidRPr="006935EF" w:rsidRDefault="006935EF" w:rsidP="006935EF">
            <w:pPr>
              <w:spacing w:after="0" w:line="240" w:lineRule="auto"/>
              <w:jc w:val="left"/>
              <w:rPr>
                <w:rFonts w:ascii="Arial" w:hAnsi="Arial" w:cs="Arial"/>
                <w:b/>
                <w:bCs/>
                <w:sz w:val="16"/>
                <w:szCs w:val="16"/>
              </w:rPr>
            </w:pPr>
            <w:r w:rsidRPr="006935EF">
              <w:rPr>
                <w:rFonts w:ascii="Arial" w:hAnsi="Arial" w:cs="Arial"/>
                <w:b/>
                <w:bCs/>
                <w:sz w:val="16"/>
                <w:szCs w:val="16"/>
              </w:rPr>
              <w:t>Program 1.6: Assistance to the States for Skills and Workforce Development</w:t>
            </w:r>
          </w:p>
        </w:tc>
        <w:tc>
          <w:tcPr>
            <w:tcW w:w="574" w:type="pct"/>
            <w:tcBorders>
              <w:top w:val="nil"/>
              <w:left w:val="nil"/>
              <w:bottom w:val="single" w:sz="4" w:space="0" w:color="auto"/>
              <w:right w:val="nil"/>
            </w:tcBorders>
            <w:shd w:val="clear" w:color="000000" w:fill="E6E6E6"/>
            <w:vAlign w:val="center"/>
            <w:hideMark/>
          </w:tcPr>
          <w:p w14:paraId="4EAFA352" w14:textId="77777777" w:rsidR="006935EF" w:rsidRPr="006935EF" w:rsidRDefault="006935EF" w:rsidP="006935EF">
            <w:pPr>
              <w:spacing w:after="0" w:line="240" w:lineRule="auto"/>
              <w:jc w:val="left"/>
              <w:rPr>
                <w:rFonts w:ascii="Arial" w:hAnsi="Arial" w:cs="Arial"/>
                <w:b/>
                <w:bCs/>
                <w:sz w:val="16"/>
                <w:szCs w:val="16"/>
              </w:rPr>
            </w:pPr>
            <w:r w:rsidRPr="006935EF">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43195C20" w14:textId="77777777" w:rsidR="006935EF" w:rsidRPr="006935EF" w:rsidRDefault="006935EF" w:rsidP="006935EF">
            <w:pPr>
              <w:spacing w:after="0" w:line="240" w:lineRule="auto"/>
              <w:jc w:val="left"/>
              <w:rPr>
                <w:rFonts w:ascii="Arial" w:hAnsi="Arial" w:cs="Arial"/>
                <w:b/>
                <w:bCs/>
                <w:sz w:val="16"/>
                <w:szCs w:val="16"/>
              </w:rPr>
            </w:pPr>
            <w:r w:rsidRPr="006935EF">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3EF02193" w14:textId="77777777" w:rsidR="006935EF" w:rsidRPr="006935EF" w:rsidRDefault="006935EF" w:rsidP="006935EF">
            <w:pPr>
              <w:spacing w:after="0" w:line="240" w:lineRule="auto"/>
              <w:jc w:val="left"/>
              <w:rPr>
                <w:rFonts w:ascii="Arial" w:hAnsi="Arial" w:cs="Arial"/>
                <w:b/>
                <w:bCs/>
                <w:sz w:val="16"/>
                <w:szCs w:val="16"/>
              </w:rPr>
            </w:pPr>
            <w:r w:rsidRPr="006935EF">
              <w:rPr>
                <w:rFonts w:ascii="Arial" w:hAnsi="Arial" w:cs="Arial"/>
                <w:b/>
                <w:bCs/>
                <w:sz w:val="16"/>
                <w:szCs w:val="16"/>
              </w:rPr>
              <w:t> </w:t>
            </w:r>
          </w:p>
        </w:tc>
      </w:tr>
      <w:tr w:rsidR="006935EF" w:rsidRPr="006935EF" w14:paraId="09C6FE2C" w14:textId="77777777" w:rsidTr="006935EF">
        <w:trPr>
          <w:trHeight w:hRule="exact" w:val="235"/>
        </w:trPr>
        <w:tc>
          <w:tcPr>
            <w:tcW w:w="2130" w:type="pct"/>
            <w:tcBorders>
              <w:top w:val="nil"/>
              <w:left w:val="nil"/>
              <w:bottom w:val="nil"/>
              <w:right w:val="nil"/>
            </w:tcBorders>
            <w:shd w:val="clear" w:color="auto" w:fill="auto"/>
            <w:noWrap/>
            <w:vAlign w:val="center"/>
            <w:hideMark/>
          </w:tcPr>
          <w:p w14:paraId="75230CCC" w14:textId="77777777" w:rsidR="006935EF" w:rsidRPr="006935EF" w:rsidRDefault="006935EF" w:rsidP="006935EF">
            <w:pPr>
              <w:spacing w:after="0" w:line="240" w:lineRule="auto"/>
              <w:jc w:val="left"/>
              <w:rPr>
                <w:rFonts w:ascii="Arial" w:hAnsi="Arial" w:cs="Arial"/>
                <w:sz w:val="16"/>
                <w:szCs w:val="16"/>
              </w:rPr>
            </w:pPr>
            <w:r w:rsidRPr="006935EF">
              <w:rPr>
                <w:rFonts w:ascii="Arial" w:hAnsi="Arial" w:cs="Arial"/>
                <w:sz w:val="16"/>
                <w:szCs w:val="16"/>
              </w:rPr>
              <w:t>Administered expenses</w:t>
            </w:r>
          </w:p>
        </w:tc>
        <w:tc>
          <w:tcPr>
            <w:tcW w:w="574" w:type="pct"/>
            <w:tcBorders>
              <w:top w:val="nil"/>
              <w:left w:val="nil"/>
              <w:bottom w:val="nil"/>
              <w:right w:val="nil"/>
            </w:tcBorders>
            <w:shd w:val="clear" w:color="auto" w:fill="auto"/>
            <w:noWrap/>
            <w:vAlign w:val="center"/>
            <w:hideMark/>
          </w:tcPr>
          <w:p w14:paraId="5CAEE685" w14:textId="77777777" w:rsidR="006935EF" w:rsidRPr="006935EF" w:rsidRDefault="006935EF" w:rsidP="006935EF">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3CCE5242"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523694ED" w14:textId="77777777" w:rsidR="006935EF" w:rsidRPr="006935EF" w:rsidRDefault="006935EF" w:rsidP="006935EF">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12FC37F8" w14:textId="77777777" w:rsidR="006935EF" w:rsidRPr="006935EF" w:rsidRDefault="006935EF" w:rsidP="006935EF">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70FBDFD6" w14:textId="77777777" w:rsidR="006935EF" w:rsidRPr="006935EF" w:rsidRDefault="006935EF" w:rsidP="006935EF">
            <w:pPr>
              <w:spacing w:after="0" w:line="240" w:lineRule="auto"/>
              <w:jc w:val="left"/>
              <w:rPr>
                <w:rFonts w:ascii="Times New Roman" w:hAnsi="Times New Roman"/>
              </w:rPr>
            </w:pPr>
          </w:p>
        </w:tc>
      </w:tr>
      <w:tr w:rsidR="006935EF" w:rsidRPr="006935EF" w14:paraId="2A32FACA" w14:textId="77777777" w:rsidTr="006935EF">
        <w:trPr>
          <w:trHeight w:hRule="exact" w:val="225"/>
        </w:trPr>
        <w:tc>
          <w:tcPr>
            <w:tcW w:w="2130" w:type="pct"/>
            <w:tcBorders>
              <w:top w:val="nil"/>
              <w:left w:val="nil"/>
              <w:bottom w:val="nil"/>
              <w:right w:val="nil"/>
            </w:tcBorders>
            <w:shd w:val="clear" w:color="000000" w:fill="FFFFFF"/>
            <w:vAlign w:val="center"/>
            <w:hideMark/>
          </w:tcPr>
          <w:p w14:paraId="321180FA" w14:textId="77777777" w:rsidR="006935EF" w:rsidRPr="006935EF" w:rsidRDefault="006935EF" w:rsidP="006935EF">
            <w:pPr>
              <w:spacing w:after="0" w:line="240" w:lineRule="auto"/>
              <w:ind w:left="170"/>
              <w:jc w:val="left"/>
              <w:rPr>
                <w:rFonts w:ascii="Arial" w:hAnsi="Arial" w:cs="Arial"/>
                <w:sz w:val="16"/>
                <w:szCs w:val="16"/>
              </w:rPr>
            </w:pPr>
            <w:r w:rsidRPr="006935EF">
              <w:rPr>
                <w:rFonts w:ascii="Arial" w:hAnsi="Arial" w:cs="Arial"/>
                <w:sz w:val="16"/>
                <w:szCs w:val="16"/>
              </w:rPr>
              <w:t>Special appropriations</w:t>
            </w:r>
          </w:p>
        </w:tc>
        <w:tc>
          <w:tcPr>
            <w:tcW w:w="574" w:type="pct"/>
            <w:tcBorders>
              <w:top w:val="nil"/>
              <w:left w:val="nil"/>
              <w:bottom w:val="nil"/>
              <w:right w:val="nil"/>
            </w:tcBorders>
            <w:shd w:val="clear" w:color="auto" w:fill="auto"/>
            <w:noWrap/>
            <w:vAlign w:val="center"/>
            <w:hideMark/>
          </w:tcPr>
          <w:p w14:paraId="648DC9FD" w14:textId="77777777" w:rsidR="006935EF" w:rsidRPr="006935EF" w:rsidRDefault="006935EF" w:rsidP="006935EF">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2E8AE094"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20D6564C" w14:textId="77777777" w:rsidR="006935EF" w:rsidRPr="006935EF" w:rsidRDefault="006935EF" w:rsidP="006935EF">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59B974DA" w14:textId="77777777" w:rsidR="006935EF" w:rsidRPr="006935EF" w:rsidRDefault="006935EF" w:rsidP="006935EF">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3AC4C7D5" w14:textId="77777777" w:rsidR="006935EF" w:rsidRPr="006935EF" w:rsidRDefault="006935EF" w:rsidP="006935EF">
            <w:pPr>
              <w:spacing w:after="0" w:line="240" w:lineRule="auto"/>
              <w:jc w:val="right"/>
              <w:rPr>
                <w:rFonts w:ascii="Times New Roman" w:hAnsi="Times New Roman"/>
              </w:rPr>
            </w:pPr>
          </w:p>
        </w:tc>
      </w:tr>
      <w:tr w:rsidR="006935EF" w:rsidRPr="006935EF" w14:paraId="3C03E610" w14:textId="77777777" w:rsidTr="006935EF">
        <w:trPr>
          <w:trHeight w:hRule="exact" w:val="225"/>
        </w:trPr>
        <w:tc>
          <w:tcPr>
            <w:tcW w:w="2130" w:type="pct"/>
            <w:tcBorders>
              <w:top w:val="nil"/>
              <w:left w:val="nil"/>
              <w:bottom w:val="nil"/>
              <w:right w:val="nil"/>
            </w:tcBorders>
            <w:shd w:val="clear" w:color="000000" w:fill="FFFFFF"/>
            <w:vAlign w:val="center"/>
            <w:hideMark/>
          </w:tcPr>
          <w:p w14:paraId="00CBEB02" w14:textId="7C07B715" w:rsidR="006935EF" w:rsidRPr="006935EF" w:rsidRDefault="006935EF" w:rsidP="006935EF">
            <w:pPr>
              <w:spacing w:after="0" w:line="240" w:lineRule="auto"/>
              <w:ind w:left="340"/>
              <w:jc w:val="left"/>
              <w:rPr>
                <w:rFonts w:ascii="Arial" w:hAnsi="Arial" w:cs="Arial"/>
                <w:sz w:val="16"/>
                <w:szCs w:val="16"/>
              </w:rPr>
            </w:pPr>
            <w:r w:rsidRPr="006935EF">
              <w:rPr>
                <w:rFonts w:ascii="Arial" w:hAnsi="Arial" w:cs="Arial"/>
                <w:sz w:val="16"/>
                <w:szCs w:val="16"/>
              </w:rPr>
              <w:t>National Skills and Workforce Development SPP</w:t>
            </w:r>
            <w:r w:rsidR="00B33758">
              <w:rPr>
                <w:rFonts w:ascii="Arial" w:hAnsi="Arial" w:cs="Arial"/>
                <w:sz w:val="16"/>
                <w:szCs w:val="16"/>
              </w:rPr>
              <w:t xml:space="preserve"> – </w:t>
            </w:r>
          </w:p>
        </w:tc>
        <w:tc>
          <w:tcPr>
            <w:tcW w:w="574" w:type="pct"/>
            <w:tcBorders>
              <w:top w:val="nil"/>
              <w:left w:val="nil"/>
              <w:bottom w:val="nil"/>
              <w:right w:val="nil"/>
            </w:tcBorders>
            <w:shd w:val="clear" w:color="auto" w:fill="auto"/>
            <w:noWrap/>
            <w:vAlign w:val="center"/>
            <w:hideMark/>
          </w:tcPr>
          <w:p w14:paraId="2A03541D" w14:textId="77777777" w:rsidR="006935EF" w:rsidRPr="006935EF" w:rsidRDefault="006935EF" w:rsidP="006935EF">
            <w:pPr>
              <w:spacing w:after="0" w:line="240" w:lineRule="auto"/>
              <w:ind w:firstLineChars="200" w:firstLine="32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5CBEB2B4"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1ADA8463" w14:textId="77777777" w:rsidR="006935EF" w:rsidRPr="006935EF" w:rsidRDefault="006935EF" w:rsidP="006935EF">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4C1595CB" w14:textId="77777777" w:rsidR="006935EF" w:rsidRPr="006935EF" w:rsidRDefault="006935EF" w:rsidP="006935EF">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73205FB0" w14:textId="77777777" w:rsidR="006935EF" w:rsidRPr="006935EF" w:rsidRDefault="006935EF" w:rsidP="006935EF">
            <w:pPr>
              <w:spacing w:after="0" w:line="240" w:lineRule="auto"/>
              <w:jc w:val="left"/>
              <w:rPr>
                <w:rFonts w:ascii="Times New Roman" w:hAnsi="Times New Roman"/>
              </w:rPr>
            </w:pPr>
          </w:p>
        </w:tc>
      </w:tr>
      <w:tr w:rsidR="006935EF" w:rsidRPr="006935EF" w14:paraId="42287268" w14:textId="77777777" w:rsidTr="006935EF">
        <w:trPr>
          <w:trHeight w:hRule="exact" w:val="235"/>
        </w:trPr>
        <w:tc>
          <w:tcPr>
            <w:tcW w:w="2130" w:type="pct"/>
            <w:tcBorders>
              <w:top w:val="nil"/>
              <w:left w:val="nil"/>
              <w:bottom w:val="nil"/>
              <w:right w:val="nil"/>
            </w:tcBorders>
            <w:shd w:val="clear" w:color="000000" w:fill="FFFFFF"/>
            <w:vAlign w:val="center"/>
            <w:hideMark/>
          </w:tcPr>
          <w:p w14:paraId="7C9DC8DA" w14:textId="77777777" w:rsidR="006935EF" w:rsidRPr="006935EF" w:rsidRDefault="006935EF" w:rsidP="006935EF">
            <w:pPr>
              <w:spacing w:after="0" w:line="240" w:lineRule="auto"/>
              <w:ind w:left="510"/>
              <w:jc w:val="left"/>
              <w:rPr>
                <w:rFonts w:ascii="Arial" w:hAnsi="Arial" w:cs="Arial"/>
                <w:i/>
                <w:iCs/>
                <w:sz w:val="16"/>
                <w:szCs w:val="16"/>
              </w:rPr>
            </w:pPr>
            <w:r w:rsidRPr="006935EF">
              <w:rPr>
                <w:rFonts w:ascii="Arial" w:hAnsi="Arial" w:cs="Arial"/>
                <w:i/>
                <w:iCs/>
                <w:sz w:val="16"/>
                <w:szCs w:val="16"/>
              </w:rPr>
              <w:t>Federal Financial Relations Act 2009</w:t>
            </w:r>
          </w:p>
        </w:tc>
        <w:tc>
          <w:tcPr>
            <w:tcW w:w="574" w:type="pct"/>
            <w:tcBorders>
              <w:top w:val="nil"/>
              <w:left w:val="nil"/>
              <w:bottom w:val="nil"/>
              <w:right w:val="nil"/>
            </w:tcBorders>
            <w:shd w:val="clear" w:color="auto" w:fill="auto"/>
            <w:noWrap/>
            <w:vAlign w:val="center"/>
            <w:hideMark/>
          </w:tcPr>
          <w:p w14:paraId="4C2F599E" w14:textId="77777777" w:rsidR="006935EF" w:rsidRPr="006935EF" w:rsidRDefault="006935EF" w:rsidP="006935EF">
            <w:pPr>
              <w:spacing w:after="0" w:line="240" w:lineRule="auto"/>
              <w:jc w:val="right"/>
              <w:rPr>
                <w:rFonts w:ascii="Arial" w:hAnsi="Arial" w:cs="Arial"/>
                <w:color w:val="000000"/>
                <w:sz w:val="16"/>
                <w:szCs w:val="16"/>
              </w:rPr>
            </w:pPr>
            <w:r w:rsidRPr="006935EF">
              <w:rPr>
                <w:rFonts w:ascii="Arial" w:hAnsi="Arial" w:cs="Arial"/>
                <w:color w:val="000000"/>
                <w:sz w:val="16"/>
                <w:szCs w:val="16"/>
              </w:rPr>
              <w:t xml:space="preserve">1,577,500 </w:t>
            </w:r>
          </w:p>
        </w:tc>
        <w:tc>
          <w:tcPr>
            <w:tcW w:w="574" w:type="pct"/>
            <w:tcBorders>
              <w:top w:val="nil"/>
              <w:left w:val="nil"/>
              <w:bottom w:val="nil"/>
              <w:right w:val="nil"/>
            </w:tcBorders>
            <w:shd w:val="clear" w:color="000000" w:fill="E6E6E6"/>
            <w:noWrap/>
            <w:vAlign w:val="center"/>
            <w:hideMark/>
          </w:tcPr>
          <w:p w14:paraId="4F8DD724"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xml:space="preserve">1,605,737 </w:t>
            </w:r>
          </w:p>
        </w:tc>
        <w:tc>
          <w:tcPr>
            <w:tcW w:w="574" w:type="pct"/>
            <w:tcBorders>
              <w:top w:val="nil"/>
              <w:left w:val="nil"/>
              <w:bottom w:val="nil"/>
              <w:right w:val="nil"/>
            </w:tcBorders>
            <w:shd w:val="clear" w:color="auto" w:fill="auto"/>
            <w:noWrap/>
            <w:vAlign w:val="center"/>
            <w:hideMark/>
          </w:tcPr>
          <w:p w14:paraId="0F836AA1"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xml:space="preserve">1,630,546 </w:t>
            </w:r>
          </w:p>
        </w:tc>
        <w:tc>
          <w:tcPr>
            <w:tcW w:w="574" w:type="pct"/>
            <w:tcBorders>
              <w:top w:val="nil"/>
              <w:left w:val="nil"/>
              <w:bottom w:val="nil"/>
              <w:right w:val="nil"/>
            </w:tcBorders>
            <w:shd w:val="clear" w:color="auto" w:fill="auto"/>
            <w:noWrap/>
            <w:vAlign w:val="center"/>
            <w:hideMark/>
          </w:tcPr>
          <w:p w14:paraId="3F9E6134"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xml:space="preserve">1,657,858 </w:t>
            </w:r>
          </w:p>
        </w:tc>
        <w:tc>
          <w:tcPr>
            <w:tcW w:w="574" w:type="pct"/>
            <w:tcBorders>
              <w:top w:val="nil"/>
              <w:left w:val="nil"/>
              <w:bottom w:val="nil"/>
              <w:right w:val="nil"/>
            </w:tcBorders>
            <w:shd w:val="clear" w:color="auto" w:fill="auto"/>
            <w:noWrap/>
            <w:vAlign w:val="center"/>
            <w:hideMark/>
          </w:tcPr>
          <w:p w14:paraId="3A03E301"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xml:space="preserve">1,683,969 </w:t>
            </w:r>
          </w:p>
        </w:tc>
      </w:tr>
      <w:tr w:rsidR="006935EF" w:rsidRPr="006935EF" w14:paraId="6E1FC5AA" w14:textId="77777777" w:rsidTr="006935EF">
        <w:trPr>
          <w:trHeight w:hRule="exact" w:val="235"/>
        </w:trPr>
        <w:tc>
          <w:tcPr>
            <w:tcW w:w="2130" w:type="pct"/>
            <w:tcBorders>
              <w:top w:val="nil"/>
              <w:left w:val="nil"/>
              <w:bottom w:val="nil"/>
              <w:right w:val="nil"/>
            </w:tcBorders>
            <w:shd w:val="clear" w:color="auto" w:fill="auto"/>
            <w:vAlign w:val="center"/>
            <w:hideMark/>
          </w:tcPr>
          <w:p w14:paraId="24B9DFD7" w14:textId="77777777" w:rsidR="006935EF" w:rsidRPr="006935EF" w:rsidRDefault="006935EF" w:rsidP="006935EF">
            <w:pPr>
              <w:spacing w:after="0" w:line="240" w:lineRule="auto"/>
              <w:jc w:val="right"/>
              <w:rPr>
                <w:rFonts w:ascii="Arial" w:hAnsi="Arial" w:cs="Arial"/>
                <w:b/>
                <w:bCs/>
                <w:sz w:val="16"/>
                <w:szCs w:val="16"/>
              </w:rPr>
            </w:pPr>
            <w:r w:rsidRPr="006935EF">
              <w:rPr>
                <w:rFonts w:ascii="Arial" w:hAnsi="Arial" w:cs="Arial"/>
                <w:b/>
                <w:bCs/>
                <w:sz w:val="16"/>
                <w:szCs w:val="16"/>
              </w:rPr>
              <w:t>Administered total</w:t>
            </w:r>
          </w:p>
        </w:tc>
        <w:tc>
          <w:tcPr>
            <w:tcW w:w="574" w:type="pct"/>
            <w:tcBorders>
              <w:top w:val="single" w:sz="4" w:space="0" w:color="auto"/>
              <w:left w:val="nil"/>
              <w:bottom w:val="single" w:sz="4" w:space="0" w:color="auto"/>
              <w:right w:val="nil"/>
            </w:tcBorders>
            <w:shd w:val="clear" w:color="auto" w:fill="auto"/>
            <w:noWrap/>
            <w:vAlign w:val="center"/>
            <w:hideMark/>
          </w:tcPr>
          <w:p w14:paraId="09CD0FB4"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1,577,500 </w:t>
            </w:r>
          </w:p>
        </w:tc>
        <w:tc>
          <w:tcPr>
            <w:tcW w:w="574" w:type="pct"/>
            <w:tcBorders>
              <w:top w:val="single" w:sz="4" w:space="0" w:color="auto"/>
              <w:left w:val="nil"/>
              <w:bottom w:val="single" w:sz="4" w:space="0" w:color="auto"/>
              <w:right w:val="nil"/>
            </w:tcBorders>
            <w:shd w:val="clear" w:color="000000" w:fill="E6E6E6"/>
            <w:noWrap/>
            <w:vAlign w:val="center"/>
            <w:hideMark/>
          </w:tcPr>
          <w:p w14:paraId="1AE022A4" w14:textId="77777777" w:rsidR="006935EF" w:rsidRPr="006935EF" w:rsidRDefault="006935EF" w:rsidP="006935EF">
            <w:pPr>
              <w:spacing w:after="0" w:line="240" w:lineRule="auto"/>
              <w:jc w:val="right"/>
              <w:rPr>
                <w:rFonts w:ascii="Arial" w:hAnsi="Arial" w:cs="Arial"/>
                <w:b/>
                <w:bCs/>
                <w:sz w:val="16"/>
                <w:szCs w:val="16"/>
              </w:rPr>
            </w:pPr>
            <w:r w:rsidRPr="006935EF">
              <w:rPr>
                <w:rFonts w:ascii="Arial" w:hAnsi="Arial" w:cs="Arial"/>
                <w:b/>
                <w:bCs/>
                <w:sz w:val="16"/>
                <w:szCs w:val="16"/>
              </w:rPr>
              <w:t xml:space="preserve">1,605,737 </w:t>
            </w:r>
          </w:p>
        </w:tc>
        <w:tc>
          <w:tcPr>
            <w:tcW w:w="574" w:type="pct"/>
            <w:tcBorders>
              <w:top w:val="single" w:sz="4" w:space="0" w:color="auto"/>
              <w:left w:val="nil"/>
              <w:bottom w:val="single" w:sz="4" w:space="0" w:color="auto"/>
              <w:right w:val="nil"/>
            </w:tcBorders>
            <w:shd w:val="clear" w:color="auto" w:fill="auto"/>
            <w:noWrap/>
            <w:vAlign w:val="center"/>
            <w:hideMark/>
          </w:tcPr>
          <w:p w14:paraId="239DB48A"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1,630,546 </w:t>
            </w:r>
          </w:p>
        </w:tc>
        <w:tc>
          <w:tcPr>
            <w:tcW w:w="574" w:type="pct"/>
            <w:tcBorders>
              <w:top w:val="single" w:sz="4" w:space="0" w:color="auto"/>
              <w:left w:val="nil"/>
              <w:bottom w:val="single" w:sz="4" w:space="0" w:color="auto"/>
              <w:right w:val="nil"/>
            </w:tcBorders>
            <w:shd w:val="clear" w:color="auto" w:fill="auto"/>
            <w:noWrap/>
            <w:vAlign w:val="center"/>
            <w:hideMark/>
          </w:tcPr>
          <w:p w14:paraId="7423C621"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1,657,858 </w:t>
            </w:r>
          </w:p>
        </w:tc>
        <w:tc>
          <w:tcPr>
            <w:tcW w:w="574" w:type="pct"/>
            <w:tcBorders>
              <w:top w:val="single" w:sz="4" w:space="0" w:color="auto"/>
              <w:left w:val="nil"/>
              <w:bottom w:val="single" w:sz="4" w:space="0" w:color="auto"/>
              <w:right w:val="nil"/>
            </w:tcBorders>
            <w:shd w:val="clear" w:color="auto" w:fill="auto"/>
            <w:noWrap/>
            <w:vAlign w:val="center"/>
            <w:hideMark/>
          </w:tcPr>
          <w:p w14:paraId="1B74E271"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1,683,969 </w:t>
            </w:r>
          </w:p>
        </w:tc>
      </w:tr>
      <w:tr w:rsidR="006935EF" w:rsidRPr="006935EF" w14:paraId="55B0B619" w14:textId="77777777" w:rsidTr="006935EF">
        <w:trPr>
          <w:trHeight w:hRule="exact" w:val="235"/>
        </w:trPr>
        <w:tc>
          <w:tcPr>
            <w:tcW w:w="2130" w:type="pct"/>
            <w:tcBorders>
              <w:top w:val="nil"/>
              <w:left w:val="nil"/>
              <w:bottom w:val="single" w:sz="4" w:space="0" w:color="auto"/>
              <w:right w:val="nil"/>
            </w:tcBorders>
            <w:shd w:val="clear" w:color="auto" w:fill="auto"/>
            <w:noWrap/>
            <w:vAlign w:val="center"/>
            <w:hideMark/>
          </w:tcPr>
          <w:p w14:paraId="53EF08F0" w14:textId="77777777" w:rsidR="006935EF" w:rsidRPr="006935EF" w:rsidRDefault="006935EF" w:rsidP="006935EF">
            <w:pPr>
              <w:spacing w:after="0" w:line="240" w:lineRule="auto"/>
              <w:jc w:val="left"/>
              <w:rPr>
                <w:rFonts w:ascii="Arial" w:hAnsi="Arial" w:cs="Arial"/>
                <w:b/>
                <w:bCs/>
                <w:color w:val="000000"/>
                <w:sz w:val="16"/>
                <w:szCs w:val="16"/>
              </w:rPr>
            </w:pPr>
            <w:r w:rsidRPr="006935EF">
              <w:rPr>
                <w:rFonts w:ascii="Arial" w:hAnsi="Arial" w:cs="Arial"/>
                <w:b/>
                <w:bCs/>
                <w:color w:val="000000"/>
                <w:sz w:val="16"/>
                <w:szCs w:val="16"/>
              </w:rPr>
              <w:t>Total expenses for program 1.6</w:t>
            </w:r>
          </w:p>
        </w:tc>
        <w:tc>
          <w:tcPr>
            <w:tcW w:w="574" w:type="pct"/>
            <w:tcBorders>
              <w:top w:val="nil"/>
              <w:left w:val="nil"/>
              <w:bottom w:val="single" w:sz="4" w:space="0" w:color="auto"/>
              <w:right w:val="nil"/>
            </w:tcBorders>
            <w:shd w:val="clear" w:color="auto" w:fill="auto"/>
            <w:noWrap/>
            <w:vAlign w:val="center"/>
            <w:hideMark/>
          </w:tcPr>
          <w:p w14:paraId="1436B489"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1,577,500 </w:t>
            </w:r>
          </w:p>
        </w:tc>
        <w:tc>
          <w:tcPr>
            <w:tcW w:w="574" w:type="pct"/>
            <w:tcBorders>
              <w:top w:val="nil"/>
              <w:left w:val="nil"/>
              <w:bottom w:val="single" w:sz="4" w:space="0" w:color="auto"/>
              <w:right w:val="nil"/>
            </w:tcBorders>
            <w:shd w:val="clear" w:color="000000" w:fill="E6E6E6"/>
            <w:noWrap/>
            <w:vAlign w:val="center"/>
            <w:hideMark/>
          </w:tcPr>
          <w:p w14:paraId="11B89AFA" w14:textId="77777777" w:rsidR="006935EF" w:rsidRPr="006935EF" w:rsidRDefault="006935EF" w:rsidP="006935EF">
            <w:pPr>
              <w:spacing w:after="0" w:line="240" w:lineRule="auto"/>
              <w:jc w:val="right"/>
              <w:rPr>
                <w:rFonts w:ascii="Arial" w:hAnsi="Arial" w:cs="Arial"/>
                <w:b/>
                <w:bCs/>
                <w:sz w:val="16"/>
                <w:szCs w:val="16"/>
              </w:rPr>
            </w:pPr>
            <w:r w:rsidRPr="006935EF">
              <w:rPr>
                <w:rFonts w:ascii="Arial" w:hAnsi="Arial" w:cs="Arial"/>
                <w:b/>
                <w:bCs/>
                <w:sz w:val="16"/>
                <w:szCs w:val="16"/>
              </w:rPr>
              <w:t xml:space="preserve">1,605,737 </w:t>
            </w:r>
          </w:p>
        </w:tc>
        <w:tc>
          <w:tcPr>
            <w:tcW w:w="574" w:type="pct"/>
            <w:tcBorders>
              <w:top w:val="nil"/>
              <w:left w:val="nil"/>
              <w:bottom w:val="single" w:sz="4" w:space="0" w:color="auto"/>
              <w:right w:val="nil"/>
            </w:tcBorders>
            <w:shd w:val="clear" w:color="auto" w:fill="auto"/>
            <w:noWrap/>
            <w:vAlign w:val="center"/>
            <w:hideMark/>
          </w:tcPr>
          <w:p w14:paraId="721E2CED"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1,630,546 </w:t>
            </w:r>
          </w:p>
        </w:tc>
        <w:tc>
          <w:tcPr>
            <w:tcW w:w="574" w:type="pct"/>
            <w:tcBorders>
              <w:top w:val="nil"/>
              <w:left w:val="nil"/>
              <w:bottom w:val="single" w:sz="4" w:space="0" w:color="auto"/>
              <w:right w:val="nil"/>
            </w:tcBorders>
            <w:shd w:val="clear" w:color="auto" w:fill="auto"/>
            <w:noWrap/>
            <w:vAlign w:val="center"/>
            <w:hideMark/>
          </w:tcPr>
          <w:p w14:paraId="0AAE8493"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1,657,858 </w:t>
            </w:r>
          </w:p>
        </w:tc>
        <w:tc>
          <w:tcPr>
            <w:tcW w:w="574" w:type="pct"/>
            <w:tcBorders>
              <w:top w:val="nil"/>
              <w:left w:val="nil"/>
              <w:bottom w:val="single" w:sz="4" w:space="0" w:color="auto"/>
              <w:right w:val="nil"/>
            </w:tcBorders>
            <w:shd w:val="clear" w:color="auto" w:fill="auto"/>
            <w:noWrap/>
            <w:vAlign w:val="center"/>
            <w:hideMark/>
          </w:tcPr>
          <w:p w14:paraId="6420B445"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1,683,969 </w:t>
            </w:r>
          </w:p>
        </w:tc>
      </w:tr>
      <w:tr w:rsidR="006935EF" w:rsidRPr="006935EF" w14:paraId="62CC8993" w14:textId="77777777" w:rsidTr="006935EF">
        <w:trPr>
          <w:trHeight w:hRule="exact" w:val="225"/>
        </w:trPr>
        <w:tc>
          <w:tcPr>
            <w:tcW w:w="2130" w:type="pct"/>
            <w:tcBorders>
              <w:top w:val="nil"/>
              <w:left w:val="nil"/>
              <w:bottom w:val="nil"/>
              <w:right w:val="nil"/>
            </w:tcBorders>
            <w:shd w:val="clear" w:color="auto" w:fill="auto"/>
            <w:vAlign w:val="center"/>
            <w:hideMark/>
          </w:tcPr>
          <w:p w14:paraId="7746C0A9" w14:textId="77777777" w:rsidR="006935EF" w:rsidRPr="006935EF" w:rsidRDefault="006935EF" w:rsidP="006935EF">
            <w:pPr>
              <w:spacing w:after="0" w:line="240" w:lineRule="auto"/>
              <w:jc w:val="right"/>
              <w:rPr>
                <w:rFonts w:ascii="Arial" w:hAnsi="Arial" w:cs="Arial"/>
                <w:b/>
                <w:bCs/>
                <w:color w:val="000000"/>
                <w:sz w:val="16"/>
                <w:szCs w:val="16"/>
              </w:rPr>
            </w:pPr>
          </w:p>
        </w:tc>
        <w:tc>
          <w:tcPr>
            <w:tcW w:w="574" w:type="pct"/>
            <w:tcBorders>
              <w:top w:val="nil"/>
              <w:left w:val="nil"/>
              <w:bottom w:val="nil"/>
              <w:right w:val="nil"/>
            </w:tcBorders>
            <w:shd w:val="clear" w:color="auto" w:fill="auto"/>
            <w:noWrap/>
            <w:vAlign w:val="center"/>
            <w:hideMark/>
          </w:tcPr>
          <w:p w14:paraId="7059FC97" w14:textId="77777777" w:rsidR="006935EF" w:rsidRPr="006935EF" w:rsidRDefault="006935EF" w:rsidP="006935EF">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73C2DF5" w14:textId="77777777" w:rsidR="006935EF" w:rsidRPr="006935EF" w:rsidRDefault="006935EF" w:rsidP="006935EF">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6ABBE8A4" w14:textId="77777777" w:rsidR="006935EF" w:rsidRPr="006935EF" w:rsidRDefault="006935EF" w:rsidP="006935EF">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5D8D736" w14:textId="77777777" w:rsidR="006935EF" w:rsidRPr="006935EF" w:rsidRDefault="006935EF" w:rsidP="006935EF">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2AC50138" w14:textId="77777777" w:rsidR="006935EF" w:rsidRPr="006935EF" w:rsidRDefault="006935EF" w:rsidP="006935EF">
            <w:pPr>
              <w:spacing w:after="0" w:line="240" w:lineRule="auto"/>
              <w:jc w:val="right"/>
              <w:rPr>
                <w:rFonts w:ascii="Times New Roman" w:hAnsi="Times New Roman"/>
              </w:rPr>
            </w:pPr>
          </w:p>
        </w:tc>
      </w:tr>
      <w:tr w:rsidR="006935EF" w:rsidRPr="006935EF" w14:paraId="6F79E378" w14:textId="77777777" w:rsidTr="006935EF">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BC6AA23" w14:textId="77777777" w:rsidR="006935EF" w:rsidRPr="006935EF" w:rsidRDefault="006935EF" w:rsidP="006935EF">
            <w:pPr>
              <w:spacing w:after="0" w:line="240" w:lineRule="auto"/>
              <w:jc w:val="left"/>
              <w:rPr>
                <w:rFonts w:ascii="Arial" w:hAnsi="Arial" w:cs="Arial"/>
                <w:b/>
                <w:bCs/>
                <w:sz w:val="16"/>
                <w:szCs w:val="16"/>
              </w:rPr>
            </w:pPr>
            <w:r w:rsidRPr="006935EF">
              <w:rPr>
                <w:rFonts w:ascii="Arial" w:hAnsi="Arial" w:cs="Arial"/>
                <w:b/>
                <w:bCs/>
                <w:sz w:val="16"/>
                <w:szCs w:val="16"/>
              </w:rPr>
              <w:t>Program 1.7: Assistance to the States for Disability Services</w:t>
            </w:r>
          </w:p>
        </w:tc>
      </w:tr>
      <w:tr w:rsidR="006935EF" w:rsidRPr="006935EF" w14:paraId="4B1091CF" w14:textId="77777777" w:rsidTr="006935EF">
        <w:trPr>
          <w:trHeight w:hRule="exact" w:val="235"/>
        </w:trPr>
        <w:tc>
          <w:tcPr>
            <w:tcW w:w="2130" w:type="pct"/>
            <w:tcBorders>
              <w:top w:val="nil"/>
              <w:left w:val="nil"/>
              <w:bottom w:val="nil"/>
              <w:right w:val="nil"/>
            </w:tcBorders>
            <w:shd w:val="clear" w:color="auto" w:fill="auto"/>
            <w:noWrap/>
            <w:vAlign w:val="center"/>
            <w:hideMark/>
          </w:tcPr>
          <w:p w14:paraId="32185BDF" w14:textId="77777777" w:rsidR="006935EF" w:rsidRPr="006935EF" w:rsidRDefault="006935EF" w:rsidP="006935EF">
            <w:pPr>
              <w:spacing w:after="0" w:line="240" w:lineRule="auto"/>
              <w:jc w:val="left"/>
              <w:rPr>
                <w:rFonts w:ascii="Arial" w:hAnsi="Arial" w:cs="Arial"/>
                <w:sz w:val="16"/>
                <w:szCs w:val="16"/>
              </w:rPr>
            </w:pPr>
            <w:r w:rsidRPr="006935EF">
              <w:rPr>
                <w:rFonts w:ascii="Arial" w:hAnsi="Arial" w:cs="Arial"/>
                <w:sz w:val="16"/>
                <w:szCs w:val="16"/>
              </w:rPr>
              <w:t>Administered expenses</w:t>
            </w:r>
          </w:p>
        </w:tc>
        <w:tc>
          <w:tcPr>
            <w:tcW w:w="574" w:type="pct"/>
            <w:tcBorders>
              <w:top w:val="nil"/>
              <w:left w:val="nil"/>
              <w:bottom w:val="nil"/>
              <w:right w:val="nil"/>
            </w:tcBorders>
            <w:shd w:val="clear" w:color="auto" w:fill="auto"/>
            <w:noWrap/>
            <w:vAlign w:val="center"/>
            <w:hideMark/>
          </w:tcPr>
          <w:p w14:paraId="6B89356D" w14:textId="77777777" w:rsidR="006935EF" w:rsidRPr="006935EF" w:rsidRDefault="006935EF" w:rsidP="006935EF">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09D39861"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1589656E" w14:textId="77777777" w:rsidR="006935EF" w:rsidRPr="006935EF" w:rsidRDefault="006935EF" w:rsidP="006935EF">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5304FC89" w14:textId="77777777" w:rsidR="006935EF" w:rsidRPr="006935EF" w:rsidRDefault="006935EF" w:rsidP="006935EF">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0158E9DE" w14:textId="77777777" w:rsidR="006935EF" w:rsidRPr="006935EF" w:rsidRDefault="006935EF" w:rsidP="006935EF">
            <w:pPr>
              <w:spacing w:after="0" w:line="240" w:lineRule="auto"/>
              <w:jc w:val="left"/>
              <w:rPr>
                <w:rFonts w:ascii="Times New Roman" w:hAnsi="Times New Roman"/>
              </w:rPr>
            </w:pPr>
          </w:p>
        </w:tc>
      </w:tr>
      <w:tr w:rsidR="006935EF" w:rsidRPr="006935EF" w14:paraId="51A8EE54" w14:textId="77777777" w:rsidTr="006935EF">
        <w:trPr>
          <w:trHeight w:hRule="exact" w:val="235"/>
        </w:trPr>
        <w:tc>
          <w:tcPr>
            <w:tcW w:w="2130" w:type="pct"/>
            <w:tcBorders>
              <w:top w:val="nil"/>
              <w:left w:val="nil"/>
              <w:bottom w:val="nil"/>
              <w:right w:val="nil"/>
            </w:tcBorders>
            <w:shd w:val="clear" w:color="000000" w:fill="FFFFFF"/>
            <w:vAlign w:val="center"/>
            <w:hideMark/>
          </w:tcPr>
          <w:p w14:paraId="55B699D3" w14:textId="77777777" w:rsidR="006935EF" w:rsidRPr="006935EF" w:rsidRDefault="006935EF" w:rsidP="006935EF">
            <w:pPr>
              <w:spacing w:after="0" w:line="240" w:lineRule="auto"/>
              <w:ind w:left="170"/>
              <w:jc w:val="left"/>
              <w:rPr>
                <w:rFonts w:ascii="Arial" w:hAnsi="Arial" w:cs="Arial"/>
                <w:sz w:val="16"/>
                <w:szCs w:val="16"/>
              </w:rPr>
            </w:pPr>
            <w:r w:rsidRPr="006935EF">
              <w:rPr>
                <w:rFonts w:ascii="Arial" w:hAnsi="Arial" w:cs="Arial"/>
                <w:sz w:val="16"/>
                <w:szCs w:val="16"/>
              </w:rPr>
              <w:t>Special appropriations</w:t>
            </w:r>
          </w:p>
        </w:tc>
        <w:tc>
          <w:tcPr>
            <w:tcW w:w="574" w:type="pct"/>
            <w:tcBorders>
              <w:top w:val="nil"/>
              <w:left w:val="nil"/>
              <w:bottom w:val="nil"/>
              <w:right w:val="nil"/>
            </w:tcBorders>
            <w:shd w:val="clear" w:color="auto" w:fill="auto"/>
            <w:noWrap/>
            <w:vAlign w:val="bottom"/>
            <w:hideMark/>
          </w:tcPr>
          <w:p w14:paraId="593820F9" w14:textId="77777777" w:rsidR="006935EF" w:rsidRPr="006935EF" w:rsidRDefault="006935EF" w:rsidP="006935EF">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5955CAD2"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nil"/>
              <w:right w:val="nil"/>
            </w:tcBorders>
            <w:shd w:val="clear" w:color="auto" w:fill="auto"/>
            <w:noWrap/>
            <w:vAlign w:val="bottom"/>
            <w:hideMark/>
          </w:tcPr>
          <w:p w14:paraId="4B52B660" w14:textId="77777777" w:rsidR="006935EF" w:rsidRPr="006935EF" w:rsidRDefault="006935EF" w:rsidP="006935EF">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bottom"/>
            <w:hideMark/>
          </w:tcPr>
          <w:p w14:paraId="3F2B63C8" w14:textId="77777777" w:rsidR="006935EF" w:rsidRPr="006935EF" w:rsidRDefault="006935EF" w:rsidP="006935EF">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bottom"/>
            <w:hideMark/>
          </w:tcPr>
          <w:p w14:paraId="7E9FC080" w14:textId="77777777" w:rsidR="006935EF" w:rsidRPr="006935EF" w:rsidRDefault="006935EF" w:rsidP="006935EF">
            <w:pPr>
              <w:spacing w:after="0" w:line="240" w:lineRule="auto"/>
              <w:jc w:val="left"/>
              <w:rPr>
                <w:rFonts w:ascii="Times New Roman" w:hAnsi="Times New Roman"/>
              </w:rPr>
            </w:pPr>
          </w:p>
        </w:tc>
      </w:tr>
      <w:tr w:rsidR="006935EF" w:rsidRPr="006935EF" w14:paraId="5B506DDD" w14:textId="77777777" w:rsidTr="006935EF">
        <w:trPr>
          <w:trHeight w:hRule="exact" w:val="225"/>
        </w:trPr>
        <w:tc>
          <w:tcPr>
            <w:tcW w:w="2130" w:type="pct"/>
            <w:tcBorders>
              <w:top w:val="nil"/>
              <w:left w:val="nil"/>
              <w:bottom w:val="nil"/>
              <w:right w:val="nil"/>
            </w:tcBorders>
            <w:shd w:val="clear" w:color="auto" w:fill="auto"/>
            <w:vAlign w:val="center"/>
            <w:hideMark/>
          </w:tcPr>
          <w:p w14:paraId="58CBE1DC" w14:textId="276447BC" w:rsidR="006935EF" w:rsidRPr="006935EF" w:rsidRDefault="006935EF" w:rsidP="006935EF">
            <w:pPr>
              <w:spacing w:after="0" w:line="240" w:lineRule="auto"/>
              <w:ind w:left="340"/>
              <w:jc w:val="left"/>
              <w:rPr>
                <w:rFonts w:ascii="Arial" w:hAnsi="Arial" w:cs="Arial"/>
                <w:sz w:val="16"/>
                <w:szCs w:val="16"/>
              </w:rPr>
            </w:pPr>
            <w:r w:rsidRPr="006935EF">
              <w:rPr>
                <w:rFonts w:ascii="Arial" w:hAnsi="Arial" w:cs="Arial"/>
                <w:sz w:val="16"/>
                <w:szCs w:val="16"/>
              </w:rPr>
              <w:t xml:space="preserve">National Disability Services SPP </w:t>
            </w:r>
            <w:r w:rsidR="00B33758">
              <w:rPr>
                <w:rFonts w:ascii="Arial" w:hAnsi="Arial" w:cs="Arial"/>
                <w:sz w:val="16"/>
                <w:szCs w:val="16"/>
              </w:rPr>
              <w:noBreakHyphen/>
            </w:r>
          </w:p>
        </w:tc>
        <w:tc>
          <w:tcPr>
            <w:tcW w:w="574" w:type="pct"/>
            <w:tcBorders>
              <w:top w:val="nil"/>
              <w:left w:val="nil"/>
              <w:bottom w:val="nil"/>
              <w:right w:val="nil"/>
            </w:tcBorders>
            <w:shd w:val="clear" w:color="auto" w:fill="auto"/>
            <w:noWrap/>
            <w:vAlign w:val="bottom"/>
            <w:hideMark/>
          </w:tcPr>
          <w:p w14:paraId="20A48A7E" w14:textId="77777777" w:rsidR="006935EF" w:rsidRPr="006935EF" w:rsidRDefault="006935EF" w:rsidP="006935EF">
            <w:pPr>
              <w:spacing w:after="0" w:line="240" w:lineRule="auto"/>
              <w:ind w:firstLineChars="200" w:firstLine="320"/>
              <w:jc w:val="left"/>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6361C7E2" w14:textId="77777777" w:rsidR="006935EF" w:rsidRPr="006935EF" w:rsidRDefault="006935EF" w:rsidP="006935EF">
            <w:pPr>
              <w:spacing w:after="0" w:line="240" w:lineRule="auto"/>
              <w:jc w:val="right"/>
              <w:rPr>
                <w:rFonts w:ascii="Arial" w:hAnsi="Arial" w:cs="Arial"/>
                <w:b/>
                <w:bCs/>
                <w:sz w:val="16"/>
                <w:szCs w:val="16"/>
              </w:rPr>
            </w:pPr>
            <w:r w:rsidRPr="006935EF">
              <w:rPr>
                <w:rFonts w:ascii="Arial" w:hAnsi="Arial" w:cs="Arial"/>
                <w:b/>
                <w:bCs/>
                <w:sz w:val="16"/>
                <w:szCs w:val="16"/>
              </w:rPr>
              <w:t> </w:t>
            </w:r>
          </w:p>
        </w:tc>
        <w:tc>
          <w:tcPr>
            <w:tcW w:w="574" w:type="pct"/>
            <w:tcBorders>
              <w:top w:val="nil"/>
              <w:left w:val="nil"/>
              <w:bottom w:val="nil"/>
              <w:right w:val="nil"/>
            </w:tcBorders>
            <w:shd w:val="clear" w:color="auto" w:fill="auto"/>
            <w:noWrap/>
            <w:vAlign w:val="bottom"/>
            <w:hideMark/>
          </w:tcPr>
          <w:p w14:paraId="393E0736" w14:textId="77777777" w:rsidR="006935EF" w:rsidRPr="006935EF" w:rsidRDefault="006935EF" w:rsidP="006935EF">
            <w:pPr>
              <w:spacing w:after="0" w:line="240" w:lineRule="auto"/>
              <w:jc w:val="right"/>
              <w:rPr>
                <w:rFonts w:ascii="Arial" w:hAnsi="Arial" w:cs="Arial"/>
                <w:b/>
                <w:bCs/>
                <w:sz w:val="16"/>
                <w:szCs w:val="16"/>
              </w:rPr>
            </w:pPr>
          </w:p>
        </w:tc>
        <w:tc>
          <w:tcPr>
            <w:tcW w:w="574" w:type="pct"/>
            <w:tcBorders>
              <w:top w:val="nil"/>
              <w:left w:val="nil"/>
              <w:bottom w:val="nil"/>
              <w:right w:val="nil"/>
            </w:tcBorders>
            <w:shd w:val="clear" w:color="auto" w:fill="auto"/>
            <w:noWrap/>
            <w:vAlign w:val="bottom"/>
            <w:hideMark/>
          </w:tcPr>
          <w:p w14:paraId="1BA781DB" w14:textId="77777777" w:rsidR="006935EF" w:rsidRPr="006935EF" w:rsidRDefault="006935EF" w:rsidP="006935EF">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bottom"/>
            <w:hideMark/>
          </w:tcPr>
          <w:p w14:paraId="042D5CDE" w14:textId="77777777" w:rsidR="006935EF" w:rsidRPr="006935EF" w:rsidRDefault="006935EF" w:rsidP="006935EF">
            <w:pPr>
              <w:spacing w:after="0" w:line="240" w:lineRule="auto"/>
              <w:jc w:val="left"/>
              <w:rPr>
                <w:rFonts w:ascii="Times New Roman" w:hAnsi="Times New Roman"/>
              </w:rPr>
            </w:pPr>
          </w:p>
        </w:tc>
      </w:tr>
      <w:tr w:rsidR="006935EF" w:rsidRPr="006935EF" w14:paraId="74641408" w14:textId="77777777" w:rsidTr="006935EF">
        <w:trPr>
          <w:trHeight w:hRule="exact" w:val="225"/>
        </w:trPr>
        <w:tc>
          <w:tcPr>
            <w:tcW w:w="2130" w:type="pct"/>
            <w:tcBorders>
              <w:top w:val="nil"/>
              <w:left w:val="nil"/>
              <w:bottom w:val="nil"/>
              <w:right w:val="nil"/>
            </w:tcBorders>
            <w:shd w:val="clear" w:color="auto" w:fill="auto"/>
            <w:vAlign w:val="center"/>
            <w:hideMark/>
          </w:tcPr>
          <w:p w14:paraId="3793A07C" w14:textId="77777777" w:rsidR="006935EF" w:rsidRPr="006935EF" w:rsidRDefault="006935EF" w:rsidP="006935EF">
            <w:pPr>
              <w:spacing w:after="0" w:line="240" w:lineRule="auto"/>
              <w:ind w:left="510"/>
              <w:jc w:val="left"/>
              <w:rPr>
                <w:rFonts w:ascii="Arial" w:hAnsi="Arial" w:cs="Arial"/>
                <w:i/>
                <w:iCs/>
                <w:sz w:val="16"/>
                <w:szCs w:val="16"/>
              </w:rPr>
            </w:pPr>
            <w:r w:rsidRPr="006935EF">
              <w:rPr>
                <w:rFonts w:ascii="Arial" w:hAnsi="Arial" w:cs="Arial"/>
                <w:i/>
                <w:iCs/>
                <w:sz w:val="16"/>
                <w:szCs w:val="16"/>
              </w:rPr>
              <w:t>Federal Financial Relations Act 2009</w:t>
            </w:r>
          </w:p>
        </w:tc>
        <w:tc>
          <w:tcPr>
            <w:tcW w:w="574" w:type="pct"/>
            <w:tcBorders>
              <w:top w:val="nil"/>
              <w:left w:val="nil"/>
              <w:bottom w:val="nil"/>
              <w:right w:val="nil"/>
            </w:tcBorders>
            <w:shd w:val="clear" w:color="auto" w:fill="auto"/>
            <w:noWrap/>
            <w:vAlign w:val="center"/>
            <w:hideMark/>
          </w:tcPr>
          <w:p w14:paraId="35808FC9" w14:textId="7E3DA64F" w:rsidR="006935EF" w:rsidRPr="006935EF" w:rsidRDefault="00B33758" w:rsidP="006935EF">
            <w:pPr>
              <w:spacing w:after="0" w:line="240" w:lineRule="auto"/>
              <w:jc w:val="right"/>
              <w:rPr>
                <w:rFonts w:ascii="Arial" w:hAnsi="Arial" w:cs="Arial"/>
                <w:sz w:val="16"/>
                <w:szCs w:val="16"/>
              </w:rPr>
            </w:pPr>
            <w:r>
              <w:rPr>
                <w:rFonts w:ascii="Arial" w:hAnsi="Arial" w:cs="Arial"/>
                <w:sz w:val="16"/>
                <w:szCs w:val="16"/>
              </w:rPr>
              <w:noBreakHyphen/>
            </w:r>
            <w:r w:rsidR="006935EF" w:rsidRPr="006935EF">
              <w:rPr>
                <w:rFonts w:ascii="Arial" w:hAnsi="Arial" w:cs="Arial"/>
                <w:sz w:val="16"/>
                <w:szCs w:val="16"/>
              </w:rPr>
              <w:t xml:space="preserve"> </w:t>
            </w:r>
          </w:p>
        </w:tc>
        <w:tc>
          <w:tcPr>
            <w:tcW w:w="574" w:type="pct"/>
            <w:tcBorders>
              <w:top w:val="nil"/>
              <w:left w:val="nil"/>
              <w:bottom w:val="nil"/>
              <w:right w:val="nil"/>
            </w:tcBorders>
            <w:shd w:val="clear" w:color="000000" w:fill="E6E6E6"/>
            <w:noWrap/>
            <w:vAlign w:val="center"/>
            <w:hideMark/>
          </w:tcPr>
          <w:p w14:paraId="2018EA96" w14:textId="1B7C0B4C" w:rsidR="006935EF" w:rsidRPr="006935EF" w:rsidRDefault="00B33758" w:rsidP="006935EF">
            <w:pPr>
              <w:spacing w:after="0" w:line="240" w:lineRule="auto"/>
              <w:jc w:val="right"/>
              <w:rPr>
                <w:rFonts w:ascii="Arial" w:hAnsi="Arial" w:cs="Arial"/>
                <w:sz w:val="16"/>
                <w:szCs w:val="16"/>
              </w:rPr>
            </w:pPr>
            <w:r>
              <w:rPr>
                <w:rFonts w:ascii="Arial" w:hAnsi="Arial" w:cs="Arial"/>
                <w:sz w:val="16"/>
                <w:szCs w:val="16"/>
              </w:rPr>
              <w:noBreakHyphen/>
            </w:r>
            <w:r w:rsidR="006935EF" w:rsidRPr="006935EF">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76EC4ACA" w14:textId="638D3DDC" w:rsidR="006935EF" w:rsidRPr="006935EF" w:rsidRDefault="00B33758" w:rsidP="006935EF">
            <w:pPr>
              <w:spacing w:after="0" w:line="240" w:lineRule="auto"/>
              <w:jc w:val="right"/>
              <w:rPr>
                <w:rFonts w:ascii="Arial" w:hAnsi="Arial" w:cs="Arial"/>
                <w:sz w:val="16"/>
                <w:szCs w:val="16"/>
              </w:rPr>
            </w:pPr>
            <w:r>
              <w:rPr>
                <w:rFonts w:ascii="Arial" w:hAnsi="Arial" w:cs="Arial"/>
                <w:sz w:val="16"/>
                <w:szCs w:val="16"/>
              </w:rPr>
              <w:noBreakHyphen/>
            </w:r>
            <w:r w:rsidR="006935EF" w:rsidRPr="006935EF">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61FE2077" w14:textId="3F71920C" w:rsidR="006935EF" w:rsidRPr="006935EF" w:rsidRDefault="00B33758" w:rsidP="006935EF">
            <w:pPr>
              <w:spacing w:after="0" w:line="240" w:lineRule="auto"/>
              <w:jc w:val="right"/>
              <w:rPr>
                <w:rFonts w:ascii="Arial" w:hAnsi="Arial" w:cs="Arial"/>
                <w:sz w:val="16"/>
                <w:szCs w:val="16"/>
              </w:rPr>
            </w:pPr>
            <w:r>
              <w:rPr>
                <w:rFonts w:ascii="Arial" w:hAnsi="Arial" w:cs="Arial"/>
                <w:sz w:val="16"/>
                <w:szCs w:val="16"/>
              </w:rPr>
              <w:noBreakHyphen/>
            </w:r>
            <w:r w:rsidR="006935EF" w:rsidRPr="006935EF">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6D306373" w14:textId="32E9673C" w:rsidR="006935EF" w:rsidRPr="006935EF" w:rsidRDefault="00B33758" w:rsidP="006935EF">
            <w:pPr>
              <w:spacing w:after="0" w:line="240" w:lineRule="auto"/>
              <w:jc w:val="right"/>
              <w:rPr>
                <w:rFonts w:ascii="Arial" w:hAnsi="Arial" w:cs="Arial"/>
                <w:sz w:val="16"/>
                <w:szCs w:val="16"/>
              </w:rPr>
            </w:pPr>
            <w:r>
              <w:rPr>
                <w:rFonts w:ascii="Arial" w:hAnsi="Arial" w:cs="Arial"/>
                <w:sz w:val="16"/>
                <w:szCs w:val="16"/>
              </w:rPr>
              <w:noBreakHyphen/>
            </w:r>
            <w:r w:rsidR="006935EF" w:rsidRPr="006935EF">
              <w:rPr>
                <w:rFonts w:ascii="Arial" w:hAnsi="Arial" w:cs="Arial"/>
                <w:sz w:val="16"/>
                <w:szCs w:val="16"/>
              </w:rPr>
              <w:t xml:space="preserve"> </w:t>
            </w:r>
          </w:p>
        </w:tc>
      </w:tr>
      <w:tr w:rsidR="006935EF" w:rsidRPr="006935EF" w14:paraId="28A99AF9" w14:textId="77777777" w:rsidTr="006935EF">
        <w:trPr>
          <w:trHeight w:hRule="exact" w:val="235"/>
        </w:trPr>
        <w:tc>
          <w:tcPr>
            <w:tcW w:w="2130" w:type="pct"/>
            <w:tcBorders>
              <w:top w:val="nil"/>
              <w:left w:val="nil"/>
              <w:bottom w:val="nil"/>
              <w:right w:val="nil"/>
            </w:tcBorders>
            <w:shd w:val="clear" w:color="auto" w:fill="auto"/>
            <w:vAlign w:val="center"/>
            <w:hideMark/>
          </w:tcPr>
          <w:p w14:paraId="3E616E6B" w14:textId="77777777" w:rsidR="006935EF" w:rsidRPr="006935EF" w:rsidRDefault="006935EF" w:rsidP="006935EF">
            <w:pPr>
              <w:spacing w:after="0" w:line="240" w:lineRule="auto"/>
              <w:jc w:val="right"/>
              <w:rPr>
                <w:rFonts w:ascii="Arial" w:hAnsi="Arial" w:cs="Arial"/>
                <w:b/>
                <w:bCs/>
                <w:sz w:val="16"/>
                <w:szCs w:val="16"/>
              </w:rPr>
            </w:pPr>
            <w:r w:rsidRPr="006935EF">
              <w:rPr>
                <w:rFonts w:ascii="Arial" w:hAnsi="Arial" w:cs="Arial"/>
                <w:b/>
                <w:bCs/>
                <w:sz w:val="16"/>
                <w:szCs w:val="16"/>
              </w:rPr>
              <w:t>Administered total</w:t>
            </w:r>
          </w:p>
        </w:tc>
        <w:tc>
          <w:tcPr>
            <w:tcW w:w="574" w:type="pct"/>
            <w:tcBorders>
              <w:top w:val="single" w:sz="4" w:space="0" w:color="000000"/>
              <w:left w:val="nil"/>
              <w:bottom w:val="single" w:sz="4" w:space="0" w:color="000000"/>
              <w:right w:val="nil"/>
            </w:tcBorders>
            <w:shd w:val="clear" w:color="auto" w:fill="auto"/>
            <w:noWrap/>
            <w:vAlign w:val="bottom"/>
            <w:hideMark/>
          </w:tcPr>
          <w:p w14:paraId="3AD5CDEC" w14:textId="526B19FA"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c>
          <w:tcPr>
            <w:tcW w:w="574" w:type="pct"/>
            <w:tcBorders>
              <w:top w:val="single" w:sz="4" w:space="0" w:color="000000"/>
              <w:left w:val="nil"/>
              <w:bottom w:val="single" w:sz="4" w:space="0" w:color="000000"/>
              <w:right w:val="nil"/>
            </w:tcBorders>
            <w:shd w:val="clear" w:color="000000" w:fill="E6E6E6"/>
            <w:noWrap/>
            <w:vAlign w:val="bottom"/>
            <w:hideMark/>
          </w:tcPr>
          <w:p w14:paraId="3749A26A" w14:textId="63996D66"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c>
          <w:tcPr>
            <w:tcW w:w="574" w:type="pct"/>
            <w:tcBorders>
              <w:top w:val="single" w:sz="4" w:space="0" w:color="000000"/>
              <w:left w:val="nil"/>
              <w:bottom w:val="single" w:sz="4" w:space="0" w:color="000000"/>
              <w:right w:val="nil"/>
            </w:tcBorders>
            <w:shd w:val="clear" w:color="auto" w:fill="auto"/>
            <w:noWrap/>
            <w:vAlign w:val="bottom"/>
            <w:hideMark/>
          </w:tcPr>
          <w:p w14:paraId="1EE88185" w14:textId="71F21D5B"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c>
          <w:tcPr>
            <w:tcW w:w="574" w:type="pct"/>
            <w:tcBorders>
              <w:top w:val="single" w:sz="4" w:space="0" w:color="000000"/>
              <w:left w:val="nil"/>
              <w:bottom w:val="single" w:sz="4" w:space="0" w:color="000000"/>
              <w:right w:val="nil"/>
            </w:tcBorders>
            <w:shd w:val="clear" w:color="auto" w:fill="auto"/>
            <w:noWrap/>
            <w:vAlign w:val="bottom"/>
            <w:hideMark/>
          </w:tcPr>
          <w:p w14:paraId="58BD89F5" w14:textId="3DE00179"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c>
          <w:tcPr>
            <w:tcW w:w="574" w:type="pct"/>
            <w:tcBorders>
              <w:top w:val="single" w:sz="4" w:space="0" w:color="000000"/>
              <w:left w:val="nil"/>
              <w:bottom w:val="single" w:sz="4" w:space="0" w:color="000000"/>
              <w:right w:val="nil"/>
            </w:tcBorders>
            <w:shd w:val="clear" w:color="auto" w:fill="auto"/>
            <w:noWrap/>
            <w:vAlign w:val="bottom"/>
            <w:hideMark/>
          </w:tcPr>
          <w:p w14:paraId="7A625025" w14:textId="40B179C9"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r>
      <w:tr w:rsidR="006935EF" w:rsidRPr="006935EF" w14:paraId="1C4A9926" w14:textId="77777777" w:rsidTr="006935EF">
        <w:trPr>
          <w:trHeight w:hRule="exact" w:val="225"/>
        </w:trPr>
        <w:tc>
          <w:tcPr>
            <w:tcW w:w="2130" w:type="pct"/>
            <w:tcBorders>
              <w:top w:val="nil"/>
              <w:left w:val="nil"/>
              <w:bottom w:val="single" w:sz="4" w:space="0" w:color="000000"/>
              <w:right w:val="nil"/>
            </w:tcBorders>
            <w:shd w:val="clear" w:color="auto" w:fill="auto"/>
            <w:noWrap/>
            <w:vAlign w:val="center"/>
            <w:hideMark/>
          </w:tcPr>
          <w:p w14:paraId="0DAAFBEE" w14:textId="77777777" w:rsidR="006935EF" w:rsidRPr="006935EF" w:rsidRDefault="006935EF" w:rsidP="006935EF">
            <w:pPr>
              <w:spacing w:after="0" w:line="240" w:lineRule="auto"/>
              <w:jc w:val="left"/>
              <w:rPr>
                <w:rFonts w:ascii="Arial" w:hAnsi="Arial" w:cs="Arial"/>
                <w:b/>
                <w:bCs/>
                <w:sz w:val="16"/>
                <w:szCs w:val="16"/>
              </w:rPr>
            </w:pPr>
            <w:r w:rsidRPr="006935EF">
              <w:rPr>
                <w:rFonts w:ascii="Arial" w:hAnsi="Arial" w:cs="Arial"/>
                <w:b/>
                <w:bCs/>
                <w:sz w:val="16"/>
                <w:szCs w:val="16"/>
              </w:rPr>
              <w:t>Total expenses for program 1.7</w:t>
            </w:r>
          </w:p>
        </w:tc>
        <w:tc>
          <w:tcPr>
            <w:tcW w:w="574" w:type="pct"/>
            <w:tcBorders>
              <w:top w:val="nil"/>
              <w:left w:val="nil"/>
              <w:bottom w:val="single" w:sz="4" w:space="0" w:color="000000"/>
              <w:right w:val="nil"/>
            </w:tcBorders>
            <w:shd w:val="clear" w:color="auto" w:fill="auto"/>
            <w:noWrap/>
            <w:vAlign w:val="bottom"/>
            <w:hideMark/>
          </w:tcPr>
          <w:p w14:paraId="738F9926" w14:textId="72C2A88A"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c>
          <w:tcPr>
            <w:tcW w:w="574" w:type="pct"/>
            <w:tcBorders>
              <w:top w:val="nil"/>
              <w:left w:val="nil"/>
              <w:bottom w:val="single" w:sz="4" w:space="0" w:color="000000"/>
              <w:right w:val="nil"/>
            </w:tcBorders>
            <w:shd w:val="clear" w:color="000000" w:fill="E6E6E6"/>
            <w:noWrap/>
            <w:vAlign w:val="bottom"/>
            <w:hideMark/>
          </w:tcPr>
          <w:p w14:paraId="66F32FC7" w14:textId="1EA057A6"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c>
          <w:tcPr>
            <w:tcW w:w="574" w:type="pct"/>
            <w:tcBorders>
              <w:top w:val="nil"/>
              <w:left w:val="nil"/>
              <w:bottom w:val="single" w:sz="4" w:space="0" w:color="000000"/>
              <w:right w:val="nil"/>
            </w:tcBorders>
            <w:shd w:val="clear" w:color="auto" w:fill="auto"/>
            <w:noWrap/>
            <w:vAlign w:val="bottom"/>
            <w:hideMark/>
          </w:tcPr>
          <w:p w14:paraId="1A7CD191" w14:textId="60F91DDF"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c>
          <w:tcPr>
            <w:tcW w:w="574" w:type="pct"/>
            <w:tcBorders>
              <w:top w:val="nil"/>
              <w:left w:val="nil"/>
              <w:bottom w:val="single" w:sz="4" w:space="0" w:color="000000"/>
              <w:right w:val="nil"/>
            </w:tcBorders>
            <w:shd w:val="clear" w:color="auto" w:fill="auto"/>
            <w:noWrap/>
            <w:vAlign w:val="bottom"/>
            <w:hideMark/>
          </w:tcPr>
          <w:p w14:paraId="41806D36" w14:textId="09C7595D"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c>
          <w:tcPr>
            <w:tcW w:w="574" w:type="pct"/>
            <w:tcBorders>
              <w:top w:val="nil"/>
              <w:left w:val="nil"/>
              <w:bottom w:val="single" w:sz="4" w:space="0" w:color="000000"/>
              <w:right w:val="nil"/>
            </w:tcBorders>
            <w:shd w:val="clear" w:color="auto" w:fill="auto"/>
            <w:noWrap/>
            <w:vAlign w:val="bottom"/>
            <w:hideMark/>
          </w:tcPr>
          <w:p w14:paraId="76EA79AB" w14:textId="288C1B63" w:rsidR="006935EF" w:rsidRPr="006935EF" w:rsidRDefault="00B33758" w:rsidP="006935EF">
            <w:pPr>
              <w:spacing w:after="0" w:line="240" w:lineRule="auto"/>
              <w:jc w:val="right"/>
              <w:rPr>
                <w:rFonts w:ascii="Arial" w:hAnsi="Arial" w:cs="Arial"/>
                <w:b/>
                <w:bCs/>
                <w:sz w:val="16"/>
                <w:szCs w:val="16"/>
              </w:rPr>
            </w:pPr>
            <w:r>
              <w:rPr>
                <w:rFonts w:ascii="Arial" w:hAnsi="Arial" w:cs="Arial"/>
                <w:b/>
                <w:bCs/>
                <w:sz w:val="16"/>
                <w:szCs w:val="16"/>
              </w:rPr>
              <w:noBreakHyphen/>
            </w:r>
            <w:r w:rsidR="006935EF" w:rsidRPr="006935EF">
              <w:rPr>
                <w:rFonts w:ascii="Arial" w:hAnsi="Arial" w:cs="Arial"/>
                <w:b/>
                <w:bCs/>
                <w:sz w:val="16"/>
                <w:szCs w:val="16"/>
              </w:rPr>
              <w:t xml:space="preserve"> </w:t>
            </w:r>
          </w:p>
        </w:tc>
      </w:tr>
      <w:tr w:rsidR="006935EF" w:rsidRPr="006935EF" w14:paraId="1C2DAC58" w14:textId="77777777" w:rsidTr="006935EF">
        <w:trPr>
          <w:trHeight w:hRule="exact" w:val="225"/>
        </w:trPr>
        <w:tc>
          <w:tcPr>
            <w:tcW w:w="2130" w:type="pct"/>
            <w:tcBorders>
              <w:top w:val="nil"/>
              <w:left w:val="nil"/>
              <w:bottom w:val="nil"/>
              <w:right w:val="nil"/>
            </w:tcBorders>
            <w:shd w:val="clear" w:color="auto" w:fill="auto"/>
            <w:noWrap/>
            <w:vAlign w:val="center"/>
            <w:hideMark/>
          </w:tcPr>
          <w:p w14:paraId="74E1FC60" w14:textId="77777777" w:rsidR="006935EF" w:rsidRPr="006935EF" w:rsidRDefault="006935EF" w:rsidP="006935EF">
            <w:pPr>
              <w:spacing w:after="0" w:line="240" w:lineRule="auto"/>
              <w:jc w:val="right"/>
              <w:rPr>
                <w:rFonts w:ascii="Arial" w:hAnsi="Arial" w:cs="Arial"/>
                <w:b/>
                <w:bCs/>
                <w:sz w:val="16"/>
                <w:szCs w:val="16"/>
              </w:rPr>
            </w:pPr>
          </w:p>
        </w:tc>
        <w:tc>
          <w:tcPr>
            <w:tcW w:w="574" w:type="pct"/>
            <w:tcBorders>
              <w:top w:val="single" w:sz="4" w:space="0" w:color="auto"/>
              <w:left w:val="nil"/>
              <w:bottom w:val="nil"/>
              <w:right w:val="nil"/>
            </w:tcBorders>
            <w:shd w:val="clear" w:color="auto" w:fill="auto"/>
            <w:noWrap/>
            <w:vAlign w:val="center"/>
            <w:hideMark/>
          </w:tcPr>
          <w:p w14:paraId="1C9BEA36"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w:t>
            </w:r>
          </w:p>
        </w:tc>
        <w:tc>
          <w:tcPr>
            <w:tcW w:w="574" w:type="pct"/>
            <w:tcBorders>
              <w:top w:val="nil"/>
              <w:left w:val="nil"/>
              <w:bottom w:val="nil"/>
              <w:right w:val="nil"/>
            </w:tcBorders>
            <w:shd w:val="clear" w:color="auto" w:fill="auto"/>
            <w:noWrap/>
            <w:vAlign w:val="center"/>
            <w:hideMark/>
          </w:tcPr>
          <w:p w14:paraId="2474CC7F" w14:textId="77777777" w:rsidR="006935EF" w:rsidRPr="006935EF" w:rsidRDefault="006935EF" w:rsidP="006935EF">
            <w:pPr>
              <w:spacing w:after="0" w:line="240" w:lineRule="auto"/>
              <w:jc w:val="right"/>
              <w:rPr>
                <w:rFonts w:ascii="Arial" w:hAnsi="Arial" w:cs="Arial"/>
                <w:b/>
                <w:bCs/>
                <w:color w:val="000000"/>
                <w:sz w:val="16"/>
                <w:szCs w:val="16"/>
              </w:rPr>
            </w:pPr>
          </w:p>
        </w:tc>
        <w:tc>
          <w:tcPr>
            <w:tcW w:w="574" w:type="pct"/>
            <w:tcBorders>
              <w:top w:val="nil"/>
              <w:left w:val="nil"/>
              <w:bottom w:val="single" w:sz="4" w:space="0" w:color="auto"/>
              <w:right w:val="nil"/>
            </w:tcBorders>
            <w:shd w:val="clear" w:color="auto" w:fill="auto"/>
            <w:hideMark/>
          </w:tcPr>
          <w:p w14:paraId="2FD5E46D"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single" w:sz="4" w:space="0" w:color="auto"/>
              <w:right w:val="nil"/>
            </w:tcBorders>
            <w:shd w:val="clear" w:color="auto" w:fill="auto"/>
            <w:hideMark/>
          </w:tcPr>
          <w:p w14:paraId="3BA8FD98"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single" w:sz="4" w:space="0" w:color="auto"/>
              <w:right w:val="nil"/>
            </w:tcBorders>
            <w:shd w:val="clear" w:color="auto" w:fill="auto"/>
            <w:hideMark/>
          </w:tcPr>
          <w:p w14:paraId="5D157B72"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r>
      <w:tr w:rsidR="006935EF" w:rsidRPr="006935EF" w14:paraId="76B08E5A" w14:textId="77777777" w:rsidTr="006935EF">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1F395CF9" w14:textId="77777777" w:rsidR="006935EF" w:rsidRPr="006935EF" w:rsidRDefault="006935EF" w:rsidP="006935EF">
            <w:pPr>
              <w:spacing w:after="0" w:line="240" w:lineRule="auto"/>
              <w:jc w:val="left"/>
              <w:rPr>
                <w:rFonts w:ascii="Arial" w:hAnsi="Arial" w:cs="Arial"/>
                <w:b/>
                <w:bCs/>
                <w:sz w:val="16"/>
                <w:szCs w:val="16"/>
              </w:rPr>
            </w:pPr>
            <w:r w:rsidRPr="006935EF">
              <w:rPr>
                <w:rFonts w:ascii="Arial" w:hAnsi="Arial" w:cs="Arial"/>
                <w:b/>
                <w:bCs/>
                <w:sz w:val="16"/>
                <w:szCs w:val="16"/>
              </w:rPr>
              <w:t>Program 1.8: Assistance to the States for Affordable Housing</w:t>
            </w:r>
          </w:p>
        </w:tc>
      </w:tr>
      <w:tr w:rsidR="006935EF" w:rsidRPr="006935EF" w14:paraId="58F13329" w14:textId="77777777" w:rsidTr="006935EF">
        <w:trPr>
          <w:trHeight w:hRule="exact" w:val="235"/>
        </w:trPr>
        <w:tc>
          <w:tcPr>
            <w:tcW w:w="2130" w:type="pct"/>
            <w:tcBorders>
              <w:top w:val="single" w:sz="4" w:space="0" w:color="000000"/>
              <w:left w:val="nil"/>
              <w:bottom w:val="nil"/>
              <w:right w:val="nil"/>
            </w:tcBorders>
            <w:shd w:val="clear" w:color="auto" w:fill="auto"/>
            <w:noWrap/>
            <w:vAlign w:val="center"/>
            <w:hideMark/>
          </w:tcPr>
          <w:p w14:paraId="6E5200FD" w14:textId="77777777" w:rsidR="006935EF" w:rsidRPr="006935EF" w:rsidRDefault="006935EF" w:rsidP="006935EF">
            <w:pPr>
              <w:spacing w:after="0" w:line="240" w:lineRule="auto"/>
              <w:jc w:val="left"/>
              <w:rPr>
                <w:rFonts w:ascii="Arial" w:hAnsi="Arial" w:cs="Arial"/>
                <w:sz w:val="16"/>
                <w:szCs w:val="16"/>
              </w:rPr>
            </w:pPr>
            <w:r w:rsidRPr="006935EF">
              <w:rPr>
                <w:rFonts w:ascii="Arial" w:hAnsi="Arial" w:cs="Arial"/>
                <w:sz w:val="16"/>
                <w:szCs w:val="16"/>
              </w:rPr>
              <w:t>Administered expenses</w:t>
            </w:r>
          </w:p>
        </w:tc>
        <w:tc>
          <w:tcPr>
            <w:tcW w:w="574" w:type="pct"/>
            <w:tcBorders>
              <w:top w:val="single" w:sz="4" w:space="0" w:color="000000"/>
              <w:left w:val="nil"/>
              <w:bottom w:val="nil"/>
              <w:right w:val="nil"/>
            </w:tcBorders>
            <w:shd w:val="clear" w:color="auto" w:fill="auto"/>
            <w:noWrap/>
            <w:vAlign w:val="center"/>
            <w:hideMark/>
          </w:tcPr>
          <w:p w14:paraId="5AFCD222" w14:textId="77777777" w:rsidR="006935EF" w:rsidRPr="006935EF" w:rsidRDefault="006935EF" w:rsidP="006935EF">
            <w:pPr>
              <w:spacing w:after="0" w:line="240" w:lineRule="auto"/>
              <w:jc w:val="right"/>
              <w:rPr>
                <w:rFonts w:ascii="Arial" w:hAnsi="Arial" w:cs="Arial"/>
                <w:color w:val="000000"/>
                <w:sz w:val="16"/>
                <w:szCs w:val="16"/>
              </w:rPr>
            </w:pPr>
            <w:r w:rsidRPr="006935EF">
              <w:rPr>
                <w:rFonts w:ascii="Arial" w:hAnsi="Arial" w:cs="Arial"/>
                <w:color w:val="000000"/>
                <w:sz w:val="16"/>
                <w:szCs w:val="16"/>
              </w:rPr>
              <w:t> </w:t>
            </w:r>
          </w:p>
        </w:tc>
        <w:tc>
          <w:tcPr>
            <w:tcW w:w="574" w:type="pct"/>
            <w:tcBorders>
              <w:top w:val="single" w:sz="4" w:space="0" w:color="000000"/>
              <w:left w:val="nil"/>
              <w:bottom w:val="nil"/>
              <w:right w:val="nil"/>
            </w:tcBorders>
            <w:shd w:val="clear" w:color="000000" w:fill="E6E6E6"/>
            <w:noWrap/>
            <w:vAlign w:val="center"/>
            <w:hideMark/>
          </w:tcPr>
          <w:p w14:paraId="301655AB"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63E14980" w14:textId="77777777" w:rsidR="006935EF" w:rsidRPr="006935EF" w:rsidRDefault="006935EF" w:rsidP="006935EF">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54CD9F2C" w14:textId="77777777" w:rsidR="006935EF" w:rsidRPr="006935EF" w:rsidRDefault="006935EF" w:rsidP="006935EF">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6F60357F" w14:textId="77777777" w:rsidR="006935EF" w:rsidRPr="006935EF" w:rsidRDefault="006935EF" w:rsidP="006935EF">
            <w:pPr>
              <w:spacing w:after="0" w:line="240" w:lineRule="auto"/>
              <w:jc w:val="right"/>
              <w:rPr>
                <w:rFonts w:ascii="Times New Roman" w:hAnsi="Times New Roman"/>
              </w:rPr>
            </w:pPr>
          </w:p>
        </w:tc>
      </w:tr>
      <w:tr w:rsidR="006935EF" w:rsidRPr="006935EF" w14:paraId="66D1D975" w14:textId="77777777" w:rsidTr="006935EF">
        <w:trPr>
          <w:trHeight w:hRule="exact" w:val="225"/>
        </w:trPr>
        <w:tc>
          <w:tcPr>
            <w:tcW w:w="2130" w:type="pct"/>
            <w:tcBorders>
              <w:top w:val="nil"/>
              <w:left w:val="nil"/>
              <w:bottom w:val="nil"/>
              <w:right w:val="nil"/>
            </w:tcBorders>
            <w:shd w:val="clear" w:color="000000" w:fill="FFFFFF"/>
            <w:vAlign w:val="center"/>
            <w:hideMark/>
          </w:tcPr>
          <w:p w14:paraId="384486A2" w14:textId="77777777" w:rsidR="006935EF" w:rsidRPr="006935EF" w:rsidRDefault="006935EF" w:rsidP="006935EF">
            <w:pPr>
              <w:spacing w:after="0" w:line="240" w:lineRule="auto"/>
              <w:ind w:left="170"/>
              <w:jc w:val="left"/>
              <w:rPr>
                <w:rFonts w:ascii="Arial" w:hAnsi="Arial" w:cs="Arial"/>
                <w:sz w:val="16"/>
                <w:szCs w:val="16"/>
              </w:rPr>
            </w:pPr>
            <w:r w:rsidRPr="006935EF">
              <w:rPr>
                <w:rFonts w:ascii="Arial" w:hAnsi="Arial" w:cs="Arial"/>
                <w:sz w:val="16"/>
                <w:szCs w:val="16"/>
              </w:rPr>
              <w:t>Special appropriations</w:t>
            </w:r>
          </w:p>
        </w:tc>
        <w:tc>
          <w:tcPr>
            <w:tcW w:w="574" w:type="pct"/>
            <w:tcBorders>
              <w:top w:val="nil"/>
              <w:left w:val="nil"/>
              <w:bottom w:val="nil"/>
              <w:right w:val="nil"/>
            </w:tcBorders>
            <w:shd w:val="clear" w:color="auto" w:fill="auto"/>
            <w:noWrap/>
            <w:vAlign w:val="center"/>
            <w:hideMark/>
          </w:tcPr>
          <w:p w14:paraId="37EDCD6B" w14:textId="77777777" w:rsidR="006935EF" w:rsidRPr="006935EF" w:rsidRDefault="006935EF" w:rsidP="006935EF">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38EE502C"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29867AB5" w14:textId="77777777" w:rsidR="006935EF" w:rsidRPr="006935EF" w:rsidRDefault="006935EF" w:rsidP="006935EF">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271E399D" w14:textId="77777777" w:rsidR="006935EF" w:rsidRPr="006935EF" w:rsidRDefault="006935EF" w:rsidP="006935EF">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4D94F6EE" w14:textId="77777777" w:rsidR="006935EF" w:rsidRPr="006935EF" w:rsidRDefault="006935EF" w:rsidP="006935EF">
            <w:pPr>
              <w:spacing w:after="0" w:line="240" w:lineRule="auto"/>
              <w:jc w:val="right"/>
              <w:rPr>
                <w:rFonts w:ascii="Times New Roman" w:hAnsi="Times New Roman"/>
              </w:rPr>
            </w:pPr>
          </w:p>
        </w:tc>
      </w:tr>
      <w:tr w:rsidR="006935EF" w:rsidRPr="006935EF" w14:paraId="5E8A35AF" w14:textId="77777777" w:rsidTr="006935EF">
        <w:trPr>
          <w:trHeight w:hRule="exact" w:val="225"/>
        </w:trPr>
        <w:tc>
          <w:tcPr>
            <w:tcW w:w="2130" w:type="pct"/>
            <w:tcBorders>
              <w:top w:val="nil"/>
              <w:left w:val="nil"/>
              <w:bottom w:val="nil"/>
              <w:right w:val="nil"/>
            </w:tcBorders>
            <w:shd w:val="clear" w:color="000000" w:fill="FFFFFF"/>
            <w:noWrap/>
            <w:vAlign w:val="center"/>
            <w:hideMark/>
          </w:tcPr>
          <w:p w14:paraId="1B9044E8" w14:textId="76089159" w:rsidR="006935EF" w:rsidRPr="006935EF" w:rsidRDefault="006935EF" w:rsidP="006935EF">
            <w:pPr>
              <w:spacing w:after="0" w:line="240" w:lineRule="auto"/>
              <w:ind w:left="340"/>
              <w:jc w:val="left"/>
              <w:rPr>
                <w:rFonts w:ascii="Arial" w:hAnsi="Arial" w:cs="Arial"/>
                <w:sz w:val="16"/>
                <w:szCs w:val="16"/>
              </w:rPr>
            </w:pPr>
            <w:r w:rsidRPr="006935EF">
              <w:rPr>
                <w:rFonts w:ascii="Arial" w:hAnsi="Arial" w:cs="Arial"/>
                <w:sz w:val="16"/>
                <w:szCs w:val="16"/>
              </w:rPr>
              <w:t xml:space="preserve">National Affordable Housing SPP </w:t>
            </w:r>
            <w:r w:rsidR="00B33758">
              <w:rPr>
                <w:rFonts w:ascii="Arial" w:hAnsi="Arial" w:cs="Arial"/>
                <w:sz w:val="16"/>
                <w:szCs w:val="16"/>
              </w:rPr>
              <w:noBreakHyphen/>
            </w:r>
          </w:p>
        </w:tc>
        <w:tc>
          <w:tcPr>
            <w:tcW w:w="574" w:type="pct"/>
            <w:tcBorders>
              <w:top w:val="nil"/>
              <w:left w:val="nil"/>
              <w:bottom w:val="nil"/>
              <w:right w:val="nil"/>
            </w:tcBorders>
            <w:shd w:val="clear" w:color="auto" w:fill="auto"/>
            <w:noWrap/>
            <w:vAlign w:val="center"/>
            <w:hideMark/>
          </w:tcPr>
          <w:p w14:paraId="08B0453C" w14:textId="77777777" w:rsidR="006935EF" w:rsidRPr="006935EF" w:rsidRDefault="006935EF" w:rsidP="006935EF">
            <w:pPr>
              <w:spacing w:after="0" w:line="240" w:lineRule="auto"/>
              <w:ind w:firstLineChars="200" w:firstLine="32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6D5CD72D"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1DB7C506" w14:textId="77777777" w:rsidR="006935EF" w:rsidRPr="006935EF" w:rsidRDefault="006935EF" w:rsidP="006935EF">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2E0E2B68" w14:textId="77777777" w:rsidR="006935EF" w:rsidRPr="006935EF" w:rsidRDefault="006935EF" w:rsidP="006935EF">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70A3FF68" w14:textId="77777777" w:rsidR="006935EF" w:rsidRPr="006935EF" w:rsidRDefault="006935EF" w:rsidP="006935EF">
            <w:pPr>
              <w:spacing w:after="0" w:line="240" w:lineRule="auto"/>
              <w:jc w:val="right"/>
              <w:rPr>
                <w:rFonts w:ascii="Times New Roman" w:hAnsi="Times New Roman"/>
              </w:rPr>
            </w:pPr>
          </w:p>
        </w:tc>
      </w:tr>
      <w:tr w:rsidR="006935EF" w:rsidRPr="006935EF" w14:paraId="3E81545B" w14:textId="77777777" w:rsidTr="006935EF">
        <w:trPr>
          <w:trHeight w:hRule="exact" w:val="235"/>
        </w:trPr>
        <w:tc>
          <w:tcPr>
            <w:tcW w:w="2130" w:type="pct"/>
            <w:tcBorders>
              <w:top w:val="nil"/>
              <w:left w:val="nil"/>
              <w:bottom w:val="nil"/>
              <w:right w:val="nil"/>
            </w:tcBorders>
            <w:shd w:val="clear" w:color="000000" w:fill="FFFFFF"/>
            <w:vAlign w:val="center"/>
            <w:hideMark/>
          </w:tcPr>
          <w:p w14:paraId="773A72FB" w14:textId="1823A2C7" w:rsidR="006935EF" w:rsidRPr="006935EF" w:rsidRDefault="001833A3" w:rsidP="006935EF">
            <w:pPr>
              <w:spacing w:after="0" w:line="240" w:lineRule="auto"/>
              <w:ind w:left="510"/>
              <w:jc w:val="left"/>
              <w:rPr>
                <w:rFonts w:ascii="Arial" w:hAnsi="Arial" w:cs="Arial"/>
                <w:sz w:val="16"/>
                <w:szCs w:val="16"/>
              </w:rPr>
            </w:pPr>
            <w:r w:rsidRPr="006935EF">
              <w:rPr>
                <w:rFonts w:ascii="Arial" w:hAnsi="Arial" w:cs="Arial"/>
                <w:i/>
                <w:iCs/>
                <w:sz w:val="16"/>
                <w:szCs w:val="16"/>
              </w:rPr>
              <w:t>Federal Financial Relations Act 2009</w:t>
            </w:r>
          </w:p>
        </w:tc>
        <w:tc>
          <w:tcPr>
            <w:tcW w:w="574" w:type="pct"/>
            <w:tcBorders>
              <w:top w:val="nil"/>
              <w:left w:val="nil"/>
              <w:bottom w:val="nil"/>
              <w:right w:val="nil"/>
            </w:tcBorders>
            <w:shd w:val="clear" w:color="auto" w:fill="auto"/>
            <w:noWrap/>
            <w:vAlign w:val="center"/>
            <w:hideMark/>
          </w:tcPr>
          <w:p w14:paraId="185A036B" w14:textId="77777777" w:rsidR="006935EF" w:rsidRPr="006935EF" w:rsidRDefault="006935EF" w:rsidP="006935EF">
            <w:pPr>
              <w:spacing w:after="0" w:line="240" w:lineRule="auto"/>
              <w:jc w:val="right"/>
              <w:rPr>
                <w:rFonts w:ascii="Arial" w:hAnsi="Arial" w:cs="Arial"/>
                <w:color w:val="000000"/>
                <w:sz w:val="16"/>
                <w:szCs w:val="16"/>
              </w:rPr>
            </w:pPr>
            <w:r w:rsidRPr="006935EF">
              <w:rPr>
                <w:rFonts w:ascii="Arial" w:hAnsi="Arial" w:cs="Arial"/>
                <w:color w:val="000000"/>
                <w:sz w:val="16"/>
                <w:szCs w:val="16"/>
              </w:rPr>
              <w:t xml:space="preserve">1,616,170 </w:t>
            </w:r>
          </w:p>
        </w:tc>
        <w:tc>
          <w:tcPr>
            <w:tcW w:w="574" w:type="pct"/>
            <w:tcBorders>
              <w:top w:val="nil"/>
              <w:left w:val="nil"/>
              <w:bottom w:val="nil"/>
              <w:right w:val="nil"/>
            </w:tcBorders>
            <w:shd w:val="clear" w:color="000000" w:fill="E6E6E6"/>
            <w:noWrap/>
            <w:vAlign w:val="center"/>
            <w:hideMark/>
          </w:tcPr>
          <w:p w14:paraId="5041D9A4"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xml:space="preserve">1,644,502 </w:t>
            </w:r>
          </w:p>
        </w:tc>
        <w:tc>
          <w:tcPr>
            <w:tcW w:w="574" w:type="pct"/>
            <w:tcBorders>
              <w:top w:val="nil"/>
              <w:left w:val="nil"/>
              <w:bottom w:val="nil"/>
              <w:right w:val="nil"/>
            </w:tcBorders>
            <w:shd w:val="clear" w:color="auto" w:fill="auto"/>
            <w:noWrap/>
            <w:vAlign w:val="center"/>
            <w:hideMark/>
          </w:tcPr>
          <w:p w14:paraId="09474425"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xml:space="preserve">1,604,931 </w:t>
            </w:r>
          </w:p>
        </w:tc>
        <w:tc>
          <w:tcPr>
            <w:tcW w:w="574" w:type="pct"/>
            <w:tcBorders>
              <w:top w:val="nil"/>
              <w:left w:val="nil"/>
              <w:bottom w:val="nil"/>
              <w:right w:val="nil"/>
            </w:tcBorders>
            <w:shd w:val="clear" w:color="auto" w:fill="auto"/>
            <w:noWrap/>
            <w:vAlign w:val="center"/>
            <w:hideMark/>
          </w:tcPr>
          <w:p w14:paraId="0E0DF192"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xml:space="preserve">1,630,610 </w:t>
            </w:r>
          </w:p>
        </w:tc>
        <w:tc>
          <w:tcPr>
            <w:tcW w:w="574" w:type="pct"/>
            <w:tcBorders>
              <w:top w:val="nil"/>
              <w:left w:val="nil"/>
              <w:bottom w:val="nil"/>
              <w:right w:val="nil"/>
            </w:tcBorders>
            <w:shd w:val="clear" w:color="auto" w:fill="auto"/>
            <w:noWrap/>
            <w:vAlign w:val="center"/>
            <w:hideMark/>
          </w:tcPr>
          <w:p w14:paraId="47F9355F" w14:textId="77777777" w:rsidR="006935EF" w:rsidRPr="006935EF" w:rsidRDefault="006935EF" w:rsidP="006935EF">
            <w:pPr>
              <w:spacing w:after="0" w:line="240" w:lineRule="auto"/>
              <w:jc w:val="right"/>
              <w:rPr>
                <w:rFonts w:ascii="Arial" w:hAnsi="Arial" w:cs="Arial"/>
                <w:sz w:val="16"/>
                <w:szCs w:val="16"/>
              </w:rPr>
            </w:pPr>
            <w:r w:rsidRPr="006935EF">
              <w:rPr>
                <w:rFonts w:ascii="Arial" w:hAnsi="Arial" w:cs="Arial"/>
                <w:sz w:val="16"/>
                <w:szCs w:val="16"/>
              </w:rPr>
              <w:t xml:space="preserve">1,655,069 </w:t>
            </w:r>
          </w:p>
        </w:tc>
      </w:tr>
      <w:tr w:rsidR="006935EF" w:rsidRPr="006935EF" w14:paraId="3592471D" w14:textId="77777777" w:rsidTr="006935EF">
        <w:trPr>
          <w:trHeight w:hRule="exact" w:val="235"/>
        </w:trPr>
        <w:tc>
          <w:tcPr>
            <w:tcW w:w="2130" w:type="pct"/>
            <w:tcBorders>
              <w:top w:val="nil"/>
              <w:left w:val="nil"/>
              <w:bottom w:val="nil"/>
              <w:right w:val="nil"/>
            </w:tcBorders>
            <w:shd w:val="clear" w:color="auto" w:fill="auto"/>
            <w:vAlign w:val="center"/>
            <w:hideMark/>
          </w:tcPr>
          <w:p w14:paraId="028DEE8B" w14:textId="77777777" w:rsidR="006935EF" w:rsidRPr="006935EF" w:rsidRDefault="006935EF" w:rsidP="006935EF">
            <w:pPr>
              <w:spacing w:after="0" w:line="240" w:lineRule="auto"/>
              <w:jc w:val="right"/>
              <w:rPr>
                <w:rFonts w:ascii="Arial" w:hAnsi="Arial" w:cs="Arial"/>
                <w:b/>
                <w:bCs/>
                <w:sz w:val="16"/>
                <w:szCs w:val="16"/>
              </w:rPr>
            </w:pPr>
            <w:r w:rsidRPr="006935EF">
              <w:rPr>
                <w:rFonts w:ascii="Arial" w:hAnsi="Arial" w:cs="Arial"/>
                <w:b/>
                <w:bCs/>
                <w:sz w:val="16"/>
                <w:szCs w:val="16"/>
              </w:rPr>
              <w:t>Administered total</w:t>
            </w:r>
          </w:p>
        </w:tc>
        <w:tc>
          <w:tcPr>
            <w:tcW w:w="574" w:type="pct"/>
            <w:tcBorders>
              <w:top w:val="single" w:sz="4" w:space="0" w:color="000000"/>
              <w:left w:val="nil"/>
              <w:bottom w:val="single" w:sz="4" w:space="0" w:color="000000"/>
              <w:right w:val="nil"/>
            </w:tcBorders>
            <w:shd w:val="clear" w:color="auto" w:fill="auto"/>
            <w:noWrap/>
            <w:vAlign w:val="center"/>
            <w:hideMark/>
          </w:tcPr>
          <w:p w14:paraId="1A0508EA"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1,616,170 </w:t>
            </w:r>
          </w:p>
        </w:tc>
        <w:tc>
          <w:tcPr>
            <w:tcW w:w="574" w:type="pct"/>
            <w:tcBorders>
              <w:top w:val="single" w:sz="4" w:space="0" w:color="000000"/>
              <w:left w:val="nil"/>
              <w:bottom w:val="single" w:sz="4" w:space="0" w:color="000000"/>
              <w:right w:val="nil"/>
            </w:tcBorders>
            <w:shd w:val="clear" w:color="000000" w:fill="E6E6E6"/>
            <w:noWrap/>
            <w:vAlign w:val="center"/>
            <w:hideMark/>
          </w:tcPr>
          <w:p w14:paraId="4E33B840" w14:textId="77777777" w:rsidR="006935EF" w:rsidRPr="006935EF" w:rsidRDefault="006935EF" w:rsidP="006935EF">
            <w:pPr>
              <w:spacing w:after="0" w:line="240" w:lineRule="auto"/>
              <w:jc w:val="right"/>
              <w:rPr>
                <w:rFonts w:ascii="Arial" w:hAnsi="Arial" w:cs="Arial"/>
                <w:b/>
                <w:bCs/>
                <w:sz w:val="16"/>
                <w:szCs w:val="16"/>
              </w:rPr>
            </w:pPr>
            <w:r w:rsidRPr="006935EF">
              <w:rPr>
                <w:rFonts w:ascii="Arial" w:hAnsi="Arial" w:cs="Arial"/>
                <w:b/>
                <w:bCs/>
                <w:sz w:val="16"/>
                <w:szCs w:val="16"/>
              </w:rPr>
              <w:t xml:space="preserve">1,644,502 </w:t>
            </w:r>
          </w:p>
        </w:tc>
        <w:tc>
          <w:tcPr>
            <w:tcW w:w="574" w:type="pct"/>
            <w:tcBorders>
              <w:top w:val="single" w:sz="4" w:space="0" w:color="000000"/>
              <w:left w:val="nil"/>
              <w:bottom w:val="single" w:sz="4" w:space="0" w:color="000000"/>
              <w:right w:val="nil"/>
            </w:tcBorders>
            <w:shd w:val="clear" w:color="auto" w:fill="auto"/>
            <w:noWrap/>
            <w:vAlign w:val="center"/>
            <w:hideMark/>
          </w:tcPr>
          <w:p w14:paraId="3130456B"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1,604,931 </w:t>
            </w:r>
          </w:p>
        </w:tc>
        <w:tc>
          <w:tcPr>
            <w:tcW w:w="574" w:type="pct"/>
            <w:tcBorders>
              <w:top w:val="single" w:sz="4" w:space="0" w:color="000000"/>
              <w:left w:val="nil"/>
              <w:bottom w:val="single" w:sz="4" w:space="0" w:color="000000"/>
              <w:right w:val="nil"/>
            </w:tcBorders>
            <w:shd w:val="clear" w:color="auto" w:fill="auto"/>
            <w:noWrap/>
            <w:vAlign w:val="center"/>
            <w:hideMark/>
          </w:tcPr>
          <w:p w14:paraId="23E3EF5E"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1,630,610 </w:t>
            </w:r>
          </w:p>
        </w:tc>
        <w:tc>
          <w:tcPr>
            <w:tcW w:w="574" w:type="pct"/>
            <w:tcBorders>
              <w:top w:val="single" w:sz="4" w:space="0" w:color="000000"/>
              <w:left w:val="nil"/>
              <w:bottom w:val="single" w:sz="4" w:space="0" w:color="000000"/>
              <w:right w:val="nil"/>
            </w:tcBorders>
            <w:shd w:val="clear" w:color="auto" w:fill="auto"/>
            <w:noWrap/>
            <w:vAlign w:val="center"/>
            <w:hideMark/>
          </w:tcPr>
          <w:p w14:paraId="7A62A649"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1,655,069 </w:t>
            </w:r>
          </w:p>
        </w:tc>
      </w:tr>
      <w:tr w:rsidR="006935EF" w:rsidRPr="006935EF" w14:paraId="2FBAD120" w14:textId="77777777" w:rsidTr="006935EF">
        <w:trPr>
          <w:trHeight w:hRule="exact" w:val="235"/>
        </w:trPr>
        <w:tc>
          <w:tcPr>
            <w:tcW w:w="2130" w:type="pct"/>
            <w:tcBorders>
              <w:top w:val="nil"/>
              <w:left w:val="nil"/>
              <w:bottom w:val="single" w:sz="4" w:space="0" w:color="000000"/>
              <w:right w:val="nil"/>
            </w:tcBorders>
            <w:shd w:val="clear" w:color="auto" w:fill="auto"/>
            <w:noWrap/>
            <w:vAlign w:val="center"/>
            <w:hideMark/>
          </w:tcPr>
          <w:p w14:paraId="47BF0278" w14:textId="77777777" w:rsidR="006935EF" w:rsidRPr="006935EF" w:rsidRDefault="006935EF" w:rsidP="006935EF">
            <w:pPr>
              <w:spacing w:after="0" w:line="240" w:lineRule="auto"/>
              <w:jc w:val="left"/>
              <w:rPr>
                <w:rFonts w:ascii="Arial" w:hAnsi="Arial" w:cs="Arial"/>
                <w:b/>
                <w:bCs/>
                <w:sz w:val="16"/>
                <w:szCs w:val="16"/>
              </w:rPr>
            </w:pPr>
            <w:r w:rsidRPr="006935EF">
              <w:rPr>
                <w:rFonts w:ascii="Arial" w:hAnsi="Arial" w:cs="Arial"/>
                <w:b/>
                <w:bCs/>
                <w:sz w:val="16"/>
                <w:szCs w:val="16"/>
              </w:rPr>
              <w:t>Total expenses for program 1.8</w:t>
            </w:r>
          </w:p>
        </w:tc>
        <w:tc>
          <w:tcPr>
            <w:tcW w:w="574" w:type="pct"/>
            <w:tcBorders>
              <w:top w:val="nil"/>
              <w:left w:val="nil"/>
              <w:bottom w:val="single" w:sz="4" w:space="0" w:color="000000"/>
              <w:right w:val="nil"/>
            </w:tcBorders>
            <w:shd w:val="clear" w:color="auto" w:fill="auto"/>
            <w:noWrap/>
            <w:vAlign w:val="center"/>
            <w:hideMark/>
          </w:tcPr>
          <w:p w14:paraId="05CE94C2"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1,616,170 </w:t>
            </w:r>
          </w:p>
        </w:tc>
        <w:tc>
          <w:tcPr>
            <w:tcW w:w="574" w:type="pct"/>
            <w:tcBorders>
              <w:top w:val="nil"/>
              <w:left w:val="nil"/>
              <w:bottom w:val="single" w:sz="4" w:space="0" w:color="000000"/>
              <w:right w:val="nil"/>
            </w:tcBorders>
            <w:shd w:val="clear" w:color="000000" w:fill="E6E6E6"/>
            <w:noWrap/>
            <w:vAlign w:val="center"/>
            <w:hideMark/>
          </w:tcPr>
          <w:p w14:paraId="612D7DD0" w14:textId="77777777" w:rsidR="006935EF" w:rsidRPr="006935EF" w:rsidRDefault="006935EF" w:rsidP="006935EF">
            <w:pPr>
              <w:spacing w:after="0" w:line="240" w:lineRule="auto"/>
              <w:jc w:val="right"/>
              <w:rPr>
                <w:rFonts w:ascii="Arial" w:hAnsi="Arial" w:cs="Arial"/>
                <w:b/>
                <w:bCs/>
                <w:sz w:val="16"/>
                <w:szCs w:val="16"/>
              </w:rPr>
            </w:pPr>
            <w:r w:rsidRPr="006935EF">
              <w:rPr>
                <w:rFonts w:ascii="Arial" w:hAnsi="Arial" w:cs="Arial"/>
                <w:b/>
                <w:bCs/>
                <w:sz w:val="16"/>
                <w:szCs w:val="16"/>
              </w:rPr>
              <w:t xml:space="preserve">1,644,502 </w:t>
            </w:r>
          </w:p>
        </w:tc>
        <w:tc>
          <w:tcPr>
            <w:tcW w:w="574" w:type="pct"/>
            <w:tcBorders>
              <w:top w:val="nil"/>
              <w:left w:val="nil"/>
              <w:bottom w:val="single" w:sz="4" w:space="0" w:color="000000"/>
              <w:right w:val="nil"/>
            </w:tcBorders>
            <w:shd w:val="clear" w:color="auto" w:fill="auto"/>
            <w:noWrap/>
            <w:vAlign w:val="center"/>
            <w:hideMark/>
          </w:tcPr>
          <w:p w14:paraId="29407C44"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1,604,931 </w:t>
            </w:r>
          </w:p>
        </w:tc>
        <w:tc>
          <w:tcPr>
            <w:tcW w:w="574" w:type="pct"/>
            <w:tcBorders>
              <w:top w:val="nil"/>
              <w:left w:val="nil"/>
              <w:bottom w:val="single" w:sz="4" w:space="0" w:color="000000"/>
              <w:right w:val="nil"/>
            </w:tcBorders>
            <w:shd w:val="clear" w:color="auto" w:fill="auto"/>
            <w:noWrap/>
            <w:vAlign w:val="center"/>
            <w:hideMark/>
          </w:tcPr>
          <w:p w14:paraId="29EBFF2B"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1,630,610 </w:t>
            </w:r>
          </w:p>
        </w:tc>
        <w:tc>
          <w:tcPr>
            <w:tcW w:w="574" w:type="pct"/>
            <w:tcBorders>
              <w:top w:val="nil"/>
              <w:left w:val="nil"/>
              <w:bottom w:val="single" w:sz="4" w:space="0" w:color="000000"/>
              <w:right w:val="nil"/>
            </w:tcBorders>
            <w:shd w:val="clear" w:color="auto" w:fill="auto"/>
            <w:noWrap/>
            <w:vAlign w:val="center"/>
            <w:hideMark/>
          </w:tcPr>
          <w:p w14:paraId="5DA8CC84" w14:textId="77777777" w:rsidR="006935EF" w:rsidRPr="006935EF" w:rsidRDefault="006935EF" w:rsidP="006935EF">
            <w:pPr>
              <w:spacing w:after="0" w:line="240" w:lineRule="auto"/>
              <w:jc w:val="right"/>
              <w:rPr>
                <w:rFonts w:ascii="Arial" w:hAnsi="Arial" w:cs="Arial"/>
                <w:b/>
                <w:bCs/>
                <w:color w:val="000000"/>
                <w:sz w:val="16"/>
                <w:szCs w:val="16"/>
              </w:rPr>
            </w:pPr>
            <w:r w:rsidRPr="006935EF">
              <w:rPr>
                <w:rFonts w:ascii="Arial" w:hAnsi="Arial" w:cs="Arial"/>
                <w:b/>
                <w:bCs/>
                <w:color w:val="000000"/>
                <w:sz w:val="16"/>
                <w:szCs w:val="16"/>
              </w:rPr>
              <w:t xml:space="preserve">1,655,069 </w:t>
            </w:r>
          </w:p>
        </w:tc>
      </w:tr>
    </w:tbl>
    <w:p w14:paraId="0F5FEF06" w14:textId="086A6706" w:rsidR="00DC2A23" w:rsidRPr="00DC2A23" w:rsidRDefault="00DC2A23" w:rsidP="00DC2A23">
      <w:pPr>
        <w:pStyle w:val="TableHeadingcontinued0"/>
        <w:spacing w:after="0"/>
      </w:pPr>
    </w:p>
    <w:p w14:paraId="45A414AE" w14:textId="30AFC9FF" w:rsidR="00DC2A23" w:rsidRDefault="00DC2A23" w:rsidP="00EC4677">
      <w:pPr>
        <w:pStyle w:val="ChartGraphic"/>
        <w:jc w:val="both"/>
        <w:sectPr w:rsidR="00DC2A23" w:rsidSect="0018207F">
          <w:headerReference w:type="even" r:id="rId22"/>
          <w:headerReference w:type="default" r:id="rId23"/>
          <w:footerReference w:type="even" r:id="rId24"/>
          <w:footerReference w:type="default" r:id="rId25"/>
          <w:headerReference w:type="first" r:id="rId26"/>
          <w:footerReference w:type="first" r:id="rId27"/>
          <w:pgSz w:w="16840" w:h="11907" w:code="9"/>
          <w:pgMar w:top="2098" w:right="2835" w:bottom="2098" w:left="2466" w:header="1531" w:footer="1531" w:gutter="0"/>
          <w:cols w:space="708"/>
          <w:titlePg/>
          <w:docGrid w:linePitch="360"/>
        </w:sectPr>
      </w:pPr>
    </w:p>
    <w:p w14:paraId="574F24A1" w14:textId="1C096D38" w:rsidR="008B1DAB" w:rsidRPr="008B1DAB" w:rsidRDefault="00DF2C5D" w:rsidP="009516EB">
      <w:pPr>
        <w:pStyle w:val="TableHeadingcontinued0"/>
      </w:pPr>
      <w:r w:rsidRPr="008B1DAB">
        <w:lastRenderedPageBreak/>
        <w:t xml:space="preserve">Table 2.1: Budgeted expenses for Outcome </w:t>
      </w:r>
      <w:r w:rsidR="00C75E22" w:rsidRPr="008B1DAB">
        <w:t>1</w:t>
      </w:r>
      <w:r w:rsidR="00C91347" w:rsidRPr="008B1DAB">
        <w:t xml:space="preserve"> (continued)</w:t>
      </w:r>
    </w:p>
    <w:tbl>
      <w:tblPr>
        <w:tblW w:w="5000" w:type="pct"/>
        <w:tblCellMar>
          <w:left w:w="0" w:type="dxa"/>
          <w:right w:w="28" w:type="dxa"/>
        </w:tblCellMar>
        <w:tblLook w:val="04A0" w:firstRow="1" w:lastRow="0" w:firstColumn="1" w:lastColumn="0" w:noHBand="0" w:noVBand="1"/>
      </w:tblPr>
      <w:tblGrid>
        <w:gridCol w:w="4915"/>
        <w:gridCol w:w="1324"/>
        <w:gridCol w:w="1325"/>
        <w:gridCol w:w="1325"/>
        <w:gridCol w:w="1325"/>
        <w:gridCol w:w="1325"/>
      </w:tblGrid>
      <w:tr w:rsidR="008B1DAB" w:rsidRPr="008B1DAB" w14:paraId="2BB254CC" w14:textId="77777777" w:rsidTr="008B1DAB">
        <w:trPr>
          <w:trHeight w:hRule="exact" w:val="900"/>
        </w:trPr>
        <w:tc>
          <w:tcPr>
            <w:tcW w:w="2130" w:type="pct"/>
            <w:tcBorders>
              <w:top w:val="single" w:sz="4" w:space="0" w:color="auto"/>
              <w:left w:val="nil"/>
              <w:bottom w:val="single" w:sz="4" w:space="0" w:color="auto"/>
              <w:right w:val="nil"/>
            </w:tcBorders>
            <w:shd w:val="clear" w:color="auto" w:fill="auto"/>
            <w:vAlign w:val="center"/>
            <w:hideMark/>
          </w:tcPr>
          <w:p w14:paraId="61611F15" w14:textId="7D8E4DE4" w:rsidR="008B1DAB" w:rsidRPr="008B1DAB" w:rsidRDefault="008B1DAB" w:rsidP="008B1DAB">
            <w:pPr>
              <w:spacing w:after="0" w:line="240" w:lineRule="auto"/>
              <w:rPr>
                <w:rFonts w:ascii="Arial" w:hAnsi="Arial" w:cs="Arial"/>
                <w:b/>
                <w:bCs/>
                <w:color w:val="000000"/>
                <w:sz w:val="16"/>
                <w:szCs w:val="16"/>
              </w:rPr>
            </w:pPr>
            <w:r w:rsidRPr="008B1DAB">
              <w:rPr>
                <w:rFonts w:ascii="Arial" w:hAnsi="Arial" w:cs="Arial"/>
                <w:b/>
                <w:bCs/>
                <w:color w:val="000000"/>
                <w:sz w:val="16"/>
                <w:szCs w:val="16"/>
              </w:rPr>
              <w:t> </w:t>
            </w:r>
          </w:p>
        </w:tc>
        <w:tc>
          <w:tcPr>
            <w:tcW w:w="574" w:type="pct"/>
            <w:tcBorders>
              <w:top w:val="single" w:sz="4" w:space="0" w:color="auto"/>
              <w:left w:val="nil"/>
              <w:bottom w:val="single" w:sz="4" w:space="0" w:color="auto"/>
              <w:right w:val="nil"/>
            </w:tcBorders>
            <w:shd w:val="clear" w:color="auto" w:fill="auto"/>
            <w:hideMark/>
          </w:tcPr>
          <w:p w14:paraId="65F252BA" w14:textId="7C3E75DB"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2021</w:t>
            </w:r>
            <w:r w:rsidR="00B33758">
              <w:rPr>
                <w:rFonts w:ascii="Arial" w:hAnsi="Arial" w:cs="Arial"/>
                <w:sz w:val="16"/>
                <w:szCs w:val="16"/>
              </w:rPr>
              <w:noBreakHyphen/>
            </w:r>
            <w:r w:rsidRPr="008B1DAB">
              <w:rPr>
                <w:rFonts w:ascii="Arial" w:hAnsi="Arial" w:cs="Arial"/>
                <w:sz w:val="16"/>
                <w:szCs w:val="16"/>
              </w:rPr>
              <w:t>22 Estimated actual</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c>
          <w:tcPr>
            <w:tcW w:w="574" w:type="pct"/>
            <w:tcBorders>
              <w:top w:val="single" w:sz="4" w:space="0" w:color="auto"/>
              <w:left w:val="nil"/>
              <w:bottom w:val="single" w:sz="4" w:space="0" w:color="auto"/>
              <w:right w:val="nil"/>
            </w:tcBorders>
            <w:shd w:val="clear" w:color="000000" w:fill="E6E6E6"/>
            <w:hideMark/>
          </w:tcPr>
          <w:p w14:paraId="1C5C8B34" w14:textId="38A7FDF9"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2022</w:t>
            </w:r>
            <w:r w:rsidR="00B33758">
              <w:rPr>
                <w:rFonts w:ascii="Arial" w:hAnsi="Arial" w:cs="Arial"/>
                <w:sz w:val="16"/>
                <w:szCs w:val="16"/>
              </w:rPr>
              <w:noBreakHyphen/>
            </w:r>
            <w:r w:rsidRPr="008B1DAB">
              <w:rPr>
                <w:rFonts w:ascii="Arial" w:hAnsi="Arial" w:cs="Arial"/>
                <w:sz w:val="16"/>
                <w:szCs w:val="16"/>
              </w:rPr>
              <w:t>23</w:t>
            </w:r>
            <w:r w:rsidRPr="008B1DAB">
              <w:rPr>
                <w:rFonts w:ascii="Arial" w:hAnsi="Arial" w:cs="Arial"/>
                <w:sz w:val="16"/>
                <w:szCs w:val="16"/>
              </w:rPr>
              <w:br/>
              <w:t>Budget</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2555175E" w14:textId="309E716B"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2023</w:t>
            </w:r>
            <w:r w:rsidR="00B33758">
              <w:rPr>
                <w:rFonts w:ascii="Arial" w:hAnsi="Arial" w:cs="Arial"/>
                <w:sz w:val="16"/>
                <w:szCs w:val="16"/>
              </w:rPr>
              <w:noBreakHyphen/>
            </w:r>
            <w:r w:rsidRPr="008B1DAB">
              <w:rPr>
                <w:rFonts w:ascii="Arial" w:hAnsi="Arial" w:cs="Arial"/>
                <w:sz w:val="16"/>
                <w:szCs w:val="16"/>
              </w:rPr>
              <w:t xml:space="preserve">24 </w:t>
            </w:r>
            <w:r w:rsidRPr="008B1DAB">
              <w:rPr>
                <w:rFonts w:ascii="Arial" w:hAnsi="Arial" w:cs="Arial"/>
                <w:sz w:val="16"/>
                <w:szCs w:val="16"/>
              </w:rPr>
              <w:br/>
              <w:t>Forward estimate</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4C6E43F2" w14:textId="31C3F946"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2024</w:t>
            </w:r>
            <w:r w:rsidR="00B33758">
              <w:rPr>
                <w:rFonts w:ascii="Arial" w:hAnsi="Arial" w:cs="Arial"/>
                <w:sz w:val="16"/>
                <w:szCs w:val="16"/>
              </w:rPr>
              <w:noBreakHyphen/>
            </w:r>
            <w:r w:rsidRPr="008B1DAB">
              <w:rPr>
                <w:rFonts w:ascii="Arial" w:hAnsi="Arial" w:cs="Arial"/>
                <w:sz w:val="16"/>
                <w:szCs w:val="16"/>
              </w:rPr>
              <w:t xml:space="preserve">25 </w:t>
            </w:r>
            <w:r w:rsidRPr="008B1DAB">
              <w:rPr>
                <w:rFonts w:ascii="Arial" w:hAnsi="Arial" w:cs="Arial"/>
                <w:sz w:val="16"/>
                <w:szCs w:val="16"/>
              </w:rPr>
              <w:br/>
              <w:t>Forward estimate</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3D3169BD" w14:textId="724C0371"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2025</w:t>
            </w:r>
            <w:r w:rsidR="00B33758">
              <w:rPr>
                <w:rFonts w:ascii="Arial" w:hAnsi="Arial" w:cs="Arial"/>
                <w:sz w:val="16"/>
                <w:szCs w:val="16"/>
              </w:rPr>
              <w:noBreakHyphen/>
            </w:r>
            <w:r w:rsidRPr="008B1DAB">
              <w:rPr>
                <w:rFonts w:ascii="Arial" w:hAnsi="Arial" w:cs="Arial"/>
                <w:sz w:val="16"/>
                <w:szCs w:val="16"/>
              </w:rPr>
              <w:t>26</w:t>
            </w:r>
            <w:r w:rsidRPr="008B1DAB">
              <w:rPr>
                <w:rFonts w:ascii="Arial" w:hAnsi="Arial" w:cs="Arial"/>
                <w:sz w:val="16"/>
                <w:szCs w:val="16"/>
              </w:rPr>
              <w:br/>
              <w:t>Forward estimate</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r>
      <w:tr w:rsidR="008B1DAB" w:rsidRPr="008B1DAB" w14:paraId="54D254BE" w14:textId="77777777" w:rsidTr="008B1DAB">
        <w:trPr>
          <w:trHeight w:hRule="exact" w:val="225"/>
        </w:trPr>
        <w:tc>
          <w:tcPr>
            <w:tcW w:w="2704" w:type="pct"/>
            <w:gridSpan w:val="2"/>
            <w:tcBorders>
              <w:top w:val="nil"/>
              <w:left w:val="nil"/>
              <w:bottom w:val="single" w:sz="4" w:space="0" w:color="auto"/>
              <w:right w:val="nil"/>
            </w:tcBorders>
            <w:shd w:val="clear" w:color="000000" w:fill="E6E6E6"/>
            <w:noWrap/>
            <w:vAlign w:val="center"/>
            <w:hideMark/>
          </w:tcPr>
          <w:p w14:paraId="736BE77B"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Program 1.9: National Partnership Payments to the States</w:t>
            </w:r>
          </w:p>
        </w:tc>
        <w:tc>
          <w:tcPr>
            <w:tcW w:w="574" w:type="pct"/>
            <w:tcBorders>
              <w:top w:val="nil"/>
              <w:left w:val="nil"/>
              <w:bottom w:val="single" w:sz="4" w:space="0" w:color="auto"/>
              <w:right w:val="nil"/>
            </w:tcBorders>
            <w:shd w:val="clear" w:color="000000" w:fill="E6E6E6"/>
            <w:vAlign w:val="center"/>
            <w:hideMark/>
          </w:tcPr>
          <w:p w14:paraId="0D9C3D91"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3DF29C19"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1F5B3C4E"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 </w:t>
            </w:r>
          </w:p>
        </w:tc>
        <w:tc>
          <w:tcPr>
            <w:tcW w:w="574" w:type="pct"/>
            <w:tcBorders>
              <w:top w:val="nil"/>
              <w:left w:val="nil"/>
              <w:bottom w:val="single" w:sz="4" w:space="0" w:color="auto"/>
              <w:right w:val="nil"/>
            </w:tcBorders>
            <w:shd w:val="clear" w:color="000000" w:fill="E6E6E6"/>
            <w:vAlign w:val="center"/>
            <w:hideMark/>
          </w:tcPr>
          <w:p w14:paraId="0A255248"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 </w:t>
            </w:r>
          </w:p>
        </w:tc>
      </w:tr>
      <w:tr w:rsidR="008B1DAB" w:rsidRPr="008B1DAB" w14:paraId="4605211C" w14:textId="77777777" w:rsidTr="008B1DAB">
        <w:trPr>
          <w:trHeight w:hRule="exact" w:val="235"/>
        </w:trPr>
        <w:tc>
          <w:tcPr>
            <w:tcW w:w="2130" w:type="pct"/>
            <w:tcBorders>
              <w:top w:val="nil"/>
              <w:left w:val="nil"/>
              <w:bottom w:val="nil"/>
              <w:right w:val="nil"/>
            </w:tcBorders>
            <w:shd w:val="clear" w:color="auto" w:fill="auto"/>
            <w:noWrap/>
            <w:vAlign w:val="center"/>
            <w:hideMark/>
          </w:tcPr>
          <w:p w14:paraId="2409ECE5" w14:textId="77777777" w:rsidR="008B1DAB" w:rsidRPr="008B1DAB" w:rsidRDefault="008B1DAB" w:rsidP="008B1DAB">
            <w:pPr>
              <w:spacing w:after="0" w:line="240" w:lineRule="auto"/>
              <w:jc w:val="left"/>
              <w:rPr>
                <w:rFonts w:ascii="Arial" w:hAnsi="Arial" w:cs="Arial"/>
                <w:sz w:val="16"/>
                <w:szCs w:val="16"/>
              </w:rPr>
            </w:pPr>
            <w:r w:rsidRPr="008B1DAB">
              <w:rPr>
                <w:rFonts w:ascii="Arial" w:hAnsi="Arial" w:cs="Arial"/>
                <w:sz w:val="16"/>
                <w:szCs w:val="16"/>
              </w:rPr>
              <w:t>Administered expenses</w:t>
            </w:r>
          </w:p>
        </w:tc>
        <w:tc>
          <w:tcPr>
            <w:tcW w:w="574" w:type="pct"/>
            <w:tcBorders>
              <w:top w:val="nil"/>
              <w:left w:val="nil"/>
              <w:bottom w:val="nil"/>
              <w:right w:val="nil"/>
            </w:tcBorders>
            <w:shd w:val="clear" w:color="auto" w:fill="auto"/>
            <w:noWrap/>
            <w:vAlign w:val="center"/>
            <w:hideMark/>
          </w:tcPr>
          <w:p w14:paraId="2BD1C7F0" w14:textId="77777777" w:rsidR="008B1DAB" w:rsidRPr="008B1DAB" w:rsidRDefault="008B1DAB" w:rsidP="008B1DAB">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29F00540"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78063187" w14:textId="77777777" w:rsidR="008B1DAB" w:rsidRPr="008B1DAB" w:rsidRDefault="008B1DAB" w:rsidP="008B1DAB">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20A6FA9C" w14:textId="77777777" w:rsidR="008B1DAB" w:rsidRPr="008B1DAB" w:rsidRDefault="008B1DAB" w:rsidP="008B1DAB">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40E9022C" w14:textId="77777777" w:rsidR="008B1DAB" w:rsidRPr="008B1DAB" w:rsidRDefault="008B1DAB" w:rsidP="008B1DAB">
            <w:pPr>
              <w:spacing w:after="0" w:line="240" w:lineRule="auto"/>
              <w:jc w:val="right"/>
              <w:rPr>
                <w:rFonts w:ascii="Times New Roman" w:hAnsi="Times New Roman"/>
              </w:rPr>
            </w:pPr>
          </w:p>
        </w:tc>
      </w:tr>
      <w:tr w:rsidR="008B1DAB" w:rsidRPr="008B1DAB" w14:paraId="77A14AB5" w14:textId="77777777" w:rsidTr="008B1DAB">
        <w:trPr>
          <w:trHeight w:hRule="exact" w:val="235"/>
        </w:trPr>
        <w:tc>
          <w:tcPr>
            <w:tcW w:w="2130" w:type="pct"/>
            <w:tcBorders>
              <w:top w:val="nil"/>
              <w:left w:val="nil"/>
              <w:bottom w:val="nil"/>
              <w:right w:val="nil"/>
            </w:tcBorders>
            <w:shd w:val="clear" w:color="auto" w:fill="auto"/>
            <w:noWrap/>
            <w:vAlign w:val="center"/>
            <w:hideMark/>
          </w:tcPr>
          <w:p w14:paraId="4DD401D1" w14:textId="77777777" w:rsidR="008B1DAB" w:rsidRPr="008B1DAB" w:rsidRDefault="008B1DAB" w:rsidP="008B1DAB">
            <w:pPr>
              <w:spacing w:after="0" w:line="240" w:lineRule="auto"/>
              <w:ind w:left="170"/>
              <w:jc w:val="left"/>
              <w:rPr>
                <w:rFonts w:ascii="Arial" w:hAnsi="Arial" w:cs="Arial"/>
                <w:sz w:val="16"/>
                <w:szCs w:val="16"/>
              </w:rPr>
            </w:pPr>
            <w:r w:rsidRPr="008B1DAB">
              <w:rPr>
                <w:rFonts w:ascii="Arial" w:hAnsi="Arial" w:cs="Arial"/>
                <w:sz w:val="16"/>
                <w:szCs w:val="16"/>
              </w:rPr>
              <w:t>Special appropriations</w:t>
            </w:r>
          </w:p>
        </w:tc>
        <w:tc>
          <w:tcPr>
            <w:tcW w:w="574" w:type="pct"/>
            <w:tcBorders>
              <w:top w:val="nil"/>
              <w:left w:val="nil"/>
              <w:bottom w:val="nil"/>
              <w:right w:val="nil"/>
            </w:tcBorders>
            <w:shd w:val="clear" w:color="auto" w:fill="auto"/>
            <w:noWrap/>
            <w:vAlign w:val="center"/>
            <w:hideMark/>
          </w:tcPr>
          <w:p w14:paraId="5956962D" w14:textId="77777777" w:rsidR="008B1DAB" w:rsidRPr="008B1DAB" w:rsidRDefault="008B1DAB" w:rsidP="008B1DAB">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69CC21B9"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5736AD31" w14:textId="77777777" w:rsidR="008B1DAB" w:rsidRPr="008B1DAB" w:rsidRDefault="008B1DAB" w:rsidP="008B1DAB">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679F1BB9" w14:textId="77777777" w:rsidR="008B1DAB" w:rsidRPr="008B1DAB" w:rsidRDefault="008B1DAB" w:rsidP="008B1DAB">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5DF769C3" w14:textId="77777777" w:rsidR="008B1DAB" w:rsidRPr="008B1DAB" w:rsidRDefault="008B1DAB" w:rsidP="008B1DAB">
            <w:pPr>
              <w:spacing w:after="0" w:line="240" w:lineRule="auto"/>
              <w:jc w:val="right"/>
              <w:rPr>
                <w:rFonts w:ascii="Times New Roman" w:hAnsi="Times New Roman"/>
              </w:rPr>
            </w:pPr>
          </w:p>
        </w:tc>
      </w:tr>
      <w:tr w:rsidR="008B1DAB" w:rsidRPr="008B1DAB" w14:paraId="0D6A3166" w14:textId="77777777" w:rsidTr="008B1DAB">
        <w:trPr>
          <w:trHeight w:hRule="exact" w:val="225"/>
        </w:trPr>
        <w:tc>
          <w:tcPr>
            <w:tcW w:w="2130" w:type="pct"/>
            <w:tcBorders>
              <w:top w:val="nil"/>
              <w:left w:val="nil"/>
              <w:bottom w:val="nil"/>
              <w:right w:val="nil"/>
            </w:tcBorders>
            <w:shd w:val="clear" w:color="000000" w:fill="FFFFFF"/>
            <w:vAlign w:val="center"/>
            <w:hideMark/>
          </w:tcPr>
          <w:p w14:paraId="01BBFF0A" w14:textId="74ABC65D" w:rsidR="008B1DAB" w:rsidRPr="008B1DAB" w:rsidRDefault="008B1DAB" w:rsidP="008B1DAB">
            <w:pPr>
              <w:spacing w:after="0" w:line="240" w:lineRule="auto"/>
              <w:ind w:left="340"/>
              <w:jc w:val="left"/>
              <w:rPr>
                <w:rFonts w:ascii="Arial" w:hAnsi="Arial" w:cs="Arial"/>
                <w:sz w:val="16"/>
                <w:szCs w:val="16"/>
              </w:rPr>
            </w:pPr>
            <w:r w:rsidRPr="008B1DAB">
              <w:rPr>
                <w:rFonts w:ascii="Arial" w:hAnsi="Arial" w:cs="Arial"/>
                <w:sz w:val="16"/>
                <w:szCs w:val="16"/>
              </w:rPr>
              <w:t>National General Health Services SPP</w:t>
            </w:r>
            <w:r w:rsidR="00B33758">
              <w:rPr>
                <w:rFonts w:ascii="Arial" w:hAnsi="Arial" w:cs="Arial"/>
                <w:sz w:val="16"/>
                <w:szCs w:val="16"/>
              </w:rPr>
              <w:t xml:space="preserve"> – </w:t>
            </w:r>
          </w:p>
        </w:tc>
        <w:tc>
          <w:tcPr>
            <w:tcW w:w="574" w:type="pct"/>
            <w:tcBorders>
              <w:top w:val="nil"/>
              <w:left w:val="nil"/>
              <w:bottom w:val="nil"/>
              <w:right w:val="nil"/>
            </w:tcBorders>
            <w:shd w:val="clear" w:color="auto" w:fill="auto"/>
            <w:noWrap/>
            <w:vAlign w:val="center"/>
            <w:hideMark/>
          </w:tcPr>
          <w:p w14:paraId="2433CAB9" w14:textId="77777777" w:rsidR="008B1DAB" w:rsidRPr="008B1DAB" w:rsidRDefault="008B1DAB" w:rsidP="008B1DAB">
            <w:pPr>
              <w:spacing w:after="0" w:line="240" w:lineRule="auto"/>
              <w:ind w:firstLineChars="200" w:firstLine="32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71F4D580"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58AF8C7B" w14:textId="77777777" w:rsidR="008B1DAB" w:rsidRPr="008B1DAB" w:rsidRDefault="008B1DAB" w:rsidP="008B1DAB">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61AD239F" w14:textId="77777777" w:rsidR="008B1DAB" w:rsidRPr="008B1DAB" w:rsidRDefault="008B1DAB" w:rsidP="008B1DAB">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4A3C7BE7" w14:textId="77777777" w:rsidR="008B1DAB" w:rsidRPr="008B1DAB" w:rsidRDefault="008B1DAB" w:rsidP="008B1DAB">
            <w:pPr>
              <w:spacing w:after="0" w:line="240" w:lineRule="auto"/>
              <w:jc w:val="right"/>
              <w:rPr>
                <w:rFonts w:ascii="Times New Roman" w:hAnsi="Times New Roman"/>
              </w:rPr>
            </w:pPr>
          </w:p>
        </w:tc>
      </w:tr>
      <w:tr w:rsidR="008B1DAB" w:rsidRPr="008B1DAB" w14:paraId="4B4D247A" w14:textId="77777777" w:rsidTr="008B1DAB">
        <w:trPr>
          <w:trHeight w:hRule="exact" w:val="225"/>
        </w:trPr>
        <w:tc>
          <w:tcPr>
            <w:tcW w:w="2130" w:type="pct"/>
            <w:tcBorders>
              <w:top w:val="nil"/>
              <w:left w:val="nil"/>
              <w:bottom w:val="nil"/>
              <w:right w:val="nil"/>
            </w:tcBorders>
            <w:shd w:val="clear" w:color="000000" w:fill="FFFFFF"/>
            <w:vAlign w:val="center"/>
            <w:hideMark/>
          </w:tcPr>
          <w:p w14:paraId="3DF5DFC9" w14:textId="77777777" w:rsidR="008B1DAB" w:rsidRPr="008B1DAB" w:rsidRDefault="008B1DAB" w:rsidP="008B1DAB">
            <w:pPr>
              <w:spacing w:after="0" w:line="240" w:lineRule="auto"/>
              <w:ind w:left="510"/>
              <w:jc w:val="left"/>
              <w:rPr>
                <w:rFonts w:ascii="Arial" w:hAnsi="Arial" w:cs="Arial"/>
                <w:i/>
                <w:iCs/>
                <w:sz w:val="16"/>
                <w:szCs w:val="16"/>
              </w:rPr>
            </w:pPr>
            <w:r w:rsidRPr="008B1DAB">
              <w:rPr>
                <w:rFonts w:ascii="Arial" w:hAnsi="Arial" w:cs="Arial"/>
                <w:i/>
                <w:iCs/>
                <w:sz w:val="16"/>
                <w:szCs w:val="16"/>
              </w:rPr>
              <w:t>Federal Financial Relations Act 2009</w:t>
            </w:r>
          </w:p>
        </w:tc>
        <w:tc>
          <w:tcPr>
            <w:tcW w:w="574" w:type="pct"/>
            <w:tcBorders>
              <w:top w:val="nil"/>
              <w:left w:val="nil"/>
              <w:bottom w:val="nil"/>
              <w:right w:val="nil"/>
            </w:tcBorders>
            <w:shd w:val="clear" w:color="auto" w:fill="auto"/>
            <w:noWrap/>
            <w:vAlign w:val="center"/>
            <w:hideMark/>
          </w:tcPr>
          <w:p w14:paraId="1C96F1AC"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4,909,625 </w:t>
            </w:r>
          </w:p>
        </w:tc>
        <w:tc>
          <w:tcPr>
            <w:tcW w:w="574" w:type="pct"/>
            <w:tcBorders>
              <w:top w:val="nil"/>
              <w:left w:val="nil"/>
              <w:bottom w:val="nil"/>
              <w:right w:val="nil"/>
            </w:tcBorders>
            <w:shd w:val="clear" w:color="000000" w:fill="E6E6E6"/>
            <w:noWrap/>
            <w:vAlign w:val="center"/>
            <w:hideMark/>
          </w:tcPr>
          <w:p w14:paraId="65C20A2E"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934,055 </w:t>
            </w:r>
          </w:p>
        </w:tc>
        <w:tc>
          <w:tcPr>
            <w:tcW w:w="574" w:type="pct"/>
            <w:tcBorders>
              <w:top w:val="nil"/>
              <w:left w:val="nil"/>
              <w:bottom w:val="nil"/>
              <w:right w:val="nil"/>
            </w:tcBorders>
            <w:shd w:val="clear" w:color="auto" w:fill="auto"/>
            <w:noWrap/>
            <w:vAlign w:val="center"/>
            <w:hideMark/>
          </w:tcPr>
          <w:p w14:paraId="600D777A" w14:textId="0C39F093" w:rsidR="008B1DAB" w:rsidRPr="008B1DAB" w:rsidRDefault="00B33758" w:rsidP="008B1DAB">
            <w:pPr>
              <w:spacing w:after="0" w:line="240" w:lineRule="auto"/>
              <w:jc w:val="right"/>
              <w:rPr>
                <w:rFonts w:ascii="Arial" w:hAnsi="Arial" w:cs="Arial"/>
                <w:sz w:val="16"/>
                <w:szCs w:val="16"/>
              </w:rPr>
            </w:pPr>
            <w:r>
              <w:rPr>
                <w:rFonts w:ascii="Arial" w:hAnsi="Arial" w:cs="Arial"/>
                <w:sz w:val="16"/>
                <w:szCs w:val="16"/>
              </w:rPr>
              <w:noBreakHyphen/>
            </w:r>
            <w:r w:rsidR="008B1DAB" w:rsidRPr="008B1DAB">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7FAD6B51" w14:textId="0C6C1E8E" w:rsidR="008B1DAB" w:rsidRPr="008B1DAB" w:rsidRDefault="00B33758" w:rsidP="008B1DAB">
            <w:pPr>
              <w:spacing w:after="0" w:line="240" w:lineRule="auto"/>
              <w:jc w:val="right"/>
              <w:rPr>
                <w:rFonts w:ascii="Arial" w:hAnsi="Arial" w:cs="Arial"/>
                <w:sz w:val="16"/>
                <w:szCs w:val="16"/>
              </w:rPr>
            </w:pPr>
            <w:r>
              <w:rPr>
                <w:rFonts w:ascii="Arial" w:hAnsi="Arial" w:cs="Arial"/>
                <w:sz w:val="16"/>
                <w:szCs w:val="16"/>
              </w:rPr>
              <w:noBreakHyphen/>
            </w:r>
            <w:r w:rsidR="008B1DAB" w:rsidRPr="008B1DAB">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3AFB0720" w14:textId="760C3BFB" w:rsidR="008B1DAB" w:rsidRPr="008B1DAB" w:rsidRDefault="00B33758" w:rsidP="008B1DAB">
            <w:pPr>
              <w:spacing w:after="0" w:line="240" w:lineRule="auto"/>
              <w:jc w:val="right"/>
              <w:rPr>
                <w:rFonts w:ascii="Arial" w:hAnsi="Arial" w:cs="Arial"/>
                <w:sz w:val="16"/>
                <w:szCs w:val="16"/>
              </w:rPr>
            </w:pPr>
            <w:r>
              <w:rPr>
                <w:rFonts w:ascii="Arial" w:hAnsi="Arial" w:cs="Arial"/>
                <w:sz w:val="16"/>
                <w:szCs w:val="16"/>
              </w:rPr>
              <w:noBreakHyphen/>
            </w:r>
            <w:r w:rsidR="008B1DAB" w:rsidRPr="008B1DAB">
              <w:rPr>
                <w:rFonts w:ascii="Arial" w:hAnsi="Arial" w:cs="Arial"/>
                <w:sz w:val="16"/>
                <w:szCs w:val="16"/>
              </w:rPr>
              <w:t xml:space="preserve"> </w:t>
            </w:r>
          </w:p>
        </w:tc>
      </w:tr>
      <w:tr w:rsidR="008B1DAB" w:rsidRPr="008B1DAB" w14:paraId="7861A8C6" w14:textId="77777777" w:rsidTr="008B1DAB">
        <w:trPr>
          <w:trHeight w:hRule="exact" w:val="225"/>
        </w:trPr>
        <w:tc>
          <w:tcPr>
            <w:tcW w:w="2130" w:type="pct"/>
            <w:tcBorders>
              <w:top w:val="nil"/>
              <w:left w:val="nil"/>
              <w:bottom w:val="nil"/>
              <w:right w:val="nil"/>
            </w:tcBorders>
            <w:shd w:val="clear" w:color="000000" w:fill="FFFFFF"/>
            <w:vAlign w:val="center"/>
            <w:hideMark/>
          </w:tcPr>
          <w:p w14:paraId="697D2B98" w14:textId="77777777" w:rsidR="008B1DAB" w:rsidRPr="008B1DAB" w:rsidRDefault="008B1DAB" w:rsidP="008B1DAB">
            <w:pPr>
              <w:spacing w:after="0" w:line="240" w:lineRule="auto"/>
              <w:ind w:left="170"/>
              <w:jc w:val="left"/>
              <w:rPr>
                <w:rFonts w:ascii="Arial" w:hAnsi="Arial" w:cs="Arial"/>
                <w:sz w:val="16"/>
                <w:szCs w:val="16"/>
              </w:rPr>
            </w:pPr>
            <w:r w:rsidRPr="008B1DAB">
              <w:rPr>
                <w:rFonts w:ascii="Arial" w:hAnsi="Arial" w:cs="Arial"/>
                <w:sz w:val="16"/>
                <w:szCs w:val="16"/>
              </w:rPr>
              <w:t>Special accounts</w:t>
            </w:r>
          </w:p>
        </w:tc>
        <w:tc>
          <w:tcPr>
            <w:tcW w:w="574" w:type="pct"/>
            <w:tcBorders>
              <w:top w:val="nil"/>
              <w:left w:val="nil"/>
              <w:bottom w:val="nil"/>
              <w:right w:val="nil"/>
            </w:tcBorders>
            <w:shd w:val="clear" w:color="auto" w:fill="auto"/>
            <w:noWrap/>
            <w:vAlign w:val="center"/>
            <w:hideMark/>
          </w:tcPr>
          <w:p w14:paraId="01FE46CE" w14:textId="77777777" w:rsidR="008B1DAB" w:rsidRPr="008B1DAB" w:rsidRDefault="008B1DAB" w:rsidP="008B1DAB">
            <w:pPr>
              <w:spacing w:after="0" w:line="240" w:lineRule="auto"/>
              <w:ind w:firstLineChars="100" w:firstLine="160"/>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12EF057C"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76B225CF" w14:textId="77777777" w:rsidR="008B1DAB" w:rsidRPr="008B1DAB" w:rsidRDefault="008B1DAB" w:rsidP="008B1DAB">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2B617D26" w14:textId="77777777" w:rsidR="008B1DAB" w:rsidRPr="008B1DAB" w:rsidRDefault="008B1DAB" w:rsidP="008B1DAB">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560AD386" w14:textId="77777777" w:rsidR="008B1DAB" w:rsidRPr="008B1DAB" w:rsidRDefault="008B1DAB" w:rsidP="008B1DAB">
            <w:pPr>
              <w:spacing w:after="0" w:line="240" w:lineRule="auto"/>
              <w:jc w:val="right"/>
              <w:rPr>
                <w:rFonts w:ascii="Times New Roman" w:hAnsi="Times New Roman"/>
              </w:rPr>
            </w:pPr>
          </w:p>
        </w:tc>
      </w:tr>
      <w:tr w:rsidR="008B1DAB" w:rsidRPr="008B1DAB" w14:paraId="09B85877" w14:textId="77777777" w:rsidTr="008B1DAB">
        <w:trPr>
          <w:trHeight w:hRule="exact" w:val="225"/>
        </w:trPr>
        <w:tc>
          <w:tcPr>
            <w:tcW w:w="2130" w:type="pct"/>
            <w:tcBorders>
              <w:top w:val="nil"/>
              <w:left w:val="nil"/>
              <w:bottom w:val="nil"/>
              <w:right w:val="nil"/>
            </w:tcBorders>
            <w:shd w:val="clear" w:color="000000" w:fill="FFFFFF"/>
            <w:vAlign w:val="center"/>
            <w:hideMark/>
          </w:tcPr>
          <w:p w14:paraId="55949FC0" w14:textId="77777777" w:rsidR="008B1DAB" w:rsidRPr="008B1DAB" w:rsidRDefault="008B1DAB" w:rsidP="008B1DAB">
            <w:pPr>
              <w:spacing w:after="0" w:line="240" w:lineRule="auto"/>
              <w:ind w:left="340"/>
              <w:jc w:val="left"/>
              <w:rPr>
                <w:rFonts w:ascii="Arial" w:hAnsi="Arial" w:cs="Arial"/>
                <w:sz w:val="16"/>
                <w:szCs w:val="16"/>
              </w:rPr>
            </w:pPr>
            <w:r w:rsidRPr="008B1DAB">
              <w:rPr>
                <w:rFonts w:ascii="Arial" w:hAnsi="Arial" w:cs="Arial"/>
                <w:sz w:val="16"/>
                <w:szCs w:val="16"/>
              </w:rPr>
              <w:t>COAG Reform Fund</w:t>
            </w:r>
          </w:p>
        </w:tc>
        <w:tc>
          <w:tcPr>
            <w:tcW w:w="574" w:type="pct"/>
            <w:tcBorders>
              <w:top w:val="nil"/>
              <w:left w:val="nil"/>
              <w:bottom w:val="nil"/>
              <w:right w:val="nil"/>
            </w:tcBorders>
            <w:shd w:val="clear" w:color="auto" w:fill="auto"/>
            <w:noWrap/>
            <w:vAlign w:val="center"/>
            <w:hideMark/>
          </w:tcPr>
          <w:p w14:paraId="41C17146"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27,480,803 </w:t>
            </w:r>
          </w:p>
        </w:tc>
        <w:tc>
          <w:tcPr>
            <w:tcW w:w="574" w:type="pct"/>
            <w:tcBorders>
              <w:top w:val="nil"/>
              <w:left w:val="nil"/>
              <w:bottom w:val="nil"/>
              <w:right w:val="nil"/>
            </w:tcBorders>
            <w:shd w:val="clear" w:color="000000" w:fill="E6E6E6"/>
            <w:noWrap/>
            <w:vAlign w:val="center"/>
            <w:hideMark/>
          </w:tcPr>
          <w:p w14:paraId="3523732E"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20,978,671 </w:t>
            </w:r>
          </w:p>
        </w:tc>
        <w:tc>
          <w:tcPr>
            <w:tcW w:w="574" w:type="pct"/>
            <w:tcBorders>
              <w:top w:val="nil"/>
              <w:left w:val="nil"/>
              <w:bottom w:val="nil"/>
              <w:right w:val="nil"/>
            </w:tcBorders>
            <w:shd w:val="clear" w:color="auto" w:fill="auto"/>
            <w:noWrap/>
            <w:vAlign w:val="center"/>
            <w:hideMark/>
          </w:tcPr>
          <w:p w14:paraId="2C068301"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21,761,998 </w:t>
            </w:r>
          </w:p>
        </w:tc>
        <w:tc>
          <w:tcPr>
            <w:tcW w:w="574" w:type="pct"/>
            <w:tcBorders>
              <w:top w:val="nil"/>
              <w:left w:val="nil"/>
              <w:bottom w:val="nil"/>
              <w:right w:val="nil"/>
            </w:tcBorders>
            <w:shd w:val="clear" w:color="auto" w:fill="auto"/>
            <w:noWrap/>
            <w:vAlign w:val="center"/>
            <w:hideMark/>
          </w:tcPr>
          <w:p w14:paraId="10DC884B"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17,794,134 </w:t>
            </w:r>
          </w:p>
        </w:tc>
        <w:tc>
          <w:tcPr>
            <w:tcW w:w="574" w:type="pct"/>
            <w:tcBorders>
              <w:top w:val="nil"/>
              <w:left w:val="nil"/>
              <w:bottom w:val="nil"/>
              <w:right w:val="nil"/>
            </w:tcBorders>
            <w:shd w:val="clear" w:color="auto" w:fill="auto"/>
            <w:noWrap/>
            <w:vAlign w:val="center"/>
            <w:hideMark/>
          </w:tcPr>
          <w:p w14:paraId="7765714C"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11,215,821 </w:t>
            </w:r>
          </w:p>
        </w:tc>
      </w:tr>
      <w:tr w:rsidR="008B1DAB" w:rsidRPr="008B1DAB" w14:paraId="6D60BDD9" w14:textId="77777777" w:rsidTr="008B1DAB">
        <w:trPr>
          <w:trHeight w:hRule="exact" w:val="460"/>
        </w:trPr>
        <w:tc>
          <w:tcPr>
            <w:tcW w:w="2130" w:type="pct"/>
            <w:tcBorders>
              <w:top w:val="nil"/>
              <w:left w:val="nil"/>
              <w:bottom w:val="nil"/>
              <w:right w:val="nil"/>
            </w:tcBorders>
            <w:shd w:val="clear" w:color="000000" w:fill="FFFFFF"/>
            <w:vAlign w:val="center"/>
            <w:hideMark/>
          </w:tcPr>
          <w:p w14:paraId="0026776B" w14:textId="77777777" w:rsidR="008B1DAB" w:rsidRPr="008B1DAB" w:rsidRDefault="008B1DAB" w:rsidP="008B1DAB">
            <w:pPr>
              <w:spacing w:after="0" w:line="240" w:lineRule="auto"/>
              <w:ind w:left="170"/>
              <w:jc w:val="left"/>
              <w:rPr>
                <w:rFonts w:ascii="Arial" w:hAnsi="Arial" w:cs="Arial"/>
                <w:sz w:val="16"/>
                <w:szCs w:val="16"/>
              </w:rPr>
            </w:pPr>
            <w:r w:rsidRPr="008B1DAB">
              <w:rPr>
                <w:rFonts w:ascii="Arial" w:hAnsi="Arial" w:cs="Arial"/>
                <w:sz w:val="16"/>
                <w:szCs w:val="16"/>
              </w:rPr>
              <w:t>Expenses not requiring appropriation in the Budget</w:t>
            </w:r>
            <w:r w:rsidRPr="008B1DAB">
              <w:rPr>
                <w:rFonts w:ascii="Arial" w:hAnsi="Arial" w:cs="Arial"/>
                <w:sz w:val="16"/>
                <w:szCs w:val="16"/>
              </w:rPr>
              <w:br/>
              <w:t xml:space="preserve">  year (b)</w:t>
            </w:r>
          </w:p>
        </w:tc>
        <w:tc>
          <w:tcPr>
            <w:tcW w:w="574" w:type="pct"/>
            <w:tcBorders>
              <w:top w:val="nil"/>
              <w:left w:val="nil"/>
              <w:bottom w:val="nil"/>
              <w:right w:val="nil"/>
            </w:tcBorders>
            <w:shd w:val="clear" w:color="auto" w:fill="auto"/>
            <w:noWrap/>
            <w:vAlign w:val="center"/>
            <w:hideMark/>
          </w:tcPr>
          <w:p w14:paraId="5EC00176"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669,807 </w:t>
            </w:r>
          </w:p>
        </w:tc>
        <w:tc>
          <w:tcPr>
            <w:tcW w:w="574" w:type="pct"/>
            <w:tcBorders>
              <w:top w:val="nil"/>
              <w:left w:val="nil"/>
              <w:bottom w:val="nil"/>
              <w:right w:val="nil"/>
            </w:tcBorders>
            <w:shd w:val="clear" w:color="000000" w:fill="E6E6E6"/>
            <w:noWrap/>
            <w:vAlign w:val="center"/>
            <w:hideMark/>
          </w:tcPr>
          <w:p w14:paraId="0704F18D" w14:textId="3D37F53A" w:rsidR="008B1DAB" w:rsidRPr="008B1DAB" w:rsidRDefault="00B33758" w:rsidP="008B1DAB">
            <w:pPr>
              <w:spacing w:after="0" w:line="240" w:lineRule="auto"/>
              <w:jc w:val="right"/>
              <w:rPr>
                <w:rFonts w:ascii="Arial" w:hAnsi="Arial" w:cs="Arial"/>
                <w:sz w:val="16"/>
                <w:szCs w:val="16"/>
              </w:rPr>
            </w:pPr>
            <w:r>
              <w:rPr>
                <w:rFonts w:ascii="Arial" w:hAnsi="Arial" w:cs="Arial"/>
                <w:sz w:val="16"/>
                <w:szCs w:val="16"/>
              </w:rPr>
              <w:noBreakHyphen/>
            </w:r>
            <w:r w:rsidR="008B1DAB" w:rsidRPr="008B1DAB">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63B35C60" w14:textId="511B5222" w:rsidR="008B1DAB" w:rsidRPr="008B1DAB" w:rsidRDefault="00B33758" w:rsidP="008B1DAB">
            <w:pPr>
              <w:spacing w:after="0" w:line="240" w:lineRule="auto"/>
              <w:jc w:val="right"/>
              <w:rPr>
                <w:rFonts w:ascii="Arial" w:hAnsi="Arial" w:cs="Arial"/>
                <w:sz w:val="16"/>
                <w:szCs w:val="16"/>
              </w:rPr>
            </w:pPr>
            <w:r>
              <w:rPr>
                <w:rFonts w:ascii="Arial" w:hAnsi="Arial" w:cs="Arial"/>
                <w:sz w:val="16"/>
                <w:szCs w:val="16"/>
              </w:rPr>
              <w:noBreakHyphen/>
            </w:r>
            <w:r w:rsidR="008B1DAB" w:rsidRPr="008B1DAB">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72EBCAE1" w14:textId="24963D8D" w:rsidR="008B1DAB" w:rsidRPr="008B1DAB" w:rsidRDefault="00B33758" w:rsidP="008B1DAB">
            <w:pPr>
              <w:spacing w:after="0" w:line="240" w:lineRule="auto"/>
              <w:jc w:val="right"/>
              <w:rPr>
                <w:rFonts w:ascii="Arial" w:hAnsi="Arial" w:cs="Arial"/>
                <w:sz w:val="16"/>
                <w:szCs w:val="16"/>
              </w:rPr>
            </w:pPr>
            <w:r>
              <w:rPr>
                <w:rFonts w:ascii="Arial" w:hAnsi="Arial" w:cs="Arial"/>
                <w:sz w:val="16"/>
                <w:szCs w:val="16"/>
              </w:rPr>
              <w:noBreakHyphen/>
            </w:r>
            <w:r w:rsidR="008B1DAB" w:rsidRPr="008B1DAB">
              <w:rPr>
                <w:rFonts w:ascii="Arial" w:hAnsi="Arial" w:cs="Arial"/>
                <w:sz w:val="16"/>
                <w:szCs w:val="16"/>
              </w:rPr>
              <w:t xml:space="preserve"> </w:t>
            </w:r>
          </w:p>
        </w:tc>
        <w:tc>
          <w:tcPr>
            <w:tcW w:w="574" w:type="pct"/>
            <w:tcBorders>
              <w:top w:val="nil"/>
              <w:left w:val="nil"/>
              <w:bottom w:val="nil"/>
              <w:right w:val="nil"/>
            </w:tcBorders>
            <w:shd w:val="clear" w:color="auto" w:fill="auto"/>
            <w:noWrap/>
            <w:vAlign w:val="center"/>
            <w:hideMark/>
          </w:tcPr>
          <w:p w14:paraId="5AD30B2E" w14:textId="24922612" w:rsidR="008B1DAB" w:rsidRPr="008B1DAB" w:rsidRDefault="00B33758" w:rsidP="008B1DAB">
            <w:pPr>
              <w:spacing w:after="0" w:line="240" w:lineRule="auto"/>
              <w:jc w:val="right"/>
              <w:rPr>
                <w:rFonts w:ascii="Arial" w:hAnsi="Arial" w:cs="Arial"/>
                <w:sz w:val="16"/>
                <w:szCs w:val="16"/>
              </w:rPr>
            </w:pPr>
            <w:r>
              <w:rPr>
                <w:rFonts w:ascii="Arial" w:hAnsi="Arial" w:cs="Arial"/>
                <w:sz w:val="16"/>
                <w:szCs w:val="16"/>
              </w:rPr>
              <w:noBreakHyphen/>
            </w:r>
            <w:r w:rsidR="008B1DAB" w:rsidRPr="008B1DAB">
              <w:rPr>
                <w:rFonts w:ascii="Arial" w:hAnsi="Arial" w:cs="Arial"/>
                <w:sz w:val="16"/>
                <w:szCs w:val="16"/>
              </w:rPr>
              <w:t xml:space="preserve"> </w:t>
            </w:r>
          </w:p>
        </w:tc>
      </w:tr>
      <w:tr w:rsidR="008B1DAB" w:rsidRPr="008B1DAB" w14:paraId="3432C051" w14:textId="77777777" w:rsidTr="008B1DAB">
        <w:trPr>
          <w:trHeight w:hRule="exact" w:val="235"/>
        </w:trPr>
        <w:tc>
          <w:tcPr>
            <w:tcW w:w="2130" w:type="pct"/>
            <w:tcBorders>
              <w:top w:val="nil"/>
              <w:left w:val="nil"/>
              <w:bottom w:val="nil"/>
              <w:right w:val="nil"/>
            </w:tcBorders>
            <w:shd w:val="clear" w:color="auto" w:fill="auto"/>
            <w:vAlign w:val="center"/>
            <w:hideMark/>
          </w:tcPr>
          <w:p w14:paraId="33601B61" w14:textId="77777777" w:rsidR="008B1DAB" w:rsidRPr="008B1DAB" w:rsidRDefault="008B1DAB" w:rsidP="008B1DAB">
            <w:pPr>
              <w:spacing w:after="0" w:line="240" w:lineRule="auto"/>
              <w:jc w:val="right"/>
              <w:rPr>
                <w:rFonts w:ascii="Arial" w:hAnsi="Arial" w:cs="Arial"/>
                <w:b/>
                <w:bCs/>
                <w:sz w:val="16"/>
                <w:szCs w:val="16"/>
              </w:rPr>
            </w:pPr>
            <w:r w:rsidRPr="008B1DAB">
              <w:rPr>
                <w:rFonts w:ascii="Arial" w:hAnsi="Arial" w:cs="Arial"/>
                <w:b/>
                <w:bCs/>
                <w:sz w:val="16"/>
                <w:szCs w:val="16"/>
              </w:rPr>
              <w:t>Administered total</w:t>
            </w:r>
          </w:p>
        </w:tc>
        <w:tc>
          <w:tcPr>
            <w:tcW w:w="574" w:type="pct"/>
            <w:tcBorders>
              <w:top w:val="single" w:sz="4" w:space="0" w:color="auto"/>
              <w:left w:val="nil"/>
              <w:bottom w:val="single" w:sz="4" w:space="0" w:color="auto"/>
              <w:right w:val="nil"/>
            </w:tcBorders>
            <w:shd w:val="clear" w:color="auto" w:fill="auto"/>
            <w:noWrap/>
            <w:vAlign w:val="center"/>
            <w:hideMark/>
          </w:tcPr>
          <w:p w14:paraId="0907214C"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33,060,235 </w:t>
            </w:r>
          </w:p>
        </w:tc>
        <w:tc>
          <w:tcPr>
            <w:tcW w:w="574" w:type="pct"/>
            <w:tcBorders>
              <w:top w:val="single" w:sz="4" w:space="0" w:color="auto"/>
              <w:left w:val="nil"/>
              <w:bottom w:val="single" w:sz="4" w:space="0" w:color="auto"/>
              <w:right w:val="nil"/>
            </w:tcBorders>
            <w:shd w:val="clear" w:color="000000" w:fill="E6E6E6"/>
            <w:noWrap/>
            <w:vAlign w:val="center"/>
            <w:hideMark/>
          </w:tcPr>
          <w:p w14:paraId="719517E7" w14:textId="77777777" w:rsidR="008B1DAB" w:rsidRPr="008B1DAB" w:rsidRDefault="008B1DAB" w:rsidP="008B1DAB">
            <w:pPr>
              <w:spacing w:after="0" w:line="240" w:lineRule="auto"/>
              <w:jc w:val="right"/>
              <w:rPr>
                <w:rFonts w:ascii="Arial" w:hAnsi="Arial" w:cs="Arial"/>
                <w:b/>
                <w:bCs/>
                <w:sz w:val="16"/>
                <w:szCs w:val="16"/>
              </w:rPr>
            </w:pPr>
            <w:r w:rsidRPr="008B1DAB">
              <w:rPr>
                <w:rFonts w:ascii="Arial" w:hAnsi="Arial" w:cs="Arial"/>
                <w:b/>
                <w:bCs/>
                <w:sz w:val="16"/>
                <w:szCs w:val="16"/>
              </w:rPr>
              <w:t xml:space="preserve">21,912,726 </w:t>
            </w:r>
          </w:p>
        </w:tc>
        <w:tc>
          <w:tcPr>
            <w:tcW w:w="574" w:type="pct"/>
            <w:tcBorders>
              <w:top w:val="single" w:sz="4" w:space="0" w:color="auto"/>
              <w:left w:val="nil"/>
              <w:bottom w:val="single" w:sz="4" w:space="0" w:color="auto"/>
              <w:right w:val="nil"/>
            </w:tcBorders>
            <w:shd w:val="clear" w:color="auto" w:fill="auto"/>
            <w:noWrap/>
            <w:vAlign w:val="center"/>
            <w:hideMark/>
          </w:tcPr>
          <w:p w14:paraId="7FC2FB11"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21,761,998 </w:t>
            </w:r>
          </w:p>
        </w:tc>
        <w:tc>
          <w:tcPr>
            <w:tcW w:w="574" w:type="pct"/>
            <w:tcBorders>
              <w:top w:val="single" w:sz="4" w:space="0" w:color="auto"/>
              <w:left w:val="nil"/>
              <w:bottom w:val="single" w:sz="4" w:space="0" w:color="auto"/>
              <w:right w:val="nil"/>
            </w:tcBorders>
            <w:shd w:val="clear" w:color="auto" w:fill="auto"/>
            <w:noWrap/>
            <w:vAlign w:val="center"/>
            <w:hideMark/>
          </w:tcPr>
          <w:p w14:paraId="7626A8A5"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17,794,134 </w:t>
            </w:r>
          </w:p>
        </w:tc>
        <w:tc>
          <w:tcPr>
            <w:tcW w:w="574" w:type="pct"/>
            <w:tcBorders>
              <w:top w:val="single" w:sz="4" w:space="0" w:color="auto"/>
              <w:left w:val="nil"/>
              <w:bottom w:val="single" w:sz="4" w:space="0" w:color="auto"/>
              <w:right w:val="nil"/>
            </w:tcBorders>
            <w:shd w:val="clear" w:color="auto" w:fill="auto"/>
            <w:noWrap/>
            <w:vAlign w:val="center"/>
            <w:hideMark/>
          </w:tcPr>
          <w:p w14:paraId="4420AA51"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11,215,821 </w:t>
            </w:r>
          </w:p>
        </w:tc>
      </w:tr>
      <w:tr w:rsidR="008B1DAB" w:rsidRPr="008B1DAB" w14:paraId="6BFB4EE8" w14:textId="77777777" w:rsidTr="008B1DAB">
        <w:trPr>
          <w:trHeight w:hRule="exact" w:val="235"/>
        </w:trPr>
        <w:tc>
          <w:tcPr>
            <w:tcW w:w="2130" w:type="pct"/>
            <w:tcBorders>
              <w:top w:val="nil"/>
              <w:left w:val="nil"/>
              <w:bottom w:val="single" w:sz="4" w:space="0" w:color="000000"/>
              <w:right w:val="nil"/>
            </w:tcBorders>
            <w:shd w:val="clear" w:color="auto" w:fill="auto"/>
            <w:noWrap/>
            <w:vAlign w:val="center"/>
            <w:hideMark/>
          </w:tcPr>
          <w:p w14:paraId="1A08A391"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Total expenses for program 1.9</w:t>
            </w:r>
          </w:p>
        </w:tc>
        <w:tc>
          <w:tcPr>
            <w:tcW w:w="574" w:type="pct"/>
            <w:tcBorders>
              <w:top w:val="nil"/>
              <w:left w:val="nil"/>
              <w:bottom w:val="single" w:sz="4" w:space="0" w:color="auto"/>
              <w:right w:val="nil"/>
            </w:tcBorders>
            <w:shd w:val="clear" w:color="auto" w:fill="auto"/>
            <w:noWrap/>
            <w:vAlign w:val="center"/>
            <w:hideMark/>
          </w:tcPr>
          <w:p w14:paraId="5877B7BC"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33,060,235 </w:t>
            </w:r>
          </w:p>
        </w:tc>
        <w:tc>
          <w:tcPr>
            <w:tcW w:w="574" w:type="pct"/>
            <w:tcBorders>
              <w:top w:val="nil"/>
              <w:left w:val="nil"/>
              <w:bottom w:val="single" w:sz="4" w:space="0" w:color="000000"/>
              <w:right w:val="nil"/>
            </w:tcBorders>
            <w:shd w:val="clear" w:color="000000" w:fill="E6E6E6"/>
            <w:noWrap/>
            <w:vAlign w:val="center"/>
            <w:hideMark/>
          </w:tcPr>
          <w:p w14:paraId="03D07AC5" w14:textId="77777777" w:rsidR="008B1DAB" w:rsidRPr="008B1DAB" w:rsidRDefault="008B1DAB" w:rsidP="008B1DAB">
            <w:pPr>
              <w:spacing w:after="0" w:line="240" w:lineRule="auto"/>
              <w:jc w:val="right"/>
              <w:rPr>
                <w:rFonts w:ascii="Arial" w:hAnsi="Arial" w:cs="Arial"/>
                <w:b/>
                <w:bCs/>
                <w:sz w:val="16"/>
                <w:szCs w:val="16"/>
              </w:rPr>
            </w:pPr>
            <w:r w:rsidRPr="008B1DAB">
              <w:rPr>
                <w:rFonts w:ascii="Arial" w:hAnsi="Arial" w:cs="Arial"/>
                <w:b/>
                <w:bCs/>
                <w:sz w:val="16"/>
                <w:szCs w:val="16"/>
              </w:rPr>
              <w:t xml:space="preserve">21,912,726 </w:t>
            </w:r>
          </w:p>
        </w:tc>
        <w:tc>
          <w:tcPr>
            <w:tcW w:w="574" w:type="pct"/>
            <w:tcBorders>
              <w:top w:val="nil"/>
              <w:left w:val="nil"/>
              <w:bottom w:val="single" w:sz="4" w:space="0" w:color="000000"/>
              <w:right w:val="nil"/>
            </w:tcBorders>
            <w:shd w:val="clear" w:color="auto" w:fill="auto"/>
            <w:noWrap/>
            <w:vAlign w:val="center"/>
            <w:hideMark/>
          </w:tcPr>
          <w:p w14:paraId="70029860"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21,761,998 </w:t>
            </w:r>
          </w:p>
        </w:tc>
        <w:tc>
          <w:tcPr>
            <w:tcW w:w="574" w:type="pct"/>
            <w:tcBorders>
              <w:top w:val="nil"/>
              <w:left w:val="nil"/>
              <w:bottom w:val="single" w:sz="4" w:space="0" w:color="000000"/>
              <w:right w:val="nil"/>
            </w:tcBorders>
            <w:shd w:val="clear" w:color="auto" w:fill="auto"/>
            <w:noWrap/>
            <w:vAlign w:val="center"/>
            <w:hideMark/>
          </w:tcPr>
          <w:p w14:paraId="2E9C9FA6"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17,794,134 </w:t>
            </w:r>
          </w:p>
        </w:tc>
        <w:tc>
          <w:tcPr>
            <w:tcW w:w="574" w:type="pct"/>
            <w:tcBorders>
              <w:top w:val="nil"/>
              <w:left w:val="nil"/>
              <w:bottom w:val="single" w:sz="4" w:space="0" w:color="000000"/>
              <w:right w:val="nil"/>
            </w:tcBorders>
            <w:shd w:val="clear" w:color="auto" w:fill="auto"/>
            <w:noWrap/>
            <w:vAlign w:val="center"/>
            <w:hideMark/>
          </w:tcPr>
          <w:p w14:paraId="49A5780C"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11,215,821 </w:t>
            </w:r>
          </w:p>
        </w:tc>
      </w:tr>
      <w:tr w:rsidR="008B1DAB" w:rsidRPr="008B1DAB" w14:paraId="2D4BE959" w14:textId="77777777" w:rsidTr="008B1DAB">
        <w:trPr>
          <w:trHeight w:hRule="exact" w:val="225"/>
        </w:trPr>
        <w:tc>
          <w:tcPr>
            <w:tcW w:w="2130" w:type="pct"/>
            <w:tcBorders>
              <w:top w:val="nil"/>
              <w:left w:val="nil"/>
              <w:bottom w:val="single" w:sz="4" w:space="0" w:color="auto"/>
              <w:right w:val="nil"/>
            </w:tcBorders>
            <w:shd w:val="clear" w:color="auto" w:fill="auto"/>
            <w:vAlign w:val="center"/>
            <w:hideMark/>
          </w:tcPr>
          <w:p w14:paraId="230EFF5D"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 </w:t>
            </w:r>
          </w:p>
        </w:tc>
        <w:tc>
          <w:tcPr>
            <w:tcW w:w="574" w:type="pct"/>
            <w:tcBorders>
              <w:top w:val="nil"/>
              <w:left w:val="nil"/>
              <w:bottom w:val="nil"/>
              <w:right w:val="nil"/>
            </w:tcBorders>
            <w:shd w:val="clear" w:color="auto" w:fill="auto"/>
            <w:noWrap/>
            <w:vAlign w:val="center"/>
            <w:hideMark/>
          </w:tcPr>
          <w:p w14:paraId="1167479D"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w:t>
            </w:r>
          </w:p>
        </w:tc>
        <w:tc>
          <w:tcPr>
            <w:tcW w:w="574" w:type="pct"/>
            <w:tcBorders>
              <w:top w:val="single" w:sz="4" w:space="0" w:color="auto"/>
              <w:left w:val="nil"/>
              <w:bottom w:val="nil"/>
              <w:right w:val="nil"/>
            </w:tcBorders>
            <w:shd w:val="clear" w:color="000000" w:fill="E6E6E6"/>
            <w:noWrap/>
            <w:vAlign w:val="center"/>
            <w:hideMark/>
          </w:tcPr>
          <w:p w14:paraId="423307AF"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w:t>
            </w:r>
          </w:p>
        </w:tc>
        <w:tc>
          <w:tcPr>
            <w:tcW w:w="574" w:type="pct"/>
            <w:tcBorders>
              <w:top w:val="single" w:sz="4" w:space="0" w:color="auto"/>
              <w:left w:val="nil"/>
              <w:bottom w:val="nil"/>
              <w:right w:val="nil"/>
            </w:tcBorders>
            <w:shd w:val="clear" w:color="auto" w:fill="auto"/>
            <w:noWrap/>
            <w:vAlign w:val="center"/>
            <w:hideMark/>
          </w:tcPr>
          <w:p w14:paraId="3ABAA083"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 </w:t>
            </w:r>
          </w:p>
        </w:tc>
        <w:tc>
          <w:tcPr>
            <w:tcW w:w="574" w:type="pct"/>
            <w:tcBorders>
              <w:top w:val="single" w:sz="4" w:space="0" w:color="auto"/>
              <w:left w:val="nil"/>
              <w:bottom w:val="nil"/>
              <w:right w:val="nil"/>
            </w:tcBorders>
            <w:shd w:val="clear" w:color="auto" w:fill="auto"/>
            <w:noWrap/>
            <w:vAlign w:val="center"/>
            <w:hideMark/>
          </w:tcPr>
          <w:p w14:paraId="24AC968F"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 </w:t>
            </w:r>
          </w:p>
        </w:tc>
        <w:tc>
          <w:tcPr>
            <w:tcW w:w="574" w:type="pct"/>
            <w:tcBorders>
              <w:top w:val="single" w:sz="4" w:space="0" w:color="auto"/>
              <w:left w:val="nil"/>
              <w:bottom w:val="nil"/>
              <w:right w:val="nil"/>
            </w:tcBorders>
            <w:shd w:val="clear" w:color="auto" w:fill="auto"/>
            <w:noWrap/>
            <w:vAlign w:val="center"/>
            <w:hideMark/>
          </w:tcPr>
          <w:p w14:paraId="0C18C50B"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 </w:t>
            </w:r>
          </w:p>
        </w:tc>
      </w:tr>
      <w:tr w:rsidR="008B1DAB" w:rsidRPr="008B1DAB" w14:paraId="49B1C684" w14:textId="77777777" w:rsidTr="008B1DAB">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443D791" w14:textId="77777777" w:rsidR="008B1DAB" w:rsidRPr="008B1DAB" w:rsidRDefault="008B1DAB" w:rsidP="008B1DAB">
            <w:pPr>
              <w:spacing w:after="0" w:line="240" w:lineRule="auto"/>
              <w:jc w:val="left"/>
              <w:rPr>
                <w:rFonts w:ascii="Arial" w:hAnsi="Arial" w:cs="Arial"/>
                <w:b/>
                <w:bCs/>
                <w:sz w:val="16"/>
                <w:szCs w:val="16"/>
              </w:rPr>
            </w:pPr>
            <w:r w:rsidRPr="008B1DAB">
              <w:rPr>
                <w:rFonts w:ascii="Arial" w:hAnsi="Arial" w:cs="Arial"/>
                <w:b/>
                <w:bCs/>
                <w:sz w:val="16"/>
                <w:szCs w:val="16"/>
              </w:rPr>
              <w:t>Outcome 1 Totals by appropriation type</w:t>
            </w:r>
          </w:p>
        </w:tc>
      </w:tr>
      <w:tr w:rsidR="008B1DAB" w:rsidRPr="008B1DAB" w14:paraId="2479AEA1" w14:textId="77777777" w:rsidTr="008B1DAB">
        <w:trPr>
          <w:trHeight w:hRule="exact" w:val="225"/>
        </w:trPr>
        <w:tc>
          <w:tcPr>
            <w:tcW w:w="2130" w:type="pct"/>
            <w:tcBorders>
              <w:top w:val="nil"/>
              <w:left w:val="nil"/>
              <w:bottom w:val="nil"/>
              <w:right w:val="nil"/>
            </w:tcBorders>
            <w:shd w:val="clear" w:color="auto" w:fill="auto"/>
            <w:noWrap/>
            <w:vAlign w:val="center"/>
            <w:hideMark/>
          </w:tcPr>
          <w:p w14:paraId="4419A4EC" w14:textId="77777777" w:rsidR="008B1DAB" w:rsidRPr="008B1DAB" w:rsidRDefault="008B1DAB" w:rsidP="008B1DAB">
            <w:pPr>
              <w:spacing w:after="0" w:line="240" w:lineRule="auto"/>
              <w:jc w:val="left"/>
              <w:rPr>
                <w:rFonts w:ascii="Arial" w:hAnsi="Arial" w:cs="Arial"/>
                <w:sz w:val="16"/>
                <w:szCs w:val="16"/>
              </w:rPr>
            </w:pPr>
            <w:r w:rsidRPr="008B1DAB">
              <w:rPr>
                <w:rFonts w:ascii="Arial" w:hAnsi="Arial" w:cs="Arial"/>
                <w:sz w:val="16"/>
                <w:szCs w:val="16"/>
              </w:rPr>
              <w:t>Administered expenses</w:t>
            </w:r>
          </w:p>
        </w:tc>
        <w:tc>
          <w:tcPr>
            <w:tcW w:w="574" w:type="pct"/>
            <w:tcBorders>
              <w:top w:val="nil"/>
              <w:left w:val="nil"/>
              <w:bottom w:val="nil"/>
              <w:right w:val="nil"/>
            </w:tcBorders>
            <w:shd w:val="clear" w:color="auto" w:fill="auto"/>
            <w:noWrap/>
            <w:vAlign w:val="center"/>
            <w:hideMark/>
          </w:tcPr>
          <w:p w14:paraId="26D8CBF3" w14:textId="77777777" w:rsidR="008B1DAB" w:rsidRPr="008B1DAB" w:rsidRDefault="008B1DAB" w:rsidP="008B1DAB">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6614F76D"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4D64FBBF" w14:textId="77777777" w:rsidR="008B1DAB" w:rsidRPr="008B1DAB" w:rsidRDefault="008B1DAB" w:rsidP="008B1DAB">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361A9E7C" w14:textId="77777777" w:rsidR="008B1DAB" w:rsidRPr="008B1DAB" w:rsidRDefault="008B1DAB" w:rsidP="008B1DAB">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363EDB8E" w14:textId="77777777" w:rsidR="008B1DAB" w:rsidRPr="008B1DAB" w:rsidRDefault="008B1DAB" w:rsidP="008B1DAB">
            <w:pPr>
              <w:spacing w:after="0" w:line="240" w:lineRule="auto"/>
              <w:jc w:val="left"/>
              <w:rPr>
                <w:rFonts w:ascii="Times New Roman" w:hAnsi="Times New Roman"/>
              </w:rPr>
            </w:pPr>
          </w:p>
        </w:tc>
      </w:tr>
      <w:tr w:rsidR="008B1DAB" w:rsidRPr="008B1DAB" w14:paraId="0E05EA91" w14:textId="77777777" w:rsidTr="008B1DAB">
        <w:trPr>
          <w:trHeight w:hRule="exact" w:val="450"/>
        </w:trPr>
        <w:tc>
          <w:tcPr>
            <w:tcW w:w="2130" w:type="pct"/>
            <w:tcBorders>
              <w:top w:val="nil"/>
              <w:left w:val="nil"/>
              <w:bottom w:val="nil"/>
              <w:right w:val="nil"/>
            </w:tcBorders>
            <w:shd w:val="clear" w:color="000000" w:fill="FFFFFF"/>
            <w:vAlign w:val="center"/>
            <w:hideMark/>
          </w:tcPr>
          <w:p w14:paraId="6B2D1A5F" w14:textId="77777777" w:rsidR="008B1DAB" w:rsidRPr="008B1DAB" w:rsidRDefault="008B1DAB" w:rsidP="008B1DAB">
            <w:pPr>
              <w:spacing w:after="0" w:line="240" w:lineRule="auto"/>
              <w:ind w:left="170"/>
              <w:jc w:val="left"/>
              <w:rPr>
                <w:rFonts w:ascii="Arial" w:hAnsi="Arial" w:cs="Arial"/>
                <w:sz w:val="16"/>
                <w:szCs w:val="16"/>
              </w:rPr>
            </w:pPr>
            <w:r w:rsidRPr="008B1DAB">
              <w:rPr>
                <w:rFonts w:ascii="Arial" w:hAnsi="Arial" w:cs="Arial"/>
                <w:sz w:val="16"/>
                <w:szCs w:val="16"/>
              </w:rPr>
              <w:t>Ordinary annual services</w:t>
            </w:r>
            <w:r w:rsidRPr="008B1DAB">
              <w:rPr>
                <w:rFonts w:ascii="Arial" w:hAnsi="Arial" w:cs="Arial"/>
                <w:sz w:val="16"/>
                <w:szCs w:val="16"/>
              </w:rPr>
              <w:br/>
              <w:t xml:space="preserve">  (Appropriation Bill No. 1)</w:t>
            </w:r>
          </w:p>
        </w:tc>
        <w:tc>
          <w:tcPr>
            <w:tcW w:w="574" w:type="pct"/>
            <w:tcBorders>
              <w:top w:val="nil"/>
              <w:left w:val="nil"/>
              <w:bottom w:val="nil"/>
              <w:right w:val="nil"/>
            </w:tcBorders>
            <w:shd w:val="clear" w:color="auto" w:fill="auto"/>
            <w:noWrap/>
            <w:vAlign w:val="center"/>
            <w:hideMark/>
          </w:tcPr>
          <w:p w14:paraId="3C599E15"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136,980 </w:t>
            </w:r>
          </w:p>
        </w:tc>
        <w:tc>
          <w:tcPr>
            <w:tcW w:w="574" w:type="pct"/>
            <w:tcBorders>
              <w:top w:val="nil"/>
              <w:left w:val="nil"/>
              <w:bottom w:val="nil"/>
              <w:right w:val="nil"/>
            </w:tcBorders>
            <w:shd w:val="clear" w:color="000000" w:fill="E6E6E6"/>
            <w:noWrap/>
            <w:vAlign w:val="center"/>
            <w:hideMark/>
          </w:tcPr>
          <w:p w14:paraId="551250F0"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98,906 </w:t>
            </w:r>
          </w:p>
        </w:tc>
        <w:tc>
          <w:tcPr>
            <w:tcW w:w="574" w:type="pct"/>
            <w:tcBorders>
              <w:top w:val="nil"/>
              <w:left w:val="nil"/>
              <w:bottom w:val="nil"/>
              <w:right w:val="nil"/>
            </w:tcBorders>
            <w:shd w:val="clear" w:color="auto" w:fill="auto"/>
            <w:noWrap/>
            <w:vAlign w:val="center"/>
            <w:hideMark/>
          </w:tcPr>
          <w:p w14:paraId="3AB7E1B4"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25,075 </w:t>
            </w:r>
          </w:p>
        </w:tc>
        <w:tc>
          <w:tcPr>
            <w:tcW w:w="574" w:type="pct"/>
            <w:tcBorders>
              <w:top w:val="nil"/>
              <w:left w:val="nil"/>
              <w:bottom w:val="nil"/>
              <w:right w:val="nil"/>
            </w:tcBorders>
            <w:shd w:val="clear" w:color="auto" w:fill="auto"/>
            <w:noWrap/>
            <w:vAlign w:val="center"/>
            <w:hideMark/>
          </w:tcPr>
          <w:p w14:paraId="3B5A7A0D"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22,083 </w:t>
            </w:r>
          </w:p>
        </w:tc>
        <w:tc>
          <w:tcPr>
            <w:tcW w:w="574" w:type="pct"/>
            <w:tcBorders>
              <w:top w:val="nil"/>
              <w:left w:val="nil"/>
              <w:bottom w:val="nil"/>
              <w:right w:val="nil"/>
            </w:tcBorders>
            <w:shd w:val="clear" w:color="auto" w:fill="auto"/>
            <w:noWrap/>
            <w:vAlign w:val="center"/>
            <w:hideMark/>
          </w:tcPr>
          <w:p w14:paraId="19091F63"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19,798 </w:t>
            </w:r>
          </w:p>
        </w:tc>
      </w:tr>
      <w:tr w:rsidR="008B1DAB" w:rsidRPr="008B1DAB" w14:paraId="7A9E5CD6" w14:textId="77777777" w:rsidTr="008B1DAB">
        <w:trPr>
          <w:trHeight w:hRule="exact" w:val="240"/>
        </w:trPr>
        <w:tc>
          <w:tcPr>
            <w:tcW w:w="2130" w:type="pct"/>
            <w:tcBorders>
              <w:top w:val="nil"/>
              <w:left w:val="nil"/>
              <w:bottom w:val="nil"/>
              <w:right w:val="nil"/>
            </w:tcBorders>
            <w:shd w:val="clear" w:color="000000" w:fill="FFFFFF"/>
            <w:noWrap/>
            <w:vAlign w:val="center"/>
            <w:hideMark/>
          </w:tcPr>
          <w:p w14:paraId="140468BD" w14:textId="77777777" w:rsidR="008B1DAB" w:rsidRPr="008B1DAB" w:rsidRDefault="008B1DAB" w:rsidP="008B1DAB">
            <w:pPr>
              <w:spacing w:after="0" w:line="240" w:lineRule="auto"/>
              <w:ind w:left="170"/>
              <w:jc w:val="left"/>
              <w:rPr>
                <w:rFonts w:ascii="Arial" w:hAnsi="Arial" w:cs="Arial"/>
                <w:sz w:val="16"/>
                <w:szCs w:val="16"/>
              </w:rPr>
            </w:pPr>
            <w:r w:rsidRPr="008B1DAB">
              <w:rPr>
                <w:rFonts w:ascii="Arial" w:hAnsi="Arial" w:cs="Arial"/>
                <w:sz w:val="16"/>
                <w:szCs w:val="16"/>
              </w:rPr>
              <w:t>Special appropriations</w:t>
            </w:r>
          </w:p>
        </w:tc>
        <w:tc>
          <w:tcPr>
            <w:tcW w:w="574" w:type="pct"/>
            <w:tcBorders>
              <w:top w:val="nil"/>
              <w:left w:val="nil"/>
              <w:bottom w:val="nil"/>
              <w:right w:val="nil"/>
            </w:tcBorders>
            <w:shd w:val="clear" w:color="auto" w:fill="auto"/>
            <w:noWrap/>
            <w:vAlign w:val="center"/>
            <w:hideMark/>
          </w:tcPr>
          <w:p w14:paraId="0832C6A6"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106,264,019 </w:t>
            </w:r>
          </w:p>
        </w:tc>
        <w:tc>
          <w:tcPr>
            <w:tcW w:w="574" w:type="pct"/>
            <w:tcBorders>
              <w:top w:val="nil"/>
              <w:left w:val="nil"/>
              <w:bottom w:val="nil"/>
              <w:right w:val="nil"/>
            </w:tcBorders>
            <w:shd w:val="clear" w:color="000000" w:fill="E6E6E6"/>
            <w:noWrap/>
            <w:vAlign w:val="center"/>
            <w:hideMark/>
          </w:tcPr>
          <w:p w14:paraId="1EFB7352"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115,336,747 </w:t>
            </w:r>
          </w:p>
        </w:tc>
        <w:tc>
          <w:tcPr>
            <w:tcW w:w="574" w:type="pct"/>
            <w:tcBorders>
              <w:top w:val="nil"/>
              <w:left w:val="nil"/>
              <w:bottom w:val="nil"/>
              <w:right w:val="nil"/>
            </w:tcBorders>
            <w:shd w:val="clear" w:color="auto" w:fill="auto"/>
            <w:noWrap/>
            <w:vAlign w:val="center"/>
            <w:hideMark/>
          </w:tcPr>
          <w:p w14:paraId="2F83E04A"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119,672,544 </w:t>
            </w:r>
          </w:p>
        </w:tc>
        <w:tc>
          <w:tcPr>
            <w:tcW w:w="574" w:type="pct"/>
            <w:tcBorders>
              <w:top w:val="nil"/>
              <w:left w:val="nil"/>
              <w:bottom w:val="nil"/>
              <w:right w:val="nil"/>
            </w:tcBorders>
            <w:shd w:val="clear" w:color="auto" w:fill="auto"/>
            <w:noWrap/>
            <w:vAlign w:val="center"/>
            <w:hideMark/>
          </w:tcPr>
          <w:p w14:paraId="71404601"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126,079,810 </w:t>
            </w:r>
          </w:p>
        </w:tc>
        <w:tc>
          <w:tcPr>
            <w:tcW w:w="574" w:type="pct"/>
            <w:tcBorders>
              <w:top w:val="nil"/>
              <w:left w:val="nil"/>
              <w:bottom w:val="nil"/>
              <w:right w:val="nil"/>
            </w:tcBorders>
            <w:shd w:val="clear" w:color="auto" w:fill="auto"/>
            <w:noWrap/>
            <w:vAlign w:val="center"/>
            <w:hideMark/>
          </w:tcPr>
          <w:p w14:paraId="49CA8D5F"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129,826,174 </w:t>
            </w:r>
          </w:p>
        </w:tc>
      </w:tr>
      <w:tr w:rsidR="008B1DAB" w:rsidRPr="008B1DAB" w14:paraId="38D9F1E8" w14:textId="77777777" w:rsidTr="008B1DAB">
        <w:trPr>
          <w:trHeight w:hRule="exact" w:val="240"/>
        </w:trPr>
        <w:tc>
          <w:tcPr>
            <w:tcW w:w="2130" w:type="pct"/>
            <w:tcBorders>
              <w:top w:val="nil"/>
              <w:left w:val="nil"/>
              <w:bottom w:val="nil"/>
              <w:right w:val="nil"/>
            </w:tcBorders>
            <w:shd w:val="clear" w:color="000000" w:fill="FFFFFF"/>
            <w:noWrap/>
            <w:vAlign w:val="center"/>
            <w:hideMark/>
          </w:tcPr>
          <w:p w14:paraId="285C6A17" w14:textId="77777777" w:rsidR="008B1DAB" w:rsidRPr="008B1DAB" w:rsidRDefault="008B1DAB" w:rsidP="008B1DAB">
            <w:pPr>
              <w:spacing w:after="0" w:line="240" w:lineRule="auto"/>
              <w:ind w:left="170"/>
              <w:jc w:val="left"/>
              <w:rPr>
                <w:rFonts w:ascii="Arial" w:hAnsi="Arial" w:cs="Arial"/>
                <w:sz w:val="16"/>
                <w:szCs w:val="16"/>
              </w:rPr>
            </w:pPr>
            <w:r w:rsidRPr="008B1DAB">
              <w:rPr>
                <w:rFonts w:ascii="Arial" w:hAnsi="Arial" w:cs="Arial"/>
                <w:sz w:val="16"/>
                <w:szCs w:val="16"/>
              </w:rPr>
              <w:t>Special accounts</w:t>
            </w:r>
          </w:p>
        </w:tc>
        <w:tc>
          <w:tcPr>
            <w:tcW w:w="574" w:type="pct"/>
            <w:tcBorders>
              <w:top w:val="nil"/>
              <w:left w:val="nil"/>
              <w:bottom w:val="nil"/>
              <w:right w:val="nil"/>
            </w:tcBorders>
            <w:shd w:val="clear" w:color="auto" w:fill="auto"/>
            <w:noWrap/>
            <w:vAlign w:val="center"/>
            <w:hideMark/>
          </w:tcPr>
          <w:p w14:paraId="7C5EC101"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75,718,822 </w:t>
            </w:r>
          </w:p>
        </w:tc>
        <w:tc>
          <w:tcPr>
            <w:tcW w:w="574" w:type="pct"/>
            <w:tcBorders>
              <w:top w:val="nil"/>
              <w:left w:val="nil"/>
              <w:bottom w:val="nil"/>
              <w:right w:val="nil"/>
            </w:tcBorders>
            <w:shd w:val="clear" w:color="000000" w:fill="E6E6E6"/>
            <w:noWrap/>
            <w:vAlign w:val="center"/>
            <w:hideMark/>
          </w:tcPr>
          <w:p w14:paraId="5A1F3C99"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68,475,447 </w:t>
            </w:r>
          </w:p>
        </w:tc>
        <w:tc>
          <w:tcPr>
            <w:tcW w:w="574" w:type="pct"/>
            <w:tcBorders>
              <w:top w:val="nil"/>
              <w:left w:val="nil"/>
              <w:bottom w:val="nil"/>
              <w:right w:val="nil"/>
            </w:tcBorders>
            <w:shd w:val="clear" w:color="auto" w:fill="auto"/>
            <w:noWrap/>
            <w:vAlign w:val="center"/>
            <w:hideMark/>
          </w:tcPr>
          <w:p w14:paraId="7B648F85"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69,854,938 </w:t>
            </w:r>
          </w:p>
        </w:tc>
        <w:tc>
          <w:tcPr>
            <w:tcW w:w="574" w:type="pct"/>
            <w:tcBorders>
              <w:top w:val="nil"/>
              <w:left w:val="nil"/>
              <w:bottom w:val="nil"/>
              <w:right w:val="nil"/>
            </w:tcBorders>
            <w:shd w:val="clear" w:color="auto" w:fill="auto"/>
            <w:noWrap/>
            <w:vAlign w:val="center"/>
            <w:hideMark/>
          </w:tcPr>
          <w:p w14:paraId="5BE2EEA1"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67,478,076 </w:t>
            </w:r>
          </w:p>
        </w:tc>
        <w:tc>
          <w:tcPr>
            <w:tcW w:w="574" w:type="pct"/>
            <w:tcBorders>
              <w:top w:val="nil"/>
              <w:left w:val="nil"/>
              <w:bottom w:val="nil"/>
              <w:right w:val="nil"/>
            </w:tcBorders>
            <w:shd w:val="clear" w:color="auto" w:fill="auto"/>
            <w:noWrap/>
            <w:vAlign w:val="center"/>
            <w:hideMark/>
          </w:tcPr>
          <w:p w14:paraId="2BE98682"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62,503,300 </w:t>
            </w:r>
          </w:p>
        </w:tc>
      </w:tr>
      <w:tr w:rsidR="008B1DAB" w:rsidRPr="008B1DAB" w14:paraId="673EFD68" w14:textId="77777777" w:rsidTr="008B1DAB">
        <w:trPr>
          <w:trHeight w:hRule="exact" w:val="450"/>
        </w:trPr>
        <w:tc>
          <w:tcPr>
            <w:tcW w:w="2130" w:type="pct"/>
            <w:tcBorders>
              <w:top w:val="nil"/>
              <w:left w:val="nil"/>
              <w:bottom w:val="nil"/>
              <w:right w:val="nil"/>
            </w:tcBorders>
            <w:shd w:val="clear" w:color="000000" w:fill="FFFFFF"/>
            <w:vAlign w:val="center"/>
            <w:hideMark/>
          </w:tcPr>
          <w:p w14:paraId="1C223277" w14:textId="77777777" w:rsidR="008B1DAB" w:rsidRPr="008B1DAB" w:rsidRDefault="008B1DAB" w:rsidP="008B1DAB">
            <w:pPr>
              <w:spacing w:after="0" w:line="240" w:lineRule="auto"/>
              <w:ind w:left="170"/>
              <w:jc w:val="left"/>
              <w:rPr>
                <w:rFonts w:ascii="Arial" w:hAnsi="Arial" w:cs="Arial"/>
                <w:sz w:val="16"/>
                <w:szCs w:val="16"/>
              </w:rPr>
            </w:pPr>
            <w:r w:rsidRPr="008B1DAB">
              <w:rPr>
                <w:rFonts w:ascii="Arial" w:hAnsi="Arial" w:cs="Arial"/>
                <w:sz w:val="16"/>
                <w:szCs w:val="16"/>
              </w:rPr>
              <w:t>Expenses not requiring appropriation in the Budget</w:t>
            </w:r>
            <w:r w:rsidRPr="008B1DAB">
              <w:rPr>
                <w:rFonts w:ascii="Arial" w:hAnsi="Arial" w:cs="Arial"/>
                <w:sz w:val="16"/>
                <w:szCs w:val="16"/>
              </w:rPr>
              <w:br/>
              <w:t xml:space="preserve">  year (b)</w:t>
            </w:r>
          </w:p>
        </w:tc>
        <w:tc>
          <w:tcPr>
            <w:tcW w:w="574" w:type="pct"/>
            <w:tcBorders>
              <w:top w:val="nil"/>
              <w:left w:val="nil"/>
              <w:bottom w:val="nil"/>
              <w:right w:val="nil"/>
            </w:tcBorders>
            <w:shd w:val="clear" w:color="auto" w:fill="auto"/>
            <w:noWrap/>
            <w:vAlign w:val="center"/>
            <w:hideMark/>
          </w:tcPr>
          <w:p w14:paraId="66F6C942"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3,004,178 </w:t>
            </w:r>
          </w:p>
        </w:tc>
        <w:tc>
          <w:tcPr>
            <w:tcW w:w="574" w:type="pct"/>
            <w:tcBorders>
              <w:top w:val="nil"/>
              <w:left w:val="nil"/>
              <w:bottom w:val="nil"/>
              <w:right w:val="nil"/>
            </w:tcBorders>
            <w:shd w:val="clear" w:color="000000" w:fill="E6E6E6"/>
            <w:noWrap/>
            <w:vAlign w:val="center"/>
            <w:hideMark/>
          </w:tcPr>
          <w:p w14:paraId="2493D480"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213,205 </w:t>
            </w:r>
          </w:p>
        </w:tc>
        <w:tc>
          <w:tcPr>
            <w:tcW w:w="574" w:type="pct"/>
            <w:tcBorders>
              <w:top w:val="nil"/>
              <w:left w:val="nil"/>
              <w:bottom w:val="nil"/>
              <w:right w:val="nil"/>
            </w:tcBorders>
            <w:shd w:val="clear" w:color="auto" w:fill="auto"/>
            <w:noWrap/>
            <w:vAlign w:val="center"/>
            <w:hideMark/>
          </w:tcPr>
          <w:p w14:paraId="564BFF13"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403,085 </w:t>
            </w:r>
          </w:p>
        </w:tc>
        <w:tc>
          <w:tcPr>
            <w:tcW w:w="574" w:type="pct"/>
            <w:tcBorders>
              <w:top w:val="nil"/>
              <w:left w:val="nil"/>
              <w:bottom w:val="nil"/>
              <w:right w:val="nil"/>
            </w:tcBorders>
            <w:shd w:val="clear" w:color="auto" w:fill="auto"/>
            <w:noWrap/>
            <w:vAlign w:val="center"/>
            <w:hideMark/>
          </w:tcPr>
          <w:p w14:paraId="3C856E2B"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351,456 </w:t>
            </w:r>
          </w:p>
        </w:tc>
        <w:tc>
          <w:tcPr>
            <w:tcW w:w="574" w:type="pct"/>
            <w:tcBorders>
              <w:top w:val="nil"/>
              <w:left w:val="nil"/>
              <w:bottom w:val="nil"/>
              <w:right w:val="nil"/>
            </w:tcBorders>
            <w:shd w:val="clear" w:color="auto" w:fill="auto"/>
            <w:noWrap/>
            <w:vAlign w:val="center"/>
            <w:hideMark/>
          </w:tcPr>
          <w:p w14:paraId="65E04188" w14:textId="77777777"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 xml:space="preserve">504,975 </w:t>
            </w:r>
          </w:p>
        </w:tc>
      </w:tr>
      <w:tr w:rsidR="008B1DAB" w:rsidRPr="008B1DAB" w14:paraId="62533CCD" w14:textId="77777777" w:rsidTr="008B1DAB">
        <w:trPr>
          <w:trHeight w:hRule="exact" w:val="225"/>
        </w:trPr>
        <w:tc>
          <w:tcPr>
            <w:tcW w:w="2130" w:type="pct"/>
            <w:tcBorders>
              <w:top w:val="nil"/>
              <w:left w:val="nil"/>
              <w:bottom w:val="single" w:sz="4" w:space="0" w:color="auto"/>
              <w:right w:val="nil"/>
            </w:tcBorders>
            <w:shd w:val="clear" w:color="000000" w:fill="FFFFFF"/>
            <w:vAlign w:val="center"/>
            <w:hideMark/>
          </w:tcPr>
          <w:p w14:paraId="768C7A69" w14:textId="77777777" w:rsidR="008B1DAB" w:rsidRPr="008B1DAB" w:rsidRDefault="008B1DAB" w:rsidP="008B1DAB">
            <w:pPr>
              <w:spacing w:after="0" w:line="240" w:lineRule="auto"/>
              <w:jc w:val="right"/>
              <w:rPr>
                <w:rFonts w:ascii="Arial" w:hAnsi="Arial" w:cs="Arial"/>
                <w:b/>
                <w:bCs/>
                <w:sz w:val="16"/>
                <w:szCs w:val="16"/>
              </w:rPr>
            </w:pPr>
            <w:r w:rsidRPr="008B1DAB">
              <w:rPr>
                <w:rFonts w:ascii="Arial" w:hAnsi="Arial" w:cs="Arial"/>
                <w:b/>
                <w:bCs/>
                <w:sz w:val="16"/>
                <w:szCs w:val="16"/>
              </w:rPr>
              <w:t>Administered total</w:t>
            </w:r>
          </w:p>
        </w:tc>
        <w:tc>
          <w:tcPr>
            <w:tcW w:w="574" w:type="pct"/>
            <w:tcBorders>
              <w:top w:val="single" w:sz="4" w:space="0" w:color="auto"/>
              <w:left w:val="nil"/>
              <w:bottom w:val="single" w:sz="4" w:space="0" w:color="000000"/>
              <w:right w:val="nil"/>
            </w:tcBorders>
            <w:shd w:val="clear" w:color="auto" w:fill="auto"/>
            <w:noWrap/>
            <w:vAlign w:val="center"/>
            <w:hideMark/>
          </w:tcPr>
          <w:p w14:paraId="0641031D"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185,123,999 </w:t>
            </w:r>
          </w:p>
        </w:tc>
        <w:tc>
          <w:tcPr>
            <w:tcW w:w="574" w:type="pct"/>
            <w:tcBorders>
              <w:top w:val="single" w:sz="4" w:space="0" w:color="auto"/>
              <w:left w:val="nil"/>
              <w:bottom w:val="single" w:sz="4" w:space="0" w:color="000000"/>
              <w:right w:val="nil"/>
            </w:tcBorders>
            <w:shd w:val="clear" w:color="000000" w:fill="E6E6E6"/>
            <w:noWrap/>
            <w:vAlign w:val="center"/>
            <w:hideMark/>
          </w:tcPr>
          <w:p w14:paraId="0721117B" w14:textId="77777777" w:rsidR="008B1DAB" w:rsidRPr="008B1DAB" w:rsidRDefault="008B1DAB" w:rsidP="008B1DAB">
            <w:pPr>
              <w:spacing w:after="0" w:line="240" w:lineRule="auto"/>
              <w:jc w:val="right"/>
              <w:rPr>
                <w:rFonts w:ascii="Arial" w:hAnsi="Arial" w:cs="Arial"/>
                <w:b/>
                <w:bCs/>
                <w:sz w:val="16"/>
                <w:szCs w:val="16"/>
              </w:rPr>
            </w:pPr>
            <w:r w:rsidRPr="008B1DAB">
              <w:rPr>
                <w:rFonts w:ascii="Arial" w:hAnsi="Arial" w:cs="Arial"/>
                <w:b/>
                <w:bCs/>
                <w:sz w:val="16"/>
                <w:szCs w:val="16"/>
              </w:rPr>
              <w:t xml:space="preserve">184,124,305 </w:t>
            </w:r>
          </w:p>
        </w:tc>
        <w:tc>
          <w:tcPr>
            <w:tcW w:w="574" w:type="pct"/>
            <w:tcBorders>
              <w:top w:val="single" w:sz="4" w:space="0" w:color="auto"/>
              <w:left w:val="nil"/>
              <w:bottom w:val="single" w:sz="4" w:space="0" w:color="000000"/>
              <w:right w:val="nil"/>
            </w:tcBorders>
            <w:shd w:val="clear" w:color="auto" w:fill="auto"/>
            <w:noWrap/>
            <w:vAlign w:val="center"/>
            <w:hideMark/>
          </w:tcPr>
          <w:p w14:paraId="1AA85A07"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189,955,642 </w:t>
            </w:r>
          </w:p>
        </w:tc>
        <w:tc>
          <w:tcPr>
            <w:tcW w:w="574" w:type="pct"/>
            <w:tcBorders>
              <w:top w:val="single" w:sz="4" w:space="0" w:color="auto"/>
              <w:left w:val="nil"/>
              <w:bottom w:val="single" w:sz="4" w:space="0" w:color="000000"/>
              <w:right w:val="nil"/>
            </w:tcBorders>
            <w:shd w:val="clear" w:color="auto" w:fill="auto"/>
            <w:noWrap/>
            <w:vAlign w:val="center"/>
            <w:hideMark/>
          </w:tcPr>
          <w:p w14:paraId="479276D0"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193,931,425 </w:t>
            </w:r>
          </w:p>
        </w:tc>
        <w:tc>
          <w:tcPr>
            <w:tcW w:w="574" w:type="pct"/>
            <w:tcBorders>
              <w:top w:val="single" w:sz="4" w:space="0" w:color="auto"/>
              <w:left w:val="nil"/>
              <w:bottom w:val="single" w:sz="4" w:space="0" w:color="000000"/>
              <w:right w:val="nil"/>
            </w:tcBorders>
            <w:shd w:val="clear" w:color="auto" w:fill="auto"/>
            <w:noWrap/>
            <w:vAlign w:val="center"/>
            <w:hideMark/>
          </w:tcPr>
          <w:p w14:paraId="58E4F336"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192,854,247 </w:t>
            </w:r>
          </w:p>
        </w:tc>
      </w:tr>
    </w:tbl>
    <w:p w14:paraId="2B37DD31" w14:textId="443ABA49" w:rsidR="00AF3CE4" w:rsidRDefault="00AF3CE4" w:rsidP="00350F81">
      <w:pPr>
        <w:pStyle w:val="SingleParagraph"/>
      </w:pPr>
    </w:p>
    <w:p w14:paraId="290331F8" w14:textId="77777777" w:rsidR="00AF3CE4" w:rsidRDefault="00AF3CE4">
      <w:pPr>
        <w:spacing w:after="0" w:line="240" w:lineRule="auto"/>
        <w:jc w:val="left"/>
      </w:pPr>
      <w:r>
        <w:br w:type="page"/>
      </w:r>
    </w:p>
    <w:p w14:paraId="7304CDD2" w14:textId="1E948EE5" w:rsidR="00BF4C99" w:rsidRDefault="00742701" w:rsidP="00261607">
      <w:pPr>
        <w:pStyle w:val="TableHeadingcontinued0"/>
        <w:rPr>
          <w:rFonts w:ascii="Times New Roman" w:hAnsi="Times New Roman"/>
          <w:b w:val="0"/>
          <w:lang w:val="en-AU"/>
        </w:rPr>
      </w:pPr>
      <w:r w:rsidRPr="00742701">
        <w:lastRenderedPageBreak/>
        <w:t xml:space="preserve">Table 2.1: Budgeted expenses for Outcome </w:t>
      </w:r>
      <w:r w:rsidR="00C75E22">
        <w:t>1</w:t>
      </w:r>
      <w:r w:rsidRPr="00742701">
        <w:t xml:space="preserve"> (continued)</w:t>
      </w:r>
    </w:p>
    <w:tbl>
      <w:tblPr>
        <w:tblW w:w="5000" w:type="pct"/>
        <w:tblCellMar>
          <w:left w:w="0" w:type="dxa"/>
          <w:right w:w="28" w:type="dxa"/>
        </w:tblCellMar>
        <w:tblLook w:val="04A0" w:firstRow="1" w:lastRow="0" w:firstColumn="1" w:lastColumn="0" w:noHBand="0" w:noVBand="1"/>
      </w:tblPr>
      <w:tblGrid>
        <w:gridCol w:w="4915"/>
        <w:gridCol w:w="1324"/>
        <w:gridCol w:w="1325"/>
        <w:gridCol w:w="1325"/>
        <w:gridCol w:w="1325"/>
        <w:gridCol w:w="1325"/>
      </w:tblGrid>
      <w:tr w:rsidR="00BF4C99" w:rsidRPr="00BF4C99" w14:paraId="2596DD24" w14:textId="77777777" w:rsidTr="00BF4C99">
        <w:trPr>
          <w:trHeight w:hRule="exact" w:val="900"/>
        </w:trPr>
        <w:tc>
          <w:tcPr>
            <w:tcW w:w="2130" w:type="pct"/>
            <w:tcBorders>
              <w:top w:val="single" w:sz="4" w:space="0" w:color="auto"/>
              <w:left w:val="nil"/>
              <w:bottom w:val="nil"/>
              <w:right w:val="nil"/>
            </w:tcBorders>
            <w:shd w:val="clear" w:color="000000" w:fill="FFFFFF"/>
            <w:vAlign w:val="center"/>
            <w:hideMark/>
          </w:tcPr>
          <w:p w14:paraId="42F36688" w14:textId="667A0AFF"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 </w:t>
            </w:r>
          </w:p>
        </w:tc>
        <w:tc>
          <w:tcPr>
            <w:tcW w:w="574" w:type="pct"/>
            <w:tcBorders>
              <w:top w:val="single" w:sz="4" w:space="0" w:color="auto"/>
              <w:left w:val="nil"/>
              <w:bottom w:val="single" w:sz="4" w:space="0" w:color="auto"/>
              <w:right w:val="nil"/>
            </w:tcBorders>
            <w:shd w:val="clear" w:color="auto" w:fill="auto"/>
            <w:hideMark/>
          </w:tcPr>
          <w:p w14:paraId="0EB13C96" w14:textId="7ED7430C"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2021</w:t>
            </w:r>
            <w:r w:rsidR="00B33758">
              <w:rPr>
                <w:rFonts w:ascii="Arial" w:hAnsi="Arial" w:cs="Arial"/>
                <w:sz w:val="16"/>
                <w:szCs w:val="16"/>
              </w:rPr>
              <w:noBreakHyphen/>
            </w:r>
            <w:r w:rsidRPr="00BF4C99">
              <w:rPr>
                <w:rFonts w:ascii="Arial" w:hAnsi="Arial" w:cs="Arial"/>
                <w:sz w:val="16"/>
                <w:szCs w:val="16"/>
              </w:rPr>
              <w:t>22 Estimated actual</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000000" w:fill="E6E6E6"/>
            <w:hideMark/>
          </w:tcPr>
          <w:p w14:paraId="406DFD6A" w14:textId="21ACC3FE"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2022</w:t>
            </w:r>
            <w:r w:rsidR="00B33758">
              <w:rPr>
                <w:rFonts w:ascii="Arial" w:hAnsi="Arial" w:cs="Arial"/>
                <w:sz w:val="16"/>
                <w:szCs w:val="16"/>
              </w:rPr>
              <w:noBreakHyphen/>
            </w:r>
            <w:r w:rsidRPr="00BF4C99">
              <w:rPr>
                <w:rFonts w:ascii="Arial" w:hAnsi="Arial" w:cs="Arial"/>
                <w:sz w:val="16"/>
                <w:szCs w:val="16"/>
              </w:rPr>
              <w:t>23</w:t>
            </w:r>
            <w:r w:rsidRPr="00BF4C99">
              <w:rPr>
                <w:rFonts w:ascii="Arial" w:hAnsi="Arial" w:cs="Arial"/>
                <w:sz w:val="16"/>
                <w:szCs w:val="16"/>
              </w:rPr>
              <w:br/>
              <w:t>Budget</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569FAAD1" w14:textId="7F6AA672"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2023</w:t>
            </w:r>
            <w:r w:rsidR="00B33758">
              <w:rPr>
                <w:rFonts w:ascii="Arial" w:hAnsi="Arial" w:cs="Arial"/>
                <w:sz w:val="16"/>
                <w:szCs w:val="16"/>
              </w:rPr>
              <w:noBreakHyphen/>
            </w:r>
            <w:r w:rsidRPr="00BF4C99">
              <w:rPr>
                <w:rFonts w:ascii="Arial" w:hAnsi="Arial" w:cs="Arial"/>
                <w:sz w:val="16"/>
                <w:szCs w:val="16"/>
              </w:rPr>
              <w:t xml:space="preserve">24 </w:t>
            </w:r>
            <w:r w:rsidRPr="00BF4C99">
              <w:rPr>
                <w:rFonts w:ascii="Arial" w:hAnsi="Arial" w:cs="Arial"/>
                <w:sz w:val="16"/>
                <w:szCs w:val="16"/>
              </w:rPr>
              <w:b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4668EF90" w14:textId="0AB755F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2024</w:t>
            </w:r>
            <w:r w:rsidR="00B33758">
              <w:rPr>
                <w:rFonts w:ascii="Arial" w:hAnsi="Arial" w:cs="Arial"/>
                <w:sz w:val="16"/>
                <w:szCs w:val="16"/>
              </w:rPr>
              <w:noBreakHyphen/>
            </w:r>
            <w:r w:rsidRPr="00BF4C99">
              <w:rPr>
                <w:rFonts w:ascii="Arial" w:hAnsi="Arial" w:cs="Arial"/>
                <w:sz w:val="16"/>
                <w:szCs w:val="16"/>
              </w:rPr>
              <w:t xml:space="preserve">25 </w:t>
            </w:r>
            <w:r w:rsidRPr="00BF4C99">
              <w:rPr>
                <w:rFonts w:ascii="Arial" w:hAnsi="Arial" w:cs="Arial"/>
                <w:sz w:val="16"/>
                <w:szCs w:val="16"/>
              </w:rPr>
              <w:b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42BB46C5" w14:textId="09ADF5B3"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2025</w:t>
            </w:r>
            <w:r w:rsidR="00B33758">
              <w:rPr>
                <w:rFonts w:ascii="Arial" w:hAnsi="Arial" w:cs="Arial"/>
                <w:sz w:val="16"/>
                <w:szCs w:val="16"/>
              </w:rPr>
              <w:noBreakHyphen/>
            </w:r>
            <w:r w:rsidRPr="00BF4C99">
              <w:rPr>
                <w:rFonts w:ascii="Arial" w:hAnsi="Arial" w:cs="Arial"/>
                <w:sz w:val="16"/>
                <w:szCs w:val="16"/>
              </w:rPr>
              <w:t>26</w:t>
            </w:r>
            <w:r w:rsidRPr="00BF4C99">
              <w:rPr>
                <w:rFonts w:ascii="Arial" w:hAnsi="Arial" w:cs="Arial"/>
                <w:sz w:val="16"/>
                <w:szCs w:val="16"/>
              </w:rPr>
              <w:b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r>
      <w:tr w:rsidR="00BF4C99" w:rsidRPr="00BF4C99" w14:paraId="6D3C7891" w14:textId="77777777" w:rsidTr="00BF4C99">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7AE854C" w14:textId="77777777" w:rsidR="00BF4C99" w:rsidRPr="00BF4C99" w:rsidRDefault="00BF4C99" w:rsidP="00BF4C99">
            <w:pPr>
              <w:spacing w:after="0" w:line="240" w:lineRule="auto"/>
              <w:jc w:val="left"/>
              <w:rPr>
                <w:rFonts w:ascii="Arial" w:hAnsi="Arial" w:cs="Arial"/>
                <w:b/>
                <w:bCs/>
                <w:sz w:val="16"/>
                <w:szCs w:val="16"/>
              </w:rPr>
            </w:pPr>
            <w:r w:rsidRPr="00BF4C99">
              <w:rPr>
                <w:rFonts w:ascii="Arial" w:hAnsi="Arial" w:cs="Arial"/>
                <w:b/>
                <w:bCs/>
                <w:sz w:val="16"/>
                <w:szCs w:val="16"/>
              </w:rPr>
              <w:t>Outcome 1 Totals by appropriation type</w:t>
            </w:r>
          </w:p>
        </w:tc>
      </w:tr>
      <w:tr w:rsidR="00BF4C99" w:rsidRPr="00BF4C99" w14:paraId="1748A22F" w14:textId="77777777" w:rsidTr="00BF4C99">
        <w:trPr>
          <w:trHeight w:hRule="exact" w:val="225"/>
        </w:trPr>
        <w:tc>
          <w:tcPr>
            <w:tcW w:w="2130" w:type="pct"/>
            <w:tcBorders>
              <w:top w:val="nil"/>
              <w:left w:val="nil"/>
              <w:bottom w:val="nil"/>
              <w:right w:val="nil"/>
            </w:tcBorders>
            <w:shd w:val="clear" w:color="000000" w:fill="FFFFFF"/>
            <w:noWrap/>
            <w:vAlign w:val="center"/>
            <w:hideMark/>
          </w:tcPr>
          <w:p w14:paraId="43EA4936" w14:textId="77777777" w:rsidR="00BF4C99" w:rsidRPr="00BF4C99" w:rsidRDefault="00BF4C99" w:rsidP="00BF4C99">
            <w:pPr>
              <w:spacing w:after="0" w:line="240" w:lineRule="auto"/>
              <w:jc w:val="left"/>
              <w:rPr>
                <w:rFonts w:ascii="Arial" w:hAnsi="Arial" w:cs="Arial"/>
                <w:sz w:val="16"/>
                <w:szCs w:val="16"/>
              </w:rPr>
            </w:pPr>
            <w:r w:rsidRPr="00BF4C99">
              <w:rPr>
                <w:rFonts w:ascii="Arial" w:hAnsi="Arial" w:cs="Arial"/>
                <w:sz w:val="16"/>
                <w:szCs w:val="16"/>
              </w:rPr>
              <w:t>Departmental expenses</w:t>
            </w:r>
          </w:p>
        </w:tc>
        <w:tc>
          <w:tcPr>
            <w:tcW w:w="574" w:type="pct"/>
            <w:tcBorders>
              <w:top w:val="nil"/>
              <w:left w:val="nil"/>
              <w:bottom w:val="nil"/>
              <w:right w:val="nil"/>
            </w:tcBorders>
            <w:shd w:val="clear" w:color="auto" w:fill="auto"/>
            <w:noWrap/>
            <w:vAlign w:val="center"/>
            <w:hideMark/>
          </w:tcPr>
          <w:p w14:paraId="0E07843F" w14:textId="77777777" w:rsidR="00BF4C99" w:rsidRPr="00BF4C99" w:rsidRDefault="00BF4C99" w:rsidP="00BF4C99">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center"/>
            <w:hideMark/>
          </w:tcPr>
          <w:p w14:paraId="51692061"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490C0B9E" w14:textId="77777777" w:rsidR="00BF4C99" w:rsidRPr="00BF4C99" w:rsidRDefault="00BF4C99" w:rsidP="00BF4C99">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6E269931"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59CFE31C" w14:textId="77777777" w:rsidR="00BF4C99" w:rsidRPr="00BF4C99" w:rsidRDefault="00BF4C99" w:rsidP="00BF4C99">
            <w:pPr>
              <w:spacing w:after="0" w:line="240" w:lineRule="auto"/>
              <w:jc w:val="left"/>
              <w:rPr>
                <w:rFonts w:ascii="Times New Roman" w:hAnsi="Times New Roman"/>
              </w:rPr>
            </w:pPr>
          </w:p>
        </w:tc>
      </w:tr>
      <w:tr w:rsidR="00BF4C99" w:rsidRPr="00BF4C99" w14:paraId="0790438F" w14:textId="77777777" w:rsidTr="00BF4C99">
        <w:trPr>
          <w:trHeight w:hRule="exact" w:val="225"/>
        </w:trPr>
        <w:tc>
          <w:tcPr>
            <w:tcW w:w="2130" w:type="pct"/>
            <w:tcBorders>
              <w:top w:val="nil"/>
              <w:left w:val="nil"/>
              <w:bottom w:val="nil"/>
              <w:right w:val="nil"/>
            </w:tcBorders>
            <w:shd w:val="clear" w:color="000000" w:fill="FFFFFF"/>
            <w:noWrap/>
            <w:vAlign w:val="center"/>
            <w:hideMark/>
          </w:tcPr>
          <w:p w14:paraId="5882A5F6"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Departmental appropriation</w:t>
            </w:r>
          </w:p>
        </w:tc>
        <w:tc>
          <w:tcPr>
            <w:tcW w:w="574" w:type="pct"/>
            <w:tcBorders>
              <w:top w:val="nil"/>
              <w:left w:val="nil"/>
              <w:bottom w:val="nil"/>
              <w:right w:val="nil"/>
            </w:tcBorders>
            <w:shd w:val="clear" w:color="auto" w:fill="auto"/>
            <w:noWrap/>
            <w:vAlign w:val="center"/>
            <w:hideMark/>
          </w:tcPr>
          <w:p w14:paraId="2725B3BF"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327,640 </w:t>
            </w:r>
          </w:p>
        </w:tc>
        <w:tc>
          <w:tcPr>
            <w:tcW w:w="574" w:type="pct"/>
            <w:tcBorders>
              <w:top w:val="nil"/>
              <w:left w:val="nil"/>
              <w:bottom w:val="nil"/>
              <w:right w:val="nil"/>
            </w:tcBorders>
            <w:shd w:val="clear" w:color="000000" w:fill="E6E6E6"/>
            <w:noWrap/>
            <w:vAlign w:val="center"/>
            <w:hideMark/>
          </w:tcPr>
          <w:p w14:paraId="6C6D7702"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324,281 </w:t>
            </w:r>
          </w:p>
        </w:tc>
        <w:tc>
          <w:tcPr>
            <w:tcW w:w="574" w:type="pct"/>
            <w:tcBorders>
              <w:top w:val="nil"/>
              <w:left w:val="nil"/>
              <w:bottom w:val="nil"/>
              <w:right w:val="nil"/>
            </w:tcBorders>
            <w:shd w:val="clear" w:color="auto" w:fill="auto"/>
            <w:noWrap/>
            <w:vAlign w:val="center"/>
            <w:hideMark/>
          </w:tcPr>
          <w:p w14:paraId="3E7B72A6"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271,589 </w:t>
            </w:r>
          </w:p>
        </w:tc>
        <w:tc>
          <w:tcPr>
            <w:tcW w:w="574" w:type="pct"/>
            <w:tcBorders>
              <w:top w:val="nil"/>
              <w:left w:val="nil"/>
              <w:bottom w:val="nil"/>
              <w:right w:val="nil"/>
            </w:tcBorders>
            <w:shd w:val="clear" w:color="auto" w:fill="auto"/>
            <w:noWrap/>
            <w:vAlign w:val="center"/>
            <w:hideMark/>
          </w:tcPr>
          <w:p w14:paraId="20EA2BF0"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249,850 </w:t>
            </w:r>
          </w:p>
        </w:tc>
        <w:tc>
          <w:tcPr>
            <w:tcW w:w="574" w:type="pct"/>
            <w:tcBorders>
              <w:top w:val="nil"/>
              <w:left w:val="nil"/>
              <w:bottom w:val="nil"/>
              <w:right w:val="nil"/>
            </w:tcBorders>
            <w:shd w:val="clear" w:color="auto" w:fill="auto"/>
            <w:noWrap/>
            <w:vAlign w:val="center"/>
            <w:hideMark/>
          </w:tcPr>
          <w:p w14:paraId="52A463AA"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243,323 </w:t>
            </w:r>
          </w:p>
        </w:tc>
      </w:tr>
      <w:tr w:rsidR="00BF4C99" w:rsidRPr="00BF4C99" w14:paraId="4422A497" w14:textId="77777777" w:rsidTr="00BF4C99">
        <w:trPr>
          <w:trHeight w:hRule="exact" w:val="225"/>
        </w:trPr>
        <w:tc>
          <w:tcPr>
            <w:tcW w:w="2130" w:type="pct"/>
            <w:tcBorders>
              <w:top w:val="nil"/>
              <w:left w:val="nil"/>
              <w:bottom w:val="nil"/>
              <w:right w:val="nil"/>
            </w:tcBorders>
            <w:shd w:val="clear" w:color="000000" w:fill="FFFFFF"/>
            <w:vAlign w:val="center"/>
            <w:hideMark/>
          </w:tcPr>
          <w:p w14:paraId="447C6D69"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s74 External Revenue (a)</w:t>
            </w:r>
          </w:p>
        </w:tc>
        <w:tc>
          <w:tcPr>
            <w:tcW w:w="574" w:type="pct"/>
            <w:tcBorders>
              <w:top w:val="nil"/>
              <w:left w:val="nil"/>
              <w:bottom w:val="nil"/>
              <w:right w:val="nil"/>
            </w:tcBorders>
            <w:shd w:val="clear" w:color="auto" w:fill="auto"/>
            <w:noWrap/>
            <w:vAlign w:val="center"/>
            <w:hideMark/>
          </w:tcPr>
          <w:p w14:paraId="747E3247"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15,156 </w:t>
            </w:r>
          </w:p>
        </w:tc>
        <w:tc>
          <w:tcPr>
            <w:tcW w:w="574" w:type="pct"/>
            <w:tcBorders>
              <w:top w:val="nil"/>
              <w:left w:val="nil"/>
              <w:bottom w:val="nil"/>
              <w:right w:val="nil"/>
            </w:tcBorders>
            <w:shd w:val="clear" w:color="000000" w:fill="E6E6E6"/>
            <w:noWrap/>
            <w:vAlign w:val="center"/>
            <w:hideMark/>
          </w:tcPr>
          <w:p w14:paraId="285BC588"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15,156 </w:t>
            </w:r>
          </w:p>
        </w:tc>
        <w:tc>
          <w:tcPr>
            <w:tcW w:w="574" w:type="pct"/>
            <w:tcBorders>
              <w:top w:val="nil"/>
              <w:left w:val="nil"/>
              <w:bottom w:val="nil"/>
              <w:right w:val="nil"/>
            </w:tcBorders>
            <w:shd w:val="clear" w:color="auto" w:fill="auto"/>
            <w:noWrap/>
            <w:vAlign w:val="center"/>
            <w:hideMark/>
          </w:tcPr>
          <w:p w14:paraId="63B5B012"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15,156 </w:t>
            </w:r>
          </w:p>
        </w:tc>
        <w:tc>
          <w:tcPr>
            <w:tcW w:w="574" w:type="pct"/>
            <w:tcBorders>
              <w:top w:val="nil"/>
              <w:left w:val="nil"/>
              <w:bottom w:val="nil"/>
              <w:right w:val="nil"/>
            </w:tcBorders>
            <w:shd w:val="clear" w:color="auto" w:fill="auto"/>
            <w:noWrap/>
            <w:vAlign w:val="center"/>
            <w:hideMark/>
          </w:tcPr>
          <w:p w14:paraId="4C308F2F"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15,156 </w:t>
            </w:r>
          </w:p>
        </w:tc>
        <w:tc>
          <w:tcPr>
            <w:tcW w:w="574" w:type="pct"/>
            <w:tcBorders>
              <w:top w:val="nil"/>
              <w:left w:val="nil"/>
              <w:bottom w:val="nil"/>
              <w:right w:val="nil"/>
            </w:tcBorders>
            <w:shd w:val="clear" w:color="auto" w:fill="auto"/>
            <w:noWrap/>
            <w:vAlign w:val="center"/>
            <w:hideMark/>
          </w:tcPr>
          <w:p w14:paraId="7DF1E672"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15,156 </w:t>
            </w:r>
          </w:p>
        </w:tc>
      </w:tr>
      <w:tr w:rsidR="00BF4C99" w:rsidRPr="00BF4C99" w14:paraId="66522845" w14:textId="77777777" w:rsidTr="00BF4C99">
        <w:trPr>
          <w:trHeight w:hRule="exact" w:val="450"/>
        </w:trPr>
        <w:tc>
          <w:tcPr>
            <w:tcW w:w="2130" w:type="pct"/>
            <w:tcBorders>
              <w:top w:val="nil"/>
              <w:left w:val="nil"/>
              <w:bottom w:val="nil"/>
              <w:right w:val="nil"/>
            </w:tcBorders>
            <w:shd w:val="clear" w:color="000000" w:fill="FFFFFF"/>
            <w:vAlign w:val="center"/>
            <w:hideMark/>
          </w:tcPr>
          <w:p w14:paraId="00111465" w14:textId="77777777" w:rsidR="00BF4C99" w:rsidRPr="00BF4C99" w:rsidRDefault="00BF4C99" w:rsidP="00BF4C99">
            <w:pPr>
              <w:spacing w:after="0" w:line="240" w:lineRule="auto"/>
              <w:ind w:left="170"/>
              <w:jc w:val="left"/>
              <w:rPr>
                <w:rFonts w:ascii="Arial" w:hAnsi="Arial" w:cs="Arial"/>
                <w:sz w:val="16"/>
                <w:szCs w:val="16"/>
              </w:rPr>
            </w:pPr>
            <w:r w:rsidRPr="00BF4C99">
              <w:rPr>
                <w:rFonts w:ascii="Arial" w:hAnsi="Arial" w:cs="Arial"/>
                <w:sz w:val="16"/>
                <w:szCs w:val="16"/>
              </w:rPr>
              <w:t>Expenses not requiring appropriation in the Budget</w:t>
            </w:r>
            <w:r w:rsidRPr="00BF4C99">
              <w:rPr>
                <w:rFonts w:ascii="Arial" w:hAnsi="Arial" w:cs="Arial"/>
                <w:sz w:val="16"/>
                <w:szCs w:val="16"/>
              </w:rPr>
              <w:br/>
              <w:t xml:space="preserve">  year (b)</w:t>
            </w:r>
          </w:p>
        </w:tc>
        <w:tc>
          <w:tcPr>
            <w:tcW w:w="574" w:type="pct"/>
            <w:tcBorders>
              <w:top w:val="nil"/>
              <w:left w:val="nil"/>
              <w:bottom w:val="nil"/>
              <w:right w:val="nil"/>
            </w:tcBorders>
            <w:shd w:val="clear" w:color="auto" w:fill="auto"/>
            <w:noWrap/>
            <w:vAlign w:val="center"/>
            <w:hideMark/>
          </w:tcPr>
          <w:p w14:paraId="2A480A82"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9,118 </w:t>
            </w:r>
          </w:p>
        </w:tc>
        <w:tc>
          <w:tcPr>
            <w:tcW w:w="574" w:type="pct"/>
            <w:tcBorders>
              <w:top w:val="nil"/>
              <w:left w:val="nil"/>
              <w:bottom w:val="nil"/>
              <w:right w:val="nil"/>
            </w:tcBorders>
            <w:shd w:val="clear" w:color="000000" w:fill="E6E6E6"/>
            <w:noWrap/>
            <w:vAlign w:val="center"/>
            <w:hideMark/>
          </w:tcPr>
          <w:p w14:paraId="28C7F053"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8,508 </w:t>
            </w:r>
          </w:p>
        </w:tc>
        <w:tc>
          <w:tcPr>
            <w:tcW w:w="574" w:type="pct"/>
            <w:tcBorders>
              <w:top w:val="nil"/>
              <w:left w:val="nil"/>
              <w:bottom w:val="nil"/>
              <w:right w:val="nil"/>
            </w:tcBorders>
            <w:shd w:val="clear" w:color="auto" w:fill="auto"/>
            <w:noWrap/>
            <w:vAlign w:val="center"/>
            <w:hideMark/>
          </w:tcPr>
          <w:p w14:paraId="195B7220"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8,464 </w:t>
            </w:r>
          </w:p>
        </w:tc>
        <w:tc>
          <w:tcPr>
            <w:tcW w:w="574" w:type="pct"/>
            <w:tcBorders>
              <w:top w:val="nil"/>
              <w:left w:val="nil"/>
              <w:bottom w:val="nil"/>
              <w:right w:val="nil"/>
            </w:tcBorders>
            <w:shd w:val="clear" w:color="auto" w:fill="auto"/>
            <w:noWrap/>
            <w:vAlign w:val="center"/>
            <w:hideMark/>
          </w:tcPr>
          <w:p w14:paraId="64360486"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8,671 </w:t>
            </w:r>
          </w:p>
        </w:tc>
        <w:tc>
          <w:tcPr>
            <w:tcW w:w="574" w:type="pct"/>
            <w:tcBorders>
              <w:top w:val="nil"/>
              <w:left w:val="nil"/>
              <w:bottom w:val="nil"/>
              <w:right w:val="nil"/>
            </w:tcBorders>
            <w:shd w:val="clear" w:color="auto" w:fill="auto"/>
            <w:noWrap/>
            <w:vAlign w:val="center"/>
            <w:hideMark/>
          </w:tcPr>
          <w:p w14:paraId="07586CCA"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8,622 </w:t>
            </w:r>
          </w:p>
        </w:tc>
      </w:tr>
      <w:tr w:rsidR="00BF4C99" w:rsidRPr="00BF4C99" w14:paraId="0B55C3BE" w14:textId="77777777" w:rsidTr="00BF4C99">
        <w:trPr>
          <w:trHeight w:hRule="exact" w:val="225"/>
        </w:trPr>
        <w:tc>
          <w:tcPr>
            <w:tcW w:w="2130" w:type="pct"/>
            <w:tcBorders>
              <w:top w:val="nil"/>
              <w:left w:val="nil"/>
              <w:bottom w:val="nil"/>
              <w:right w:val="nil"/>
            </w:tcBorders>
            <w:shd w:val="clear" w:color="auto" w:fill="auto"/>
            <w:vAlign w:val="center"/>
            <w:hideMark/>
          </w:tcPr>
          <w:p w14:paraId="78DFC351"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Departmental total</w:t>
            </w:r>
          </w:p>
        </w:tc>
        <w:tc>
          <w:tcPr>
            <w:tcW w:w="574" w:type="pct"/>
            <w:tcBorders>
              <w:top w:val="single" w:sz="4" w:space="0" w:color="auto"/>
              <w:left w:val="nil"/>
              <w:bottom w:val="single" w:sz="4" w:space="0" w:color="auto"/>
              <w:right w:val="nil"/>
            </w:tcBorders>
            <w:shd w:val="clear" w:color="auto" w:fill="auto"/>
            <w:noWrap/>
            <w:vAlign w:val="center"/>
            <w:hideMark/>
          </w:tcPr>
          <w:p w14:paraId="3B54FBFA"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351,914 </w:t>
            </w:r>
          </w:p>
        </w:tc>
        <w:tc>
          <w:tcPr>
            <w:tcW w:w="574" w:type="pct"/>
            <w:tcBorders>
              <w:top w:val="single" w:sz="4" w:space="0" w:color="auto"/>
              <w:left w:val="nil"/>
              <w:bottom w:val="single" w:sz="4" w:space="0" w:color="auto"/>
              <w:right w:val="nil"/>
            </w:tcBorders>
            <w:shd w:val="clear" w:color="000000" w:fill="E6E6E6"/>
            <w:noWrap/>
            <w:vAlign w:val="center"/>
            <w:hideMark/>
          </w:tcPr>
          <w:p w14:paraId="465381E8"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 xml:space="preserve">347,945 </w:t>
            </w:r>
          </w:p>
        </w:tc>
        <w:tc>
          <w:tcPr>
            <w:tcW w:w="574" w:type="pct"/>
            <w:tcBorders>
              <w:top w:val="single" w:sz="4" w:space="0" w:color="auto"/>
              <w:left w:val="nil"/>
              <w:bottom w:val="single" w:sz="4" w:space="0" w:color="auto"/>
              <w:right w:val="nil"/>
            </w:tcBorders>
            <w:shd w:val="clear" w:color="auto" w:fill="auto"/>
            <w:noWrap/>
            <w:vAlign w:val="center"/>
            <w:hideMark/>
          </w:tcPr>
          <w:p w14:paraId="0CAB8431"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295,209 </w:t>
            </w:r>
          </w:p>
        </w:tc>
        <w:tc>
          <w:tcPr>
            <w:tcW w:w="574" w:type="pct"/>
            <w:tcBorders>
              <w:top w:val="single" w:sz="4" w:space="0" w:color="auto"/>
              <w:left w:val="nil"/>
              <w:bottom w:val="single" w:sz="4" w:space="0" w:color="auto"/>
              <w:right w:val="nil"/>
            </w:tcBorders>
            <w:shd w:val="clear" w:color="auto" w:fill="auto"/>
            <w:noWrap/>
            <w:vAlign w:val="center"/>
            <w:hideMark/>
          </w:tcPr>
          <w:p w14:paraId="2AFAF649"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273,677 </w:t>
            </w:r>
          </w:p>
        </w:tc>
        <w:tc>
          <w:tcPr>
            <w:tcW w:w="574" w:type="pct"/>
            <w:tcBorders>
              <w:top w:val="single" w:sz="4" w:space="0" w:color="auto"/>
              <w:left w:val="nil"/>
              <w:bottom w:val="single" w:sz="4" w:space="0" w:color="auto"/>
              <w:right w:val="nil"/>
            </w:tcBorders>
            <w:shd w:val="clear" w:color="auto" w:fill="auto"/>
            <w:noWrap/>
            <w:vAlign w:val="center"/>
            <w:hideMark/>
          </w:tcPr>
          <w:p w14:paraId="78C727FB"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267,101 </w:t>
            </w:r>
          </w:p>
        </w:tc>
      </w:tr>
      <w:tr w:rsidR="00BF4C99" w:rsidRPr="00BF4C99" w14:paraId="1E0B81C0" w14:textId="77777777" w:rsidTr="00BF4C99">
        <w:trPr>
          <w:trHeight w:hRule="exact" w:val="225"/>
        </w:trPr>
        <w:tc>
          <w:tcPr>
            <w:tcW w:w="2130" w:type="pct"/>
            <w:tcBorders>
              <w:top w:val="nil"/>
              <w:left w:val="nil"/>
              <w:bottom w:val="single" w:sz="4" w:space="0" w:color="auto"/>
              <w:right w:val="nil"/>
            </w:tcBorders>
            <w:shd w:val="clear" w:color="auto" w:fill="auto"/>
            <w:noWrap/>
            <w:vAlign w:val="center"/>
            <w:hideMark/>
          </w:tcPr>
          <w:p w14:paraId="744317BA" w14:textId="77777777" w:rsidR="00BF4C99" w:rsidRPr="00BF4C99" w:rsidRDefault="00BF4C99" w:rsidP="00BF4C99">
            <w:pPr>
              <w:spacing w:after="0" w:line="240" w:lineRule="auto"/>
              <w:jc w:val="left"/>
              <w:rPr>
                <w:rFonts w:ascii="Arial" w:hAnsi="Arial" w:cs="Arial"/>
                <w:b/>
                <w:bCs/>
                <w:color w:val="000000"/>
                <w:sz w:val="16"/>
                <w:szCs w:val="16"/>
              </w:rPr>
            </w:pPr>
            <w:r w:rsidRPr="00BF4C99">
              <w:rPr>
                <w:rFonts w:ascii="Arial" w:hAnsi="Arial" w:cs="Arial"/>
                <w:b/>
                <w:bCs/>
                <w:color w:val="000000"/>
                <w:sz w:val="16"/>
                <w:szCs w:val="16"/>
              </w:rPr>
              <w:t>Total expenses for Outcome 1</w:t>
            </w:r>
          </w:p>
        </w:tc>
        <w:tc>
          <w:tcPr>
            <w:tcW w:w="574" w:type="pct"/>
            <w:tcBorders>
              <w:top w:val="nil"/>
              <w:left w:val="nil"/>
              <w:bottom w:val="single" w:sz="4" w:space="0" w:color="auto"/>
              <w:right w:val="nil"/>
            </w:tcBorders>
            <w:shd w:val="clear" w:color="auto" w:fill="auto"/>
            <w:noWrap/>
            <w:vAlign w:val="center"/>
            <w:hideMark/>
          </w:tcPr>
          <w:p w14:paraId="4CF23441" w14:textId="77777777" w:rsidR="00BF4C99" w:rsidRPr="00BF4C99" w:rsidRDefault="00BF4C99" w:rsidP="00BF4C99">
            <w:pPr>
              <w:spacing w:after="0" w:line="240" w:lineRule="auto"/>
              <w:jc w:val="right"/>
              <w:rPr>
                <w:rFonts w:ascii="Arial" w:hAnsi="Arial" w:cs="Arial"/>
                <w:b/>
                <w:bCs/>
                <w:color w:val="000000"/>
                <w:sz w:val="16"/>
                <w:szCs w:val="16"/>
              </w:rPr>
            </w:pPr>
            <w:r w:rsidRPr="00BF4C99">
              <w:rPr>
                <w:rFonts w:ascii="Arial" w:hAnsi="Arial" w:cs="Arial"/>
                <w:b/>
                <w:bCs/>
                <w:color w:val="000000"/>
                <w:sz w:val="16"/>
                <w:szCs w:val="16"/>
              </w:rPr>
              <w:t xml:space="preserve">185,475,913 </w:t>
            </w:r>
          </w:p>
        </w:tc>
        <w:tc>
          <w:tcPr>
            <w:tcW w:w="574" w:type="pct"/>
            <w:tcBorders>
              <w:top w:val="nil"/>
              <w:left w:val="nil"/>
              <w:bottom w:val="single" w:sz="4" w:space="0" w:color="auto"/>
              <w:right w:val="nil"/>
            </w:tcBorders>
            <w:shd w:val="clear" w:color="000000" w:fill="E6E6E6"/>
            <w:noWrap/>
            <w:vAlign w:val="center"/>
            <w:hideMark/>
          </w:tcPr>
          <w:p w14:paraId="02CB7ADB" w14:textId="77777777" w:rsidR="00BF4C99" w:rsidRPr="00BF4C99" w:rsidRDefault="00BF4C99" w:rsidP="00BF4C99">
            <w:pPr>
              <w:spacing w:after="0" w:line="240" w:lineRule="auto"/>
              <w:jc w:val="right"/>
              <w:rPr>
                <w:rFonts w:ascii="Arial" w:hAnsi="Arial" w:cs="Arial"/>
                <w:b/>
                <w:bCs/>
                <w:color w:val="000000"/>
                <w:sz w:val="16"/>
                <w:szCs w:val="16"/>
              </w:rPr>
            </w:pPr>
            <w:r w:rsidRPr="00BF4C99">
              <w:rPr>
                <w:rFonts w:ascii="Arial" w:hAnsi="Arial" w:cs="Arial"/>
                <w:b/>
                <w:bCs/>
                <w:color w:val="000000"/>
                <w:sz w:val="16"/>
                <w:szCs w:val="16"/>
              </w:rPr>
              <w:t xml:space="preserve">184,472,251 </w:t>
            </w:r>
          </w:p>
        </w:tc>
        <w:tc>
          <w:tcPr>
            <w:tcW w:w="574" w:type="pct"/>
            <w:tcBorders>
              <w:top w:val="nil"/>
              <w:left w:val="nil"/>
              <w:bottom w:val="single" w:sz="4" w:space="0" w:color="auto"/>
              <w:right w:val="nil"/>
            </w:tcBorders>
            <w:shd w:val="clear" w:color="auto" w:fill="auto"/>
            <w:noWrap/>
            <w:vAlign w:val="center"/>
            <w:hideMark/>
          </w:tcPr>
          <w:p w14:paraId="5334E3D9"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190,250,850 </w:t>
            </w:r>
          </w:p>
        </w:tc>
        <w:tc>
          <w:tcPr>
            <w:tcW w:w="574" w:type="pct"/>
            <w:tcBorders>
              <w:top w:val="nil"/>
              <w:left w:val="nil"/>
              <w:bottom w:val="single" w:sz="4" w:space="0" w:color="auto"/>
              <w:right w:val="nil"/>
            </w:tcBorders>
            <w:shd w:val="clear" w:color="auto" w:fill="auto"/>
            <w:noWrap/>
            <w:vAlign w:val="center"/>
            <w:hideMark/>
          </w:tcPr>
          <w:p w14:paraId="2F15CFD5"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194,205,103 </w:t>
            </w:r>
          </w:p>
        </w:tc>
        <w:tc>
          <w:tcPr>
            <w:tcW w:w="574" w:type="pct"/>
            <w:tcBorders>
              <w:top w:val="nil"/>
              <w:left w:val="nil"/>
              <w:bottom w:val="single" w:sz="4" w:space="0" w:color="auto"/>
              <w:right w:val="nil"/>
            </w:tcBorders>
            <w:shd w:val="clear" w:color="auto" w:fill="auto"/>
            <w:noWrap/>
            <w:vAlign w:val="center"/>
            <w:hideMark/>
          </w:tcPr>
          <w:p w14:paraId="72D2DA3E"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193,121,348 </w:t>
            </w:r>
          </w:p>
        </w:tc>
      </w:tr>
      <w:tr w:rsidR="00BF4C99" w:rsidRPr="00BF4C99" w14:paraId="21EEE107" w14:textId="77777777" w:rsidTr="00BF4C99">
        <w:trPr>
          <w:trHeight w:hRule="exact" w:val="240"/>
        </w:trPr>
        <w:tc>
          <w:tcPr>
            <w:tcW w:w="2130" w:type="pct"/>
            <w:tcBorders>
              <w:top w:val="nil"/>
              <w:left w:val="nil"/>
              <w:bottom w:val="nil"/>
              <w:right w:val="nil"/>
            </w:tcBorders>
            <w:shd w:val="clear" w:color="auto" w:fill="auto"/>
            <w:noWrap/>
            <w:vAlign w:val="center"/>
            <w:hideMark/>
          </w:tcPr>
          <w:p w14:paraId="3A7D54BA" w14:textId="77777777" w:rsidR="00BF4C99" w:rsidRPr="00BF4C99" w:rsidRDefault="00BF4C99" w:rsidP="00BF4C99">
            <w:pPr>
              <w:spacing w:after="0" w:line="240" w:lineRule="auto"/>
              <w:jc w:val="right"/>
              <w:rPr>
                <w:rFonts w:ascii="Arial" w:hAnsi="Arial" w:cs="Arial"/>
                <w:b/>
                <w:bCs/>
                <w:sz w:val="16"/>
                <w:szCs w:val="16"/>
              </w:rPr>
            </w:pPr>
          </w:p>
        </w:tc>
        <w:tc>
          <w:tcPr>
            <w:tcW w:w="574" w:type="pct"/>
            <w:tcBorders>
              <w:top w:val="nil"/>
              <w:left w:val="nil"/>
              <w:bottom w:val="nil"/>
              <w:right w:val="nil"/>
            </w:tcBorders>
            <w:shd w:val="clear" w:color="auto" w:fill="auto"/>
            <w:noWrap/>
            <w:vAlign w:val="center"/>
            <w:hideMark/>
          </w:tcPr>
          <w:p w14:paraId="75284353"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24ABCC9A" w14:textId="77777777" w:rsidR="00BF4C99" w:rsidRPr="00BF4C99" w:rsidRDefault="00BF4C99" w:rsidP="00BF4C99">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6DD4F6C0" w14:textId="77777777" w:rsidR="00BF4C99" w:rsidRPr="00BF4C99" w:rsidRDefault="00BF4C99" w:rsidP="00BF4C99">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1E0B168B"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2A6C9077" w14:textId="77777777" w:rsidR="00BF4C99" w:rsidRPr="00BF4C99" w:rsidRDefault="00BF4C99" w:rsidP="00BF4C99">
            <w:pPr>
              <w:spacing w:after="0" w:line="240" w:lineRule="auto"/>
              <w:jc w:val="left"/>
              <w:rPr>
                <w:rFonts w:ascii="Times New Roman" w:hAnsi="Times New Roman"/>
              </w:rPr>
            </w:pPr>
          </w:p>
        </w:tc>
      </w:tr>
      <w:tr w:rsidR="00BF4C99" w:rsidRPr="00BF4C99" w14:paraId="3AB3C9B8" w14:textId="77777777" w:rsidTr="00A50679">
        <w:trPr>
          <w:trHeight w:hRule="exact" w:val="900"/>
        </w:trPr>
        <w:tc>
          <w:tcPr>
            <w:tcW w:w="2130" w:type="pct"/>
            <w:tcBorders>
              <w:top w:val="single" w:sz="4" w:space="0" w:color="auto"/>
              <w:left w:val="nil"/>
              <w:bottom w:val="nil"/>
              <w:right w:val="nil"/>
            </w:tcBorders>
            <w:shd w:val="clear" w:color="auto" w:fill="auto"/>
            <w:vAlign w:val="bottom"/>
            <w:hideMark/>
          </w:tcPr>
          <w:p w14:paraId="643B7B12" w14:textId="00DA10B9" w:rsidR="00BF4C99" w:rsidRPr="00BF4C99" w:rsidRDefault="00BF4C99" w:rsidP="00BF4C99">
            <w:pPr>
              <w:spacing w:after="0" w:line="240" w:lineRule="auto"/>
              <w:jc w:val="left"/>
              <w:rPr>
                <w:rFonts w:ascii="Arial" w:hAnsi="Arial" w:cs="Arial"/>
                <w:b/>
                <w:bCs/>
                <w:color w:val="000000"/>
                <w:sz w:val="16"/>
                <w:szCs w:val="16"/>
              </w:rPr>
            </w:pPr>
            <w:r w:rsidRPr="00BF4C99">
              <w:rPr>
                <w:rFonts w:ascii="Arial" w:hAnsi="Arial" w:cs="Arial"/>
                <w:b/>
                <w:bCs/>
                <w:color w:val="000000"/>
                <w:sz w:val="16"/>
                <w:szCs w:val="16"/>
              </w:rPr>
              <w:t>Movement of administered</w:t>
            </w:r>
            <w:r w:rsidRPr="00BF4C99">
              <w:rPr>
                <w:rFonts w:ascii="Arial" w:hAnsi="Arial" w:cs="Arial"/>
                <w:b/>
                <w:bCs/>
                <w:color w:val="000000"/>
                <w:sz w:val="16"/>
                <w:szCs w:val="16"/>
              </w:rPr>
              <w:br/>
              <w:t xml:space="preserve">  funds between years (c)</w:t>
            </w:r>
          </w:p>
        </w:tc>
        <w:tc>
          <w:tcPr>
            <w:tcW w:w="574" w:type="pct"/>
            <w:tcBorders>
              <w:top w:val="single" w:sz="4" w:space="0" w:color="auto"/>
              <w:left w:val="nil"/>
              <w:bottom w:val="single" w:sz="4" w:space="0" w:color="auto"/>
              <w:right w:val="nil"/>
            </w:tcBorders>
            <w:shd w:val="clear" w:color="auto" w:fill="auto"/>
            <w:hideMark/>
          </w:tcPr>
          <w:p w14:paraId="58ED3DD9" w14:textId="2A20C2AA"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2021</w:t>
            </w:r>
            <w:r w:rsidR="00B33758">
              <w:rPr>
                <w:rFonts w:ascii="Arial" w:hAnsi="Arial" w:cs="Arial"/>
                <w:sz w:val="16"/>
                <w:szCs w:val="16"/>
              </w:rPr>
              <w:noBreakHyphen/>
            </w:r>
            <w:r w:rsidRPr="00BF4C99">
              <w:rPr>
                <w:rFonts w:ascii="Arial" w:hAnsi="Arial" w:cs="Arial"/>
                <w:sz w:val="16"/>
                <w:szCs w:val="16"/>
              </w:rPr>
              <w:t>22 Estimated actual</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E7E6E6" w:themeFill="background2"/>
            <w:hideMark/>
          </w:tcPr>
          <w:p w14:paraId="206AA5A5" w14:textId="273D904F"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2022</w:t>
            </w:r>
            <w:r w:rsidR="00B33758">
              <w:rPr>
                <w:rFonts w:ascii="Arial" w:hAnsi="Arial" w:cs="Arial"/>
                <w:sz w:val="16"/>
                <w:szCs w:val="16"/>
              </w:rPr>
              <w:noBreakHyphen/>
            </w:r>
            <w:r w:rsidRPr="00BF4C99">
              <w:rPr>
                <w:rFonts w:ascii="Arial" w:hAnsi="Arial" w:cs="Arial"/>
                <w:sz w:val="16"/>
                <w:szCs w:val="16"/>
              </w:rPr>
              <w:t>23</w:t>
            </w:r>
            <w:r w:rsidRPr="00BF4C99">
              <w:rPr>
                <w:rFonts w:ascii="Arial" w:hAnsi="Arial" w:cs="Arial"/>
                <w:sz w:val="16"/>
                <w:szCs w:val="16"/>
              </w:rPr>
              <w:br/>
              <w:t>Budget</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4F2216B2" w14:textId="0F913F9D" w:rsidR="006935EF" w:rsidRDefault="00BF4C99" w:rsidP="00BF4C99">
            <w:pPr>
              <w:spacing w:after="0" w:line="240" w:lineRule="auto"/>
              <w:jc w:val="right"/>
              <w:rPr>
                <w:rFonts w:ascii="Arial" w:hAnsi="Arial" w:cs="Arial"/>
                <w:sz w:val="16"/>
                <w:szCs w:val="16"/>
              </w:rPr>
            </w:pPr>
            <w:r w:rsidRPr="00BF4C99">
              <w:rPr>
                <w:rFonts w:ascii="Arial" w:hAnsi="Arial" w:cs="Arial"/>
                <w:sz w:val="16"/>
                <w:szCs w:val="16"/>
              </w:rPr>
              <w:t>2023</w:t>
            </w:r>
            <w:r w:rsidR="00B33758">
              <w:rPr>
                <w:rFonts w:ascii="Arial" w:hAnsi="Arial" w:cs="Arial"/>
                <w:sz w:val="16"/>
                <w:szCs w:val="16"/>
              </w:rPr>
              <w:noBreakHyphen/>
            </w:r>
            <w:r w:rsidRPr="00BF4C99">
              <w:rPr>
                <w:rFonts w:ascii="Arial" w:hAnsi="Arial" w:cs="Arial"/>
                <w:sz w:val="16"/>
                <w:szCs w:val="16"/>
              </w:rPr>
              <w:t xml:space="preserve">24 </w:t>
            </w:r>
          </w:p>
          <w:p w14:paraId="36616F6D" w14:textId="4FB181E0"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4F14381F" w14:textId="4D3F3E97" w:rsidR="006935EF" w:rsidRDefault="00BF4C99" w:rsidP="00BF4C99">
            <w:pPr>
              <w:spacing w:after="0" w:line="240" w:lineRule="auto"/>
              <w:jc w:val="right"/>
              <w:rPr>
                <w:rFonts w:ascii="Arial" w:hAnsi="Arial" w:cs="Arial"/>
                <w:sz w:val="16"/>
                <w:szCs w:val="16"/>
              </w:rPr>
            </w:pPr>
            <w:r w:rsidRPr="00BF4C99">
              <w:rPr>
                <w:rFonts w:ascii="Arial" w:hAnsi="Arial" w:cs="Arial"/>
                <w:sz w:val="16"/>
                <w:szCs w:val="16"/>
              </w:rPr>
              <w:t>2024</w:t>
            </w:r>
            <w:r w:rsidR="00B33758">
              <w:rPr>
                <w:rFonts w:ascii="Arial" w:hAnsi="Arial" w:cs="Arial"/>
                <w:sz w:val="16"/>
                <w:szCs w:val="16"/>
              </w:rPr>
              <w:noBreakHyphen/>
            </w:r>
            <w:r w:rsidRPr="00BF4C99">
              <w:rPr>
                <w:rFonts w:ascii="Arial" w:hAnsi="Arial" w:cs="Arial"/>
                <w:sz w:val="16"/>
                <w:szCs w:val="16"/>
              </w:rPr>
              <w:t xml:space="preserve">25 </w:t>
            </w:r>
          </w:p>
          <w:p w14:paraId="52FC832F" w14:textId="3AC5CACB"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c>
          <w:tcPr>
            <w:tcW w:w="574" w:type="pct"/>
            <w:tcBorders>
              <w:top w:val="single" w:sz="4" w:space="0" w:color="auto"/>
              <w:left w:val="nil"/>
              <w:bottom w:val="single" w:sz="4" w:space="0" w:color="auto"/>
              <w:right w:val="nil"/>
            </w:tcBorders>
            <w:shd w:val="clear" w:color="auto" w:fill="auto"/>
            <w:hideMark/>
          </w:tcPr>
          <w:p w14:paraId="3C419311" w14:textId="46E03EAA"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2025</w:t>
            </w:r>
            <w:r w:rsidR="00B33758">
              <w:rPr>
                <w:rFonts w:ascii="Arial" w:hAnsi="Arial" w:cs="Arial"/>
                <w:sz w:val="16"/>
                <w:szCs w:val="16"/>
              </w:rPr>
              <w:noBreakHyphen/>
            </w:r>
            <w:r w:rsidRPr="00BF4C99">
              <w:rPr>
                <w:rFonts w:ascii="Arial" w:hAnsi="Arial" w:cs="Arial"/>
                <w:sz w:val="16"/>
                <w:szCs w:val="16"/>
              </w:rPr>
              <w:t>26</w:t>
            </w:r>
            <w:r w:rsidRPr="00BF4C99">
              <w:rPr>
                <w:rFonts w:ascii="Arial" w:hAnsi="Arial" w:cs="Arial"/>
                <w:sz w:val="16"/>
                <w:szCs w:val="16"/>
              </w:rPr>
              <w:br/>
              <w:t>Forward estimate</w:t>
            </w:r>
            <w:r w:rsidRPr="00BF4C99">
              <w:rPr>
                <w:rFonts w:ascii="Arial" w:hAnsi="Arial" w:cs="Arial"/>
                <w:sz w:val="16"/>
                <w:szCs w:val="16"/>
              </w:rPr>
              <w:br/>
              <w:t>$</w:t>
            </w:r>
            <w:r w:rsidR="00B33758">
              <w:rPr>
                <w:rFonts w:ascii="Arial" w:hAnsi="Arial" w:cs="Arial"/>
                <w:sz w:val="16"/>
                <w:szCs w:val="16"/>
              </w:rPr>
              <w:t>’</w:t>
            </w:r>
            <w:r w:rsidRPr="00BF4C99">
              <w:rPr>
                <w:rFonts w:ascii="Arial" w:hAnsi="Arial" w:cs="Arial"/>
                <w:sz w:val="16"/>
                <w:szCs w:val="16"/>
              </w:rPr>
              <w:t>000</w:t>
            </w:r>
          </w:p>
        </w:tc>
      </w:tr>
      <w:tr w:rsidR="00BF4C99" w:rsidRPr="00BF4C99" w14:paraId="6642821E" w14:textId="77777777" w:rsidTr="00A50679">
        <w:trPr>
          <w:trHeight w:hRule="exact" w:val="225"/>
        </w:trPr>
        <w:tc>
          <w:tcPr>
            <w:tcW w:w="2130" w:type="pct"/>
            <w:tcBorders>
              <w:top w:val="nil"/>
              <w:left w:val="nil"/>
              <w:bottom w:val="nil"/>
              <w:right w:val="nil"/>
            </w:tcBorders>
            <w:shd w:val="clear" w:color="auto" w:fill="auto"/>
            <w:noWrap/>
            <w:vAlign w:val="center"/>
            <w:hideMark/>
          </w:tcPr>
          <w:p w14:paraId="1E4E69D1" w14:textId="77777777" w:rsidR="00BF4C99" w:rsidRPr="00BF4C99" w:rsidRDefault="00BF4C99" w:rsidP="00BF4C99">
            <w:pPr>
              <w:spacing w:after="0" w:line="240" w:lineRule="auto"/>
              <w:jc w:val="left"/>
              <w:rPr>
                <w:rFonts w:ascii="Arial" w:hAnsi="Arial" w:cs="Arial"/>
                <w:color w:val="000000"/>
                <w:sz w:val="16"/>
                <w:szCs w:val="16"/>
              </w:rPr>
            </w:pPr>
            <w:r w:rsidRPr="00BF4C99">
              <w:rPr>
                <w:rFonts w:ascii="Arial" w:hAnsi="Arial" w:cs="Arial"/>
                <w:color w:val="000000"/>
                <w:sz w:val="16"/>
                <w:szCs w:val="16"/>
              </w:rPr>
              <w:t>Program 1.9: National Partnership Payments to the States</w:t>
            </w:r>
          </w:p>
        </w:tc>
        <w:tc>
          <w:tcPr>
            <w:tcW w:w="574" w:type="pct"/>
            <w:tcBorders>
              <w:top w:val="nil"/>
              <w:left w:val="nil"/>
              <w:bottom w:val="nil"/>
              <w:right w:val="nil"/>
            </w:tcBorders>
            <w:shd w:val="clear" w:color="auto" w:fill="auto"/>
            <w:noWrap/>
            <w:vAlign w:val="bottom"/>
            <w:hideMark/>
          </w:tcPr>
          <w:p w14:paraId="413E45D3"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(263,497)</w:t>
            </w:r>
          </w:p>
        </w:tc>
        <w:tc>
          <w:tcPr>
            <w:tcW w:w="574" w:type="pct"/>
            <w:tcBorders>
              <w:top w:val="nil"/>
              <w:left w:val="nil"/>
              <w:bottom w:val="nil"/>
              <w:right w:val="nil"/>
            </w:tcBorders>
            <w:shd w:val="clear" w:color="auto" w:fill="E7E6E6" w:themeFill="background2"/>
            <w:vAlign w:val="bottom"/>
            <w:hideMark/>
          </w:tcPr>
          <w:p w14:paraId="0D0993C3" w14:textId="7777777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(52,991)</w:t>
            </w:r>
          </w:p>
        </w:tc>
        <w:tc>
          <w:tcPr>
            <w:tcW w:w="574" w:type="pct"/>
            <w:tcBorders>
              <w:top w:val="nil"/>
              <w:left w:val="nil"/>
              <w:bottom w:val="nil"/>
              <w:right w:val="nil"/>
            </w:tcBorders>
            <w:shd w:val="clear" w:color="auto" w:fill="auto"/>
            <w:noWrap/>
            <w:vAlign w:val="bottom"/>
            <w:hideMark/>
          </w:tcPr>
          <w:p w14:paraId="437646BA"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948,506 </w:t>
            </w:r>
          </w:p>
        </w:tc>
        <w:tc>
          <w:tcPr>
            <w:tcW w:w="574" w:type="pct"/>
            <w:tcBorders>
              <w:top w:val="nil"/>
              <w:left w:val="nil"/>
              <w:bottom w:val="nil"/>
              <w:right w:val="nil"/>
            </w:tcBorders>
            <w:shd w:val="clear" w:color="auto" w:fill="auto"/>
            <w:noWrap/>
            <w:vAlign w:val="bottom"/>
            <w:hideMark/>
          </w:tcPr>
          <w:p w14:paraId="2B8431D3"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841,965 </w:t>
            </w:r>
          </w:p>
        </w:tc>
        <w:tc>
          <w:tcPr>
            <w:tcW w:w="574" w:type="pct"/>
            <w:tcBorders>
              <w:top w:val="nil"/>
              <w:left w:val="nil"/>
              <w:bottom w:val="nil"/>
              <w:right w:val="nil"/>
            </w:tcBorders>
            <w:shd w:val="clear" w:color="auto" w:fill="auto"/>
            <w:noWrap/>
            <w:vAlign w:val="bottom"/>
            <w:hideMark/>
          </w:tcPr>
          <w:p w14:paraId="097846D8"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(1,233,349)</w:t>
            </w:r>
          </w:p>
        </w:tc>
      </w:tr>
      <w:tr w:rsidR="00BF4C99" w:rsidRPr="00BF4C99" w14:paraId="7EA6F12C" w14:textId="77777777" w:rsidTr="00A50679">
        <w:trPr>
          <w:trHeight w:hRule="exact" w:val="225"/>
        </w:trPr>
        <w:tc>
          <w:tcPr>
            <w:tcW w:w="2130" w:type="pct"/>
            <w:tcBorders>
              <w:top w:val="nil"/>
              <w:left w:val="nil"/>
              <w:bottom w:val="single" w:sz="4" w:space="0" w:color="auto"/>
              <w:right w:val="nil"/>
            </w:tcBorders>
            <w:shd w:val="clear" w:color="auto" w:fill="auto"/>
            <w:noWrap/>
            <w:vAlign w:val="center"/>
            <w:hideMark/>
          </w:tcPr>
          <w:p w14:paraId="208694D6" w14:textId="77777777" w:rsidR="00BF4C99" w:rsidRPr="00BF4C99" w:rsidRDefault="00BF4C99" w:rsidP="00BF4C99">
            <w:pPr>
              <w:spacing w:after="0" w:line="240" w:lineRule="auto"/>
              <w:jc w:val="left"/>
              <w:rPr>
                <w:rFonts w:ascii="Arial" w:hAnsi="Arial" w:cs="Arial"/>
                <w:b/>
                <w:bCs/>
                <w:color w:val="000000"/>
                <w:sz w:val="16"/>
                <w:szCs w:val="16"/>
              </w:rPr>
            </w:pPr>
            <w:r w:rsidRPr="00BF4C99">
              <w:rPr>
                <w:rFonts w:ascii="Arial" w:hAnsi="Arial" w:cs="Arial"/>
                <w:b/>
                <w:bCs/>
                <w:color w:val="000000"/>
                <w:sz w:val="16"/>
                <w:szCs w:val="16"/>
              </w:rPr>
              <w:t>Total movement of administered funds</w:t>
            </w:r>
          </w:p>
        </w:tc>
        <w:tc>
          <w:tcPr>
            <w:tcW w:w="574" w:type="pct"/>
            <w:tcBorders>
              <w:top w:val="single" w:sz="4" w:space="0" w:color="auto"/>
              <w:left w:val="nil"/>
              <w:bottom w:val="single" w:sz="4" w:space="0" w:color="auto"/>
              <w:right w:val="nil"/>
            </w:tcBorders>
            <w:shd w:val="clear" w:color="auto" w:fill="auto"/>
            <w:noWrap/>
            <w:vAlign w:val="bottom"/>
            <w:hideMark/>
          </w:tcPr>
          <w:p w14:paraId="6608AAB5" w14:textId="77777777" w:rsidR="00BF4C99" w:rsidRPr="00BF4C99" w:rsidRDefault="00BF4C99" w:rsidP="00BF4C99">
            <w:pPr>
              <w:spacing w:after="0" w:line="240" w:lineRule="auto"/>
              <w:jc w:val="right"/>
              <w:rPr>
                <w:rFonts w:ascii="Arial" w:hAnsi="Arial" w:cs="Arial"/>
                <w:b/>
                <w:bCs/>
                <w:color w:val="000000"/>
                <w:sz w:val="16"/>
                <w:szCs w:val="16"/>
              </w:rPr>
            </w:pPr>
            <w:r w:rsidRPr="00BF4C99">
              <w:rPr>
                <w:rFonts w:ascii="Arial" w:hAnsi="Arial" w:cs="Arial"/>
                <w:b/>
                <w:bCs/>
                <w:color w:val="000000"/>
                <w:sz w:val="16"/>
                <w:szCs w:val="16"/>
              </w:rPr>
              <w:t>(263,497)</w:t>
            </w:r>
          </w:p>
        </w:tc>
        <w:tc>
          <w:tcPr>
            <w:tcW w:w="574" w:type="pct"/>
            <w:tcBorders>
              <w:top w:val="single" w:sz="4" w:space="0" w:color="auto"/>
              <w:left w:val="nil"/>
              <w:bottom w:val="single" w:sz="4" w:space="0" w:color="auto"/>
              <w:right w:val="nil"/>
            </w:tcBorders>
            <w:shd w:val="clear" w:color="auto" w:fill="E7E6E6" w:themeFill="background2"/>
            <w:noWrap/>
            <w:vAlign w:val="bottom"/>
            <w:hideMark/>
          </w:tcPr>
          <w:p w14:paraId="7589E134" w14:textId="77777777" w:rsidR="00BF4C99" w:rsidRPr="00BF4C99" w:rsidRDefault="00BF4C99" w:rsidP="00BF4C99">
            <w:pPr>
              <w:spacing w:after="0" w:line="240" w:lineRule="auto"/>
              <w:jc w:val="right"/>
              <w:rPr>
                <w:rFonts w:ascii="Arial" w:hAnsi="Arial" w:cs="Arial"/>
                <w:b/>
                <w:bCs/>
                <w:color w:val="000000"/>
                <w:sz w:val="16"/>
                <w:szCs w:val="16"/>
              </w:rPr>
            </w:pPr>
            <w:r w:rsidRPr="00BF4C99">
              <w:rPr>
                <w:rFonts w:ascii="Arial" w:hAnsi="Arial" w:cs="Arial"/>
                <w:b/>
                <w:bCs/>
                <w:color w:val="000000"/>
                <w:sz w:val="16"/>
                <w:szCs w:val="16"/>
              </w:rPr>
              <w:t>(52,991)</w:t>
            </w:r>
          </w:p>
        </w:tc>
        <w:tc>
          <w:tcPr>
            <w:tcW w:w="574" w:type="pct"/>
            <w:tcBorders>
              <w:top w:val="single" w:sz="4" w:space="0" w:color="auto"/>
              <w:left w:val="nil"/>
              <w:bottom w:val="single" w:sz="4" w:space="0" w:color="auto"/>
              <w:right w:val="nil"/>
            </w:tcBorders>
            <w:shd w:val="clear" w:color="auto" w:fill="auto"/>
            <w:noWrap/>
            <w:vAlign w:val="bottom"/>
            <w:hideMark/>
          </w:tcPr>
          <w:p w14:paraId="459186F8"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948,506 </w:t>
            </w:r>
          </w:p>
        </w:tc>
        <w:tc>
          <w:tcPr>
            <w:tcW w:w="574" w:type="pct"/>
            <w:tcBorders>
              <w:top w:val="single" w:sz="4" w:space="0" w:color="auto"/>
              <w:left w:val="nil"/>
              <w:bottom w:val="single" w:sz="4" w:space="0" w:color="auto"/>
              <w:right w:val="nil"/>
            </w:tcBorders>
            <w:shd w:val="clear" w:color="auto" w:fill="auto"/>
            <w:noWrap/>
            <w:vAlign w:val="bottom"/>
            <w:hideMark/>
          </w:tcPr>
          <w:p w14:paraId="7AF3B454"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 xml:space="preserve">841,965 </w:t>
            </w:r>
          </w:p>
        </w:tc>
        <w:tc>
          <w:tcPr>
            <w:tcW w:w="574" w:type="pct"/>
            <w:tcBorders>
              <w:top w:val="single" w:sz="4" w:space="0" w:color="auto"/>
              <w:left w:val="nil"/>
              <w:bottom w:val="single" w:sz="4" w:space="0" w:color="auto"/>
              <w:right w:val="nil"/>
            </w:tcBorders>
            <w:shd w:val="clear" w:color="auto" w:fill="auto"/>
            <w:noWrap/>
            <w:vAlign w:val="bottom"/>
            <w:hideMark/>
          </w:tcPr>
          <w:p w14:paraId="7259EB5B" w14:textId="77777777" w:rsidR="00BF4C99" w:rsidRPr="00BF4C99" w:rsidRDefault="00BF4C99" w:rsidP="00BF4C99">
            <w:pPr>
              <w:spacing w:after="0" w:line="240" w:lineRule="auto"/>
              <w:jc w:val="right"/>
              <w:rPr>
                <w:rFonts w:ascii="Arial" w:hAnsi="Arial" w:cs="Arial"/>
                <w:b/>
                <w:bCs/>
                <w:sz w:val="16"/>
                <w:szCs w:val="16"/>
              </w:rPr>
            </w:pPr>
            <w:r w:rsidRPr="00BF4C99">
              <w:rPr>
                <w:rFonts w:ascii="Arial" w:hAnsi="Arial" w:cs="Arial"/>
                <w:b/>
                <w:bCs/>
                <w:sz w:val="16"/>
                <w:szCs w:val="16"/>
              </w:rPr>
              <w:t>(1,233,349)</w:t>
            </w:r>
          </w:p>
        </w:tc>
      </w:tr>
      <w:tr w:rsidR="00BF4C99" w:rsidRPr="00BF4C99" w14:paraId="0D5B0A80" w14:textId="77777777" w:rsidTr="00BF4C99">
        <w:trPr>
          <w:trHeight w:hRule="exact" w:val="240"/>
        </w:trPr>
        <w:tc>
          <w:tcPr>
            <w:tcW w:w="2130" w:type="pct"/>
            <w:tcBorders>
              <w:top w:val="nil"/>
              <w:left w:val="nil"/>
              <w:bottom w:val="nil"/>
              <w:right w:val="nil"/>
            </w:tcBorders>
            <w:shd w:val="clear" w:color="auto" w:fill="auto"/>
            <w:noWrap/>
            <w:vAlign w:val="center"/>
            <w:hideMark/>
          </w:tcPr>
          <w:p w14:paraId="657F3392" w14:textId="77777777" w:rsidR="00BF4C99" w:rsidRPr="00BF4C99" w:rsidRDefault="00BF4C99" w:rsidP="00BF4C99">
            <w:pPr>
              <w:spacing w:after="0" w:line="240" w:lineRule="auto"/>
              <w:jc w:val="right"/>
              <w:rPr>
                <w:rFonts w:ascii="Arial" w:hAnsi="Arial" w:cs="Arial"/>
                <w:b/>
                <w:bCs/>
                <w:sz w:val="16"/>
                <w:szCs w:val="16"/>
              </w:rPr>
            </w:pPr>
          </w:p>
        </w:tc>
        <w:tc>
          <w:tcPr>
            <w:tcW w:w="574" w:type="pct"/>
            <w:tcBorders>
              <w:top w:val="nil"/>
              <w:left w:val="nil"/>
              <w:bottom w:val="nil"/>
              <w:right w:val="nil"/>
            </w:tcBorders>
            <w:shd w:val="clear" w:color="auto" w:fill="auto"/>
            <w:noWrap/>
            <w:vAlign w:val="center"/>
            <w:hideMark/>
          </w:tcPr>
          <w:p w14:paraId="5BEA5B5A"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8BF7A70" w14:textId="77777777" w:rsidR="00BF4C99" w:rsidRPr="00BF4C99" w:rsidRDefault="00BF4C99" w:rsidP="00BF4C99">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74C9065B" w14:textId="77777777" w:rsidR="00BF4C99" w:rsidRPr="00BF4C99" w:rsidRDefault="00BF4C99" w:rsidP="00BF4C99">
            <w:pPr>
              <w:spacing w:after="0" w:line="240" w:lineRule="auto"/>
              <w:jc w:val="right"/>
              <w:rPr>
                <w:rFonts w:ascii="Times New Roman" w:hAnsi="Times New Roman"/>
              </w:rPr>
            </w:pPr>
          </w:p>
        </w:tc>
        <w:tc>
          <w:tcPr>
            <w:tcW w:w="574" w:type="pct"/>
            <w:tcBorders>
              <w:top w:val="nil"/>
              <w:left w:val="nil"/>
              <w:bottom w:val="nil"/>
              <w:right w:val="nil"/>
            </w:tcBorders>
            <w:shd w:val="clear" w:color="auto" w:fill="auto"/>
            <w:noWrap/>
            <w:vAlign w:val="center"/>
            <w:hideMark/>
          </w:tcPr>
          <w:p w14:paraId="5F05D1EF"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7D53A7D8" w14:textId="77777777" w:rsidR="00BF4C99" w:rsidRPr="00BF4C99" w:rsidRDefault="00BF4C99" w:rsidP="00BF4C99">
            <w:pPr>
              <w:spacing w:after="0" w:line="240" w:lineRule="auto"/>
              <w:jc w:val="left"/>
              <w:rPr>
                <w:rFonts w:ascii="Times New Roman" w:hAnsi="Times New Roman"/>
              </w:rPr>
            </w:pPr>
          </w:p>
        </w:tc>
      </w:tr>
      <w:tr w:rsidR="00BF4C99" w:rsidRPr="00BF4C99" w14:paraId="297BA9B8" w14:textId="77777777" w:rsidTr="00BF4C99">
        <w:trPr>
          <w:trHeight w:hRule="exact" w:val="225"/>
        </w:trPr>
        <w:tc>
          <w:tcPr>
            <w:tcW w:w="2130" w:type="pct"/>
            <w:tcBorders>
              <w:top w:val="single" w:sz="4" w:space="0" w:color="000000"/>
              <w:left w:val="nil"/>
              <w:bottom w:val="nil"/>
              <w:right w:val="nil"/>
            </w:tcBorders>
            <w:shd w:val="clear" w:color="auto" w:fill="auto"/>
            <w:noWrap/>
            <w:vAlign w:val="center"/>
            <w:hideMark/>
          </w:tcPr>
          <w:p w14:paraId="78AE7BE1" w14:textId="77777777" w:rsidR="00BF4C99" w:rsidRPr="00BF4C99" w:rsidRDefault="00BF4C99" w:rsidP="00BF4C99">
            <w:pPr>
              <w:spacing w:after="0" w:line="240" w:lineRule="auto"/>
              <w:jc w:val="left"/>
              <w:rPr>
                <w:rFonts w:ascii="Arial" w:hAnsi="Arial" w:cs="Arial"/>
                <w:color w:val="000000"/>
                <w:sz w:val="16"/>
                <w:szCs w:val="16"/>
              </w:rPr>
            </w:pPr>
            <w:r w:rsidRPr="00BF4C99">
              <w:rPr>
                <w:rFonts w:ascii="Arial" w:hAnsi="Arial" w:cs="Arial"/>
                <w:color w:val="000000"/>
                <w:sz w:val="16"/>
                <w:szCs w:val="16"/>
              </w:rPr>
              <w:t> </w:t>
            </w:r>
          </w:p>
        </w:tc>
        <w:tc>
          <w:tcPr>
            <w:tcW w:w="574" w:type="pct"/>
            <w:tcBorders>
              <w:top w:val="single" w:sz="4" w:space="0" w:color="auto"/>
              <w:left w:val="nil"/>
              <w:bottom w:val="single" w:sz="4" w:space="0" w:color="auto"/>
              <w:right w:val="nil"/>
            </w:tcBorders>
            <w:shd w:val="clear" w:color="auto" w:fill="auto"/>
            <w:noWrap/>
            <w:vAlign w:val="center"/>
            <w:hideMark/>
          </w:tcPr>
          <w:p w14:paraId="58D36D75" w14:textId="4D16C6F7"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2021</w:t>
            </w:r>
            <w:r w:rsidR="00B33758">
              <w:rPr>
                <w:rFonts w:ascii="Arial" w:hAnsi="Arial" w:cs="Arial"/>
                <w:sz w:val="16"/>
                <w:szCs w:val="16"/>
              </w:rPr>
              <w:noBreakHyphen/>
            </w:r>
            <w:r w:rsidRPr="00BF4C99">
              <w:rPr>
                <w:rFonts w:ascii="Arial" w:hAnsi="Arial" w:cs="Arial"/>
                <w:sz w:val="16"/>
                <w:szCs w:val="16"/>
              </w:rPr>
              <w:t>22</w:t>
            </w:r>
          </w:p>
        </w:tc>
        <w:tc>
          <w:tcPr>
            <w:tcW w:w="574" w:type="pct"/>
            <w:tcBorders>
              <w:top w:val="single" w:sz="4" w:space="0" w:color="auto"/>
              <w:left w:val="nil"/>
              <w:bottom w:val="single" w:sz="4" w:space="0" w:color="auto"/>
              <w:right w:val="nil"/>
            </w:tcBorders>
            <w:shd w:val="clear" w:color="000000" w:fill="E6E6E6"/>
            <w:noWrap/>
            <w:vAlign w:val="center"/>
            <w:hideMark/>
          </w:tcPr>
          <w:p w14:paraId="421B121F" w14:textId="75DDDD88" w:rsidR="00BF4C99" w:rsidRPr="00BF4C99" w:rsidRDefault="00BF4C99" w:rsidP="00BF4C99">
            <w:pPr>
              <w:spacing w:after="0" w:line="240" w:lineRule="auto"/>
              <w:jc w:val="right"/>
              <w:rPr>
                <w:rFonts w:ascii="Arial" w:hAnsi="Arial" w:cs="Arial"/>
                <w:sz w:val="16"/>
                <w:szCs w:val="16"/>
              </w:rPr>
            </w:pPr>
            <w:r w:rsidRPr="00BF4C99">
              <w:rPr>
                <w:rFonts w:ascii="Arial" w:hAnsi="Arial" w:cs="Arial"/>
                <w:sz w:val="16"/>
                <w:szCs w:val="16"/>
              </w:rPr>
              <w:t>2022</w:t>
            </w:r>
            <w:r w:rsidR="00B33758">
              <w:rPr>
                <w:rFonts w:ascii="Arial" w:hAnsi="Arial" w:cs="Arial"/>
                <w:sz w:val="16"/>
                <w:szCs w:val="16"/>
              </w:rPr>
              <w:noBreakHyphen/>
            </w:r>
            <w:r w:rsidRPr="00BF4C99">
              <w:rPr>
                <w:rFonts w:ascii="Arial" w:hAnsi="Arial" w:cs="Arial"/>
                <w:sz w:val="16"/>
                <w:szCs w:val="16"/>
              </w:rPr>
              <w:t>23</w:t>
            </w:r>
          </w:p>
        </w:tc>
        <w:tc>
          <w:tcPr>
            <w:tcW w:w="574" w:type="pct"/>
            <w:tcBorders>
              <w:top w:val="nil"/>
              <w:left w:val="nil"/>
              <w:bottom w:val="nil"/>
              <w:right w:val="nil"/>
            </w:tcBorders>
            <w:shd w:val="clear" w:color="auto" w:fill="auto"/>
            <w:noWrap/>
            <w:vAlign w:val="center"/>
            <w:hideMark/>
          </w:tcPr>
          <w:p w14:paraId="23930954" w14:textId="77777777" w:rsidR="00BF4C99" w:rsidRPr="00BF4C99" w:rsidRDefault="00BF4C99" w:rsidP="00BF4C99">
            <w:pPr>
              <w:spacing w:after="0" w:line="240" w:lineRule="auto"/>
              <w:jc w:val="right"/>
              <w:rPr>
                <w:rFonts w:ascii="Arial" w:hAnsi="Arial" w:cs="Arial"/>
                <w:sz w:val="16"/>
                <w:szCs w:val="16"/>
              </w:rPr>
            </w:pPr>
          </w:p>
        </w:tc>
        <w:tc>
          <w:tcPr>
            <w:tcW w:w="574" w:type="pct"/>
            <w:tcBorders>
              <w:top w:val="nil"/>
              <w:left w:val="nil"/>
              <w:bottom w:val="nil"/>
              <w:right w:val="nil"/>
            </w:tcBorders>
            <w:shd w:val="clear" w:color="auto" w:fill="auto"/>
            <w:noWrap/>
            <w:vAlign w:val="center"/>
            <w:hideMark/>
          </w:tcPr>
          <w:p w14:paraId="5AD99BBA"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693821F5" w14:textId="77777777" w:rsidR="00BF4C99" w:rsidRPr="00BF4C99" w:rsidRDefault="00BF4C99" w:rsidP="00BF4C99">
            <w:pPr>
              <w:spacing w:after="0" w:line="240" w:lineRule="auto"/>
              <w:jc w:val="left"/>
              <w:rPr>
                <w:rFonts w:ascii="Times New Roman" w:hAnsi="Times New Roman"/>
              </w:rPr>
            </w:pPr>
          </w:p>
        </w:tc>
      </w:tr>
      <w:tr w:rsidR="00BF4C99" w:rsidRPr="00BF4C99" w14:paraId="7AC7A6C3" w14:textId="77777777" w:rsidTr="00A50679">
        <w:trPr>
          <w:trHeight w:hRule="exact" w:val="225"/>
        </w:trPr>
        <w:tc>
          <w:tcPr>
            <w:tcW w:w="2130" w:type="pct"/>
            <w:tcBorders>
              <w:top w:val="nil"/>
              <w:left w:val="nil"/>
              <w:bottom w:val="single" w:sz="4" w:space="0" w:color="000000"/>
              <w:right w:val="nil"/>
            </w:tcBorders>
            <w:shd w:val="clear" w:color="auto" w:fill="auto"/>
            <w:noWrap/>
            <w:vAlign w:val="center"/>
            <w:hideMark/>
          </w:tcPr>
          <w:p w14:paraId="082AB909" w14:textId="77777777" w:rsidR="00BF4C99" w:rsidRPr="00BF4C99" w:rsidRDefault="00BF4C99" w:rsidP="00BF4C99">
            <w:pPr>
              <w:spacing w:after="0" w:line="240" w:lineRule="auto"/>
              <w:jc w:val="left"/>
              <w:rPr>
                <w:rFonts w:ascii="Arial" w:hAnsi="Arial" w:cs="Arial"/>
                <w:b/>
                <w:bCs/>
                <w:color w:val="000000"/>
                <w:sz w:val="16"/>
                <w:szCs w:val="16"/>
              </w:rPr>
            </w:pPr>
            <w:r w:rsidRPr="00BF4C99">
              <w:rPr>
                <w:rFonts w:ascii="Arial" w:hAnsi="Arial" w:cs="Arial"/>
                <w:b/>
                <w:bCs/>
                <w:color w:val="000000"/>
                <w:sz w:val="16"/>
                <w:szCs w:val="16"/>
              </w:rPr>
              <w:t>Average staffing level (number)</w:t>
            </w:r>
          </w:p>
        </w:tc>
        <w:tc>
          <w:tcPr>
            <w:tcW w:w="574" w:type="pct"/>
            <w:tcBorders>
              <w:top w:val="nil"/>
              <w:left w:val="nil"/>
              <w:bottom w:val="single" w:sz="4" w:space="0" w:color="auto"/>
              <w:right w:val="nil"/>
            </w:tcBorders>
            <w:shd w:val="clear" w:color="auto" w:fill="auto"/>
            <w:noWrap/>
            <w:vAlign w:val="center"/>
            <w:hideMark/>
          </w:tcPr>
          <w:p w14:paraId="6A0942CB" w14:textId="77777777" w:rsidR="00BF4C99" w:rsidRPr="00BF4C99" w:rsidRDefault="00BF4C99" w:rsidP="00BF4C99">
            <w:pPr>
              <w:spacing w:after="0" w:line="240" w:lineRule="auto"/>
              <w:jc w:val="right"/>
              <w:rPr>
                <w:rFonts w:ascii="Arial" w:hAnsi="Arial" w:cs="Arial"/>
                <w:color w:val="000000"/>
                <w:sz w:val="16"/>
                <w:szCs w:val="16"/>
              </w:rPr>
            </w:pPr>
            <w:r w:rsidRPr="00BF4C99">
              <w:rPr>
                <w:rFonts w:ascii="Arial" w:hAnsi="Arial" w:cs="Arial"/>
                <w:color w:val="000000"/>
                <w:sz w:val="16"/>
                <w:szCs w:val="16"/>
              </w:rPr>
              <w:t xml:space="preserve">1,360 </w:t>
            </w:r>
          </w:p>
        </w:tc>
        <w:tc>
          <w:tcPr>
            <w:tcW w:w="574" w:type="pct"/>
            <w:tcBorders>
              <w:top w:val="nil"/>
              <w:left w:val="nil"/>
              <w:bottom w:val="single" w:sz="4" w:space="0" w:color="auto"/>
              <w:right w:val="nil"/>
            </w:tcBorders>
            <w:shd w:val="clear" w:color="auto" w:fill="E7E6E6" w:themeFill="background2"/>
            <w:noWrap/>
            <w:vAlign w:val="center"/>
            <w:hideMark/>
          </w:tcPr>
          <w:p w14:paraId="00544C41" w14:textId="55D867AD" w:rsidR="00BF4C99" w:rsidRPr="002A097B" w:rsidRDefault="00BF4C99" w:rsidP="00BF4C99">
            <w:pPr>
              <w:spacing w:after="0" w:line="240" w:lineRule="auto"/>
              <w:jc w:val="right"/>
              <w:rPr>
                <w:rFonts w:ascii="Arial" w:hAnsi="Arial" w:cs="Arial"/>
                <w:b/>
                <w:bCs/>
                <w:color w:val="000000"/>
                <w:sz w:val="16"/>
                <w:szCs w:val="16"/>
              </w:rPr>
            </w:pPr>
            <w:r w:rsidRPr="002A097B">
              <w:rPr>
                <w:rFonts w:ascii="Arial" w:hAnsi="Arial" w:cs="Arial"/>
                <w:b/>
                <w:bCs/>
                <w:sz w:val="16"/>
                <w:szCs w:val="16"/>
              </w:rPr>
              <w:t>1,</w:t>
            </w:r>
            <w:r w:rsidRPr="002A097B">
              <w:rPr>
                <w:rFonts w:ascii="Arial" w:hAnsi="Arial" w:cs="Arial"/>
                <w:b/>
                <w:bCs/>
                <w:color w:val="000000"/>
                <w:sz w:val="16"/>
                <w:szCs w:val="16"/>
              </w:rPr>
              <w:t>3</w:t>
            </w:r>
            <w:r w:rsidR="0071548B" w:rsidRPr="002A097B">
              <w:rPr>
                <w:rFonts w:ascii="Arial" w:hAnsi="Arial" w:cs="Arial"/>
                <w:b/>
                <w:bCs/>
                <w:color w:val="000000"/>
                <w:sz w:val="16"/>
                <w:szCs w:val="16"/>
              </w:rPr>
              <w:t>57</w:t>
            </w:r>
            <w:r w:rsidRPr="002A097B">
              <w:rPr>
                <w:rFonts w:ascii="Arial" w:hAnsi="Arial" w:cs="Arial"/>
                <w:b/>
                <w:bCs/>
                <w:color w:val="000000"/>
                <w:sz w:val="16"/>
                <w:szCs w:val="16"/>
              </w:rPr>
              <w:t xml:space="preserve"> </w:t>
            </w:r>
          </w:p>
        </w:tc>
        <w:tc>
          <w:tcPr>
            <w:tcW w:w="574" w:type="pct"/>
            <w:tcBorders>
              <w:top w:val="nil"/>
              <w:left w:val="nil"/>
              <w:bottom w:val="nil"/>
              <w:right w:val="nil"/>
            </w:tcBorders>
            <w:shd w:val="clear" w:color="auto" w:fill="auto"/>
            <w:noWrap/>
            <w:vAlign w:val="center"/>
            <w:hideMark/>
          </w:tcPr>
          <w:p w14:paraId="3CFDF94F" w14:textId="77777777" w:rsidR="00BF4C99" w:rsidRPr="00BF4C99" w:rsidRDefault="00BF4C99" w:rsidP="00BF4C99">
            <w:pPr>
              <w:spacing w:after="0" w:line="240" w:lineRule="auto"/>
              <w:jc w:val="right"/>
              <w:rPr>
                <w:rFonts w:ascii="Arial" w:hAnsi="Arial" w:cs="Arial"/>
                <w:color w:val="000000"/>
                <w:sz w:val="16"/>
                <w:szCs w:val="16"/>
              </w:rPr>
            </w:pPr>
          </w:p>
        </w:tc>
        <w:tc>
          <w:tcPr>
            <w:tcW w:w="574" w:type="pct"/>
            <w:tcBorders>
              <w:top w:val="nil"/>
              <w:left w:val="nil"/>
              <w:bottom w:val="nil"/>
              <w:right w:val="nil"/>
            </w:tcBorders>
            <w:shd w:val="clear" w:color="auto" w:fill="auto"/>
            <w:noWrap/>
            <w:vAlign w:val="center"/>
            <w:hideMark/>
          </w:tcPr>
          <w:p w14:paraId="76521F2B" w14:textId="77777777" w:rsidR="00BF4C99" w:rsidRPr="00BF4C99" w:rsidRDefault="00BF4C99" w:rsidP="00BF4C99">
            <w:pPr>
              <w:spacing w:after="0" w:line="240" w:lineRule="auto"/>
              <w:jc w:val="left"/>
              <w:rPr>
                <w:rFonts w:ascii="Times New Roman" w:hAnsi="Times New Roman"/>
              </w:rPr>
            </w:pPr>
          </w:p>
        </w:tc>
        <w:tc>
          <w:tcPr>
            <w:tcW w:w="574" w:type="pct"/>
            <w:tcBorders>
              <w:top w:val="nil"/>
              <w:left w:val="nil"/>
              <w:bottom w:val="nil"/>
              <w:right w:val="nil"/>
            </w:tcBorders>
            <w:shd w:val="clear" w:color="auto" w:fill="auto"/>
            <w:noWrap/>
            <w:vAlign w:val="center"/>
            <w:hideMark/>
          </w:tcPr>
          <w:p w14:paraId="4782AA2F" w14:textId="77777777" w:rsidR="00BF4C99" w:rsidRPr="00BF4C99" w:rsidRDefault="00BF4C99" w:rsidP="00BF4C99">
            <w:pPr>
              <w:spacing w:after="0" w:line="240" w:lineRule="auto"/>
              <w:jc w:val="left"/>
              <w:rPr>
                <w:rFonts w:ascii="Times New Roman" w:hAnsi="Times New Roman"/>
              </w:rPr>
            </w:pPr>
          </w:p>
        </w:tc>
      </w:tr>
    </w:tbl>
    <w:p w14:paraId="20693B26" w14:textId="4F983E22" w:rsidR="00B86CCD" w:rsidRDefault="004E0308" w:rsidP="008D29C7">
      <w:pPr>
        <w:pStyle w:val="ChartandTableFootnoteAlpha"/>
        <w:numPr>
          <w:ilvl w:val="0"/>
          <w:numId w:val="18"/>
        </w:numPr>
      </w:pPr>
      <w:r w:rsidRPr="00E30774">
        <w:t>E</w:t>
      </w:r>
      <w:r w:rsidR="00A805EB">
        <w:t>stimated e</w:t>
      </w:r>
      <w:r w:rsidRPr="00950281">
        <w:t xml:space="preserve">xpenses </w:t>
      </w:r>
      <w:r w:rsidR="00A805EB">
        <w:t xml:space="preserve">incurred in relation to receipts retained under section 74 of the </w:t>
      </w:r>
      <w:r w:rsidR="006922DC">
        <w:t>PGPA Act</w:t>
      </w:r>
      <w:r w:rsidR="00B86CCD" w:rsidRPr="006922DC">
        <w:t>.</w:t>
      </w:r>
    </w:p>
    <w:p w14:paraId="11DB09E1" w14:textId="0E937006" w:rsidR="00E52BE2" w:rsidRPr="00E52BE2" w:rsidRDefault="001833A3" w:rsidP="00E52BE2">
      <w:pPr>
        <w:pStyle w:val="ChartandTableFootnoteAlpha"/>
      </w:pPr>
      <w:r w:rsidRPr="001833A3">
        <w:t>Expenses not requiring appropriation in the Budget year are made up of depreciation expenses, amortisation expenses, make good expense, audit fees, revaluation of grants provision, revaluation of loan amounts and foreign exchange losses.</w:t>
      </w:r>
      <w:r w:rsidR="00E52BE2" w:rsidRPr="00E52BE2">
        <w:tab/>
      </w:r>
      <w:r w:rsidR="00E52BE2" w:rsidRPr="00E52BE2">
        <w:tab/>
      </w:r>
      <w:r w:rsidR="00E52BE2" w:rsidRPr="00E52BE2">
        <w:tab/>
      </w:r>
    </w:p>
    <w:p w14:paraId="2583BF27" w14:textId="265EE4E7" w:rsidR="00BF4C99" w:rsidRPr="00BF4C99" w:rsidRDefault="00BF4C99" w:rsidP="00BF4C99">
      <w:pPr>
        <w:pStyle w:val="ChartandTableFootnoteAlpha"/>
      </w:pPr>
      <w:r w:rsidRPr="00BF4C99">
        <w:t>Figures displayed as a negative (</w:t>
      </w:r>
      <w:r w:rsidR="00B33758">
        <w:noBreakHyphen/>
      </w:r>
      <w:r w:rsidRPr="00BF4C99">
        <w:t>) represent a decrease in funds and a positive (+) represent an increase in funds.</w:t>
      </w:r>
    </w:p>
    <w:p w14:paraId="2B9FD6B2" w14:textId="18DF7A76" w:rsidR="00C02EEC" w:rsidRDefault="00B86CCD" w:rsidP="00350F81">
      <w:pPr>
        <w:pStyle w:val="ChartandTableFootnote"/>
      </w:pPr>
      <w:r w:rsidRPr="00446612">
        <w:t>Note: Departmental appropriation splits and totals are indicative estimates and may change in the course of the budget year as government priorities change.</w:t>
      </w:r>
    </w:p>
    <w:p w14:paraId="2BBDF66B" w14:textId="7626538A" w:rsidR="00190773" w:rsidRDefault="00190773" w:rsidP="00C81D65">
      <w:pPr>
        <w:pStyle w:val="ChartandTableFootnoteAlpha"/>
        <w:numPr>
          <w:ilvl w:val="0"/>
          <w:numId w:val="0"/>
        </w:numPr>
        <w:sectPr w:rsidR="00190773" w:rsidSect="00DF045C">
          <w:headerReference w:type="first" r:id="rId28"/>
          <w:footerReference w:type="first" r:id="rId29"/>
          <w:pgSz w:w="16840" w:h="11907" w:code="9"/>
          <w:pgMar w:top="2098" w:right="2835" w:bottom="2098" w:left="2466" w:header="1531" w:footer="1531" w:gutter="0"/>
          <w:cols w:space="708"/>
          <w:titlePg/>
          <w:docGrid w:linePitch="360"/>
        </w:sectPr>
      </w:pPr>
    </w:p>
    <w:p w14:paraId="5B12072D" w14:textId="5EB99348" w:rsidR="00C854F5" w:rsidRPr="008D028E" w:rsidRDefault="008E5BB7" w:rsidP="00E5444F">
      <w:pPr>
        <w:pStyle w:val="TableHeading"/>
        <w:rPr>
          <w:lang w:val="en-AU"/>
        </w:rPr>
      </w:pPr>
      <w:bookmarkStart w:id="35" w:name="_Toc190682315"/>
      <w:bookmarkStart w:id="36" w:name="_Toc190682532"/>
      <w:bookmarkEnd w:id="23"/>
      <w:bookmarkEnd w:id="24"/>
      <w:r w:rsidRPr="00F71634">
        <w:lastRenderedPageBreak/>
        <w:t xml:space="preserve">Table 2.3: Performance </w:t>
      </w:r>
      <w:r w:rsidR="001A50DE">
        <w:rPr>
          <w:lang w:val="en-AU"/>
        </w:rPr>
        <w:t>measure</w:t>
      </w:r>
      <w:r w:rsidR="001A50DE" w:rsidRPr="00F71634">
        <w:t xml:space="preserve"> </w:t>
      </w:r>
      <w:r w:rsidRPr="00F71634">
        <w:t xml:space="preserve">for Outcome </w:t>
      </w:r>
      <w:r w:rsidR="008D028E">
        <w:rPr>
          <w:lang w:val="en-AU"/>
        </w:rPr>
        <w:t>1</w:t>
      </w:r>
    </w:p>
    <w:p w14:paraId="6536E189" w14:textId="4DC272DE" w:rsidR="00691E49" w:rsidRPr="00F71634" w:rsidRDefault="00E12264" w:rsidP="00FE0767">
      <w:r w:rsidRPr="001B2F81">
        <w:t>Table 2.</w:t>
      </w:r>
      <w:r>
        <w:t>3</w:t>
      </w:r>
      <w:r w:rsidRPr="001B2F81">
        <w:t xml:space="preserve"> details the performance measures for each program associated with Outcome </w:t>
      </w:r>
      <w:r w:rsidR="008D028E">
        <w:t>1</w:t>
      </w:r>
      <w:r w:rsidRPr="001B2F81">
        <w:t xml:space="preserve">. It also provides the related key activities as expressed in the current </w:t>
      </w:r>
      <w:r w:rsidR="00C45C60">
        <w:t>C</w:t>
      </w:r>
      <w:r w:rsidRPr="001B2F81">
        <w:t xml:space="preserve">orporate </w:t>
      </w:r>
      <w:r w:rsidR="00C45C60">
        <w:t>P</w:t>
      </w:r>
      <w:r w:rsidRPr="001B2F81">
        <w:t>lan where further detail is provided about the delivery of the activities related to the program, the context in which these activities are delivered and how the performance of these activities will be measured. Where relevant, details of 202</w:t>
      </w:r>
      <w:r>
        <w:t>2</w:t>
      </w:r>
      <w:r w:rsidR="00B33758">
        <w:noBreakHyphen/>
      </w:r>
      <w:r>
        <w:t>23</w:t>
      </w:r>
      <w:r w:rsidRPr="001B2F81">
        <w:t xml:space="preserve"> Budget measures that have created new programs or materially changed existing programs </w:t>
      </w:r>
      <w:r>
        <w:t>are</w:t>
      </w:r>
      <w:r w:rsidRPr="001B2F81">
        <w:t xml:space="preserve"> provided.</w:t>
      </w:r>
      <w: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3075"/>
        <w:gridCol w:w="3079"/>
      </w:tblGrid>
      <w:tr w:rsidR="00E12264" w:rsidRPr="001B2F81" w14:paraId="38317F37" w14:textId="77777777" w:rsidTr="00A83106">
        <w:trPr>
          <w:trHeight w:val="569"/>
        </w:trPr>
        <w:tc>
          <w:tcPr>
            <w:tcW w:w="7701" w:type="dxa"/>
            <w:gridSpan w:val="3"/>
            <w:shd w:val="clear" w:color="auto" w:fill="F2F2F2"/>
          </w:tcPr>
          <w:bookmarkEnd w:id="35"/>
          <w:bookmarkEnd w:id="36"/>
          <w:p w14:paraId="71ED5061" w14:textId="2D95A97D" w:rsidR="00E12264" w:rsidRPr="00C41058" w:rsidRDefault="008D028E" w:rsidP="004751E1">
            <w:pPr>
              <w:pStyle w:val="BoxHeading"/>
            </w:pPr>
            <w:r w:rsidRPr="002503AC">
              <w:t>Outcome 1 – Supporting and implementing informed decisions on policies for the good of the Australian people, including for achieving strong, sustainable economic growth, through the provision of advice to Treasury Ministers and the efficient administration of Treasury</w:t>
            </w:r>
            <w:r w:rsidR="00B33758">
              <w:t>’</w:t>
            </w:r>
            <w:r w:rsidRPr="002503AC">
              <w:t>s functions.</w:t>
            </w:r>
          </w:p>
        </w:tc>
      </w:tr>
      <w:tr w:rsidR="00E12264" w:rsidRPr="001B2F81" w14:paraId="5F1945BA" w14:textId="77777777" w:rsidTr="00A83106">
        <w:trPr>
          <w:trHeight w:val="522"/>
        </w:trPr>
        <w:tc>
          <w:tcPr>
            <w:tcW w:w="7701" w:type="dxa"/>
            <w:gridSpan w:val="3"/>
            <w:shd w:val="clear" w:color="auto" w:fill="F2F2F2"/>
          </w:tcPr>
          <w:p w14:paraId="5779580D" w14:textId="77777777" w:rsidR="008D028E" w:rsidRPr="00CA5A0A" w:rsidRDefault="008D028E" w:rsidP="004751E1">
            <w:pPr>
              <w:pStyle w:val="BoxHeadinglevel2"/>
            </w:pPr>
            <w:r w:rsidRPr="00CA5A0A">
              <w:t>Program 1.1 – Department of the Treasury</w:t>
            </w:r>
          </w:p>
          <w:p w14:paraId="6533C516" w14:textId="77777777" w:rsidR="008D028E" w:rsidRPr="00CA5A0A" w:rsidRDefault="008D028E" w:rsidP="004751E1">
            <w:pPr>
              <w:pStyle w:val="TableTextBase"/>
            </w:pPr>
            <w:r w:rsidRPr="00CA5A0A">
              <w:t>The objective of this program is to support Ministers to effectively manage the Australian economy by:</w:t>
            </w:r>
          </w:p>
          <w:p w14:paraId="0E1CB915" w14:textId="77777777" w:rsidR="008D028E" w:rsidRPr="00CA5A0A" w:rsidRDefault="008D028E" w:rsidP="004751E1">
            <w:pPr>
              <w:pStyle w:val="TableTextBullet"/>
            </w:pPr>
            <w:r w:rsidRPr="00CA5A0A">
              <w:t xml:space="preserve">providing analysis to promote a sound macroeconomic </w:t>
            </w:r>
            <w:proofErr w:type="gramStart"/>
            <w:r w:rsidRPr="00CA5A0A">
              <w:t>environment;</w:t>
            </w:r>
            <w:proofErr w:type="gramEnd"/>
          </w:p>
          <w:p w14:paraId="7EF5172B" w14:textId="77777777" w:rsidR="008D028E" w:rsidRPr="00CA5A0A" w:rsidRDefault="008D028E" w:rsidP="004751E1">
            <w:pPr>
              <w:pStyle w:val="TableTextBullet"/>
            </w:pPr>
            <w:r w:rsidRPr="00CA5A0A">
              <w:t xml:space="preserve">promoting effective Government spending arrangements that contribute to overall fiscal outcomes and influence strong sustainable economic </w:t>
            </w:r>
            <w:proofErr w:type="gramStart"/>
            <w:r w:rsidRPr="00CA5A0A">
              <w:t>growth;</w:t>
            </w:r>
            <w:proofErr w:type="gramEnd"/>
            <w:r w:rsidRPr="00CA5A0A">
              <w:t xml:space="preserve"> </w:t>
            </w:r>
          </w:p>
          <w:p w14:paraId="1B86C3D6" w14:textId="01D23F02" w:rsidR="008D028E" w:rsidRPr="00CA5A0A" w:rsidRDefault="008D028E" w:rsidP="004751E1">
            <w:pPr>
              <w:pStyle w:val="TableTextBullet"/>
            </w:pPr>
            <w:r w:rsidRPr="00CA5A0A">
              <w:t>developing effective taxation and retirement income arrangements consistent with the Government</w:t>
            </w:r>
            <w:r w:rsidR="00B33758">
              <w:t>’</w:t>
            </w:r>
            <w:r w:rsidRPr="00CA5A0A">
              <w:t>s reform priorities; and</w:t>
            </w:r>
          </w:p>
          <w:p w14:paraId="7F1B8DBB" w14:textId="156ACC30" w:rsidR="00E12264" w:rsidRPr="001B2F81" w:rsidRDefault="008D028E" w:rsidP="004751E1">
            <w:pPr>
              <w:pStyle w:val="TableTextBullet"/>
            </w:pPr>
            <w:r w:rsidRPr="00CA5A0A">
              <w:t>developing well</w:t>
            </w:r>
            <w:r w:rsidR="00B33758">
              <w:noBreakHyphen/>
            </w:r>
            <w:r w:rsidRPr="00CA5A0A">
              <w:t>functioning markets that support business, investor and consumer confidence.</w:t>
            </w:r>
          </w:p>
        </w:tc>
      </w:tr>
      <w:tr w:rsidR="008D028E" w:rsidRPr="001B2F81" w14:paraId="2959CB05" w14:textId="77777777" w:rsidTr="00A83106">
        <w:trPr>
          <w:trHeight w:val="694"/>
        </w:trPr>
        <w:tc>
          <w:tcPr>
            <w:tcW w:w="1547" w:type="dxa"/>
          </w:tcPr>
          <w:p w14:paraId="6794E814" w14:textId="77777777" w:rsidR="008D028E" w:rsidRPr="00160C23" w:rsidRDefault="008D028E" w:rsidP="00BC1405">
            <w:pPr>
              <w:pStyle w:val="TableColumnHeadingLeft"/>
            </w:pPr>
            <w:r w:rsidRPr="00160C23">
              <w:t>Key Activities (a)</w:t>
            </w:r>
          </w:p>
        </w:tc>
        <w:tc>
          <w:tcPr>
            <w:tcW w:w="6154" w:type="dxa"/>
            <w:gridSpan w:val="2"/>
          </w:tcPr>
          <w:p w14:paraId="799A9923" w14:textId="77777777" w:rsidR="008D028E" w:rsidRPr="00CA5A0A" w:rsidRDefault="008D028E" w:rsidP="004751E1">
            <w:pPr>
              <w:pStyle w:val="TableTextBase"/>
            </w:pPr>
            <w:r w:rsidRPr="00CA5A0A">
              <w:t>A strong and sustainable economic and fiscal environment</w:t>
            </w:r>
          </w:p>
          <w:p w14:paraId="3AF1D976" w14:textId="77777777" w:rsidR="008D028E" w:rsidRPr="00CA5A0A" w:rsidRDefault="008D028E" w:rsidP="004751E1">
            <w:pPr>
              <w:pStyle w:val="TableTextBase"/>
            </w:pPr>
            <w:r w:rsidRPr="00CA5A0A">
              <w:t>Activity 1 Provide informed, influential, and impactful policy advice and analysis.</w:t>
            </w:r>
          </w:p>
          <w:p w14:paraId="6B30668C" w14:textId="77777777" w:rsidR="008D028E" w:rsidRPr="00CA5A0A" w:rsidRDefault="008D028E" w:rsidP="004751E1">
            <w:pPr>
              <w:pStyle w:val="TableTextBase"/>
            </w:pPr>
            <w:r w:rsidRPr="00CA5A0A">
              <w:t>Activity 2 Ensure effective Government spending arrangements.</w:t>
            </w:r>
          </w:p>
          <w:p w14:paraId="3ADAEB2A" w14:textId="77777777" w:rsidR="008D028E" w:rsidRPr="00CA5A0A" w:rsidRDefault="008D028E" w:rsidP="004751E1">
            <w:pPr>
              <w:pStyle w:val="TableTextBase"/>
            </w:pPr>
            <w:r w:rsidRPr="00CA5A0A">
              <w:t>Effective Government policies, programs and regulation</w:t>
            </w:r>
          </w:p>
          <w:p w14:paraId="7B7C9015" w14:textId="0427B649" w:rsidR="008D028E" w:rsidRPr="00CA5A0A" w:rsidRDefault="008D028E" w:rsidP="004751E1">
            <w:pPr>
              <w:pStyle w:val="TableTextBase"/>
            </w:pPr>
            <w:r w:rsidRPr="00CA5A0A">
              <w:t>Activity 3 Deliver programs associated with the Government</w:t>
            </w:r>
            <w:r w:rsidR="00B33758">
              <w:t>’</w:t>
            </w:r>
            <w:r w:rsidRPr="00CA5A0A">
              <w:t>s economic priorities, including COVID</w:t>
            </w:r>
            <w:r w:rsidR="00B33758">
              <w:noBreakHyphen/>
            </w:r>
            <w:r w:rsidRPr="00CA5A0A">
              <w:t>19 economic response programs.</w:t>
            </w:r>
          </w:p>
          <w:p w14:paraId="74B0700F" w14:textId="52A12FA7" w:rsidR="008D028E" w:rsidRPr="00CA5A0A" w:rsidRDefault="008D028E" w:rsidP="004751E1">
            <w:pPr>
              <w:pStyle w:val="TableTextBase"/>
            </w:pPr>
            <w:r w:rsidRPr="00CA5A0A">
              <w:t>Activity 4 Delivery of the Government</w:t>
            </w:r>
            <w:r w:rsidR="00B33758">
              <w:t>’</w:t>
            </w:r>
            <w:r w:rsidRPr="00CA5A0A">
              <w:t>s legislative agenda associated with the Treasury portfolio</w:t>
            </w:r>
          </w:p>
          <w:p w14:paraId="2FC7E829" w14:textId="0BBC445E" w:rsidR="008D028E" w:rsidRPr="00CA5A0A" w:rsidRDefault="008D028E" w:rsidP="004751E1">
            <w:pPr>
              <w:pStyle w:val="TableTextBase"/>
            </w:pPr>
            <w:r w:rsidRPr="00CA5A0A">
              <w:t>Activity 5 Administer Treasury</w:t>
            </w:r>
            <w:r w:rsidR="00B33758">
              <w:t>’</w:t>
            </w:r>
            <w:r w:rsidRPr="00CA5A0A">
              <w:t>s regulator functions.</w:t>
            </w:r>
          </w:p>
          <w:p w14:paraId="56983C9A" w14:textId="23223859" w:rsidR="008D028E" w:rsidRPr="00CA5A0A" w:rsidRDefault="008D028E" w:rsidP="004751E1">
            <w:pPr>
              <w:pStyle w:val="TableTextBase"/>
            </w:pPr>
            <w:r w:rsidRPr="00CA5A0A">
              <w:t>Activity 7 Deliver infrastructure and project financing advice and actuarial services.</w:t>
            </w:r>
          </w:p>
        </w:tc>
      </w:tr>
      <w:tr w:rsidR="00A83106" w:rsidRPr="001B2F81" w14:paraId="5B912A87" w14:textId="77777777" w:rsidTr="00A83106">
        <w:trPr>
          <w:trHeight w:val="287"/>
        </w:trPr>
        <w:tc>
          <w:tcPr>
            <w:tcW w:w="1547" w:type="dxa"/>
          </w:tcPr>
          <w:p w14:paraId="742BA01F" w14:textId="75E4A3B9" w:rsidR="00A83106" w:rsidRPr="00A83106" w:rsidRDefault="00A83106" w:rsidP="00A83106">
            <w:pPr>
              <w:pStyle w:val="TableColumnHeadingLeft"/>
            </w:pPr>
            <w:r w:rsidRPr="00A83106">
              <w:rPr>
                <w:sz w:val="16"/>
                <w:szCs w:val="16"/>
              </w:rPr>
              <w:t>Year</w:t>
            </w:r>
          </w:p>
        </w:tc>
        <w:tc>
          <w:tcPr>
            <w:tcW w:w="3077" w:type="dxa"/>
          </w:tcPr>
          <w:p w14:paraId="0FF27186" w14:textId="5F69F0B5" w:rsidR="00A83106" w:rsidRPr="00A83106" w:rsidRDefault="00A83106" w:rsidP="00A83106">
            <w:pPr>
              <w:pStyle w:val="TableTextBase"/>
              <w:rPr>
                <w:b/>
              </w:rPr>
            </w:pPr>
            <w:r w:rsidRPr="00A83106">
              <w:rPr>
                <w:b/>
                <w:sz w:val="16"/>
                <w:szCs w:val="16"/>
              </w:rPr>
              <w:t>Performance measures</w:t>
            </w:r>
          </w:p>
        </w:tc>
        <w:tc>
          <w:tcPr>
            <w:tcW w:w="3077" w:type="dxa"/>
          </w:tcPr>
          <w:p w14:paraId="48AACD42" w14:textId="7E443D5F" w:rsidR="00A83106" w:rsidRPr="00A83106" w:rsidRDefault="00A83106" w:rsidP="00A83106">
            <w:pPr>
              <w:pStyle w:val="TableTextBase"/>
              <w:rPr>
                <w:b/>
              </w:rPr>
            </w:pPr>
            <w:r w:rsidRPr="00A83106">
              <w:rPr>
                <w:b/>
                <w:sz w:val="16"/>
                <w:szCs w:val="16"/>
              </w:rPr>
              <w:t>Expected Performance Results</w:t>
            </w:r>
          </w:p>
        </w:tc>
      </w:tr>
      <w:tr w:rsidR="00A83106" w:rsidRPr="001B2F81" w14:paraId="3AE8EA0A" w14:textId="77777777" w:rsidTr="00FB630A">
        <w:trPr>
          <w:trHeight w:val="694"/>
        </w:trPr>
        <w:tc>
          <w:tcPr>
            <w:tcW w:w="1547" w:type="dxa"/>
            <w:tcBorders>
              <w:bottom w:val="single" w:sz="4" w:space="0" w:color="auto"/>
            </w:tcBorders>
          </w:tcPr>
          <w:p w14:paraId="1AF35BC0" w14:textId="77777777" w:rsidR="00A83106" w:rsidRPr="00A83106" w:rsidRDefault="00A83106" w:rsidP="00A83106">
            <w:pPr>
              <w:pStyle w:val="TableTextBase"/>
              <w:rPr>
                <w:sz w:val="16"/>
                <w:szCs w:val="16"/>
              </w:rPr>
            </w:pPr>
            <w:r w:rsidRPr="00A83106">
              <w:rPr>
                <w:sz w:val="16"/>
                <w:szCs w:val="16"/>
              </w:rPr>
              <w:t xml:space="preserve">Current year </w:t>
            </w:r>
          </w:p>
          <w:p w14:paraId="0AD4C6CD" w14:textId="264681A6" w:rsidR="00A83106" w:rsidRPr="00A83106" w:rsidRDefault="00A83106" w:rsidP="00A83106">
            <w:pPr>
              <w:pStyle w:val="TableColumnHeadingLeft"/>
              <w:rPr>
                <w:b w:val="0"/>
                <w:bCs/>
                <w:sz w:val="16"/>
                <w:szCs w:val="16"/>
              </w:rPr>
            </w:pPr>
            <w:r w:rsidRPr="00A83106">
              <w:rPr>
                <w:b w:val="0"/>
                <w:bCs/>
                <w:sz w:val="16"/>
                <w:szCs w:val="16"/>
              </w:rPr>
              <w:t>2021</w:t>
            </w:r>
            <w:r w:rsidR="00B33758">
              <w:rPr>
                <w:b w:val="0"/>
                <w:bCs/>
                <w:sz w:val="16"/>
                <w:szCs w:val="16"/>
              </w:rPr>
              <w:noBreakHyphen/>
            </w:r>
            <w:r w:rsidRPr="00A83106">
              <w:rPr>
                <w:b w:val="0"/>
                <w:bCs/>
                <w:sz w:val="16"/>
                <w:szCs w:val="16"/>
              </w:rPr>
              <w:t>22</w:t>
            </w:r>
          </w:p>
        </w:tc>
        <w:tc>
          <w:tcPr>
            <w:tcW w:w="3077" w:type="dxa"/>
            <w:tcBorders>
              <w:bottom w:val="single" w:sz="4" w:space="0" w:color="auto"/>
            </w:tcBorders>
          </w:tcPr>
          <w:p w14:paraId="5F620EA2" w14:textId="5D0140D7" w:rsidR="00A83106" w:rsidRPr="00A83106" w:rsidRDefault="00A83106" w:rsidP="00A83106">
            <w:pPr>
              <w:pStyle w:val="TableTextBase"/>
              <w:rPr>
                <w:sz w:val="16"/>
                <w:szCs w:val="16"/>
              </w:rPr>
            </w:pPr>
            <w:r w:rsidRPr="00A83106">
              <w:rPr>
                <w:rFonts w:cs="Arial"/>
                <w:sz w:val="16"/>
                <w:szCs w:val="16"/>
              </w:rPr>
              <w:t>Percentage of feedback from Treasury ministers, key government entities and stakeholders that indicate our advice was impactful.</w:t>
            </w:r>
          </w:p>
        </w:tc>
        <w:tc>
          <w:tcPr>
            <w:tcW w:w="3077" w:type="dxa"/>
            <w:tcBorders>
              <w:bottom w:val="single" w:sz="4" w:space="0" w:color="auto"/>
            </w:tcBorders>
          </w:tcPr>
          <w:p w14:paraId="142158FE" w14:textId="77777777" w:rsidR="00A83106" w:rsidRPr="00A83106" w:rsidRDefault="00A83106" w:rsidP="00A83106">
            <w:pPr>
              <w:pStyle w:val="TableTextBase"/>
              <w:rPr>
                <w:rFonts w:cs="Arial"/>
                <w:sz w:val="16"/>
                <w:szCs w:val="16"/>
              </w:rPr>
            </w:pPr>
            <w:r w:rsidRPr="00A83106">
              <w:rPr>
                <w:rFonts w:cs="Arial"/>
                <w:sz w:val="16"/>
                <w:szCs w:val="16"/>
              </w:rPr>
              <w:t>Target: Baseline established</w:t>
            </w:r>
          </w:p>
          <w:p w14:paraId="1FDB4B6A" w14:textId="66946ACF" w:rsidR="00A83106" w:rsidRPr="00A83106" w:rsidRDefault="00A83106" w:rsidP="00A83106">
            <w:pPr>
              <w:pStyle w:val="TableTextBase"/>
              <w:rPr>
                <w:sz w:val="16"/>
                <w:szCs w:val="16"/>
              </w:rPr>
            </w:pPr>
            <w:r w:rsidRPr="00A83106">
              <w:rPr>
                <w:rFonts w:cs="Arial"/>
                <w:color w:val="000000" w:themeColor="text1"/>
                <w:sz w:val="16"/>
                <w:szCs w:val="16"/>
              </w:rPr>
              <w:t>A baseline will be established for future years using the performance result from the 2021</w:t>
            </w:r>
            <w:r w:rsidR="00B33758">
              <w:rPr>
                <w:rFonts w:cs="Arial"/>
                <w:color w:val="000000" w:themeColor="text1"/>
                <w:sz w:val="16"/>
                <w:szCs w:val="16"/>
              </w:rPr>
              <w:noBreakHyphen/>
            </w:r>
            <w:r w:rsidRPr="00A83106">
              <w:rPr>
                <w:rFonts w:cs="Arial"/>
                <w:color w:val="000000" w:themeColor="text1"/>
                <w:sz w:val="16"/>
                <w:szCs w:val="16"/>
              </w:rPr>
              <w:t>22 period.</w:t>
            </w:r>
          </w:p>
        </w:tc>
      </w:tr>
      <w:tr w:rsidR="00A83106" w:rsidRPr="001B2F81" w14:paraId="2DE75C53" w14:textId="77777777" w:rsidTr="00FB630A">
        <w:trPr>
          <w:trHeight w:val="694"/>
        </w:trPr>
        <w:tc>
          <w:tcPr>
            <w:tcW w:w="1547" w:type="dxa"/>
            <w:tcBorders>
              <w:top w:val="single" w:sz="4" w:space="0" w:color="auto"/>
              <w:left w:val="single" w:sz="4" w:space="0" w:color="auto"/>
              <w:bottom w:val="single" w:sz="4" w:space="0" w:color="auto"/>
              <w:right w:val="single" w:sz="4" w:space="0" w:color="auto"/>
            </w:tcBorders>
          </w:tcPr>
          <w:p w14:paraId="5497DE34" w14:textId="77777777" w:rsidR="00A83106" w:rsidRPr="00A83106" w:rsidRDefault="00A83106" w:rsidP="00A83106">
            <w:pPr>
              <w:pStyle w:val="TableColumnHeadingLeft"/>
              <w:rPr>
                <w:sz w:val="16"/>
                <w:szCs w:val="16"/>
              </w:rPr>
            </w:pPr>
          </w:p>
        </w:tc>
        <w:tc>
          <w:tcPr>
            <w:tcW w:w="3077" w:type="dxa"/>
            <w:tcBorders>
              <w:top w:val="single" w:sz="4" w:space="0" w:color="auto"/>
              <w:left w:val="single" w:sz="4" w:space="0" w:color="auto"/>
              <w:bottom w:val="single" w:sz="4" w:space="0" w:color="auto"/>
              <w:right w:val="single" w:sz="4" w:space="0" w:color="auto"/>
            </w:tcBorders>
          </w:tcPr>
          <w:p w14:paraId="47EE02E5" w14:textId="18E66F9B" w:rsidR="00A83106" w:rsidRPr="00A83106" w:rsidRDefault="00A83106" w:rsidP="00A83106">
            <w:pPr>
              <w:pStyle w:val="TableTextBase"/>
              <w:rPr>
                <w:sz w:val="16"/>
                <w:szCs w:val="16"/>
              </w:rPr>
            </w:pPr>
            <w:r w:rsidRPr="00A83106">
              <w:rPr>
                <w:rFonts w:cs="Arial"/>
                <w:sz w:val="16"/>
                <w:szCs w:val="16"/>
              </w:rPr>
              <w:t>Number and quality of engagements or consultations with stakeholders to inform policy advice and analysis.</w:t>
            </w:r>
          </w:p>
        </w:tc>
        <w:tc>
          <w:tcPr>
            <w:tcW w:w="3077" w:type="dxa"/>
            <w:tcBorders>
              <w:top w:val="single" w:sz="4" w:space="0" w:color="auto"/>
              <w:left w:val="single" w:sz="4" w:space="0" w:color="auto"/>
              <w:bottom w:val="single" w:sz="4" w:space="0" w:color="auto"/>
              <w:right w:val="single" w:sz="4" w:space="0" w:color="auto"/>
            </w:tcBorders>
          </w:tcPr>
          <w:p w14:paraId="5B545863" w14:textId="77777777" w:rsidR="00A83106" w:rsidRPr="00A83106" w:rsidRDefault="00A83106" w:rsidP="00A83106">
            <w:pPr>
              <w:pStyle w:val="TableTextBase"/>
              <w:rPr>
                <w:rFonts w:cs="Arial"/>
                <w:color w:val="000000" w:themeColor="text1"/>
                <w:sz w:val="16"/>
                <w:szCs w:val="16"/>
              </w:rPr>
            </w:pPr>
            <w:r w:rsidRPr="00A83106">
              <w:rPr>
                <w:rFonts w:cs="Arial"/>
                <w:color w:val="000000" w:themeColor="text1"/>
                <w:sz w:val="16"/>
                <w:szCs w:val="16"/>
              </w:rPr>
              <w:t>Target: Baseline established</w:t>
            </w:r>
          </w:p>
          <w:p w14:paraId="4DCFA7F4" w14:textId="77777777" w:rsidR="00A83106" w:rsidRPr="00A83106" w:rsidRDefault="00A83106" w:rsidP="00A83106">
            <w:pPr>
              <w:pStyle w:val="TableTextBase"/>
              <w:rPr>
                <w:rFonts w:cs="Arial"/>
                <w:color w:val="000000" w:themeColor="text1"/>
                <w:sz w:val="16"/>
                <w:szCs w:val="16"/>
              </w:rPr>
            </w:pPr>
          </w:p>
          <w:p w14:paraId="326B1B40" w14:textId="30770795" w:rsidR="00A83106" w:rsidRPr="00A83106" w:rsidRDefault="00A83106" w:rsidP="00A83106">
            <w:pPr>
              <w:pStyle w:val="TableTextBase"/>
              <w:rPr>
                <w:rFonts w:cs="Arial"/>
                <w:color w:val="000000" w:themeColor="text1"/>
                <w:sz w:val="16"/>
                <w:szCs w:val="16"/>
              </w:rPr>
            </w:pPr>
            <w:r w:rsidRPr="00A83106">
              <w:rPr>
                <w:rFonts w:cs="Arial"/>
                <w:color w:val="000000" w:themeColor="text1"/>
                <w:sz w:val="16"/>
                <w:szCs w:val="16"/>
              </w:rPr>
              <w:t>A baseline will be established for future years using the performance result from the 2021</w:t>
            </w:r>
            <w:r w:rsidR="00B33758">
              <w:rPr>
                <w:rFonts w:cs="Arial"/>
                <w:color w:val="000000" w:themeColor="text1"/>
                <w:sz w:val="16"/>
                <w:szCs w:val="16"/>
              </w:rPr>
              <w:noBreakHyphen/>
            </w:r>
            <w:r w:rsidRPr="00A83106">
              <w:rPr>
                <w:rFonts w:cs="Arial"/>
                <w:color w:val="000000" w:themeColor="text1"/>
                <w:sz w:val="16"/>
                <w:szCs w:val="16"/>
              </w:rPr>
              <w:t>22 period.</w:t>
            </w:r>
          </w:p>
          <w:p w14:paraId="61344928" w14:textId="762015B7" w:rsidR="00A83106" w:rsidRPr="00A83106" w:rsidRDefault="00A83106" w:rsidP="00A83106">
            <w:pPr>
              <w:pStyle w:val="TableTextBase"/>
              <w:rPr>
                <w:sz w:val="16"/>
                <w:szCs w:val="16"/>
              </w:rPr>
            </w:pPr>
          </w:p>
        </w:tc>
      </w:tr>
      <w:tr w:rsidR="00CA5A0A" w:rsidRPr="001B2F81" w14:paraId="10DAF602" w14:textId="77777777" w:rsidTr="00FB630A">
        <w:trPr>
          <w:trHeight w:val="100"/>
        </w:trPr>
        <w:tc>
          <w:tcPr>
            <w:tcW w:w="1548" w:type="dxa"/>
            <w:tcBorders>
              <w:top w:val="single" w:sz="4" w:space="0" w:color="auto"/>
              <w:bottom w:val="single" w:sz="4" w:space="0" w:color="auto"/>
              <w:right w:val="single" w:sz="4" w:space="0" w:color="auto"/>
            </w:tcBorders>
          </w:tcPr>
          <w:p w14:paraId="2E5C511B" w14:textId="06971D75" w:rsidR="00CA5A0A" w:rsidRPr="00A83106" w:rsidRDefault="00CA5A0A" w:rsidP="004751E1">
            <w:pPr>
              <w:pStyle w:val="BoxHeadinglevel2"/>
              <w:rPr>
                <w:sz w:val="16"/>
                <w:szCs w:val="16"/>
              </w:rPr>
            </w:pPr>
            <w:r w:rsidRPr="00A83106">
              <w:rPr>
                <w:sz w:val="16"/>
                <w:szCs w:val="16"/>
              </w:rPr>
              <w:lastRenderedPageBreak/>
              <w:t>Year</w:t>
            </w:r>
          </w:p>
        </w:tc>
        <w:tc>
          <w:tcPr>
            <w:tcW w:w="3072" w:type="dxa"/>
            <w:tcBorders>
              <w:top w:val="single" w:sz="4" w:space="0" w:color="auto"/>
              <w:left w:val="single" w:sz="4" w:space="0" w:color="auto"/>
              <w:bottom w:val="dotted" w:sz="4" w:space="0" w:color="auto"/>
              <w:right w:val="single" w:sz="4" w:space="0" w:color="auto"/>
            </w:tcBorders>
          </w:tcPr>
          <w:p w14:paraId="26A03295" w14:textId="07BA4F17" w:rsidR="00CA5A0A" w:rsidRPr="00A83106" w:rsidRDefault="00CA5A0A" w:rsidP="004751E1">
            <w:pPr>
              <w:pStyle w:val="BoxHeadinglevel2"/>
              <w:rPr>
                <w:sz w:val="16"/>
                <w:szCs w:val="16"/>
              </w:rPr>
            </w:pPr>
            <w:r w:rsidRPr="00A83106">
              <w:rPr>
                <w:sz w:val="16"/>
                <w:szCs w:val="16"/>
              </w:rPr>
              <w:t>Performance measures</w:t>
            </w:r>
          </w:p>
        </w:tc>
        <w:tc>
          <w:tcPr>
            <w:tcW w:w="3081" w:type="dxa"/>
            <w:tcBorders>
              <w:top w:val="single" w:sz="4" w:space="0" w:color="auto"/>
              <w:left w:val="single" w:sz="4" w:space="0" w:color="auto"/>
              <w:bottom w:val="dotted" w:sz="4" w:space="0" w:color="auto"/>
            </w:tcBorders>
          </w:tcPr>
          <w:p w14:paraId="6AC13353" w14:textId="65DBCF23" w:rsidR="00CA5A0A" w:rsidRPr="00A83106" w:rsidRDefault="0036275A" w:rsidP="004751E1">
            <w:pPr>
              <w:pStyle w:val="BoxHeadinglevel2"/>
              <w:rPr>
                <w:sz w:val="16"/>
                <w:szCs w:val="16"/>
              </w:rPr>
            </w:pPr>
            <w:r w:rsidRPr="00A83106">
              <w:rPr>
                <w:sz w:val="16"/>
                <w:szCs w:val="16"/>
              </w:rPr>
              <w:t>Planned Performance Results</w:t>
            </w:r>
          </w:p>
        </w:tc>
      </w:tr>
      <w:tr w:rsidR="00CA5A0A" w:rsidRPr="001B2F81" w14:paraId="21753D90" w14:textId="77777777" w:rsidTr="00FB630A">
        <w:trPr>
          <w:trHeight w:val="100"/>
        </w:trPr>
        <w:tc>
          <w:tcPr>
            <w:tcW w:w="1548" w:type="dxa"/>
            <w:vMerge w:val="restart"/>
            <w:tcBorders>
              <w:bottom w:val="single" w:sz="4" w:space="0" w:color="auto"/>
              <w:right w:val="single" w:sz="4" w:space="0" w:color="auto"/>
            </w:tcBorders>
          </w:tcPr>
          <w:p w14:paraId="7DA21A7A" w14:textId="77777777" w:rsidR="00CA5A0A" w:rsidRPr="00891745" w:rsidRDefault="00CA5A0A" w:rsidP="00891745">
            <w:pPr>
              <w:pStyle w:val="TableColumnHeadingLeft"/>
              <w:rPr>
                <w:b w:val="0"/>
                <w:bCs/>
                <w:sz w:val="16"/>
                <w:szCs w:val="16"/>
              </w:rPr>
            </w:pPr>
            <w:r w:rsidRPr="00891745">
              <w:rPr>
                <w:b w:val="0"/>
                <w:bCs/>
                <w:sz w:val="16"/>
                <w:szCs w:val="16"/>
              </w:rPr>
              <w:t xml:space="preserve">Current year </w:t>
            </w:r>
          </w:p>
          <w:p w14:paraId="2FD61A93" w14:textId="52D73B57" w:rsidR="00CA5A0A" w:rsidRPr="00891745" w:rsidRDefault="00CA5A0A" w:rsidP="00891745">
            <w:pPr>
              <w:pStyle w:val="TableColumnHeadingLeft"/>
              <w:rPr>
                <w:b w:val="0"/>
                <w:bCs/>
                <w:sz w:val="16"/>
                <w:szCs w:val="16"/>
              </w:rPr>
            </w:pPr>
            <w:r w:rsidRPr="00891745">
              <w:rPr>
                <w:b w:val="0"/>
                <w:bCs/>
                <w:sz w:val="16"/>
                <w:szCs w:val="16"/>
              </w:rPr>
              <w:t>2021</w:t>
            </w:r>
            <w:r w:rsidR="00B33758" w:rsidRPr="00891745">
              <w:rPr>
                <w:b w:val="0"/>
                <w:bCs/>
                <w:sz w:val="16"/>
                <w:szCs w:val="16"/>
              </w:rPr>
              <w:noBreakHyphen/>
            </w:r>
            <w:r w:rsidRPr="00891745">
              <w:rPr>
                <w:b w:val="0"/>
                <w:bCs/>
                <w:sz w:val="16"/>
                <w:szCs w:val="16"/>
              </w:rPr>
              <w:t>22 (continued)</w:t>
            </w:r>
          </w:p>
          <w:p w14:paraId="57817E2B" w14:textId="214EDD6C" w:rsidR="00CA5A0A" w:rsidRPr="001B2F81" w:rsidRDefault="00CA5A0A" w:rsidP="004751E1">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1DD22133" w14:textId="6F091DA5" w:rsidR="00CA5A0A" w:rsidRPr="00A83106" w:rsidRDefault="00CA5A0A" w:rsidP="004751E1">
            <w:pPr>
              <w:pStyle w:val="TableTextBase"/>
              <w:rPr>
                <w:rFonts w:cs="Arial"/>
                <w:color w:val="0070C0"/>
                <w:sz w:val="16"/>
                <w:szCs w:val="16"/>
              </w:rPr>
            </w:pPr>
            <w:r w:rsidRPr="00A83106">
              <w:rPr>
                <w:rFonts w:cs="Arial"/>
                <w:sz w:val="16"/>
                <w:szCs w:val="16"/>
              </w:rPr>
              <w:t>Forecasting activities are based on best practice and deliver outcomes that inform our economic policy advice.</w:t>
            </w:r>
          </w:p>
        </w:tc>
        <w:tc>
          <w:tcPr>
            <w:tcW w:w="3081" w:type="dxa"/>
            <w:tcBorders>
              <w:top w:val="single" w:sz="4" w:space="0" w:color="auto"/>
              <w:left w:val="single" w:sz="4" w:space="0" w:color="auto"/>
              <w:bottom w:val="dotted" w:sz="4" w:space="0" w:color="auto"/>
            </w:tcBorders>
          </w:tcPr>
          <w:p w14:paraId="19281FE7" w14:textId="161166E7" w:rsidR="00CA5A0A" w:rsidRPr="00A83106" w:rsidRDefault="00CA5A0A" w:rsidP="004751E1">
            <w:pPr>
              <w:pStyle w:val="TableTextBase"/>
              <w:rPr>
                <w:rFonts w:cs="Arial"/>
                <w:sz w:val="16"/>
                <w:szCs w:val="16"/>
              </w:rPr>
            </w:pPr>
            <w:r w:rsidRPr="00A83106">
              <w:rPr>
                <w:rFonts w:cs="Arial"/>
                <w:sz w:val="16"/>
                <w:szCs w:val="16"/>
              </w:rPr>
              <w:t>Target: Positive assessment and identified areas for improvement are actioned</w:t>
            </w:r>
          </w:p>
          <w:p w14:paraId="34A57918" w14:textId="77777777" w:rsidR="00CA5A0A" w:rsidRPr="00A83106" w:rsidRDefault="00CA5A0A" w:rsidP="004751E1">
            <w:pPr>
              <w:pStyle w:val="TableTextBase"/>
              <w:rPr>
                <w:rFonts w:cs="Arial"/>
                <w:sz w:val="16"/>
                <w:szCs w:val="16"/>
              </w:rPr>
            </w:pPr>
          </w:p>
          <w:p w14:paraId="21505262" w14:textId="335CA6C1" w:rsidR="00CA5A0A" w:rsidRPr="00A83106" w:rsidRDefault="00CA5A0A" w:rsidP="004751E1">
            <w:pPr>
              <w:pStyle w:val="TableTextBase"/>
              <w:rPr>
                <w:rFonts w:cs="Arial"/>
                <w:color w:val="0070C0"/>
                <w:sz w:val="16"/>
                <w:szCs w:val="16"/>
              </w:rPr>
            </w:pPr>
            <w:r w:rsidRPr="00A83106">
              <w:rPr>
                <w:rFonts w:cs="Arial"/>
                <w:sz w:val="16"/>
                <w:szCs w:val="16"/>
              </w:rPr>
              <w:t>Expected to be achieved</w:t>
            </w:r>
          </w:p>
        </w:tc>
      </w:tr>
      <w:tr w:rsidR="00CA5A0A" w:rsidRPr="001B2F81" w14:paraId="3917B18B" w14:textId="77777777" w:rsidTr="00FB630A">
        <w:trPr>
          <w:trHeight w:val="100"/>
        </w:trPr>
        <w:tc>
          <w:tcPr>
            <w:tcW w:w="1548" w:type="dxa"/>
            <w:vMerge/>
            <w:tcBorders>
              <w:bottom w:val="single" w:sz="4" w:space="0" w:color="auto"/>
              <w:right w:val="single" w:sz="4" w:space="0" w:color="auto"/>
            </w:tcBorders>
          </w:tcPr>
          <w:p w14:paraId="53EA5321" w14:textId="635E2CFC" w:rsidR="00CA5A0A" w:rsidRPr="001B2F81" w:rsidRDefault="00CA5A0A" w:rsidP="004751E1">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5F840B8E" w14:textId="0475F8AF" w:rsidR="00CA5A0A" w:rsidRPr="00A83106" w:rsidRDefault="00CA5A0A" w:rsidP="004751E1">
            <w:pPr>
              <w:pStyle w:val="TableTextBase"/>
              <w:rPr>
                <w:rFonts w:cs="Arial"/>
                <w:color w:val="0070C0"/>
                <w:sz w:val="16"/>
                <w:szCs w:val="16"/>
              </w:rPr>
            </w:pPr>
            <w:r w:rsidRPr="00A83106">
              <w:rPr>
                <w:rFonts w:cs="Arial"/>
                <w:sz w:val="16"/>
                <w:szCs w:val="16"/>
              </w:rPr>
              <w:t>Delivered within the required timeframes in line with the Charter.</w:t>
            </w:r>
          </w:p>
        </w:tc>
        <w:tc>
          <w:tcPr>
            <w:tcW w:w="3081" w:type="dxa"/>
            <w:tcBorders>
              <w:top w:val="single" w:sz="4" w:space="0" w:color="auto"/>
              <w:left w:val="single" w:sz="4" w:space="0" w:color="auto"/>
              <w:bottom w:val="dotted" w:sz="4" w:space="0" w:color="auto"/>
            </w:tcBorders>
          </w:tcPr>
          <w:p w14:paraId="5E32CB40" w14:textId="351CBA6B" w:rsidR="00CA5A0A" w:rsidRPr="00A83106" w:rsidRDefault="00CA5A0A" w:rsidP="004751E1">
            <w:pPr>
              <w:pStyle w:val="TableTextBase"/>
              <w:rPr>
                <w:rFonts w:cs="Arial"/>
                <w:sz w:val="16"/>
                <w:szCs w:val="16"/>
              </w:rPr>
            </w:pPr>
            <w:r w:rsidRPr="00A83106">
              <w:rPr>
                <w:rFonts w:cs="Arial"/>
                <w:sz w:val="16"/>
                <w:szCs w:val="16"/>
              </w:rPr>
              <w:t>Target: 100%</w:t>
            </w:r>
          </w:p>
          <w:p w14:paraId="67BC2D03" w14:textId="5DAC358F" w:rsidR="00CA5A0A" w:rsidRPr="00A83106" w:rsidRDefault="00CA5A0A" w:rsidP="004751E1">
            <w:pPr>
              <w:pStyle w:val="TableTextBase"/>
              <w:rPr>
                <w:rFonts w:cs="Arial"/>
                <w:color w:val="0070C0"/>
                <w:sz w:val="16"/>
                <w:szCs w:val="16"/>
              </w:rPr>
            </w:pPr>
            <w:r w:rsidRPr="00A83106">
              <w:rPr>
                <w:rFonts w:cs="Arial"/>
                <w:sz w:val="16"/>
                <w:szCs w:val="16"/>
              </w:rPr>
              <w:t>Expected to be achieved</w:t>
            </w:r>
          </w:p>
        </w:tc>
      </w:tr>
      <w:tr w:rsidR="00CA5A0A" w:rsidRPr="001B2F81" w14:paraId="07C025D2" w14:textId="77777777" w:rsidTr="00FB630A">
        <w:trPr>
          <w:trHeight w:val="100"/>
        </w:trPr>
        <w:tc>
          <w:tcPr>
            <w:tcW w:w="1548" w:type="dxa"/>
            <w:vMerge/>
            <w:tcBorders>
              <w:bottom w:val="single" w:sz="4" w:space="0" w:color="auto"/>
              <w:right w:val="single" w:sz="4" w:space="0" w:color="auto"/>
            </w:tcBorders>
          </w:tcPr>
          <w:p w14:paraId="385B675F" w14:textId="4B911E39" w:rsidR="00CA5A0A" w:rsidRPr="001B2F81" w:rsidRDefault="00CA5A0A" w:rsidP="004751E1">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25997F1B" w14:textId="5D3CE5FF" w:rsidR="00CA5A0A" w:rsidRPr="00A83106" w:rsidRDefault="00CA5A0A" w:rsidP="004751E1">
            <w:pPr>
              <w:pStyle w:val="TableTextBase"/>
              <w:rPr>
                <w:rFonts w:cs="Arial"/>
                <w:color w:val="0070C0"/>
                <w:sz w:val="16"/>
                <w:szCs w:val="16"/>
              </w:rPr>
            </w:pPr>
            <w:r w:rsidRPr="00A83106">
              <w:rPr>
                <w:rFonts w:cs="Arial"/>
                <w:sz w:val="16"/>
                <w:szCs w:val="16"/>
              </w:rPr>
              <w:t>Treasury ministers confirm that our program delivery is timely and in line with the Government</w:t>
            </w:r>
            <w:r w:rsidR="00B33758">
              <w:rPr>
                <w:rFonts w:cs="Arial"/>
                <w:sz w:val="16"/>
                <w:szCs w:val="16"/>
              </w:rPr>
              <w:t>’</w:t>
            </w:r>
            <w:r w:rsidRPr="00A83106">
              <w:rPr>
                <w:rFonts w:cs="Arial"/>
                <w:sz w:val="16"/>
                <w:szCs w:val="16"/>
              </w:rPr>
              <w:t>s economic priorities.</w:t>
            </w:r>
          </w:p>
        </w:tc>
        <w:tc>
          <w:tcPr>
            <w:tcW w:w="3081" w:type="dxa"/>
            <w:tcBorders>
              <w:top w:val="single" w:sz="4" w:space="0" w:color="auto"/>
              <w:left w:val="single" w:sz="4" w:space="0" w:color="auto"/>
              <w:bottom w:val="dotted" w:sz="4" w:space="0" w:color="auto"/>
            </w:tcBorders>
          </w:tcPr>
          <w:p w14:paraId="57D402DA" w14:textId="3A9348FE" w:rsidR="00CA5A0A" w:rsidRPr="00A83106" w:rsidRDefault="00CA5A0A" w:rsidP="004751E1">
            <w:pPr>
              <w:pStyle w:val="TableTextBase"/>
              <w:rPr>
                <w:rFonts w:cs="Arial"/>
                <w:sz w:val="16"/>
                <w:szCs w:val="16"/>
              </w:rPr>
            </w:pPr>
            <w:r w:rsidRPr="00A83106">
              <w:rPr>
                <w:rFonts w:cs="Arial"/>
                <w:sz w:val="16"/>
                <w:szCs w:val="16"/>
              </w:rPr>
              <w:t>Target: Delivery is aligned to Government priorities</w:t>
            </w:r>
          </w:p>
          <w:p w14:paraId="0CADEF40" w14:textId="40F4BA66" w:rsidR="00CA5A0A" w:rsidRPr="00A83106" w:rsidRDefault="00CA5A0A" w:rsidP="004751E1">
            <w:pPr>
              <w:pStyle w:val="TableTextBase"/>
              <w:rPr>
                <w:rFonts w:cs="Arial"/>
                <w:color w:val="0070C0"/>
                <w:sz w:val="16"/>
                <w:szCs w:val="16"/>
              </w:rPr>
            </w:pPr>
            <w:r w:rsidRPr="00A83106">
              <w:rPr>
                <w:rFonts w:cs="Arial"/>
                <w:sz w:val="16"/>
                <w:szCs w:val="16"/>
              </w:rPr>
              <w:t>Structured interviews will be conducted with Treasury ministers or their delegate at the end of the period to assess this performance measure for reporting in the 2021</w:t>
            </w:r>
            <w:r w:rsidR="00B33758">
              <w:rPr>
                <w:rFonts w:cs="Arial"/>
                <w:sz w:val="16"/>
                <w:szCs w:val="16"/>
              </w:rPr>
              <w:noBreakHyphen/>
            </w:r>
            <w:r w:rsidRPr="00A83106">
              <w:rPr>
                <w:rFonts w:cs="Arial"/>
                <w:sz w:val="16"/>
                <w:szCs w:val="16"/>
              </w:rPr>
              <w:t>22 Annual Performance Statements.</w:t>
            </w:r>
          </w:p>
        </w:tc>
      </w:tr>
      <w:tr w:rsidR="00CA5A0A" w:rsidRPr="001B2F81" w14:paraId="11D9F969" w14:textId="77777777" w:rsidTr="00FB630A">
        <w:trPr>
          <w:trHeight w:val="100"/>
        </w:trPr>
        <w:tc>
          <w:tcPr>
            <w:tcW w:w="1548" w:type="dxa"/>
            <w:vMerge/>
            <w:tcBorders>
              <w:bottom w:val="single" w:sz="4" w:space="0" w:color="auto"/>
              <w:right w:val="single" w:sz="4" w:space="0" w:color="auto"/>
            </w:tcBorders>
          </w:tcPr>
          <w:p w14:paraId="6E0CF6AC" w14:textId="5E958C56"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026013D5" w14:textId="34E07278" w:rsidR="00CA5A0A" w:rsidRPr="00A83106" w:rsidRDefault="00CA5A0A" w:rsidP="00CA5A0A">
            <w:pPr>
              <w:pStyle w:val="TableTextBase"/>
              <w:rPr>
                <w:rFonts w:cs="Arial"/>
                <w:sz w:val="16"/>
                <w:szCs w:val="16"/>
              </w:rPr>
            </w:pPr>
            <w:r w:rsidRPr="00A83106">
              <w:rPr>
                <w:rFonts w:cs="Arial"/>
                <w:sz w:val="16"/>
                <w:szCs w:val="16"/>
              </w:rPr>
              <w:t xml:space="preserve">Proportion of legislative measures committed for delivery at the beginning of a parliamentary sitting period compared to the number </w:t>
            </w:r>
            <w:proofErr w:type="gramStart"/>
            <w:r w:rsidRPr="00A83106">
              <w:rPr>
                <w:rFonts w:cs="Arial"/>
                <w:sz w:val="16"/>
                <w:szCs w:val="16"/>
              </w:rPr>
              <w:t>actually introduced</w:t>
            </w:r>
            <w:proofErr w:type="gramEnd"/>
            <w:r w:rsidRPr="00A83106">
              <w:rPr>
                <w:rFonts w:cs="Arial"/>
                <w:sz w:val="16"/>
                <w:szCs w:val="16"/>
              </w:rPr>
              <w:t>.</w:t>
            </w:r>
          </w:p>
        </w:tc>
        <w:tc>
          <w:tcPr>
            <w:tcW w:w="3081" w:type="dxa"/>
            <w:tcBorders>
              <w:top w:val="single" w:sz="4" w:space="0" w:color="auto"/>
              <w:left w:val="single" w:sz="4" w:space="0" w:color="auto"/>
              <w:bottom w:val="dotted" w:sz="4" w:space="0" w:color="auto"/>
            </w:tcBorders>
          </w:tcPr>
          <w:p w14:paraId="4DE2678D" w14:textId="68DAFC17" w:rsidR="00CA5A0A" w:rsidRPr="00A83106" w:rsidRDefault="00CA5A0A" w:rsidP="00CA5A0A">
            <w:pPr>
              <w:pStyle w:val="Bullet"/>
              <w:keepNext/>
              <w:numPr>
                <w:ilvl w:val="0"/>
                <w:numId w:val="0"/>
              </w:numPr>
              <w:ind w:left="567" w:hanging="567"/>
              <w:rPr>
                <w:rFonts w:ascii="Arial" w:hAnsi="Arial" w:cs="Arial"/>
                <w:sz w:val="16"/>
                <w:szCs w:val="16"/>
                <w:lang w:val="en-AU" w:eastAsia="en-AU"/>
              </w:rPr>
            </w:pPr>
            <w:r w:rsidRPr="00A83106">
              <w:rPr>
                <w:rFonts w:ascii="Arial" w:hAnsi="Arial" w:cs="Arial"/>
                <w:sz w:val="16"/>
                <w:szCs w:val="16"/>
                <w:lang w:val="en-AU" w:eastAsia="en-AU"/>
              </w:rPr>
              <w:t>Target: 90%</w:t>
            </w:r>
          </w:p>
          <w:p w14:paraId="3AE582DC" w14:textId="01AB5C07" w:rsidR="00CA5A0A" w:rsidRPr="00A83106" w:rsidRDefault="00CA5A0A" w:rsidP="00CA5A0A">
            <w:pPr>
              <w:pStyle w:val="TableTextBase"/>
              <w:rPr>
                <w:rFonts w:cs="Arial"/>
                <w:sz w:val="16"/>
                <w:szCs w:val="16"/>
              </w:rPr>
            </w:pPr>
            <w:r w:rsidRPr="00A83106">
              <w:rPr>
                <w:rFonts w:cs="Arial"/>
                <w:sz w:val="16"/>
                <w:szCs w:val="16"/>
              </w:rPr>
              <w:t>Expected to be achieved</w:t>
            </w:r>
          </w:p>
        </w:tc>
      </w:tr>
      <w:tr w:rsidR="00CA5A0A" w:rsidRPr="001B2F81" w14:paraId="1FC8D8F6" w14:textId="77777777" w:rsidTr="00FB630A">
        <w:trPr>
          <w:trHeight w:val="100"/>
        </w:trPr>
        <w:tc>
          <w:tcPr>
            <w:tcW w:w="1548" w:type="dxa"/>
            <w:vMerge/>
            <w:tcBorders>
              <w:bottom w:val="single" w:sz="4" w:space="0" w:color="auto"/>
              <w:right w:val="single" w:sz="4" w:space="0" w:color="auto"/>
            </w:tcBorders>
          </w:tcPr>
          <w:p w14:paraId="1491DE7F" w14:textId="268FEE3A" w:rsidR="00CA5A0A" w:rsidRPr="001B2F81" w:rsidRDefault="00CA5A0A" w:rsidP="00CA5A0A">
            <w:pPr>
              <w:pStyle w:val="TableTextBase"/>
            </w:pPr>
          </w:p>
        </w:tc>
        <w:tc>
          <w:tcPr>
            <w:tcW w:w="3072" w:type="dxa"/>
            <w:tcBorders>
              <w:top w:val="single" w:sz="4" w:space="0" w:color="auto"/>
              <w:left w:val="single" w:sz="4" w:space="0" w:color="auto"/>
              <w:bottom w:val="single" w:sz="4" w:space="0" w:color="auto"/>
              <w:right w:val="single" w:sz="4" w:space="0" w:color="auto"/>
            </w:tcBorders>
          </w:tcPr>
          <w:p w14:paraId="3B1167E8" w14:textId="396A513B" w:rsidR="00CA5A0A" w:rsidRPr="00A83106" w:rsidRDefault="00CA5A0A" w:rsidP="00CA5A0A">
            <w:pPr>
              <w:pStyle w:val="TableTextBase"/>
              <w:rPr>
                <w:rFonts w:cs="Arial"/>
                <w:sz w:val="16"/>
                <w:szCs w:val="16"/>
              </w:rPr>
            </w:pPr>
            <w:r w:rsidRPr="00A83106">
              <w:rPr>
                <w:rFonts w:cs="Arial"/>
                <w:sz w:val="16"/>
                <w:szCs w:val="16"/>
              </w:rPr>
              <w:t>Percentage of key stakeholders agree that regulator activities are responsive to the environment and builds trust.</w:t>
            </w:r>
          </w:p>
        </w:tc>
        <w:tc>
          <w:tcPr>
            <w:tcW w:w="3081" w:type="dxa"/>
            <w:tcBorders>
              <w:top w:val="single" w:sz="4" w:space="0" w:color="auto"/>
              <w:left w:val="single" w:sz="4" w:space="0" w:color="auto"/>
              <w:bottom w:val="single" w:sz="4" w:space="0" w:color="auto"/>
            </w:tcBorders>
          </w:tcPr>
          <w:p w14:paraId="2C0F2EE5" w14:textId="71A4C250" w:rsidR="00CA5A0A" w:rsidRPr="00A83106" w:rsidRDefault="00CA5A0A" w:rsidP="00CA5A0A">
            <w:pPr>
              <w:pStyle w:val="Bullet"/>
              <w:keepNext/>
              <w:numPr>
                <w:ilvl w:val="0"/>
                <w:numId w:val="0"/>
              </w:numPr>
              <w:rPr>
                <w:rFonts w:ascii="Arial" w:hAnsi="Arial" w:cs="Arial"/>
                <w:sz w:val="16"/>
                <w:szCs w:val="16"/>
                <w:lang w:val="en-AU" w:eastAsia="en-AU"/>
              </w:rPr>
            </w:pPr>
            <w:r w:rsidRPr="00A83106">
              <w:rPr>
                <w:rFonts w:ascii="Arial" w:hAnsi="Arial" w:cs="Arial"/>
                <w:sz w:val="16"/>
                <w:szCs w:val="16"/>
                <w:lang w:val="en-AU" w:eastAsia="en-AU"/>
              </w:rPr>
              <w:t>Target: 70%</w:t>
            </w:r>
          </w:p>
          <w:p w14:paraId="25CC0AD8" w14:textId="1353593B" w:rsidR="00CA5A0A" w:rsidRPr="00A83106" w:rsidRDefault="00CA5A0A" w:rsidP="00CA5A0A">
            <w:pPr>
              <w:pStyle w:val="TableTextBase"/>
              <w:rPr>
                <w:rFonts w:cs="Arial"/>
                <w:sz w:val="16"/>
                <w:szCs w:val="16"/>
              </w:rPr>
            </w:pPr>
            <w:r w:rsidRPr="00A83106">
              <w:rPr>
                <w:rFonts w:cs="Arial"/>
                <w:sz w:val="16"/>
                <w:szCs w:val="16"/>
              </w:rPr>
              <w:t>An end of cycle stakeholder feedback survey will be conducted to assess this performance measure for reporting in the 2021</w:t>
            </w:r>
            <w:r w:rsidR="00B33758">
              <w:rPr>
                <w:rFonts w:cs="Arial"/>
                <w:sz w:val="16"/>
                <w:szCs w:val="16"/>
              </w:rPr>
              <w:noBreakHyphen/>
            </w:r>
            <w:r w:rsidRPr="00A83106">
              <w:rPr>
                <w:rFonts w:cs="Arial"/>
                <w:sz w:val="16"/>
                <w:szCs w:val="16"/>
              </w:rPr>
              <w:t>22 Annual Performance Statements.</w:t>
            </w:r>
          </w:p>
        </w:tc>
      </w:tr>
      <w:tr w:rsidR="00CA5A0A" w:rsidRPr="001B2F81" w14:paraId="1AF4FFA6" w14:textId="77777777" w:rsidTr="00FB630A">
        <w:trPr>
          <w:trHeight w:val="100"/>
        </w:trPr>
        <w:tc>
          <w:tcPr>
            <w:tcW w:w="1548" w:type="dxa"/>
            <w:vMerge/>
            <w:tcBorders>
              <w:bottom w:val="single" w:sz="4" w:space="0" w:color="auto"/>
              <w:right w:val="single" w:sz="4" w:space="0" w:color="auto"/>
            </w:tcBorders>
          </w:tcPr>
          <w:p w14:paraId="4ECA1862" w14:textId="64F9B457" w:rsidR="00CA5A0A" w:rsidRPr="001B2F81" w:rsidRDefault="00CA5A0A" w:rsidP="00CA5A0A">
            <w:pPr>
              <w:pStyle w:val="TableTextBase"/>
            </w:pPr>
          </w:p>
        </w:tc>
        <w:tc>
          <w:tcPr>
            <w:tcW w:w="3072" w:type="dxa"/>
            <w:tcBorders>
              <w:top w:val="single" w:sz="4" w:space="0" w:color="auto"/>
              <w:left w:val="single" w:sz="4" w:space="0" w:color="auto"/>
              <w:bottom w:val="single" w:sz="4" w:space="0" w:color="auto"/>
              <w:right w:val="single" w:sz="4" w:space="0" w:color="auto"/>
            </w:tcBorders>
          </w:tcPr>
          <w:p w14:paraId="3A164842" w14:textId="197C8CB4" w:rsidR="00CA5A0A" w:rsidRPr="00A83106" w:rsidRDefault="00CA5A0A" w:rsidP="00CA5A0A">
            <w:pPr>
              <w:pStyle w:val="TableTextBase"/>
              <w:rPr>
                <w:rFonts w:cs="Arial"/>
                <w:sz w:val="16"/>
                <w:szCs w:val="16"/>
              </w:rPr>
            </w:pPr>
            <w:r w:rsidRPr="00A83106">
              <w:rPr>
                <w:rFonts w:cs="Arial"/>
                <w:sz w:val="16"/>
                <w:szCs w:val="16"/>
              </w:rPr>
              <w:t>Percentage of key stakeholders agree that regulatory activities are risk based and data driven.</w:t>
            </w:r>
          </w:p>
        </w:tc>
        <w:tc>
          <w:tcPr>
            <w:tcW w:w="3081" w:type="dxa"/>
            <w:tcBorders>
              <w:top w:val="single" w:sz="4" w:space="0" w:color="auto"/>
              <w:left w:val="single" w:sz="4" w:space="0" w:color="auto"/>
              <w:bottom w:val="single" w:sz="4" w:space="0" w:color="auto"/>
            </w:tcBorders>
          </w:tcPr>
          <w:p w14:paraId="4792EF51" w14:textId="4A121D9B" w:rsidR="00CA5A0A" w:rsidRPr="00A83106" w:rsidRDefault="00CA5A0A" w:rsidP="00CA5A0A">
            <w:pPr>
              <w:pStyle w:val="Bullet"/>
              <w:keepNext/>
              <w:numPr>
                <w:ilvl w:val="0"/>
                <w:numId w:val="0"/>
              </w:numPr>
              <w:rPr>
                <w:rFonts w:ascii="Arial" w:hAnsi="Arial" w:cs="Arial"/>
                <w:sz w:val="16"/>
                <w:szCs w:val="16"/>
                <w:lang w:val="en-AU" w:eastAsia="en-AU"/>
              </w:rPr>
            </w:pPr>
            <w:r w:rsidRPr="00A83106">
              <w:rPr>
                <w:rFonts w:ascii="Arial" w:hAnsi="Arial" w:cs="Arial"/>
                <w:sz w:val="16"/>
                <w:szCs w:val="16"/>
                <w:lang w:val="en-AU" w:eastAsia="en-AU"/>
              </w:rPr>
              <w:t>Target: 70%</w:t>
            </w:r>
          </w:p>
          <w:p w14:paraId="03DEF1F5" w14:textId="42092F48" w:rsidR="00CA5A0A" w:rsidRPr="00A83106" w:rsidRDefault="00CA5A0A" w:rsidP="00CA5A0A">
            <w:pPr>
              <w:pStyle w:val="TableTextBase"/>
              <w:rPr>
                <w:rFonts w:cs="Arial"/>
                <w:sz w:val="16"/>
                <w:szCs w:val="16"/>
              </w:rPr>
            </w:pPr>
            <w:r w:rsidRPr="00A83106">
              <w:rPr>
                <w:rFonts w:cs="Arial"/>
                <w:sz w:val="16"/>
                <w:szCs w:val="16"/>
              </w:rPr>
              <w:t>An end of cycle stakeholder feedback survey will be conducted to assess this performance measure for reporting in the 2021</w:t>
            </w:r>
            <w:r w:rsidR="00B33758">
              <w:rPr>
                <w:rFonts w:cs="Arial"/>
                <w:sz w:val="16"/>
                <w:szCs w:val="16"/>
              </w:rPr>
              <w:noBreakHyphen/>
            </w:r>
            <w:r w:rsidRPr="00A83106">
              <w:rPr>
                <w:rFonts w:cs="Arial"/>
                <w:sz w:val="16"/>
                <w:szCs w:val="16"/>
              </w:rPr>
              <w:t>22 Annual Performance Statements.</w:t>
            </w:r>
          </w:p>
        </w:tc>
      </w:tr>
      <w:tr w:rsidR="00CA5A0A" w:rsidRPr="001B2F81" w14:paraId="733C0D1E" w14:textId="77777777" w:rsidTr="00FB630A">
        <w:trPr>
          <w:trHeight w:val="100"/>
        </w:trPr>
        <w:tc>
          <w:tcPr>
            <w:tcW w:w="1548" w:type="dxa"/>
            <w:vMerge/>
            <w:tcBorders>
              <w:bottom w:val="single" w:sz="4" w:space="0" w:color="auto"/>
              <w:right w:val="single" w:sz="4" w:space="0" w:color="auto"/>
            </w:tcBorders>
          </w:tcPr>
          <w:p w14:paraId="4633C442" w14:textId="1AB08FE1" w:rsidR="00CA5A0A" w:rsidRPr="001B2F81" w:rsidRDefault="00CA5A0A" w:rsidP="00CA5A0A">
            <w:pPr>
              <w:pStyle w:val="TableTextBase"/>
            </w:pPr>
          </w:p>
        </w:tc>
        <w:tc>
          <w:tcPr>
            <w:tcW w:w="3072" w:type="dxa"/>
            <w:tcBorders>
              <w:top w:val="single" w:sz="4" w:space="0" w:color="auto"/>
              <w:left w:val="single" w:sz="4" w:space="0" w:color="auto"/>
              <w:bottom w:val="single" w:sz="4" w:space="0" w:color="auto"/>
              <w:right w:val="single" w:sz="4" w:space="0" w:color="auto"/>
            </w:tcBorders>
          </w:tcPr>
          <w:p w14:paraId="4AFCE561" w14:textId="2991AF75" w:rsidR="00CA5A0A" w:rsidRPr="00A83106" w:rsidRDefault="00CA5A0A" w:rsidP="00CA5A0A">
            <w:pPr>
              <w:pStyle w:val="TableTextBase"/>
              <w:rPr>
                <w:rFonts w:cs="Arial"/>
                <w:color w:val="0070C0"/>
                <w:sz w:val="16"/>
                <w:szCs w:val="16"/>
              </w:rPr>
            </w:pPr>
            <w:r w:rsidRPr="00A83106">
              <w:rPr>
                <w:rFonts w:cs="Arial"/>
                <w:sz w:val="16"/>
                <w:szCs w:val="16"/>
              </w:rPr>
              <w:t>Percentage of key stakeholders who have a high level of satisfaction with regulator services, engagement and consultation.</w:t>
            </w:r>
          </w:p>
        </w:tc>
        <w:tc>
          <w:tcPr>
            <w:tcW w:w="3081" w:type="dxa"/>
            <w:tcBorders>
              <w:top w:val="single" w:sz="4" w:space="0" w:color="auto"/>
              <w:left w:val="single" w:sz="4" w:space="0" w:color="auto"/>
              <w:bottom w:val="single" w:sz="4" w:space="0" w:color="auto"/>
            </w:tcBorders>
          </w:tcPr>
          <w:p w14:paraId="3A2E03AD" w14:textId="3FB94115" w:rsidR="00CA5A0A" w:rsidRPr="00A83106" w:rsidRDefault="00CA5A0A" w:rsidP="00CA5A0A">
            <w:pPr>
              <w:pStyle w:val="Bullet"/>
              <w:keepNext/>
              <w:numPr>
                <w:ilvl w:val="0"/>
                <w:numId w:val="0"/>
              </w:numPr>
              <w:rPr>
                <w:rFonts w:ascii="Arial" w:eastAsia="Arial" w:hAnsi="Arial" w:cs="Arial"/>
                <w:color w:val="000000" w:themeColor="text1"/>
                <w:sz w:val="16"/>
                <w:szCs w:val="16"/>
              </w:rPr>
            </w:pPr>
            <w:r w:rsidRPr="00A83106">
              <w:rPr>
                <w:rFonts w:ascii="Arial" w:hAnsi="Arial" w:cs="Arial"/>
                <w:sz w:val="16"/>
                <w:szCs w:val="16"/>
              </w:rPr>
              <w:t>Target: 70%</w:t>
            </w:r>
          </w:p>
          <w:p w14:paraId="62F88610" w14:textId="25013C0A" w:rsidR="00CA5A0A" w:rsidRPr="00A83106" w:rsidRDefault="00CA5A0A" w:rsidP="00CA5A0A">
            <w:pPr>
              <w:pStyle w:val="TableTextBase"/>
              <w:rPr>
                <w:rFonts w:cs="Arial"/>
                <w:color w:val="0070C0"/>
                <w:sz w:val="16"/>
                <w:szCs w:val="16"/>
              </w:rPr>
            </w:pPr>
            <w:r w:rsidRPr="00A83106">
              <w:rPr>
                <w:rFonts w:eastAsia="Arial" w:cs="Arial"/>
                <w:color w:val="000000" w:themeColor="text1"/>
                <w:sz w:val="16"/>
                <w:szCs w:val="16"/>
              </w:rPr>
              <w:t>An end of cycle stakeholder feedback survey will be conducted to assess this performance measure for reporting in the 2021</w:t>
            </w:r>
            <w:r w:rsidR="00B33758">
              <w:rPr>
                <w:rFonts w:eastAsia="Arial" w:cs="Arial"/>
                <w:color w:val="000000" w:themeColor="text1"/>
                <w:sz w:val="16"/>
                <w:szCs w:val="16"/>
              </w:rPr>
              <w:noBreakHyphen/>
            </w:r>
            <w:r w:rsidRPr="00A83106">
              <w:rPr>
                <w:rFonts w:eastAsia="Arial" w:cs="Arial"/>
                <w:color w:val="000000" w:themeColor="text1"/>
                <w:sz w:val="16"/>
                <w:szCs w:val="16"/>
              </w:rPr>
              <w:t>22 Annual Performance Statements.</w:t>
            </w:r>
          </w:p>
        </w:tc>
      </w:tr>
      <w:tr w:rsidR="00CA5A0A" w:rsidRPr="001B2F81" w14:paraId="781AA797" w14:textId="77777777" w:rsidTr="00FB630A">
        <w:trPr>
          <w:trHeight w:val="100"/>
        </w:trPr>
        <w:tc>
          <w:tcPr>
            <w:tcW w:w="1548" w:type="dxa"/>
            <w:vMerge/>
            <w:tcBorders>
              <w:bottom w:val="single" w:sz="4" w:space="0" w:color="auto"/>
              <w:right w:val="single" w:sz="4" w:space="0" w:color="auto"/>
            </w:tcBorders>
          </w:tcPr>
          <w:p w14:paraId="088C1FD9" w14:textId="18B5A03A" w:rsidR="00CA5A0A" w:rsidRPr="001B2F81" w:rsidRDefault="00CA5A0A" w:rsidP="00CA5A0A">
            <w:pPr>
              <w:pStyle w:val="TableTextBase"/>
            </w:pPr>
          </w:p>
        </w:tc>
        <w:tc>
          <w:tcPr>
            <w:tcW w:w="3072" w:type="dxa"/>
            <w:tcBorders>
              <w:top w:val="single" w:sz="4" w:space="0" w:color="auto"/>
              <w:left w:val="single" w:sz="4" w:space="0" w:color="auto"/>
              <w:bottom w:val="single" w:sz="4" w:space="0" w:color="auto"/>
              <w:right w:val="single" w:sz="4" w:space="0" w:color="auto"/>
            </w:tcBorders>
          </w:tcPr>
          <w:p w14:paraId="02AE7C36" w14:textId="1C1844B3" w:rsidR="00CA5A0A" w:rsidRPr="00A83106" w:rsidRDefault="00CA5A0A" w:rsidP="00CA5A0A">
            <w:pPr>
              <w:pStyle w:val="TableTextBase"/>
              <w:rPr>
                <w:rFonts w:cs="Arial"/>
                <w:color w:val="0070C0"/>
                <w:sz w:val="16"/>
                <w:szCs w:val="16"/>
              </w:rPr>
            </w:pPr>
            <w:r w:rsidRPr="00A83106">
              <w:rPr>
                <w:rFonts w:cs="Arial"/>
                <w:sz w:val="16"/>
                <w:szCs w:val="16"/>
              </w:rPr>
              <w:t>Proportion of clients that are satisfied with the delivery of specialist services and advice.</w:t>
            </w:r>
          </w:p>
        </w:tc>
        <w:tc>
          <w:tcPr>
            <w:tcW w:w="3081" w:type="dxa"/>
            <w:tcBorders>
              <w:top w:val="single" w:sz="4" w:space="0" w:color="auto"/>
              <w:left w:val="single" w:sz="4" w:space="0" w:color="auto"/>
              <w:bottom w:val="single" w:sz="4" w:space="0" w:color="auto"/>
            </w:tcBorders>
          </w:tcPr>
          <w:p w14:paraId="0DBDA03A" w14:textId="4DF222BF" w:rsidR="00CA5A0A" w:rsidRPr="00A83106" w:rsidRDefault="00CA5A0A" w:rsidP="00CA5A0A">
            <w:pPr>
              <w:pStyle w:val="Bullet"/>
              <w:keepNext/>
              <w:numPr>
                <w:ilvl w:val="0"/>
                <w:numId w:val="0"/>
              </w:numPr>
              <w:ind w:left="567" w:hanging="567"/>
              <w:rPr>
                <w:rFonts w:ascii="Arial" w:eastAsia="Arial" w:hAnsi="Arial" w:cs="Arial"/>
                <w:color w:val="000000" w:themeColor="text1"/>
                <w:sz w:val="16"/>
                <w:szCs w:val="16"/>
              </w:rPr>
            </w:pPr>
            <w:r w:rsidRPr="00A83106">
              <w:rPr>
                <w:rFonts w:ascii="Arial" w:hAnsi="Arial" w:cs="Arial"/>
                <w:sz w:val="16"/>
                <w:szCs w:val="16"/>
              </w:rPr>
              <w:t>Target: 80%</w:t>
            </w:r>
          </w:p>
          <w:p w14:paraId="3632D3F0" w14:textId="46492442" w:rsidR="00CA5A0A" w:rsidRPr="00A83106" w:rsidRDefault="00CA5A0A" w:rsidP="00CA5A0A">
            <w:pPr>
              <w:pStyle w:val="TableTextBase"/>
              <w:rPr>
                <w:rFonts w:eastAsia="Arial" w:cs="Arial"/>
                <w:color w:val="000000" w:themeColor="text1"/>
                <w:sz w:val="16"/>
                <w:szCs w:val="16"/>
              </w:rPr>
            </w:pPr>
            <w:r w:rsidRPr="00A83106">
              <w:rPr>
                <w:rFonts w:eastAsia="Arial" w:cs="Arial"/>
                <w:color w:val="000000" w:themeColor="text1"/>
                <w:sz w:val="16"/>
                <w:szCs w:val="16"/>
              </w:rPr>
              <w:t>An end of cycle client survey will be conducted to assess this performance measure for reporting in the 2021</w:t>
            </w:r>
            <w:r w:rsidR="00B33758">
              <w:rPr>
                <w:rFonts w:eastAsia="Arial" w:cs="Arial"/>
                <w:color w:val="000000" w:themeColor="text1"/>
                <w:sz w:val="16"/>
                <w:szCs w:val="16"/>
              </w:rPr>
              <w:noBreakHyphen/>
            </w:r>
            <w:r w:rsidRPr="00A83106">
              <w:rPr>
                <w:rFonts w:eastAsia="Arial" w:cs="Arial"/>
                <w:color w:val="000000" w:themeColor="text1"/>
                <w:sz w:val="16"/>
                <w:szCs w:val="16"/>
              </w:rPr>
              <w:t>22 Annual Performance Statements.</w:t>
            </w:r>
          </w:p>
          <w:p w14:paraId="7ADFD5D1" w14:textId="009383C5" w:rsidR="00CA5A0A" w:rsidRPr="00A83106" w:rsidRDefault="00CA5A0A" w:rsidP="00CA5A0A">
            <w:pPr>
              <w:pStyle w:val="TableTextBase"/>
              <w:rPr>
                <w:rFonts w:cs="Arial"/>
                <w:color w:val="0070C0"/>
                <w:sz w:val="16"/>
                <w:szCs w:val="16"/>
              </w:rPr>
            </w:pPr>
          </w:p>
        </w:tc>
      </w:tr>
      <w:tr w:rsidR="00CA5A0A" w:rsidRPr="001B2F81" w14:paraId="3250A5F6" w14:textId="77777777" w:rsidTr="00FB630A">
        <w:trPr>
          <w:trHeight w:val="100"/>
        </w:trPr>
        <w:tc>
          <w:tcPr>
            <w:tcW w:w="1548" w:type="dxa"/>
            <w:tcBorders>
              <w:top w:val="single" w:sz="4" w:space="0" w:color="auto"/>
              <w:right w:val="single" w:sz="4" w:space="0" w:color="auto"/>
            </w:tcBorders>
          </w:tcPr>
          <w:p w14:paraId="316F0C14" w14:textId="5776F0B1" w:rsidR="00CA5A0A" w:rsidRPr="00A83106" w:rsidRDefault="00CA5A0A" w:rsidP="001C7A6A">
            <w:pPr>
              <w:pStyle w:val="BoxHeadinglevel2"/>
              <w:rPr>
                <w:rFonts w:cs="Arial"/>
                <w:color w:val="000000" w:themeColor="text1"/>
                <w:sz w:val="16"/>
                <w:szCs w:val="16"/>
              </w:rPr>
            </w:pPr>
            <w:r w:rsidRPr="00A83106">
              <w:rPr>
                <w:sz w:val="16"/>
                <w:szCs w:val="16"/>
              </w:rPr>
              <w:lastRenderedPageBreak/>
              <w:t>Year</w:t>
            </w:r>
          </w:p>
        </w:tc>
        <w:tc>
          <w:tcPr>
            <w:tcW w:w="3072" w:type="dxa"/>
            <w:tcBorders>
              <w:top w:val="single" w:sz="4" w:space="0" w:color="auto"/>
              <w:left w:val="single" w:sz="4" w:space="0" w:color="auto"/>
              <w:bottom w:val="dotted" w:sz="4" w:space="0" w:color="auto"/>
              <w:right w:val="single" w:sz="4" w:space="0" w:color="auto"/>
            </w:tcBorders>
          </w:tcPr>
          <w:p w14:paraId="0C2F2B98" w14:textId="08FC8C66" w:rsidR="00CA5A0A" w:rsidRPr="00A83106" w:rsidRDefault="00CA5A0A" w:rsidP="001C7A6A">
            <w:pPr>
              <w:pStyle w:val="BoxHeadinglevel2"/>
              <w:rPr>
                <w:rFonts w:cs="Arial"/>
                <w:i/>
                <w:iCs/>
                <w:sz w:val="16"/>
                <w:szCs w:val="16"/>
              </w:rPr>
            </w:pPr>
            <w:r w:rsidRPr="00A83106">
              <w:rPr>
                <w:sz w:val="16"/>
                <w:szCs w:val="16"/>
              </w:rPr>
              <w:t>Performance measures</w:t>
            </w:r>
          </w:p>
        </w:tc>
        <w:tc>
          <w:tcPr>
            <w:tcW w:w="3081" w:type="dxa"/>
            <w:tcBorders>
              <w:top w:val="single" w:sz="4" w:space="0" w:color="auto"/>
              <w:left w:val="single" w:sz="4" w:space="0" w:color="auto"/>
              <w:bottom w:val="dotted" w:sz="4" w:space="0" w:color="auto"/>
            </w:tcBorders>
          </w:tcPr>
          <w:p w14:paraId="08A80EE9" w14:textId="69E557CA" w:rsidR="00CA5A0A" w:rsidRPr="00A83106" w:rsidRDefault="0036275A" w:rsidP="001C7A6A">
            <w:pPr>
              <w:pStyle w:val="BoxHeadinglevel2"/>
              <w:rPr>
                <w:rFonts w:cs="Arial"/>
                <w:i/>
                <w:iCs/>
                <w:sz w:val="16"/>
                <w:szCs w:val="16"/>
              </w:rPr>
            </w:pPr>
            <w:r w:rsidRPr="00A83106">
              <w:rPr>
                <w:sz w:val="16"/>
                <w:szCs w:val="16"/>
              </w:rPr>
              <w:t>Planned Performance Results</w:t>
            </w:r>
          </w:p>
        </w:tc>
      </w:tr>
      <w:tr w:rsidR="00CA5A0A" w:rsidRPr="001B2F81" w14:paraId="7A96FA31" w14:textId="77777777" w:rsidTr="00A83106">
        <w:trPr>
          <w:trHeight w:val="100"/>
        </w:trPr>
        <w:tc>
          <w:tcPr>
            <w:tcW w:w="1548" w:type="dxa"/>
            <w:vMerge w:val="restart"/>
            <w:tcBorders>
              <w:top w:val="single" w:sz="4" w:space="0" w:color="auto"/>
              <w:right w:val="single" w:sz="4" w:space="0" w:color="auto"/>
            </w:tcBorders>
          </w:tcPr>
          <w:p w14:paraId="63B00D78" w14:textId="5C925B33" w:rsidR="00CA5A0A" w:rsidRPr="001B2F81" w:rsidRDefault="00CA5A0A" w:rsidP="00CA5A0A">
            <w:pPr>
              <w:pStyle w:val="TableTextBase"/>
            </w:pPr>
            <w:r w:rsidRPr="008D7987">
              <w:rPr>
                <w:rFonts w:cs="Arial"/>
                <w:color w:val="000000" w:themeColor="text1"/>
                <w:sz w:val="16"/>
                <w:szCs w:val="16"/>
              </w:rPr>
              <w:t>Budget Year     202</w:t>
            </w:r>
            <w:r>
              <w:rPr>
                <w:rFonts w:cs="Arial"/>
                <w:color w:val="000000" w:themeColor="text1"/>
                <w:sz w:val="16"/>
                <w:szCs w:val="16"/>
              </w:rPr>
              <w:t>2</w:t>
            </w:r>
            <w:r w:rsidR="00B33758">
              <w:rPr>
                <w:rFonts w:cs="Arial"/>
                <w:color w:val="000000" w:themeColor="text1"/>
                <w:sz w:val="16"/>
                <w:szCs w:val="16"/>
              </w:rPr>
              <w:noBreakHyphen/>
            </w:r>
            <w:r>
              <w:rPr>
                <w:rFonts w:cs="Arial"/>
                <w:color w:val="000000" w:themeColor="text1"/>
                <w:sz w:val="16"/>
                <w:szCs w:val="16"/>
              </w:rPr>
              <w:t>23</w:t>
            </w:r>
          </w:p>
        </w:tc>
        <w:tc>
          <w:tcPr>
            <w:tcW w:w="3072" w:type="dxa"/>
            <w:tcBorders>
              <w:top w:val="single" w:sz="4" w:space="0" w:color="auto"/>
              <w:left w:val="single" w:sz="4" w:space="0" w:color="auto"/>
              <w:bottom w:val="dotted" w:sz="4" w:space="0" w:color="auto"/>
              <w:right w:val="single" w:sz="4" w:space="0" w:color="auto"/>
            </w:tcBorders>
          </w:tcPr>
          <w:p w14:paraId="7401A38F" w14:textId="617097FE" w:rsidR="00CA5A0A" w:rsidRPr="00A83106" w:rsidRDefault="00CA5A0A" w:rsidP="00CA5A0A">
            <w:pPr>
              <w:pStyle w:val="TableTextBase"/>
              <w:rPr>
                <w:color w:val="0070C0"/>
              </w:rPr>
            </w:pPr>
            <w:r w:rsidRPr="00A83106">
              <w:rPr>
                <w:rFonts w:cs="Arial"/>
                <w:sz w:val="16"/>
                <w:szCs w:val="16"/>
              </w:rPr>
              <w:t>Percentage of feedback from Treasury ministers, key government entities and stakeholders that indicate our advice was impactful.</w:t>
            </w:r>
          </w:p>
        </w:tc>
        <w:tc>
          <w:tcPr>
            <w:tcW w:w="3081" w:type="dxa"/>
            <w:tcBorders>
              <w:top w:val="single" w:sz="4" w:space="0" w:color="auto"/>
              <w:left w:val="single" w:sz="4" w:space="0" w:color="auto"/>
              <w:bottom w:val="dotted" w:sz="4" w:space="0" w:color="auto"/>
            </w:tcBorders>
          </w:tcPr>
          <w:p w14:paraId="7DECA586" w14:textId="21EDEC0F" w:rsidR="00CA5A0A" w:rsidRPr="00A83106" w:rsidRDefault="00CA5A0A" w:rsidP="00CA5A0A">
            <w:pPr>
              <w:pStyle w:val="TableTextBase"/>
              <w:rPr>
                <w:color w:val="0070C0"/>
              </w:rPr>
            </w:pPr>
            <w:r w:rsidRPr="00A83106">
              <w:rPr>
                <w:rFonts w:cs="Arial"/>
                <w:sz w:val="16"/>
                <w:szCs w:val="16"/>
              </w:rPr>
              <w:t>Target to be determined following the establishment of a baseline during 2021</w:t>
            </w:r>
            <w:r w:rsidR="00B33758">
              <w:rPr>
                <w:rFonts w:cs="Arial"/>
                <w:sz w:val="16"/>
                <w:szCs w:val="16"/>
              </w:rPr>
              <w:noBreakHyphen/>
            </w:r>
            <w:r w:rsidRPr="00A83106">
              <w:rPr>
                <w:rFonts w:cs="Arial"/>
                <w:sz w:val="16"/>
                <w:szCs w:val="16"/>
              </w:rPr>
              <w:t>22</w:t>
            </w:r>
          </w:p>
        </w:tc>
      </w:tr>
      <w:tr w:rsidR="00CA5A0A" w:rsidRPr="001B2F81" w14:paraId="73F10BD0" w14:textId="77777777" w:rsidTr="00A83106">
        <w:trPr>
          <w:trHeight w:val="100"/>
        </w:trPr>
        <w:tc>
          <w:tcPr>
            <w:tcW w:w="1548" w:type="dxa"/>
            <w:vMerge/>
            <w:tcBorders>
              <w:right w:val="single" w:sz="4" w:space="0" w:color="auto"/>
            </w:tcBorders>
          </w:tcPr>
          <w:p w14:paraId="0DAA09F8"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4F4D1CE0" w14:textId="58EDD003" w:rsidR="00CA5A0A" w:rsidRPr="00A83106" w:rsidRDefault="00CA5A0A" w:rsidP="00CA5A0A">
            <w:pPr>
              <w:pStyle w:val="TableTextBase"/>
              <w:rPr>
                <w:color w:val="0070C0"/>
              </w:rPr>
            </w:pPr>
            <w:r w:rsidRPr="00A83106">
              <w:rPr>
                <w:rFonts w:cs="Arial"/>
                <w:sz w:val="16"/>
                <w:szCs w:val="16"/>
              </w:rPr>
              <w:t>Number and quality of engagements or consultations with stakeholders to inform policy advice and analysis.</w:t>
            </w:r>
          </w:p>
        </w:tc>
        <w:tc>
          <w:tcPr>
            <w:tcW w:w="3081" w:type="dxa"/>
            <w:tcBorders>
              <w:top w:val="single" w:sz="4" w:space="0" w:color="auto"/>
              <w:left w:val="single" w:sz="4" w:space="0" w:color="auto"/>
              <w:bottom w:val="dotted" w:sz="4" w:space="0" w:color="auto"/>
            </w:tcBorders>
          </w:tcPr>
          <w:p w14:paraId="5C59968A" w14:textId="078600E9" w:rsidR="00CA5A0A" w:rsidRPr="00A83106" w:rsidRDefault="00CA5A0A" w:rsidP="00CA5A0A">
            <w:pPr>
              <w:pStyle w:val="TableTextBase"/>
              <w:rPr>
                <w:color w:val="0070C0"/>
              </w:rPr>
            </w:pPr>
            <w:r w:rsidRPr="00A83106">
              <w:rPr>
                <w:rFonts w:cs="Arial"/>
                <w:sz w:val="16"/>
                <w:szCs w:val="16"/>
              </w:rPr>
              <w:t>Target to be determined following the establishment of a baseline during 2021</w:t>
            </w:r>
            <w:r w:rsidR="00B33758">
              <w:rPr>
                <w:rFonts w:cs="Arial"/>
                <w:sz w:val="16"/>
                <w:szCs w:val="16"/>
              </w:rPr>
              <w:noBreakHyphen/>
            </w:r>
            <w:r w:rsidRPr="00A83106">
              <w:rPr>
                <w:rFonts w:cs="Arial"/>
                <w:sz w:val="16"/>
                <w:szCs w:val="16"/>
              </w:rPr>
              <w:t>22</w:t>
            </w:r>
          </w:p>
        </w:tc>
      </w:tr>
      <w:tr w:rsidR="00CA5A0A" w:rsidRPr="001B2F81" w14:paraId="1085D0C9" w14:textId="77777777" w:rsidTr="00A83106">
        <w:trPr>
          <w:trHeight w:val="100"/>
        </w:trPr>
        <w:tc>
          <w:tcPr>
            <w:tcW w:w="1548" w:type="dxa"/>
            <w:vMerge/>
            <w:tcBorders>
              <w:right w:val="single" w:sz="4" w:space="0" w:color="auto"/>
            </w:tcBorders>
          </w:tcPr>
          <w:p w14:paraId="5A021CF1"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1E1D25DD" w14:textId="7E3660E3" w:rsidR="00CA5A0A" w:rsidRPr="00A83106" w:rsidRDefault="00CA5A0A" w:rsidP="00CA5A0A">
            <w:pPr>
              <w:pStyle w:val="TableTextBase"/>
              <w:rPr>
                <w:color w:val="0070C0"/>
              </w:rPr>
            </w:pPr>
            <w:r w:rsidRPr="00A83106">
              <w:rPr>
                <w:rFonts w:cs="Arial"/>
                <w:sz w:val="16"/>
                <w:szCs w:val="16"/>
              </w:rPr>
              <w:t>Forecasting activities are based on best practice and deliver outcomes that inform our economic policy advice.</w:t>
            </w:r>
          </w:p>
        </w:tc>
        <w:tc>
          <w:tcPr>
            <w:tcW w:w="3081" w:type="dxa"/>
            <w:tcBorders>
              <w:top w:val="single" w:sz="4" w:space="0" w:color="auto"/>
              <w:left w:val="single" w:sz="4" w:space="0" w:color="auto"/>
              <w:bottom w:val="dotted" w:sz="4" w:space="0" w:color="auto"/>
            </w:tcBorders>
          </w:tcPr>
          <w:p w14:paraId="5F4260BB" w14:textId="072FE39F" w:rsidR="00CA5A0A" w:rsidRPr="00A83106" w:rsidRDefault="00CA5A0A" w:rsidP="00CA5A0A">
            <w:pPr>
              <w:pStyle w:val="TableTextBase"/>
              <w:rPr>
                <w:color w:val="0070C0"/>
              </w:rPr>
            </w:pPr>
            <w:r w:rsidRPr="00A83106">
              <w:rPr>
                <w:rFonts w:cs="Arial"/>
                <w:sz w:val="16"/>
                <w:szCs w:val="16"/>
              </w:rPr>
              <w:t>Positive assessment and identified areas for improvement are actioned</w:t>
            </w:r>
          </w:p>
        </w:tc>
      </w:tr>
      <w:tr w:rsidR="00CA5A0A" w:rsidRPr="001B2F81" w14:paraId="77B35896" w14:textId="77777777" w:rsidTr="00A83106">
        <w:trPr>
          <w:trHeight w:val="100"/>
        </w:trPr>
        <w:tc>
          <w:tcPr>
            <w:tcW w:w="1548" w:type="dxa"/>
            <w:vMerge/>
            <w:tcBorders>
              <w:right w:val="single" w:sz="4" w:space="0" w:color="auto"/>
            </w:tcBorders>
          </w:tcPr>
          <w:p w14:paraId="739EC736"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2D4D54A9" w14:textId="533C07AD" w:rsidR="00CA5A0A" w:rsidRPr="00A83106" w:rsidRDefault="00CA5A0A" w:rsidP="00CA5A0A">
            <w:pPr>
              <w:pStyle w:val="TableTextBase"/>
              <w:rPr>
                <w:color w:val="0070C0"/>
              </w:rPr>
            </w:pPr>
            <w:r w:rsidRPr="00A83106">
              <w:rPr>
                <w:rFonts w:cs="Arial"/>
                <w:sz w:val="16"/>
                <w:szCs w:val="16"/>
              </w:rPr>
              <w:t>Delivered within the required timeframes in line with the Charter.</w:t>
            </w:r>
          </w:p>
        </w:tc>
        <w:tc>
          <w:tcPr>
            <w:tcW w:w="3081" w:type="dxa"/>
            <w:tcBorders>
              <w:top w:val="single" w:sz="4" w:space="0" w:color="auto"/>
              <w:left w:val="single" w:sz="4" w:space="0" w:color="auto"/>
              <w:bottom w:val="dotted" w:sz="4" w:space="0" w:color="auto"/>
            </w:tcBorders>
          </w:tcPr>
          <w:p w14:paraId="0AB5B37C" w14:textId="40FF6B8A" w:rsidR="00CA5A0A" w:rsidRPr="00A83106" w:rsidRDefault="00CA5A0A" w:rsidP="00CA5A0A">
            <w:pPr>
              <w:pStyle w:val="TableTextBase"/>
              <w:rPr>
                <w:color w:val="0070C0"/>
              </w:rPr>
            </w:pPr>
            <w:r w:rsidRPr="00A83106">
              <w:rPr>
                <w:rFonts w:cs="Arial"/>
                <w:sz w:val="16"/>
                <w:szCs w:val="16"/>
              </w:rPr>
              <w:t>100%</w:t>
            </w:r>
          </w:p>
        </w:tc>
      </w:tr>
      <w:tr w:rsidR="00CA5A0A" w:rsidRPr="001B2F81" w14:paraId="776FBF89" w14:textId="77777777" w:rsidTr="00A83106">
        <w:trPr>
          <w:trHeight w:val="100"/>
        </w:trPr>
        <w:tc>
          <w:tcPr>
            <w:tcW w:w="1548" w:type="dxa"/>
            <w:vMerge/>
            <w:tcBorders>
              <w:right w:val="single" w:sz="4" w:space="0" w:color="auto"/>
            </w:tcBorders>
          </w:tcPr>
          <w:p w14:paraId="56D6D150"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0A28BD89" w14:textId="178204C3" w:rsidR="00CA5A0A" w:rsidRPr="00A83106" w:rsidRDefault="00CA5A0A" w:rsidP="00CA5A0A">
            <w:pPr>
              <w:pStyle w:val="TableTextBase"/>
              <w:rPr>
                <w:color w:val="0070C0"/>
              </w:rPr>
            </w:pPr>
            <w:r w:rsidRPr="00A83106">
              <w:rPr>
                <w:rFonts w:cs="Arial"/>
                <w:sz w:val="16"/>
                <w:szCs w:val="16"/>
              </w:rPr>
              <w:t>Treasury ministers confirm that our program delivery is timely and in line with the Government</w:t>
            </w:r>
            <w:r w:rsidR="00B33758">
              <w:rPr>
                <w:rFonts w:cs="Arial"/>
                <w:sz w:val="16"/>
                <w:szCs w:val="16"/>
              </w:rPr>
              <w:t>’</w:t>
            </w:r>
            <w:r w:rsidRPr="00A83106">
              <w:rPr>
                <w:rFonts w:cs="Arial"/>
                <w:sz w:val="16"/>
                <w:szCs w:val="16"/>
              </w:rPr>
              <w:t>s economic priorities.</w:t>
            </w:r>
          </w:p>
        </w:tc>
        <w:tc>
          <w:tcPr>
            <w:tcW w:w="3081" w:type="dxa"/>
            <w:tcBorders>
              <w:top w:val="single" w:sz="4" w:space="0" w:color="auto"/>
              <w:left w:val="single" w:sz="4" w:space="0" w:color="auto"/>
              <w:bottom w:val="dotted" w:sz="4" w:space="0" w:color="auto"/>
            </w:tcBorders>
          </w:tcPr>
          <w:p w14:paraId="57FBF195" w14:textId="5CCF5457" w:rsidR="00CA5A0A" w:rsidRPr="00A83106" w:rsidRDefault="00CA5A0A" w:rsidP="00CA5A0A">
            <w:pPr>
              <w:pStyle w:val="TableTextBase"/>
              <w:rPr>
                <w:color w:val="0070C0"/>
              </w:rPr>
            </w:pPr>
            <w:r w:rsidRPr="00A83106">
              <w:rPr>
                <w:rFonts w:cs="Arial"/>
                <w:sz w:val="16"/>
                <w:szCs w:val="16"/>
              </w:rPr>
              <w:t>Delivery is aligned to Government priorities</w:t>
            </w:r>
          </w:p>
        </w:tc>
      </w:tr>
      <w:tr w:rsidR="00CA5A0A" w:rsidRPr="001B2F81" w14:paraId="17758204" w14:textId="77777777" w:rsidTr="00A83106">
        <w:trPr>
          <w:trHeight w:val="100"/>
        </w:trPr>
        <w:tc>
          <w:tcPr>
            <w:tcW w:w="1548" w:type="dxa"/>
            <w:vMerge/>
            <w:tcBorders>
              <w:right w:val="single" w:sz="4" w:space="0" w:color="auto"/>
            </w:tcBorders>
          </w:tcPr>
          <w:p w14:paraId="243D5F8F"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6187BE62" w14:textId="18E369FF" w:rsidR="00CA5A0A" w:rsidRPr="00A83106" w:rsidRDefault="00CA5A0A" w:rsidP="00CA5A0A">
            <w:pPr>
              <w:pStyle w:val="TableTextBase"/>
              <w:rPr>
                <w:color w:val="0070C0"/>
              </w:rPr>
            </w:pPr>
            <w:r w:rsidRPr="00A83106">
              <w:rPr>
                <w:rFonts w:cs="Arial"/>
                <w:sz w:val="16"/>
                <w:szCs w:val="16"/>
              </w:rPr>
              <w:t xml:space="preserve">Proportion of legislative measures committed for delivery at the beginning of a parliamentary sitting period compared to the number </w:t>
            </w:r>
            <w:proofErr w:type="gramStart"/>
            <w:r w:rsidRPr="00A83106">
              <w:rPr>
                <w:rFonts w:cs="Arial"/>
                <w:sz w:val="16"/>
                <w:szCs w:val="16"/>
              </w:rPr>
              <w:t>actually introduced</w:t>
            </w:r>
            <w:proofErr w:type="gramEnd"/>
            <w:r w:rsidRPr="00A83106">
              <w:rPr>
                <w:rFonts w:cs="Arial"/>
                <w:sz w:val="16"/>
                <w:szCs w:val="16"/>
              </w:rPr>
              <w:t>.</w:t>
            </w:r>
          </w:p>
        </w:tc>
        <w:tc>
          <w:tcPr>
            <w:tcW w:w="3081" w:type="dxa"/>
            <w:tcBorders>
              <w:top w:val="single" w:sz="4" w:space="0" w:color="auto"/>
              <w:left w:val="single" w:sz="4" w:space="0" w:color="auto"/>
              <w:bottom w:val="dotted" w:sz="4" w:space="0" w:color="auto"/>
            </w:tcBorders>
          </w:tcPr>
          <w:p w14:paraId="2F9F9074" w14:textId="67660DB0" w:rsidR="00CA5A0A" w:rsidRPr="00A83106" w:rsidRDefault="00CA5A0A" w:rsidP="00CA5A0A">
            <w:pPr>
              <w:pStyle w:val="TableTextBase"/>
              <w:rPr>
                <w:color w:val="0070C0"/>
              </w:rPr>
            </w:pPr>
            <w:r w:rsidRPr="00A83106">
              <w:rPr>
                <w:rFonts w:cs="Arial"/>
                <w:sz w:val="16"/>
                <w:szCs w:val="16"/>
              </w:rPr>
              <w:t>90%</w:t>
            </w:r>
          </w:p>
        </w:tc>
      </w:tr>
      <w:tr w:rsidR="00CA5A0A" w:rsidRPr="001B2F81" w14:paraId="3C5AB157" w14:textId="77777777" w:rsidTr="00A83106">
        <w:trPr>
          <w:trHeight w:val="100"/>
        </w:trPr>
        <w:tc>
          <w:tcPr>
            <w:tcW w:w="1548" w:type="dxa"/>
            <w:vMerge/>
            <w:tcBorders>
              <w:right w:val="single" w:sz="4" w:space="0" w:color="auto"/>
            </w:tcBorders>
          </w:tcPr>
          <w:p w14:paraId="62B7D95E"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421AD4DF" w14:textId="5127FFAA" w:rsidR="00CA5A0A" w:rsidRPr="00A83106" w:rsidRDefault="00CA5A0A" w:rsidP="00CA5A0A">
            <w:pPr>
              <w:pStyle w:val="TableTextBase"/>
              <w:rPr>
                <w:color w:val="0070C0"/>
              </w:rPr>
            </w:pPr>
            <w:r w:rsidRPr="00A83106">
              <w:rPr>
                <w:rFonts w:cs="Arial"/>
                <w:sz w:val="16"/>
                <w:szCs w:val="16"/>
              </w:rPr>
              <w:t>Percentage of key stakeholders agree that regulator activities are responsive to the environment and builds trust.</w:t>
            </w:r>
          </w:p>
        </w:tc>
        <w:tc>
          <w:tcPr>
            <w:tcW w:w="3081" w:type="dxa"/>
            <w:tcBorders>
              <w:top w:val="single" w:sz="4" w:space="0" w:color="auto"/>
              <w:left w:val="single" w:sz="4" w:space="0" w:color="auto"/>
              <w:bottom w:val="dotted" w:sz="4" w:space="0" w:color="auto"/>
            </w:tcBorders>
          </w:tcPr>
          <w:p w14:paraId="1A65542B" w14:textId="0687F7B9" w:rsidR="00CA5A0A" w:rsidRPr="00A83106" w:rsidRDefault="00CA5A0A" w:rsidP="00CA5A0A">
            <w:pPr>
              <w:pStyle w:val="TableTextBase"/>
              <w:rPr>
                <w:color w:val="0070C0"/>
              </w:rPr>
            </w:pPr>
            <w:r w:rsidRPr="00A83106">
              <w:rPr>
                <w:rFonts w:cs="Arial"/>
                <w:sz w:val="16"/>
                <w:szCs w:val="16"/>
              </w:rPr>
              <w:t>70%</w:t>
            </w:r>
          </w:p>
        </w:tc>
      </w:tr>
      <w:tr w:rsidR="00CA5A0A" w:rsidRPr="001B2F81" w14:paraId="56DFF6EB" w14:textId="77777777" w:rsidTr="00A83106">
        <w:trPr>
          <w:trHeight w:val="100"/>
        </w:trPr>
        <w:tc>
          <w:tcPr>
            <w:tcW w:w="1548" w:type="dxa"/>
            <w:vMerge/>
            <w:tcBorders>
              <w:right w:val="single" w:sz="4" w:space="0" w:color="auto"/>
            </w:tcBorders>
          </w:tcPr>
          <w:p w14:paraId="4BBEBE61"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6F9A75F6" w14:textId="29373B51" w:rsidR="00CA5A0A" w:rsidRPr="00A83106" w:rsidRDefault="00CA5A0A" w:rsidP="00CA5A0A">
            <w:pPr>
              <w:pStyle w:val="TableTextBase"/>
              <w:rPr>
                <w:color w:val="0070C0"/>
              </w:rPr>
            </w:pPr>
            <w:r w:rsidRPr="00A83106">
              <w:rPr>
                <w:rFonts w:cs="Arial"/>
                <w:sz w:val="16"/>
                <w:szCs w:val="16"/>
              </w:rPr>
              <w:t>Percentage of key stakeholders agree that regulatory activities are risk based and data driven.</w:t>
            </w:r>
          </w:p>
        </w:tc>
        <w:tc>
          <w:tcPr>
            <w:tcW w:w="3081" w:type="dxa"/>
            <w:tcBorders>
              <w:top w:val="single" w:sz="4" w:space="0" w:color="auto"/>
              <w:left w:val="single" w:sz="4" w:space="0" w:color="auto"/>
              <w:bottom w:val="dotted" w:sz="4" w:space="0" w:color="auto"/>
            </w:tcBorders>
          </w:tcPr>
          <w:p w14:paraId="13AC5FB2" w14:textId="46EB545D" w:rsidR="00CA5A0A" w:rsidRPr="00A83106" w:rsidRDefault="00CA5A0A" w:rsidP="00CA5A0A">
            <w:pPr>
              <w:pStyle w:val="TableTextBase"/>
              <w:rPr>
                <w:color w:val="0070C0"/>
              </w:rPr>
            </w:pPr>
            <w:r w:rsidRPr="00A83106">
              <w:rPr>
                <w:rFonts w:cs="Arial"/>
                <w:sz w:val="16"/>
                <w:szCs w:val="16"/>
              </w:rPr>
              <w:t>70%</w:t>
            </w:r>
          </w:p>
        </w:tc>
      </w:tr>
      <w:tr w:rsidR="00CA5A0A" w:rsidRPr="001B2F81" w14:paraId="611297C7" w14:textId="77777777" w:rsidTr="00A83106">
        <w:trPr>
          <w:trHeight w:val="100"/>
        </w:trPr>
        <w:tc>
          <w:tcPr>
            <w:tcW w:w="1548" w:type="dxa"/>
            <w:vMerge/>
            <w:tcBorders>
              <w:right w:val="single" w:sz="4" w:space="0" w:color="auto"/>
            </w:tcBorders>
          </w:tcPr>
          <w:p w14:paraId="0B2E1E2C"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03483775" w14:textId="161D04BE" w:rsidR="00CA5A0A" w:rsidRPr="00A83106" w:rsidRDefault="00CA5A0A" w:rsidP="00CA5A0A">
            <w:pPr>
              <w:pStyle w:val="TableTextBase"/>
              <w:rPr>
                <w:color w:val="0070C0"/>
              </w:rPr>
            </w:pPr>
            <w:r w:rsidRPr="00A83106">
              <w:rPr>
                <w:rFonts w:cs="Arial"/>
                <w:sz w:val="16"/>
                <w:szCs w:val="16"/>
              </w:rPr>
              <w:t>Percentage of key stakeholders who have a high level of satisfaction with regulator services, engagement and consultation.</w:t>
            </w:r>
          </w:p>
        </w:tc>
        <w:tc>
          <w:tcPr>
            <w:tcW w:w="3081" w:type="dxa"/>
            <w:tcBorders>
              <w:top w:val="single" w:sz="4" w:space="0" w:color="auto"/>
              <w:left w:val="single" w:sz="4" w:space="0" w:color="auto"/>
              <w:bottom w:val="dotted" w:sz="4" w:space="0" w:color="auto"/>
            </w:tcBorders>
          </w:tcPr>
          <w:p w14:paraId="04844332" w14:textId="724BBB19" w:rsidR="00CA5A0A" w:rsidRPr="00A83106" w:rsidRDefault="00CA5A0A" w:rsidP="00CA5A0A">
            <w:pPr>
              <w:pStyle w:val="TableTextBase"/>
              <w:rPr>
                <w:color w:val="0070C0"/>
              </w:rPr>
            </w:pPr>
            <w:r w:rsidRPr="00A83106">
              <w:rPr>
                <w:rFonts w:cs="Arial"/>
                <w:sz w:val="16"/>
                <w:szCs w:val="16"/>
              </w:rPr>
              <w:t>70%</w:t>
            </w:r>
          </w:p>
        </w:tc>
      </w:tr>
      <w:tr w:rsidR="00CA5A0A" w:rsidRPr="001B2F81" w14:paraId="4A626D6D" w14:textId="77777777" w:rsidTr="00A83106">
        <w:trPr>
          <w:trHeight w:val="100"/>
        </w:trPr>
        <w:tc>
          <w:tcPr>
            <w:tcW w:w="1548" w:type="dxa"/>
            <w:vMerge/>
            <w:tcBorders>
              <w:bottom w:val="dotted" w:sz="4" w:space="0" w:color="auto"/>
              <w:right w:val="single" w:sz="4" w:space="0" w:color="auto"/>
            </w:tcBorders>
          </w:tcPr>
          <w:p w14:paraId="0A3DA3EE" w14:textId="77777777" w:rsidR="00CA5A0A" w:rsidRPr="001B2F81" w:rsidRDefault="00CA5A0A" w:rsidP="00CA5A0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79C68892" w14:textId="5E559242" w:rsidR="00CA5A0A" w:rsidRPr="00A83106" w:rsidRDefault="00CA5A0A" w:rsidP="00CA5A0A">
            <w:pPr>
              <w:pStyle w:val="TableTextBase"/>
              <w:rPr>
                <w:color w:val="0070C0"/>
              </w:rPr>
            </w:pPr>
            <w:r w:rsidRPr="00A83106">
              <w:rPr>
                <w:rFonts w:cs="Arial"/>
                <w:sz w:val="16"/>
                <w:szCs w:val="16"/>
              </w:rPr>
              <w:t>Proportion of clients that are satisfied with the delivery of specialist services and advice.</w:t>
            </w:r>
          </w:p>
        </w:tc>
        <w:tc>
          <w:tcPr>
            <w:tcW w:w="3081" w:type="dxa"/>
            <w:tcBorders>
              <w:top w:val="single" w:sz="4" w:space="0" w:color="auto"/>
              <w:left w:val="single" w:sz="4" w:space="0" w:color="auto"/>
              <w:bottom w:val="dotted" w:sz="4" w:space="0" w:color="auto"/>
            </w:tcBorders>
          </w:tcPr>
          <w:p w14:paraId="50724233" w14:textId="13D8E8A3" w:rsidR="00CA5A0A" w:rsidRPr="00A83106" w:rsidRDefault="00CA5A0A" w:rsidP="00CA5A0A">
            <w:pPr>
              <w:pStyle w:val="TableTextBase"/>
              <w:rPr>
                <w:color w:val="0070C0"/>
              </w:rPr>
            </w:pPr>
            <w:r w:rsidRPr="00A83106">
              <w:rPr>
                <w:rFonts w:cs="Arial"/>
                <w:sz w:val="16"/>
                <w:szCs w:val="16"/>
              </w:rPr>
              <w:t>80%</w:t>
            </w:r>
          </w:p>
        </w:tc>
      </w:tr>
      <w:tr w:rsidR="00CA5A0A" w:rsidRPr="001B2F81" w14:paraId="656FF322" w14:textId="77777777" w:rsidTr="00A83106">
        <w:trPr>
          <w:trHeight w:val="100"/>
        </w:trPr>
        <w:tc>
          <w:tcPr>
            <w:tcW w:w="1548" w:type="dxa"/>
            <w:vMerge w:val="restart"/>
            <w:tcBorders>
              <w:top w:val="single" w:sz="4" w:space="0" w:color="auto"/>
              <w:right w:val="single" w:sz="4" w:space="0" w:color="auto"/>
            </w:tcBorders>
          </w:tcPr>
          <w:p w14:paraId="7B7E12C3" w14:textId="77777777" w:rsidR="00CA5A0A" w:rsidRPr="00A83106" w:rsidRDefault="00CA5A0A" w:rsidP="001C7A6A">
            <w:pPr>
              <w:pStyle w:val="TableTextBase"/>
              <w:rPr>
                <w:sz w:val="16"/>
                <w:szCs w:val="16"/>
              </w:rPr>
            </w:pPr>
            <w:r w:rsidRPr="00A83106">
              <w:rPr>
                <w:sz w:val="16"/>
                <w:szCs w:val="16"/>
              </w:rPr>
              <w:t xml:space="preserve">Forward Estimates </w:t>
            </w:r>
          </w:p>
          <w:p w14:paraId="7379BA3F" w14:textId="62D41F42" w:rsidR="00CA5A0A" w:rsidRPr="001B2F81" w:rsidRDefault="00CA5A0A" w:rsidP="001C7A6A">
            <w:pPr>
              <w:pStyle w:val="TableTextBase"/>
            </w:pPr>
            <w:r w:rsidRPr="00A83106">
              <w:rPr>
                <w:sz w:val="16"/>
                <w:szCs w:val="16"/>
              </w:rPr>
              <w:t>2023</w:t>
            </w:r>
            <w:r w:rsidR="00B33758">
              <w:rPr>
                <w:sz w:val="16"/>
                <w:szCs w:val="16"/>
              </w:rPr>
              <w:noBreakHyphen/>
            </w:r>
            <w:r w:rsidRPr="00A83106">
              <w:rPr>
                <w:sz w:val="16"/>
                <w:szCs w:val="16"/>
              </w:rPr>
              <w:t>24</w:t>
            </w:r>
          </w:p>
        </w:tc>
        <w:tc>
          <w:tcPr>
            <w:tcW w:w="3072" w:type="dxa"/>
            <w:tcBorders>
              <w:top w:val="single" w:sz="4" w:space="0" w:color="auto"/>
              <w:left w:val="single" w:sz="4" w:space="0" w:color="auto"/>
              <w:bottom w:val="dotted" w:sz="4" w:space="0" w:color="auto"/>
              <w:right w:val="single" w:sz="4" w:space="0" w:color="auto"/>
            </w:tcBorders>
          </w:tcPr>
          <w:p w14:paraId="1FEAEB90" w14:textId="2D266A76" w:rsidR="00CA5A0A" w:rsidRPr="00A83106" w:rsidRDefault="00CA5A0A" w:rsidP="001C7A6A">
            <w:pPr>
              <w:pStyle w:val="TableTextBase"/>
              <w:rPr>
                <w:color w:val="0070C0"/>
                <w:sz w:val="16"/>
                <w:szCs w:val="16"/>
              </w:rPr>
            </w:pPr>
            <w:r w:rsidRPr="00A83106">
              <w:rPr>
                <w:sz w:val="16"/>
                <w:szCs w:val="16"/>
              </w:rPr>
              <w:t>Percentage of feedback from Treasury ministers, key government entities and stakeholders that indicate our advice was impactful.</w:t>
            </w:r>
          </w:p>
        </w:tc>
        <w:tc>
          <w:tcPr>
            <w:tcW w:w="3081" w:type="dxa"/>
            <w:tcBorders>
              <w:top w:val="single" w:sz="4" w:space="0" w:color="auto"/>
              <w:left w:val="single" w:sz="4" w:space="0" w:color="auto"/>
              <w:bottom w:val="dotted" w:sz="4" w:space="0" w:color="auto"/>
            </w:tcBorders>
          </w:tcPr>
          <w:p w14:paraId="125BC3B7" w14:textId="2C38E68F" w:rsidR="00CA5A0A" w:rsidRPr="00A83106" w:rsidRDefault="00CA5A0A" w:rsidP="001C7A6A">
            <w:pPr>
              <w:pStyle w:val="TableTextBase"/>
              <w:rPr>
                <w:color w:val="0070C0"/>
                <w:sz w:val="16"/>
                <w:szCs w:val="16"/>
              </w:rPr>
            </w:pPr>
            <w:r w:rsidRPr="00A83106">
              <w:rPr>
                <w:sz w:val="16"/>
                <w:szCs w:val="16"/>
              </w:rPr>
              <w:t>Target to be determined following the establishment of a baseline during 2021</w:t>
            </w:r>
            <w:r w:rsidR="00B33758">
              <w:rPr>
                <w:sz w:val="16"/>
                <w:szCs w:val="16"/>
              </w:rPr>
              <w:noBreakHyphen/>
            </w:r>
            <w:r w:rsidRPr="00A83106">
              <w:rPr>
                <w:sz w:val="16"/>
                <w:szCs w:val="16"/>
              </w:rPr>
              <w:t>22.</w:t>
            </w:r>
          </w:p>
        </w:tc>
      </w:tr>
      <w:tr w:rsidR="00CA5A0A" w:rsidRPr="001B2F81" w14:paraId="7B509B3A" w14:textId="77777777" w:rsidTr="00A83106">
        <w:trPr>
          <w:trHeight w:val="100"/>
        </w:trPr>
        <w:tc>
          <w:tcPr>
            <w:tcW w:w="1548" w:type="dxa"/>
            <w:vMerge/>
            <w:tcBorders>
              <w:right w:val="single" w:sz="4" w:space="0" w:color="auto"/>
            </w:tcBorders>
          </w:tcPr>
          <w:p w14:paraId="41434142" w14:textId="77777777" w:rsidR="00CA5A0A" w:rsidRPr="001B2F81" w:rsidRDefault="00CA5A0A" w:rsidP="001C7A6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4C2B4982" w14:textId="633C4F07" w:rsidR="00CA5A0A" w:rsidRPr="00A83106" w:rsidRDefault="00CA5A0A" w:rsidP="001C7A6A">
            <w:pPr>
              <w:pStyle w:val="TableTextBase"/>
              <w:rPr>
                <w:color w:val="0070C0"/>
                <w:sz w:val="16"/>
                <w:szCs w:val="16"/>
              </w:rPr>
            </w:pPr>
            <w:r w:rsidRPr="00A83106">
              <w:rPr>
                <w:sz w:val="16"/>
                <w:szCs w:val="16"/>
              </w:rPr>
              <w:t>Number and quality of engagements or consultations with stakeholders to inform policy advice and analysis.</w:t>
            </w:r>
          </w:p>
        </w:tc>
        <w:tc>
          <w:tcPr>
            <w:tcW w:w="3081" w:type="dxa"/>
            <w:tcBorders>
              <w:top w:val="single" w:sz="4" w:space="0" w:color="auto"/>
              <w:left w:val="single" w:sz="4" w:space="0" w:color="auto"/>
              <w:bottom w:val="dotted" w:sz="4" w:space="0" w:color="auto"/>
            </w:tcBorders>
          </w:tcPr>
          <w:p w14:paraId="33AFD379" w14:textId="5D8D2721" w:rsidR="00CA5A0A" w:rsidRPr="00A83106" w:rsidRDefault="00CA5A0A" w:rsidP="001C7A6A">
            <w:pPr>
              <w:pStyle w:val="TableTextBase"/>
              <w:rPr>
                <w:color w:val="0070C0"/>
                <w:sz w:val="16"/>
                <w:szCs w:val="16"/>
              </w:rPr>
            </w:pPr>
            <w:r w:rsidRPr="00A83106">
              <w:rPr>
                <w:sz w:val="16"/>
                <w:szCs w:val="16"/>
              </w:rPr>
              <w:t>Target to be determined following the establishment of a baseline during 2021</w:t>
            </w:r>
            <w:r w:rsidR="00B33758">
              <w:rPr>
                <w:sz w:val="16"/>
                <w:szCs w:val="16"/>
              </w:rPr>
              <w:noBreakHyphen/>
            </w:r>
            <w:r w:rsidRPr="00A83106">
              <w:rPr>
                <w:sz w:val="16"/>
                <w:szCs w:val="16"/>
              </w:rPr>
              <w:t>22.</w:t>
            </w:r>
          </w:p>
        </w:tc>
      </w:tr>
      <w:tr w:rsidR="00CA5A0A" w:rsidRPr="001B2F81" w14:paraId="7A1D17C6" w14:textId="77777777" w:rsidTr="00FB630A">
        <w:trPr>
          <w:trHeight w:val="100"/>
        </w:trPr>
        <w:tc>
          <w:tcPr>
            <w:tcW w:w="1548" w:type="dxa"/>
            <w:vMerge/>
            <w:tcBorders>
              <w:right w:val="single" w:sz="4" w:space="0" w:color="auto"/>
            </w:tcBorders>
          </w:tcPr>
          <w:p w14:paraId="41684FD7" w14:textId="0105BC3E" w:rsidR="00CA5A0A" w:rsidRPr="001B2F81" w:rsidRDefault="00CA5A0A" w:rsidP="001C7A6A">
            <w:pPr>
              <w:pStyle w:val="TableTextBase"/>
            </w:pPr>
          </w:p>
        </w:tc>
        <w:tc>
          <w:tcPr>
            <w:tcW w:w="3072" w:type="dxa"/>
            <w:tcBorders>
              <w:top w:val="single" w:sz="4" w:space="0" w:color="auto"/>
              <w:left w:val="single" w:sz="4" w:space="0" w:color="auto"/>
              <w:bottom w:val="single" w:sz="4" w:space="0" w:color="auto"/>
              <w:right w:val="single" w:sz="4" w:space="0" w:color="auto"/>
            </w:tcBorders>
          </w:tcPr>
          <w:p w14:paraId="59CBB283" w14:textId="1F7BFF93" w:rsidR="00CA5A0A" w:rsidRPr="00A83106" w:rsidRDefault="00CA5A0A" w:rsidP="001C7A6A">
            <w:pPr>
              <w:pStyle w:val="TableTextBase"/>
              <w:rPr>
                <w:color w:val="0070C0"/>
                <w:sz w:val="16"/>
                <w:szCs w:val="16"/>
              </w:rPr>
            </w:pPr>
            <w:r w:rsidRPr="00A83106">
              <w:rPr>
                <w:sz w:val="16"/>
                <w:szCs w:val="16"/>
              </w:rPr>
              <w:t>Treasury ministers confirm that our program delivery is timely and in line with the Government</w:t>
            </w:r>
            <w:r w:rsidR="00B33758">
              <w:rPr>
                <w:sz w:val="16"/>
                <w:szCs w:val="16"/>
              </w:rPr>
              <w:t>’</w:t>
            </w:r>
            <w:r w:rsidRPr="00A83106">
              <w:rPr>
                <w:sz w:val="16"/>
                <w:szCs w:val="16"/>
              </w:rPr>
              <w:t>s economic priorities.</w:t>
            </w:r>
          </w:p>
        </w:tc>
        <w:tc>
          <w:tcPr>
            <w:tcW w:w="3081" w:type="dxa"/>
            <w:tcBorders>
              <w:top w:val="single" w:sz="4" w:space="0" w:color="auto"/>
              <w:left w:val="single" w:sz="4" w:space="0" w:color="auto"/>
              <w:bottom w:val="single" w:sz="4" w:space="0" w:color="auto"/>
            </w:tcBorders>
          </w:tcPr>
          <w:p w14:paraId="768C2966" w14:textId="7E96EB6D" w:rsidR="00CA5A0A" w:rsidRPr="00A83106" w:rsidRDefault="00CA5A0A" w:rsidP="001C7A6A">
            <w:pPr>
              <w:pStyle w:val="TableTextBase"/>
              <w:rPr>
                <w:color w:val="0070C0"/>
                <w:sz w:val="16"/>
                <w:szCs w:val="16"/>
              </w:rPr>
            </w:pPr>
            <w:r w:rsidRPr="00A83106">
              <w:rPr>
                <w:sz w:val="16"/>
                <w:szCs w:val="16"/>
              </w:rPr>
              <w:t>Delivery is aligned to Government priorities</w:t>
            </w:r>
          </w:p>
        </w:tc>
      </w:tr>
      <w:tr w:rsidR="00CA5A0A" w:rsidRPr="001B2F81" w14:paraId="026878F4" w14:textId="77777777" w:rsidTr="00FB630A">
        <w:trPr>
          <w:trHeight w:val="100"/>
        </w:trPr>
        <w:tc>
          <w:tcPr>
            <w:tcW w:w="1548" w:type="dxa"/>
            <w:vMerge/>
            <w:tcBorders>
              <w:right w:val="single" w:sz="4" w:space="0" w:color="auto"/>
            </w:tcBorders>
          </w:tcPr>
          <w:p w14:paraId="7F32318B" w14:textId="77777777" w:rsidR="00CA5A0A" w:rsidRPr="001B2F81" w:rsidRDefault="00CA5A0A" w:rsidP="001C7A6A">
            <w:pPr>
              <w:pStyle w:val="TableTextBase"/>
            </w:pPr>
          </w:p>
        </w:tc>
        <w:tc>
          <w:tcPr>
            <w:tcW w:w="3072" w:type="dxa"/>
            <w:tcBorders>
              <w:top w:val="single" w:sz="4" w:space="0" w:color="auto"/>
              <w:left w:val="single" w:sz="4" w:space="0" w:color="auto"/>
              <w:bottom w:val="single" w:sz="4" w:space="0" w:color="auto"/>
              <w:right w:val="single" w:sz="4" w:space="0" w:color="auto"/>
            </w:tcBorders>
          </w:tcPr>
          <w:p w14:paraId="43A3AFA3" w14:textId="7ED2C030" w:rsidR="00CA5A0A" w:rsidRPr="00A83106" w:rsidRDefault="00CA5A0A" w:rsidP="001C7A6A">
            <w:pPr>
              <w:pStyle w:val="TableTextBase"/>
              <w:rPr>
                <w:color w:val="0070C0"/>
                <w:sz w:val="16"/>
                <w:szCs w:val="16"/>
              </w:rPr>
            </w:pPr>
            <w:r w:rsidRPr="00A83106">
              <w:rPr>
                <w:sz w:val="16"/>
                <w:szCs w:val="16"/>
              </w:rPr>
              <w:t xml:space="preserve">Proportion of legislative measures committed for delivery at the beginning of a parliamentary sitting period compared to the number </w:t>
            </w:r>
            <w:proofErr w:type="gramStart"/>
            <w:r w:rsidRPr="00A83106">
              <w:rPr>
                <w:sz w:val="16"/>
                <w:szCs w:val="16"/>
              </w:rPr>
              <w:t>actually introduced</w:t>
            </w:r>
            <w:proofErr w:type="gramEnd"/>
            <w:r w:rsidRPr="00A83106">
              <w:rPr>
                <w:sz w:val="16"/>
                <w:szCs w:val="16"/>
              </w:rPr>
              <w:t>.</w:t>
            </w:r>
          </w:p>
        </w:tc>
        <w:tc>
          <w:tcPr>
            <w:tcW w:w="3081" w:type="dxa"/>
            <w:tcBorders>
              <w:top w:val="single" w:sz="4" w:space="0" w:color="auto"/>
              <w:left w:val="single" w:sz="4" w:space="0" w:color="auto"/>
              <w:bottom w:val="single" w:sz="4" w:space="0" w:color="auto"/>
            </w:tcBorders>
          </w:tcPr>
          <w:p w14:paraId="7995C9B7" w14:textId="7623DA8F" w:rsidR="00CA5A0A" w:rsidRPr="00A83106" w:rsidRDefault="00CA5A0A" w:rsidP="001C7A6A">
            <w:pPr>
              <w:pStyle w:val="TableTextBase"/>
              <w:rPr>
                <w:color w:val="0070C0"/>
                <w:sz w:val="16"/>
                <w:szCs w:val="16"/>
              </w:rPr>
            </w:pPr>
            <w:r w:rsidRPr="00A83106">
              <w:rPr>
                <w:sz w:val="16"/>
                <w:szCs w:val="16"/>
              </w:rPr>
              <w:t>100%</w:t>
            </w:r>
          </w:p>
        </w:tc>
      </w:tr>
      <w:tr w:rsidR="00CA5A0A" w:rsidRPr="001B2F81" w14:paraId="72570307" w14:textId="77777777" w:rsidTr="00FB630A">
        <w:trPr>
          <w:trHeight w:val="268"/>
        </w:trPr>
        <w:tc>
          <w:tcPr>
            <w:tcW w:w="1548" w:type="dxa"/>
            <w:tcBorders>
              <w:right w:val="single" w:sz="4" w:space="0" w:color="auto"/>
            </w:tcBorders>
          </w:tcPr>
          <w:p w14:paraId="76CB7B3C" w14:textId="327D2A3B" w:rsidR="00CA5A0A" w:rsidRPr="00A83106" w:rsidRDefault="00CA5A0A" w:rsidP="001C7A6A">
            <w:pPr>
              <w:pStyle w:val="BoxHeadinglevel2"/>
              <w:rPr>
                <w:sz w:val="16"/>
                <w:szCs w:val="16"/>
              </w:rPr>
            </w:pPr>
            <w:r w:rsidRPr="00A83106">
              <w:rPr>
                <w:sz w:val="16"/>
                <w:szCs w:val="16"/>
              </w:rPr>
              <w:lastRenderedPageBreak/>
              <w:t>Year</w:t>
            </w:r>
          </w:p>
        </w:tc>
        <w:tc>
          <w:tcPr>
            <w:tcW w:w="3072" w:type="dxa"/>
            <w:tcBorders>
              <w:top w:val="single" w:sz="4" w:space="0" w:color="auto"/>
              <w:left w:val="single" w:sz="4" w:space="0" w:color="auto"/>
              <w:bottom w:val="dotted" w:sz="4" w:space="0" w:color="auto"/>
              <w:right w:val="single" w:sz="4" w:space="0" w:color="auto"/>
            </w:tcBorders>
          </w:tcPr>
          <w:p w14:paraId="77439E76" w14:textId="06C9F90C" w:rsidR="00CA5A0A" w:rsidRPr="00A83106" w:rsidRDefault="00CA5A0A" w:rsidP="001C7A6A">
            <w:pPr>
              <w:pStyle w:val="BoxHeadinglevel2"/>
              <w:rPr>
                <w:sz w:val="16"/>
                <w:szCs w:val="16"/>
              </w:rPr>
            </w:pPr>
            <w:r w:rsidRPr="00A83106">
              <w:rPr>
                <w:sz w:val="16"/>
                <w:szCs w:val="16"/>
              </w:rPr>
              <w:t>Performance measures</w:t>
            </w:r>
          </w:p>
        </w:tc>
        <w:tc>
          <w:tcPr>
            <w:tcW w:w="3081" w:type="dxa"/>
            <w:tcBorders>
              <w:top w:val="single" w:sz="4" w:space="0" w:color="auto"/>
              <w:left w:val="single" w:sz="4" w:space="0" w:color="auto"/>
              <w:bottom w:val="dotted" w:sz="4" w:space="0" w:color="auto"/>
            </w:tcBorders>
          </w:tcPr>
          <w:p w14:paraId="782303D5" w14:textId="557A1926" w:rsidR="00CA5A0A" w:rsidRPr="00A83106" w:rsidRDefault="0036275A" w:rsidP="001C7A6A">
            <w:pPr>
              <w:pStyle w:val="BoxHeadinglevel2"/>
              <w:rPr>
                <w:sz w:val="16"/>
                <w:szCs w:val="16"/>
              </w:rPr>
            </w:pPr>
            <w:r w:rsidRPr="00A83106">
              <w:rPr>
                <w:sz w:val="16"/>
                <w:szCs w:val="16"/>
              </w:rPr>
              <w:t>Planned Performance Results</w:t>
            </w:r>
          </w:p>
        </w:tc>
      </w:tr>
      <w:tr w:rsidR="00CA5A0A" w:rsidRPr="001B2F81" w14:paraId="1543E56D" w14:textId="77777777" w:rsidTr="00A83106">
        <w:trPr>
          <w:trHeight w:val="100"/>
        </w:trPr>
        <w:tc>
          <w:tcPr>
            <w:tcW w:w="1548" w:type="dxa"/>
            <w:vMerge w:val="restart"/>
            <w:tcBorders>
              <w:right w:val="single" w:sz="4" w:space="0" w:color="auto"/>
            </w:tcBorders>
          </w:tcPr>
          <w:p w14:paraId="2E0B6A24" w14:textId="77777777" w:rsidR="00CA5A0A" w:rsidRPr="00A83106" w:rsidRDefault="00CA5A0A" w:rsidP="001C7A6A">
            <w:pPr>
              <w:pStyle w:val="TableTextBase"/>
              <w:rPr>
                <w:sz w:val="16"/>
                <w:szCs w:val="16"/>
              </w:rPr>
            </w:pPr>
            <w:r w:rsidRPr="00A83106">
              <w:rPr>
                <w:sz w:val="16"/>
                <w:szCs w:val="16"/>
              </w:rPr>
              <w:t xml:space="preserve">Forward Estimates </w:t>
            </w:r>
          </w:p>
          <w:p w14:paraId="51BE89F7" w14:textId="57E82EBD" w:rsidR="00CA5A0A" w:rsidRPr="001B2F81" w:rsidRDefault="00CA5A0A" w:rsidP="001C7A6A">
            <w:pPr>
              <w:pStyle w:val="TableTextBase"/>
            </w:pPr>
            <w:r w:rsidRPr="00A83106">
              <w:rPr>
                <w:sz w:val="16"/>
                <w:szCs w:val="16"/>
              </w:rPr>
              <w:t>2023</w:t>
            </w:r>
            <w:r w:rsidR="00B33758">
              <w:rPr>
                <w:sz w:val="16"/>
                <w:szCs w:val="16"/>
              </w:rPr>
              <w:noBreakHyphen/>
            </w:r>
            <w:r w:rsidRPr="00A83106">
              <w:rPr>
                <w:sz w:val="16"/>
                <w:szCs w:val="16"/>
              </w:rPr>
              <w:t>24 (continued)</w:t>
            </w:r>
          </w:p>
        </w:tc>
        <w:tc>
          <w:tcPr>
            <w:tcW w:w="3072" w:type="dxa"/>
            <w:tcBorders>
              <w:top w:val="single" w:sz="4" w:space="0" w:color="auto"/>
              <w:left w:val="single" w:sz="4" w:space="0" w:color="auto"/>
              <w:bottom w:val="dotted" w:sz="4" w:space="0" w:color="auto"/>
              <w:right w:val="single" w:sz="4" w:space="0" w:color="auto"/>
            </w:tcBorders>
          </w:tcPr>
          <w:p w14:paraId="15BF9A68" w14:textId="58849A28" w:rsidR="00CA5A0A" w:rsidRPr="00A83106" w:rsidRDefault="00CA5A0A" w:rsidP="001C7A6A">
            <w:pPr>
              <w:pStyle w:val="TableTextBase"/>
              <w:rPr>
                <w:rFonts w:cs="Arial"/>
                <w:sz w:val="16"/>
                <w:szCs w:val="16"/>
              </w:rPr>
            </w:pPr>
            <w:r w:rsidRPr="00A83106">
              <w:rPr>
                <w:rFonts w:cs="Arial"/>
                <w:sz w:val="16"/>
                <w:szCs w:val="16"/>
              </w:rPr>
              <w:t>Percentage of key stakeholders agree that regulator activities are responsive to the environment and builds trust.</w:t>
            </w:r>
          </w:p>
        </w:tc>
        <w:tc>
          <w:tcPr>
            <w:tcW w:w="3081" w:type="dxa"/>
            <w:tcBorders>
              <w:top w:val="single" w:sz="4" w:space="0" w:color="auto"/>
              <w:left w:val="single" w:sz="4" w:space="0" w:color="auto"/>
              <w:bottom w:val="dotted" w:sz="4" w:space="0" w:color="auto"/>
            </w:tcBorders>
          </w:tcPr>
          <w:p w14:paraId="721AD442" w14:textId="57241711" w:rsidR="00CA5A0A" w:rsidRPr="00A83106" w:rsidRDefault="00CA5A0A" w:rsidP="001C7A6A">
            <w:pPr>
              <w:pStyle w:val="TableTextBase"/>
              <w:rPr>
                <w:rFonts w:cs="Arial"/>
                <w:sz w:val="16"/>
                <w:szCs w:val="16"/>
              </w:rPr>
            </w:pPr>
            <w:r w:rsidRPr="00A83106">
              <w:rPr>
                <w:rFonts w:cs="Arial"/>
                <w:sz w:val="16"/>
                <w:szCs w:val="16"/>
              </w:rPr>
              <w:t>2023</w:t>
            </w:r>
            <w:r w:rsidR="00B33758">
              <w:rPr>
                <w:rFonts w:cs="Arial"/>
                <w:sz w:val="16"/>
                <w:szCs w:val="16"/>
              </w:rPr>
              <w:noBreakHyphen/>
            </w:r>
            <w:r w:rsidRPr="00A83106">
              <w:rPr>
                <w:rFonts w:cs="Arial"/>
                <w:sz w:val="16"/>
                <w:szCs w:val="16"/>
              </w:rPr>
              <w:t>24 target: 75%</w:t>
            </w:r>
          </w:p>
          <w:p w14:paraId="72933ACE" w14:textId="7476386D" w:rsidR="00CA5A0A" w:rsidRPr="00A83106" w:rsidRDefault="00CA5A0A" w:rsidP="001C7A6A">
            <w:pPr>
              <w:pStyle w:val="TableTextBase"/>
              <w:rPr>
                <w:rFonts w:cs="Arial"/>
                <w:sz w:val="16"/>
                <w:szCs w:val="16"/>
              </w:rPr>
            </w:pPr>
            <w:r w:rsidRPr="00A83106">
              <w:rPr>
                <w:rFonts w:cs="Arial"/>
                <w:sz w:val="16"/>
                <w:szCs w:val="16"/>
              </w:rPr>
              <w:t>2024</w:t>
            </w:r>
            <w:r w:rsidR="00B33758">
              <w:rPr>
                <w:rFonts w:cs="Arial"/>
                <w:sz w:val="16"/>
                <w:szCs w:val="16"/>
              </w:rPr>
              <w:noBreakHyphen/>
            </w:r>
            <w:r w:rsidRPr="00A83106">
              <w:rPr>
                <w:rFonts w:cs="Arial"/>
                <w:sz w:val="16"/>
                <w:szCs w:val="16"/>
              </w:rPr>
              <w:t>25 target: 80%</w:t>
            </w:r>
          </w:p>
        </w:tc>
      </w:tr>
      <w:tr w:rsidR="00CA5A0A" w:rsidRPr="001B2F81" w14:paraId="7590ED2B" w14:textId="77777777" w:rsidTr="00A83106">
        <w:trPr>
          <w:trHeight w:val="100"/>
        </w:trPr>
        <w:tc>
          <w:tcPr>
            <w:tcW w:w="1548" w:type="dxa"/>
            <w:vMerge/>
            <w:tcBorders>
              <w:right w:val="single" w:sz="4" w:space="0" w:color="auto"/>
            </w:tcBorders>
          </w:tcPr>
          <w:p w14:paraId="162BAD48" w14:textId="77777777" w:rsidR="00CA5A0A" w:rsidRPr="001B2F81" w:rsidRDefault="00CA5A0A" w:rsidP="001C7A6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24A36911" w14:textId="68752E2E" w:rsidR="00CA5A0A" w:rsidRPr="00A83106" w:rsidRDefault="00CA5A0A" w:rsidP="001C7A6A">
            <w:pPr>
              <w:pStyle w:val="TableTextBase"/>
              <w:rPr>
                <w:rFonts w:cs="Arial"/>
                <w:sz w:val="16"/>
                <w:szCs w:val="16"/>
              </w:rPr>
            </w:pPr>
            <w:r w:rsidRPr="00A83106">
              <w:rPr>
                <w:rFonts w:cs="Arial"/>
                <w:sz w:val="16"/>
                <w:szCs w:val="16"/>
              </w:rPr>
              <w:t>Percentage of key stakeholders agree that regulatory activities are risk based and data driven.</w:t>
            </w:r>
          </w:p>
        </w:tc>
        <w:tc>
          <w:tcPr>
            <w:tcW w:w="3081" w:type="dxa"/>
            <w:tcBorders>
              <w:top w:val="single" w:sz="4" w:space="0" w:color="auto"/>
              <w:left w:val="single" w:sz="4" w:space="0" w:color="auto"/>
              <w:bottom w:val="dotted" w:sz="4" w:space="0" w:color="auto"/>
            </w:tcBorders>
          </w:tcPr>
          <w:p w14:paraId="727981F6" w14:textId="50E03488" w:rsidR="00CA5A0A" w:rsidRPr="00A83106" w:rsidRDefault="00CA5A0A" w:rsidP="001C7A6A">
            <w:pPr>
              <w:pStyle w:val="TableTextBase"/>
              <w:rPr>
                <w:rFonts w:cs="Arial"/>
                <w:sz w:val="16"/>
                <w:szCs w:val="16"/>
              </w:rPr>
            </w:pPr>
            <w:r w:rsidRPr="00A83106">
              <w:rPr>
                <w:rFonts w:cs="Arial"/>
                <w:sz w:val="16"/>
                <w:szCs w:val="16"/>
              </w:rPr>
              <w:t>2023</w:t>
            </w:r>
            <w:r w:rsidR="00B33758">
              <w:rPr>
                <w:rFonts w:cs="Arial"/>
                <w:sz w:val="16"/>
                <w:szCs w:val="16"/>
              </w:rPr>
              <w:noBreakHyphen/>
            </w:r>
            <w:r w:rsidRPr="00A83106">
              <w:rPr>
                <w:rFonts w:cs="Arial"/>
                <w:sz w:val="16"/>
                <w:szCs w:val="16"/>
              </w:rPr>
              <w:t>24 target: 75%</w:t>
            </w:r>
          </w:p>
          <w:p w14:paraId="2C0276B6" w14:textId="367D0F63" w:rsidR="00CA5A0A" w:rsidRPr="00A83106" w:rsidRDefault="00CA5A0A" w:rsidP="001C7A6A">
            <w:pPr>
              <w:pStyle w:val="TableTextBase"/>
              <w:rPr>
                <w:rFonts w:cs="Arial"/>
                <w:sz w:val="16"/>
                <w:szCs w:val="16"/>
              </w:rPr>
            </w:pPr>
            <w:r w:rsidRPr="00A83106">
              <w:rPr>
                <w:rFonts w:cs="Arial"/>
                <w:sz w:val="16"/>
                <w:szCs w:val="16"/>
              </w:rPr>
              <w:t>2024</w:t>
            </w:r>
            <w:r w:rsidR="00B33758">
              <w:rPr>
                <w:rFonts w:cs="Arial"/>
                <w:sz w:val="16"/>
                <w:szCs w:val="16"/>
              </w:rPr>
              <w:noBreakHyphen/>
            </w:r>
            <w:r w:rsidRPr="00A83106">
              <w:rPr>
                <w:rFonts w:cs="Arial"/>
                <w:sz w:val="16"/>
                <w:szCs w:val="16"/>
              </w:rPr>
              <w:t>25 target: 80%</w:t>
            </w:r>
          </w:p>
        </w:tc>
      </w:tr>
      <w:tr w:rsidR="00CA5A0A" w:rsidRPr="001B2F81" w14:paraId="14DC9214" w14:textId="77777777" w:rsidTr="00A83106">
        <w:trPr>
          <w:trHeight w:val="100"/>
        </w:trPr>
        <w:tc>
          <w:tcPr>
            <w:tcW w:w="1548" w:type="dxa"/>
            <w:vMerge/>
            <w:tcBorders>
              <w:right w:val="single" w:sz="4" w:space="0" w:color="auto"/>
            </w:tcBorders>
          </w:tcPr>
          <w:p w14:paraId="430B8A9A" w14:textId="77777777" w:rsidR="00CA5A0A" w:rsidRPr="001B2F81" w:rsidRDefault="00CA5A0A" w:rsidP="001C7A6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2CD103DF" w14:textId="33AC3316" w:rsidR="00CA5A0A" w:rsidRPr="00A83106" w:rsidRDefault="00CA5A0A" w:rsidP="001C7A6A">
            <w:pPr>
              <w:pStyle w:val="TableTextBase"/>
              <w:rPr>
                <w:rFonts w:cs="Arial"/>
                <w:sz w:val="16"/>
                <w:szCs w:val="16"/>
              </w:rPr>
            </w:pPr>
            <w:r w:rsidRPr="00A83106">
              <w:rPr>
                <w:rFonts w:cs="Arial"/>
                <w:sz w:val="16"/>
                <w:szCs w:val="16"/>
              </w:rPr>
              <w:t>Percentage of key stakeholders who have a high level of satisfaction with regulator services, engagement and consultation.</w:t>
            </w:r>
          </w:p>
        </w:tc>
        <w:tc>
          <w:tcPr>
            <w:tcW w:w="3081" w:type="dxa"/>
            <w:tcBorders>
              <w:top w:val="single" w:sz="4" w:space="0" w:color="auto"/>
              <w:left w:val="single" w:sz="4" w:space="0" w:color="auto"/>
              <w:bottom w:val="dotted" w:sz="4" w:space="0" w:color="auto"/>
            </w:tcBorders>
          </w:tcPr>
          <w:p w14:paraId="70309E84" w14:textId="5E58406B" w:rsidR="00CA5A0A" w:rsidRPr="00A83106" w:rsidRDefault="00CA5A0A" w:rsidP="001C7A6A">
            <w:pPr>
              <w:pStyle w:val="TableTextBase"/>
              <w:rPr>
                <w:rFonts w:cs="Arial"/>
                <w:sz w:val="16"/>
                <w:szCs w:val="16"/>
              </w:rPr>
            </w:pPr>
            <w:r w:rsidRPr="00A83106">
              <w:rPr>
                <w:rFonts w:cs="Arial"/>
                <w:sz w:val="16"/>
                <w:szCs w:val="16"/>
              </w:rPr>
              <w:t>2023</w:t>
            </w:r>
            <w:r w:rsidR="00B33758">
              <w:rPr>
                <w:rFonts w:cs="Arial"/>
                <w:sz w:val="16"/>
                <w:szCs w:val="16"/>
              </w:rPr>
              <w:noBreakHyphen/>
            </w:r>
            <w:r w:rsidRPr="00A83106">
              <w:rPr>
                <w:rFonts w:cs="Arial"/>
                <w:sz w:val="16"/>
                <w:szCs w:val="16"/>
              </w:rPr>
              <w:t>24 target: 75%</w:t>
            </w:r>
          </w:p>
          <w:p w14:paraId="698E5841" w14:textId="3C3D4971" w:rsidR="00CA5A0A" w:rsidRPr="00A83106" w:rsidRDefault="00CA5A0A" w:rsidP="001C7A6A">
            <w:pPr>
              <w:pStyle w:val="TableTextBase"/>
              <w:rPr>
                <w:rFonts w:cs="Arial"/>
                <w:sz w:val="16"/>
                <w:szCs w:val="16"/>
              </w:rPr>
            </w:pPr>
            <w:r w:rsidRPr="00A83106">
              <w:rPr>
                <w:rFonts w:cs="Arial"/>
                <w:sz w:val="16"/>
                <w:szCs w:val="16"/>
              </w:rPr>
              <w:t>2024</w:t>
            </w:r>
            <w:r w:rsidR="00B33758">
              <w:rPr>
                <w:rFonts w:cs="Arial"/>
                <w:sz w:val="16"/>
                <w:szCs w:val="16"/>
              </w:rPr>
              <w:noBreakHyphen/>
            </w:r>
            <w:r w:rsidRPr="00A83106">
              <w:rPr>
                <w:rFonts w:cs="Arial"/>
                <w:sz w:val="16"/>
                <w:szCs w:val="16"/>
              </w:rPr>
              <w:t>25 target: 80%</w:t>
            </w:r>
          </w:p>
        </w:tc>
      </w:tr>
      <w:tr w:rsidR="00CA5A0A" w:rsidRPr="001B2F81" w14:paraId="18E20A62" w14:textId="77777777" w:rsidTr="00A83106">
        <w:trPr>
          <w:trHeight w:val="100"/>
        </w:trPr>
        <w:tc>
          <w:tcPr>
            <w:tcW w:w="1548" w:type="dxa"/>
            <w:vMerge/>
            <w:tcBorders>
              <w:bottom w:val="dotted" w:sz="4" w:space="0" w:color="auto"/>
              <w:right w:val="single" w:sz="4" w:space="0" w:color="auto"/>
            </w:tcBorders>
          </w:tcPr>
          <w:p w14:paraId="7BB6C89D" w14:textId="77777777" w:rsidR="00CA5A0A" w:rsidRPr="001B2F81" w:rsidRDefault="00CA5A0A" w:rsidP="001C7A6A">
            <w:pPr>
              <w:pStyle w:val="TableTextBase"/>
            </w:pPr>
          </w:p>
        </w:tc>
        <w:tc>
          <w:tcPr>
            <w:tcW w:w="3072" w:type="dxa"/>
            <w:tcBorders>
              <w:top w:val="single" w:sz="4" w:space="0" w:color="auto"/>
              <w:left w:val="single" w:sz="4" w:space="0" w:color="auto"/>
              <w:bottom w:val="dotted" w:sz="4" w:space="0" w:color="auto"/>
              <w:right w:val="single" w:sz="4" w:space="0" w:color="auto"/>
            </w:tcBorders>
          </w:tcPr>
          <w:p w14:paraId="2E3B1ADC" w14:textId="31078012" w:rsidR="00CA5A0A" w:rsidRPr="00A83106" w:rsidRDefault="00CA5A0A" w:rsidP="001C7A6A">
            <w:pPr>
              <w:pStyle w:val="TableTextBase"/>
              <w:rPr>
                <w:rFonts w:cs="Arial"/>
                <w:sz w:val="16"/>
                <w:szCs w:val="16"/>
              </w:rPr>
            </w:pPr>
            <w:r w:rsidRPr="00A83106">
              <w:rPr>
                <w:rFonts w:cs="Arial"/>
                <w:sz w:val="16"/>
                <w:szCs w:val="16"/>
              </w:rPr>
              <w:t>Proportion of clients that are satisfied with the delivery of specialist services and advice.</w:t>
            </w:r>
          </w:p>
        </w:tc>
        <w:tc>
          <w:tcPr>
            <w:tcW w:w="3081" w:type="dxa"/>
            <w:tcBorders>
              <w:top w:val="single" w:sz="4" w:space="0" w:color="auto"/>
              <w:left w:val="single" w:sz="4" w:space="0" w:color="auto"/>
              <w:bottom w:val="dotted" w:sz="4" w:space="0" w:color="auto"/>
            </w:tcBorders>
          </w:tcPr>
          <w:p w14:paraId="2C822C16" w14:textId="07C90CE8" w:rsidR="00CA5A0A" w:rsidRPr="00A83106" w:rsidRDefault="00CA5A0A" w:rsidP="001C7A6A">
            <w:pPr>
              <w:pStyle w:val="TableTextBase"/>
              <w:rPr>
                <w:rFonts w:cs="Arial"/>
                <w:sz w:val="16"/>
                <w:szCs w:val="16"/>
              </w:rPr>
            </w:pPr>
            <w:r w:rsidRPr="00A83106">
              <w:rPr>
                <w:rFonts w:cs="Arial"/>
                <w:sz w:val="16"/>
                <w:szCs w:val="16"/>
              </w:rPr>
              <w:t>80%</w:t>
            </w:r>
          </w:p>
        </w:tc>
      </w:tr>
      <w:tr w:rsidR="00CA5A0A" w:rsidRPr="001B2F81" w14:paraId="607CF65B" w14:textId="77777777" w:rsidTr="00A83106">
        <w:trPr>
          <w:trHeight w:val="291"/>
        </w:trPr>
        <w:tc>
          <w:tcPr>
            <w:tcW w:w="7701" w:type="dxa"/>
            <w:gridSpan w:val="3"/>
          </w:tcPr>
          <w:p w14:paraId="393279F1" w14:textId="5FB19828" w:rsidR="00CA5A0A" w:rsidRPr="00160C23" w:rsidRDefault="00CA5A0A" w:rsidP="00CA5A0A">
            <w:pPr>
              <w:pStyle w:val="TableTextBase"/>
              <w:rPr>
                <w:rFonts w:eastAsia="Cambria"/>
                <w:bCs/>
                <w:iCs/>
                <w:color w:val="0070C0"/>
                <w:spacing w:val="-6"/>
                <w:sz w:val="16"/>
                <w:szCs w:val="16"/>
                <w:lang w:val="x-none"/>
              </w:rPr>
            </w:pPr>
            <w:r w:rsidRPr="00CC2892">
              <w:rPr>
                <w:rFonts w:cs="Arial"/>
                <w:color w:val="000000" w:themeColor="text1"/>
                <w:sz w:val="16"/>
                <w:szCs w:val="16"/>
              </w:rPr>
              <w:t>There are no Material changes to Program 1.1 resulting from 2022</w:t>
            </w:r>
            <w:r w:rsidR="00B33758">
              <w:rPr>
                <w:rFonts w:cs="Arial"/>
                <w:color w:val="000000" w:themeColor="text1"/>
                <w:sz w:val="16"/>
                <w:szCs w:val="16"/>
              </w:rPr>
              <w:noBreakHyphen/>
            </w:r>
            <w:r w:rsidRPr="00CC2892">
              <w:rPr>
                <w:rFonts w:cs="Arial"/>
                <w:color w:val="000000" w:themeColor="text1"/>
                <w:sz w:val="16"/>
                <w:szCs w:val="16"/>
              </w:rPr>
              <w:t>23 Budget Measures.</w:t>
            </w:r>
          </w:p>
        </w:tc>
      </w:tr>
    </w:tbl>
    <w:p w14:paraId="7050AB37" w14:textId="6923EAB6" w:rsidR="001873F9" w:rsidRPr="001873F9" w:rsidRDefault="001873F9" w:rsidP="00C1778B">
      <w:pPr>
        <w:pStyle w:val="ChartandTableFootnoteAlpha"/>
        <w:numPr>
          <w:ilvl w:val="0"/>
          <w:numId w:val="13"/>
        </w:numPr>
      </w:pPr>
      <w:r w:rsidRPr="001873F9">
        <w:t>Refers to updated key activities that are reflected in the 2021</w:t>
      </w:r>
      <w:r w:rsidR="00B33758">
        <w:noBreakHyphen/>
      </w:r>
      <w:r w:rsidRPr="001873F9">
        <w:t>22 Corporate Plan.</w:t>
      </w:r>
    </w:p>
    <w:p w14:paraId="61C54FD8" w14:textId="26FFE4A1" w:rsidR="001873F9" w:rsidRPr="001873F9" w:rsidRDefault="001873F9" w:rsidP="001C1246">
      <w:pPr>
        <w:pStyle w:val="ChartandTableFootnoteAlpha"/>
        <w:numPr>
          <w:ilvl w:val="0"/>
          <w:numId w:val="0"/>
        </w:numPr>
      </w:pPr>
      <w:r w:rsidRPr="001873F9">
        <w:t>The Treasury</w:t>
      </w:r>
      <w:r w:rsidR="00B33758">
        <w:t>’</w:t>
      </w:r>
      <w:r w:rsidRPr="001873F9">
        <w:t>s performance measures are set out in full in the 2021</w:t>
      </w:r>
      <w:r w:rsidR="00B33758">
        <w:noBreakHyphen/>
      </w:r>
      <w:r w:rsidRPr="001873F9">
        <w:t>22 Corporate Plan and will be reported in the 2021</w:t>
      </w:r>
      <w:r w:rsidR="00B33758">
        <w:noBreakHyphen/>
      </w:r>
      <w:r w:rsidRPr="001873F9">
        <w:t xml:space="preserve">22 Annual Performance Statements. Treasury updated the performance measures through the </w:t>
      </w:r>
      <w:r w:rsidRPr="001873F9">
        <w:br/>
        <w:t>2021</w:t>
      </w:r>
      <w:r w:rsidR="00B33758">
        <w:noBreakHyphen/>
      </w:r>
      <w:r w:rsidRPr="00ED2AE0">
        <w:t>22</w:t>
      </w:r>
      <w:r w:rsidRPr="001873F9">
        <w:t xml:space="preserve"> </w:t>
      </w:r>
      <w:r w:rsidRPr="00ED2AE0">
        <w:t>Portfolio</w:t>
      </w:r>
      <w:r w:rsidRPr="001873F9">
        <w:t xml:space="preserve"> Additional Estimates Statements to align with the 2021</w:t>
      </w:r>
      <w:r w:rsidR="00B33758">
        <w:noBreakHyphen/>
      </w:r>
      <w:r w:rsidRPr="001873F9">
        <w:t>22 Corporate Plan.</w:t>
      </w:r>
    </w:p>
    <w:p w14:paraId="614E66A2" w14:textId="6B03A7E5" w:rsidR="001C7A6A" w:rsidRDefault="001873F9" w:rsidP="001C7A6A">
      <w:pPr>
        <w:pStyle w:val="ChartandTableFootnoteAlpha"/>
        <w:numPr>
          <w:ilvl w:val="0"/>
          <w:numId w:val="0"/>
        </w:numPr>
        <w:ind w:left="284" w:hanging="284"/>
      </w:pPr>
      <w:r w:rsidRPr="001873F9">
        <w:t>New or modified performance measures that reflect new or materially changed programs are shown in italics.</w:t>
      </w:r>
    </w:p>
    <w:p w14:paraId="064CFA26" w14:textId="77777777" w:rsidR="001C7A6A" w:rsidRDefault="001C7A6A">
      <w:pPr>
        <w:spacing w:after="0" w:line="240" w:lineRule="auto"/>
        <w:jc w:val="left"/>
        <w:rPr>
          <w:rFonts w:ascii="Arial" w:hAnsi="Arial"/>
          <w:sz w:val="16"/>
        </w:rPr>
      </w:pPr>
      <w: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1873F9" w:rsidRPr="00C41058" w14:paraId="19D6D825" w14:textId="77777777" w:rsidTr="00F45E43">
        <w:trPr>
          <w:trHeight w:val="569"/>
        </w:trPr>
        <w:tc>
          <w:tcPr>
            <w:tcW w:w="7796" w:type="dxa"/>
            <w:gridSpan w:val="3"/>
            <w:shd w:val="clear" w:color="auto" w:fill="F2F2F2"/>
          </w:tcPr>
          <w:p w14:paraId="43F49A78" w14:textId="1AA8C0C7" w:rsidR="001873F9" w:rsidRPr="00C41058" w:rsidRDefault="001873F9" w:rsidP="001C7A6A">
            <w:pPr>
              <w:pStyle w:val="BoxHeading"/>
            </w:pPr>
            <w:r w:rsidRPr="002503AC">
              <w:lastRenderedPageBreak/>
              <w:t>Outcome 1 – Supporting and implementing informed decisions on policies for the good of the Australian people, including for achieving strong, sustainable economic growth, through the provision of advice to Treasury Ministers and the efficient administration of Treasury</w:t>
            </w:r>
            <w:r w:rsidR="00B33758">
              <w:t>’</w:t>
            </w:r>
            <w:r w:rsidRPr="002503AC">
              <w:t>s functions.</w:t>
            </w:r>
          </w:p>
        </w:tc>
      </w:tr>
      <w:tr w:rsidR="001873F9" w:rsidRPr="001B2F81" w14:paraId="21444C3C" w14:textId="77777777" w:rsidTr="001C7A6A">
        <w:trPr>
          <w:trHeight w:val="2930"/>
        </w:trPr>
        <w:tc>
          <w:tcPr>
            <w:tcW w:w="7796" w:type="dxa"/>
            <w:gridSpan w:val="3"/>
            <w:shd w:val="clear" w:color="auto" w:fill="F2F2F2"/>
          </w:tcPr>
          <w:p w14:paraId="0986CBBE" w14:textId="77777777" w:rsidR="001873F9" w:rsidRPr="00CA5A0A" w:rsidRDefault="001873F9" w:rsidP="001C7A6A">
            <w:pPr>
              <w:pStyle w:val="BoxHeadinglevel2"/>
              <w:rPr>
                <w:color w:val="000000" w:themeColor="text1"/>
              </w:rPr>
            </w:pPr>
            <w:r w:rsidRPr="00CA5A0A">
              <w:rPr>
                <w:color w:val="000000" w:themeColor="text1"/>
              </w:rPr>
              <w:t xml:space="preserve">Program 1.2 – </w:t>
            </w:r>
            <w:r w:rsidRPr="00CA5A0A">
              <w:t>Payments to International Financial Institutions</w:t>
            </w:r>
          </w:p>
          <w:p w14:paraId="1342E7E8" w14:textId="77777777" w:rsidR="001873F9" w:rsidRPr="00CA5A0A" w:rsidRDefault="001873F9" w:rsidP="001C7A6A">
            <w:pPr>
              <w:pStyle w:val="TableTextBase"/>
            </w:pPr>
            <w:r w:rsidRPr="00CA5A0A">
              <w:t>The objective of this program is to make payments to international financial institutions on behalf of Government to:</w:t>
            </w:r>
          </w:p>
          <w:p w14:paraId="08C76562" w14:textId="77777777" w:rsidR="001873F9" w:rsidRPr="00CA5A0A" w:rsidRDefault="001873F9" w:rsidP="001C7A6A">
            <w:pPr>
              <w:pStyle w:val="TableTextBullet"/>
            </w:pPr>
            <w:r w:rsidRPr="00CA5A0A">
              <w:t xml:space="preserve">promote international monetary </w:t>
            </w:r>
            <w:proofErr w:type="gramStart"/>
            <w:r w:rsidRPr="00CA5A0A">
              <w:t>cooperation;</w:t>
            </w:r>
            <w:proofErr w:type="gramEnd"/>
          </w:p>
          <w:p w14:paraId="6489199F" w14:textId="77777777" w:rsidR="001873F9" w:rsidRPr="00CA5A0A" w:rsidRDefault="001873F9" w:rsidP="001C7A6A">
            <w:pPr>
              <w:pStyle w:val="TableTextBullet"/>
            </w:pPr>
            <w:r w:rsidRPr="00CA5A0A">
              <w:t xml:space="preserve">promote stability of the international financial system and orderly exchange </w:t>
            </w:r>
            <w:proofErr w:type="gramStart"/>
            <w:r w:rsidRPr="00CA5A0A">
              <w:t>arrangements;</w:t>
            </w:r>
            <w:proofErr w:type="gramEnd"/>
          </w:p>
          <w:p w14:paraId="7AA8CB5D" w14:textId="77777777" w:rsidR="001873F9" w:rsidRPr="00CA5A0A" w:rsidRDefault="001873F9" w:rsidP="001C7A6A">
            <w:pPr>
              <w:pStyle w:val="TableTextBullet"/>
            </w:pPr>
            <w:r w:rsidRPr="00CA5A0A">
              <w:t xml:space="preserve">foster economic growth and high levels of </w:t>
            </w:r>
            <w:proofErr w:type="gramStart"/>
            <w:r w:rsidRPr="00CA5A0A">
              <w:t>employment;</w:t>
            </w:r>
            <w:proofErr w:type="gramEnd"/>
          </w:p>
          <w:p w14:paraId="388EB07D" w14:textId="77777777" w:rsidR="001873F9" w:rsidRPr="00CA5A0A" w:rsidRDefault="001873F9" w:rsidP="001C7A6A">
            <w:pPr>
              <w:pStyle w:val="TableTextBullet"/>
            </w:pPr>
            <w:r w:rsidRPr="00CA5A0A">
              <w:t xml:space="preserve">provide temporary financial assistance to countries to help ease balance of payments </w:t>
            </w:r>
            <w:proofErr w:type="gramStart"/>
            <w:r w:rsidRPr="00CA5A0A">
              <w:t>adjustments;</w:t>
            </w:r>
            <w:proofErr w:type="gramEnd"/>
          </w:p>
          <w:p w14:paraId="55156F12" w14:textId="77777777" w:rsidR="001873F9" w:rsidRPr="00CA5A0A" w:rsidRDefault="001873F9" w:rsidP="001C7A6A">
            <w:pPr>
              <w:pStyle w:val="TableTextBullet"/>
            </w:pPr>
            <w:r w:rsidRPr="00CA5A0A">
              <w:t>facilitate the achievement of Government objectives in international forums, including support for development objectives and improved infrastructure in the Asian region; and</w:t>
            </w:r>
          </w:p>
          <w:p w14:paraId="7B95149A" w14:textId="3252E034" w:rsidR="001873F9" w:rsidRPr="001B2F81" w:rsidRDefault="001873F9" w:rsidP="001C7A6A">
            <w:pPr>
              <w:pStyle w:val="TableTextBullet"/>
            </w:pPr>
            <w:r w:rsidRPr="00CA5A0A">
              <w:t>support multilateral debt relief.</w:t>
            </w:r>
          </w:p>
        </w:tc>
      </w:tr>
      <w:tr w:rsidR="001873F9" w:rsidRPr="00160C23" w14:paraId="0AD6C51B" w14:textId="77777777" w:rsidTr="003910A4">
        <w:trPr>
          <w:trHeight w:val="561"/>
        </w:trPr>
        <w:tc>
          <w:tcPr>
            <w:tcW w:w="1560" w:type="dxa"/>
            <w:tcBorders>
              <w:bottom w:val="double" w:sz="4" w:space="0" w:color="auto"/>
            </w:tcBorders>
          </w:tcPr>
          <w:p w14:paraId="542D700A" w14:textId="77777777" w:rsidR="001873F9" w:rsidRPr="00160C23" w:rsidRDefault="001873F9" w:rsidP="001C7A6A">
            <w:pPr>
              <w:pStyle w:val="TableColumnHeadingLeft"/>
            </w:pPr>
            <w:r w:rsidRPr="00160C23">
              <w:t>Key Activities (a)</w:t>
            </w:r>
          </w:p>
        </w:tc>
        <w:tc>
          <w:tcPr>
            <w:tcW w:w="6236" w:type="dxa"/>
            <w:gridSpan w:val="2"/>
            <w:tcBorders>
              <w:bottom w:val="double" w:sz="4" w:space="0" w:color="auto"/>
            </w:tcBorders>
          </w:tcPr>
          <w:p w14:paraId="4B52B29A" w14:textId="77777777" w:rsidR="001873F9" w:rsidRPr="00CA5A0A" w:rsidRDefault="001873F9" w:rsidP="001C7A6A">
            <w:pPr>
              <w:pStyle w:val="TableTextBase"/>
            </w:pPr>
            <w:r w:rsidRPr="00CA5A0A">
              <w:t>A strong and sustainable economic and fiscal environment</w:t>
            </w:r>
          </w:p>
          <w:p w14:paraId="4E1EB371" w14:textId="3E9AA62C" w:rsidR="001873F9" w:rsidRPr="00CA5A0A" w:rsidRDefault="001873F9" w:rsidP="001C7A6A">
            <w:pPr>
              <w:pStyle w:val="TableTextBullet"/>
            </w:pPr>
            <w:r w:rsidRPr="00CA5A0A">
              <w:t>Activity 2 Ensure effective Government spending arrangements.</w:t>
            </w:r>
          </w:p>
        </w:tc>
      </w:tr>
      <w:tr w:rsidR="001873F9" w:rsidRPr="00160C23" w14:paraId="0CA18252" w14:textId="77777777" w:rsidTr="00F45E43">
        <w:trPr>
          <w:trHeight w:val="258"/>
        </w:trPr>
        <w:tc>
          <w:tcPr>
            <w:tcW w:w="1560" w:type="dxa"/>
            <w:tcBorders>
              <w:top w:val="double" w:sz="4" w:space="0" w:color="auto"/>
              <w:bottom w:val="single" w:sz="4" w:space="0" w:color="auto"/>
              <w:right w:val="single" w:sz="4" w:space="0" w:color="auto"/>
            </w:tcBorders>
          </w:tcPr>
          <w:p w14:paraId="77798AA2" w14:textId="3CCF930A" w:rsidR="001873F9" w:rsidRPr="00A83106" w:rsidRDefault="001873F9" w:rsidP="001C7A6A">
            <w:pPr>
              <w:pStyle w:val="BoxHeadinglevel2"/>
              <w:rPr>
                <w:color w:val="000000" w:themeColor="text1"/>
                <w:sz w:val="16"/>
                <w:szCs w:val="16"/>
              </w:rPr>
            </w:pPr>
            <w:r w:rsidRPr="00A83106">
              <w:rPr>
                <w:sz w:val="16"/>
                <w:szCs w:val="16"/>
              </w:rPr>
              <w:t>Year</w:t>
            </w:r>
          </w:p>
        </w:tc>
        <w:tc>
          <w:tcPr>
            <w:tcW w:w="3118" w:type="dxa"/>
            <w:tcBorders>
              <w:top w:val="double" w:sz="4" w:space="0" w:color="auto"/>
              <w:left w:val="single" w:sz="4" w:space="0" w:color="auto"/>
              <w:bottom w:val="single" w:sz="4" w:space="0" w:color="auto"/>
              <w:right w:val="single" w:sz="4" w:space="0" w:color="auto"/>
            </w:tcBorders>
          </w:tcPr>
          <w:p w14:paraId="0CC84DEF" w14:textId="77777777" w:rsidR="001873F9" w:rsidRPr="00A83106" w:rsidRDefault="001873F9" w:rsidP="001C7A6A">
            <w:pPr>
              <w:pStyle w:val="BoxHeadinglevel2"/>
              <w:rPr>
                <w:sz w:val="16"/>
                <w:szCs w:val="16"/>
              </w:rPr>
            </w:pPr>
            <w:r w:rsidRPr="00A83106">
              <w:rPr>
                <w:sz w:val="16"/>
                <w:szCs w:val="16"/>
              </w:rPr>
              <w:t>Performance measures</w:t>
            </w:r>
          </w:p>
        </w:tc>
        <w:tc>
          <w:tcPr>
            <w:tcW w:w="3118" w:type="dxa"/>
            <w:tcBorders>
              <w:top w:val="double" w:sz="4" w:space="0" w:color="auto"/>
              <w:left w:val="single" w:sz="4" w:space="0" w:color="auto"/>
              <w:bottom w:val="single" w:sz="4" w:space="0" w:color="auto"/>
            </w:tcBorders>
          </w:tcPr>
          <w:p w14:paraId="7B627EA5" w14:textId="77777777" w:rsidR="001873F9" w:rsidRPr="00316FBD" w:rsidRDefault="001873F9" w:rsidP="001C7A6A">
            <w:pPr>
              <w:pStyle w:val="BoxHeadinglevel2"/>
              <w:rPr>
                <w:sz w:val="16"/>
                <w:szCs w:val="16"/>
              </w:rPr>
            </w:pPr>
            <w:r w:rsidRPr="00316FBD">
              <w:rPr>
                <w:sz w:val="16"/>
                <w:szCs w:val="16"/>
              </w:rPr>
              <w:t>Expected Performance Results</w:t>
            </w:r>
          </w:p>
        </w:tc>
      </w:tr>
      <w:tr w:rsidR="001873F9" w:rsidRPr="00160C23" w14:paraId="20496057" w14:textId="77777777" w:rsidTr="001873F9">
        <w:trPr>
          <w:trHeight w:val="642"/>
        </w:trPr>
        <w:tc>
          <w:tcPr>
            <w:tcW w:w="1560" w:type="dxa"/>
            <w:tcBorders>
              <w:top w:val="single" w:sz="4" w:space="0" w:color="auto"/>
              <w:bottom w:val="single" w:sz="4" w:space="0" w:color="auto"/>
              <w:right w:val="single" w:sz="4" w:space="0" w:color="auto"/>
            </w:tcBorders>
          </w:tcPr>
          <w:p w14:paraId="7A85107B" w14:textId="77777777" w:rsidR="001873F9" w:rsidRPr="00A83106" w:rsidRDefault="001873F9" w:rsidP="001C7A6A">
            <w:pPr>
              <w:pStyle w:val="TableTextBase"/>
              <w:rPr>
                <w:sz w:val="16"/>
                <w:szCs w:val="16"/>
              </w:rPr>
            </w:pPr>
            <w:r w:rsidRPr="00A83106">
              <w:rPr>
                <w:sz w:val="16"/>
                <w:szCs w:val="16"/>
              </w:rPr>
              <w:t xml:space="preserve">Current year </w:t>
            </w:r>
          </w:p>
          <w:p w14:paraId="4ED279C1" w14:textId="1DD73A5B" w:rsidR="001873F9" w:rsidRPr="00A83106" w:rsidRDefault="001873F9" w:rsidP="001C7A6A">
            <w:pPr>
              <w:pStyle w:val="TableTextBase"/>
              <w:rPr>
                <w:sz w:val="16"/>
                <w:szCs w:val="16"/>
              </w:rPr>
            </w:pPr>
            <w:r w:rsidRPr="00A83106">
              <w:rPr>
                <w:sz w:val="16"/>
                <w:szCs w:val="16"/>
              </w:rPr>
              <w:t>2021</w:t>
            </w:r>
            <w:r w:rsidR="00B33758">
              <w:rPr>
                <w:sz w:val="16"/>
                <w:szCs w:val="16"/>
              </w:rPr>
              <w:noBreakHyphen/>
            </w:r>
            <w:r w:rsidRPr="00A83106">
              <w:rPr>
                <w:sz w:val="16"/>
                <w:szCs w:val="16"/>
              </w:rPr>
              <w:t>22</w:t>
            </w:r>
          </w:p>
        </w:tc>
        <w:tc>
          <w:tcPr>
            <w:tcW w:w="3118" w:type="dxa"/>
            <w:tcBorders>
              <w:top w:val="single" w:sz="4" w:space="0" w:color="auto"/>
              <w:left w:val="single" w:sz="4" w:space="0" w:color="auto"/>
              <w:bottom w:val="single" w:sz="4" w:space="0" w:color="auto"/>
              <w:right w:val="single" w:sz="4" w:space="0" w:color="auto"/>
            </w:tcBorders>
          </w:tcPr>
          <w:p w14:paraId="7B95BA33" w14:textId="0DA72C1B" w:rsidR="001873F9" w:rsidRPr="00A83106" w:rsidRDefault="001873F9" w:rsidP="001C7A6A">
            <w:pPr>
              <w:pStyle w:val="TableTextBase"/>
              <w:rPr>
                <w:color w:val="0070C0"/>
                <w:sz w:val="16"/>
                <w:szCs w:val="16"/>
              </w:rPr>
            </w:pPr>
            <w:r w:rsidRPr="00A83106">
              <w:rPr>
                <w:sz w:val="16"/>
                <w:szCs w:val="16"/>
              </w:rPr>
              <w:t>Percentage of payments administered within agreed requirements and timeframes.</w:t>
            </w:r>
          </w:p>
        </w:tc>
        <w:tc>
          <w:tcPr>
            <w:tcW w:w="3118" w:type="dxa"/>
            <w:tcBorders>
              <w:top w:val="single" w:sz="4" w:space="0" w:color="auto"/>
              <w:left w:val="single" w:sz="4" w:space="0" w:color="auto"/>
              <w:bottom w:val="single" w:sz="4" w:space="0" w:color="auto"/>
            </w:tcBorders>
          </w:tcPr>
          <w:p w14:paraId="599C6A33" w14:textId="1398CB73" w:rsidR="001873F9" w:rsidRPr="00316FBD" w:rsidRDefault="001873F9" w:rsidP="001C7A6A">
            <w:pPr>
              <w:pStyle w:val="TableTextBase"/>
              <w:rPr>
                <w:sz w:val="16"/>
                <w:szCs w:val="16"/>
              </w:rPr>
            </w:pPr>
            <w:r w:rsidRPr="00316FBD">
              <w:rPr>
                <w:sz w:val="16"/>
                <w:szCs w:val="16"/>
              </w:rPr>
              <w:t>Target: 100%</w:t>
            </w:r>
          </w:p>
          <w:p w14:paraId="5AB6578B" w14:textId="60A3150B" w:rsidR="001873F9" w:rsidRPr="00316FBD" w:rsidRDefault="001873F9" w:rsidP="001C7A6A">
            <w:pPr>
              <w:pStyle w:val="TableTextBase"/>
              <w:rPr>
                <w:color w:val="0070C0"/>
                <w:sz w:val="16"/>
                <w:szCs w:val="16"/>
              </w:rPr>
            </w:pPr>
            <w:r w:rsidRPr="00316FBD">
              <w:rPr>
                <w:sz w:val="16"/>
                <w:szCs w:val="16"/>
              </w:rPr>
              <w:t>Expected to be achieved</w:t>
            </w:r>
          </w:p>
        </w:tc>
      </w:tr>
      <w:tr w:rsidR="001873F9" w:rsidRPr="00160C23" w14:paraId="7F7BAC46" w14:textId="77777777" w:rsidTr="001873F9">
        <w:trPr>
          <w:trHeight w:val="642"/>
        </w:trPr>
        <w:tc>
          <w:tcPr>
            <w:tcW w:w="1560" w:type="dxa"/>
            <w:tcBorders>
              <w:top w:val="single" w:sz="4" w:space="0" w:color="auto"/>
              <w:bottom w:val="single" w:sz="4" w:space="0" w:color="auto"/>
              <w:right w:val="single" w:sz="4" w:space="0" w:color="auto"/>
            </w:tcBorders>
          </w:tcPr>
          <w:p w14:paraId="0441F0B4" w14:textId="79CBB8D4" w:rsidR="001873F9" w:rsidRPr="00A83106" w:rsidRDefault="001873F9" w:rsidP="001C7A6A">
            <w:pPr>
              <w:pStyle w:val="TableTextBase"/>
              <w:rPr>
                <w:sz w:val="16"/>
                <w:szCs w:val="16"/>
              </w:rPr>
            </w:pPr>
            <w:r w:rsidRPr="00A83106">
              <w:rPr>
                <w:sz w:val="16"/>
                <w:szCs w:val="16"/>
              </w:rPr>
              <w:t>Budget Year     2022</w:t>
            </w:r>
            <w:r w:rsidR="00B33758">
              <w:rPr>
                <w:sz w:val="16"/>
                <w:szCs w:val="16"/>
              </w:rPr>
              <w:noBreakHyphen/>
            </w:r>
            <w:r w:rsidRPr="00A83106">
              <w:rPr>
                <w:sz w:val="16"/>
                <w:szCs w:val="16"/>
              </w:rPr>
              <w:t>23</w:t>
            </w:r>
          </w:p>
        </w:tc>
        <w:tc>
          <w:tcPr>
            <w:tcW w:w="3118" w:type="dxa"/>
            <w:tcBorders>
              <w:top w:val="single" w:sz="4" w:space="0" w:color="auto"/>
              <w:left w:val="single" w:sz="4" w:space="0" w:color="auto"/>
              <w:bottom w:val="single" w:sz="4" w:space="0" w:color="auto"/>
              <w:right w:val="single" w:sz="4" w:space="0" w:color="auto"/>
            </w:tcBorders>
          </w:tcPr>
          <w:p w14:paraId="70BBE5B5" w14:textId="7A1E0AC7" w:rsidR="001873F9" w:rsidRPr="00A83106" w:rsidRDefault="001873F9" w:rsidP="001C7A6A">
            <w:pPr>
              <w:pStyle w:val="TableTextBase"/>
              <w:rPr>
                <w:sz w:val="16"/>
                <w:szCs w:val="16"/>
              </w:rPr>
            </w:pPr>
            <w:r w:rsidRPr="00A83106">
              <w:rPr>
                <w:sz w:val="16"/>
                <w:szCs w:val="16"/>
              </w:rPr>
              <w:t>Percentage of payments administered within agreed requirements and timeframes.</w:t>
            </w:r>
          </w:p>
        </w:tc>
        <w:tc>
          <w:tcPr>
            <w:tcW w:w="3118" w:type="dxa"/>
            <w:tcBorders>
              <w:top w:val="single" w:sz="4" w:space="0" w:color="auto"/>
              <w:left w:val="single" w:sz="4" w:space="0" w:color="auto"/>
              <w:bottom w:val="single" w:sz="4" w:space="0" w:color="auto"/>
            </w:tcBorders>
          </w:tcPr>
          <w:p w14:paraId="7368330F" w14:textId="6D907EE8" w:rsidR="001873F9" w:rsidRPr="00316FBD" w:rsidRDefault="001873F9" w:rsidP="001C7A6A">
            <w:pPr>
              <w:pStyle w:val="TableTextBase"/>
              <w:rPr>
                <w:sz w:val="16"/>
                <w:szCs w:val="16"/>
              </w:rPr>
            </w:pPr>
            <w:r w:rsidRPr="00316FBD">
              <w:rPr>
                <w:sz w:val="16"/>
                <w:szCs w:val="16"/>
              </w:rPr>
              <w:t>100%</w:t>
            </w:r>
          </w:p>
        </w:tc>
      </w:tr>
      <w:tr w:rsidR="001873F9" w:rsidRPr="00160C23" w14:paraId="5CFD13E7" w14:textId="77777777" w:rsidTr="00CA5A0A">
        <w:trPr>
          <w:trHeight w:val="642"/>
        </w:trPr>
        <w:tc>
          <w:tcPr>
            <w:tcW w:w="1560" w:type="dxa"/>
            <w:tcBorders>
              <w:top w:val="single" w:sz="4" w:space="0" w:color="auto"/>
              <w:bottom w:val="single" w:sz="4" w:space="0" w:color="auto"/>
              <w:right w:val="single" w:sz="4" w:space="0" w:color="auto"/>
            </w:tcBorders>
            <w:shd w:val="clear" w:color="auto" w:fill="auto"/>
          </w:tcPr>
          <w:p w14:paraId="1CA448A3" w14:textId="77777777" w:rsidR="001873F9" w:rsidRPr="00A83106" w:rsidRDefault="00CA5A0A" w:rsidP="001C7A6A">
            <w:pPr>
              <w:pStyle w:val="TableTextBase"/>
              <w:rPr>
                <w:sz w:val="16"/>
                <w:szCs w:val="16"/>
              </w:rPr>
            </w:pPr>
            <w:r w:rsidRPr="00A83106">
              <w:rPr>
                <w:sz w:val="16"/>
                <w:szCs w:val="16"/>
              </w:rPr>
              <w:t>Forward Estimates</w:t>
            </w:r>
          </w:p>
          <w:p w14:paraId="3BDAE268" w14:textId="70DDAE04" w:rsidR="00CA5A0A" w:rsidRPr="00A83106" w:rsidRDefault="00CA5A0A" w:rsidP="001C7A6A">
            <w:pPr>
              <w:pStyle w:val="TableTextBase"/>
              <w:rPr>
                <w:sz w:val="16"/>
                <w:szCs w:val="16"/>
              </w:rPr>
            </w:pPr>
            <w:r w:rsidRPr="00A83106">
              <w:rPr>
                <w:sz w:val="16"/>
                <w:szCs w:val="16"/>
              </w:rPr>
              <w:t>2023</w:t>
            </w:r>
            <w:r w:rsidR="00B33758">
              <w:rPr>
                <w:sz w:val="16"/>
                <w:szCs w:val="16"/>
              </w:rPr>
              <w:noBreakHyphen/>
            </w:r>
            <w:r w:rsidRPr="00A83106">
              <w:rPr>
                <w:sz w:val="16"/>
                <w:szCs w:val="16"/>
              </w:rPr>
              <w:t>24</w:t>
            </w:r>
          </w:p>
        </w:tc>
        <w:tc>
          <w:tcPr>
            <w:tcW w:w="3118" w:type="dxa"/>
            <w:tcBorders>
              <w:top w:val="single" w:sz="4" w:space="0" w:color="auto"/>
              <w:left w:val="single" w:sz="4" w:space="0" w:color="auto"/>
              <w:bottom w:val="single" w:sz="4" w:space="0" w:color="auto"/>
              <w:right w:val="single" w:sz="4" w:space="0" w:color="auto"/>
            </w:tcBorders>
          </w:tcPr>
          <w:p w14:paraId="572C70D1" w14:textId="0D41D281" w:rsidR="001873F9" w:rsidRPr="00A83106" w:rsidRDefault="001873F9" w:rsidP="001C7A6A">
            <w:pPr>
              <w:pStyle w:val="TableTextBase"/>
              <w:rPr>
                <w:sz w:val="16"/>
                <w:szCs w:val="16"/>
              </w:rPr>
            </w:pPr>
            <w:r w:rsidRPr="00A83106">
              <w:rPr>
                <w:sz w:val="16"/>
                <w:szCs w:val="16"/>
              </w:rPr>
              <w:t>As per 2022</w:t>
            </w:r>
            <w:r w:rsidR="00B33758">
              <w:rPr>
                <w:sz w:val="16"/>
                <w:szCs w:val="16"/>
              </w:rPr>
              <w:noBreakHyphen/>
            </w:r>
            <w:r w:rsidRPr="00A83106">
              <w:rPr>
                <w:sz w:val="16"/>
                <w:szCs w:val="16"/>
              </w:rPr>
              <w:t>23</w:t>
            </w:r>
          </w:p>
        </w:tc>
        <w:tc>
          <w:tcPr>
            <w:tcW w:w="3118" w:type="dxa"/>
            <w:tcBorders>
              <w:top w:val="single" w:sz="4" w:space="0" w:color="auto"/>
              <w:left w:val="single" w:sz="4" w:space="0" w:color="auto"/>
              <w:bottom w:val="single" w:sz="4" w:space="0" w:color="auto"/>
            </w:tcBorders>
          </w:tcPr>
          <w:p w14:paraId="5EF0F53D" w14:textId="6500CCA6" w:rsidR="001873F9" w:rsidRPr="00316FBD" w:rsidRDefault="001873F9" w:rsidP="001C7A6A">
            <w:pPr>
              <w:pStyle w:val="TableTextBase"/>
              <w:rPr>
                <w:sz w:val="16"/>
                <w:szCs w:val="16"/>
              </w:rPr>
            </w:pPr>
            <w:r w:rsidRPr="00316FBD">
              <w:rPr>
                <w:sz w:val="16"/>
                <w:szCs w:val="16"/>
              </w:rPr>
              <w:t>As per 2022</w:t>
            </w:r>
            <w:r w:rsidR="00B33758">
              <w:rPr>
                <w:sz w:val="16"/>
                <w:szCs w:val="16"/>
              </w:rPr>
              <w:noBreakHyphen/>
            </w:r>
            <w:r w:rsidRPr="00316FBD">
              <w:rPr>
                <w:sz w:val="16"/>
                <w:szCs w:val="16"/>
              </w:rPr>
              <w:t>23</w:t>
            </w:r>
          </w:p>
        </w:tc>
      </w:tr>
      <w:tr w:rsidR="00A73934" w:rsidRPr="00160C23" w14:paraId="7271DFB0" w14:textId="77777777" w:rsidTr="00A73934">
        <w:trPr>
          <w:trHeight w:val="382"/>
        </w:trPr>
        <w:tc>
          <w:tcPr>
            <w:tcW w:w="7796" w:type="dxa"/>
            <w:gridSpan w:val="3"/>
            <w:tcBorders>
              <w:top w:val="single" w:sz="4" w:space="0" w:color="auto"/>
              <w:bottom w:val="single" w:sz="4" w:space="0" w:color="auto"/>
            </w:tcBorders>
            <w:shd w:val="clear" w:color="auto" w:fill="auto"/>
          </w:tcPr>
          <w:p w14:paraId="4B5762B0" w14:textId="2A42F3BE" w:rsidR="00A73934" w:rsidRPr="00A83106" w:rsidRDefault="00A73934" w:rsidP="001C7A6A">
            <w:pPr>
              <w:pStyle w:val="TableTextBullet"/>
              <w:rPr>
                <w:i/>
                <w:iCs/>
                <w:sz w:val="16"/>
                <w:szCs w:val="16"/>
              </w:rPr>
            </w:pPr>
            <w:r w:rsidRPr="00A83106">
              <w:rPr>
                <w:sz w:val="16"/>
                <w:szCs w:val="16"/>
              </w:rPr>
              <w:t>There are no Material changes to Program 1.2 resulting from 2022</w:t>
            </w:r>
            <w:r w:rsidR="00B33758">
              <w:rPr>
                <w:sz w:val="16"/>
                <w:szCs w:val="16"/>
              </w:rPr>
              <w:noBreakHyphen/>
            </w:r>
            <w:r w:rsidRPr="00A83106">
              <w:rPr>
                <w:sz w:val="16"/>
                <w:szCs w:val="16"/>
              </w:rPr>
              <w:t>23 Budget Measures.</w:t>
            </w:r>
          </w:p>
        </w:tc>
      </w:tr>
    </w:tbl>
    <w:p w14:paraId="188FC3F2" w14:textId="038E2DE2" w:rsidR="00CA5A0A" w:rsidRPr="00CA5A0A" w:rsidRDefault="00CA5A0A" w:rsidP="00C1778B">
      <w:pPr>
        <w:pStyle w:val="ChartandTableFootnoteAlpha"/>
        <w:numPr>
          <w:ilvl w:val="0"/>
          <w:numId w:val="14"/>
        </w:numPr>
      </w:pPr>
      <w:r w:rsidRPr="00CA5A0A">
        <w:t>Refers to updated key activities that are reflected in the 2021</w:t>
      </w:r>
      <w:r w:rsidR="00B33758">
        <w:noBreakHyphen/>
      </w:r>
      <w:r w:rsidRPr="00CA5A0A">
        <w:t>22 Corporate Plan.</w:t>
      </w:r>
    </w:p>
    <w:p w14:paraId="5E5CE3AB" w14:textId="0E629F30" w:rsidR="00CA5A0A" w:rsidRPr="00CA5A0A" w:rsidRDefault="00CA5A0A" w:rsidP="00395F3A">
      <w:pPr>
        <w:pStyle w:val="ChartandTableFootnote"/>
      </w:pPr>
      <w:r w:rsidRPr="00CA5A0A">
        <w:t>The Treasury</w:t>
      </w:r>
      <w:r w:rsidR="00B33758">
        <w:t>’</w:t>
      </w:r>
      <w:r w:rsidRPr="00CA5A0A">
        <w:t>s performance measures are set out in full in the 2021</w:t>
      </w:r>
      <w:r w:rsidR="00B33758">
        <w:noBreakHyphen/>
      </w:r>
      <w:r w:rsidRPr="00CA5A0A">
        <w:t>22 Corporate Plan and will be reported in the 2021</w:t>
      </w:r>
      <w:r w:rsidR="00B33758">
        <w:noBreakHyphen/>
      </w:r>
      <w:r w:rsidRPr="00CA5A0A">
        <w:t xml:space="preserve">22 Annual Performance Statements. Treasury updated the performance measures through the </w:t>
      </w:r>
      <w:r w:rsidRPr="00CA5A0A">
        <w:br/>
        <w:t>2021</w:t>
      </w:r>
      <w:r w:rsidR="00B33758">
        <w:noBreakHyphen/>
      </w:r>
      <w:r w:rsidRPr="00ED2AE0">
        <w:t>22</w:t>
      </w:r>
      <w:r w:rsidRPr="00CA5A0A">
        <w:t xml:space="preserve"> </w:t>
      </w:r>
      <w:r w:rsidRPr="00ED2AE0">
        <w:t>Portfolio</w:t>
      </w:r>
      <w:r w:rsidRPr="00CA5A0A">
        <w:t xml:space="preserve"> Additional Estimates Statements to align with the 2021</w:t>
      </w:r>
      <w:r w:rsidR="00B33758">
        <w:noBreakHyphen/>
      </w:r>
      <w:r w:rsidRPr="00CA5A0A">
        <w:t>22 Corporate Plan.</w:t>
      </w:r>
    </w:p>
    <w:p w14:paraId="2C96FF46" w14:textId="77777777" w:rsidR="00CA5A0A" w:rsidRPr="00CA5A0A" w:rsidRDefault="00CA5A0A" w:rsidP="00395F3A">
      <w:pPr>
        <w:pStyle w:val="ChartandTableFootnote"/>
      </w:pPr>
      <w:r w:rsidRPr="00CA5A0A">
        <w:t>New or modified performance measures that reflect new or materially changed programs are shown in italics.</w:t>
      </w:r>
    </w:p>
    <w:p w14:paraId="2D41D4B3" w14:textId="7B08D37D" w:rsidR="001C7A6A" w:rsidRDefault="001C7A6A">
      <w:pPr>
        <w:spacing w:after="0" w:line="240" w:lineRule="auto"/>
        <w:jc w:val="left"/>
      </w:pPr>
      <w: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222BAC" w:rsidRPr="00C41058" w14:paraId="7A8252C6" w14:textId="77777777" w:rsidTr="005535FB">
        <w:trPr>
          <w:trHeight w:val="569"/>
        </w:trPr>
        <w:tc>
          <w:tcPr>
            <w:tcW w:w="7796" w:type="dxa"/>
            <w:gridSpan w:val="3"/>
            <w:shd w:val="clear" w:color="auto" w:fill="F2F2F2"/>
          </w:tcPr>
          <w:p w14:paraId="1D69AF99" w14:textId="23C56EA5" w:rsidR="00B0420F" w:rsidRPr="00C41058" w:rsidRDefault="00B0420F" w:rsidP="001C7A6A">
            <w:pPr>
              <w:pStyle w:val="BoxHeading"/>
            </w:pPr>
            <w:r w:rsidRPr="002503AC">
              <w:lastRenderedPageBreak/>
              <w:t>Outcome 1 – Supporting and implementing informed decisions on policies for the good of the Australian people, including for achieving strong, sustainable economic growth, through the provision of advice to Treasury Ministers and the efficient administration of Treasury</w:t>
            </w:r>
            <w:r w:rsidR="00B33758">
              <w:t>’</w:t>
            </w:r>
            <w:r w:rsidRPr="002503AC">
              <w:t>s functions.</w:t>
            </w:r>
          </w:p>
        </w:tc>
      </w:tr>
      <w:tr w:rsidR="00222BAC" w:rsidRPr="001B2F81" w14:paraId="5699E312" w14:textId="77777777" w:rsidTr="003910A4">
        <w:trPr>
          <w:trHeight w:val="929"/>
        </w:trPr>
        <w:tc>
          <w:tcPr>
            <w:tcW w:w="7796" w:type="dxa"/>
            <w:gridSpan w:val="3"/>
            <w:shd w:val="clear" w:color="auto" w:fill="F2F2F2"/>
          </w:tcPr>
          <w:p w14:paraId="2F8E5D70" w14:textId="77777777" w:rsidR="009E7E31" w:rsidRPr="009E7E31" w:rsidRDefault="009E7E31" w:rsidP="001C7A6A">
            <w:pPr>
              <w:pStyle w:val="BoxHeadinglevel2"/>
            </w:pPr>
            <w:r w:rsidRPr="009E7E31">
              <w:t>Program 1.3 – Support for Markets and Business</w:t>
            </w:r>
          </w:p>
          <w:p w14:paraId="0D3F75E1" w14:textId="03A34CCF" w:rsidR="009E7E31" w:rsidRPr="001B2F81" w:rsidRDefault="009E7E31" w:rsidP="001C7A6A">
            <w:pPr>
              <w:pStyle w:val="TableTextBase"/>
            </w:pPr>
            <w:r w:rsidRPr="009E7E31">
              <w:t>The objective of this program is to make payments on behalf of the Australian Government to support markets and business.</w:t>
            </w:r>
          </w:p>
        </w:tc>
      </w:tr>
      <w:tr w:rsidR="009E7E31" w:rsidRPr="00CA5A0A" w14:paraId="63C1A595" w14:textId="77777777" w:rsidTr="005535FB">
        <w:trPr>
          <w:trHeight w:val="694"/>
        </w:trPr>
        <w:tc>
          <w:tcPr>
            <w:tcW w:w="1560" w:type="dxa"/>
            <w:tcBorders>
              <w:bottom w:val="double" w:sz="4" w:space="0" w:color="auto"/>
            </w:tcBorders>
          </w:tcPr>
          <w:p w14:paraId="68A91B6E" w14:textId="44C135AB" w:rsidR="009E7E31" w:rsidRPr="009E7E31" w:rsidRDefault="009E7E31" w:rsidP="001C7A6A">
            <w:pPr>
              <w:pStyle w:val="TableColumnHeadingLeft"/>
              <w:rPr>
                <w:rFonts w:eastAsiaTheme="minorHAnsi"/>
                <w:i/>
                <w:iCs/>
                <w:color w:val="000000" w:themeColor="text1"/>
                <w:lang w:eastAsia="en-US"/>
              </w:rPr>
            </w:pPr>
            <w:r w:rsidRPr="00160C23">
              <w:t>Key Activities (a)</w:t>
            </w:r>
          </w:p>
        </w:tc>
        <w:tc>
          <w:tcPr>
            <w:tcW w:w="6236" w:type="dxa"/>
            <w:gridSpan w:val="2"/>
            <w:tcBorders>
              <w:bottom w:val="double" w:sz="4" w:space="0" w:color="auto"/>
            </w:tcBorders>
          </w:tcPr>
          <w:p w14:paraId="680A3F6A" w14:textId="77777777" w:rsidR="009E7E31" w:rsidRPr="009E7E31" w:rsidRDefault="009E7E31" w:rsidP="001C7A6A">
            <w:pPr>
              <w:pStyle w:val="TableTextBase"/>
              <w:rPr>
                <w:rFonts w:eastAsiaTheme="minorHAnsi"/>
                <w:lang w:eastAsia="en-US"/>
              </w:rPr>
            </w:pPr>
            <w:r w:rsidRPr="009E7E31">
              <w:rPr>
                <w:rFonts w:eastAsiaTheme="minorHAnsi"/>
                <w:lang w:eastAsia="en-US"/>
              </w:rPr>
              <w:t>A strong and sustainable economic and fiscal environment</w:t>
            </w:r>
          </w:p>
          <w:p w14:paraId="6C2FA590" w14:textId="77777777" w:rsidR="009E7E31" w:rsidRPr="009E7E31" w:rsidRDefault="009E7E31" w:rsidP="00EB54DC">
            <w:pPr>
              <w:pStyle w:val="TableTextBullet"/>
              <w:rPr>
                <w:rFonts w:eastAsiaTheme="minorHAnsi"/>
                <w:lang w:eastAsia="en-US"/>
              </w:rPr>
            </w:pPr>
            <w:r w:rsidRPr="009E7E31">
              <w:rPr>
                <w:rFonts w:eastAsiaTheme="minorHAnsi"/>
                <w:lang w:eastAsia="en-US"/>
              </w:rPr>
              <w:t>Activity 2 Ensure effective Government spending arrangements.</w:t>
            </w:r>
          </w:p>
          <w:p w14:paraId="7AEF8044" w14:textId="77777777" w:rsidR="009E7E31" w:rsidRPr="009E7E31" w:rsidRDefault="009E7E31" w:rsidP="001C7A6A">
            <w:pPr>
              <w:pStyle w:val="TableTextBase"/>
              <w:rPr>
                <w:rFonts w:eastAsiaTheme="minorHAnsi"/>
                <w:lang w:eastAsia="en-US"/>
              </w:rPr>
            </w:pPr>
            <w:r w:rsidRPr="009E7E31">
              <w:rPr>
                <w:rFonts w:eastAsiaTheme="minorHAnsi"/>
                <w:lang w:eastAsia="en-US"/>
              </w:rPr>
              <w:t>Effective Government policies, programs and regulation</w:t>
            </w:r>
          </w:p>
          <w:p w14:paraId="7AB097EF" w14:textId="5118B3C1" w:rsidR="009E7E31" w:rsidRPr="009E7E31" w:rsidRDefault="009E7E31" w:rsidP="001C7A6A">
            <w:pPr>
              <w:pStyle w:val="TableTextBullet"/>
              <w:rPr>
                <w:rFonts w:eastAsiaTheme="minorHAnsi"/>
                <w:lang w:eastAsia="en-US"/>
              </w:rPr>
            </w:pPr>
            <w:r w:rsidRPr="009E7E31">
              <w:rPr>
                <w:rFonts w:eastAsiaTheme="minorHAnsi"/>
                <w:lang w:eastAsia="en-US"/>
              </w:rPr>
              <w:t>Activity 6 Deliver measures focused on small businesses and reduce the regulatory burden on business.</w:t>
            </w:r>
          </w:p>
        </w:tc>
      </w:tr>
      <w:tr w:rsidR="0096775E" w:rsidRPr="00160C23" w14:paraId="5A05B8E6" w14:textId="77777777" w:rsidTr="005535FB">
        <w:trPr>
          <w:trHeight w:val="258"/>
        </w:trPr>
        <w:tc>
          <w:tcPr>
            <w:tcW w:w="1560" w:type="dxa"/>
            <w:tcBorders>
              <w:top w:val="double" w:sz="4" w:space="0" w:color="auto"/>
              <w:bottom w:val="single" w:sz="4" w:space="0" w:color="auto"/>
              <w:right w:val="single" w:sz="4" w:space="0" w:color="auto"/>
            </w:tcBorders>
          </w:tcPr>
          <w:p w14:paraId="157A16A6" w14:textId="03164ACD" w:rsidR="00D11CD9" w:rsidRPr="00316FBD" w:rsidRDefault="00D11CD9" w:rsidP="00864554">
            <w:pPr>
              <w:pStyle w:val="BoxHeadinglevel2"/>
              <w:rPr>
                <w:color w:val="000000" w:themeColor="text1"/>
                <w:sz w:val="16"/>
                <w:szCs w:val="16"/>
              </w:rPr>
            </w:pPr>
            <w:r w:rsidRPr="00316FBD">
              <w:rPr>
                <w:sz w:val="16"/>
                <w:szCs w:val="16"/>
              </w:rPr>
              <w:t>Year</w:t>
            </w:r>
          </w:p>
        </w:tc>
        <w:tc>
          <w:tcPr>
            <w:tcW w:w="3118" w:type="dxa"/>
            <w:tcBorders>
              <w:top w:val="double" w:sz="4" w:space="0" w:color="auto"/>
              <w:left w:val="single" w:sz="4" w:space="0" w:color="auto"/>
              <w:bottom w:val="single" w:sz="4" w:space="0" w:color="auto"/>
              <w:right w:val="single" w:sz="4" w:space="0" w:color="auto"/>
            </w:tcBorders>
          </w:tcPr>
          <w:p w14:paraId="07C38832" w14:textId="35FD7981" w:rsidR="00D11CD9" w:rsidRPr="00316FBD" w:rsidRDefault="00D11CD9" w:rsidP="00864554">
            <w:pPr>
              <w:pStyle w:val="BoxHeadinglevel2"/>
              <w:rPr>
                <w:sz w:val="16"/>
                <w:szCs w:val="16"/>
              </w:rPr>
            </w:pPr>
            <w:r w:rsidRPr="00316FBD">
              <w:rPr>
                <w:color w:val="000000" w:themeColor="text1"/>
                <w:sz w:val="16"/>
                <w:szCs w:val="16"/>
              </w:rPr>
              <w:t>Performance measures (b)</w:t>
            </w:r>
          </w:p>
        </w:tc>
        <w:tc>
          <w:tcPr>
            <w:tcW w:w="3118" w:type="dxa"/>
            <w:tcBorders>
              <w:top w:val="double" w:sz="4" w:space="0" w:color="auto"/>
              <w:left w:val="single" w:sz="4" w:space="0" w:color="auto"/>
              <w:bottom w:val="single" w:sz="4" w:space="0" w:color="auto"/>
            </w:tcBorders>
          </w:tcPr>
          <w:p w14:paraId="734C87E1" w14:textId="09A0E698" w:rsidR="00D11CD9" w:rsidRPr="00316FBD" w:rsidRDefault="00D11CD9" w:rsidP="00864554">
            <w:pPr>
              <w:pStyle w:val="BoxHeadinglevel2"/>
              <w:rPr>
                <w:sz w:val="16"/>
                <w:szCs w:val="16"/>
              </w:rPr>
            </w:pPr>
            <w:r w:rsidRPr="00316FBD">
              <w:rPr>
                <w:color w:val="000000" w:themeColor="text1"/>
                <w:sz w:val="16"/>
                <w:szCs w:val="16"/>
              </w:rPr>
              <w:t>Expected Performance Results (c)</w:t>
            </w:r>
          </w:p>
        </w:tc>
      </w:tr>
      <w:tr w:rsidR="0096775E" w:rsidRPr="00160C23" w14:paraId="53858FFD" w14:textId="77777777" w:rsidTr="005535FB">
        <w:trPr>
          <w:trHeight w:val="642"/>
        </w:trPr>
        <w:tc>
          <w:tcPr>
            <w:tcW w:w="1560" w:type="dxa"/>
            <w:vMerge w:val="restart"/>
            <w:tcBorders>
              <w:top w:val="single" w:sz="4" w:space="0" w:color="auto"/>
              <w:right w:val="single" w:sz="4" w:space="0" w:color="auto"/>
            </w:tcBorders>
          </w:tcPr>
          <w:p w14:paraId="28933AA1" w14:textId="77777777" w:rsidR="009E7E31" w:rsidRPr="00316FBD" w:rsidRDefault="009E7E31" w:rsidP="00864554">
            <w:pPr>
              <w:pStyle w:val="TableTextBase"/>
              <w:rPr>
                <w:sz w:val="16"/>
                <w:szCs w:val="16"/>
              </w:rPr>
            </w:pPr>
            <w:r w:rsidRPr="00316FBD">
              <w:rPr>
                <w:sz w:val="16"/>
                <w:szCs w:val="16"/>
              </w:rPr>
              <w:t xml:space="preserve">Current year </w:t>
            </w:r>
          </w:p>
          <w:p w14:paraId="333CFB9F" w14:textId="671E13C6" w:rsidR="009E7E31" w:rsidRPr="00316FBD" w:rsidRDefault="009E7E31" w:rsidP="00864554">
            <w:pPr>
              <w:pStyle w:val="TableTextBase"/>
              <w:rPr>
                <w:sz w:val="16"/>
                <w:szCs w:val="16"/>
              </w:rPr>
            </w:pPr>
            <w:r w:rsidRPr="00316FBD">
              <w:rPr>
                <w:sz w:val="16"/>
                <w:szCs w:val="16"/>
              </w:rPr>
              <w:t>2021</w:t>
            </w:r>
            <w:r w:rsidR="00B33758">
              <w:rPr>
                <w:sz w:val="16"/>
                <w:szCs w:val="16"/>
              </w:rPr>
              <w:noBreakHyphen/>
            </w:r>
            <w:r w:rsidRPr="00316FBD">
              <w:rPr>
                <w:sz w:val="16"/>
                <w:szCs w:val="16"/>
              </w:rPr>
              <w:t>22</w:t>
            </w:r>
          </w:p>
        </w:tc>
        <w:tc>
          <w:tcPr>
            <w:tcW w:w="3118" w:type="dxa"/>
            <w:tcBorders>
              <w:top w:val="single" w:sz="4" w:space="0" w:color="auto"/>
              <w:left w:val="single" w:sz="4" w:space="0" w:color="auto"/>
              <w:bottom w:val="single" w:sz="4" w:space="0" w:color="auto"/>
              <w:right w:val="single" w:sz="4" w:space="0" w:color="auto"/>
            </w:tcBorders>
          </w:tcPr>
          <w:p w14:paraId="458DC107" w14:textId="5D067E73" w:rsidR="009E7E31" w:rsidRPr="00316FBD" w:rsidRDefault="009E7E31" w:rsidP="00864554">
            <w:pPr>
              <w:pStyle w:val="TableTextBase"/>
              <w:rPr>
                <w:iCs/>
                <w:color w:val="0070C0"/>
                <w:sz w:val="16"/>
                <w:szCs w:val="16"/>
              </w:rPr>
            </w:pPr>
            <w:r w:rsidRPr="00316FBD">
              <w:rPr>
                <w:iCs/>
                <w:sz w:val="16"/>
                <w:szCs w:val="16"/>
              </w:rPr>
              <w:t>Percentage of payments administered within agreed requirements and timeframes.</w:t>
            </w:r>
          </w:p>
        </w:tc>
        <w:tc>
          <w:tcPr>
            <w:tcW w:w="3118" w:type="dxa"/>
            <w:tcBorders>
              <w:top w:val="single" w:sz="4" w:space="0" w:color="auto"/>
              <w:left w:val="single" w:sz="4" w:space="0" w:color="auto"/>
              <w:bottom w:val="single" w:sz="4" w:space="0" w:color="auto"/>
            </w:tcBorders>
          </w:tcPr>
          <w:p w14:paraId="47821DB4" w14:textId="77777777" w:rsidR="009E7E31" w:rsidRPr="00316FBD" w:rsidRDefault="009E7E31" w:rsidP="00864554">
            <w:pPr>
              <w:pStyle w:val="TableTextBase"/>
              <w:rPr>
                <w:iCs/>
                <w:sz w:val="16"/>
                <w:szCs w:val="16"/>
              </w:rPr>
            </w:pPr>
            <w:r w:rsidRPr="00316FBD">
              <w:rPr>
                <w:iCs/>
                <w:sz w:val="16"/>
                <w:szCs w:val="16"/>
              </w:rPr>
              <w:t>Target: 100%</w:t>
            </w:r>
          </w:p>
          <w:p w14:paraId="41C23C06" w14:textId="385D2186" w:rsidR="009E7E31" w:rsidRPr="00316FBD" w:rsidRDefault="009E7E31" w:rsidP="00864554">
            <w:pPr>
              <w:pStyle w:val="TableTextBase"/>
              <w:rPr>
                <w:iCs/>
                <w:color w:val="0070C0"/>
                <w:sz w:val="16"/>
                <w:szCs w:val="16"/>
              </w:rPr>
            </w:pPr>
            <w:r w:rsidRPr="00316FBD">
              <w:rPr>
                <w:iCs/>
                <w:sz w:val="16"/>
                <w:szCs w:val="16"/>
              </w:rPr>
              <w:t>Expected to be partially achieved</w:t>
            </w:r>
          </w:p>
        </w:tc>
      </w:tr>
      <w:tr w:rsidR="0096775E" w:rsidRPr="00160C23" w14:paraId="60735DEC" w14:textId="77777777" w:rsidTr="005535FB">
        <w:trPr>
          <w:trHeight w:val="642"/>
        </w:trPr>
        <w:tc>
          <w:tcPr>
            <w:tcW w:w="1560" w:type="dxa"/>
            <w:vMerge/>
            <w:tcBorders>
              <w:bottom w:val="single" w:sz="4" w:space="0" w:color="auto"/>
              <w:right w:val="single" w:sz="4" w:space="0" w:color="auto"/>
            </w:tcBorders>
          </w:tcPr>
          <w:p w14:paraId="614DDC6D" w14:textId="77777777" w:rsidR="009E7E31" w:rsidRPr="00316FBD" w:rsidRDefault="009E7E31" w:rsidP="00864554">
            <w:pPr>
              <w:pStyle w:val="TableTextBase"/>
              <w:rPr>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30E1B5E" w14:textId="67DBD0B1" w:rsidR="009E7E31" w:rsidRPr="00316FBD" w:rsidRDefault="009E7E31" w:rsidP="00864554">
            <w:pPr>
              <w:pStyle w:val="TableTextBase"/>
              <w:rPr>
                <w:iCs/>
                <w:sz w:val="16"/>
                <w:szCs w:val="16"/>
              </w:rPr>
            </w:pPr>
            <w:r w:rsidRPr="00316FBD">
              <w:rPr>
                <w:iCs/>
                <w:sz w:val="16"/>
                <w:szCs w:val="16"/>
              </w:rPr>
              <w:t>Number of small businesses assisted.</w:t>
            </w:r>
          </w:p>
        </w:tc>
        <w:tc>
          <w:tcPr>
            <w:tcW w:w="3118" w:type="dxa"/>
            <w:tcBorders>
              <w:top w:val="single" w:sz="4" w:space="0" w:color="auto"/>
              <w:left w:val="single" w:sz="4" w:space="0" w:color="auto"/>
              <w:bottom w:val="single" w:sz="4" w:space="0" w:color="auto"/>
            </w:tcBorders>
          </w:tcPr>
          <w:p w14:paraId="76E20D49" w14:textId="77777777" w:rsidR="009E7E31" w:rsidRPr="00316FBD" w:rsidRDefault="009E7E31" w:rsidP="00864554">
            <w:pPr>
              <w:pStyle w:val="TableTextBase"/>
              <w:rPr>
                <w:iCs/>
                <w:sz w:val="16"/>
                <w:szCs w:val="16"/>
              </w:rPr>
            </w:pPr>
            <w:r w:rsidRPr="00316FBD">
              <w:rPr>
                <w:iCs/>
                <w:sz w:val="16"/>
                <w:szCs w:val="16"/>
              </w:rPr>
              <w:t>17,000</w:t>
            </w:r>
          </w:p>
          <w:p w14:paraId="4F3C897D" w14:textId="6B5F94AE" w:rsidR="009E7E31" w:rsidRPr="00316FBD" w:rsidRDefault="009E7E31" w:rsidP="00864554">
            <w:pPr>
              <w:pStyle w:val="TableTextBase"/>
              <w:rPr>
                <w:iCs/>
                <w:sz w:val="16"/>
                <w:szCs w:val="16"/>
              </w:rPr>
            </w:pPr>
            <w:r w:rsidRPr="00316FBD">
              <w:rPr>
                <w:iCs/>
                <w:sz w:val="16"/>
                <w:szCs w:val="16"/>
              </w:rPr>
              <w:t>Expected to be achieved</w:t>
            </w:r>
          </w:p>
        </w:tc>
      </w:tr>
      <w:tr w:rsidR="0096775E" w:rsidRPr="00072DE3" w14:paraId="661E3856" w14:textId="77777777" w:rsidTr="005535FB">
        <w:trPr>
          <w:trHeight w:val="642"/>
        </w:trPr>
        <w:tc>
          <w:tcPr>
            <w:tcW w:w="1560" w:type="dxa"/>
            <w:vMerge w:val="restart"/>
            <w:tcBorders>
              <w:top w:val="single" w:sz="4" w:space="0" w:color="auto"/>
              <w:right w:val="single" w:sz="4" w:space="0" w:color="auto"/>
            </w:tcBorders>
          </w:tcPr>
          <w:p w14:paraId="45F1C6A2" w14:textId="219F8C00" w:rsidR="009E7E31" w:rsidRPr="00316FBD" w:rsidRDefault="009E7E31" w:rsidP="00864554">
            <w:pPr>
              <w:pStyle w:val="TableTextBase"/>
              <w:rPr>
                <w:sz w:val="16"/>
                <w:szCs w:val="16"/>
              </w:rPr>
            </w:pPr>
            <w:r w:rsidRPr="00316FBD">
              <w:rPr>
                <w:sz w:val="16"/>
                <w:szCs w:val="16"/>
              </w:rPr>
              <w:t>Budget Year     2022</w:t>
            </w:r>
            <w:r w:rsidR="00B33758">
              <w:rPr>
                <w:sz w:val="16"/>
                <w:szCs w:val="16"/>
              </w:rPr>
              <w:noBreakHyphen/>
            </w:r>
            <w:r w:rsidRPr="00316FBD">
              <w:rPr>
                <w:sz w:val="16"/>
                <w:szCs w:val="16"/>
              </w:rPr>
              <w:t>23</w:t>
            </w:r>
          </w:p>
        </w:tc>
        <w:tc>
          <w:tcPr>
            <w:tcW w:w="3118" w:type="dxa"/>
            <w:tcBorders>
              <w:top w:val="single" w:sz="4" w:space="0" w:color="auto"/>
              <w:left w:val="single" w:sz="4" w:space="0" w:color="auto"/>
              <w:bottom w:val="single" w:sz="4" w:space="0" w:color="auto"/>
              <w:right w:val="single" w:sz="4" w:space="0" w:color="auto"/>
            </w:tcBorders>
          </w:tcPr>
          <w:p w14:paraId="675E1A01" w14:textId="2EBD8F36" w:rsidR="009E7E31" w:rsidRPr="00316FBD" w:rsidRDefault="009E7E31" w:rsidP="00864554">
            <w:pPr>
              <w:pStyle w:val="TableTextBase"/>
              <w:rPr>
                <w:iCs/>
                <w:sz w:val="16"/>
                <w:szCs w:val="16"/>
              </w:rPr>
            </w:pPr>
            <w:r w:rsidRPr="00316FBD">
              <w:rPr>
                <w:iCs/>
                <w:sz w:val="16"/>
                <w:szCs w:val="16"/>
              </w:rPr>
              <w:t>Percentage of payments administered within agreed requirements and timeframes.</w:t>
            </w:r>
          </w:p>
        </w:tc>
        <w:tc>
          <w:tcPr>
            <w:tcW w:w="3118" w:type="dxa"/>
            <w:tcBorders>
              <w:top w:val="single" w:sz="4" w:space="0" w:color="auto"/>
              <w:left w:val="single" w:sz="4" w:space="0" w:color="auto"/>
              <w:bottom w:val="single" w:sz="4" w:space="0" w:color="auto"/>
            </w:tcBorders>
          </w:tcPr>
          <w:p w14:paraId="20187A72" w14:textId="2DB5306E" w:rsidR="009E7E31" w:rsidRPr="00316FBD" w:rsidRDefault="009E7E31" w:rsidP="00864554">
            <w:pPr>
              <w:pStyle w:val="TableTextBase"/>
              <w:rPr>
                <w:iCs/>
                <w:sz w:val="16"/>
                <w:szCs w:val="16"/>
              </w:rPr>
            </w:pPr>
            <w:r w:rsidRPr="00316FBD">
              <w:rPr>
                <w:iCs/>
                <w:sz w:val="16"/>
                <w:szCs w:val="16"/>
              </w:rPr>
              <w:t>100%</w:t>
            </w:r>
          </w:p>
        </w:tc>
      </w:tr>
      <w:tr w:rsidR="0096775E" w:rsidRPr="00072DE3" w14:paraId="72CEC6D7" w14:textId="77777777" w:rsidTr="00563E62">
        <w:trPr>
          <w:trHeight w:val="120"/>
        </w:trPr>
        <w:tc>
          <w:tcPr>
            <w:tcW w:w="1560" w:type="dxa"/>
            <w:vMerge/>
            <w:tcBorders>
              <w:bottom w:val="single" w:sz="4" w:space="0" w:color="auto"/>
              <w:right w:val="single" w:sz="4" w:space="0" w:color="auto"/>
            </w:tcBorders>
          </w:tcPr>
          <w:p w14:paraId="77467323" w14:textId="77777777" w:rsidR="009E7E31" w:rsidRPr="00316FBD" w:rsidRDefault="009E7E31" w:rsidP="00864554">
            <w:pPr>
              <w:pStyle w:val="TableTextBase"/>
              <w:rPr>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4BBF462" w14:textId="578BA18B" w:rsidR="009E7E31" w:rsidRPr="00316FBD" w:rsidRDefault="009E7E31" w:rsidP="00864554">
            <w:pPr>
              <w:pStyle w:val="TableTextBase"/>
              <w:rPr>
                <w:iCs/>
                <w:sz w:val="16"/>
                <w:szCs w:val="16"/>
              </w:rPr>
            </w:pPr>
            <w:r w:rsidRPr="00316FBD">
              <w:rPr>
                <w:iCs/>
                <w:sz w:val="16"/>
                <w:szCs w:val="16"/>
              </w:rPr>
              <w:t>Number of small businesses assisted.</w:t>
            </w:r>
          </w:p>
        </w:tc>
        <w:tc>
          <w:tcPr>
            <w:tcW w:w="3118" w:type="dxa"/>
            <w:tcBorders>
              <w:top w:val="single" w:sz="4" w:space="0" w:color="auto"/>
              <w:left w:val="single" w:sz="4" w:space="0" w:color="auto"/>
              <w:bottom w:val="single" w:sz="4" w:space="0" w:color="auto"/>
            </w:tcBorders>
          </w:tcPr>
          <w:p w14:paraId="199B3862" w14:textId="22C143FD" w:rsidR="009E7E31" w:rsidRPr="00316FBD" w:rsidRDefault="009E7E31" w:rsidP="00864554">
            <w:pPr>
              <w:pStyle w:val="TableTextBase"/>
              <w:rPr>
                <w:iCs/>
                <w:sz w:val="16"/>
                <w:szCs w:val="16"/>
              </w:rPr>
            </w:pPr>
            <w:r w:rsidRPr="00316FBD">
              <w:rPr>
                <w:iCs/>
                <w:sz w:val="16"/>
                <w:szCs w:val="16"/>
              </w:rPr>
              <w:t>7,000</w:t>
            </w:r>
          </w:p>
        </w:tc>
      </w:tr>
      <w:tr w:rsidR="0096775E" w:rsidRPr="00072DE3" w14:paraId="52EF0050" w14:textId="77777777" w:rsidTr="00563E62">
        <w:trPr>
          <w:trHeight w:val="312"/>
        </w:trPr>
        <w:tc>
          <w:tcPr>
            <w:tcW w:w="1560" w:type="dxa"/>
            <w:vMerge w:val="restart"/>
            <w:tcBorders>
              <w:top w:val="single" w:sz="4" w:space="0" w:color="auto"/>
              <w:right w:val="single" w:sz="4" w:space="0" w:color="auto"/>
            </w:tcBorders>
            <w:shd w:val="clear" w:color="auto" w:fill="auto"/>
          </w:tcPr>
          <w:p w14:paraId="30641BAD" w14:textId="77777777" w:rsidR="009E7E31" w:rsidRPr="00316FBD" w:rsidRDefault="009E7E31" w:rsidP="00864554">
            <w:pPr>
              <w:pStyle w:val="TableTextBase"/>
              <w:rPr>
                <w:sz w:val="16"/>
                <w:szCs w:val="16"/>
              </w:rPr>
            </w:pPr>
            <w:r w:rsidRPr="00316FBD">
              <w:rPr>
                <w:sz w:val="16"/>
                <w:szCs w:val="16"/>
              </w:rPr>
              <w:t>Forward Estimates</w:t>
            </w:r>
          </w:p>
          <w:p w14:paraId="0B868CEC" w14:textId="75C6CECD" w:rsidR="009E7E31" w:rsidRPr="00316FBD" w:rsidRDefault="009E7E31" w:rsidP="00864554">
            <w:pPr>
              <w:pStyle w:val="TableTextBase"/>
              <w:rPr>
                <w:sz w:val="16"/>
                <w:szCs w:val="16"/>
              </w:rPr>
            </w:pPr>
            <w:r w:rsidRPr="00316FBD">
              <w:rPr>
                <w:sz w:val="16"/>
                <w:szCs w:val="16"/>
              </w:rPr>
              <w:t>2023</w:t>
            </w:r>
            <w:r w:rsidR="00B33758">
              <w:rPr>
                <w:sz w:val="16"/>
                <w:szCs w:val="16"/>
              </w:rPr>
              <w:noBreakHyphen/>
            </w:r>
            <w:r w:rsidRPr="00316FBD">
              <w:rPr>
                <w:sz w:val="16"/>
                <w:szCs w:val="16"/>
              </w:rPr>
              <w:t>24</w:t>
            </w:r>
          </w:p>
        </w:tc>
        <w:tc>
          <w:tcPr>
            <w:tcW w:w="3118" w:type="dxa"/>
            <w:tcBorders>
              <w:top w:val="single" w:sz="4" w:space="0" w:color="auto"/>
              <w:left w:val="single" w:sz="4" w:space="0" w:color="auto"/>
              <w:bottom w:val="single" w:sz="4" w:space="0" w:color="auto"/>
              <w:right w:val="single" w:sz="4" w:space="0" w:color="auto"/>
            </w:tcBorders>
          </w:tcPr>
          <w:p w14:paraId="43D901BE" w14:textId="659B01C2" w:rsidR="009E7E31" w:rsidRPr="00316FBD" w:rsidRDefault="009E7E31" w:rsidP="00864554">
            <w:pPr>
              <w:pStyle w:val="TableTextBase"/>
              <w:rPr>
                <w:iCs/>
                <w:sz w:val="16"/>
                <w:szCs w:val="16"/>
              </w:rPr>
            </w:pPr>
            <w:r w:rsidRPr="00316FBD">
              <w:rPr>
                <w:iCs/>
                <w:sz w:val="16"/>
                <w:szCs w:val="16"/>
              </w:rPr>
              <w:t>As per 2022</w:t>
            </w:r>
            <w:r w:rsidR="00B33758">
              <w:rPr>
                <w:iCs/>
                <w:sz w:val="16"/>
                <w:szCs w:val="16"/>
              </w:rPr>
              <w:noBreakHyphen/>
            </w:r>
            <w:r w:rsidRPr="00316FBD">
              <w:rPr>
                <w:iCs/>
                <w:sz w:val="16"/>
                <w:szCs w:val="16"/>
              </w:rPr>
              <w:t>23</w:t>
            </w:r>
          </w:p>
        </w:tc>
        <w:tc>
          <w:tcPr>
            <w:tcW w:w="3118" w:type="dxa"/>
            <w:tcBorders>
              <w:top w:val="single" w:sz="4" w:space="0" w:color="auto"/>
              <w:left w:val="single" w:sz="4" w:space="0" w:color="auto"/>
              <w:bottom w:val="single" w:sz="4" w:space="0" w:color="auto"/>
            </w:tcBorders>
          </w:tcPr>
          <w:p w14:paraId="77249EDA" w14:textId="2836D550" w:rsidR="009E7E31" w:rsidRPr="00316FBD" w:rsidRDefault="009E7E31" w:rsidP="00864554">
            <w:pPr>
              <w:pStyle w:val="TableTextBase"/>
              <w:rPr>
                <w:iCs/>
                <w:sz w:val="16"/>
                <w:szCs w:val="16"/>
              </w:rPr>
            </w:pPr>
            <w:r w:rsidRPr="00316FBD">
              <w:rPr>
                <w:iCs/>
                <w:sz w:val="16"/>
                <w:szCs w:val="16"/>
              </w:rPr>
              <w:t>As per 2022</w:t>
            </w:r>
            <w:r w:rsidR="00B33758">
              <w:rPr>
                <w:iCs/>
                <w:sz w:val="16"/>
                <w:szCs w:val="16"/>
              </w:rPr>
              <w:noBreakHyphen/>
            </w:r>
            <w:r w:rsidRPr="00316FBD">
              <w:rPr>
                <w:iCs/>
                <w:sz w:val="16"/>
                <w:szCs w:val="16"/>
              </w:rPr>
              <w:t>23</w:t>
            </w:r>
          </w:p>
        </w:tc>
      </w:tr>
      <w:tr w:rsidR="0096775E" w:rsidRPr="00072DE3" w14:paraId="42BE3E30" w14:textId="77777777" w:rsidTr="00563E62">
        <w:trPr>
          <w:trHeight w:val="234"/>
        </w:trPr>
        <w:tc>
          <w:tcPr>
            <w:tcW w:w="1560" w:type="dxa"/>
            <w:vMerge/>
            <w:tcBorders>
              <w:bottom w:val="single" w:sz="4" w:space="0" w:color="auto"/>
              <w:right w:val="single" w:sz="4" w:space="0" w:color="auto"/>
            </w:tcBorders>
            <w:shd w:val="clear" w:color="auto" w:fill="auto"/>
          </w:tcPr>
          <w:p w14:paraId="06F1A490" w14:textId="77777777" w:rsidR="009E7E31" w:rsidRPr="00316FBD" w:rsidRDefault="009E7E31" w:rsidP="00864554">
            <w:pPr>
              <w:pStyle w:val="TableTextBase"/>
              <w:rPr>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F42CFA5" w14:textId="1C5B89B0" w:rsidR="009E7E31" w:rsidRPr="00316FBD" w:rsidRDefault="009E7E31" w:rsidP="00864554">
            <w:pPr>
              <w:pStyle w:val="TableTextBase"/>
              <w:rPr>
                <w:iCs/>
                <w:sz w:val="16"/>
                <w:szCs w:val="16"/>
              </w:rPr>
            </w:pPr>
            <w:r w:rsidRPr="00316FBD">
              <w:rPr>
                <w:iCs/>
                <w:sz w:val="16"/>
                <w:szCs w:val="16"/>
              </w:rPr>
              <w:t>As per 2022</w:t>
            </w:r>
            <w:r w:rsidR="00B33758">
              <w:rPr>
                <w:iCs/>
                <w:sz w:val="16"/>
                <w:szCs w:val="16"/>
              </w:rPr>
              <w:noBreakHyphen/>
            </w:r>
            <w:r w:rsidRPr="00316FBD">
              <w:rPr>
                <w:iCs/>
                <w:sz w:val="16"/>
                <w:szCs w:val="16"/>
              </w:rPr>
              <w:t>23</w:t>
            </w:r>
          </w:p>
        </w:tc>
        <w:tc>
          <w:tcPr>
            <w:tcW w:w="3118" w:type="dxa"/>
            <w:tcBorders>
              <w:top w:val="single" w:sz="4" w:space="0" w:color="auto"/>
              <w:left w:val="single" w:sz="4" w:space="0" w:color="auto"/>
              <w:bottom w:val="single" w:sz="4" w:space="0" w:color="auto"/>
            </w:tcBorders>
          </w:tcPr>
          <w:p w14:paraId="4124FB01" w14:textId="557FFC88" w:rsidR="009E7E31" w:rsidRPr="00316FBD" w:rsidRDefault="009E7E31" w:rsidP="00864554">
            <w:pPr>
              <w:pStyle w:val="TableTextBase"/>
              <w:rPr>
                <w:iCs/>
                <w:sz w:val="16"/>
                <w:szCs w:val="16"/>
              </w:rPr>
            </w:pPr>
            <w:r w:rsidRPr="00316FBD">
              <w:rPr>
                <w:iCs/>
                <w:sz w:val="16"/>
                <w:szCs w:val="16"/>
              </w:rPr>
              <w:t>As per 2022</w:t>
            </w:r>
            <w:r w:rsidR="00B33758">
              <w:rPr>
                <w:iCs/>
                <w:sz w:val="16"/>
                <w:szCs w:val="16"/>
              </w:rPr>
              <w:noBreakHyphen/>
            </w:r>
            <w:r w:rsidRPr="00316FBD">
              <w:rPr>
                <w:iCs/>
                <w:sz w:val="16"/>
                <w:szCs w:val="16"/>
              </w:rPr>
              <w:t>23</w:t>
            </w:r>
          </w:p>
        </w:tc>
      </w:tr>
      <w:tr w:rsidR="009E7E31" w:rsidRPr="00811655" w14:paraId="35C814C3" w14:textId="77777777" w:rsidTr="005535FB">
        <w:trPr>
          <w:trHeight w:val="382"/>
        </w:trPr>
        <w:tc>
          <w:tcPr>
            <w:tcW w:w="7796" w:type="dxa"/>
            <w:gridSpan w:val="3"/>
            <w:tcBorders>
              <w:top w:val="single" w:sz="4" w:space="0" w:color="auto"/>
              <w:bottom w:val="single" w:sz="4" w:space="0" w:color="auto"/>
            </w:tcBorders>
            <w:shd w:val="clear" w:color="auto" w:fill="auto"/>
          </w:tcPr>
          <w:p w14:paraId="35EBE54A" w14:textId="07680E14" w:rsidR="009E7E31" w:rsidRPr="00316FBD" w:rsidRDefault="009E7E31" w:rsidP="00864554">
            <w:pPr>
              <w:pStyle w:val="TableTextBullet"/>
              <w:rPr>
                <w:i/>
                <w:iCs/>
                <w:sz w:val="16"/>
                <w:szCs w:val="16"/>
              </w:rPr>
            </w:pPr>
            <w:r w:rsidRPr="00316FBD">
              <w:rPr>
                <w:sz w:val="16"/>
                <w:szCs w:val="16"/>
              </w:rPr>
              <w:t>There are no Material changes to Program 1.3 resulting from 2022</w:t>
            </w:r>
            <w:r w:rsidR="00B33758">
              <w:rPr>
                <w:sz w:val="16"/>
                <w:szCs w:val="16"/>
              </w:rPr>
              <w:noBreakHyphen/>
            </w:r>
            <w:r w:rsidRPr="00316FBD">
              <w:rPr>
                <w:sz w:val="16"/>
                <w:szCs w:val="16"/>
              </w:rPr>
              <w:t>23 Budget Measures.</w:t>
            </w:r>
          </w:p>
        </w:tc>
      </w:tr>
    </w:tbl>
    <w:p w14:paraId="1A1F4FE0" w14:textId="5BB91705" w:rsidR="009E7E31" w:rsidRPr="009E7E31" w:rsidRDefault="009E7E31" w:rsidP="00395F3A">
      <w:pPr>
        <w:pStyle w:val="ChartandTableFootnoteAlpha"/>
        <w:numPr>
          <w:ilvl w:val="0"/>
          <w:numId w:val="19"/>
        </w:numPr>
      </w:pPr>
      <w:r w:rsidRPr="009E7E31">
        <w:t>Refers to updated key activities that are reflected in the 2021</w:t>
      </w:r>
      <w:r w:rsidR="00B33758">
        <w:noBreakHyphen/>
      </w:r>
      <w:r w:rsidRPr="009E7E31">
        <w:t>22 Corporate Plan.</w:t>
      </w:r>
    </w:p>
    <w:p w14:paraId="3E47F740" w14:textId="71534393" w:rsidR="009E7E31" w:rsidRPr="009E7E31" w:rsidRDefault="009E7E31" w:rsidP="00C1778B">
      <w:pPr>
        <w:pStyle w:val="ChartandTableFootnoteAlpha"/>
      </w:pPr>
      <w:r w:rsidRPr="009E7E31">
        <w:t>The Treasury</w:t>
      </w:r>
      <w:r w:rsidR="00B33758">
        <w:t>’</w:t>
      </w:r>
      <w:r w:rsidRPr="009E7E31">
        <w:t>s performance measures are set out in full in the 2021</w:t>
      </w:r>
      <w:r w:rsidR="00B33758">
        <w:noBreakHyphen/>
      </w:r>
      <w:r w:rsidRPr="009E7E31">
        <w:t>22 Corporate Plan and will be reported in the 2021</w:t>
      </w:r>
      <w:r w:rsidR="00B33758">
        <w:noBreakHyphen/>
      </w:r>
      <w:r w:rsidRPr="009E7E31">
        <w:t>22 Annual Performance Statements. Treasury updated the performance measures through the 2021</w:t>
      </w:r>
      <w:r w:rsidR="00B33758">
        <w:noBreakHyphen/>
      </w:r>
      <w:r w:rsidRPr="00ED2AE0">
        <w:t>22</w:t>
      </w:r>
      <w:r w:rsidRPr="009E7E31">
        <w:t xml:space="preserve"> </w:t>
      </w:r>
      <w:r w:rsidRPr="00ED2AE0">
        <w:t>Portfolio</w:t>
      </w:r>
      <w:r w:rsidRPr="009E7E31">
        <w:t xml:space="preserve"> Additional Estimates Statements to align with the 2021</w:t>
      </w:r>
      <w:r w:rsidR="00B33758">
        <w:noBreakHyphen/>
      </w:r>
      <w:r w:rsidRPr="009E7E31">
        <w:t>22 Corporate Plan.</w:t>
      </w:r>
    </w:p>
    <w:p w14:paraId="69E538E6" w14:textId="141CAD73" w:rsidR="009E7E31" w:rsidRPr="009E7E31" w:rsidRDefault="009E7E31" w:rsidP="00C1778B">
      <w:pPr>
        <w:pStyle w:val="ChartandTableFootnoteAlpha"/>
      </w:pPr>
      <w:r w:rsidRPr="009E7E31">
        <w:t>The 2021</w:t>
      </w:r>
      <w:r w:rsidR="00B33758">
        <w:noBreakHyphen/>
      </w:r>
      <w:r w:rsidRPr="009E7E31">
        <w:t>22 target for the number of small businesses assisted involves additional funding allocated to support small businesses during the COVID</w:t>
      </w:r>
      <w:r w:rsidR="00B33758">
        <w:noBreakHyphen/>
      </w:r>
      <w:r w:rsidRPr="009E7E31">
        <w:t>19 pandemic. The targets for future years are based on the standard funding allocation.</w:t>
      </w:r>
    </w:p>
    <w:p w14:paraId="27731B1A" w14:textId="77777777" w:rsidR="00D11CD9" w:rsidRPr="00D11CD9" w:rsidRDefault="00D11CD9" w:rsidP="00395F3A">
      <w:pPr>
        <w:pStyle w:val="ChartandTableFootnote"/>
      </w:pPr>
      <w:r w:rsidRPr="00D11CD9">
        <w:t xml:space="preserve">New or modified performance measures that reflect new or materially changed programs are shown in </w:t>
      </w:r>
      <w:r w:rsidRPr="00D11CD9">
        <w:rPr>
          <w:i/>
          <w:iCs/>
        </w:rPr>
        <w:t>italics.</w:t>
      </w:r>
    </w:p>
    <w:p w14:paraId="5CD841BC" w14:textId="53E0EBC0" w:rsidR="00864554" w:rsidRDefault="00864554">
      <w:pPr>
        <w:spacing w:after="0" w:line="240" w:lineRule="auto"/>
        <w:jc w:val="left"/>
      </w:pPr>
      <w: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072"/>
        <w:gridCol w:w="3072"/>
      </w:tblGrid>
      <w:tr w:rsidR="00222BAC" w:rsidRPr="00C41058" w14:paraId="0D0ABB49" w14:textId="77777777" w:rsidTr="00864554">
        <w:trPr>
          <w:trHeight w:val="569"/>
        </w:trPr>
        <w:tc>
          <w:tcPr>
            <w:tcW w:w="7700" w:type="dxa"/>
            <w:gridSpan w:val="3"/>
            <w:shd w:val="clear" w:color="auto" w:fill="F2F2F2"/>
          </w:tcPr>
          <w:p w14:paraId="010DE4AF" w14:textId="16379AAB" w:rsidR="009E7E31" w:rsidRPr="00C41058" w:rsidRDefault="009E7E31" w:rsidP="00864554">
            <w:pPr>
              <w:pStyle w:val="BoxHeading"/>
            </w:pPr>
            <w:r w:rsidRPr="002503AC">
              <w:lastRenderedPageBreak/>
              <w:t>Outcome 1 – Supporting and implementing informed decisions on policies for the good of the Australian people, including for achieving strong, sustainable economic growth, through the provision of advice to Treasury Ministers and the efficient administration of Treasury</w:t>
            </w:r>
            <w:r w:rsidR="00B33758">
              <w:t>’</w:t>
            </w:r>
            <w:r w:rsidRPr="002503AC">
              <w:t>s functions.</w:t>
            </w:r>
          </w:p>
        </w:tc>
      </w:tr>
      <w:tr w:rsidR="00222BAC" w:rsidRPr="001B2F81" w14:paraId="3BB1456D" w14:textId="77777777" w:rsidTr="00864554">
        <w:trPr>
          <w:trHeight w:val="522"/>
        </w:trPr>
        <w:tc>
          <w:tcPr>
            <w:tcW w:w="7700" w:type="dxa"/>
            <w:gridSpan w:val="3"/>
            <w:shd w:val="clear" w:color="auto" w:fill="F2F2F2"/>
          </w:tcPr>
          <w:p w14:paraId="1D98B43E" w14:textId="77777777" w:rsidR="009E7E31" w:rsidRPr="009E7E31" w:rsidRDefault="009E7E31" w:rsidP="00864554">
            <w:pPr>
              <w:pStyle w:val="BoxHeadinglevel2"/>
              <w:rPr>
                <w:rFonts w:eastAsiaTheme="minorHAnsi"/>
                <w:lang w:eastAsia="en-US"/>
              </w:rPr>
            </w:pPr>
            <w:r w:rsidRPr="009E7E31">
              <w:rPr>
                <w:rFonts w:eastAsiaTheme="minorHAnsi"/>
                <w:lang w:eastAsia="en-US"/>
              </w:rPr>
              <w:t>Program 1.4 to 1.9 – Department of the Treasury</w:t>
            </w:r>
          </w:p>
          <w:p w14:paraId="064770C4" w14:textId="77777777" w:rsidR="009E7E31" w:rsidRPr="009E7E31" w:rsidRDefault="009E7E31" w:rsidP="00C1778B">
            <w:pPr>
              <w:numPr>
                <w:ilvl w:val="0"/>
                <w:numId w:val="16"/>
              </w:numPr>
              <w:autoSpaceDE w:val="0"/>
              <w:autoSpaceDN w:val="0"/>
              <w:adjustRightInd w:val="0"/>
              <w:spacing w:before="60" w:after="60" w:line="240" w:lineRule="auto"/>
              <w:ind w:left="0" w:firstLine="0"/>
              <w:jc w:val="left"/>
              <w:rPr>
                <w:rFonts w:ascii="Arial" w:hAnsi="Arial" w:cs="Arial"/>
                <w:sz w:val="16"/>
                <w:szCs w:val="16"/>
                <w:lang w:val="x-none" w:eastAsia="x-none"/>
              </w:rPr>
            </w:pPr>
            <w:r w:rsidRPr="009E7E31">
              <w:rPr>
                <w:rFonts w:ascii="Arial" w:hAnsi="Arial" w:cs="Arial"/>
                <w:sz w:val="16"/>
                <w:szCs w:val="16"/>
                <w:lang w:eastAsia="x-none"/>
              </w:rPr>
              <w:t xml:space="preserve">The objectives of </w:t>
            </w:r>
            <w:r w:rsidRPr="009E7E31">
              <w:rPr>
                <w:rFonts w:ascii="Arial" w:hAnsi="Arial" w:cs="Arial"/>
                <w:sz w:val="16"/>
                <w:szCs w:val="16"/>
                <w:lang w:val="x-none" w:eastAsia="x-none"/>
              </w:rPr>
              <w:t>programs 1.4 to 1.9</w:t>
            </w:r>
            <w:r w:rsidRPr="009E7E31">
              <w:rPr>
                <w:rFonts w:ascii="Arial" w:hAnsi="Arial" w:cs="Arial"/>
                <w:sz w:val="16"/>
                <w:szCs w:val="16"/>
                <w:lang w:eastAsia="x-none"/>
              </w:rPr>
              <w:t xml:space="preserve"> are to make payments which </w:t>
            </w:r>
            <w:r w:rsidRPr="009E7E31">
              <w:rPr>
                <w:rFonts w:ascii="Arial" w:hAnsi="Arial" w:cs="Arial"/>
                <w:sz w:val="16"/>
                <w:szCs w:val="16"/>
                <w:lang w:val="x-none" w:eastAsia="x-none"/>
              </w:rPr>
              <w:t xml:space="preserve">provide financial support to the States and Territories </w:t>
            </w:r>
            <w:r w:rsidRPr="009E7E31">
              <w:rPr>
                <w:rFonts w:ascii="Arial" w:hAnsi="Arial" w:cs="Arial"/>
                <w:sz w:val="16"/>
                <w:szCs w:val="16"/>
                <w:lang w:eastAsia="x-none"/>
              </w:rPr>
              <w:t>on</w:t>
            </w:r>
            <w:r w:rsidRPr="009E7E31">
              <w:rPr>
                <w:rFonts w:ascii="Arial" w:hAnsi="Arial" w:cs="Arial"/>
                <w:sz w:val="16"/>
                <w:szCs w:val="16"/>
                <w:lang w:val="x-none" w:eastAsia="x-none"/>
              </w:rPr>
              <w:t xml:space="preserve"> a wide range of activities under the </w:t>
            </w:r>
            <w:r w:rsidRPr="009E7E31">
              <w:rPr>
                <w:rFonts w:ascii="Arial" w:hAnsi="Arial" w:cs="Arial"/>
                <w:i/>
                <w:sz w:val="16"/>
                <w:szCs w:val="16"/>
                <w:lang w:val="x-none" w:eastAsia="x-none"/>
              </w:rPr>
              <w:t xml:space="preserve">Intergovernmental Agreement on Federal Financial Relations </w:t>
            </w:r>
            <w:r w:rsidRPr="009E7E31">
              <w:rPr>
                <w:rFonts w:ascii="Arial" w:hAnsi="Arial" w:cs="Arial"/>
                <w:sz w:val="16"/>
                <w:szCs w:val="16"/>
                <w:lang w:val="x-none" w:eastAsia="x-none"/>
              </w:rPr>
              <w:t xml:space="preserve">(IGAFFR) and other relevant agreements between the Commonwealth and the States and Territories. Since these programs have common performance criteria, they have been presented together below. </w:t>
            </w:r>
          </w:p>
          <w:p w14:paraId="7DBDB231" w14:textId="5EBCEEF8" w:rsidR="009E7E31" w:rsidRPr="009E7E31" w:rsidRDefault="009E7E31" w:rsidP="00C1778B">
            <w:pPr>
              <w:numPr>
                <w:ilvl w:val="0"/>
                <w:numId w:val="16"/>
              </w:numPr>
              <w:autoSpaceDE w:val="0"/>
              <w:autoSpaceDN w:val="0"/>
              <w:adjustRightInd w:val="0"/>
              <w:spacing w:before="60" w:after="60" w:line="240" w:lineRule="auto"/>
              <w:ind w:left="0" w:firstLine="0"/>
              <w:jc w:val="left"/>
              <w:rPr>
                <w:rFonts w:ascii="Arial" w:hAnsi="Arial" w:cs="Arial"/>
                <w:sz w:val="16"/>
                <w:szCs w:val="16"/>
                <w:lang w:val="x-none" w:eastAsia="x-none"/>
              </w:rPr>
            </w:pPr>
            <w:r w:rsidRPr="009E7E31">
              <w:rPr>
                <w:rFonts w:ascii="Arial" w:hAnsi="Arial" w:cs="Arial"/>
                <w:b/>
                <w:sz w:val="16"/>
                <w:szCs w:val="16"/>
                <w:lang w:val="x-none" w:eastAsia="x-none"/>
              </w:rPr>
              <w:t>Program 1.4</w:t>
            </w:r>
            <w:r w:rsidR="003532AB">
              <w:rPr>
                <w:rFonts w:ascii="Arial" w:hAnsi="Arial" w:cs="Arial"/>
                <w:b/>
                <w:sz w:val="16"/>
                <w:szCs w:val="16"/>
                <w:lang w:val="x-none" w:eastAsia="x-none"/>
              </w:rPr>
              <w:t xml:space="preserve"> – </w:t>
            </w:r>
            <w:r w:rsidRPr="009E7E31">
              <w:rPr>
                <w:rFonts w:ascii="Arial" w:hAnsi="Arial" w:cs="Arial"/>
                <w:b/>
                <w:sz w:val="16"/>
                <w:szCs w:val="16"/>
                <w:lang w:val="x-none" w:eastAsia="x-none"/>
              </w:rPr>
              <w:t>General Revenue Assistance.</w:t>
            </w:r>
            <w:r w:rsidRPr="009E7E31">
              <w:rPr>
                <w:rFonts w:ascii="Arial" w:hAnsi="Arial" w:cs="Arial"/>
                <w:sz w:val="16"/>
                <w:szCs w:val="16"/>
                <w:lang w:val="x-none" w:eastAsia="x-none"/>
              </w:rPr>
              <w:t xml:space="preserve"> The Treasury, on behalf of the Government, will make general revenue assistance payments to the States and Territories. </w:t>
            </w:r>
          </w:p>
          <w:p w14:paraId="7169FB55" w14:textId="5DC87EB8" w:rsidR="009E7E31" w:rsidRPr="009E7E31" w:rsidRDefault="009E7E31" w:rsidP="00C1778B">
            <w:pPr>
              <w:numPr>
                <w:ilvl w:val="0"/>
                <w:numId w:val="16"/>
              </w:numPr>
              <w:autoSpaceDE w:val="0"/>
              <w:autoSpaceDN w:val="0"/>
              <w:adjustRightInd w:val="0"/>
              <w:spacing w:before="60" w:after="60" w:line="240" w:lineRule="auto"/>
              <w:ind w:left="0" w:firstLine="0"/>
              <w:jc w:val="left"/>
              <w:rPr>
                <w:rFonts w:ascii="Arial" w:hAnsi="Arial" w:cs="Arial"/>
                <w:sz w:val="16"/>
                <w:szCs w:val="16"/>
                <w:lang w:val="x-none" w:eastAsia="x-none"/>
              </w:rPr>
            </w:pPr>
            <w:r w:rsidRPr="009E7E31">
              <w:rPr>
                <w:rFonts w:ascii="Arial" w:hAnsi="Arial" w:cs="Arial"/>
                <w:b/>
                <w:sz w:val="16"/>
                <w:szCs w:val="16"/>
                <w:lang w:val="x-none" w:eastAsia="x-none"/>
              </w:rPr>
              <w:t>Program 1.5</w:t>
            </w:r>
            <w:r w:rsidR="003532AB">
              <w:rPr>
                <w:rFonts w:ascii="Arial" w:hAnsi="Arial" w:cs="Arial"/>
                <w:b/>
                <w:sz w:val="16"/>
                <w:szCs w:val="16"/>
                <w:lang w:val="x-none" w:eastAsia="x-none"/>
              </w:rPr>
              <w:t xml:space="preserve"> – </w:t>
            </w:r>
            <w:r w:rsidRPr="009E7E31">
              <w:rPr>
                <w:rFonts w:ascii="Arial" w:hAnsi="Arial" w:cs="Arial"/>
                <w:b/>
                <w:sz w:val="16"/>
                <w:szCs w:val="16"/>
                <w:lang w:val="x-none" w:eastAsia="x-none"/>
              </w:rPr>
              <w:t>Assistance to the States for Healthcare Services.</w:t>
            </w:r>
            <w:r w:rsidRPr="009E7E31">
              <w:rPr>
                <w:rFonts w:ascii="Arial" w:hAnsi="Arial" w:cs="Arial"/>
                <w:sz w:val="16"/>
                <w:szCs w:val="16"/>
                <w:lang w:val="x-none" w:eastAsia="x-none"/>
              </w:rPr>
              <w:t xml:space="preserve"> The Treasury, on behalf of the Government, provides financial support to the States and Territories to be spent in the delivery of healthcare services. </w:t>
            </w:r>
          </w:p>
          <w:p w14:paraId="09DBDDB3" w14:textId="2714DE49" w:rsidR="009E7E31" w:rsidRPr="009E7E31" w:rsidRDefault="009E7E31" w:rsidP="00C1778B">
            <w:pPr>
              <w:numPr>
                <w:ilvl w:val="0"/>
                <w:numId w:val="16"/>
              </w:numPr>
              <w:autoSpaceDE w:val="0"/>
              <w:autoSpaceDN w:val="0"/>
              <w:adjustRightInd w:val="0"/>
              <w:spacing w:before="60" w:after="60" w:line="240" w:lineRule="auto"/>
              <w:ind w:left="0" w:firstLine="0"/>
              <w:jc w:val="left"/>
              <w:rPr>
                <w:rFonts w:ascii="Arial" w:hAnsi="Arial" w:cs="Arial"/>
                <w:sz w:val="16"/>
                <w:szCs w:val="16"/>
                <w:lang w:val="x-none" w:eastAsia="x-none"/>
              </w:rPr>
            </w:pPr>
            <w:r w:rsidRPr="009E7E31">
              <w:rPr>
                <w:rFonts w:ascii="Arial" w:hAnsi="Arial" w:cs="Arial"/>
                <w:b/>
                <w:sz w:val="16"/>
                <w:szCs w:val="16"/>
                <w:lang w:val="x-none" w:eastAsia="x-none"/>
              </w:rPr>
              <w:t>Program 1.6</w:t>
            </w:r>
            <w:r w:rsidR="003532AB">
              <w:rPr>
                <w:rFonts w:ascii="Arial" w:hAnsi="Arial" w:cs="Arial"/>
                <w:b/>
                <w:sz w:val="16"/>
                <w:szCs w:val="16"/>
                <w:lang w:val="x-none" w:eastAsia="x-none"/>
              </w:rPr>
              <w:t xml:space="preserve"> – </w:t>
            </w:r>
            <w:r w:rsidRPr="009E7E31">
              <w:rPr>
                <w:rFonts w:ascii="Arial" w:hAnsi="Arial" w:cs="Arial"/>
                <w:b/>
                <w:sz w:val="16"/>
                <w:szCs w:val="16"/>
                <w:lang w:val="x-none" w:eastAsia="x-none"/>
              </w:rPr>
              <w:t>Assistance to the States for Skills and Workforce Development.</w:t>
            </w:r>
            <w:r w:rsidRPr="009E7E31">
              <w:rPr>
                <w:rFonts w:ascii="Arial" w:hAnsi="Arial" w:cs="Arial"/>
                <w:sz w:val="16"/>
                <w:szCs w:val="16"/>
                <w:lang w:val="x-none" w:eastAsia="x-none"/>
              </w:rPr>
              <w:t xml:space="preserve"> The Treasury, on behalf of the Government, provides financial support to the States and Territories to be spent in the delivery of skills and workforce development services. </w:t>
            </w:r>
          </w:p>
          <w:p w14:paraId="52D4CC35" w14:textId="3031F711" w:rsidR="009E7E31" w:rsidRPr="009E7E31" w:rsidRDefault="009E7E31" w:rsidP="00C1778B">
            <w:pPr>
              <w:numPr>
                <w:ilvl w:val="0"/>
                <w:numId w:val="16"/>
              </w:numPr>
              <w:autoSpaceDE w:val="0"/>
              <w:autoSpaceDN w:val="0"/>
              <w:adjustRightInd w:val="0"/>
              <w:spacing w:before="60" w:after="60" w:line="240" w:lineRule="auto"/>
              <w:ind w:left="0" w:firstLine="0"/>
              <w:jc w:val="left"/>
              <w:rPr>
                <w:rFonts w:ascii="Arial" w:hAnsi="Arial" w:cs="Arial"/>
                <w:sz w:val="16"/>
                <w:szCs w:val="16"/>
                <w:lang w:val="x-none" w:eastAsia="x-none"/>
              </w:rPr>
            </w:pPr>
            <w:r w:rsidRPr="009E7E31">
              <w:rPr>
                <w:rFonts w:ascii="Arial" w:hAnsi="Arial" w:cs="Arial"/>
                <w:b/>
                <w:sz w:val="16"/>
                <w:szCs w:val="16"/>
                <w:lang w:val="x-none" w:eastAsia="x-none"/>
              </w:rPr>
              <w:t>Program 1.7</w:t>
            </w:r>
            <w:r w:rsidR="003532AB">
              <w:rPr>
                <w:rFonts w:ascii="Arial" w:hAnsi="Arial" w:cs="Arial"/>
                <w:b/>
                <w:sz w:val="16"/>
                <w:szCs w:val="16"/>
                <w:lang w:val="x-none" w:eastAsia="x-none"/>
              </w:rPr>
              <w:t xml:space="preserve"> – </w:t>
            </w:r>
            <w:r w:rsidRPr="009E7E31">
              <w:rPr>
                <w:rFonts w:ascii="Arial" w:hAnsi="Arial" w:cs="Arial"/>
                <w:b/>
                <w:sz w:val="16"/>
                <w:szCs w:val="16"/>
                <w:lang w:val="x-none" w:eastAsia="x-none"/>
              </w:rPr>
              <w:t>Assistance to the States for Disability Services.</w:t>
            </w:r>
            <w:r w:rsidRPr="009E7E31">
              <w:rPr>
                <w:rFonts w:ascii="Arial" w:hAnsi="Arial" w:cs="Arial"/>
                <w:sz w:val="16"/>
                <w:szCs w:val="16"/>
                <w:lang w:val="x-none" w:eastAsia="x-none"/>
              </w:rPr>
              <w:t xml:space="preserve"> The Treasury, on behalf of the Government, provides financial support to the States and Territories to be spent in the delivery of disability services. </w:t>
            </w:r>
          </w:p>
          <w:p w14:paraId="2AE43DF8" w14:textId="77777777" w:rsidR="009F0BC9" w:rsidRDefault="009E7E31" w:rsidP="009E7E31">
            <w:pPr>
              <w:numPr>
                <w:ilvl w:val="0"/>
                <w:numId w:val="16"/>
              </w:numPr>
              <w:autoSpaceDE w:val="0"/>
              <w:autoSpaceDN w:val="0"/>
              <w:adjustRightInd w:val="0"/>
              <w:spacing w:before="60" w:after="60" w:line="240" w:lineRule="auto"/>
              <w:ind w:left="0" w:firstLine="0"/>
              <w:jc w:val="left"/>
              <w:rPr>
                <w:rFonts w:ascii="Arial" w:hAnsi="Arial" w:cs="Arial"/>
                <w:sz w:val="16"/>
                <w:szCs w:val="16"/>
                <w:lang w:val="x-none" w:eastAsia="x-none"/>
              </w:rPr>
            </w:pPr>
            <w:r w:rsidRPr="009E7E31">
              <w:rPr>
                <w:rFonts w:ascii="Arial" w:hAnsi="Arial" w:cs="Arial"/>
                <w:b/>
                <w:sz w:val="16"/>
                <w:szCs w:val="16"/>
                <w:lang w:val="x-none" w:eastAsia="x-none"/>
              </w:rPr>
              <w:t>Program 1.8</w:t>
            </w:r>
            <w:r w:rsidR="003532AB">
              <w:rPr>
                <w:rFonts w:ascii="Arial" w:hAnsi="Arial" w:cs="Arial"/>
                <w:b/>
                <w:sz w:val="16"/>
                <w:szCs w:val="16"/>
                <w:lang w:val="x-none" w:eastAsia="x-none"/>
              </w:rPr>
              <w:t xml:space="preserve"> – </w:t>
            </w:r>
            <w:r w:rsidRPr="009E7E31">
              <w:rPr>
                <w:rFonts w:ascii="Arial" w:hAnsi="Arial" w:cs="Arial"/>
                <w:b/>
                <w:sz w:val="16"/>
                <w:szCs w:val="16"/>
                <w:lang w:val="x-none" w:eastAsia="x-none"/>
              </w:rPr>
              <w:t>Assistance to the States for Affordable Housing.</w:t>
            </w:r>
            <w:r w:rsidRPr="009E7E31">
              <w:rPr>
                <w:rFonts w:ascii="Arial" w:hAnsi="Arial" w:cs="Arial"/>
                <w:sz w:val="16"/>
                <w:szCs w:val="16"/>
                <w:lang w:val="x-none" w:eastAsia="x-none"/>
              </w:rPr>
              <w:t xml:space="preserve"> The Treasury, on behalf of the Government, provides financial support to the States and Territories to be spent in the delivery of affordable housing services. </w:t>
            </w:r>
          </w:p>
          <w:p w14:paraId="5E4282F8" w14:textId="19965AB1" w:rsidR="009E7E31" w:rsidRPr="009F0BC9" w:rsidRDefault="009E7E31" w:rsidP="009E7E31">
            <w:pPr>
              <w:numPr>
                <w:ilvl w:val="0"/>
                <w:numId w:val="16"/>
              </w:numPr>
              <w:autoSpaceDE w:val="0"/>
              <w:autoSpaceDN w:val="0"/>
              <w:adjustRightInd w:val="0"/>
              <w:spacing w:before="60" w:after="60" w:line="240" w:lineRule="auto"/>
              <w:ind w:left="0" w:firstLine="0"/>
              <w:jc w:val="left"/>
              <w:rPr>
                <w:rFonts w:ascii="Arial" w:hAnsi="Arial" w:cs="Arial"/>
                <w:sz w:val="16"/>
                <w:szCs w:val="16"/>
                <w:lang w:val="x-none" w:eastAsia="x-none"/>
              </w:rPr>
            </w:pPr>
            <w:r w:rsidRPr="009F0BC9">
              <w:rPr>
                <w:rFonts w:ascii="Arial" w:eastAsiaTheme="minorHAnsi" w:hAnsi="Arial" w:cs="Arial"/>
                <w:b/>
                <w:iCs/>
                <w:color w:val="000000" w:themeColor="text1"/>
                <w:sz w:val="16"/>
                <w:szCs w:val="16"/>
                <w:lang w:eastAsia="en-US"/>
              </w:rPr>
              <w:t>Program 1.9</w:t>
            </w:r>
            <w:r w:rsidR="003532AB" w:rsidRPr="009F0BC9">
              <w:rPr>
                <w:rFonts w:ascii="Arial" w:eastAsiaTheme="minorHAnsi" w:hAnsi="Arial" w:cs="Arial"/>
                <w:b/>
                <w:iCs/>
                <w:color w:val="000000" w:themeColor="text1"/>
                <w:sz w:val="16"/>
                <w:szCs w:val="16"/>
                <w:lang w:eastAsia="en-US"/>
              </w:rPr>
              <w:t xml:space="preserve"> – </w:t>
            </w:r>
            <w:r w:rsidRPr="009F0BC9">
              <w:rPr>
                <w:rFonts w:ascii="Arial" w:eastAsiaTheme="minorHAnsi" w:hAnsi="Arial" w:cs="Arial"/>
                <w:b/>
                <w:iCs/>
                <w:color w:val="000000" w:themeColor="text1"/>
                <w:sz w:val="16"/>
                <w:szCs w:val="16"/>
                <w:lang w:eastAsia="en-US"/>
              </w:rPr>
              <w:t>National Partnership Payments to the States.</w:t>
            </w:r>
            <w:r w:rsidRPr="009F0BC9">
              <w:rPr>
                <w:rFonts w:ascii="Arial" w:eastAsiaTheme="minorHAnsi" w:hAnsi="Arial" w:cs="Arial"/>
                <w:iCs/>
                <w:color w:val="000000" w:themeColor="text1"/>
                <w:sz w:val="16"/>
                <w:szCs w:val="16"/>
                <w:lang w:eastAsia="en-US"/>
              </w:rPr>
              <w:t xml:space="preserve"> The Treasury, on behalf of the Government, provides financial support to the States and Territories to be spent on improving outcomes in the areas specified in each of the National Partnership agreements. These payments support the delivery of specified outputs or projects, facilitate reforms or reward jurisdictions that deliver on nationally significant reforms. This program is linked to programs administered by </w:t>
            </w:r>
            <w:proofErr w:type="gramStart"/>
            <w:r w:rsidRPr="009F0BC9">
              <w:rPr>
                <w:rFonts w:ascii="Arial" w:eastAsiaTheme="minorHAnsi" w:hAnsi="Arial" w:cs="Arial"/>
                <w:iCs/>
                <w:color w:val="000000" w:themeColor="text1"/>
                <w:sz w:val="16"/>
                <w:szCs w:val="16"/>
                <w:lang w:eastAsia="en-US"/>
              </w:rPr>
              <w:t>a number of</w:t>
            </w:r>
            <w:proofErr w:type="gramEnd"/>
            <w:r w:rsidRPr="009F0BC9">
              <w:rPr>
                <w:rFonts w:ascii="Arial" w:eastAsiaTheme="minorHAnsi" w:hAnsi="Arial" w:cs="Arial"/>
                <w:iCs/>
                <w:color w:val="000000" w:themeColor="text1"/>
                <w:sz w:val="16"/>
                <w:szCs w:val="16"/>
                <w:lang w:eastAsia="en-US"/>
              </w:rPr>
              <w:t xml:space="preserve"> other portfolios. This</w:t>
            </w:r>
            <w:r w:rsidR="00CA056E">
              <w:rPr>
                <w:rFonts w:ascii="Arial" w:eastAsiaTheme="minorHAnsi" w:hAnsi="Arial" w:cs="Arial"/>
                <w:iCs/>
                <w:color w:val="000000" w:themeColor="text1"/>
                <w:sz w:val="16"/>
                <w:szCs w:val="16"/>
                <w:lang w:eastAsia="en-US"/>
              </w:rPr>
              <w:t> </w:t>
            </w:r>
            <w:r w:rsidRPr="009F0BC9">
              <w:rPr>
                <w:rFonts w:ascii="Arial" w:eastAsiaTheme="minorHAnsi" w:hAnsi="Arial" w:cs="Arial"/>
                <w:iCs/>
                <w:color w:val="000000" w:themeColor="text1"/>
                <w:sz w:val="16"/>
                <w:szCs w:val="16"/>
                <w:lang w:eastAsia="en-US"/>
              </w:rPr>
              <w:t>contributes to the linked programs by making payment on behalf of the following:</w:t>
            </w:r>
          </w:p>
          <w:p w14:paraId="38A74833" w14:textId="0C2936DA"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Attorney</w:t>
            </w:r>
            <w:r w:rsidR="00B33758">
              <w:rPr>
                <w:rFonts w:ascii="Arial" w:eastAsiaTheme="minorHAnsi" w:hAnsi="Arial" w:cs="Arial"/>
                <w:iCs/>
                <w:color w:val="000000" w:themeColor="text1"/>
                <w:sz w:val="16"/>
                <w:szCs w:val="16"/>
                <w:lang w:eastAsia="en-US"/>
              </w:rPr>
              <w:noBreakHyphen/>
            </w:r>
            <w:r w:rsidRPr="009E7E31">
              <w:rPr>
                <w:rFonts w:ascii="Arial" w:eastAsiaTheme="minorHAnsi" w:hAnsi="Arial" w:cs="Arial"/>
                <w:iCs/>
                <w:color w:val="000000" w:themeColor="text1"/>
                <w:sz w:val="16"/>
                <w:szCs w:val="16"/>
                <w:lang w:eastAsia="en-US"/>
              </w:rPr>
              <w:t>General</w:t>
            </w:r>
            <w:r w:rsidR="00B33758">
              <w:rPr>
                <w:rFonts w:ascii="Arial" w:eastAsiaTheme="minorHAnsi" w:hAnsi="Arial" w:cs="Arial"/>
                <w:iCs/>
                <w:color w:val="000000" w:themeColor="text1"/>
                <w:sz w:val="16"/>
                <w:szCs w:val="16"/>
                <w:lang w:eastAsia="en-US"/>
              </w:rPr>
              <w:t>’</w:t>
            </w:r>
            <w:r w:rsidRPr="009E7E31">
              <w:rPr>
                <w:rFonts w:ascii="Arial" w:eastAsiaTheme="minorHAnsi" w:hAnsi="Arial" w:cs="Arial"/>
                <w:iCs/>
                <w:color w:val="000000" w:themeColor="text1"/>
                <w:sz w:val="16"/>
                <w:szCs w:val="16"/>
                <w:lang w:eastAsia="en-US"/>
              </w:rPr>
              <w:t>s Department</w:t>
            </w:r>
          </w:p>
          <w:p w14:paraId="048999C8"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 xml:space="preserve">Department of Agriculture, Water and the Environment </w:t>
            </w:r>
          </w:p>
          <w:p w14:paraId="2DDD4B8C"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Department of Defence</w:t>
            </w:r>
          </w:p>
          <w:p w14:paraId="1DA8150D"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Department of Education, Skills and Employment</w:t>
            </w:r>
          </w:p>
          <w:p w14:paraId="543C495F"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Department of Finance</w:t>
            </w:r>
          </w:p>
          <w:p w14:paraId="27D79D73"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Department of Health</w:t>
            </w:r>
          </w:p>
          <w:p w14:paraId="15C019C0"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Department of Home Affairs</w:t>
            </w:r>
          </w:p>
          <w:p w14:paraId="05A88D7B"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Department of Industry, Science, Energy and Resources</w:t>
            </w:r>
          </w:p>
          <w:p w14:paraId="2E485A09"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Department of Infrastructure, Transport, Regional Development and Communications</w:t>
            </w:r>
          </w:p>
          <w:p w14:paraId="28B2E782"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Department of the Prime Minister and Cabinet</w:t>
            </w:r>
          </w:p>
          <w:p w14:paraId="726830B4" w14:textId="77777777" w:rsidR="009E7E31" w:rsidRPr="009E7E31" w:rsidRDefault="009E7E31" w:rsidP="009E7E31">
            <w:pPr>
              <w:tabs>
                <w:tab w:val="num" w:pos="378"/>
                <w:tab w:val="left" w:pos="709"/>
              </w:tabs>
              <w:spacing w:before="60" w:after="60" w:line="240" w:lineRule="auto"/>
              <w:ind w:left="378" w:hanging="378"/>
              <w:jc w:val="left"/>
              <w:rPr>
                <w:rFonts w:ascii="Arial" w:eastAsiaTheme="minorHAnsi" w:hAnsi="Arial" w:cs="Arial"/>
                <w:iCs/>
                <w:color w:val="000000" w:themeColor="text1"/>
                <w:sz w:val="16"/>
                <w:szCs w:val="16"/>
                <w:lang w:eastAsia="en-US"/>
              </w:rPr>
            </w:pPr>
            <w:r w:rsidRPr="009E7E31">
              <w:rPr>
                <w:rFonts w:ascii="Arial" w:eastAsiaTheme="minorHAnsi" w:hAnsi="Arial" w:cs="Arial"/>
                <w:iCs/>
                <w:color w:val="000000" w:themeColor="text1"/>
                <w:sz w:val="16"/>
                <w:szCs w:val="16"/>
                <w:lang w:eastAsia="en-US"/>
              </w:rPr>
              <w:t xml:space="preserve">Department of Social Services, and </w:t>
            </w:r>
          </w:p>
          <w:p w14:paraId="2251EB01" w14:textId="7C81051D" w:rsidR="009E7E31" w:rsidRPr="001B2F81" w:rsidRDefault="009E7E31" w:rsidP="009E7E31">
            <w:pPr>
              <w:tabs>
                <w:tab w:val="num" w:pos="378"/>
                <w:tab w:val="left" w:pos="709"/>
              </w:tabs>
              <w:spacing w:before="60" w:after="60" w:line="240" w:lineRule="auto"/>
              <w:ind w:left="378" w:hanging="378"/>
              <w:jc w:val="left"/>
            </w:pPr>
            <w:r w:rsidRPr="009E7E31">
              <w:rPr>
                <w:rFonts w:ascii="Arial" w:eastAsiaTheme="minorHAnsi" w:hAnsi="Arial" w:cs="Arial"/>
                <w:iCs/>
                <w:color w:val="000000" w:themeColor="text1"/>
                <w:sz w:val="16"/>
                <w:szCs w:val="16"/>
                <w:lang w:eastAsia="en-US"/>
              </w:rPr>
              <w:t>Department of Veterans</w:t>
            </w:r>
            <w:r w:rsidR="00B33758">
              <w:rPr>
                <w:rFonts w:ascii="Arial" w:eastAsiaTheme="minorHAnsi" w:hAnsi="Arial" w:cs="Arial"/>
                <w:iCs/>
                <w:color w:val="000000" w:themeColor="text1"/>
                <w:sz w:val="16"/>
                <w:szCs w:val="16"/>
                <w:lang w:eastAsia="en-US"/>
              </w:rPr>
              <w:t>’</w:t>
            </w:r>
            <w:r w:rsidRPr="009E7E31">
              <w:rPr>
                <w:rFonts w:ascii="Arial" w:eastAsiaTheme="minorHAnsi" w:hAnsi="Arial" w:cs="Arial"/>
                <w:iCs/>
                <w:color w:val="000000" w:themeColor="text1"/>
                <w:sz w:val="16"/>
                <w:szCs w:val="16"/>
                <w:lang w:eastAsia="en-US"/>
              </w:rPr>
              <w:t xml:space="preserve"> Affairs.</w:t>
            </w:r>
          </w:p>
        </w:tc>
      </w:tr>
      <w:tr w:rsidR="009E7E31" w:rsidRPr="009E7E31" w14:paraId="1FA15F31" w14:textId="77777777" w:rsidTr="00864554">
        <w:trPr>
          <w:trHeight w:val="694"/>
        </w:trPr>
        <w:tc>
          <w:tcPr>
            <w:tcW w:w="1556" w:type="dxa"/>
            <w:tcBorders>
              <w:bottom w:val="double" w:sz="4" w:space="0" w:color="auto"/>
            </w:tcBorders>
          </w:tcPr>
          <w:p w14:paraId="1AC14C0E" w14:textId="77777777" w:rsidR="009E7E31" w:rsidRPr="009E7E31" w:rsidRDefault="009E7E31" w:rsidP="000877D2">
            <w:pPr>
              <w:pStyle w:val="TableColumnHeadingLeft"/>
              <w:rPr>
                <w:rFonts w:eastAsiaTheme="minorHAnsi"/>
                <w:i/>
                <w:iCs/>
                <w:color w:val="000000" w:themeColor="text1"/>
                <w:lang w:eastAsia="en-US"/>
              </w:rPr>
            </w:pPr>
            <w:r w:rsidRPr="00160C23">
              <w:t>Key Activities (a)</w:t>
            </w:r>
          </w:p>
        </w:tc>
        <w:tc>
          <w:tcPr>
            <w:tcW w:w="6144" w:type="dxa"/>
            <w:gridSpan w:val="2"/>
            <w:tcBorders>
              <w:bottom w:val="double" w:sz="4" w:space="0" w:color="auto"/>
            </w:tcBorders>
          </w:tcPr>
          <w:p w14:paraId="6921B0AC" w14:textId="17E73F33" w:rsidR="009E7E31" w:rsidRPr="00D11CD9" w:rsidRDefault="009E7E31" w:rsidP="000877D2">
            <w:pPr>
              <w:pStyle w:val="TableTextBase"/>
              <w:rPr>
                <w:rFonts w:eastAsiaTheme="minorHAnsi"/>
                <w:lang w:eastAsia="en-US"/>
              </w:rPr>
            </w:pPr>
            <w:r w:rsidRPr="00D11CD9">
              <w:rPr>
                <w:rFonts w:eastAsiaTheme="minorHAnsi"/>
                <w:lang w:eastAsia="en-US"/>
              </w:rPr>
              <w:t>A strong and sustainable economic and fiscal environment</w:t>
            </w:r>
          </w:p>
          <w:p w14:paraId="02696055" w14:textId="4D22A800" w:rsidR="00D11CD9" w:rsidRPr="00D11CD9" w:rsidRDefault="009E7E31" w:rsidP="000877D2">
            <w:pPr>
              <w:pStyle w:val="TableTextBullet"/>
              <w:rPr>
                <w:rFonts w:eastAsiaTheme="minorHAnsi"/>
              </w:rPr>
            </w:pPr>
            <w:r w:rsidRPr="00D11CD9">
              <w:rPr>
                <w:rFonts w:eastAsiaTheme="minorHAnsi"/>
              </w:rPr>
              <w:t>Activity 2 Ensure effective Government spending arrangements.</w:t>
            </w:r>
          </w:p>
        </w:tc>
      </w:tr>
      <w:tr w:rsidR="0096775E" w:rsidRPr="00160C23" w14:paraId="492C1AFA" w14:textId="77777777" w:rsidTr="00864554">
        <w:trPr>
          <w:trHeight w:val="254"/>
        </w:trPr>
        <w:tc>
          <w:tcPr>
            <w:tcW w:w="1556" w:type="dxa"/>
            <w:tcBorders>
              <w:top w:val="double" w:sz="4" w:space="0" w:color="auto"/>
              <w:bottom w:val="single" w:sz="4" w:space="0" w:color="auto"/>
              <w:right w:val="single" w:sz="4" w:space="0" w:color="auto"/>
            </w:tcBorders>
          </w:tcPr>
          <w:p w14:paraId="492AD0AD" w14:textId="6FE44A59" w:rsidR="009E7E31" w:rsidRPr="00A83106" w:rsidRDefault="009E7E31" w:rsidP="000877D2">
            <w:pPr>
              <w:pStyle w:val="BoxHeadinglevel2"/>
              <w:rPr>
                <w:color w:val="000000" w:themeColor="text1"/>
                <w:sz w:val="16"/>
                <w:szCs w:val="16"/>
              </w:rPr>
            </w:pPr>
            <w:r w:rsidRPr="00A83106">
              <w:rPr>
                <w:sz w:val="16"/>
                <w:szCs w:val="16"/>
              </w:rPr>
              <w:t>Year</w:t>
            </w:r>
          </w:p>
        </w:tc>
        <w:tc>
          <w:tcPr>
            <w:tcW w:w="3072" w:type="dxa"/>
            <w:tcBorders>
              <w:top w:val="double" w:sz="4" w:space="0" w:color="auto"/>
              <w:left w:val="single" w:sz="4" w:space="0" w:color="auto"/>
              <w:bottom w:val="single" w:sz="4" w:space="0" w:color="auto"/>
              <w:right w:val="single" w:sz="4" w:space="0" w:color="auto"/>
            </w:tcBorders>
          </w:tcPr>
          <w:p w14:paraId="0A9465D3" w14:textId="5B74673A" w:rsidR="009E7E31" w:rsidRPr="00A83106" w:rsidRDefault="00D11CD9" w:rsidP="000877D2">
            <w:pPr>
              <w:pStyle w:val="BoxHeadinglevel2"/>
              <w:rPr>
                <w:sz w:val="16"/>
                <w:szCs w:val="16"/>
              </w:rPr>
            </w:pPr>
            <w:r w:rsidRPr="00A83106">
              <w:rPr>
                <w:color w:val="000000" w:themeColor="text1"/>
                <w:sz w:val="16"/>
                <w:szCs w:val="16"/>
              </w:rPr>
              <w:t>Performance measures (b)</w:t>
            </w:r>
          </w:p>
        </w:tc>
        <w:tc>
          <w:tcPr>
            <w:tcW w:w="3072" w:type="dxa"/>
            <w:tcBorders>
              <w:top w:val="double" w:sz="4" w:space="0" w:color="auto"/>
              <w:left w:val="single" w:sz="4" w:space="0" w:color="auto"/>
              <w:bottom w:val="single" w:sz="4" w:space="0" w:color="auto"/>
            </w:tcBorders>
          </w:tcPr>
          <w:p w14:paraId="7A13157B" w14:textId="77777777" w:rsidR="009E7E31" w:rsidRPr="00A83106" w:rsidRDefault="009E7E31" w:rsidP="000877D2">
            <w:pPr>
              <w:pStyle w:val="BoxHeadinglevel2"/>
              <w:rPr>
                <w:sz w:val="16"/>
                <w:szCs w:val="16"/>
              </w:rPr>
            </w:pPr>
            <w:r w:rsidRPr="00A83106">
              <w:rPr>
                <w:sz w:val="16"/>
                <w:szCs w:val="16"/>
              </w:rPr>
              <w:t>Expected Performance Results</w:t>
            </w:r>
          </w:p>
        </w:tc>
      </w:tr>
      <w:tr w:rsidR="0096775E" w:rsidRPr="009E7E31" w14:paraId="335D5F2E" w14:textId="77777777" w:rsidTr="00864554">
        <w:trPr>
          <w:trHeight w:val="642"/>
        </w:trPr>
        <w:tc>
          <w:tcPr>
            <w:tcW w:w="1556" w:type="dxa"/>
            <w:tcBorders>
              <w:top w:val="single" w:sz="4" w:space="0" w:color="auto"/>
              <w:right w:val="single" w:sz="4" w:space="0" w:color="auto"/>
            </w:tcBorders>
          </w:tcPr>
          <w:p w14:paraId="3C13B612" w14:textId="77777777" w:rsidR="009E7E31" w:rsidRPr="00A83106" w:rsidRDefault="009E7E31" w:rsidP="000877D2">
            <w:pPr>
              <w:pStyle w:val="TableTextBase"/>
              <w:rPr>
                <w:sz w:val="16"/>
                <w:szCs w:val="16"/>
              </w:rPr>
            </w:pPr>
            <w:r w:rsidRPr="00A83106">
              <w:rPr>
                <w:sz w:val="16"/>
                <w:szCs w:val="16"/>
              </w:rPr>
              <w:t xml:space="preserve">Current year </w:t>
            </w:r>
          </w:p>
          <w:p w14:paraId="5B3CB4CB" w14:textId="3A983F90" w:rsidR="009E7E31" w:rsidRPr="00A83106" w:rsidRDefault="009E7E31" w:rsidP="000877D2">
            <w:pPr>
              <w:pStyle w:val="TableTextBase"/>
              <w:rPr>
                <w:sz w:val="16"/>
                <w:szCs w:val="16"/>
              </w:rPr>
            </w:pPr>
            <w:r w:rsidRPr="00A83106">
              <w:rPr>
                <w:sz w:val="16"/>
                <w:szCs w:val="16"/>
              </w:rPr>
              <w:t>2021</w:t>
            </w:r>
            <w:r w:rsidR="00B33758">
              <w:rPr>
                <w:sz w:val="16"/>
                <w:szCs w:val="16"/>
              </w:rPr>
              <w:noBreakHyphen/>
            </w:r>
            <w:r w:rsidRPr="00A83106">
              <w:rPr>
                <w:sz w:val="16"/>
                <w:szCs w:val="16"/>
              </w:rPr>
              <w:t>22</w:t>
            </w:r>
          </w:p>
        </w:tc>
        <w:tc>
          <w:tcPr>
            <w:tcW w:w="3072" w:type="dxa"/>
            <w:tcBorders>
              <w:top w:val="single" w:sz="4" w:space="0" w:color="auto"/>
              <w:left w:val="single" w:sz="4" w:space="0" w:color="auto"/>
              <w:bottom w:val="single" w:sz="4" w:space="0" w:color="auto"/>
              <w:right w:val="single" w:sz="4" w:space="0" w:color="auto"/>
            </w:tcBorders>
          </w:tcPr>
          <w:p w14:paraId="42F0AAEF" w14:textId="77777777" w:rsidR="009E7E31" w:rsidRPr="00A83106" w:rsidRDefault="009E7E31" w:rsidP="000877D2">
            <w:pPr>
              <w:pStyle w:val="TableTextBase"/>
              <w:rPr>
                <w:iCs/>
                <w:color w:val="0070C0"/>
                <w:sz w:val="16"/>
                <w:szCs w:val="16"/>
              </w:rPr>
            </w:pPr>
            <w:r w:rsidRPr="00A83106">
              <w:rPr>
                <w:iCs/>
                <w:sz w:val="16"/>
                <w:szCs w:val="16"/>
              </w:rPr>
              <w:t>Percentage of payments administered within agreed requirements and timeframes.</w:t>
            </w:r>
          </w:p>
        </w:tc>
        <w:tc>
          <w:tcPr>
            <w:tcW w:w="3072" w:type="dxa"/>
            <w:tcBorders>
              <w:top w:val="single" w:sz="4" w:space="0" w:color="auto"/>
              <w:left w:val="single" w:sz="4" w:space="0" w:color="auto"/>
              <w:bottom w:val="single" w:sz="4" w:space="0" w:color="auto"/>
            </w:tcBorders>
          </w:tcPr>
          <w:p w14:paraId="25DA6ED7" w14:textId="77777777" w:rsidR="009E7E31" w:rsidRPr="00A83106" w:rsidRDefault="009E7E31" w:rsidP="000877D2">
            <w:pPr>
              <w:pStyle w:val="TableTextBase"/>
              <w:rPr>
                <w:iCs/>
                <w:sz w:val="16"/>
                <w:szCs w:val="16"/>
              </w:rPr>
            </w:pPr>
            <w:r w:rsidRPr="00A83106">
              <w:rPr>
                <w:iCs/>
                <w:sz w:val="16"/>
                <w:szCs w:val="16"/>
              </w:rPr>
              <w:t>Target: 100%</w:t>
            </w:r>
          </w:p>
          <w:p w14:paraId="47DAE3AE" w14:textId="77777777" w:rsidR="009E7E31" w:rsidRPr="00A83106" w:rsidRDefault="009E7E31" w:rsidP="000877D2">
            <w:pPr>
              <w:pStyle w:val="TableTextBase"/>
              <w:rPr>
                <w:iCs/>
                <w:color w:val="0070C0"/>
                <w:sz w:val="16"/>
                <w:szCs w:val="16"/>
              </w:rPr>
            </w:pPr>
            <w:r w:rsidRPr="00A83106">
              <w:rPr>
                <w:iCs/>
                <w:sz w:val="16"/>
                <w:szCs w:val="16"/>
              </w:rPr>
              <w:t>Expected to be partially achieved</w:t>
            </w:r>
          </w:p>
        </w:tc>
      </w:tr>
      <w:tr w:rsidR="0096775E" w:rsidRPr="009E7E31" w14:paraId="0D512F8A" w14:textId="77777777" w:rsidTr="00864554">
        <w:trPr>
          <w:trHeight w:val="274"/>
        </w:trPr>
        <w:tc>
          <w:tcPr>
            <w:tcW w:w="1556" w:type="dxa"/>
            <w:tcBorders>
              <w:bottom w:val="single" w:sz="4" w:space="0" w:color="auto"/>
              <w:right w:val="single" w:sz="4" w:space="0" w:color="auto"/>
            </w:tcBorders>
          </w:tcPr>
          <w:p w14:paraId="318354E1" w14:textId="570819E2" w:rsidR="00D11CD9" w:rsidRPr="00A83106" w:rsidRDefault="00D11CD9" w:rsidP="000877D2">
            <w:pPr>
              <w:pStyle w:val="BoxHeadinglevel2"/>
              <w:rPr>
                <w:sz w:val="16"/>
                <w:szCs w:val="16"/>
              </w:rPr>
            </w:pPr>
            <w:r w:rsidRPr="00A83106">
              <w:rPr>
                <w:sz w:val="16"/>
                <w:szCs w:val="16"/>
              </w:rPr>
              <w:lastRenderedPageBreak/>
              <w:t>Year</w:t>
            </w:r>
          </w:p>
        </w:tc>
        <w:tc>
          <w:tcPr>
            <w:tcW w:w="3072" w:type="dxa"/>
            <w:tcBorders>
              <w:top w:val="single" w:sz="4" w:space="0" w:color="auto"/>
              <w:left w:val="single" w:sz="4" w:space="0" w:color="auto"/>
              <w:bottom w:val="single" w:sz="4" w:space="0" w:color="auto"/>
              <w:right w:val="single" w:sz="4" w:space="0" w:color="auto"/>
            </w:tcBorders>
          </w:tcPr>
          <w:p w14:paraId="165BFEA7" w14:textId="6CD5DDB9" w:rsidR="00D11CD9" w:rsidRPr="00A83106" w:rsidRDefault="00D11CD9" w:rsidP="000877D2">
            <w:pPr>
              <w:pStyle w:val="BoxHeadinglevel2"/>
              <w:rPr>
                <w:sz w:val="16"/>
                <w:szCs w:val="16"/>
              </w:rPr>
            </w:pPr>
            <w:r w:rsidRPr="00A83106">
              <w:rPr>
                <w:sz w:val="16"/>
                <w:szCs w:val="16"/>
              </w:rPr>
              <w:t>Performance measures</w:t>
            </w:r>
          </w:p>
        </w:tc>
        <w:tc>
          <w:tcPr>
            <w:tcW w:w="3072" w:type="dxa"/>
            <w:tcBorders>
              <w:top w:val="single" w:sz="4" w:space="0" w:color="auto"/>
              <w:left w:val="single" w:sz="4" w:space="0" w:color="auto"/>
              <w:bottom w:val="single" w:sz="4" w:space="0" w:color="auto"/>
            </w:tcBorders>
          </w:tcPr>
          <w:p w14:paraId="62450802" w14:textId="63A7EE40" w:rsidR="00D11CD9" w:rsidRPr="00D11CD9" w:rsidRDefault="00D11CD9" w:rsidP="000877D2">
            <w:pPr>
              <w:pStyle w:val="BoxHeadinglevel2"/>
            </w:pPr>
            <w:r w:rsidRPr="00D11CD9">
              <w:t>Expected Performance Results</w:t>
            </w:r>
          </w:p>
        </w:tc>
      </w:tr>
      <w:tr w:rsidR="0096775E" w:rsidRPr="009E7E31" w14:paraId="6C2A241E" w14:textId="77777777" w:rsidTr="00864554">
        <w:trPr>
          <w:trHeight w:val="642"/>
        </w:trPr>
        <w:tc>
          <w:tcPr>
            <w:tcW w:w="1556" w:type="dxa"/>
            <w:tcBorders>
              <w:bottom w:val="single" w:sz="4" w:space="0" w:color="auto"/>
              <w:right w:val="single" w:sz="4" w:space="0" w:color="auto"/>
            </w:tcBorders>
          </w:tcPr>
          <w:p w14:paraId="201940CE" w14:textId="7B3D1F1D" w:rsidR="00D11CD9" w:rsidRPr="00A83106" w:rsidRDefault="00D11CD9" w:rsidP="000877D2">
            <w:pPr>
              <w:pStyle w:val="TableTextBase"/>
              <w:rPr>
                <w:sz w:val="16"/>
                <w:szCs w:val="16"/>
              </w:rPr>
            </w:pPr>
            <w:r w:rsidRPr="00A83106">
              <w:rPr>
                <w:sz w:val="16"/>
                <w:szCs w:val="16"/>
              </w:rPr>
              <w:t>Budget Year     2022</w:t>
            </w:r>
            <w:r w:rsidR="00B33758">
              <w:rPr>
                <w:sz w:val="16"/>
                <w:szCs w:val="16"/>
              </w:rPr>
              <w:noBreakHyphen/>
            </w:r>
            <w:r w:rsidRPr="00A83106">
              <w:rPr>
                <w:sz w:val="16"/>
                <w:szCs w:val="16"/>
              </w:rPr>
              <w:t>23</w:t>
            </w:r>
          </w:p>
        </w:tc>
        <w:tc>
          <w:tcPr>
            <w:tcW w:w="3072" w:type="dxa"/>
            <w:tcBorders>
              <w:top w:val="single" w:sz="4" w:space="0" w:color="auto"/>
              <w:left w:val="single" w:sz="4" w:space="0" w:color="auto"/>
              <w:bottom w:val="single" w:sz="4" w:space="0" w:color="auto"/>
              <w:right w:val="single" w:sz="4" w:space="0" w:color="auto"/>
            </w:tcBorders>
          </w:tcPr>
          <w:p w14:paraId="03D7D131" w14:textId="63C00535" w:rsidR="00D11CD9" w:rsidRPr="00A83106" w:rsidRDefault="00D11CD9" w:rsidP="000877D2">
            <w:pPr>
              <w:pStyle w:val="TableTextBase"/>
              <w:rPr>
                <w:iCs/>
                <w:sz w:val="16"/>
                <w:szCs w:val="16"/>
              </w:rPr>
            </w:pPr>
            <w:r w:rsidRPr="00A83106">
              <w:rPr>
                <w:iCs/>
                <w:sz w:val="16"/>
                <w:szCs w:val="16"/>
              </w:rPr>
              <w:t>Percentage of payments administered within agreed requirements and timeframes.</w:t>
            </w:r>
          </w:p>
        </w:tc>
        <w:tc>
          <w:tcPr>
            <w:tcW w:w="3072" w:type="dxa"/>
            <w:tcBorders>
              <w:top w:val="single" w:sz="4" w:space="0" w:color="auto"/>
              <w:left w:val="single" w:sz="4" w:space="0" w:color="auto"/>
              <w:bottom w:val="single" w:sz="4" w:space="0" w:color="auto"/>
            </w:tcBorders>
          </w:tcPr>
          <w:p w14:paraId="5B57124F" w14:textId="77777777" w:rsidR="00D11CD9" w:rsidRPr="00A83106" w:rsidRDefault="00D11CD9" w:rsidP="000877D2">
            <w:pPr>
              <w:pStyle w:val="TableTextBase"/>
              <w:rPr>
                <w:iCs/>
              </w:rPr>
            </w:pPr>
            <w:r w:rsidRPr="00A83106">
              <w:rPr>
                <w:iCs/>
              </w:rPr>
              <w:t>100%</w:t>
            </w:r>
          </w:p>
          <w:p w14:paraId="341D8954" w14:textId="5894B0FF" w:rsidR="00D11CD9" w:rsidRPr="00A83106" w:rsidRDefault="00D11CD9" w:rsidP="000877D2">
            <w:pPr>
              <w:pStyle w:val="TableTextBase"/>
              <w:rPr>
                <w:iCs/>
              </w:rPr>
            </w:pPr>
          </w:p>
        </w:tc>
      </w:tr>
      <w:tr w:rsidR="0096775E" w:rsidRPr="009E7E31" w14:paraId="569FFC45" w14:textId="77777777" w:rsidTr="00864554">
        <w:trPr>
          <w:trHeight w:val="642"/>
        </w:trPr>
        <w:tc>
          <w:tcPr>
            <w:tcW w:w="1556" w:type="dxa"/>
            <w:tcBorders>
              <w:top w:val="single" w:sz="4" w:space="0" w:color="auto"/>
              <w:right w:val="single" w:sz="4" w:space="0" w:color="auto"/>
            </w:tcBorders>
          </w:tcPr>
          <w:p w14:paraId="0AFA70A5" w14:textId="77777777" w:rsidR="00D11CD9" w:rsidRPr="00A83106" w:rsidRDefault="00D11CD9" w:rsidP="000877D2">
            <w:pPr>
              <w:pStyle w:val="TableTextBase"/>
              <w:rPr>
                <w:sz w:val="16"/>
                <w:szCs w:val="16"/>
              </w:rPr>
            </w:pPr>
            <w:r w:rsidRPr="00A83106">
              <w:rPr>
                <w:sz w:val="16"/>
                <w:szCs w:val="16"/>
              </w:rPr>
              <w:t xml:space="preserve">Forward Estimates </w:t>
            </w:r>
          </w:p>
          <w:p w14:paraId="27B8937A" w14:textId="06A2FC34" w:rsidR="00D11CD9" w:rsidRPr="00A83106" w:rsidRDefault="00D11CD9" w:rsidP="000877D2">
            <w:pPr>
              <w:pStyle w:val="TableTextBase"/>
              <w:rPr>
                <w:sz w:val="16"/>
                <w:szCs w:val="16"/>
              </w:rPr>
            </w:pPr>
            <w:r w:rsidRPr="00A83106">
              <w:rPr>
                <w:sz w:val="16"/>
                <w:szCs w:val="16"/>
              </w:rPr>
              <w:t>2023</w:t>
            </w:r>
            <w:r w:rsidR="00B33758">
              <w:rPr>
                <w:sz w:val="16"/>
                <w:szCs w:val="16"/>
              </w:rPr>
              <w:noBreakHyphen/>
            </w:r>
            <w:r w:rsidRPr="00A83106">
              <w:rPr>
                <w:sz w:val="16"/>
                <w:szCs w:val="16"/>
              </w:rPr>
              <w:t>24</w:t>
            </w:r>
          </w:p>
        </w:tc>
        <w:tc>
          <w:tcPr>
            <w:tcW w:w="3072" w:type="dxa"/>
            <w:tcBorders>
              <w:top w:val="single" w:sz="4" w:space="0" w:color="auto"/>
              <w:left w:val="single" w:sz="4" w:space="0" w:color="auto"/>
              <w:bottom w:val="single" w:sz="4" w:space="0" w:color="auto"/>
              <w:right w:val="single" w:sz="4" w:space="0" w:color="auto"/>
            </w:tcBorders>
          </w:tcPr>
          <w:p w14:paraId="6EFE7D78" w14:textId="0D01EA45" w:rsidR="00D11CD9" w:rsidRPr="00A83106" w:rsidRDefault="00D11CD9" w:rsidP="000877D2">
            <w:pPr>
              <w:pStyle w:val="TableTextBase"/>
              <w:rPr>
                <w:iCs/>
                <w:sz w:val="16"/>
                <w:szCs w:val="16"/>
              </w:rPr>
            </w:pPr>
            <w:r w:rsidRPr="00A83106">
              <w:rPr>
                <w:iCs/>
                <w:sz w:val="16"/>
                <w:szCs w:val="16"/>
              </w:rPr>
              <w:t>As per 2022</w:t>
            </w:r>
            <w:r w:rsidR="00B33758">
              <w:rPr>
                <w:iCs/>
                <w:sz w:val="16"/>
                <w:szCs w:val="16"/>
              </w:rPr>
              <w:noBreakHyphen/>
            </w:r>
            <w:r w:rsidRPr="00A83106">
              <w:rPr>
                <w:iCs/>
                <w:sz w:val="16"/>
                <w:szCs w:val="16"/>
              </w:rPr>
              <w:t>23</w:t>
            </w:r>
          </w:p>
        </w:tc>
        <w:tc>
          <w:tcPr>
            <w:tcW w:w="3072" w:type="dxa"/>
            <w:tcBorders>
              <w:top w:val="single" w:sz="4" w:space="0" w:color="auto"/>
              <w:left w:val="single" w:sz="4" w:space="0" w:color="auto"/>
              <w:bottom w:val="single" w:sz="4" w:space="0" w:color="auto"/>
            </w:tcBorders>
          </w:tcPr>
          <w:p w14:paraId="34204FBE" w14:textId="12F750EA" w:rsidR="00D11CD9" w:rsidRPr="00A83106" w:rsidRDefault="00D11CD9" w:rsidP="000877D2">
            <w:pPr>
              <w:pStyle w:val="TableTextBase"/>
              <w:rPr>
                <w:iCs/>
              </w:rPr>
            </w:pPr>
            <w:r w:rsidRPr="00A83106">
              <w:rPr>
                <w:iCs/>
              </w:rPr>
              <w:t>As per 2022</w:t>
            </w:r>
            <w:r w:rsidR="00B33758">
              <w:rPr>
                <w:iCs/>
              </w:rPr>
              <w:noBreakHyphen/>
            </w:r>
            <w:r w:rsidRPr="00A83106">
              <w:rPr>
                <w:iCs/>
              </w:rPr>
              <w:t>23</w:t>
            </w:r>
          </w:p>
        </w:tc>
      </w:tr>
      <w:tr w:rsidR="003910A4" w:rsidRPr="00811655" w14:paraId="2C7B9AFF" w14:textId="77777777" w:rsidTr="00864554">
        <w:trPr>
          <w:trHeight w:val="382"/>
        </w:trPr>
        <w:tc>
          <w:tcPr>
            <w:tcW w:w="7700" w:type="dxa"/>
            <w:gridSpan w:val="3"/>
            <w:tcBorders>
              <w:top w:val="single" w:sz="4" w:space="0" w:color="auto"/>
              <w:bottom w:val="single" w:sz="4" w:space="0" w:color="auto"/>
            </w:tcBorders>
            <w:shd w:val="clear" w:color="auto" w:fill="auto"/>
          </w:tcPr>
          <w:p w14:paraId="0AF9CEB5" w14:textId="3E285B33" w:rsidR="00D11CD9" w:rsidRPr="00A83106" w:rsidRDefault="00D11CD9" w:rsidP="000877D2">
            <w:pPr>
              <w:pStyle w:val="TableTextBullet"/>
              <w:rPr>
                <w:i/>
                <w:iCs/>
                <w:sz w:val="16"/>
                <w:szCs w:val="16"/>
              </w:rPr>
            </w:pPr>
            <w:r w:rsidRPr="00A83106">
              <w:rPr>
                <w:sz w:val="16"/>
                <w:szCs w:val="16"/>
              </w:rPr>
              <w:t>There are no Material changes to Programs 1.4 to 1.9 resulting from 2022</w:t>
            </w:r>
            <w:r w:rsidR="00B33758">
              <w:rPr>
                <w:sz w:val="16"/>
                <w:szCs w:val="16"/>
              </w:rPr>
              <w:noBreakHyphen/>
            </w:r>
            <w:r w:rsidRPr="00A83106">
              <w:rPr>
                <w:sz w:val="16"/>
                <w:szCs w:val="16"/>
              </w:rPr>
              <w:t>23 Budget Measures.</w:t>
            </w:r>
          </w:p>
        </w:tc>
      </w:tr>
    </w:tbl>
    <w:p w14:paraId="2213A4C7" w14:textId="7AAEDA5A" w:rsidR="00D11CD9" w:rsidRPr="00D11CD9" w:rsidRDefault="00D11CD9" w:rsidP="00395F3A">
      <w:pPr>
        <w:pStyle w:val="ChartandTableFootnoteAlpha"/>
        <w:numPr>
          <w:ilvl w:val="0"/>
          <w:numId w:val="21"/>
        </w:numPr>
      </w:pPr>
      <w:r w:rsidRPr="00D11CD9">
        <w:t>Refers to updated key activities that are reflected in the 2021</w:t>
      </w:r>
      <w:r w:rsidR="00B33758">
        <w:noBreakHyphen/>
      </w:r>
      <w:r w:rsidRPr="00D11CD9">
        <w:t>22 Corporate Plan.</w:t>
      </w:r>
    </w:p>
    <w:p w14:paraId="66A530EB" w14:textId="41B4BBB3" w:rsidR="00D11CD9" w:rsidRPr="00D11CD9" w:rsidRDefault="00D11CD9" w:rsidP="00C1778B">
      <w:pPr>
        <w:pStyle w:val="ChartandTableFootnoteAlpha"/>
      </w:pPr>
      <w:r w:rsidRPr="00D11CD9">
        <w:t>The Treasury</w:t>
      </w:r>
      <w:r w:rsidR="00B33758">
        <w:t>’</w:t>
      </w:r>
      <w:r w:rsidRPr="00D11CD9">
        <w:t>s performance measures are set out in full in the 2021</w:t>
      </w:r>
      <w:r w:rsidR="00B33758">
        <w:noBreakHyphen/>
      </w:r>
      <w:r w:rsidRPr="00D11CD9">
        <w:t>22 Corporate Plan and will be reported in the 2021</w:t>
      </w:r>
      <w:r w:rsidR="00B33758">
        <w:noBreakHyphen/>
      </w:r>
      <w:r w:rsidRPr="00D11CD9">
        <w:t>22 Annual Performance Statements. Treasury updated the performance measures through the 2021</w:t>
      </w:r>
      <w:r w:rsidR="00B33758">
        <w:noBreakHyphen/>
      </w:r>
      <w:r w:rsidRPr="00ED2AE0">
        <w:t>22</w:t>
      </w:r>
      <w:r w:rsidRPr="00D11CD9">
        <w:t xml:space="preserve"> </w:t>
      </w:r>
      <w:r w:rsidRPr="00ED2AE0">
        <w:t>Portfolio</w:t>
      </w:r>
      <w:r w:rsidRPr="00D11CD9">
        <w:t xml:space="preserve"> Additional Estimates Statements to align with the 2021</w:t>
      </w:r>
      <w:r w:rsidR="00B33758">
        <w:noBreakHyphen/>
      </w:r>
      <w:r w:rsidRPr="00D11CD9">
        <w:t>22 Corporate Plan.</w:t>
      </w:r>
    </w:p>
    <w:p w14:paraId="7FB0CF45" w14:textId="382D266F" w:rsidR="00B0420F" w:rsidRPr="001873F9" w:rsidRDefault="00D11CD9" w:rsidP="000877D2">
      <w:pPr>
        <w:pStyle w:val="ChartandTableFootnoteAlpha"/>
        <w:numPr>
          <w:ilvl w:val="0"/>
          <w:numId w:val="0"/>
        </w:numPr>
      </w:pPr>
      <w:r w:rsidRPr="00D11CD9">
        <w:t xml:space="preserve">New or modified performance measures that reflect new or materially changed programs are shown in </w:t>
      </w:r>
      <w:r w:rsidRPr="00D11CD9">
        <w:rPr>
          <w:i/>
          <w:iCs/>
        </w:rPr>
        <w:t>italics</w:t>
      </w:r>
    </w:p>
    <w:p w14:paraId="1BB7E003" w14:textId="77777777" w:rsidR="002F530C" w:rsidRPr="00AD42E2" w:rsidRDefault="002F530C" w:rsidP="00AD42E2">
      <w:pPr>
        <w:pStyle w:val="Heading2"/>
      </w:pPr>
      <w:r w:rsidRPr="005B6A94">
        <w:br w:type="page"/>
      </w:r>
      <w:bookmarkStart w:id="37" w:name="_Toc444523516"/>
      <w:bookmarkStart w:id="38" w:name="_Toc98941815"/>
      <w:r w:rsidRPr="00AD42E2">
        <w:lastRenderedPageBreak/>
        <w:t>Section 3: Budgeted financial statements</w:t>
      </w:r>
      <w:bookmarkEnd w:id="37"/>
      <w:bookmarkEnd w:id="38"/>
    </w:p>
    <w:p w14:paraId="78199C71" w14:textId="2349A694"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B33758">
        <w:noBreakHyphen/>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09939497" w14:textId="77777777" w:rsidR="00E4582E" w:rsidRPr="005328A9" w:rsidRDefault="007118AC" w:rsidP="005328A9">
      <w:pPr>
        <w:pStyle w:val="Heading3"/>
      </w:pPr>
      <w:bookmarkStart w:id="39" w:name="_Toc190682317"/>
      <w:bookmarkStart w:id="40" w:name="_Toc444523517"/>
      <w:bookmarkStart w:id="41" w:name="_Toc98941816"/>
      <w:r w:rsidRPr="005328A9">
        <w:t>3.1</w:t>
      </w:r>
      <w:r w:rsidR="00E4582E" w:rsidRPr="005328A9">
        <w:tab/>
        <w:t>Budgeted financial statements</w:t>
      </w:r>
      <w:bookmarkEnd w:id="39"/>
      <w:bookmarkEnd w:id="40"/>
      <w:bookmarkEnd w:id="41"/>
    </w:p>
    <w:p w14:paraId="7DB809F1"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2DB80C08" w14:textId="49B52D7D" w:rsidR="00146715" w:rsidRDefault="007A44D3" w:rsidP="00422E6A">
      <w:r w:rsidRPr="007A44D3">
        <w:t>The entity resource statement is prepared on a cash basis and provides a view of cash/appropriations resources available to the Treasury whilst the financial statements are prepared on an accrual basis.</w:t>
      </w:r>
    </w:p>
    <w:p w14:paraId="26ED2F28" w14:textId="7258D012" w:rsidR="00B4271D" w:rsidRPr="00B4271D" w:rsidRDefault="007144F8" w:rsidP="00422E6A">
      <w:r>
        <w:t>Additionally,</w:t>
      </w:r>
      <w:r w:rsidR="008C223F">
        <w:t xml:space="preserve"> the</w:t>
      </w:r>
      <w:r w:rsidR="005B3D26">
        <w:t xml:space="preserve"> financial statements </w:t>
      </w:r>
      <w:r w:rsidR="00CD2597">
        <w:t>tables</w:t>
      </w:r>
      <w:r w:rsidR="008C223F">
        <w:t xml:space="preserve"> for the 2022</w:t>
      </w:r>
      <w:r w:rsidR="00B33758">
        <w:noBreakHyphen/>
      </w:r>
      <w:r w:rsidR="008C223F">
        <w:t>23 Budget</w:t>
      </w:r>
      <w:r w:rsidR="00CD2597">
        <w:t xml:space="preserve"> include</w:t>
      </w:r>
      <w:r w:rsidR="007518C0">
        <w:t xml:space="preserve"> </w:t>
      </w:r>
      <w:r w:rsidR="00DD7D90">
        <w:t xml:space="preserve">funding </w:t>
      </w:r>
      <w:r w:rsidR="00FC0848">
        <w:t xml:space="preserve">to be </w:t>
      </w:r>
      <w:r w:rsidR="007518C0" w:rsidRPr="007518C0">
        <w:t xml:space="preserve">received through </w:t>
      </w:r>
      <w:r w:rsidR="00A812D3">
        <w:t xml:space="preserve">the </w:t>
      </w:r>
      <w:r w:rsidR="007518C0" w:rsidRPr="007518C0">
        <w:t>2021</w:t>
      </w:r>
      <w:r w:rsidR="00B33758">
        <w:noBreakHyphen/>
      </w:r>
      <w:r w:rsidR="007518C0" w:rsidRPr="007518C0">
        <w:t>22 Annual Appropriation Bill</w:t>
      </w:r>
      <w:r w:rsidR="00A812D3">
        <w:t>s</w:t>
      </w:r>
      <w:r w:rsidR="007518C0" w:rsidRPr="007518C0">
        <w:t xml:space="preserve"> No.3</w:t>
      </w:r>
      <w:r w:rsidR="00F557A3">
        <w:t xml:space="preserve"> and </w:t>
      </w:r>
      <w:r w:rsidR="007518C0" w:rsidRPr="007518C0">
        <w:t>No.4</w:t>
      </w:r>
      <w:r w:rsidR="00A812D3">
        <w:t>,</w:t>
      </w:r>
      <w:r w:rsidR="005038E5">
        <w:t xml:space="preserve"> which are not includ</w:t>
      </w:r>
      <w:r w:rsidR="00CD2597">
        <w:t>ed</w:t>
      </w:r>
      <w:r w:rsidR="005038E5">
        <w:t xml:space="preserve"> in </w:t>
      </w:r>
      <w:r>
        <w:t>the e</w:t>
      </w:r>
      <w:r w:rsidR="00CD2597">
        <w:t>ntity resource statement</w:t>
      </w:r>
      <w:r w:rsidR="00684802">
        <w:t xml:space="preserve"> due to the timing of the 2022</w:t>
      </w:r>
      <w:r w:rsidR="00B33758">
        <w:noBreakHyphen/>
      </w:r>
      <w:r w:rsidR="00684802">
        <w:t>23 Budget.</w:t>
      </w:r>
    </w:p>
    <w:p w14:paraId="6675AC06"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75771C13" w14:textId="1BC9A505" w:rsidR="004E10B3" w:rsidRPr="00F57ED7" w:rsidRDefault="004E10B3" w:rsidP="00422E6A">
      <w:r w:rsidRPr="00F57ED7">
        <w:t>The Treasury is budgeting for a break</w:t>
      </w:r>
      <w:r w:rsidR="00B33758">
        <w:noBreakHyphen/>
      </w:r>
      <w:r w:rsidRPr="00F57ED7">
        <w:t>even operating result, after non</w:t>
      </w:r>
      <w:r w:rsidR="00B33758">
        <w:noBreakHyphen/>
      </w:r>
      <w:r w:rsidRPr="00F57ED7">
        <w:t>appropriated expenses such as depreciation are removed, in 202</w:t>
      </w:r>
      <w:r>
        <w:t>2</w:t>
      </w:r>
      <w:r w:rsidR="00B33758">
        <w:noBreakHyphen/>
      </w:r>
      <w:r w:rsidRPr="00F57ED7">
        <w:t>2</w:t>
      </w:r>
      <w:r>
        <w:t>3</w:t>
      </w:r>
      <w:r w:rsidRPr="00F57ED7">
        <w:t xml:space="preserve"> and over the forward estimates.</w:t>
      </w:r>
    </w:p>
    <w:p w14:paraId="757D045A" w14:textId="77777777" w:rsidR="004E10B3" w:rsidRPr="00F57ED7" w:rsidRDefault="004E10B3" w:rsidP="00422E6A">
      <w:r w:rsidRPr="00F57ED7">
        <w:t>The Treasury has a sound financial position and has sufficient cash reserves to fund provisions and payables, and asset replacement, as they fall due.</w:t>
      </w:r>
    </w:p>
    <w:p w14:paraId="4463F102" w14:textId="77777777" w:rsidR="00E4582E" w:rsidRDefault="000A6897" w:rsidP="007F7E83">
      <w:pPr>
        <w:jc w:val="left"/>
      </w:pPr>
      <w:r>
        <w:br w:type="page"/>
      </w:r>
      <w:bookmarkStart w:id="42" w:name="_Toc444523518"/>
      <w:r w:rsidR="00E4582E" w:rsidRPr="00D232B7">
        <w:rPr>
          <w:rStyle w:val="TableHeadingChar"/>
        </w:rPr>
        <w:lastRenderedPageBreak/>
        <w:t>3.2.</w:t>
      </w:r>
      <w:r w:rsidR="005F29CD" w:rsidRPr="00D232B7">
        <w:rPr>
          <w:rStyle w:val="TableHeadingChar"/>
        </w:rPr>
        <w:tab/>
      </w:r>
      <w:r w:rsidR="00E4582E" w:rsidRPr="00D232B7">
        <w:rPr>
          <w:rStyle w:val="TableHeadingChar"/>
        </w:rPr>
        <w:t xml:space="preserve">Budgeted </w:t>
      </w:r>
      <w:r w:rsidR="00F626C2" w:rsidRPr="00D232B7">
        <w:rPr>
          <w:rStyle w:val="TableHeadingChar"/>
        </w:rPr>
        <w:t>financial statements tables</w:t>
      </w:r>
      <w:bookmarkEnd w:id="42"/>
    </w:p>
    <w:p w14:paraId="46EF22E0" w14:textId="2D667B63" w:rsidR="00584D50" w:rsidRPr="00584D50" w:rsidRDefault="00E855E0" w:rsidP="001C1E88">
      <w:pPr>
        <w:pStyle w:val="TableHeading"/>
        <w:rPr>
          <w:b w:val="0"/>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246"/>
        <w:gridCol w:w="893"/>
        <w:gridCol w:w="893"/>
        <w:gridCol w:w="893"/>
        <w:gridCol w:w="893"/>
        <w:gridCol w:w="893"/>
      </w:tblGrid>
      <w:tr w:rsidR="00584D50" w:rsidRPr="00584D50" w14:paraId="5269B85F" w14:textId="77777777" w:rsidTr="00584D50">
        <w:trPr>
          <w:trHeight w:hRule="exact" w:val="900"/>
        </w:trPr>
        <w:tc>
          <w:tcPr>
            <w:tcW w:w="2105" w:type="pct"/>
            <w:tcBorders>
              <w:top w:val="single" w:sz="4" w:space="0" w:color="auto"/>
              <w:left w:val="nil"/>
              <w:bottom w:val="nil"/>
              <w:right w:val="nil"/>
            </w:tcBorders>
            <w:shd w:val="clear" w:color="auto" w:fill="auto"/>
            <w:noWrap/>
            <w:hideMark/>
          </w:tcPr>
          <w:p w14:paraId="035CC7EE" w14:textId="4CED4EA6" w:rsidR="00584D50" w:rsidRPr="00584D50" w:rsidRDefault="00584D50" w:rsidP="00584D50">
            <w:pPr>
              <w:spacing w:after="0" w:line="240" w:lineRule="auto"/>
              <w:rPr>
                <w:rFonts w:ascii="Arial" w:hAnsi="Arial" w:cs="Arial"/>
                <w:b/>
                <w:bCs/>
                <w:sz w:val="16"/>
                <w:szCs w:val="16"/>
              </w:rPr>
            </w:pPr>
            <w:r w:rsidRPr="00584D50">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96EA664" w14:textId="64D9338B"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2021</w:t>
            </w:r>
            <w:r w:rsidR="00B33758">
              <w:rPr>
                <w:rFonts w:ascii="Arial" w:hAnsi="Arial" w:cs="Arial"/>
                <w:sz w:val="16"/>
                <w:szCs w:val="16"/>
              </w:rPr>
              <w:noBreakHyphen/>
            </w:r>
            <w:r w:rsidRPr="00584D50">
              <w:rPr>
                <w:rFonts w:ascii="Arial" w:hAnsi="Arial" w:cs="Arial"/>
                <w:sz w:val="16"/>
                <w:szCs w:val="16"/>
              </w:rPr>
              <w:t>22 Estimated actual</w:t>
            </w:r>
            <w:r w:rsidRPr="00584D50">
              <w:rPr>
                <w:rFonts w:ascii="Arial" w:hAnsi="Arial" w:cs="Arial"/>
                <w:sz w:val="16"/>
                <w:szCs w:val="16"/>
              </w:rPr>
              <w:br/>
              <w:t>$</w:t>
            </w:r>
            <w:r w:rsidR="00B33758">
              <w:rPr>
                <w:rFonts w:ascii="Arial" w:hAnsi="Arial" w:cs="Arial"/>
                <w:sz w:val="16"/>
                <w:szCs w:val="16"/>
              </w:rPr>
              <w:t>’</w:t>
            </w:r>
            <w:r w:rsidRPr="00584D5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4F21542" w14:textId="10FA40A3"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2022</w:t>
            </w:r>
            <w:r w:rsidR="00B33758">
              <w:rPr>
                <w:rFonts w:ascii="Arial" w:hAnsi="Arial" w:cs="Arial"/>
                <w:sz w:val="16"/>
                <w:szCs w:val="16"/>
              </w:rPr>
              <w:noBreakHyphen/>
            </w:r>
            <w:r w:rsidRPr="00584D50">
              <w:rPr>
                <w:rFonts w:ascii="Arial" w:hAnsi="Arial" w:cs="Arial"/>
                <w:sz w:val="16"/>
                <w:szCs w:val="16"/>
              </w:rPr>
              <w:t>23</w:t>
            </w:r>
            <w:r w:rsidRPr="00584D50">
              <w:rPr>
                <w:rFonts w:ascii="Arial" w:hAnsi="Arial" w:cs="Arial"/>
                <w:sz w:val="16"/>
                <w:szCs w:val="16"/>
              </w:rPr>
              <w:br/>
              <w:t>Budget</w:t>
            </w:r>
            <w:r w:rsidRPr="00584D50">
              <w:rPr>
                <w:rFonts w:ascii="Arial" w:hAnsi="Arial" w:cs="Arial"/>
                <w:sz w:val="16"/>
                <w:szCs w:val="16"/>
              </w:rPr>
              <w:br/>
            </w:r>
            <w:r w:rsidRPr="00584D50">
              <w:rPr>
                <w:rFonts w:ascii="Arial" w:hAnsi="Arial" w:cs="Arial"/>
                <w:sz w:val="16"/>
                <w:szCs w:val="16"/>
              </w:rPr>
              <w:br/>
              <w:t>$</w:t>
            </w:r>
            <w:r w:rsidR="00B33758">
              <w:rPr>
                <w:rFonts w:ascii="Arial" w:hAnsi="Arial" w:cs="Arial"/>
                <w:sz w:val="16"/>
                <w:szCs w:val="16"/>
              </w:rPr>
              <w:t>’</w:t>
            </w:r>
            <w:r w:rsidRPr="00584D5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6265108" w14:textId="4E99498F"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2023</w:t>
            </w:r>
            <w:r w:rsidR="00B33758">
              <w:rPr>
                <w:rFonts w:ascii="Arial" w:hAnsi="Arial" w:cs="Arial"/>
                <w:sz w:val="16"/>
                <w:szCs w:val="16"/>
              </w:rPr>
              <w:noBreakHyphen/>
            </w:r>
            <w:r w:rsidRPr="00584D50">
              <w:rPr>
                <w:rFonts w:ascii="Arial" w:hAnsi="Arial" w:cs="Arial"/>
                <w:sz w:val="16"/>
                <w:szCs w:val="16"/>
              </w:rPr>
              <w:t>24 Forward estimate</w:t>
            </w:r>
            <w:r w:rsidRPr="00584D50">
              <w:rPr>
                <w:rFonts w:ascii="Arial" w:hAnsi="Arial" w:cs="Arial"/>
                <w:sz w:val="16"/>
                <w:szCs w:val="16"/>
              </w:rPr>
              <w:br/>
              <w:t>$</w:t>
            </w:r>
            <w:r w:rsidR="00B33758">
              <w:rPr>
                <w:rFonts w:ascii="Arial" w:hAnsi="Arial" w:cs="Arial"/>
                <w:sz w:val="16"/>
                <w:szCs w:val="16"/>
              </w:rPr>
              <w:t>’</w:t>
            </w:r>
            <w:r w:rsidRPr="00584D5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6FF6164" w14:textId="68DD8B38"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2024</w:t>
            </w:r>
            <w:r w:rsidR="00B33758">
              <w:rPr>
                <w:rFonts w:ascii="Arial" w:hAnsi="Arial" w:cs="Arial"/>
                <w:sz w:val="16"/>
                <w:szCs w:val="16"/>
              </w:rPr>
              <w:noBreakHyphen/>
            </w:r>
            <w:r w:rsidRPr="00584D50">
              <w:rPr>
                <w:rFonts w:ascii="Arial" w:hAnsi="Arial" w:cs="Arial"/>
                <w:sz w:val="16"/>
                <w:szCs w:val="16"/>
              </w:rPr>
              <w:t>25 Forward estimate</w:t>
            </w:r>
            <w:r w:rsidRPr="00584D50">
              <w:rPr>
                <w:rFonts w:ascii="Arial" w:hAnsi="Arial" w:cs="Arial"/>
                <w:sz w:val="16"/>
                <w:szCs w:val="16"/>
              </w:rPr>
              <w:br/>
              <w:t>$</w:t>
            </w:r>
            <w:r w:rsidR="00B33758">
              <w:rPr>
                <w:rFonts w:ascii="Arial" w:hAnsi="Arial" w:cs="Arial"/>
                <w:sz w:val="16"/>
                <w:szCs w:val="16"/>
              </w:rPr>
              <w:t>’</w:t>
            </w:r>
            <w:r w:rsidRPr="00584D5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E483018" w14:textId="38C08A00"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2025</w:t>
            </w:r>
            <w:r w:rsidR="00B33758">
              <w:rPr>
                <w:rFonts w:ascii="Arial" w:hAnsi="Arial" w:cs="Arial"/>
                <w:sz w:val="16"/>
                <w:szCs w:val="16"/>
              </w:rPr>
              <w:noBreakHyphen/>
            </w:r>
            <w:r w:rsidRPr="00584D50">
              <w:rPr>
                <w:rFonts w:ascii="Arial" w:hAnsi="Arial" w:cs="Arial"/>
                <w:sz w:val="16"/>
                <w:szCs w:val="16"/>
              </w:rPr>
              <w:t>26</w:t>
            </w:r>
            <w:r w:rsidRPr="00584D50">
              <w:rPr>
                <w:rFonts w:ascii="Arial" w:hAnsi="Arial" w:cs="Arial"/>
                <w:sz w:val="16"/>
                <w:szCs w:val="16"/>
              </w:rPr>
              <w:br/>
              <w:t>Forward estimate</w:t>
            </w:r>
            <w:r w:rsidRPr="00584D50">
              <w:rPr>
                <w:rFonts w:ascii="Arial" w:hAnsi="Arial" w:cs="Arial"/>
                <w:sz w:val="16"/>
                <w:szCs w:val="16"/>
              </w:rPr>
              <w:br/>
              <w:t>$</w:t>
            </w:r>
            <w:r w:rsidR="00B33758">
              <w:rPr>
                <w:rFonts w:ascii="Arial" w:hAnsi="Arial" w:cs="Arial"/>
                <w:sz w:val="16"/>
                <w:szCs w:val="16"/>
              </w:rPr>
              <w:t>’</w:t>
            </w:r>
            <w:r w:rsidRPr="00584D50">
              <w:rPr>
                <w:rFonts w:ascii="Arial" w:hAnsi="Arial" w:cs="Arial"/>
                <w:sz w:val="16"/>
                <w:szCs w:val="16"/>
              </w:rPr>
              <w:t>000</w:t>
            </w:r>
          </w:p>
        </w:tc>
      </w:tr>
      <w:tr w:rsidR="00584D50" w:rsidRPr="00584D50" w14:paraId="6493785F" w14:textId="77777777" w:rsidTr="00584D50">
        <w:trPr>
          <w:trHeight w:hRule="exact" w:val="225"/>
        </w:trPr>
        <w:tc>
          <w:tcPr>
            <w:tcW w:w="2105" w:type="pct"/>
            <w:tcBorders>
              <w:top w:val="nil"/>
              <w:left w:val="nil"/>
              <w:bottom w:val="nil"/>
              <w:right w:val="nil"/>
            </w:tcBorders>
            <w:shd w:val="clear" w:color="auto" w:fill="auto"/>
            <w:noWrap/>
            <w:hideMark/>
          </w:tcPr>
          <w:p w14:paraId="3CD3026F" w14:textId="77777777"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061121B6" w14:textId="77777777" w:rsidR="00584D50" w:rsidRPr="00584D50" w:rsidRDefault="00584D50" w:rsidP="00584D50">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5A46FE3C"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709429B2" w14:textId="77777777" w:rsidR="00584D50" w:rsidRPr="00584D50" w:rsidRDefault="00584D50" w:rsidP="00584D50">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7F109310" w14:textId="77777777" w:rsidR="00584D50" w:rsidRPr="00584D50" w:rsidRDefault="00584D50" w:rsidP="00584D5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39E6C154" w14:textId="77777777" w:rsidR="00584D50" w:rsidRPr="00584D50" w:rsidRDefault="00584D50" w:rsidP="00584D50">
            <w:pPr>
              <w:spacing w:after="0" w:line="240" w:lineRule="auto"/>
              <w:jc w:val="right"/>
              <w:rPr>
                <w:rFonts w:ascii="Times New Roman" w:hAnsi="Times New Roman"/>
              </w:rPr>
            </w:pPr>
          </w:p>
        </w:tc>
      </w:tr>
      <w:tr w:rsidR="00584D50" w:rsidRPr="00584D50" w14:paraId="4A04B867" w14:textId="77777777" w:rsidTr="00584D50">
        <w:trPr>
          <w:trHeight w:hRule="exact" w:val="225"/>
        </w:trPr>
        <w:tc>
          <w:tcPr>
            <w:tcW w:w="2105" w:type="pct"/>
            <w:tcBorders>
              <w:top w:val="nil"/>
              <w:left w:val="nil"/>
              <w:bottom w:val="nil"/>
              <w:right w:val="nil"/>
            </w:tcBorders>
            <w:shd w:val="clear" w:color="auto" w:fill="auto"/>
            <w:noWrap/>
            <w:hideMark/>
          </w:tcPr>
          <w:p w14:paraId="087DD1F2"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Employee benefits</w:t>
            </w:r>
          </w:p>
        </w:tc>
        <w:tc>
          <w:tcPr>
            <w:tcW w:w="579" w:type="pct"/>
            <w:tcBorders>
              <w:top w:val="nil"/>
              <w:left w:val="nil"/>
              <w:bottom w:val="nil"/>
              <w:right w:val="nil"/>
            </w:tcBorders>
            <w:shd w:val="clear" w:color="auto" w:fill="auto"/>
            <w:noWrap/>
            <w:hideMark/>
          </w:tcPr>
          <w:p w14:paraId="5DEBE6F0"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210,904 </w:t>
            </w:r>
          </w:p>
        </w:tc>
        <w:tc>
          <w:tcPr>
            <w:tcW w:w="579" w:type="pct"/>
            <w:tcBorders>
              <w:top w:val="nil"/>
              <w:left w:val="nil"/>
              <w:bottom w:val="nil"/>
              <w:right w:val="nil"/>
            </w:tcBorders>
            <w:shd w:val="clear" w:color="000000" w:fill="E6E6E6"/>
            <w:noWrap/>
            <w:hideMark/>
          </w:tcPr>
          <w:p w14:paraId="3E075D9A"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212,665 </w:t>
            </w:r>
          </w:p>
        </w:tc>
        <w:tc>
          <w:tcPr>
            <w:tcW w:w="579" w:type="pct"/>
            <w:tcBorders>
              <w:top w:val="nil"/>
              <w:left w:val="nil"/>
              <w:bottom w:val="nil"/>
              <w:right w:val="nil"/>
            </w:tcBorders>
            <w:shd w:val="clear" w:color="auto" w:fill="auto"/>
            <w:noWrap/>
            <w:hideMark/>
          </w:tcPr>
          <w:p w14:paraId="3B9EC3AC"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181,309 </w:t>
            </w:r>
          </w:p>
        </w:tc>
        <w:tc>
          <w:tcPr>
            <w:tcW w:w="579" w:type="pct"/>
            <w:tcBorders>
              <w:top w:val="nil"/>
              <w:left w:val="nil"/>
              <w:bottom w:val="nil"/>
              <w:right w:val="nil"/>
            </w:tcBorders>
            <w:shd w:val="clear" w:color="auto" w:fill="auto"/>
            <w:noWrap/>
            <w:hideMark/>
          </w:tcPr>
          <w:p w14:paraId="54C57872"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175,613 </w:t>
            </w:r>
          </w:p>
        </w:tc>
        <w:tc>
          <w:tcPr>
            <w:tcW w:w="579" w:type="pct"/>
            <w:tcBorders>
              <w:top w:val="nil"/>
              <w:left w:val="nil"/>
              <w:bottom w:val="nil"/>
              <w:right w:val="nil"/>
            </w:tcBorders>
            <w:shd w:val="clear" w:color="auto" w:fill="auto"/>
            <w:noWrap/>
            <w:hideMark/>
          </w:tcPr>
          <w:p w14:paraId="36AA9AE3"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169,889 </w:t>
            </w:r>
          </w:p>
        </w:tc>
      </w:tr>
      <w:tr w:rsidR="00584D50" w:rsidRPr="00584D50" w14:paraId="0514DB57" w14:textId="77777777" w:rsidTr="00584D50">
        <w:trPr>
          <w:trHeight w:hRule="exact" w:val="225"/>
        </w:trPr>
        <w:tc>
          <w:tcPr>
            <w:tcW w:w="2105" w:type="pct"/>
            <w:tcBorders>
              <w:top w:val="nil"/>
              <w:left w:val="nil"/>
              <w:bottom w:val="nil"/>
              <w:right w:val="nil"/>
            </w:tcBorders>
            <w:shd w:val="clear" w:color="auto" w:fill="auto"/>
            <w:noWrap/>
            <w:hideMark/>
          </w:tcPr>
          <w:p w14:paraId="32231B44"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Suppliers</w:t>
            </w:r>
          </w:p>
        </w:tc>
        <w:tc>
          <w:tcPr>
            <w:tcW w:w="579" w:type="pct"/>
            <w:tcBorders>
              <w:top w:val="nil"/>
              <w:left w:val="nil"/>
              <w:bottom w:val="nil"/>
              <w:right w:val="nil"/>
            </w:tcBorders>
            <w:shd w:val="clear" w:color="auto" w:fill="auto"/>
            <w:noWrap/>
            <w:hideMark/>
          </w:tcPr>
          <w:p w14:paraId="07D9BD00"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123,649 </w:t>
            </w:r>
          </w:p>
        </w:tc>
        <w:tc>
          <w:tcPr>
            <w:tcW w:w="579" w:type="pct"/>
            <w:tcBorders>
              <w:top w:val="nil"/>
              <w:left w:val="nil"/>
              <w:bottom w:val="nil"/>
              <w:right w:val="nil"/>
            </w:tcBorders>
            <w:shd w:val="clear" w:color="000000" w:fill="E6E6E6"/>
            <w:noWrap/>
            <w:hideMark/>
          </w:tcPr>
          <w:p w14:paraId="47344C71"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118,632 </w:t>
            </w:r>
          </w:p>
        </w:tc>
        <w:tc>
          <w:tcPr>
            <w:tcW w:w="579" w:type="pct"/>
            <w:tcBorders>
              <w:top w:val="nil"/>
              <w:left w:val="nil"/>
              <w:bottom w:val="nil"/>
              <w:right w:val="nil"/>
            </w:tcBorders>
            <w:shd w:val="clear" w:color="auto" w:fill="auto"/>
            <w:noWrap/>
            <w:hideMark/>
          </w:tcPr>
          <w:p w14:paraId="3C6561AB"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97,283 </w:t>
            </w:r>
          </w:p>
        </w:tc>
        <w:tc>
          <w:tcPr>
            <w:tcW w:w="579" w:type="pct"/>
            <w:tcBorders>
              <w:top w:val="nil"/>
              <w:left w:val="nil"/>
              <w:bottom w:val="nil"/>
              <w:right w:val="nil"/>
            </w:tcBorders>
            <w:shd w:val="clear" w:color="auto" w:fill="auto"/>
            <w:noWrap/>
            <w:hideMark/>
          </w:tcPr>
          <w:p w14:paraId="1860B610"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81,679 </w:t>
            </w:r>
          </w:p>
        </w:tc>
        <w:tc>
          <w:tcPr>
            <w:tcW w:w="579" w:type="pct"/>
            <w:tcBorders>
              <w:top w:val="nil"/>
              <w:left w:val="nil"/>
              <w:bottom w:val="nil"/>
              <w:right w:val="nil"/>
            </w:tcBorders>
            <w:shd w:val="clear" w:color="auto" w:fill="auto"/>
            <w:noWrap/>
            <w:hideMark/>
          </w:tcPr>
          <w:p w14:paraId="51354E97"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80,827 </w:t>
            </w:r>
          </w:p>
        </w:tc>
      </w:tr>
      <w:tr w:rsidR="00584D50" w:rsidRPr="00584D50" w14:paraId="2EBE2517" w14:textId="77777777" w:rsidTr="00584D50">
        <w:trPr>
          <w:trHeight w:hRule="exact" w:val="225"/>
        </w:trPr>
        <w:tc>
          <w:tcPr>
            <w:tcW w:w="2105" w:type="pct"/>
            <w:tcBorders>
              <w:top w:val="nil"/>
              <w:left w:val="nil"/>
              <w:bottom w:val="nil"/>
              <w:right w:val="nil"/>
            </w:tcBorders>
            <w:shd w:val="clear" w:color="auto" w:fill="auto"/>
            <w:noWrap/>
            <w:hideMark/>
          </w:tcPr>
          <w:p w14:paraId="0C2F3BFA"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 xml:space="preserve">Grants </w:t>
            </w:r>
          </w:p>
        </w:tc>
        <w:tc>
          <w:tcPr>
            <w:tcW w:w="579" w:type="pct"/>
            <w:tcBorders>
              <w:top w:val="nil"/>
              <w:left w:val="nil"/>
              <w:bottom w:val="nil"/>
              <w:right w:val="nil"/>
            </w:tcBorders>
            <w:shd w:val="clear" w:color="auto" w:fill="auto"/>
            <w:noWrap/>
            <w:hideMark/>
          </w:tcPr>
          <w:p w14:paraId="0B1C8F1C"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958 </w:t>
            </w:r>
          </w:p>
        </w:tc>
        <w:tc>
          <w:tcPr>
            <w:tcW w:w="579" w:type="pct"/>
            <w:tcBorders>
              <w:top w:val="nil"/>
              <w:left w:val="nil"/>
              <w:bottom w:val="nil"/>
              <w:right w:val="nil"/>
            </w:tcBorders>
            <w:shd w:val="clear" w:color="000000" w:fill="E6E6E6"/>
            <w:noWrap/>
            <w:hideMark/>
          </w:tcPr>
          <w:p w14:paraId="61AADBDE"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958 </w:t>
            </w:r>
          </w:p>
        </w:tc>
        <w:tc>
          <w:tcPr>
            <w:tcW w:w="579" w:type="pct"/>
            <w:tcBorders>
              <w:top w:val="nil"/>
              <w:left w:val="nil"/>
              <w:bottom w:val="nil"/>
              <w:right w:val="nil"/>
            </w:tcBorders>
            <w:shd w:val="clear" w:color="auto" w:fill="auto"/>
            <w:noWrap/>
            <w:hideMark/>
          </w:tcPr>
          <w:p w14:paraId="72C1C46A"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958 </w:t>
            </w:r>
          </w:p>
        </w:tc>
        <w:tc>
          <w:tcPr>
            <w:tcW w:w="579" w:type="pct"/>
            <w:tcBorders>
              <w:top w:val="nil"/>
              <w:left w:val="nil"/>
              <w:bottom w:val="nil"/>
              <w:right w:val="nil"/>
            </w:tcBorders>
            <w:shd w:val="clear" w:color="auto" w:fill="auto"/>
            <w:noWrap/>
            <w:hideMark/>
          </w:tcPr>
          <w:p w14:paraId="0E98FE83"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958 </w:t>
            </w:r>
          </w:p>
        </w:tc>
        <w:tc>
          <w:tcPr>
            <w:tcW w:w="579" w:type="pct"/>
            <w:tcBorders>
              <w:top w:val="nil"/>
              <w:left w:val="nil"/>
              <w:bottom w:val="nil"/>
              <w:right w:val="nil"/>
            </w:tcBorders>
            <w:shd w:val="clear" w:color="auto" w:fill="auto"/>
            <w:noWrap/>
            <w:hideMark/>
          </w:tcPr>
          <w:p w14:paraId="1E689F90"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958 </w:t>
            </w:r>
          </w:p>
        </w:tc>
      </w:tr>
      <w:tr w:rsidR="00584D50" w:rsidRPr="00584D50" w14:paraId="7E597DFB" w14:textId="77777777" w:rsidTr="00584D50">
        <w:trPr>
          <w:trHeight w:hRule="exact" w:val="225"/>
        </w:trPr>
        <w:tc>
          <w:tcPr>
            <w:tcW w:w="2105" w:type="pct"/>
            <w:tcBorders>
              <w:top w:val="nil"/>
              <w:left w:val="nil"/>
              <w:bottom w:val="nil"/>
              <w:right w:val="nil"/>
            </w:tcBorders>
            <w:shd w:val="clear" w:color="auto" w:fill="auto"/>
            <w:noWrap/>
            <w:hideMark/>
          </w:tcPr>
          <w:p w14:paraId="4FA1ABA9"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Depreciation and amortisation (a)</w:t>
            </w:r>
          </w:p>
        </w:tc>
        <w:tc>
          <w:tcPr>
            <w:tcW w:w="579" w:type="pct"/>
            <w:tcBorders>
              <w:top w:val="nil"/>
              <w:left w:val="nil"/>
              <w:bottom w:val="nil"/>
              <w:right w:val="nil"/>
            </w:tcBorders>
            <w:shd w:val="clear" w:color="auto" w:fill="auto"/>
            <w:noWrap/>
            <w:hideMark/>
          </w:tcPr>
          <w:p w14:paraId="0843571A"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14,551 </w:t>
            </w:r>
          </w:p>
        </w:tc>
        <w:tc>
          <w:tcPr>
            <w:tcW w:w="579" w:type="pct"/>
            <w:tcBorders>
              <w:top w:val="nil"/>
              <w:left w:val="nil"/>
              <w:bottom w:val="nil"/>
              <w:right w:val="nil"/>
            </w:tcBorders>
            <w:shd w:val="clear" w:color="000000" w:fill="E6E6E6"/>
            <w:noWrap/>
            <w:hideMark/>
          </w:tcPr>
          <w:p w14:paraId="1A7138B8"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13,957 </w:t>
            </w:r>
          </w:p>
        </w:tc>
        <w:tc>
          <w:tcPr>
            <w:tcW w:w="579" w:type="pct"/>
            <w:tcBorders>
              <w:top w:val="nil"/>
              <w:left w:val="nil"/>
              <w:bottom w:val="nil"/>
              <w:right w:val="nil"/>
            </w:tcBorders>
            <w:shd w:val="clear" w:color="auto" w:fill="auto"/>
            <w:noWrap/>
            <w:hideMark/>
          </w:tcPr>
          <w:p w14:paraId="0499AE22"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13,931 </w:t>
            </w:r>
          </w:p>
        </w:tc>
        <w:tc>
          <w:tcPr>
            <w:tcW w:w="579" w:type="pct"/>
            <w:tcBorders>
              <w:top w:val="nil"/>
              <w:left w:val="nil"/>
              <w:bottom w:val="nil"/>
              <w:right w:val="nil"/>
            </w:tcBorders>
            <w:shd w:val="clear" w:color="auto" w:fill="auto"/>
            <w:noWrap/>
            <w:hideMark/>
          </w:tcPr>
          <w:p w14:paraId="16BA062D"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13,703 </w:t>
            </w:r>
          </w:p>
        </w:tc>
        <w:tc>
          <w:tcPr>
            <w:tcW w:w="579" w:type="pct"/>
            <w:tcBorders>
              <w:top w:val="nil"/>
              <w:left w:val="nil"/>
              <w:bottom w:val="nil"/>
              <w:right w:val="nil"/>
            </w:tcBorders>
            <w:shd w:val="clear" w:color="auto" w:fill="auto"/>
            <w:noWrap/>
            <w:hideMark/>
          </w:tcPr>
          <w:p w14:paraId="798BAC2F"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13,703 </w:t>
            </w:r>
          </w:p>
        </w:tc>
      </w:tr>
      <w:tr w:rsidR="00584D50" w:rsidRPr="00584D50" w14:paraId="426A6FD4" w14:textId="77777777" w:rsidTr="00584D50">
        <w:trPr>
          <w:trHeight w:hRule="exact" w:val="225"/>
        </w:trPr>
        <w:tc>
          <w:tcPr>
            <w:tcW w:w="2105" w:type="pct"/>
            <w:tcBorders>
              <w:top w:val="nil"/>
              <w:left w:val="nil"/>
              <w:bottom w:val="nil"/>
              <w:right w:val="nil"/>
            </w:tcBorders>
            <w:shd w:val="clear" w:color="auto" w:fill="auto"/>
            <w:noWrap/>
            <w:hideMark/>
          </w:tcPr>
          <w:p w14:paraId="4A431093"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Finance costs</w:t>
            </w:r>
          </w:p>
        </w:tc>
        <w:tc>
          <w:tcPr>
            <w:tcW w:w="579" w:type="pct"/>
            <w:tcBorders>
              <w:top w:val="nil"/>
              <w:left w:val="nil"/>
              <w:bottom w:val="nil"/>
              <w:right w:val="nil"/>
            </w:tcBorders>
            <w:shd w:val="clear" w:color="auto" w:fill="auto"/>
            <w:noWrap/>
            <w:hideMark/>
          </w:tcPr>
          <w:p w14:paraId="09DFC420"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1,852 </w:t>
            </w:r>
          </w:p>
        </w:tc>
        <w:tc>
          <w:tcPr>
            <w:tcW w:w="579" w:type="pct"/>
            <w:tcBorders>
              <w:top w:val="nil"/>
              <w:left w:val="nil"/>
              <w:bottom w:val="nil"/>
              <w:right w:val="nil"/>
            </w:tcBorders>
            <w:shd w:val="clear" w:color="000000" w:fill="E6E6E6"/>
            <w:noWrap/>
            <w:hideMark/>
          </w:tcPr>
          <w:p w14:paraId="6873C89A"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1,733 </w:t>
            </w:r>
          </w:p>
        </w:tc>
        <w:tc>
          <w:tcPr>
            <w:tcW w:w="579" w:type="pct"/>
            <w:tcBorders>
              <w:top w:val="nil"/>
              <w:left w:val="nil"/>
              <w:bottom w:val="nil"/>
              <w:right w:val="nil"/>
            </w:tcBorders>
            <w:shd w:val="clear" w:color="auto" w:fill="auto"/>
            <w:noWrap/>
            <w:hideMark/>
          </w:tcPr>
          <w:p w14:paraId="3CE3B900"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1,728 </w:t>
            </w:r>
          </w:p>
        </w:tc>
        <w:tc>
          <w:tcPr>
            <w:tcW w:w="579" w:type="pct"/>
            <w:tcBorders>
              <w:top w:val="nil"/>
              <w:left w:val="nil"/>
              <w:bottom w:val="nil"/>
              <w:right w:val="nil"/>
            </w:tcBorders>
            <w:shd w:val="clear" w:color="auto" w:fill="auto"/>
            <w:noWrap/>
            <w:hideMark/>
          </w:tcPr>
          <w:p w14:paraId="073D14E9"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1,724 </w:t>
            </w:r>
          </w:p>
        </w:tc>
        <w:tc>
          <w:tcPr>
            <w:tcW w:w="579" w:type="pct"/>
            <w:tcBorders>
              <w:top w:val="nil"/>
              <w:left w:val="nil"/>
              <w:bottom w:val="nil"/>
              <w:right w:val="nil"/>
            </w:tcBorders>
            <w:shd w:val="clear" w:color="auto" w:fill="auto"/>
            <w:noWrap/>
            <w:hideMark/>
          </w:tcPr>
          <w:p w14:paraId="4D57F54D"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1,724 </w:t>
            </w:r>
          </w:p>
        </w:tc>
      </w:tr>
      <w:tr w:rsidR="00584D50" w:rsidRPr="00584D50" w14:paraId="5056A1D1" w14:textId="77777777" w:rsidTr="00584D50">
        <w:trPr>
          <w:trHeight w:hRule="exact" w:val="225"/>
        </w:trPr>
        <w:tc>
          <w:tcPr>
            <w:tcW w:w="2105" w:type="pct"/>
            <w:tcBorders>
              <w:top w:val="nil"/>
              <w:left w:val="nil"/>
              <w:bottom w:val="nil"/>
              <w:right w:val="nil"/>
            </w:tcBorders>
            <w:shd w:val="clear" w:color="auto" w:fill="auto"/>
            <w:noWrap/>
            <w:hideMark/>
          </w:tcPr>
          <w:p w14:paraId="0850DE3A" w14:textId="77777777"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hideMark/>
          </w:tcPr>
          <w:p w14:paraId="216A121E"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351,914 </w:t>
            </w:r>
          </w:p>
        </w:tc>
        <w:tc>
          <w:tcPr>
            <w:tcW w:w="579" w:type="pct"/>
            <w:tcBorders>
              <w:top w:val="single" w:sz="4" w:space="0" w:color="auto"/>
              <w:left w:val="nil"/>
              <w:bottom w:val="single" w:sz="4" w:space="0" w:color="auto"/>
              <w:right w:val="nil"/>
            </w:tcBorders>
            <w:shd w:val="clear" w:color="000000" w:fill="E6E6E6"/>
            <w:noWrap/>
            <w:hideMark/>
          </w:tcPr>
          <w:p w14:paraId="7D45C177"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347,945 </w:t>
            </w:r>
          </w:p>
        </w:tc>
        <w:tc>
          <w:tcPr>
            <w:tcW w:w="579" w:type="pct"/>
            <w:tcBorders>
              <w:top w:val="single" w:sz="4" w:space="0" w:color="auto"/>
              <w:left w:val="nil"/>
              <w:bottom w:val="single" w:sz="4" w:space="0" w:color="auto"/>
              <w:right w:val="nil"/>
            </w:tcBorders>
            <w:shd w:val="clear" w:color="auto" w:fill="auto"/>
            <w:noWrap/>
            <w:hideMark/>
          </w:tcPr>
          <w:p w14:paraId="781BF7C0"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295,209 </w:t>
            </w:r>
          </w:p>
        </w:tc>
        <w:tc>
          <w:tcPr>
            <w:tcW w:w="579" w:type="pct"/>
            <w:tcBorders>
              <w:top w:val="single" w:sz="4" w:space="0" w:color="auto"/>
              <w:left w:val="nil"/>
              <w:bottom w:val="single" w:sz="4" w:space="0" w:color="auto"/>
              <w:right w:val="nil"/>
            </w:tcBorders>
            <w:shd w:val="clear" w:color="auto" w:fill="auto"/>
            <w:noWrap/>
            <w:hideMark/>
          </w:tcPr>
          <w:p w14:paraId="63FC74F6"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273,677 </w:t>
            </w:r>
          </w:p>
        </w:tc>
        <w:tc>
          <w:tcPr>
            <w:tcW w:w="579" w:type="pct"/>
            <w:tcBorders>
              <w:top w:val="single" w:sz="4" w:space="0" w:color="auto"/>
              <w:left w:val="nil"/>
              <w:bottom w:val="single" w:sz="4" w:space="0" w:color="auto"/>
              <w:right w:val="nil"/>
            </w:tcBorders>
            <w:shd w:val="clear" w:color="auto" w:fill="auto"/>
            <w:noWrap/>
            <w:hideMark/>
          </w:tcPr>
          <w:p w14:paraId="671FF714"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267,101 </w:t>
            </w:r>
          </w:p>
        </w:tc>
      </w:tr>
      <w:tr w:rsidR="00584D50" w:rsidRPr="00584D50" w14:paraId="3173458D" w14:textId="77777777" w:rsidTr="00584D50">
        <w:trPr>
          <w:trHeight w:hRule="exact" w:val="225"/>
        </w:trPr>
        <w:tc>
          <w:tcPr>
            <w:tcW w:w="2105" w:type="pct"/>
            <w:tcBorders>
              <w:top w:val="nil"/>
              <w:left w:val="nil"/>
              <w:bottom w:val="nil"/>
              <w:right w:val="nil"/>
            </w:tcBorders>
            <w:shd w:val="clear" w:color="auto" w:fill="auto"/>
            <w:noWrap/>
            <w:hideMark/>
          </w:tcPr>
          <w:p w14:paraId="268AA9D1" w14:textId="77777777"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 xml:space="preserve">LESS: </w:t>
            </w:r>
          </w:p>
        </w:tc>
        <w:tc>
          <w:tcPr>
            <w:tcW w:w="579" w:type="pct"/>
            <w:tcBorders>
              <w:top w:val="nil"/>
              <w:left w:val="nil"/>
              <w:bottom w:val="nil"/>
              <w:right w:val="nil"/>
            </w:tcBorders>
            <w:shd w:val="clear" w:color="auto" w:fill="auto"/>
            <w:noWrap/>
            <w:hideMark/>
          </w:tcPr>
          <w:p w14:paraId="30A17711" w14:textId="77777777" w:rsidR="00584D50" w:rsidRPr="00584D50" w:rsidRDefault="00584D50" w:rsidP="00584D50">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3D618D3C"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62740A44" w14:textId="77777777" w:rsidR="00584D50" w:rsidRPr="00584D50" w:rsidRDefault="00584D50" w:rsidP="00584D50">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18BAB9E2" w14:textId="77777777" w:rsidR="00584D50" w:rsidRPr="00584D50" w:rsidRDefault="00584D50" w:rsidP="00584D5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4E79CB26" w14:textId="77777777" w:rsidR="00584D50" w:rsidRPr="00584D50" w:rsidRDefault="00584D50" w:rsidP="00584D50">
            <w:pPr>
              <w:spacing w:after="0" w:line="240" w:lineRule="auto"/>
              <w:jc w:val="right"/>
              <w:rPr>
                <w:rFonts w:ascii="Times New Roman" w:hAnsi="Times New Roman"/>
              </w:rPr>
            </w:pPr>
          </w:p>
        </w:tc>
      </w:tr>
      <w:tr w:rsidR="00584D50" w:rsidRPr="00584D50" w14:paraId="4BC4492B" w14:textId="77777777" w:rsidTr="00584D50">
        <w:trPr>
          <w:trHeight w:hRule="exact" w:val="225"/>
        </w:trPr>
        <w:tc>
          <w:tcPr>
            <w:tcW w:w="2105" w:type="pct"/>
            <w:tcBorders>
              <w:top w:val="nil"/>
              <w:left w:val="nil"/>
              <w:bottom w:val="nil"/>
              <w:right w:val="nil"/>
            </w:tcBorders>
            <w:shd w:val="clear" w:color="auto" w:fill="auto"/>
            <w:noWrap/>
            <w:hideMark/>
          </w:tcPr>
          <w:p w14:paraId="2E3FF669" w14:textId="24E08BEE"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OWN</w:t>
            </w:r>
            <w:r w:rsidR="00B33758">
              <w:rPr>
                <w:rFonts w:ascii="Arial" w:hAnsi="Arial" w:cs="Arial"/>
                <w:b/>
                <w:bCs/>
                <w:sz w:val="16"/>
                <w:szCs w:val="16"/>
              </w:rPr>
              <w:noBreakHyphen/>
            </w:r>
            <w:r w:rsidRPr="00584D50">
              <w:rPr>
                <w:rFonts w:ascii="Arial" w:hAnsi="Arial" w:cs="Arial"/>
                <w:b/>
                <w:bCs/>
                <w:sz w:val="16"/>
                <w:szCs w:val="16"/>
              </w:rPr>
              <w:t>SOURCE INCOME</w:t>
            </w:r>
          </w:p>
        </w:tc>
        <w:tc>
          <w:tcPr>
            <w:tcW w:w="579" w:type="pct"/>
            <w:tcBorders>
              <w:top w:val="nil"/>
              <w:left w:val="nil"/>
              <w:bottom w:val="nil"/>
              <w:right w:val="nil"/>
            </w:tcBorders>
            <w:shd w:val="clear" w:color="auto" w:fill="auto"/>
            <w:noWrap/>
            <w:hideMark/>
          </w:tcPr>
          <w:p w14:paraId="66DCD8DC" w14:textId="77777777" w:rsidR="00584D50" w:rsidRPr="00584D50" w:rsidRDefault="00584D50" w:rsidP="00584D50">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41784B09"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3EE36D50" w14:textId="77777777" w:rsidR="00584D50" w:rsidRPr="00584D50" w:rsidRDefault="00584D50" w:rsidP="00584D50">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35E5761F" w14:textId="77777777" w:rsidR="00584D50" w:rsidRPr="00584D50" w:rsidRDefault="00584D50" w:rsidP="00584D5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3EF157DB" w14:textId="77777777" w:rsidR="00584D50" w:rsidRPr="00584D50" w:rsidRDefault="00584D50" w:rsidP="00584D50">
            <w:pPr>
              <w:spacing w:after="0" w:line="240" w:lineRule="auto"/>
              <w:jc w:val="right"/>
              <w:rPr>
                <w:rFonts w:ascii="Times New Roman" w:hAnsi="Times New Roman"/>
              </w:rPr>
            </w:pPr>
          </w:p>
        </w:tc>
      </w:tr>
      <w:tr w:rsidR="00584D50" w:rsidRPr="00584D50" w14:paraId="050A4BCD" w14:textId="77777777" w:rsidTr="00584D50">
        <w:trPr>
          <w:trHeight w:hRule="exact" w:val="225"/>
        </w:trPr>
        <w:tc>
          <w:tcPr>
            <w:tcW w:w="2105" w:type="pct"/>
            <w:tcBorders>
              <w:top w:val="nil"/>
              <w:left w:val="nil"/>
              <w:bottom w:val="nil"/>
              <w:right w:val="nil"/>
            </w:tcBorders>
            <w:shd w:val="clear" w:color="auto" w:fill="auto"/>
            <w:noWrap/>
            <w:hideMark/>
          </w:tcPr>
          <w:p w14:paraId="4437E3F1" w14:textId="1EA139A1"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Own</w:t>
            </w:r>
            <w:r w:rsidR="00B33758">
              <w:rPr>
                <w:rFonts w:ascii="Arial" w:hAnsi="Arial" w:cs="Arial"/>
                <w:b/>
                <w:bCs/>
                <w:sz w:val="16"/>
                <w:szCs w:val="16"/>
              </w:rPr>
              <w:noBreakHyphen/>
            </w:r>
            <w:r w:rsidRPr="00584D50">
              <w:rPr>
                <w:rFonts w:ascii="Arial" w:hAnsi="Arial" w:cs="Arial"/>
                <w:b/>
                <w:bCs/>
                <w:sz w:val="16"/>
                <w:szCs w:val="16"/>
              </w:rPr>
              <w:t>source revenue</w:t>
            </w:r>
          </w:p>
        </w:tc>
        <w:tc>
          <w:tcPr>
            <w:tcW w:w="579" w:type="pct"/>
            <w:tcBorders>
              <w:top w:val="nil"/>
              <w:left w:val="nil"/>
              <w:bottom w:val="nil"/>
              <w:right w:val="nil"/>
            </w:tcBorders>
            <w:shd w:val="clear" w:color="auto" w:fill="auto"/>
            <w:noWrap/>
            <w:hideMark/>
          </w:tcPr>
          <w:p w14:paraId="2F306EEA" w14:textId="77777777" w:rsidR="00584D50" w:rsidRPr="00584D50" w:rsidRDefault="00584D50" w:rsidP="00584D50">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701BE318"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78E3F29F" w14:textId="77777777" w:rsidR="00584D50" w:rsidRPr="00584D50" w:rsidRDefault="00584D50" w:rsidP="00584D50">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5BDFB4F9" w14:textId="77777777" w:rsidR="00584D50" w:rsidRPr="00584D50" w:rsidRDefault="00584D50" w:rsidP="00584D5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302E8DFF" w14:textId="77777777" w:rsidR="00584D50" w:rsidRPr="00584D50" w:rsidRDefault="00584D50" w:rsidP="00584D50">
            <w:pPr>
              <w:spacing w:after="0" w:line="240" w:lineRule="auto"/>
              <w:jc w:val="right"/>
              <w:rPr>
                <w:rFonts w:ascii="Times New Roman" w:hAnsi="Times New Roman"/>
              </w:rPr>
            </w:pPr>
          </w:p>
        </w:tc>
      </w:tr>
      <w:tr w:rsidR="00584D50" w:rsidRPr="00584D50" w14:paraId="51A71B3B" w14:textId="77777777" w:rsidTr="00584D50">
        <w:trPr>
          <w:trHeight w:hRule="exact" w:val="450"/>
        </w:trPr>
        <w:tc>
          <w:tcPr>
            <w:tcW w:w="2105" w:type="pct"/>
            <w:tcBorders>
              <w:top w:val="nil"/>
              <w:left w:val="nil"/>
              <w:bottom w:val="nil"/>
              <w:right w:val="nil"/>
            </w:tcBorders>
            <w:shd w:val="clear" w:color="auto" w:fill="auto"/>
            <w:hideMark/>
          </w:tcPr>
          <w:p w14:paraId="770ABAFB"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Sale of goods and rendering of</w:t>
            </w:r>
            <w:r w:rsidRPr="00584D50">
              <w:rPr>
                <w:rFonts w:ascii="Arial" w:hAnsi="Arial" w:cs="Arial"/>
                <w:sz w:val="16"/>
                <w:szCs w:val="16"/>
              </w:rPr>
              <w:br/>
              <w:t xml:space="preserve">  services</w:t>
            </w:r>
          </w:p>
        </w:tc>
        <w:tc>
          <w:tcPr>
            <w:tcW w:w="579" w:type="pct"/>
            <w:tcBorders>
              <w:top w:val="nil"/>
              <w:left w:val="nil"/>
              <w:bottom w:val="nil"/>
              <w:right w:val="nil"/>
            </w:tcBorders>
            <w:shd w:val="clear" w:color="auto" w:fill="auto"/>
            <w:noWrap/>
            <w:hideMark/>
          </w:tcPr>
          <w:p w14:paraId="71B42245"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10,251 </w:t>
            </w:r>
          </w:p>
        </w:tc>
        <w:tc>
          <w:tcPr>
            <w:tcW w:w="579" w:type="pct"/>
            <w:tcBorders>
              <w:top w:val="nil"/>
              <w:left w:val="nil"/>
              <w:bottom w:val="nil"/>
              <w:right w:val="nil"/>
            </w:tcBorders>
            <w:shd w:val="clear" w:color="000000" w:fill="E6E6E6"/>
            <w:noWrap/>
            <w:hideMark/>
          </w:tcPr>
          <w:p w14:paraId="2693B145"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10,251 </w:t>
            </w:r>
          </w:p>
        </w:tc>
        <w:tc>
          <w:tcPr>
            <w:tcW w:w="579" w:type="pct"/>
            <w:tcBorders>
              <w:top w:val="nil"/>
              <w:left w:val="nil"/>
              <w:bottom w:val="nil"/>
              <w:right w:val="nil"/>
            </w:tcBorders>
            <w:shd w:val="clear" w:color="auto" w:fill="auto"/>
            <w:noWrap/>
            <w:hideMark/>
          </w:tcPr>
          <w:p w14:paraId="0B0475D1"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10,251 </w:t>
            </w:r>
          </w:p>
        </w:tc>
        <w:tc>
          <w:tcPr>
            <w:tcW w:w="579" w:type="pct"/>
            <w:tcBorders>
              <w:top w:val="nil"/>
              <w:left w:val="nil"/>
              <w:bottom w:val="nil"/>
              <w:right w:val="nil"/>
            </w:tcBorders>
            <w:shd w:val="clear" w:color="auto" w:fill="auto"/>
            <w:noWrap/>
            <w:hideMark/>
          </w:tcPr>
          <w:p w14:paraId="45288CEC"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10,251 </w:t>
            </w:r>
          </w:p>
        </w:tc>
        <w:tc>
          <w:tcPr>
            <w:tcW w:w="579" w:type="pct"/>
            <w:tcBorders>
              <w:top w:val="nil"/>
              <w:left w:val="nil"/>
              <w:bottom w:val="nil"/>
              <w:right w:val="nil"/>
            </w:tcBorders>
            <w:shd w:val="clear" w:color="auto" w:fill="auto"/>
            <w:noWrap/>
            <w:hideMark/>
          </w:tcPr>
          <w:p w14:paraId="3FB303D7"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10,251 </w:t>
            </w:r>
          </w:p>
        </w:tc>
      </w:tr>
      <w:tr w:rsidR="00584D50" w:rsidRPr="00584D50" w14:paraId="35149A55" w14:textId="77777777" w:rsidTr="00584D50">
        <w:trPr>
          <w:trHeight w:hRule="exact" w:val="225"/>
        </w:trPr>
        <w:tc>
          <w:tcPr>
            <w:tcW w:w="2105" w:type="pct"/>
            <w:tcBorders>
              <w:top w:val="nil"/>
              <w:left w:val="nil"/>
              <w:bottom w:val="nil"/>
              <w:right w:val="nil"/>
            </w:tcBorders>
            <w:shd w:val="clear" w:color="auto" w:fill="auto"/>
            <w:noWrap/>
            <w:hideMark/>
          </w:tcPr>
          <w:p w14:paraId="12CC9541"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Other</w:t>
            </w:r>
          </w:p>
        </w:tc>
        <w:tc>
          <w:tcPr>
            <w:tcW w:w="579" w:type="pct"/>
            <w:tcBorders>
              <w:top w:val="nil"/>
              <w:left w:val="nil"/>
              <w:bottom w:val="nil"/>
              <w:right w:val="nil"/>
            </w:tcBorders>
            <w:shd w:val="clear" w:color="auto" w:fill="auto"/>
            <w:noWrap/>
            <w:hideMark/>
          </w:tcPr>
          <w:p w14:paraId="4D86AAE4"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4,905 </w:t>
            </w:r>
          </w:p>
        </w:tc>
        <w:tc>
          <w:tcPr>
            <w:tcW w:w="579" w:type="pct"/>
            <w:tcBorders>
              <w:top w:val="nil"/>
              <w:left w:val="nil"/>
              <w:bottom w:val="nil"/>
              <w:right w:val="nil"/>
            </w:tcBorders>
            <w:shd w:val="clear" w:color="000000" w:fill="E6E6E6"/>
            <w:noWrap/>
            <w:hideMark/>
          </w:tcPr>
          <w:p w14:paraId="4256C338"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4,905 </w:t>
            </w:r>
          </w:p>
        </w:tc>
        <w:tc>
          <w:tcPr>
            <w:tcW w:w="579" w:type="pct"/>
            <w:tcBorders>
              <w:top w:val="nil"/>
              <w:left w:val="nil"/>
              <w:bottom w:val="nil"/>
              <w:right w:val="nil"/>
            </w:tcBorders>
            <w:shd w:val="clear" w:color="auto" w:fill="auto"/>
            <w:noWrap/>
            <w:hideMark/>
          </w:tcPr>
          <w:p w14:paraId="158C25BF"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4,905 </w:t>
            </w:r>
          </w:p>
        </w:tc>
        <w:tc>
          <w:tcPr>
            <w:tcW w:w="579" w:type="pct"/>
            <w:tcBorders>
              <w:top w:val="nil"/>
              <w:left w:val="nil"/>
              <w:bottom w:val="nil"/>
              <w:right w:val="nil"/>
            </w:tcBorders>
            <w:shd w:val="clear" w:color="auto" w:fill="auto"/>
            <w:noWrap/>
            <w:hideMark/>
          </w:tcPr>
          <w:p w14:paraId="3C90C12A"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4,905 </w:t>
            </w:r>
          </w:p>
        </w:tc>
        <w:tc>
          <w:tcPr>
            <w:tcW w:w="579" w:type="pct"/>
            <w:tcBorders>
              <w:top w:val="nil"/>
              <w:left w:val="nil"/>
              <w:bottom w:val="nil"/>
              <w:right w:val="nil"/>
            </w:tcBorders>
            <w:shd w:val="clear" w:color="auto" w:fill="auto"/>
            <w:noWrap/>
            <w:hideMark/>
          </w:tcPr>
          <w:p w14:paraId="184F4B9E"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4,905 </w:t>
            </w:r>
          </w:p>
        </w:tc>
      </w:tr>
      <w:tr w:rsidR="00584D50" w:rsidRPr="00584D50" w14:paraId="361045D7" w14:textId="77777777" w:rsidTr="00584D50">
        <w:trPr>
          <w:trHeight w:hRule="exact" w:val="225"/>
        </w:trPr>
        <w:tc>
          <w:tcPr>
            <w:tcW w:w="2105" w:type="pct"/>
            <w:tcBorders>
              <w:top w:val="nil"/>
              <w:left w:val="nil"/>
              <w:bottom w:val="nil"/>
              <w:right w:val="nil"/>
            </w:tcBorders>
            <w:shd w:val="clear" w:color="auto" w:fill="auto"/>
            <w:noWrap/>
            <w:hideMark/>
          </w:tcPr>
          <w:p w14:paraId="72716F9D" w14:textId="0E188928"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Total own</w:t>
            </w:r>
            <w:r w:rsidR="00B33758">
              <w:rPr>
                <w:rFonts w:ascii="Arial" w:hAnsi="Arial" w:cs="Arial"/>
                <w:b/>
                <w:bCs/>
                <w:sz w:val="16"/>
                <w:szCs w:val="16"/>
              </w:rPr>
              <w:noBreakHyphen/>
            </w:r>
            <w:r w:rsidRPr="00584D50">
              <w:rPr>
                <w:rFonts w:ascii="Arial" w:hAnsi="Arial" w:cs="Arial"/>
                <w:b/>
                <w:bCs/>
                <w:sz w:val="16"/>
                <w:szCs w:val="16"/>
              </w:rPr>
              <w:t>source revenue</w:t>
            </w:r>
          </w:p>
        </w:tc>
        <w:tc>
          <w:tcPr>
            <w:tcW w:w="579" w:type="pct"/>
            <w:tcBorders>
              <w:top w:val="single" w:sz="4" w:space="0" w:color="auto"/>
              <w:left w:val="nil"/>
              <w:bottom w:val="single" w:sz="4" w:space="0" w:color="auto"/>
              <w:right w:val="nil"/>
            </w:tcBorders>
            <w:shd w:val="clear" w:color="auto" w:fill="auto"/>
            <w:noWrap/>
            <w:hideMark/>
          </w:tcPr>
          <w:p w14:paraId="04D3D7D8"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15,156 </w:t>
            </w:r>
          </w:p>
        </w:tc>
        <w:tc>
          <w:tcPr>
            <w:tcW w:w="579" w:type="pct"/>
            <w:tcBorders>
              <w:top w:val="single" w:sz="4" w:space="0" w:color="auto"/>
              <w:left w:val="nil"/>
              <w:bottom w:val="single" w:sz="4" w:space="0" w:color="auto"/>
              <w:right w:val="nil"/>
            </w:tcBorders>
            <w:shd w:val="clear" w:color="000000" w:fill="E6E6E6"/>
            <w:noWrap/>
            <w:hideMark/>
          </w:tcPr>
          <w:p w14:paraId="4E0C2C0B"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15,156 </w:t>
            </w:r>
          </w:p>
        </w:tc>
        <w:tc>
          <w:tcPr>
            <w:tcW w:w="579" w:type="pct"/>
            <w:tcBorders>
              <w:top w:val="single" w:sz="4" w:space="0" w:color="auto"/>
              <w:left w:val="nil"/>
              <w:bottom w:val="single" w:sz="4" w:space="0" w:color="auto"/>
              <w:right w:val="nil"/>
            </w:tcBorders>
            <w:shd w:val="clear" w:color="auto" w:fill="auto"/>
            <w:noWrap/>
            <w:hideMark/>
          </w:tcPr>
          <w:p w14:paraId="44029323"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15,156 </w:t>
            </w:r>
          </w:p>
        </w:tc>
        <w:tc>
          <w:tcPr>
            <w:tcW w:w="579" w:type="pct"/>
            <w:tcBorders>
              <w:top w:val="single" w:sz="4" w:space="0" w:color="auto"/>
              <w:left w:val="nil"/>
              <w:bottom w:val="single" w:sz="4" w:space="0" w:color="auto"/>
              <w:right w:val="nil"/>
            </w:tcBorders>
            <w:shd w:val="clear" w:color="auto" w:fill="auto"/>
            <w:noWrap/>
            <w:hideMark/>
          </w:tcPr>
          <w:p w14:paraId="31D38A32"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15,156 </w:t>
            </w:r>
          </w:p>
        </w:tc>
        <w:tc>
          <w:tcPr>
            <w:tcW w:w="579" w:type="pct"/>
            <w:tcBorders>
              <w:top w:val="single" w:sz="4" w:space="0" w:color="auto"/>
              <w:left w:val="nil"/>
              <w:bottom w:val="single" w:sz="4" w:space="0" w:color="auto"/>
              <w:right w:val="nil"/>
            </w:tcBorders>
            <w:shd w:val="clear" w:color="auto" w:fill="auto"/>
            <w:noWrap/>
            <w:hideMark/>
          </w:tcPr>
          <w:p w14:paraId="1B6969E5"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15,156 </w:t>
            </w:r>
          </w:p>
        </w:tc>
      </w:tr>
      <w:tr w:rsidR="00584D50" w:rsidRPr="00584D50" w14:paraId="3DA55885" w14:textId="77777777" w:rsidTr="00584D50">
        <w:trPr>
          <w:trHeight w:hRule="exact" w:val="225"/>
        </w:trPr>
        <w:tc>
          <w:tcPr>
            <w:tcW w:w="2105" w:type="pct"/>
            <w:tcBorders>
              <w:top w:val="nil"/>
              <w:left w:val="nil"/>
              <w:bottom w:val="nil"/>
              <w:right w:val="nil"/>
            </w:tcBorders>
            <w:shd w:val="clear" w:color="auto" w:fill="auto"/>
            <w:noWrap/>
            <w:hideMark/>
          </w:tcPr>
          <w:p w14:paraId="2954262B" w14:textId="77777777"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Gains</w:t>
            </w:r>
          </w:p>
        </w:tc>
        <w:tc>
          <w:tcPr>
            <w:tcW w:w="579" w:type="pct"/>
            <w:tcBorders>
              <w:top w:val="nil"/>
              <w:left w:val="nil"/>
              <w:bottom w:val="nil"/>
              <w:right w:val="nil"/>
            </w:tcBorders>
            <w:shd w:val="clear" w:color="auto" w:fill="auto"/>
            <w:noWrap/>
            <w:hideMark/>
          </w:tcPr>
          <w:p w14:paraId="1C490A07" w14:textId="77777777" w:rsidR="00584D50" w:rsidRPr="00584D50" w:rsidRDefault="00584D50" w:rsidP="00584D50">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3912702E"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1366730C" w14:textId="77777777" w:rsidR="00584D50" w:rsidRPr="00584D50" w:rsidRDefault="00584D50" w:rsidP="00584D50">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5C586122" w14:textId="77777777" w:rsidR="00584D50" w:rsidRPr="00584D50" w:rsidRDefault="00584D50" w:rsidP="00584D5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45934405" w14:textId="77777777" w:rsidR="00584D50" w:rsidRPr="00584D50" w:rsidRDefault="00584D50" w:rsidP="00584D50">
            <w:pPr>
              <w:spacing w:after="0" w:line="240" w:lineRule="auto"/>
              <w:jc w:val="right"/>
              <w:rPr>
                <w:rFonts w:ascii="Times New Roman" w:hAnsi="Times New Roman"/>
              </w:rPr>
            </w:pPr>
          </w:p>
        </w:tc>
      </w:tr>
      <w:tr w:rsidR="00584D50" w:rsidRPr="00584D50" w14:paraId="1CEA1B99" w14:textId="77777777" w:rsidTr="00584D50">
        <w:trPr>
          <w:trHeight w:hRule="exact" w:val="225"/>
        </w:trPr>
        <w:tc>
          <w:tcPr>
            <w:tcW w:w="2105" w:type="pct"/>
            <w:tcBorders>
              <w:top w:val="nil"/>
              <w:left w:val="nil"/>
              <w:bottom w:val="nil"/>
              <w:right w:val="nil"/>
            </w:tcBorders>
            <w:shd w:val="clear" w:color="auto" w:fill="auto"/>
            <w:noWrap/>
            <w:hideMark/>
          </w:tcPr>
          <w:p w14:paraId="0B41C4F4"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Other</w:t>
            </w:r>
          </w:p>
        </w:tc>
        <w:tc>
          <w:tcPr>
            <w:tcW w:w="579" w:type="pct"/>
            <w:tcBorders>
              <w:top w:val="nil"/>
              <w:left w:val="nil"/>
              <w:bottom w:val="nil"/>
              <w:right w:val="nil"/>
            </w:tcBorders>
            <w:shd w:val="clear" w:color="auto" w:fill="auto"/>
            <w:noWrap/>
            <w:hideMark/>
          </w:tcPr>
          <w:p w14:paraId="752D87EC"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 </w:t>
            </w:r>
          </w:p>
        </w:tc>
        <w:tc>
          <w:tcPr>
            <w:tcW w:w="579" w:type="pct"/>
            <w:tcBorders>
              <w:top w:val="nil"/>
              <w:left w:val="nil"/>
              <w:bottom w:val="nil"/>
              <w:right w:val="nil"/>
            </w:tcBorders>
            <w:shd w:val="clear" w:color="000000" w:fill="E6E6E6"/>
            <w:noWrap/>
            <w:hideMark/>
          </w:tcPr>
          <w:p w14:paraId="6EC46D48"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 </w:t>
            </w:r>
          </w:p>
        </w:tc>
        <w:tc>
          <w:tcPr>
            <w:tcW w:w="579" w:type="pct"/>
            <w:tcBorders>
              <w:top w:val="nil"/>
              <w:left w:val="nil"/>
              <w:bottom w:val="nil"/>
              <w:right w:val="nil"/>
            </w:tcBorders>
            <w:shd w:val="clear" w:color="auto" w:fill="auto"/>
            <w:noWrap/>
            <w:hideMark/>
          </w:tcPr>
          <w:p w14:paraId="00A14970"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 </w:t>
            </w:r>
          </w:p>
        </w:tc>
        <w:tc>
          <w:tcPr>
            <w:tcW w:w="579" w:type="pct"/>
            <w:tcBorders>
              <w:top w:val="nil"/>
              <w:left w:val="nil"/>
              <w:bottom w:val="nil"/>
              <w:right w:val="nil"/>
            </w:tcBorders>
            <w:shd w:val="clear" w:color="auto" w:fill="auto"/>
            <w:noWrap/>
            <w:hideMark/>
          </w:tcPr>
          <w:p w14:paraId="468AFEEA"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49 </w:t>
            </w:r>
          </w:p>
        </w:tc>
        <w:tc>
          <w:tcPr>
            <w:tcW w:w="579" w:type="pct"/>
            <w:tcBorders>
              <w:top w:val="nil"/>
              <w:left w:val="nil"/>
              <w:bottom w:val="nil"/>
              <w:right w:val="nil"/>
            </w:tcBorders>
            <w:shd w:val="clear" w:color="auto" w:fill="auto"/>
            <w:noWrap/>
            <w:hideMark/>
          </w:tcPr>
          <w:p w14:paraId="5D623DCF" w14:textId="20107258" w:rsidR="00584D50" w:rsidRPr="00584D50" w:rsidRDefault="00B33758" w:rsidP="00584D50">
            <w:pPr>
              <w:spacing w:after="0" w:line="240" w:lineRule="auto"/>
              <w:jc w:val="right"/>
              <w:rPr>
                <w:rFonts w:ascii="Arial" w:hAnsi="Arial" w:cs="Arial"/>
                <w:b/>
                <w:bCs/>
                <w:sz w:val="16"/>
                <w:szCs w:val="16"/>
              </w:rPr>
            </w:pPr>
            <w:r>
              <w:rPr>
                <w:rFonts w:ascii="Arial" w:hAnsi="Arial" w:cs="Arial"/>
                <w:b/>
                <w:bCs/>
                <w:sz w:val="16"/>
                <w:szCs w:val="16"/>
              </w:rPr>
              <w:noBreakHyphen/>
            </w:r>
            <w:r w:rsidR="00584D50" w:rsidRPr="00584D50">
              <w:rPr>
                <w:rFonts w:ascii="Arial" w:hAnsi="Arial" w:cs="Arial"/>
                <w:b/>
                <w:bCs/>
                <w:sz w:val="16"/>
                <w:szCs w:val="16"/>
              </w:rPr>
              <w:t xml:space="preserve"> </w:t>
            </w:r>
          </w:p>
        </w:tc>
      </w:tr>
      <w:tr w:rsidR="00584D50" w:rsidRPr="00584D50" w14:paraId="1AE5895D" w14:textId="77777777" w:rsidTr="00584D50">
        <w:trPr>
          <w:trHeight w:hRule="exact" w:val="225"/>
        </w:trPr>
        <w:tc>
          <w:tcPr>
            <w:tcW w:w="2105" w:type="pct"/>
            <w:tcBorders>
              <w:top w:val="nil"/>
              <w:left w:val="nil"/>
              <w:bottom w:val="nil"/>
              <w:right w:val="nil"/>
            </w:tcBorders>
            <w:shd w:val="clear" w:color="auto" w:fill="auto"/>
            <w:noWrap/>
            <w:hideMark/>
          </w:tcPr>
          <w:p w14:paraId="5C31778D" w14:textId="77777777"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hideMark/>
          </w:tcPr>
          <w:p w14:paraId="70C43430"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49 </w:t>
            </w:r>
          </w:p>
        </w:tc>
        <w:tc>
          <w:tcPr>
            <w:tcW w:w="579" w:type="pct"/>
            <w:tcBorders>
              <w:top w:val="single" w:sz="4" w:space="0" w:color="auto"/>
              <w:left w:val="nil"/>
              <w:bottom w:val="single" w:sz="4" w:space="0" w:color="auto"/>
              <w:right w:val="nil"/>
            </w:tcBorders>
            <w:shd w:val="clear" w:color="000000" w:fill="E6E6E6"/>
            <w:noWrap/>
            <w:hideMark/>
          </w:tcPr>
          <w:p w14:paraId="3212F8B8"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49 </w:t>
            </w:r>
          </w:p>
        </w:tc>
        <w:tc>
          <w:tcPr>
            <w:tcW w:w="579" w:type="pct"/>
            <w:tcBorders>
              <w:top w:val="single" w:sz="4" w:space="0" w:color="auto"/>
              <w:left w:val="nil"/>
              <w:bottom w:val="single" w:sz="4" w:space="0" w:color="auto"/>
              <w:right w:val="nil"/>
            </w:tcBorders>
            <w:shd w:val="clear" w:color="auto" w:fill="auto"/>
            <w:noWrap/>
            <w:hideMark/>
          </w:tcPr>
          <w:p w14:paraId="1CDC783F"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49 </w:t>
            </w:r>
          </w:p>
        </w:tc>
        <w:tc>
          <w:tcPr>
            <w:tcW w:w="579" w:type="pct"/>
            <w:tcBorders>
              <w:top w:val="single" w:sz="4" w:space="0" w:color="auto"/>
              <w:left w:val="nil"/>
              <w:bottom w:val="single" w:sz="4" w:space="0" w:color="auto"/>
              <w:right w:val="nil"/>
            </w:tcBorders>
            <w:shd w:val="clear" w:color="auto" w:fill="auto"/>
            <w:noWrap/>
            <w:hideMark/>
          </w:tcPr>
          <w:p w14:paraId="50FDD4B7"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49 </w:t>
            </w:r>
          </w:p>
        </w:tc>
        <w:tc>
          <w:tcPr>
            <w:tcW w:w="579" w:type="pct"/>
            <w:tcBorders>
              <w:top w:val="single" w:sz="4" w:space="0" w:color="auto"/>
              <w:left w:val="nil"/>
              <w:bottom w:val="single" w:sz="4" w:space="0" w:color="auto"/>
              <w:right w:val="nil"/>
            </w:tcBorders>
            <w:shd w:val="clear" w:color="auto" w:fill="auto"/>
            <w:noWrap/>
            <w:hideMark/>
          </w:tcPr>
          <w:p w14:paraId="34D6436D" w14:textId="2D6FBBE0" w:rsidR="00584D50" w:rsidRPr="00584D50" w:rsidRDefault="00B33758" w:rsidP="00584D50">
            <w:pPr>
              <w:spacing w:after="0" w:line="240" w:lineRule="auto"/>
              <w:jc w:val="right"/>
              <w:rPr>
                <w:rFonts w:ascii="Arial" w:hAnsi="Arial" w:cs="Arial"/>
                <w:b/>
                <w:bCs/>
                <w:sz w:val="16"/>
                <w:szCs w:val="16"/>
              </w:rPr>
            </w:pPr>
            <w:r>
              <w:rPr>
                <w:rFonts w:ascii="Arial" w:hAnsi="Arial" w:cs="Arial"/>
                <w:b/>
                <w:bCs/>
                <w:sz w:val="16"/>
                <w:szCs w:val="16"/>
              </w:rPr>
              <w:noBreakHyphen/>
            </w:r>
            <w:r w:rsidR="00584D50" w:rsidRPr="00584D50">
              <w:rPr>
                <w:rFonts w:ascii="Arial" w:hAnsi="Arial" w:cs="Arial"/>
                <w:b/>
                <w:bCs/>
                <w:sz w:val="16"/>
                <w:szCs w:val="16"/>
              </w:rPr>
              <w:t xml:space="preserve"> </w:t>
            </w:r>
          </w:p>
        </w:tc>
      </w:tr>
      <w:tr w:rsidR="00584D50" w:rsidRPr="00584D50" w14:paraId="7AA6FC76" w14:textId="77777777" w:rsidTr="00584D50">
        <w:trPr>
          <w:trHeight w:hRule="exact" w:val="225"/>
        </w:trPr>
        <w:tc>
          <w:tcPr>
            <w:tcW w:w="2105" w:type="pct"/>
            <w:tcBorders>
              <w:top w:val="nil"/>
              <w:left w:val="nil"/>
              <w:bottom w:val="nil"/>
              <w:right w:val="nil"/>
            </w:tcBorders>
            <w:shd w:val="clear" w:color="auto" w:fill="auto"/>
            <w:noWrap/>
            <w:hideMark/>
          </w:tcPr>
          <w:p w14:paraId="72D36350" w14:textId="0D18879B"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Total own</w:t>
            </w:r>
            <w:r w:rsidR="00B33758">
              <w:rPr>
                <w:rFonts w:ascii="Arial" w:hAnsi="Arial" w:cs="Arial"/>
                <w:b/>
                <w:bCs/>
                <w:sz w:val="16"/>
                <w:szCs w:val="16"/>
              </w:rPr>
              <w:noBreakHyphen/>
            </w:r>
            <w:r w:rsidRPr="00584D50">
              <w:rPr>
                <w:rFonts w:ascii="Arial" w:hAnsi="Arial" w:cs="Arial"/>
                <w:b/>
                <w:bCs/>
                <w:sz w:val="16"/>
                <w:szCs w:val="16"/>
              </w:rPr>
              <w:t>source income</w:t>
            </w:r>
          </w:p>
        </w:tc>
        <w:tc>
          <w:tcPr>
            <w:tcW w:w="579" w:type="pct"/>
            <w:tcBorders>
              <w:top w:val="nil"/>
              <w:left w:val="nil"/>
              <w:bottom w:val="single" w:sz="4" w:space="0" w:color="auto"/>
              <w:right w:val="nil"/>
            </w:tcBorders>
            <w:shd w:val="clear" w:color="auto" w:fill="auto"/>
            <w:noWrap/>
            <w:hideMark/>
          </w:tcPr>
          <w:p w14:paraId="3295EC8C"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15,205 </w:t>
            </w:r>
          </w:p>
        </w:tc>
        <w:tc>
          <w:tcPr>
            <w:tcW w:w="579" w:type="pct"/>
            <w:tcBorders>
              <w:top w:val="nil"/>
              <w:left w:val="nil"/>
              <w:bottom w:val="single" w:sz="4" w:space="0" w:color="auto"/>
              <w:right w:val="nil"/>
            </w:tcBorders>
            <w:shd w:val="clear" w:color="000000" w:fill="E6E6E6"/>
            <w:noWrap/>
            <w:hideMark/>
          </w:tcPr>
          <w:p w14:paraId="3CA093B2"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15,205 </w:t>
            </w:r>
          </w:p>
        </w:tc>
        <w:tc>
          <w:tcPr>
            <w:tcW w:w="579" w:type="pct"/>
            <w:tcBorders>
              <w:top w:val="nil"/>
              <w:left w:val="nil"/>
              <w:bottom w:val="single" w:sz="4" w:space="0" w:color="auto"/>
              <w:right w:val="nil"/>
            </w:tcBorders>
            <w:shd w:val="clear" w:color="auto" w:fill="auto"/>
            <w:noWrap/>
            <w:hideMark/>
          </w:tcPr>
          <w:p w14:paraId="774EEF86"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15,205 </w:t>
            </w:r>
          </w:p>
        </w:tc>
        <w:tc>
          <w:tcPr>
            <w:tcW w:w="579" w:type="pct"/>
            <w:tcBorders>
              <w:top w:val="nil"/>
              <w:left w:val="nil"/>
              <w:bottom w:val="single" w:sz="4" w:space="0" w:color="auto"/>
              <w:right w:val="nil"/>
            </w:tcBorders>
            <w:shd w:val="clear" w:color="auto" w:fill="auto"/>
            <w:noWrap/>
            <w:hideMark/>
          </w:tcPr>
          <w:p w14:paraId="2A47DC0C"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15,205 </w:t>
            </w:r>
          </w:p>
        </w:tc>
        <w:tc>
          <w:tcPr>
            <w:tcW w:w="579" w:type="pct"/>
            <w:tcBorders>
              <w:top w:val="nil"/>
              <w:left w:val="nil"/>
              <w:bottom w:val="single" w:sz="4" w:space="0" w:color="auto"/>
              <w:right w:val="nil"/>
            </w:tcBorders>
            <w:shd w:val="clear" w:color="auto" w:fill="auto"/>
            <w:noWrap/>
            <w:hideMark/>
          </w:tcPr>
          <w:p w14:paraId="21D16F49"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 xml:space="preserve">15,156 </w:t>
            </w:r>
          </w:p>
        </w:tc>
      </w:tr>
      <w:tr w:rsidR="00584D50" w:rsidRPr="00584D50" w14:paraId="7CDA8AFB" w14:textId="77777777" w:rsidTr="00584D50">
        <w:trPr>
          <w:trHeight w:hRule="exact" w:val="450"/>
        </w:trPr>
        <w:tc>
          <w:tcPr>
            <w:tcW w:w="2105" w:type="pct"/>
            <w:tcBorders>
              <w:top w:val="nil"/>
              <w:left w:val="nil"/>
              <w:bottom w:val="nil"/>
              <w:right w:val="nil"/>
            </w:tcBorders>
            <w:shd w:val="clear" w:color="auto" w:fill="auto"/>
            <w:hideMark/>
          </w:tcPr>
          <w:p w14:paraId="73303CDD" w14:textId="77777777" w:rsidR="00584D50" w:rsidRPr="00584D50" w:rsidRDefault="00584D50" w:rsidP="00584D50">
            <w:pPr>
              <w:spacing w:after="0" w:line="240" w:lineRule="auto"/>
              <w:jc w:val="left"/>
              <w:rPr>
                <w:rFonts w:ascii="Arial" w:hAnsi="Arial" w:cs="Arial"/>
                <w:b/>
                <w:bCs/>
                <w:color w:val="000000"/>
                <w:sz w:val="16"/>
                <w:szCs w:val="16"/>
              </w:rPr>
            </w:pPr>
            <w:r w:rsidRPr="00584D50">
              <w:rPr>
                <w:rFonts w:ascii="Arial" w:hAnsi="Arial" w:cs="Arial"/>
                <w:b/>
                <w:bCs/>
                <w:color w:val="000000"/>
                <w:sz w:val="16"/>
                <w:szCs w:val="16"/>
              </w:rPr>
              <w:t>Net (cost of)/contribution by</w:t>
            </w:r>
            <w:r w:rsidRPr="00584D50">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1C9BF02F"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(336,709)</w:t>
            </w:r>
          </w:p>
        </w:tc>
        <w:tc>
          <w:tcPr>
            <w:tcW w:w="579" w:type="pct"/>
            <w:tcBorders>
              <w:top w:val="nil"/>
              <w:left w:val="nil"/>
              <w:bottom w:val="single" w:sz="4" w:space="0" w:color="auto"/>
              <w:right w:val="nil"/>
            </w:tcBorders>
            <w:shd w:val="clear" w:color="000000" w:fill="E6E6E6"/>
            <w:noWrap/>
            <w:vAlign w:val="bottom"/>
            <w:hideMark/>
          </w:tcPr>
          <w:p w14:paraId="255A0555"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(332,740)</w:t>
            </w:r>
          </w:p>
        </w:tc>
        <w:tc>
          <w:tcPr>
            <w:tcW w:w="579" w:type="pct"/>
            <w:tcBorders>
              <w:top w:val="nil"/>
              <w:left w:val="nil"/>
              <w:bottom w:val="single" w:sz="4" w:space="0" w:color="auto"/>
              <w:right w:val="nil"/>
            </w:tcBorders>
            <w:shd w:val="clear" w:color="auto" w:fill="auto"/>
            <w:noWrap/>
            <w:vAlign w:val="bottom"/>
            <w:hideMark/>
          </w:tcPr>
          <w:p w14:paraId="098B4195"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(280,004)</w:t>
            </w:r>
          </w:p>
        </w:tc>
        <w:tc>
          <w:tcPr>
            <w:tcW w:w="579" w:type="pct"/>
            <w:tcBorders>
              <w:top w:val="nil"/>
              <w:left w:val="nil"/>
              <w:bottom w:val="single" w:sz="4" w:space="0" w:color="auto"/>
              <w:right w:val="nil"/>
            </w:tcBorders>
            <w:shd w:val="clear" w:color="auto" w:fill="auto"/>
            <w:noWrap/>
            <w:vAlign w:val="bottom"/>
            <w:hideMark/>
          </w:tcPr>
          <w:p w14:paraId="3E5FB158"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(258,472)</w:t>
            </w:r>
          </w:p>
        </w:tc>
        <w:tc>
          <w:tcPr>
            <w:tcW w:w="579" w:type="pct"/>
            <w:tcBorders>
              <w:top w:val="nil"/>
              <w:left w:val="nil"/>
              <w:bottom w:val="single" w:sz="4" w:space="0" w:color="auto"/>
              <w:right w:val="nil"/>
            </w:tcBorders>
            <w:shd w:val="clear" w:color="auto" w:fill="auto"/>
            <w:noWrap/>
            <w:vAlign w:val="bottom"/>
            <w:hideMark/>
          </w:tcPr>
          <w:p w14:paraId="782349FE"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(251,945)</w:t>
            </w:r>
          </w:p>
        </w:tc>
      </w:tr>
      <w:tr w:rsidR="00584D50" w:rsidRPr="00584D50" w14:paraId="09E78852" w14:textId="77777777" w:rsidTr="00584D50">
        <w:trPr>
          <w:trHeight w:hRule="exact" w:val="225"/>
        </w:trPr>
        <w:tc>
          <w:tcPr>
            <w:tcW w:w="2105" w:type="pct"/>
            <w:tcBorders>
              <w:top w:val="nil"/>
              <w:left w:val="nil"/>
              <w:bottom w:val="nil"/>
              <w:right w:val="nil"/>
            </w:tcBorders>
            <w:shd w:val="clear" w:color="auto" w:fill="auto"/>
            <w:noWrap/>
            <w:hideMark/>
          </w:tcPr>
          <w:p w14:paraId="6712CD2C" w14:textId="77777777" w:rsidR="00584D50" w:rsidRPr="00584D50" w:rsidRDefault="00584D50" w:rsidP="00584D50">
            <w:pPr>
              <w:spacing w:after="0" w:line="240" w:lineRule="auto"/>
              <w:ind w:left="170"/>
              <w:jc w:val="left"/>
              <w:rPr>
                <w:rFonts w:ascii="Arial" w:hAnsi="Arial" w:cs="Arial"/>
                <w:sz w:val="16"/>
                <w:szCs w:val="16"/>
              </w:rPr>
            </w:pPr>
            <w:r w:rsidRPr="00584D50">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hideMark/>
          </w:tcPr>
          <w:p w14:paraId="5755F2EA"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327,640 </w:t>
            </w:r>
          </w:p>
        </w:tc>
        <w:tc>
          <w:tcPr>
            <w:tcW w:w="579" w:type="pct"/>
            <w:tcBorders>
              <w:top w:val="nil"/>
              <w:left w:val="nil"/>
              <w:bottom w:val="single" w:sz="4" w:space="0" w:color="auto"/>
              <w:right w:val="nil"/>
            </w:tcBorders>
            <w:shd w:val="clear" w:color="000000" w:fill="E6E6E6"/>
            <w:noWrap/>
            <w:hideMark/>
          </w:tcPr>
          <w:p w14:paraId="1754E45C"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324,281 </w:t>
            </w:r>
          </w:p>
        </w:tc>
        <w:tc>
          <w:tcPr>
            <w:tcW w:w="579" w:type="pct"/>
            <w:tcBorders>
              <w:top w:val="nil"/>
              <w:left w:val="nil"/>
              <w:bottom w:val="single" w:sz="4" w:space="0" w:color="auto"/>
              <w:right w:val="nil"/>
            </w:tcBorders>
            <w:shd w:val="clear" w:color="auto" w:fill="auto"/>
            <w:noWrap/>
            <w:hideMark/>
          </w:tcPr>
          <w:p w14:paraId="2EC95FBC"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271,589 </w:t>
            </w:r>
          </w:p>
        </w:tc>
        <w:tc>
          <w:tcPr>
            <w:tcW w:w="579" w:type="pct"/>
            <w:tcBorders>
              <w:top w:val="nil"/>
              <w:left w:val="nil"/>
              <w:bottom w:val="single" w:sz="4" w:space="0" w:color="auto"/>
              <w:right w:val="nil"/>
            </w:tcBorders>
            <w:shd w:val="clear" w:color="auto" w:fill="auto"/>
            <w:noWrap/>
            <w:hideMark/>
          </w:tcPr>
          <w:p w14:paraId="7E6A7F9E"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249,850 </w:t>
            </w:r>
          </w:p>
        </w:tc>
        <w:tc>
          <w:tcPr>
            <w:tcW w:w="579" w:type="pct"/>
            <w:tcBorders>
              <w:top w:val="nil"/>
              <w:left w:val="nil"/>
              <w:bottom w:val="single" w:sz="4" w:space="0" w:color="auto"/>
              <w:right w:val="nil"/>
            </w:tcBorders>
            <w:shd w:val="clear" w:color="auto" w:fill="auto"/>
            <w:noWrap/>
            <w:hideMark/>
          </w:tcPr>
          <w:p w14:paraId="56AEC5CF" w14:textId="77777777" w:rsidR="00584D50" w:rsidRPr="00584D50" w:rsidRDefault="00584D50" w:rsidP="00584D50">
            <w:pPr>
              <w:spacing w:after="0" w:line="240" w:lineRule="auto"/>
              <w:jc w:val="right"/>
              <w:rPr>
                <w:rFonts w:ascii="Arial" w:hAnsi="Arial" w:cs="Arial"/>
                <w:sz w:val="16"/>
                <w:szCs w:val="16"/>
              </w:rPr>
            </w:pPr>
            <w:r w:rsidRPr="00584D50">
              <w:rPr>
                <w:rFonts w:ascii="Arial" w:hAnsi="Arial" w:cs="Arial"/>
                <w:sz w:val="16"/>
                <w:szCs w:val="16"/>
              </w:rPr>
              <w:t xml:space="preserve">243,323 </w:t>
            </w:r>
          </w:p>
        </w:tc>
      </w:tr>
      <w:tr w:rsidR="00584D50" w:rsidRPr="00584D50" w14:paraId="34564F50" w14:textId="77777777" w:rsidTr="00584D50">
        <w:trPr>
          <w:trHeight w:hRule="exact" w:val="450"/>
        </w:trPr>
        <w:tc>
          <w:tcPr>
            <w:tcW w:w="2105" w:type="pct"/>
            <w:tcBorders>
              <w:top w:val="nil"/>
              <w:left w:val="nil"/>
              <w:bottom w:val="nil"/>
              <w:right w:val="nil"/>
            </w:tcBorders>
            <w:shd w:val="clear" w:color="auto" w:fill="auto"/>
            <w:hideMark/>
          </w:tcPr>
          <w:p w14:paraId="12655768" w14:textId="77777777"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Surplus/(deficit) attributable to the</w:t>
            </w:r>
            <w:r w:rsidRPr="00584D50">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54D6EB4D"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(9,069)</w:t>
            </w:r>
          </w:p>
        </w:tc>
        <w:tc>
          <w:tcPr>
            <w:tcW w:w="579" w:type="pct"/>
            <w:tcBorders>
              <w:top w:val="nil"/>
              <w:left w:val="nil"/>
              <w:bottom w:val="single" w:sz="4" w:space="0" w:color="auto"/>
              <w:right w:val="nil"/>
            </w:tcBorders>
            <w:shd w:val="clear" w:color="000000" w:fill="E6E6E6"/>
            <w:noWrap/>
            <w:vAlign w:val="bottom"/>
            <w:hideMark/>
          </w:tcPr>
          <w:p w14:paraId="540DBD7E"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(8,459)</w:t>
            </w:r>
          </w:p>
        </w:tc>
        <w:tc>
          <w:tcPr>
            <w:tcW w:w="579" w:type="pct"/>
            <w:tcBorders>
              <w:top w:val="nil"/>
              <w:left w:val="nil"/>
              <w:bottom w:val="single" w:sz="4" w:space="0" w:color="auto"/>
              <w:right w:val="nil"/>
            </w:tcBorders>
            <w:shd w:val="clear" w:color="auto" w:fill="auto"/>
            <w:noWrap/>
            <w:vAlign w:val="bottom"/>
            <w:hideMark/>
          </w:tcPr>
          <w:p w14:paraId="2E2B606B"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(8,415)</w:t>
            </w:r>
          </w:p>
        </w:tc>
        <w:tc>
          <w:tcPr>
            <w:tcW w:w="579" w:type="pct"/>
            <w:tcBorders>
              <w:top w:val="nil"/>
              <w:left w:val="nil"/>
              <w:bottom w:val="single" w:sz="4" w:space="0" w:color="auto"/>
              <w:right w:val="nil"/>
            </w:tcBorders>
            <w:shd w:val="clear" w:color="auto" w:fill="auto"/>
            <w:noWrap/>
            <w:vAlign w:val="bottom"/>
            <w:hideMark/>
          </w:tcPr>
          <w:p w14:paraId="511EB3F3"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(8,622)</w:t>
            </w:r>
          </w:p>
        </w:tc>
        <w:tc>
          <w:tcPr>
            <w:tcW w:w="579" w:type="pct"/>
            <w:tcBorders>
              <w:top w:val="nil"/>
              <w:left w:val="nil"/>
              <w:bottom w:val="single" w:sz="4" w:space="0" w:color="auto"/>
              <w:right w:val="nil"/>
            </w:tcBorders>
            <w:shd w:val="clear" w:color="auto" w:fill="auto"/>
            <w:noWrap/>
            <w:vAlign w:val="bottom"/>
            <w:hideMark/>
          </w:tcPr>
          <w:p w14:paraId="21EA4B45"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(8,622)</w:t>
            </w:r>
          </w:p>
        </w:tc>
      </w:tr>
      <w:tr w:rsidR="00584D50" w:rsidRPr="00584D50" w14:paraId="6F2ECC9F" w14:textId="77777777" w:rsidTr="00584D50">
        <w:trPr>
          <w:trHeight w:hRule="exact" w:val="225"/>
        </w:trPr>
        <w:tc>
          <w:tcPr>
            <w:tcW w:w="2105" w:type="pct"/>
            <w:tcBorders>
              <w:top w:val="nil"/>
              <w:left w:val="nil"/>
              <w:bottom w:val="nil"/>
              <w:right w:val="nil"/>
            </w:tcBorders>
            <w:shd w:val="clear" w:color="auto" w:fill="auto"/>
            <w:noWrap/>
            <w:hideMark/>
          </w:tcPr>
          <w:p w14:paraId="6E2D8135" w14:textId="77777777"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Total comprehensive income/(loss)</w:t>
            </w:r>
          </w:p>
        </w:tc>
        <w:tc>
          <w:tcPr>
            <w:tcW w:w="579" w:type="pct"/>
            <w:tcBorders>
              <w:top w:val="single" w:sz="4" w:space="0" w:color="auto"/>
              <w:left w:val="nil"/>
              <w:bottom w:val="single" w:sz="4" w:space="0" w:color="auto"/>
              <w:right w:val="nil"/>
            </w:tcBorders>
            <w:shd w:val="clear" w:color="auto" w:fill="auto"/>
            <w:noWrap/>
            <w:hideMark/>
          </w:tcPr>
          <w:p w14:paraId="62C2C397"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(9,069)</w:t>
            </w:r>
          </w:p>
        </w:tc>
        <w:tc>
          <w:tcPr>
            <w:tcW w:w="579" w:type="pct"/>
            <w:tcBorders>
              <w:top w:val="single" w:sz="4" w:space="0" w:color="auto"/>
              <w:left w:val="nil"/>
              <w:bottom w:val="single" w:sz="4" w:space="0" w:color="auto"/>
              <w:right w:val="nil"/>
            </w:tcBorders>
            <w:shd w:val="clear" w:color="000000" w:fill="E6E6E6"/>
            <w:noWrap/>
            <w:hideMark/>
          </w:tcPr>
          <w:p w14:paraId="64D66313"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(8,459)</w:t>
            </w:r>
          </w:p>
        </w:tc>
        <w:tc>
          <w:tcPr>
            <w:tcW w:w="579" w:type="pct"/>
            <w:tcBorders>
              <w:top w:val="single" w:sz="4" w:space="0" w:color="auto"/>
              <w:left w:val="nil"/>
              <w:bottom w:val="single" w:sz="4" w:space="0" w:color="auto"/>
              <w:right w:val="nil"/>
            </w:tcBorders>
            <w:shd w:val="clear" w:color="auto" w:fill="auto"/>
            <w:noWrap/>
            <w:hideMark/>
          </w:tcPr>
          <w:p w14:paraId="0FA3CD56"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(8,415)</w:t>
            </w:r>
          </w:p>
        </w:tc>
        <w:tc>
          <w:tcPr>
            <w:tcW w:w="579" w:type="pct"/>
            <w:tcBorders>
              <w:top w:val="single" w:sz="4" w:space="0" w:color="auto"/>
              <w:left w:val="nil"/>
              <w:bottom w:val="single" w:sz="4" w:space="0" w:color="auto"/>
              <w:right w:val="nil"/>
            </w:tcBorders>
            <w:shd w:val="clear" w:color="auto" w:fill="auto"/>
            <w:noWrap/>
            <w:hideMark/>
          </w:tcPr>
          <w:p w14:paraId="1A091245"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(8,622)</w:t>
            </w:r>
          </w:p>
        </w:tc>
        <w:tc>
          <w:tcPr>
            <w:tcW w:w="579" w:type="pct"/>
            <w:tcBorders>
              <w:top w:val="single" w:sz="4" w:space="0" w:color="auto"/>
              <w:left w:val="nil"/>
              <w:bottom w:val="single" w:sz="4" w:space="0" w:color="auto"/>
              <w:right w:val="nil"/>
            </w:tcBorders>
            <w:shd w:val="clear" w:color="auto" w:fill="auto"/>
            <w:noWrap/>
            <w:hideMark/>
          </w:tcPr>
          <w:p w14:paraId="690E931E"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(8,622)</w:t>
            </w:r>
          </w:p>
        </w:tc>
      </w:tr>
      <w:tr w:rsidR="00584D50" w:rsidRPr="00584D50" w14:paraId="12B31712" w14:textId="77777777" w:rsidTr="00584D50">
        <w:trPr>
          <w:trHeight w:hRule="exact" w:val="675"/>
        </w:trPr>
        <w:tc>
          <w:tcPr>
            <w:tcW w:w="2105" w:type="pct"/>
            <w:tcBorders>
              <w:top w:val="nil"/>
              <w:left w:val="nil"/>
              <w:bottom w:val="single" w:sz="4" w:space="0" w:color="auto"/>
              <w:right w:val="nil"/>
            </w:tcBorders>
            <w:shd w:val="clear" w:color="auto" w:fill="auto"/>
            <w:hideMark/>
          </w:tcPr>
          <w:p w14:paraId="716CF116" w14:textId="77777777" w:rsidR="00584D50" w:rsidRPr="00584D50" w:rsidRDefault="00584D50" w:rsidP="00584D50">
            <w:pPr>
              <w:spacing w:after="0" w:line="240" w:lineRule="auto"/>
              <w:jc w:val="left"/>
              <w:rPr>
                <w:rFonts w:ascii="Arial" w:hAnsi="Arial" w:cs="Arial"/>
                <w:b/>
                <w:bCs/>
                <w:sz w:val="16"/>
                <w:szCs w:val="16"/>
              </w:rPr>
            </w:pPr>
            <w:r w:rsidRPr="00584D50">
              <w:rPr>
                <w:rFonts w:ascii="Arial" w:hAnsi="Arial" w:cs="Arial"/>
                <w:b/>
                <w:bCs/>
                <w:sz w:val="16"/>
                <w:szCs w:val="16"/>
              </w:rPr>
              <w:t>Total comprehensive income/(loss)</w:t>
            </w:r>
            <w:r w:rsidRPr="00584D50">
              <w:rPr>
                <w:rFonts w:ascii="Arial" w:hAnsi="Arial" w:cs="Arial"/>
                <w:b/>
                <w:bCs/>
                <w:sz w:val="16"/>
                <w:szCs w:val="16"/>
              </w:rPr>
              <w:br/>
              <w:t xml:space="preserve">  attributable to the Australian</w:t>
            </w:r>
            <w:r w:rsidRPr="00584D50">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7B69C69C"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(9,069)</w:t>
            </w:r>
          </w:p>
        </w:tc>
        <w:tc>
          <w:tcPr>
            <w:tcW w:w="579" w:type="pct"/>
            <w:tcBorders>
              <w:top w:val="nil"/>
              <w:left w:val="nil"/>
              <w:bottom w:val="single" w:sz="4" w:space="0" w:color="auto"/>
              <w:right w:val="nil"/>
            </w:tcBorders>
            <w:shd w:val="clear" w:color="000000" w:fill="E6E6E6"/>
            <w:noWrap/>
            <w:vAlign w:val="bottom"/>
            <w:hideMark/>
          </w:tcPr>
          <w:p w14:paraId="23F544FC"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(8,459)</w:t>
            </w:r>
          </w:p>
        </w:tc>
        <w:tc>
          <w:tcPr>
            <w:tcW w:w="579" w:type="pct"/>
            <w:tcBorders>
              <w:top w:val="nil"/>
              <w:left w:val="nil"/>
              <w:bottom w:val="single" w:sz="4" w:space="0" w:color="auto"/>
              <w:right w:val="nil"/>
            </w:tcBorders>
            <w:shd w:val="clear" w:color="auto" w:fill="auto"/>
            <w:noWrap/>
            <w:vAlign w:val="bottom"/>
            <w:hideMark/>
          </w:tcPr>
          <w:p w14:paraId="13644A32"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(8,415)</w:t>
            </w:r>
          </w:p>
        </w:tc>
        <w:tc>
          <w:tcPr>
            <w:tcW w:w="579" w:type="pct"/>
            <w:tcBorders>
              <w:top w:val="nil"/>
              <w:left w:val="nil"/>
              <w:bottom w:val="single" w:sz="4" w:space="0" w:color="auto"/>
              <w:right w:val="nil"/>
            </w:tcBorders>
            <w:shd w:val="clear" w:color="auto" w:fill="auto"/>
            <w:noWrap/>
            <w:vAlign w:val="bottom"/>
            <w:hideMark/>
          </w:tcPr>
          <w:p w14:paraId="097F210E"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(8,622)</w:t>
            </w:r>
          </w:p>
        </w:tc>
        <w:tc>
          <w:tcPr>
            <w:tcW w:w="579" w:type="pct"/>
            <w:tcBorders>
              <w:top w:val="nil"/>
              <w:left w:val="nil"/>
              <w:bottom w:val="single" w:sz="4" w:space="0" w:color="auto"/>
              <w:right w:val="nil"/>
            </w:tcBorders>
            <w:shd w:val="clear" w:color="auto" w:fill="auto"/>
            <w:noWrap/>
            <w:vAlign w:val="bottom"/>
            <w:hideMark/>
          </w:tcPr>
          <w:p w14:paraId="6D23D519" w14:textId="77777777" w:rsidR="00584D50" w:rsidRPr="00584D50" w:rsidRDefault="00584D50" w:rsidP="00584D50">
            <w:pPr>
              <w:spacing w:after="0" w:line="240" w:lineRule="auto"/>
              <w:jc w:val="right"/>
              <w:rPr>
                <w:rFonts w:ascii="Arial" w:hAnsi="Arial" w:cs="Arial"/>
                <w:b/>
                <w:bCs/>
                <w:sz w:val="16"/>
                <w:szCs w:val="16"/>
              </w:rPr>
            </w:pPr>
            <w:r w:rsidRPr="00584D50">
              <w:rPr>
                <w:rFonts w:ascii="Arial" w:hAnsi="Arial" w:cs="Arial"/>
                <w:b/>
                <w:bCs/>
                <w:sz w:val="16"/>
                <w:szCs w:val="16"/>
              </w:rPr>
              <w:t>(8,622)</w:t>
            </w:r>
          </w:p>
        </w:tc>
      </w:tr>
    </w:tbl>
    <w:p w14:paraId="67C93ABD" w14:textId="65B6B5BA" w:rsidR="001C1E88" w:rsidRPr="00546BE8" w:rsidRDefault="001C1E88" w:rsidP="00350F81">
      <w:pPr>
        <w:pStyle w:val="SingleParagraph"/>
        <w:rPr>
          <w:snapToGrid w:val="0"/>
        </w:rPr>
      </w:pPr>
    </w:p>
    <w:p w14:paraId="3E03F2AC" w14:textId="1D071CA2" w:rsidR="00146B5E" w:rsidRDefault="007742FF" w:rsidP="00146B5E">
      <w:pPr>
        <w:pStyle w:val="TableHeadingcontinued"/>
        <w:rPr>
          <w:snapToGrid w:val="0"/>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388182FB" w14:textId="77777777" w:rsidR="00A965CD" w:rsidRPr="003819E1" w:rsidRDefault="00A965CD" w:rsidP="002C1D11">
      <w:pPr>
        <w:pStyle w:val="TableGraphic"/>
        <w:rPr>
          <w:rFonts w:ascii="Arial" w:hAnsi="Arial" w:cs="Arial"/>
        </w:rPr>
      </w:pPr>
    </w:p>
    <w:p w14:paraId="091505FA" w14:textId="14AF1D63" w:rsidR="00A94C6C" w:rsidRPr="00A94C6C" w:rsidRDefault="007742FF" w:rsidP="00A94C6C">
      <w:pPr>
        <w:pStyle w:val="TableHeadingNoTable"/>
        <w:spacing w:after="0"/>
      </w:pPr>
      <w:r w:rsidRPr="003819E1">
        <w:t>Note: Impact of net cash appropriation arrangements</w:t>
      </w:r>
    </w:p>
    <w:tbl>
      <w:tblPr>
        <w:tblW w:w="5000" w:type="pct"/>
        <w:tblCellMar>
          <w:left w:w="0" w:type="dxa"/>
          <w:right w:w="28" w:type="dxa"/>
        </w:tblCellMar>
        <w:tblLook w:val="04A0" w:firstRow="1" w:lastRow="0" w:firstColumn="1" w:lastColumn="0" w:noHBand="0" w:noVBand="1"/>
      </w:tblPr>
      <w:tblGrid>
        <w:gridCol w:w="3219"/>
        <w:gridCol w:w="899"/>
        <w:gridCol w:w="899"/>
        <w:gridCol w:w="899"/>
        <w:gridCol w:w="899"/>
        <w:gridCol w:w="896"/>
      </w:tblGrid>
      <w:tr w:rsidR="00A94C6C" w:rsidRPr="00A94C6C" w14:paraId="608C0175" w14:textId="77777777" w:rsidTr="00A94C6C">
        <w:trPr>
          <w:trHeight w:hRule="exact" w:val="900"/>
        </w:trPr>
        <w:tc>
          <w:tcPr>
            <w:tcW w:w="2087" w:type="pct"/>
            <w:tcBorders>
              <w:top w:val="single" w:sz="4" w:space="0" w:color="auto"/>
              <w:left w:val="nil"/>
              <w:bottom w:val="nil"/>
              <w:right w:val="nil"/>
            </w:tcBorders>
            <w:shd w:val="clear" w:color="auto" w:fill="auto"/>
            <w:vAlign w:val="bottom"/>
            <w:hideMark/>
          </w:tcPr>
          <w:p w14:paraId="35322529" w14:textId="2BCD968A" w:rsidR="00A94C6C" w:rsidRPr="00A94C6C" w:rsidRDefault="00A94C6C" w:rsidP="00A94C6C">
            <w:pPr>
              <w:spacing w:after="0" w:line="240" w:lineRule="auto"/>
              <w:rPr>
                <w:rFonts w:ascii="Arial" w:hAnsi="Arial" w:cs="Arial"/>
                <w:sz w:val="16"/>
                <w:szCs w:val="16"/>
              </w:rPr>
            </w:pPr>
            <w:r w:rsidRPr="00A94C6C">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hideMark/>
          </w:tcPr>
          <w:p w14:paraId="5FC87281" w14:textId="7E6D6331"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2021</w:t>
            </w:r>
            <w:r w:rsidR="00B33758">
              <w:rPr>
                <w:rFonts w:ascii="Arial" w:hAnsi="Arial" w:cs="Arial"/>
                <w:sz w:val="16"/>
                <w:szCs w:val="16"/>
              </w:rPr>
              <w:noBreakHyphen/>
            </w:r>
            <w:r w:rsidRPr="00A94C6C">
              <w:rPr>
                <w:rFonts w:ascii="Arial" w:hAnsi="Arial" w:cs="Arial"/>
                <w:sz w:val="16"/>
                <w:szCs w:val="16"/>
              </w:rPr>
              <w:t>22 Estimated actual</w:t>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E6E6E6"/>
            <w:hideMark/>
          </w:tcPr>
          <w:p w14:paraId="27DDAC2F" w14:textId="5AC25C5E"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2022</w:t>
            </w:r>
            <w:r w:rsidR="00B33758">
              <w:rPr>
                <w:rFonts w:ascii="Arial" w:hAnsi="Arial" w:cs="Arial"/>
                <w:sz w:val="16"/>
                <w:szCs w:val="16"/>
              </w:rPr>
              <w:noBreakHyphen/>
            </w:r>
            <w:r w:rsidRPr="00A94C6C">
              <w:rPr>
                <w:rFonts w:ascii="Arial" w:hAnsi="Arial" w:cs="Arial"/>
                <w:sz w:val="16"/>
                <w:szCs w:val="16"/>
              </w:rPr>
              <w:t>23</w:t>
            </w:r>
            <w:r w:rsidRPr="00A94C6C">
              <w:rPr>
                <w:rFonts w:ascii="Arial" w:hAnsi="Arial" w:cs="Arial"/>
                <w:sz w:val="16"/>
                <w:szCs w:val="16"/>
              </w:rPr>
              <w:br/>
              <w:t>Budget</w:t>
            </w:r>
            <w:r w:rsidRPr="00A94C6C">
              <w:rPr>
                <w:rFonts w:ascii="Arial" w:hAnsi="Arial" w:cs="Arial"/>
                <w:sz w:val="16"/>
                <w:szCs w:val="16"/>
              </w:rPr>
              <w:br/>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7E23616F" w14:textId="578BAFA0"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2023</w:t>
            </w:r>
            <w:r w:rsidR="00B33758">
              <w:rPr>
                <w:rFonts w:ascii="Arial" w:hAnsi="Arial" w:cs="Arial"/>
                <w:sz w:val="16"/>
                <w:szCs w:val="16"/>
              </w:rPr>
              <w:noBreakHyphen/>
            </w:r>
            <w:r w:rsidRPr="00A94C6C">
              <w:rPr>
                <w:rFonts w:ascii="Arial" w:hAnsi="Arial" w:cs="Arial"/>
                <w:sz w:val="16"/>
                <w:szCs w:val="16"/>
              </w:rPr>
              <w:t>24 Forward estimate</w:t>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2E5DE1C7" w14:textId="5DCC5781"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2024</w:t>
            </w:r>
            <w:r w:rsidR="00B33758">
              <w:rPr>
                <w:rFonts w:ascii="Arial" w:hAnsi="Arial" w:cs="Arial"/>
                <w:sz w:val="16"/>
                <w:szCs w:val="16"/>
              </w:rPr>
              <w:noBreakHyphen/>
            </w:r>
            <w:r w:rsidRPr="00A94C6C">
              <w:rPr>
                <w:rFonts w:ascii="Arial" w:hAnsi="Arial" w:cs="Arial"/>
                <w:sz w:val="16"/>
                <w:szCs w:val="16"/>
              </w:rPr>
              <w:t>25 Forward estimate</w:t>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62AB4BE8" w14:textId="27F30915"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2025</w:t>
            </w:r>
            <w:r w:rsidR="00B33758">
              <w:rPr>
                <w:rFonts w:ascii="Arial" w:hAnsi="Arial" w:cs="Arial"/>
                <w:sz w:val="16"/>
                <w:szCs w:val="16"/>
              </w:rPr>
              <w:noBreakHyphen/>
            </w:r>
            <w:r w:rsidRPr="00A94C6C">
              <w:rPr>
                <w:rFonts w:ascii="Arial" w:hAnsi="Arial" w:cs="Arial"/>
                <w:sz w:val="16"/>
                <w:szCs w:val="16"/>
              </w:rPr>
              <w:t>26</w:t>
            </w:r>
            <w:r w:rsidRPr="00A94C6C">
              <w:rPr>
                <w:rFonts w:ascii="Arial" w:hAnsi="Arial" w:cs="Arial"/>
                <w:sz w:val="16"/>
                <w:szCs w:val="16"/>
              </w:rPr>
              <w:br/>
              <w:t>Forward estimate</w:t>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r>
      <w:tr w:rsidR="00A94C6C" w:rsidRPr="00A94C6C" w14:paraId="13A7002D" w14:textId="77777777" w:rsidTr="00A94C6C">
        <w:trPr>
          <w:trHeight w:hRule="exact" w:val="675"/>
        </w:trPr>
        <w:tc>
          <w:tcPr>
            <w:tcW w:w="2087" w:type="pct"/>
            <w:tcBorders>
              <w:top w:val="nil"/>
              <w:left w:val="nil"/>
              <w:bottom w:val="nil"/>
              <w:right w:val="nil"/>
            </w:tcBorders>
            <w:shd w:val="clear" w:color="auto" w:fill="auto"/>
            <w:hideMark/>
          </w:tcPr>
          <w:p w14:paraId="7620E135" w14:textId="5E1BBB70" w:rsidR="00A94C6C" w:rsidRPr="00A94C6C" w:rsidRDefault="00A94C6C" w:rsidP="00A94C6C">
            <w:pPr>
              <w:spacing w:after="0" w:line="240" w:lineRule="auto"/>
              <w:jc w:val="left"/>
              <w:rPr>
                <w:rFonts w:ascii="Arial" w:hAnsi="Arial" w:cs="Arial"/>
                <w:b/>
                <w:bCs/>
                <w:color w:val="000000"/>
                <w:sz w:val="16"/>
                <w:szCs w:val="16"/>
              </w:rPr>
            </w:pPr>
            <w:r w:rsidRPr="00A94C6C">
              <w:rPr>
                <w:rFonts w:ascii="Arial" w:hAnsi="Arial" w:cs="Arial"/>
                <w:b/>
                <w:bCs/>
                <w:color w:val="000000"/>
                <w:sz w:val="16"/>
                <w:szCs w:val="16"/>
              </w:rPr>
              <w:t>Total comprehensive income/(loss)</w:t>
            </w:r>
            <w:r w:rsidRPr="00A94C6C">
              <w:rPr>
                <w:rFonts w:ascii="Arial" w:hAnsi="Arial" w:cs="Arial"/>
                <w:b/>
                <w:bCs/>
                <w:color w:val="000000"/>
                <w:sz w:val="16"/>
                <w:szCs w:val="16"/>
              </w:rPr>
              <w:br/>
              <w:t xml:space="preserve"> </w:t>
            </w:r>
            <w:r w:rsidR="00B33758">
              <w:rPr>
                <w:rFonts w:ascii="Arial" w:hAnsi="Arial" w:cs="Arial"/>
                <w:b/>
                <w:bCs/>
                <w:color w:val="000000"/>
                <w:sz w:val="16"/>
                <w:szCs w:val="16"/>
              </w:rPr>
              <w:t xml:space="preserve"> – </w:t>
            </w:r>
            <w:r w:rsidRPr="00A94C6C">
              <w:rPr>
                <w:rFonts w:ascii="Arial" w:hAnsi="Arial" w:cs="Arial"/>
                <w:b/>
                <w:bCs/>
                <w:color w:val="000000"/>
                <w:sz w:val="16"/>
                <w:szCs w:val="16"/>
              </w:rPr>
              <w:t>as per statement of</w:t>
            </w:r>
            <w:r w:rsidRPr="00A94C6C">
              <w:rPr>
                <w:rFonts w:ascii="Arial" w:hAnsi="Arial" w:cs="Arial"/>
                <w:b/>
                <w:bCs/>
                <w:color w:val="000000"/>
                <w:sz w:val="16"/>
                <w:szCs w:val="16"/>
              </w:rPr>
              <w:br/>
              <w:t xml:space="preserve">  Comprehensive Income</w:t>
            </w:r>
          </w:p>
        </w:tc>
        <w:tc>
          <w:tcPr>
            <w:tcW w:w="583" w:type="pct"/>
            <w:tcBorders>
              <w:top w:val="nil"/>
              <w:left w:val="nil"/>
              <w:bottom w:val="nil"/>
              <w:right w:val="nil"/>
            </w:tcBorders>
            <w:shd w:val="clear" w:color="auto" w:fill="auto"/>
            <w:noWrap/>
            <w:vAlign w:val="bottom"/>
            <w:hideMark/>
          </w:tcPr>
          <w:p w14:paraId="666CAA2F"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(9,069)</w:t>
            </w:r>
          </w:p>
        </w:tc>
        <w:tc>
          <w:tcPr>
            <w:tcW w:w="583" w:type="pct"/>
            <w:tcBorders>
              <w:top w:val="nil"/>
              <w:left w:val="nil"/>
              <w:bottom w:val="nil"/>
              <w:right w:val="nil"/>
            </w:tcBorders>
            <w:shd w:val="clear" w:color="000000" w:fill="E6E6E6"/>
            <w:noWrap/>
            <w:vAlign w:val="bottom"/>
            <w:hideMark/>
          </w:tcPr>
          <w:p w14:paraId="71C9B7B2"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(8,459)</w:t>
            </w:r>
          </w:p>
        </w:tc>
        <w:tc>
          <w:tcPr>
            <w:tcW w:w="583" w:type="pct"/>
            <w:tcBorders>
              <w:top w:val="nil"/>
              <w:left w:val="nil"/>
              <w:bottom w:val="nil"/>
              <w:right w:val="nil"/>
            </w:tcBorders>
            <w:shd w:val="clear" w:color="auto" w:fill="auto"/>
            <w:noWrap/>
            <w:vAlign w:val="bottom"/>
            <w:hideMark/>
          </w:tcPr>
          <w:p w14:paraId="629913B5"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(8,415)</w:t>
            </w:r>
          </w:p>
        </w:tc>
        <w:tc>
          <w:tcPr>
            <w:tcW w:w="583" w:type="pct"/>
            <w:tcBorders>
              <w:top w:val="nil"/>
              <w:left w:val="nil"/>
              <w:bottom w:val="nil"/>
              <w:right w:val="nil"/>
            </w:tcBorders>
            <w:shd w:val="clear" w:color="auto" w:fill="auto"/>
            <w:noWrap/>
            <w:vAlign w:val="bottom"/>
            <w:hideMark/>
          </w:tcPr>
          <w:p w14:paraId="25960443"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(8,622)</w:t>
            </w:r>
          </w:p>
        </w:tc>
        <w:tc>
          <w:tcPr>
            <w:tcW w:w="583" w:type="pct"/>
            <w:tcBorders>
              <w:top w:val="nil"/>
              <w:left w:val="nil"/>
              <w:bottom w:val="nil"/>
              <w:right w:val="nil"/>
            </w:tcBorders>
            <w:shd w:val="clear" w:color="auto" w:fill="auto"/>
            <w:noWrap/>
            <w:vAlign w:val="bottom"/>
            <w:hideMark/>
          </w:tcPr>
          <w:p w14:paraId="072E3B56"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(8,622)</w:t>
            </w:r>
          </w:p>
        </w:tc>
      </w:tr>
      <w:tr w:rsidR="00A94C6C" w:rsidRPr="00A94C6C" w14:paraId="22DF7131" w14:textId="77777777" w:rsidTr="00A94C6C">
        <w:trPr>
          <w:trHeight w:hRule="exact" w:val="900"/>
        </w:trPr>
        <w:tc>
          <w:tcPr>
            <w:tcW w:w="2087" w:type="pct"/>
            <w:tcBorders>
              <w:top w:val="nil"/>
              <w:left w:val="nil"/>
              <w:bottom w:val="nil"/>
              <w:right w:val="nil"/>
            </w:tcBorders>
            <w:shd w:val="clear" w:color="auto" w:fill="auto"/>
            <w:hideMark/>
          </w:tcPr>
          <w:p w14:paraId="08BE7F17" w14:textId="77777777" w:rsidR="00A94C6C" w:rsidRPr="00A94C6C" w:rsidRDefault="00A94C6C" w:rsidP="00A94C6C">
            <w:pPr>
              <w:spacing w:after="0" w:line="240" w:lineRule="auto"/>
              <w:ind w:left="170"/>
              <w:jc w:val="left"/>
              <w:rPr>
                <w:rFonts w:ascii="Arial" w:hAnsi="Arial" w:cs="Arial"/>
                <w:color w:val="000000"/>
                <w:sz w:val="16"/>
                <w:szCs w:val="16"/>
              </w:rPr>
            </w:pPr>
            <w:r w:rsidRPr="00A94C6C">
              <w:rPr>
                <w:rFonts w:ascii="Arial" w:hAnsi="Arial" w:cs="Arial"/>
                <w:color w:val="000000"/>
                <w:sz w:val="16"/>
                <w:szCs w:val="16"/>
              </w:rPr>
              <w:t>plus: depreciation/amortisation of assets</w:t>
            </w:r>
            <w:r w:rsidRPr="00A94C6C">
              <w:rPr>
                <w:rFonts w:ascii="Arial" w:hAnsi="Arial" w:cs="Arial"/>
                <w:color w:val="000000"/>
                <w:sz w:val="16"/>
                <w:szCs w:val="16"/>
              </w:rPr>
              <w:br/>
              <w:t xml:space="preserve">  funded through appropriations</w:t>
            </w:r>
            <w:r w:rsidRPr="00A94C6C">
              <w:rPr>
                <w:rFonts w:ascii="Arial" w:hAnsi="Arial" w:cs="Arial"/>
                <w:color w:val="000000"/>
                <w:sz w:val="16"/>
                <w:szCs w:val="16"/>
              </w:rPr>
              <w:br/>
              <w:t xml:space="preserve">  (departmental capital budget funding</w:t>
            </w:r>
            <w:r w:rsidRPr="00A94C6C">
              <w:rPr>
                <w:rFonts w:ascii="Arial" w:hAnsi="Arial" w:cs="Arial"/>
                <w:color w:val="000000"/>
                <w:sz w:val="16"/>
                <w:szCs w:val="16"/>
              </w:rPr>
              <w:br/>
              <w:t xml:space="preserve">  and/or equity injections) (a)</w:t>
            </w:r>
          </w:p>
        </w:tc>
        <w:tc>
          <w:tcPr>
            <w:tcW w:w="583" w:type="pct"/>
            <w:tcBorders>
              <w:top w:val="nil"/>
              <w:left w:val="nil"/>
              <w:bottom w:val="nil"/>
              <w:right w:val="nil"/>
            </w:tcBorders>
            <w:shd w:val="clear" w:color="auto" w:fill="auto"/>
            <w:noWrap/>
            <w:vAlign w:val="bottom"/>
            <w:hideMark/>
          </w:tcPr>
          <w:p w14:paraId="0F1E4670"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7,567 </w:t>
            </w:r>
          </w:p>
        </w:tc>
        <w:tc>
          <w:tcPr>
            <w:tcW w:w="583" w:type="pct"/>
            <w:tcBorders>
              <w:top w:val="nil"/>
              <w:left w:val="nil"/>
              <w:bottom w:val="nil"/>
              <w:right w:val="nil"/>
            </w:tcBorders>
            <w:shd w:val="clear" w:color="000000" w:fill="E6E6E6"/>
            <w:noWrap/>
            <w:vAlign w:val="bottom"/>
            <w:hideMark/>
          </w:tcPr>
          <w:p w14:paraId="1780E931" w14:textId="77777777" w:rsidR="00A94C6C" w:rsidRPr="00A94C6C" w:rsidRDefault="00A94C6C" w:rsidP="00A94C6C">
            <w:pPr>
              <w:spacing w:after="0" w:line="240" w:lineRule="auto"/>
              <w:jc w:val="right"/>
              <w:rPr>
                <w:rFonts w:ascii="Arial" w:hAnsi="Arial" w:cs="Arial"/>
                <w:b/>
                <w:bCs/>
                <w:sz w:val="16"/>
                <w:szCs w:val="16"/>
              </w:rPr>
            </w:pPr>
            <w:r w:rsidRPr="00A94C6C">
              <w:rPr>
                <w:rFonts w:ascii="Arial" w:hAnsi="Arial" w:cs="Arial"/>
                <w:b/>
                <w:bCs/>
                <w:sz w:val="16"/>
                <w:szCs w:val="16"/>
              </w:rPr>
              <w:t xml:space="preserve">7,225 </w:t>
            </w:r>
          </w:p>
        </w:tc>
        <w:tc>
          <w:tcPr>
            <w:tcW w:w="583" w:type="pct"/>
            <w:tcBorders>
              <w:top w:val="nil"/>
              <w:left w:val="nil"/>
              <w:bottom w:val="nil"/>
              <w:right w:val="nil"/>
            </w:tcBorders>
            <w:shd w:val="clear" w:color="auto" w:fill="auto"/>
            <w:noWrap/>
            <w:vAlign w:val="bottom"/>
            <w:hideMark/>
          </w:tcPr>
          <w:p w14:paraId="477EC09C"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13,494 </w:t>
            </w:r>
          </w:p>
        </w:tc>
        <w:tc>
          <w:tcPr>
            <w:tcW w:w="583" w:type="pct"/>
            <w:tcBorders>
              <w:top w:val="nil"/>
              <w:left w:val="nil"/>
              <w:bottom w:val="nil"/>
              <w:right w:val="nil"/>
            </w:tcBorders>
            <w:shd w:val="clear" w:color="auto" w:fill="auto"/>
            <w:noWrap/>
            <w:vAlign w:val="bottom"/>
            <w:hideMark/>
          </w:tcPr>
          <w:p w14:paraId="64B00945"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13,476 </w:t>
            </w:r>
          </w:p>
        </w:tc>
        <w:tc>
          <w:tcPr>
            <w:tcW w:w="583" w:type="pct"/>
            <w:tcBorders>
              <w:top w:val="nil"/>
              <w:left w:val="nil"/>
              <w:bottom w:val="nil"/>
              <w:right w:val="nil"/>
            </w:tcBorders>
            <w:shd w:val="clear" w:color="auto" w:fill="auto"/>
            <w:noWrap/>
            <w:vAlign w:val="bottom"/>
            <w:hideMark/>
          </w:tcPr>
          <w:p w14:paraId="50608BC9"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13,703 </w:t>
            </w:r>
          </w:p>
        </w:tc>
      </w:tr>
      <w:tr w:rsidR="00A94C6C" w:rsidRPr="00A94C6C" w14:paraId="3DCEC84C" w14:textId="77777777" w:rsidTr="00A94C6C">
        <w:trPr>
          <w:trHeight w:hRule="exact" w:val="450"/>
        </w:trPr>
        <w:tc>
          <w:tcPr>
            <w:tcW w:w="2087" w:type="pct"/>
            <w:tcBorders>
              <w:top w:val="nil"/>
              <w:left w:val="nil"/>
              <w:bottom w:val="nil"/>
              <w:right w:val="nil"/>
            </w:tcBorders>
            <w:shd w:val="clear" w:color="auto" w:fill="auto"/>
            <w:hideMark/>
          </w:tcPr>
          <w:p w14:paraId="7106301A" w14:textId="77777777" w:rsidR="00A94C6C" w:rsidRPr="00A94C6C" w:rsidRDefault="00A94C6C" w:rsidP="00A94C6C">
            <w:pPr>
              <w:spacing w:after="0" w:line="240" w:lineRule="auto"/>
              <w:ind w:left="170"/>
              <w:jc w:val="left"/>
              <w:rPr>
                <w:rFonts w:ascii="Arial" w:hAnsi="Arial" w:cs="Arial"/>
                <w:color w:val="000000"/>
                <w:sz w:val="16"/>
                <w:szCs w:val="16"/>
              </w:rPr>
            </w:pPr>
            <w:r w:rsidRPr="00A94C6C">
              <w:rPr>
                <w:rFonts w:ascii="Arial" w:hAnsi="Arial" w:cs="Arial"/>
                <w:color w:val="000000"/>
                <w:sz w:val="16"/>
                <w:szCs w:val="16"/>
              </w:rPr>
              <w:t>plus: depreciation/amortisation</w:t>
            </w:r>
            <w:r w:rsidRPr="00A94C6C">
              <w:rPr>
                <w:rFonts w:ascii="Arial" w:hAnsi="Arial" w:cs="Arial"/>
                <w:color w:val="000000"/>
                <w:sz w:val="16"/>
                <w:szCs w:val="16"/>
              </w:rPr>
              <w:br/>
              <w:t xml:space="preserve">  expenses for ROU assets (b)</w:t>
            </w:r>
          </w:p>
        </w:tc>
        <w:tc>
          <w:tcPr>
            <w:tcW w:w="583" w:type="pct"/>
            <w:tcBorders>
              <w:top w:val="nil"/>
              <w:left w:val="nil"/>
              <w:bottom w:val="nil"/>
              <w:right w:val="nil"/>
            </w:tcBorders>
            <w:shd w:val="clear" w:color="auto" w:fill="auto"/>
            <w:noWrap/>
            <w:vAlign w:val="bottom"/>
            <w:hideMark/>
          </w:tcPr>
          <w:p w14:paraId="15704458"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6,984 </w:t>
            </w:r>
          </w:p>
        </w:tc>
        <w:tc>
          <w:tcPr>
            <w:tcW w:w="583" w:type="pct"/>
            <w:tcBorders>
              <w:top w:val="nil"/>
              <w:left w:val="nil"/>
              <w:bottom w:val="nil"/>
              <w:right w:val="nil"/>
            </w:tcBorders>
            <w:shd w:val="clear" w:color="000000" w:fill="E6E6E6"/>
            <w:noWrap/>
            <w:vAlign w:val="bottom"/>
            <w:hideMark/>
          </w:tcPr>
          <w:p w14:paraId="0EFA90DB" w14:textId="77777777" w:rsidR="00A94C6C" w:rsidRPr="00A94C6C" w:rsidRDefault="00A94C6C" w:rsidP="00A94C6C">
            <w:pPr>
              <w:spacing w:after="0" w:line="240" w:lineRule="auto"/>
              <w:jc w:val="right"/>
              <w:rPr>
                <w:rFonts w:ascii="Arial" w:hAnsi="Arial" w:cs="Arial"/>
                <w:b/>
                <w:bCs/>
                <w:sz w:val="16"/>
                <w:szCs w:val="16"/>
              </w:rPr>
            </w:pPr>
            <w:r w:rsidRPr="00A94C6C">
              <w:rPr>
                <w:rFonts w:ascii="Arial" w:hAnsi="Arial" w:cs="Arial"/>
                <w:b/>
                <w:bCs/>
                <w:sz w:val="16"/>
                <w:szCs w:val="16"/>
              </w:rPr>
              <w:t xml:space="preserve">6,732 </w:t>
            </w:r>
          </w:p>
        </w:tc>
        <w:tc>
          <w:tcPr>
            <w:tcW w:w="583" w:type="pct"/>
            <w:tcBorders>
              <w:top w:val="nil"/>
              <w:left w:val="nil"/>
              <w:bottom w:val="nil"/>
              <w:right w:val="nil"/>
            </w:tcBorders>
            <w:shd w:val="clear" w:color="auto" w:fill="auto"/>
            <w:noWrap/>
            <w:vAlign w:val="bottom"/>
            <w:hideMark/>
          </w:tcPr>
          <w:p w14:paraId="3D93CD78"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437 </w:t>
            </w:r>
          </w:p>
        </w:tc>
        <w:tc>
          <w:tcPr>
            <w:tcW w:w="583" w:type="pct"/>
            <w:tcBorders>
              <w:top w:val="nil"/>
              <w:left w:val="nil"/>
              <w:bottom w:val="nil"/>
              <w:right w:val="nil"/>
            </w:tcBorders>
            <w:shd w:val="clear" w:color="auto" w:fill="auto"/>
            <w:noWrap/>
            <w:vAlign w:val="bottom"/>
            <w:hideMark/>
          </w:tcPr>
          <w:p w14:paraId="6A3E3900"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227 </w:t>
            </w:r>
          </w:p>
        </w:tc>
        <w:tc>
          <w:tcPr>
            <w:tcW w:w="583" w:type="pct"/>
            <w:tcBorders>
              <w:top w:val="nil"/>
              <w:left w:val="nil"/>
              <w:bottom w:val="nil"/>
              <w:right w:val="nil"/>
            </w:tcBorders>
            <w:shd w:val="clear" w:color="auto" w:fill="auto"/>
            <w:noWrap/>
            <w:vAlign w:val="bottom"/>
            <w:hideMark/>
          </w:tcPr>
          <w:p w14:paraId="701DAEFB" w14:textId="7ED60B0B" w:rsidR="00A94C6C" w:rsidRPr="00A94C6C" w:rsidRDefault="00B33758" w:rsidP="00A94C6C">
            <w:pPr>
              <w:spacing w:after="0" w:line="240" w:lineRule="auto"/>
              <w:jc w:val="right"/>
              <w:rPr>
                <w:rFonts w:ascii="Arial" w:hAnsi="Arial" w:cs="Arial"/>
                <w:sz w:val="16"/>
                <w:szCs w:val="16"/>
              </w:rPr>
            </w:pPr>
            <w:r>
              <w:rPr>
                <w:rFonts w:ascii="Arial" w:hAnsi="Arial" w:cs="Arial"/>
                <w:sz w:val="16"/>
                <w:szCs w:val="16"/>
              </w:rPr>
              <w:noBreakHyphen/>
            </w:r>
            <w:r w:rsidR="00A94C6C" w:rsidRPr="00A94C6C">
              <w:rPr>
                <w:rFonts w:ascii="Arial" w:hAnsi="Arial" w:cs="Arial"/>
                <w:sz w:val="16"/>
                <w:szCs w:val="16"/>
              </w:rPr>
              <w:t xml:space="preserve"> </w:t>
            </w:r>
          </w:p>
        </w:tc>
      </w:tr>
      <w:tr w:rsidR="00A94C6C" w:rsidRPr="00A94C6C" w14:paraId="64F42956" w14:textId="77777777" w:rsidTr="00A94C6C">
        <w:trPr>
          <w:trHeight w:hRule="exact" w:val="225"/>
        </w:trPr>
        <w:tc>
          <w:tcPr>
            <w:tcW w:w="2087" w:type="pct"/>
            <w:tcBorders>
              <w:top w:val="nil"/>
              <w:left w:val="nil"/>
              <w:bottom w:val="nil"/>
              <w:right w:val="nil"/>
            </w:tcBorders>
            <w:shd w:val="clear" w:color="auto" w:fill="auto"/>
            <w:hideMark/>
          </w:tcPr>
          <w:p w14:paraId="40E6E1DA" w14:textId="77777777" w:rsidR="00A94C6C" w:rsidRPr="00A94C6C" w:rsidRDefault="00A94C6C" w:rsidP="00A94C6C">
            <w:pPr>
              <w:spacing w:after="0" w:line="240" w:lineRule="auto"/>
              <w:ind w:left="170"/>
              <w:jc w:val="left"/>
              <w:rPr>
                <w:rFonts w:ascii="Arial" w:hAnsi="Arial" w:cs="Arial"/>
                <w:color w:val="000000"/>
                <w:sz w:val="16"/>
                <w:szCs w:val="16"/>
              </w:rPr>
            </w:pPr>
            <w:r w:rsidRPr="00A94C6C">
              <w:rPr>
                <w:rFonts w:ascii="Arial" w:hAnsi="Arial" w:cs="Arial"/>
                <w:color w:val="000000"/>
                <w:sz w:val="16"/>
                <w:szCs w:val="16"/>
              </w:rPr>
              <w:t>less: lease principal repayments (b)</w:t>
            </w:r>
          </w:p>
        </w:tc>
        <w:tc>
          <w:tcPr>
            <w:tcW w:w="583" w:type="pct"/>
            <w:tcBorders>
              <w:top w:val="nil"/>
              <w:left w:val="nil"/>
              <w:bottom w:val="nil"/>
              <w:right w:val="nil"/>
            </w:tcBorders>
            <w:shd w:val="clear" w:color="auto" w:fill="auto"/>
            <w:noWrap/>
            <w:vAlign w:val="bottom"/>
            <w:hideMark/>
          </w:tcPr>
          <w:p w14:paraId="747344A7"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5,482 </w:t>
            </w:r>
          </w:p>
        </w:tc>
        <w:tc>
          <w:tcPr>
            <w:tcW w:w="583" w:type="pct"/>
            <w:tcBorders>
              <w:top w:val="nil"/>
              <w:left w:val="nil"/>
              <w:bottom w:val="nil"/>
              <w:right w:val="nil"/>
            </w:tcBorders>
            <w:shd w:val="clear" w:color="000000" w:fill="E6E6E6"/>
            <w:noWrap/>
            <w:vAlign w:val="bottom"/>
            <w:hideMark/>
          </w:tcPr>
          <w:p w14:paraId="051DC06B" w14:textId="77777777" w:rsidR="00A94C6C" w:rsidRPr="00A94C6C" w:rsidRDefault="00A94C6C" w:rsidP="00A94C6C">
            <w:pPr>
              <w:spacing w:after="0" w:line="240" w:lineRule="auto"/>
              <w:jc w:val="right"/>
              <w:rPr>
                <w:rFonts w:ascii="Arial" w:hAnsi="Arial" w:cs="Arial"/>
                <w:b/>
                <w:bCs/>
                <w:sz w:val="16"/>
                <w:szCs w:val="16"/>
              </w:rPr>
            </w:pPr>
            <w:r w:rsidRPr="00A94C6C">
              <w:rPr>
                <w:rFonts w:ascii="Arial" w:hAnsi="Arial" w:cs="Arial"/>
                <w:b/>
                <w:bCs/>
                <w:sz w:val="16"/>
                <w:szCs w:val="16"/>
              </w:rPr>
              <w:t xml:space="preserve">5,498 </w:t>
            </w:r>
          </w:p>
        </w:tc>
        <w:tc>
          <w:tcPr>
            <w:tcW w:w="583" w:type="pct"/>
            <w:tcBorders>
              <w:top w:val="nil"/>
              <w:left w:val="nil"/>
              <w:bottom w:val="nil"/>
              <w:right w:val="nil"/>
            </w:tcBorders>
            <w:shd w:val="clear" w:color="auto" w:fill="auto"/>
            <w:noWrap/>
            <w:vAlign w:val="bottom"/>
            <w:hideMark/>
          </w:tcPr>
          <w:p w14:paraId="616B8530"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5,516 </w:t>
            </w:r>
          </w:p>
        </w:tc>
        <w:tc>
          <w:tcPr>
            <w:tcW w:w="583" w:type="pct"/>
            <w:tcBorders>
              <w:top w:val="nil"/>
              <w:left w:val="nil"/>
              <w:bottom w:val="nil"/>
              <w:right w:val="nil"/>
            </w:tcBorders>
            <w:shd w:val="clear" w:color="auto" w:fill="auto"/>
            <w:noWrap/>
            <w:vAlign w:val="bottom"/>
            <w:hideMark/>
          </w:tcPr>
          <w:p w14:paraId="74E164BE"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5,081 </w:t>
            </w:r>
          </w:p>
        </w:tc>
        <w:tc>
          <w:tcPr>
            <w:tcW w:w="583" w:type="pct"/>
            <w:tcBorders>
              <w:top w:val="nil"/>
              <w:left w:val="nil"/>
              <w:bottom w:val="nil"/>
              <w:right w:val="nil"/>
            </w:tcBorders>
            <w:shd w:val="clear" w:color="auto" w:fill="auto"/>
            <w:noWrap/>
            <w:vAlign w:val="bottom"/>
            <w:hideMark/>
          </w:tcPr>
          <w:p w14:paraId="05E2B2DB" w14:textId="77777777"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 xml:space="preserve">5,081 </w:t>
            </w:r>
          </w:p>
        </w:tc>
      </w:tr>
      <w:tr w:rsidR="00A94C6C" w:rsidRPr="00A94C6C" w14:paraId="295479FD" w14:textId="77777777" w:rsidTr="00A94C6C">
        <w:trPr>
          <w:trHeight w:hRule="exact" w:val="225"/>
        </w:trPr>
        <w:tc>
          <w:tcPr>
            <w:tcW w:w="2087" w:type="pct"/>
            <w:tcBorders>
              <w:top w:val="nil"/>
              <w:left w:val="nil"/>
              <w:bottom w:val="single" w:sz="4" w:space="0" w:color="auto"/>
              <w:right w:val="nil"/>
            </w:tcBorders>
            <w:shd w:val="clear" w:color="auto" w:fill="auto"/>
            <w:vAlign w:val="center"/>
            <w:hideMark/>
          </w:tcPr>
          <w:p w14:paraId="05E2C7C6" w14:textId="77777777" w:rsidR="00A94C6C" w:rsidRPr="00A94C6C" w:rsidRDefault="00A94C6C" w:rsidP="00A94C6C">
            <w:pPr>
              <w:spacing w:after="0" w:line="240" w:lineRule="auto"/>
              <w:jc w:val="left"/>
              <w:rPr>
                <w:rFonts w:ascii="Arial" w:hAnsi="Arial" w:cs="Arial"/>
                <w:b/>
                <w:bCs/>
                <w:color w:val="000000"/>
                <w:sz w:val="16"/>
                <w:szCs w:val="16"/>
              </w:rPr>
            </w:pPr>
            <w:r w:rsidRPr="00A94C6C">
              <w:rPr>
                <w:rFonts w:ascii="Arial" w:hAnsi="Arial" w:cs="Arial"/>
                <w:b/>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auto" w:fill="auto"/>
            <w:vAlign w:val="bottom"/>
            <w:hideMark/>
          </w:tcPr>
          <w:p w14:paraId="6816B03F" w14:textId="6E43BB2B" w:rsidR="00A94C6C" w:rsidRPr="00A94C6C" w:rsidRDefault="00B33758" w:rsidP="00A94C6C">
            <w:pPr>
              <w:spacing w:after="0" w:line="240" w:lineRule="auto"/>
              <w:jc w:val="right"/>
              <w:rPr>
                <w:rFonts w:ascii="Arial" w:hAnsi="Arial" w:cs="Arial"/>
                <w:b/>
                <w:bCs/>
                <w:sz w:val="16"/>
                <w:szCs w:val="16"/>
              </w:rPr>
            </w:pPr>
            <w:r>
              <w:rPr>
                <w:rFonts w:ascii="Arial" w:hAnsi="Arial" w:cs="Arial"/>
                <w:b/>
                <w:bCs/>
                <w:sz w:val="16"/>
                <w:szCs w:val="16"/>
              </w:rPr>
              <w:noBreakHyphen/>
            </w:r>
            <w:r w:rsidR="00A94C6C" w:rsidRPr="00A94C6C">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000000" w:fill="E6E6E6"/>
            <w:vAlign w:val="bottom"/>
            <w:hideMark/>
          </w:tcPr>
          <w:p w14:paraId="49745F5E" w14:textId="6D3F5066" w:rsidR="00A94C6C" w:rsidRPr="00A94C6C" w:rsidRDefault="00B33758" w:rsidP="00A94C6C">
            <w:pPr>
              <w:spacing w:after="0" w:line="240" w:lineRule="auto"/>
              <w:jc w:val="right"/>
              <w:rPr>
                <w:rFonts w:ascii="Arial" w:hAnsi="Arial" w:cs="Arial"/>
                <w:b/>
                <w:bCs/>
                <w:sz w:val="16"/>
                <w:szCs w:val="16"/>
              </w:rPr>
            </w:pPr>
            <w:r>
              <w:rPr>
                <w:rFonts w:ascii="Arial" w:hAnsi="Arial" w:cs="Arial"/>
                <w:b/>
                <w:bCs/>
                <w:sz w:val="16"/>
                <w:szCs w:val="16"/>
              </w:rPr>
              <w:noBreakHyphen/>
            </w:r>
            <w:r w:rsidR="00A94C6C" w:rsidRPr="00A94C6C">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107B6401" w14:textId="573361C3" w:rsidR="00A94C6C" w:rsidRPr="00A94C6C" w:rsidRDefault="00B33758" w:rsidP="00A94C6C">
            <w:pPr>
              <w:spacing w:after="0" w:line="240" w:lineRule="auto"/>
              <w:jc w:val="right"/>
              <w:rPr>
                <w:rFonts w:ascii="Arial" w:hAnsi="Arial" w:cs="Arial"/>
                <w:b/>
                <w:bCs/>
                <w:sz w:val="16"/>
                <w:szCs w:val="16"/>
              </w:rPr>
            </w:pPr>
            <w:r>
              <w:rPr>
                <w:rFonts w:ascii="Arial" w:hAnsi="Arial" w:cs="Arial"/>
                <w:b/>
                <w:bCs/>
                <w:sz w:val="16"/>
                <w:szCs w:val="16"/>
              </w:rPr>
              <w:noBreakHyphen/>
            </w:r>
            <w:r w:rsidR="00A94C6C" w:rsidRPr="00A94C6C">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68B83F72" w14:textId="7D18377E" w:rsidR="00A94C6C" w:rsidRPr="00A94C6C" w:rsidRDefault="00B33758" w:rsidP="00A94C6C">
            <w:pPr>
              <w:spacing w:after="0" w:line="240" w:lineRule="auto"/>
              <w:jc w:val="right"/>
              <w:rPr>
                <w:rFonts w:ascii="Arial" w:hAnsi="Arial" w:cs="Arial"/>
                <w:b/>
                <w:bCs/>
                <w:sz w:val="16"/>
                <w:szCs w:val="16"/>
              </w:rPr>
            </w:pPr>
            <w:r>
              <w:rPr>
                <w:rFonts w:ascii="Arial" w:hAnsi="Arial" w:cs="Arial"/>
                <w:b/>
                <w:bCs/>
                <w:sz w:val="16"/>
                <w:szCs w:val="16"/>
              </w:rPr>
              <w:noBreakHyphen/>
            </w:r>
            <w:r w:rsidR="00A94C6C" w:rsidRPr="00A94C6C">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7F66E462" w14:textId="50DFAA9B" w:rsidR="00A94C6C" w:rsidRPr="00A94C6C" w:rsidRDefault="00B33758" w:rsidP="00A94C6C">
            <w:pPr>
              <w:spacing w:after="0" w:line="240" w:lineRule="auto"/>
              <w:jc w:val="right"/>
              <w:rPr>
                <w:rFonts w:ascii="Arial" w:hAnsi="Arial" w:cs="Arial"/>
                <w:b/>
                <w:bCs/>
                <w:sz w:val="16"/>
                <w:szCs w:val="16"/>
              </w:rPr>
            </w:pPr>
            <w:r>
              <w:rPr>
                <w:rFonts w:ascii="Arial" w:hAnsi="Arial" w:cs="Arial"/>
                <w:b/>
                <w:bCs/>
                <w:sz w:val="16"/>
                <w:szCs w:val="16"/>
              </w:rPr>
              <w:noBreakHyphen/>
            </w:r>
            <w:r w:rsidR="00A94C6C" w:rsidRPr="00A94C6C">
              <w:rPr>
                <w:rFonts w:ascii="Arial" w:hAnsi="Arial" w:cs="Arial"/>
                <w:b/>
                <w:bCs/>
                <w:sz w:val="16"/>
                <w:szCs w:val="16"/>
              </w:rPr>
              <w:t xml:space="preserve"> </w:t>
            </w:r>
          </w:p>
        </w:tc>
      </w:tr>
    </w:tbl>
    <w:p w14:paraId="1EBF90DB" w14:textId="6EBE46CD" w:rsidR="00A94C6C" w:rsidRDefault="00A94C6C" w:rsidP="00A94C6C">
      <w:pPr>
        <w:pStyle w:val="Source"/>
        <w:rPr>
          <w:rFonts w:cs="Arial"/>
        </w:rPr>
      </w:pPr>
      <w:r w:rsidRPr="00350F81">
        <w:rPr>
          <w:rStyle w:val="ChartandTableFootnoteChar"/>
        </w:rPr>
        <w:t>Prepared on Australian Accounting Standards basis</w:t>
      </w:r>
      <w:r w:rsidRPr="009D54F3">
        <w:rPr>
          <w:rFonts w:cs="Arial"/>
        </w:rPr>
        <w:t>.</w:t>
      </w:r>
    </w:p>
    <w:p w14:paraId="48C35B76" w14:textId="107E6F74" w:rsidR="00A94C6C" w:rsidRDefault="00A94C6C" w:rsidP="00C1778B">
      <w:pPr>
        <w:pStyle w:val="ChartandTableFootnoteAlpha"/>
        <w:numPr>
          <w:ilvl w:val="0"/>
          <w:numId w:val="10"/>
        </w:numPr>
      </w:pPr>
      <w:r w:rsidRPr="00A94C6C">
        <w:t>From 2010</w:t>
      </w:r>
      <w:r w:rsidR="00B33758">
        <w:noBreakHyphen/>
      </w:r>
      <w:r w:rsidRPr="00A94C6C">
        <w:t>11, the Government introduced net cash appropriation arrangements where Bill 1 revenue appropriations for the depreciation/amortisation expenses of non</w:t>
      </w:r>
      <w:r w:rsidR="00B33758">
        <w:noBreakHyphen/>
      </w:r>
      <w:r w:rsidRPr="00A94C6C">
        <w:t>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30973EFF" w14:textId="28055669" w:rsidR="00E75A0F" w:rsidRPr="003F2797" w:rsidRDefault="00D52088" w:rsidP="00096568">
      <w:pPr>
        <w:pStyle w:val="ChartandTableFootnoteAlpha"/>
        <w:numPr>
          <w:ilvl w:val="0"/>
          <w:numId w:val="10"/>
        </w:numPr>
      </w:pPr>
      <w:r w:rsidRPr="00D52088">
        <w:t>Applies leases under AASB 16 Leases.</w:t>
      </w:r>
    </w:p>
    <w:p w14:paraId="05139960" w14:textId="0E806563" w:rsidR="00546BE8" w:rsidRPr="00546BE8" w:rsidRDefault="000A24C4" w:rsidP="001C1E88">
      <w:pPr>
        <w:pStyle w:val="TableHeading"/>
        <w:rPr>
          <w:b w:val="0"/>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5000" w:type="pct"/>
        <w:tblCellMar>
          <w:left w:w="0" w:type="dxa"/>
          <w:right w:w="28" w:type="dxa"/>
        </w:tblCellMar>
        <w:tblLook w:val="04A0" w:firstRow="1" w:lastRow="0" w:firstColumn="1" w:lastColumn="0" w:noHBand="0" w:noVBand="1"/>
      </w:tblPr>
      <w:tblGrid>
        <w:gridCol w:w="3246"/>
        <w:gridCol w:w="893"/>
        <w:gridCol w:w="893"/>
        <w:gridCol w:w="893"/>
        <w:gridCol w:w="893"/>
        <w:gridCol w:w="893"/>
      </w:tblGrid>
      <w:tr w:rsidR="00546BE8" w:rsidRPr="00546BE8" w14:paraId="630DD0C0" w14:textId="77777777" w:rsidTr="00546BE8">
        <w:trPr>
          <w:trHeight w:hRule="exact" w:val="900"/>
        </w:trPr>
        <w:tc>
          <w:tcPr>
            <w:tcW w:w="2105" w:type="pct"/>
            <w:tcBorders>
              <w:top w:val="single" w:sz="4" w:space="0" w:color="auto"/>
              <w:left w:val="nil"/>
              <w:bottom w:val="nil"/>
              <w:right w:val="nil"/>
            </w:tcBorders>
            <w:shd w:val="clear" w:color="auto" w:fill="auto"/>
            <w:noWrap/>
            <w:hideMark/>
          </w:tcPr>
          <w:p w14:paraId="764895E8" w14:textId="1DF2C245" w:rsidR="00546BE8" w:rsidRPr="00546BE8" w:rsidRDefault="00546BE8" w:rsidP="00546BE8">
            <w:pPr>
              <w:spacing w:after="0" w:line="240" w:lineRule="auto"/>
              <w:rPr>
                <w:rFonts w:ascii="Arial" w:hAnsi="Arial" w:cs="Arial"/>
                <w:b/>
                <w:bCs/>
                <w:sz w:val="16"/>
                <w:szCs w:val="16"/>
              </w:rPr>
            </w:pPr>
            <w:r w:rsidRPr="00546BE8">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9ABD500" w14:textId="4D93CE11" w:rsidR="00546BE8" w:rsidRPr="00546BE8" w:rsidRDefault="00546BE8" w:rsidP="00546BE8">
            <w:pPr>
              <w:spacing w:after="0" w:line="240" w:lineRule="auto"/>
              <w:jc w:val="right"/>
              <w:rPr>
                <w:rFonts w:ascii="Arial" w:hAnsi="Arial" w:cs="Arial"/>
                <w:sz w:val="16"/>
                <w:szCs w:val="16"/>
              </w:rPr>
            </w:pPr>
            <w:r w:rsidRPr="00546BE8">
              <w:rPr>
                <w:rFonts w:ascii="Arial" w:hAnsi="Arial" w:cs="Arial"/>
                <w:sz w:val="16"/>
                <w:szCs w:val="16"/>
              </w:rPr>
              <w:t>2021</w:t>
            </w:r>
            <w:r w:rsidR="00B33758">
              <w:rPr>
                <w:rFonts w:ascii="Arial" w:hAnsi="Arial" w:cs="Arial"/>
                <w:sz w:val="16"/>
                <w:szCs w:val="16"/>
              </w:rPr>
              <w:noBreakHyphen/>
            </w:r>
            <w:r w:rsidRPr="00546BE8">
              <w:rPr>
                <w:rFonts w:ascii="Arial" w:hAnsi="Arial" w:cs="Arial"/>
                <w:sz w:val="16"/>
                <w:szCs w:val="16"/>
              </w:rPr>
              <w:t>22 Estimated actual</w:t>
            </w:r>
            <w:r w:rsidRPr="00546BE8">
              <w:rPr>
                <w:rFonts w:ascii="Arial" w:hAnsi="Arial" w:cs="Arial"/>
                <w:sz w:val="16"/>
                <w:szCs w:val="16"/>
              </w:rPr>
              <w:br/>
              <w:t>$</w:t>
            </w:r>
            <w:r w:rsidR="00B33758">
              <w:rPr>
                <w:rFonts w:ascii="Arial" w:hAnsi="Arial" w:cs="Arial"/>
                <w:sz w:val="16"/>
                <w:szCs w:val="16"/>
              </w:rPr>
              <w:t>’</w:t>
            </w:r>
            <w:r w:rsidRPr="00546BE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3017343F" w14:textId="7572FA06" w:rsidR="00546BE8" w:rsidRPr="00546BE8" w:rsidRDefault="00546BE8" w:rsidP="00546BE8">
            <w:pPr>
              <w:spacing w:after="0" w:line="240" w:lineRule="auto"/>
              <w:jc w:val="right"/>
              <w:rPr>
                <w:rFonts w:ascii="Arial" w:hAnsi="Arial" w:cs="Arial"/>
                <w:sz w:val="16"/>
                <w:szCs w:val="16"/>
              </w:rPr>
            </w:pPr>
            <w:r w:rsidRPr="00546BE8">
              <w:rPr>
                <w:rFonts w:ascii="Arial" w:hAnsi="Arial" w:cs="Arial"/>
                <w:sz w:val="16"/>
                <w:szCs w:val="16"/>
              </w:rPr>
              <w:t>2022</w:t>
            </w:r>
            <w:r w:rsidR="00B33758">
              <w:rPr>
                <w:rFonts w:ascii="Arial" w:hAnsi="Arial" w:cs="Arial"/>
                <w:sz w:val="16"/>
                <w:szCs w:val="16"/>
              </w:rPr>
              <w:noBreakHyphen/>
            </w:r>
            <w:r w:rsidRPr="00546BE8">
              <w:rPr>
                <w:rFonts w:ascii="Arial" w:hAnsi="Arial" w:cs="Arial"/>
                <w:sz w:val="16"/>
                <w:szCs w:val="16"/>
              </w:rPr>
              <w:t>23</w:t>
            </w:r>
            <w:r w:rsidRPr="00546BE8">
              <w:rPr>
                <w:rFonts w:ascii="Arial" w:hAnsi="Arial" w:cs="Arial"/>
                <w:sz w:val="16"/>
                <w:szCs w:val="16"/>
              </w:rPr>
              <w:br/>
              <w:t>Budget</w:t>
            </w:r>
            <w:r w:rsidRPr="00546BE8">
              <w:rPr>
                <w:rFonts w:ascii="Arial" w:hAnsi="Arial" w:cs="Arial"/>
                <w:sz w:val="16"/>
                <w:szCs w:val="16"/>
              </w:rPr>
              <w:br/>
            </w:r>
            <w:r w:rsidRPr="00546BE8">
              <w:rPr>
                <w:rFonts w:ascii="Arial" w:hAnsi="Arial" w:cs="Arial"/>
                <w:sz w:val="16"/>
                <w:szCs w:val="16"/>
              </w:rPr>
              <w:br/>
              <w:t>$</w:t>
            </w:r>
            <w:r w:rsidR="00B33758">
              <w:rPr>
                <w:rFonts w:ascii="Arial" w:hAnsi="Arial" w:cs="Arial"/>
                <w:sz w:val="16"/>
                <w:szCs w:val="16"/>
              </w:rPr>
              <w:t>’</w:t>
            </w:r>
            <w:r w:rsidRPr="00546BE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53C2729" w14:textId="1E190574" w:rsidR="00546BE8" w:rsidRPr="00546BE8" w:rsidRDefault="00546BE8" w:rsidP="00546BE8">
            <w:pPr>
              <w:spacing w:after="0" w:line="240" w:lineRule="auto"/>
              <w:jc w:val="right"/>
              <w:rPr>
                <w:rFonts w:ascii="Arial" w:hAnsi="Arial" w:cs="Arial"/>
                <w:sz w:val="16"/>
                <w:szCs w:val="16"/>
              </w:rPr>
            </w:pPr>
            <w:r w:rsidRPr="00546BE8">
              <w:rPr>
                <w:rFonts w:ascii="Arial" w:hAnsi="Arial" w:cs="Arial"/>
                <w:sz w:val="16"/>
                <w:szCs w:val="16"/>
              </w:rPr>
              <w:t>2023</w:t>
            </w:r>
            <w:r w:rsidR="00B33758">
              <w:rPr>
                <w:rFonts w:ascii="Arial" w:hAnsi="Arial" w:cs="Arial"/>
                <w:sz w:val="16"/>
                <w:szCs w:val="16"/>
              </w:rPr>
              <w:noBreakHyphen/>
            </w:r>
            <w:r w:rsidRPr="00546BE8">
              <w:rPr>
                <w:rFonts w:ascii="Arial" w:hAnsi="Arial" w:cs="Arial"/>
                <w:sz w:val="16"/>
                <w:szCs w:val="16"/>
              </w:rPr>
              <w:t>24 Forward estimate</w:t>
            </w:r>
            <w:r w:rsidRPr="00546BE8">
              <w:rPr>
                <w:rFonts w:ascii="Arial" w:hAnsi="Arial" w:cs="Arial"/>
                <w:sz w:val="16"/>
                <w:szCs w:val="16"/>
              </w:rPr>
              <w:br/>
              <w:t>$</w:t>
            </w:r>
            <w:r w:rsidR="00B33758">
              <w:rPr>
                <w:rFonts w:ascii="Arial" w:hAnsi="Arial" w:cs="Arial"/>
                <w:sz w:val="16"/>
                <w:szCs w:val="16"/>
              </w:rPr>
              <w:t>’</w:t>
            </w:r>
            <w:r w:rsidRPr="00546BE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FB7144D" w14:textId="437D1670" w:rsidR="00546BE8" w:rsidRPr="00546BE8" w:rsidRDefault="00546BE8" w:rsidP="00546BE8">
            <w:pPr>
              <w:spacing w:after="0" w:line="240" w:lineRule="auto"/>
              <w:jc w:val="right"/>
              <w:rPr>
                <w:rFonts w:ascii="Arial" w:hAnsi="Arial" w:cs="Arial"/>
                <w:sz w:val="16"/>
                <w:szCs w:val="16"/>
              </w:rPr>
            </w:pPr>
            <w:r w:rsidRPr="00546BE8">
              <w:rPr>
                <w:rFonts w:ascii="Arial" w:hAnsi="Arial" w:cs="Arial"/>
                <w:sz w:val="16"/>
                <w:szCs w:val="16"/>
              </w:rPr>
              <w:t>2024</w:t>
            </w:r>
            <w:r w:rsidR="00B33758">
              <w:rPr>
                <w:rFonts w:ascii="Arial" w:hAnsi="Arial" w:cs="Arial"/>
                <w:sz w:val="16"/>
                <w:szCs w:val="16"/>
              </w:rPr>
              <w:noBreakHyphen/>
            </w:r>
            <w:r w:rsidRPr="00546BE8">
              <w:rPr>
                <w:rFonts w:ascii="Arial" w:hAnsi="Arial" w:cs="Arial"/>
                <w:sz w:val="16"/>
                <w:szCs w:val="16"/>
              </w:rPr>
              <w:t>25 Forward estimate</w:t>
            </w:r>
            <w:r w:rsidRPr="00546BE8">
              <w:rPr>
                <w:rFonts w:ascii="Arial" w:hAnsi="Arial" w:cs="Arial"/>
                <w:sz w:val="16"/>
                <w:szCs w:val="16"/>
              </w:rPr>
              <w:br/>
              <w:t>$</w:t>
            </w:r>
            <w:r w:rsidR="00B33758">
              <w:rPr>
                <w:rFonts w:ascii="Arial" w:hAnsi="Arial" w:cs="Arial"/>
                <w:sz w:val="16"/>
                <w:szCs w:val="16"/>
              </w:rPr>
              <w:t>’</w:t>
            </w:r>
            <w:r w:rsidRPr="00546BE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D92C7F4" w14:textId="1C7C002C" w:rsidR="00546BE8" w:rsidRPr="00546BE8" w:rsidRDefault="00546BE8" w:rsidP="00546BE8">
            <w:pPr>
              <w:spacing w:after="0" w:line="240" w:lineRule="auto"/>
              <w:jc w:val="right"/>
              <w:rPr>
                <w:rFonts w:ascii="Arial" w:hAnsi="Arial" w:cs="Arial"/>
                <w:sz w:val="16"/>
                <w:szCs w:val="16"/>
              </w:rPr>
            </w:pPr>
            <w:r w:rsidRPr="00546BE8">
              <w:rPr>
                <w:rFonts w:ascii="Arial" w:hAnsi="Arial" w:cs="Arial"/>
                <w:sz w:val="16"/>
                <w:szCs w:val="16"/>
              </w:rPr>
              <w:t>2025</w:t>
            </w:r>
            <w:r w:rsidR="00B33758">
              <w:rPr>
                <w:rFonts w:ascii="Arial" w:hAnsi="Arial" w:cs="Arial"/>
                <w:sz w:val="16"/>
                <w:szCs w:val="16"/>
              </w:rPr>
              <w:noBreakHyphen/>
            </w:r>
            <w:r w:rsidRPr="00546BE8">
              <w:rPr>
                <w:rFonts w:ascii="Arial" w:hAnsi="Arial" w:cs="Arial"/>
                <w:sz w:val="16"/>
                <w:szCs w:val="16"/>
              </w:rPr>
              <w:t>26</w:t>
            </w:r>
            <w:r w:rsidRPr="00546BE8">
              <w:rPr>
                <w:rFonts w:ascii="Arial" w:hAnsi="Arial" w:cs="Arial"/>
                <w:sz w:val="16"/>
                <w:szCs w:val="16"/>
              </w:rPr>
              <w:br/>
              <w:t>Forward estimate</w:t>
            </w:r>
            <w:r w:rsidRPr="00546BE8">
              <w:rPr>
                <w:rFonts w:ascii="Arial" w:hAnsi="Arial" w:cs="Arial"/>
                <w:sz w:val="16"/>
                <w:szCs w:val="16"/>
              </w:rPr>
              <w:br/>
              <w:t>$</w:t>
            </w:r>
            <w:r w:rsidR="00B33758">
              <w:rPr>
                <w:rFonts w:ascii="Arial" w:hAnsi="Arial" w:cs="Arial"/>
                <w:sz w:val="16"/>
                <w:szCs w:val="16"/>
              </w:rPr>
              <w:t>’</w:t>
            </w:r>
            <w:r w:rsidRPr="00546BE8">
              <w:rPr>
                <w:rFonts w:ascii="Arial" w:hAnsi="Arial" w:cs="Arial"/>
                <w:sz w:val="16"/>
                <w:szCs w:val="16"/>
              </w:rPr>
              <w:t>000</w:t>
            </w:r>
          </w:p>
        </w:tc>
      </w:tr>
      <w:tr w:rsidR="00546BE8" w:rsidRPr="00546BE8" w14:paraId="5FDAE581" w14:textId="77777777" w:rsidTr="00546BE8">
        <w:trPr>
          <w:trHeight w:hRule="exact" w:val="225"/>
        </w:trPr>
        <w:tc>
          <w:tcPr>
            <w:tcW w:w="2105" w:type="pct"/>
            <w:tcBorders>
              <w:top w:val="nil"/>
              <w:left w:val="nil"/>
              <w:bottom w:val="nil"/>
              <w:right w:val="nil"/>
            </w:tcBorders>
            <w:shd w:val="clear" w:color="auto" w:fill="auto"/>
            <w:noWrap/>
            <w:vAlign w:val="center"/>
            <w:hideMark/>
          </w:tcPr>
          <w:p w14:paraId="240E5248" w14:textId="7777777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center"/>
            <w:hideMark/>
          </w:tcPr>
          <w:p w14:paraId="547769A6" w14:textId="77777777" w:rsidR="00546BE8" w:rsidRPr="00546BE8" w:rsidRDefault="00546BE8" w:rsidP="00546BE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41CE8D0" w14:textId="77777777" w:rsidR="00546BE8" w:rsidRPr="00546BE8" w:rsidRDefault="00546BE8" w:rsidP="00546BE8">
            <w:pPr>
              <w:spacing w:after="0" w:line="240" w:lineRule="auto"/>
              <w:jc w:val="left"/>
              <w:rPr>
                <w:rFonts w:ascii="Arial" w:hAnsi="Arial" w:cs="Arial"/>
                <w:color w:val="000000"/>
                <w:sz w:val="16"/>
                <w:szCs w:val="16"/>
              </w:rPr>
            </w:pPr>
            <w:r w:rsidRPr="00546BE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41C2F6E" w14:textId="77777777" w:rsidR="00546BE8" w:rsidRPr="00546BE8" w:rsidRDefault="00546BE8" w:rsidP="00546BE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8546DD2" w14:textId="77777777" w:rsidR="00546BE8" w:rsidRPr="00546BE8" w:rsidRDefault="00546BE8" w:rsidP="00546BE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A05E97B" w14:textId="77777777" w:rsidR="00546BE8" w:rsidRPr="00546BE8" w:rsidRDefault="00546BE8" w:rsidP="00546BE8">
            <w:pPr>
              <w:spacing w:after="0" w:line="240" w:lineRule="auto"/>
              <w:jc w:val="left"/>
              <w:rPr>
                <w:rFonts w:ascii="Times New Roman" w:hAnsi="Times New Roman"/>
              </w:rPr>
            </w:pPr>
          </w:p>
        </w:tc>
      </w:tr>
      <w:tr w:rsidR="00546BE8" w:rsidRPr="00546BE8" w14:paraId="1E79259C" w14:textId="77777777" w:rsidTr="00546BE8">
        <w:trPr>
          <w:trHeight w:hRule="exact" w:val="225"/>
        </w:trPr>
        <w:tc>
          <w:tcPr>
            <w:tcW w:w="2105" w:type="pct"/>
            <w:tcBorders>
              <w:top w:val="nil"/>
              <w:left w:val="nil"/>
              <w:bottom w:val="nil"/>
              <w:right w:val="nil"/>
            </w:tcBorders>
            <w:shd w:val="clear" w:color="auto" w:fill="auto"/>
            <w:noWrap/>
            <w:vAlign w:val="center"/>
            <w:hideMark/>
          </w:tcPr>
          <w:p w14:paraId="6BA36D30" w14:textId="7777777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center"/>
            <w:hideMark/>
          </w:tcPr>
          <w:p w14:paraId="77A0B6C8" w14:textId="77777777" w:rsidR="00546BE8" w:rsidRPr="00546BE8" w:rsidRDefault="00546BE8" w:rsidP="00546BE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6B9109AB" w14:textId="77777777" w:rsidR="00546BE8" w:rsidRPr="00546BE8" w:rsidRDefault="00546BE8" w:rsidP="00546BE8">
            <w:pPr>
              <w:spacing w:after="0" w:line="240" w:lineRule="auto"/>
              <w:jc w:val="left"/>
              <w:rPr>
                <w:rFonts w:ascii="Arial" w:hAnsi="Arial" w:cs="Arial"/>
                <w:color w:val="000000"/>
                <w:sz w:val="16"/>
                <w:szCs w:val="16"/>
              </w:rPr>
            </w:pPr>
            <w:r w:rsidRPr="00546BE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62CDE6E" w14:textId="77777777" w:rsidR="00546BE8" w:rsidRPr="00546BE8" w:rsidRDefault="00546BE8" w:rsidP="00546BE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25DFECB" w14:textId="77777777" w:rsidR="00546BE8" w:rsidRPr="00546BE8" w:rsidRDefault="00546BE8" w:rsidP="00546BE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B04B3F9" w14:textId="77777777" w:rsidR="00546BE8" w:rsidRPr="00546BE8" w:rsidRDefault="00546BE8" w:rsidP="00546BE8">
            <w:pPr>
              <w:spacing w:after="0" w:line="240" w:lineRule="auto"/>
              <w:jc w:val="left"/>
              <w:rPr>
                <w:rFonts w:ascii="Times New Roman" w:hAnsi="Times New Roman"/>
              </w:rPr>
            </w:pPr>
          </w:p>
        </w:tc>
      </w:tr>
      <w:tr w:rsidR="00546BE8" w:rsidRPr="00546BE8" w14:paraId="548A4CA3" w14:textId="77777777" w:rsidTr="00546BE8">
        <w:trPr>
          <w:trHeight w:hRule="exact" w:val="225"/>
        </w:trPr>
        <w:tc>
          <w:tcPr>
            <w:tcW w:w="2105" w:type="pct"/>
            <w:tcBorders>
              <w:top w:val="nil"/>
              <w:left w:val="nil"/>
              <w:bottom w:val="nil"/>
              <w:right w:val="nil"/>
            </w:tcBorders>
            <w:shd w:val="clear" w:color="auto" w:fill="auto"/>
            <w:noWrap/>
            <w:vAlign w:val="bottom"/>
            <w:hideMark/>
          </w:tcPr>
          <w:p w14:paraId="28A49675"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 xml:space="preserve">Cash </w:t>
            </w:r>
            <w:r w:rsidRPr="00546BE8">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4D2CD69A"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767</w:t>
            </w:r>
          </w:p>
        </w:tc>
        <w:tc>
          <w:tcPr>
            <w:tcW w:w="579" w:type="pct"/>
            <w:tcBorders>
              <w:top w:val="nil"/>
              <w:left w:val="nil"/>
              <w:bottom w:val="nil"/>
              <w:right w:val="nil"/>
            </w:tcBorders>
            <w:shd w:val="clear" w:color="000000" w:fill="E6E6E6"/>
            <w:noWrap/>
            <w:vAlign w:val="bottom"/>
            <w:hideMark/>
          </w:tcPr>
          <w:p w14:paraId="4C31B274"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755</w:t>
            </w:r>
          </w:p>
        </w:tc>
        <w:tc>
          <w:tcPr>
            <w:tcW w:w="579" w:type="pct"/>
            <w:tcBorders>
              <w:top w:val="nil"/>
              <w:left w:val="nil"/>
              <w:bottom w:val="nil"/>
              <w:right w:val="nil"/>
            </w:tcBorders>
            <w:shd w:val="clear" w:color="auto" w:fill="auto"/>
            <w:noWrap/>
            <w:vAlign w:val="bottom"/>
            <w:hideMark/>
          </w:tcPr>
          <w:p w14:paraId="2997E42F"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755</w:t>
            </w:r>
          </w:p>
        </w:tc>
        <w:tc>
          <w:tcPr>
            <w:tcW w:w="579" w:type="pct"/>
            <w:tcBorders>
              <w:top w:val="nil"/>
              <w:left w:val="nil"/>
              <w:bottom w:val="nil"/>
              <w:right w:val="nil"/>
            </w:tcBorders>
            <w:shd w:val="clear" w:color="auto" w:fill="auto"/>
            <w:noWrap/>
            <w:vAlign w:val="bottom"/>
            <w:hideMark/>
          </w:tcPr>
          <w:p w14:paraId="4319A2F6"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755</w:t>
            </w:r>
          </w:p>
        </w:tc>
        <w:tc>
          <w:tcPr>
            <w:tcW w:w="579" w:type="pct"/>
            <w:tcBorders>
              <w:top w:val="nil"/>
              <w:left w:val="nil"/>
              <w:bottom w:val="nil"/>
              <w:right w:val="nil"/>
            </w:tcBorders>
            <w:shd w:val="clear" w:color="auto" w:fill="auto"/>
            <w:noWrap/>
            <w:vAlign w:val="bottom"/>
            <w:hideMark/>
          </w:tcPr>
          <w:p w14:paraId="498D8092"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755</w:t>
            </w:r>
          </w:p>
        </w:tc>
      </w:tr>
      <w:tr w:rsidR="00546BE8" w:rsidRPr="00546BE8" w14:paraId="687587A3" w14:textId="77777777" w:rsidTr="00546BE8">
        <w:trPr>
          <w:trHeight w:hRule="exact" w:val="225"/>
        </w:trPr>
        <w:tc>
          <w:tcPr>
            <w:tcW w:w="2105" w:type="pct"/>
            <w:tcBorders>
              <w:top w:val="nil"/>
              <w:left w:val="nil"/>
              <w:bottom w:val="nil"/>
              <w:right w:val="nil"/>
            </w:tcBorders>
            <w:shd w:val="clear" w:color="auto" w:fill="auto"/>
            <w:noWrap/>
            <w:vAlign w:val="bottom"/>
            <w:hideMark/>
          </w:tcPr>
          <w:p w14:paraId="58AADCC2" w14:textId="77777777" w:rsidR="00546BE8" w:rsidRPr="00546BE8" w:rsidRDefault="00546BE8" w:rsidP="00546BE8">
            <w:pPr>
              <w:spacing w:after="0" w:line="240" w:lineRule="auto"/>
              <w:ind w:left="170"/>
              <w:jc w:val="left"/>
              <w:rPr>
                <w:rFonts w:ascii="Arial" w:hAnsi="Arial" w:cs="Arial"/>
                <w:sz w:val="16"/>
                <w:szCs w:val="16"/>
              </w:rPr>
            </w:pPr>
            <w:r w:rsidRPr="00546BE8">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2DE3EC9F"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88,426</w:t>
            </w:r>
          </w:p>
        </w:tc>
        <w:tc>
          <w:tcPr>
            <w:tcW w:w="579" w:type="pct"/>
            <w:tcBorders>
              <w:top w:val="nil"/>
              <w:left w:val="nil"/>
              <w:bottom w:val="nil"/>
              <w:right w:val="nil"/>
            </w:tcBorders>
            <w:shd w:val="clear" w:color="000000" w:fill="E6E6E6"/>
            <w:noWrap/>
            <w:vAlign w:val="bottom"/>
            <w:hideMark/>
          </w:tcPr>
          <w:p w14:paraId="1BF96A0E"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89,175</w:t>
            </w:r>
          </w:p>
        </w:tc>
        <w:tc>
          <w:tcPr>
            <w:tcW w:w="579" w:type="pct"/>
            <w:tcBorders>
              <w:top w:val="nil"/>
              <w:left w:val="nil"/>
              <w:bottom w:val="nil"/>
              <w:right w:val="nil"/>
            </w:tcBorders>
            <w:shd w:val="clear" w:color="auto" w:fill="auto"/>
            <w:noWrap/>
            <w:vAlign w:val="bottom"/>
            <w:hideMark/>
          </w:tcPr>
          <w:p w14:paraId="4A6649D7"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89,175</w:t>
            </w:r>
          </w:p>
        </w:tc>
        <w:tc>
          <w:tcPr>
            <w:tcW w:w="579" w:type="pct"/>
            <w:tcBorders>
              <w:top w:val="nil"/>
              <w:left w:val="nil"/>
              <w:bottom w:val="nil"/>
              <w:right w:val="nil"/>
            </w:tcBorders>
            <w:shd w:val="clear" w:color="auto" w:fill="auto"/>
            <w:noWrap/>
            <w:vAlign w:val="bottom"/>
            <w:hideMark/>
          </w:tcPr>
          <w:p w14:paraId="512BA422"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89,175</w:t>
            </w:r>
          </w:p>
        </w:tc>
        <w:tc>
          <w:tcPr>
            <w:tcW w:w="579" w:type="pct"/>
            <w:tcBorders>
              <w:top w:val="nil"/>
              <w:left w:val="nil"/>
              <w:bottom w:val="nil"/>
              <w:right w:val="nil"/>
            </w:tcBorders>
            <w:shd w:val="clear" w:color="auto" w:fill="auto"/>
            <w:noWrap/>
            <w:vAlign w:val="bottom"/>
            <w:hideMark/>
          </w:tcPr>
          <w:p w14:paraId="12447CD4"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89,175</w:t>
            </w:r>
          </w:p>
        </w:tc>
      </w:tr>
      <w:tr w:rsidR="00546BE8" w:rsidRPr="00546BE8" w14:paraId="73AA23E1" w14:textId="77777777" w:rsidTr="00546BE8">
        <w:trPr>
          <w:trHeight w:hRule="exact" w:val="210"/>
        </w:trPr>
        <w:tc>
          <w:tcPr>
            <w:tcW w:w="2105" w:type="pct"/>
            <w:tcBorders>
              <w:top w:val="nil"/>
              <w:left w:val="nil"/>
              <w:bottom w:val="nil"/>
              <w:right w:val="nil"/>
            </w:tcBorders>
            <w:shd w:val="clear" w:color="auto" w:fill="auto"/>
            <w:noWrap/>
            <w:vAlign w:val="center"/>
            <w:hideMark/>
          </w:tcPr>
          <w:p w14:paraId="7FE16203" w14:textId="77777777" w:rsidR="00546BE8" w:rsidRPr="00546BE8" w:rsidRDefault="00546BE8" w:rsidP="00546BE8">
            <w:pPr>
              <w:spacing w:after="0" w:line="240" w:lineRule="auto"/>
              <w:jc w:val="left"/>
              <w:rPr>
                <w:rFonts w:ascii="Arial" w:hAnsi="Arial" w:cs="Arial"/>
                <w:b/>
                <w:bCs/>
                <w:i/>
                <w:iCs/>
                <w:color w:val="000000"/>
                <w:sz w:val="16"/>
                <w:szCs w:val="16"/>
              </w:rPr>
            </w:pPr>
            <w:r w:rsidRPr="00546BE8">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0479F937"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89,193 </w:t>
            </w:r>
          </w:p>
        </w:tc>
        <w:tc>
          <w:tcPr>
            <w:tcW w:w="579" w:type="pct"/>
            <w:tcBorders>
              <w:top w:val="single" w:sz="4" w:space="0" w:color="000000"/>
              <w:left w:val="nil"/>
              <w:bottom w:val="single" w:sz="4" w:space="0" w:color="000000"/>
              <w:right w:val="nil"/>
            </w:tcBorders>
            <w:shd w:val="clear" w:color="000000" w:fill="E6E6E6"/>
            <w:noWrap/>
            <w:vAlign w:val="bottom"/>
            <w:hideMark/>
          </w:tcPr>
          <w:p w14:paraId="565A6AA7"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89,930 </w:t>
            </w:r>
          </w:p>
        </w:tc>
        <w:tc>
          <w:tcPr>
            <w:tcW w:w="579" w:type="pct"/>
            <w:tcBorders>
              <w:top w:val="single" w:sz="4" w:space="0" w:color="000000"/>
              <w:left w:val="nil"/>
              <w:bottom w:val="single" w:sz="4" w:space="0" w:color="000000"/>
              <w:right w:val="nil"/>
            </w:tcBorders>
            <w:shd w:val="clear" w:color="auto" w:fill="auto"/>
            <w:noWrap/>
            <w:vAlign w:val="bottom"/>
            <w:hideMark/>
          </w:tcPr>
          <w:p w14:paraId="65BA60EE"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89,930 </w:t>
            </w:r>
          </w:p>
        </w:tc>
        <w:tc>
          <w:tcPr>
            <w:tcW w:w="579" w:type="pct"/>
            <w:tcBorders>
              <w:top w:val="single" w:sz="4" w:space="0" w:color="000000"/>
              <w:left w:val="nil"/>
              <w:bottom w:val="single" w:sz="4" w:space="0" w:color="000000"/>
              <w:right w:val="nil"/>
            </w:tcBorders>
            <w:shd w:val="clear" w:color="auto" w:fill="auto"/>
            <w:noWrap/>
            <w:vAlign w:val="bottom"/>
            <w:hideMark/>
          </w:tcPr>
          <w:p w14:paraId="3A25899D"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89,930 </w:t>
            </w:r>
          </w:p>
        </w:tc>
        <w:tc>
          <w:tcPr>
            <w:tcW w:w="579" w:type="pct"/>
            <w:tcBorders>
              <w:top w:val="single" w:sz="4" w:space="0" w:color="000000"/>
              <w:left w:val="nil"/>
              <w:bottom w:val="single" w:sz="4" w:space="0" w:color="000000"/>
              <w:right w:val="nil"/>
            </w:tcBorders>
            <w:shd w:val="clear" w:color="auto" w:fill="auto"/>
            <w:noWrap/>
            <w:vAlign w:val="bottom"/>
            <w:hideMark/>
          </w:tcPr>
          <w:p w14:paraId="4D1D2F3D"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89,930 </w:t>
            </w:r>
          </w:p>
        </w:tc>
      </w:tr>
      <w:tr w:rsidR="00546BE8" w:rsidRPr="00546BE8" w14:paraId="4CFBB0FD" w14:textId="77777777" w:rsidTr="00546BE8">
        <w:trPr>
          <w:trHeight w:hRule="exact" w:val="225"/>
        </w:trPr>
        <w:tc>
          <w:tcPr>
            <w:tcW w:w="2105" w:type="pct"/>
            <w:tcBorders>
              <w:top w:val="nil"/>
              <w:left w:val="nil"/>
              <w:bottom w:val="nil"/>
              <w:right w:val="nil"/>
            </w:tcBorders>
            <w:shd w:val="clear" w:color="auto" w:fill="auto"/>
            <w:noWrap/>
            <w:vAlign w:val="center"/>
            <w:hideMark/>
          </w:tcPr>
          <w:p w14:paraId="612F5E14" w14:textId="736C8C3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Non</w:t>
            </w:r>
            <w:r w:rsidR="00B33758">
              <w:rPr>
                <w:rFonts w:ascii="Arial" w:hAnsi="Arial" w:cs="Arial"/>
                <w:b/>
                <w:bCs/>
                <w:color w:val="000000"/>
                <w:sz w:val="16"/>
                <w:szCs w:val="16"/>
              </w:rPr>
              <w:noBreakHyphen/>
            </w:r>
            <w:r w:rsidRPr="00546BE8">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71392278" w14:textId="77777777" w:rsidR="00546BE8" w:rsidRPr="00546BE8" w:rsidRDefault="00546BE8" w:rsidP="00546BE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7EC4371"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DE4049D" w14:textId="77777777" w:rsidR="00546BE8" w:rsidRPr="00546BE8" w:rsidRDefault="00546BE8" w:rsidP="00546BE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F91EE93" w14:textId="77777777" w:rsidR="00546BE8" w:rsidRPr="00546BE8" w:rsidRDefault="00546BE8" w:rsidP="00546BE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C7A5AD7" w14:textId="77777777" w:rsidR="00546BE8" w:rsidRPr="00546BE8" w:rsidRDefault="00546BE8" w:rsidP="00546BE8">
            <w:pPr>
              <w:spacing w:after="0" w:line="240" w:lineRule="auto"/>
              <w:jc w:val="right"/>
              <w:rPr>
                <w:rFonts w:ascii="Times New Roman" w:hAnsi="Times New Roman"/>
              </w:rPr>
            </w:pPr>
          </w:p>
        </w:tc>
      </w:tr>
      <w:tr w:rsidR="00546BE8" w:rsidRPr="00546BE8" w14:paraId="689108B6" w14:textId="77777777" w:rsidTr="00546BE8">
        <w:trPr>
          <w:trHeight w:hRule="exact" w:val="225"/>
        </w:trPr>
        <w:tc>
          <w:tcPr>
            <w:tcW w:w="2105" w:type="pct"/>
            <w:tcBorders>
              <w:top w:val="nil"/>
              <w:left w:val="nil"/>
              <w:bottom w:val="nil"/>
              <w:right w:val="nil"/>
            </w:tcBorders>
            <w:shd w:val="clear" w:color="auto" w:fill="auto"/>
            <w:noWrap/>
            <w:vAlign w:val="bottom"/>
            <w:hideMark/>
          </w:tcPr>
          <w:p w14:paraId="6EC1AD4E"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Land and buildings</w:t>
            </w:r>
          </w:p>
        </w:tc>
        <w:tc>
          <w:tcPr>
            <w:tcW w:w="579" w:type="pct"/>
            <w:tcBorders>
              <w:top w:val="nil"/>
              <w:left w:val="nil"/>
              <w:bottom w:val="nil"/>
              <w:right w:val="nil"/>
            </w:tcBorders>
            <w:shd w:val="clear" w:color="auto" w:fill="auto"/>
            <w:noWrap/>
            <w:vAlign w:val="bottom"/>
            <w:hideMark/>
          </w:tcPr>
          <w:p w14:paraId="1722698C"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144,369</w:t>
            </w:r>
          </w:p>
        </w:tc>
        <w:tc>
          <w:tcPr>
            <w:tcW w:w="579" w:type="pct"/>
            <w:tcBorders>
              <w:top w:val="nil"/>
              <w:left w:val="nil"/>
              <w:bottom w:val="nil"/>
              <w:right w:val="nil"/>
            </w:tcBorders>
            <w:shd w:val="clear" w:color="000000" w:fill="E6E6E6"/>
            <w:noWrap/>
            <w:vAlign w:val="bottom"/>
            <w:hideMark/>
          </w:tcPr>
          <w:p w14:paraId="1E37DC07"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135,812</w:t>
            </w:r>
          </w:p>
        </w:tc>
        <w:tc>
          <w:tcPr>
            <w:tcW w:w="579" w:type="pct"/>
            <w:tcBorders>
              <w:top w:val="nil"/>
              <w:left w:val="nil"/>
              <w:bottom w:val="nil"/>
              <w:right w:val="nil"/>
            </w:tcBorders>
            <w:shd w:val="clear" w:color="auto" w:fill="auto"/>
            <w:noWrap/>
            <w:vAlign w:val="bottom"/>
            <w:hideMark/>
          </w:tcPr>
          <w:p w14:paraId="6000CCE9"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127,288</w:t>
            </w:r>
          </w:p>
        </w:tc>
        <w:tc>
          <w:tcPr>
            <w:tcW w:w="579" w:type="pct"/>
            <w:tcBorders>
              <w:top w:val="nil"/>
              <w:left w:val="nil"/>
              <w:bottom w:val="nil"/>
              <w:right w:val="nil"/>
            </w:tcBorders>
            <w:shd w:val="clear" w:color="auto" w:fill="auto"/>
            <w:noWrap/>
            <w:vAlign w:val="bottom"/>
            <w:hideMark/>
          </w:tcPr>
          <w:p w14:paraId="19C1F4B8"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118,999</w:t>
            </w:r>
          </w:p>
        </w:tc>
        <w:tc>
          <w:tcPr>
            <w:tcW w:w="579" w:type="pct"/>
            <w:tcBorders>
              <w:top w:val="nil"/>
              <w:left w:val="nil"/>
              <w:bottom w:val="nil"/>
              <w:right w:val="nil"/>
            </w:tcBorders>
            <w:shd w:val="clear" w:color="auto" w:fill="auto"/>
            <w:noWrap/>
            <w:vAlign w:val="bottom"/>
            <w:hideMark/>
          </w:tcPr>
          <w:p w14:paraId="40D5E3CD"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110,705</w:t>
            </w:r>
          </w:p>
        </w:tc>
      </w:tr>
      <w:tr w:rsidR="00546BE8" w:rsidRPr="00546BE8" w14:paraId="52AD91C0" w14:textId="77777777" w:rsidTr="00546BE8">
        <w:trPr>
          <w:trHeight w:hRule="exact" w:val="225"/>
        </w:trPr>
        <w:tc>
          <w:tcPr>
            <w:tcW w:w="2105" w:type="pct"/>
            <w:tcBorders>
              <w:top w:val="nil"/>
              <w:left w:val="nil"/>
              <w:bottom w:val="nil"/>
              <w:right w:val="nil"/>
            </w:tcBorders>
            <w:shd w:val="clear" w:color="auto" w:fill="auto"/>
            <w:noWrap/>
            <w:vAlign w:val="bottom"/>
            <w:hideMark/>
          </w:tcPr>
          <w:p w14:paraId="1F0814C5"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Property, plant and equipment</w:t>
            </w:r>
          </w:p>
        </w:tc>
        <w:tc>
          <w:tcPr>
            <w:tcW w:w="579" w:type="pct"/>
            <w:tcBorders>
              <w:top w:val="nil"/>
              <w:left w:val="nil"/>
              <w:bottom w:val="nil"/>
              <w:right w:val="nil"/>
            </w:tcBorders>
            <w:shd w:val="clear" w:color="auto" w:fill="auto"/>
            <w:noWrap/>
            <w:vAlign w:val="bottom"/>
            <w:hideMark/>
          </w:tcPr>
          <w:p w14:paraId="14119D90"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15,374</w:t>
            </w:r>
          </w:p>
        </w:tc>
        <w:tc>
          <w:tcPr>
            <w:tcW w:w="579" w:type="pct"/>
            <w:tcBorders>
              <w:top w:val="nil"/>
              <w:left w:val="nil"/>
              <w:bottom w:val="nil"/>
              <w:right w:val="nil"/>
            </w:tcBorders>
            <w:shd w:val="clear" w:color="000000" w:fill="E6E6E6"/>
            <w:noWrap/>
            <w:vAlign w:val="bottom"/>
            <w:hideMark/>
          </w:tcPr>
          <w:p w14:paraId="02D6688B"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17,846</w:t>
            </w:r>
          </w:p>
        </w:tc>
        <w:tc>
          <w:tcPr>
            <w:tcW w:w="579" w:type="pct"/>
            <w:tcBorders>
              <w:top w:val="nil"/>
              <w:left w:val="nil"/>
              <w:bottom w:val="nil"/>
              <w:right w:val="nil"/>
            </w:tcBorders>
            <w:shd w:val="clear" w:color="auto" w:fill="auto"/>
            <w:noWrap/>
            <w:vAlign w:val="bottom"/>
            <w:hideMark/>
          </w:tcPr>
          <w:p w14:paraId="76755E0E"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20,384</w:t>
            </w:r>
          </w:p>
        </w:tc>
        <w:tc>
          <w:tcPr>
            <w:tcW w:w="579" w:type="pct"/>
            <w:tcBorders>
              <w:top w:val="nil"/>
              <w:left w:val="nil"/>
              <w:bottom w:val="nil"/>
              <w:right w:val="nil"/>
            </w:tcBorders>
            <w:shd w:val="clear" w:color="auto" w:fill="auto"/>
            <w:noWrap/>
            <w:vAlign w:val="bottom"/>
            <w:hideMark/>
          </w:tcPr>
          <w:p w14:paraId="0FA63CD2"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23,222</w:t>
            </w:r>
          </w:p>
        </w:tc>
        <w:tc>
          <w:tcPr>
            <w:tcW w:w="579" w:type="pct"/>
            <w:tcBorders>
              <w:top w:val="nil"/>
              <w:left w:val="nil"/>
              <w:bottom w:val="nil"/>
              <w:right w:val="nil"/>
            </w:tcBorders>
            <w:shd w:val="clear" w:color="auto" w:fill="auto"/>
            <w:noWrap/>
            <w:vAlign w:val="bottom"/>
            <w:hideMark/>
          </w:tcPr>
          <w:p w14:paraId="777806E6"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26,002</w:t>
            </w:r>
          </w:p>
        </w:tc>
      </w:tr>
      <w:tr w:rsidR="00546BE8" w:rsidRPr="00546BE8" w14:paraId="61FC49D9" w14:textId="77777777" w:rsidTr="00546BE8">
        <w:trPr>
          <w:trHeight w:hRule="exact" w:val="225"/>
        </w:trPr>
        <w:tc>
          <w:tcPr>
            <w:tcW w:w="2105" w:type="pct"/>
            <w:tcBorders>
              <w:top w:val="nil"/>
              <w:left w:val="nil"/>
              <w:bottom w:val="nil"/>
              <w:right w:val="nil"/>
            </w:tcBorders>
            <w:shd w:val="clear" w:color="auto" w:fill="auto"/>
            <w:noWrap/>
            <w:vAlign w:val="bottom"/>
            <w:hideMark/>
          </w:tcPr>
          <w:p w14:paraId="67BD57AD"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bottom"/>
            <w:hideMark/>
          </w:tcPr>
          <w:p w14:paraId="65D97B63"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18,128</w:t>
            </w:r>
          </w:p>
        </w:tc>
        <w:tc>
          <w:tcPr>
            <w:tcW w:w="579" w:type="pct"/>
            <w:tcBorders>
              <w:top w:val="nil"/>
              <w:left w:val="nil"/>
              <w:bottom w:val="nil"/>
              <w:right w:val="nil"/>
            </w:tcBorders>
            <w:shd w:val="clear" w:color="000000" w:fill="E6E6E6"/>
            <w:noWrap/>
            <w:vAlign w:val="bottom"/>
            <w:hideMark/>
          </w:tcPr>
          <w:p w14:paraId="635F6240"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19,396</w:t>
            </w:r>
          </w:p>
        </w:tc>
        <w:tc>
          <w:tcPr>
            <w:tcW w:w="579" w:type="pct"/>
            <w:tcBorders>
              <w:top w:val="nil"/>
              <w:left w:val="nil"/>
              <w:bottom w:val="nil"/>
              <w:right w:val="nil"/>
            </w:tcBorders>
            <w:shd w:val="clear" w:color="auto" w:fill="auto"/>
            <w:noWrap/>
            <w:vAlign w:val="bottom"/>
            <w:hideMark/>
          </w:tcPr>
          <w:p w14:paraId="5D49108F"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19,708</w:t>
            </w:r>
          </w:p>
        </w:tc>
        <w:tc>
          <w:tcPr>
            <w:tcW w:w="579" w:type="pct"/>
            <w:tcBorders>
              <w:top w:val="nil"/>
              <w:left w:val="nil"/>
              <w:bottom w:val="nil"/>
              <w:right w:val="nil"/>
            </w:tcBorders>
            <w:shd w:val="clear" w:color="auto" w:fill="auto"/>
            <w:noWrap/>
            <w:vAlign w:val="bottom"/>
            <w:hideMark/>
          </w:tcPr>
          <w:p w14:paraId="570D1996"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20,034</w:t>
            </w:r>
          </w:p>
        </w:tc>
        <w:tc>
          <w:tcPr>
            <w:tcW w:w="579" w:type="pct"/>
            <w:tcBorders>
              <w:top w:val="nil"/>
              <w:left w:val="nil"/>
              <w:bottom w:val="nil"/>
              <w:right w:val="nil"/>
            </w:tcBorders>
            <w:shd w:val="clear" w:color="auto" w:fill="auto"/>
            <w:noWrap/>
            <w:vAlign w:val="bottom"/>
            <w:hideMark/>
          </w:tcPr>
          <w:p w14:paraId="2C9B6EF4"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20,326</w:t>
            </w:r>
          </w:p>
        </w:tc>
      </w:tr>
      <w:tr w:rsidR="00546BE8" w:rsidRPr="00546BE8" w14:paraId="296C0DB8" w14:textId="77777777" w:rsidTr="00546BE8">
        <w:trPr>
          <w:trHeight w:hRule="exact" w:val="225"/>
        </w:trPr>
        <w:tc>
          <w:tcPr>
            <w:tcW w:w="2105" w:type="pct"/>
            <w:tcBorders>
              <w:top w:val="nil"/>
              <w:left w:val="nil"/>
              <w:bottom w:val="nil"/>
              <w:right w:val="nil"/>
            </w:tcBorders>
            <w:shd w:val="clear" w:color="auto" w:fill="auto"/>
            <w:noWrap/>
            <w:vAlign w:val="bottom"/>
            <w:hideMark/>
          </w:tcPr>
          <w:p w14:paraId="26AA076A" w14:textId="50A96DFD"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Other non</w:t>
            </w:r>
            <w:r w:rsidR="00B33758">
              <w:rPr>
                <w:rFonts w:ascii="Arial" w:hAnsi="Arial" w:cs="Arial"/>
                <w:color w:val="000000"/>
                <w:sz w:val="16"/>
                <w:szCs w:val="16"/>
              </w:rPr>
              <w:noBreakHyphen/>
            </w:r>
            <w:r w:rsidRPr="00546BE8">
              <w:rPr>
                <w:rFonts w:ascii="Arial" w:hAnsi="Arial" w:cs="Arial"/>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63EB3177"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6,446</w:t>
            </w:r>
          </w:p>
        </w:tc>
        <w:tc>
          <w:tcPr>
            <w:tcW w:w="579" w:type="pct"/>
            <w:tcBorders>
              <w:top w:val="nil"/>
              <w:left w:val="nil"/>
              <w:bottom w:val="nil"/>
              <w:right w:val="nil"/>
            </w:tcBorders>
            <w:shd w:val="clear" w:color="000000" w:fill="E6E6E6"/>
            <w:noWrap/>
            <w:vAlign w:val="bottom"/>
            <w:hideMark/>
          </w:tcPr>
          <w:p w14:paraId="50D598C4"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6,446</w:t>
            </w:r>
          </w:p>
        </w:tc>
        <w:tc>
          <w:tcPr>
            <w:tcW w:w="579" w:type="pct"/>
            <w:tcBorders>
              <w:top w:val="nil"/>
              <w:left w:val="nil"/>
              <w:bottom w:val="nil"/>
              <w:right w:val="nil"/>
            </w:tcBorders>
            <w:shd w:val="clear" w:color="auto" w:fill="auto"/>
            <w:noWrap/>
            <w:vAlign w:val="bottom"/>
            <w:hideMark/>
          </w:tcPr>
          <w:p w14:paraId="2D527EAE"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6,446</w:t>
            </w:r>
          </w:p>
        </w:tc>
        <w:tc>
          <w:tcPr>
            <w:tcW w:w="579" w:type="pct"/>
            <w:tcBorders>
              <w:top w:val="nil"/>
              <w:left w:val="nil"/>
              <w:bottom w:val="nil"/>
              <w:right w:val="nil"/>
            </w:tcBorders>
            <w:shd w:val="clear" w:color="auto" w:fill="auto"/>
            <w:noWrap/>
            <w:vAlign w:val="bottom"/>
            <w:hideMark/>
          </w:tcPr>
          <w:p w14:paraId="50D2AD21"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6,446</w:t>
            </w:r>
          </w:p>
        </w:tc>
        <w:tc>
          <w:tcPr>
            <w:tcW w:w="579" w:type="pct"/>
            <w:tcBorders>
              <w:top w:val="nil"/>
              <w:left w:val="nil"/>
              <w:bottom w:val="nil"/>
              <w:right w:val="nil"/>
            </w:tcBorders>
            <w:shd w:val="clear" w:color="auto" w:fill="auto"/>
            <w:noWrap/>
            <w:vAlign w:val="bottom"/>
            <w:hideMark/>
          </w:tcPr>
          <w:p w14:paraId="3D48B59D"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6,446</w:t>
            </w:r>
          </w:p>
        </w:tc>
      </w:tr>
      <w:tr w:rsidR="00546BE8" w:rsidRPr="00546BE8" w14:paraId="1216B0BF" w14:textId="77777777" w:rsidTr="00546BE8">
        <w:trPr>
          <w:trHeight w:hRule="exact" w:val="210"/>
        </w:trPr>
        <w:tc>
          <w:tcPr>
            <w:tcW w:w="2105" w:type="pct"/>
            <w:tcBorders>
              <w:top w:val="nil"/>
              <w:left w:val="nil"/>
              <w:bottom w:val="nil"/>
              <w:right w:val="nil"/>
            </w:tcBorders>
            <w:shd w:val="clear" w:color="auto" w:fill="auto"/>
            <w:noWrap/>
            <w:vAlign w:val="center"/>
            <w:hideMark/>
          </w:tcPr>
          <w:p w14:paraId="315722D6" w14:textId="467E7BB8" w:rsidR="00546BE8" w:rsidRPr="00546BE8" w:rsidRDefault="00546BE8" w:rsidP="00546BE8">
            <w:pPr>
              <w:spacing w:after="0" w:line="240" w:lineRule="auto"/>
              <w:jc w:val="left"/>
              <w:rPr>
                <w:rFonts w:ascii="Arial" w:hAnsi="Arial" w:cs="Arial"/>
                <w:b/>
                <w:bCs/>
                <w:i/>
                <w:iCs/>
                <w:color w:val="000000"/>
                <w:sz w:val="16"/>
                <w:szCs w:val="16"/>
              </w:rPr>
            </w:pPr>
            <w:r w:rsidRPr="00546BE8">
              <w:rPr>
                <w:rFonts w:ascii="Arial" w:hAnsi="Arial" w:cs="Arial"/>
                <w:b/>
                <w:bCs/>
                <w:i/>
                <w:iCs/>
                <w:color w:val="000000"/>
                <w:sz w:val="16"/>
                <w:szCs w:val="16"/>
              </w:rPr>
              <w:t>Total non</w:t>
            </w:r>
            <w:r w:rsidR="00B33758">
              <w:rPr>
                <w:rFonts w:ascii="Arial" w:hAnsi="Arial" w:cs="Arial"/>
                <w:b/>
                <w:bCs/>
                <w:i/>
                <w:iCs/>
                <w:color w:val="000000"/>
                <w:sz w:val="16"/>
                <w:szCs w:val="16"/>
              </w:rPr>
              <w:noBreakHyphen/>
            </w:r>
            <w:r w:rsidRPr="00546BE8">
              <w:rPr>
                <w:rFonts w:ascii="Arial" w:hAnsi="Arial" w:cs="Arial"/>
                <w:b/>
                <w:bCs/>
                <w:i/>
                <w:iCs/>
                <w:color w:val="000000"/>
                <w:sz w:val="16"/>
                <w:szCs w:val="16"/>
              </w:rPr>
              <w:t>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76E04128"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184,317 </w:t>
            </w:r>
          </w:p>
        </w:tc>
        <w:tc>
          <w:tcPr>
            <w:tcW w:w="579" w:type="pct"/>
            <w:tcBorders>
              <w:top w:val="single" w:sz="4" w:space="0" w:color="000000"/>
              <w:left w:val="nil"/>
              <w:bottom w:val="single" w:sz="4" w:space="0" w:color="000000"/>
              <w:right w:val="nil"/>
            </w:tcBorders>
            <w:shd w:val="clear" w:color="000000" w:fill="E6E6E6"/>
            <w:noWrap/>
            <w:vAlign w:val="bottom"/>
            <w:hideMark/>
          </w:tcPr>
          <w:p w14:paraId="14309E6F"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179,500 </w:t>
            </w:r>
          </w:p>
        </w:tc>
        <w:tc>
          <w:tcPr>
            <w:tcW w:w="579" w:type="pct"/>
            <w:tcBorders>
              <w:top w:val="single" w:sz="4" w:space="0" w:color="000000"/>
              <w:left w:val="nil"/>
              <w:bottom w:val="single" w:sz="4" w:space="0" w:color="000000"/>
              <w:right w:val="nil"/>
            </w:tcBorders>
            <w:shd w:val="clear" w:color="auto" w:fill="auto"/>
            <w:noWrap/>
            <w:vAlign w:val="bottom"/>
            <w:hideMark/>
          </w:tcPr>
          <w:p w14:paraId="283AC864"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173,826 </w:t>
            </w:r>
          </w:p>
        </w:tc>
        <w:tc>
          <w:tcPr>
            <w:tcW w:w="579" w:type="pct"/>
            <w:tcBorders>
              <w:top w:val="single" w:sz="4" w:space="0" w:color="000000"/>
              <w:left w:val="nil"/>
              <w:bottom w:val="single" w:sz="4" w:space="0" w:color="000000"/>
              <w:right w:val="nil"/>
            </w:tcBorders>
            <w:shd w:val="clear" w:color="auto" w:fill="auto"/>
            <w:noWrap/>
            <w:vAlign w:val="bottom"/>
            <w:hideMark/>
          </w:tcPr>
          <w:p w14:paraId="7226636A"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168,701 </w:t>
            </w:r>
          </w:p>
        </w:tc>
        <w:tc>
          <w:tcPr>
            <w:tcW w:w="579" w:type="pct"/>
            <w:tcBorders>
              <w:top w:val="single" w:sz="4" w:space="0" w:color="000000"/>
              <w:left w:val="nil"/>
              <w:bottom w:val="single" w:sz="4" w:space="0" w:color="000000"/>
              <w:right w:val="nil"/>
            </w:tcBorders>
            <w:shd w:val="clear" w:color="auto" w:fill="auto"/>
            <w:noWrap/>
            <w:vAlign w:val="bottom"/>
            <w:hideMark/>
          </w:tcPr>
          <w:p w14:paraId="45C0D776"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163,479 </w:t>
            </w:r>
          </w:p>
        </w:tc>
      </w:tr>
      <w:tr w:rsidR="00546BE8" w:rsidRPr="00546BE8" w14:paraId="4FEC63B4" w14:textId="77777777" w:rsidTr="00546BE8">
        <w:trPr>
          <w:trHeight w:hRule="exact" w:val="225"/>
        </w:trPr>
        <w:tc>
          <w:tcPr>
            <w:tcW w:w="2105" w:type="pct"/>
            <w:tcBorders>
              <w:top w:val="nil"/>
              <w:left w:val="nil"/>
              <w:bottom w:val="nil"/>
              <w:right w:val="nil"/>
            </w:tcBorders>
            <w:shd w:val="clear" w:color="auto" w:fill="auto"/>
            <w:noWrap/>
            <w:vAlign w:val="center"/>
            <w:hideMark/>
          </w:tcPr>
          <w:p w14:paraId="4C79A214" w14:textId="7777777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714BB6C6"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273,510 </w:t>
            </w:r>
          </w:p>
        </w:tc>
        <w:tc>
          <w:tcPr>
            <w:tcW w:w="579" w:type="pct"/>
            <w:tcBorders>
              <w:top w:val="nil"/>
              <w:left w:val="nil"/>
              <w:bottom w:val="single" w:sz="4" w:space="0" w:color="000000"/>
              <w:right w:val="nil"/>
            </w:tcBorders>
            <w:shd w:val="clear" w:color="000000" w:fill="E6E6E6"/>
            <w:noWrap/>
            <w:vAlign w:val="bottom"/>
            <w:hideMark/>
          </w:tcPr>
          <w:p w14:paraId="00AFBE26"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269,430 </w:t>
            </w:r>
          </w:p>
        </w:tc>
        <w:tc>
          <w:tcPr>
            <w:tcW w:w="579" w:type="pct"/>
            <w:tcBorders>
              <w:top w:val="nil"/>
              <w:left w:val="nil"/>
              <w:bottom w:val="single" w:sz="4" w:space="0" w:color="000000"/>
              <w:right w:val="nil"/>
            </w:tcBorders>
            <w:shd w:val="clear" w:color="auto" w:fill="auto"/>
            <w:noWrap/>
            <w:vAlign w:val="bottom"/>
            <w:hideMark/>
          </w:tcPr>
          <w:p w14:paraId="711E60CA"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263,756 </w:t>
            </w:r>
          </w:p>
        </w:tc>
        <w:tc>
          <w:tcPr>
            <w:tcW w:w="579" w:type="pct"/>
            <w:tcBorders>
              <w:top w:val="nil"/>
              <w:left w:val="nil"/>
              <w:bottom w:val="single" w:sz="4" w:space="0" w:color="000000"/>
              <w:right w:val="nil"/>
            </w:tcBorders>
            <w:shd w:val="clear" w:color="auto" w:fill="auto"/>
            <w:noWrap/>
            <w:vAlign w:val="bottom"/>
            <w:hideMark/>
          </w:tcPr>
          <w:p w14:paraId="35740CF0"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258,631 </w:t>
            </w:r>
          </w:p>
        </w:tc>
        <w:tc>
          <w:tcPr>
            <w:tcW w:w="579" w:type="pct"/>
            <w:tcBorders>
              <w:top w:val="nil"/>
              <w:left w:val="nil"/>
              <w:bottom w:val="single" w:sz="4" w:space="0" w:color="000000"/>
              <w:right w:val="nil"/>
            </w:tcBorders>
            <w:shd w:val="clear" w:color="auto" w:fill="auto"/>
            <w:noWrap/>
            <w:vAlign w:val="bottom"/>
            <w:hideMark/>
          </w:tcPr>
          <w:p w14:paraId="40211340"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253,409 </w:t>
            </w:r>
          </w:p>
        </w:tc>
      </w:tr>
      <w:tr w:rsidR="00546BE8" w:rsidRPr="00546BE8" w14:paraId="04803361" w14:textId="77777777" w:rsidTr="00546BE8">
        <w:trPr>
          <w:trHeight w:hRule="exact" w:val="225"/>
        </w:trPr>
        <w:tc>
          <w:tcPr>
            <w:tcW w:w="2105" w:type="pct"/>
            <w:tcBorders>
              <w:top w:val="nil"/>
              <w:left w:val="nil"/>
              <w:bottom w:val="nil"/>
              <w:right w:val="nil"/>
            </w:tcBorders>
            <w:shd w:val="clear" w:color="auto" w:fill="auto"/>
            <w:noWrap/>
            <w:vAlign w:val="center"/>
            <w:hideMark/>
          </w:tcPr>
          <w:p w14:paraId="3AB9C7FC" w14:textId="7777777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0439CEFD" w14:textId="77777777" w:rsidR="00546BE8" w:rsidRPr="00546BE8" w:rsidRDefault="00546BE8" w:rsidP="00546BE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8C67B7B"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17BE0AC" w14:textId="77777777" w:rsidR="00546BE8" w:rsidRPr="00546BE8" w:rsidRDefault="00546BE8" w:rsidP="00546BE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866E8CB" w14:textId="77777777" w:rsidR="00546BE8" w:rsidRPr="00546BE8" w:rsidRDefault="00546BE8" w:rsidP="00546BE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EFDAA6F" w14:textId="77777777" w:rsidR="00546BE8" w:rsidRPr="00546BE8" w:rsidRDefault="00546BE8" w:rsidP="00546BE8">
            <w:pPr>
              <w:spacing w:after="0" w:line="240" w:lineRule="auto"/>
              <w:jc w:val="right"/>
              <w:rPr>
                <w:rFonts w:ascii="Times New Roman" w:hAnsi="Times New Roman"/>
              </w:rPr>
            </w:pPr>
          </w:p>
        </w:tc>
      </w:tr>
      <w:tr w:rsidR="00546BE8" w:rsidRPr="00546BE8" w14:paraId="501C41AF" w14:textId="77777777" w:rsidTr="00546BE8">
        <w:trPr>
          <w:trHeight w:hRule="exact" w:val="225"/>
        </w:trPr>
        <w:tc>
          <w:tcPr>
            <w:tcW w:w="2105" w:type="pct"/>
            <w:tcBorders>
              <w:top w:val="nil"/>
              <w:left w:val="nil"/>
              <w:bottom w:val="nil"/>
              <w:right w:val="nil"/>
            </w:tcBorders>
            <w:shd w:val="clear" w:color="auto" w:fill="auto"/>
            <w:noWrap/>
            <w:vAlign w:val="center"/>
            <w:hideMark/>
          </w:tcPr>
          <w:p w14:paraId="453FB58D" w14:textId="7777777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3824CD98" w14:textId="77777777" w:rsidR="00546BE8" w:rsidRPr="00546BE8" w:rsidRDefault="00546BE8" w:rsidP="00546BE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6F02538"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5D0CFD9" w14:textId="77777777" w:rsidR="00546BE8" w:rsidRPr="00546BE8" w:rsidRDefault="00546BE8" w:rsidP="00546BE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6C2B76F" w14:textId="77777777" w:rsidR="00546BE8" w:rsidRPr="00546BE8" w:rsidRDefault="00546BE8" w:rsidP="00546BE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704040D" w14:textId="77777777" w:rsidR="00546BE8" w:rsidRPr="00546BE8" w:rsidRDefault="00546BE8" w:rsidP="00546BE8">
            <w:pPr>
              <w:spacing w:after="0" w:line="240" w:lineRule="auto"/>
              <w:jc w:val="right"/>
              <w:rPr>
                <w:rFonts w:ascii="Times New Roman" w:hAnsi="Times New Roman"/>
              </w:rPr>
            </w:pPr>
          </w:p>
        </w:tc>
      </w:tr>
      <w:tr w:rsidR="00546BE8" w:rsidRPr="00546BE8" w14:paraId="62190B10" w14:textId="77777777" w:rsidTr="00546BE8">
        <w:trPr>
          <w:trHeight w:hRule="exact" w:val="225"/>
        </w:trPr>
        <w:tc>
          <w:tcPr>
            <w:tcW w:w="2105" w:type="pct"/>
            <w:tcBorders>
              <w:top w:val="nil"/>
              <w:left w:val="nil"/>
              <w:bottom w:val="nil"/>
              <w:right w:val="nil"/>
            </w:tcBorders>
            <w:shd w:val="clear" w:color="auto" w:fill="auto"/>
            <w:noWrap/>
            <w:vAlign w:val="bottom"/>
            <w:hideMark/>
          </w:tcPr>
          <w:p w14:paraId="6710C40B"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093DC24D"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9,096</w:t>
            </w:r>
          </w:p>
        </w:tc>
        <w:tc>
          <w:tcPr>
            <w:tcW w:w="579" w:type="pct"/>
            <w:tcBorders>
              <w:top w:val="nil"/>
              <w:left w:val="nil"/>
              <w:bottom w:val="nil"/>
              <w:right w:val="nil"/>
            </w:tcBorders>
            <w:shd w:val="clear" w:color="000000" w:fill="E6E6E6"/>
            <w:noWrap/>
            <w:vAlign w:val="bottom"/>
            <w:hideMark/>
          </w:tcPr>
          <w:p w14:paraId="2153B175"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9,096</w:t>
            </w:r>
          </w:p>
        </w:tc>
        <w:tc>
          <w:tcPr>
            <w:tcW w:w="579" w:type="pct"/>
            <w:tcBorders>
              <w:top w:val="nil"/>
              <w:left w:val="nil"/>
              <w:bottom w:val="nil"/>
              <w:right w:val="nil"/>
            </w:tcBorders>
            <w:shd w:val="clear" w:color="auto" w:fill="auto"/>
            <w:noWrap/>
            <w:vAlign w:val="bottom"/>
            <w:hideMark/>
          </w:tcPr>
          <w:p w14:paraId="22CB92CC"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9,096</w:t>
            </w:r>
          </w:p>
        </w:tc>
        <w:tc>
          <w:tcPr>
            <w:tcW w:w="579" w:type="pct"/>
            <w:tcBorders>
              <w:top w:val="nil"/>
              <w:left w:val="nil"/>
              <w:bottom w:val="nil"/>
              <w:right w:val="nil"/>
            </w:tcBorders>
            <w:shd w:val="clear" w:color="auto" w:fill="auto"/>
            <w:noWrap/>
            <w:vAlign w:val="bottom"/>
            <w:hideMark/>
          </w:tcPr>
          <w:p w14:paraId="76CB65E9"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9,096</w:t>
            </w:r>
          </w:p>
        </w:tc>
        <w:tc>
          <w:tcPr>
            <w:tcW w:w="579" w:type="pct"/>
            <w:tcBorders>
              <w:top w:val="nil"/>
              <w:left w:val="nil"/>
              <w:bottom w:val="nil"/>
              <w:right w:val="nil"/>
            </w:tcBorders>
            <w:shd w:val="clear" w:color="auto" w:fill="auto"/>
            <w:noWrap/>
            <w:vAlign w:val="bottom"/>
            <w:hideMark/>
          </w:tcPr>
          <w:p w14:paraId="7411989F"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9,096</w:t>
            </w:r>
          </w:p>
        </w:tc>
      </w:tr>
      <w:tr w:rsidR="00546BE8" w:rsidRPr="00546BE8" w14:paraId="321605B0" w14:textId="77777777" w:rsidTr="00546BE8">
        <w:trPr>
          <w:trHeight w:hRule="exact" w:val="225"/>
        </w:trPr>
        <w:tc>
          <w:tcPr>
            <w:tcW w:w="2105" w:type="pct"/>
            <w:tcBorders>
              <w:top w:val="nil"/>
              <w:left w:val="nil"/>
              <w:bottom w:val="nil"/>
              <w:right w:val="nil"/>
            </w:tcBorders>
            <w:shd w:val="clear" w:color="auto" w:fill="auto"/>
            <w:noWrap/>
            <w:vAlign w:val="bottom"/>
            <w:hideMark/>
          </w:tcPr>
          <w:p w14:paraId="75CA5607"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6E5335FD"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5,321</w:t>
            </w:r>
          </w:p>
        </w:tc>
        <w:tc>
          <w:tcPr>
            <w:tcW w:w="579" w:type="pct"/>
            <w:tcBorders>
              <w:top w:val="nil"/>
              <w:left w:val="nil"/>
              <w:bottom w:val="nil"/>
              <w:right w:val="nil"/>
            </w:tcBorders>
            <w:shd w:val="clear" w:color="000000" w:fill="E6E6E6"/>
            <w:noWrap/>
            <w:vAlign w:val="bottom"/>
            <w:hideMark/>
          </w:tcPr>
          <w:p w14:paraId="094B1709"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5,351</w:t>
            </w:r>
          </w:p>
        </w:tc>
        <w:tc>
          <w:tcPr>
            <w:tcW w:w="579" w:type="pct"/>
            <w:tcBorders>
              <w:top w:val="nil"/>
              <w:left w:val="nil"/>
              <w:bottom w:val="nil"/>
              <w:right w:val="nil"/>
            </w:tcBorders>
            <w:shd w:val="clear" w:color="auto" w:fill="auto"/>
            <w:noWrap/>
            <w:vAlign w:val="bottom"/>
            <w:hideMark/>
          </w:tcPr>
          <w:p w14:paraId="20BF6BF2"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5,351</w:t>
            </w:r>
          </w:p>
        </w:tc>
        <w:tc>
          <w:tcPr>
            <w:tcW w:w="579" w:type="pct"/>
            <w:tcBorders>
              <w:top w:val="nil"/>
              <w:left w:val="nil"/>
              <w:bottom w:val="nil"/>
              <w:right w:val="nil"/>
            </w:tcBorders>
            <w:shd w:val="clear" w:color="auto" w:fill="auto"/>
            <w:noWrap/>
            <w:vAlign w:val="bottom"/>
            <w:hideMark/>
          </w:tcPr>
          <w:p w14:paraId="6A9CD4D0"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5,351</w:t>
            </w:r>
          </w:p>
        </w:tc>
        <w:tc>
          <w:tcPr>
            <w:tcW w:w="579" w:type="pct"/>
            <w:tcBorders>
              <w:top w:val="nil"/>
              <w:left w:val="nil"/>
              <w:bottom w:val="nil"/>
              <w:right w:val="nil"/>
            </w:tcBorders>
            <w:shd w:val="clear" w:color="auto" w:fill="auto"/>
            <w:noWrap/>
            <w:vAlign w:val="bottom"/>
            <w:hideMark/>
          </w:tcPr>
          <w:p w14:paraId="1D9D2EB8"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5,351</w:t>
            </w:r>
          </w:p>
        </w:tc>
      </w:tr>
      <w:tr w:rsidR="00546BE8" w:rsidRPr="00546BE8" w14:paraId="30457D64" w14:textId="77777777" w:rsidTr="00546BE8">
        <w:trPr>
          <w:trHeight w:hRule="exact" w:val="210"/>
        </w:trPr>
        <w:tc>
          <w:tcPr>
            <w:tcW w:w="2105" w:type="pct"/>
            <w:tcBorders>
              <w:top w:val="nil"/>
              <w:left w:val="nil"/>
              <w:bottom w:val="nil"/>
              <w:right w:val="nil"/>
            </w:tcBorders>
            <w:shd w:val="clear" w:color="auto" w:fill="auto"/>
            <w:noWrap/>
            <w:vAlign w:val="center"/>
            <w:hideMark/>
          </w:tcPr>
          <w:p w14:paraId="11E4F74C" w14:textId="77777777" w:rsidR="00546BE8" w:rsidRPr="00546BE8" w:rsidRDefault="00546BE8" w:rsidP="00546BE8">
            <w:pPr>
              <w:spacing w:after="0" w:line="240" w:lineRule="auto"/>
              <w:jc w:val="left"/>
              <w:rPr>
                <w:rFonts w:ascii="Arial" w:hAnsi="Arial" w:cs="Arial"/>
                <w:b/>
                <w:bCs/>
                <w:i/>
                <w:iCs/>
                <w:color w:val="000000"/>
                <w:sz w:val="16"/>
                <w:szCs w:val="16"/>
              </w:rPr>
            </w:pPr>
            <w:r w:rsidRPr="00546BE8">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17EFE798"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14,417 </w:t>
            </w:r>
          </w:p>
        </w:tc>
        <w:tc>
          <w:tcPr>
            <w:tcW w:w="579" w:type="pct"/>
            <w:tcBorders>
              <w:top w:val="single" w:sz="4" w:space="0" w:color="000000"/>
              <w:left w:val="nil"/>
              <w:bottom w:val="single" w:sz="4" w:space="0" w:color="000000"/>
              <w:right w:val="nil"/>
            </w:tcBorders>
            <w:shd w:val="clear" w:color="000000" w:fill="E6E6E6"/>
            <w:noWrap/>
            <w:vAlign w:val="bottom"/>
            <w:hideMark/>
          </w:tcPr>
          <w:p w14:paraId="6994628C"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14,447 </w:t>
            </w:r>
          </w:p>
        </w:tc>
        <w:tc>
          <w:tcPr>
            <w:tcW w:w="579" w:type="pct"/>
            <w:tcBorders>
              <w:top w:val="single" w:sz="4" w:space="0" w:color="000000"/>
              <w:left w:val="nil"/>
              <w:bottom w:val="single" w:sz="4" w:space="0" w:color="000000"/>
              <w:right w:val="nil"/>
            </w:tcBorders>
            <w:shd w:val="clear" w:color="auto" w:fill="auto"/>
            <w:noWrap/>
            <w:vAlign w:val="bottom"/>
            <w:hideMark/>
          </w:tcPr>
          <w:p w14:paraId="7C9574C4"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14,447 </w:t>
            </w:r>
          </w:p>
        </w:tc>
        <w:tc>
          <w:tcPr>
            <w:tcW w:w="579" w:type="pct"/>
            <w:tcBorders>
              <w:top w:val="single" w:sz="4" w:space="0" w:color="000000"/>
              <w:left w:val="nil"/>
              <w:bottom w:val="single" w:sz="4" w:space="0" w:color="000000"/>
              <w:right w:val="nil"/>
            </w:tcBorders>
            <w:shd w:val="clear" w:color="auto" w:fill="auto"/>
            <w:noWrap/>
            <w:vAlign w:val="bottom"/>
            <w:hideMark/>
          </w:tcPr>
          <w:p w14:paraId="0CAD703A"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14,447 </w:t>
            </w:r>
          </w:p>
        </w:tc>
        <w:tc>
          <w:tcPr>
            <w:tcW w:w="579" w:type="pct"/>
            <w:tcBorders>
              <w:top w:val="single" w:sz="4" w:space="0" w:color="000000"/>
              <w:left w:val="nil"/>
              <w:bottom w:val="single" w:sz="4" w:space="0" w:color="000000"/>
              <w:right w:val="nil"/>
            </w:tcBorders>
            <w:shd w:val="clear" w:color="auto" w:fill="auto"/>
            <w:noWrap/>
            <w:vAlign w:val="bottom"/>
            <w:hideMark/>
          </w:tcPr>
          <w:p w14:paraId="74B71FA2"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14,447 </w:t>
            </w:r>
          </w:p>
        </w:tc>
      </w:tr>
      <w:tr w:rsidR="00546BE8" w:rsidRPr="00546BE8" w14:paraId="0050D99A" w14:textId="77777777" w:rsidTr="00546BE8">
        <w:trPr>
          <w:trHeight w:hRule="exact" w:val="225"/>
        </w:trPr>
        <w:tc>
          <w:tcPr>
            <w:tcW w:w="2105" w:type="pct"/>
            <w:tcBorders>
              <w:top w:val="nil"/>
              <w:left w:val="nil"/>
              <w:bottom w:val="nil"/>
              <w:right w:val="nil"/>
            </w:tcBorders>
            <w:shd w:val="clear" w:color="auto" w:fill="auto"/>
            <w:noWrap/>
            <w:vAlign w:val="center"/>
            <w:hideMark/>
          </w:tcPr>
          <w:p w14:paraId="74E842C3" w14:textId="7777777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Interest bearing liabilities</w:t>
            </w:r>
          </w:p>
        </w:tc>
        <w:tc>
          <w:tcPr>
            <w:tcW w:w="579" w:type="pct"/>
            <w:tcBorders>
              <w:top w:val="nil"/>
              <w:left w:val="nil"/>
              <w:bottom w:val="nil"/>
              <w:right w:val="nil"/>
            </w:tcBorders>
            <w:shd w:val="clear" w:color="auto" w:fill="auto"/>
            <w:noWrap/>
            <w:vAlign w:val="bottom"/>
            <w:hideMark/>
          </w:tcPr>
          <w:p w14:paraId="0D562017" w14:textId="77777777" w:rsidR="00546BE8" w:rsidRPr="00546BE8" w:rsidRDefault="00546BE8" w:rsidP="00546BE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C19BF8A"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2D5D8EA" w14:textId="77777777" w:rsidR="00546BE8" w:rsidRPr="00546BE8" w:rsidRDefault="00546BE8" w:rsidP="00546BE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0EF634C" w14:textId="77777777" w:rsidR="00546BE8" w:rsidRPr="00546BE8" w:rsidRDefault="00546BE8" w:rsidP="00546BE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AC12FBB" w14:textId="77777777" w:rsidR="00546BE8" w:rsidRPr="00546BE8" w:rsidRDefault="00546BE8" w:rsidP="00546BE8">
            <w:pPr>
              <w:spacing w:after="0" w:line="240" w:lineRule="auto"/>
              <w:jc w:val="right"/>
              <w:rPr>
                <w:rFonts w:ascii="Times New Roman" w:hAnsi="Times New Roman"/>
              </w:rPr>
            </w:pPr>
          </w:p>
        </w:tc>
      </w:tr>
      <w:tr w:rsidR="00546BE8" w:rsidRPr="00546BE8" w14:paraId="486932DD" w14:textId="77777777" w:rsidTr="00546BE8">
        <w:trPr>
          <w:trHeight w:hRule="exact" w:val="225"/>
        </w:trPr>
        <w:tc>
          <w:tcPr>
            <w:tcW w:w="2105" w:type="pct"/>
            <w:tcBorders>
              <w:top w:val="nil"/>
              <w:left w:val="nil"/>
              <w:bottom w:val="nil"/>
              <w:right w:val="nil"/>
            </w:tcBorders>
            <w:shd w:val="clear" w:color="auto" w:fill="auto"/>
            <w:noWrap/>
            <w:vAlign w:val="bottom"/>
            <w:hideMark/>
          </w:tcPr>
          <w:p w14:paraId="216514EB"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Leases</w:t>
            </w:r>
          </w:p>
        </w:tc>
        <w:tc>
          <w:tcPr>
            <w:tcW w:w="579" w:type="pct"/>
            <w:tcBorders>
              <w:top w:val="nil"/>
              <w:left w:val="nil"/>
              <w:bottom w:val="nil"/>
              <w:right w:val="nil"/>
            </w:tcBorders>
            <w:shd w:val="clear" w:color="auto" w:fill="auto"/>
            <w:noWrap/>
            <w:vAlign w:val="bottom"/>
            <w:hideMark/>
          </w:tcPr>
          <w:p w14:paraId="3DE02D46"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131,031</w:t>
            </w:r>
          </w:p>
        </w:tc>
        <w:tc>
          <w:tcPr>
            <w:tcW w:w="579" w:type="pct"/>
            <w:tcBorders>
              <w:top w:val="nil"/>
              <w:left w:val="nil"/>
              <w:bottom w:val="nil"/>
              <w:right w:val="nil"/>
            </w:tcBorders>
            <w:shd w:val="clear" w:color="000000" w:fill="E6E6E6"/>
            <w:noWrap/>
            <w:vAlign w:val="bottom"/>
            <w:hideMark/>
          </w:tcPr>
          <w:p w14:paraId="5C35AF38"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125,533</w:t>
            </w:r>
          </w:p>
        </w:tc>
        <w:tc>
          <w:tcPr>
            <w:tcW w:w="579" w:type="pct"/>
            <w:tcBorders>
              <w:top w:val="nil"/>
              <w:left w:val="nil"/>
              <w:bottom w:val="nil"/>
              <w:right w:val="nil"/>
            </w:tcBorders>
            <w:shd w:val="clear" w:color="auto" w:fill="auto"/>
            <w:noWrap/>
            <w:vAlign w:val="bottom"/>
            <w:hideMark/>
          </w:tcPr>
          <w:p w14:paraId="128FDA8D"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120,017</w:t>
            </w:r>
          </w:p>
        </w:tc>
        <w:tc>
          <w:tcPr>
            <w:tcW w:w="579" w:type="pct"/>
            <w:tcBorders>
              <w:top w:val="nil"/>
              <w:left w:val="nil"/>
              <w:bottom w:val="nil"/>
              <w:right w:val="nil"/>
            </w:tcBorders>
            <w:shd w:val="clear" w:color="auto" w:fill="auto"/>
            <w:noWrap/>
            <w:vAlign w:val="bottom"/>
            <w:hideMark/>
          </w:tcPr>
          <w:p w14:paraId="33C01995"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114,936</w:t>
            </w:r>
          </w:p>
        </w:tc>
        <w:tc>
          <w:tcPr>
            <w:tcW w:w="579" w:type="pct"/>
            <w:tcBorders>
              <w:top w:val="nil"/>
              <w:left w:val="nil"/>
              <w:bottom w:val="nil"/>
              <w:right w:val="nil"/>
            </w:tcBorders>
            <w:shd w:val="clear" w:color="auto" w:fill="auto"/>
            <w:noWrap/>
            <w:vAlign w:val="bottom"/>
            <w:hideMark/>
          </w:tcPr>
          <w:p w14:paraId="6BA2321B"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109,855</w:t>
            </w:r>
          </w:p>
        </w:tc>
      </w:tr>
      <w:tr w:rsidR="00546BE8" w:rsidRPr="00546BE8" w14:paraId="45CBBDD1" w14:textId="77777777" w:rsidTr="00546BE8">
        <w:trPr>
          <w:trHeight w:hRule="exact" w:val="210"/>
        </w:trPr>
        <w:tc>
          <w:tcPr>
            <w:tcW w:w="2105" w:type="pct"/>
            <w:tcBorders>
              <w:top w:val="nil"/>
              <w:left w:val="nil"/>
              <w:bottom w:val="nil"/>
              <w:right w:val="nil"/>
            </w:tcBorders>
            <w:shd w:val="clear" w:color="auto" w:fill="auto"/>
            <w:noWrap/>
            <w:vAlign w:val="center"/>
            <w:hideMark/>
          </w:tcPr>
          <w:p w14:paraId="06D12846" w14:textId="77777777" w:rsidR="00546BE8" w:rsidRPr="00546BE8" w:rsidRDefault="00546BE8" w:rsidP="00546BE8">
            <w:pPr>
              <w:spacing w:after="0" w:line="240" w:lineRule="auto"/>
              <w:jc w:val="left"/>
              <w:rPr>
                <w:rFonts w:ascii="Arial" w:hAnsi="Arial" w:cs="Arial"/>
                <w:b/>
                <w:bCs/>
                <w:i/>
                <w:iCs/>
                <w:color w:val="000000"/>
                <w:sz w:val="16"/>
                <w:szCs w:val="16"/>
              </w:rPr>
            </w:pPr>
            <w:r w:rsidRPr="00546BE8">
              <w:rPr>
                <w:rFonts w:ascii="Arial" w:hAnsi="Arial" w:cs="Arial"/>
                <w:b/>
                <w:bCs/>
                <w:i/>
                <w:iCs/>
                <w:color w:val="000000"/>
                <w:sz w:val="16"/>
                <w:szCs w:val="16"/>
              </w:rPr>
              <w:t xml:space="preserve">Total </w:t>
            </w:r>
            <w:proofErr w:type="gramStart"/>
            <w:r w:rsidRPr="00546BE8">
              <w:rPr>
                <w:rFonts w:ascii="Arial" w:hAnsi="Arial" w:cs="Arial"/>
                <w:b/>
                <w:bCs/>
                <w:i/>
                <w:iCs/>
                <w:color w:val="000000"/>
                <w:sz w:val="16"/>
                <w:szCs w:val="16"/>
              </w:rPr>
              <w:t>interest bearing</w:t>
            </w:r>
            <w:proofErr w:type="gramEnd"/>
            <w:r w:rsidRPr="00546BE8">
              <w:rPr>
                <w:rFonts w:ascii="Arial" w:hAnsi="Arial" w:cs="Arial"/>
                <w:b/>
                <w:bCs/>
                <w:i/>
                <w:iCs/>
                <w:color w:val="000000"/>
                <w:sz w:val="16"/>
                <w:szCs w:val="16"/>
              </w:rPr>
              <w:t xml:space="preserve"> liabilities</w:t>
            </w:r>
          </w:p>
        </w:tc>
        <w:tc>
          <w:tcPr>
            <w:tcW w:w="579" w:type="pct"/>
            <w:tcBorders>
              <w:top w:val="single" w:sz="4" w:space="0" w:color="000000"/>
              <w:left w:val="nil"/>
              <w:bottom w:val="single" w:sz="4" w:space="0" w:color="000000"/>
              <w:right w:val="nil"/>
            </w:tcBorders>
            <w:shd w:val="clear" w:color="auto" w:fill="auto"/>
            <w:noWrap/>
            <w:vAlign w:val="bottom"/>
            <w:hideMark/>
          </w:tcPr>
          <w:p w14:paraId="2102ACB2"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131,031 </w:t>
            </w:r>
          </w:p>
        </w:tc>
        <w:tc>
          <w:tcPr>
            <w:tcW w:w="579" w:type="pct"/>
            <w:tcBorders>
              <w:top w:val="single" w:sz="4" w:space="0" w:color="000000"/>
              <w:left w:val="nil"/>
              <w:bottom w:val="single" w:sz="4" w:space="0" w:color="000000"/>
              <w:right w:val="nil"/>
            </w:tcBorders>
            <w:shd w:val="clear" w:color="000000" w:fill="E6E6E6"/>
            <w:noWrap/>
            <w:vAlign w:val="bottom"/>
            <w:hideMark/>
          </w:tcPr>
          <w:p w14:paraId="7EA7E308"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125,533 </w:t>
            </w:r>
          </w:p>
        </w:tc>
        <w:tc>
          <w:tcPr>
            <w:tcW w:w="579" w:type="pct"/>
            <w:tcBorders>
              <w:top w:val="single" w:sz="4" w:space="0" w:color="000000"/>
              <w:left w:val="nil"/>
              <w:bottom w:val="single" w:sz="4" w:space="0" w:color="000000"/>
              <w:right w:val="nil"/>
            </w:tcBorders>
            <w:shd w:val="clear" w:color="auto" w:fill="auto"/>
            <w:noWrap/>
            <w:vAlign w:val="bottom"/>
            <w:hideMark/>
          </w:tcPr>
          <w:p w14:paraId="09BD96DB"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120,017 </w:t>
            </w:r>
          </w:p>
        </w:tc>
        <w:tc>
          <w:tcPr>
            <w:tcW w:w="579" w:type="pct"/>
            <w:tcBorders>
              <w:top w:val="single" w:sz="4" w:space="0" w:color="000000"/>
              <w:left w:val="nil"/>
              <w:bottom w:val="single" w:sz="4" w:space="0" w:color="000000"/>
              <w:right w:val="nil"/>
            </w:tcBorders>
            <w:shd w:val="clear" w:color="auto" w:fill="auto"/>
            <w:noWrap/>
            <w:vAlign w:val="bottom"/>
            <w:hideMark/>
          </w:tcPr>
          <w:p w14:paraId="4951073B"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114,936 </w:t>
            </w:r>
          </w:p>
        </w:tc>
        <w:tc>
          <w:tcPr>
            <w:tcW w:w="579" w:type="pct"/>
            <w:tcBorders>
              <w:top w:val="single" w:sz="4" w:space="0" w:color="000000"/>
              <w:left w:val="nil"/>
              <w:bottom w:val="single" w:sz="4" w:space="0" w:color="000000"/>
              <w:right w:val="nil"/>
            </w:tcBorders>
            <w:shd w:val="clear" w:color="auto" w:fill="auto"/>
            <w:noWrap/>
            <w:vAlign w:val="bottom"/>
            <w:hideMark/>
          </w:tcPr>
          <w:p w14:paraId="448F3AB3"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109,855 </w:t>
            </w:r>
          </w:p>
        </w:tc>
      </w:tr>
      <w:tr w:rsidR="00546BE8" w:rsidRPr="00546BE8" w14:paraId="43F84C96" w14:textId="77777777" w:rsidTr="00546BE8">
        <w:trPr>
          <w:trHeight w:hRule="exact" w:val="225"/>
        </w:trPr>
        <w:tc>
          <w:tcPr>
            <w:tcW w:w="2105" w:type="pct"/>
            <w:tcBorders>
              <w:top w:val="nil"/>
              <w:left w:val="nil"/>
              <w:bottom w:val="nil"/>
              <w:right w:val="nil"/>
            </w:tcBorders>
            <w:shd w:val="clear" w:color="auto" w:fill="auto"/>
            <w:noWrap/>
            <w:vAlign w:val="center"/>
            <w:hideMark/>
          </w:tcPr>
          <w:p w14:paraId="343DDE22" w14:textId="7777777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447F84B6" w14:textId="77777777" w:rsidR="00546BE8" w:rsidRPr="00546BE8" w:rsidRDefault="00546BE8" w:rsidP="00546BE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B130318"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36AACC6" w14:textId="77777777" w:rsidR="00546BE8" w:rsidRPr="00546BE8" w:rsidRDefault="00546BE8" w:rsidP="00546BE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E7307EA" w14:textId="77777777" w:rsidR="00546BE8" w:rsidRPr="00546BE8" w:rsidRDefault="00546BE8" w:rsidP="00546BE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E0369A2" w14:textId="77777777" w:rsidR="00546BE8" w:rsidRPr="00546BE8" w:rsidRDefault="00546BE8" w:rsidP="00546BE8">
            <w:pPr>
              <w:spacing w:after="0" w:line="240" w:lineRule="auto"/>
              <w:jc w:val="right"/>
              <w:rPr>
                <w:rFonts w:ascii="Times New Roman" w:hAnsi="Times New Roman"/>
              </w:rPr>
            </w:pPr>
          </w:p>
        </w:tc>
      </w:tr>
      <w:tr w:rsidR="00546BE8" w:rsidRPr="00546BE8" w14:paraId="35F1A8ED" w14:textId="77777777" w:rsidTr="00546BE8">
        <w:trPr>
          <w:trHeight w:hRule="exact" w:val="225"/>
        </w:trPr>
        <w:tc>
          <w:tcPr>
            <w:tcW w:w="2105" w:type="pct"/>
            <w:tcBorders>
              <w:top w:val="nil"/>
              <w:left w:val="nil"/>
              <w:bottom w:val="nil"/>
              <w:right w:val="nil"/>
            </w:tcBorders>
            <w:shd w:val="clear" w:color="auto" w:fill="auto"/>
            <w:noWrap/>
            <w:vAlign w:val="bottom"/>
            <w:hideMark/>
          </w:tcPr>
          <w:p w14:paraId="279EDD14"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1493FFCA"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63,976</w:t>
            </w:r>
          </w:p>
        </w:tc>
        <w:tc>
          <w:tcPr>
            <w:tcW w:w="579" w:type="pct"/>
            <w:tcBorders>
              <w:top w:val="nil"/>
              <w:left w:val="nil"/>
              <w:bottom w:val="nil"/>
              <w:right w:val="nil"/>
            </w:tcBorders>
            <w:shd w:val="clear" w:color="000000" w:fill="E6E6E6"/>
            <w:noWrap/>
            <w:vAlign w:val="bottom"/>
            <w:hideMark/>
          </w:tcPr>
          <w:p w14:paraId="0CC8B2B7"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64,683</w:t>
            </w:r>
          </w:p>
        </w:tc>
        <w:tc>
          <w:tcPr>
            <w:tcW w:w="579" w:type="pct"/>
            <w:tcBorders>
              <w:top w:val="nil"/>
              <w:left w:val="nil"/>
              <w:bottom w:val="nil"/>
              <w:right w:val="nil"/>
            </w:tcBorders>
            <w:shd w:val="clear" w:color="auto" w:fill="auto"/>
            <w:noWrap/>
            <w:vAlign w:val="bottom"/>
            <w:hideMark/>
          </w:tcPr>
          <w:p w14:paraId="0A7CD127"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64,683</w:t>
            </w:r>
          </w:p>
        </w:tc>
        <w:tc>
          <w:tcPr>
            <w:tcW w:w="579" w:type="pct"/>
            <w:tcBorders>
              <w:top w:val="nil"/>
              <w:left w:val="nil"/>
              <w:bottom w:val="nil"/>
              <w:right w:val="nil"/>
            </w:tcBorders>
            <w:shd w:val="clear" w:color="auto" w:fill="auto"/>
            <w:noWrap/>
            <w:vAlign w:val="bottom"/>
            <w:hideMark/>
          </w:tcPr>
          <w:p w14:paraId="71708142"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64,683</w:t>
            </w:r>
          </w:p>
        </w:tc>
        <w:tc>
          <w:tcPr>
            <w:tcW w:w="579" w:type="pct"/>
            <w:tcBorders>
              <w:top w:val="nil"/>
              <w:left w:val="nil"/>
              <w:bottom w:val="nil"/>
              <w:right w:val="nil"/>
            </w:tcBorders>
            <w:shd w:val="clear" w:color="auto" w:fill="auto"/>
            <w:noWrap/>
            <w:vAlign w:val="bottom"/>
            <w:hideMark/>
          </w:tcPr>
          <w:p w14:paraId="041BB4BF"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64,683</w:t>
            </w:r>
          </w:p>
        </w:tc>
      </w:tr>
      <w:tr w:rsidR="00546BE8" w:rsidRPr="00546BE8" w14:paraId="284EBCD7" w14:textId="77777777" w:rsidTr="00546BE8">
        <w:trPr>
          <w:trHeight w:hRule="exact" w:val="225"/>
        </w:trPr>
        <w:tc>
          <w:tcPr>
            <w:tcW w:w="2105" w:type="pct"/>
            <w:tcBorders>
              <w:top w:val="nil"/>
              <w:left w:val="nil"/>
              <w:bottom w:val="nil"/>
              <w:right w:val="nil"/>
            </w:tcBorders>
            <w:shd w:val="clear" w:color="auto" w:fill="auto"/>
            <w:noWrap/>
            <w:vAlign w:val="bottom"/>
            <w:hideMark/>
          </w:tcPr>
          <w:p w14:paraId="12EA6604" w14:textId="77777777" w:rsidR="00546BE8" w:rsidRPr="00546BE8" w:rsidRDefault="00546BE8" w:rsidP="00546BE8">
            <w:pPr>
              <w:spacing w:after="0" w:line="240" w:lineRule="auto"/>
              <w:ind w:left="170"/>
              <w:jc w:val="left"/>
              <w:rPr>
                <w:rFonts w:ascii="Arial" w:hAnsi="Arial" w:cs="Arial"/>
                <w:color w:val="000000"/>
                <w:sz w:val="16"/>
                <w:szCs w:val="16"/>
              </w:rPr>
            </w:pPr>
            <w:r w:rsidRPr="00546BE8">
              <w:rPr>
                <w:rFonts w:ascii="Arial" w:hAnsi="Arial" w:cs="Arial"/>
                <w:color w:val="000000"/>
                <w:sz w:val="16"/>
                <w:szCs w:val="16"/>
              </w:rPr>
              <w:t>Other provisions</w:t>
            </w:r>
          </w:p>
        </w:tc>
        <w:tc>
          <w:tcPr>
            <w:tcW w:w="579" w:type="pct"/>
            <w:tcBorders>
              <w:top w:val="nil"/>
              <w:left w:val="nil"/>
              <w:bottom w:val="nil"/>
              <w:right w:val="nil"/>
            </w:tcBorders>
            <w:shd w:val="clear" w:color="auto" w:fill="auto"/>
            <w:noWrap/>
            <w:vAlign w:val="bottom"/>
            <w:hideMark/>
          </w:tcPr>
          <w:p w14:paraId="455859BB"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5,510</w:t>
            </w:r>
          </w:p>
        </w:tc>
        <w:tc>
          <w:tcPr>
            <w:tcW w:w="579" w:type="pct"/>
            <w:tcBorders>
              <w:top w:val="nil"/>
              <w:left w:val="nil"/>
              <w:bottom w:val="nil"/>
              <w:right w:val="nil"/>
            </w:tcBorders>
            <w:shd w:val="clear" w:color="000000" w:fill="E6E6E6"/>
            <w:noWrap/>
            <w:vAlign w:val="bottom"/>
            <w:hideMark/>
          </w:tcPr>
          <w:p w14:paraId="69773033"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5,510</w:t>
            </w:r>
          </w:p>
        </w:tc>
        <w:tc>
          <w:tcPr>
            <w:tcW w:w="579" w:type="pct"/>
            <w:tcBorders>
              <w:top w:val="nil"/>
              <w:left w:val="nil"/>
              <w:bottom w:val="nil"/>
              <w:right w:val="nil"/>
            </w:tcBorders>
            <w:shd w:val="clear" w:color="auto" w:fill="auto"/>
            <w:noWrap/>
            <w:vAlign w:val="bottom"/>
            <w:hideMark/>
          </w:tcPr>
          <w:p w14:paraId="1C81097E"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5,510</w:t>
            </w:r>
          </w:p>
        </w:tc>
        <w:tc>
          <w:tcPr>
            <w:tcW w:w="579" w:type="pct"/>
            <w:tcBorders>
              <w:top w:val="nil"/>
              <w:left w:val="nil"/>
              <w:bottom w:val="nil"/>
              <w:right w:val="nil"/>
            </w:tcBorders>
            <w:shd w:val="clear" w:color="auto" w:fill="auto"/>
            <w:noWrap/>
            <w:vAlign w:val="bottom"/>
            <w:hideMark/>
          </w:tcPr>
          <w:p w14:paraId="1D55EF02"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5,510</w:t>
            </w:r>
          </w:p>
        </w:tc>
        <w:tc>
          <w:tcPr>
            <w:tcW w:w="579" w:type="pct"/>
            <w:tcBorders>
              <w:top w:val="nil"/>
              <w:left w:val="nil"/>
              <w:bottom w:val="nil"/>
              <w:right w:val="nil"/>
            </w:tcBorders>
            <w:shd w:val="clear" w:color="auto" w:fill="auto"/>
            <w:noWrap/>
            <w:vAlign w:val="bottom"/>
            <w:hideMark/>
          </w:tcPr>
          <w:p w14:paraId="04BED71A" w14:textId="77777777" w:rsidR="00546BE8" w:rsidRPr="00546BE8" w:rsidRDefault="00546BE8" w:rsidP="00546BE8">
            <w:pPr>
              <w:spacing w:after="0" w:line="240" w:lineRule="auto"/>
              <w:jc w:val="right"/>
              <w:rPr>
                <w:rFonts w:ascii="Arial" w:hAnsi="Arial" w:cs="Arial"/>
                <w:color w:val="000000"/>
                <w:sz w:val="16"/>
                <w:szCs w:val="16"/>
              </w:rPr>
            </w:pPr>
            <w:r w:rsidRPr="00546BE8">
              <w:rPr>
                <w:rFonts w:ascii="Arial" w:hAnsi="Arial" w:cs="Arial"/>
                <w:color w:val="000000"/>
                <w:sz w:val="16"/>
                <w:szCs w:val="16"/>
              </w:rPr>
              <w:t>5,510</w:t>
            </w:r>
          </w:p>
        </w:tc>
      </w:tr>
      <w:tr w:rsidR="00546BE8" w:rsidRPr="00546BE8" w14:paraId="1A5C0CC9" w14:textId="77777777" w:rsidTr="00546BE8">
        <w:trPr>
          <w:trHeight w:hRule="exact" w:val="210"/>
        </w:trPr>
        <w:tc>
          <w:tcPr>
            <w:tcW w:w="2105" w:type="pct"/>
            <w:tcBorders>
              <w:top w:val="nil"/>
              <w:left w:val="nil"/>
              <w:bottom w:val="nil"/>
              <w:right w:val="nil"/>
            </w:tcBorders>
            <w:shd w:val="clear" w:color="auto" w:fill="auto"/>
            <w:noWrap/>
            <w:vAlign w:val="center"/>
            <w:hideMark/>
          </w:tcPr>
          <w:p w14:paraId="6FAF4704" w14:textId="77777777" w:rsidR="00546BE8" w:rsidRPr="00546BE8" w:rsidRDefault="00546BE8" w:rsidP="00546BE8">
            <w:pPr>
              <w:spacing w:after="0" w:line="240" w:lineRule="auto"/>
              <w:jc w:val="left"/>
              <w:rPr>
                <w:rFonts w:ascii="Arial" w:hAnsi="Arial" w:cs="Arial"/>
                <w:b/>
                <w:bCs/>
                <w:i/>
                <w:iCs/>
                <w:color w:val="000000"/>
                <w:sz w:val="16"/>
                <w:szCs w:val="16"/>
              </w:rPr>
            </w:pPr>
            <w:r w:rsidRPr="00546BE8">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32444629"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69,486 </w:t>
            </w:r>
          </w:p>
        </w:tc>
        <w:tc>
          <w:tcPr>
            <w:tcW w:w="579" w:type="pct"/>
            <w:tcBorders>
              <w:top w:val="single" w:sz="4" w:space="0" w:color="000000"/>
              <w:left w:val="nil"/>
              <w:bottom w:val="single" w:sz="4" w:space="0" w:color="000000"/>
              <w:right w:val="nil"/>
            </w:tcBorders>
            <w:shd w:val="clear" w:color="000000" w:fill="E6E6E6"/>
            <w:noWrap/>
            <w:vAlign w:val="bottom"/>
            <w:hideMark/>
          </w:tcPr>
          <w:p w14:paraId="00446758"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70,193 </w:t>
            </w:r>
          </w:p>
        </w:tc>
        <w:tc>
          <w:tcPr>
            <w:tcW w:w="579" w:type="pct"/>
            <w:tcBorders>
              <w:top w:val="single" w:sz="4" w:space="0" w:color="000000"/>
              <w:left w:val="nil"/>
              <w:bottom w:val="single" w:sz="4" w:space="0" w:color="000000"/>
              <w:right w:val="nil"/>
            </w:tcBorders>
            <w:shd w:val="clear" w:color="auto" w:fill="auto"/>
            <w:noWrap/>
            <w:vAlign w:val="bottom"/>
            <w:hideMark/>
          </w:tcPr>
          <w:p w14:paraId="5B3D4347"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70,193 </w:t>
            </w:r>
          </w:p>
        </w:tc>
        <w:tc>
          <w:tcPr>
            <w:tcW w:w="579" w:type="pct"/>
            <w:tcBorders>
              <w:top w:val="single" w:sz="4" w:space="0" w:color="000000"/>
              <w:left w:val="nil"/>
              <w:bottom w:val="single" w:sz="4" w:space="0" w:color="000000"/>
              <w:right w:val="nil"/>
            </w:tcBorders>
            <w:shd w:val="clear" w:color="auto" w:fill="auto"/>
            <w:noWrap/>
            <w:vAlign w:val="bottom"/>
            <w:hideMark/>
          </w:tcPr>
          <w:p w14:paraId="584AF05B"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70,193 </w:t>
            </w:r>
          </w:p>
        </w:tc>
        <w:tc>
          <w:tcPr>
            <w:tcW w:w="579" w:type="pct"/>
            <w:tcBorders>
              <w:top w:val="single" w:sz="4" w:space="0" w:color="000000"/>
              <w:left w:val="nil"/>
              <w:bottom w:val="single" w:sz="4" w:space="0" w:color="000000"/>
              <w:right w:val="nil"/>
            </w:tcBorders>
            <w:shd w:val="clear" w:color="auto" w:fill="auto"/>
            <w:noWrap/>
            <w:vAlign w:val="bottom"/>
            <w:hideMark/>
          </w:tcPr>
          <w:p w14:paraId="4DF3BB0F" w14:textId="77777777" w:rsidR="00546BE8" w:rsidRPr="00546BE8" w:rsidRDefault="00546BE8" w:rsidP="00546BE8">
            <w:pPr>
              <w:spacing w:after="0" w:line="240" w:lineRule="auto"/>
              <w:jc w:val="right"/>
              <w:rPr>
                <w:rFonts w:ascii="Arial" w:hAnsi="Arial" w:cs="Arial"/>
                <w:b/>
                <w:bCs/>
                <w:i/>
                <w:iCs/>
                <w:color w:val="000000"/>
                <w:sz w:val="16"/>
                <w:szCs w:val="16"/>
              </w:rPr>
            </w:pPr>
            <w:r w:rsidRPr="00546BE8">
              <w:rPr>
                <w:rFonts w:ascii="Arial" w:hAnsi="Arial" w:cs="Arial"/>
                <w:b/>
                <w:bCs/>
                <w:i/>
                <w:iCs/>
                <w:color w:val="000000"/>
                <w:sz w:val="16"/>
                <w:szCs w:val="16"/>
              </w:rPr>
              <w:t xml:space="preserve">     70,193 </w:t>
            </w:r>
          </w:p>
        </w:tc>
      </w:tr>
      <w:tr w:rsidR="00546BE8" w:rsidRPr="00546BE8" w14:paraId="00B838DE" w14:textId="77777777" w:rsidTr="00546BE8">
        <w:trPr>
          <w:trHeight w:hRule="exact" w:val="225"/>
        </w:trPr>
        <w:tc>
          <w:tcPr>
            <w:tcW w:w="2105" w:type="pct"/>
            <w:tcBorders>
              <w:top w:val="nil"/>
              <w:left w:val="nil"/>
              <w:bottom w:val="nil"/>
              <w:right w:val="nil"/>
            </w:tcBorders>
            <w:shd w:val="clear" w:color="auto" w:fill="auto"/>
            <w:noWrap/>
            <w:vAlign w:val="center"/>
            <w:hideMark/>
          </w:tcPr>
          <w:p w14:paraId="586348CB" w14:textId="77777777" w:rsidR="00546BE8" w:rsidRPr="00546BE8" w:rsidRDefault="00546BE8" w:rsidP="00546BE8">
            <w:pPr>
              <w:spacing w:after="0" w:line="240" w:lineRule="auto"/>
              <w:jc w:val="left"/>
              <w:rPr>
                <w:rFonts w:ascii="Arial" w:hAnsi="Arial" w:cs="Arial"/>
                <w:b/>
                <w:bCs/>
                <w:color w:val="000000"/>
                <w:sz w:val="16"/>
                <w:szCs w:val="16"/>
              </w:rPr>
            </w:pPr>
            <w:r w:rsidRPr="00546BE8">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73EC826A"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214,934 </w:t>
            </w:r>
          </w:p>
        </w:tc>
        <w:tc>
          <w:tcPr>
            <w:tcW w:w="579" w:type="pct"/>
            <w:tcBorders>
              <w:top w:val="nil"/>
              <w:left w:val="nil"/>
              <w:bottom w:val="single" w:sz="4" w:space="0" w:color="auto"/>
              <w:right w:val="nil"/>
            </w:tcBorders>
            <w:shd w:val="clear" w:color="000000" w:fill="E6E6E6"/>
            <w:noWrap/>
            <w:vAlign w:val="bottom"/>
            <w:hideMark/>
          </w:tcPr>
          <w:p w14:paraId="53540136"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210,173 </w:t>
            </w:r>
          </w:p>
        </w:tc>
        <w:tc>
          <w:tcPr>
            <w:tcW w:w="579" w:type="pct"/>
            <w:tcBorders>
              <w:top w:val="nil"/>
              <w:left w:val="nil"/>
              <w:bottom w:val="single" w:sz="4" w:space="0" w:color="auto"/>
              <w:right w:val="nil"/>
            </w:tcBorders>
            <w:shd w:val="clear" w:color="auto" w:fill="auto"/>
            <w:noWrap/>
            <w:vAlign w:val="bottom"/>
            <w:hideMark/>
          </w:tcPr>
          <w:p w14:paraId="58BF5340"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204,657 </w:t>
            </w:r>
          </w:p>
        </w:tc>
        <w:tc>
          <w:tcPr>
            <w:tcW w:w="579" w:type="pct"/>
            <w:tcBorders>
              <w:top w:val="nil"/>
              <w:left w:val="nil"/>
              <w:bottom w:val="single" w:sz="4" w:space="0" w:color="auto"/>
              <w:right w:val="nil"/>
            </w:tcBorders>
            <w:shd w:val="clear" w:color="auto" w:fill="auto"/>
            <w:noWrap/>
            <w:vAlign w:val="bottom"/>
            <w:hideMark/>
          </w:tcPr>
          <w:p w14:paraId="3EE9A7E6"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199,576 </w:t>
            </w:r>
          </w:p>
        </w:tc>
        <w:tc>
          <w:tcPr>
            <w:tcW w:w="579" w:type="pct"/>
            <w:tcBorders>
              <w:top w:val="nil"/>
              <w:left w:val="nil"/>
              <w:bottom w:val="single" w:sz="4" w:space="0" w:color="auto"/>
              <w:right w:val="nil"/>
            </w:tcBorders>
            <w:shd w:val="clear" w:color="auto" w:fill="auto"/>
            <w:noWrap/>
            <w:vAlign w:val="bottom"/>
            <w:hideMark/>
          </w:tcPr>
          <w:p w14:paraId="24DB00BE" w14:textId="77777777" w:rsidR="00546BE8" w:rsidRPr="00546BE8" w:rsidRDefault="00546BE8" w:rsidP="00546BE8">
            <w:pPr>
              <w:spacing w:after="0" w:line="240" w:lineRule="auto"/>
              <w:jc w:val="right"/>
              <w:rPr>
                <w:rFonts w:ascii="Arial" w:hAnsi="Arial" w:cs="Arial"/>
                <w:b/>
                <w:bCs/>
                <w:color w:val="000000"/>
                <w:sz w:val="16"/>
                <w:szCs w:val="16"/>
              </w:rPr>
            </w:pPr>
            <w:r w:rsidRPr="00546BE8">
              <w:rPr>
                <w:rFonts w:ascii="Arial" w:hAnsi="Arial" w:cs="Arial"/>
                <w:b/>
                <w:bCs/>
                <w:color w:val="000000"/>
                <w:sz w:val="16"/>
                <w:szCs w:val="16"/>
              </w:rPr>
              <w:t xml:space="preserve">   194,495 </w:t>
            </w:r>
          </w:p>
        </w:tc>
      </w:tr>
      <w:tr w:rsidR="00546BE8" w:rsidRPr="00546BE8" w14:paraId="56027FAC" w14:textId="77777777" w:rsidTr="00546BE8">
        <w:trPr>
          <w:trHeight w:hRule="exact" w:val="225"/>
        </w:trPr>
        <w:tc>
          <w:tcPr>
            <w:tcW w:w="2105" w:type="pct"/>
            <w:tcBorders>
              <w:top w:val="nil"/>
              <w:left w:val="nil"/>
              <w:bottom w:val="single" w:sz="4" w:space="0" w:color="auto"/>
              <w:right w:val="nil"/>
            </w:tcBorders>
            <w:shd w:val="clear" w:color="auto" w:fill="auto"/>
            <w:noWrap/>
            <w:vAlign w:val="center"/>
            <w:hideMark/>
          </w:tcPr>
          <w:p w14:paraId="366A46D5" w14:textId="77777777" w:rsidR="00546BE8" w:rsidRPr="00546BE8" w:rsidRDefault="00546BE8" w:rsidP="00546BE8">
            <w:pPr>
              <w:spacing w:after="0" w:line="240" w:lineRule="auto"/>
              <w:jc w:val="left"/>
              <w:rPr>
                <w:rFonts w:ascii="Arial" w:hAnsi="Arial" w:cs="Arial"/>
                <w:b/>
                <w:bCs/>
                <w:sz w:val="16"/>
                <w:szCs w:val="16"/>
              </w:rPr>
            </w:pPr>
            <w:r w:rsidRPr="00546BE8">
              <w:rPr>
                <w:rFonts w:ascii="Arial" w:hAnsi="Arial" w:cs="Arial"/>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262C3D56" w14:textId="17BE6CAC" w:rsidR="00546BE8" w:rsidRPr="00546BE8" w:rsidRDefault="00546BE8" w:rsidP="00546BE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58,576 </w:t>
            </w:r>
          </w:p>
        </w:tc>
        <w:tc>
          <w:tcPr>
            <w:tcW w:w="579" w:type="pct"/>
            <w:tcBorders>
              <w:top w:val="nil"/>
              <w:left w:val="nil"/>
              <w:bottom w:val="single" w:sz="4" w:space="0" w:color="auto"/>
              <w:right w:val="nil"/>
            </w:tcBorders>
            <w:shd w:val="clear" w:color="000000" w:fill="E6E6E6"/>
            <w:noWrap/>
            <w:vAlign w:val="bottom"/>
            <w:hideMark/>
          </w:tcPr>
          <w:p w14:paraId="0A39D706" w14:textId="70049453" w:rsidR="00546BE8" w:rsidRPr="00546BE8" w:rsidRDefault="00546BE8" w:rsidP="00546BE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59,257 </w:t>
            </w:r>
          </w:p>
        </w:tc>
        <w:tc>
          <w:tcPr>
            <w:tcW w:w="579" w:type="pct"/>
            <w:tcBorders>
              <w:top w:val="nil"/>
              <w:left w:val="nil"/>
              <w:bottom w:val="single" w:sz="4" w:space="0" w:color="auto"/>
              <w:right w:val="nil"/>
            </w:tcBorders>
            <w:shd w:val="clear" w:color="auto" w:fill="auto"/>
            <w:noWrap/>
            <w:vAlign w:val="bottom"/>
            <w:hideMark/>
          </w:tcPr>
          <w:p w14:paraId="67FABF4B" w14:textId="41B9C4E2" w:rsidR="00546BE8" w:rsidRPr="00546BE8" w:rsidRDefault="00546BE8" w:rsidP="00546BE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59,099 </w:t>
            </w:r>
          </w:p>
        </w:tc>
        <w:tc>
          <w:tcPr>
            <w:tcW w:w="579" w:type="pct"/>
            <w:tcBorders>
              <w:top w:val="nil"/>
              <w:left w:val="nil"/>
              <w:bottom w:val="single" w:sz="4" w:space="0" w:color="auto"/>
              <w:right w:val="nil"/>
            </w:tcBorders>
            <w:shd w:val="clear" w:color="auto" w:fill="auto"/>
            <w:noWrap/>
            <w:vAlign w:val="bottom"/>
            <w:hideMark/>
          </w:tcPr>
          <w:p w14:paraId="19899057" w14:textId="1C6576BD" w:rsidR="00546BE8" w:rsidRPr="00546BE8" w:rsidRDefault="00546BE8" w:rsidP="00546BE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59,055 </w:t>
            </w:r>
          </w:p>
        </w:tc>
        <w:tc>
          <w:tcPr>
            <w:tcW w:w="579" w:type="pct"/>
            <w:tcBorders>
              <w:top w:val="nil"/>
              <w:left w:val="nil"/>
              <w:bottom w:val="single" w:sz="4" w:space="0" w:color="auto"/>
              <w:right w:val="nil"/>
            </w:tcBorders>
            <w:shd w:val="clear" w:color="auto" w:fill="auto"/>
            <w:noWrap/>
            <w:vAlign w:val="bottom"/>
            <w:hideMark/>
          </w:tcPr>
          <w:p w14:paraId="4D732941" w14:textId="60B871B8" w:rsidR="00546BE8" w:rsidRPr="00546BE8" w:rsidRDefault="00546BE8" w:rsidP="00546BE8">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58,914 </w:t>
            </w:r>
          </w:p>
        </w:tc>
      </w:tr>
    </w:tbl>
    <w:p w14:paraId="6ADB3D96" w14:textId="161A6AD0" w:rsidR="00F626C2" w:rsidRPr="00F626C2" w:rsidRDefault="00F626C2" w:rsidP="00350F81">
      <w:pPr>
        <w:pStyle w:val="SingleParagraph"/>
      </w:pPr>
    </w:p>
    <w:p w14:paraId="77C6750E" w14:textId="3C76013E" w:rsidR="00A94C6C" w:rsidRDefault="00132F9E" w:rsidP="00A94C6C">
      <w:pPr>
        <w:pStyle w:val="TableHeadingcontinued"/>
        <w:rPr>
          <w:rFonts w:ascii="Times New Roman" w:hAnsi="Times New Roman"/>
        </w:rPr>
      </w:pPr>
      <w:r>
        <w:br w:type="page"/>
      </w:r>
      <w:r w:rsidR="00E4582E" w:rsidRPr="00BD210E">
        <w:lastRenderedPageBreak/>
        <w:t>Table</w:t>
      </w:r>
      <w:r w:rsidR="00971CBF">
        <w:t xml:space="preserve"> 3.</w:t>
      </w:r>
      <w:r w:rsidR="00E4582E" w:rsidRPr="00BD210E">
        <w:t xml:space="preserve">2: Budgeted </w:t>
      </w:r>
      <w:r w:rsidR="00F626C2" w:rsidRPr="00BD210E">
        <w:t>departmental balance sheet</w:t>
      </w:r>
      <w:r w:rsidR="00F626C2">
        <w:t xml:space="preserve"> </w:t>
      </w:r>
      <w:r w:rsidR="00E4582E" w:rsidRPr="00BD210E">
        <w:t xml:space="preserve">(as </w:t>
      </w:r>
      <w:proofErr w:type="gramStart"/>
      <w:r w:rsidR="00E4582E" w:rsidRPr="00BD210E">
        <w:t>at</w:t>
      </w:r>
      <w:proofErr w:type="gramEnd"/>
      <w:r w:rsidR="00E4582E" w:rsidRPr="00BD210E">
        <w:t xml:space="preserve"> 30 June) (continued)</w:t>
      </w:r>
    </w:p>
    <w:tbl>
      <w:tblPr>
        <w:tblW w:w="5000" w:type="pct"/>
        <w:tblCellMar>
          <w:left w:w="0" w:type="dxa"/>
          <w:right w:w="28" w:type="dxa"/>
        </w:tblCellMar>
        <w:tblLook w:val="04A0" w:firstRow="1" w:lastRow="0" w:firstColumn="1" w:lastColumn="0" w:noHBand="0" w:noVBand="1"/>
      </w:tblPr>
      <w:tblGrid>
        <w:gridCol w:w="3246"/>
        <w:gridCol w:w="893"/>
        <w:gridCol w:w="893"/>
        <w:gridCol w:w="893"/>
        <w:gridCol w:w="893"/>
        <w:gridCol w:w="893"/>
      </w:tblGrid>
      <w:tr w:rsidR="00A94C6C" w:rsidRPr="00A94C6C" w14:paraId="183C5DDF" w14:textId="77777777" w:rsidTr="00A94C6C">
        <w:trPr>
          <w:trHeight w:hRule="exact" w:val="900"/>
        </w:trPr>
        <w:tc>
          <w:tcPr>
            <w:tcW w:w="2105" w:type="pct"/>
            <w:tcBorders>
              <w:top w:val="single" w:sz="4" w:space="0" w:color="auto"/>
              <w:left w:val="nil"/>
              <w:bottom w:val="nil"/>
              <w:right w:val="nil"/>
            </w:tcBorders>
            <w:shd w:val="clear" w:color="auto" w:fill="auto"/>
            <w:noWrap/>
            <w:hideMark/>
          </w:tcPr>
          <w:p w14:paraId="2E641B6B" w14:textId="6557E3AE" w:rsidR="00A94C6C" w:rsidRPr="00A94C6C" w:rsidRDefault="00A94C6C" w:rsidP="00A94C6C">
            <w:pPr>
              <w:spacing w:after="0" w:line="240" w:lineRule="auto"/>
              <w:jc w:val="left"/>
              <w:rPr>
                <w:rFonts w:ascii="Arial" w:hAnsi="Arial" w:cs="Arial"/>
                <w:b/>
                <w:bCs/>
                <w:sz w:val="16"/>
                <w:szCs w:val="16"/>
              </w:rPr>
            </w:pPr>
            <w:r w:rsidRPr="00A94C6C">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17C923D" w14:textId="3AE339E8"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2021</w:t>
            </w:r>
            <w:r w:rsidR="00B33758">
              <w:rPr>
                <w:rFonts w:ascii="Arial" w:hAnsi="Arial" w:cs="Arial"/>
                <w:sz w:val="16"/>
                <w:szCs w:val="16"/>
              </w:rPr>
              <w:noBreakHyphen/>
            </w:r>
            <w:r w:rsidRPr="00A94C6C">
              <w:rPr>
                <w:rFonts w:ascii="Arial" w:hAnsi="Arial" w:cs="Arial"/>
                <w:sz w:val="16"/>
                <w:szCs w:val="16"/>
              </w:rPr>
              <w:t>22 Estimated actual</w:t>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33031B1B" w14:textId="0FBF0FEA"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2022</w:t>
            </w:r>
            <w:r w:rsidR="00B33758">
              <w:rPr>
                <w:rFonts w:ascii="Arial" w:hAnsi="Arial" w:cs="Arial"/>
                <w:sz w:val="16"/>
                <w:szCs w:val="16"/>
              </w:rPr>
              <w:noBreakHyphen/>
            </w:r>
            <w:r w:rsidRPr="00A94C6C">
              <w:rPr>
                <w:rFonts w:ascii="Arial" w:hAnsi="Arial" w:cs="Arial"/>
                <w:sz w:val="16"/>
                <w:szCs w:val="16"/>
              </w:rPr>
              <w:t>23</w:t>
            </w:r>
            <w:r w:rsidRPr="00A94C6C">
              <w:rPr>
                <w:rFonts w:ascii="Arial" w:hAnsi="Arial" w:cs="Arial"/>
                <w:sz w:val="16"/>
                <w:szCs w:val="16"/>
              </w:rPr>
              <w:br/>
              <w:t>Budget</w:t>
            </w:r>
            <w:r w:rsidRPr="00A94C6C">
              <w:rPr>
                <w:rFonts w:ascii="Arial" w:hAnsi="Arial" w:cs="Arial"/>
                <w:sz w:val="16"/>
                <w:szCs w:val="16"/>
              </w:rPr>
              <w:br/>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933B8B2" w14:textId="2E318706"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2023</w:t>
            </w:r>
            <w:r w:rsidR="00B33758">
              <w:rPr>
                <w:rFonts w:ascii="Arial" w:hAnsi="Arial" w:cs="Arial"/>
                <w:sz w:val="16"/>
                <w:szCs w:val="16"/>
              </w:rPr>
              <w:noBreakHyphen/>
            </w:r>
            <w:r w:rsidRPr="00A94C6C">
              <w:rPr>
                <w:rFonts w:ascii="Arial" w:hAnsi="Arial" w:cs="Arial"/>
                <w:sz w:val="16"/>
                <w:szCs w:val="16"/>
              </w:rPr>
              <w:t>24 Forward estimate</w:t>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0414EFE" w14:textId="049C58B6"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2024</w:t>
            </w:r>
            <w:r w:rsidR="00B33758">
              <w:rPr>
                <w:rFonts w:ascii="Arial" w:hAnsi="Arial" w:cs="Arial"/>
                <w:sz w:val="16"/>
                <w:szCs w:val="16"/>
              </w:rPr>
              <w:noBreakHyphen/>
            </w:r>
            <w:r w:rsidRPr="00A94C6C">
              <w:rPr>
                <w:rFonts w:ascii="Arial" w:hAnsi="Arial" w:cs="Arial"/>
                <w:sz w:val="16"/>
                <w:szCs w:val="16"/>
              </w:rPr>
              <w:t>25 Forward estimate</w:t>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480474F" w14:textId="1D9FABA4" w:rsidR="00A94C6C" w:rsidRPr="00A94C6C" w:rsidRDefault="00A94C6C" w:rsidP="00A94C6C">
            <w:pPr>
              <w:spacing w:after="0" w:line="240" w:lineRule="auto"/>
              <w:jc w:val="right"/>
              <w:rPr>
                <w:rFonts w:ascii="Arial" w:hAnsi="Arial" w:cs="Arial"/>
                <w:sz w:val="16"/>
                <w:szCs w:val="16"/>
              </w:rPr>
            </w:pPr>
            <w:r w:rsidRPr="00A94C6C">
              <w:rPr>
                <w:rFonts w:ascii="Arial" w:hAnsi="Arial" w:cs="Arial"/>
                <w:sz w:val="16"/>
                <w:szCs w:val="16"/>
              </w:rPr>
              <w:t>2025</w:t>
            </w:r>
            <w:r w:rsidR="00B33758">
              <w:rPr>
                <w:rFonts w:ascii="Arial" w:hAnsi="Arial" w:cs="Arial"/>
                <w:sz w:val="16"/>
                <w:szCs w:val="16"/>
              </w:rPr>
              <w:noBreakHyphen/>
            </w:r>
            <w:r w:rsidRPr="00A94C6C">
              <w:rPr>
                <w:rFonts w:ascii="Arial" w:hAnsi="Arial" w:cs="Arial"/>
                <w:sz w:val="16"/>
                <w:szCs w:val="16"/>
              </w:rPr>
              <w:t>26</w:t>
            </w:r>
            <w:r w:rsidRPr="00A94C6C">
              <w:rPr>
                <w:rFonts w:ascii="Arial" w:hAnsi="Arial" w:cs="Arial"/>
                <w:sz w:val="16"/>
                <w:szCs w:val="16"/>
              </w:rPr>
              <w:br/>
              <w:t>Forward estimate</w:t>
            </w:r>
            <w:r w:rsidRPr="00A94C6C">
              <w:rPr>
                <w:rFonts w:ascii="Arial" w:hAnsi="Arial" w:cs="Arial"/>
                <w:sz w:val="16"/>
                <w:szCs w:val="16"/>
              </w:rPr>
              <w:br/>
              <w:t>$</w:t>
            </w:r>
            <w:r w:rsidR="00B33758">
              <w:rPr>
                <w:rFonts w:ascii="Arial" w:hAnsi="Arial" w:cs="Arial"/>
                <w:sz w:val="16"/>
                <w:szCs w:val="16"/>
              </w:rPr>
              <w:t>’</w:t>
            </w:r>
            <w:r w:rsidRPr="00A94C6C">
              <w:rPr>
                <w:rFonts w:ascii="Arial" w:hAnsi="Arial" w:cs="Arial"/>
                <w:sz w:val="16"/>
                <w:szCs w:val="16"/>
              </w:rPr>
              <w:t>000</w:t>
            </w:r>
          </w:p>
        </w:tc>
      </w:tr>
      <w:tr w:rsidR="00A94C6C" w:rsidRPr="00A94C6C" w14:paraId="43C6682D" w14:textId="77777777" w:rsidTr="00A94C6C">
        <w:trPr>
          <w:trHeight w:hRule="exact" w:val="225"/>
        </w:trPr>
        <w:tc>
          <w:tcPr>
            <w:tcW w:w="2105" w:type="pct"/>
            <w:tcBorders>
              <w:top w:val="nil"/>
              <w:left w:val="nil"/>
              <w:bottom w:val="nil"/>
              <w:right w:val="nil"/>
            </w:tcBorders>
            <w:shd w:val="clear" w:color="auto" w:fill="auto"/>
            <w:noWrap/>
            <w:vAlign w:val="center"/>
            <w:hideMark/>
          </w:tcPr>
          <w:p w14:paraId="5EE9E204" w14:textId="77777777" w:rsidR="00A94C6C" w:rsidRPr="00A94C6C" w:rsidRDefault="00A94C6C" w:rsidP="00A94C6C">
            <w:pPr>
              <w:spacing w:after="0" w:line="240" w:lineRule="auto"/>
              <w:jc w:val="left"/>
              <w:rPr>
                <w:rFonts w:ascii="Arial" w:hAnsi="Arial" w:cs="Arial"/>
                <w:b/>
                <w:bCs/>
                <w:color w:val="000000"/>
                <w:sz w:val="16"/>
                <w:szCs w:val="16"/>
              </w:rPr>
            </w:pPr>
            <w:r w:rsidRPr="00A94C6C">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center"/>
            <w:hideMark/>
          </w:tcPr>
          <w:p w14:paraId="4D90A186" w14:textId="77777777" w:rsidR="00A94C6C" w:rsidRPr="00A94C6C" w:rsidRDefault="00A94C6C" w:rsidP="00A94C6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0916500" w14:textId="77777777" w:rsidR="00A94C6C" w:rsidRPr="00A94C6C" w:rsidRDefault="00A94C6C" w:rsidP="00A94C6C">
            <w:pPr>
              <w:spacing w:after="0" w:line="240" w:lineRule="auto"/>
              <w:jc w:val="left"/>
              <w:rPr>
                <w:rFonts w:ascii="Arial" w:hAnsi="Arial" w:cs="Arial"/>
                <w:color w:val="000000"/>
                <w:sz w:val="16"/>
                <w:szCs w:val="16"/>
              </w:rPr>
            </w:pPr>
            <w:r w:rsidRPr="00A94C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4DC8A3E" w14:textId="77777777" w:rsidR="00A94C6C" w:rsidRPr="00A94C6C" w:rsidRDefault="00A94C6C" w:rsidP="00A94C6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BB02CD0" w14:textId="77777777" w:rsidR="00A94C6C" w:rsidRPr="00A94C6C" w:rsidRDefault="00A94C6C" w:rsidP="00A94C6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0B3FB8E" w14:textId="77777777" w:rsidR="00A94C6C" w:rsidRPr="00A94C6C" w:rsidRDefault="00A94C6C" w:rsidP="00A94C6C">
            <w:pPr>
              <w:spacing w:after="0" w:line="240" w:lineRule="auto"/>
              <w:jc w:val="left"/>
              <w:rPr>
                <w:rFonts w:ascii="Times New Roman" w:hAnsi="Times New Roman"/>
              </w:rPr>
            </w:pPr>
          </w:p>
        </w:tc>
      </w:tr>
      <w:tr w:rsidR="00A94C6C" w:rsidRPr="00A94C6C" w14:paraId="39F269D8" w14:textId="77777777" w:rsidTr="00A94C6C">
        <w:trPr>
          <w:trHeight w:hRule="exact" w:val="225"/>
        </w:trPr>
        <w:tc>
          <w:tcPr>
            <w:tcW w:w="2105" w:type="pct"/>
            <w:tcBorders>
              <w:top w:val="nil"/>
              <w:left w:val="nil"/>
              <w:bottom w:val="nil"/>
              <w:right w:val="nil"/>
            </w:tcBorders>
            <w:shd w:val="clear" w:color="auto" w:fill="auto"/>
            <w:noWrap/>
            <w:vAlign w:val="center"/>
            <w:hideMark/>
          </w:tcPr>
          <w:p w14:paraId="2D976E46" w14:textId="77777777" w:rsidR="00A94C6C" w:rsidRPr="00A94C6C" w:rsidRDefault="00A94C6C" w:rsidP="00A94C6C">
            <w:pPr>
              <w:spacing w:after="0" w:line="240" w:lineRule="auto"/>
              <w:jc w:val="left"/>
              <w:rPr>
                <w:rFonts w:ascii="Arial" w:hAnsi="Arial" w:cs="Arial"/>
                <w:b/>
                <w:bCs/>
                <w:color w:val="000000"/>
                <w:sz w:val="16"/>
                <w:szCs w:val="16"/>
              </w:rPr>
            </w:pPr>
            <w:r w:rsidRPr="00A94C6C">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center"/>
            <w:hideMark/>
          </w:tcPr>
          <w:p w14:paraId="256E4ACC" w14:textId="77777777" w:rsidR="00A94C6C" w:rsidRPr="00A94C6C" w:rsidRDefault="00A94C6C" w:rsidP="00A94C6C">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3384602" w14:textId="77777777" w:rsidR="00A94C6C" w:rsidRPr="00A94C6C" w:rsidRDefault="00A94C6C" w:rsidP="00A94C6C">
            <w:pPr>
              <w:spacing w:after="0" w:line="240" w:lineRule="auto"/>
              <w:jc w:val="left"/>
              <w:rPr>
                <w:rFonts w:ascii="Arial" w:hAnsi="Arial" w:cs="Arial"/>
                <w:color w:val="000000"/>
                <w:sz w:val="16"/>
                <w:szCs w:val="16"/>
              </w:rPr>
            </w:pPr>
            <w:r w:rsidRPr="00A94C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0E282A8" w14:textId="77777777" w:rsidR="00A94C6C" w:rsidRPr="00A94C6C" w:rsidRDefault="00A94C6C" w:rsidP="00A94C6C">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CBB4F42" w14:textId="77777777" w:rsidR="00A94C6C" w:rsidRPr="00A94C6C" w:rsidRDefault="00A94C6C" w:rsidP="00A94C6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8DC63ED" w14:textId="77777777" w:rsidR="00A94C6C" w:rsidRPr="00A94C6C" w:rsidRDefault="00A94C6C" w:rsidP="00A94C6C">
            <w:pPr>
              <w:spacing w:after="0" w:line="240" w:lineRule="auto"/>
              <w:jc w:val="left"/>
              <w:rPr>
                <w:rFonts w:ascii="Times New Roman" w:hAnsi="Times New Roman"/>
              </w:rPr>
            </w:pPr>
          </w:p>
        </w:tc>
      </w:tr>
      <w:tr w:rsidR="00A94C6C" w:rsidRPr="00A94C6C" w14:paraId="144A475E" w14:textId="77777777" w:rsidTr="00A94C6C">
        <w:trPr>
          <w:trHeight w:hRule="exact" w:val="225"/>
        </w:trPr>
        <w:tc>
          <w:tcPr>
            <w:tcW w:w="2105" w:type="pct"/>
            <w:tcBorders>
              <w:top w:val="nil"/>
              <w:left w:val="nil"/>
              <w:bottom w:val="nil"/>
              <w:right w:val="nil"/>
            </w:tcBorders>
            <w:shd w:val="clear" w:color="auto" w:fill="auto"/>
            <w:noWrap/>
            <w:vAlign w:val="center"/>
            <w:hideMark/>
          </w:tcPr>
          <w:p w14:paraId="23D348EE" w14:textId="77777777" w:rsidR="00A94C6C" w:rsidRPr="00A94C6C" w:rsidRDefault="00A94C6C" w:rsidP="00A94C6C">
            <w:pPr>
              <w:spacing w:after="0" w:line="240" w:lineRule="auto"/>
              <w:ind w:left="170"/>
              <w:jc w:val="left"/>
              <w:rPr>
                <w:rFonts w:ascii="Arial" w:hAnsi="Arial" w:cs="Arial"/>
                <w:color w:val="000000"/>
                <w:sz w:val="16"/>
                <w:szCs w:val="16"/>
              </w:rPr>
            </w:pPr>
            <w:r w:rsidRPr="00A94C6C">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center"/>
            <w:hideMark/>
          </w:tcPr>
          <w:p w14:paraId="7BA1948B"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120,335 </w:t>
            </w:r>
          </w:p>
        </w:tc>
        <w:tc>
          <w:tcPr>
            <w:tcW w:w="579" w:type="pct"/>
            <w:tcBorders>
              <w:top w:val="nil"/>
              <w:left w:val="nil"/>
              <w:bottom w:val="nil"/>
              <w:right w:val="nil"/>
            </w:tcBorders>
            <w:shd w:val="clear" w:color="000000" w:fill="E6E6E6"/>
            <w:noWrap/>
            <w:vAlign w:val="center"/>
            <w:hideMark/>
          </w:tcPr>
          <w:p w14:paraId="00CCA0A5"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129,475 </w:t>
            </w:r>
          </w:p>
        </w:tc>
        <w:tc>
          <w:tcPr>
            <w:tcW w:w="579" w:type="pct"/>
            <w:tcBorders>
              <w:top w:val="nil"/>
              <w:left w:val="nil"/>
              <w:bottom w:val="nil"/>
              <w:right w:val="nil"/>
            </w:tcBorders>
            <w:shd w:val="clear" w:color="auto" w:fill="auto"/>
            <w:noWrap/>
            <w:vAlign w:val="center"/>
            <w:hideMark/>
          </w:tcPr>
          <w:p w14:paraId="453B8F11"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137,732 </w:t>
            </w:r>
          </w:p>
        </w:tc>
        <w:tc>
          <w:tcPr>
            <w:tcW w:w="579" w:type="pct"/>
            <w:tcBorders>
              <w:top w:val="nil"/>
              <w:left w:val="nil"/>
              <w:bottom w:val="nil"/>
              <w:right w:val="nil"/>
            </w:tcBorders>
            <w:shd w:val="clear" w:color="auto" w:fill="auto"/>
            <w:noWrap/>
            <w:vAlign w:val="center"/>
            <w:hideMark/>
          </w:tcPr>
          <w:p w14:paraId="18EC50B4"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146,310 </w:t>
            </w:r>
          </w:p>
        </w:tc>
        <w:tc>
          <w:tcPr>
            <w:tcW w:w="579" w:type="pct"/>
            <w:tcBorders>
              <w:top w:val="nil"/>
              <w:left w:val="nil"/>
              <w:bottom w:val="nil"/>
              <w:right w:val="nil"/>
            </w:tcBorders>
            <w:shd w:val="clear" w:color="auto" w:fill="auto"/>
            <w:noWrap/>
            <w:vAlign w:val="center"/>
            <w:hideMark/>
          </w:tcPr>
          <w:p w14:paraId="3CE0B9F2"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154,791 </w:t>
            </w:r>
          </w:p>
        </w:tc>
      </w:tr>
      <w:tr w:rsidR="00A94C6C" w:rsidRPr="00A94C6C" w14:paraId="660760FC" w14:textId="77777777" w:rsidTr="00A94C6C">
        <w:trPr>
          <w:trHeight w:hRule="exact" w:val="225"/>
        </w:trPr>
        <w:tc>
          <w:tcPr>
            <w:tcW w:w="2105" w:type="pct"/>
            <w:tcBorders>
              <w:top w:val="nil"/>
              <w:left w:val="nil"/>
              <w:bottom w:val="nil"/>
              <w:right w:val="nil"/>
            </w:tcBorders>
            <w:shd w:val="clear" w:color="auto" w:fill="auto"/>
            <w:noWrap/>
            <w:vAlign w:val="center"/>
            <w:hideMark/>
          </w:tcPr>
          <w:p w14:paraId="00A09B72" w14:textId="77777777" w:rsidR="00A94C6C" w:rsidRPr="00A94C6C" w:rsidRDefault="00A94C6C" w:rsidP="00A94C6C">
            <w:pPr>
              <w:spacing w:after="0" w:line="240" w:lineRule="auto"/>
              <w:ind w:left="170"/>
              <w:jc w:val="left"/>
              <w:rPr>
                <w:rFonts w:ascii="Arial" w:hAnsi="Arial" w:cs="Arial"/>
                <w:color w:val="000000"/>
                <w:sz w:val="16"/>
                <w:szCs w:val="16"/>
              </w:rPr>
            </w:pPr>
            <w:r w:rsidRPr="00A94C6C">
              <w:rPr>
                <w:rFonts w:ascii="Arial" w:hAnsi="Arial" w:cs="Arial"/>
                <w:color w:val="000000"/>
                <w:sz w:val="16"/>
                <w:szCs w:val="16"/>
              </w:rPr>
              <w:t>Reserves</w:t>
            </w:r>
          </w:p>
        </w:tc>
        <w:tc>
          <w:tcPr>
            <w:tcW w:w="579" w:type="pct"/>
            <w:tcBorders>
              <w:top w:val="nil"/>
              <w:left w:val="nil"/>
              <w:bottom w:val="nil"/>
              <w:right w:val="nil"/>
            </w:tcBorders>
            <w:shd w:val="clear" w:color="auto" w:fill="auto"/>
            <w:noWrap/>
            <w:vAlign w:val="center"/>
            <w:hideMark/>
          </w:tcPr>
          <w:p w14:paraId="2C782408"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14,343 </w:t>
            </w:r>
          </w:p>
        </w:tc>
        <w:tc>
          <w:tcPr>
            <w:tcW w:w="579" w:type="pct"/>
            <w:tcBorders>
              <w:top w:val="nil"/>
              <w:left w:val="nil"/>
              <w:bottom w:val="nil"/>
              <w:right w:val="nil"/>
            </w:tcBorders>
            <w:shd w:val="clear" w:color="000000" w:fill="E6E6E6"/>
            <w:noWrap/>
            <w:vAlign w:val="center"/>
            <w:hideMark/>
          </w:tcPr>
          <w:p w14:paraId="180B028E"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14,343 </w:t>
            </w:r>
          </w:p>
        </w:tc>
        <w:tc>
          <w:tcPr>
            <w:tcW w:w="579" w:type="pct"/>
            <w:tcBorders>
              <w:top w:val="nil"/>
              <w:left w:val="nil"/>
              <w:bottom w:val="nil"/>
              <w:right w:val="nil"/>
            </w:tcBorders>
            <w:shd w:val="clear" w:color="auto" w:fill="auto"/>
            <w:noWrap/>
            <w:vAlign w:val="center"/>
            <w:hideMark/>
          </w:tcPr>
          <w:p w14:paraId="796DB0AD"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14,343 </w:t>
            </w:r>
          </w:p>
        </w:tc>
        <w:tc>
          <w:tcPr>
            <w:tcW w:w="579" w:type="pct"/>
            <w:tcBorders>
              <w:top w:val="nil"/>
              <w:left w:val="nil"/>
              <w:bottom w:val="nil"/>
              <w:right w:val="nil"/>
            </w:tcBorders>
            <w:shd w:val="clear" w:color="auto" w:fill="auto"/>
            <w:noWrap/>
            <w:vAlign w:val="center"/>
            <w:hideMark/>
          </w:tcPr>
          <w:p w14:paraId="001FD00E"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14,343 </w:t>
            </w:r>
          </w:p>
        </w:tc>
        <w:tc>
          <w:tcPr>
            <w:tcW w:w="579" w:type="pct"/>
            <w:tcBorders>
              <w:top w:val="nil"/>
              <w:left w:val="nil"/>
              <w:bottom w:val="nil"/>
              <w:right w:val="nil"/>
            </w:tcBorders>
            <w:shd w:val="clear" w:color="auto" w:fill="auto"/>
            <w:noWrap/>
            <w:vAlign w:val="center"/>
            <w:hideMark/>
          </w:tcPr>
          <w:p w14:paraId="5F7D53DE" w14:textId="77777777" w:rsidR="00A94C6C" w:rsidRPr="00A94C6C" w:rsidRDefault="00A94C6C" w:rsidP="00A94C6C">
            <w:pPr>
              <w:spacing w:after="0" w:line="240" w:lineRule="auto"/>
              <w:jc w:val="right"/>
              <w:rPr>
                <w:rFonts w:ascii="Arial" w:hAnsi="Arial" w:cs="Arial"/>
                <w:color w:val="000000"/>
                <w:sz w:val="16"/>
                <w:szCs w:val="16"/>
              </w:rPr>
            </w:pPr>
            <w:r w:rsidRPr="00A94C6C">
              <w:rPr>
                <w:rFonts w:ascii="Arial" w:hAnsi="Arial" w:cs="Arial"/>
                <w:color w:val="000000"/>
                <w:sz w:val="16"/>
                <w:szCs w:val="16"/>
              </w:rPr>
              <w:t xml:space="preserve">14,343 </w:t>
            </w:r>
          </w:p>
        </w:tc>
      </w:tr>
      <w:tr w:rsidR="00A94C6C" w:rsidRPr="00A94C6C" w14:paraId="258657F8" w14:textId="77777777" w:rsidTr="004A5972">
        <w:trPr>
          <w:trHeight w:hRule="exact" w:val="358"/>
        </w:trPr>
        <w:tc>
          <w:tcPr>
            <w:tcW w:w="2105" w:type="pct"/>
            <w:tcBorders>
              <w:top w:val="nil"/>
              <w:left w:val="nil"/>
              <w:bottom w:val="nil"/>
              <w:right w:val="nil"/>
            </w:tcBorders>
            <w:shd w:val="clear" w:color="auto" w:fill="auto"/>
            <w:vAlign w:val="bottom"/>
            <w:hideMark/>
          </w:tcPr>
          <w:p w14:paraId="44209D01" w14:textId="77777777" w:rsidR="00A94C6C" w:rsidRPr="00A94C6C" w:rsidRDefault="00A94C6C" w:rsidP="004A5972">
            <w:pPr>
              <w:spacing w:after="0" w:line="240" w:lineRule="auto"/>
              <w:ind w:left="170"/>
              <w:jc w:val="left"/>
              <w:rPr>
                <w:rFonts w:ascii="Arial" w:hAnsi="Arial" w:cs="Arial"/>
                <w:color w:val="000000"/>
                <w:sz w:val="16"/>
                <w:szCs w:val="16"/>
              </w:rPr>
            </w:pPr>
            <w:r w:rsidRPr="00A94C6C">
              <w:rPr>
                <w:rFonts w:ascii="Arial" w:hAnsi="Arial" w:cs="Arial"/>
                <w:color w:val="000000"/>
                <w:sz w:val="16"/>
                <w:szCs w:val="16"/>
              </w:rPr>
              <w:t>Retained surplus (accumulated</w:t>
            </w:r>
            <w:r w:rsidRPr="00A94C6C">
              <w:rPr>
                <w:rFonts w:ascii="Arial" w:hAnsi="Arial" w:cs="Arial"/>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32341A10" w14:textId="77777777" w:rsidR="00A94C6C" w:rsidRPr="00A94C6C" w:rsidRDefault="00A94C6C" w:rsidP="004A5972">
            <w:pPr>
              <w:spacing w:after="0" w:line="240" w:lineRule="auto"/>
              <w:jc w:val="right"/>
              <w:rPr>
                <w:rFonts w:ascii="Arial" w:hAnsi="Arial" w:cs="Arial"/>
                <w:color w:val="000000"/>
                <w:sz w:val="16"/>
                <w:szCs w:val="16"/>
              </w:rPr>
            </w:pPr>
            <w:r w:rsidRPr="00A94C6C">
              <w:rPr>
                <w:rFonts w:ascii="Arial" w:hAnsi="Arial" w:cs="Arial"/>
                <w:color w:val="000000"/>
                <w:sz w:val="16"/>
                <w:szCs w:val="16"/>
              </w:rPr>
              <w:t>(76,102)</w:t>
            </w:r>
          </w:p>
        </w:tc>
        <w:tc>
          <w:tcPr>
            <w:tcW w:w="579" w:type="pct"/>
            <w:tcBorders>
              <w:top w:val="nil"/>
              <w:left w:val="nil"/>
              <w:bottom w:val="nil"/>
              <w:right w:val="nil"/>
            </w:tcBorders>
            <w:shd w:val="clear" w:color="000000" w:fill="E6E6E6"/>
            <w:noWrap/>
            <w:vAlign w:val="bottom"/>
            <w:hideMark/>
          </w:tcPr>
          <w:p w14:paraId="13D8A478" w14:textId="77777777" w:rsidR="00A94C6C" w:rsidRPr="00A94C6C" w:rsidRDefault="00A94C6C" w:rsidP="004A5972">
            <w:pPr>
              <w:spacing w:after="0" w:line="240" w:lineRule="auto"/>
              <w:jc w:val="right"/>
              <w:rPr>
                <w:rFonts w:ascii="Arial" w:hAnsi="Arial" w:cs="Arial"/>
                <w:color w:val="000000"/>
                <w:sz w:val="16"/>
                <w:szCs w:val="16"/>
              </w:rPr>
            </w:pPr>
            <w:r w:rsidRPr="00A94C6C">
              <w:rPr>
                <w:rFonts w:ascii="Arial" w:hAnsi="Arial" w:cs="Arial"/>
                <w:color w:val="000000"/>
                <w:sz w:val="16"/>
                <w:szCs w:val="16"/>
              </w:rPr>
              <w:t>(84,561)</w:t>
            </w:r>
          </w:p>
        </w:tc>
        <w:tc>
          <w:tcPr>
            <w:tcW w:w="579" w:type="pct"/>
            <w:tcBorders>
              <w:top w:val="nil"/>
              <w:left w:val="nil"/>
              <w:bottom w:val="nil"/>
              <w:right w:val="nil"/>
            </w:tcBorders>
            <w:shd w:val="clear" w:color="auto" w:fill="auto"/>
            <w:noWrap/>
            <w:vAlign w:val="bottom"/>
            <w:hideMark/>
          </w:tcPr>
          <w:p w14:paraId="792A3C19" w14:textId="77777777" w:rsidR="00A94C6C" w:rsidRPr="00A94C6C" w:rsidRDefault="00A94C6C" w:rsidP="004A5972">
            <w:pPr>
              <w:spacing w:after="0" w:line="240" w:lineRule="auto"/>
              <w:jc w:val="right"/>
              <w:rPr>
                <w:rFonts w:ascii="Arial" w:hAnsi="Arial" w:cs="Arial"/>
                <w:color w:val="000000"/>
                <w:sz w:val="16"/>
                <w:szCs w:val="16"/>
              </w:rPr>
            </w:pPr>
            <w:r w:rsidRPr="00A94C6C">
              <w:rPr>
                <w:rFonts w:ascii="Arial" w:hAnsi="Arial" w:cs="Arial"/>
                <w:color w:val="000000"/>
                <w:sz w:val="16"/>
                <w:szCs w:val="16"/>
              </w:rPr>
              <w:t>(92,976)</w:t>
            </w:r>
          </w:p>
        </w:tc>
        <w:tc>
          <w:tcPr>
            <w:tcW w:w="579" w:type="pct"/>
            <w:tcBorders>
              <w:top w:val="nil"/>
              <w:left w:val="nil"/>
              <w:bottom w:val="nil"/>
              <w:right w:val="nil"/>
            </w:tcBorders>
            <w:shd w:val="clear" w:color="auto" w:fill="auto"/>
            <w:noWrap/>
            <w:vAlign w:val="bottom"/>
            <w:hideMark/>
          </w:tcPr>
          <w:p w14:paraId="6450873C" w14:textId="77777777" w:rsidR="00A94C6C" w:rsidRPr="00A94C6C" w:rsidRDefault="00A94C6C" w:rsidP="004A5972">
            <w:pPr>
              <w:spacing w:after="0" w:line="240" w:lineRule="auto"/>
              <w:jc w:val="right"/>
              <w:rPr>
                <w:rFonts w:ascii="Arial" w:hAnsi="Arial" w:cs="Arial"/>
                <w:color w:val="000000"/>
                <w:sz w:val="16"/>
                <w:szCs w:val="16"/>
              </w:rPr>
            </w:pPr>
            <w:r w:rsidRPr="00A94C6C">
              <w:rPr>
                <w:rFonts w:ascii="Arial" w:hAnsi="Arial" w:cs="Arial"/>
                <w:color w:val="000000"/>
                <w:sz w:val="16"/>
                <w:szCs w:val="16"/>
              </w:rPr>
              <w:t>(101,598)</w:t>
            </w:r>
          </w:p>
        </w:tc>
        <w:tc>
          <w:tcPr>
            <w:tcW w:w="579" w:type="pct"/>
            <w:tcBorders>
              <w:top w:val="nil"/>
              <w:left w:val="nil"/>
              <w:bottom w:val="nil"/>
              <w:right w:val="nil"/>
            </w:tcBorders>
            <w:shd w:val="clear" w:color="auto" w:fill="auto"/>
            <w:noWrap/>
            <w:vAlign w:val="bottom"/>
            <w:hideMark/>
          </w:tcPr>
          <w:p w14:paraId="00610841" w14:textId="77777777" w:rsidR="00A94C6C" w:rsidRPr="00A94C6C" w:rsidRDefault="00A94C6C" w:rsidP="004A5972">
            <w:pPr>
              <w:spacing w:after="0" w:line="240" w:lineRule="auto"/>
              <w:jc w:val="right"/>
              <w:rPr>
                <w:rFonts w:ascii="Arial" w:hAnsi="Arial" w:cs="Arial"/>
                <w:color w:val="000000"/>
                <w:sz w:val="16"/>
                <w:szCs w:val="16"/>
              </w:rPr>
            </w:pPr>
            <w:r w:rsidRPr="00A94C6C">
              <w:rPr>
                <w:rFonts w:ascii="Arial" w:hAnsi="Arial" w:cs="Arial"/>
                <w:color w:val="000000"/>
                <w:sz w:val="16"/>
                <w:szCs w:val="16"/>
              </w:rPr>
              <w:t>(110,220)</w:t>
            </w:r>
          </w:p>
        </w:tc>
      </w:tr>
      <w:tr w:rsidR="00A94C6C" w:rsidRPr="00A94C6C" w14:paraId="0806F1B0" w14:textId="77777777" w:rsidTr="00A94C6C">
        <w:trPr>
          <w:trHeight w:hRule="exact" w:val="225"/>
        </w:trPr>
        <w:tc>
          <w:tcPr>
            <w:tcW w:w="2105" w:type="pct"/>
            <w:tcBorders>
              <w:top w:val="nil"/>
              <w:left w:val="nil"/>
              <w:bottom w:val="nil"/>
              <w:right w:val="nil"/>
            </w:tcBorders>
            <w:shd w:val="clear" w:color="auto" w:fill="auto"/>
            <w:noWrap/>
            <w:vAlign w:val="center"/>
            <w:hideMark/>
          </w:tcPr>
          <w:p w14:paraId="2DE97AF8" w14:textId="77777777" w:rsidR="00A94C6C" w:rsidRPr="00A94C6C" w:rsidRDefault="00A94C6C" w:rsidP="00A94C6C">
            <w:pPr>
              <w:spacing w:after="0" w:line="240" w:lineRule="auto"/>
              <w:jc w:val="left"/>
              <w:rPr>
                <w:rFonts w:ascii="Arial" w:hAnsi="Arial" w:cs="Arial"/>
                <w:b/>
                <w:bCs/>
                <w:i/>
                <w:iCs/>
                <w:color w:val="000000"/>
                <w:sz w:val="16"/>
                <w:szCs w:val="16"/>
              </w:rPr>
            </w:pPr>
            <w:r w:rsidRPr="00A94C6C">
              <w:rPr>
                <w:rFonts w:ascii="Arial" w:hAnsi="Arial" w:cs="Arial"/>
                <w:b/>
                <w:bCs/>
                <w:i/>
                <w:iCs/>
                <w:color w:val="000000"/>
                <w:sz w:val="16"/>
                <w:szCs w:val="16"/>
              </w:rPr>
              <w:t>Total parent entity interest</w:t>
            </w:r>
          </w:p>
        </w:tc>
        <w:tc>
          <w:tcPr>
            <w:tcW w:w="579" w:type="pct"/>
            <w:tcBorders>
              <w:top w:val="single" w:sz="4" w:space="0" w:color="000000"/>
              <w:left w:val="nil"/>
              <w:bottom w:val="single" w:sz="4" w:space="0" w:color="000000"/>
              <w:right w:val="nil"/>
            </w:tcBorders>
            <w:shd w:val="clear" w:color="auto" w:fill="auto"/>
            <w:noWrap/>
            <w:vAlign w:val="center"/>
            <w:hideMark/>
          </w:tcPr>
          <w:p w14:paraId="711F54F5" w14:textId="77777777" w:rsidR="00A94C6C" w:rsidRPr="00A94C6C" w:rsidRDefault="00A94C6C" w:rsidP="00A94C6C">
            <w:pPr>
              <w:spacing w:after="0" w:line="240" w:lineRule="auto"/>
              <w:jc w:val="right"/>
              <w:rPr>
                <w:rFonts w:ascii="Arial" w:hAnsi="Arial" w:cs="Arial"/>
                <w:b/>
                <w:bCs/>
                <w:i/>
                <w:iCs/>
                <w:color w:val="000000"/>
                <w:sz w:val="16"/>
                <w:szCs w:val="16"/>
              </w:rPr>
            </w:pPr>
            <w:r w:rsidRPr="00A94C6C">
              <w:rPr>
                <w:rFonts w:ascii="Arial" w:hAnsi="Arial" w:cs="Arial"/>
                <w:b/>
                <w:bCs/>
                <w:i/>
                <w:iCs/>
                <w:color w:val="000000"/>
                <w:sz w:val="16"/>
                <w:szCs w:val="16"/>
              </w:rPr>
              <w:t xml:space="preserve">58,576 </w:t>
            </w:r>
          </w:p>
        </w:tc>
        <w:tc>
          <w:tcPr>
            <w:tcW w:w="579" w:type="pct"/>
            <w:tcBorders>
              <w:top w:val="single" w:sz="4" w:space="0" w:color="000000"/>
              <w:left w:val="nil"/>
              <w:bottom w:val="single" w:sz="4" w:space="0" w:color="000000"/>
              <w:right w:val="nil"/>
            </w:tcBorders>
            <w:shd w:val="clear" w:color="000000" w:fill="E6E6E6"/>
            <w:noWrap/>
            <w:vAlign w:val="center"/>
            <w:hideMark/>
          </w:tcPr>
          <w:p w14:paraId="5A0B252D" w14:textId="77777777" w:rsidR="00A94C6C" w:rsidRPr="00A94C6C" w:rsidRDefault="00A94C6C" w:rsidP="00A94C6C">
            <w:pPr>
              <w:spacing w:after="0" w:line="240" w:lineRule="auto"/>
              <w:jc w:val="right"/>
              <w:rPr>
                <w:rFonts w:ascii="Arial" w:hAnsi="Arial" w:cs="Arial"/>
                <w:b/>
                <w:bCs/>
                <w:i/>
                <w:iCs/>
                <w:color w:val="000000"/>
                <w:sz w:val="16"/>
                <w:szCs w:val="16"/>
              </w:rPr>
            </w:pPr>
            <w:r w:rsidRPr="00A94C6C">
              <w:rPr>
                <w:rFonts w:ascii="Arial" w:hAnsi="Arial" w:cs="Arial"/>
                <w:b/>
                <w:bCs/>
                <w:i/>
                <w:iCs/>
                <w:color w:val="000000"/>
                <w:sz w:val="16"/>
                <w:szCs w:val="16"/>
              </w:rPr>
              <w:t xml:space="preserve">59,257 </w:t>
            </w:r>
          </w:p>
        </w:tc>
        <w:tc>
          <w:tcPr>
            <w:tcW w:w="579" w:type="pct"/>
            <w:tcBorders>
              <w:top w:val="single" w:sz="4" w:space="0" w:color="000000"/>
              <w:left w:val="nil"/>
              <w:bottom w:val="single" w:sz="4" w:space="0" w:color="000000"/>
              <w:right w:val="nil"/>
            </w:tcBorders>
            <w:shd w:val="clear" w:color="auto" w:fill="auto"/>
            <w:noWrap/>
            <w:vAlign w:val="center"/>
            <w:hideMark/>
          </w:tcPr>
          <w:p w14:paraId="789E1805" w14:textId="77777777" w:rsidR="00A94C6C" w:rsidRPr="00A94C6C" w:rsidRDefault="00A94C6C" w:rsidP="00A94C6C">
            <w:pPr>
              <w:spacing w:after="0" w:line="240" w:lineRule="auto"/>
              <w:jc w:val="right"/>
              <w:rPr>
                <w:rFonts w:ascii="Arial" w:hAnsi="Arial" w:cs="Arial"/>
                <w:b/>
                <w:bCs/>
                <w:i/>
                <w:iCs/>
                <w:color w:val="000000"/>
                <w:sz w:val="16"/>
                <w:szCs w:val="16"/>
              </w:rPr>
            </w:pPr>
            <w:r w:rsidRPr="00A94C6C">
              <w:rPr>
                <w:rFonts w:ascii="Arial" w:hAnsi="Arial" w:cs="Arial"/>
                <w:b/>
                <w:bCs/>
                <w:i/>
                <w:iCs/>
                <w:color w:val="000000"/>
                <w:sz w:val="16"/>
                <w:szCs w:val="16"/>
              </w:rPr>
              <w:t xml:space="preserve">59,099 </w:t>
            </w:r>
          </w:p>
        </w:tc>
        <w:tc>
          <w:tcPr>
            <w:tcW w:w="579" w:type="pct"/>
            <w:tcBorders>
              <w:top w:val="single" w:sz="4" w:space="0" w:color="000000"/>
              <w:left w:val="nil"/>
              <w:bottom w:val="single" w:sz="4" w:space="0" w:color="000000"/>
              <w:right w:val="nil"/>
            </w:tcBorders>
            <w:shd w:val="clear" w:color="auto" w:fill="auto"/>
            <w:noWrap/>
            <w:vAlign w:val="center"/>
            <w:hideMark/>
          </w:tcPr>
          <w:p w14:paraId="640C6E80" w14:textId="77777777" w:rsidR="00A94C6C" w:rsidRPr="00A94C6C" w:rsidRDefault="00A94C6C" w:rsidP="00A94C6C">
            <w:pPr>
              <w:spacing w:after="0" w:line="240" w:lineRule="auto"/>
              <w:jc w:val="right"/>
              <w:rPr>
                <w:rFonts w:ascii="Arial" w:hAnsi="Arial" w:cs="Arial"/>
                <w:b/>
                <w:bCs/>
                <w:i/>
                <w:iCs/>
                <w:color w:val="000000"/>
                <w:sz w:val="16"/>
                <w:szCs w:val="16"/>
              </w:rPr>
            </w:pPr>
            <w:r w:rsidRPr="00A94C6C">
              <w:rPr>
                <w:rFonts w:ascii="Arial" w:hAnsi="Arial" w:cs="Arial"/>
                <w:b/>
                <w:bCs/>
                <w:i/>
                <w:iCs/>
                <w:color w:val="000000"/>
                <w:sz w:val="16"/>
                <w:szCs w:val="16"/>
              </w:rPr>
              <w:t xml:space="preserve">59,055 </w:t>
            </w:r>
          </w:p>
        </w:tc>
        <w:tc>
          <w:tcPr>
            <w:tcW w:w="579" w:type="pct"/>
            <w:tcBorders>
              <w:top w:val="single" w:sz="4" w:space="0" w:color="000000"/>
              <w:left w:val="nil"/>
              <w:bottom w:val="single" w:sz="4" w:space="0" w:color="000000"/>
              <w:right w:val="nil"/>
            </w:tcBorders>
            <w:shd w:val="clear" w:color="auto" w:fill="auto"/>
            <w:noWrap/>
            <w:vAlign w:val="center"/>
            <w:hideMark/>
          </w:tcPr>
          <w:p w14:paraId="4BF819EA" w14:textId="77777777" w:rsidR="00A94C6C" w:rsidRPr="00A94C6C" w:rsidRDefault="00A94C6C" w:rsidP="00A94C6C">
            <w:pPr>
              <w:spacing w:after="0" w:line="240" w:lineRule="auto"/>
              <w:jc w:val="right"/>
              <w:rPr>
                <w:rFonts w:ascii="Arial" w:hAnsi="Arial" w:cs="Arial"/>
                <w:b/>
                <w:bCs/>
                <w:i/>
                <w:iCs/>
                <w:color w:val="000000"/>
                <w:sz w:val="16"/>
                <w:szCs w:val="16"/>
              </w:rPr>
            </w:pPr>
            <w:r w:rsidRPr="00A94C6C">
              <w:rPr>
                <w:rFonts w:ascii="Arial" w:hAnsi="Arial" w:cs="Arial"/>
                <w:b/>
                <w:bCs/>
                <w:i/>
                <w:iCs/>
                <w:color w:val="000000"/>
                <w:sz w:val="16"/>
                <w:szCs w:val="16"/>
              </w:rPr>
              <w:t xml:space="preserve">58,914 </w:t>
            </w:r>
          </w:p>
        </w:tc>
      </w:tr>
      <w:tr w:rsidR="00A94C6C" w:rsidRPr="00A94C6C" w14:paraId="6E6476BD" w14:textId="77777777" w:rsidTr="00A94C6C">
        <w:trPr>
          <w:trHeight w:hRule="exact" w:val="225"/>
        </w:trPr>
        <w:tc>
          <w:tcPr>
            <w:tcW w:w="2105" w:type="pct"/>
            <w:tcBorders>
              <w:top w:val="nil"/>
              <w:left w:val="nil"/>
              <w:bottom w:val="single" w:sz="4" w:space="0" w:color="000000"/>
              <w:right w:val="nil"/>
            </w:tcBorders>
            <w:shd w:val="clear" w:color="auto" w:fill="auto"/>
            <w:noWrap/>
            <w:vAlign w:val="center"/>
            <w:hideMark/>
          </w:tcPr>
          <w:p w14:paraId="0D72B1F3" w14:textId="77777777" w:rsidR="00A94C6C" w:rsidRPr="00A94C6C" w:rsidRDefault="00A94C6C" w:rsidP="00A94C6C">
            <w:pPr>
              <w:spacing w:after="0" w:line="240" w:lineRule="auto"/>
              <w:jc w:val="left"/>
              <w:rPr>
                <w:rFonts w:ascii="Arial" w:hAnsi="Arial" w:cs="Arial"/>
                <w:b/>
                <w:bCs/>
                <w:color w:val="000000"/>
                <w:sz w:val="16"/>
                <w:szCs w:val="16"/>
              </w:rPr>
            </w:pPr>
            <w:r w:rsidRPr="00A94C6C">
              <w:rPr>
                <w:rFonts w:ascii="Arial" w:hAnsi="Arial" w:cs="Arial"/>
                <w:b/>
                <w:bCs/>
                <w:color w:val="000000"/>
                <w:sz w:val="16"/>
                <w:szCs w:val="16"/>
              </w:rPr>
              <w:t>Total equity</w:t>
            </w:r>
          </w:p>
        </w:tc>
        <w:tc>
          <w:tcPr>
            <w:tcW w:w="579" w:type="pct"/>
            <w:tcBorders>
              <w:top w:val="nil"/>
              <w:left w:val="nil"/>
              <w:bottom w:val="single" w:sz="4" w:space="0" w:color="000000"/>
              <w:right w:val="nil"/>
            </w:tcBorders>
            <w:shd w:val="clear" w:color="auto" w:fill="auto"/>
            <w:noWrap/>
            <w:vAlign w:val="center"/>
            <w:hideMark/>
          </w:tcPr>
          <w:p w14:paraId="042175EC"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 xml:space="preserve">58,576 </w:t>
            </w:r>
          </w:p>
        </w:tc>
        <w:tc>
          <w:tcPr>
            <w:tcW w:w="579" w:type="pct"/>
            <w:tcBorders>
              <w:top w:val="nil"/>
              <w:left w:val="nil"/>
              <w:bottom w:val="single" w:sz="4" w:space="0" w:color="000000"/>
              <w:right w:val="nil"/>
            </w:tcBorders>
            <w:shd w:val="clear" w:color="000000" w:fill="E6E6E6"/>
            <w:noWrap/>
            <w:vAlign w:val="center"/>
            <w:hideMark/>
          </w:tcPr>
          <w:p w14:paraId="12B58C85"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 xml:space="preserve">59,257 </w:t>
            </w:r>
          </w:p>
        </w:tc>
        <w:tc>
          <w:tcPr>
            <w:tcW w:w="579" w:type="pct"/>
            <w:tcBorders>
              <w:top w:val="nil"/>
              <w:left w:val="nil"/>
              <w:bottom w:val="single" w:sz="4" w:space="0" w:color="000000"/>
              <w:right w:val="nil"/>
            </w:tcBorders>
            <w:shd w:val="clear" w:color="auto" w:fill="auto"/>
            <w:noWrap/>
            <w:vAlign w:val="center"/>
            <w:hideMark/>
          </w:tcPr>
          <w:p w14:paraId="59DC7D1E"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 xml:space="preserve">59,099 </w:t>
            </w:r>
          </w:p>
        </w:tc>
        <w:tc>
          <w:tcPr>
            <w:tcW w:w="579" w:type="pct"/>
            <w:tcBorders>
              <w:top w:val="nil"/>
              <w:left w:val="nil"/>
              <w:bottom w:val="single" w:sz="4" w:space="0" w:color="000000"/>
              <w:right w:val="nil"/>
            </w:tcBorders>
            <w:shd w:val="clear" w:color="auto" w:fill="auto"/>
            <w:noWrap/>
            <w:vAlign w:val="center"/>
            <w:hideMark/>
          </w:tcPr>
          <w:p w14:paraId="7AB8C794"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 xml:space="preserve">59,055 </w:t>
            </w:r>
          </w:p>
        </w:tc>
        <w:tc>
          <w:tcPr>
            <w:tcW w:w="579" w:type="pct"/>
            <w:tcBorders>
              <w:top w:val="nil"/>
              <w:left w:val="nil"/>
              <w:bottom w:val="single" w:sz="4" w:space="0" w:color="000000"/>
              <w:right w:val="nil"/>
            </w:tcBorders>
            <w:shd w:val="clear" w:color="auto" w:fill="auto"/>
            <w:noWrap/>
            <w:vAlign w:val="center"/>
            <w:hideMark/>
          </w:tcPr>
          <w:p w14:paraId="1DCD773F" w14:textId="77777777" w:rsidR="00A94C6C" w:rsidRPr="00A94C6C" w:rsidRDefault="00A94C6C" w:rsidP="00A94C6C">
            <w:pPr>
              <w:spacing w:after="0" w:line="240" w:lineRule="auto"/>
              <w:jc w:val="right"/>
              <w:rPr>
                <w:rFonts w:ascii="Arial" w:hAnsi="Arial" w:cs="Arial"/>
                <w:b/>
                <w:bCs/>
                <w:color w:val="000000"/>
                <w:sz w:val="16"/>
                <w:szCs w:val="16"/>
              </w:rPr>
            </w:pPr>
            <w:r w:rsidRPr="00A94C6C">
              <w:rPr>
                <w:rFonts w:ascii="Arial" w:hAnsi="Arial" w:cs="Arial"/>
                <w:b/>
                <w:bCs/>
                <w:color w:val="000000"/>
                <w:sz w:val="16"/>
                <w:szCs w:val="16"/>
              </w:rPr>
              <w:t xml:space="preserve">58,914 </w:t>
            </w:r>
          </w:p>
        </w:tc>
      </w:tr>
    </w:tbl>
    <w:p w14:paraId="1E5D8F45" w14:textId="67B8ED57" w:rsidR="00D606C2" w:rsidRPr="00A94C6C" w:rsidRDefault="00D606C2" w:rsidP="00A94C6C">
      <w:pPr>
        <w:pStyle w:val="ChartandTableFootnote"/>
        <w:rPr>
          <w:rFonts w:cs="Arial"/>
        </w:rPr>
      </w:pPr>
      <w:r w:rsidRPr="00132F9E">
        <w:rPr>
          <w:rFonts w:cs="Arial"/>
        </w:rPr>
        <w:t>Prepared on Australian Accounting Standards basis.</w:t>
      </w:r>
    </w:p>
    <w:p w14:paraId="50134296" w14:textId="39219CEF" w:rsidR="0061675B" w:rsidRPr="003F2797" w:rsidRDefault="00E4582E" w:rsidP="003F2797">
      <w:pPr>
        <w:pStyle w:val="ChartandTableFootnote"/>
        <w:rPr>
          <w:rFonts w:cs="Arial"/>
        </w:rPr>
      </w:pPr>
      <w:r w:rsidRPr="00132F9E">
        <w:rPr>
          <w:rFonts w:cs="Arial"/>
        </w:rPr>
        <w:t>*</w:t>
      </w:r>
      <w:r w:rsidR="00B33758">
        <w:rPr>
          <w:rFonts w:cs="Arial"/>
          <w:lang w:val="en-AU"/>
        </w:rPr>
        <w:t>’</w:t>
      </w:r>
      <w:r w:rsidRPr="00132F9E">
        <w:rPr>
          <w:rFonts w:cs="Arial"/>
        </w:rPr>
        <w:t>E</w:t>
      </w:r>
      <w:r w:rsidR="00F626C2" w:rsidRPr="00132F9E">
        <w:rPr>
          <w:rFonts w:cs="Arial"/>
        </w:rPr>
        <w:t>quity</w:t>
      </w:r>
      <w:r w:rsidR="00B33758">
        <w:rPr>
          <w:rFonts w:cs="Arial"/>
        </w:rPr>
        <w:t>’</w:t>
      </w:r>
      <w:r w:rsidRPr="00132F9E">
        <w:rPr>
          <w:rFonts w:cs="Arial"/>
        </w:rPr>
        <w:t xml:space="preserve"> is the residual interest in assets after deduction of liabilities.</w:t>
      </w:r>
    </w:p>
    <w:p w14:paraId="5365185E" w14:textId="661E65A4" w:rsidR="001C1E88" w:rsidRPr="001C1E88" w:rsidRDefault="000A24C4" w:rsidP="001C1E88">
      <w:pPr>
        <w:pStyle w:val="TableHeading"/>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statement of changes in equity</w:t>
      </w:r>
      <w:r w:rsidR="003532AB">
        <w:t xml:space="preserve"> – </w:t>
      </w:r>
      <w:r w:rsidR="00F626C2" w:rsidRPr="00AD42E2">
        <w:t>summary of</w:t>
      </w:r>
      <w:r w:rsidR="00F626C2">
        <w:t xml:space="preserve"> movement (</w:t>
      </w:r>
      <w:r w:rsidR="008A1DDE">
        <w:t xml:space="preserve">Budget </w:t>
      </w:r>
      <w:r w:rsidR="00F626C2">
        <w:t>y</w:t>
      </w:r>
      <w:r w:rsidR="008A1DDE">
        <w:t xml:space="preserve">ear </w:t>
      </w:r>
      <w:r w:rsidR="002E59C4">
        <w:rPr>
          <w:lang w:val="en-AU"/>
        </w:rPr>
        <w:t>2022</w:t>
      </w:r>
      <w:r w:rsidR="00B33758">
        <w:rPr>
          <w:lang w:val="en-AU"/>
        </w:rPr>
        <w:noBreakHyphen/>
      </w:r>
      <w:r w:rsidR="002E59C4">
        <w:rPr>
          <w:lang w:val="en-AU"/>
        </w:rPr>
        <w:t>2</w:t>
      </w:r>
      <w:r w:rsidR="00563E62">
        <w:rPr>
          <w:lang w:val="en-AU"/>
        </w:rPr>
        <w:t>3</w:t>
      </w:r>
      <w:r w:rsidR="001C1E88">
        <w:rPr>
          <w:lang w:val="en-AU"/>
        </w:rPr>
        <w:t>)</w:t>
      </w:r>
    </w:p>
    <w:tbl>
      <w:tblPr>
        <w:tblW w:w="5000" w:type="pct"/>
        <w:tblCellMar>
          <w:left w:w="0" w:type="dxa"/>
          <w:right w:w="28" w:type="dxa"/>
        </w:tblCellMar>
        <w:tblLook w:val="04A0" w:firstRow="1" w:lastRow="0" w:firstColumn="1" w:lastColumn="0" w:noHBand="0" w:noVBand="1"/>
      </w:tblPr>
      <w:tblGrid>
        <w:gridCol w:w="3246"/>
        <w:gridCol w:w="893"/>
        <w:gridCol w:w="893"/>
        <w:gridCol w:w="893"/>
        <w:gridCol w:w="893"/>
        <w:gridCol w:w="893"/>
      </w:tblGrid>
      <w:tr w:rsidR="001C1E88" w:rsidRPr="001C1E88" w14:paraId="38120FA0" w14:textId="77777777" w:rsidTr="001C1E88">
        <w:trPr>
          <w:trHeight w:hRule="exact" w:val="1125"/>
        </w:trPr>
        <w:tc>
          <w:tcPr>
            <w:tcW w:w="2105" w:type="pct"/>
            <w:tcBorders>
              <w:top w:val="single" w:sz="4" w:space="0" w:color="auto"/>
              <w:left w:val="nil"/>
              <w:bottom w:val="nil"/>
              <w:right w:val="nil"/>
            </w:tcBorders>
            <w:shd w:val="clear" w:color="auto" w:fill="auto"/>
            <w:noWrap/>
            <w:vAlign w:val="center"/>
            <w:hideMark/>
          </w:tcPr>
          <w:p w14:paraId="71F86F51" w14:textId="31E904AC"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w:t>
            </w:r>
          </w:p>
        </w:tc>
        <w:tc>
          <w:tcPr>
            <w:tcW w:w="579" w:type="pct"/>
            <w:tcBorders>
              <w:top w:val="single" w:sz="4" w:space="0" w:color="auto"/>
              <w:left w:val="nil"/>
              <w:bottom w:val="single" w:sz="4" w:space="0" w:color="000000"/>
              <w:right w:val="nil"/>
            </w:tcBorders>
            <w:shd w:val="clear" w:color="auto" w:fill="auto"/>
            <w:hideMark/>
          </w:tcPr>
          <w:p w14:paraId="62D37B46" w14:textId="44A5492C"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Retained</w:t>
            </w:r>
            <w:r w:rsidRPr="001C1E88">
              <w:rPr>
                <w:rFonts w:ascii="Arial" w:hAnsi="Arial" w:cs="Arial"/>
                <w:color w:val="000000"/>
                <w:sz w:val="16"/>
                <w:szCs w:val="16"/>
              </w:rPr>
              <w:br/>
              <w:t>earnings</w:t>
            </w:r>
            <w:r w:rsidRPr="001C1E88">
              <w:rPr>
                <w:rFonts w:ascii="Arial" w:hAnsi="Arial" w:cs="Arial"/>
                <w:color w:val="000000"/>
                <w:sz w:val="16"/>
                <w:szCs w:val="16"/>
              </w:rPr>
              <w:br/>
            </w:r>
            <w:r w:rsidRPr="001C1E88">
              <w:rPr>
                <w:rFonts w:ascii="Arial" w:hAnsi="Arial" w:cs="Arial"/>
                <w:color w:val="000000"/>
                <w:sz w:val="16"/>
                <w:szCs w:val="16"/>
              </w:rPr>
              <w:br/>
              <w:t>$</w:t>
            </w:r>
            <w:r w:rsidR="00B33758">
              <w:rPr>
                <w:rFonts w:ascii="Arial" w:hAnsi="Arial" w:cs="Arial"/>
                <w:color w:val="000000"/>
                <w:sz w:val="16"/>
                <w:szCs w:val="16"/>
              </w:rPr>
              <w:t>’</w:t>
            </w:r>
            <w:r w:rsidRPr="001C1E88">
              <w:rPr>
                <w:rFonts w:ascii="Arial" w:hAnsi="Arial" w:cs="Arial"/>
                <w:color w:val="000000"/>
                <w:sz w:val="16"/>
                <w:szCs w:val="16"/>
              </w:rPr>
              <w:t>000</w:t>
            </w:r>
          </w:p>
        </w:tc>
        <w:tc>
          <w:tcPr>
            <w:tcW w:w="579" w:type="pct"/>
            <w:tcBorders>
              <w:top w:val="single" w:sz="4" w:space="0" w:color="auto"/>
              <w:left w:val="nil"/>
              <w:bottom w:val="single" w:sz="4" w:space="0" w:color="000000"/>
              <w:right w:val="nil"/>
            </w:tcBorders>
            <w:shd w:val="clear" w:color="auto" w:fill="auto"/>
            <w:hideMark/>
          </w:tcPr>
          <w:p w14:paraId="662D0837" w14:textId="36605D54"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Asset</w:t>
            </w:r>
            <w:r w:rsidRPr="001C1E88">
              <w:rPr>
                <w:rFonts w:ascii="Arial" w:hAnsi="Arial" w:cs="Arial"/>
                <w:color w:val="000000"/>
                <w:sz w:val="16"/>
                <w:szCs w:val="16"/>
              </w:rPr>
              <w:br/>
              <w:t>revaluation</w:t>
            </w:r>
            <w:r w:rsidRPr="001C1E88">
              <w:rPr>
                <w:rFonts w:ascii="Arial" w:hAnsi="Arial" w:cs="Arial"/>
                <w:color w:val="000000"/>
                <w:sz w:val="16"/>
                <w:szCs w:val="16"/>
              </w:rPr>
              <w:br/>
              <w:t>reserve</w:t>
            </w:r>
            <w:r w:rsidRPr="001C1E88">
              <w:rPr>
                <w:rFonts w:ascii="Arial" w:hAnsi="Arial" w:cs="Arial"/>
                <w:color w:val="000000"/>
                <w:sz w:val="16"/>
                <w:szCs w:val="16"/>
              </w:rPr>
              <w:br/>
              <w:t>$</w:t>
            </w:r>
            <w:r w:rsidR="00B33758">
              <w:rPr>
                <w:rFonts w:ascii="Arial" w:hAnsi="Arial" w:cs="Arial"/>
                <w:color w:val="000000"/>
                <w:sz w:val="16"/>
                <w:szCs w:val="16"/>
              </w:rPr>
              <w:t>’</w:t>
            </w:r>
            <w:r w:rsidRPr="001C1E88">
              <w:rPr>
                <w:rFonts w:ascii="Arial" w:hAnsi="Arial" w:cs="Arial"/>
                <w:color w:val="000000"/>
                <w:sz w:val="16"/>
                <w:szCs w:val="16"/>
              </w:rPr>
              <w:t>000</w:t>
            </w:r>
          </w:p>
        </w:tc>
        <w:tc>
          <w:tcPr>
            <w:tcW w:w="579" w:type="pct"/>
            <w:tcBorders>
              <w:top w:val="single" w:sz="4" w:space="0" w:color="auto"/>
              <w:left w:val="nil"/>
              <w:bottom w:val="single" w:sz="4" w:space="0" w:color="000000"/>
              <w:right w:val="nil"/>
            </w:tcBorders>
            <w:shd w:val="clear" w:color="auto" w:fill="auto"/>
            <w:hideMark/>
          </w:tcPr>
          <w:p w14:paraId="68A11360" w14:textId="701F8E33"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Other</w:t>
            </w:r>
            <w:r w:rsidRPr="001C1E88">
              <w:rPr>
                <w:rFonts w:ascii="Arial" w:hAnsi="Arial" w:cs="Arial"/>
                <w:color w:val="000000"/>
                <w:sz w:val="16"/>
                <w:szCs w:val="16"/>
              </w:rPr>
              <w:br/>
              <w:t>reserves</w:t>
            </w:r>
            <w:r w:rsidRPr="001C1E88">
              <w:rPr>
                <w:rFonts w:ascii="Arial" w:hAnsi="Arial" w:cs="Arial"/>
                <w:color w:val="000000"/>
                <w:sz w:val="16"/>
                <w:szCs w:val="16"/>
              </w:rPr>
              <w:br/>
            </w:r>
            <w:r w:rsidRPr="001C1E88">
              <w:rPr>
                <w:rFonts w:ascii="Arial" w:hAnsi="Arial" w:cs="Arial"/>
                <w:color w:val="000000"/>
                <w:sz w:val="16"/>
                <w:szCs w:val="16"/>
              </w:rPr>
              <w:br/>
              <w:t>$</w:t>
            </w:r>
            <w:r w:rsidR="00B33758">
              <w:rPr>
                <w:rFonts w:ascii="Arial" w:hAnsi="Arial" w:cs="Arial"/>
                <w:color w:val="000000"/>
                <w:sz w:val="16"/>
                <w:szCs w:val="16"/>
              </w:rPr>
              <w:t>’</w:t>
            </w:r>
            <w:r w:rsidRPr="001C1E88">
              <w:rPr>
                <w:rFonts w:ascii="Arial" w:hAnsi="Arial" w:cs="Arial"/>
                <w:color w:val="000000"/>
                <w:sz w:val="16"/>
                <w:szCs w:val="16"/>
              </w:rPr>
              <w:t>000</w:t>
            </w:r>
          </w:p>
        </w:tc>
        <w:tc>
          <w:tcPr>
            <w:tcW w:w="579" w:type="pct"/>
            <w:tcBorders>
              <w:top w:val="single" w:sz="4" w:space="0" w:color="auto"/>
              <w:left w:val="nil"/>
              <w:bottom w:val="single" w:sz="4" w:space="0" w:color="000000"/>
              <w:right w:val="nil"/>
            </w:tcBorders>
            <w:shd w:val="clear" w:color="auto" w:fill="auto"/>
            <w:hideMark/>
          </w:tcPr>
          <w:p w14:paraId="06712B36" w14:textId="447B1946"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Contributed</w:t>
            </w:r>
            <w:r w:rsidRPr="001C1E88">
              <w:rPr>
                <w:rFonts w:ascii="Arial" w:hAnsi="Arial" w:cs="Arial"/>
                <w:color w:val="000000"/>
                <w:sz w:val="16"/>
                <w:szCs w:val="16"/>
              </w:rPr>
              <w:br/>
              <w:t>equity/</w:t>
            </w:r>
            <w:r w:rsidRPr="001C1E88">
              <w:rPr>
                <w:rFonts w:ascii="Arial" w:hAnsi="Arial" w:cs="Arial"/>
                <w:color w:val="000000"/>
                <w:sz w:val="16"/>
                <w:szCs w:val="16"/>
              </w:rPr>
              <w:br/>
              <w:t>capital</w:t>
            </w:r>
            <w:r w:rsidRPr="001C1E88">
              <w:rPr>
                <w:rFonts w:ascii="Arial" w:hAnsi="Arial" w:cs="Arial"/>
                <w:color w:val="000000"/>
                <w:sz w:val="16"/>
                <w:szCs w:val="16"/>
              </w:rPr>
              <w:br/>
              <w:t>$</w:t>
            </w:r>
            <w:r w:rsidR="00B33758">
              <w:rPr>
                <w:rFonts w:ascii="Arial" w:hAnsi="Arial" w:cs="Arial"/>
                <w:color w:val="000000"/>
                <w:sz w:val="16"/>
                <w:szCs w:val="16"/>
              </w:rPr>
              <w:t>’</w:t>
            </w:r>
            <w:r w:rsidRPr="001C1E88">
              <w:rPr>
                <w:rFonts w:ascii="Arial" w:hAnsi="Arial" w:cs="Arial"/>
                <w:color w:val="000000"/>
                <w:sz w:val="16"/>
                <w:szCs w:val="16"/>
              </w:rPr>
              <w:t>000</w:t>
            </w:r>
          </w:p>
        </w:tc>
        <w:tc>
          <w:tcPr>
            <w:tcW w:w="579" w:type="pct"/>
            <w:tcBorders>
              <w:top w:val="single" w:sz="4" w:space="0" w:color="auto"/>
              <w:left w:val="nil"/>
              <w:bottom w:val="single" w:sz="4" w:space="0" w:color="000000"/>
              <w:right w:val="nil"/>
            </w:tcBorders>
            <w:shd w:val="clear" w:color="auto" w:fill="auto"/>
            <w:hideMark/>
          </w:tcPr>
          <w:p w14:paraId="3E936838" w14:textId="34DF988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Total</w:t>
            </w:r>
            <w:r w:rsidRPr="001C1E88">
              <w:rPr>
                <w:rFonts w:ascii="Arial" w:hAnsi="Arial" w:cs="Arial"/>
                <w:color w:val="000000"/>
                <w:sz w:val="16"/>
                <w:szCs w:val="16"/>
              </w:rPr>
              <w:br/>
              <w:t xml:space="preserve">equity </w:t>
            </w:r>
            <w:r w:rsidRPr="001C1E88">
              <w:rPr>
                <w:rFonts w:ascii="Arial" w:hAnsi="Arial" w:cs="Arial"/>
                <w:color w:val="000000"/>
                <w:sz w:val="16"/>
                <w:szCs w:val="16"/>
              </w:rPr>
              <w:br/>
            </w:r>
            <w:r w:rsidRPr="001C1E88">
              <w:rPr>
                <w:rFonts w:ascii="Arial" w:hAnsi="Arial" w:cs="Arial"/>
                <w:color w:val="000000"/>
                <w:sz w:val="16"/>
                <w:szCs w:val="16"/>
              </w:rPr>
              <w:br/>
              <w:t>$</w:t>
            </w:r>
            <w:r w:rsidR="00B33758">
              <w:rPr>
                <w:rFonts w:ascii="Arial" w:hAnsi="Arial" w:cs="Arial"/>
                <w:color w:val="000000"/>
                <w:sz w:val="16"/>
                <w:szCs w:val="16"/>
              </w:rPr>
              <w:t>’</w:t>
            </w:r>
            <w:r w:rsidRPr="001C1E88">
              <w:rPr>
                <w:rFonts w:ascii="Arial" w:hAnsi="Arial" w:cs="Arial"/>
                <w:color w:val="000000"/>
                <w:sz w:val="16"/>
                <w:szCs w:val="16"/>
              </w:rPr>
              <w:t>000</w:t>
            </w:r>
          </w:p>
        </w:tc>
      </w:tr>
      <w:tr w:rsidR="001C1E88" w:rsidRPr="001C1E88" w14:paraId="086956DF" w14:textId="77777777" w:rsidTr="001C1E88">
        <w:trPr>
          <w:trHeight w:hRule="exact" w:val="225"/>
        </w:trPr>
        <w:tc>
          <w:tcPr>
            <w:tcW w:w="2105" w:type="pct"/>
            <w:tcBorders>
              <w:top w:val="nil"/>
              <w:left w:val="nil"/>
              <w:bottom w:val="nil"/>
              <w:right w:val="nil"/>
            </w:tcBorders>
            <w:shd w:val="clear" w:color="auto" w:fill="auto"/>
            <w:vAlign w:val="center"/>
            <w:hideMark/>
          </w:tcPr>
          <w:p w14:paraId="27EE3A74"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Opening balance as at 1 July 2022</w:t>
            </w:r>
          </w:p>
        </w:tc>
        <w:tc>
          <w:tcPr>
            <w:tcW w:w="579" w:type="pct"/>
            <w:tcBorders>
              <w:top w:val="nil"/>
              <w:left w:val="nil"/>
              <w:bottom w:val="nil"/>
              <w:right w:val="nil"/>
            </w:tcBorders>
            <w:shd w:val="clear" w:color="auto" w:fill="auto"/>
            <w:noWrap/>
            <w:vAlign w:val="center"/>
            <w:hideMark/>
          </w:tcPr>
          <w:p w14:paraId="794538FF"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auto" w:fill="auto"/>
            <w:noWrap/>
            <w:vAlign w:val="center"/>
            <w:hideMark/>
          </w:tcPr>
          <w:p w14:paraId="6FA88C10"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01244B7"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7E2E08B"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5CD19F2" w14:textId="77777777" w:rsidR="001C1E88" w:rsidRPr="001C1E88" w:rsidRDefault="001C1E88" w:rsidP="001C1E88">
            <w:pPr>
              <w:spacing w:after="0" w:line="240" w:lineRule="auto"/>
              <w:jc w:val="left"/>
              <w:rPr>
                <w:rFonts w:ascii="Times New Roman" w:hAnsi="Times New Roman"/>
              </w:rPr>
            </w:pPr>
          </w:p>
        </w:tc>
      </w:tr>
      <w:tr w:rsidR="001C1E88" w:rsidRPr="001C1E88" w14:paraId="1E3E7B2D" w14:textId="77777777" w:rsidTr="004A5972">
        <w:trPr>
          <w:trHeight w:hRule="exact" w:val="450"/>
        </w:trPr>
        <w:tc>
          <w:tcPr>
            <w:tcW w:w="2105" w:type="pct"/>
            <w:tcBorders>
              <w:top w:val="nil"/>
              <w:left w:val="nil"/>
              <w:bottom w:val="nil"/>
              <w:right w:val="nil"/>
            </w:tcBorders>
            <w:shd w:val="clear" w:color="auto" w:fill="auto"/>
            <w:vAlign w:val="bottom"/>
            <w:hideMark/>
          </w:tcPr>
          <w:p w14:paraId="4C366973" w14:textId="77777777" w:rsidR="001C1E88" w:rsidRPr="001C1E88" w:rsidRDefault="001C1E88" w:rsidP="004A5972">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Balance carried forward from</w:t>
            </w:r>
            <w:r w:rsidRPr="001C1E88">
              <w:rPr>
                <w:rFonts w:ascii="Arial" w:hAnsi="Arial" w:cs="Arial"/>
                <w:color w:val="000000"/>
                <w:sz w:val="16"/>
                <w:szCs w:val="16"/>
              </w:rPr>
              <w:br/>
              <w:t xml:space="preserve">  previous period</w:t>
            </w:r>
          </w:p>
        </w:tc>
        <w:tc>
          <w:tcPr>
            <w:tcW w:w="579" w:type="pct"/>
            <w:tcBorders>
              <w:top w:val="nil"/>
              <w:left w:val="nil"/>
              <w:bottom w:val="nil"/>
              <w:right w:val="nil"/>
            </w:tcBorders>
            <w:shd w:val="clear" w:color="auto" w:fill="auto"/>
            <w:noWrap/>
            <w:vAlign w:val="bottom"/>
            <w:hideMark/>
          </w:tcPr>
          <w:p w14:paraId="5E7842B5"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(76,102)</w:t>
            </w:r>
          </w:p>
        </w:tc>
        <w:tc>
          <w:tcPr>
            <w:tcW w:w="579" w:type="pct"/>
            <w:tcBorders>
              <w:top w:val="nil"/>
              <w:left w:val="nil"/>
              <w:bottom w:val="nil"/>
              <w:right w:val="nil"/>
            </w:tcBorders>
            <w:shd w:val="clear" w:color="auto" w:fill="auto"/>
            <w:noWrap/>
            <w:vAlign w:val="bottom"/>
            <w:hideMark/>
          </w:tcPr>
          <w:p w14:paraId="46A4031A"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14,343 </w:t>
            </w:r>
          </w:p>
        </w:tc>
        <w:tc>
          <w:tcPr>
            <w:tcW w:w="579" w:type="pct"/>
            <w:tcBorders>
              <w:top w:val="nil"/>
              <w:left w:val="nil"/>
              <w:bottom w:val="nil"/>
              <w:right w:val="nil"/>
            </w:tcBorders>
            <w:shd w:val="clear" w:color="auto" w:fill="auto"/>
            <w:noWrap/>
            <w:vAlign w:val="bottom"/>
            <w:hideMark/>
          </w:tcPr>
          <w:p w14:paraId="1D17E51F" w14:textId="532D4BD2" w:rsidR="001C1E88" w:rsidRPr="001C1E88" w:rsidRDefault="00B33758" w:rsidP="004A597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8BDA696"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120,335 </w:t>
            </w:r>
          </w:p>
        </w:tc>
        <w:tc>
          <w:tcPr>
            <w:tcW w:w="579" w:type="pct"/>
            <w:tcBorders>
              <w:top w:val="nil"/>
              <w:left w:val="nil"/>
              <w:bottom w:val="nil"/>
              <w:right w:val="nil"/>
            </w:tcBorders>
            <w:shd w:val="clear" w:color="auto" w:fill="auto"/>
            <w:noWrap/>
            <w:vAlign w:val="bottom"/>
            <w:hideMark/>
          </w:tcPr>
          <w:p w14:paraId="5EAC978A"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58,576 </w:t>
            </w:r>
          </w:p>
        </w:tc>
      </w:tr>
      <w:tr w:rsidR="001C1E88" w:rsidRPr="001C1E88" w14:paraId="2B3260F1" w14:textId="77777777" w:rsidTr="001C1E88">
        <w:trPr>
          <w:trHeight w:hRule="exact" w:val="210"/>
        </w:trPr>
        <w:tc>
          <w:tcPr>
            <w:tcW w:w="2105" w:type="pct"/>
            <w:tcBorders>
              <w:top w:val="nil"/>
              <w:left w:val="nil"/>
              <w:bottom w:val="nil"/>
              <w:right w:val="nil"/>
            </w:tcBorders>
            <w:shd w:val="clear" w:color="auto" w:fill="auto"/>
            <w:vAlign w:val="center"/>
            <w:hideMark/>
          </w:tcPr>
          <w:p w14:paraId="5E08325B" w14:textId="77777777"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Adjusted opening balance</w:t>
            </w:r>
          </w:p>
        </w:tc>
        <w:tc>
          <w:tcPr>
            <w:tcW w:w="579" w:type="pct"/>
            <w:tcBorders>
              <w:top w:val="single" w:sz="4" w:space="0" w:color="000000"/>
              <w:left w:val="nil"/>
              <w:bottom w:val="single" w:sz="4" w:space="0" w:color="000000"/>
              <w:right w:val="nil"/>
            </w:tcBorders>
            <w:shd w:val="clear" w:color="auto" w:fill="auto"/>
            <w:noWrap/>
            <w:vAlign w:val="center"/>
            <w:hideMark/>
          </w:tcPr>
          <w:p w14:paraId="7B80B20F"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(76,102)</w:t>
            </w:r>
          </w:p>
        </w:tc>
        <w:tc>
          <w:tcPr>
            <w:tcW w:w="579" w:type="pct"/>
            <w:tcBorders>
              <w:top w:val="single" w:sz="4" w:space="0" w:color="000000"/>
              <w:left w:val="nil"/>
              <w:bottom w:val="single" w:sz="4" w:space="0" w:color="000000"/>
              <w:right w:val="nil"/>
            </w:tcBorders>
            <w:shd w:val="clear" w:color="auto" w:fill="auto"/>
            <w:noWrap/>
            <w:vAlign w:val="center"/>
            <w:hideMark/>
          </w:tcPr>
          <w:p w14:paraId="133BE3F6"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14,343 </w:t>
            </w:r>
          </w:p>
        </w:tc>
        <w:tc>
          <w:tcPr>
            <w:tcW w:w="579" w:type="pct"/>
            <w:tcBorders>
              <w:top w:val="single" w:sz="4" w:space="0" w:color="000000"/>
              <w:left w:val="nil"/>
              <w:bottom w:val="single" w:sz="4" w:space="0" w:color="000000"/>
              <w:right w:val="nil"/>
            </w:tcBorders>
            <w:shd w:val="clear" w:color="auto" w:fill="auto"/>
            <w:noWrap/>
            <w:vAlign w:val="center"/>
            <w:hideMark/>
          </w:tcPr>
          <w:p w14:paraId="7BA5073D" w14:textId="4462D859" w:rsidR="001C1E88" w:rsidRPr="001C1E88" w:rsidRDefault="00B33758" w:rsidP="001C1E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1C1E88" w:rsidRPr="001C1E88">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center"/>
            <w:hideMark/>
          </w:tcPr>
          <w:p w14:paraId="0513BC2E"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120,335 </w:t>
            </w:r>
          </w:p>
        </w:tc>
        <w:tc>
          <w:tcPr>
            <w:tcW w:w="579" w:type="pct"/>
            <w:tcBorders>
              <w:top w:val="single" w:sz="4" w:space="0" w:color="000000"/>
              <w:left w:val="nil"/>
              <w:bottom w:val="single" w:sz="4" w:space="0" w:color="000000"/>
              <w:right w:val="nil"/>
            </w:tcBorders>
            <w:shd w:val="clear" w:color="auto" w:fill="auto"/>
            <w:noWrap/>
            <w:vAlign w:val="center"/>
            <w:hideMark/>
          </w:tcPr>
          <w:p w14:paraId="6126DE7E"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58,576 </w:t>
            </w:r>
          </w:p>
        </w:tc>
      </w:tr>
      <w:tr w:rsidR="001C1E88" w:rsidRPr="001C1E88" w14:paraId="4470DE2E" w14:textId="77777777" w:rsidTr="001C1E88">
        <w:trPr>
          <w:trHeight w:hRule="exact" w:val="225"/>
        </w:trPr>
        <w:tc>
          <w:tcPr>
            <w:tcW w:w="2105" w:type="pct"/>
            <w:tcBorders>
              <w:top w:val="nil"/>
              <w:left w:val="nil"/>
              <w:bottom w:val="nil"/>
              <w:right w:val="nil"/>
            </w:tcBorders>
            <w:shd w:val="clear" w:color="auto" w:fill="auto"/>
            <w:noWrap/>
            <w:vAlign w:val="center"/>
            <w:hideMark/>
          </w:tcPr>
          <w:p w14:paraId="46BDB6DF"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Comprehensive income</w:t>
            </w:r>
          </w:p>
        </w:tc>
        <w:tc>
          <w:tcPr>
            <w:tcW w:w="579" w:type="pct"/>
            <w:tcBorders>
              <w:top w:val="nil"/>
              <w:left w:val="nil"/>
              <w:bottom w:val="nil"/>
              <w:right w:val="nil"/>
            </w:tcBorders>
            <w:shd w:val="clear" w:color="auto" w:fill="auto"/>
            <w:noWrap/>
            <w:vAlign w:val="center"/>
            <w:hideMark/>
          </w:tcPr>
          <w:p w14:paraId="771D6120"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auto" w:fill="auto"/>
            <w:noWrap/>
            <w:vAlign w:val="center"/>
            <w:hideMark/>
          </w:tcPr>
          <w:p w14:paraId="3D23F9D8"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83498A1"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4D02512"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02AC914" w14:textId="77777777" w:rsidR="001C1E88" w:rsidRPr="001C1E88" w:rsidRDefault="001C1E88" w:rsidP="001C1E88">
            <w:pPr>
              <w:spacing w:after="0" w:line="240" w:lineRule="auto"/>
              <w:jc w:val="left"/>
              <w:rPr>
                <w:rFonts w:ascii="Times New Roman" w:hAnsi="Times New Roman"/>
              </w:rPr>
            </w:pPr>
          </w:p>
        </w:tc>
      </w:tr>
      <w:tr w:rsidR="001C1E88" w:rsidRPr="001C1E88" w14:paraId="774C678A" w14:textId="77777777" w:rsidTr="001C1E88">
        <w:trPr>
          <w:trHeight w:hRule="exact" w:val="225"/>
        </w:trPr>
        <w:tc>
          <w:tcPr>
            <w:tcW w:w="2105" w:type="pct"/>
            <w:tcBorders>
              <w:top w:val="nil"/>
              <w:left w:val="nil"/>
              <w:bottom w:val="nil"/>
              <w:right w:val="nil"/>
            </w:tcBorders>
            <w:shd w:val="clear" w:color="auto" w:fill="auto"/>
            <w:noWrap/>
            <w:vAlign w:val="center"/>
            <w:hideMark/>
          </w:tcPr>
          <w:p w14:paraId="3908635A" w14:textId="77777777" w:rsidR="001C1E88" w:rsidRPr="001C1E88" w:rsidRDefault="001C1E88" w:rsidP="001C1E88">
            <w:pPr>
              <w:spacing w:after="0" w:line="240" w:lineRule="auto"/>
              <w:ind w:left="170"/>
              <w:jc w:val="left"/>
              <w:rPr>
                <w:rFonts w:ascii="Arial" w:hAnsi="Arial" w:cs="Arial"/>
                <w:sz w:val="16"/>
                <w:szCs w:val="16"/>
              </w:rPr>
            </w:pPr>
            <w:r w:rsidRPr="001C1E88">
              <w:rPr>
                <w:rFonts w:ascii="Arial" w:hAnsi="Arial" w:cs="Arial"/>
                <w:sz w:val="16"/>
                <w:szCs w:val="16"/>
              </w:rPr>
              <w:t>Surplus/(deficit) for the period</w:t>
            </w:r>
          </w:p>
        </w:tc>
        <w:tc>
          <w:tcPr>
            <w:tcW w:w="579" w:type="pct"/>
            <w:tcBorders>
              <w:top w:val="nil"/>
              <w:left w:val="nil"/>
              <w:bottom w:val="nil"/>
              <w:right w:val="nil"/>
            </w:tcBorders>
            <w:shd w:val="clear" w:color="auto" w:fill="auto"/>
            <w:noWrap/>
            <w:vAlign w:val="center"/>
            <w:hideMark/>
          </w:tcPr>
          <w:p w14:paraId="11D848F8"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(8,459)</w:t>
            </w:r>
          </w:p>
        </w:tc>
        <w:tc>
          <w:tcPr>
            <w:tcW w:w="579" w:type="pct"/>
            <w:tcBorders>
              <w:top w:val="nil"/>
              <w:left w:val="nil"/>
              <w:bottom w:val="nil"/>
              <w:right w:val="nil"/>
            </w:tcBorders>
            <w:shd w:val="clear" w:color="auto" w:fill="auto"/>
            <w:noWrap/>
            <w:vAlign w:val="center"/>
            <w:hideMark/>
          </w:tcPr>
          <w:p w14:paraId="3173FA55" w14:textId="2899BF5E"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4957571C" w14:textId="5397AEF7"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36B5AAE8" w14:textId="54B241A8"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726A6909"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(8,459)</w:t>
            </w:r>
          </w:p>
        </w:tc>
      </w:tr>
      <w:tr w:rsidR="001C1E88" w:rsidRPr="001C1E88" w14:paraId="667C34EC" w14:textId="77777777" w:rsidTr="001C1E88">
        <w:trPr>
          <w:trHeight w:hRule="exact" w:val="210"/>
        </w:trPr>
        <w:tc>
          <w:tcPr>
            <w:tcW w:w="2105" w:type="pct"/>
            <w:tcBorders>
              <w:top w:val="nil"/>
              <w:left w:val="nil"/>
              <w:bottom w:val="nil"/>
              <w:right w:val="nil"/>
            </w:tcBorders>
            <w:shd w:val="clear" w:color="auto" w:fill="auto"/>
            <w:vAlign w:val="center"/>
            <w:hideMark/>
          </w:tcPr>
          <w:p w14:paraId="492D2147" w14:textId="77777777"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Total comprehensive income</w:t>
            </w:r>
          </w:p>
        </w:tc>
        <w:tc>
          <w:tcPr>
            <w:tcW w:w="579" w:type="pct"/>
            <w:tcBorders>
              <w:top w:val="single" w:sz="4" w:space="0" w:color="000000"/>
              <w:left w:val="nil"/>
              <w:bottom w:val="nil"/>
              <w:right w:val="nil"/>
            </w:tcBorders>
            <w:shd w:val="clear" w:color="auto" w:fill="auto"/>
            <w:noWrap/>
            <w:vAlign w:val="center"/>
            <w:hideMark/>
          </w:tcPr>
          <w:p w14:paraId="63627C47"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(8,459)</w:t>
            </w:r>
          </w:p>
        </w:tc>
        <w:tc>
          <w:tcPr>
            <w:tcW w:w="579" w:type="pct"/>
            <w:tcBorders>
              <w:top w:val="single" w:sz="4" w:space="0" w:color="000000"/>
              <w:left w:val="nil"/>
              <w:bottom w:val="nil"/>
              <w:right w:val="nil"/>
            </w:tcBorders>
            <w:shd w:val="clear" w:color="auto" w:fill="auto"/>
            <w:noWrap/>
            <w:vAlign w:val="center"/>
            <w:hideMark/>
          </w:tcPr>
          <w:p w14:paraId="5446A7AD" w14:textId="35DFF32B" w:rsidR="001C1E88" w:rsidRPr="001C1E88" w:rsidRDefault="00B33758" w:rsidP="001C1E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1C1E88" w:rsidRPr="001C1E88">
              <w:rPr>
                <w:rFonts w:ascii="Arial" w:hAnsi="Arial" w:cs="Arial"/>
                <w:b/>
                <w:bCs/>
                <w:i/>
                <w:iCs/>
                <w:color w:val="000000"/>
                <w:sz w:val="16"/>
                <w:szCs w:val="16"/>
              </w:rPr>
              <w:t xml:space="preserve"> </w:t>
            </w:r>
          </w:p>
        </w:tc>
        <w:tc>
          <w:tcPr>
            <w:tcW w:w="579" w:type="pct"/>
            <w:tcBorders>
              <w:top w:val="single" w:sz="4" w:space="0" w:color="000000"/>
              <w:left w:val="nil"/>
              <w:bottom w:val="nil"/>
              <w:right w:val="nil"/>
            </w:tcBorders>
            <w:shd w:val="clear" w:color="auto" w:fill="auto"/>
            <w:noWrap/>
            <w:vAlign w:val="center"/>
            <w:hideMark/>
          </w:tcPr>
          <w:p w14:paraId="359B89AA" w14:textId="3BF5E7C4" w:rsidR="001C1E88" w:rsidRPr="001C1E88" w:rsidRDefault="00B33758" w:rsidP="001C1E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1C1E88" w:rsidRPr="001C1E88">
              <w:rPr>
                <w:rFonts w:ascii="Arial" w:hAnsi="Arial" w:cs="Arial"/>
                <w:b/>
                <w:bCs/>
                <w:i/>
                <w:iCs/>
                <w:color w:val="000000"/>
                <w:sz w:val="16"/>
                <w:szCs w:val="16"/>
              </w:rPr>
              <w:t xml:space="preserve"> </w:t>
            </w:r>
          </w:p>
        </w:tc>
        <w:tc>
          <w:tcPr>
            <w:tcW w:w="579" w:type="pct"/>
            <w:tcBorders>
              <w:top w:val="single" w:sz="4" w:space="0" w:color="000000"/>
              <w:left w:val="nil"/>
              <w:bottom w:val="nil"/>
              <w:right w:val="nil"/>
            </w:tcBorders>
            <w:shd w:val="clear" w:color="auto" w:fill="auto"/>
            <w:noWrap/>
            <w:vAlign w:val="center"/>
            <w:hideMark/>
          </w:tcPr>
          <w:p w14:paraId="2AFD153A" w14:textId="37FF7A15" w:rsidR="001C1E88" w:rsidRPr="001C1E88" w:rsidRDefault="00B33758" w:rsidP="001C1E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1C1E88" w:rsidRPr="001C1E88">
              <w:rPr>
                <w:rFonts w:ascii="Arial" w:hAnsi="Arial" w:cs="Arial"/>
                <w:b/>
                <w:bCs/>
                <w:i/>
                <w:iCs/>
                <w:color w:val="000000"/>
                <w:sz w:val="16"/>
                <w:szCs w:val="16"/>
              </w:rPr>
              <w:t xml:space="preserve"> </w:t>
            </w:r>
          </w:p>
        </w:tc>
        <w:tc>
          <w:tcPr>
            <w:tcW w:w="579" w:type="pct"/>
            <w:tcBorders>
              <w:top w:val="single" w:sz="4" w:space="0" w:color="000000"/>
              <w:left w:val="nil"/>
              <w:bottom w:val="nil"/>
              <w:right w:val="nil"/>
            </w:tcBorders>
            <w:shd w:val="clear" w:color="auto" w:fill="auto"/>
            <w:noWrap/>
            <w:vAlign w:val="center"/>
            <w:hideMark/>
          </w:tcPr>
          <w:p w14:paraId="4A241D13"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(8,459)</w:t>
            </w:r>
          </w:p>
        </w:tc>
      </w:tr>
      <w:tr w:rsidR="001C1E88" w:rsidRPr="001C1E88" w14:paraId="36FE3DFE" w14:textId="77777777" w:rsidTr="001C1E88">
        <w:trPr>
          <w:trHeight w:hRule="exact" w:val="225"/>
        </w:trPr>
        <w:tc>
          <w:tcPr>
            <w:tcW w:w="2105" w:type="pct"/>
            <w:tcBorders>
              <w:top w:val="nil"/>
              <w:left w:val="nil"/>
              <w:bottom w:val="nil"/>
              <w:right w:val="nil"/>
            </w:tcBorders>
            <w:shd w:val="clear" w:color="auto" w:fill="auto"/>
            <w:noWrap/>
            <w:vAlign w:val="center"/>
            <w:hideMark/>
          </w:tcPr>
          <w:p w14:paraId="46072577"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Transactions with owners</w:t>
            </w:r>
          </w:p>
        </w:tc>
        <w:tc>
          <w:tcPr>
            <w:tcW w:w="579" w:type="pct"/>
            <w:tcBorders>
              <w:top w:val="nil"/>
              <w:left w:val="nil"/>
              <w:bottom w:val="nil"/>
              <w:right w:val="nil"/>
            </w:tcBorders>
            <w:shd w:val="clear" w:color="auto" w:fill="auto"/>
            <w:noWrap/>
            <w:vAlign w:val="center"/>
            <w:hideMark/>
          </w:tcPr>
          <w:p w14:paraId="1B351701"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auto" w:fill="auto"/>
            <w:noWrap/>
            <w:vAlign w:val="center"/>
            <w:hideMark/>
          </w:tcPr>
          <w:p w14:paraId="5EC053DC"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35DF83D"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709036B"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FD4EFBE" w14:textId="77777777" w:rsidR="001C1E88" w:rsidRPr="001C1E88" w:rsidRDefault="001C1E88" w:rsidP="001C1E88">
            <w:pPr>
              <w:spacing w:after="0" w:line="240" w:lineRule="auto"/>
              <w:jc w:val="left"/>
              <w:rPr>
                <w:rFonts w:ascii="Times New Roman" w:hAnsi="Times New Roman"/>
              </w:rPr>
            </w:pPr>
          </w:p>
        </w:tc>
      </w:tr>
      <w:tr w:rsidR="001C1E88" w:rsidRPr="001C1E88" w14:paraId="0E4E5CED" w14:textId="77777777" w:rsidTr="001C1E88">
        <w:trPr>
          <w:trHeight w:hRule="exact" w:val="240"/>
        </w:trPr>
        <w:tc>
          <w:tcPr>
            <w:tcW w:w="2105" w:type="pct"/>
            <w:tcBorders>
              <w:top w:val="nil"/>
              <w:left w:val="nil"/>
              <w:bottom w:val="nil"/>
              <w:right w:val="nil"/>
            </w:tcBorders>
            <w:shd w:val="clear" w:color="auto" w:fill="auto"/>
            <w:noWrap/>
            <w:vAlign w:val="center"/>
            <w:hideMark/>
          </w:tcPr>
          <w:p w14:paraId="529CF750" w14:textId="77777777"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Contributions by owners</w:t>
            </w:r>
          </w:p>
        </w:tc>
        <w:tc>
          <w:tcPr>
            <w:tcW w:w="579" w:type="pct"/>
            <w:tcBorders>
              <w:top w:val="nil"/>
              <w:left w:val="nil"/>
              <w:bottom w:val="nil"/>
              <w:right w:val="nil"/>
            </w:tcBorders>
            <w:shd w:val="clear" w:color="auto" w:fill="auto"/>
            <w:noWrap/>
            <w:vAlign w:val="center"/>
            <w:hideMark/>
          </w:tcPr>
          <w:p w14:paraId="6AC8A12F" w14:textId="77777777" w:rsidR="001C1E88" w:rsidRPr="001C1E88" w:rsidRDefault="001C1E88" w:rsidP="001C1E88">
            <w:pPr>
              <w:spacing w:after="0" w:line="240" w:lineRule="auto"/>
              <w:jc w:val="left"/>
              <w:rPr>
                <w:rFonts w:ascii="Arial" w:hAnsi="Arial" w:cs="Arial"/>
                <w:b/>
                <w:bCs/>
                <w:i/>
                <w:iCs/>
                <w:color w:val="000000"/>
                <w:sz w:val="16"/>
                <w:szCs w:val="16"/>
              </w:rPr>
            </w:pPr>
          </w:p>
        </w:tc>
        <w:tc>
          <w:tcPr>
            <w:tcW w:w="579" w:type="pct"/>
            <w:tcBorders>
              <w:top w:val="nil"/>
              <w:left w:val="nil"/>
              <w:bottom w:val="nil"/>
              <w:right w:val="nil"/>
            </w:tcBorders>
            <w:shd w:val="clear" w:color="auto" w:fill="auto"/>
            <w:noWrap/>
            <w:vAlign w:val="center"/>
            <w:hideMark/>
          </w:tcPr>
          <w:p w14:paraId="2DDC8235"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F7C0816"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544F3637"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DDFD07E" w14:textId="77777777" w:rsidR="001C1E88" w:rsidRPr="001C1E88" w:rsidRDefault="001C1E88" w:rsidP="001C1E88">
            <w:pPr>
              <w:spacing w:after="0" w:line="240" w:lineRule="auto"/>
              <w:jc w:val="left"/>
              <w:rPr>
                <w:rFonts w:ascii="Times New Roman" w:hAnsi="Times New Roman"/>
              </w:rPr>
            </w:pPr>
          </w:p>
        </w:tc>
      </w:tr>
      <w:tr w:rsidR="001C1E88" w:rsidRPr="001C1E88" w14:paraId="61C20C91" w14:textId="77777777" w:rsidTr="001C1E88">
        <w:trPr>
          <w:trHeight w:hRule="exact" w:val="240"/>
        </w:trPr>
        <w:tc>
          <w:tcPr>
            <w:tcW w:w="2105" w:type="pct"/>
            <w:tcBorders>
              <w:top w:val="nil"/>
              <w:left w:val="nil"/>
              <w:bottom w:val="nil"/>
              <w:right w:val="nil"/>
            </w:tcBorders>
            <w:shd w:val="clear" w:color="auto" w:fill="auto"/>
            <w:noWrap/>
            <w:vAlign w:val="center"/>
            <w:hideMark/>
          </w:tcPr>
          <w:p w14:paraId="6F4F99FB" w14:textId="4046915E" w:rsidR="001C1E88" w:rsidRPr="001C1E88" w:rsidRDefault="001C1E88" w:rsidP="001C1E88">
            <w:pPr>
              <w:spacing w:after="0" w:line="240" w:lineRule="auto"/>
              <w:ind w:left="340"/>
              <w:jc w:val="left"/>
              <w:rPr>
                <w:rFonts w:ascii="Arial" w:hAnsi="Arial" w:cs="Arial"/>
                <w:color w:val="000000"/>
                <w:sz w:val="16"/>
                <w:szCs w:val="16"/>
              </w:rPr>
            </w:pPr>
            <w:r w:rsidRPr="001C1E88">
              <w:rPr>
                <w:rFonts w:ascii="Arial" w:hAnsi="Arial" w:cs="Arial"/>
                <w:color w:val="000000"/>
                <w:sz w:val="16"/>
                <w:szCs w:val="16"/>
              </w:rPr>
              <w:t>Equity injection</w:t>
            </w:r>
            <w:r w:rsidR="00B33758">
              <w:rPr>
                <w:rFonts w:ascii="Arial" w:hAnsi="Arial" w:cs="Arial"/>
                <w:color w:val="000000"/>
                <w:sz w:val="16"/>
                <w:szCs w:val="16"/>
              </w:rPr>
              <w:t xml:space="preserve"> – </w:t>
            </w:r>
            <w:r w:rsidRPr="001C1E88">
              <w:rPr>
                <w:rFonts w:ascii="Arial" w:hAnsi="Arial" w:cs="Arial"/>
                <w:color w:val="000000"/>
                <w:sz w:val="16"/>
                <w:szCs w:val="16"/>
              </w:rPr>
              <w:t>Appropriation</w:t>
            </w:r>
          </w:p>
        </w:tc>
        <w:tc>
          <w:tcPr>
            <w:tcW w:w="579" w:type="pct"/>
            <w:tcBorders>
              <w:top w:val="nil"/>
              <w:left w:val="nil"/>
              <w:bottom w:val="nil"/>
              <w:right w:val="nil"/>
            </w:tcBorders>
            <w:shd w:val="clear" w:color="auto" w:fill="auto"/>
            <w:noWrap/>
            <w:vAlign w:val="center"/>
            <w:hideMark/>
          </w:tcPr>
          <w:p w14:paraId="5BD320A0" w14:textId="66DF2364"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4D979070" w14:textId="35D7F277"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4A8CEB42" w14:textId="446364DA"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1B2A2343"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303 </w:t>
            </w:r>
          </w:p>
        </w:tc>
        <w:tc>
          <w:tcPr>
            <w:tcW w:w="579" w:type="pct"/>
            <w:tcBorders>
              <w:top w:val="nil"/>
              <w:left w:val="nil"/>
              <w:bottom w:val="nil"/>
              <w:right w:val="nil"/>
            </w:tcBorders>
            <w:shd w:val="clear" w:color="auto" w:fill="auto"/>
            <w:noWrap/>
            <w:vAlign w:val="center"/>
            <w:hideMark/>
          </w:tcPr>
          <w:p w14:paraId="3A97847A"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303 </w:t>
            </w:r>
          </w:p>
        </w:tc>
      </w:tr>
      <w:tr w:rsidR="001C1E88" w:rsidRPr="001C1E88" w14:paraId="67FD06FB" w14:textId="77777777" w:rsidTr="001C1E88">
        <w:trPr>
          <w:trHeight w:hRule="exact" w:val="240"/>
        </w:trPr>
        <w:tc>
          <w:tcPr>
            <w:tcW w:w="2105" w:type="pct"/>
            <w:tcBorders>
              <w:top w:val="nil"/>
              <w:left w:val="nil"/>
              <w:bottom w:val="nil"/>
              <w:right w:val="nil"/>
            </w:tcBorders>
            <w:shd w:val="clear" w:color="auto" w:fill="auto"/>
            <w:noWrap/>
            <w:vAlign w:val="center"/>
            <w:hideMark/>
          </w:tcPr>
          <w:p w14:paraId="6C69051E" w14:textId="77777777" w:rsidR="001C1E88" w:rsidRPr="001C1E88" w:rsidRDefault="001C1E88" w:rsidP="001C1E88">
            <w:pPr>
              <w:spacing w:after="0" w:line="240" w:lineRule="auto"/>
              <w:ind w:left="340"/>
              <w:jc w:val="left"/>
              <w:rPr>
                <w:rFonts w:ascii="Arial" w:hAnsi="Arial" w:cs="Arial"/>
                <w:color w:val="000000"/>
                <w:sz w:val="16"/>
                <w:szCs w:val="16"/>
              </w:rPr>
            </w:pPr>
            <w:r w:rsidRPr="001C1E88">
              <w:rPr>
                <w:rFonts w:ascii="Arial" w:hAnsi="Arial" w:cs="Arial"/>
                <w:color w:val="000000"/>
                <w:sz w:val="16"/>
                <w:szCs w:val="16"/>
              </w:rPr>
              <w:t>Departmental Capital Budget (DCB)</w:t>
            </w:r>
          </w:p>
        </w:tc>
        <w:tc>
          <w:tcPr>
            <w:tcW w:w="579" w:type="pct"/>
            <w:tcBorders>
              <w:top w:val="nil"/>
              <w:left w:val="nil"/>
              <w:bottom w:val="nil"/>
              <w:right w:val="nil"/>
            </w:tcBorders>
            <w:shd w:val="clear" w:color="auto" w:fill="auto"/>
            <w:noWrap/>
            <w:vAlign w:val="center"/>
            <w:hideMark/>
          </w:tcPr>
          <w:p w14:paraId="13F64610" w14:textId="693916B3"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69EA9885" w14:textId="0E545D18"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67EA15CF" w14:textId="45F77ECE" w:rsidR="001C1E88" w:rsidRPr="001C1E88" w:rsidRDefault="00B33758" w:rsidP="001C1E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1C1E88" w:rsidRPr="001C1E88">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center"/>
            <w:hideMark/>
          </w:tcPr>
          <w:p w14:paraId="1A538AD5"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8,837 </w:t>
            </w:r>
          </w:p>
        </w:tc>
        <w:tc>
          <w:tcPr>
            <w:tcW w:w="579" w:type="pct"/>
            <w:tcBorders>
              <w:top w:val="nil"/>
              <w:left w:val="nil"/>
              <w:bottom w:val="nil"/>
              <w:right w:val="nil"/>
            </w:tcBorders>
            <w:shd w:val="clear" w:color="auto" w:fill="auto"/>
            <w:noWrap/>
            <w:vAlign w:val="center"/>
            <w:hideMark/>
          </w:tcPr>
          <w:p w14:paraId="1201BEAF"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8,837 </w:t>
            </w:r>
          </w:p>
        </w:tc>
      </w:tr>
      <w:tr w:rsidR="001C1E88" w:rsidRPr="001C1E88" w14:paraId="111BA564" w14:textId="77777777" w:rsidTr="001C1E88">
        <w:trPr>
          <w:trHeight w:hRule="exact" w:val="420"/>
        </w:trPr>
        <w:tc>
          <w:tcPr>
            <w:tcW w:w="2105" w:type="pct"/>
            <w:tcBorders>
              <w:top w:val="nil"/>
              <w:left w:val="nil"/>
              <w:bottom w:val="nil"/>
              <w:right w:val="nil"/>
            </w:tcBorders>
            <w:shd w:val="clear" w:color="auto" w:fill="auto"/>
            <w:vAlign w:val="center"/>
            <w:hideMark/>
          </w:tcPr>
          <w:p w14:paraId="7101A8FE" w14:textId="1E54DFAE"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Sub</w:t>
            </w:r>
            <w:r w:rsidR="00B33758">
              <w:rPr>
                <w:rFonts w:ascii="Arial" w:hAnsi="Arial" w:cs="Arial"/>
                <w:b/>
                <w:bCs/>
                <w:i/>
                <w:iCs/>
                <w:color w:val="000000"/>
                <w:sz w:val="16"/>
                <w:szCs w:val="16"/>
              </w:rPr>
              <w:noBreakHyphen/>
            </w:r>
            <w:r w:rsidRPr="001C1E88">
              <w:rPr>
                <w:rFonts w:ascii="Arial" w:hAnsi="Arial" w:cs="Arial"/>
                <w:b/>
                <w:bCs/>
                <w:i/>
                <w:iCs/>
                <w:color w:val="000000"/>
                <w:sz w:val="16"/>
                <w:szCs w:val="16"/>
              </w:rPr>
              <w:t>total transactions with</w:t>
            </w:r>
            <w:r w:rsidRPr="001C1E88">
              <w:rPr>
                <w:rFonts w:ascii="Arial" w:hAnsi="Arial" w:cs="Arial"/>
                <w:b/>
                <w:bCs/>
                <w:i/>
                <w:iCs/>
                <w:color w:val="000000"/>
                <w:sz w:val="16"/>
                <w:szCs w:val="16"/>
              </w:rPr>
              <w:br/>
              <w:t xml:space="preserve">  owners</w:t>
            </w:r>
          </w:p>
        </w:tc>
        <w:tc>
          <w:tcPr>
            <w:tcW w:w="579" w:type="pct"/>
            <w:tcBorders>
              <w:top w:val="single" w:sz="4" w:space="0" w:color="000000"/>
              <w:left w:val="nil"/>
              <w:bottom w:val="single" w:sz="4" w:space="0" w:color="000000"/>
              <w:right w:val="nil"/>
            </w:tcBorders>
            <w:shd w:val="clear" w:color="auto" w:fill="auto"/>
            <w:noWrap/>
            <w:vAlign w:val="bottom"/>
            <w:hideMark/>
          </w:tcPr>
          <w:p w14:paraId="67BD01FF" w14:textId="170C1267" w:rsidR="001C1E88" w:rsidRPr="001C1E88" w:rsidRDefault="00B33758" w:rsidP="001C1E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1C1E88" w:rsidRPr="001C1E88">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590278DD" w14:textId="10B364D1" w:rsidR="001C1E88" w:rsidRPr="001C1E88" w:rsidRDefault="00B33758" w:rsidP="001C1E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1C1E88" w:rsidRPr="001C1E88">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4EE39F56" w14:textId="2C1E1ABF" w:rsidR="001C1E88" w:rsidRPr="001C1E88" w:rsidRDefault="00B33758" w:rsidP="001C1E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1C1E88" w:rsidRPr="001C1E88">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0D64730C"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9,140 </w:t>
            </w:r>
          </w:p>
        </w:tc>
        <w:tc>
          <w:tcPr>
            <w:tcW w:w="579" w:type="pct"/>
            <w:tcBorders>
              <w:top w:val="single" w:sz="4" w:space="0" w:color="000000"/>
              <w:left w:val="nil"/>
              <w:bottom w:val="single" w:sz="4" w:space="0" w:color="000000"/>
              <w:right w:val="nil"/>
            </w:tcBorders>
            <w:shd w:val="clear" w:color="auto" w:fill="auto"/>
            <w:noWrap/>
            <w:vAlign w:val="bottom"/>
            <w:hideMark/>
          </w:tcPr>
          <w:p w14:paraId="619E4DCD"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9,140 </w:t>
            </w:r>
          </w:p>
        </w:tc>
      </w:tr>
      <w:tr w:rsidR="001C1E88" w:rsidRPr="001C1E88" w14:paraId="07913004" w14:textId="77777777" w:rsidTr="001C1E88">
        <w:trPr>
          <w:trHeight w:hRule="exact" w:val="450"/>
        </w:trPr>
        <w:tc>
          <w:tcPr>
            <w:tcW w:w="2105" w:type="pct"/>
            <w:tcBorders>
              <w:top w:val="nil"/>
              <w:left w:val="nil"/>
              <w:bottom w:val="nil"/>
              <w:right w:val="nil"/>
            </w:tcBorders>
            <w:shd w:val="clear" w:color="auto" w:fill="auto"/>
            <w:vAlign w:val="center"/>
            <w:hideMark/>
          </w:tcPr>
          <w:p w14:paraId="6CA4A0BA"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Estimated closing balance as at</w:t>
            </w:r>
            <w:r w:rsidRPr="001C1E88">
              <w:rPr>
                <w:rFonts w:ascii="Arial" w:hAnsi="Arial" w:cs="Arial"/>
                <w:b/>
                <w:bCs/>
                <w:color w:val="000000"/>
                <w:sz w:val="16"/>
                <w:szCs w:val="16"/>
              </w:rPr>
              <w:br/>
              <w:t xml:space="preserve">  30 June 2023</w:t>
            </w:r>
          </w:p>
        </w:tc>
        <w:tc>
          <w:tcPr>
            <w:tcW w:w="579" w:type="pct"/>
            <w:tcBorders>
              <w:top w:val="nil"/>
              <w:left w:val="nil"/>
              <w:bottom w:val="single" w:sz="4" w:space="0" w:color="auto"/>
              <w:right w:val="nil"/>
            </w:tcBorders>
            <w:shd w:val="clear" w:color="auto" w:fill="auto"/>
            <w:noWrap/>
            <w:vAlign w:val="bottom"/>
            <w:hideMark/>
          </w:tcPr>
          <w:p w14:paraId="02B6F0A4"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(84,561)</w:t>
            </w:r>
          </w:p>
        </w:tc>
        <w:tc>
          <w:tcPr>
            <w:tcW w:w="579" w:type="pct"/>
            <w:tcBorders>
              <w:top w:val="nil"/>
              <w:left w:val="nil"/>
              <w:bottom w:val="single" w:sz="4" w:space="0" w:color="auto"/>
              <w:right w:val="nil"/>
            </w:tcBorders>
            <w:shd w:val="clear" w:color="auto" w:fill="auto"/>
            <w:noWrap/>
            <w:vAlign w:val="bottom"/>
            <w:hideMark/>
          </w:tcPr>
          <w:p w14:paraId="3F3A7ACD"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14,343 </w:t>
            </w:r>
          </w:p>
        </w:tc>
        <w:tc>
          <w:tcPr>
            <w:tcW w:w="579" w:type="pct"/>
            <w:tcBorders>
              <w:top w:val="nil"/>
              <w:left w:val="nil"/>
              <w:bottom w:val="single" w:sz="4" w:space="0" w:color="auto"/>
              <w:right w:val="nil"/>
            </w:tcBorders>
            <w:shd w:val="clear" w:color="auto" w:fill="auto"/>
            <w:noWrap/>
            <w:vAlign w:val="bottom"/>
            <w:hideMark/>
          </w:tcPr>
          <w:p w14:paraId="4185DF4B" w14:textId="631C2B4F" w:rsidR="001C1E88" w:rsidRPr="001C1E88" w:rsidRDefault="00B33758" w:rsidP="001C1E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C1E88" w:rsidRPr="001C1E88">
              <w:rPr>
                <w:rFonts w:ascii="Arial" w:hAnsi="Arial" w:cs="Arial"/>
                <w:b/>
                <w:bCs/>
                <w:color w:val="000000"/>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47D42267"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129,475 </w:t>
            </w:r>
          </w:p>
        </w:tc>
        <w:tc>
          <w:tcPr>
            <w:tcW w:w="579" w:type="pct"/>
            <w:tcBorders>
              <w:top w:val="nil"/>
              <w:left w:val="nil"/>
              <w:bottom w:val="single" w:sz="4" w:space="0" w:color="auto"/>
              <w:right w:val="nil"/>
            </w:tcBorders>
            <w:shd w:val="clear" w:color="auto" w:fill="auto"/>
            <w:noWrap/>
            <w:vAlign w:val="bottom"/>
            <w:hideMark/>
          </w:tcPr>
          <w:p w14:paraId="3038A14F"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59,257 </w:t>
            </w:r>
          </w:p>
        </w:tc>
      </w:tr>
      <w:tr w:rsidR="001C1E88" w:rsidRPr="001C1E88" w14:paraId="51EEAA0F" w14:textId="77777777" w:rsidTr="001C1E88">
        <w:trPr>
          <w:trHeight w:hRule="exact" w:val="450"/>
        </w:trPr>
        <w:tc>
          <w:tcPr>
            <w:tcW w:w="2105" w:type="pct"/>
            <w:tcBorders>
              <w:top w:val="nil"/>
              <w:left w:val="nil"/>
              <w:bottom w:val="single" w:sz="4" w:space="0" w:color="000000"/>
              <w:right w:val="nil"/>
            </w:tcBorders>
            <w:shd w:val="clear" w:color="auto" w:fill="auto"/>
            <w:vAlign w:val="center"/>
            <w:hideMark/>
          </w:tcPr>
          <w:p w14:paraId="67EBB489"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Closing balance attributable to</w:t>
            </w:r>
            <w:r w:rsidRPr="001C1E88">
              <w:rPr>
                <w:rFonts w:ascii="Arial" w:hAnsi="Arial" w:cs="Arial"/>
                <w:b/>
                <w:bCs/>
                <w:color w:val="000000"/>
                <w:sz w:val="16"/>
                <w:szCs w:val="16"/>
              </w:rPr>
              <w:br/>
              <w:t xml:space="preserve">  the Australian Government</w:t>
            </w:r>
          </w:p>
        </w:tc>
        <w:tc>
          <w:tcPr>
            <w:tcW w:w="579" w:type="pct"/>
            <w:tcBorders>
              <w:top w:val="nil"/>
              <w:left w:val="nil"/>
              <w:bottom w:val="single" w:sz="4" w:space="0" w:color="auto"/>
              <w:right w:val="nil"/>
            </w:tcBorders>
            <w:shd w:val="clear" w:color="auto" w:fill="auto"/>
            <w:noWrap/>
            <w:vAlign w:val="bottom"/>
            <w:hideMark/>
          </w:tcPr>
          <w:p w14:paraId="5879D69E"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(84,561)</w:t>
            </w:r>
          </w:p>
        </w:tc>
        <w:tc>
          <w:tcPr>
            <w:tcW w:w="579" w:type="pct"/>
            <w:tcBorders>
              <w:top w:val="nil"/>
              <w:left w:val="nil"/>
              <w:bottom w:val="single" w:sz="4" w:space="0" w:color="auto"/>
              <w:right w:val="nil"/>
            </w:tcBorders>
            <w:shd w:val="clear" w:color="auto" w:fill="auto"/>
            <w:noWrap/>
            <w:vAlign w:val="bottom"/>
            <w:hideMark/>
          </w:tcPr>
          <w:p w14:paraId="552B45FC"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14,343 </w:t>
            </w:r>
          </w:p>
        </w:tc>
        <w:tc>
          <w:tcPr>
            <w:tcW w:w="579" w:type="pct"/>
            <w:tcBorders>
              <w:top w:val="nil"/>
              <w:left w:val="nil"/>
              <w:bottom w:val="single" w:sz="4" w:space="0" w:color="auto"/>
              <w:right w:val="nil"/>
            </w:tcBorders>
            <w:shd w:val="clear" w:color="auto" w:fill="auto"/>
            <w:noWrap/>
            <w:vAlign w:val="bottom"/>
            <w:hideMark/>
          </w:tcPr>
          <w:p w14:paraId="7828C589" w14:textId="5479F4BA" w:rsidR="001C1E88" w:rsidRPr="001C1E88" w:rsidRDefault="00B33758" w:rsidP="001C1E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C1E88" w:rsidRPr="001C1E88">
              <w:rPr>
                <w:rFonts w:ascii="Arial" w:hAnsi="Arial" w:cs="Arial"/>
                <w:b/>
                <w:bCs/>
                <w:color w:val="000000"/>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4F2F15AD"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129,475 </w:t>
            </w:r>
          </w:p>
        </w:tc>
        <w:tc>
          <w:tcPr>
            <w:tcW w:w="579" w:type="pct"/>
            <w:tcBorders>
              <w:top w:val="nil"/>
              <w:left w:val="nil"/>
              <w:bottom w:val="single" w:sz="4" w:space="0" w:color="auto"/>
              <w:right w:val="nil"/>
            </w:tcBorders>
            <w:shd w:val="clear" w:color="auto" w:fill="auto"/>
            <w:noWrap/>
            <w:vAlign w:val="bottom"/>
            <w:hideMark/>
          </w:tcPr>
          <w:p w14:paraId="5C5F5FE5"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59,257 </w:t>
            </w:r>
          </w:p>
        </w:tc>
      </w:tr>
    </w:tbl>
    <w:p w14:paraId="28EEDA44" w14:textId="0E22BFA2" w:rsidR="00132F9E" w:rsidRPr="00132F9E" w:rsidRDefault="00D606C2" w:rsidP="00132F9E">
      <w:pPr>
        <w:pStyle w:val="TableGraphic"/>
        <w:rPr>
          <w:rFonts w:ascii="Arial" w:hAnsi="Arial" w:cs="Arial"/>
          <w:sz w:val="16"/>
          <w:szCs w:val="16"/>
        </w:rPr>
      </w:pPr>
      <w:r w:rsidRPr="00D606C2">
        <w:rPr>
          <w:rFonts w:ascii="Arial" w:hAnsi="Arial" w:cs="Arial"/>
          <w:sz w:val="16"/>
        </w:rPr>
        <w:t>Prepared on Australian Accounting Standards basis</w:t>
      </w:r>
    </w:p>
    <w:p w14:paraId="5CDAAE2C" w14:textId="37E959B1" w:rsidR="001C1E88" w:rsidRDefault="000A24C4" w:rsidP="001C1E88">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r w:rsidR="008B1DAB">
        <w:rPr>
          <w:lang w:val="en-AU"/>
        </w:rPr>
        <w:t>)</w:t>
      </w:r>
    </w:p>
    <w:tbl>
      <w:tblPr>
        <w:tblW w:w="5000" w:type="pct"/>
        <w:tblCellMar>
          <w:left w:w="0" w:type="dxa"/>
          <w:right w:w="28" w:type="dxa"/>
        </w:tblCellMar>
        <w:tblLook w:val="04A0" w:firstRow="1" w:lastRow="0" w:firstColumn="1" w:lastColumn="0" w:noHBand="0" w:noVBand="1"/>
      </w:tblPr>
      <w:tblGrid>
        <w:gridCol w:w="3246"/>
        <w:gridCol w:w="893"/>
        <w:gridCol w:w="893"/>
        <w:gridCol w:w="893"/>
        <w:gridCol w:w="893"/>
        <w:gridCol w:w="893"/>
      </w:tblGrid>
      <w:tr w:rsidR="001C1E88" w:rsidRPr="001C1E88" w14:paraId="5E4818F3" w14:textId="77777777" w:rsidTr="001C1E88">
        <w:trPr>
          <w:trHeight w:hRule="exact" w:val="900"/>
        </w:trPr>
        <w:tc>
          <w:tcPr>
            <w:tcW w:w="2105" w:type="pct"/>
            <w:tcBorders>
              <w:top w:val="single" w:sz="4" w:space="0" w:color="auto"/>
              <w:left w:val="nil"/>
              <w:bottom w:val="nil"/>
              <w:right w:val="nil"/>
            </w:tcBorders>
            <w:shd w:val="clear" w:color="auto" w:fill="auto"/>
            <w:noWrap/>
            <w:hideMark/>
          </w:tcPr>
          <w:p w14:paraId="3CE93E87" w14:textId="34773936" w:rsidR="001C1E88" w:rsidRPr="001C1E88" w:rsidRDefault="001C1E88" w:rsidP="001C1E88">
            <w:pPr>
              <w:spacing w:after="0" w:line="240" w:lineRule="auto"/>
              <w:jc w:val="left"/>
              <w:rPr>
                <w:rFonts w:ascii="Arial" w:hAnsi="Arial" w:cs="Arial"/>
                <w:b/>
                <w:bCs/>
                <w:sz w:val="16"/>
                <w:szCs w:val="16"/>
              </w:rPr>
            </w:pPr>
            <w:r w:rsidRPr="001C1E88">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B109B1B" w14:textId="5AA151EC"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2021</w:t>
            </w:r>
            <w:r w:rsidR="00B33758">
              <w:rPr>
                <w:rFonts w:ascii="Arial" w:hAnsi="Arial" w:cs="Arial"/>
                <w:sz w:val="16"/>
                <w:szCs w:val="16"/>
              </w:rPr>
              <w:noBreakHyphen/>
            </w:r>
            <w:r w:rsidRPr="001C1E88">
              <w:rPr>
                <w:rFonts w:ascii="Arial" w:hAnsi="Arial" w:cs="Arial"/>
                <w:sz w:val="16"/>
                <w:szCs w:val="16"/>
              </w:rPr>
              <w:t>22 Estimated actual</w:t>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271B4163" w14:textId="582BEBA9"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2022</w:t>
            </w:r>
            <w:r w:rsidR="00B33758">
              <w:rPr>
                <w:rFonts w:ascii="Arial" w:hAnsi="Arial" w:cs="Arial"/>
                <w:sz w:val="16"/>
                <w:szCs w:val="16"/>
              </w:rPr>
              <w:noBreakHyphen/>
            </w:r>
            <w:r w:rsidRPr="001C1E88">
              <w:rPr>
                <w:rFonts w:ascii="Arial" w:hAnsi="Arial" w:cs="Arial"/>
                <w:sz w:val="16"/>
                <w:szCs w:val="16"/>
              </w:rPr>
              <w:t>23</w:t>
            </w:r>
            <w:r w:rsidRPr="001C1E88">
              <w:rPr>
                <w:rFonts w:ascii="Arial" w:hAnsi="Arial" w:cs="Arial"/>
                <w:sz w:val="16"/>
                <w:szCs w:val="16"/>
              </w:rPr>
              <w:br/>
              <w:t>Budget</w:t>
            </w:r>
            <w:r w:rsidRPr="001C1E88">
              <w:rPr>
                <w:rFonts w:ascii="Arial" w:hAnsi="Arial" w:cs="Arial"/>
                <w:sz w:val="16"/>
                <w:szCs w:val="16"/>
              </w:rPr>
              <w:br/>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BA83FFD" w14:textId="218809D9"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2023</w:t>
            </w:r>
            <w:r w:rsidR="00B33758">
              <w:rPr>
                <w:rFonts w:ascii="Arial" w:hAnsi="Arial" w:cs="Arial"/>
                <w:sz w:val="16"/>
                <w:szCs w:val="16"/>
              </w:rPr>
              <w:noBreakHyphen/>
            </w:r>
            <w:r w:rsidRPr="001C1E88">
              <w:rPr>
                <w:rFonts w:ascii="Arial" w:hAnsi="Arial" w:cs="Arial"/>
                <w:sz w:val="16"/>
                <w:szCs w:val="16"/>
              </w:rPr>
              <w:t>24 Forward estimate</w:t>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0ABC29F" w14:textId="2AA04D7E"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2024</w:t>
            </w:r>
            <w:r w:rsidR="00B33758">
              <w:rPr>
                <w:rFonts w:ascii="Arial" w:hAnsi="Arial" w:cs="Arial"/>
                <w:sz w:val="16"/>
                <w:szCs w:val="16"/>
              </w:rPr>
              <w:noBreakHyphen/>
            </w:r>
            <w:r w:rsidRPr="001C1E88">
              <w:rPr>
                <w:rFonts w:ascii="Arial" w:hAnsi="Arial" w:cs="Arial"/>
                <w:sz w:val="16"/>
                <w:szCs w:val="16"/>
              </w:rPr>
              <w:t>25 Forward estimate</w:t>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8563550" w14:textId="6DC9CC39"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2025</w:t>
            </w:r>
            <w:r w:rsidR="00B33758">
              <w:rPr>
                <w:rFonts w:ascii="Arial" w:hAnsi="Arial" w:cs="Arial"/>
                <w:sz w:val="16"/>
                <w:szCs w:val="16"/>
              </w:rPr>
              <w:noBreakHyphen/>
            </w:r>
            <w:r w:rsidRPr="001C1E88">
              <w:rPr>
                <w:rFonts w:ascii="Arial" w:hAnsi="Arial" w:cs="Arial"/>
                <w:sz w:val="16"/>
                <w:szCs w:val="16"/>
              </w:rPr>
              <w:t>26</w:t>
            </w:r>
            <w:r w:rsidRPr="001C1E88">
              <w:rPr>
                <w:rFonts w:ascii="Arial" w:hAnsi="Arial" w:cs="Arial"/>
                <w:sz w:val="16"/>
                <w:szCs w:val="16"/>
              </w:rPr>
              <w:br/>
              <w:t>Forward estimate</w:t>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r>
      <w:tr w:rsidR="001C1E88" w:rsidRPr="001C1E88" w14:paraId="692E81C2" w14:textId="77777777" w:rsidTr="001C1E88">
        <w:trPr>
          <w:trHeight w:hRule="exact" w:val="225"/>
        </w:trPr>
        <w:tc>
          <w:tcPr>
            <w:tcW w:w="2105" w:type="pct"/>
            <w:tcBorders>
              <w:top w:val="nil"/>
              <w:left w:val="nil"/>
              <w:bottom w:val="nil"/>
              <w:right w:val="nil"/>
            </w:tcBorders>
            <w:shd w:val="clear" w:color="auto" w:fill="auto"/>
            <w:noWrap/>
            <w:vAlign w:val="center"/>
            <w:hideMark/>
          </w:tcPr>
          <w:p w14:paraId="0EF208C8"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7647A6B6"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5D38DF4" w14:textId="77777777" w:rsidR="001C1E88" w:rsidRPr="001C1E88" w:rsidRDefault="001C1E88" w:rsidP="001C1E88">
            <w:pPr>
              <w:spacing w:after="0" w:line="240" w:lineRule="auto"/>
              <w:jc w:val="left"/>
              <w:rPr>
                <w:rFonts w:ascii="Arial" w:hAnsi="Arial" w:cs="Arial"/>
                <w:color w:val="000000"/>
                <w:sz w:val="16"/>
                <w:szCs w:val="16"/>
              </w:rPr>
            </w:pPr>
            <w:r w:rsidRPr="001C1E8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0FF98A9B" w14:textId="77777777" w:rsidR="001C1E88" w:rsidRPr="001C1E88" w:rsidRDefault="001C1E88" w:rsidP="001C1E8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347224A"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AFB63C0" w14:textId="77777777" w:rsidR="001C1E88" w:rsidRPr="001C1E88" w:rsidRDefault="001C1E88" w:rsidP="001C1E88">
            <w:pPr>
              <w:spacing w:after="0" w:line="240" w:lineRule="auto"/>
              <w:jc w:val="left"/>
              <w:rPr>
                <w:rFonts w:ascii="Times New Roman" w:hAnsi="Times New Roman"/>
              </w:rPr>
            </w:pPr>
          </w:p>
        </w:tc>
      </w:tr>
      <w:tr w:rsidR="001C1E88" w:rsidRPr="001C1E88" w14:paraId="52B5582B" w14:textId="77777777" w:rsidTr="001C1E88">
        <w:trPr>
          <w:trHeight w:hRule="exact" w:val="225"/>
        </w:trPr>
        <w:tc>
          <w:tcPr>
            <w:tcW w:w="2105" w:type="pct"/>
            <w:tcBorders>
              <w:top w:val="nil"/>
              <w:left w:val="nil"/>
              <w:bottom w:val="nil"/>
              <w:right w:val="nil"/>
            </w:tcBorders>
            <w:shd w:val="clear" w:color="auto" w:fill="auto"/>
            <w:noWrap/>
            <w:vAlign w:val="center"/>
            <w:hideMark/>
          </w:tcPr>
          <w:p w14:paraId="3834D47B"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5DC846D4"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67520C2E" w14:textId="77777777" w:rsidR="001C1E88" w:rsidRPr="001C1E88" w:rsidRDefault="001C1E88" w:rsidP="001C1E88">
            <w:pPr>
              <w:spacing w:after="0" w:line="240" w:lineRule="auto"/>
              <w:jc w:val="left"/>
              <w:rPr>
                <w:rFonts w:ascii="Arial" w:hAnsi="Arial" w:cs="Arial"/>
                <w:color w:val="000000"/>
                <w:sz w:val="16"/>
                <w:szCs w:val="16"/>
              </w:rPr>
            </w:pPr>
            <w:r w:rsidRPr="001C1E8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1AA2065" w14:textId="77777777" w:rsidR="001C1E88" w:rsidRPr="001C1E88" w:rsidRDefault="001C1E88" w:rsidP="001C1E8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6A99AD0"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3A4C20E" w14:textId="77777777" w:rsidR="001C1E88" w:rsidRPr="001C1E88" w:rsidRDefault="001C1E88" w:rsidP="001C1E88">
            <w:pPr>
              <w:spacing w:after="0" w:line="240" w:lineRule="auto"/>
              <w:jc w:val="left"/>
              <w:rPr>
                <w:rFonts w:ascii="Times New Roman" w:hAnsi="Times New Roman"/>
              </w:rPr>
            </w:pPr>
          </w:p>
        </w:tc>
      </w:tr>
      <w:tr w:rsidR="001C1E88" w:rsidRPr="001C1E88" w14:paraId="566B9C72" w14:textId="77777777" w:rsidTr="001C1E88">
        <w:trPr>
          <w:trHeight w:hRule="exact" w:val="225"/>
        </w:trPr>
        <w:tc>
          <w:tcPr>
            <w:tcW w:w="2105" w:type="pct"/>
            <w:tcBorders>
              <w:top w:val="nil"/>
              <w:left w:val="nil"/>
              <w:bottom w:val="nil"/>
              <w:right w:val="nil"/>
            </w:tcBorders>
            <w:shd w:val="clear" w:color="auto" w:fill="auto"/>
            <w:noWrap/>
            <w:vAlign w:val="center"/>
            <w:hideMark/>
          </w:tcPr>
          <w:p w14:paraId="12045599" w14:textId="77777777" w:rsidR="001C1E88" w:rsidRPr="001C1E88" w:rsidRDefault="001C1E88" w:rsidP="001C1E88">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center"/>
            <w:hideMark/>
          </w:tcPr>
          <w:p w14:paraId="4B54783E"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332,461 </w:t>
            </w:r>
          </w:p>
        </w:tc>
        <w:tc>
          <w:tcPr>
            <w:tcW w:w="579" w:type="pct"/>
            <w:tcBorders>
              <w:top w:val="nil"/>
              <w:left w:val="nil"/>
              <w:bottom w:val="nil"/>
              <w:right w:val="nil"/>
            </w:tcBorders>
            <w:shd w:val="clear" w:color="000000" w:fill="E6E6E6"/>
            <w:noWrap/>
            <w:vAlign w:val="center"/>
            <w:hideMark/>
          </w:tcPr>
          <w:p w14:paraId="0295BC11"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313,963 </w:t>
            </w:r>
          </w:p>
        </w:tc>
        <w:tc>
          <w:tcPr>
            <w:tcW w:w="579" w:type="pct"/>
            <w:tcBorders>
              <w:top w:val="nil"/>
              <w:left w:val="nil"/>
              <w:bottom w:val="nil"/>
              <w:right w:val="nil"/>
            </w:tcBorders>
            <w:shd w:val="clear" w:color="auto" w:fill="auto"/>
            <w:noWrap/>
            <w:vAlign w:val="center"/>
            <w:hideMark/>
          </w:tcPr>
          <w:p w14:paraId="455C8DF9"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260,623 </w:t>
            </w:r>
          </w:p>
        </w:tc>
        <w:tc>
          <w:tcPr>
            <w:tcW w:w="579" w:type="pct"/>
            <w:tcBorders>
              <w:top w:val="nil"/>
              <w:left w:val="nil"/>
              <w:bottom w:val="nil"/>
              <w:right w:val="nil"/>
            </w:tcBorders>
            <w:shd w:val="clear" w:color="auto" w:fill="auto"/>
            <w:noWrap/>
            <w:vAlign w:val="center"/>
            <w:hideMark/>
          </w:tcPr>
          <w:p w14:paraId="0ABF7356"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241,484 </w:t>
            </w:r>
          </w:p>
        </w:tc>
        <w:tc>
          <w:tcPr>
            <w:tcW w:w="579" w:type="pct"/>
            <w:tcBorders>
              <w:top w:val="nil"/>
              <w:left w:val="nil"/>
              <w:bottom w:val="nil"/>
              <w:right w:val="nil"/>
            </w:tcBorders>
            <w:shd w:val="clear" w:color="auto" w:fill="auto"/>
            <w:noWrap/>
            <w:vAlign w:val="center"/>
            <w:hideMark/>
          </w:tcPr>
          <w:p w14:paraId="6DB8679B"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234,957 </w:t>
            </w:r>
          </w:p>
        </w:tc>
      </w:tr>
      <w:tr w:rsidR="001C1E88" w:rsidRPr="001C1E88" w14:paraId="4AE77549" w14:textId="77777777" w:rsidTr="001C1E88">
        <w:trPr>
          <w:trHeight w:hRule="exact" w:val="450"/>
        </w:trPr>
        <w:tc>
          <w:tcPr>
            <w:tcW w:w="2105" w:type="pct"/>
            <w:tcBorders>
              <w:top w:val="nil"/>
              <w:left w:val="nil"/>
              <w:bottom w:val="nil"/>
              <w:right w:val="nil"/>
            </w:tcBorders>
            <w:shd w:val="clear" w:color="auto" w:fill="auto"/>
            <w:vAlign w:val="center"/>
            <w:hideMark/>
          </w:tcPr>
          <w:p w14:paraId="795D940F" w14:textId="77777777" w:rsidR="001C1E88" w:rsidRPr="001C1E88" w:rsidRDefault="001C1E88" w:rsidP="001C1E88">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Sale of goods and rendering of</w:t>
            </w:r>
            <w:r w:rsidRPr="001C1E88">
              <w:rPr>
                <w:rFonts w:ascii="Arial" w:hAnsi="Arial" w:cs="Arial"/>
                <w:color w:val="000000"/>
                <w:sz w:val="16"/>
                <w:szCs w:val="16"/>
              </w:rPr>
              <w:br/>
              <w:t xml:space="preserve">  services</w:t>
            </w:r>
          </w:p>
        </w:tc>
        <w:tc>
          <w:tcPr>
            <w:tcW w:w="579" w:type="pct"/>
            <w:tcBorders>
              <w:top w:val="nil"/>
              <w:left w:val="nil"/>
              <w:bottom w:val="nil"/>
              <w:right w:val="nil"/>
            </w:tcBorders>
            <w:shd w:val="clear" w:color="auto" w:fill="auto"/>
            <w:noWrap/>
            <w:vAlign w:val="center"/>
            <w:hideMark/>
          </w:tcPr>
          <w:p w14:paraId="1605EAB4"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10,251 </w:t>
            </w:r>
          </w:p>
        </w:tc>
        <w:tc>
          <w:tcPr>
            <w:tcW w:w="579" w:type="pct"/>
            <w:tcBorders>
              <w:top w:val="nil"/>
              <w:left w:val="nil"/>
              <w:bottom w:val="nil"/>
              <w:right w:val="nil"/>
            </w:tcBorders>
            <w:shd w:val="clear" w:color="000000" w:fill="E6E6E6"/>
            <w:noWrap/>
            <w:vAlign w:val="center"/>
            <w:hideMark/>
          </w:tcPr>
          <w:p w14:paraId="7C09BA8D"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10,251 </w:t>
            </w:r>
          </w:p>
        </w:tc>
        <w:tc>
          <w:tcPr>
            <w:tcW w:w="579" w:type="pct"/>
            <w:tcBorders>
              <w:top w:val="nil"/>
              <w:left w:val="nil"/>
              <w:bottom w:val="nil"/>
              <w:right w:val="nil"/>
            </w:tcBorders>
            <w:shd w:val="clear" w:color="auto" w:fill="auto"/>
            <w:noWrap/>
            <w:vAlign w:val="center"/>
            <w:hideMark/>
          </w:tcPr>
          <w:p w14:paraId="1C46B826"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10,251 </w:t>
            </w:r>
          </w:p>
        </w:tc>
        <w:tc>
          <w:tcPr>
            <w:tcW w:w="579" w:type="pct"/>
            <w:tcBorders>
              <w:top w:val="nil"/>
              <w:left w:val="nil"/>
              <w:bottom w:val="nil"/>
              <w:right w:val="nil"/>
            </w:tcBorders>
            <w:shd w:val="clear" w:color="auto" w:fill="auto"/>
            <w:noWrap/>
            <w:vAlign w:val="center"/>
            <w:hideMark/>
          </w:tcPr>
          <w:p w14:paraId="60134645"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10,251 </w:t>
            </w:r>
          </w:p>
        </w:tc>
        <w:tc>
          <w:tcPr>
            <w:tcW w:w="579" w:type="pct"/>
            <w:tcBorders>
              <w:top w:val="nil"/>
              <w:left w:val="nil"/>
              <w:bottom w:val="nil"/>
              <w:right w:val="nil"/>
            </w:tcBorders>
            <w:shd w:val="clear" w:color="auto" w:fill="auto"/>
            <w:noWrap/>
            <w:vAlign w:val="center"/>
            <w:hideMark/>
          </w:tcPr>
          <w:p w14:paraId="5E7BB54F"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10,251 </w:t>
            </w:r>
          </w:p>
        </w:tc>
      </w:tr>
      <w:tr w:rsidR="001C1E88" w:rsidRPr="001C1E88" w14:paraId="799E7A49" w14:textId="77777777" w:rsidTr="001C1E88">
        <w:trPr>
          <w:trHeight w:hRule="exact" w:val="225"/>
        </w:trPr>
        <w:tc>
          <w:tcPr>
            <w:tcW w:w="2105" w:type="pct"/>
            <w:tcBorders>
              <w:top w:val="nil"/>
              <w:left w:val="nil"/>
              <w:bottom w:val="nil"/>
              <w:right w:val="nil"/>
            </w:tcBorders>
            <w:shd w:val="clear" w:color="auto" w:fill="auto"/>
            <w:noWrap/>
            <w:vAlign w:val="center"/>
            <w:hideMark/>
          </w:tcPr>
          <w:p w14:paraId="2C8B4657" w14:textId="77777777" w:rsidR="001C1E88" w:rsidRPr="001C1E88" w:rsidRDefault="001C1E88" w:rsidP="001C1E88">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 xml:space="preserve">Other </w:t>
            </w:r>
          </w:p>
        </w:tc>
        <w:tc>
          <w:tcPr>
            <w:tcW w:w="579" w:type="pct"/>
            <w:tcBorders>
              <w:top w:val="nil"/>
              <w:left w:val="nil"/>
              <w:bottom w:val="nil"/>
              <w:right w:val="nil"/>
            </w:tcBorders>
            <w:shd w:val="clear" w:color="auto" w:fill="auto"/>
            <w:noWrap/>
            <w:vAlign w:val="center"/>
            <w:hideMark/>
          </w:tcPr>
          <w:p w14:paraId="761642C1"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772 </w:t>
            </w:r>
          </w:p>
        </w:tc>
        <w:tc>
          <w:tcPr>
            <w:tcW w:w="579" w:type="pct"/>
            <w:tcBorders>
              <w:top w:val="nil"/>
              <w:left w:val="nil"/>
              <w:bottom w:val="nil"/>
              <w:right w:val="nil"/>
            </w:tcBorders>
            <w:shd w:val="clear" w:color="000000" w:fill="E6E6E6"/>
            <w:noWrap/>
            <w:vAlign w:val="center"/>
            <w:hideMark/>
          </w:tcPr>
          <w:p w14:paraId="4F0BED6F"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772 </w:t>
            </w:r>
          </w:p>
        </w:tc>
        <w:tc>
          <w:tcPr>
            <w:tcW w:w="579" w:type="pct"/>
            <w:tcBorders>
              <w:top w:val="nil"/>
              <w:left w:val="nil"/>
              <w:bottom w:val="nil"/>
              <w:right w:val="nil"/>
            </w:tcBorders>
            <w:shd w:val="clear" w:color="auto" w:fill="auto"/>
            <w:noWrap/>
            <w:vAlign w:val="center"/>
            <w:hideMark/>
          </w:tcPr>
          <w:p w14:paraId="17A096F7"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772 </w:t>
            </w:r>
          </w:p>
        </w:tc>
        <w:tc>
          <w:tcPr>
            <w:tcW w:w="579" w:type="pct"/>
            <w:tcBorders>
              <w:top w:val="nil"/>
              <w:left w:val="nil"/>
              <w:bottom w:val="nil"/>
              <w:right w:val="nil"/>
            </w:tcBorders>
            <w:shd w:val="clear" w:color="auto" w:fill="auto"/>
            <w:noWrap/>
            <w:vAlign w:val="center"/>
            <w:hideMark/>
          </w:tcPr>
          <w:p w14:paraId="06CC3AD4"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772 </w:t>
            </w:r>
          </w:p>
        </w:tc>
        <w:tc>
          <w:tcPr>
            <w:tcW w:w="579" w:type="pct"/>
            <w:tcBorders>
              <w:top w:val="nil"/>
              <w:left w:val="nil"/>
              <w:bottom w:val="nil"/>
              <w:right w:val="nil"/>
            </w:tcBorders>
            <w:shd w:val="clear" w:color="auto" w:fill="auto"/>
            <w:noWrap/>
            <w:vAlign w:val="center"/>
            <w:hideMark/>
          </w:tcPr>
          <w:p w14:paraId="63F99A39"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772 </w:t>
            </w:r>
          </w:p>
        </w:tc>
      </w:tr>
      <w:tr w:rsidR="001C1E88" w:rsidRPr="001C1E88" w14:paraId="4BE00F2B" w14:textId="77777777" w:rsidTr="001C1E88">
        <w:trPr>
          <w:trHeight w:hRule="exact" w:val="210"/>
        </w:trPr>
        <w:tc>
          <w:tcPr>
            <w:tcW w:w="2105" w:type="pct"/>
            <w:tcBorders>
              <w:top w:val="nil"/>
              <w:left w:val="nil"/>
              <w:bottom w:val="nil"/>
              <w:right w:val="nil"/>
            </w:tcBorders>
            <w:shd w:val="clear" w:color="auto" w:fill="auto"/>
            <w:noWrap/>
            <w:vAlign w:val="center"/>
            <w:hideMark/>
          </w:tcPr>
          <w:p w14:paraId="4FC62CD8" w14:textId="77777777"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00B32AB9"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343,484 </w:t>
            </w:r>
          </w:p>
        </w:tc>
        <w:tc>
          <w:tcPr>
            <w:tcW w:w="579" w:type="pct"/>
            <w:tcBorders>
              <w:top w:val="single" w:sz="4" w:space="0" w:color="000000"/>
              <w:left w:val="nil"/>
              <w:bottom w:val="single" w:sz="4" w:space="0" w:color="000000"/>
              <w:right w:val="nil"/>
            </w:tcBorders>
            <w:shd w:val="clear" w:color="000000" w:fill="E6E6E6"/>
            <w:noWrap/>
            <w:vAlign w:val="center"/>
            <w:hideMark/>
          </w:tcPr>
          <w:p w14:paraId="747A9CEC"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324,986 </w:t>
            </w:r>
          </w:p>
        </w:tc>
        <w:tc>
          <w:tcPr>
            <w:tcW w:w="579" w:type="pct"/>
            <w:tcBorders>
              <w:top w:val="single" w:sz="4" w:space="0" w:color="000000"/>
              <w:left w:val="nil"/>
              <w:bottom w:val="single" w:sz="4" w:space="0" w:color="000000"/>
              <w:right w:val="nil"/>
            </w:tcBorders>
            <w:shd w:val="clear" w:color="auto" w:fill="auto"/>
            <w:noWrap/>
            <w:vAlign w:val="center"/>
            <w:hideMark/>
          </w:tcPr>
          <w:p w14:paraId="1EE2FFE6"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271,646 </w:t>
            </w:r>
          </w:p>
        </w:tc>
        <w:tc>
          <w:tcPr>
            <w:tcW w:w="579" w:type="pct"/>
            <w:tcBorders>
              <w:top w:val="single" w:sz="4" w:space="0" w:color="000000"/>
              <w:left w:val="nil"/>
              <w:bottom w:val="single" w:sz="4" w:space="0" w:color="000000"/>
              <w:right w:val="nil"/>
            </w:tcBorders>
            <w:shd w:val="clear" w:color="auto" w:fill="auto"/>
            <w:noWrap/>
            <w:vAlign w:val="center"/>
            <w:hideMark/>
          </w:tcPr>
          <w:p w14:paraId="057FEACF"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252,507 </w:t>
            </w:r>
          </w:p>
        </w:tc>
        <w:tc>
          <w:tcPr>
            <w:tcW w:w="579" w:type="pct"/>
            <w:tcBorders>
              <w:top w:val="single" w:sz="4" w:space="0" w:color="000000"/>
              <w:left w:val="nil"/>
              <w:bottom w:val="single" w:sz="4" w:space="0" w:color="000000"/>
              <w:right w:val="nil"/>
            </w:tcBorders>
            <w:shd w:val="clear" w:color="auto" w:fill="auto"/>
            <w:noWrap/>
            <w:vAlign w:val="center"/>
            <w:hideMark/>
          </w:tcPr>
          <w:p w14:paraId="175FA8EB"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245,980 </w:t>
            </w:r>
          </w:p>
        </w:tc>
      </w:tr>
      <w:tr w:rsidR="001C1E88" w:rsidRPr="001C1E88" w14:paraId="2A18F69B" w14:textId="77777777" w:rsidTr="001C1E88">
        <w:trPr>
          <w:trHeight w:hRule="exact" w:val="225"/>
        </w:trPr>
        <w:tc>
          <w:tcPr>
            <w:tcW w:w="2105" w:type="pct"/>
            <w:tcBorders>
              <w:top w:val="nil"/>
              <w:left w:val="nil"/>
              <w:bottom w:val="nil"/>
              <w:right w:val="nil"/>
            </w:tcBorders>
            <w:shd w:val="clear" w:color="auto" w:fill="auto"/>
            <w:noWrap/>
            <w:vAlign w:val="center"/>
            <w:hideMark/>
          </w:tcPr>
          <w:p w14:paraId="6DB2CF9E"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7FD3C8EB"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ACFEE8E" w14:textId="77777777" w:rsidR="001C1E88" w:rsidRPr="001C1E88" w:rsidRDefault="001C1E88" w:rsidP="001C1E88">
            <w:pPr>
              <w:spacing w:after="0" w:line="240" w:lineRule="auto"/>
              <w:jc w:val="left"/>
              <w:rPr>
                <w:rFonts w:ascii="Arial" w:hAnsi="Arial" w:cs="Arial"/>
                <w:color w:val="000000"/>
                <w:sz w:val="16"/>
                <w:szCs w:val="16"/>
              </w:rPr>
            </w:pPr>
            <w:r w:rsidRPr="001C1E8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15FFC249" w14:textId="77777777" w:rsidR="001C1E88" w:rsidRPr="001C1E88" w:rsidRDefault="001C1E88" w:rsidP="001C1E8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FCD3860"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EF863C9" w14:textId="77777777" w:rsidR="001C1E88" w:rsidRPr="001C1E88" w:rsidRDefault="001C1E88" w:rsidP="001C1E88">
            <w:pPr>
              <w:spacing w:after="0" w:line="240" w:lineRule="auto"/>
              <w:jc w:val="left"/>
              <w:rPr>
                <w:rFonts w:ascii="Times New Roman" w:hAnsi="Times New Roman"/>
              </w:rPr>
            </w:pPr>
          </w:p>
        </w:tc>
      </w:tr>
      <w:tr w:rsidR="001C1E88" w:rsidRPr="001C1E88" w14:paraId="0D83899C" w14:textId="77777777" w:rsidTr="001C1E88">
        <w:trPr>
          <w:trHeight w:hRule="exact" w:val="225"/>
        </w:trPr>
        <w:tc>
          <w:tcPr>
            <w:tcW w:w="2105" w:type="pct"/>
            <w:tcBorders>
              <w:top w:val="nil"/>
              <w:left w:val="nil"/>
              <w:bottom w:val="nil"/>
              <w:right w:val="nil"/>
            </w:tcBorders>
            <w:shd w:val="clear" w:color="auto" w:fill="auto"/>
            <w:noWrap/>
            <w:vAlign w:val="center"/>
            <w:hideMark/>
          </w:tcPr>
          <w:p w14:paraId="1AB950F5" w14:textId="77777777" w:rsidR="001C1E88" w:rsidRPr="001C1E88" w:rsidRDefault="001C1E88" w:rsidP="001C1E88">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center"/>
            <w:hideMark/>
          </w:tcPr>
          <w:p w14:paraId="526386C4"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215,131 </w:t>
            </w:r>
          </w:p>
        </w:tc>
        <w:tc>
          <w:tcPr>
            <w:tcW w:w="579" w:type="pct"/>
            <w:tcBorders>
              <w:top w:val="nil"/>
              <w:left w:val="nil"/>
              <w:bottom w:val="nil"/>
              <w:right w:val="nil"/>
            </w:tcBorders>
            <w:shd w:val="clear" w:color="000000" w:fill="E6E6E6"/>
            <w:noWrap/>
            <w:vAlign w:val="center"/>
            <w:hideMark/>
          </w:tcPr>
          <w:p w14:paraId="4F35FD25"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208,113 </w:t>
            </w:r>
          </w:p>
        </w:tc>
        <w:tc>
          <w:tcPr>
            <w:tcW w:w="579" w:type="pct"/>
            <w:tcBorders>
              <w:top w:val="nil"/>
              <w:left w:val="nil"/>
              <w:bottom w:val="nil"/>
              <w:right w:val="nil"/>
            </w:tcBorders>
            <w:shd w:val="clear" w:color="auto" w:fill="auto"/>
            <w:noWrap/>
            <w:vAlign w:val="center"/>
            <w:hideMark/>
          </w:tcPr>
          <w:p w14:paraId="653D5C84"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177,844 </w:t>
            </w:r>
          </w:p>
        </w:tc>
        <w:tc>
          <w:tcPr>
            <w:tcW w:w="579" w:type="pct"/>
            <w:tcBorders>
              <w:top w:val="nil"/>
              <w:left w:val="nil"/>
              <w:bottom w:val="nil"/>
              <w:right w:val="nil"/>
            </w:tcBorders>
            <w:shd w:val="clear" w:color="auto" w:fill="auto"/>
            <w:noWrap/>
            <w:vAlign w:val="center"/>
            <w:hideMark/>
          </w:tcPr>
          <w:p w14:paraId="7E131941"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174,286 </w:t>
            </w:r>
          </w:p>
        </w:tc>
        <w:tc>
          <w:tcPr>
            <w:tcW w:w="579" w:type="pct"/>
            <w:tcBorders>
              <w:top w:val="nil"/>
              <w:left w:val="nil"/>
              <w:bottom w:val="nil"/>
              <w:right w:val="nil"/>
            </w:tcBorders>
            <w:shd w:val="clear" w:color="auto" w:fill="auto"/>
            <w:noWrap/>
            <w:vAlign w:val="center"/>
            <w:hideMark/>
          </w:tcPr>
          <w:p w14:paraId="3DBCC2A2"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168,562 </w:t>
            </w:r>
          </w:p>
        </w:tc>
      </w:tr>
      <w:tr w:rsidR="001C1E88" w:rsidRPr="001C1E88" w14:paraId="6A083A32" w14:textId="77777777" w:rsidTr="001C1E88">
        <w:trPr>
          <w:trHeight w:hRule="exact" w:val="225"/>
        </w:trPr>
        <w:tc>
          <w:tcPr>
            <w:tcW w:w="2105" w:type="pct"/>
            <w:tcBorders>
              <w:top w:val="nil"/>
              <w:left w:val="nil"/>
              <w:bottom w:val="nil"/>
              <w:right w:val="nil"/>
            </w:tcBorders>
            <w:shd w:val="clear" w:color="auto" w:fill="auto"/>
            <w:noWrap/>
            <w:vAlign w:val="center"/>
            <w:hideMark/>
          </w:tcPr>
          <w:p w14:paraId="0A42E776" w14:textId="77777777" w:rsidR="001C1E88" w:rsidRPr="001C1E88" w:rsidRDefault="001C1E88" w:rsidP="001C1E88">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center"/>
            <w:hideMark/>
          </w:tcPr>
          <w:p w14:paraId="43B65FC6"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118,878 </w:t>
            </w:r>
          </w:p>
        </w:tc>
        <w:tc>
          <w:tcPr>
            <w:tcW w:w="579" w:type="pct"/>
            <w:tcBorders>
              <w:top w:val="nil"/>
              <w:left w:val="nil"/>
              <w:bottom w:val="nil"/>
              <w:right w:val="nil"/>
            </w:tcBorders>
            <w:shd w:val="clear" w:color="000000" w:fill="E6E6E6"/>
            <w:noWrap/>
            <w:vAlign w:val="center"/>
            <w:hideMark/>
          </w:tcPr>
          <w:p w14:paraId="46851AD4"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108,451 </w:t>
            </w:r>
          </w:p>
        </w:tc>
        <w:tc>
          <w:tcPr>
            <w:tcW w:w="579" w:type="pct"/>
            <w:tcBorders>
              <w:top w:val="nil"/>
              <w:left w:val="nil"/>
              <w:bottom w:val="nil"/>
              <w:right w:val="nil"/>
            </w:tcBorders>
            <w:shd w:val="clear" w:color="auto" w:fill="auto"/>
            <w:noWrap/>
            <w:vAlign w:val="center"/>
            <w:hideMark/>
          </w:tcPr>
          <w:p w14:paraId="7B630011"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85,600 </w:t>
            </w:r>
          </w:p>
        </w:tc>
        <w:tc>
          <w:tcPr>
            <w:tcW w:w="579" w:type="pct"/>
            <w:tcBorders>
              <w:top w:val="nil"/>
              <w:left w:val="nil"/>
              <w:bottom w:val="nil"/>
              <w:right w:val="nil"/>
            </w:tcBorders>
            <w:shd w:val="clear" w:color="auto" w:fill="auto"/>
            <w:noWrap/>
            <w:vAlign w:val="center"/>
            <w:hideMark/>
          </w:tcPr>
          <w:p w14:paraId="20069034"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70,458 </w:t>
            </w:r>
          </w:p>
        </w:tc>
        <w:tc>
          <w:tcPr>
            <w:tcW w:w="579" w:type="pct"/>
            <w:tcBorders>
              <w:top w:val="nil"/>
              <w:left w:val="nil"/>
              <w:bottom w:val="nil"/>
              <w:right w:val="nil"/>
            </w:tcBorders>
            <w:shd w:val="clear" w:color="auto" w:fill="auto"/>
            <w:noWrap/>
            <w:vAlign w:val="center"/>
            <w:hideMark/>
          </w:tcPr>
          <w:p w14:paraId="36D6D077"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69,655 </w:t>
            </w:r>
          </w:p>
        </w:tc>
      </w:tr>
      <w:tr w:rsidR="001C1E88" w:rsidRPr="001C1E88" w14:paraId="741BDFC0" w14:textId="77777777" w:rsidTr="001C1E88">
        <w:trPr>
          <w:trHeight w:hRule="exact" w:val="225"/>
        </w:trPr>
        <w:tc>
          <w:tcPr>
            <w:tcW w:w="2105" w:type="pct"/>
            <w:tcBorders>
              <w:top w:val="nil"/>
              <w:left w:val="nil"/>
              <w:bottom w:val="nil"/>
              <w:right w:val="nil"/>
            </w:tcBorders>
            <w:shd w:val="clear" w:color="auto" w:fill="auto"/>
            <w:vAlign w:val="center"/>
            <w:hideMark/>
          </w:tcPr>
          <w:p w14:paraId="58AD8F9E" w14:textId="77777777" w:rsidR="001C1E88" w:rsidRPr="001C1E88" w:rsidRDefault="001C1E88" w:rsidP="001C1E88">
            <w:pPr>
              <w:spacing w:after="0" w:line="240" w:lineRule="auto"/>
              <w:ind w:left="170"/>
              <w:jc w:val="left"/>
              <w:rPr>
                <w:rFonts w:ascii="Arial" w:hAnsi="Arial" w:cs="Arial"/>
                <w:sz w:val="16"/>
                <w:szCs w:val="16"/>
              </w:rPr>
            </w:pPr>
            <w:r w:rsidRPr="001C1E88">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center"/>
            <w:hideMark/>
          </w:tcPr>
          <w:p w14:paraId="156B791E"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1,851 </w:t>
            </w:r>
          </w:p>
        </w:tc>
        <w:tc>
          <w:tcPr>
            <w:tcW w:w="579" w:type="pct"/>
            <w:tcBorders>
              <w:top w:val="nil"/>
              <w:left w:val="nil"/>
              <w:bottom w:val="nil"/>
              <w:right w:val="nil"/>
            </w:tcBorders>
            <w:shd w:val="clear" w:color="000000" w:fill="E6E6E6"/>
            <w:noWrap/>
            <w:vAlign w:val="center"/>
            <w:hideMark/>
          </w:tcPr>
          <w:p w14:paraId="571229C5"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1,732 </w:t>
            </w:r>
          </w:p>
        </w:tc>
        <w:tc>
          <w:tcPr>
            <w:tcW w:w="579" w:type="pct"/>
            <w:tcBorders>
              <w:top w:val="nil"/>
              <w:left w:val="nil"/>
              <w:bottom w:val="nil"/>
              <w:right w:val="nil"/>
            </w:tcBorders>
            <w:shd w:val="clear" w:color="auto" w:fill="auto"/>
            <w:noWrap/>
            <w:vAlign w:val="center"/>
            <w:hideMark/>
          </w:tcPr>
          <w:p w14:paraId="6ED95B68"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1,727 </w:t>
            </w:r>
          </w:p>
        </w:tc>
        <w:tc>
          <w:tcPr>
            <w:tcW w:w="579" w:type="pct"/>
            <w:tcBorders>
              <w:top w:val="nil"/>
              <w:left w:val="nil"/>
              <w:bottom w:val="nil"/>
              <w:right w:val="nil"/>
            </w:tcBorders>
            <w:shd w:val="clear" w:color="auto" w:fill="auto"/>
            <w:noWrap/>
            <w:vAlign w:val="center"/>
            <w:hideMark/>
          </w:tcPr>
          <w:p w14:paraId="239493C1"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1,724 </w:t>
            </w:r>
          </w:p>
        </w:tc>
        <w:tc>
          <w:tcPr>
            <w:tcW w:w="579" w:type="pct"/>
            <w:tcBorders>
              <w:top w:val="nil"/>
              <w:left w:val="nil"/>
              <w:bottom w:val="nil"/>
              <w:right w:val="nil"/>
            </w:tcBorders>
            <w:shd w:val="clear" w:color="auto" w:fill="auto"/>
            <w:noWrap/>
            <w:vAlign w:val="center"/>
            <w:hideMark/>
          </w:tcPr>
          <w:p w14:paraId="15F5070B"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1,724 </w:t>
            </w:r>
          </w:p>
        </w:tc>
      </w:tr>
      <w:tr w:rsidR="001C1E88" w:rsidRPr="001C1E88" w14:paraId="6F66CE73" w14:textId="77777777" w:rsidTr="001C1E88">
        <w:trPr>
          <w:trHeight w:hRule="exact" w:val="225"/>
        </w:trPr>
        <w:tc>
          <w:tcPr>
            <w:tcW w:w="2105" w:type="pct"/>
            <w:tcBorders>
              <w:top w:val="nil"/>
              <w:left w:val="nil"/>
              <w:bottom w:val="nil"/>
              <w:right w:val="nil"/>
            </w:tcBorders>
            <w:shd w:val="clear" w:color="auto" w:fill="auto"/>
            <w:noWrap/>
            <w:vAlign w:val="center"/>
            <w:hideMark/>
          </w:tcPr>
          <w:p w14:paraId="6C63AFC6" w14:textId="77777777" w:rsidR="001C1E88" w:rsidRPr="001C1E88" w:rsidRDefault="001C1E88" w:rsidP="001C1E88">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Other</w:t>
            </w:r>
          </w:p>
        </w:tc>
        <w:tc>
          <w:tcPr>
            <w:tcW w:w="579" w:type="pct"/>
            <w:tcBorders>
              <w:top w:val="nil"/>
              <w:left w:val="nil"/>
              <w:bottom w:val="nil"/>
              <w:right w:val="nil"/>
            </w:tcBorders>
            <w:shd w:val="clear" w:color="auto" w:fill="auto"/>
            <w:noWrap/>
            <w:vAlign w:val="center"/>
            <w:hideMark/>
          </w:tcPr>
          <w:p w14:paraId="475B35D7"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958 </w:t>
            </w:r>
          </w:p>
        </w:tc>
        <w:tc>
          <w:tcPr>
            <w:tcW w:w="579" w:type="pct"/>
            <w:tcBorders>
              <w:top w:val="nil"/>
              <w:left w:val="nil"/>
              <w:bottom w:val="nil"/>
              <w:right w:val="nil"/>
            </w:tcBorders>
            <w:shd w:val="clear" w:color="000000" w:fill="E6E6E6"/>
            <w:noWrap/>
            <w:vAlign w:val="center"/>
            <w:hideMark/>
          </w:tcPr>
          <w:p w14:paraId="112D5D23"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958 </w:t>
            </w:r>
          </w:p>
        </w:tc>
        <w:tc>
          <w:tcPr>
            <w:tcW w:w="579" w:type="pct"/>
            <w:tcBorders>
              <w:top w:val="nil"/>
              <w:left w:val="nil"/>
              <w:bottom w:val="nil"/>
              <w:right w:val="nil"/>
            </w:tcBorders>
            <w:shd w:val="clear" w:color="auto" w:fill="auto"/>
            <w:noWrap/>
            <w:vAlign w:val="center"/>
            <w:hideMark/>
          </w:tcPr>
          <w:p w14:paraId="145ACE00"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958 </w:t>
            </w:r>
          </w:p>
        </w:tc>
        <w:tc>
          <w:tcPr>
            <w:tcW w:w="579" w:type="pct"/>
            <w:tcBorders>
              <w:top w:val="nil"/>
              <w:left w:val="nil"/>
              <w:bottom w:val="nil"/>
              <w:right w:val="nil"/>
            </w:tcBorders>
            <w:shd w:val="clear" w:color="auto" w:fill="auto"/>
            <w:noWrap/>
            <w:vAlign w:val="center"/>
            <w:hideMark/>
          </w:tcPr>
          <w:p w14:paraId="7A9D9802"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958 </w:t>
            </w:r>
          </w:p>
        </w:tc>
        <w:tc>
          <w:tcPr>
            <w:tcW w:w="579" w:type="pct"/>
            <w:tcBorders>
              <w:top w:val="nil"/>
              <w:left w:val="nil"/>
              <w:bottom w:val="nil"/>
              <w:right w:val="nil"/>
            </w:tcBorders>
            <w:shd w:val="clear" w:color="auto" w:fill="auto"/>
            <w:noWrap/>
            <w:vAlign w:val="center"/>
            <w:hideMark/>
          </w:tcPr>
          <w:p w14:paraId="0ADD85E8"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958 </w:t>
            </w:r>
          </w:p>
        </w:tc>
      </w:tr>
      <w:tr w:rsidR="001C1E88" w:rsidRPr="001C1E88" w14:paraId="0864BF70" w14:textId="77777777" w:rsidTr="001C1E88">
        <w:trPr>
          <w:trHeight w:hRule="exact" w:val="210"/>
        </w:trPr>
        <w:tc>
          <w:tcPr>
            <w:tcW w:w="2105" w:type="pct"/>
            <w:tcBorders>
              <w:top w:val="nil"/>
              <w:left w:val="nil"/>
              <w:bottom w:val="nil"/>
              <w:right w:val="nil"/>
            </w:tcBorders>
            <w:shd w:val="clear" w:color="auto" w:fill="auto"/>
            <w:noWrap/>
            <w:vAlign w:val="center"/>
            <w:hideMark/>
          </w:tcPr>
          <w:p w14:paraId="560B0252" w14:textId="77777777"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center"/>
            <w:hideMark/>
          </w:tcPr>
          <w:p w14:paraId="7F64D708"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336,818 </w:t>
            </w:r>
          </w:p>
        </w:tc>
        <w:tc>
          <w:tcPr>
            <w:tcW w:w="579" w:type="pct"/>
            <w:tcBorders>
              <w:top w:val="single" w:sz="4" w:space="0" w:color="000000"/>
              <w:left w:val="nil"/>
              <w:bottom w:val="nil"/>
              <w:right w:val="nil"/>
            </w:tcBorders>
            <w:shd w:val="clear" w:color="000000" w:fill="E6E6E6"/>
            <w:noWrap/>
            <w:vAlign w:val="center"/>
            <w:hideMark/>
          </w:tcPr>
          <w:p w14:paraId="5A9A468A"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319,254 </w:t>
            </w:r>
          </w:p>
        </w:tc>
        <w:tc>
          <w:tcPr>
            <w:tcW w:w="579" w:type="pct"/>
            <w:tcBorders>
              <w:top w:val="single" w:sz="4" w:space="0" w:color="000000"/>
              <w:left w:val="nil"/>
              <w:bottom w:val="nil"/>
              <w:right w:val="nil"/>
            </w:tcBorders>
            <w:shd w:val="clear" w:color="auto" w:fill="auto"/>
            <w:noWrap/>
            <w:vAlign w:val="center"/>
            <w:hideMark/>
          </w:tcPr>
          <w:p w14:paraId="6B91070E"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266,129 </w:t>
            </w:r>
          </w:p>
        </w:tc>
        <w:tc>
          <w:tcPr>
            <w:tcW w:w="579" w:type="pct"/>
            <w:tcBorders>
              <w:top w:val="single" w:sz="4" w:space="0" w:color="000000"/>
              <w:left w:val="nil"/>
              <w:bottom w:val="nil"/>
              <w:right w:val="nil"/>
            </w:tcBorders>
            <w:shd w:val="clear" w:color="auto" w:fill="auto"/>
            <w:noWrap/>
            <w:vAlign w:val="center"/>
            <w:hideMark/>
          </w:tcPr>
          <w:p w14:paraId="35C885A5"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247,426 </w:t>
            </w:r>
          </w:p>
        </w:tc>
        <w:tc>
          <w:tcPr>
            <w:tcW w:w="579" w:type="pct"/>
            <w:tcBorders>
              <w:top w:val="single" w:sz="4" w:space="0" w:color="000000"/>
              <w:left w:val="nil"/>
              <w:bottom w:val="nil"/>
              <w:right w:val="nil"/>
            </w:tcBorders>
            <w:shd w:val="clear" w:color="auto" w:fill="auto"/>
            <w:noWrap/>
            <w:vAlign w:val="center"/>
            <w:hideMark/>
          </w:tcPr>
          <w:p w14:paraId="68BBD199"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240,899 </w:t>
            </w:r>
          </w:p>
        </w:tc>
      </w:tr>
      <w:tr w:rsidR="001C1E88" w:rsidRPr="001C1E88" w14:paraId="39E099F6" w14:textId="77777777" w:rsidTr="001C1E88">
        <w:trPr>
          <w:trHeight w:hRule="exact" w:val="450"/>
        </w:trPr>
        <w:tc>
          <w:tcPr>
            <w:tcW w:w="2105" w:type="pct"/>
            <w:tcBorders>
              <w:top w:val="nil"/>
              <w:left w:val="nil"/>
              <w:bottom w:val="nil"/>
              <w:right w:val="nil"/>
            </w:tcBorders>
            <w:shd w:val="clear" w:color="auto" w:fill="auto"/>
            <w:vAlign w:val="center"/>
            <w:hideMark/>
          </w:tcPr>
          <w:p w14:paraId="1C10F1E6"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Net cash from/(used by)</w:t>
            </w:r>
            <w:r w:rsidRPr="001C1E88">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511CBF99"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6,666 </w:t>
            </w:r>
          </w:p>
        </w:tc>
        <w:tc>
          <w:tcPr>
            <w:tcW w:w="579" w:type="pct"/>
            <w:tcBorders>
              <w:top w:val="single" w:sz="4" w:space="0" w:color="auto"/>
              <w:left w:val="nil"/>
              <w:bottom w:val="single" w:sz="4" w:space="0" w:color="auto"/>
              <w:right w:val="nil"/>
            </w:tcBorders>
            <w:shd w:val="clear" w:color="000000" w:fill="E6E6E6"/>
            <w:noWrap/>
            <w:vAlign w:val="bottom"/>
            <w:hideMark/>
          </w:tcPr>
          <w:p w14:paraId="56EF2F84"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5,732 </w:t>
            </w:r>
          </w:p>
        </w:tc>
        <w:tc>
          <w:tcPr>
            <w:tcW w:w="579" w:type="pct"/>
            <w:tcBorders>
              <w:top w:val="single" w:sz="4" w:space="0" w:color="auto"/>
              <w:left w:val="nil"/>
              <w:bottom w:val="single" w:sz="4" w:space="0" w:color="auto"/>
              <w:right w:val="nil"/>
            </w:tcBorders>
            <w:shd w:val="clear" w:color="auto" w:fill="auto"/>
            <w:noWrap/>
            <w:vAlign w:val="bottom"/>
            <w:hideMark/>
          </w:tcPr>
          <w:p w14:paraId="30FEBA1D"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5,517 </w:t>
            </w:r>
          </w:p>
        </w:tc>
        <w:tc>
          <w:tcPr>
            <w:tcW w:w="579" w:type="pct"/>
            <w:tcBorders>
              <w:top w:val="single" w:sz="4" w:space="0" w:color="auto"/>
              <w:left w:val="nil"/>
              <w:bottom w:val="single" w:sz="4" w:space="0" w:color="auto"/>
              <w:right w:val="nil"/>
            </w:tcBorders>
            <w:shd w:val="clear" w:color="auto" w:fill="auto"/>
            <w:noWrap/>
            <w:vAlign w:val="bottom"/>
            <w:hideMark/>
          </w:tcPr>
          <w:p w14:paraId="3736B83D"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5,081 </w:t>
            </w:r>
          </w:p>
        </w:tc>
        <w:tc>
          <w:tcPr>
            <w:tcW w:w="579" w:type="pct"/>
            <w:tcBorders>
              <w:top w:val="single" w:sz="4" w:space="0" w:color="auto"/>
              <w:left w:val="nil"/>
              <w:bottom w:val="single" w:sz="4" w:space="0" w:color="auto"/>
              <w:right w:val="nil"/>
            </w:tcBorders>
            <w:shd w:val="clear" w:color="auto" w:fill="auto"/>
            <w:noWrap/>
            <w:vAlign w:val="bottom"/>
            <w:hideMark/>
          </w:tcPr>
          <w:p w14:paraId="4946BD7F"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5,081 </w:t>
            </w:r>
          </w:p>
        </w:tc>
      </w:tr>
      <w:tr w:rsidR="001C1E88" w:rsidRPr="001C1E88" w14:paraId="161EA9E8" w14:textId="77777777" w:rsidTr="001C1E88">
        <w:trPr>
          <w:trHeight w:hRule="exact" w:val="225"/>
        </w:trPr>
        <w:tc>
          <w:tcPr>
            <w:tcW w:w="2105" w:type="pct"/>
            <w:tcBorders>
              <w:top w:val="nil"/>
              <w:left w:val="nil"/>
              <w:bottom w:val="nil"/>
              <w:right w:val="nil"/>
            </w:tcBorders>
            <w:shd w:val="clear" w:color="auto" w:fill="auto"/>
            <w:noWrap/>
            <w:vAlign w:val="center"/>
            <w:hideMark/>
          </w:tcPr>
          <w:p w14:paraId="787F50A0"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center"/>
            <w:hideMark/>
          </w:tcPr>
          <w:p w14:paraId="4744F74C"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BCFEB1D" w14:textId="77777777" w:rsidR="001C1E88" w:rsidRPr="001C1E88" w:rsidRDefault="001C1E88" w:rsidP="001C1E88">
            <w:pPr>
              <w:spacing w:after="0" w:line="240" w:lineRule="auto"/>
              <w:jc w:val="left"/>
              <w:rPr>
                <w:rFonts w:ascii="Arial" w:hAnsi="Arial" w:cs="Arial"/>
                <w:color w:val="000000"/>
                <w:sz w:val="16"/>
                <w:szCs w:val="16"/>
              </w:rPr>
            </w:pPr>
            <w:r w:rsidRPr="001C1E8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27B7C78" w14:textId="77777777" w:rsidR="001C1E88" w:rsidRPr="001C1E88" w:rsidRDefault="001C1E88" w:rsidP="001C1E8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662E5A1"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5B1029C1" w14:textId="77777777" w:rsidR="001C1E88" w:rsidRPr="001C1E88" w:rsidRDefault="001C1E88" w:rsidP="001C1E88">
            <w:pPr>
              <w:spacing w:after="0" w:line="240" w:lineRule="auto"/>
              <w:jc w:val="left"/>
              <w:rPr>
                <w:rFonts w:ascii="Times New Roman" w:hAnsi="Times New Roman"/>
              </w:rPr>
            </w:pPr>
          </w:p>
        </w:tc>
      </w:tr>
      <w:tr w:rsidR="001C1E88" w:rsidRPr="001C1E88" w14:paraId="145A0A80" w14:textId="77777777" w:rsidTr="001C1E88">
        <w:trPr>
          <w:trHeight w:hRule="exact" w:val="225"/>
        </w:trPr>
        <w:tc>
          <w:tcPr>
            <w:tcW w:w="2105" w:type="pct"/>
            <w:tcBorders>
              <w:top w:val="nil"/>
              <w:left w:val="nil"/>
              <w:bottom w:val="nil"/>
              <w:right w:val="nil"/>
            </w:tcBorders>
            <w:shd w:val="clear" w:color="auto" w:fill="auto"/>
            <w:noWrap/>
            <w:vAlign w:val="center"/>
            <w:hideMark/>
          </w:tcPr>
          <w:p w14:paraId="3168E620"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20511FFC"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6344CF86" w14:textId="77777777" w:rsidR="001C1E88" w:rsidRPr="001C1E88" w:rsidRDefault="001C1E88" w:rsidP="001C1E88">
            <w:pPr>
              <w:spacing w:after="0" w:line="240" w:lineRule="auto"/>
              <w:jc w:val="left"/>
              <w:rPr>
                <w:rFonts w:ascii="Arial" w:hAnsi="Arial" w:cs="Arial"/>
                <w:color w:val="000000"/>
                <w:sz w:val="16"/>
                <w:szCs w:val="16"/>
              </w:rPr>
            </w:pPr>
            <w:r w:rsidRPr="001C1E8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1DA44BC" w14:textId="77777777" w:rsidR="001C1E88" w:rsidRPr="001C1E88" w:rsidRDefault="001C1E88" w:rsidP="001C1E8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D8BC035"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55977E9" w14:textId="77777777" w:rsidR="001C1E88" w:rsidRPr="001C1E88" w:rsidRDefault="001C1E88" w:rsidP="001C1E88">
            <w:pPr>
              <w:spacing w:after="0" w:line="240" w:lineRule="auto"/>
              <w:jc w:val="left"/>
              <w:rPr>
                <w:rFonts w:ascii="Times New Roman" w:hAnsi="Times New Roman"/>
              </w:rPr>
            </w:pPr>
          </w:p>
        </w:tc>
      </w:tr>
      <w:tr w:rsidR="001C1E88" w:rsidRPr="001C1E88" w14:paraId="7F29B246" w14:textId="77777777" w:rsidTr="004A5972">
        <w:trPr>
          <w:trHeight w:hRule="exact" w:val="360"/>
        </w:trPr>
        <w:tc>
          <w:tcPr>
            <w:tcW w:w="2105" w:type="pct"/>
            <w:tcBorders>
              <w:top w:val="nil"/>
              <w:left w:val="nil"/>
              <w:bottom w:val="nil"/>
              <w:right w:val="nil"/>
            </w:tcBorders>
            <w:shd w:val="clear" w:color="auto" w:fill="auto"/>
            <w:vAlign w:val="bottom"/>
            <w:hideMark/>
          </w:tcPr>
          <w:p w14:paraId="5D5196B5" w14:textId="77777777" w:rsidR="001C1E88" w:rsidRPr="001C1E88" w:rsidRDefault="001C1E88" w:rsidP="004A5972">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Purchase of property, plant and</w:t>
            </w:r>
            <w:r w:rsidRPr="001C1E88">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1E0F7F2A"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10,564 </w:t>
            </w:r>
          </w:p>
        </w:tc>
        <w:tc>
          <w:tcPr>
            <w:tcW w:w="579" w:type="pct"/>
            <w:tcBorders>
              <w:top w:val="nil"/>
              <w:left w:val="nil"/>
              <w:bottom w:val="nil"/>
              <w:right w:val="nil"/>
            </w:tcBorders>
            <w:shd w:val="clear" w:color="000000" w:fill="E6E6E6"/>
            <w:noWrap/>
            <w:vAlign w:val="bottom"/>
            <w:hideMark/>
          </w:tcPr>
          <w:p w14:paraId="538E26D4"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9,141 </w:t>
            </w:r>
          </w:p>
        </w:tc>
        <w:tc>
          <w:tcPr>
            <w:tcW w:w="579" w:type="pct"/>
            <w:tcBorders>
              <w:top w:val="nil"/>
              <w:left w:val="nil"/>
              <w:bottom w:val="nil"/>
              <w:right w:val="nil"/>
            </w:tcBorders>
            <w:shd w:val="clear" w:color="auto" w:fill="auto"/>
            <w:noWrap/>
            <w:vAlign w:val="bottom"/>
            <w:hideMark/>
          </w:tcPr>
          <w:p w14:paraId="0F74722E"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8,258 </w:t>
            </w:r>
          </w:p>
        </w:tc>
        <w:tc>
          <w:tcPr>
            <w:tcW w:w="579" w:type="pct"/>
            <w:tcBorders>
              <w:top w:val="nil"/>
              <w:left w:val="nil"/>
              <w:bottom w:val="nil"/>
              <w:right w:val="nil"/>
            </w:tcBorders>
            <w:shd w:val="clear" w:color="auto" w:fill="auto"/>
            <w:noWrap/>
            <w:vAlign w:val="bottom"/>
            <w:hideMark/>
          </w:tcPr>
          <w:p w14:paraId="014CF60D"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8,578 </w:t>
            </w:r>
          </w:p>
        </w:tc>
        <w:tc>
          <w:tcPr>
            <w:tcW w:w="579" w:type="pct"/>
            <w:tcBorders>
              <w:top w:val="nil"/>
              <w:left w:val="nil"/>
              <w:bottom w:val="nil"/>
              <w:right w:val="nil"/>
            </w:tcBorders>
            <w:shd w:val="clear" w:color="auto" w:fill="auto"/>
            <w:noWrap/>
            <w:vAlign w:val="bottom"/>
            <w:hideMark/>
          </w:tcPr>
          <w:p w14:paraId="00881210" w14:textId="77777777" w:rsidR="001C1E88" w:rsidRPr="001C1E88" w:rsidRDefault="001C1E88" w:rsidP="004A5972">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8,481 </w:t>
            </w:r>
          </w:p>
        </w:tc>
      </w:tr>
      <w:tr w:rsidR="001C1E88" w:rsidRPr="001C1E88" w14:paraId="32899821" w14:textId="77777777" w:rsidTr="001C1E88">
        <w:trPr>
          <w:trHeight w:hRule="exact" w:val="210"/>
        </w:trPr>
        <w:tc>
          <w:tcPr>
            <w:tcW w:w="2105" w:type="pct"/>
            <w:tcBorders>
              <w:top w:val="nil"/>
              <w:left w:val="nil"/>
              <w:bottom w:val="nil"/>
              <w:right w:val="nil"/>
            </w:tcBorders>
            <w:shd w:val="clear" w:color="auto" w:fill="auto"/>
            <w:noWrap/>
            <w:vAlign w:val="center"/>
            <w:hideMark/>
          </w:tcPr>
          <w:p w14:paraId="7DA9112F" w14:textId="77777777"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center"/>
            <w:hideMark/>
          </w:tcPr>
          <w:p w14:paraId="5A05435D"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10,564 </w:t>
            </w:r>
          </w:p>
        </w:tc>
        <w:tc>
          <w:tcPr>
            <w:tcW w:w="579" w:type="pct"/>
            <w:tcBorders>
              <w:top w:val="single" w:sz="4" w:space="0" w:color="000000"/>
              <w:left w:val="nil"/>
              <w:bottom w:val="single" w:sz="4" w:space="0" w:color="000000"/>
              <w:right w:val="nil"/>
            </w:tcBorders>
            <w:shd w:val="clear" w:color="000000" w:fill="E6E6E6"/>
            <w:noWrap/>
            <w:vAlign w:val="center"/>
            <w:hideMark/>
          </w:tcPr>
          <w:p w14:paraId="16F63A67"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9,141 </w:t>
            </w:r>
          </w:p>
        </w:tc>
        <w:tc>
          <w:tcPr>
            <w:tcW w:w="579" w:type="pct"/>
            <w:tcBorders>
              <w:top w:val="single" w:sz="4" w:space="0" w:color="000000"/>
              <w:left w:val="nil"/>
              <w:bottom w:val="single" w:sz="4" w:space="0" w:color="000000"/>
              <w:right w:val="nil"/>
            </w:tcBorders>
            <w:shd w:val="clear" w:color="auto" w:fill="auto"/>
            <w:noWrap/>
            <w:vAlign w:val="center"/>
            <w:hideMark/>
          </w:tcPr>
          <w:p w14:paraId="7F2B3F4E"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8,258 </w:t>
            </w:r>
          </w:p>
        </w:tc>
        <w:tc>
          <w:tcPr>
            <w:tcW w:w="579" w:type="pct"/>
            <w:tcBorders>
              <w:top w:val="single" w:sz="4" w:space="0" w:color="000000"/>
              <w:left w:val="nil"/>
              <w:bottom w:val="single" w:sz="4" w:space="0" w:color="000000"/>
              <w:right w:val="nil"/>
            </w:tcBorders>
            <w:shd w:val="clear" w:color="auto" w:fill="auto"/>
            <w:noWrap/>
            <w:vAlign w:val="center"/>
            <w:hideMark/>
          </w:tcPr>
          <w:p w14:paraId="392894E3"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8,578 </w:t>
            </w:r>
          </w:p>
        </w:tc>
        <w:tc>
          <w:tcPr>
            <w:tcW w:w="579" w:type="pct"/>
            <w:tcBorders>
              <w:top w:val="single" w:sz="4" w:space="0" w:color="000000"/>
              <w:left w:val="nil"/>
              <w:bottom w:val="single" w:sz="4" w:space="0" w:color="000000"/>
              <w:right w:val="nil"/>
            </w:tcBorders>
            <w:shd w:val="clear" w:color="auto" w:fill="auto"/>
            <w:noWrap/>
            <w:vAlign w:val="center"/>
            <w:hideMark/>
          </w:tcPr>
          <w:p w14:paraId="64E4A48D"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8,481 </w:t>
            </w:r>
          </w:p>
        </w:tc>
      </w:tr>
      <w:tr w:rsidR="001C1E88" w:rsidRPr="001C1E88" w14:paraId="04C7956B" w14:textId="77777777" w:rsidTr="001C1E88">
        <w:trPr>
          <w:trHeight w:hRule="exact" w:val="450"/>
        </w:trPr>
        <w:tc>
          <w:tcPr>
            <w:tcW w:w="2105" w:type="pct"/>
            <w:tcBorders>
              <w:top w:val="nil"/>
              <w:left w:val="nil"/>
              <w:bottom w:val="nil"/>
              <w:right w:val="nil"/>
            </w:tcBorders>
            <w:shd w:val="clear" w:color="auto" w:fill="auto"/>
            <w:vAlign w:val="center"/>
            <w:hideMark/>
          </w:tcPr>
          <w:p w14:paraId="639DFAD6"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Net cash from/(used by)</w:t>
            </w:r>
            <w:r w:rsidRPr="001C1E88">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3EACBD35"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(10,564)</w:t>
            </w:r>
          </w:p>
        </w:tc>
        <w:tc>
          <w:tcPr>
            <w:tcW w:w="579" w:type="pct"/>
            <w:tcBorders>
              <w:top w:val="nil"/>
              <w:left w:val="nil"/>
              <w:bottom w:val="single" w:sz="4" w:space="0" w:color="auto"/>
              <w:right w:val="nil"/>
            </w:tcBorders>
            <w:shd w:val="clear" w:color="000000" w:fill="E6E6E6"/>
            <w:noWrap/>
            <w:vAlign w:val="bottom"/>
            <w:hideMark/>
          </w:tcPr>
          <w:p w14:paraId="03E36F74"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(9,141)</w:t>
            </w:r>
          </w:p>
        </w:tc>
        <w:tc>
          <w:tcPr>
            <w:tcW w:w="579" w:type="pct"/>
            <w:tcBorders>
              <w:top w:val="nil"/>
              <w:left w:val="nil"/>
              <w:bottom w:val="single" w:sz="4" w:space="0" w:color="auto"/>
              <w:right w:val="nil"/>
            </w:tcBorders>
            <w:shd w:val="clear" w:color="auto" w:fill="auto"/>
            <w:noWrap/>
            <w:vAlign w:val="bottom"/>
            <w:hideMark/>
          </w:tcPr>
          <w:p w14:paraId="47375669"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(8,258)</w:t>
            </w:r>
          </w:p>
        </w:tc>
        <w:tc>
          <w:tcPr>
            <w:tcW w:w="579" w:type="pct"/>
            <w:tcBorders>
              <w:top w:val="nil"/>
              <w:left w:val="nil"/>
              <w:bottom w:val="single" w:sz="4" w:space="0" w:color="auto"/>
              <w:right w:val="nil"/>
            </w:tcBorders>
            <w:shd w:val="clear" w:color="auto" w:fill="auto"/>
            <w:noWrap/>
            <w:vAlign w:val="bottom"/>
            <w:hideMark/>
          </w:tcPr>
          <w:p w14:paraId="30FAC67F"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(8,578)</w:t>
            </w:r>
          </w:p>
        </w:tc>
        <w:tc>
          <w:tcPr>
            <w:tcW w:w="579" w:type="pct"/>
            <w:tcBorders>
              <w:top w:val="nil"/>
              <w:left w:val="nil"/>
              <w:bottom w:val="single" w:sz="4" w:space="0" w:color="auto"/>
              <w:right w:val="nil"/>
            </w:tcBorders>
            <w:shd w:val="clear" w:color="auto" w:fill="auto"/>
            <w:noWrap/>
            <w:vAlign w:val="bottom"/>
            <w:hideMark/>
          </w:tcPr>
          <w:p w14:paraId="1F9DD380"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(8,481)</w:t>
            </w:r>
          </w:p>
        </w:tc>
      </w:tr>
      <w:tr w:rsidR="001C1E88" w:rsidRPr="001C1E88" w14:paraId="0EAAD8B9" w14:textId="77777777" w:rsidTr="001C1E88">
        <w:trPr>
          <w:trHeight w:hRule="exact" w:val="225"/>
        </w:trPr>
        <w:tc>
          <w:tcPr>
            <w:tcW w:w="2105" w:type="pct"/>
            <w:tcBorders>
              <w:top w:val="nil"/>
              <w:left w:val="nil"/>
              <w:bottom w:val="nil"/>
              <w:right w:val="nil"/>
            </w:tcBorders>
            <w:shd w:val="clear" w:color="auto" w:fill="auto"/>
            <w:noWrap/>
            <w:vAlign w:val="center"/>
            <w:hideMark/>
          </w:tcPr>
          <w:p w14:paraId="77BBDB05"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center"/>
            <w:hideMark/>
          </w:tcPr>
          <w:p w14:paraId="7CCE5502"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2A03A38" w14:textId="77777777" w:rsidR="001C1E88" w:rsidRPr="001C1E88" w:rsidRDefault="001C1E88" w:rsidP="001C1E88">
            <w:pPr>
              <w:spacing w:after="0" w:line="240" w:lineRule="auto"/>
              <w:jc w:val="left"/>
              <w:rPr>
                <w:rFonts w:ascii="Arial" w:hAnsi="Arial" w:cs="Arial"/>
                <w:color w:val="000000"/>
                <w:sz w:val="16"/>
                <w:szCs w:val="16"/>
              </w:rPr>
            </w:pPr>
            <w:r w:rsidRPr="001C1E8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7E64000" w14:textId="77777777" w:rsidR="001C1E88" w:rsidRPr="001C1E88" w:rsidRDefault="001C1E88" w:rsidP="001C1E8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73208AE"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583DC64" w14:textId="77777777" w:rsidR="001C1E88" w:rsidRPr="001C1E88" w:rsidRDefault="001C1E88" w:rsidP="001C1E88">
            <w:pPr>
              <w:spacing w:after="0" w:line="240" w:lineRule="auto"/>
              <w:jc w:val="left"/>
              <w:rPr>
                <w:rFonts w:ascii="Times New Roman" w:hAnsi="Times New Roman"/>
              </w:rPr>
            </w:pPr>
          </w:p>
        </w:tc>
      </w:tr>
      <w:tr w:rsidR="001C1E88" w:rsidRPr="001C1E88" w14:paraId="79CE91A8" w14:textId="77777777" w:rsidTr="001C1E88">
        <w:trPr>
          <w:trHeight w:hRule="exact" w:val="225"/>
        </w:trPr>
        <w:tc>
          <w:tcPr>
            <w:tcW w:w="2105" w:type="pct"/>
            <w:tcBorders>
              <w:top w:val="nil"/>
              <w:left w:val="nil"/>
              <w:bottom w:val="nil"/>
              <w:right w:val="nil"/>
            </w:tcBorders>
            <w:shd w:val="clear" w:color="auto" w:fill="auto"/>
            <w:noWrap/>
            <w:vAlign w:val="center"/>
            <w:hideMark/>
          </w:tcPr>
          <w:p w14:paraId="4B48F65E"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492040BA"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55FEB78" w14:textId="77777777" w:rsidR="001C1E88" w:rsidRPr="001C1E88" w:rsidRDefault="001C1E88" w:rsidP="001C1E88">
            <w:pPr>
              <w:spacing w:after="0" w:line="240" w:lineRule="auto"/>
              <w:jc w:val="left"/>
              <w:rPr>
                <w:rFonts w:ascii="Arial" w:hAnsi="Arial" w:cs="Arial"/>
                <w:color w:val="000000"/>
                <w:sz w:val="16"/>
                <w:szCs w:val="16"/>
              </w:rPr>
            </w:pPr>
            <w:r w:rsidRPr="001C1E8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BD95ADE" w14:textId="77777777" w:rsidR="001C1E88" w:rsidRPr="001C1E88" w:rsidRDefault="001C1E88" w:rsidP="001C1E8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C7FF5A7"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3FFDD03" w14:textId="77777777" w:rsidR="001C1E88" w:rsidRPr="001C1E88" w:rsidRDefault="001C1E88" w:rsidP="001C1E88">
            <w:pPr>
              <w:spacing w:after="0" w:line="240" w:lineRule="auto"/>
              <w:jc w:val="left"/>
              <w:rPr>
                <w:rFonts w:ascii="Times New Roman" w:hAnsi="Times New Roman"/>
              </w:rPr>
            </w:pPr>
          </w:p>
        </w:tc>
      </w:tr>
      <w:tr w:rsidR="001C1E88" w:rsidRPr="001C1E88" w14:paraId="3F0FAE38" w14:textId="77777777" w:rsidTr="001C1E88">
        <w:trPr>
          <w:trHeight w:hRule="exact" w:val="225"/>
        </w:trPr>
        <w:tc>
          <w:tcPr>
            <w:tcW w:w="2105" w:type="pct"/>
            <w:tcBorders>
              <w:top w:val="nil"/>
              <w:left w:val="nil"/>
              <w:bottom w:val="nil"/>
              <w:right w:val="nil"/>
            </w:tcBorders>
            <w:shd w:val="clear" w:color="auto" w:fill="auto"/>
            <w:noWrap/>
            <w:vAlign w:val="center"/>
            <w:hideMark/>
          </w:tcPr>
          <w:p w14:paraId="04B6C482" w14:textId="77777777" w:rsidR="001C1E88" w:rsidRPr="001C1E88" w:rsidRDefault="001C1E88" w:rsidP="001C1E88">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center"/>
            <w:hideMark/>
          </w:tcPr>
          <w:p w14:paraId="729D670C"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10,563 </w:t>
            </w:r>
          </w:p>
        </w:tc>
        <w:tc>
          <w:tcPr>
            <w:tcW w:w="579" w:type="pct"/>
            <w:tcBorders>
              <w:top w:val="nil"/>
              <w:left w:val="nil"/>
              <w:bottom w:val="nil"/>
              <w:right w:val="nil"/>
            </w:tcBorders>
            <w:shd w:val="clear" w:color="000000" w:fill="E6E6E6"/>
            <w:noWrap/>
            <w:vAlign w:val="center"/>
            <w:hideMark/>
          </w:tcPr>
          <w:p w14:paraId="1B871D90"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9,140 </w:t>
            </w:r>
          </w:p>
        </w:tc>
        <w:tc>
          <w:tcPr>
            <w:tcW w:w="579" w:type="pct"/>
            <w:tcBorders>
              <w:top w:val="nil"/>
              <w:left w:val="nil"/>
              <w:bottom w:val="nil"/>
              <w:right w:val="nil"/>
            </w:tcBorders>
            <w:shd w:val="clear" w:color="auto" w:fill="auto"/>
            <w:noWrap/>
            <w:vAlign w:val="center"/>
            <w:hideMark/>
          </w:tcPr>
          <w:p w14:paraId="2985EDDD"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8,257 </w:t>
            </w:r>
          </w:p>
        </w:tc>
        <w:tc>
          <w:tcPr>
            <w:tcW w:w="579" w:type="pct"/>
            <w:tcBorders>
              <w:top w:val="nil"/>
              <w:left w:val="nil"/>
              <w:bottom w:val="nil"/>
              <w:right w:val="nil"/>
            </w:tcBorders>
            <w:shd w:val="clear" w:color="auto" w:fill="auto"/>
            <w:noWrap/>
            <w:vAlign w:val="center"/>
            <w:hideMark/>
          </w:tcPr>
          <w:p w14:paraId="1202F4E1"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8,578 </w:t>
            </w:r>
          </w:p>
        </w:tc>
        <w:tc>
          <w:tcPr>
            <w:tcW w:w="579" w:type="pct"/>
            <w:tcBorders>
              <w:top w:val="nil"/>
              <w:left w:val="nil"/>
              <w:bottom w:val="nil"/>
              <w:right w:val="nil"/>
            </w:tcBorders>
            <w:shd w:val="clear" w:color="auto" w:fill="auto"/>
            <w:noWrap/>
            <w:vAlign w:val="center"/>
            <w:hideMark/>
          </w:tcPr>
          <w:p w14:paraId="16791B0E"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8,481 </w:t>
            </w:r>
          </w:p>
        </w:tc>
      </w:tr>
      <w:tr w:rsidR="001C1E88" w:rsidRPr="001C1E88" w14:paraId="5E2FF88B" w14:textId="77777777" w:rsidTr="001C1E88">
        <w:trPr>
          <w:trHeight w:hRule="exact" w:val="210"/>
        </w:trPr>
        <w:tc>
          <w:tcPr>
            <w:tcW w:w="2105" w:type="pct"/>
            <w:tcBorders>
              <w:top w:val="nil"/>
              <w:left w:val="nil"/>
              <w:bottom w:val="nil"/>
              <w:right w:val="nil"/>
            </w:tcBorders>
            <w:shd w:val="clear" w:color="auto" w:fill="auto"/>
            <w:noWrap/>
            <w:vAlign w:val="center"/>
            <w:hideMark/>
          </w:tcPr>
          <w:p w14:paraId="579B74C8" w14:textId="77777777"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01DBFFB7"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10,563 </w:t>
            </w:r>
          </w:p>
        </w:tc>
        <w:tc>
          <w:tcPr>
            <w:tcW w:w="579" w:type="pct"/>
            <w:tcBorders>
              <w:top w:val="single" w:sz="4" w:space="0" w:color="000000"/>
              <w:left w:val="nil"/>
              <w:bottom w:val="single" w:sz="4" w:space="0" w:color="000000"/>
              <w:right w:val="nil"/>
            </w:tcBorders>
            <w:shd w:val="clear" w:color="000000" w:fill="E6E6E6"/>
            <w:noWrap/>
            <w:vAlign w:val="center"/>
            <w:hideMark/>
          </w:tcPr>
          <w:p w14:paraId="6FEDC7E6"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9,140 </w:t>
            </w:r>
          </w:p>
        </w:tc>
        <w:tc>
          <w:tcPr>
            <w:tcW w:w="579" w:type="pct"/>
            <w:tcBorders>
              <w:top w:val="single" w:sz="4" w:space="0" w:color="000000"/>
              <w:left w:val="nil"/>
              <w:bottom w:val="single" w:sz="4" w:space="0" w:color="000000"/>
              <w:right w:val="nil"/>
            </w:tcBorders>
            <w:shd w:val="clear" w:color="auto" w:fill="auto"/>
            <w:noWrap/>
            <w:vAlign w:val="center"/>
            <w:hideMark/>
          </w:tcPr>
          <w:p w14:paraId="101ABA25"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8,257 </w:t>
            </w:r>
          </w:p>
        </w:tc>
        <w:tc>
          <w:tcPr>
            <w:tcW w:w="579" w:type="pct"/>
            <w:tcBorders>
              <w:top w:val="single" w:sz="4" w:space="0" w:color="000000"/>
              <w:left w:val="nil"/>
              <w:bottom w:val="single" w:sz="4" w:space="0" w:color="000000"/>
              <w:right w:val="nil"/>
            </w:tcBorders>
            <w:shd w:val="clear" w:color="auto" w:fill="auto"/>
            <w:noWrap/>
            <w:vAlign w:val="center"/>
            <w:hideMark/>
          </w:tcPr>
          <w:p w14:paraId="6C63E419"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8,578 </w:t>
            </w:r>
          </w:p>
        </w:tc>
        <w:tc>
          <w:tcPr>
            <w:tcW w:w="579" w:type="pct"/>
            <w:tcBorders>
              <w:top w:val="single" w:sz="4" w:space="0" w:color="000000"/>
              <w:left w:val="nil"/>
              <w:bottom w:val="single" w:sz="4" w:space="0" w:color="000000"/>
              <w:right w:val="nil"/>
            </w:tcBorders>
            <w:shd w:val="clear" w:color="auto" w:fill="auto"/>
            <w:noWrap/>
            <w:vAlign w:val="center"/>
            <w:hideMark/>
          </w:tcPr>
          <w:p w14:paraId="4F3277EF"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8,481 </w:t>
            </w:r>
          </w:p>
        </w:tc>
      </w:tr>
      <w:tr w:rsidR="001C1E88" w:rsidRPr="001C1E88" w14:paraId="54CC8A57" w14:textId="77777777" w:rsidTr="001C1E88">
        <w:trPr>
          <w:trHeight w:hRule="exact" w:val="225"/>
        </w:trPr>
        <w:tc>
          <w:tcPr>
            <w:tcW w:w="2105" w:type="pct"/>
            <w:tcBorders>
              <w:top w:val="nil"/>
              <w:left w:val="nil"/>
              <w:bottom w:val="nil"/>
              <w:right w:val="nil"/>
            </w:tcBorders>
            <w:shd w:val="clear" w:color="auto" w:fill="auto"/>
            <w:noWrap/>
            <w:vAlign w:val="center"/>
            <w:hideMark/>
          </w:tcPr>
          <w:p w14:paraId="715EDBD6"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5F249DCC" w14:textId="77777777" w:rsidR="001C1E88" w:rsidRPr="001C1E88" w:rsidRDefault="001C1E88" w:rsidP="001C1E88">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AC67B18" w14:textId="77777777" w:rsidR="001C1E88" w:rsidRPr="001C1E88" w:rsidRDefault="001C1E88" w:rsidP="001C1E88">
            <w:pPr>
              <w:spacing w:after="0" w:line="240" w:lineRule="auto"/>
              <w:jc w:val="left"/>
              <w:rPr>
                <w:rFonts w:ascii="Arial" w:hAnsi="Arial" w:cs="Arial"/>
                <w:color w:val="000000"/>
                <w:sz w:val="16"/>
                <w:szCs w:val="16"/>
              </w:rPr>
            </w:pPr>
            <w:r w:rsidRPr="001C1E88">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B6D1558" w14:textId="77777777" w:rsidR="001C1E88" w:rsidRPr="001C1E88" w:rsidRDefault="001C1E88" w:rsidP="001C1E88">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2D8B1B4"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E260CF9" w14:textId="77777777" w:rsidR="001C1E88" w:rsidRPr="001C1E88" w:rsidRDefault="001C1E88" w:rsidP="001C1E88">
            <w:pPr>
              <w:spacing w:after="0" w:line="240" w:lineRule="auto"/>
              <w:jc w:val="left"/>
              <w:rPr>
                <w:rFonts w:ascii="Times New Roman" w:hAnsi="Times New Roman"/>
              </w:rPr>
            </w:pPr>
          </w:p>
        </w:tc>
      </w:tr>
      <w:tr w:rsidR="001C1E88" w:rsidRPr="001C1E88" w14:paraId="13771F7E" w14:textId="77777777" w:rsidTr="001C1E88">
        <w:trPr>
          <w:trHeight w:hRule="exact" w:val="225"/>
        </w:trPr>
        <w:tc>
          <w:tcPr>
            <w:tcW w:w="2105" w:type="pct"/>
            <w:tcBorders>
              <w:top w:val="nil"/>
              <w:left w:val="nil"/>
              <w:bottom w:val="nil"/>
              <w:right w:val="nil"/>
            </w:tcBorders>
            <w:shd w:val="clear" w:color="auto" w:fill="auto"/>
            <w:noWrap/>
            <w:vAlign w:val="center"/>
            <w:hideMark/>
          </w:tcPr>
          <w:p w14:paraId="45E41C4C" w14:textId="77777777" w:rsidR="001C1E88" w:rsidRPr="001C1E88" w:rsidRDefault="001C1E88" w:rsidP="001C1E88">
            <w:pPr>
              <w:spacing w:after="0" w:line="240" w:lineRule="auto"/>
              <w:ind w:left="170"/>
              <w:jc w:val="left"/>
              <w:rPr>
                <w:rFonts w:ascii="Arial" w:hAnsi="Arial" w:cs="Arial"/>
                <w:sz w:val="16"/>
                <w:szCs w:val="16"/>
              </w:rPr>
            </w:pPr>
            <w:r w:rsidRPr="001C1E88">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center"/>
            <w:hideMark/>
          </w:tcPr>
          <w:p w14:paraId="5B1E70A4"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5,482 </w:t>
            </w:r>
          </w:p>
        </w:tc>
        <w:tc>
          <w:tcPr>
            <w:tcW w:w="579" w:type="pct"/>
            <w:tcBorders>
              <w:top w:val="nil"/>
              <w:left w:val="nil"/>
              <w:bottom w:val="nil"/>
              <w:right w:val="nil"/>
            </w:tcBorders>
            <w:shd w:val="clear" w:color="000000" w:fill="E6E6E6"/>
            <w:noWrap/>
            <w:vAlign w:val="center"/>
            <w:hideMark/>
          </w:tcPr>
          <w:p w14:paraId="39D42609"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5,498 </w:t>
            </w:r>
          </w:p>
        </w:tc>
        <w:tc>
          <w:tcPr>
            <w:tcW w:w="579" w:type="pct"/>
            <w:tcBorders>
              <w:top w:val="nil"/>
              <w:left w:val="nil"/>
              <w:bottom w:val="nil"/>
              <w:right w:val="nil"/>
            </w:tcBorders>
            <w:shd w:val="clear" w:color="auto" w:fill="auto"/>
            <w:noWrap/>
            <w:vAlign w:val="center"/>
            <w:hideMark/>
          </w:tcPr>
          <w:p w14:paraId="1AC3F4AC"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5,516 </w:t>
            </w:r>
          </w:p>
        </w:tc>
        <w:tc>
          <w:tcPr>
            <w:tcW w:w="579" w:type="pct"/>
            <w:tcBorders>
              <w:top w:val="nil"/>
              <w:left w:val="nil"/>
              <w:bottom w:val="nil"/>
              <w:right w:val="nil"/>
            </w:tcBorders>
            <w:shd w:val="clear" w:color="auto" w:fill="auto"/>
            <w:noWrap/>
            <w:vAlign w:val="center"/>
            <w:hideMark/>
          </w:tcPr>
          <w:p w14:paraId="6A8E364F"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5,081 </w:t>
            </w:r>
          </w:p>
        </w:tc>
        <w:tc>
          <w:tcPr>
            <w:tcW w:w="579" w:type="pct"/>
            <w:tcBorders>
              <w:top w:val="nil"/>
              <w:left w:val="nil"/>
              <w:bottom w:val="nil"/>
              <w:right w:val="nil"/>
            </w:tcBorders>
            <w:shd w:val="clear" w:color="auto" w:fill="auto"/>
            <w:noWrap/>
            <w:vAlign w:val="center"/>
            <w:hideMark/>
          </w:tcPr>
          <w:p w14:paraId="6CC66E01" w14:textId="77777777" w:rsidR="001C1E88" w:rsidRPr="001C1E88" w:rsidRDefault="001C1E88" w:rsidP="001C1E88">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5,081 </w:t>
            </w:r>
          </w:p>
        </w:tc>
      </w:tr>
      <w:tr w:rsidR="001C1E88" w:rsidRPr="001C1E88" w14:paraId="5065677D" w14:textId="77777777" w:rsidTr="001C1E88">
        <w:trPr>
          <w:trHeight w:hRule="exact" w:val="210"/>
        </w:trPr>
        <w:tc>
          <w:tcPr>
            <w:tcW w:w="2105" w:type="pct"/>
            <w:tcBorders>
              <w:top w:val="nil"/>
              <w:left w:val="nil"/>
              <w:bottom w:val="nil"/>
              <w:right w:val="nil"/>
            </w:tcBorders>
            <w:shd w:val="clear" w:color="auto" w:fill="auto"/>
            <w:noWrap/>
            <w:vAlign w:val="center"/>
            <w:hideMark/>
          </w:tcPr>
          <w:p w14:paraId="5BFFD374" w14:textId="77777777" w:rsidR="001C1E88" w:rsidRPr="001C1E88" w:rsidRDefault="001C1E88" w:rsidP="001C1E88">
            <w:pPr>
              <w:spacing w:after="0" w:line="240" w:lineRule="auto"/>
              <w:jc w:val="left"/>
              <w:rPr>
                <w:rFonts w:ascii="Arial" w:hAnsi="Arial" w:cs="Arial"/>
                <w:b/>
                <w:bCs/>
                <w:i/>
                <w:iCs/>
                <w:color w:val="000000"/>
                <w:sz w:val="16"/>
                <w:szCs w:val="16"/>
              </w:rPr>
            </w:pPr>
            <w:r w:rsidRPr="001C1E88">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center"/>
            <w:hideMark/>
          </w:tcPr>
          <w:p w14:paraId="005FE934"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5,482 </w:t>
            </w:r>
          </w:p>
        </w:tc>
        <w:tc>
          <w:tcPr>
            <w:tcW w:w="579" w:type="pct"/>
            <w:tcBorders>
              <w:top w:val="single" w:sz="4" w:space="0" w:color="000000"/>
              <w:left w:val="nil"/>
              <w:bottom w:val="single" w:sz="4" w:space="0" w:color="000000"/>
              <w:right w:val="nil"/>
            </w:tcBorders>
            <w:shd w:val="clear" w:color="000000" w:fill="E6E6E6"/>
            <w:noWrap/>
            <w:vAlign w:val="center"/>
            <w:hideMark/>
          </w:tcPr>
          <w:p w14:paraId="7A821E1E"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5,498 </w:t>
            </w:r>
          </w:p>
        </w:tc>
        <w:tc>
          <w:tcPr>
            <w:tcW w:w="579" w:type="pct"/>
            <w:tcBorders>
              <w:top w:val="single" w:sz="4" w:space="0" w:color="000000"/>
              <w:left w:val="nil"/>
              <w:bottom w:val="single" w:sz="4" w:space="0" w:color="000000"/>
              <w:right w:val="nil"/>
            </w:tcBorders>
            <w:shd w:val="clear" w:color="auto" w:fill="auto"/>
            <w:noWrap/>
            <w:vAlign w:val="center"/>
            <w:hideMark/>
          </w:tcPr>
          <w:p w14:paraId="6CCA67DF"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5,516 </w:t>
            </w:r>
          </w:p>
        </w:tc>
        <w:tc>
          <w:tcPr>
            <w:tcW w:w="579" w:type="pct"/>
            <w:tcBorders>
              <w:top w:val="single" w:sz="4" w:space="0" w:color="000000"/>
              <w:left w:val="nil"/>
              <w:bottom w:val="single" w:sz="4" w:space="0" w:color="000000"/>
              <w:right w:val="nil"/>
            </w:tcBorders>
            <w:shd w:val="clear" w:color="auto" w:fill="auto"/>
            <w:noWrap/>
            <w:vAlign w:val="center"/>
            <w:hideMark/>
          </w:tcPr>
          <w:p w14:paraId="2BFFD1B8"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5,081 </w:t>
            </w:r>
          </w:p>
        </w:tc>
        <w:tc>
          <w:tcPr>
            <w:tcW w:w="579" w:type="pct"/>
            <w:tcBorders>
              <w:top w:val="single" w:sz="4" w:space="0" w:color="000000"/>
              <w:left w:val="nil"/>
              <w:bottom w:val="single" w:sz="4" w:space="0" w:color="000000"/>
              <w:right w:val="nil"/>
            </w:tcBorders>
            <w:shd w:val="clear" w:color="auto" w:fill="auto"/>
            <w:noWrap/>
            <w:vAlign w:val="center"/>
            <w:hideMark/>
          </w:tcPr>
          <w:p w14:paraId="101D557D" w14:textId="77777777" w:rsidR="001C1E88" w:rsidRPr="001C1E88" w:rsidRDefault="001C1E88" w:rsidP="001C1E88">
            <w:pPr>
              <w:spacing w:after="0" w:line="240" w:lineRule="auto"/>
              <w:jc w:val="right"/>
              <w:rPr>
                <w:rFonts w:ascii="Arial" w:hAnsi="Arial" w:cs="Arial"/>
                <w:b/>
                <w:bCs/>
                <w:i/>
                <w:iCs/>
                <w:color w:val="000000"/>
                <w:sz w:val="16"/>
                <w:szCs w:val="16"/>
              </w:rPr>
            </w:pPr>
            <w:r w:rsidRPr="001C1E88">
              <w:rPr>
                <w:rFonts w:ascii="Arial" w:hAnsi="Arial" w:cs="Arial"/>
                <w:b/>
                <w:bCs/>
                <w:i/>
                <w:iCs/>
                <w:color w:val="000000"/>
                <w:sz w:val="16"/>
                <w:szCs w:val="16"/>
              </w:rPr>
              <w:t xml:space="preserve">5,081 </w:t>
            </w:r>
          </w:p>
        </w:tc>
      </w:tr>
      <w:tr w:rsidR="001C1E88" w:rsidRPr="001C1E88" w14:paraId="61FCDF01" w14:textId="77777777" w:rsidTr="001C1E88">
        <w:trPr>
          <w:trHeight w:hRule="exact" w:val="450"/>
        </w:trPr>
        <w:tc>
          <w:tcPr>
            <w:tcW w:w="2105" w:type="pct"/>
            <w:tcBorders>
              <w:top w:val="nil"/>
              <w:left w:val="nil"/>
              <w:bottom w:val="nil"/>
              <w:right w:val="nil"/>
            </w:tcBorders>
            <w:shd w:val="clear" w:color="auto" w:fill="auto"/>
            <w:vAlign w:val="center"/>
            <w:hideMark/>
          </w:tcPr>
          <w:p w14:paraId="5D400066"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Net cash from/(used by)</w:t>
            </w:r>
            <w:r w:rsidRPr="001C1E88">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7B5C28A9"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5,081 </w:t>
            </w:r>
          </w:p>
        </w:tc>
        <w:tc>
          <w:tcPr>
            <w:tcW w:w="579" w:type="pct"/>
            <w:tcBorders>
              <w:top w:val="nil"/>
              <w:left w:val="nil"/>
              <w:bottom w:val="single" w:sz="4" w:space="0" w:color="000000"/>
              <w:right w:val="nil"/>
            </w:tcBorders>
            <w:shd w:val="clear" w:color="000000" w:fill="E6E6E6"/>
            <w:noWrap/>
            <w:vAlign w:val="bottom"/>
            <w:hideMark/>
          </w:tcPr>
          <w:p w14:paraId="1990D2E8"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3,642 </w:t>
            </w:r>
          </w:p>
        </w:tc>
        <w:tc>
          <w:tcPr>
            <w:tcW w:w="579" w:type="pct"/>
            <w:tcBorders>
              <w:top w:val="nil"/>
              <w:left w:val="nil"/>
              <w:bottom w:val="single" w:sz="4" w:space="0" w:color="000000"/>
              <w:right w:val="nil"/>
            </w:tcBorders>
            <w:shd w:val="clear" w:color="auto" w:fill="auto"/>
            <w:noWrap/>
            <w:vAlign w:val="bottom"/>
            <w:hideMark/>
          </w:tcPr>
          <w:p w14:paraId="63F7DD54"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2,741 </w:t>
            </w:r>
          </w:p>
        </w:tc>
        <w:tc>
          <w:tcPr>
            <w:tcW w:w="579" w:type="pct"/>
            <w:tcBorders>
              <w:top w:val="nil"/>
              <w:left w:val="nil"/>
              <w:bottom w:val="single" w:sz="4" w:space="0" w:color="000000"/>
              <w:right w:val="nil"/>
            </w:tcBorders>
            <w:shd w:val="clear" w:color="auto" w:fill="auto"/>
            <w:noWrap/>
            <w:vAlign w:val="bottom"/>
            <w:hideMark/>
          </w:tcPr>
          <w:p w14:paraId="36F2D18F"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3,497 </w:t>
            </w:r>
          </w:p>
        </w:tc>
        <w:tc>
          <w:tcPr>
            <w:tcW w:w="579" w:type="pct"/>
            <w:tcBorders>
              <w:top w:val="nil"/>
              <w:left w:val="nil"/>
              <w:bottom w:val="single" w:sz="4" w:space="0" w:color="000000"/>
              <w:right w:val="nil"/>
            </w:tcBorders>
            <w:shd w:val="clear" w:color="auto" w:fill="auto"/>
            <w:noWrap/>
            <w:vAlign w:val="bottom"/>
            <w:hideMark/>
          </w:tcPr>
          <w:p w14:paraId="1C5E1FF6"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3,400 </w:t>
            </w:r>
          </w:p>
        </w:tc>
      </w:tr>
      <w:tr w:rsidR="001C1E88" w:rsidRPr="001C1E88" w14:paraId="1D2CDBAB" w14:textId="77777777" w:rsidTr="001C1E88">
        <w:trPr>
          <w:trHeight w:hRule="exact" w:val="450"/>
        </w:trPr>
        <w:tc>
          <w:tcPr>
            <w:tcW w:w="2105" w:type="pct"/>
            <w:tcBorders>
              <w:top w:val="nil"/>
              <w:left w:val="nil"/>
              <w:bottom w:val="nil"/>
              <w:right w:val="nil"/>
            </w:tcBorders>
            <w:shd w:val="clear" w:color="auto" w:fill="auto"/>
            <w:vAlign w:val="center"/>
            <w:hideMark/>
          </w:tcPr>
          <w:p w14:paraId="3D0423DF"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Net increase/(decrease) in cash</w:t>
            </w:r>
            <w:r w:rsidRPr="001C1E88">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62E0FB2D"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1,183 </w:t>
            </w:r>
          </w:p>
        </w:tc>
        <w:tc>
          <w:tcPr>
            <w:tcW w:w="579" w:type="pct"/>
            <w:tcBorders>
              <w:top w:val="nil"/>
              <w:left w:val="nil"/>
              <w:bottom w:val="single" w:sz="4" w:space="0" w:color="000000"/>
              <w:right w:val="nil"/>
            </w:tcBorders>
            <w:shd w:val="clear" w:color="000000" w:fill="E6E6E6"/>
            <w:noWrap/>
            <w:vAlign w:val="bottom"/>
            <w:hideMark/>
          </w:tcPr>
          <w:p w14:paraId="6C10CD07"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233 </w:t>
            </w:r>
          </w:p>
        </w:tc>
        <w:tc>
          <w:tcPr>
            <w:tcW w:w="579" w:type="pct"/>
            <w:tcBorders>
              <w:top w:val="nil"/>
              <w:left w:val="nil"/>
              <w:bottom w:val="single" w:sz="4" w:space="0" w:color="000000"/>
              <w:right w:val="nil"/>
            </w:tcBorders>
            <w:shd w:val="clear" w:color="auto" w:fill="auto"/>
            <w:noWrap/>
            <w:vAlign w:val="bottom"/>
            <w:hideMark/>
          </w:tcPr>
          <w:p w14:paraId="5B968405" w14:textId="0F600746" w:rsidR="001C1E88" w:rsidRPr="001C1E88" w:rsidRDefault="00B33758" w:rsidP="001C1E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C1E88" w:rsidRPr="001C1E88">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3853A509" w14:textId="1529DAFF" w:rsidR="001C1E88" w:rsidRPr="001C1E88" w:rsidRDefault="00B33758" w:rsidP="001C1E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C1E88" w:rsidRPr="001C1E88">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7BEF0F5A" w14:textId="393C269E" w:rsidR="001C1E88" w:rsidRPr="001C1E88" w:rsidRDefault="00B33758" w:rsidP="001C1E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1C1E88" w:rsidRPr="001C1E88">
              <w:rPr>
                <w:rFonts w:ascii="Arial" w:hAnsi="Arial" w:cs="Arial"/>
                <w:b/>
                <w:bCs/>
                <w:color w:val="000000"/>
                <w:sz w:val="16"/>
                <w:szCs w:val="16"/>
              </w:rPr>
              <w:t xml:space="preserve"> </w:t>
            </w:r>
          </w:p>
        </w:tc>
      </w:tr>
      <w:tr w:rsidR="001C1E88" w:rsidRPr="001C1E88" w14:paraId="12C10820" w14:textId="77777777" w:rsidTr="00891745">
        <w:trPr>
          <w:trHeight w:hRule="exact" w:val="448"/>
        </w:trPr>
        <w:tc>
          <w:tcPr>
            <w:tcW w:w="2105" w:type="pct"/>
            <w:tcBorders>
              <w:top w:val="nil"/>
              <w:left w:val="nil"/>
              <w:bottom w:val="nil"/>
              <w:right w:val="nil"/>
            </w:tcBorders>
            <w:shd w:val="clear" w:color="auto" w:fill="auto"/>
            <w:vAlign w:val="bottom"/>
            <w:hideMark/>
          </w:tcPr>
          <w:p w14:paraId="5CF3FF38" w14:textId="77777777" w:rsidR="001C1E88" w:rsidRPr="001C1E88" w:rsidRDefault="001C1E88" w:rsidP="00891745">
            <w:pPr>
              <w:spacing w:after="0" w:line="240" w:lineRule="auto"/>
              <w:ind w:left="170"/>
              <w:jc w:val="left"/>
              <w:rPr>
                <w:rFonts w:ascii="Arial" w:hAnsi="Arial" w:cs="Arial"/>
                <w:color w:val="000000"/>
                <w:sz w:val="16"/>
                <w:szCs w:val="16"/>
              </w:rPr>
            </w:pPr>
            <w:r w:rsidRPr="001C1E88">
              <w:rPr>
                <w:rFonts w:ascii="Arial" w:hAnsi="Arial" w:cs="Arial"/>
                <w:color w:val="000000"/>
                <w:sz w:val="16"/>
                <w:szCs w:val="16"/>
              </w:rPr>
              <w:t>Cash and cash equivalents at the</w:t>
            </w:r>
            <w:r w:rsidRPr="001C1E88">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1792E7DB" w14:textId="77777777" w:rsidR="001C1E88" w:rsidRPr="001C1E88" w:rsidRDefault="001C1E88" w:rsidP="00891745">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760 </w:t>
            </w:r>
          </w:p>
        </w:tc>
        <w:tc>
          <w:tcPr>
            <w:tcW w:w="579" w:type="pct"/>
            <w:tcBorders>
              <w:top w:val="nil"/>
              <w:left w:val="nil"/>
              <w:bottom w:val="nil"/>
              <w:right w:val="nil"/>
            </w:tcBorders>
            <w:shd w:val="clear" w:color="000000" w:fill="E6E6E6"/>
            <w:noWrap/>
            <w:vAlign w:val="bottom"/>
            <w:hideMark/>
          </w:tcPr>
          <w:p w14:paraId="79D56E3C" w14:textId="77777777" w:rsidR="001C1E88" w:rsidRPr="001C1E88" w:rsidRDefault="001C1E88" w:rsidP="00891745">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1,943 </w:t>
            </w:r>
          </w:p>
        </w:tc>
        <w:tc>
          <w:tcPr>
            <w:tcW w:w="579" w:type="pct"/>
            <w:tcBorders>
              <w:top w:val="nil"/>
              <w:left w:val="nil"/>
              <w:bottom w:val="nil"/>
              <w:right w:val="nil"/>
            </w:tcBorders>
            <w:shd w:val="clear" w:color="auto" w:fill="auto"/>
            <w:noWrap/>
            <w:vAlign w:val="bottom"/>
            <w:hideMark/>
          </w:tcPr>
          <w:p w14:paraId="0BF2DE0C" w14:textId="77777777" w:rsidR="001C1E88" w:rsidRPr="001C1E88" w:rsidRDefault="001C1E88" w:rsidP="00891745">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2,176 </w:t>
            </w:r>
          </w:p>
        </w:tc>
        <w:tc>
          <w:tcPr>
            <w:tcW w:w="579" w:type="pct"/>
            <w:tcBorders>
              <w:top w:val="nil"/>
              <w:left w:val="nil"/>
              <w:bottom w:val="nil"/>
              <w:right w:val="nil"/>
            </w:tcBorders>
            <w:shd w:val="clear" w:color="auto" w:fill="auto"/>
            <w:noWrap/>
            <w:vAlign w:val="bottom"/>
            <w:hideMark/>
          </w:tcPr>
          <w:p w14:paraId="7F3D3BB6" w14:textId="77777777" w:rsidR="001C1E88" w:rsidRPr="001C1E88" w:rsidRDefault="001C1E88" w:rsidP="00891745">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2,176 </w:t>
            </w:r>
          </w:p>
        </w:tc>
        <w:tc>
          <w:tcPr>
            <w:tcW w:w="579" w:type="pct"/>
            <w:tcBorders>
              <w:top w:val="nil"/>
              <w:left w:val="nil"/>
              <w:bottom w:val="nil"/>
              <w:right w:val="nil"/>
            </w:tcBorders>
            <w:shd w:val="clear" w:color="auto" w:fill="auto"/>
            <w:noWrap/>
            <w:vAlign w:val="bottom"/>
            <w:hideMark/>
          </w:tcPr>
          <w:p w14:paraId="6B28AEA6" w14:textId="77777777" w:rsidR="001C1E88" w:rsidRPr="001C1E88" w:rsidRDefault="001C1E88" w:rsidP="00891745">
            <w:pPr>
              <w:spacing w:after="0" w:line="240" w:lineRule="auto"/>
              <w:jc w:val="right"/>
              <w:rPr>
                <w:rFonts w:ascii="Arial" w:hAnsi="Arial" w:cs="Arial"/>
                <w:color w:val="000000"/>
                <w:sz w:val="16"/>
                <w:szCs w:val="16"/>
              </w:rPr>
            </w:pPr>
            <w:r w:rsidRPr="001C1E88">
              <w:rPr>
                <w:rFonts w:ascii="Arial" w:hAnsi="Arial" w:cs="Arial"/>
                <w:color w:val="000000"/>
                <w:sz w:val="16"/>
                <w:szCs w:val="16"/>
              </w:rPr>
              <w:t xml:space="preserve">2,176 </w:t>
            </w:r>
          </w:p>
        </w:tc>
      </w:tr>
      <w:tr w:rsidR="001C1E88" w:rsidRPr="001C1E88" w14:paraId="3C0F12DC" w14:textId="77777777" w:rsidTr="001C1E88">
        <w:trPr>
          <w:trHeight w:hRule="exact" w:val="450"/>
        </w:trPr>
        <w:tc>
          <w:tcPr>
            <w:tcW w:w="2105" w:type="pct"/>
            <w:tcBorders>
              <w:top w:val="nil"/>
              <w:left w:val="nil"/>
              <w:bottom w:val="single" w:sz="4" w:space="0" w:color="auto"/>
              <w:right w:val="nil"/>
            </w:tcBorders>
            <w:shd w:val="clear" w:color="auto" w:fill="auto"/>
            <w:vAlign w:val="center"/>
            <w:hideMark/>
          </w:tcPr>
          <w:p w14:paraId="126163CF" w14:textId="77777777" w:rsidR="001C1E88" w:rsidRPr="001C1E88" w:rsidRDefault="001C1E88" w:rsidP="001C1E88">
            <w:pPr>
              <w:spacing w:after="0" w:line="240" w:lineRule="auto"/>
              <w:jc w:val="left"/>
              <w:rPr>
                <w:rFonts w:ascii="Arial" w:hAnsi="Arial" w:cs="Arial"/>
                <w:b/>
                <w:bCs/>
                <w:color w:val="000000"/>
                <w:sz w:val="16"/>
                <w:szCs w:val="16"/>
              </w:rPr>
            </w:pPr>
            <w:r w:rsidRPr="001C1E88">
              <w:rPr>
                <w:rFonts w:ascii="Arial" w:hAnsi="Arial" w:cs="Arial"/>
                <w:b/>
                <w:bCs/>
                <w:color w:val="000000"/>
                <w:sz w:val="16"/>
                <w:szCs w:val="16"/>
              </w:rPr>
              <w:t>Cash and cash equivalents at</w:t>
            </w:r>
            <w:r w:rsidRPr="001C1E88">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3D3EA7CF"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1,943 </w:t>
            </w:r>
          </w:p>
        </w:tc>
        <w:tc>
          <w:tcPr>
            <w:tcW w:w="579" w:type="pct"/>
            <w:tcBorders>
              <w:top w:val="single" w:sz="4" w:space="0" w:color="000000"/>
              <w:left w:val="nil"/>
              <w:bottom w:val="single" w:sz="4" w:space="0" w:color="auto"/>
              <w:right w:val="nil"/>
            </w:tcBorders>
            <w:shd w:val="clear" w:color="000000" w:fill="E6E6E6"/>
            <w:noWrap/>
            <w:vAlign w:val="bottom"/>
            <w:hideMark/>
          </w:tcPr>
          <w:p w14:paraId="27B87F1A"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2,176 </w:t>
            </w:r>
          </w:p>
        </w:tc>
        <w:tc>
          <w:tcPr>
            <w:tcW w:w="579" w:type="pct"/>
            <w:tcBorders>
              <w:top w:val="single" w:sz="4" w:space="0" w:color="000000"/>
              <w:left w:val="nil"/>
              <w:bottom w:val="single" w:sz="4" w:space="0" w:color="auto"/>
              <w:right w:val="nil"/>
            </w:tcBorders>
            <w:shd w:val="clear" w:color="auto" w:fill="auto"/>
            <w:noWrap/>
            <w:vAlign w:val="bottom"/>
            <w:hideMark/>
          </w:tcPr>
          <w:p w14:paraId="6BF0C62F"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2,176 </w:t>
            </w:r>
          </w:p>
        </w:tc>
        <w:tc>
          <w:tcPr>
            <w:tcW w:w="579" w:type="pct"/>
            <w:tcBorders>
              <w:top w:val="single" w:sz="4" w:space="0" w:color="000000"/>
              <w:left w:val="nil"/>
              <w:bottom w:val="single" w:sz="4" w:space="0" w:color="auto"/>
              <w:right w:val="nil"/>
            </w:tcBorders>
            <w:shd w:val="clear" w:color="auto" w:fill="auto"/>
            <w:noWrap/>
            <w:vAlign w:val="bottom"/>
            <w:hideMark/>
          </w:tcPr>
          <w:p w14:paraId="0EEFECB1"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2,176 </w:t>
            </w:r>
          </w:p>
        </w:tc>
        <w:tc>
          <w:tcPr>
            <w:tcW w:w="579" w:type="pct"/>
            <w:tcBorders>
              <w:top w:val="single" w:sz="4" w:space="0" w:color="000000"/>
              <w:left w:val="nil"/>
              <w:bottom w:val="single" w:sz="4" w:space="0" w:color="auto"/>
              <w:right w:val="nil"/>
            </w:tcBorders>
            <w:shd w:val="clear" w:color="auto" w:fill="auto"/>
            <w:noWrap/>
            <w:vAlign w:val="bottom"/>
            <w:hideMark/>
          </w:tcPr>
          <w:p w14:paraId="25580045" w14:textId="77777777" w:rsidR="001C1E88" w:rsidRPr="001C1E88" w:rsidRDefault="001C1E88" w:rsidP="001C1E88">
            <w:pPr>
              <w:spacing w:after="0" w:line="240" w:lineRule="auto"/>
              <w:jc w:val="right"/>
              <w:rPr>
                <w:rFonts w:ascii="Arial" w:hAnsi="Arial" w:cs="Arial"/>
                <w:b/>
                <w:bCs/>
                <w:color w:val="000000"/>
                <w:sz w:val="16"/>
                <w:szCs w:val="16"/>
              </w:rPr>
            </w:pPr>
            <w:r w:rsidRPr="001C1E88">
              <w:rPr>
                <w:rFonts w:ascii="Arial" w:hAnsi="Arial" w:cs="Arial"/>
                <w:b/>
                <w:bCs/>
                <w:color w:val="000000"/>
                <w:sz w:val="16"/>
                <w:szCs w:val="16"/>
              </w:rPr>
              <w:t xml:space="preserve">2,176 </w:t>
            </w:r>
          </w:p>
        </w:tc>
      </w:tr>
    </w:tbl>
    <w:p w14:paraId="6E3D13AD" w14:textId="73770435" w:rsidR="00F10305" w:rsidRPr="00F10305" w:rsidRDefault="00A94C6C" w:rsidP="008B1DAB">
      <w:pPr>
        <w:pStyle w:val="TableHeadingcontinued"/>
      </w:pPr>
      <w:r w:rsidRPr="008B1DAB">
        <w:rPr>
          <w:rFonts w:ascii="Arial" w:hAnsi="Arial" w:cs="Arial"/>
          <w:b w:val="0"/>
          <w:bCs/>
          <w:sz w:val="16"/>
          <w:szCs w:val="16"/>
        </w:rPr>
        <w:t>Prepared on Australian Accounting Standards basis.</w:t>
      </w:r>
    </w:p>
    <w:p w14:paraId="616765BC" w14:textId="6E5D38F1" w:rsidR="001C1E88" w:rsidRDefault="000A24C4" w:rsidP="000E050D">
      <w:pPr>
        <w:pStyle w:val="TableHeading"/>
        <w:rPr>
          <w:rFonts w:ascii="Times New Roman" w:hAnsi="Times New Roman"/>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p>
    <w:tbl>
      <w:tblPr>
        <w:tblW w:w="5000" w:type="pct"/>
        <w:tblCellMar>
          <w:left w:w="0" w:type="dxa"/>
          <w:right w:w="28" w:type="dxa"/>
        </w:tblCellMar>
        <w:tblLook w:val="04A0" w:firstRow="1" w:lastRow="0" w:firstColumn="1" w:lastColumn="0" w:noHBand="0" w:noVBand="1"/>
      </w:tblPr>
      <w:tblGrid>
        <w:gridCol w:w="3246"/>
        <w:gridCol w:w="893"/>
        <w:gridCol w:w="893"/>
        <w:gridCol w:w="893"/>
        <w:gridCol w:w="893"/>
        <w:gridCol w:w="893"/>
      </w:tblGrid>
      <w:tr w:rsidR="001C1E88" w:rsidRPr="001C1E88" w14:paraId="6D8CFE39" w14:textId="77777777" w:rsidTr="001C1E88">
        <w:trPr>
          <w:trHeight w:hRule="exact" w:val="900"/>
        </w:trPr>
        <w:tc>
          <w:tcPr>
            <w:tcW w:w="2105" w:type="pct"/>
            <w:tcBorders>
              <w:top w:val="single" w:sz="4" w:space="0" w:color="auto"/>
              <w:left w:val="nil"/>
              <w:bottom w:val="nil"/>
              <w:right w:val="nil"/>
            </w:tcBorders>
            <w:shd w:val="clear" w:color="auto" w:fill="auto"/>
            <w:noWrap/>
            <w:hideMark/>
          </w:tcPr>
          <w:p w14:paraId="22D20ACB" w14:textId="6ECD9F5B" w:rsidR="001C1E88" w:rsidRPr="001C1E88" w:rsidRDefault="001C1E88" w:rsidP="001C1E88">
            <w:pPr>
              <w:spacing w:after="0" w:line="240" w:lineRule="auto"/>
              <w:jc w:val="left"/>
              <w:rPr>
                <w:rFonts w:ascii="Arial" w:hAnsi="Arial" w:cs="Arial"/>
                <w:b/>
                <w:bCs/>
                <w:sz w:val="16"/>
                <w:szCs w:val="16"/>
              </w:rPr>
            </w:pPr>
            <w:r w:rsidRPr="001C1E88">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6EF4C677" w14:textId="06D9D26A"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2021</w:t>
            </w:r>
            <w:r w:rsidR="00B33758">
              <w:rPr>
                <w:rFonts w:ascii="Arial" w:hAnsi="Arial" w:cs="Arial"/>
                <w:sz w:val="16"/>
                <w:szCs w:val="16"/>
              </w:rPr>
              <w:noBreakHyphen/>
            </w:r>
            <w:r w:rsidRPr="001C1E88">
              <w:rPr>
                <w:rFonts w:ascii="Arial" w:hAnsi="Arial" w:cs="Arial"/>
                <w:sz w:val="16"/>
                <w:szCs w:val="16"/>
              </w:rPr>
              <w:t>22 Estimated actual</w:t>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3F6EB054" w14:textId="10CB6358"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2022</w:t>
            </w:r>
            <w:r w:rsidR="00B33758">
              <w:rPr>
                <w:rFonts w:ascii="Arial" w:hAnsi="Arial" w:cs="Arial"/>
                <w:sz w:val="16"/>
                <w:szCs w:val="16"/>
              </w:rPr>
              <w:noBreakHyphen/>
            </w:r>
            <w:r w:rsidRPr="001C1E88">
              <w:rPr>
                <w:rFonts w:ascii="Arial" w:hAnsi="Arial" w:cs="Arial"/>
                <w:sz w:val="16"/>
                <w:szCs w:val="16"/>
              </w:rPr>
              <w:t>23</w:t>
            </w:r>
            <w:r w:rsidRPr="001C1E88">
              <w:rPr>
                <w:rFonts w:ascii="Arial" w:hAnsi="Arial" w:cs="Arial"/>
                <w:sz w:val="16"/>
                <w:szCs w:val="16"/>
              </w:rPr>
              <w:br/>
              <w:t>Budget</w:t>
            </w:r>
            <w:r w:rsidRPr="001C1E88">
              <w:rPr>
                <w:rFonts w:ascii="Arial" w:hAnsi="Arial" w:cs="Arial"/>
                <w:sz w:val="16"/>
                <w:szCs w:val="16"/>
              </w:rPr>
              <w:br/>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46F4BFA" w14:textId="014C8A1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2023</w:t>
            </w:r>
            <w:r w:rsidR="00B33758">
              <w:rPr>
                <w:rFonts w:ascii="Arial" w:hAnsi="Arial" w:cs="Arial"/>
                <w:sz w:val="16"/>
                <w:szCs w:val="16"/>
              </w:rPr>
              <w:noBreakHyphen/>
            </w:r>
            <w:r w:rsidRPr="001C1E88">
              <w:rPr>
                <w:rFonts w:ascii="Arial" w:hAnsi="Arial" w:cs="Arial"/>
                <w:sz w:val="16"/>
                <w:szCs w:val="16"/>
              </w:rPr>
              <w:t>24 Forward estimate</w:t>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CC277E9" w14:textId="4FCAE759"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2024</w:t>
            </w:r>
            <w:r w:rsidR="00B33758">
              <w:rPr>
                <w:rFonts w:ascii="Arial" w:hAnsi="Arial" w:cs="Arial"/>
                <w:sz w:val="16"/>
                <w:szCs w:val="16"/>
              </w:rPr>
              <w:noBreakHyphen/>
            </w:r>
            <w:r w:rsidRPr="001C1E88">
              <w:rPr>
                <w:rFonts w:ascii="Arial" w:hAnsi="Arial" w:cs="Arial"/>
                <w:sz w:val="16"/>
                <w:szCs w:val="16"/>
              </w:rPr>
              <w:t>25 Forward estimate</w:t>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B7EE111" w14:textId="2434E5C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2025</w:t>
            </w:r>
            <w:r w:rsidR="00B33758">
              <w:rPr>
                <w:rFonts w:ascii="Arial" w:hAnsi="Arial" w:cs="Arial"/>
                <w:sz w:val="16"/>
                <w:szCs w:val="16"/>
              </w:rPr>
              <w:noBreakHyphen/>
            </w:r>
            <w:r w:rsidRPr="001C1E88">
              <w:rPr>
                <w:rFonts w:ascii="Arial" w:hAnsi="Arial" w:cs="Arial"/>
                <w:sz w:val="16"/>
                <w:szCs w:val="16"/>
              </w:rPr>
              <w:t>26</w:t>
            </w:r>
            <w:r w:rsidRPr="001C1E88">
              <w:rPr>
                <w:rFonts w:ascii="Arial" w:hAnsi="Arial" w:cs="Arial"/>
                <w:sz w:val="16"/>
                <w:szCs w:val="16"/>
              </w:rPr>
              <w:br/>
              <w:t>Forward estimate</w:t>
            </w:r>
            <w:r w:rsidRPr="001C1E88">
              <w:rPr>
                <w:rFonts w:ascii="Arial" w:hAnsi="Arial" w:cs="Arial"/>
                <w:sz w:val="16"/>
                <w:szCs w:val="16"/>
              </w:rPr>
              <w:br/>
              <w:t>$</w:t>
            </w:r>
            <w:r w:rsidR="00B33758">
              <w:rPr>
                <w:rFonts w:ascii="Arial" w:hAnsi="Arial" w:cs="Arial"/>
                <w:sz w:val="16"/>
                <w:szCs w:val="16"/>
              </w:rPr>
              <w:t>’</w:t>
            </w:r>
            <w:r w:rsidRPr="001C1E88">
              <w:rPr>
                <w:rFonts w:ascii="Arial" w:hAnsi="Arial" w:cs="Arial"/>
                <w:sz w:val="16"/>
                <w:szCs w:val="16"/>
              </w:rPr>
              <w:t>000</w:t>
            </w:r>
          </w:p>
        </w:tc>
      </w:tr>
      <w:tr w:rsidR="001C1E88" w:rsidRPr="001C1E88" w14:paraId="49EE4C49" w14:textId="77777777" w:rsidTr="001C1E88">
        <w:trPr>
          <w:trHeight w:hRule="exact" w:val="240"/>
        </w:trPr>
        <w:tc>
          <w:tcPr>
            <w:tcW w:w="2105" w:type="pct"/>
            <w:tcBorders>
              <w:top w:val="nil"/>
              <w:left w:val="nil"/>
              <w:bottom w:val="nil"/>
              <w:right w:val="nil"/>
            </w:tcBorders>
            <w:shd w:val="clear" w:color="auto" w:fill="auto"/>
            <w:noWrap/>
            <w:vAlign w:val="bottom"/>
            <w:hideMark/>
          </w:tcPr>
          <w:p w14:paraId="5501C19F" w14:textId="77777777" w:rsidR="001C1E88" w:rsidRPr="001C1E88" w:rsidRDefault="001C1E88" w:rsidP="001C1E88">
            <w:pPr>
              <w:spacing w:after="0" w:line="240" w:lineRule="auto"/>
              <w:jc w:val="left"/>
              <w:rPr>
                <w:rFonts w:ascii="Arial" w:hAnsi="Arial" w:cs="Arial"/>
                <w:b/>
                <w:bCs/>
                <w:sz w:val="16"/>
                <w:szCs w:val="16"/>
              </w:rPr>
            </w:pPr>
            <w:r w:rsidRPr="001C1E88">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3F6DE6C6" w14:textId="77777777" w:rsidR="001C1E88" w:rsidRPr="001C1E88" w:rsidRDefault="001C1E88" w:rsidP="001C1E88">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763B16FD" w14:textId="77777777" w:rsidR="001C1E88" w:rsidRPr="001C1E88" w:rsidRDefault="001C1E88" w:rsidP="001C1E88">
            <w:pPr>
              <w:spacing w:after="0" w:line="240" w:lineRule="auto"/>
              <w:jc w:val="left"/>
              <w:rPr>
                <w:rFonts w:ascii="Arial" w:hAnsi="Arial" w:cs="Arial"/>
                <w:sz w:val="16"/>
                <w:szCs w:val="16"/>
              </w:rPr>
            </w:pPr>
            <w:r w:rsidRPr="001C1E88">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53EDD8AD" w14:textId="77777777" w:rsidR="001C1E88" w:rsidRPr="001C1E88" w:rsidRDefault="001C1E88" w:rsidP="001C1E88">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669E4CEC"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1F9DF09" w14:textId="77777777" w:rsidR="001C1E88" w:rsidRPr="001C1E88" w:rsidRDefault="001C1E88" w:rsidP="001C1E88">
            <w:pPr>
              <w:spacing w:after="0" w:line="240" w:lineRule="auto"/>
              <w:jc w:val="left"/>
              <w:rPr>
                <w:rFonts w:ascii="Times New Roman" w:hAnsi="Times New Roman"/>
              </w:rPr>
            </w:pPr>
          </w:p>
        </w:tc>
      </w:tr>
      <w:tr w:rsidR="001C1E88" w:rsidRPr="001C1E88" w14:paraId="4152F2AF" w14:textId="77777777" w:rsidTr="001C1E88">
        <w:trPr>
          <w:trHeight w:hRule="exact" w:val="240"/>
        </w:trPr>
        <w:tc>
          <w:tcPr>
            <w:tcW w:w="2105" w:type="pct"/>
            <w:tcBorders>
              <w:top w:val="nil"/>
              <w:left w:val="nil"/>
              <w:bottom w:val="nil"/>
              <w:right w:val="nil"/>
            </w:tcBorders>
            <w:shd w:val="clear" w:color="auto" w:fill="auto"/>
            <w:noWrap/>
            <w:vAlign w:val="center"/>
            <w:hideMark/>
          </w:tcPr>
          <w:p w14:paraId="55F17B90" w14:textId="2FE24A80" w:rsidR="001C1E88" w:rsidRPr="001C1E88" w:rsidRDefault="001C1E88" w:rsidP="001C1E88">
            <w:pPr>
              <w:spacing w:after="0" w:line="240" w:lineRule="auto"/>
              <w:ind w:left="170"/>
              <w:jc w:val="left"/>
              <w:rPr>
                <w:rFonts w:ascii="Arial" w:hAnsi="Arial" w:cs="Arial"/>
                <w:sz w:val="16"/>
                <w:szCs w:val="16"/>
              </w:rPr>
            </w:pPr>
            <w:r w:rsidRPr="001C1E88">
              <w:rPr>
                <w:rFonts w:ascii="Arial" w:hAnsi="Arial" w:cs="Arial"/>
                <w:sz w:val="16"/>
                <w:szCs w:val="16"/>
              </w:rPr>
              <w:t>Capital budget</w:t>
            </w:r>
            <w:r w:rsidR="00B33758">
              <w:rPr>
                <w:rFonts w:ascii="Arial" w:hAnsi="Arial" w:cs="Arial"/>
                <w:sz w:val="16"/>
                <w:szCs w:val="16"/>
              </w:rPr>
              <w:t xml:space="preserve"> – </w:t>
            </w:r>
            <w:r w:rsidRPr="001C1E88">
              <w:rPr>
                <w:rFonts w:ascii="Arial" w:hAnsi="Arial" w:cs="Arial"/>
                <w:sz w:val="16"/>
                <w:szCs w:val="16"/>
              </w:rPr>
              <w:t>Bill 1 (DCB)</w:t>
            </w:r>
          </w:p>
        </w:tc>
        <w:tc>
          <w:tcPr>
            <w:tcW w:w="579" w:type="pct"/>
            <w:tcBorders>
              <w:top w:val="nil"/>
              <w:left w:val="nil"/>
              <w:bottom w:val="nil"/>
              <w:right w:val="nil"/>
            </w:tcBorders>
            <w:shd w:val="clear" w:color="auto" w:fill="auto"/>
            <w:noWrap/>
            <w:vAlign w:val="center"/>
            <w:hideMark/>
          </w:tcPr>
          <w:p w14:paraId="2C1E247F"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10,262 </w:t>
            </w:r>
          </w:p>
        </w:tc>
        <w:tc>
          <w:tcPr>
            <w:tcW w:w="579" w:type="pct"/>
            <w:tcBorders>
              <w:top w:val="nil"/>
              <w:left w:val="nil"/>
              <w:bottom w:val="nil"/>
              <w:right w:val="nil"/>
            </w:tcBorders>
            <w:shd w:val="clear" w:color="000000" w:fill="E6E6E6"/>
            <w:noWrap/>
            <w:vAlign w:val="center"/>
            <w:hideMark/>
          </w:tcPr>
          <w:p w14:paraId="1B6AE62B"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8,837 </w:t>
            </w:r>
          </w:p>
        </w:tc>
        <w:tc>
          <w:tcPr>
            <w:tcW w:w="579" w:type="pct"/>
            <w:tcBorders>
              <w:top w:val="nil"/>
              <w:left w:val="nil"/>
              <w:bottom w:val="nil"/>
              <w:right w:val="nil"/>
            </w:tcBorders>
            <w:shd w:val="clear" w:color="auto" w:fill="auto"/>
            <w:noWrap/>
            <w:vAlign w:val="center"/>
            <w:hideMark/>
          </w:tcPr>
          <w:p w14:paraId="6F0CC4C7"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7,952 </w:t>
            </w:r>
          </w:p>
        </w:tc>
        <w:tc>
          <w:tcPr>
            <w:tcW w:w="579" w:type="pct"/>
            <w:tcBorders>
              <w:top w:val="nil"/>
              <w:left w:val="nil"/>
              <w:bottom w:val="nil"/>
              <w:right w:val="nil"/>
            </w:tcBorders>
            <w:shd w:val="clear" w:color="auto" w:fill="auto"/>
            <w:noWrap/>
            <w:vAlign w:val="center"/>
            <w:hideMark/>
          </w:tcPr>
          <w:p w14:paraId="57E5F93B"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8,273 </w:t>
            </w:r>
          </w:p>
        </w:tc>
        <w:tc>
          <w:tcPr>
            <w:tcW w:w="579" w:type="pct"/>
            <w:tcBorders>
              <w:top w:val="nil"/>
              <w:left w:val="nil"/>
              <w:bottom w:val="nil"/>
              <w:right w:val="nil"/>
            </w:tcBorders>
            <w:shd w:val="clear" w:color="auto" w:fill="auto"/>
            <w:noWrap/>
            <w:vAlign w:val="center"/>
            <w:hideMark/>
          </w:tcPr>
          <w:p w14:paraId="2C973EDA"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8,176 </w:t>
            </w:r>
          </w:p>
        </w:tc>
      </w:tr>
      <w:tr w:rsidR="001C1E88" w:rsidRPr="001C1E88" w14:paraId="00C15424" w14:textId="77777777" w:rsidTr="001C1E88">
        <w:trPr>
          <w:trHeight w:hRule="exact" w:val="240"/>
        </w:trPr>
        <w:tc>
          <w:tcPr>
            <w:tcW w:w="2105" w:type="pct"/>
            <w:tcBorders>
              <w:top w:val="nil"/>
              <w:left w:val="nil"/>
              <w:bottom w:val="nil"/>
              <w:right w:val="nil"/>
            </w:tcBorders>
            <w:shd w:val="clear" w:color="auto" w:fill="auto"/>
            <w:noWrap/>
            <w:vAlign w:val="center"/>
            <w:hideMark/>
          </w:tcPr>
          <w:p w14:paraId="2634F3F9" w14:textId="162F5DCC" w:rsidR="001C1E88" w:rsidRPr="001C1E88" w:rsidRDefault="001C1E88" w:rsidP="001C1E88">
            <w:pPr>
              <w:spacing w:after="0" w:line="240" w:lineRule="auto"/>
              <w:ind w:left="170"/>
              <w:jc w:val="left"/>
              <w:rPr>
                <w:rFonts w:ascii="Arial" w:hAnsi="Arial" w:cs="Arial"/>
                <w:sz w:val="16"/>
                <w:szCs w:val="16"/>
              </w:rPr>
            </w:pPr>
            <w:r w:rsidRPr="001C1E88">
              <w:rPr>
                <w:rFonts w:ascii="Arial" w:hAnsi="Arial" w:cs="Arial"/>
                <w:sz w:val="16"/>
                <w:szCs w:val="16"/>
              </w:rPr>
              <w:t>Equity injections</w:t>
            </w:r>
            <w:r w:rsidR="00B33758">
              <w:rPr>
                <w:rFonts w:ascii="Arial" w:hAnsi="Arial" w:cs="Arial"/>
                <w:sz w:val="16"/>
                <w:szCs w:val="16"/>
              </w:rPr>
              <w:t xml:space="preserve"> – </w:t>
            </w:r>
            <w:r w:rsidRPr="001C1E88">
              <w:rPr>
                <w:rFonts w:ascii="Arial" w:hAnsi="Arial" w:cs="Arial"/>
                <w:sz w:val="16"/>
                <w:szCs w:val="16"/>
              </w:rPr>
              <w:t>Bill 2</w:t>
            </w:r>
          </w:p>
        </w:tc>
        <w:tc>
          <w:tcPr>
            <w:tcW w:w="579" w:type="pct"/>
            <w:tcBorders>
              <w:top w:val="nil"/>
              <w:left w:val="nil"/>
              <w:bottom w:val="nil"/>
              <w:right w:val="nil"/>
            </w:tcBorders>
            <w:shd w:val="clear" w:color="auto" w:fill="auto"/>
            <w:noWrap/>
            <w:vAlign w:val="center"/>
            <w:hideMark/>
          </w:tcPr>
          <w:p w14:paraId="58806D79"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301 </w:t>
            </w:r>
          </w:p>
        </w:tc>
        <w:tc>
          <w:tcPr>
            <w:tcW w:w="579" w:type="pct"/>
            <w:tcBorders>
              <w:top w:val="nil"/>
              <w:left w:val="nil"/>
              <w:bottom w:val="nil"/>
              <w:right w:val="nil"/>
            </w:tcBorders>
            <w:shd w:val="clear" w:color="000000" w:fill="E6E6E6"/>
            <w:noWrap/>
            <w:vAlign w:val="center"/>
            <w:hideMark/>
          </w:tcPr>
          <w:p w14:paraId="51F4A8E0"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303 </w:t>
            </w:r>
          </w:p>
        </w:tc>
        <w:tc>
          <w:tcPr>
            <w:tcW w:w="579" w:type="pct"/>
            <w:tcBorders>
              <w:top w:val="nil"/>
              <w:left w:val="nil"/>
              <w:bottom w:val="nil"/>
              <w:right w:val="nil"/>
            </w:tcBorders>
            <w:shd w:val="clear" w:color="auto" w:fill="auto"/>
            <w:noWrap/>
            <w:vAlign w:val="center"/>
            <w:hideMark/>
          </w:tcPr>
          <w:p w14:paraId="31FF8520"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305 </w:t>
            </w:r>
          </w:p>
        </w:tc>
        <w:tc>
          <w:tcPr>
            <w:tcW w:w="579" w:type="pct"/>
            <w:tcBorders>
              <w:top w:val="nil"/>
              <w:left w:val="nil"/>
              <w:bottom w:val="nil"/>
              <w:right w:val="nil"/>
            </w:tcBorders>
            <w:shd w:val="clear" w:color="auto" w:fill="auto"/>
            <w:noWrap/>
            <w:vAlign w:val="center"/>
            <w:hideMark/>
          </w:tcPr>
          <w:p w14:paraId="32A2D7BF"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305 </w:t>
            </w:r>
          </w:p>
        </w:tc>
        <w:tc>
          <w:tcPr>
            <w:tcW w:w="579" w:type="pct"/>
            <w:tcBorders>
              <w:top w:val="nil"/>
              <w:left w:val="nil"/>
              <w:bottom w:val="nil"/>
              <w:right w:val="nil"/>
            </w:tcBorders>
            <w:shd w:val="clear" w:color="auto" w:fill="auto"/>
            <w:noWrap/>
            <w:vAlign w:val="center"/>
            <w:hideMark/>
          </w:tcPr>
          <w:p w14:paraId="2C3B79ED"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305 </w:t>
            </w:r>
          </w:p>
        </w:tc>
      </w:tr>
      <w:tr w:rsidR="001C1E88" w:rsidRPr="001C1E88" w14:paraId="24CE8D12" w14:textId="77777777" w:rsidTr="001C1E88">
        <w:trPr>
          <w:trHeight w:hRule="exact" w:val="240"/>
        </w:trPr>
        <w:tc>
          <w:tcPr>
            <w:tcW w:w="2105" w:type="pct"/>
            <w:tcBorders>
              <w:top w:val="nil"/>
              <w:left w:val="nil"/>
              <w:bottom w:val="nil"/>
              <w:right w:val="nil"/>
            </w:tcBorders>
            <w:shd w:val="clear" w:color="auto" w:fill="auto"/>
            <w:noWrap/>
            <w:vAlign w:val="center"/>
            <w:hideMark/>
          </w:tcPr>
          <w:p w14:paraId="13C590CB" w14:textId="77777777" w:rsidR="001C1E88" w:rsidRPr="001C1E88" w:rsidRDefault="001C1E88" w:rsidP="001C1E88">
            <w:pPr>
              <w:spacing w:after="0" w:line="240" w:lineRule="auto"/>
              <w:jc w:val="left"/>
              <w:rPr>
                <w:rFonts w:ascii="Arial" w:hAnsi="Arial" w:cs="Arial"/>
                <w:b/>
                <w:bCs/>
                <w:sz w:val="16"/>
                <w:szCs w:val="16"/>
              </w:rPr>
            </w:pPr>
            <w:r w:rsidRPr="001C1E88">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center"/>
            <w:hideMark/>
          </w:tcPr>
          <w:p w14:paraId="1D507991"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10,563 </w:t>
            </w:r>
          </w:p>
        </w:tc>
        <w:tc>
          <w:tcPr>
            <w:tcW w:w="579" w:type="pct"/>
            <w:tcBorders>
              <w:top w:val="single" w:sz="4" w:space="0" w:color="auto"/>
              <w:left w:val="nil"/>
              <w:bottom w:val="single" w:sz="4" w:space="0" w:color="auto"/>
              <w:right w:val="nil"/>
            </w:tcBorders>
            <w:shd w:val="clear" w:color="000000" w:fill="E6E6E6"/>
            <w:noWrap/>
            <w:vAlign w:val="center"/>
            <w:hideMark/>
          </w:tcPr>
          <w:p w14:paraId="33546909"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9,140 </w:t>
            </w:r>
          </w:p>
        </w:tc>
        <w:tc>
          <w:tcPr>
            <w:tcW w:w="579" w:type="pct"/>
            <w:tcBorders>
              <w:top w:val="single" w:sz="4" w:space="0" w:color="auto"/>
              <w:left w:val="nil"/>
              <w:bottom w:val="single" w:sz="4" w:space="0" w:color="auto"/>
              <w:right w:val="nil"/>
            </w:tcBorders>
            <w:shd w:val="clear" w:color="auto" w:fill="auto"/>
            <w:noWrap/>
            <w:vAlign w:val="center"/>
            <w:hideMark/>
          </w:tcPr>
          <w:p w14:paraId="484E46B0"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8,257 </w:t>
            </w:r>
          </w:p>
        </w:tc>
        <w:tc>
          <w:tcPr>
            <w:tcW w:w="579" w:type="pct"/>
            <w:tcBorders>
              <w:top w:val="single" w:sz="4" w:space="0" w:color="auto"/>
              <w:left w:val="nil"/>
              <w:bottom w:val="single" w:sz="4" w:space="0" w:color="auto"/>
              <w:right w:val="nil"/>
            </w:tcBorders>
            <w:shd w:val="clear" w:color="auto" w:fill="auto"/>
            <w:noWrap/>
            <w:vAlign w:val="center"/>
            <w:hideMark/>
          </w:tcPr>
          <w:p w14:paraId="7DFAA9E9"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8,578 </w:t>
            </w:r>
          </w:p>
        </w:tc>
        <w:tc>
          <w:tcPr>
            <w:tcW w:w="579" w:type="pct"/>
            <w:tcBorders>
              <w:top w:val="single" w:sz="4" w:space="0" w:color="auto"/>
              <w:left w:val="nil"/>
              <w:bottom w:val="single" w:sz="4" w:space="0" w:color="auto"/>
              <w:right w:val="nil"/>
            </w:tcBorders>
            <w:shd w:val="clear" w:color="auto" w:fill="auto"/>
            <w:noWrap/>
            <w:vAlign w:val="center"/>
            <w:hideMark/>
          </w:tcPr>
          <w:p w14:paraId="14553B3F"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8,481 </w:t>
            </w:r>
          </w:p>
        </w:tc>
      </w:tr>
      <w:tr w:rsidR="001C1E88" w:rsidRPr="001C1E88" w14:paraId="10BCF93D" w14:textId="77777777" w:rsidTr="001C1E88">
        <w:trPr>
          <w:trHeight w:hRule="exact" w:val="240"/>
        </w:trPr>
        <w:tc>
          <w:tcPr>
            <w:tcW w:w="2105" w:type="pct"/>
            <w:tcBorders>
              <w:top w:val="nil"/>
              <w:left w:val="nil"/>
              <w:bottom w:val="nil"/>
              <w:right w:val="nil"/>
            </w:tcBorders>
            <w:shd w:val="clear" w:color="auto" w:fill="auto"/>
            <w:noWrap/>
            <w:vAlign w:val="center"/>
            <w:hideMark/>
          </w:tcPr>
          <w:p w14:paraId="2306B353" w14:textId="77777777" w:rsidR="001C1E88" w:rsidRPr="001C1E88" w:rsidRDefault="001C1E88" w:rsidP="001C1E88">
            <w:pPr>
              <w:spacing w:after="0" w:line="240" w:lineRule="auto"/>
              <w:jc w:val="left"/>
              <w:rPr>
                <w:rFonts w:ascii="Arial" w:hAnsi="Arial" w:cs="Arial"/>
                <w:b/>
                <w:bCs/>
                <w:i/>
                <w:iCs/>
                <w:sz w:val="16"/>
                <w:szCs w:val="16"/>
              </w:rPr>
            </w:pPr>
            <w:r w:rsidRPr="001C1E88">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center"/>
            <w:hideMark/>
          </w:tcPr>
          <w:p w14:paraId="531A2B14" w14:textId="77777777" w:rsidR="001C1E88" w:rsidRPr="001C1E88" w:rsidRDefault="001C1E88" w:rsidP="001C1E88">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center"/>
            <w:hideMark/>
          </w:tcPr>
          <w:p w14:paraId="2DF37363" w14:textId="77777777" w:rsidR="001C1E88" w:rsidRPr="001C1E88" w:rsidRDefault="001C1E88" w:rsidP="001C1E88">
            <w:pPr>
              <w:spacing w:after="0" w:line="240" w:lineRule="auto"/>
              <w:jc w:val="left"/>
              <w:rPr>
                <w:rFonts w:ascii="Arial" w:hAnsi="Arial" w:cs="Arial"/>
                <w:i/>
                <w:iCs/>
                <w:sz w:val="16"/>
                <w:szCs w:val="16"/>
              </w:rPr>
            </w:pPr>
            <w:r w:rsidRPr="001C1E88">
              <w:rPr>
                <w:rFonts w:ascii="Arial" w:hAnsi="Arial" w:cs="Arial"/>
                <w:i/>
                <w:iCs/>
                <w:sz w:val="16"/>
                <w:szCs w:val="16"/>
              </w:rPr>
              <w:t> </w:t>
            </w:r>
          </w:p>
        </w:tc>
        <w:tc>
          <w:tcPr>
            <w:tcW w:w="579" w:type="pct"/>
            <w:tcBorders>
              <w:top w:val="nil"/>
              <w:left w:val="nil"/>
              <w:bottom w:val="nil"/>
              <w:right w:val="nil"/>
            </w:tcBorders>
            <w:shd w:val="clear" w:color="auto" w:fill="auto"/>
            <w:noWrap/>
            <w:vAlign w:val="center"/>
            <w:hideMark/>
          </w:tcPr>
          <w:p w14:paraId="6F9E5DA0" w14:textId="77777777" w:rsidR="001C1E88" w:rsidRPr="001C1E88" w:rsidRDefault="001C1E88" w:rsidP="001C1E88">
            <w:pPr>
              <w:spacing w:after="0" w:line="240" w:lineRule="auto"/>
              <w:jc w:val="left"/>
              <w:rPr>
                <w:rFonts w:ascii="Arial" w:hAnsi="Arial" w:cs="Arial"/>
                <w:i/>
                <w:iCs/>
                <w:sz w:val="16"/>
                <w:szCs w:val="16"/>
              </w:rPr>
            </w:pPr>
          </w:p>
        </w:tc>
        <w:tc>
          <w:tcPr>
            <w:tcW w:w="579" w:type="pct"/>
            <w:tcBorders>
              <w:top w:val="nil"/>
              <w:left w:val="nil"/>
              <w:bottom w:val="nil"/>
              <w:right w:val="nil"/>
            </w:tcBorders>
            <w:shd w:val="clear" w:color="auto" w:fill="auto"/>
            <w:noWrap/>
            <w:vAlign w:val="center"/>
            <w:hideMark/>
          </w:tcPr>
          <w:p w14:paraId="297AB9F7"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643CEF80" w14:textId="77777777" w:rsidR="001C1E88" w:rsidRPr="001C1E88" w:rsidRDefault="001C1E88" w:rsidP="001C1E88">
            <w:pPr>
              <w:spacing w:after="0" w:line="240" w:lineRule="auto"/>
              <w:jc w:val="left"/>
              <w:rPr>
                <w:rFonts w:ascii="Times New Roman" w:hAnsi="Times New Roman"/>
              </w:rPr>
            </w:pPr>
          </w:p>
        </w:tc>
      </w:tr>
      <w:tr w:rsidR="001C1E88" w:rsidRPr="001C1E88" w14:paraId="190C88DD" w14:textId="77777777" w:rsidTr="001C1E88">
        <w:trPr>
          <w:trHeight w:hRule="exact" w:val="240"/>
        </w:trPr>
        <w:tc>
          <w:tcPr>
            <w:tcW w:w="2105" w:type="pct"/>
            <w:tcBorders>
              <w:top w:val="nil"/>
              <w:left w:val="nil"/>
              <w:bottom w:val="nil"/>
              <w:right w:val="nil"/>
            </w:tcBorders>
            <w:shd w:val="clear" w:color="auto" w:fill="auto"/>
            <w:noWrap/>
            <w:vAlign w:val="center"/>
            <w:hideMark/>
          </w:tcPr>
          <w:p w14:paraId="3CB256AD" w14:textId="01B9193A" w:rsidR="001C1E88" w:rsidRPr="001C1E88" w:rsidRDefault="001C1E88" w:rsidP="001C1E88">
            <w:pPr>
              <w:spacing w:after="0" w:line="240" w:lineRule="auto"/>
              <w:ind w:left="170"/>
              <w:jc w:val="left"/>
              <w:rPr>
                <w:rFonts w:ascii="Arial" w:hAnsi="Arial" w:cs="Arial"/>
                <w:i/>
                <w:iCs/>
                <w:sz w:val="16"/>
                <w:szCs w:val="16"/>
              </w:rPr>
            </w:pPr>
            <w:r w:rsidRPr="001C1E88">
              <w:rPr>
                <w:rFonts w:ascii="Arial" w:hAnsi="Arial" w:cs="Arial"/>
                <w:i/>
                <w:iCs/>
                <w:sz w:val="16"/>
                <w:szCs w:val="16"/>
              </w:rPr>
              <w:t>Purchase of non</w:t>
            </w:r>
            <w:r w:rsidR="00B33758">
              <w:rPr>
                <w:rFonts w:ascii="Arial" w:hAnsi="Arial" w:cs="Arial"/>
                <w:i/>
                <w:iCs/>
                <w:sz w:val="16"/>
                <w:szCs w:val="16"/>
              </w:rPr>
              <w:noBreakHyphen/>
            </w:r>
            <w:r w:rsidRPr="001C1E88">
              <w:rPr>
                <w:rFonts w:ascii="Arial" w:hAnsi="Arial" w:cs="Arial"/>
                <w:i/>
                <w:iCs/>
                <w:sz w:val="16"/>
                <w:szCs w:val="16"/>
              </w:rPr>
              <w:t>financial assets</w:t>
            </w:r>
          </w:p>
        </w:tc>
        <w:tc>
          <w:tcPr>
            <w:tcW w:w="579" w:type="pct"/>
            <w:tcBorders>
              <w:top w:val="nil"/>
              <w:left w:val="nil"/>
              <w:bottom w:val="nil"/>
              <w:right w:val="nil"/>
            </w:tcBorders>
            <w:shd w:val="clear" w:color="auto" w:fill="auto"/>
            <w:noWrap/>
            <w:vAlign w:val="center"/>
            <w:hideMark/>
          </w:tcPr>
          <w:p w14:paraId="20B4098F" w14:textId="77777777" w:rsidR="001C1E88" w:rsidRPr="001C1E88" w:rsidRDefault="001C1E88" w:rsidP="001C1E88">
            <w:pPr>
              <w:spacing w:after="0" w:line="240" w:lineRule="auto"/>
              <w:jc w:val="right"/>
              <w:rPr>
                <w:rFonts w:ascii="Arial" w:hAnsi="Arial" w:cs="Arial"/>
                <w:i/>
                <w:iCs/>
                <w:sz w:val="16"/>
                <w:szCs w:val="16"/>
              </w:rPr>
            </w:pPr>
            <w:r w:rsidRPr="001C1E88">
              <w:rPr>
                <w:rFonts w:ascii="Arial" w:hAnsi="Arial" w:cs="Arial"/>
                <w:i/>
                <w:iCs/>
                <w:sz w:val="16"/>
                <w:szCs w:val="16"/>
              </w:rPr>
              <w:t xml:space="preserve">10,563 </w:t>
            </w:r>
          </w:p>
        </w:tc>
        <w:tc>
          <w:tcPr>
            <w:tcW w:w="579" w:type="pct"/>
            <w:tcBorders>
              <w:top w:val="nil"/>
              <w:left w:val="nil"/>
              <w:bottom w:val="nil"/>
              <w:right w:val="nil"/>
            </w:tcBorders>
            <w:shd w:val="clear" w:color="000000" w:fill="E6E6E6"/>
            <w:noWrap/>
            <w:vAlign w:val="center"/>
            <w:hideMark/>
          </w:tcPr>
          <w:p w14:paraId="35DF7D34" w14:textId="77777777" w:rsidR="001C1E88" w:rsidRPr="001C1E88" w:rsidRDefault="001C1E88" w:rsidP="001C1E88">
            <w:pPr>
              <w:spacing w:after="0" w:line="240" w:lineRule="auto"/>
              <w:jc w:val="right"/>
              <w:rPr>
                <w:rFonts w:ascii="Arial" w:hAnsi="Arial" w:cs="Arial"/>
                <w:i/>
                <w:iCs/>
                <w:sz w:val="16"/>
                <w:szCs w:val="16"/>
              </w:rPr>
            </w:pPr>
            <w:r w:rsidRPr="001C1E88">
              <w:rPr>
                <w:rFonts w:ascii="Arial" w:hAnsi="Arial" w:cs="Arial"/>
                <w:i/>
                <w:iCs/>
                <w:sz w:val="16"/>
                <w:szCs w:val="16"/>
              </w:rPr>
              <w:t xml:space="preserve">9,140 </w:t>
            </w:r>
          </w:p>
        </w:tc>
        <w:tc>
          <w:tcPr>
            <w:tcW w:w="579" w:type="pct"/>
            <w:tcBorders>
              <w:top w:val="nil"/>
              <w:left w:val="nil"/>
              <w:bottom w:val="nil"/>
              <w:right w:val="nil"/>
            </w:tcBorders>
            <w:shd w:val="clear" w:color="auto" w:fill="auto"/>
            <w:noWrap/>
            <w:vAlign w:val="center"/>
            <w:hideMark/>
          </w:tcPr>
          <w:p w14:paraId="59D30DF4" w14:textId="77777777" w:rsidR="001C1E88" w:rsidRPr="001C1E88" w:rsidRDefault="001C1E88" w:rsidP="001C1E88">
            <w:pPr>
              <w:spacing w:after="0" w:line="240" w:lineRule="auto"/>
              <w:jc w:val="right"/>
              <w:rPr>
                <w:rFonts w:ascii="Arial" w:hAnsi="Arial" w:cs="Arial"/>
                <w:i/>
                <w:iCs/>
                <w:sz w:val="16"/>
                <w:szCs w:val="16"/>
              </w:rPr>
            </w:pPr>
            <w:r w:rsidRPr="001C1E88">
              <w:rPr>
                <w:rFonts w:ascii="Arial" w:hAnsi="Arial" w:cs="Arial"/>
                <w:i/>
                <w:iCs/>
                <w:sz w:val="16"/>
                <w:szCs w:val="16"/>
              </w:rPr>
              <w:t xml:space="preserve">8,257 </w:t>
            </w:r>
          </w:p>
        </w:tc>
        <w:tc>
          <w:tcPr>
            <w:tcW w:w="579" w:type="pct"/>
            <w:tcBorders>
              <w:top w:val="nil"/>
              <w:left w:val="nil"/>
              <w:bottom w:val="nil"/>
              <w:right w:val="nil"/>
            </w:tcBorders>
            <w:shd w:val="clear" w:color="auto" w:fill="auto"/>
            <w:noWrap/>
            <w:vAlign w:val="center"/>
            <w:hideMark/>
          </w:tcPr>
          <w:p w14:paraId="10CB3038" w14:textId="77777777" w:rsidR="001C1E88" w:rsidRPr="001C1E88" w:rsidRDefault="001C1E88" w:rsidP="001C1E88">
            <w:pPr>
              <w:spacing w:after="0" w:line="240" w:lineRule="auto"/>
              <w:jc w:val="right"/>
              <w:rPr>
                <w:rFonts w:ascii="Arial" w:hAnsi="Arial" w:cs="Arial"/>
                <w:i/>
                <w:iCs/>
                <w:sz w:val="16"/>
                <w:szCs w:val="16"/>
              </w:rPr>
            </w:pPr>
            <w:r w:rsidRPr="001C1E88">
              <w:rPr>
                <w:rFonts w:ascii="Arial" w:hAnsi="Arial" w:cs="Arial"/>
                <w:i/>
                <w:iCs/>
                <w:sz w:val="16"/>
                <w:szCs w:val="16"/>
              </w:rPr>
              <w:t xml:space="preserve">8,578 </w:t>
            </w:r>
          </w:p>
        </w:tc>
        <w:tc>
          <w:tcPr>
            <w:tcW w:w="579" w:type="pct"/>
            <w:tcBorders>
              <w:top w:val="nil"/>
              <w:left w:val="nil"/>
              <w:bottom w:val="nil"/>
              <w:right w:val="nil"/>
            </w:tcBorders>
            <w:shd w:val="clear" w:color="auto" w:fill="auto"/>
            <w:noWrap/>
            <w:vAlign w:val="center"/>
            <w:hideMark/>
          </w:tcPr>
          <w:p w14:paraId="5E05A15E" w14:textId="77777777" w:rsidR="001C1E88" w:rsidRPr="001C1E88" w:rsidRDefault="001C1E88" w:rsidP="001C1E88">
            <w:pPr>
              <w:spacing w:after="0" w:line="240" w:lineRule="auto"/>
              <w:jc w:val="right"/>
              <w:rPr>
                <w:rFonts w:ascii="Arial" w:hAnsi="Arial" w:cs="Arial"/>
                <w:i/>
                <w:iCs/>
                <w:sz w:val="16"/>
                <w:szCs w:val="16"/>
              </w:rPr>
            </w:pPr>
            <w:r w:rsidRPr="001C1E88">
              <w:rPr>
                <w:rFonts w:ascii="Arial" w:hAnsi="Arial" w:cs="Arial"/>
                <w:i/>
                <w:iCs/>
                <w:sz w:val="16"/>
                <w:szCs w:val="16"/>
              </w:rPr>
              <w:t xml:space="preserve">8,481 </w:t>
            </w:r>
          </w:p>
        </w:tc>
      </w:tr>
      <w:tr w:rsidR="001C1E88" w:rsidRPr="001C1E88" w14:paraId="53DE788E" w14:textId="77777777" w:rsidTr="001C1E88">
        <w:trPr>
          <w:trHeight w:hRule="exact" w:val="240"/>
        </w:trPr>
        <w:tc>
          <w:tcPr>
            <w:tcW w:w="2105" w:type="pct"/>
            <w:tcBorders>
              <w:top w:val="nil"/>
              <w:left w:val="nil"/>
              <w:bottom w:val="nil"/>
              <w:right w:val="nil"/>
            </w:tcBorders>
            <w:shd w:val="clear" w:color="auto" w:fill="auto"/>
            <w:noWrap/>
            <w:vAlign w:val="center"/>
            <w:hideMark/>
          </w:tcPr>
          <w:p w14:paraId="10EB477A" w14:textId="77777777" w:rsidR="001C1E88" w:rsidRPr="001C1E88" w:rsidRDefault="001C1E88" w:rsidP="001C1E88">
            <w:pPr>
              <w:spacing w:after="0" w:line="240" w:lineRule="auto"/>
              <w:jc w:val="left"/>
              <w:rPr>
                <w:rFonts w:ascii="Arial" w:hAnsi="Arial" w:cs="Arial"/>
                <w:b/>
                <w:bCs/>
                <w:i/>
                <w:iCs/>
                <w:sz w:val="16"/>
                <w:szCs w:val="16"/>
              </w:rPr>
            </w:pPr>
            <w:r w:rsidRPr="001C1E88">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center"/>
            <w:hideMark/>
          </w:tcPr>
          <w:p w14:paraId="2D21C7D9" w14:textId="77777777" w:rsidR="001C1E88" w:rsidRPr="001C1E88" w:rsidRDefault="001C1E88" w:rsidP="001C1E88">
            <w:pPr>
              <w:spacing w:after="0" w:line="240" w:lineRule="auto"/>
              <w:jc w:val="right"/>
              <w:rPr>
                <w:rFonts w:ascii="Arial" w:hAnsi="Arial" w:cs="Arial"/>
                <w:b/>
                <w:bCs/>
                <w:i/>
                <w:iCs/>
                <w:sz w:val="16"/>
                <w:szCs w:val="16"/>
              </w:rPr>
            </w:pPr>
            <w:r w:rsidRPr="001C1E88">
              <w:rPr>
                <w:rFonts w:ascii="Arial" w:hAnsi="Arial" w:cs="Arial"/>
                <w:b/>
                <w:bCs/>
                <w:i/>
                <w:iCs/>
                <w:sz w:val="16"/>
                <w:szCs w:val="16"/>
              </w:rPr>
              <w:t xml:space="preserve">10,563 </w:t>
            </w:r>
          </w:p>
        </w:tc>
        <w:tc>
          <w:tcPr>
            <w:tcW w:w="579" w:type="pct"/>
            <w:tcBorders>
              <w:top w:val="single" w:sz="4" w:space="0" w:color="auto"/>
              <w:left w:val="nil"/>
              <w:bottom w:val="single" w:sz="4" w:space="0" w:color="auto"/>
              <w:right w:val="nil"/>
            </w:tcBorders>
            <w:shd w:val="clear" w:color="000000" w:fill="E6E6E6"/>
            <w:noWrap/>
            <w:vAlign w:val="center"/>
            <w:hideMark/>
          </w:tcPr>
          <w:p w14:paraId="03FC8FFA" w14:textId="77777777" w:rsidR="001C1E88" w:rsidRPr="001C1E88" w:rsidRDefault="001C1E88" w:rsidP="001C1E88">
            <w:pPr>
              <w:spacing w:after="0" w:line="240" w:lineRule="auto"/>
              <w:jc w:val="right"/>
              <w:rPr>
                <w:rFonts w:ascii="Arial" w:hAnsi="Arial" w:cs="Arial"/>
                <w:b/>
                <w:bCs/>
                <w:i/>
                <w:iCs/>
                <w:sz w:val="16"/>
                <w:szCs w:val="16"/>
              </w:rPr>
            </w:pPr>
            <w:r w:rsidRPr="001C1E88">
              <w:rPr>
                <w:rFonts w:ascii="Arial" w:hAnsi="Arial" w:cs="Arial"/>
                <w:b/>
                <w:bCs/>
                <w:i/>
                <w:iCs/>
                <w:sz w:val="16"/>
                <w:szCs w:val="16"/>
              </w:rPr>
              <w:t xml:space="preserve">9,140 </w:t>
            </w:r>
          </w:p>
        </w:tc>
        <w:tc>
          <w:tcPr>
            <w:tcW w:w="579" w:type="pct"/>
            <w:tcBorders>
              <w:top w:val="single" w:sz="4" w:space="0" w:color="auto"/>
              <w:left w:val="nil"/>
              <w:bottom w:val="single" w:sz="4" w:space="0" w:color="auto"/>
              <w:right w:val="nil"/>
            </w:tcBorders>
            <w:shd w:val="clear" w:color="auto" w:fill="auto"/>
            <w:noWrap/>
            <w:vAlign w:val="center"/>
            <w:hideMark/>
          </w:tcPr>
          <w:p w14:paraId="0B2C0985" w14:textId="77777777" w:rsidR="001C1E88" w:rsidRPr="001C1E88" w:rsidRDefault="001C1E88" w:rsidP="001C1E88">
            <w:pPr>
              <w:spacing w:after="0" w:line="240" w:lineRule="auto"/>
              <w:jc w:val="right"/>
              <w:rPr>
                <w:rFonts w:ascii="Arial" w:hAnsi="Arial" w:cs="Arial"/>
                <w:b/>
                <w:bCs/>
                <w:i/>
                <w:iCs/>
                <w:sz w:val="16"/>
                <w:szCs w:val="16"/>
              </w:rPr>
            </w:pPr>
            <w:r w:rsidRPr="001C1E88">
              <w:rPr>
                <w:rFonts w:ascii="Arial" w:hAnsi="Arial" w:cs="Arial"/>
                <w:b/>
                <w:bCs/>
                <w:i/>
                <w:iCs/>
                <w:sz w:val="16"/>
                <w:szCs w:val="16"/>
              </w:rPr>
              <w:t xml:space="preserve">8,257 </w:t>
            </w:r>
          </w:p>
        </w:tc>
        <w:tc>
          <w:tcPr>
            <w:tcW w:w="579" w:type="pct"/>
            <w:tcBorders>
              <w:top w:val="single" w:sz="4" w:space="0" w:color="auto"/>
              <w:left w:val="nil"/>
              <w:bottom w:val="single" w:sz="4" w:space="0" w:color="auto"/>
              <w:right w:val="nil"/>
            </w:tcBorders>
            <w:shd w:val="clear" w:color="auto" w:fill="auto"/>
            <w:noWrap/>
            <w:vAlign w:val="center"/>
            <w:hideMark/>
          </w:tcPr>
          <w:p w14:paraId="3375E06D" w14:textId="77777777" w:rsidR="001C1E88" w:rsidRPr="001C1E88" w:rsidRDefault="001C1E88" w:rsidP="001C1E88">
            <w:pPr>
              <w:spacing w:after="0" w:line="240" w:lineRule="auto"/>
              <w:jc w:val="right"/>
              <w:rPr>
                <w:rFonts w:ascii="Arial" w:hAnsi="Arial" w:cs="Arial"/>
                <w:b/>
                <w:bCs/>
                <w:i/>
                <w:iCs/>
                <w:sz w:val="16"/>
                <w:szCs w:val="16"/>
              </w:rPr>
            </w:pPr>
            <w:r w:rsidRPr="001C1E88">
              <w:rPr>
                <w:rFonts w:ascii="Arial" w:hAnsi="Arial" w:cs="Arial"/>
                <w:b/>
                <w:bCs/>
                <w:i/>
                <w:iCs/>
                <w:sz w:val="16"/>
                <w:szCs w:val="16"/>
              </w:rPr>
              <w:t xml:space="preserve">8,578 </w:t>
            </w:r>
          </w:p>
        </w:tc>
        <w:tc>
          <w:tcPr>
            <w:tcW w:w="579" w:type="pct"/>
            <w:tcBorders>
              <w:top w:val="single" w:sz="4" w:space="0" w:color="auto"/>
              <w:left w:val="nil"/>
              <w:bottom w:val="single" w:sz="4" w:space="0" w:color="auto"/>
              <w:right w:val="nil"/>
            </w:tcBorders>
            <w:shd w:val="clear" w:color="auto" w:fill="auto"/>
            <w:noWrap/>
            <w:vAlign w:val="center"/>
            <w:hideMark/>
          </w:tcPr>
          <w:p w14:paraId="4C2F7669" w14:textId="77777777" w:rsidR="001C1E88" w:rsidRPr="001C1E88" w:rsidRDefault="001C1E88" w:rsidP="001C1E88">
            <w:pPr>
              <w:spacing w:after="0" w:line="240" w:lineRule="auto"/>
              <w:jc w:val="right"/>
              <w:rPr>
                <w:rFonts w:ascii="Arial" w:hAnsi="Arial" w:cs="Arial"/>
                <w:b/>
                <w:bCs/>
                <w:i/>
                <w:iCs/>
                <w:sz w:val="16"/>
                <w:szCs w:val="16"/>
              </w:rPr>
            </w:pPr>
            <w:r w:rsidRPr="001C1E88">
              <w:rPr>
                <w:rFonts w:ascii="Arial" w:hAnsi="Arial" w:cs="Arial"/>
                <w:b/>
                <w:bCs/>
                <w:i/>
                <w:iCs/>
                <w:sz w:val="16"/>
                <w:szCs w:val="16"/>
              </w:rPr>
              <w:t xml:space="preserve">8,481 </w:t>
            </w:r>
          </w:p>
        </w:tc>
      </w:tr>
      <w:tr w:rsidR="001C1E88" w:rsidRPr="001C1E88" w14:paraId="1DB6A98A" w14:textId="77777777" w:rsidTr="001C1E88">
        <w:trPr>
          <w:trHeight w:hRule="exact" w:val="450"/>
        </w:trPr>
        <w:tc>
          <w:tcPr>
            <w:tcW w:w="2105" w:type="pct"/>
            <w:tcBorders>
              <w:top w:val="nil"/>
              <w:left w:val="nil"/>
              <w:bottom w:val="nil"/>
              <w:right w:val="nil"/>
            </w:tcBorders>
            <w:shd w:val="clear" w:color="auto" w:fill="auto"/>
            <w:vAlign w:val="center"/>
            <w:hideMark/>
          </w:tcPr>
          <w:p w14:paraId="18C3B455" w14:textId="47384528" w:rsidR="001C1E88" w:rsidRPr="001C1E88" w:rsidRDefault="001C1E88" w:rsidP="001C1E88">
            <w:pPr>
              <w:spacing w:after="0" w:line="240" w:lineRule="auto"/>
              <w:jc w:val="left"/>
              <w:rPr>
                <w:rFonts w:ascii="Arial" w:hAnsi="Arial" w:cs="Arial"/>
                <w:b/>
                <w:bCs/>
                <w:sz w:val="16"/>
                <w:szCs w:val="16"/>
              </w:rPr>
            </w:pPr>
            <w:r w:rsidRPr="001C1E88">
              <w:rPr>
                <w:rFonts w:ascii="Arial" w:hAnsi="Arial" w:cs="Arial"/>
                <w:b/>
                <w:bCs/>
                <w:sz w:val="16"/>
                <w:szCs w:val="16"/>
              </w:rPr>
              <w:t>PURCHASE OF NON</w:t>
            </w:r>
            <w:r w:rsidR="00B33758">
              <w:rPr>
                <w:rFonts w:ascii="Arial" w:hAnsi="Arial" w:cs="Arial"/>
                <w:b/>
                <w:bCs/>
                <w:sz w:val="16"/>
                <w:szCs w:val="16"/>
              </w:rPr>
              <w:noBreakHyphen/>
            </w:r>
            <w:r w:rsidRPr="001C1E88">
              <w:rPr>
                <w:rFonts w:ascii="Arial" w:hAnsi="Arial" w:cs="Arial"/>
                <w:b/>
                <w:bCs/>
                <w:sz w:val="16"/>
                <w:szCs w:val="16"/>
              </w:rPr>
              <w:t>FINANCIAL</w:t>
            </w:r>
            <w:r w:rsidRPr="001C1E88">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center"/>
            <w:hideMark/>
          </w:tcPr>
          <w:p w14:paraId="26E9E511" w14:textId="77777777" w:rsidR="001C1E88" w:rsidRPr="001C1E88" w:rsidRDefault="001C1E88" w:rsidP="001C1E88">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center"/>
            <w:hideMark/>
          </w:tcPr>
          <w:p w14:paraId="76057BE3" w14:textId="77777777" w:rsidR="001C1E88" w:rsidRPr="001C1E88" w:rsidRDefault="001C1E88" w:rsidP="001C1E88">
            <w:pPr>
              <w:spacing w:after="0" w:line="240" w:lineRule="auto"/>
              <w:jc w:val="left"/>
              <w:rPr>
                <w:rFonts w:ascii="Arial" w:hAnsi="Arial" w:cs="Arial"/>
                <w:sz w:val="16"/>
                <w:szCs w:val="16"/>
              </w:rPr>
            </w:pPr>
            <w:r w:rsidRPr="001C1E88">
              <w:rPr>
                <w:rFonts w:ascii="Arial" w:hAnsi="Arial" w:cs="Arial"/>
                <w:sz w:val="16"/>
                <w:szCs w:val="16"/>
              </w:rPr>
              <w:t> </w:t>
            </w:r>
          </w:p>
        </w:tc>
        <w:tc>
          <w:tcPr>
            <w:tcW w:w="579" w:type="pct"/>
            <w:tcBorders>
              <w:top w:val="nil"/>
              <w:left w:val="nil"/>
              <w:bottom w:val="nil"/>
              <w:right w:val="nil"/>
            </w:tcBorders>
            <w:shd w:val="clear" w:color="auto" w:fill="auto"/>
            <w:vAlign w:val="center"/>
            <w:hideMark/>
          </w:tcPr>
          <w:p w14:paraId="4B6EB4F1" w14:textId="77777777" w:rsidR="001C1E88" w:rsidRPr="001C1E88" w:rsidRDefault="001C1E88" w:rsidP="001C1E88">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vAlign w:val="center"/>
            <w:hideMark/>
          </w:tcPr>
          <w:p w14:paraId="71205697"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vAlign w:val="center"/>
            <w:hideMark/>
          </w:tcPr>
          <w:p w14:paraId="00A6E548" w14:textId="77777777" w:rsidR="001C1E88" w:rsidRPr="001C1E88" w:rsidRDefault="001C1E88" w:rsidP="001C1E88">
            <w:pPr>
              <w:spacing w:after="0" w:line="240" w:lineRule="auto"/>
              <w:jc w:val="left"/>
              <w:rPr>
                <w:rFonts w:ascii="Times New Roman" w:hAnsi="Times New Roman"/>
              </w:rPr>
            </w:pPr>
          </w:p>
        </w:tc>
      </w:tr>
      <w:tr w:rsidR="001C1E88" w:rsidRPr="001C1E88" w14:paraId="1D1AE303" w14:textId="77777777" w:rsidTr="004A5972">
        <w:trPr>
          <w:trHeight w:hRule="exact" w:val="240"/>
        </w:trPr>
        <w:tc>
          <w:tcPr>
            <w:tcW w:w="2105" w:type="pct"/>
            <w:tcBorders>
              <w:top w:val="nil"/>
              <w:left w:val="nil"/>
              <w:bottom w:val="nil"/>
              <w:right w:val="nil"/>
            </w:tcBorders>
            <w:shd w:val="clear" w:color="auto" w:fill="auto"/>
            <w:noWrap/>
            <w:vAlign w:val="bottom"/>
            <w:hideMark/>
          </w:tcPr>
          <w:p w14:paraId="0392D753" w14:textId="77777777" w:rsidR="001C1E88" w:rsidRPr="001C1E88" w:rsidRDefault="001C1E88" w:rsidP="004A5972">
            <w:pPr>
              <w:spacing w:after="0" w:line="240" w:lineRule="auto"/>
              <w:ind w:left="170"/>
              <w:jc w:val="left"/>
              <w:rPr>
                <w:rFonts w:ascii="Arial" w:hAnsi="Arial" w:cs="Arial"/>
                <w:sz w:val="16"/>
                <w:szCs w:val="16"/>
              </w:rPr>
            </w:pPr>
            <w:r w:rsidRPr="001C1E88">
              <w:rPr>
                <w:rFonts w:ascii="Arial" w:hAnsi="Arial" w:cs="Arial"/>
                <w:sz w:val="16"/>
                <w:szCs w:val="16"/>
              </w:rPr>
              <w:t>Funded by capital appropriations (a)</w:t>
            </w:r>
          </w:p>
        </w:tc>
        <w:tc>
          <w:tcPr>
            <w:tcW w:w="579" w:type="pct"/>
            <w:tcBorders>
              <w:top w:val="nil"/>
              <w:left w:val="nil"/>
              <w:bottom w:val="nil"/>
              <w:right w:val="nil"/>
            </w:tcBorders>
            <w:shd w:val="clear" w:color="auto" w:fill="auto"/>
            <w:noWrap/>
            <w:vAlign w:val="bottom"/>
            <w:hideMark/>
          </w:tcPr>
          <w:p w14:paraId="335B2F02"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301 </w:t>
            </w:r>
          </w:p>
        </w:tc>
        <w:tc>
          <w:tcPr>
            <w:tcW w:w="579" w:type="pct"/>
            <w:tcBorders>
              <w:top w:val="nil"/>
              <w:left w:val="nil"/>
              <w:bottom w:val="nil"/>
              <w:right w:val="nil"/>
            </w:tcBorders>
            <w:shd w:val="clear" w:color="000000" w:fill="E6E6E6"/>
            <w:noWrap/>
            <w:vAlign w:val="bottom"/>
            <w:hideMark/>
          </w:tcPr>
          <w:p w14:paraId="4C272320"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303 </w:t>
            </w:r>
          </w:p>
        </w:tc>
        <w:tc>
          <w:tcPr>
            <w:tcW w:w="579" w:type="pct"/>
            <w:tcBorders>
              <w:top w:val="nil"/>
              <w:left w:val="nil"/>
              <w:bottom w:val="nil"/>
              <w:right w:val="nil"/>
            </w:tcBorders>
            <w:shd w:val="clear" w:color="auto" w:fill="auto"/>
            <w:noWrap/>
            <w:vAlign w:val="bottom"/>
            <w:hideMark/>
          </w:tcPr>
          <w:p w14:paraId="147B5815"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305 </w:t>
            </w:r>
          </w:p>
        </w:tc>
        <w:tc>
          <w:tcPr>
            <w:tcW w:w="579" w:type="pct"/>
            <w:tcBorders>
              <w:top w:val="nil"/>
              <w:left w:val="nil"/>
              <w:bottom w:val="nil"/>
              <w:right w:val="nil"/>
            </w:tcBorders>
            <w:shd w:val="clear" w:color="auto" w:fill="auto"/>
            <w:noWrap/>
            <w:vAlign w:val="bottom"/>
            <w:hideMark/>
          </w:tcPr>
          <w:p w14:paraId="5AEEEA81"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305 </w:t>
            </w:r>
          </w:p>
        </w:tc>
        <w:tc>
          <w:tcPr>
            <w:tcW w:w="579" w:type="pct"/>
            <w:tcBorders>
              <w:top w:val="nil"/>
              <w:left w:val="nil"/>
              <w:bottom w:val="nil"/>
              <w:right w:val="nil"/>
            </w:tcBorders>
            <w:shd w:val="clear" w:color="auto" w:fill="auto"/>
            <w:noWrap/>
            <w:vAlign w:val="bottom"/>
            <w:hideMark/>
          </w:tcPr>
          <w:p w14:paraId="1AA73EA4"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152 </w:t>
            </w:r>
          </w:p>
        </w:tc>
      </w:tr>
      <w:tr w:rsidR="001C1E88" w:rsidRPr="001C1E88" w14:paraId="33A78C3A" w14:textId="77777777" w:rsidTr="004A5972">
        <w:trPr>
          <w:trHeight w:hRule="exact" w:val="450"/>
        </w:trPr>
        <w:tc>
          <w:tcPr>
            <w:tcW w:w="2105" w:type="pct"/>
            <w:tcBorders>
              <w:top w:val="nil"/>
              <w:left w:val="nil"/>
              <w:bottom w:val="nil"/>
              <w:right w:val="nil"/>
            </w:tcBorders>
            <w:shd w:val="clear" w:color="auto" w:fill="auto"/>
            <w:vAlign w:val="bottom"/>
            <w:hideMark/>
          </w:tcPr>
          <w:p w14:paraId="2B839DDE" w14:textId="2BCFADF5" w:rsidR="001C1E88" w:rsidRPr="001C1E88" w:rsidRDefault="001C1E88" w:rsidP="004A5972">
            <w:pPr>
              <w:spacing w:after="0" w:line="240" w:lineRule="auto"/>
              <w:ind w:left="170"/>
              <w:jc w:val="left"/>
              <w:rPr>
                <w:rFonts w:ascii="Arial" w:hAnsi="Arial" w:cs="Arial"/>
                <w:sz w:val="16"/>
                <w:szCs w:val="16"/>
              </w:rPr>
            </w:pPr>
            <w:r w:rsidRPr="001C1E88">
              <w:rPr>
                <w:rFonts w:ascii="Arial" w:hAnsi="Arial" w:cs="Arial"/>
                <w:sz w:val="16"/>
                <w:szCs w:val="16"/>
              </w:rPr>
              <w:t xml:space="preserve">Funded by capital appropriation </w:t>
            </w:r>
            <w:r w:rsidR="00B33758">
              <w:rPr>
                <w:rFonts w:ascii="Arial" w:hAnsi="Arial" w:cs="Arial"/>
                <w:sz w:val="16"/>
                <w:szCs w:val="16"/>
              </w:rPr>
              <w:noBreakHyphen/>
            </w:r>
            <w:r w:rsidRPr="001C1E88">
              <w:rPr>
                <w:rFonts w:ascii="Arial" w:hAnsi="Arial" w:cs="Arial"/>
                <w:sz w:val="16"/>
                <w:szCs w:val="16"/>
              </w:rPr>
              <w:br/>
              <w:t xml:space="preserve">  DCB (b)</w:t>
            </w:r>
          </w:p>
        </w:tc>
        <w:tc>
          <w:tcPr>
            <w:tcW w:w="579" w:type="pct"/>
            <w:tcBorders>
              <w:top w:val="nil"/>
              <w:left w:val="nil"/>
              <w:bottom w:val="nil"/>
              <w:right w:val="nil"/>
            </w:tcBorders>
            <w:shd w:val="clear" w:color="auto" w:fill="auto"/>
            <w:noWrap/>
            <w:vAlign w:val="bottom"/>
            <w:hideMark/>
          </w:tcPr>
          <w:p w14:paraId="734C14D4"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10,262 </w:t>
            </w:r>
          </w:p>
        </w:tc>
        <w:tc>
          <w:tcPr>
            <w:tcW w:w="579" w:type="pct"/>
            <w:tcBorders>
              <w:top w:val="nil"/>
              <w:left w:val="nil"/>
              <w:bottom w:val="nil"/>
              <w:right w:val="nil"/>
            </w:tcBorders>
            <w:shd w:val="clear" w:color="000000" w:fill="E6E6E6"/>
            <w:noWrap/>
            <w:vAlign w:val="bottom"/>
            <w:hideMark/>
          </w:tcPr>
          <w:p w14:paraId="48C7F849"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8,837 </w:t>
            </w:r>
          </w:p>
        </w:tc>
        <w:tc>
          <w:tcPr>
            <w:tcW w:w="579" w:type="pct"/>
            <w:tcBorders>
              <w:top w:val="nil"/>
              <w:left w:val="nil"/>
              <w:bottom w:val="nil"/>
              <w:right w:val="nil"/>
            </w:tcBorders>
            <w:shd w:val="clear" w:color="auto" w:fill="auto"/>
            <w:noWrap/>
            <w:vAlign w:val="bottom"/>
            <w:hideMark/>
          </w:tcPr>
          <w:p w14:paraId="3A8CD852"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7,952 </w:t>
            </w:r>
          </w:p>
        </w:tc>
        <w:tc>
          <w:tcPr>
            <w:tcW w:w="579" w:type="pct"/>
            <w:tcBorders>
              <w:top w:val="nil"/>
              <w:left w:val="nil"/>
              <w:bottom w:val="nil"/>
              <w:right w:val="nil"/>
            </w:tcBorders>
            <w:shd w:val="clear" w:color="auto" w:fill="auto"/>
            <w:noWrap/>
            <w:vAlign w:val="bottom"/>
            <w:hideMark/>
          </w:tcPr>
          <w:p w14:paraId="4853866C"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8,273 </w:t>
            </w:r>
          </w:p>
        </w:tc>
        <w:tc>
          <w:tcPr>
            <w:tcW w:w="579" w:type="pct"/>
            <w:tcBorders>
              <w:top w:val="nil"/>
              <w:left w:val="nil"/>
              <w:bottom w:val="nil"/>
              <w:right w:val="nil"/>
            </w:tcBorders>
            <w:shd w:val="clear" w:color="auto" w:fill="auto"/>
            <w:noWrap/>
            <w:vAlign w:val="bottom"/>
            <w:hideMark/>
          </w:tcPr>
          <w:p w14:paraId="4758C5C2" w14:textId="77777777" w:rsidR="001C1E88" w:rsidRPr="001C1E88" w:rsidRDefault="001C1E88" w:rsidP="004A5972">
            <w:pPr>
              <w:spacing w:after="0" w:line="240" w:lineRule="auto"/>
              <w:jc w:val="right"/>
              <w:rPr>
                <w:rFonts w:ascii="Arial" w:hAnsi="Arial" w:cs="Arial"/>
                <w:sz w:val="16"/>
                <w:szCs w:val="16"/>
              </w:rPr>
            </w:pPr>
            <w:r w:rsidRPr="001C1E88">
              <w:rPr>
                <w:rFonts w:ascii="Arial" w:hAnsi="Arial" w:cs="Arial"/>
                <w:sz w:val="16"/>
                <w:szCs w:val="16"/>
              </w:rPr>
              <w:t xml:space="preserve">8,329 </w:t>
            </w:r>
          </w:p>
        </w:tc>
      </w:tr>
      <w:tr w:rsidR="001C1E88" w:rsidRPr="001C1E88" w14:paraId="4108DFC0" w14:textId="77777777" w:rsidTr="001C1E88">
        <w:trPr>
          <w:trHeight w:hRule="exact" w:val="240"/>
        </w:trPr>
        <w:tc>
          <w:tcPr>
            <w:tcW w:w="2105" w:type="pct"/>
            <w:tcBorders>
              <w:top w:val="nil"/>
              <w:left w:val="nil"/>
              <w:bottom w:val="nil"/>
              <w:right w:val="nil"/>
            </w:tcBorders>
            <w:shd w:val="clear" w:color="auto" w:fill="auto"/>
            <w:noWrap/>
            <w:vAlign w:val="center"/>
            <w:hideMark/>
          </w:tcPr>
          <w:p w14:paraId="3DBB645D" w14:textId="77777777" w:rsidR="001C1E88" w:rsidRPr="001C1E88" w:rsidRDefault="001C1E88" w:rsidP="001C1E88">
            <w:pPr>
              <w:spacing w:after="0" w:line="240" w:lineRule="auto"/>
              <w:jc w:val="left"/>
              <w:rPr>
                <w:rFonts w:ascii="Arial" w:hAnsi="Arial" w:cs="Arial"/>
                <w:b/>
                <w:bCs/>
                <w:sz w:val="16"/>
                <w:szCs w:val="16"/>
              </w:rPr>
            </w:pPr>
            <w:r w:rsidRPr="001C1E88">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center"/>
            <w:hideMark/>
          </w:tcPr>
          <w:p w14:paraId="59060EB6"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10,563 </w:t>
            </w:r>
          </w:p>
        </w:tc>
        <w:tc>
          <w:tcPr>
            <w:tcW w:w="579" w:type="pct"/>
            <w:tcBorders>
              <w:top w:val="single" w:sz="4" w:space="0" w:color="auto"/>
              <w:left w:val="nil"/>
              <w:bottom w:val="single" w:sz="4" w:space="0" w:color="auto"/>
              <w:right w:val="nil"/>
            </w:tcBorders>
            <w:shd w:val="clear" w:color="000000" w:fill="E6E6E6"/>
            <w:noWrap/>
            <w:vAlign w:val="center"/>
            <w:hideMark/>
          </w:tcPr>
          <w:p w14:paraId="586F4E88"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9,140 </w:t>
            </w:r>
          </w:p>
        </w:tc>
        <w:tc>
          <w:tcPr>
            <w:tcW w:w="579" w:type="pct"/>
            <w:tcBorders>
              <w:top w:val="single" w:sz="4" w:space="0" w:color="auto"/>
              <w:left w:val="nil"/>
              <w:bottom w:val="single" w:sz="4" w:space="0" w:color="auto"/>
              <w:right w:val="nil"/>
            </w:tcBorders>
            <w:shd w:val="clear" w:color="auto" w:fill="auto"/>
            <w:noWrap/>
            <w:vAlign w:val="center"/>
            <w:hideMark/>
          </w:tcPr>
          <w:p w14:paraId="41249F42"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8,257 </w:t>
            </w:r>
          </w:p>
        </w:tc>
        <w:tc>
          <w:tcPr>
            <w:tcW w:w="579" w:type="pct"/>
            <w:tcBorders>
              <w:top w:val="single" w:sz="4" w:space="0" w:color="auto"/>
              <w:left w:val="nil"/>
              <w:bottom w:val="single" w:sz="4" w:space="0" w:color="auto"/>
              <w:right w:val="nil"/>
            </w:tcBorders>
            <w:shd w:val="clear" w:color="auto" w:fill="auto"/>
            <w:noWrap/>
            <w:vAlign w:val="center"/>
            <w:hideMark/>
          </w:tcPr>
          <w:p w14:paraId="34FE7760"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8,578 </w:t>
            </w:r>
          </w:p>
        </w:tc>
        <w:tc>
          <w:tcPr>
            <w:tcW w:w="579" w:type="pct"/>
            <w:tcBorders>
              <w:top w:val="single" w:sz="4" w:space="0" w:color="auto"/>
              <w:left w:val="nil"/>
              <w:bottom w:val="single" w:sz="4" w:space="0" w:color="auto"/>
              <w:right w:val="nil"/>
            </w:tcBorders>
            <w:shd w:val="clear" w:color="auto" w:fill="auto"/>
            <w:noWrap/>
            <w:vAlign w:val="center"/>
            <w:hideMark/>
          </w:tcPr>
          <w:p w14:paraId="213673E5"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8,481 </w:t>
            </w:r>
          </w:p>
        </w:tc>
      </w:tr>
      <w:tr w:rsidR="001C1E88" w:rsidRPr="001C1E88" w14:paraId="336BAED3" w14:textId="77777777" w:rsidTr="001C1E88">
        <w:trPr>
          <w:trHeight w:hRule="exact" w:val="675"/>
        </w:trPr>
        <w:tc>
          <w:tcPr>
            <w:tcW w:w="2105" w:type="pct"/>
            <w:tcBorders>
              <w:top w:val="nil"/>
              <w:left w:val="nil"/>
              <w:bottom w:val="nil"/>
              <w:right w:val="nil"/>
            </w:tcBorders>
            <w:shd w:val="clear" w:color="auto" w:fill="auto"/>
            <w:vAlign w:val="center"/>
            <w:hideMark/>
          </w:tcPr>
          <w:p w14:paraId="0C7C8E23" w14:textId="77777777" w:rsidR="001C1E88" w:rsidRPr="001C1E88" w:rsidRDefault="001C1E88" w:rsidP="001C1E88">
            <w:pPr>
              <w:spacing w:after="0" w:line="240" w:lineRule="auto"/>
              <w:jc w:val="left"/>
              <w:rPr>
                <w:rFonts w:ascii="Arial" w:hAnsi="Arial" w:cs="Arial"/>
                <w:b/>
                <w:bCs/>
                <w:sz w:val="16"/>
                <w:szCs w:val="16"/>
              </w:rPr>
            </w:pPr>
            <w:r w:rsidRPr="001C1E88">
              <w:rPr>
                <w:rFonts w:ascii="Arial" w:hAnsi="Arial" w:cs="Arial"/>
                <w:b/>
                <w:bCs/>
                <w:sz w:val="16"/>
                <w:szCs w:val="16"/>
              </w:rPr>
              <w:t>RECONCILIATION OF CASH USED</w:t>
            </w:r>
            <w:r w:rsidRPr="001C1E88">
              <w:rPr>
                <w:rFonts w:ascii="Arial" w:hAnsi="Arial" w:cs="Arial"/>
                <w:b/>
                <w:bCs/>
                <w:sz w:val="16"/>
                <w:szCs w:val="16"/>
              </w:rPr>
              <w:br/>
              <w:t xml:space="preserve">  TO ACQUIRE ASSETS TO ASSET</w:t>
            </w:r>
            <w:r w:rsidRPr="001C1E88">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center"/>
            <w:hideMark/>
          </w:tcPr>
          <w:p w14:paraId="21658FD6" w14:textId="77777777" w:rsidR="001C1E88" w:rsidRPr="001C1E88" w:rsidRDefault="001C1E88" w:rsidP="001C1E88">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504BC448" w14:textId="77777777" w:rsidR="001C1E88" w:rsidRPr="001C1E88" w:rsidRDefault="001C1E88" w:rsidP="001C1E88">
            <w:pPr>
              <w:spacing w:after="0" w:line="240" w:lineRule="auto"/>
              <w:jc w:val="left"/>
              <w:rPr>
                <w:rFonts w:ascii="Arial" w:hAnsi="Arial" w:cs="Arial"/>
                <w:sz w:val="16"/>
                <w:szCs w:val="16"/>
              </w:rPr>
            </w:pPr>
            <w:r w:rsidRPr="001C1E88">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05B5D933" w14:textId="77777777" w:rsidR="001C1E88" w:rsidRPr="001C1E88" w:rsidRDefault="001C1E88" w:rsidP="001C1E88">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2C5A213E" w14:textId="77777777" w:rsidR="001C1E88" w:rsidRPr="001C1E88" w:rsidRDefault="001C1E88" w:rsidP="001C1E88">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8BA0558" w14:textId="77777777" w:rsidR="001C1E88" w:rsidRPr="001C1E88" w:rsidRDefault="001C1E88" w:rsidP="001C1E88">
            <w:pPr>
              <w:spacing w:after="0" w:line="240" w:lineRule="auto"/>
              <w:jc w:val="left"/>
              <w:rPr>
                <w:rFonts w:ascii="Times New Roman" w:hAnsi="Times New Roman"/>
              </w:rPr>
            </w:pPr>
          </w:p>
        </w:tc>
      </w:tr>
      <w:tr w:rsidR="001C1E88" w:rsidRPr="001C1E88" w14:paraId="4BE05F78" w14:textId="77777777" w:rsidTr="001C1E88">
        <w:trPr>
          <w:trHeight w:hRule="exact" w:val="240"/>
        </w:trPr>
        <w:tc>
          <w:tcPr>
            <w:tcW w:w="2105" w:type="pct"/>
            <w:tcBorders>
              <w:top w:val="nil"/>
              <w:left w:val="nil"/>
              <w:bottom w:val="nil"/>
              <w:right w:val="nil"/>
            </w:tcBorders>
            <w:shd w:val="clear" w:color="auto" w:fill="auto"/>
            <w:noWrap/>
            <w:vAlign w:val="center"/>
            <w:hideMark/>
          </w:tcPr>
          <w:p w14:paraId="451EB4C9" w14:textId="77777777" w:rsidR="001C1E88" w:rsidRPr="001C1E88" w:rsidRDefault="001C1E88" w:rsidP="001C1E88">
            <w:pPr>
              <w:spacing w:after="0" w:line="240" w:lineRule="auto"/>
              <w:jc w:val="left"/>
              <w:rPr>
                <w:rFonts w:ascii="Arial" w:hAnsi="Arial" w:cs="Arial"/>
                <w:sz w:val="16"/>
                <w:szCs w:val="16"/>
              </w:rPr>
            </w:pPr>
            <w:r w:rsidRPr="001C1E88">
              <w:rPr>
                <w:rFonts w:ascii="Arial" w:hAnsi="Arial" w:cs="Arial"/>
                <w:sz w:val="16"/>
                <w:szCs w:val="16"/>
              </w:rPr>
              <w:t>Total purchases</w:t>
            </w:r>
          </w:p>
        </w:tc>
        <w:tc>
          <w:tcPr>
            <w:tcW w:w="579" w:type="pct"/>
            <w:tcBorders>
              <w:top w:val="nil"/>
              <w:left w:val="nil"/>
              <w:bottom w:val="nil"/>
              <w:right w:val="nil"/>
            </w:tcBorders>
            <w:shd w:val="clear" w:color="auto" w:fill="auto"/>
            <w:noWrap/>
            <w:vAlign w:val="center"/>
            <w:hideMark/>
          </w:tcPr>
          <w:p w14:paraId="460A5E95"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10,563 </w:t>
            </w:r>
          </w:p>
        </w:tc>
        <w:tc>
          <w:tcPr>
            <w:tcW w:w="579" w:type="pct"/>
            <w:tcBorders>
              <w:top w:val="nil"/>
              <w:left w:val="nil"/>
              <w:bottom w:val="nil"/>
              <w:right w:val="nil"/>
            </w:tcBorders>
            <w:shd w:val="clear" w:color="000000" w:fill="E6E6E6"/>
            <w:noWrap/>
            <w:vAlign w:val="center"/>
            <w:hideMark/>
          </w:tcPr>
          <w:p w14:paraId="16DB529F"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9,140 </w:t>
            </w:r>
          </w:p>
        </w:tc>
        <w:tc>
          <w:tcPr>
            <w:tcW w:w="579" w:type="pct"/>
            <w:tcBorders>
              <w:top w:val="nil"/>
              <w:left w:val="nil"/>
              <w:bottom w:val="nil"/>
              <w:right w:val="nil"/>
            </w:tcBorders>
            <w:shd w:val="clear" w:color="auto" w:fill="auto"/>
            <w:noWrap/>
            <w:vAlign w:val="center"/>
            <w:hideMark/>
          </w:tcPr>
          <w:p w14:paraId="76FD6517"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8,257 </w:t>
            </w:r>
          </w:p>
        </w:tc>
        <w:tc>
          <w:tcPr>
            <w:tcW w:w="579" w:type="pct"/>
            <w:tcBorders>
              <w:top w:val="nil"/>
              <w:left w:val="nil"/>
              <w:bottom w:val="nil"/>
              <w:right w:val="nil"/>
            </w:tcBorders>
            <w:shd w:val="clear" w:color="auto" w:fill="auto"/>
            <w:noWrap/>
            <w:vAlign w:val="center"/>
            <w:hideMark/>
          </w:tcPr>
          <w:p w14:paraId="721C208F"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8,578 </w:t>
            </w:r>
          </w:p>
        </w:tc>
        <w:tc>
          <w:tcPr>
            <w:tcW w:w="579" w:type="pct"/>
            <w:tcBorders>
              <w:top w:val="nil"/>
              <w:left w:val="nil"/>
              <w:bottom w:val="nil"/>
              <w:right w:val="nil"/>
            </w:tcBorders>
            <w:shd w:val="clear" w:color="auto" w:fill="auto"/>
            <w:noWrap/>
            <w:vAlign w:val="center"/>
            <w:hideMark/>
          </w:tcPr>
          <w:p w14:paraId="3C19FBDF" w14:textId="77777777" w:rsidR="001C1E88" w:rsidRPr="001C1E88" w:rsidRDefault="001C1E88" w:rsidP="001C1E88">
            <w:pPr>
              <w:spacing w:after="0" w:line="240" w:lineRule="auto"/>
              <w:jc w:val="right"/>
              <w:rPr>
                <w:rFonts w:ascii="Arial" w:hAnsi="Arial" w:cs="Arial"/>
                <w:sz w:val="16"/>
                <w:szCs w:val="16"/>
              </w:rPr>
            </w:pPr>
            <w:r w:rsidRPr="001C1E88">
              <w:rPr>
                <w:rFonts w:ascii="Arial" w:hAnsi="Arial" w:cs="Arial"/>
                <w:sz w:val="16"/>
                <w:szCs w:val="16"/>
              </w:rPr>
              <w:t xml:space="preserve">8,481 </w:t>
            </w:r>
          </w:p>
        </w:tc>
      </w:tr>
      <w:tr w:rsidR="001C1E88" w:rsidRPr="001C1E88" w14:paraId="74131092" w14:textId="77777777" w:rsidTr="001C1E88">
        <w:trPr>
          <w:trHeight w:hRule="exact" w:val="240"/>
        </w:trPr>
        <w:tc>
          <w:tcPr>
            <w:tcW w:w="2105" w:type="pct"/>
            <w:tcBorders>
              <w:top w:val="nil"/>
              <w:left w:val="nil"/>
              <w:bottom w:val="single" w:sz="4" w:space="0" w:color="auto"/>
              <w:right w:val="nil"/>
            </w:tcBorders>
            <w:shd w:val="clear" w:color="auto" w:fill="auto"/>
            <w:vAlign w:val="center"/>
            <w:hideMark/>
          </w:tcPr>
          <w:p w14:paraId="79BB670A" w14:textId="77777777" w:rsidR="001C1E88" w:rsidRPr="001C1E88" w:rsidRDefault="001C1E88" w:rsidP="001C1E88">
            <w:pPr>
              <w:spacing w:after="0" w:line="240" w:lineRule="auto"/>
              <w:jc w:val="left"/>
              <w:rPr>
                <w:rFonts w:ascii="Arial" w:hAnsi="Arial" w:cs="Arial"/>
                <w:b/>
                <w:bCs/>
                <w:sz w:val="16"/>
                <w:szCs w:val="16"/>
              </w:rPr>
            </w:pPr>
            <w:r w:rsidRPr="001C1E88">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center"/>
            <w:hideMark/>
          </w:tcPr>
          <w:p w14:paraId="256CF2C8"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10,563 </w:t>
            </w:r>
          </w:p>
        </w:tc>
        <w:tc>
          <w:tcPr>
            <w:tcW w:w="579" w:type="pct"/>
            <w:tcBorders>
              <w:top w:val="single" w:sz="4" w:space="0" w:color="auto"/>
              <w:left w:val="nil"/>
              <w:bottom w:val="single" w:sz="4" w:space="0" w:color="auto"/>
              <w:right w:val="nil"/>
            </w:tcBorders>
            <w:shd w:val="clear" w:color="000000" w:fill="E6E6E6"/>
            <w:noWrap/>
            <w:vAlign w:val="center"/>
            <w:hideMark/>
          </w:tcPr>
          <w:p w14:paraId="5FAA97C7"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9,140 </w:t>
            </w:r>
          </w:p>
        </w:tc>
        <w:tc>
          <w:tcPr>
            <w:tcW w:w="579" w:type="pct"/>
            <w:tcBorders>
              <w:top w:val="single" w:sz="4" w:space="0" w:color="auto"/>
              <w:left w:val="nil"/>
              <w:bottom w:val="single" w:sz="4" w:space="0" w:color="auto"/>
              <w:right w:val="nil"/>
            </w:tcBorders>
            <w:shd w:val="clear" w:color="auto" w:fill="auto"/>
            <w:noWrap/>
            <w:vAlign w:val="center"/>
            <w:hideMark/>
          </w:tcPr>
          <w:p w14:paraId="2E8DA52E"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8,257 </w:t>
            </w:r>
          </w:p>
        </w:tc>
        <w:tc>
          <w:tcPr>
            <w:tcW w:w="579" w:type="pct"/>
            <w:tcBorders>
              <w:top w:val="single" w:sz="4" w:space="0" w:color="auto"/>
              <w:left w:val="nil"/>
              <w:bottom w:val="single" w:sz="4" w:space="0" w:color="auto"/>
              <w:right w:val="nil"/>
            </w:tcBorders>
            <w:shd w:val="clear" w:color="auto" w:fill="auto"/>
            <w:noWrap/>
            <w:vAlign w:val="center"/>
            <w:hideMark/>
          </w:tcPr>
          <w:p w14:paraId="0B06A12B"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8,578 </w:t>
            </w:r>
          </w:p>
        </w:tc>
        <w:tc>
          <w:tcPr>
            <w:tcW w:w="579" w:type="pct"/>
            <w:tcBorders>
              <w:top w:val="single" w:sz="4" w:space="0" w:color="auto"/>
              <w:left w:val="nil"/>
              <w:bottom w:val="single" w:sz="4" w:space="0" w:color="auto"/>
              <w:right w:val="nil"/>
            </w:tcBorders>
            <w:shd w:val="clear" w:color="auto" w:fill="auto"/>
            <w:noWrap/>
            <w:vAlign w:val="center"/>
            <w:hideMark/>
          </w:tcPr>
          <w:p w14:paraId="18619EBA" w14:textId="77777777" w:rsidR="001C1E88" w:rsidRPr="001C1E88" w:rsidRDefault="001C1E88" w:rsidP="001C1E88">
            <w:pPr>
              <w:spacing w:after="0" w:line="240" w:lineRule="auto"/>
              <w:jc w:val="right"/>
              <w:rPr>
                <w:rFonts w:ascii="Arial" w:hAnsi="Arial" w:cs="Arial"/>
                <w:b/>
                <w:bCs/>
                <w:sz w:val="16"/>
                <w:szCs w:val="16"/>
              </w:rPr>
            </w:pPr>
            <w:r w:rsidRPr="001C1E88">
              <w:rPr>
                <w:rFonts w:ascii="Arial" w:hAnsi="Arial" w:cs="Arial"/>
                <w:b/>
                <w:bCs/>
                <w:sz w:val="16"/>
                <w:szCs w:val="16"/>
              </w:rPr>
              <w:t xml:space="preserve">8,481 </w:t>
            </w:r>
          </w:p>
        </w:tc>
      </w:tr>
    </w:tbl>
    <w:p w14:paraId="3888129E" w14:textId="137E4657" w:rsidR="00D606C2" w:rsidRPr="001C1E88" w:rsidRDefault="00D606C2" w:rsidP="001C1E88">
      <w:pPr>
        <w:pStyle w:val="TableHeadingcontinued"/>
        <w:rPr>
          <w:b w:val="0"/>
          <w:bCs/>
        </w:rPr>
      </w:pPr>
      <w:r w:rsidRPr="001C1E88">
        <w:rPr>
          <w:rFonts w:ascii="Arial" w:hAnsi="Arial" w:cs="Arial"/>
          <w:b w:val="0"/>
          <w:bCs/>
          <w:sz w:val="16"/>
          <w:szCs w:val="16"/>
        </w:rPr>
        <w:t>Prepared on Australian Accounting Standards basis.</w:t>
      </w:r>
    </w:p>
    <w:p w14:paraId="573EF6F0" w14:textId="53C3B5E1" w:rsidR="00F20FF5" w:rsidRPr="001D35D7" w:rsidRDefault="00F20FF5" w:rsidP="001D35D7">
      <w:pPr>
        <w:pStyle w:val="ChartandTableFootnoteAlpha"/>
        <w:numPr>
          <w:ilvl w:val="0"/>
          <w:numId w:val="22"/>
        </w:numPr>
        <w:rPr>
          <w:rFonts w:cs="Arial"/>
          <w:szCs w:val="16"/>
        </w:rPr>
      </w:pPr>
      <w:r w:rsidRPr="001D35D7">
        <w:rPr>
          <w:rFonts w:cs="Arial"/>
          <w:szCs w:val="16"/>
        </w:rPr>
        <w:t>Includes both current Bill 2 and prior Act 2/4/6 appropriations</w:t>
      </w:r>
      <w:r w:rsidR="00D52088" w:rsidRPr="001D35D7">
        <w:rPr>
          <w:rFonts w:cs="Arial"/>
          <w:szCs w:val="16"/>
        </w:rPr>
        <w:t>.</w:t>
      </w:r>
    </w:p>
    <w:p w14:paraId="2594303A" w14:textId="20B3E111" w:rsidR="00F20FF5" w:rsidRDefault="00F20FF5" w:rsidP="00C1778B">
      <w:pPr>
        <w:pStyle w:val="ChartandTableFootnoteAlpha"/>
        <w:rPr>
          <w:rFonts w:cs="Arial"/>
          <w:szCs w:val="16"/>
        </w:rPr>
      </w:pPr>
      <w:r w:rsidRPr="00132F9E">
        <w:rPr>
          <w:rFonts w:cs="Arial"/>
          <w:szCs w:val="16"/>
        </w:rPr>
        <w:t>Includes purchases from current an</w:t>
      </w:r>
      <w:r w:rsidR="00EE2ED0" w:rsidRPr="00132F9E">
        <w:rPr>
          <w:rFonts w:cs="Arial"/>
          <w:szCs w:val="16"/>
        </w:rPr>
        <w:t>d previous years</w:t>
      </w:r>
      <w:r w:rsidR="00B33758">
        <w:rPr>
          <w:rFonts w:cs="Arial"/>
          <w:szCs w:val="16"/>
        </w:rPr>
        <w:t>’</w:t>
      </w:r>
      <w:r w:rsidR="00EE2ED0" w:rsidRPr="00132F9E">
        <w:rPr>
          <w:rFonts w:cs="Arial"/>
          <w:szCs w:val="16"/>
        </w:rPr>
        <w:t xml:space="preserve">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1254C00C" w14:textId="77777777" w:rsidR="0018207F" w:rsidRPr="0018207F" w:rsidRDefault="0018207F" w:rsidP="00350F81">
      <w:pPr>
        <w:pStyle w:val="SingleParagraph"/>
      </w:pPr>
    </w:p>
    <w:p w14:paraId="57A840A1" w14:textId="77777777" w:rsidR="00982444" w:rsidRDefault="00982444" w:rsidP="0061675B">
      <w:pPr>
        <w:pStyle w:val="ExampleText0"/>
        <w:sectPr w:rsidR="00982444" w:rsidSect="008162F6">
          <w:headerReference w:type="even" r:id="rId30"/>
          <w:headerReference w:type="default" r:id="rId31"/>
          <w:footerReference w:type="even" r:id="rId32"/>
          <w:footerReference w:type="default" r:id="rId33"/>
          <w:headerReference w:type="first" r:id="rId34"/>
          <w:footerReference w:type="first" r:id="rId35"/>
          <w:pgSz w:w="11907" w:h="16840" w:code="9"/>
          <w:pgMar w:top="2835" w:right="2098" w:bottom="2466" w:left="2098" w:header="1814" w:footer="1814" w:gutter="0"/>
          <w:cols w:space="708"/>
          <w:titlePg/>
          <w:docGrid w:linePitch="360"/>
        </w:sectPr>
      </w:pPr>
    </w:p>
    <w:p w14:paraId="26CCD925" w14:textId="1A002AFF" w:rsidR="00855DD9" w:rsidRPr="00855DD9" w:rsidRDefault="00CC4867" w:rsidP="00855DD9">
      <w:pPr>
        <w:pStyle w:val="TableHeading"/>
      </w:pPr>
      <w:r w:rsidRPr="00D30CBA">
        <w:lastRenderedPageBreak/>
        <w:t>Table</w:t>
      </w:r>
      <w:r w:rsidR="00971CBF">
        <w:t xml:space="preserve"> 3.</w:t>
      </w:r>
      <w:r>
        <w:t>6</w:t>
      </w:r>
      <w:r w:rsidRPr="00D30CBA">
        <w:t xml:space="preserve">: </w:t>
      </w:r>
      <w:r>
        <w:t xml:space="preserve">Statement of </w:t>
      </w:r>
      <w:r w:rsidR="00F87522">
        <w:rPr>
          <w:lang w:val="en-AU"/>
        </w:rPr>
        <w:t xml:space="preserve">departmental </w:t>
      </w:r>
      <w:r w:rsidR="00F10305">
        <w:t xml:space="preserve">asset movements </w:t>
      </w:r>
      <w:r w:rsidR="008A1DDE">
        <w:t>(</w:t>
      </w:r>
      <w:r w:rsidR="00B70C9E">
        <w:t xml:space="preserve">Budget year </w:t>
      </w:r>
      <w:r w:rsidR="007E3AC7">
        <w:rPr>
          <w:lang w:val="en-AU"/>
        </w:rPr>
        <w:t>202</w:t>
      </w:r>
      <w:r w:rsidR="00C07F1C">
        <w:rPr>
          <w:lang w:val="en-AU"/>
        </w:rPr>
        <w:t>2</w:t>
      </w:r>
      <w:r w:rsidR="00B33758">
        <w:rPr>
          <w:lang w:val="en-AU"/>
        </w:rPr>
        <w:noBreakHyphen/>
      </w:r>
      <w:r w:rsidR="00C07F1C">
        <w:rPr>
          <w:lang w:val="en-AU"/>
        </w:rPr>
        <w:t>23</w:t>
      </w:r>
      <w:r w:rsidR="00E855E0">
        <w:t>)</w:t>
      </w:r>
    </w:p>
    <w:tbl>
      <w:tblPr>
        <w:tblW w:w="5000" w:type="pct"/>
        <w:tblCellMar>
          <w:left w:w="0" w:type="dxa"/>
          <w:right w:w="28" w:type="dxa"/>
        </w:tblCellMar>
        <w:tblLook w:val="04A0" w:firstRow="1" w:lastRow="0" w:firstColumn="1" w:lastColumn="0" w:noHBand="0" w:noVBand="1"/>
      </w:tblPr>
      <w:tblGrid>
        <w:gridCol w:w="7410"/>
        <w:gridCol w:w="976"/>
        <w:gridCol w:w="1115"/>
        <w:gridCol w:w="1138"/>
        <w:gridCol w:w="900"/>
      </w:tblGrid>
      <w:tr w:rsidR="007F67CD" w:rsidRPr="00855DD9" w14:paraId="6B4F8806" w14:textId="77777777" w:rsidTr="007F67CD">
        <w:trPr>
          <w:trHeight w:hRule="exact" w:val="1125"/>
        </w:trPr>
        <w:tc>
          <w:tcPr>
            <w:tcW w:w="3211" w:type="pct"/>
            <w:tcBorders>
              <w:top w:val="single" w:sz="4" w:space="0" w:color="auto"/>
              <w:left w:val="nil"/>
              <w:bottom w:val="nil"/>
              <w:right w:val="nil"/>
            </w:tcBorders>
            <w:shd w:val="clear" w:color="auto" w:fill="auto"/>
            <w:noWrap/>
            <w:vAlign w:val="center"/>
            <w:hideMark/>
          </w:tcPr>
          <w:p w14:paraId="31AB9568" w14:textId="127B7F3C" w:rsidR="00855DD9" w:rsidRPr="00855DD9" w:rsidRDefault="00855DD9" w:rsidP="00855DD9">
            <w:pPr>
              <w:spacing w:after="0" w:line="240" w:lineRule="auto"/>
              <w:rPr>
                <w:rFonts w:ascii="Arial" w:hAnsi="Arial" w:cs="Arial"/>
                <w:sz w:val="16"/>
                <w:szCs w:val="16"/>
              </w:rPr>
            </w:pPr>
            <w:r w:rsidRPr="00855DD9">
              <w:rPr>
                <w:rFonts w:ascii="Arial" w:hAnsi="Arial" w:cs="Arial"/>
                <w:sz w:val="16"/>
                <w:szCs w:val="16"/>
              </w:rPr>
              <w:t> </w:t>
            </w:r>
          </w:p>
        </w:tc>
        <w:tc>
          <w:tcPr>
            <w:tcW w:w="423" w:type="pct"/>
            <w:tcBorders>
              <w:top w:val="single" w:sz="4" w:space="0" w:color="auto"/>
              <w:left w:val="nil"/>
              <w:bottom w:val="single" w:sz="4" w:space="0" w:color="auto"/>
              <w:right w:val="nil"/>
            </w:tcBorders>
            <w:shd w:val="clear" w:color="auto" w:fill="auto"/>
            <w:vAlign w:val="center"/>
            <w:hideMark/>
          </w:tcPr>
          <w:p w14:paraId="1E8F7EA4" w14:textId="0DB59515" w:rsidR="00855DD9" w:rsidRPr="00855DD9" w:rsidRDefault="00855DD9" w:rsidP="007F67CD">
            <w:pPr>
              <w:spacing w:after="0" w:line="240" w:lineRule="auto"/>
              <w:jc w:val="right"/>
              <w:rPr>
                <w:rFonts w:ascii="Arial" w:hAnsi="Arial" w:cs="Arial"/>
                <w:sz w:val="16"/>
                <w:szCs w:val="16"/>
              </w:rPr>
            </w:pPr>
            <w:r w:rsidRPr="00855DD9">
              <w:rPr>
                <w:rFonts w:ascii="Arial" w:hAnsi="Arial" w:cs="Arial"/>
                <w:sz w:val="16"/>
                <w:szCs w:val="16"/>
              </w:rPr>
              <w:t>Buildings</w:t>
            </w:r>
            <w:r w:rsidRPr="00855DD9">
              <w:rPr>
                <w:rFonts w:ascii="Arial" w:hAnsi="Arial" w:cs="Arial"/>
                <w:sz w:val="16"/>
                <w:szCs w:val="16"/>
              </w:rPr>
              <w:br/>
            </w:r>
            <w:r w:rsidRPr="00855DD9">
              <w:rPr>
                <w:rFonts w:ascii="Arial" w:hAnsi="Arial" w:cs="Arial"/>
                <w:sz w:val="16"/>
                <w:szCs w:val="16"/>
              </w:rPr>
              <w:br/>
            </w:r>
            <w:r w:rsidRPr="00855DD9">
              <w:rPr>
                <w:rFonts w:ascii="Arial" w:hAnsi="Arial" w:cs="Arial"/>
                <w:sz w:val="16"/>
                <w:szCs w:val="16"/>
              </w:rPr>
              <w:br/>
            </w:r>
            <w:r w:rsidRPr="00855DD9">
              <w:rPr>
                <w:rFonts w:ascii="Arial" w:hAnsi="Arial" w:cs="Arial"/>
                <w:sz w:val="16"/>
                <w:szCs w:val="16"/>
              </w:rPr>
              <w:br/>
              <w:t>$</w:t>
            </w:r>
            <w:r w:rsidR="00B33758">
              <w:rPr>
                <w:rFonts w:ascii="Arial" w:hAnsi="Arial" w:cs="Arial"/>
                <w:sz w:val="16"/>
                <w:szCs w:val="16"/>
              </w:rPr>
              <w:t>’</w:t>
            </w:r>
            <w:r w:rsidRPr="00855DD9">
              <w:rPr>
                <w:rFonts w:ascii="Arial" w:hAnsi="Arial" w:cs="Arial"/>
                <w:sz w:val="16"/>
                <w:szCs w:val="16"/>
              </w:rPr>
              <w:t>000</w:t>
            </w:r>
          </w:p>
        </w:tc>
        <w:tc>
          <w:tcPr>
            <w:tcW w:w="483" w:type="pct"/>
            <w:tcBorders>
              <w:top w:val="single" w:sz="4" w:space="0" w:color="auto"/>
              <w:left w:val="nil"/>
              <w:bottom w:val="single" w:sz="4" w:space="0" w:color="auto"/>
              <w:right w:val="nil"/>
            </w:tcBorders>
            <w:shd w:val="clear" w:color="auto" w:fill="auto"/>
            <w:vAlign w:val="center"/>
            <w:hideMark/>
          </w:tcPr>
          <w:p w14:paraId="01FA147A" w14:textId="49679ACA" w:rsidR="00855DD9" w:rsidRPr="00855DD9" w:rsidRDefault="00855DD9" w:rsidP="007F67CD">
            <w:pPr>
              <w:spacing w:after="0" w:line="240" w:lineRule="auto"/>
              <w:jc w:val="right"/>
              <w:rPr>
                <w:rFonts w:ascii="Arial" w:hAnsi="Arial" w:cs="Arial"/>
                <w:sz w:val="16"/>
                <w:szCs w:val="16"/>
              </w:rPr>
            </w:pPr>
            <w:r w:rsidRPr="00855DD9">
              <w:rPr>
                <w:rFonts w:ascii="Arial" w:hAnsi="Arial" w:cs="Arial"/>
                <w:sz w:val="16"/>
                <w:szCs w:val="16"/>
              </w:rPr>
              <w:t>Other</w:t>
            </w:r>
            <w:r w:rsidRPr="00855DD9">
              <w:rPr>
                <w:rFonts w:ascii="Arial" w:hAnsi="Arial" w:cs="Arial"/>
                <w:sz w:val="16"/>
                <w:szCs w:val="16"/>
              </w:rPr>
              <w:br/>
              <w:t>property,</w:t>
            </w:r>
            <w:r w:rsidRPr="00855DD9">
              <w:rPr>
                <w:rFonts w:ascii="Arial" w:hAnsi="Arial" w:cs="Arial"/>
                <w:sz w:val="16"/>
                <w:szCs w:val="16"/>
              </w:rPr>
              <w:br/>
              <w:t>plant and</w:t>
            </w:r>
            <w:r w:rsidRPr="00855DD9">
              <w:rPr>
                <w:rFonts w:ascii="Arial" w:hAnsi="Arial" w:cs="Arial"/>
                <w:sz w:val="16"/>
                <w:szCs w:val="16"/>
              </w:rPr>
              <w:br/>
              <w:t>equipment</w:t>
            </w:r>
            <w:r w:rsidRPr="00855DD9">
              <w:rPr>
                <w:rFonts w:ascii="Arial" w:hAnsi="Arial" w:cs="Arial"/>
                <w:sz w:val="16"/>
                <w:szCs w:val="16"/>
              </w:rPr>
              <w:br/>
              <w:t>$</w:t>
            </w:r>
            <w:r w:rsidR="00B33758">
              <w:rPr>
                <w:rFonts w:ascii="Arial" w:hAnsi="Arial" w:cs="Arial"/>
                <w:sz w:val="16"/>
                <w:szCs w:val="16"/>
              </w:rPr>
              <w:t>’</w:t>
            </w:r>
            <w:r w:rsidRPr="00855DD9">
              <w:rPr>
                <w:rFonts w:ascii="Arial" w:hAnsi="Arial" w:cs="Arial"/>
                <w:sz w:val="16"/>
                <w:szCs w:val="16"/>
              </w:rPr>
              <w:t>000</w:t>
            </w:r>
          </w:p>
        </w:tc>
        <w:tc>
          <w:tcPr>
            <w:tcW w:w="493" w:type="pct"/>
            <w:tcBorders>
              <w:top w:val="single" w:sz="4" w:space="0" w:color="auto"/>
              <w:left w:val="nil"/>
              <w:bottom w:val="single" w:sz="4" w:space="0" w:color="auto"/>
              <w:right w:val="nil"/>
            </w:tcBorders>
            <w:shd w:val="clear" w:color="auto" w:fill="auto"/>
            <w:vAlign w:val="center"/>
            <w:hideMark/>
          </w:tcPr>
          <w:p w14:paraId="5AF4149B" w14:textId="77777777" w:rsidR="007F67CD" w:rsidRDefault="00855DD9" w:rsidP="007F67CD">
            <w:pPr>
              <w:spacing w:after="0" w:line="240" w:lineRule="auto"/>
              <w:jc w:val="right"/>
              <w:rPr>
                <w:rFonts w:ascii="Arial" w:hAnsi="Arial" w:cs="Arial"/>
                <w:sz w:val="16"/>
                <w:szCs w:val="16"/>
              </w:rPr>
            </w:pPr>
            <w:r w:rsidRPr="00855DD9">
              <w:rPr>
                <w:rFonts w:ascii="Arial" w:hAnsi="Arial" w:cs="Arial"/>
                <w:sz w:val="16"/>
                <w:szCs w:val="16"/>
              </w:rPr>
              <w:t>Computer</w:t>
            </w:r>
            <w:r w:rsidRPr="00855DD9">
              <w:rPr>
                <w:rFonts w:ascii="Arial" w:hAnsi="Arial" w:cs="Arial"/>
                <w:sz w:val="16"/>
                <w:szCs w:val="16"/>
              </w:rPr>
              <w:br/>
              <w:t>software and</w:t>
            </w:r>
            <w:r w:rsidRPr="00855DD9">
              <w:rPr>
                <w:rFonts w:ascii="Arial" w:hAnsi="Arial" w:cs="Arial"/>
                <w:sz w:val="16"/>
                <w:szCs w:val="16"/>
              </w:rPr>
              <w:br/>
              <w:t>intangibles</w:t>
            </w:r>
            <w:r w:rsidRPr="00855DD9">
              <w:rPr>
                <w:rFonts w:ascii="Arial" w:hAnsi="Arial" w:cs="Arial"/>
                <w:sz w:val="16"/>
                <w:szCs w:val="16"/>
              </w:rPr>
              <w:br/>
            </w:r>
          </w:p>
          <w:p w14:paraId="71F036F4" w14:textId="643E5691" w:rsidR="00855DD9" w:rsidRPr="00855DD9" w:rsidRDefault="00855DD9" w:rsidP="007F67CD">
            <w:pPr>
              <w:spacing w:after="0" w:line="240" w:lineRule="auto"/>
              <w:jc w:val="right"/>
              <w:rPr>
                <w:rFonts w:ascii="Arial" w:hAnsi="Arial" w:cs="Arial"/>
                <w:sz w:val="16"/>
                <w:szCs w:val="16"/>
              </w:rPr>
            </w:pPr>
            <w:r w:rsidRPr="00855DD9">
              <w:rPr>
                <w:rFonts w:ascii="Arial" w:hAnsi="Arial" w:cs="Arial"/>
                <w:sz w:val="16"/>
                <w:szCs w:val="16"/>
              </w:rPr>
              <w:t>$</w:t>
            </w:r>
            <w:r w:rsidR="00B33758">
              <w:rPr>
                <w:rFonts w:ascii="Arial" w:hAnsi="Arial" w:cs="Arial"/>
                <w:sz w:val="16"/>
                <w:szCs w:val="16"/>
              </w:rPr>
              <w:t>’</w:t>
            </w:r>
            <w:r w:rsidRPr="00855DD9">
              <w:rPr>
                <w:rFonts w:ascii="Arial" w:hAnsi="Arial" w:cs="Arial"/>
                <w:sz w:val="16"/>
                <w:szCs w:val="16"/>
              </w:rPr>
              <w:t>000</w:t>
            </w:r>
          </w:p>
        </w:tc>
        <w:tc>
          <w:tcPr>
            <w:tcW w:w="390" w:type="pct"/>
            <w:tcBorders>
              <w:top w:val="single" w:sz="4" w:space="0" w:color="auto"/>
              <w:left w:val="nil"/>
              <w:bottom w:val="single" w:sz="4" w:space="0" w:color="auto"/>
              <w:right w:val="nil"/>
            </w:tcBorders>
            <w:shd w:val="clear" w:color="auto" w:fill="auto"/>
            <w:vAlign w:val="center"/>
            <w:hideMark/>
          </w:tcPr>
          <w:p w14:paraId="2779160C" w14:textId="02872509" w:rsidR="00855DD9" w:rsidRPr="00855DD9" w:rsidRDefault="00855DD9" w:rsidP="007F67CD">
            <w:pPr>
              <w:spacing w:after="0" w:line="240" w:lineRule="auto"/>
              <w:jc w:val="right"/>
              <w:rPr>
                <w:rFonts w:ascii="Arial" w:hAnsi="Arial" w:cs="Arial"/>
                <w:sz w:val="16"/>
                <w:szCs w:val="16"/>
              </w:rPr>
            </w:pPr>
            <w:r w:rsidRPr="00855DD9">
              <w:rPr>
                <w:rFonts w:ascii="Arial" w:hAnsi="Arial" w:cs="Arial"/>
                <w:sz w:val="16"/>
                <w:szCs w:val="16"/>
              </w:rPr>
              <w:t>Total</w:t>
            </w:r>
            <w:r w:rsidRPr="00855DD9">
              <w:rPr>
                <w:rFonts w:ascii="Arial" w:hAnsi="Arial" w:cs="Arial"/>
                <w:sz w:val="16"/>
                <w:szCs w:val="16"/>
              </w:rPr>
              <w:br/>
            </w:r>
            <w:r w:rsidRPr="00855DD9">
              <w:rPr>
                <w:rFonts w:ascii="Arial" w:hAnsi="Arial" w:cs="Arial"/>
                <w:sz w:val="16"/>
                <w:szCs w:val="16"/>
              </w:rPr>
              <w:br/>
            </w:r>
            <w:r w:rsidRPr="00855DD9">
              <w:rPr>
                <w:rFonts w:ascii="Arial" w:hAnsi="Arial" w:cs="Arial"/>
                <w:sz w:val="16"/>
                <w:szCs w:val="16"/>
              </w:rPr>
              <w:br/>
            </w:r>
            <w:r w:rsidRPr="00855DD9">
              <w:rPr>
                <w:rFonts w:ascii="Arial" w:hAnsi="Arial" w:cs="Arial"/>
                <w:sz w:val="16"/>
                <w:szCs w:val="16"/>
              </w:rPr>
              <w:br/>
              <w:t>$</w:t>
            </w:r>
            <w:r w:rsidR="00B33758">
              <w:rPr>
                <w:rFonts w:ascii="Arial" w:hAnsi="Arial" w:cs="Arial"/>
                <w:sz w:val="16"/>
                <w:szCs w:val="16"/>
              </w:rPr>
              <w:t>’</w:t>
            </w:r>
            <w:r w:rsidRPr="00855DD9">
              <w:rPr>
                <w:rFonts w:ascii="Arial" w:hAnsi="Arial" w:cs="Arial"/>
                <w:sz w:val="16"/>
                <w:szCs w:val="16"/>
              </w:rPr>
              <w:t>000</w:t>
            </w:r>
          </w:p>
        </w:tc>
      </w:tr>
      <w:tr w:rsidR="00855DD9" w:rsidRPr="00855DD9" w14:paraId="71D6C9AB" w14:textId="77777777" w:rsidTr="00855DD9">
        <w:trPr>
          <w:trHeight w:hRule="exact" w:val="225"/>
        </w:trPr>
        <w:tc>
          <w:tcPr>
            <w:tcW w:w="3211" w:type="pct"/>
            <w:tcBorders>
              <w:top w:val="nil"/>
              <w:left w:val="nil"/>
              <w:bottom w:val="nil"/>
              <w:right w:val="nil"/>
            </w:tcBorders>
            <w:shd w:val="clear" w:color="auto" w:fill="auto"/>
            <w:vAlign w:val="bottom"/>
            <w:hideMark/>
          </w:tcPr>
          <w:p w14:paraId="65223AD3"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 xml:space="preserve">As </w:t>
            </w:r>
            <w:proofErr w:type="gramStart"/>
            <w:r w:rsidRPr="00855DD9">
              <w:rPr>
                <w:rFonts w:ascii="Arial" w:hAnsi="Arial" w:cs="Arial"/>
                <w:b/>
                <w:bCs/>
                <w:sz w:val="16"/>
                <w:szCs w:val="16"/>
              </w:rPr>
              <w:t>at</w:t>
            </w:r>
            <w:proofErr w:type="gramEnd"/>
            <w:r w:rsidRPr="00855DD9">
              <w:rPr>
                <w:rFonts w:ascii="Arial" w:hAnsi="Arial" w:cs="Arial"/>
                <w:b/>
                <w:bCs/>
                <w:sz w:val="16"/>
                <w:szCs w:val="16"/>
              </w:rPr>
              <w:t xml:space="preserve"> 1 July 2022</w:t>
            </w:r>
          </w:p>
        </w:tc>
        <w:tc>
          <w:tcPr>
            <w:tcW w:w="423" w:type="pct"/>
            <w:tcBorders>
              <w:top w:val="nil"/>
              <w:left w:val="nil"/>
              <w:bottom w:val="nil"/>
              <w:right w:val="nil"/>
            </w:tcBorders>
            <w:shd w:val="clear" w:color="auto" w:fill="auto"/>
            <w:noWrap/>
            <w:vAlign w:val="bottom"/>
            <w:hideMark/>
          </w:tcPr>
          <w:p w14:paraId="6D37992D" w14:textId="77777777" w:rsidR="00855DD9" w:rsidRPr="00855DD9" w:rsidRDefault="00855DD9" w:rsidP="00855DD9">
            <w:pPr>
              <w:spacing w:after="0" w:line="240" w:lineRule="auto"/>
              <w:jc w:val="left"/>
              <w:rPr>
                <w:rFonts w:ascii="Arial" w:hAnsi="Arial" w:cs="Arial"/>
                <w:b/>
                <w:bCs/>
                <w:sz w:val="16"/>
                <w:szCs w:val="16"/>
              </w:rPr>
            </w:pPr>
          </w:p>
        </w:tc>
        <w:tc>
          <w:tcPr>
            <w:tcW w:w="483" w:type="pct"/>
            <w:tcBorders>
              <w:top w:val="nil"/>
              <w:left w:val="nil"/>
              <w:bottom w:val="nil"/>
              <w:right w:val="nil"/>
            </w:tcBorders>
            <w:shd w:val="clear" w:color="auto" w:fill="auto"/>
            <w:noWrap/>
            <w:vAlign w:val="bottom"/>
            <w:hideMark/>
          </w:tcPr>
          <w:p w14:paraId="08FC3C1A" w14:textId="77777777" w:rsidR="00855DD9" w:rsidRPr="00855DD9" w:rsidRDefault="00855DD9" w:rsidP="00855DD9">
            <w:pPr>
              <w:spacing w:after="0" w:line="240" w:lineRule="auto"/>
              <w:jc w:val="left"/>
              <w:rPr>
                <w:rFonts w:ascii="Times New Roman" w:hAnsi="Times New Roman"/>
              </w:rPr>
            </w:pPr>
          </w:p>
        </w:tc>
        <w:tc>
          <w:tcPr>
            <w:tcW w:w="493" w:type="pct"/>
            <w:tcBorders>
              <w:top w:val="nil"/>
              <w:left w:val="nil"/>
              <w:bottom w:val="nil"/>
              <w:right w:val="nil"/>
            </w:tcBorders>
            <w:shd w:val="clear" w:color="auto" w:fill="auto"/>
            <w:noWrap/>
            <w:vAlign w:val="bottom"/>
            <w:hideMark/>
          </w:tcPr>
          <w:p w14:paraId="4F9A6286" w14:textId="77777777" w:rsidR="00855DD9" w:rsidRPr="00855DD9" w:rsidRDefault="00855DD9" w:rsidP="00855DD9">
            <w:pPr>
              <w:spacing w:after="0" w:line="240" w:lineRule="auto"/>
              <w:jc w:val="left"/>
              <w:rPr>
                <w:rFonts w:ascii="Times New Roman" w:hAnsi="Times New Roman"/>
              </w:rPr>
            </w:pPr>
          </w:p>
        </w:tc>
        <w:tc>
          <w:tcPr>
            <w:tcW w:w="390" w:type="pct"/>
            <w:tcBorders>
              <w:top w:val="nil"/>
              <w:left w:val="nil"/>
              <w:bottom w:val="nil"/>
              <w:right w:val="nil"/>
            </w:tcBorders>
            <w:shd w:val="clear" w:color="auto" w:fill="auto"/>
            <w:noWrap/>
            <w:vAlign w:val="bottom"/>
            <w:hideMark/>
          </w:tcPr>
          <w:p w14:paraId="70C2878B" w14:textId="77777777" w:rsidR="00855DD9" w:rsidRPr="00855DD9" w:rsidRDefault="00855DD9" w:rsidP="00855DD9">
            <w:pPr>
              <w:spacing w:after="0" w:line="240" w:lineRule="auto"/>
              <w:jc w:val="left"/>
              <w:rPr>
                <w:rFonts w:ascii="Times New Roman" w:hAnsi="Times New Roman"/>
              </w:rPr>
            </w:pPr>
          </w:p>
        </w:tc>
      </w:tr>
      <w:tr w:rsidR="00855DD9" w:rsidRPr="00855DD9" w14:paraId="30C1BDBE" w14:textId="77777777" w:rsidTr="00855DD9">
        <w:trPr>
          <w:trHeight w:hRule="exact" w:val="225"/>
        </w:trPr>
        <w:tc>
          <w:tcPr>
            <w:tcW w:w="3211" w:type="pct"/>
            <w:tcBorders>
              <w:top w:val="nil"/>
              <w:left w:val="nil"/>
              <w:bottom w:val="nil"/>
              <w:right w:val="nil"/>
            </w:tcBorders>
            <w:shd w:val="clear" w:color="auto" w:fill="auto"/>
            <w:vAlign w:val="bottom"/>
            <w:hideMark/>
          </w:tcPr>
          <w:p w14:paraId="58038DCB" w14:textId="77777777"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 xml:space="preserve">Gross book value </w:t>
            </w:r>
          </w:p>
        </w:tc>
        <w:tc>
          <w:tcPr>
            <w:tcW w:w="423" w:type="pct"/>
            <w:tcBorders>
              <w:top w:val="nil"/>
              <w:left w:val="nil"/>
              <w:bottom w:val="nil"/>
              <w:right w:val="nil"/>
            </w:tcBorders>
            <w:shd w:val="clear" w:color="auto" w:fill="auto"/>
            <w:noWrap/>
            <w:vAlign w:val="center"/>
            <w:hideMark/>
          </w:tcPr>
          <w:p w14:paraId="1B639B83"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23,265 </w:t>
            </w:r>
          </w:p>
        </w:tc>
        <w:tc>
          <w:tcPr>
            <w:tcW w:w="483" w:type="pct"/>
            <w:tcBorders>
              <w:top w:val="nil"/>
              <w:left w:val="nil"/>
              <w:bottom w:val="nil"/>
              <w:right w:val="nil"/>
            </w:tcBorders>
            <w:shd w:val="clear" w:color="auto" w:fill="auto"/>
            <w:noWrap/>
            <w:vAlign w:val="center"/>
            <w:hideMark/>
          </w:tcPr>
          <w:p w14:paraId="5751A03E"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1,935 </w:t>
            </w:r>
          </w:p>
        </w:tc>
        <w:tc>
          <w:tcPr>
            <w:tcW w:w="493" w:type="pct"/>
            <w:tcBorders>
              <w:top w:val="nil"/>
              <w:left w:val="nil"/>
              <w:bottom w:val="nil"/>
              <w:right w:val="nil"/>
            </w:tcBorders>
            <w:shd w:val="clear" w:color="auto" w:fill="auto"/>
            <w:noWrap/>
            <w:vAlign w:val="center"/>
            <w:hideMark/>
          </w:tcPr>
          <w:p w14:paraId="717D5871"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59,793 </w:t>
            </w:r>
          </w:p>
        </w:tc>
        <w:tc>
          <w:tcPr>
            <w:tcW w:w="390" w:type="pct"/>
            <w:tcBorders>
              <w:top w:val="nil"/>
              <w:left w:val="nil"/>
              <w:bottom w:val="nil"/>
              <w:right w:val="nil"/>
            </w:tcBorders>
            <w:shd w:val="clear" w:color="auto" w:fill="auto"/>
            <w:noWrap/>
            <w:vAlign w:val="center"/>
            <w:hideMark/>
          </w:tcPr>
          <w:p w14:paraId="70B6D2CC"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84,993 </w:t>
            </w:r>
          </w:p>
        </w:tc>
      </w:tr>
      <w:tr w:rsidR="00855DD9" w:rsidRPr="00855DD9" w14:paraId="34ECF9D6" w14:textId="77777777" w:rsidTr="00855DD9">
        <w:trPr>
          <w:trHeight w:hRule="exact" w:val="225"/>
        </w:trPr>
        <w:tc>
          <w:tcPr>
            <w:tcW w:w="3211" w:type="pct"/>
            <w:tcBorders>
              <w:top w:val="nil"/>
              <w:left w:val="nil"/>
              <w:bottom w:val="nil"/>
              <w:right w:val="nil"/>
            </w:tcBorders>
            <w:shd w:val="clear" w:color="auto" w:fill="auto"/>
            <w:noWrap/>
            <w:vAlign w:val="center"/>
            <w:hideMark/>
          </w:tcPr>
          <w:p w14:paraId="1398EF94" w14:textId="2E59867D"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Gross book value</w:t>
            </w:r>
            <w:r w:rsidR="00B33758">
              <w:rPr>
                <w:rFonts w:ascii="Arial" w:hAnsi="Arial" w:cs="Arial"/>
                <w:sz w:val="16"/>
                <w:szCs w:val="16"/>
              </w:rPr>
              <w:t xml:space="preserve"> – </w:t>
            </w:r>
            <w:r w:rsidRPr="00855DD9">
              <w:rPr>
                <w:rFonts w:ascii="Arial" w:hAnsi="Arial" w:cs="Arial"/>
                <w:sz w:val="16"/>
                <w:szCs w:val="16"/>
              </w:rPr>
              <w:t>ROU assets</w:t>
            </w:r>
          </w:p>
        </w:tc>
        <w:tc>
          <w:tcPr>
            <w:tcW w:w="423" w:type="pct"/>
            <w:tcBorders>
              <w:top w:val="nil"/>
              <w:left w:val="nil"/>
              <w:bottom w:val="nil"/>
              <w:right w:val="nil"/>
            </w:tcBorders>
            <w:shd w:val="clear" w:color="auto" w:fill="auto"/>
            <w:noWrap/>
            <w:vAlign w:val="center"/>
            <w:hideMark/>
          </w:tcPr>
          <w:p w14:paraId="6D2BB42A"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149,233 </w:t>
            </w:r>
          </w:p>
        </w:tc>
        <w:tc>
          <w:tcPr>
            <w:tcW w:w="483" w:type="pct"/>
            <w:tcBorders>
              <w:top w:val="nil"/>
              <w:left w:val="nil"/>
              <w:bottom w:val="nil"/>
              <w:right w:val="nil"/>
            </w:tcBorders>
            <w:shd w:val="clear" w:color="auto" w:fill="auto"/>
            <w:noWrap/>
            <w:vAlign w:val="center"/>
            <w:hideMark/>
          </w:tcPr>
          <w:p w14:paraId="40ABA053"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34 </w:t>
            </w:r>
          </w:p>
        </w:tc>
        <w:tc>
          <w:tcPr>
            <w:tcW w:w="493" w:type="pct"/>
            <w:tcBorders>
              <w:top w:val="nil"/>
              <w:left w:val="nil"/>
              <w:bottom w:val="nil"/>
              <w:right w:val="nil"/>
            </w:tcBorders>
            <w:shd w:val="clear" w:color="auto" w:fill="auto"/>
            <w:noWrap/>
            <w:vAlign w:val="center"/>
            <w:hideMark/>
          </w:tcPr>
          <w:p w14:paraId="13326DBE" w14:textId="6F24AC51" w:rsidR="00855DD9" w:rsidRPr="00855DD9" w:rsidRDefault="00B33758" w:rsidP="00855DD9">
            <w:pPr>
              <w:spacing w:after="0" w:line="240" w:lineRule="auto"/>
              <w:jc w:val="right"/>
              <w:rPr>
                <w:rFonts w:ascii="Arial" w:hAnsi="Arial" w:cs="Arial"/>
                <w:sz w:val="16"/>
                <w:szCs w:val="16"/>
              </w:rPr>
            </w:pPr>
            <w:r>
              <w:rPr>
                <w:rFonts w:ascii="Arial" w:hAnsi="Arial" w:cs="Arial"/>
                <w:sz w:val="16"/>
                <w:szCs w:val="16"/>
              </w:rPr>
              <w:noBreakHyphen/>
            </w:r>
            <w:r w:rsidR="00855DD9" w:rsidRPr="00855DD9">
              <w:rPr>
                <w:rFonts w:ascii="Arial" w:hAnsi="Arial" w:cs="Arial"/>
                <w:sz w:val="16"/>
                <w:szCs w:val="16"/>
              </w:rPr>
              <w:t xml:space="preserve"> </w:t>
            </w:r>
          </w:p>
        </w:tc>
        <w:tc>
          <w:tcPr>
            <w:tcW w:w="390" w:type="pct"/>
            <w:tcBorders>
              <w:top w:val="nil"/>
              <w:left w:val="nil"/>
              <w:bottom w:val="nil"/>
              <w:right w:val="nil"/>
            </w:tcBorders>
            <w:shd w:val="clear" w:color="auto" w:fill="auto"/>
            <w:noWrap/>
            <w:vAlign w:val="center"/>
            <w:hideMark/>
          </w:tcPr>
          <w:p w14:paraId="10A8C07B"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149,267 </w:t>
            </w:r>
          </w:p>
        </w:tc>
      </w:tr>
      <w:tr w:rsidR="00855DD9" w:rsidRPr="00855DD9" w14:paraId="14580563" w14:textId="77777777" w:rsidTr="00855DD9">
        <w:trPr>
          <w:trHeight w:hRule="exact" w:val="225"/>
        </w:trPr>
        <w:tc>
          <w:tcPr>
            <w:tcW w:w="3211" w:type="pct"/>
            <w:tcBorders>
              <w:top w:val="nil"/>
              <w:left w:val="nil"/>
              <w:bottom w:val="nil"/>
              <w:right w:val="nil"/>
            </w:tcBorders>
            <w:shd w:val="clear" w:color="auto" w:fill="auto"/>
            <w:noWrap/>
            <w:vAlign w:val="bottom"/>
            <w:hideMark/>
          </w:tcPr>
          <w:p w14:paraId="023967B4" w14:textId="63B54C76"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Accumulated depreciation/amortisation and impairment</w:t>
            </w:r>
          </w:p>
        </w:tc>
        <w:tc>
          <w:tcPr>
            <w:tcW w:w="423" w:type="pct"/>
            <w:tcBorders>
              <w:top w:val="nil"/>
              <w:left w:val="nil"/>
              <w:bottom w:val="nil"/>
              <w:right w:val="nil"/>
            </w:tcBorders>
            <w:shd w:val="clear" w:color="auto" w:fill="auto"/>
            <w:noWrap/>
            <w:vAlign w:val="center"/>
            <w:hideMark/>
          </w:tcPr>
          <w:p w14:paraId="6F4C1983"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(2,598)</w:t>
            </w:r>
          </w:p>
        </w:tc>
        <w:tc>
          <w:tcPr>
            <w:tcW w:w="483" w:type="pct"/>
            <w:tcBorders>
              <w:top w:val="nil"/>
              <w:left w:val="nil"/>
              <w:bottom w:val="nil"/>
              <w:right w:val="nil"/>
            </w:tcBorders>
            <w:shd w:val="clear" w:color="auto" w:fill="auto"/>
            <w:noWrap/>
            <w:vAlign w:val="center"/>
            <w:hideMark/>
          </w:tcPr>
          <w:p w14:paraId="557BAE7A"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13,522 </w:t>
            </w:r>
          </w:p>
        </w:tc>
        <w:tc>
          <w:tcPr>
            <w:tcW w:w="493" w:type="pct"/>
            <w:tcBorders>
              <w:top w:val="nil"/>
              <w:left w:val="nil"/>
              <w:bottom w:val="nil"/>
              <w:right w:val="nil"/>
            </w:tcBorders>
            <w:shd w:val="clear" w:color="auto" w:fill="auto"/>
            <w:noWrap/>
            <w:vAlign w:val="center"/>
            <w:hideMark/>
          </w:tcPr>
          <w:p w14:paraId="04E160DB"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(41,665)</w:t>
            </w:r>
          </w:p>
        </w:tc>
        <w:tc>
          <w:tcPr>
            <w:tcW w:w="390" w:type="pct"/>
            <w:tcBorders>
              <w:top w:val="nil"/>
              <w:left w:val="nil"/>
              <w:bottom w:val="nil"/>
              <w:right w:val="nil"/>
            </w:tcBorders>
            <w:shd w:val="clear" w:color="auto" w:fill="auto"/>
            <w:noWrap/>
            <w:vAlign w:val="center"/>
            <w:hideMark/>
          </w:tcPr>
          <w:p w14:paraId="554D5F90"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(30,741)</w:t>
            </w:r>
          </w:p>
        </w:tc>
      </w:tr>
      <w:tr w:rsidR="00855DD9" w:rsidRPr="00855DD9" w14:paraId="497F05D6" w14:textId="77777777" w:rsidTr="00855DD9">
        <w:trPr>
          <w:trHeight w:hRule="exact" w:val="225"/>
        </w:trPr>
        <w:tc>
          <w:tcPr>
            <w:tcW w:w="3211" w:type="pct"/>
            <w:tcBorders>
              <w:top w:val="nil"/>
              <w:left w:val="nil"/>
              <w:bottom w:val="nil"/>
              <w:right w:val="nil"/>
            </w:tcBorders>
            <w:shd w:val="clear" w:color="auto" w:fill="auto"/>
            <w:noWrap/>
            <w:vAlign w:val="center"/>
            <w:hideMark/>
          </w:tcPr>
          <w:p w14:paraId="0FD353ED" w14:textId="1BE5BFED"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Accumulated depreciation/amortisation and impairment</w:t>
            </w:r>
            <w:r w:rsidR="00B33758">
              <w:rPr>
                <w:rFonts w:ascii="Arial" w:hAnsi="Arial" w:cs="Arial"/>
                <w:sz w:val="16"/>
                <w:szCs w:val="16"/>
              </w:rPr>
              <w:t xml:space="preserve"> – </w:t>
            </w:r>
            <w:r w:rsidRPr="00855DD9">
              <w:rPr>
                <w:rFonts w:ascii="Arial" w:hAnsi="Arial" w:cs="Arial"/>
                <w:sz w:val="16"/>
                <w:szCs w:val="16"/>
              </w:rPr>
              <w:t>ROU assets</w:t>
            </w:r>
          </w:p>
        </w:tc>
        <w:tc>
          <w:tcPr>
            <w:tcW w:w="423" w:type="pct"/>
            <w:tcBorders>
              <w:top w:val="nil"/>
              <w:left w:val="nil"/>
              <w:bottom w:val="nil"/>
              <w:right w:val="nil"/>
            </w:tcBorders>
            <w:shd w:val="clear" w:color="auto" w:fill="auto"/>
            <w:noWrap/>
            <w:vAlign w:val="center"/>
            <w:hideMark/>
          </w:tcPr>
          <w:p w14:paraId="39475DFA"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(25,531)</w:t>
            </w:r>
          </w:p>
        </w:tc>
        <w:tc>
          <w:tcPr>
            <w:tcW w:w="483" w:type="pct"/>
            <w:tcBorders>
              <w:top w:val="nil"/>
              <w:left w:val="nil"/>
              <w:bottom w:val="nil"/>
              <w:right w:val="nil"/>
            </w:tcBorders>
            <w:shd w:val="clear" w:color="auto" w:fill="auto"/>
            <w:noWrap/>
            <w:vAlign w:val="center"/>
            <w:hideMark/>
          </w:tcPr>
          <w:p w14:paraId="01ED001D"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(117)</w:t>
            </w:r>
          </w:p>
        </w:tc>
        <w:tc>
          <w:tcPr>
            <w:tcW w:w="493" w:type="pct"/>
            <w:tcBorders>
              <w:top w:val="nil"/>
              <w:left w:val="nil"/>
              <w:bottom w:val="nil"/>
              <w:right w:val="nil"/>
            </w:tcBorders>
            <w:shd w:val="clear" w:color="auto" w:fill="auto"/>
            <w:noWrap/>
            <w:vAlign w:val="center"/>
            <w:hideMark/>
          </w:tcPr>
          <w:p w14:paraId="7C2A062A" w14:textId="59AFD044" w:rsidR="00855DD9" w:rsidRPr="00855DD9" w:rsidRDefault="00B33758" w:rsidP="00855DD9">
            <w:pPr>
              <w:spacing w:after="0" w:line="240" w:lineRule="auto"/>
              <w:jc w:val="right"/>
              <w:rPr>
                <w:rFonts w:ascii="Arial" w:hAnsi="Arial" w:cs="Arial"/>
                <w:sz w:val="16"/>
                <w:szCs w:val="16"/>
              </w:rPr>
            </w:pPr>
            <w:r>
              <w:rPr>
                <w:rFonts w:ascii="Arial" w:hAnsi="Arial" w:cs="Arial"/>
                <w:sz w:val="16"/>
                <w:szCs w:val="16"/>
              </w:rPr>
              <w:noBreakHyphen/>
            </w:r>
            <w:r w:rsidR="00855DD9" w:rsidRPr="00855DD9">
              <w:rPr>
                <w:rFonts w:ascii="Arial" w:hAnsi="Arial" w:cs="Arial"/>
                <w:sz w:val="16"/>
                <w:szCs w:val="16"/>
              </w:rPr>
              <w:t xml:space="preserve"> </w:t>
            </w:r>
          </w:p>
        </w:tc>
        <w:tc>
          <w:tcPr>
            <w:tcW w:w="390" w:type="pct"/>
            <w:tcBorders>
              <w:top w:val="nil"/>
              <w:left w:val="nil"/>
              <w:bottom w:val="nil"/>
              <w:right w:val="nil"/>
            </w:tcBorders>
            <w:shd w:val="clear" w:color="auto" w:fill="auto"/>
            <w:noWrap/>
            <w:vAlign w:val="center"/>
            <w:hideMark/>
          </w:tcPr>
          <w:p w14:paraId="733B6AD9"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(25,648)</w:t>
            </w:r>
          </w:p>
        </w:tc>
      </w:tr>
      <w:tr w:rsidR="00855DD9" w:rsidRPr="00855DD9" w14:paraId="79B9488E" w14:textId="77777777" w:rsidTr="00855DD9">
        <w:trPr>
          <w:trHeight w:hRule="exact" w:val="225"/>
        </w:trPr>
        <w:tc>
          <w:tcPr>
            <w:tcW w:w="3211" w:type="pct"/>
            <w:tcBorders>
              <w:top w:val="nil"/>
              <w:left w:val="nil"/>
              <w:bottom w:val="nil"/>
              <w:right w:val="nil"/>
            </w:tcBorders>
            <w:shd w:val="clear" w:color="auto" w:fill="auto"/>
            <w:vAlign w:val="bottom"/>
            <w:hideMark/>
          </w:tcPr>
          <w:p w14:paraId="290FB816"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Opening net book balance</w:t>
            </w:r>
          </w:p>
        </w:tc>
        <w:tc>
          <w:tcPr>
            <w:tcW w:w="423" w:type="pct"/>
            <w:tcBorders>
              <w:top w:val="single" w:sz="4" w:space="0" w:color="auto"/>
              <w:left w:val="nil"/>
              <w:bottom w:val="single" w:sz="4" w:space="0" w:color="auto"/>
              <w:right w:val="nil"/>
            </w:tcBorders>
            <w:shd w:val="clear" w:color="auto" w:fill="auto"/>
            <w:noWrap/>
            <w:vAlign w:val="center"/>
            <w:hideMark/>
          </w:tcPr>
          <w:p w14:paraId="5B15F98F"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144,369 </w:t>
            </w:r>
          </w:p>
        </w:tc>
        <w:tc>
          <w:tcPr>
            <w:tcW w:w="483" w:type="pct"/>
            <w:tcBorders>
              <w:top w:val="single" w:sz="4" w:space="0" w:color="auto"/>
              <w:left w:val="nil"/>
              <w:bottom w:val="single" w:sz="4" w:space="0" w:color="auto"/>
              <w:right w:val="nil"/>
            </w:tcBorders>
            <w:shd w:val="clear" w:color="auto" w:fill="auto"/>
            <w:noWrap/>
            <w:vAlign w:val="center"/>
            <w:hideMark/>
          </w:tcPr>
          <w:p w14:paraId="7513CD6B"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15,374 </w:t>
            </w:r>
          </w:p>
        </w:tc>
        <w:tc>
          <w:tcPr>
            <w:tcW w:w="493" w:type="pct"/>
            <w:tcBorders>
              <w:top w:val="single" w:sz="4" w:space="0" w:color="auto"/>
              <w:left w:val="nil"/>
              <w:bottom w:val="single" w:sz="4" w:space="0" w:color="auto"/>
              <w:right w:val="nil"/>
            </w:tcBorders>
            <w:shd w:val="clear" w:color="auto" w:fill="auto"/>
            <w:noWrap/>
            <w:vAlign w:val="center"/>
            <w:hideMark/>
          </w:tcPr>
          <w:p w14:paraId="13BC8659"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18,128 </w:t>
            </w:r>
          </w:p>
        </w:tc>
        <w:tc>
          <w:tcPr>
            <w:tcW w:w="390" w:type="pct"/>
            <w:tcBorders>
              <w:top w:val="single" w:sz="4" w:space="0" w:color="auto"/>
              <w:left w:val="nil"/>
              <w:bottom w:val="single" w:sz="4" w:space="0" w:color="auto"/>
              <w:right w:val="nil"/>
            </w:tcBorders>
            <w:shd w:val="clear" w:color="auto" w:fill="auto"/>
            <w:noWrap/>
            <w:vAlign w:val="center"/>
            <w:hideMark/>
          </w:tcPr>
          <w:p w14:paraId="427ABD34"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177,871 </w:t>
            </w:r>
          </w:p>
        </w:tc>
      </w:tr>
      <w:tr w:rsidR="00855DD9" w:rsidRPr="00855DD9" w14:paraId="5E467C17" w14:textId="77777777" w:rsidTr="00855DD9">
        <w:trPr>
          <w:trHeight w:hRule="exact" w:val="225"/>
        </w:trPr>
        <w:tc>
          <w:tcPr>
            <w:tcW w:w="3211" w:type="pct"/>
            <w:tcBorders>
              <w:top w:val="nil"/>
              <w:left w:val="nil"/>
              <w:bottom w:val="nil"/>
              <w:right w:val="nil"/>
            </w:tcBorders>
            <w:shd w:val="clear" w:color="auto" w:fill="auto"/>
            <w:vAlign w:val="bottom"/>
            <w:hideMark/>
          </w:tcPr>
          <w:p w14:paraId="54217987"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Capital asset additions</w:t>
            </w:r>
          </w:p>
        </w:tc>
        <w:tc>
          <w:tcPr>
            <w:tcW w:w="423" w:type="pct"/>
            <w:tcBorders>
              <w:top w:val="nil"/>
              <w:left w:val="nil"/>
              <w:bottom w:val="nil"/>
              <w:right w:val="nil"/>
            </w:tcBorders>
            <w:shd w:val="clear" w:color="auto" w:fill="auto"/>
            <w:noWrap/>
            <w:vAlign w:val="center"/>
            <w:hideMark/>
          </w:tcPr>
          <w:p w14:paraId="23401952" w14:textId="77777777" w:rsidR="00855DD9" w:rsidRPr="00855DD9" w:rsidRDefault="00855DD9" w:rsidP="00855DD9">
            <w:pPr>
              <w:spacing w:after="0" w:line="240" w:lineRule="auto"/>
              <w:jc w:val="left"/>
              <w:rPr>
                <w:rFonts w:ascii="Arial" w:hAnsi="Arial" w:cs="Arial"/>
                <w:b/>
                <w:bCs/>
                <w:sz w:val="16"/>
                <w:szCs w:val="16"/>
              </w:rPr>
            </w:pPr>
          </w:p>
        </w:tc>
        <w:tc>
          <w:tcPr>
            <w:tcW w:w="483" w:type="pct"/>
            <w:tcBorders>
              <w:top w:val="nil"/>
              <w:left w:val="nil"/>
              <w:bottom w:val="nil"/>
              <w:right w:val="nil"/>
            </w:tcBorders>
            <w:shd w:val="clear" w:color="auto" w:fill="auto"/>
            <w:noWrap/>
            <w:vAlign w:val="center"/>
            <w:hideMark/>
          </w:tcPr>
          <w:p w14:paraId="6D181A21" w14:textId="77777777" w:rsidR="00855DD9" w:rsidRPr="00855DD9" w:rsidRDefault="00855DD9" w:rsidP="00855DD9">
            <w:pPr>
              <w:spacing w:after="0" w:line="240" w:lineRule="auto"/>
              <w:jc w:val="left"/>
              <w:rPr>
                <w:rFonts w:ascii="Times New Roman" w:hAnsi="Times New Roman"/>
              </w:rPr>
            </w:pPr>
          </w:p>
        </w:tc>
        <w:tc>
          <w:tcPr>
            <w:tcW w:w="493" w:type="pct"/>
            <w:tcBorders>
              <w:top w:val="nil"/>
              <w:left w:val="nil"/>
              <w:bottom w:val="nil"/>
              <w:right w:val="nil"/>
            </w:tcBorders>
            <w:shd w:val="clear" w:color="auto" w:fill="auto"/>
            <w:noWrap/>
            <w:vAlign w:val="center"/>
            <w:hideMark/>
          </w:tcPr>
          <w:p w14:paraId="50AF5ECC" w14:textId="77777777" w:rsidR="00855DD9" w:rsidRPr="00855DD9" w:rsidRDefault="00855DD9" w:rsidP="00855DD9">
            <w:pPr>
              <w:spacing w:after="0" w:line="240" w:lineRule="auto"/>
              <w:jc w:val="left"/>
              <w:rPr>
                <w:rFonts w:ascii="Times New Roman" w:hAnsi="Times New Roman"/>
              </w:rPr>
            </w:pPr>
          </w:p>
        </w:tc>
        <w:tc>
          <w:tcPr>
            <w:tcW w:w="390" w:type="pct"/>
            <w:tcBorders>
              <w:top w:val="nil"/>
              <w:left w:val="nil"/>
              <w:bottom w:val="nil"/>
              <w:right w:val="nil"/>
            </w:tcBorders>
            <w:shd w:val="clear" w:color="auto" w:fill="auto"/>
            <w:noWrap/>
            <w:vAlign w:val="center"/>
            <w:hideMark/>
          </w:tcPr>
          <w:p w14:paraId="72D486DB" w14:textId="77777777" w:rsidR="00855DD9" w:rsidRPr="00855DD9" w:rsidRDefault="00855DD9" w:rsidP="00855DD9">
            <w:pPr>
              <w:spacing w:after="0" w:line="240" w:lineRule="auto"/>
              <w:jc w:val="left"/>
              <w:rPr>
                <w:rFonts w:ascii="Times New Roman" w:hAnsi="Times New Roman"/>
              </w:rPr>
            </w:pPr>
          </w:p>
        </w:tc>
      </w:tr>
      <w:tr w:rsidR="00855DD9" w:rsidRPr="00855DD9" w14:paraId="5CEFFA4B" w14:textId="77777777" w:rsidTr="00855DD9">
        <w:trPr>
          <w:trHeight w:hRule="exact" w:val="450"/>
        </w:trPr>
        <w:tc>
          <w:tcPr>
            <w:tcW w:w="3211" w:type="pct"/>
            <w:tcBorders>
              <w:top w:val="nil"/>
              <w:left w:val="nil"/>
              <w:bottom w:val="nil"/>
              <w:right w:val="nil"/>
            </w:tcBorders>
            <w:shd w:val="clear" w:color="auto" w:fill="auto"/>
            <w:vAlign w:val="bottom"/>
            <w:hideMark/>
          </w:tcPr>
          <w:p w14:paraId="511353FF" w14:textId="77777777" w:rsidR="00855DD9" w:rsidRPr="00855DD9" w:rsidRDefault="00855DD9" w:rsidP="00855DD9">
            <w:pPr>
              <w:spacing w:after="0" w:line="240" w:lineRule="auto"/>
              <w:ind w:left="170"/>
              <w:jc w:val="left"/>
              <w:rPr>
                <w:rFonts w:ascii="Arial" w:hAnsi="Arial" w:cs="Arial"/>
                <w:b/>
                <w:bCs/>
                <w:sz w:val="16"/>
                <w:szCs w:val="16"/>
              </w:rPr>
            </w:pPr>
            <w:r w:rsidRPr="00855DD9">
              <w:rPr>
                <w:rFonts w:ascii="Arial" w:hAnsi="Arial" w:cs="Arial"/>
                <w:b/>
                <w:bCs/>
                <w:sz w:val="16"/>
                <w:szCs w:val="16"/>
              </w:rPr>
              <w:t>Estimated expenditure on new</w:t>
            </w:r>
            <w:r w:rsidRPr="00855DD9">
              <w:rPr>
                <w:rFonts w:ascii="Arial" w:hAnsi="Arial" w:cs="Arial"/>
                <w:b/>
                <w:bCs/>
                <w:sz w:val="16"/>
                <w:szCs w:val="16"/>
              </w:rPr>
              <w:br/>
              <w:t xml:space="preserve">  or replacement assets</w:t>
            </w:r>
          </w:p>
        </w:tc>
        <w:tc>
          <w:tcPr>
            <w:tcW w:w="423" w:type="pct"/>
            <w:tcBorders>
              <w:top w:val="nil"/>
              <w:left w:val="nil"/>
              <w:bottom w:val="nil"/>
              <w:right w:val="nil"/>
            </w:tcBorders>
            <w:shd w:val="clear" w:color="auto" w:fill="auto"/>
            <w:noWrap/>
            <w:vAlign w:val="center"/>
            <w:hideMark/>
          </w:tcPr>
          <w:p w14:paraId="6D8A4F13" w14:textId="77777777" w:rsidR="00855DD9" w:rsidRPr="00855DD9" w:rsidRDefault="00855DD9" w:rsidP="00855DD9">
            <w:pPr>
              <w:spacing w:after="0" w:line="240" w:lineRule="auto"/>
              <w:ind w:firstLineChars="100" w:firstLine="161"/>
              <w:jc w:val="left"/>
              <w:rPr>
                <w:rFonts w:ascii="Arial" w:hAnsi="Arial" w:cs="Arial"/>
                <w:b/>
                <w:bCs/>
                <w:sz w:val="16"/>
                <w:szCs w:val="16"/>
              </w:rPr>
            </w:pPr>
          </w:p>
        </w:tc>
        <w:tc>
          <w:tcPr>
            <w:tcW w:w="483" w:type="pct"/>
            <w:tcBorders>
              <w:top w:val="nil"/>
              <w:left w:val="nil"/>
              <w:bottom w:val="nil"/>
              <w:right w:val="nil"/>
            </w:tcBorders>
            <w:shd w:val="clear" w:color="auto" w:fill="auto"/>
            <w:noWrap/>
            <w:vAlign w:val="center"/>
            <w:hideMark/>
          </w:tcPr>
          <w:p w14:paraId="6E088C41" w14:textId="77777777" w:rsidR="00855DD9" w:rsidRPr="00855DD9" w:rsidRDefault="00855DD9" w:rsidP="00855DD9">
            <w:pPr>
              <w:spacing w:after="0" w:line="240" w:lineRule="auto"/>
              <w:jc w:val="left"/>
              <w:rPr>
                <w:rFonts w:ascii="Times New Roman" w:hAnsi="Times New Roman"/>
              </w:rPr>
            </w:pPr>
          </w:p>
        </w:tc>
        <w:tc>
          <w:tcPr>
            <w:tcW w:w="493" w:type="pct"/>
            <w:tcBorders>
              <w:top w:val="nil"/>
              <w:left w:val="nil"/>
              <w:bottom w:val="nil"/>
              <w:right w:val="nil"/>
            </w:tcBorders>
            <w:shd w:val="clear" w:color="auto" w:fill="auto"/>
            <w:noWrap/>
            <w:vAlign w:val="center"/>
            <w:hideMark/>
          </w:tcPr>
          <w:p w14:paraId="58F9794C" w14:textId="77777777" w:rsidR="00855DD9" w:rsidRPr="00855DD9" w:rsidRDefault="00855DD9" w:rsidP="00855DD9">
            <w:pPr>
              <w:spacing w:after="0" w:line="240" w:lineRule="auto"/>
              <w:jc w:val="left"/>
              <w:rPr>
                <w:rFonts w:ascii="Times New Roman" w:hAnsi="Times New Roman"/>
              </w:rPr>
            </w:pPr>
          </w:p>
        </w:tc>
        <w:tc>
          <w:tcPr>
            <w:tcW w:w="390" w:type="pct"/>
            <w:tcBorders>
              <w:top w:val="nil"/>
              <w:left w:val="nil"/>
              <w:bottom w:val="nil"/>
              <w:right w:val="nil"/>
            </w:tcBorders>
            <w:shd w:val="clear" w:color="auto" w:fill="auto"/>
            <w:noWrap/>
            <w:vAlign w:val="center"/>
            <w:hideMark/>
          </w:tcPr>
          <w:p w14:paraId="75AF30CC" w14:textId="77777777" w:rsidR="00855DD9" w:rsidRPr="00855DD9" w:rsidRDefault="00855DD9" w:rsidP="00855DD9">
            <w:pPr>
              <w:spacing w:after="0" w:line="240" w:lineRule="auto"/>
              <w:jc w:val="left"/>
              <w:rPr>
                <w:rFonts w:ascii="Times New Roman" w:hAnsi="Times New Roman"/>
              </w:rPr>
            </w:pPr>
          </w:p>
        </w:tc>
      </w:tr>
      <w:tr w:rsidR="00855DD9" w:rsidRPr="00855DD9" w14:paraId="49A651AE" w14:textId="77777777" w:rsidTr="00855DD9">
        <w:trPr>
          <w:trHeight w:hRule="exact" w:val="225"/>
        </w:trPr>
        <w:tc>
          <w:tcPr>
            <w:tcW w:w="3211" w:type="pct"/>
            <w:tcBorders>
              <w:top w:val="nil"/>
              <w:left w:val="nil"/>
              <w:bottom w:val="nil"/>
              <w:right w:val="nil"/>
            </w:tcBorders>
            <w:shd w:val="clear" w:color="auto" w:fill="auto"/>
            <w:vAlign w:val="bottom"/>
            <w:hideMark/>
          </w:tcPr>
          <w:p w14:paraId="7D61F692" w14:textId="2A258BDA"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By purchase</w:t>
            </w:r>
            <w:r w:rsidR="00B33758">
              <w:rPr>
                <w:rFonts w:ascii="Arial" w:hAnsi="Arial" w:cs="Arial"/>
                <w:sz w:val="16"/>
                <w:szCs w:val="16"/>
              </w:rPr>
              <w:t xml:space="preserve"> – </w:t>
            </w:r>
            <w:r w:rsidRPr="00855DD9">
              <w:rPr>
                <w:rFonts w:ascii="Arial" w:hAnsi="Arial" w:cs="Arial"/>
                <w:sz w:val="16"/>
                <w:szCs w:val="16"/>
              </w:rPr>
              <w:t>appropriation equity (a)</w:t>
            </w:r>
          </w:p>
        </w:tc>
        <w:tc>
          <w:tcPr>
            <w:tcW w:w="423" w:type="pct"/>
            <w:tcBorders>
              <w:top w:val="nil"/>
              <w:left w:val="nil"/>
              <w:bottom w:val="nil"/>
              <w:right w:val="nil"/>
            </w:tcBorders>
            <w:shd w:val="clear" w:color="auto" w:fill="auto"/>
            <w:noWrap/>
            <w:vAlign w:val="center"/>
            <w:hideMark/>
          </w:tcPr>
          <w:p w14:paraId="323D2B63"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453 </w:t>
            </w:r>
          </w:p>
        </w:tc>
        <w:tc>
          <w:tcPr>
            <w:tcW w:w="483" w:type="pct"/>
            <w:tcBorders>
              <w:top w:val="nil"/>
              <w:left w:val="nil"/>
              <w:bottom w:val="nil"/>
              <w:right w:val="nil"/>
            </w:tcBorders>
            <w:shd w:val="clear" w:color="auto" w:fill="auto"/>
            <w:noWrap/>
            <w:vAlign w:val="center"/>
            <w:hideMark/>
          </w:tcPr>
          <w:p w14:paraId="6FB6419D"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4,791 </w:t>
            </w:r>
          </w:p>
        </w:tc>
        <w:tc>
          <w:tcPr>
            <w:tcW w:w="493" w:type="pct"/>
            <w:tcBorders>
              <w:top w:val="nil"/>
              <w:left w:val="nil"/>
              <w:bottom w:val="nil"/>
              <w:right w:val="nil"/>
            </w:tcBorders>
            <w:shd w:val="clear" w:color="auto" w:fill="auto"/>
            <w:noWrap/>
            <w:vAlign w:val="center"/>
            <w:hideMark/>
          </w:tcPr>
          <w:p w14:paraId="3E001D45"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3,896 </w:t>
            </w:r>
          </w:p>
        </w:tc>
        <w:tc>
          <w:tcPr>
            <w:tcW w:w="390" w:type="pct"/>
            <w:tcBorders>
              <w:top w:val="nil"/>
              <w:left w:val="nil"/>
              <w:bottom w:val="nil"/>
              <w:right w:val="nil"/>
            </w:tcBorders>
            <w:shd w:val="clear" w:color="auto" w:fill="auto"/>
            <w:noWrap/>
            <w:vAlign w:val="center"/>
            <w:hideMark/>
          </w:tcPr>
          <w:p w14:paraId="256FB603"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9,140 </w:t>
            </w:r>
          </w:p>
        </w:tc>
      </w:tr>
      <w:tr w:rsidR="00855DD9" w:rsidRPr="00855DD9" w14:paraId="4349E570" w14:textId="77777777" w:rsidTr="00855DD9">
        <w:trPr>
          <w:trHeight w:hRule="exact" w:val="225"/>
        </w:trPr>
        <w:tc>
          <w:tcPr>
            <w:tcW w:w="3211" w:type="pct"/>
            <w:tcBorders>
              <w:top w:val="nil"/>
              <w:left w:val="nil"/>
              <w:bottom w:val="single" w:sz="4" w:space="0" w:color="auto"/>
              <w:right w:val="nil"/>
            </w:tcBorders>
            <w:shd w:val="clear" w:color="auto" w:fill="auto"/>
            <w:vAlign w:val="bottom"/>
            <w:hideMark/>
          </w:tcPr>
          <w:p w14:paraId="0C9849B8" w14:textId="77777777" w:rsidR="00855DD9" w:rsidRPr="00855DD9" w:rsidRDefault="00855DD9" w:rsidP="00855DD9">
            <w:pPr>
              <w:spacing w:after="0" w:line="240" w:lineRule="auto"/>
              <w:ind w:left="170"/>
              <w:jc w:val="left"/>
              <w:rPr>
                <w:rFonts w:ascii="Arial" w:hAnsi="Arial" w:cs="Arial"/>
                <w:b/>
                <w:bCs/>
                <w:sz w:val="16"/>
                <w:szCs w:val="16"/>
              </w:rPr>
            </w:pPr>
            <w:r w:rsidRPr="00855DD9">
              <w:rPr>
                <w:rFonts w:ascii="Arial" w:hAnsi="Arial" w:cs="Arial"/>
                <w:b/>
                <w:bCs/>
                <w:sz w:val="16"/>
                <w:szCs w:val="16"/>
              </w:rPr>
              <w:t>Total additions</w:t>
            </w:r>
          </w:p>
        </w:tc>
        <w:tc>
          <w:tcPr>
            <w:tcW w:w="423" w:type="pct"/>
            <w:tcBorders>
              <w:top w:val="single" w:sz="4" w:space="0" w:color="auto"/>
              <w:left w:val="nil"/>
              <w:bottom w:val="nil"/>
              <w:right w:val="nil"/>
            </w:tcBorders>
            <w:shd w:val="clear" w:color="auto" w:fill="auto"/>
            <w:noWrap/>
            <w:vAlign w:val="center"/>
            <w:hideMark/>
          </w:tcPr>
          <w:p w14:paraId="4950D296"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453 </w:t>
            </w:r>
          </w:p>
        </w:tc>
        <w:tc>
          <w:tcPr>
            <w:tcW w:w="483" w:type="pct"/>
            <w:tcBorders>
              <w:top w:val="single" w:sz="4" w:space="0" w:color="auto"/>
              <w:left w:val="nil"/>
              <w:bottom w:val="nil"/>
              <w:right w:val="nil"/>
            </w:tcBorders>
            <w:shd w:val="clear" w:color="auto" w:fill="auto"/>
            <w:noWrap/>
            <w:vAlign w:val="center"/>
            <w:hideMark/>
          </w:tcPr>
          <w:p w14:paraId="3CABADEB"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4,791 </w:t>
            </w:r>
          </w:p>
        </w:tc>
        <w:tc>
          <w:tcPr>
            <w:tcW w:w="493" w:type="pct"/>
            <w:tcBorders>
              <w:top w:val="single" w:sz="4" w:space="0" w:color="auto"/>
              <w:left w:val="nil"/>
              <w:bottom w:val="nil"/>
              <w:right w:val="nil"/>
            </w:tcBorders>
            <w:shd w:val="clear" w:color="auto" w:fill="auto"/>
            <w:noWrap/>
            <w:vAlign w:val="center"/>
            <w:hideMark/>
          </w:tcPr>
          <w:p w14:paraId="213BD9A7"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3,896 </w:t>
            </w:r>
          </w:p>
        </w:tc>
        <w:tc>
          <w:tcPr>
            <w:tcW w:w="390" w:type="pct"/>
            <w:tcBorders>
              <w:top w:val="single" w:sz="4" w:space="0" w:color="auto"/>
              <w:left w:val="nil"/>
              <w:bottom w:val="nil"/>
              <w:right w:val="nil"/>
            </w:tcBorders>
            <w:shd w:val="clear" w:color="auto" w:fill="auto"/>
            <w:noWrap/>
            <w:vAlign w:val="center"/>
            <w:hideMark/>
          </w:tcPr>
          <w:p w14:paraId="1019A7E0"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9,140 </w:t>
            </w:r>
          </w:p>
        </w:tc>
      </w:tr>
      <w:tr w:rsidR="00855DD9" w:rsidRPr="00855DD9" w14:paraId="50EA3F10" w14:textId="77777777" w:rsidTr="00855DD9">
        <w:trPr>
          <w:trHeight w:hRule="exact" w:val="225"/>
        </w:trPr>
        <w:tc>
          <w:tcPr>
            <w:tcW w:w="3211" w:type="pct"/>
            <w:tcBorders>
              <w:top w:val="nil"/>
              <w:left w:val="nil"/>
              <w:bottom w:val="nil"/>
              <w:right w:val="nil"/>
            </w:tcBorders>
            <w:shd w:val="clear" w:color="auto" w:fill="auto"/>
            <w:vAlign w:val="bottom"/>
            <w:hideMark/>
          </w:tcPr>
          <w:p w14:paraId="04F3C1D9" w14:textId="77777777" w:rsidR="00855DD9" w:rsidRPr="00855DD9" w:rsidRDefault="00855DD9" w:rsidP="00855DD9">
            <w:pPr>
              <w:spacing w:after="0" w:line="240" w:lineRule="auto"/>
              <w:ind w:left="170"/>
              <w:jc w:val="left"/>
              <w:rPr>
                <w:rFonts w:ascii="Arial" w:hAnsi="Arial" w:cs="Arial"/>
                <w:b/>
                <w:bCs/>
                <w:sz w:val="16"/>
                <w:szCs w:val="16"/>
              </w:rPr>
            </w:pPr>
            <w:r w:rsidRPr="00855DD9">
              <w:rPr>
                <w:rFonts w:ascii="Arial" w:hAnsi="Arial" w:cs="Arial"/>
                <w:b/>
                <w:bCs/>
                <w:sz w:val="16"/>
                <w:szCs w:val="16"/>
              </w:rPr>
              <w:t>Other movements</w:t>
            </w:r>
          </w:p>
        </w:tc>
        <w:tc>
          <w:tcPr>
            <w:tcW w:w="423" w:type="pct"/>
            <w:tcBorders>
              <w:top w:val="single" w:sz="4" w:space="0" w:color="auto"/>
              <w:left w:val="nil"/>
              <w:bottom w:val="nil"/>
              <w:right w:val="nil"/>
            </w:tcBorders>
            <w:shd w:val="clear" w:color="auto" w:fill="auto"/>
            <w:noWrap/>
            <w:vAlign w:val="center"/>
            <w:hideMark/>
          </w:tcPr>
          <w:p w14:paraId="1660523D"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 </w:t>
            </w:r>
          </w:p>
        </w:tc>
        <w:tc>
          <w:tcPr>
            <w:tcW w:w="483" w:type="pct"/>
            <w:tcBorders>
              <w:top w:val="single" w:sz="4" w:space="0" w:color="auto"/>
              <w:left w:val="nil"/>
              <w:bottom w:val="nil"/>
              <w:right w:val="nil"/>
            </w:tcBorders>
            <w:shd w:val="clear" w:color="auto" w:fill="auto"/>
            <w:noWrap/>
            <w:vAlign w:val="center"/>
            <w:hideMark/>
          </w:tcPr>
          <w:p w14:paraId="083FAEAD"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 </w:t>
            </w:r>
          </w:p>
        </w:tc>
        <w:tc>
          <w:tcPr>
            <w:tcW w:w="493" w:type="pct"/>
            <w:tcBorders>
              <w:top w:val="single" w:sz="4" w:space="0" w:color="auto"/>
              <w:left w:val="nil"/>
              <w:bottom w:val="nil"/>
              <w:right w:val="nil"/>
            </w:tcBorders>
            <w:shd w:val="clear" w:color="auto" w:fill="auto"/>
            <w:noWrap/>
            <w:vAlign w:val="center"/>
            <w:hideMark/>
          </w:tcPr>
          <w:p w14:paraId="0E1CE563"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 </w:t>
            </w:r>
          </w:p>
        </w:tc>
        <w:tc>
          <w:tcPr>
            <w:tcW w:w="390" w:type="pct"/>
            <w:tcBorders>
              <w:top w:val="single" w:sz="4" w:space="0" w:color="auto"/>
              <w:left w:val="nil"/>
              <w:bottom w:val="nil"/>
              <w:right w:val="nil"/>
            </w:tcBorders>
            <w:shd w:val="clear" w:color="auto" w:fill="auto"/>
            <w:noWrap/>
            <w:vAlign w:val="center"/>
            <w:hideMark/>
          </w:tcPr>
          <w:p w14:paraId="0598C5D5"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 </w:t>
            </w:r>
          </w:p>
        </w:tc>
      </w:tr>
      <w:tr w:rsidR="00855DD9" w:rsidRPr="00855DD9" w14:paraId="53CF03FC" w14:textId="77777777" w:rsidTr="00855DD9">
        <w:trPr>
          <w:trHeight w:hRule="exact" w:val="225"/>
        </w:trPr>
        <w:tc>
          <w:tcPr>
            <w:tcW w:w="3211" w:type="pct"/>
            <w:tcBorders>
              <w:top w:val="nil"/>
              <w:left w:val="nil"/>
              <w:bottom w:val="nil"/>
              <w:right w:val="nil"/>
            </w:tcBorders>
            <w:shd w:val="clear" w:color="auto" w:fill="auto"/>
            <w:vAlign w:val="bottom"/>
            <w:hideMark/>
          </w:tcPr>
          <w:p w14:paraId="45823BFA" w14:textId="77777777"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Depreciation/amortisation expense</w:t>
            </w:r>
          </w:p>
        </w:tc>
        <w:tc>
          <w:tcPr>
            <w:tcW w:w="423" w:type="pct"/>
            <w:tcBorders>
              <w:top w:val="nil"/>
              <w:left w:val="nil"/>
              <w:bottom w:val="nil"/>
              <w:right w:val="nil"/>
            </w:tcBorders>
            <w:shd w:val="clear" w:color="auto" w:fill="auto"/>
            <w:noWrap/>
            <w:vAlign w:val="center"/>
            <w:hideMark/>
          </w:tcPr>
          <w:p w14:paraId="3043C6A1"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(2,278)</w:t>
            </w:r>
          </w:p>
        </w:tc>
        <w:tc>
          <w:tcPr>
            <w:tcW w:w="483" w:type="pct"/>
            <w:tcBorders>
              <w:top w:val="nil"/>
              <w:left w:val="nil"/>
              <w:bottom w:val="nil"/>
              <w:right w:val="nil"/>
            </w:tcBorders>
            <w:shd w:val="clear" w:color="auto" w:fill="auto"/>
            <w:noWrap/>
            <w:vAlign w:val="center"/>
            <w:hideMark/>
          </w:tcPr>
          <w:p w14:paraId="3327DC0A"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(2,319)</w:t>
            </w:r>
          </w:p>
        </w:tc>
        <w:tc>
          <w:tcPr>
            <w:tcW w:w="493" w:type="pct"/>
            <w:tcBorders>
              <w:top w:val="nil"/>
              <w:left w:val="nil"/>
              <w:bottom w:val="nil"/>
              <w:right w:val="nil"/>
            </w:tcBorders>
            <w:shd w:val="clear" w:color="auto" w:fill="auto"/>
            <w:noWrap/>
            <w:vAlign w:val="center"/>
            <w:hideMark/>
          </w:tcPr>
          <w:p w14:paraId="1B314566"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(2,628)</w:t>
            </w:r>
          </w:p>
        </w:tc>
        <w:tc>
          <w:tcPr>
            <w:tcW w:w="390" w:type="pct"/>
            <w:tcBorders>
              <w:top w:val="nil"/>
              <w:left w:val="nil"/>
              <w:bottom w:val="nil"/>
              <w:right w:val="nil"/>
            </w:tcBorders>
            <w:shd w:val="clear" w:color="auto" w:fill="auto"/>
            <w:noWrap/>
            <w:vAlign w:val="center"/>
            <w:hideMark/>
          </w:tcPr>
          <w:p w14:paraId="4C4024C2"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(7,225)</w:t>
            </w:r>
          </w:p>
        </w:tc>
      </w:tr>
      <w:tr w:rsidR="00855DD9" w:rsidRPr="00855DD9" w14:paraId="5059A7B9" w14:textId="77777777" w:rsidTr="00855DD9">
        <w:trPr>
          <w:trHeight w:hRule="exact" w:val="450"/>
        </w:trPr>
        <w:tc>
          <w:tcPr>
            <w:tcW w:w="3211" w:type="pct"/>
            <w:tcBorders>
              <w:top w:val="nil"/>
              <w:left w:val="nil"/>
              <w:bottom w:val="nil"/>
              <w:right w:val="nil"/>
            </w:tcBorders>
            <w:shd w:val="clear" w:color="auto" w:fill="auto"/>
            <w:vAlign w:val="center"/>
            <w:hideMark/>
          </w:tcPr>
          <w:p w14:paraId="47D8CEC3" w14:textId="77777777"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 xml:space="preserve">Depreciation/amortisation on </w:t>
            </w:r>
            <w:r w:rsidRPr="00855DD9">
              <w:rPr>
                <w:rFonts w:ascii="Arial" w:hAnsi="Arial" w:cs="Arial"/>
                <w:sz w:val="16"/>
                <w:szCs w:val="16"/>
              </w:rPr>
              <w:br/>
              <w:t xml:space="preserve"> ROU assets</w:t>
            </w:r>
          </w:p>
        </w:tc>
        <w:tc>
          <w:tcPr>
            <w:tcW w:w="423" w:type="pct"/>
            <w:tcBorders>
              <w:top w:val="nil"/>
              <w:left w:val="nil"/>
              <w:bottom w:val="nil"/>
              <w:right w:val="nil"/>
            </w:tcBorders>
            <w:shd w:val="clear" w:color="auto" w:fill="auto"/>
            <w:noWrap/>
            <w:vAlign w:val="center"/>
            <w:hideMark/>
          </w:tcPr>
          <w:p w14:paraId="6380DE1D"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(6,732)</w:t>
            </w:r>
          </w:p>
        </w:tc>
        <w:tc>
          <w:tcPr>
            <w:tcW w:w="483" w:type="pct"/>
            <w:tcBorders>
              <w:top w:val="nil"/>
              <w:left w:val="nil"/>
              <w:bottom w:val="nil"/>
              <w:right w:val="nil"/>
            </w:tcBorders>
            <w:shd w:val="clear" w:color="auto" w:fill="auto"/>
            <w:noWrap/>
            <w:vAlign w:val="center"/>
            <w:hideMark/>
          </w:tcPr>
          <w:p w14:paraId="61D5DF1E" w14:textId="46880D4E" w:rsidR="00855DD9" w:rsidRPr="00855DD9" w:rsidRDefault="00B33758" w:rsidP="00855DD9">
            <w:pPr>
              <w:spacing w:after="0" w:line="240" w:lineRule="auto"/>
              <w:jc w:val="right"/>
              <w:rPr>
                <w:rFonts w:ascii="Arial" w:hAnsi="Arial" w:cs="Arial"/>
                <w:sz w:val="16"/>
                <w:szCs w:val="16"/>
              </w:rPr>
            </w:pPr>
            <w:r>
              <w:rPr>
                <w:rFonts w:ascii="Arial" w:hAnsi="Arial" w:cs="Arial"/>
                <w:sz w:val="16"/>
                <w:szCs w:val="16"/>
              </w:rPr>
              <w:noBreakHyphen/>
            </w:r>
            <w:r w:rsidR="00855DD9" w:rsidRPr="00855DD9">
              <w:rPr>
                <w:rFonts w:ascii="Arial" w:hAnsi="Arial" w:cs="Arial"/>
                <w:sz w:val="16"/>
                <w:szCs w:val="16"/>
              </w:rPr>
              <w:t xml:space="preserve"> </w:t>
            </w:r>
          </w:p>
        </w:tc>
        <w:tc>
          <w:tcPr>
            <w:tcW w:w="493" w:type="pct"/>
            <w:tcBorders>
              <w:top w:val="nil"/>
              <w:left w:val="nil"/>
              <w:bottom w:val="nil"/>
              <w:right w:val="nil"/>
            </w:tcBorders>
            <w:shd w:val="clear" w:color="auto" w:fill="auto"/>
            <w:noWrap/>
            <w:vAlign w:val="center"/>
            <w:hideMark/>
          </w:tcPr>
          <w:p w14:paraId="64DD60E8" w14:textId="1CB1295A" w:rsidR="00855DD9" w:rsidRPr="00855DD9" w:rsidRDefault="00B33758" w:rsidP="00855DD9">
            <w:pPr>
              <w:spacing w:after="0" w:line="240" w:lineRule="auto"/>
              <w:jc w:val="right"/>
              <w:rPr>
                <w:rFonts w:ascii="Arial" w:hAnsi="Arial" w:cs="Arial"/>
                <w:sz w:val="16"/>
                <w:szCs w:val="16"/>
              </w:rPr>
            </w:pPr>
            <w:r>
              <w:rPr>
                <w:rFonts w:ascii="Arial" w:hAnsi="Arial" w:cs="Arial"/>
                <w:sz w:val="16"/>
                <w:szCs w:val="16"/>
              </w:rPr>
              <w:noBreakHyphen/>
            </w:r>
            <w:r w:rsidR="00855DD9" w:rsidRPr="00855DD9">
              <w:rPr>
                <w:rFonts w:ascii="Arial" w:hAnsi="Arial" w:cs="Arial"/>
                <w:sz w:val="16"/>
                <w:szCs w:val="16"/>
              </w:rPr>
              <w:t xml:space="preserve"> </w:t>
            </w:r>
          </w:p>
        </w:tc>
        <w:tc>
          <w:tcPr>
            <w:tcW w:w="390" w:type="pct"/>
            <w:tcBorders>
              <w:top w:val="nil"/>
              <w:left w:val="nil"/>
              <w:bottom w:val="nil"/>
              <w:right w:val="nil"/>
            </w:tcBorders>
            <w:shd w:val="clear" w:color="auto" w:fill="auto"/>
            <w:noWrap/>
            <w:vAlign w:val="center"/>
            <w:hideMark/>
          </w:tcPr>
          <w:p w14:paraId="1BDB8A69"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(6,732)</w:t>
            </w:r>
          </w:p>
        </w:tc>
      </w:tr>
      <w:tr w:rsidR="00855DD9" w:rsidRPr="00855DD9" w14:paraId="7B67DE56" w14:textId="77777777" w:rsidTr="00855DD9">
        <w:trPr>
          <w:trHeight w:hRule="exact" w:val="225"/>
        </w:trPr>
        <w:tc>
          <w:tcPr>
            <w:tcW w:w="3211" w:type="pct"/>
            <w:tcBorders>
              <w:top w:val="nil"/>
              <w:left w:val="nil"/>
              <w:bottom w:val="single" w:sz="4" w:space="0" w:color="auto"/>
              <w:right w:val="nil"/>
            </w:tcBorders>
            <w:shd w:val="clear" w:color="auto" w:fill="auto"/>
            <w:vAlign w:val="bottom"/>
            <w:hideMark/>
          </w:tcPr>
          <w:p w14:paraId="1A844C49" w14:textId="77777777" w:rsidR="00855DD9" w:rsidRPr="00855DD9" w:rsidRDefault="00855DD9" w:rsidP="00855DD9">
            <w:pPr>
              <w:spacing w:after="0" w:line="240" w:lineRule="auto"/>
              <w:ind w:left="170"/>
              <w:jc w:val="left"/>
              <w:rPr>
                <w:rFonts w:ascii="Arial" w:hAnsi="Arial" w:cs="Arial"/>
                <w:b/>
                <w:bCs/>
                <w:sz w:val="16"/>
                <w:szCs w:val="16"/>
              </w:rPr>
            </w:pPr>
            <w:r w:rsidRPr="00855DD9">
              <w:rPr>
                <w:rFonts w:ascii="Arial" w:hAnsi="Arial" w:cs="Arial"/>
                <w:b/>
                <w:bCs/>
                <w:sz w:val="16"/>
                <w:szCs w:val="16"/>
              </w:rPr>
              <w:t>Total other movements</w:t>
            </w:r>
          </w:p>
        </w:tc>
        <w:tc>
          <w:tcPr>
            <w:tcW w:w="423" w:type="pct"/>
            <w:tcBorders>
              <w:top w:val="single" w:sz="4" w:space="0" w:color="auto"/>
              <w:left w:val="nil"/>
              <w:bottom w:val="single" w:sz="4" w:space="0" w:color="auto"/>
              <w:right w:val="nil"/>
            </w:tcBorders>
            <w:shd w:val="clear" w:color="auto" w:fill="auto"/>
            <w:noWrap/>
            <w:vAlign w:val="center"/>
            <w:hideMark/>
          </w:tcPr>
          <w:p w14:paraId="606F4B75"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(9,010)</w:t>
            </w:r>
          </w:p>
        </w:tc>
        <w:tc>
          <w:tcPr>
            <w:tcW w:w="483" w:type="pct"/>
            <w:tcBorders>
              <w:top w:val="single" w:sz="4" w:space="0" w:color="auto"/>
              <w:left w:val="nil"/>
              <w:bottom w:val="single" w:sz="4" w:space="0" w:color="auto"/>
              <w:right w:val="nil"/>
            </w:tcBorders>
            <w:shd w:val="clear" w:color="auto" w:fill="auto"/>
            <w:noWrap/>
            <w:vAlign w:val="center"/>
            <w:hideMark/>
          </w:tcPr>
          <w:p w14:paraId="28AEB786"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(2,319)</w:t>
            </w:r>
          </w:p>
        </w:tc>
        <w:tc>
          <w:tcPr>
            <w:tcW w:w="493" w:type="pct"/>
            <w:tcBorders>
              <w:top w:val="single" w:sz="4" w:space="0" w:color="auto"/>
              <w:left w:val="nil"/>
              <w:bottom w:val="single" w:sz="4" w:space="0" w:color="auto"/>
              <w:right w:val="nil"/>
            </w:tcBorders>
            <w:shd w:val="clear" w:color="auto" w:fill="auto"/>
            <w:noWrap/>
            <w:vAlign w:val="center"/>
            <w:hideMark/>
          </w:tcPr>
          <w:p w14:paraId="51C3585C"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(2,628)</w:t>
            </w:r>
          </w:p>
        </w:tc>
        <w:tc>
          <w:tcPr>
            <w:tcW w:w="390" w:type="pct"/>
            <w:tcBorders>
              <w:top w:val="single" w:sz="4" w:space="0" w:color="auto"/>
              <w:left w:val="nil"/>
              <w:bottom w:val="single" w:sz="4" w:space="0" w:color="auto"/>
              <w:right w:val="nil"/>
            </w:tcBorders>
            <w:shd w:val="clear" w:color="auto" w:fill="auto"/>
            <w:noWrap/>
            <w:vAlign w:val="center"/>
            <w:hideMark/>
          </w:tcPr>
          <w:p w14:paraId="4E21A29A"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(13,957)</w:t>
            </w:r>
          </w:p>
        </w:tc>
      </w:tr>
      <w:tr w:rsidR="00855DD9" w:rsidRPr="00855DD9" w14:paraId="1D497485" w14:textId="77777777" w:rsidTr="00855DD9">
        <w:trPr>
          <w:trHeight w:hRule="exact" w:val="225"/>
        </w:trPr>
        <w:tc>
          <w:tcPr>
            <w:tcW w:w="3211" w:type="pct"/>
            <w:tcBorders>
              <w:top w:val="nil"/>
              <w:left w:val="nil"/>
              <w:bottom w:val="nil"/>
              <w:right w:val="nil"/>
            </w:tcBorders>
            <w:shd w:val="clear" w:color="auto" w:fill="auto"/>
            <w:vAlign w:val="bottom"/>
            <w:hideMark/>
          </w:tcPr>
          <w:p w14:paraId="5AC974C3"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 xml:space="preserve">As </w:t>
            </w:r>
            <w:proofErr w:type="gramStart"/>
            <w:r w:rsidRPr="00855DD9">
              <w:rPr>
                <w:rFonts w:ascii="Arial" w:hAnsi="Arial" w:cs="Arial"/>
                <w:b/>
                <w:bCs/>
                <w:sz w:val="16"/>
                <w:szCs w:val="16"/>
              </w:rPr>
              <w:t>at</w:t>
            </w:r>
            <w:proofErr w:type="gramEnd"/>
            <w:r w:rsidRPr="00855DD9">
              <w:rPr>
                <w:rFonts w:ascii="Arial" w:hAnsi="Arial" w:cs="Arial"/>
                <w:b/>
                <w:bCs/>
                <w:sz w:val="16"/>
                <w:szCs w:val="16"/>
              </w:rPr>
              <w:t xml:space="preserve"> 30 June 2023</w:t>
            </w:r>
          </w:p>
        </w:tc>
        <w:tc>
          <w:tcPr>
            <w:tcW w:w="423" w:type="pct"/>
            <w:tcBorders>
              <w:top w:val="nil"/>
              <w:left w:val="nil"/>
              <w:bottom w:val="nil"/>
              <w:right w:val="nil"/>
            </w:tcBorders>
            <w:shd w:val="clear" w:color="auto" w:fill="auto"/>
            <w:noWrap/>
            <w:vAlign w:val="center"/>
            <w:hideMark/>
          </w:tcPr>
          <w:p w14:paraId="7D914FDA" w14:textId="77777777" w:rsidR="00855DD9" w:rsidRPr="00855DD9" w:rsidRDefault="00855DD9" w:rsidP="00855DD9">
            <w:pPr>
              <w:spacing w:after="0" w:line="240" w:lineRule="auto"/>
              <w:jc w:val="left"/>
              <w:rPr>
                <w:rFonts w:ascii="Arial" w:hAnsi="Arial" w:cs="Arial"/>
                <w:b/>
                <w:bCs/>
                <w:sz w:val="16"/>
                <w:szCs w:val="16"/>
              </w:rPr>
            </w:pPr>
          </w:p>
        </w:tc>
        <w:tc>
          <w:tcPr>
            <w:tcW w:w="483" w:type="pct"/>
            <w:tcBorders>
              <w:top w:val="nil"/>
              <w:left w:val="nil"/>
              <w:bottom w:val="nil"/>
              <w:right w:val="nil"/>
            </w:tcBorders>
            <w:shd w:val="clear" w:color="auto" w:fill="auto"/>
            <w:noWrap/>
            <w:vAlign w:val="center"/>
            <w:hideMark/>
          </w:tcPr>
          <w:p w14:paraId="4AB1576E" w14:textId="77777777" w:rsidR="00855DD9" w:rsidRPr="00855DD9" w:rsidRDefault="00855DD9" w:rsidP="00855DD9">
            <w:pPr>
              <w:spacing w:after="0" w:line="240" w:lineRule="auto"/>
              <w:jc w:val="left"/>
              <w:rPr>
                <w:rFonts w:ascii="Times New Roman" w:hAnsi="Times New Roman"/>
              </w:rPr>
            </w:pPr>
          </w:p>
        </w:tc>
        <w:tc>
          <w:tcPr>
            <w:tcW w:w="493" w:type="pct"/>
            <w:tcBorders>
              <w:top w:val="nil"/>
              <w:left w:val="nil"/>
              <w:bottom w:val="nil"/>
              <w:right w:val="nil"/>
            </w:tcBorders>
            <w:shd w:val="clear" w:color="auto" w:fill="auto"/>
            <w:noWrap/>
            <w:vAlign w:val="center"/>
            <w:hideMark/>
          </w:tcPr>
          <w:p w14:paraId="1073ECE8" w14:textId="77777777" w:rsidR="00855DD9" w:rsidRPr="00855DD9" w:rsidRDefault="00855DD9" w:rsidP="00855DD9">
            <w:pPr>
              <w:spacing w:after="0" w:line="240" w:lineRule="auto"/>
              <w:jc w:val="left"/>
              <w:rPr>
                <w:rFonts w:ascii="Times New Roman" w:hAnsi="Times New Roman"/>
              </w:rPr>
            </w:pPr>
          </w:p>
        </w:tc>
        <w:tc>
          <w:tcPr>
            <w:tcW w:w="390" w:type="pct"/>
            <w:tcBorders>
              <w:top w:val="nil"/>
              <w:left w:val="nil"/>
              <w:bottom w:val="nil"/>
              <w:right w:val="nil"/>
            </w:tcBorders>
            <w:shd w:val="clear" w:color="auto" w:fill="auto"/>
            <w:noWrap/>
            <w:vAlign w:val="center"/>
            <w:hideMark/>
          </w:tcPr>
          <w:p w14:paraId="4A5440DE" w14:textId="77777777" w:rsidR="00855DD9" w:rsidRPr="00855DD9" w:rsidRDefault="00855DD9" w:rsidP="00855DD9">
            <w:pPr>
              <w:spacing w:after="0" w:line="240" w:lineRule="auto"/>
              <w:jc w:val="left"/>
              <w:rPr>
                <w:rFonts w:ascii="Times New Roman" w:hAnsi="Times New Roman"/>
              </w:rPr>
            </w:pPr>
          </w:p>
        </w:tc>
      </w:tr>
      <w:tr w:rsidR="00855DD9" w:rsidRPr="00855DD9" w14:paraId="31887FDD" w14:textId="77777777" w:rsidTr="00855DD9">
        <w:trPr>
          <w:trHeight w:hRule="exact" w:val="225"/>
        </w:trPr>
        <w:tc>
          <w:tcPr>
            <w:tcW w:w="3211" w:type="pct"/>
            <w:tcBorders>
              <w:top w:val="nil"/>
              <w:left w:val="nil"/>
              <w:bottom w:val="nil"/>
              <w:right w:val="nil"/>
            </w:tcBorders>
            <w:shd w:val="clear" w:color="auto" w:fill="auto"/>
            <w:vAlign w:val="center"/>
            <w:hideMark/>
          </w:tcPr>
          <w:p w14:paraId="2607CD10" w14:textId="77777777"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Gross book value</w:t>
            </w:r>
          </w:p>
        </w:tc>
        <w:tc>
          <w:tcPr>
            <w:tcW w:w="423" w:type="pct"/>
            <w:tcBorders>
              <w:top w:val="nil"/>
              <w:left w:val="nil"/>
              <w:bottom w:val="nil"/>
              <w:right w:val="nil"/>
            </w:tcBorders>
            <w:shd w:val="clear" w:color="auto" w:fill="auto"/>
            <w:noWrap/>
            <w:vAlign w:val="center"/>
            <w:hideMark/>
          </w:tcPr>
          <w:p w14:paraId="1452A1E0"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23,718 </w:t>
            </w:r>
          </w:p>
        </w:tc>
        <w:tc>
          <w:tcPr>
            <w:tcW w:w="483" w:type="pct"/>
            <w:tcBorders>
              <w:top w:val="nil"/>
              <w:left w:val="nil"/>
              <w:bottom w:val="nil"/>
              <w:right w:val="nil"/>
            </w:tcBorders>
            <w:shd w:val="clear" w:color="auto" w:fill="auto"/>
            <w:noWrap/>
            <w:vAlign w:val="center"/>
            <w:hideMark/>
          </w:tcPr>
          <w:p w14:paraId="4118D7A8"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6,726 </w:t>
            </w:r>
          </w:p>
        </w:tc>
        <w:tc>
          <w:tcPr>
            <w:tcW w:w="493" w:type="pct"/>
            <w:tcBorders>
              <w:top w:val="nil"/>
              <w:left w:val="nil"/>
              <w:bottom w:val="nil"/>
              <w:right w:val="nil"/>
            </w:tcBorders>
            <w:shd w:val="clear" w:color="auto" w:fill="auto"/>
            <w:noWrap/>
            <w:vAlign w:val="center"/>
            <w:hideMark/>
          </w:tcPr>
          <w:p w14:paraId="7116143B"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63,689 </w:t>
            </w:r>
          </w:p>
        </w:tc>
        <w:tc>
          <w:tcPr>
            <w:tcW w:w="390" w:type="pct"/>
            <w:tcBorders>
              <w:top w:val="nil"/>
              <w:left w:val="nil"/>
              <w:bottom w:val="nil"/>
              <w:right w:val="nil"/>
            </w:tcBorders>
            <w:shd w:val="clear" w:color="auto" w:fill="auto"/>
            <w:noWrap/>
            <w:vAlign w:val="center"/>
            <w:hideMark/>
          </w:tcPr>
          <w:p w14:paraId="77131138"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94,133 </w:t>
            </w:r>
          </w:p>
        </w:tc>
      </w:tr>
      <w:tr w:rsidR="00855DD9" w:rsidRPr="00855DD9" w14:paraId="776C1D5F" w14:textId="77777777" w:rsidTr="00855DD9">
        <w:trPr>
          <w:trHeight w:hRule="exact" w:val="225"/>
        </w:trPr>
        <w:tc>
          <w:tcPr>
            <w:tcW w:w="3211" w:type="pct"/>
            <w:tcBorders>
              <w:top w:val="nil"/>
              <w:left w:val="nil"/>
              <w:bottom w:val="nil"/>
              <w:right w:val="nil"/>
            </w:tcBorders>
            <w:shd w:val="clear" w:color="auto" w:fill="auto"/>
            <w:vAlign w:val="center"/>
            <w:hideMark/>
          </w:tcPr>
          <w:p w14:paraId="5C9E1820" w14:textId="3E523741"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Gross book value</w:t>
            </w:r>
            <w:r w:rsidR="00B33758">
              <w:rPr>
                <w:rFonts w:ascii="Arial" w:hAnsi="Arial" w:cs="Arial"/>
                <w:sz w:val="16"/>
                <w:szCs w:val="16"/>
              </w:rPr>
              <w:t xml:space="preserve"> – </w:t>
            </w:r>
            <w:r w:rsidRPr="00855DD9">
              <w:rPr>
                <w:rFonts w:ascii="Arial" w:hAnsi="Arial" w:cs="Arial"/>
                <w:sz w:val="16"/>
                <w:szCs w:val="16"/>
              </w:rPr>
              <w:t>ROU assets</w:t>
            </w:r>
          </w:p>
        </w:tc>
        <w:tc>
          <w:tcPr>
            <w:tcW w:w="423" w:type="pct"/>
            <w:tcBorders>
              <w:top w:val="nil"/>
              <w:left w:val="nil"/>
              <w:bottom w:val="nil"/>
              <w:right w:val="nil"/>
            </w:tcBorders>
            <w:shd w:val="clear" w:color="auto" w:fill="auto"/>
            <w:noWrap/>
            <w:vAlign w:val="center"/>
            <w:hideMark/>
          </w:tcPr>
          <w:p w14:paraId="38107178"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149,233 </w:t>
            </w:r>
          </w:p>
        </w:tc>
        <w:tc>
          <w:tcPr>
            <w:tcW w:w="483" w:type="pct"/>
            <w:tcBorders>
              <w:top w:val="nil"/>
              <w:left w:val="nil"/>
              <w:bottom w:val="nil"/>
              <w:right w:val="nil"/>
            </w:tcBorders>
            <w:shd w:val="clear" w:color="auto" w:fill="auto"/>
            <w:noWrap/>
            <w:vAlign w:val="center"/>
            <w:hideMark/>
          </w:tcPr>
          <w:p w14:paraId="69DDED5F"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34 </w:t>
            </w:r>
          </w:p>
        </w:tc>
        <w:tc>
          <w:tcPr>
            <w:tcW w:w="493" w:type="pct"/>
            <w:tcBorders>
              <w:top w:val="nil"/>
              <w:left w:val="nil"/>
              <w:bottom w:val="nil"/>
              <w:right w:val="nil"/>
            </w:tcBorders>
            <w:shd w:val="clear" w:color="auto" w:fill="auto"/>
            <w:noWrap/>
            <w:vAlign w:val="center"/>
            <w:hideMark/>
          </w:tcPr>
          <w:p w14:paraId="01E83B1E" w14:textId="3FA20FD4" w:rsidR="00855DD9" w:rsidRPr="00855DD9" w:rsidRDefault="00B33758" w:rsidP="00855DD9">
            <w:pPr>
              <w:spacing w:after="0" w:line="240" w:lineRule="auto"/>
              <w:jc w:val="right"/>
              <w:rPr>
                <w:rFonts w:ascii="Arial" w:hAnsi="Arial" w:cs="Arial"/>
                <w:sz w:val="16"/>
                <w:szCs w:val="16"/>
              </w:rPr>
            </w:pPr>
            <w:r>
              <w:rPr>
                <w:rFonts w:ascii="Arial" w:hAnsi="Arial" w:cs="Arial"/>
                <w:sz w:val="16"/>
                <w:szCs w:val="16"/>
              </w:rPr>
              <w:noBreakHyphen/>
            </w:r>
            <w:r w:rsidR="00855DD9" w:rsidRPr="00855DD9">
              <w:rPr>
                <w:rFonts w:ascii="Arial" w:hAnsi="Arial" w:cs="Arial"/>
                <w:sz w:val="16"/>
                <w:szCs w:val="16"/>
              </w:rPr>
              <w:t xml:space="preserve"> </w:t>
            </w:r>
          </w:p>
        </w:tc>
        <w:tc>
          <w:tcPr>
            <w:tcW w:w="390" w:type="pct"/>
            <w:tcBorders>
              <w:top w:val="nil"/>
              <w:left w:val="nil"/>
              <w:bottom w:val="nil"/>
              <w:right w:val="nil"/>
            </w:tcBorders>
            <w:shd w:val="clear" w:color="auto" w:fill="auto"/>
            <w:noWrap/>
            <w:vAlign w:val="center"/>
            <w:hideMark/>
          </w:tcPr>
          <w:p w14:paraId="4530AD10"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149,267 </w:t>
            </w:r>
          </w:p>
        </w:tc>
      </w:tr>
      <w:tr w:rsidR="00855DD9" w:rsidRPr="00855DD9" w14:paraId="28E9A690" w14:textId="77777777" w:rsidTr="00855DD9">
        <w:trPr>
          <w:trHeight w:hRule="exact" w:val="225"/>
        </w:trPr>
        <w:tc>
          <w:tcPr>
            <w:tcW w:w="3211" w:type="pct"/>
            <w:tcBorders>
              <w:top w:val="nil"/>
              <w:left w:val="nil"/>
              <w:bottom w:val="nil"/>
              <w:right w:val="nil"/>
            </w:tcBorders>
            <w:shd w:val="clear" w:color="auto" w:fill="auto"/>
            <w:noWrap/>
            <w:vAlign w:val="center"/>
            <w:hideMark/>
          </w:tcPr>
          <w:p w14:paraId="09AFBF33" w14:textId="77777777"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Accumulated depreciation/amortisation and impairment</w:t>
            </w:r>
          </w:p>
        </w:tc>
        <w:tc>
          <w:tcPr>
            <w:tcW w:w="423" w:type="pct"/>
            <w:tcBorders>
              <w:top w:val="nil"/>
              <w:left w:val="nil"/>
              <w:bottom w:val="nil"/>
              <w:right w:val="nil"/>
            </w:tcBorders>
            <w:shd w:val="clear" w:color="auto" w:fill="auto"/>
            <w:noWrap/>
            <w:vAlign w:val="center"/>
            <w:hideMark/>
          </w:tcPr>
          <w:p w14:paraId="3646BA68"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(4,876)</w:t>
            </w:r>
          </w:p>
        </w:tc>
        <w:tc>
          <w:tcPr>
            <w:tcW w:w="483" w:type="pct"/>
            <w:tcBorders>
              <w:top w:val="nil"/>
              <w:left w:val="nil"/>
              <w:bottom w:val="nil"/>
              <w:right w:val="nil"/>
            </w:tcBorders>
            <w:shd w:val="clear" w:color="auto" w:fill="auto"/>
            <w:noWrap/>
            <w:vAlign w:val="center"/>
            <w:hideMark/>
          </w:tcPr>
          <w:p w14:paraId="5269E812"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 xml:space="preserve">11,203 </w:t>
            </w:r>
          </w:p>
        </w:tc>
        <w:tc>
          <w:tcPr>
            <w:tcW w:w="493" w:type="pct"/>
            <w:tcBorders>
              <w:top w:val="nil"/>
              <w:left w:val="nil"/>
              <w:bottom w:val="nil"/>
              <w:right w:val="nil"/>
            </w:tcBorders>
            <w:shd w:val="clear" w:color="auto" w:fill="auto"/>
            <w:noWrap/>
            <w:vAlign w:val="center"/>
            <w:hideMark/>
          </w:tcPr>
          <w:p w14:paraId="43F8CE89"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(44,293)</w:t>
            </w:r>
          </w:p>
        </w:tc>
        <w:tc>
          <w:tcPr>
            <w:tcW w:w="390" w:type="pct"/>
            <w:tcBorders>
              <w:top w:val="nil"/>
              <w:left w:val="nil"/>
              <w:bottom w:val="nil"/>
              <w:right w:val="nil"/>
            </w:tcBorders>
            <w:shd w:val="clear" w:color="auto" w:fill="auto"/>
            <w:noWrap/>
            <w:vAlign w:val="center"/>
            <w:hideMark/>
          </w:tcPr>
          <w:p w14:paraId="3B182900"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(37,966)</w:t>
            </w:r>
          </w:p>
        </w:tc>
      </w:tr>
      <w:tr w:rsidR="00855DD9" w:rsidRPr="00855DD9" w14:paraId="49280911" w14:textId="77777777" w:rsidTr="00855DD9">
        <w:trPr>
          <w:trHeight w:hRule="exact" w:val="225"/>
        </w:trPr>
        <w:tc>
          <w:tcPr>
            <w:tcW w:w="3211" w:type="pct"/>
            <w:tcBorders>
              <w:top w:val="nil"/>
              <w:left w:val="nil"/>
              <w:bottom w:val="nil"/>
              <w:right w:val="nil"/>
            </w:tcBorders>
            <w:shd w:val="clear" w:color="auto" w:fill="auto"/>
            <w:noWrap/>
            <w:vAlign w:val="center"/>
            <w:hideMark/>
          </w:tcPr>
          <w:p w14:paraId="26A7B9AE" w14:textId="77F93165" w:rsidR="00855DD9" w:rsidRPr="00855DD9" w:rsidRDefault="00855DD9" w:rsidP="00855DD9">
            <w:pPr>
              <w:spacing w:after="0" w:line="240" w:lineRule="auto"/>
              <w:ind w:left="170"/>
              <w:jc w:val="left"/>
              <w:rPr>
                <w:rFonts w:ascii="Arial" w:hAnsi="Arial" w:cs="Arial"/>
                <w:sz w:val="16"/>
                <w:szCs w:val="16"/>
              </w:rPr>
            </w:pPr>
            <w:r w:rsidRPr="00855DD9">
              <w:rPr>
                <w:rFonts w:ascii="Arial" w:hAnsi="Arial" w:cs="Arial"/>
                <w:sz w:val="16"/>
                <w:szCs w:val="16"/>
              </w:rPr>
              <w:t>Accumulated depreciation/amortisation and impairment</w:t>
            </w:r>
            <w:r w:rsidR="00B33758">
              <w:rPr>
                <w:rFonts w:ascii="Arial" w:hAnsi="Arial" w:cs="Arial"/>
                <w:sz w:val="16"/>
                <w:szCs w:val="16"/>
              </w:rPr>
              <w:t xml:space="preserve"> – </w:t>
            </w:r>
            <w:r w:rsidRPr="00855DD9">
              <w:rPr>
                <w:rFonts w:ascii="Arial" w:hAnsi="Arial" w:cs="Arial"/>
                <w:sz w:val="16"/>
                <w:szCs w:val="16"/>
              </w:rPr>
              <w:t>ROU assets</w:t>
            </w:r>
          </w:p>
        </w:tc>
        <w:tc>
          <w:tcPr>
            <w:tcW w:w="423" w:type="pct"/>
            <w:tcBorders>
              <w:top w:val="nil"/>
              <w:left w:val="nil"/>
              <w:bottom w:val="nil"/>
              <w:right w:val="nil"/>
            </w:tcBorders>
            <w:shd w:val="clear" w:color="auto" w:fill="auto"/>
            <w:noWrap/>
            <w:vAlign w:val="center"/>
            <w:hideMark/>
          </w:tcPr>
          <w:p w14:paraId="0B8B1A1C"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(32,263)</w:t>
            </w:r>
          </w:p>
        </w:tc>
        <w:tc>
          <w:tcPr>
            <w:tcW w:w="483" w:type="pct"/>
            <w:tcBorders>
              <w:top w:val="nil"/>
              <w:left w:val="nil"/>
              <w:bottom w:val="nil"/>
              <w:right w:val="nil"/>
            </w:tcBorders>
            <w:shd w:val="clear" w:color="auto" w:fill="auto"/>
            <w:noWrap/>
            <w:vAlign w:val="center"/>
            <w:hideMark/>
          </w:tcPr>
          <w:p w14:paraId="72756C1A"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(117)</w:t>
            </w:r>
          </w:p>
        </w:tc>
        <w:tc>
          <w:tcPr>
            <w:tcW w:w="493" w:type="pct"/>
            <w:tcBorders>
              <w:top w:val="nil"/>
              <w:left w:val="nil"/>
              <w:bottom w:val="nil"/>
              <w:right w:val="nil"/>
            </w:tcBorders>
            <w:shd w:val="clear" w:color="auto" w:fill="auto"/>
            <w:noWrap/>
            <w:vAlign w:val="center"/>
            <w:hideMark/>
          </w:tcPr>
          <w:p w14:paraId="1DC109AC" w14:textId="67CB7D59" w:rsidR="00855DD9" w:rsidRPr="00855DD9" w:rsidRDefault="00B33758" w:rsidP="00855DD9">
            <w:pPr>
              <w:spacing w:after="0" w:line="240" w:lineRule="auto"/>
              <w:jc w:val="right"/>
              <w:rPr>
                <w:rFonts w:ascii="Arial" w:hAnsi="Arial" w:cs="Arial"/>
                <w:sz w:val="16"/>
                <w:szCs w:val="16"/>
              </w:rPr>
            </w:pPr>
            <w:r>
              <w:rPr>
                <w:rFonts w:ascii="Arial" w:hAnsi="Arial" w:cs="Arial"/>
                <w:sz w:val="16"/>
                <w:szCs w:val="16"/>
              </w:rPr>
              <w:noBreakHyphen/>
            </w:r>
            <w:r w:rsidR="00855DD9" w:rsidRPr="00855DD9">
              <w:rPr>
                <w:rFonts w:ascii="Arial" w:hAnsi="Arial" w:cs="Arial"/>
                <w:sz w:val="16"/>
                <w:szCs w:val="16"/>
              </w:rPr>
              <w:t xml:space="preserve"> </w:t>
            </w:r>
          </w:p>
        </w:tc>
        <w:tc>
          <w:tcPr>
            <w:tcW w:w="390" w:type="pct"/>
            <w:tcBorders>
              <w:top w:val="nil"/>
              <w:left w:val="nil"/>
              <w:bottom w:val="nil"/>
              <w:right w:val="nil"/>
            </w:tcBorders>
            <w:shd w:val="clear" w:color="auto" w:fill="auto"/>
            <w:noWrap/>
            <w:vAlign w:val="center"/>
            <w:hideMark/>
          </w:tcPr>
          <w:p w14:paraId="119CD870" w14:textId="77777777" w:rsidR="00855DD9" w:rsidRPr="00855DD9" w:rsidRDefault="00855DD9" w:rsidP="00855DD9">
            <w:pPr>
              <w:spacing w:after="0" w:line="240" w:lineRule="auto"/>
              <w:jc w:val="right"/>
              <w:rPr>
                <w:rFonts w:ascii="Arial" w:hAnsi="Arial" w:cs="Arial"/>
                <w:sz w:val="16"/>
                <w:szCs w:val="16"/>
              </w:rPr>
            </w:pPr>
            <w:r w:rsidRPr="00855DD9">
              <w:rPr>
                <w:rFonts w:ascii="Arial" w:hAnsi="Arial" w:cs="Arial"/>
                <w:sz w:val="16"/>
                <w:szCs w:val="16"/>
              </w:rPr>
              <w:t>(32,380)</w:t>
            </w:r>
          </w:p>
        </w:tc>
      </w:tr>
      <w:tr w:rsidR="00855DD9" w:rsidRPr="00855DD9" w14:paraId="2AD1D555" w14:textId="77777777" w:rsidTr="00855DD9">
        <w:trPr>
          <w:trHeight w:hRule="exact" w:val="225"/>
        </w:trPr>
        <w:tc>
          <w:tcPr>
            <w:tcW w:w="3211" w:type="pct"/>
            <w:tcBorders>
              <w:top w:val="nil"/>
              <w:left w:val="nil"/>
              <w:bottom w:val="single" w:sz="4" w:space="0" w:color="auto"/>
              <w:right w:val="nil"/>
            </w:tcBorders>
            <w:shd w:val="clear" w:color="auto" w:fill="auto"/>
            <w:noWrap/>
            <w:vAlign w:val="bottom"/>
            <w:hideMark/>
          </w:tcPr>
          <w:p w14:paraId="1FF0BCDA" w14:textId="77777777" w:rsidR="00855DD9" w:rsidRPr="00855DD9" w:rsidRDefault="00855DD9" w:rsidP="00855DD9">
            <w:pPr>
              <w:spacing w:after="0" w:line="240" w:lineRule="auto"/>
              <w:jc w:val="left"/>
              <w:rPr>
                <w:rFonts w:ascii="Arial" w:hAnsi="Arial" w:cs="Arial"/>
                <w:b/>
                <w:bCs/>
                <w:sz w:val="16"/>
                <w:szCs w:val="16"/>
              </w:rPr>
            </w:pPr>
            <w:r w:rsidRPr="00855DD9">
              <w:rPr>
                <w:rFonts w:ascii="Arial" w:hAnsi="Arial" w:cs="Arial"/>
                <w:b/>
                <w:bCs/>
                <w:sz w:val="16"/>
                <w:szCs w:val="16"/>
              </w:rPr>
              <w:t>Closing net book balance</w:t>
            </w:r>
          </w:p>
        </w:tc>
        <w:tc>
          <w:tcPr>
            <w:tcW w:w="423" w:type="pct"/>
            <w:tcBorders>
              <w:top w:val="single" w:sz="4" w:space="0" w:color="auto"/>
              <w:left w:val="nil"/>
              <w:bottom w:val="single" w:sz="4" w:space="0" w:color="auto"/>
              <w:right w:val="nil"/>
            </w:tcBorders>
            <w:shd w:val="clear" w:color="auto" w:fill="auto"/>
            <w:noWrap/>
            <w:vAlign w:val="center"/>
            <w:hideMark/>
          </w:tcPr>
          <w:p w14:paraId="7189AB58"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135,812 </w:t>
            </w:r>
          </w:p>
        </w:tc>
        <w:tc>
          <w:tcPr>
            <w:tcW w:w="483" w:type="pct"/>
            <w:tcBorders>
              <w:top w:val="single" w:sz="4" w:space="0" w:color="auto"/>
              <w:left w:val="nil"/>
              <w:bottom w:val="single" w:sz="4" w:space="0" w:color="auto"/>
              <w:right w:val="nil"/>
            </w:tcBorders>
            <w:shd w:val="clear" w:color="auto" w:fill="auto"/>
            <w:noWrap/>
            <w:vAlign w:val="center"/>
            <w:hideMark/>
          </w:tcPr>
          <w:p w14:paraId="497F38FE"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17,846 </w:t>
            </w:r>
          </w:p>
        </w:tc>
        <w:tc>
          <w:tcPr>
            <w:tcW w:w="493" w:type="pct"/>
            <w:tcBorders>
              <w:top w:val="single" w:sz="4" w:space="0" w:color="auto"/>
              <w:left w:val="nil"/>
              <w:bottom w:val="single" w:sz="4" w:space="0" w:color="auto"/>
              <w:right w:val="nil"/>
            </w:tcBorders>
            <w:shd w:val="clear" w:color="auto" w:fill="auto"/>
            <w:noWrap/>
            <w:vAlign w:val="center"/>
            <w:hideMark/>
          </w:tcPr>
          <w:p w14:paraId="30BA4303"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19,396 </w:t>
            </w:r>
          </w:p>
        </w:tc>
        <w:tc>
          <w:tcPr>
            <w:tcW w:w="390" w:type="pct"/>
            <w:tcBorders>
              <w:top w:val="single" w:sz="4" w:space="0" w:color="auto"/>
              <w:left w:val="nil"/>
              <w:bottom w:val="single" w:sz="4" w:space="0" w:color="auto"/>
              <w:right w:val="nil"/>
            </w:tcBorders>
            <w:shd w:val="clear" w:color="auto" w:fill="auto"/>
            <w:noWrap/>
            <w:vAlign w:val="center"/>
            <w:hideMark/>
          </w:tcPr>
          <w:p w14:paraId="74A9A2A7" w14:textId="77777777" w:rsidR="00855DD9" w:rsidRPr="00855DD9" w:rsidRDefault="00855DD9" w:rsidP="00855DD9">
            <w:pPr>
              <w:spacing w:after="0" w:line="240" w:lineRule="auto"/>
              <w:jc w:val="right"/>
              <w:rPr>
                <w:rFonts w:ascii="Arial" w:hAnsi="Arial" w:cs="Arial"/>
                <w:b/>
                <w:bCs/>
                <w:sz w:val="16"/>
                <w:szCs w:val="16"/>
              </w:rPr>
            </w:pPr>
            <w:r w:rsidRPr="00855DD9">
              <w:rPr>
                <w:rFonts w:ascii="Arial" w:hAnsi="Arial" w:cs="Arial"/>
                <w:b/>
                <w:bCs/>
                <w:sz w:val="16"/>
                <w:szCs w:val="16"/>
              </w:rPr>
              <w:t xml:space="preserve">173,054 </w:t>
            </w:r>
          </w:p>
        </w:tc>
      </w:tr>
    </w:tbl>
    <w:p w14:paraId="1C4BBDEE" w14:textId="6D3B60DF" w:rsidR="001852C5" w:rsidRPr="00855DD9" w:rsidRDefault="001852C5" w:rsidP="00855DD9">
      <w:pPr>
        <w:pStyle w:val="TableHeadingcontinued"/>
        <w:rPr>
          <w:rFonts w:ascii="Arial" w:hAnsi="Arial" w:cs="Arial"/>
          <w:b w:val="0"/>
          <w:bCs/>
          <w:sz w:val="16"/>
          <w:szCs w:val="16"/>
        </w:rPr>
      </w:pPr>
      <w:r w:rsidRPr="00855DD9">
        <w:rPr>
          <w:rFonts w:ascii="Arial" w:hAnsi="Arial" w:cs="Arial"/>
          <w:b w:val="0"/>
          <w:bCs/>
          <w:sz w:val="16"/>
          <w:szCs w:val="16"/>
        </w:rPr>
        <w:t>Prepared on Australian Accounting Standards basis.</w:t>
      </w:r>
    </w:p>
    <w:p w14:paraId="19B4203F" w14:textId="5EF36ADC" w:rsidR="00507BC0" w:rsidRDefault="00B33758" w:rsidP="00507BC0">
      <w:pPr>
        <w:pStyle w:val="ChartandTableFootnoteAlpha"/>
        <w:numPr>
          <w:ilvl w:val="0"/>
          <w:numId w:val="8"/>
        </w:numPr>
        <w:jc w:val="left"/>
        <w:rPr>
          <w:rFonts w:cs="Arial"/>
          <w:szCs w:val="16"/>
        </w:rPr>
      </w:pPr>
      <w:r>
        <w:rPr>
          <w:rFonts w:cs="Arial"/>
          <w:szCs w:val="16"/>
        </w:rPr>
        <w:t>‘</w:t>
      </w:r>
      <w:r w:rsidR="00F10305" w:rsidRPr="00507BC0">
        <w:rPr>
          <w:rFonts w:cs="Arial"/>
          <w:szCs w:val="16"/>
        </w:rPr>
        <w:t>Appropriation equity</w:t>
      </w:r>
      <w:r>
        <w:rPr>
          <w:rFonts w:cs="Arial"/>
          <w:szCs w:val="16"/>
        </w:rPr>
        <w:t>’</w:t>
      </w:r>
      <w:r w:rsidR="00F20FF5" w:rsidRPr="00507BC0">
        <w:rPr>
          <w:rFonts w:cs="Arial"/>
          <w:szCs w:val="16"/>
        </w:rPr>
        <w:t xml:space="preserve"> refers to equity injections appropriations provided through Appropriation Bill (No. 2) </w:t>
      </w:r>
      <w:r w:rsidR="007E3AC7" w:rsidRPr="00507BC0">
        <w:rPr>
          <w:rFonts w:cs="Arial"/>
          <w:szCs w:val="16"/>
        </w:rPr>
        <w:t>202</w:t>
      </w:r>
      <w:r w:rsidR="000F0DA6" w:rsidRPr="00507BC0">
        <w:rPr>
          <w:rFonts w:cs="Arial"/>
          <w:szCs w:val="16"/>
        </w:rPr>
        <w:t>2</w:t>
      </w:r>
      <w:r>
        <w:rPr>
          <w:rFonts w:cs="Arial"/>
          <w:szCs w:val="16"/>
        </w:rPr>
        <w:noBreakHyphen/>
      </w:r>
      <w:r w:rsidR="007E3AC7" w:rsidRPr="00507BC0">
        <w:rPr>
          <w:rFonts w:cs="Arial"/>
          <w:szCs w:val="16"/>
        </w:rPr>
        <w:t>2</w:t>
      </w:r>
      <w:r w:rsidR="000F0DA6" w:rsidRPr="00507BC0">
        <w:rPr>
          <w:rFonts w:cs="Arial"/>
          <w:szCs w:val="16"/>
        </w:rPr>
        <w:t>3</w:t>
      </w:r>
      <w:r w:rsidR="00891745">
        <w:rPr>
          <w:rFonts w:cs="Arial"/>
          <w:szCs w:val="16"/>
        </w:rPr>
        <w:t>.</w:t>
      </w:r>
    </w:p>
    <w:p w14:paraId="3B576512" w14:textId="77777777" w:rsidR="00891745" w:rsidRPr="00891745" w:rsidRDefault="00891745" w:rsidP="00891745"/>
    <w:p w14:paraId="3D657982" w14:textId="77777777" w:rsidR="00507BC0" w:rsidRDefault="00507BC0" w:rsidP="00350F81">
      <w:pPr>
        <w:pStyle w:val="SingleParagraph"/>
      </w:pPr>
    </w:p>
    <w:p w14:paraId="18B165A4" w14:textId="536BE4F5" w:rsidR="00E52BE2" w:rsidRPr="00E52BE2" w:rsidRDefault="004D458D" w:rsidP="00E52BE2">
      <w:pPr>
        <w:pStyle w:val="ChartandTableFootnoteAlpha"/>
        <w:numPr>
          <w:ilvl w:val="0"/>
          <w:numId w:val="0"/>
        </w:numPr>
        <w:jc w:val="left"/>
        <w:rPr>
          <w:b/>
          <w:color w:val="000000"/>
          <w:lang w:val="x-none" w:eastAsia="x-none"/>
        </w:rPr>
      </w:pPr>
      <w:r w:rsidRPr="00507BC0">
        <w:rPr>
          <w:b/>
          <w:sz w:val="20"/>
          <w:lang w:val="x-none"/>
        </w:rPr>
        <w:lastRenderedPageBreak/>
        <w:t>Table 3.7: Schedule of budgeted income and expenses administered on behalf of Government (for the period ended 30 June)</w:t>
      </w:r>
    </w:p>
    <w:tbl>
      <w:tblPr>
        <w:tblW w:w="5000" w:type="pct"/>
        <w:tblCellMar>
          <w:left w:w="0" w:type="dxa"/>
          <w:right w:w="28" w:type="dxa"/>
        </w:tblCellMar>
        <w:tblLook w:val="04A0" w:firstRow="1" w:lastRow="0" w:firstColumn="1" w:lastColumn="0" w:noHBand="0" w:noVBand="1"/>
      </w:tblPr>
      <w:tblGrid>
        <w:gridCol w:w="4268"/>
        <w:gridCol w:w="1455"/>
        <w:gridCol w:w="1454"/>
        <w:gridCol w:w="1454"/>
        <w:gridCol w:w="1454"/>
        <w:gridCol w:w="1454"/>
      </w:tblGrid>
      <w:tr w:rsidR="00E52BE2" w:rsidRPr="00E52BE2" w14:paraId="42EF05BF" w14:textId="77777777" w:rsidTr="00E52BE2">
        <w:trPr>
          <w:trHeight w:hRule="exact" w:val="900"/>
        </w:trPr>
        <w:tc>
          <w:tcPr>
            <w:tcW w:w="1848" w:type="pct"/>
            <w:tcBorders>
              <w:top w:val="single" w:sz="4" w:space="0" w:color="auto"/>
              <w:left w:val="nil"/>
              <w:bottom w:val="nil"/>
              <w:right w:val="nil"/>
            </w:tcBorders>
            <w:shd w:val="clear" w:color="auto" w:fill="auto"/>
            <w:noWrap/>
            <w:hideMark/>
          </w:tcPr>
          <w:p w14:paraId="3C4B61ED" w14:textId="1EFE312E" w:rsidR="00E52BE2" w:rsidRPr="00E52BE2" w:rsidRDefault="00E52BE2" w:rsidP="00E52BE2">
            <w:pPr>
              <w:spacing w:after="0" w:line="240" w:lineRule="auto"/>
              <w:rPr>
                <w:rFonts w:ascii="Arial" w:hAnsi="Arial" w:cs="Arial"/>
                <w:b/>
                <w:bCs/>
                <w:sz w:val="16"/>
                <w:szCs w:val="16"/>
              </w:rPr>
            </w:pPr>
            <w:r w:rsidRPr="00E52BE2">
              <w:rPr>
                <w:rFonts w:ascii="Arial" w:hAnsi="Arial" w:cs="Arial"/>
                <w:b/>
                <w:bCs/>
                <w:sz w:val="16"/>
                <w:szCs w:val="16"/>
              </w:rPr>
              <w:t> </w:t>
            </w:r>
          </w:p>
        </w:tc>
        <w:tc>
          <w:tcPr>
            <w:tcW w:w="630" w:type="pct"/>
            <w:tcBorders>
              <w:top w:val="single" w:sz="4" w:space="0" w:color="auto"/>
              <w:left w:val="nil"/>
              <w:bottom w:val="single" w:sz="4" w:space="0" w:color="auto"/>
              <w:right w:val="nil"/>
            </w:tcBorders>
            <w:shd w:val="clear" w:color="auto" w:fill="auto"/>
            <w:hideMark/>
          </w:tcPr>
          <w:p w14:paraId="32F88B47" w14:textId="0D892B24" w:rsidR="00E52BE2" w:rsidRPr="00E52BE2" w:rsidRDefault="00E52BE2" w:rsidP="00E52BE2">
            <w:pPr>
              <w:spacing w:after="0" w:line="240" w:lineRule="auto"/>
              <w:jc w:val="right"/>
              <w:rPr>
                <w:rFonts w:ascii="Arial" w:hAnsi="Arial" w:cs="Arial"/>
                <w:sz w:val="16"/>
                <w:szCs w:val="16"/>
              </w:rPr>
            </w:pPr>
            <w:r w:rsidRPr="00E52BE2">
              <w:rPr>
                <w:rFonts w:ascii="Arial" w:hAnsi="Arial" w:cs="Arial"/>
                <w:sz w:val="16"/>
                <w:szCs w:val="16"/>
              </w:rPr>
              <w:t>2021</w:t>
            </w:r>
            <w:r w:rsidR="00B33758">
              <w:rPr>
                <w:rFonts w:ascii="Arial" w:hAnsi="Arial" w:cs="Arial"/>
                <w:sz w:val="16"/>
                <w:szCs w:val="16"/>
              </w:rPr>
              <w:noBreakHyphen/>
            </w:r>
            <w:r w:rsidRPr="00E52BE2">
              <w:rPr>
                <w:rFonts w:ascii="Arial" w:hAnsi="Arial" w:cs="Arial"/>
                <w:sz w:val="16"/>
                <w:szCs w:val="16"/>
              </w:rPr>
              <w:t xml:space="preserve">22 </w:t>
            </w:r>
            <w:r w:rsidRPr="00E52BE2">
              <w:rPr>
                <w:rFonts w:ascii="Arial" w:hAnsi="Arial" w:cs="Arial"/>
                <w:sz w:val="16"/>
                <w:szCs w:val="16"/>
              </w:rPr>
              <w:br/>
              <w:t>Estimated actual</w:t>
            </w:r>
            <w:r w:rsidRPr="00E52BE2">
              <w:rPr>
                <w:rFonts w:ascii="Arial" w:hAnsi="Arial" w:cs="Arial"/>
                <w:sz w:val="16"/>
                <w:szCs w:val="16"/>
              </w:rPr>
              <w:br/>
              <w:t>$</w:t>
            </w:r>
            <w:r w:rsidR="00B33758">
              <w:rPr>
                <w:rFonts w:ascii="Arial" w:hAnsi="Arial" w:cs="Arial"/>
                <w:sz w:val="16"/>
                <w:szCs w:val="16"/>
              </w:rPr>
              <w:t>’</w:t>
            </w:r>
            <w:r w:rsidRPr="00E52BE2">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E6E6E6"/>
            <w:hideMark/>
          </w:tcPr>
          <w:p w14:paraId="0403F5E4" w14:textId="198BA1B6" w:rsidR="00E52BE2" w:rsidRPr="00E52BE2" w:rsidRDefault="00E52BE2" w:rsidP="00E52BE2">
            <w:pPr>
              <w:spacing w:after="0" w:line="240" w:lineRule="auto"/>
              <w:jc w:val="right"/>
              <w:rPr>
                <w:rFonts w:ascii="Arial" w:hAnsi="Arial" w:cs="Arial"/>
                <w:sz w:val="16"/>
                <w:szCs w:val="16"/>
              </w:rPr>
            </w:pPr>
            <w:r w:rsidRPr="00E52BE2">
              <w:rPr>
                <w:rFonts w:ascii="Arial" w:hAnsi="Arial" w:cs="Arial"/>
                <w:sz w:val="16"/>
                <w:szCs w:val="16"/>
              </w:rPr>
              <w:t>2022</w:t>
            </w:r>
            <w:r w:rsidR="00B33758">
              <w:rPr>
                <w:rFonts w:ascii="Arial" w:hAnsi="Arial" w:cs="Arial"/>
                <w:sz w:val="16"/>
                <w:szCs w:val="16"/>
              </w:rPr>
              <w:noBreakHyphen/>
            </w:r>
            <w:r w:rsidRPr="00E52BE2">
              <w:rPr>
                <w:rFonts w:ascii="Arial" w:hAnsi="Arial" w:cs="Arial"/>
                <w:sz w:val="16"/>
                <w:szCs w:val="16"/>
              </w:rPr>
              <w:t>23</w:t>
            </w:r>
            <w:r w:rsidRPr="00E52BE2">
              <w:rPr>
                <w:rFonts w:ascii="Arial" w:hAnsi="Arial" w:cs="Arial"/>
                <w:sz w:val="16"/>
                <w:szCs w:val="16"/>
              </w:rPr>
              <w:br/>
              <w:t>Budget</w:t>
            </w:r>
            <w:r w:rsidRPr="00E52BE2">
              <w:rPr>
                <w:rFonts w:ascii="Arial" w:hAnsi="Arial" w:cs="Arial"/>
                <w:sz w:val="16"/>
                <w:szCs w:val="16"/>
              </w:rPr>
              <w:br/>
              <w:t>$</w:t>
            </w:r>
            <w:r w:rsidR="00B33758">
              <w:rPr>
                <w:rFonts w:ascii="Arial" w:hAnsi="Arial" w:cs="Arial"/>
                <w:sz w:val="16"/>
                <w:szCs w:val="16"/>
              </w:rPr>
              <w:t>’</w:t>
            </w:r>
            <w:r w:rsidRPr="00E52BE2">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hideMark/>
          </w:tcPr>
          <w:p w14:paraId="26FCF02A" w14:textId="2C092C4A" w:rsidR="00E52BE2" w:rsidRPr="00E52BE2" w:rsidRDefault="00E52BE2" w:rsidP="00E52BE2">
            <w:pPr>
              <w:spacing w:after="0" w:line="240" w:lineRule="auto"/>
              <w:jc w:val="right"/>
              <w:rPr>
                <w:rFonts w:ascii="Arial" w:hAnsi="Arial" w:cs="Arial"/>
                <w:sz w:val="16"/>
                <w:szCs w:val="16"/>
              </w:rPr>
            </w:pPr>
            <w:r w:rsidRPr="00E52BE2">
              <w:rPr>
                <w:rFonts w:ascii="Arial" w:hAnsi="Arial" w:cs="Arial"/>
                <w:sz w:val="16"/>
                <w:szCs w:val="16"/>
              </w:rPr>
              <w:t>2023</w:t>
            </w:r>
            <w:r w:rsidR="00B33758">
              <w:rPr>
                <w:rFonts w:ascii="Arial" w:hAnsi="Arial" w:cs="Arial"/>
                <w:sz w:val="16"/>
                <w:szCs w:val="16"/>
              </w:rPr>
              <w:noBreakHyphen/>
            </w:r>
            <w:r w:rsidRPr="00E52BE2">
              <w:rPr>
                <w:rFonts w:ascii="Arial" w:hAnsi="Arial" w:cs="Arial"/>
                <w:sz w:val="16"/>
                <w:szCs w:val="16"/>
              </w:rPr>
              <w:t xml:space="preserve">24 </w:t>
            </w:r>
            <w:r w:rsidRPr="00E52BE2">
              <w:rPr>
                <w:rFonts w:ascii="Arial" w:hAnsi="Arial" w:cs="Arial"/>
                <w:sz w:val="16"/>
                <w:szCs w:val="16"/>
              </w:rPr>
              <w:br/>
              <w:t>Forward estimate</w:t>
            </w:r>
            <w:r w:rsidRPr="00E52BE2">
              <w:rPr>
                <w:rFonts w:ascii="Arial" w:hAnsi="Arial" w:cs="Arial"/>
                <w:sz w:val="16"/>
                <w:szCs w:val="16"/>
              </w:rPr>
              <w:br/>
              <w:t>$</w:t>
            </w:r>
            <w:r w:rsidR="00B33758">
              <w:rPr>
                <w:rFonts w:ascii="Arial" w:hAnsi="Arial" w:cs="Arial"/>
                <w:sz w:val="16"/>
                <w:szCs w:val="16"/>
              </w:rPr>
              <w:t>’</w:t>
            </w:r>
            <w:r w:rsidRPr="00E52BE2">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hideMark/>
          </w:tcPr>
          <w:p w14:paraId="509647E9" w14:textId="2872FD33" w:rsidR="00E52BE2" w:rsidRPr="00E52BE2" w:rsidRDefault="00E52BE2" w:rsidP="00E52BE2">
            <w:pPr>
              <w:spacing w:after="0" w:line="240" w:lineRule="auto"/>
              <w:jc w:val="right"/>
              <w:rPr>
                <w:rFonts w:ascii="Arial" w:hAnsi="Arial" w:cs="Arial"/>
                <w:sz w:val="16"/>
                <w:szCs w:val="16"/>
              </w:rPr>
            </w:pPr>
            <w:r w:rsidRPr="00E52BE2">
              <w:rPr>
                <w:rFonts w:ascii="Arial" w:hAnsi="Arial" w:cs="Arial"/>
                <w:sz w:val="16"/>
                <w:szCs w:val="16"/>
              </w:rPr>
              <w:t>2024</w:t>
            </w:r>
            <w:r w:rsidR="00B33758">
              <w:rPr>
                <w:rFonts w:ascii="Arial" w:hAnsi="Arial" w:cs="Arial"/>
                <w:sz w:val="16"/>
                <w:szCs w:val="16"/>
              </w:rPr>
              <w:noBreakHyphen/>
            </w:r>
            <w:r w:rsidRPr="00E52BE2">
              <w:rPr>
                <w:rFonts w:ascii="Arial" w:hAnsi="Arial" w:cs="Arial"/>
                <w:sz w:val="16"/>
                <w:szCs w:val="16"/>
              </w:rPr>
              <w:t xml:space="preserve">25 </w:t>
            </w:r>
            <w:r w:rsidRPr="00E52BE2">
              <w:rPr>
                <w:rFonts w:ascii="Arial" w:hAnsi="Arial" w:cs="Arial"/>
                <w:sz w:val="16"/>
                <w:szCs w:val="16"/>
              </w:rPr>
              <w:br/>
              <w:t>Forward estimate</w:t>
            </w:r>
            <w:r w:rsidRPr="00E52BE2">
              <w:rPr>
                <w:rFonts w:ascii="Arial" w:hAnsi="Arial" w:cs="Arial"/>
                <w:sz w:val="16"/>
                <w:szCs w:val="16"/>
              </w:rPr>
              <w:br/>
              <w:t>$</w:t>
            </w:r>
            <w:r w:rsidR="00B33758">
              <w:rPr>
                <w:rFonts w:ascii="Arial" w:hAnsi="Arial" w:cs="Arial"/>
                <w:sz w:val="16"/>
                <w:szCs w:val="16"/>
              </w:rPr>
              <w:t>’</w:t>
            </w:r>
            <w:r w:rsidRPr="00E52BE2">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hideMark/>
          </w:tcPr>
          <w:p w14:paraId="30518884" w14:textId="61338DCB" w:rsidR="00E52BE2" w:rsidRPr="00E52BE2" w:rsidRDefault="00E52BE2" w:rsidP="00E52BE2">
            <w:pPr>
              <w:spacing w:after="0" w:line="240" w:lineRule="auto"/>
              <w:jc w:val="right"/>
              <w:rPr>
                <w:rFonts w:ascii="Arial" w:hAnsi="Arial" w:cs="Arial"/>
                <w:sz w:val="16"/>
                <w:szCs w:val="16"/>
              </w:rPr>
            </w:pPr>
            <w:r w:rsidRPr="00E52BE2">
              <w:rPr>
                <w:rFonts w:ascii="Arial" w:hAnsi="Arial" w:cs="Arial"/>
                <w:sz w:val="16"/>
                <w:szCs w:val="16"/>
              </w:rPr>
              <w:t>2025</w:t>
            </w:r>
            <w:r w:rsidR="00B33758">
              <w:rPr>
                <w:rFonts w:ascii="Arial" w:hAnsi="Arial" w:cs="Arial"/>
                <w:sz w:val="16"/>
                <w:szCs w:val="16"/>
              </w:rPr>
              <w:noBreakHyphen/>
            </w:r>
            <w:r w:rsidRPr="00E52BE2">
              <w:rPr>
                <w:rFonts w:ascii="Arial" w:hAnsi="Arial" w:cs="Arial"/>
                <w:sz w:val="16"/>
                <w:szCs w:val="16"/>
              </w:rPr>
              <w:t>26</w:t>
            </w:r>
            <w:r w:rsidRPr="00E52BE2">
              <w:rPr>
                <w:rFonts w:ascii="Arial" w:hAnsi="Arial" w:cs="Arial"/>
                <w:sz w:val="16"/>
                <w:szCs w:val="16"/>
              </w:rPr>
              <w:br/>
              <w:t>Forward estimate</w:t>
            </w:r>
            <w:r w:rsidRPr="00E52BE2">
              <w:rPr>
                <w:rFonts w:ascii="Arial" w:hAnsi="Arial" w:cs="Arial"/>
                <w:sz w:val="16"/>
                <w:szCs w:val="16"/>
              </w:rPr>
              <w:br/>
              <w:t>$</w:t>
            </w:r>
            <w:r w:rsidR="00B33758">
              <w:rPr>
                <w:rFonts w:ascii="Arial" w:hAnsi="Arial" w:cs="Arial"/>
                <w:sz w:val="16"/>
                <w:szCs w:val="16"/>
              </w:rPr>
              <w:t>’</w:t>
            </w:r>
            <w:r w:rsidRPr="00E52BE2">
              <w:rPr>
                <w:rFonts w:ascii="Arial" w:hAnsi="Arial" w:cs="Arial"/>
                <w:sz w:val="16"/>
                <w:szCs w:val="16"/>
              </w:rPr>
              <w:t>000</w:t>
            </w:r>
          </w:p>
        </w:tc>
      </w:tr>
      <w:tr w:rsidR="00E52BE2" w:rsidRPr="00E52BE2" w14:paraId="2EC32636" w14:textId="77777777" w:rsidTr="00E52BE2">
        <w:trPr>
          <w:trHeight w:hRule="exact" w:val="225"/>
        </w:trPr>
        <w:tc>
          <w:tcPr>
            <w:tcW w:w="1848" w:type="pct"/>
            <w:tcBorders>
              <w:top w:val="nil"/>
              <w:left w:val="nil"/>
              <w:bottom w:val="nil"/>
              <w:right w:val="nil"/>
            </w:tcBorders>
            <w:shd w:val="clear" w:color="auto" w:fill="auto"/>
            <w:noWrap/>
            <w:vAlign w:val="bottom"/>
            <w:hideMark/>
          </w:tcPr>
          <w:p w14:paraId="66BC4966" w14:textId="77777777" w:rsidR="00E52BE2" w:rsidRPr="00E52BE2" w:rsidRDefault="00E52BE2" w:rsidP="00E52BE2">
            <w:pPr>
              <w:spacing w:after="0" w:line="240" w:lineRule="auto"/>
              <w:jc w:val="left"/>
              <w:rPr>
                <w:rFonts w:ascii="Arial" w:hAnsi="Arial" w:cs="Arial"/>
                <w:b/>
                <w:bCs/>
                <w:color w:val="000000"/>
                <w:sz w:val="16"/>
                <w:szCs w:val="16"/>
              </w:rPr>
            </w:pPr>
            <w:r w:rsidRPr="00E52BE2">
              <w:rPr>
                <w:rFonts w:ascii="Arial" w:hAnsi="Arial" w:cs="Arial"/>
                <w:b/>
                <w:bCs/>
                <w:color w:val="000000"/>
                <w:sz w:val="16"/>
                <w:szCs w:val="16"/>
              </w:rPr>
              <w:t>EXPENSES</w:t>
            </w:r>
          </w:p>
        </w:tc>
        <w:tc>
          <w:tcPr>
            <w:tcW w:w="630" w:type="pct"/>
            <w:tcBorders>
              <w:top w:val="nil"/>
              <w:left w:val="nil"/>
              <w:bottom w:val="nil"/>
              <w:right w:val="nil"/>
            </w:tcBorders>
            <w:shd w:val="clear" w:color="auto" w:fill="auto"/>
            <w:noWrap/>
            <w:vAlign w:val="center"/>
            <w:hideMark/>
          </w:tcPr>
          <w:p w14:paraId="6058C62A" w14:textId="77777777" w:rsidR="00E52BE2" w:rsidRPr="00E52BE2" w:rsidRDefault="00E52BE2" w:rsidP="00E52BE2">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48B7199E" w14:textId="77777777" w:rsidR="00E52BE2" w:rsidRPr="00E52BE2" w:rsidRDefault="00E52BE2" w:rsidP="00E52BE2">
            <w:pPr>
              <w:spacing w:after="0" w:line="240" w:lineRule="auto"/>
              <w:jc w:val="left"/>
              <w:rPr>
                <w:rFonts w:ascii="Arial" w:hAnsi="Arial" w:cs="Arial"/>
                <w:color w:val="000000"/>
                <w:sz w:val="16"/>
                <w:szCs w:val="16"/>
              </w:rPr>
            </w:pPr>
            <w:r w:rsidRPr="00E52BE2">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335E8C81" w14:textId="77777777" w:rsidR="00E52BE2" w:rsidRPr="00E52BE2" w:rsidRDefault="00E52BE2" w:rsidP="00E52BE2">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4D40FCFD" w14:textId="77777777" w:rsidR="00E52BE2" w:rsidRPr="00E52BE2" w:rsidRDefault="00E52BE2" w:rsidP="00E52BE2">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513664BA" w14:textId="77777777" w:rsidR="00E52BE2" w:rsidRPr="00E52BE2" w:rsidRDefault="00E52BE2" w:rsidP="00E52BE2">
            <w:pPr>
              <w:spacing w:after="0" w:line="240" w:lineRule="auto"/>
              <w:jc w:val="left"/>
              <w:rPr>
                <w:rFonts w:ascii="Times New Roman" w:hAnsi="Times New Roman"/>
              </w:rPr>
            </w:pPr>
          </w:p>
        </w:tc>
      </w:tr>
      <w:tr w:rsidR="00E52BE2" w:rsidRPr="00E52BE2" w14:paraId="73D84390" w14:textId="77777777" w:rsidTr="00E52BE2">
        <w:trPr>
          <w:trHeight w:hRule="exact" w:val="225"/>
        </w:trPr>
        <w:tc>
          <w:tcPr>
            <w:tcW w:w="1848" w:type="pct"/>
            <w:tcBorders>
              <w:top w:val="nil"/>
              <w:left w:val="nil"/>
              <w:bottom w:val="nil"/>
              <w:right w:val="nil"/>
            </w:tcBorders>
            <w:shd w:val="clear" w:color="auto" w:fill="auto"/>
            <w:noWrap/>
            <w:vAlign w:val="bottom"/>
            <w:hideMark/>
          </w:tcPr>
          <w:p w14:paraId="0F9DBC03" w14:textId="77777777"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Suppliers</w:t>
            </w:r>
          </w:p>
        </w:tc>
        <w:tc>
          <w:tcPr>
            <w:tcW w:w="630" w:type="pct"/>
            <w:tcBorders>
              <w:top w:val="nil"/>
              <w:left w:val="nil"/>
              <w:bottom w:val="nil"/>
              <w:right w:val="nil"/>
            </w:tcBorders>
            <w:shd w:val="clear" w:color="auto" w:fill="auto"/>
            <w:noWrap/>
            <w:vAlign w:val="center"/>
            <w:hideMark/>
          </w:tcPr>
          <w:p w14:paraId="31428320"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60,791 </w:t>
            </w:r>
          </w:p>
        </w:tc>
        <w:tc>
          <w:tcPr>
            <w:tcW w:w="630" w:type="pct"/>
            <w:tcBorders>
              <w:top w:val="nil"/>
              <w:left w:val="nil"/>
              <w:bottom w:val="nil"/>
              <w:right w:val="nil"/>
            </w:tcBorders>
            <w:shd w:val="clear" w:color="000000" w:fill="E6E6E6"/>
            <w:noWrap/>
            <w:vAlign w:val="center"/>
            <w:hideMark/>
          </w:tcPr>
          <w:p w14:paraId="5FAD39C4"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5,197 </w:t>
            </w:r>
          </w:p>
        </w:tc>
        <w:tc>
          <w:tcPr>
            <w:tcW w:w="630" w:type="pct"/>
            <w:tcBorders>
              <w:top w:val="nil"/>
              <w:left w:val="nil"/>
              <w:bottom w:val="nil"/>
              <w:right w:val="nil"/>
            </w:tcBorders>
            <w:shd w:val="clear" w:color="auto" w:fill="auto"/>
            <w:noWrap/>
            <w:vAlign w:val="center"/>
            <w:hideMark/>
          </w:tcPr>
          <w:p w14:paraId="138DF790"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1,557 </w:t>
            </w:r>
          </w:p>
        </w:tc>
        <w:tc>
          <w:tcPr>
            <w:tcW w:w="630" w:type="pct"/>
            <w:tcBorders>
              <w:top w:val="nil"/>
              <w:left w:val="nil"/>
              <w:bottom w:val="nil"/>
              <w:right w:val="nil"/>
            </w:tcBorders>
            <w:shd w:val="clear" w:color="auto" w:fill="auto"/>
            <w:noWrap/>
            <w:vAlign w:val="center"/>
            <w:hideMark/>
          </w:tcPr>
          <w:p w14:paraId="485EFD3E"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1,557 </w:t>
            </w:r>
          </w:p>
        </w:tc>
        <w:tc>
          <w:tcPr>
            <w:tcW w:w="630" w:type="pct"/>
            <w:tcBorders>
              <w:top w:val="nil"/>
              <w:left w:val="nil"/>
              <w:bottom w:val="nil"/>
              <w:right w:val="nil"/>
            </w:tcBorders>
            <w:shd w:val="clear" w:color="auto" w:fill="auto"/>
            <w:noWrap/>
            <w:vAlign w:val="center"/>
            <w:hideMark/>
          </w:tcPr>
          <w:p w14:paraId="7F261A9F"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1,557 </w:t>
            </w:r>
          </w:p>
        </w:tc>
      </w:tr>
      <w:tr w:rsidR="00E52BE2" w:rsidRPr="00E52BE2" w14:paraId="044A8931" w14:textId="77777777" w:rsidTr="00E52BE2">
        <w:trPr>
          <w:trHeight w:hRule="exact" w:val="225"/>
        </w:trPr>
        <w:tc>
          <w:tcPr>
            <w:tcW w:w="1848" w:type="pct"/>
            <w:tcBorders>
              <w:top w:val="nil"/>
              <w:left w:val="nil"/>
              <w:bottom w:val="nil"/>
              <w:right w:val="nil"/>
            </w:tcBorders>
            <w:shd w:val="clear" w:color="auto" w:fill="auto"/>
            <w:noWrap/>
            <w:vAlign w:val="bottom"/>
            <w:hideMark/>
          </w:tcPr>
          <w:p w14:paraId="4AA4EA9E" w14:textId="77777777"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Grants</w:t>
            </w:r>
          </w:p>
        </w:tc>
        <w:tc>
          <w:tcPr>
            <w:tcW w:w="630" w:type="pct"/>
            <w:tcBorders>
              <w:top w:val="nil"/>
              <w:left w:val="nil"/>
              <w:bottom w:val="nil"/>
              <w:right w:val="nil"/>
            </w:tcBorders>
            <w:shd w:val="clear" w:color="auto" w:fill="auto"/>
            <w:noWrap/>
            <w:vAlign w:val="center"/>
            <w:hideMark/>
          </w:tcPr>
          <w:p w14:paraId="33C97A41"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137,838,586 </w:t>
            </w:r>
          </w:p>
        </w:tc>
        <w:tc>
          <w:tcPr>
            <w:tcW w:w="630" w:type="pct"/>
            <w:tcBorders>
              <w:top w:val="nil"/>
              <w:left w:val="nil"/>
              <w:bottom w:val="nil"/>
              <w:right w:val="nil"/>
            </w:tcBorders>
            <w:shd w:val="clear" w:color="000000" w:fill="E6E6E6"/>
            <w:noWrap/>
            <w:vAlign w:val="center"/>
            <w:hideMark/>
          </w:tcPr>
          <w:p w14:paraId="5363D4B2"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137,376,701 </w:t>
            </w:r>
          </w:p>
        </w:tc>
        <w:tc>
          <w:tcPr>
            <w:tcW w:w="630" w:type="pct"/>
            <w:tcBorders>
              <w:top w:val="nil"/>
              <w:left w:val="nil"/>
              <w:bottom w:val="nil"/>
              <w:right w:val="nil"/>
            </w:tcBorders>
            <w:shd w:val="clear" w:color="auto" w:fill="auto"/>
            <w:noWrap/>
            <w:vAlign w:val="center"/>
            <w:hideMark/>
          </w:tcPr>
          <w:p w14:paraId="37E39CA3"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142,143,134 </w:t>
            </w:r>
          </w:p>
        </w:tc>
        <w:tc>
          <w:tcPr>
            <w:tcW w:w="630" w:type="pct"/>
            <w:tcBorders>
              <w:top w:val="nil"/>
              <w:left w:val="nil"/>
              <w:bottom w:val="nil"/>
              <w:right w:val="nil"/>
            </w:tcBorders>
            <w:shd w:val="clear" w:color="auto" w:fill="auto"/>
            <w:noWrap/>
            <w:vAlign w:val="center"/>
            <w:hideMark/>
          </w:tcPr>
          <w:p w14:paraId="31FCE93D"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144,429,752 </w:t>
            </w:r>
          </w:p>
        </w:tc>
        <w:tc>
          <w:tcPr>
            <w:tcW w:w="630" w:type="pct"/>
            <w:tcBorders>
              <w:top w:val="nil"/>
              <w:left w:val="nil"/>
              <w:bottom w:val="nil"/>
              <w:right w:val="nil"/>
            </w:tcBorders>
            <w:shd w:val="clear" w:color="auto" w:fill="auto"/>
            <w:noWrap/>
            <w:vAlign w:val="center"/>
            <w:hideMark/>
          </w:tcPr>
          <w:p w14:paraId="4E8CA2B3"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141,383,552 </w:t>
            </w:r>
          </w:p>
        </w:tc>
      </w:tr>
      <w:tr w:rsidR="00E52BE2" w:rsidRPr="00E52BE2" w14:paraId="4791B03C" w14:textId="77777777" w:rsidTr="00E52BE2">
        <w:trPr>
          <w:trHeight w:hRule="exact" w:val="225"/>
        </w:trPr>
        <w:tc>
          <w:tcPr>
            <w:tcW w:w="1848" w:type="pct"/>
            <w:tcBorders>
              <w:top w:val="nil"/>
              <w:left w:val="nil"/>
              <w:bottom w:val="nil"/>
              <w:right w:val="nil"/>
            </w:tcBorders>
            <w:shd w:val="clear" w:color="auto" w:fill="auto"/>
            <w:noWrap/>
            <w:vAlign w:val="bottom"/>
            <w:hideMark/>
          </w:tcPr>
          <w:p w14:paraId="3A7DE050" w14:textId="77777777"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Payments to the Medicare Guarantee Fund</w:t>
            </w:r>
          </w:p>
        </w:tc>
        <w:tc>
          <w:tcPr>
            <w:tcW w:w="630" w:type="pct"/>
            <w:tcBorders>
              <w:top w:val="nil"/>
              <w:left w:val="nil"/>
              <w:bottom w:val="nil"/>
              <w:right w:val="nil"/>
            </w:tcBorders>
            <w:shd w:val="clear" w:color="auto" w:fill="auto"/>
            <w:noWrap/>
            <w:vAlign w:val="center"/>
            <w:hideMark/>
          </w:tcPr>
          <w:p w14:paraId="0A1329CB"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44,867,877 </w:t>
            </w:r>
          </w:p>
        </w:tc>
        <w:tc>
          <w:tcPr>
            <w:tcW w:w="630" w:type="pct"/>
            <w:tcBorders>
              <w:top w:val="nil"/>
              <w:left w:val="nil"/>
              <w:bottom w:val="nil"/>
              <w:right w:val="nil"/>
            </w:tcBorders>
            <w:shd w:val="clear" w:color="000000" w:fill="E6E6E6"/>
            <w:noWrap/>
            <w:vAlign w:val="center"/>
            <w:hideMark/>
          </w:tcPr>
          <w:p w14:paraId="1C370439"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46,467,038 </w:t>
            </w:r>
          </w:p>
        </w:tc>
        <w:tc>
          <w:tcPr>
            <w:tcW w:w="630" w:type="pct"/>
            <w:tcBorders>
              <w:top w:val="nil"/>
              <w:left w:val="nil"/>
              <w:bottom w:val="nil"/>
              <w:right w:val="nil"/>
            </w:tcBorders>
            <w:shd w:val="clear" w:color="auto" w:fill="auto"/>
            <w:noWrap/>
            <w:vAlign w:val="center"/>
            <w:hideMark/>
          </w:tcPr>
          <w:p w14:paraId="05A9D062"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47,296,749 </w:t>
            </w:r>
          </w:p>
        </w:tc>
        <w:tc>
          <w:tcPr>
            <w:tcW w:w="630" w:type="pct"/>
            <w:tcBorders>
              <w:top w:val="nil"/>
              <w:left w:val="nil"/>
              <w:bottom w:val="nil"/>
              <w:right w:val="nil"/>
            </w:tcBorders>
            <w:shd w:val="clear" w:color="auto" w:fill="auto"/>
            <w:noWrap/>
            <w:vAlign w:val="center"/>
            <w:hideMark/>
          </w:tcPr>
          <w:p w14:paraId="5EABF2A0"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49,001,481 </w:t>
            </w:r>
          </w:p>
        </w:tc>
        <w:tc>
          <w:tcPr>
            <w:tcW w:w="630" w:type="pct"/>
            <w:tcBorders>
              <w:top w:val="nil"/>
              <w:left w:val="nil"/>
              <w:bottom w:val="nil"/>
              <w:right w:val="nil"/>
            </w:tcBorders>
            <w:shd w:val="clear" w:color="auto" w:fill="auto"/>
            <w:noWrap/>
            <w:vAlign w:val="center"/>
            <w:hideMark/>
          </w:tcPr>
          <w:p w14:paraId="0587D8B8"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50,770,771 </w:t>
            </w:r>
          </w:p>
        </w:tc>
      </w:tr>
      <w:tr w:rsidR="00E52BE2" w:rsidRPr="00E52BE2" w14:paraId="5E22DA54" w14:textId="77777777" w:rsidTr="00E52BE2">
        <w:trPr>
          <w:trHeight w:hRule="exact" w:val="225"/>
        </w:trPr>
        <w:tc>
          <w:tcPr>
            <w:tcW w:w="1848" w:type="pct"/>
            <w:tcBorders>
              <w:top w:val="nil"/>
              <w:left w:val="nil"/>
              <w:bottom w:val="nil"/>
              <w:right w:val="nil"/>
            </w:tcBorders>
            <w:shd w:val="clear" w:color="auto" w:fill="auto"/>
            <w:noWrap/>
            <w:vAlign w:val="bottom"/>
            <w:hideMark/>
          </w:tcPr>
          <w:p w14:paraId="3B22B9C6" w14:textId="77777777"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Finance costs</w:t>
            </w:r>
          </w:p>
        </w:tc>
        <w:tc>
          <w:tcPr>
            <w:tcW w:w="630" w:type="pct"/>
            <w:tcBorders>
              <w:top w:val="nil"/>
              <w:left w:val="nil"/>
              <w:bottom w:val="nil"/>
              <w:right w:val="nil"/>
            </w:tcBorders>
            <w:shd w:val="clear" w:color="auto" w:fill="auto"/>
            <w:noWrap/>
            <w:vAlign w:val="center"/>
            <w:hideMark/>
          </w:tcPr>
          <w:p w14:paraId="3E3DC1D0"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327,751 </w:t>
            </w:r>
          </w:p>
        </w:tc>
        <w:tc>
          <w:tcPr>
            <w:tcW w:w="630" w:type="pct"/>
            <w:tcBorders>
              <w:top w:val="nil"/>
              <w:left w:val="nil"/>
              <w:bottom w:val="nil"/>
              <w:right w:val="nil"/>
            </w:tcBorders>
            <w:shd w:val="clear" w:color="000000" w:fill="E6E6E6"/>
            <w:noWrap/>
            <w:vAlign w:val="center"/>
            <w:hideMark/>
          </w:tcPr>
          <w:p w14:paraId="62411D14"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62,164 </w:t>
            </w:r>
          </w:p>
        </w:tc>
        <w:tc>
          <w:tcPr>
            <w:tcW w:w="630" w:type="pct"/>
            <w:tcBorders>
              <w:top w:val="nil"/>
              <w:left w:val="nil"/>
              <w:bottom w:val="nil"/>
              <w:right w:val="nil"/>
            </w:tcBorders>
            <w:shd w:val="clear" w:color="auto" w:fill="auto"/>
            <w:noWrap/>
            <w:vAlign w:val="center"/>
            <w:hideMark/>
          </w:tcPr>
          <w:p w14:paraId="77058445"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111,117 </w:t>
            </w:r>
          </w:p>
        </w:tc>
        <w:tc>
          <w:tcPr>
            <w:tcW w:w="630" w:type="pct"/>
            <w:tcBorders>
              <w:top w:val="nil"/>
              <w:left w:val="nil"/>
              <w:bottom w:val="nil"/>
              <w:right w:val="nil"/>
            </w:tcBorders>
            <w:shd w:val="clear" w:color="auto" w:fill="auto"/>
            <w:noWrap/>
            <w:vAlign w:val="center"/>
            <w:hideMark/>
          </w:tcPr>
          <w:p w14:paraId="29B03C82"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147,179 </w:t>
            </w:r>
          </w:p>
        </w:tc>
        <w:tc>
          <w:tcPr>
            <w:tcW w:w="630" w:type="pct"/>
            <w:tcBorders>
              <w:top w:val="nil"/>
              <w:left w:val="nil"/>
              <w:bottom w:val="nil"/>
              <w:right w:val="nil"/>
            </w:tcBorders>
            <w:shd w:val="clear" w:color="auto" w:fill="auto"/>
            <w:noWrap/>
            <w:vAlign w:val="center"/>
            <w:hideMark/>
          </w:tcPr>
          <w:p w14:paraId="690E215D"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193,392 </w:t>
            </w:r>
          </w:p>
        </w:tc>
      </w:tr>
      <w:tr w:rsidR="00E52BE2" w:rsidRPr="00E52BE2" w14:paraId="37C032F6" w14:textId="77777777" w:rsidTr="00E52BE2">
        <w:trPr>
          <w:trHeight w:hRule="exact" w:val="225"/>
        </w:trPr>
        <w:tc>
          <w:tcPr>
            <w:tcW w:w="1848" w:type="pct"/>
            <w:tcBorders>
              <w:top w:val="nil"/>
              <w:left w:val="nil"/>
              <w:bottom w:val="nil"/>
              <w:right w:val="nil"/>
            </w:tcBorders>
            <w:shd w:val="clear" w:color="auto" w:fill="auto"/>
            <w:noWrap/>
            <w:vAlign w:val="bottom"/>
            <w:hideMark/>
          </w:tcPr>
          <w:p w14:paraId="7A1EB7C8" w14:textId="77777777"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Other expenses</w:t>
            </w:r>
          </w:p>
        </w:tc>
        <w:tc>
          <w:tcPr>
            <w:tcW w:w="630" w:type="pct"/>
            <w:tcBorders>
              <w:top w:val="nil"/>
              <w:left w:val="nil"/>
              <w:bottom w:val="nil"/>
              <w:right w:val="nil"/>
            </w:tcBorders>
            <w:shd w:val="clear" w:color="auto" w:fill="auto"/>
            <w:noWrap/>
            <w:vAlign w:val="center"/>
            <w:hideMark/>
          </w:tcPr>
          <w:p w14:paraId="077D69BF"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2,028,994 </w:t>
            </w:r>
          </w:p>
        </w:tc>
        <w:tc>
          <w:tcPr>
            <w:tcW w:w="630" w:type="pct"/>
            <w:tcBorders>
              <w:top w:val="nil"/>
              <w:left w:val="nil"/>
              <w:bottom w:val="nil"/>
              <w:right w:val="nil"/>
            </w:tcBorders>
            <w:shd w:val="clear" w:color="000000" w:fill="E6E6E6"/>
            <w:noWrap/>
            <w:vAlign w:val="center"/>
            <w:hideMark/>
          </w:tcPr>
          <w:p w14:paraId="714E820D"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213,206 </w:t>
            </w:r>
          </w:p>
        </w:tc>
        <w:tc>
          <w:tcPr>
            <w:tcW w:w="630" w:type="pct"/>
            <w:tcBorders>
              <w:top w:val="nil"/>
              <w:left w:val="nil"/>
              <w:bottom w:val="nil"/>
              <w:right w:val="nil"/>
            </w:tcBorders>
            <w:shd w:val="clear" w:color="auto" w:fill="auto"/>
            <w:noWrap/>
            <w:vAlign w:val="center"/>
            <w:hideMark/>
          </w:tcPr>
          <w:p w14:paraId="6BE0195E"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403,084 </w:t>
            </w:r>
          </w:p>
        </w:tc>
        <w:tc>
          <w:tcPr>
            <w:tcW w:w="630" w:type="pct"/>
            <w:tcBorders>
              <w:top w:val="nil"/>
              <w:left w:val="nil"/>
              <w:bottom w:val="nil"/>
              <w:right w:val="nil"/>
            </w:tcBorders>
            <w:shd w:val="clear" w:color="auto" w:fill="auto"/>
            <w:noWrap/>
            <w:vAlign w:val="center"/>
            <w:hideMark/>
          </w:tcPr>
          <w:p w14:paraId="0F3A13AD"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351,457 </w:t>
            </w:r>
          </w:p>
        </w:tc>
        <w:tc>
          <w:tcPr>
            <w:tcW w:w="630" w:type="pct"/>
            <w:tcBorders>
              <w:top w:val="nil"/>
              <w:left w:val="nil"/>
              <w:bottom w:val="nil"/>
              <w:right w:val="nil"/>
            </w:tcBorders>
            <w:shd w:val="clear" w:color="auto" w:fill="auto"/>
            <w:noWrap/>
            <w:vAlign w:val="center"/>
            <w:hideMark/>
          </w:tcPr>
          <w:p w14:paraId="4211964F"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504,975 </w:t>
            </w:r>
          </w:p>
        </w:tc>
      </w:tr>
      <w:tr w:rsidR="00E52BE2" w:rsidRPr="00E52BE2" w14:paraId="66AD6F30" w14:textId="77777777" w:rsidTr="00E52BE2">
        <w:trPr>
          <w:trHeight w:hRule="exact" w:val="450"/>
        </w:trPr>
        <w:tc>
          <w:tcPr>
            <w:tcW w:w="1848" w:type="pct"/>
            <w:tcBorders>
              <w:top w:val="nil"/>
              <w:left w:val="nil"/>
              <w:bottom w:val="nil"/>
              <w:right w:val="nil"/>
            </w:tcBorders>
            <w:shd w:val="clear" w:color="auto" w:fill="auto"/>
            <w:vAlign w:val="bottom"/>
            <w:hideMark/>
          </w:tcPr>
          <w:p w14:paraId="636FCE2C" w14:textId="77777777" w:rsidR="00E52BE2" w:rsidRPr="00E52BE2" w:rsidRDefault="00E52BE2" w:rsidP="00E52BE2">
            <w:pPr>
              <w:spacing w:after="0" w:line="240" w:lineRule="auto"/>
              <w:jc w:val="left"/>
              <w:rPr>
                <w:rFonts w:ascii="Arial" w:hAnsi="Arial" w:cs="Arial"/>
                <w:b/>
                <w:bCs/>
                <w:color w:val="000000"/>
                <w:sz w:val="16"/>
                <w:szCs w:val="16"/>
              </w:rPr>
            </w:pPr>
            <w:r w:rsidRPr="00E52BE2">
              <w:rPr>
                <w:rFonts w:ascii="Arial" w:hAnsi="Arial" w:cs="Arial"/>
                <w:b/>
                <w:bCs/>
                <w:color w:val="000000"/>
                <w:sz w:val="16"/>
                <w:szCs w:val="16"/>
              </w:rPr>
              <w:t>Total expenses administered on</w:t>
            </w:r>
            <w:r w:rsidRPr="00E52BE2">
              <w:rPr>
                <w:rFonts w:ascii="Arial" w:hAnsi="Arial" w:cs="Arial"/>
                <w:b/>
                <w:bCs/>
                <w:color w:val="000000"/>
                <w:sz w:val="16"/>
                <w:szCs w:val="16"/>
              </w:rPr>
              <w:br/>
              <w:t xml:space="preserve">  behalf of Government</w:t>
            </w:r>
          </w:p>
        </w:tc>
        <w:tc>
          <w:tcPr>
            <w:tcW w:w="630" w:type="pct"/>
            <w:tcBorders>
              <w:top w:val="single" w:sz="4" w:space="0" w:color="auto"/>
              <w:left w:val="nil"/>
              <w:bottom w:val="single" w:sz="4" w:space="0" w:color="auto"/>
              <w:right w:val="nil"/>
            </w:tcBorders>
            <w:shd w:val="clear" w:color="auto" w:fill="auto"/>
            <w:noWrap/>
            <w:vAlign w:val="bottom"/>
            <w:hideMark/>
          </w:tcPr>
          <w:p w14:paraId="534560C6"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185,123,999 </w:t>
            </w:r>
          </w:p>
        </w:tc>
        <w:tc>
          <w:tcPr>
            <w:tcW w:w="630" w:type="pct"/>
            <w:tcBorders>
              <w:top w:val="single" w:sz="4" w:space="0" w:color="auto"/>
              <w:left w:val="nil"/>
              <w:bottom w:val="single" w:sz="4" w:space="0" w:color="auto"/>
              <w:right w:val="nil"/>
            </w:tcBorders>
            <w:shd w:val="clear" w:color="000000" w:fill="E6E6E6"/>
            <w:noWrap/>
            <w:vAlign w:val="bottom"/>
            <w:hideMark/>
          </w:tcPr>
          <w:p w14:paraId="279E7043"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184,124,305 </w:t>
            </w:r>
          </w:p>
        </w:tc>
        <w:tc>
          <w:tcPr>
            <w:tcW w:w="630" w:type="pct"/>
            <w:tcBorders>
              <w:top w:val="single" w:sz="4" w:space="0" w:color="auto"/>
              <w:left w:val="nil"/>
              <w:bottom w:val="single" w:sz="4" w:space="0" w:color="auto"/>
              <w:right w:val="nil"/>
            </w:tcBorders>
            <w:shd w:val="clear" w:color="auto" w:fill="auto"/>
            <w:noWrap/>
            <w:vAlign w:val="bottom"/>
            <w:hideMark/>
          </w:tcPr>
          <w:p w14:paraId="04457623"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189,955,642 </w:t>
            </w:r>
          </w:p>
        </w:tc>
        <w:tc>
          <w:tcPr>
            <w:tcW w:w="630" w:type="pct"/>
            <w:tcBorders>
              <w:top w:val="single" w:sz="4" w:space="0" w:color="auto"/>
              <w:left w:val="nil"/>
              <w:bottom w:val="single" w:sz="4" w:space="0" w:color="auto"/>
              <w:right w:val="nil"/>
            </w:tcBorders>
            <w:shd w:val="clear" w:color="auto" w:fill="auto"/>
            <w:noWrap/>
            <w:vAlign w:val="bottom"/>
            <w:hideMark/>
          </w:tcPr>
          <w:p w14:paraId="77D1CE3D"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193,931,425 </w:t>
            </w:r>
          </w:p>
        </w:tc>
        <w:tc>
          <w:tcPr>
            <w:tcW w:w="630" w:type="pct"/>
            <w:tcBorders>
              <w:top w:val="single" w:sz="4" w:space="0" w:color="auto"/>
              <w:left w:val="nil"/>
              <w:bottom w:val="single" w:sz="4" w:space="0" w:color="auto"/>
              <w:right w:val="nil"/>
            </w:tcBorders>
            <w:shd w:val="clear" w:color="auto" w:fill="auto"/>
            <w:noWrap/>
            <w:vAlign w:val="bottom"/>
            <w:hideMark/>
          </w:tcPr>
          <w:p w14:paraId="46E1FCD6"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192,854,247 </w:t>
            </w:r>
          </w:p>
        </w:tc>
      </w:tr>
      <w:tr w:rsidR="00E52BE2" w:rsidRPr="00E52BE2" w14:paraId="0CFCBA23" w14:textId="77777777" w:rsidTr="00E52BE2">
        <w:trPr>
          <w:trHeight w:hRule="exact" w:val="225"/>
        </w:trPr>
        <w:tc>
          <w:tcPr>
            <w:tcW w:w="1848" w:type="pct"/>
            <w:tcBorders>
              <w:top w:val="nil"/>
              <w:left w:val="nil"/>
              <w:bottom w:val="nil"/>
              <w:right w:val="nil"/>
            </w:tcBorders>
            <w:shd w:val="clear" w:color="auto" w:fill="auto"/>
            <w:noWrap/>
            <w:vAlign w:val="bottom"/>
            <w:hideMark/>
          </w:tcPr>
          <w:p w14:paraId="268F6F4A" w14:textId="77777777" w:rsidR="00E52BE2" w:rsidRPr="00E52BE2" w:rsidRDefault="00E52BE2" w:rsidP="00E52BE2">
            <w:pPr>
              <w:spacing w:after="0" w:line="240" w:lineRule="auto"/>
              <w:jc w:val="left"/>
              <w:rPr>
                <w:rFonts w:ascii="Arial" w:hAnsi="Arial" w:cs="Arial"/>
                <w:b/>
                <w:bCs/>
                <w:color w:val="000000"/>
                <w:sz w:val="16"/>
                <w:szCs w:val="16"/>
              </w:rPr>
            </w:pPr>
            <w:r w:rsidRPr="00E52BE2">
              <w:rPr>
                <w:rFonts w:ascii="Arial" w:hAnsi="Arial" w:cs="Arial"/>
                <w:b/>
                <w:bCs/>
                <w:color w:val="000000"/>
                <w:sz w:val="16"/>
                <w:szCs w:val="16"/>
              </w:rPr>
              <w:t>LESS:</w:t>
            </w:r>
          </w:p>
        </w:tc>
        <w:tc>
          <w:tcPr>
            <w:tcW w:w="630" w:type="pct"/>
            <w:tcBorders>
              <w:top w:val="nil"/>
              <w:left w:val="nil"/>
              <w:bottom w:val="nil"/>
              <w:right w:val="nil"/>
            </w:tcBorders>
            <w:shd w:val="clear" w:color="auto" w:fill="auto"/>
            <w:noWrap/>
            <w:vAlign w:val="center"/>
            <w:hideMark/>
          </w:tcPr>
          <w:p w14:paraId="67AD1E1B" w14:textId="77777777" w:rsidR="00E52BE2" w:rsidRPr="00E52BE2" w:rsidRDefault="00E52BE2" w:rsidP="00E52BE2">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7768E2CC" w14:textId="77777777" w:rsidR="00E52BE2" w:rsidRPr="00E52BE2" w:rsidRDefault="00E52BE2" w:rsidP="00E52BE2">
            <w:pPr>
              <w:spacing w:after="0" w:line="240" w:lineRule="auto"/>
              <w:jc w:val="left"/>
              <w:rPr>
                <w:rFonts w:ascii="Arial" w:hAnsi="Arial" w:cs="Arial"/>
                <w:color w:val="000000"/>
                <w:sz w:val="16"/>
                <w:szCs w:val="16"/>
              </w:rPr>
            </w:pPr>
            <w:r w:rsidRPr="00E52BE2">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0DD1A905" w14:textId="77777777" w:rsidR="00E52BE2" w:rsidRPr="00E52BE2" w:rsidRDefault="00E52BE2" w:rsidP="00E52BE2">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3F4DD080" w14:textId="77777777" w:rsidR="00E52BE2" w:rsidRPr="00E52BE2" w:rsidRDefault="00E52BE2" w:rsidP="00E52BE2">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2744945F" w14:textId="77777777" w:rsidR="00E52BE2" w:rsidRPr="00E52BE2" w:rsidRDefault="00E52BE2" w:rsidP="00E52BE2">
            <w:pPr>
              <w:spacing w:after="0" w:line="240" w:lineRule="auto"/>
              <w:jc w:val="left"/>
              <w:rPr>
                <w:rFonts w:ascii="Times New Roman" w:hAnsi="Times New Roman"/>
              </w:rPr>
            </w:pPr>
          </w:p>
        </w:tc>
      </w:tr>
      <w:tr w:rsidR="00E52BE2" w:rsidRPr="00E52BE2" w14:paraId="74BB67DA" w14:textId="77777777" w:rsidTr="00E52BE2">
        <w:trPr>
          <w:trHeight w:hRule="exact" w:val="225"/>
        </w:trPr>
        <w:tc>
          <w:tcPr>
            <w:tcW w:w="1848" w:type="pct"/>
            <w:tcBorders>
              <w:top w:val="nil"/>
              <w:left w:val="nil"/>
              <w:bottom w:val="nil"/>
              <w:right w:val="nil"/>
            </w:tcBorders>
            <w:shd w:val="clear" w:color="auto" w:fill="auto"/>
            <w:noWrap/>
            <w:vAlign w:val="bottom"/>
            <w:hideMark/>
          </w:tcPr>
          <w:p w14:paraId="567D77FA" w14:textId="2FBF7D87" w:rsidR="00E52BE2" w:rsidRPr="00E52BE2" w:rsidRDefault="00E52BE2" w:rsidP="00E52BE2">
            <w:pPr>
              <w:spacing w:after="0" w:line="240" w:lineRule="auto"/>
              <w:jc w:val="left"/>
              <w:rPr>
                <w:rFonts w:ascii="Arial" w:hAnsi="Arial" w:cs="Arial"/>
                <w:b/>
                <w:bCs/>
                <w:color w:val="000000"/>
                <w:sz w:val="16"/>
                <w:szCs w:val="16"/>
              </w:rPr>
            </w:pPr>
            <w:r w:rsidRPr="00E52BE2">
              <w:rPr>
                <w:rFonts w:ascii="Arial" w:hAnsi="Arial" w:cs="Arial"/>
                <w:b/>
                <w:bCs/>
                <w:color w:val="000000"/>
                <w:sz w:val="16"/>
                <w:szCs w:val="16"/>
              </w:rPr>
              <w:t>OWN</w:t>
            </w:r>
            <w:r w:rsidR="00B33758">
              <w:rPr>
                <w:rFonts w:ascii="Arial" w:hAnsi="Arial" w:cs="Arial"/>
                <w:b/>
                <w:bCs/>
                <w:color w:val="000000"/>
                <w:sz w:val="16"/>
                <w:szCs w:val="16"/>
              </w:rPr>
              <w:noBreakHyphen/>
            </w:r>
            <w:r w:rsidRPr="00E52BE2">
              <w:rPr>
                <w:rFonts w:ascii="Arial" w:hAnsi="Arial" w:cs="Arial"/>
                <w:b/>
                <w:bCs/>
                <w:color w:val="000000"/>
                <w:sz w:val="16"/>
                <w:szCs w:val="16"/>
              </w:rPr>
              <w:t>SOURCE INCOME</w:t>
            </w:r>
          </w:p>
        </w:tc>
        <w:tc>
          <w:tcPr>
            <w:tcW w:w="630" w:type="pct"/>
            <w:tcBorders>
              <w:top w:val="nil"/>
              <w:left w:val="nil"/>
              <w:bottom w:val="nil"/>
              <w:right w:val="nil"/>
            </w:tcBorders>
            <w:shd w:val="clear" w:color="auto" w:fill="auto"/>
            <w:noWrap/>
            <w:vAlign w:val="center"/>
            <w:hideMark/>
          </w:tcPr>
          <w:p w14:paraId="2670928E" w14:textId="77777777" w:rsidR="00E52BE2" w:rsidRPr="00E52BE2" w:rsidRDefault="00E52BE2" w:rsidP="00E52BE2">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47B3182B" w14:textId="77777777" w:rsidR="00E52BE2" w:rsidRPr="00E52BE2" w:rsidRDefault="00E52BE2" w:rsidP="00E52BE2">
            <w:pPr>
              <w:spacing w:after="0" w:line="240" w:lineRule="auto"/>
              <w:jc w:val="left"/>
              <w:rPr>
                <w:rFonts w:ascii="Arial" w:hAnsi="Arial" w:cs="Arial"/>
                <w:color w:val="000000"/>
                <w:sz w:val="16"/>
                <w:szCs w:val="16"/>
              </w:rPr>
            </w:pPr>
            <w:r w:rsidRPr="00E52BE2">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3CB30782" w14:textId="77777777" w:rsidR="00E52BE2" w:rsidRPr="00E52BE2" w:rsidRDefault="00E52BE2" w:rsidP="00E52BE2">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3B33D08E" w14:textId="77777777" w:rsidR="00E52BE2" w:rsidRPr="00E52BE2" w:rsidRDefault="00E52BE2" w:rsidP="00E52BE2">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4DD4B89E" w14:textId="77777777" w:rsidR="00E52BE2" w:rsidRPr="00E52BE2" w:rsidRDefault="00E52BE2" w:rsidP="00E52BE2">
            <w:pPr>
              <w:spacing w:after="0" w:line="240" w:lineRule="auto"/>
              <w:jc w:val="left"/>
              <w:rPr>
                <w:rFonts w:ascii="Times New Roman" w:hAnsi="Times New Roman"/>
              </w:rPr>
            </w:pPr>
          </w:p>
        </w:tc>
      </w:tr>
      <w:tr w:rsidR="00E52BE2" w:rsidRPr="00E52BE2" w14:paraId="23A98137" w14:textId="77777777" w:rsidTr="00E52BE2">
        <w:trPr>
          <w:trHeight w:hRule="exact" w:val="225"/>
        </w:trPr>
        <w:tc>
          <w:tcPr>
            <w:tcW w:w="1848" w:type="pct"/>
            <w:tcBorders>
              <w:top w:val="nil"/>
              <w:left w:val="nil"/>
              <w:bottom w:val="nil"/>
              <w:right w:val="nil"/>
            </w:tcBorders>
            <w:shd w:val="clear" w:color="auto" w:fill="auto"/>
            <w:noWrap/>
            <w:vAlign w:val="bottom"/>
            <w:hideMark/>
          </w:tcPr>
          <w:p w14:paraId="548C09F5" w14:textId="7AA8687E" w:rsidR="00E52BE2" w:rsidRPr="00E52BE2" w:rsidRDefault="00E52BE2" w:rsidP="00E52BE2">
            <w:pPr>
              <w:spacing w:after="0" w:line="240" w:lineRule="auto"/>
              <w:jc w:val="left"/>
              <w:rPr>
                <w:rFonts w:ascii="Arial" w:hAnsi="Arial" w:cs="Arial"/>
                <w:b/>
                <w:bCs/>
                <w:color w:val="000000"/>
                <w:sz w:val="16"/>
                <w:szCs w:val="16"/>
              </w:rPr>
            </w:pPr>
            <w:r w:rsidRPr="00E52BE2">
              <w:rPr>
                <w:rFonts w:ascii="Arial" w:hAnsi="Arial" w:cs="Arial"/>
                <w:b/>
                <w:bCs/>
                <w:color w:val="000000"/>
                <w:sz w:val="16"/>
                <w:szCs w:val="16"/>
              </w:rPr>
              <w:t>Own</w:t>
            </w:r>
            <w:r w:rsidR="00B33758">
              <w:rPr>
                <w:rFonts w:ascii="Arial" w:hAnsi="Arial" w:cs="Arial"/>
                <w:b/>
                <w:bCs/>
                <w:color w:val="000000"/>
                <w:sz w:val="16"/>
                <w:szCs w:val="16"/>
              </w:rPr>
              <w:noBreakHyphen/>
            </w:r>
            <w:r w:rsidRPr="00E52BE2">
              <w:rPr>
                <w:rFonts w:ascii="Arial" w:hAnsi="Arial" w:cs="Arial"/>
                <w:b/>
                <w:bCs/>
                <w:color w:val="000000"/>
                <w:sz w:val="16"/>
                <w:szCs w:val="16"/>
              </w:rPr>
              <w:t>source revenue</w:t>
            </w:r>
          </w:p>
        </w:tc>
        <w:tc>
          <w:tcPr>
            <w:tcW w:w="630" w:type="pct"/>
            <w:tcBorders>
              <w:top w:val="nil"/>
              <w:left w:val="nil"/>
              <w:bottom w:val="nil"/>
              <w:right w:val="nil"/>
            </w:tcBorders>
            <w:shd w:val="clear" w:color="auto" w:fill="auto"/>
            <w:noWrap/>
            <w:vAlign w:val="center"/>
            <w:hideMark/>
          </w:tcPr>
          <w:p w14:paraId="1B66EE46" w14:textId="77777777" w:rsidR="00E52BE2" w:rsidRPr="00E52BE2" w:rsidRDefault="00E52BE2" w:rsidP="00E52BE2">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56CFA6FB" w14:textId="77777777" w:rsidR="00E52BE2" w:rsidRPr="00E52BE2" w:rsidRDefault="00E52BE2" w:rsidP="00E52BE2">
            <w:pPr>
              <w:spacing w:after="0" w:line="240" w:lineRule="auto"/>
              <w:jc w:val="left"/>
              <w:rPr>
                <w:rFonts w:ascii="Arial" w:hAnsi="Arial" w:cs="Arial"/>
                <w:color w:val="000000"/>
                <w:sz w:val="16"/>
                <w:szCs w:val="16"/>
              </w:rPr>
            </w:pPr>
            <w:r w:rsidRPr="00E52BE2">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7745C3D2" w14:textId="77777777" w:rsidR="00E52BE2" w:rsidRPr="00E52BE2" w:rsidRDefault="00E52BE2" w:rsidP="00E52BE2">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4A764AEC" w14:textId="77777777" w:rsidR="00E52BE2" w:rsidRPr="00E52BE2" w:rsidRDefault="00E52BE2" w:rsidP="00E52BE2">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37250E7C" w14:textId="77777777" w:rsidR="00E52BE2" w:rsidRPr="00E52BE2" w:rsidRDefault="00E52BE2" w:rsidP="00E52BE2">
            <w:pPr>
              <w:spacing w:after="0" w:line="240" w:lineRule="auto"/>
              <w:jc w:val="left"/>
              <w:rPr>
                <w:rFonts w:ascii="Times New Roman" w:hAnsi="Times New Roman"/>
              </w:rPr>
            </w:pPr>
          </w:p>
        </w:tc>
      </w:tr>
      <w:tr w:rsidR="00E52BE2" w:rsidRPr="00E52BE2" w14:paraId="0C18A271" w14:textId="77777777" w:rsidTr="00E52BE2">
        <w:trPr>
          <w:trHeight w:hRule="exact" w:val="225"/>
        </w:trPr>
        <w:tc>
          <w:tcPr>
            <w:tcW w:w="1848" w:type="pct"/>
            <w:tcBorders>
              <w:top w:val="nil"/>
              <w:left w:val="nil"/>
              <w:bottom w:val="nil"/>
              <w:right w:val="nil"/>
            </w:tcBorders>
            <w:shd w:val="clear" w:color="auto" w:fill="auto"/>
            <w:noWrap/>
            <w:vAlign w:val="bottom"/>
            <w:hideMark/>
          </w:tcPr>
          <w:p w14:paraId="38CEF079" w14:textId="6A09A631" w:rsidR="00E52BE2" w:rsidRPr="00E52BE2" w:rsidRDefault="00E52BE2" w:rsidP="00E52BE2">
            <w:pPr>
              <w:spacing w:after="0" w:line="240" w:lineRule="auto"/>
              <w:jc w:val="left"/>
              <w:rPr>
                <w:rFonts w:ascii="Arial" w:hAnsi="Arial" w:cs="Arial"/>
                <w:b/>
                <w:bCs/>
                <w:color w:val="000000"/>
                <w:sz w:val="16"/>
                <w:szCs w:val="16"/>
              </w:rPr>
            </w:pPr>
            <w:r w:rsidRPr="00E52BE2">
              <w:rPr>
                <w:rFonts w:ascii="Arial" w:hAnsi="Arial" w:cs="Arial"/>
                <w:b/>
                <w:bCs/>
                <w:color w:val="000000"/>
                <w:sz w:val="16"/>
                <w:szCs w:val="16"/>
              </w:rPr>
              <w:t>Non</w:t>
            </w:r>
            <w:r w:rsidR="00B33758">
              <w:rPr>
                <w:rFonts w:ascii="Arial" w:hAnsi="Arial" w:cs="Arial"/>
                <w:b/>
                <w:bCs/>
                <w:color w:val="000000"/>
                <w:sz w:val="16"/>
                <w:szCs w:val="16"/>
              </w:rPr>
              <w:noBreakHyphen/>
            </w:r>
            <w:r w:rsidRPr="00E52BE2">
              <w:rPr>
                <w:rFonts w:ascii="Arial" w:hAnsi="Arial" w:cs="Arial"/>
                <w:b/>
                <w:bCs/>
                <w:color w:val="000000"/>
                <w:sz w:val="16"/>
                <w:szCs w:val="16"/>
              </w:rPr>
              <w:t>taxation revenue</w:t>
            </w:r>
          </w:p>
        </w:tc>
        <w:tc>
          <w:tcPr>
            <w:tcW w:w="630" w:type="pct"/>
            <w:tcBorders>
              <w:top w:val="nil"/>
              <w:left w:val="nil"/>
              <w:bottom w:val="nil"/>
              <w:right w:val="nil"/>
            </w:tcBorders>
            <w:shd w:val="clear" w:color="auto" w:fill="auto"/>
            <w:noWrap/>
            <w:vAlign w:val="center"/>
            <w:hideMark/>
          </w:tcPr>
          <w:p w14:paraId="75EC3575" w14:textId="77777777" w:rsidR="00E52BE2" w:rsidRPr="00E52BE2" w:rsidRDefault="00E52BE2" w:rsidP="00E52BE2">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01CBD21A" w14:textId="77777777" w:rsidR="00E52BE2" w:rsidRPr="00E52BE2" w:rsidRDefault="00E52BE2" w:rsidP="00E52BE2">
            <w:pPr>
              <w:spacing w:after="0" w:line="240" w:lineRule="auto"/>
              <w:jc w:val="left"/>
              <w:rPr>
                <w:rFonts w:ascii="Arial" w:hAnsi="Arial" w:cs="Arial"/>
                <w:color w:val="000000"/>
                <w:sz w:val="16"/>
                <w:szCs w:val="16"/>
              </w:rPr>
            </w:pPr>
            <w:r w:rsidRPr="00E52BE2">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0347E805" w14:textId="77777777" w:rsidR="00E52BE2" w:rsidRPr="00E52BE2" w:rsidRDefault="00E52BE2" w:rsidP="00E52BE2">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789CC09C" w14:textId="77777777" w:rsidR="00E52BE2" w:rsidRPr="00E52BE2" w:rsidRDefault="00E52BE2" w:rsidP="00E52BE2">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30962BBC" w14:textId="77777777" w:rsidR="00E52BE2" w:rsidRPr="00E52BE2" w:rsidRDefault="00E52BE2" w:rsidP="00E52BE2">
            <w:pPr>
              <w:spacing w:after="0" w:line="240" w:lineRule="auto"/>
              <w:jc w:val="left"/>
              <w:rPr>
                <w:rFonts w:ascii="Times New Roman" w:hAnsi="Times New Roman"/>
              </w:rPr>
            </w:pPr>
          </w:p>
        </w:tc>
      </w:tr>
      <w:tr w:rsidR="00E52BE2" w:rsidRPr="00E52BE2" w14:paraId="113CF4CA" w14:textId="77777777" w:rsidTr="00891745">
        <w:trPr>
          <w:trHeight w:hRule="exact" w:val="184"/>
        </w:trPr>
        <w:tc>
          <w:tcPr>
            <w:tcW w:w="1848" w:type="pct"/>
            <w:tcBorders>
              <w:top w:val="nil"/>
              <w:left w:val="nil"/>
              <w:bottom w:val="nil"/>
              <w:right w:val="nil"/>
            </w:tcBorders>
            <w:shd w:val="clear" w:color="auto" w:fill="auto"/>
            <w:vAlign w:val="bottom"/>
            <w:hideMark/>
          </w:tcPr>
          <w:p w14:paraId="281C860B" w14:textId="320780C2"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Sale of goods and rendering of services</w:t>
            </w:r>
          </w:p>
        </w:tc>
        <w:tc>
          <w:tcPr>
            <w:tcW w:w="630" w:type="pct"/>
            <w:tcBorders>
              <w:top w:val="nil"/>
              <w:left w:val="nil"/>
              <w:bottom w:val="nil"/>
              <w:right w:val="nil"/>
            </w:tcBorders>
            <w:shd w:val="clear" w:color="auto" w:fill="auto"/>
            <w:noWrap/>
            <w:vAlign w:val="bottom"/>
            <w:hideMark/>
          </w:tcPr>
          <w:p w14:paraId="694F284A" w14:textId="77777777" w:rsidR="00E52BE2" w:rsidRPr="00E52BE2" w:rsidRDefault="00E52BE2" w:rsidP="00891745">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593,274 </w:t>
            </w:r>
          </w:p>
        </w:tc>
        <w:tc>
          <w:tcPr>
            <w:tcW w:w="630" w:type="pct"/>
            <w:tcBorders>
              <w:top w:val="nil"/>
              <w:left w:val="nil"/>
              <w:bottom w:val="nil"/>
              <w:right w:val="nil"/>
            </w:tcBorders>
            <w:shd w:val="clear" w:color="000000" w:fill="E6E6E6"/>
            <w:noWrap/>
            <w:vAlign w:val="bottom"/>
            <w:hideMark/>
          </w:tcPr>
          <w:p w14:paraId="1CC985FD" w14:textId="77777777" w:rsidR="00E52BE2" w:rsidRPr="00E52BE2" w:rsidRDefault="00E52BE2" w:rsidP="00891745">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679,781 </w:t>
            </w:r>
          </w:p>
        </w:tc>
        <w:tc>
          <w:tcPr>
            <w:tcW w:w="630" w:type="pct"/>
            <w:tcBorders>
              <w:top w:val="nil"/>
              <w:left w:val="nil"/>
              <w:bottom w:val="nil"/>
              <w:right w:val="nil"/>
            </w:tcBorders>
            <w:shd w:val="clear" w:color="auto" w:fill="auto"/>
            <w:noWrap/>
            <w:vAlign w:val="bottom"/>
            <w:hideMark/>
          </w:tcPr>
          <w:p w14:paraId="7A25EBFC" w14:textId="77777777" w:rsidR="00E52BE2" w:rsidRPr="00E52BE2" w:rsidRDefault="00E52BE2" w:rsidP="00891745">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483,738 </w:t>
            </w:r>
          </w:p>
        </w:tc>
        <w:tc>
          <w:tcPr>
            <w:tcW w:w="630" w:type="pct"/>
            <w:tcBorders>
              <w:top w:val="nil"/>
              <w:left w:val="nil"/>
              <w:bottom w:val="nil"/>
              <w:right w:val="nil"/>
            </w:tcBorders>
            <w:shd w:val="clear" w:color="auto" w:fill="auto"/>
            <w:noWrap/>
            <w:vAlign w:val="bottom"/>
            <w:hideMark/>
          </w:tcPr>
          <w:p w14:paraId="1BDB21C7" w14:textId="77777777" w:rsidR="00E52BE2" w:rsidRPr="00E52BE2" w:rsidRDefault="00E52BE2" w:rsidP="00891745">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484,039 </w:t>
            </w:r>
          </w:p>
        </w:tc>
        <w:tc>
          <w:tcPr>
            <w:tcW w:w="630" w:type="pct"/>
            <w:tcBorders>
              <w:top w:val="nil"/>
              <w:left w:val="nil"/>
              <w:bottom w:val="nil"/>
              <w:right w:val="nil"/>
            </w:tcBorders>
            <w:shd w:val="clear" w:color="auto" w:fill="auto"/>
            <w:noWrap/>
            <w:vAlign w:val="bottom"/>
            <w:hideMark/>
          </w:tcPr>
          <w:p w14:paraId="40AB9341" w14:textId="77777777" w:rsidR="00E52BE2" w:rsidRPr="00E52BE2" w:rsidRDefault="00E52BE2" w:rsidP="00891745">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486,965 </w:t>
            </w:r>
          </w:p>
        </w:tc>
      </w:tr>
      <w:tr w:rsidR="00E52BE2" w:rsidRPr="00E52BE2" w14:paraId="14DD060C" w14:textId="77777777" w:rsidTr="00E52BE2">
        <w:trPr>
          <w:trHeight w:hRule="exact" w:val="225"/>
        </w:trPr>
        <w:tc>
          <w:tcPr>
            <w:tcW w:w="1848" w:type="pct"/>
            <w:tcBorders>
              <w:top w:val="nil"/>
              <w:left w:val="nil"/>
              <w:bottom w:val="nil"/>
              <w:right w:val="nil"/>
            </w:tcBorders>
            <w:shd w:val="clear" w:color="auto" w:fill="auto"/>
            <w:noWrap/>
            <w:vAlign w:val="bottom"/>
            <w:hideMark/>
          </w:tcPr>
          <w:p w14:paraId="6A87AA7E" w14:textId="77777777" w:rsidR="00E52BE2" w:rsidRPr="00E52BE2" w:rsidRDefault="00E52BE2" w:rsidP="00E52BE2">
            <w:pPr>
              <w:spacing w:after="0" w:line="240" w:lineRule="auto"/>
              <w:ind w:left="170"/>
              <w:jc w:val="left"/>
              <w:rPr>
                <w:rFonts w:ascii="Arial" w:hAnsi="Arial" w:cs="Arial"/>
                <w:sz w:val="16"/>
                <w:szCs w:val="16"/>
              </w:rPr>
            </w:pPr>
            <w:r w:rsidRPr="00E52BE2">
              <w:rPr>
                <w:rFonts w:ascii="Arial" w:hAnsi="Arial" w:cs="Arial"/>
                <w:sz w:val="16"/>
                <w:szCs w:val="16"/>
              </w:rPr>
              <w:t>Fees and fines</w:t>
            </w:r>
          </w:p>
        </w:tc>
        <w:tc>
          <w:tcPr>
            <w:tcW w:w="630" w:type="pct"/>
            <w:tcBorders>
              <w:top w:val="nil"/>
              <w:left w:val="nil"/>
              <w:bottom w:val="nil"/>
              <w:right w:val="nil"/>
            </w:tcBorders>
            <w:shd w:val="clear" w:color="auto" w:fill="auto"/>
            <w:noWrap/>
            <w:vAlign w:val="center"/>
            <w:hideMark/>
          </w:tcPr>
          <w:p w14:paraId="71A49E0E"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949 </w:t>
            </w:r>
          </w:p>
        </w:tc>
        <w:tc>
          <w:tcPr>
            <w:tcW w:w="630" w:type="pct"/>
            <w:tcBorders>
              <w:top w:val="nil"/>
              <w:left w:val="nil"/>
              <w:bottom w:val="nil"/>
              <w:right w:val="nil"/>
            </w:tcBorders>
            <w:shd w:val="clear" w:color="000000" w:fill="E6E6E6"/>
            <w:noWrap/>
            <w:vAlign w:val="center"/>
            <w:hideMark/>
          </w:tcPr>
          <w:p w14:paraId="535069B5"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949 </w:t>
            </w:r>
          </w:p>
        </w:tc>
        <w:tc>
          <w:tcPr>
            <w:tcW w:w="630" w:type="pct"/>
            <w:tcBorders>
              <w:top w:val="nil"/>
              <w:left w:val="nil"/>
              <w:bottom w:val="nil"/>
              <w:right w:val="nil"/>
            </w:tcBorders>
            <w:shd w:val="clear" w:color="auto" w:fill="auto"/>
            <w:noWrap/>
            <w:vAlign w:val="center"/>
            <w:hideMark/>
          </w:tcPr>
          <w:p w14:paraId="4EF430E0"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1,018 </w:t>
            </w:r>
          </w:p>
        </w:tc>
        <w:tc>
          <w:tcPr>
            <w:tcW w:w="630" w:type="pct"/>
            <w:tcBorders>
              <w:top w:val="nil"/>
              <w:left w:val="nil"/>
              <w:bottom w:val="nil"/>
              <w:right w:val="nil"/>
            </w:tcBorders>
            <w:shd w:val="clear" w:color="auto" w:fill="auto"/>
            <w:noWrap/>
            <w:vAlign w:val="center"/>
            <w:hideMark/>
          </w:tcPr>
          <w:p w14:paraId="0903DF57"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1,018 </w:t>
            </w:r>
          </w:p>
        </w:tc>
        <w:tc>
          <w:tcPr>
            <w:tcW w:w="630" w:type="pct"/>
            <w:tcBorders>
              <w:top w:val="nil"/>
              <w:left w:val="nil"/>
              <w:bottom w:val="nil"/>
              <w:right w:val="nil"/>
            </w:tcBorders>
            <w:shd w:val="clear" w:color="auto" w:fill="auto"/>
            <w:noWrap/>
            <w:vAlign w:val="center"/>
            <w:hideMark/>
          </w:tcPr>
          <w:p w14:paraId="749BB789"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1,018 </w:t>
            </w:r>
          </w:p>
        </w:tc>
      </w:tr>
      <w:tr w:rsidR="00E52BE2" w:rsidRPr="00E52BE2" w14:paraId="3440A36B" w14:textId="77777777" w:rsidTr="00E52BE2">
        <w:trPr>
          <w:trHeight w:hRule="exact" w:val="225"/>
        </w:trPr>
        <w:tc>
          <w:tcPr>
            <w:tcW w:w="1848" w:type="pct"/>
            <w:tcBorders>
              <w:top w:val="nil"/>
              <w:left w:val="nil"/>
              <w:bottom w:val="nil"/>
              <w:right w:val="nil"/>
            </w:tcBorders>
            <w:shd w:val="clear" w:color="auto" w:fill="auto"/>
            <w:noWrap/>
            <w:vAlign w:val="bottom"/>
            <w:hideMark/>
          </w:tcPr>
          <w:p w14:paraId="7E3DB6D3" w14:textId="77777777"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Interest</w:t>
            </w:r>
          </w:p>
        </w:tc>
        <w:tc>
          <w:tcPr>
            <w:tcW w:w="630" w:type="pct"/>
            <w:tcBorders>
              <w:top w:val="nil"/>
              <w:left w:val="nil"/>
              <w:bottom w:val="nil"/>
              <w:right w:val="nil"/>
            </w:tcBorders>
            <w:shd w:val="clear" w:color="auto" w:fill="auto"/>
            <w:noWrap/>
            <w:vAlign w:val="center"/>
            <w:hideMark/>
          </w:tcPr>
          <w:p w14:paraId="209BACE6"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61,435 </w:t>
            </w:r>
          </w:p>
        </w:tc>
        <w:tc>
          <w:tcPr>
            <w:tcW w:w="630" w:type="pct"/>
            <w:tcBorders>
              <w:top w:val="nil"/>
              <w:left w:val="nil"/>
              <w:bottom w:val="nil"/>
              <w:right w:val="nil"/>
            </w:tcBorders>
            <w:shd w:val="clear" w:color="000000" w:fill="E6E6E6"/>
            <w:noWrap/>
            <w:vAlign w:val="center"/>
            <w:hideMark/>
          </w:tcPr>
          <w:p w14:paraId="0F44AAEE"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102,029 </w:t>
            </w:r>
          </w:p>
        </w:tc>
        <w:tc>
          <w:tcPr>
            <w:tcW w:w="630" w:type="pct"/>
            <w:tcBorders>
              <w:top w:val="nil"/>
              <w:left w:val="nil"/>
              <w:bottom w:val="nil"/>
              <w:right w:val="nil"/>
            </w:tcBorders>
            <w:shd w:val="clear" w:color="auto" w:fill="auto"/>
            <w:noWrap/>
            <w:vAlign w:val="center"/>
            <w:hideMark/>
          </w:tcPr>
          <w:p w14:paraId="585E28DA"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144,436 </w:t>
            </w:r>
          </w:p>
        </w:tc>
        <w:tc>
          <w:tcPr>
            <w:tcW w:w="630" w:type="pct"/>
            <w:tcBorders>
              <w:top w:val="nil"/>
              <w:left w:val="nil"/>
              <w:bottom w:val="nil"/>
              <w:right w:val="nil"/>
            </w:tcBorders>
            <w:shd w:val="clear" w:color="auto" w:fill="auto"/>
            <w:noWrap/>
            <w:vAlign w:val="center"/>
            <w:hideMark/>
          </w:tcPr>
          <w:p w14:paraId="2F521C79"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174,957 </w:t>
            </w:r>
          </w:p>
        </w:tc>
        <w:tc>
          <w:tcPr>
            <w:tcW w:w="630" w:type="pct"/>
            <w:tcBorders>
              <w:top w:val="nil"/>
              <w:left w:val="nil"/>
              <w:bottom w:val="nil"/>
              <w:right w:val="nil"/>
            </w:tcBorders>
            <w:shd w:val="clear" w:color="auto" w:fill="auto"/>
            <w:noWrap/>
            <w:vAlign w:val="center"/>
            <w:hideMark/>
          </w:tcPr>
          <w:p w14:paraId="7C1B094C"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212,445 </w:t>
            </w:r>
          </w:p>
        </w:tc>
      </w:tr>
      <w:tr w:rsidR="00E52BE2" w:rsidRPr="00E52BE2" w14:paraId="2E05341B" w14:textId="77777777" w:rsidTr="00E52BE2">
        <w:trPr>
          <w:trHeight w:hRule="exact" w:val="225"/>
        </w:trPr>
        <w:tc>
          <w:tcPr>
            <w:tcW w:w="1848" w:type="pct"/>
            <w:tcBorders>
              <w:top w:val="nil"/>
              <w:left w:val="nil"/>
              <w:bottom w:val="nil"/>
              <w:right w:val="nil"/>
            </w:tcBorders>
            <w:shd w:val="clear" w:color="auto" w:fill="auto"/>
            <w:noWrap/>
            <w:vAlign w:val="bottom"/>
            <w:hideMark/>
          </w:tcPr>
          <w:p w14:paraId="2ECA0E9F" w14:textId="77777777"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COAG revenue from government entities</w:t>
            </w:r>
          </w:p>
        </w:tc>
        <w:tc>
          <w:tcPr>
            <w:tcW w:w="630" w:type="pct"/>
            <w:tcBorders>
              <w:top w:val="nil"/>
              <w:left w:val="nil"/>
              <w:bottom w:val="nil"/>
              <w:right w:val="nil"/>
            </w:tcBorders>
            <w:shd w:val="clear" w:color="auto" w:fill="auto"/>
            <w:noWrap/>
            <w:vAlign w:val="center"/>
            <w:hideMark/>
          </w:tcPr>
          <w:p w14:paraId="189FBFEF"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2,229,644 </w:t>
            </w:r>
          </w:p>
        </w:tc>
        <w:tc>
          <w:tcPr>
            <w:tcW w:w="630" w:type="pct"/>
            <w:tcBorders>
              <w:top w:val="nil"/>
              <w:left w:val="nil"/>
              <w:bottom w:val="nil"/>
              <w:right w:val="nil"/>
            </w:tcBorders>
            <w:shd w:val="clear" w:color="000000" w:fill="E6E6E6"/>
            <w:noWrap/>
            <w:vAlign w:val="center"/>
            <w:hideMark/>
          </w:tcPr>
          <w:p w14:paraId="4392E2F4"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1,317,211 </w:t>
            </w:r>
          </w:p>
        </w:tc>
        <w:tc>
          <w:tcPr>
            <w:tcW w:w="630" w:type="pct"/>
            <w:tcBorders>
              <w:top w:val="nil"/>
              <w:left w:val="nil"/>
              <w:bottom w:val="nil"/>
              <w:right w:val="nil"/>
            </w:tcBorders>
            <w:shd w:val="clear" w:color="auto" w:fill="auto"/>
            <w:noWrap/>
            <w:vAlign w:val="center"/>
            <w:hideMark/>
          </w:tcPr>
          <w:p w14:paraId="75198E24"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1,163,843 </w:t>
            </w:r>
          </w:p>
        </w:tc>
        <w:tc>
          <w:tcPr>
            <w:tcW w:w="630" w:type="pct"/>
            <w:tcBorders>
              <w:top w:val="nil"/>
              <w:left w:val="nil"/>
              <w:bottom w:val="nil"/>
              <w:right w:val="nil"/>
            </w:tcBorders>
            <w:shd w:val="clear" w:color="auto" w:fill="auto"/>
            <w:noWrap/>
            <w:vAlign w:val="center"/>
            <w:hideMark/>
          </w:tcPr>
          <w:p w14:paraId="706F03AB" w14:textId="2ECB06C2" w:rsidR="00E52BE2" w:rsidRPr="00E52BE2" w:rsidRDefault="00B33758" w:rsidP="00E52B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52BE2" w:rsidRPr="00E52BE2">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6DECBC6B" w14:textId="4865FE52" w:rsidR="00E52BE2" w:rsidRPr="00E52BE2" w:rsidRDefault="00B33758" w:rsidP="00E52BE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52BE2" w:rsidRPr="00E52BE2">
              <w:rPr>
                <w:rFonts w:ascii="Arial" w:hAnsi="Arial" w:cs="Arial"/>
                <w:color w:val="000000"/>
                <w:sz w:val="16"/>
                <w:szCs w:val="16"/>
              </w:rPr>
              <w:t xml:space="preserve"> </w:t>
            </w:r>
          </w:p>
        </w:tc>
      </w:tr>
      <w:tr w:rsidR="00E52BE2" w:rsidRPr="00E52BE2" w14:paraId="52448EF4" w14:textId="77777777" w:rsidTr="00E52BE2">
        <w:trPr>
          <w:trHeight w:hRule="exact" w:val="225"/>
        </w:trPr>
        <w:tc>
          <w:tcPr>
            <w:tcW w:w="1848" w:type="pct"/>
            <w:tcBorders>
              <w:top w:val="nil"/>
              <w:left w:val="nil"/>
              <w:bottom w:val="nil"/>
              <w:right w:val="nil"/>
            </w:tcBorders>
            <w:shd w:val="clear" w:color="auto" w:fill="auto"/>
            <w:noWrap/>
            <w:vAlign w:val="bottom"/>
            <w:hideMark/>
          </w:tcPr>
          <w:p w14:paraId="18ACC48E" w14:textId="77777777" w:rsidR="00E52BE2" w:rsidRPr="00E52BE2" w:rsidRDefault="00E52BE2" w:rsidP="00E52BE2">
            <w:pPr>
              <w:spacing w:after="0" w:line="240" w:lineRule="auto"/>
              <w:ind w:left="170"/>
              <w:jc w:val="left"/>
              <w:rPr>
                <w:rFonts w:ascii="Arial" w:hAnsi="Arial" w:cs="Arial"/>
                <w:color w:val="000000"/>
                <w:sz w:val="16"/>
                <w:szCs w:val="16"/>
              </w:rPr>
            </w:pPr>
            <w:r w:rsidRPr="00E52BE2">
              <w:rPr>
                <w:rFonts w:ascii="Arial" w:hAnsi="Arial" w:cs="Arial"/>
                <w:color w:val="000000"/>
                <w:sz w:val="16"/>
                <w:szCs w:val="16"/>
              </w:rPr>
              <w:t>Other revenue</w:t>
            </w:r>
          </w:p>
        </w:tc>
        <w:tc>
          <w:tcPr>
            <w:tcW w:w="630" w:type="pct"/>
            <w:tcBorders>
              <w:top w:val="nil"/>
              <w:left w:val="nil"/>
              <w:bottom w:val="nil"/>
              <w:right w:val="nil"/>
            </w:tcBorders>
            <w:shd w:val="clear" w:color="auto" w:fill="auto"/>
            <w:noWrap/>
            <w:vAlign w:val="center"/>
            <w:hideMark/>
          </w:tcPr>
          <w:p w14:paraId="36FD3FC6"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174,641 </w:t>
            </w:r>
          </w:p>
        </w:tc>
        <w:tc>
          <w:tcPr>
            <w:tcW w:w="630" w:type="pct"/>
            <w:tcBorders>
              <w:top w:val="nil"/>
              <w:left w:val="nil"/>
              <w:bottom w:val="nil"/>
              <w:right w:val="nil"/>
            </w:tcBorders>
            <w:shd w:val="clear" w:color="000000" w:fill="E6E6E6"/>
            <w:noWrap/>
            <w:vAlign w:val="center"/>
            <w:hideMark/>
          </w:tcPr>
          <w:p w14:paraId="2C844DA5"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181,868 </w:t>
            </w:r>
          </w:p>
        </w:tc>
        <w:tc>
          <w:tcPr>
            <w:tcW w:w="630" w:type="pct"/>
            <w:tcBorders>
              <w:top w:val="nil"/>
              <w:left w:val="nil"/>
              <w:bottom w:val="nil"/>
              <w:right w:val="nil"/>
            </w:tcBorders>
            <w:shd w:val="clear" w:color="auto" w:fill="auto"/>
            <w:noWrap/>
            <w:vAlign w:val="center"/>
            <w:hideMark/>
          </w:tcPr>
          <w:p w14:paraId="6AA38E0D"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178,566 </w:t>
            </w:r>
          </w:p>
        </w:tc>
        <w:tc>
          <w:tcPr>
            <w:tcW w:w="630" w:type="pct"/>
            <w:tcBorders>
              <w:top w:val="nil"/>
              <w:left w:val="nil"/>
              <w:bottom w:val="nil"/>
              <w:right w:val="nil"/>
            </w:tcBorders>
            <w:shd w:val="clear" w:color="auto" w:fill="auto"/>
            <w:noWrap/>
            <w:vAlign w:val="center"/>
            <w:hideMark/>
          </w:tcPr>
          <w:p w14:paraId="1F8D8422"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175,327 </w:t>
            </w:r>
          </w:p>
        </w:tc>
        <w:tc>
          <w:tcPr>
            <w:tcW w:w="630" w:type="pct"/>
            <w:tcBorders>
              <w:top w:val="nil"/>
              <w:left w:val="nil"/>
              <w:bottom w:val="nil"/>
              <w:right w:val="nil"/>
            </w:tcBorders>
            <w:shd w:val="clear" w:color="auto" w:fill="auto"/>
            <w:noWrap/>
            <w:vAlign w:val="center"/>
            <w:hideMark/>
          </w:tcPr>
          <w:p w14:paraId="1312C60D" w14:textId="77777777" w:rsidR="00E52BE2" w:rsidRPr="00E52BE2" w:rsidRDefault="00E52BE2" w:rsidP="00E52BE2">
            <w:pPr>
              <w:spacing w:after="0" w:line="240" w:lineRule="auto"/>
              <w:jc w:val="right"/>
              <w:rPr>
                <w:rFonts w:ascii="Arial" w:hAnsi="Arial" w:cs="Arial"/>
                <w:color w:val="000000"/>
                <w:sz w:val="16"/>
                <w:szCs w:val="16"/>
              </w:rPr>
            </w:pPr>
            <w:r w:rsidRPr="00E52BE2">
              <w:rPr>
                <w:rFonts w:ascii="Arial" w:hAnsi="Arial" w:cs="Arial"/>
                <w:color w:val="000000"/>
                <w:sz w:val="16"/>
                <w:szCs w:val="16"/>
              </w:rPr>
              <w:t xml:space="preserve">171,575 </w:t>
            </w:r>
          </w:p>
        </w:tc>
      </w:tr>
      <w:tr w:rsidR="00E52BE2" w:rsidRPr="00E52BE2" w14:paraId="08212A1F" w14:textId="77777777" w:rsidTr="00E52BE2">
        <w:trPr>
          <w:trHeight w:hRule="exact" w:val="225"/>
        </w:trPr>
        <w:tc>
          <w:tcPr>
            <w:tcW w:w="1848" w:type="pct"/>
            <w:tcBorders>
              <w:top w:val="nil"/>
              <w:left w:val="nil"/>
              <w:bottom w:val="nil"/>
              <w:right w:val="nil"/>
            </w:tcBorders>
            <w:shd w:val="clear" w:color="auto" w:fill="auto"/>
            <w:noWrap/>
            <w:vAlign w:val="bottom"/>
            <w:hideMark/>
          </w:tcPr>
          <w:p w14:paraId="2B2D0341" w14:textId="5441409A" w:rsidR="00E52BE2" w:rsidRPr="00E52BE2" w:rsidRDefault="00E52BE2" w:rsidP="00E52BE2">
            <w:pPr>
              <w:spacing w:after="0" w:line="240" w:lineRule="auto"/>
              <w:jc w:val="left"/>
              <w:rPr>
                <w:rFonts w:ascii="Arial" w:hAnsi="Arial" w:cs="Arial"/>
                <w:b/>
                <w:bCs/>
                <w:i/>
                <w:iCs/>
                <w:color w:val="000000"/>
                <w:sz w:val="16"/>
                <w:szCs w:val="16"/>
              </w:rPr>
            </w:pPr>
            <w:r w:rsidRPr="00E52BE2">
              <w:rPr>
                <w:rFonts w:ascii="Arial" w:hAnsi="Arial" w:cs="Arial"/>
                <w:b/>
                <w:bCs/>
                <w:i/>
                <w:iCs/>
                <w:color w:val="000000"/>
                <w:sz w:val="16"/>
                <w:szCs w:val="16"/>
              </w:rPr>
              <w:t>Total non</w:t>
            </w:r>
            <w:r w:rsidR="00B33758">
              <w:rPr>
                <w:rFonts w:ascii="Arial" w:hAnsi="Arial" w:cs="Arial"/>
                <w:b/>
                <w:bCs/>
                <w:i/>
                <w:iCs/>
                <w:color w:val="000000"/>
                <w:sz w:val="16"/>
                <w:szCs w:val="16"/>
              </w:rPr>
              <w:noBreakHyphen/>
            </w:r>
            <w:r w:rsidRPr="00E52BE2">
              <w:rPr>
                <w:rFonts w:ascii="Arial" w:hAnsi="Arial" w:cs="Arial"/>
                <w:b/>
                <w:bCs/>
                <w:i/>
                <w:iCs/>
                <w:color w:val="000000"/>
                <w:sz w:val="16"/>
                <w:szCs w:val="16"/>
              </w:rPr>
              <w:t>taxation revenue</w:t>
            </w:r>
          </w:p>
        </w:tc>
        <w:tc>
          <w:tcPr>
            <w:tcW w:w="630" w:type="pct"/>
            <w:tcBorders>
              <w:top w:val="single" w:sz="4" w:space="0" w:color="auto"/>
              <w:left w:val="nil"/>
              <w:bottom w:val="single" w:sz="4" w:space="0" w:color="auto"/>
              <w:right w:val="nil"/>
            </w:tcBorders>
            <w:shd w:val="clear" w:color="auto" w:fill="auto"/>
            <w:noWrap/>
            <w:vAlign w:val="center"/>
            <w:hideMark/>
          </w:tcPr>
          <w:p w14:paraId="78E29B91" w14:textId="77777777" w:rsidR="00E52BE2" w:rsidRPr="00E52BE2" w:rsidRDefault="00E52BE2" w:rsidP="00E52BE2">
            <w:pPr>
              <w:spacing w:after="0" w:line="240" w:lineRule="auto"/>
              <w:jc w:val="right"/>
              <w:rPr>
                <w:rFonts w:ascii="Arial" w:hAnsi="Arial" w:cs="Arial"/>
                <w:b/>
                <w:bCs/>
                <w:i/>
                <w:iCs/>
                <w:color w:val="000000"/>
                <w:sz w:val="16"/>
                <w:szCs w:val="16"/>
              </w:rPr>
            </w:pPr>
            <w:r w:rsidRPr="00E52BE2">
              <w:rPr>
                <w:rFonts w:ascii="Arial" w:hAnsi="Arial" w:cs="Arial"/>
                <w:b/>
                <w:bCs/>
                <w:i/>
                <w:iCs/>
                <w:color w:val="000000"/>
                <w:sz w:val="16"/>
                <w:szCs w:val="16"/>
              </w:rPr>
              <w:t xml:space="preserve">3,059,943 </w:t>
            </w:r>
          </w:p>
        </w:tc>
        <w:tc>
          <w:tcPr>
            <w:tcW w:w="630" w:type="pct"/>
            <w:tcBorders>
              <w:top w:val="single" w:sz="4" w:space="0" w:color="auto"/>
              <w:left w:val="nil"/>
              <w:bottom w:val="single" w:sz="4" w:space="0" w:color="auto"/>
              <w:right w:val="nil"/>
            </w:tcBorders>
            <w:shd w:val="clear" w:color="000000" w:fill="E6E6E6"/>
            <w:noWrap/>
            <w:vAlign w:val="center"/>
            <w:hideMark/>
          </w:tcPr>
          <w:p w14:paraId="28770A68" w14:textId="77777777" w:rsidR="00E52BE2" w:rsidRPr="00E52BE2" w:rsidRDefault="00E52BE2" w:rsidP="00E52BE2">
            <w:pPr>
              <w:spacing w:after="0" w:line="240" w:lineRule="auto"/>
              <w:jc w:val="right"/>
              <w:rPr>
                <w:rFonts w:ascii="Arial" w:hAnsi="Arial" w:cs="Arial"/>
                <w:b/>
                <w:bCs/>
                <w:i/>
                <w:iCs/>
                <w:color w:val="000000"/>
                <w:sz w:val="16"/>
                <w:szCs w:val="16"/>
              </w:rPr>
            </w:pPr>
            <w:r w:rsidRPr="00E52BE2">
              <w:rPr>
                <w:rFonts w:ascii="Arial" w:hAnsi="Arial" w:cs="Arial"/>
                <w:b/>
                <w:bCs/>
                <w:i/>
                <w:iCs/>
                <w:color w:val="000000"/>
                <w:sz w:val="16"/>
                <w:szCs w:val="16"/>
              </w:rPr>
              <w:t xml:space="preserve">2,281,838 </w:t>
            </w:r>
          </w:p>
        </w:tc>
        <w:tc>
          <w:tcPr>
            <w:tcW w:w="630" w:type="pct"/>
            <w:tcBorders>
              <w:top w:val="single" w:sz="4" w:space="0" w:color="auto"/>
              <w:left w:val="nil"/>
              <w:bottom w:val="single" w:sz="4" w:space="0" w:color="auto"/>
              <w:right w:val="nil"/>
            </w:tcBorders>
            <w:shd w:val="clear" w:color="auto" w:fill="auto"/>
            <w:noWrap/>
            <w:vAlign w:val="center"/>
            <w:hideMark/>
          </w:tcPr>
          <w:p w14:paraId="79D6EDA7" w14:textId="77777777" w:rsidR="00E52BE2" w:rsidRPr="00E52BE2" w:rsidRDefault="00E52BE2" w:rsidP="00E52BE2">
            <w:pPr>
              <w:spacing w:after="0" w:line="240" w:lineRule="auto"/>
              <w:jc w:val="right"/>
              <w:rPr>
                <w:rFonts w:ascii="Arial" w:hAnsi="Arial" w:cs="Arial"/>
                <w:b/>
                <w:bCs/>
                <w:i/>
                <w:iCs/>
                <w:color w:val="000000"/>
                <w:sz w:val="16"/>
                <w:szCs w:val="16"/>
              </w:rPr>
            </w:pPr>
            <w:r w:rsidRPr="00E52BE2">
              <w:rPr>
                <w:rFonts w:ascii="Arial" w:hAnsi="Arial" w:cs="Arial"/>
                <w:b/>
                <w:bCs/>
                <w:i/>
                <w:iCs/>
                <w:color w:val="000000"/>
                <w:sz w:val="16"/>
                <w:szCs w:val="16"/>
              </w:rPr>
              <w:t xml:space="preserve">1,971,601 </w:t>
            </w:r>
          </w:p>
        </w:tc>
        <w:tc>
          <w:tcPr>
            <w:tcW w:w="630" w:type="pct"/>
            <w:tcBorders>
              <w:top w:val="single" w:sz="4" w:space="0" w:color="auto"/>
              <w:left w:val="nil"/>
              <w:bottom w:val="single" w:sz="4" w:space="0" w:color="auto"/>
              <w:right w:val="nil"/>
            </w:tcBorders>
            <w:shd w:val="clear" w:color="auto" w:fill="auto"/>
            <w:noWrap/>
            <w:vAlign w:val="center"/>
            <w:hideMark/>
          </w:tcPr>
          <w:p w14:paraId="45681083" w14:textId="77777777" w:rsidR="00E52BE2" w:rsidRPr="00E52BE2" w:rsidRDefault="00E52BE2" w:rsidP="00E52BE2">
            <w:pPr>
              <w:spacing w:after="0" w:line="240" w:lineRule="auto"/>
              <w:jc w:val="right"/>
              <w:rPr>
                <w:rFonts w:ascii="Arial" w:hAnsi="Arial" w:cs="Arial"/>
                <w:b/>
                <w:bCs/>
                <w:i/>
                <w:iCs/>
                <w:color w:val="000000"/>
                <w:sz w:val="16"/>
                <w:szCs w:val="16"/>
              </w:rPr>
            </w:pPr>
            <w:r w:rsidRPr="00E52BE2">
              <w:rPr>
                <w:rFonts w:ascii="Arial" w:hAnsi="Arial" w:cs="Arial"/>
                <w:b/>
                <w:bCs/>
                <w:i/>
                <w:iCs/>
                <w:color w:val="000000"/>
                <w:sz w:val="16"/>
                <w:szCs w:val="16"/>
              </w:rPr>
              <w:t xml:space="preserve">835,341 </w:t>
            </w:r>
          </w:p>
        </w:tc>
        <w:tc>
          <w:tcPr>
            <w:tcW w:w="630" w:type="pct"/>
            <w:tcBorders>
              <w:top w:val="single" w:sz="4" w:space="0" w:color="auto"/>
              <w:left w:val="nil"/>
              <w:bottom w:val="single" w:sz="4" w:space="0" w:color="auto"/>
              <w:right w:val="nil"/>
            </w:tcBorders>
            <w:shd w:val="clear" w:color="auto" w:fill="auto"/>
            <w:noWrap/>
            <w:vAlign w:val="center"/>
            <w:hideMark/>
          </w:tcPr>
          <w:p w14:paraId="444E3A58" w14:textId="77777777" w:rsidR="00E52BE2" w:rsidRPr="00E52BE2" w:rsidRDefault="00E52BE2" w:rsidP="00E52BE2">
            <w:pPr>
              <w:spacing w:after="0" w:line="240" w:lineRule="auto"/>
              <w:jc w:val="right"/>
              <w:rPr>
                <w:rFonts w:ascii="Arial" w:hAnsi="Arial" w:cs="Arial"/>
                <w:b/>
                <w:bCs/>
                <w:i/>
                <w:iCs/>
                <w:color w:val="000000"/>
                <w:sz w:val="16"/>
                <w:szCs w:val="16"/>
              </w:rPr>
            </w:pPr>
            <w:r w:rsidRPr="00E52BE2">
              <w:rPr>
                <w:rFonts w:ascii="Arial" w:hAnsi="Arial" w:cs="Arial"/>
                <w:b/>
                <w:bCs/>
                <w:i/>
                <w:iCs/>
                <w:color w:val="000000"/>
                <w:sz w:val="16"/>
                <w:szCs w:val="16"/>
              </w:rPr>
              <w:t xml:space="preserve">872,003 </w:t>
            </w:r>
          </w:p>
        </w:tc>
      </w:tr>
      <w:tr w:rsidR="00E52BE2" w:rsidRPr="00E52BE2" w14:paraId="27FB2E7B" w14:textId="77777777" w:rsidTr="00E52BE2">
        <w:trPr>
          <w:trHeight w:hRule="exact" w:val="675"/>
        </w:trPr>
        <w:tc>
          <w:tcPr>
            <w:tcW w:w="1848" w:type="pct"/>
            <w:tcBorders>
              <w:top w:val="nil"/>
              <w:left w:val="nil"/>
              <w:bottom w:val="nil"/>
              <w:right w:val="nil"/>
            </w:tcBorders>
            <w:shd w:val="clear" w:color="auto" w:fill="auto"/>
            <w:vAlign w:val="bottom"/>
            <w:hideMark/>
          </w:tcPr>
          <w:p w14:paraId="7B59AD2B" w14:textId="5EE734F1" w:rsidR="00E52BE2" w:rsidRPr="00E52BE2" w:rsidRDefault="00E52BE2" w:rsidP="00E52BE2">
            <w:pPr>
              <w:spacing w:after="0" w:line="240" w:lineRule="auto"/>
              <w:jc w:val="left"/>
              <w:rPr>
                <w:rFonts w:ascii="Arial" w:hAnsi="Arial" w:cs="Arial"/>
                <w:b/>
                <w:bCs/>
                <w:color w:val="000000"/>
                <w:sz w:val="16"/>
                <w:szCs w:val="16"/>
              </w:rPr>
            </w:pPr>
            <w:r w:rsidRPr="00E52BE2">
              <w:rPr>
                <w:rFonts w:ascii="Arial" w:hAnsi="Arial" w:cs="Arial"/>
                <w:b/>
                <w:bCs/>
                <w:color w:val="000000"/>
                <w:sz w:val="16"/>
                <w:szCs w:val="16"/>
              </w:rPr>
              <w:t>Total own</w:t>
            </w:r>
            <w:r w:rsidR="00B33758">
              <w:rPr>
                <w:rFonts w:ascii="Arial" w:hAnsi="Arial" w:cs="Arial"/>
                <w:b/>
                <w:bCs/>
                <w:color w:val="000000"/>
                <w:sz w:val="16"/>
                <w:szCs w:val="16"/>
              </w:rPr>
              <w:noBreakHyphen/>
            </w:r>
            <w:r w:rsidRPr="00E52BE2">
              <w:rPr>
                <w:rFonts w:ascii="Arial" w:hAnsi="Arial" w:cs="Arial"/>
                <w:b/>
                <w:bCs/>
                <w:color w:val="000000"/>
                <w:sz w:val="16"/>
                <w:szCs w:val="16"/>
              </w:rPr>
              <w:t>source revenue</w:t>
            </w:r>
            <w:r w:rsidRPr="00E52BE2">
              <w:rPr>
                <w:rFonts w:ascii="Arial" w:hAnsi="Arial" w:cs="Arial"/>
                <w:b/>
                <w:bCs/>
                <w:color w:val="000000"/>
                <w:sz w:val="16"/>
                <w:szCs w:val="16"/>
              </w:rPr>
              <w:br/>
              <w:t xml:space="preserve">  administered on behalf of</w:t>
            </w:r>
            <w:r w:rsidRPr="00E52BE2">
              <w:rPr>
                <w:rFonts w:ascii="Arial" w:hAnsi="Arial" w:cs="Arial"/>
                <w:b/>
                <w:bCs/>
                <w:color w:val="000000"/>
                <w:sz w:val="16"/>
                <w:szCs w:val="16"/>
              </w:rPr>
              <w:br/>
              <w:t xml:space="preserve">  Government</w:t>
            </w:r>
          </w:p>
        </w:tc>
        <w:tc>
          <w:tcPr>
            <w:tcW w:w="630" w:type="pct"/>
            <w:tcBorders>
              <w:top w:val="nil"/>
              <w:left w:val="nil"/>
              <w:bottom w:val="single" w:sz="4" w:space="0" w:color="auto"/>
              <w:right w:val="nil"/>
            </w:tcBorders>
            <w:shd w:val="clear" w:color="auto" w:fill="auto"/>
            <w:noWrap/>
            <w:vAlign w:val="bottom"/>
            <w:hideMark/>
          </w:tcPr>
          <w:p w14:paraId="3A553685"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3,059,943 </w:t>
            </w:r>
          </w:p>
        </w:tc>
        <w:tc>
          <w:tcPr>
            <w:tcW w:w="630" w:type="pct"/>
            <w:tcBorders>
              <w:top w:val="nil"/>
              <w:left w:val="nil"/>
              <w:bottom w:val="single" w:sz="4" w:space="0" w:color="auto"/>
              <w:right w:val="nil"/>
            </w:tcBorders>
            <w:shd w:val="clear" w:color="000000" w:fill="E6E6E6"/>
            <w:noWrap/>
            <w:vAlign w:val="bottom"/>
            <w:hideMark/>
          </w:tcPr>
          <w:p w14:paraId="7219555E"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2,281,838 </w:t>
            </w:r>
          </w:p>
        </w:tc>
        <w:tc>
          <w:tcPr>
            <w:tcW w:w="630" w:type="pct"/>
            <w:tcBorders>
              <w:top w:val="nil"/>
              <w:left w:val="nil"/>
              <w:bottom w:val="single" w:sz="4" w:space="0" w:color="auto"/>
              <w:right w:val="nil"/>
            </w:tcBorders>
            <w:shd w:val="clear" w:color="auto" w:fill="auto"/>
            <w:noWrap/>
            <w:vAlign w:val="bottom"/>
            <w:hideMark/>
          </w:tcPr>
          <w:p w14:paraId="50ECFB2C"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1,971,601 </w:t>
            </w:r>
          </w:p>
        </w:tc>
        <w:tc>
          <w:tcPr>
            <w:tcW w:w="630" w:type="pct"/>
            <w:tcBorders>
              <w:top w:val="nil"/>
              <w:left w:val="nil"/>
              <w:bottom w:val="single" w:sz="4" w:space="0" w:color="auto"/>
              <w:right w:val="nil"/>
            </w:tcBorders>
            <w:shd w:val="clear" w:color="auto" w:fill="auto"/>
            <w:noWrap/>
            <w:vAlign w:val="bottom"/>
            <w:hideMark/>
          </w:tcPr>
          <w:p w14:paraId="2E6CA2EC"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835,341 </w:t>
            </w:r>
          </w:p>
        </w:tc>
        <w:tc>
          <w:tcPr>
            <w:tcW w:w="630" w:type="pct"/>
            <w:tcBorders>
              <w:top w:val="nil"/>
              <w:left w:val="nil"/>
              <w:bottom w:val="single" w:sz="4" w:space="0" w:color="auto"/>
              <w:right w:val="nil"/>
            </w:tcBorders>
            <w:shd w:val="clear" w:color="auto" w:fill="auto"/>
            <w:noWrap/>
            <w:vAlign w:val="bottom"/>
            <w:hideMark/>
          </w:tcPr>
          <w:p w14:paraId="18B30CB5" w14:textId="77777777" w:rsidR="00E52BE2" w:rsidRPr="00E52BE2" w:rsidRDefault="00E52BE2" w:rsidP="00E52BE2">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872,003 </w:t>
            </w:r>
          </w:p>
        </w:tc>
      </w:tr>
    </w:tbl>
    <w:p w14:paraId="3824BBBB" w14:textId="30193DFD" w:rsidR="000E050D" w:rsidRDefault="000E050D" w:rsidP="00350F81">
      <w:pPr>
        <w:pStyle w:val="SingleParagraph"/>
      </w:pPr>
    </w:p>
    <w:p w14:paraId="1ED188F8" w14:textId="77777777" w:rsidR="000E050D" w:rsidRDefault="000E050D">
      <w:pPr>
        <w:spacing w:after="0" w:line="240" w:lineRule="auto"/>
        <w:jc w:val="left"/>
        <w:rPr>
          <w:rFonts w:ascii="Arial" w:hAnsi="Arial"/>
          <w:b/>
          <w:color w:val="000000"/>
          <w:lang w:val="x-none" w:eastAsia="x-none"/>
        </w:rPr>
      </w:pPr>
      <w:r>
        <w:br w:type="page"/>
      </w:r>
    </w:p>
    <w:p w14:paraId="69CC9172" w14:textId="5E885B09" w:rsidR="00507BC0" w:rsidRDefault="003B5F61" w:rsidP="00F75D77">
      <w:pPr>
        <w:pStyle w:val="TableHeadingcontinued0"/>
        <w:rPr>
          <w:rFonts w:ascii="Times New Roman" w:hAnsi="Times New Roman"/>
          <w:b w:val="0"/>
          <w:lang w:val="en-AU"/>
        </w:rPr>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r>
        <w:t xml:space="preserve"> (continu</w:t>
      </w:r>
      <w:r w:rsidR="00D12AA3">
        <w:rPr>
          <w:lang w:val="en-AU"/>
        </w:rPr>
        <w:t>e</w:t>
      </w:r>
      <w:r w:rsidR="00507BC0">
        <w:rPr>
          <w:lang w:val="en-AU"/>
        </w:rPr>
        <w:t>d</w:t>
      </w:r>
      <w:r w:rsidR="008B1DAB">
        <w:rPr>
          <w:lang w:val="en-AU"/>
        </w:rPr>
        <w:t>)</w:t>
      </w:r>
    </w:p>
    <w:tbl>
      <w:tblPr>
        <w:tblW w:w="5000" w:type="pct"/>
        <w:tblCellMar>
          <w:left w:w="0" w:type="dxa"/>
          <w:right w:w="28" w:type="dxa"/>
        </w:tblCellMar>
        <w:tblLook w:val="04A0" w:firstRow="1" w:lastRow="0" w:firstColumn="1" w:lastColumn="0" w:noHBand="0" w:noVBand="1"/>
      </w:tblPr>
      <w:tblGrid>
        <w:gridCol w:w="4063"/>
        <w:gridCol w:w="1496"/>
        <w:gridCol w:w="1495"/>
        <w:gridCol w:w="1495"/>
        <w:gridCol w:w="1495"/>
        <w:gridCol w:w="1495"/>
      </w:tblGrid>
      <w:tr w:rsidR="00507BC0" w:rsidRPr="00507BC0" w14:paraId="152510D1" w14:textId="77777777" w:rsidTr="00507BC0">
        <w:trPr>
          <w:trHeight w:hRule="exact" w:val="900"/>
        </w:trPr>
        <w:tc>
          <w:tcPr>
            <w:tcW w:w="1760" w:type="pct"/>
            <w:tcBorders>
              <w:top w:val="single" w:sz="4" w:space="0" w:color="auto"/>
              <w:left w:val="nil"/>
              <w:bottom w:val="nil"/>
              <w:right w:val="nil"/>
            </w:tcBorders>
            <w:shd w:val="clear" w:color="auto" w:fill="auto"/>
            <w:noWrap/>
            <w:hideMark/>
          </w:tcPr>
          <w:p w14:paraId="1EA2273D" w14:textId="09DFCD1D" w:rsidR="00507BC0" w:rsidRPr="00507BC0" w:rsidRDefault="00507BC0" w:rsidP="00507BC0">
            <w:pPr>
              <w:spacing w:after="0" w:line="240" w:lineRule="auto"/>
              <w:jc w:val="left"/>
              <w:rPr>
                <w:rFonts w:ascii="Arial" w:hAnsi="Arial" w:cs="Arial"/>
                <w:b/>
                <w:bCs/>
                <w:sz w:val="16"/>
                <w:szCs w:val="16"/>
              </w:rPr>
            </w:pPr>
            <w:r w:rsidRPr="00507BC0">
              <w:rPr>
                <w:rFonts w:ascii="Arial" w:hAnsi="Arial" w:cs="Arial"/>
                <w:b/>
                <w:bCs/>
                <w:sz w:val="16"/>
                <w:szCs w:val="16"/>
              </w:rPr>
              <w:t> </w:t>
            </w:r>
          </w:p>
        </w:tc>
        <w:tc>
          <w:tcPr>
            <w:tcW w:w="648" w:type="pct"/>
            <w:tcBorders>
              <w:top w:val="single" w:sz="4" w:space="0" w:color="auto"/>
              <w:left w:val="nil"/>
              <w:bottom w:val="single" w:sz="4" w:space="0" w:color="auto"/>
              <w:right w:val="nil"/>
            </w:tcBorders>
            <w:shd w:val="clear" w:color="auto" w:fill="auto"/>
            <w:hideMark/>
          </w:tcPr>
          <w:p w14:paraId="4DC8113F" w14:textId="7983D3F9"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2021</w:t>
            </w:r>
            <w:r w:rsidR="00B33758">
              <w:rPr>
                <w:rFonts w:ascii="Arial" w:hAnsi="Arial" w:cs="Arial"/>
                <w:sz w:val="16"/>
                <w:szCs w:val="16"/>
              </w:rPr>
              <w:noBreakHyphen/>
            </w:r>
            <w:r w:rsidRPr="00507BC0">
              <w:rPr>
                <w:rFonts w:ascii="Arial" w:hAnsi="Arial" w:cs="Arial"/>
                <w:sz w:val="16"/>
                <w:szCs w:val="16"/>
              </w:rPr>
              <w:t xml:space="preserve">22 </w:t>
            </w:r>
            <w:r w:rsidRPr="00507BC0">
              <w:rPr>
                <w:rFonts w:ascii="Arial" w:hAnsi="Arial" w:cs="Arial"/>
                <w:sz w:val="16"/>
                <w:szCs w:val="16"/>
              </w:rPr>
              <w:br/>
              <w:t>Estimated actual</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c>
          <w:tcPr>
            <w:tcW w:w="648" w:type="pct"/>
            <w:tcBorders>
              <w:top w:val="single" w:sz="4" w:space="0" w:color="auto"/>
              <w:left w:val="nil"/>
              <w:bottom w:val="single" w:sz="4" w:space="0" w:color="auto"/>
              <w:right w:val="nil"/>
            </w:tcBorders>
            <w:shd w:val="clear" w:color="000000" w:fill="E6E6E6"/>
            <w:hideMark/>
          </w:tcPr>
          <w:p w14:paraId="0F4A7FAC" w14:textId="19A981C5"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2022</w:t>
            </w:r>
            <w:r w:rsidR="00B33758">
              <w:rPr>
                <w:rFonts w:ascii="Arial" w:hAnsi="Arial" w:cs="Arial"/>
                <w:sz w:val="16"/>
                <w:szCs w:val="16"/>
              </w:rPr>
              <w:noBreakHyphen/>
            </w:r>
            <w:r w:rsidRPr="00507BC0">
              <w:rPr>
                <w:rFonts w:ascii="Arial" w:hAnsi="Arial" w:cs="Arial"/>
                <w:sz w:val="16"/>
                <w:szCs w:val="16"/>
              </w:rPr>
              <w:t>23</w:t>
            </w:r>
            <w:r w:rsidRPr="00507BC0">
              <w:rPr>
                <w:rFonts w:ascii="Arial" w:hAnsi="Arial" w:cs="Arial"/>
                <w:sz w:val="16"/>
                <w:szCs w:val="16"/>
              </w:rPr>
              <w:br/>
              <w:t>Budget</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38109E89" w14:textId="47C10F12"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2023</w:t>
            </w:r>
            <w:r w:rsidR="00B33758">
              <w:rPr>
                <w:rFonts w:ascii="Arial" w:hAnsi="Arial" w:cs="Arial"/>
                <w:sz w:val="16"/>
                <w:szCs w:val="16"/>
              </w:rPr>
              <w:noBreakHyphen/>
            </w:r>
            <w:r w:rsidRPr="00507BC0">
              <w:rPr>
                <w:rFonts w:ascii="Arial" w:hAnsi="Arial" w:cs="Arial"/>
                <w:sz w:val="16"/>
                <w:szCs w:val="16"/>
              </w:rPr>
              <w:t xml:space="preserve">24 </w:t>
            </w:r>
            <w:r w:rsidRPr="00507BC0">
              <w:rPr>
                <w:rFonts w:ascii="Arial" w:hAnsi="Arial" w:cs="Arial"/>
                <w:sz w:val="16"/>
                <w:szCs w:val="16"/>
              </w:rPr>
              <w:br/>
              <w:t>Forward estimate</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709EB852" w14:textId="511F3C28"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2024</w:t>
            </w:r>
            <w:r w:rsidR="00B33758">
              <w:rPr>
                <w:rFonts w:ascii="Arial" w:hAnsi="Arial" w:cs="Arial"/>
                <w:sz w:val="16"/>
                <w:szCs w:val="16"/>
              </w:rPr>
              <w:noBreakHyphen/>
            </w:r>
            <w:r w:rsidRPr="00507BC0">
              <w:rPr>
                <w:rFonts w:ascii="Arial" w:hAnsi="Arial" w:cs="Arial"/>
                <w:sz w:val="16"/>
                <w:szCs w:val="16"/>
              </w:rPr>
              <w:t xml:space="preserve">25 </w:t>
            </w:r>
            <w:r w:rsidRPr="00507BC0">
              <w:rPr>
                <w:rFonts w:ascii="Arial" w:hAnsi="Arial" w:cs="Arial"/>
                <w:sz w:val="16"/>
                <w:szCs w:val="16"/>
              </w:rPr>
              <w:br/>
              <w:t>Forward estimate</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141217BB" w14:textId="418DC56B"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2025</w:t>
            </w:r>
            <w:r w:rsidR="00B33758">
              <w:rPr>
                <w:rFonts w:ascii="Arial" w:hAnsi="Arial" w:cs="Arial"/>
                <w:sz w:val="16"/>
                <w:szCs w:val="16"/>
              </w:rPr>
              <w:noBreakHyphen/>
            </w:r>
            <w:r w:rsidRPr="00507BC0">
              <w:rPr>
                <w:rFonts w:ascii="Arial" w:hAnsi="Arial" w:cs="Arial"/>
                <w:sz w:val="16"/>
                <w:szCs w:val="16"/>
              </w:rPr>
              <w:t>26</w:t>
            </w:r>
            <w:r w:rsidRPr="00507BC0">
              <w:rPr>
                <w:rFonts w:ascii="Arial" w:hAnsi="Arial" w:cs="Arial"/>
                <w:sz w:val="16"/>
                <w:szCs w:val="16"/>
              </w:rPr>
              <w:br/>
              <w:t>Forward estimate</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r>
      <w:tr w:rsidR="00507BC0" w:rsidRPr="00507BC0" w14:paraId="79D6D4B5" w14:textId="77777777" w:rsidTr="00507BC0">
        <w:trPr>
          <w:trHeight w:hRule="exact" w:val="225"/>
        </w:trPr>
        <w:tc>
          <w:tcPr>
            <w:tcW w:w="1760" w:type="pct"/>
            <w:tcBorders>
              <w:top w:val="nil"/>
              <w:left w:val="nil"/>
              <w:bottom w:val="nil"/>
              <w:right w:val="nil"/>
            </w:tcBorders>
            <w:shd w:val="clear" w:color="auto" w:fill="auto"/>
            <w:noWrap/>
            <w:vAlign w:val="bottom"/>
            <w:hideMark/>
          </w:tcPr>
          <w:p w14:paraId="4A02D806"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Gains</w:t>
            </w:r>
          </w:p>
        </w:tc>
        <w:tc>
          <w:tcPr>
            <w:tcW w:w="648" w:type="pct"/>
            <w:tcBorders>
              <w:top w:val="nil"/>
              <w:left w:val="nil"/>
              <w:bottom w:val="nil"/>
              <w:right w:val="nil"/>
            </w:tcBorders>
            <w:shd w:val="clear" w:color="auto" w:fill="auto"/>
            <w:noWrap/>
            <w:vAlign w:val="center"/>
            <w:hideMark/>
          </w:tcPr>
          <w:p w14:paraId="6A263D90" w14:textId="77777777" w:rsidR="00507BC0" w:rsidRPr="00507BC0" w:rsidRDefault="00507BC0" w:rsidP="00507BC0">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center"/>
            <w:hideMark/>
          </w:tcPr>
          <w:p w14:paraId="58149FEB" w14:textId="77777777" w:rsidR="00507BC0" w:rsidRPr="00507BC0" w:rsidRDefault="00507BC0" w:rsidP="00507BC0">
            <w:pPr>
              <w:spacing w:after="0" w:line="240" w:lineRule="auto"/>
              <w:jc w:val="left"/>
              <w:rPr>
                <w:rFonts w:ascii="Arial" w:hAnsi="Arial" w:cs="Arial"/>
                <w:color w:val="000000"/>
                <w:sz w:val="16"/>
                <w:szCs w:val="16"/>
              </w:rPr>
            </w:pPr>
            <w:r w:rsidRPr="00507BC0">
              <w:rPr>
                <w:rFonts w:ascii="Arial" w:hAnsi="Arial" w:cs="Arial"/>
                <w:color w:val="000000"/>
                <w:sz w:val="16"/>
                <w:szCs w:val="16"/>
              </w:rPr>
              <w:t> </w:t>
            </w:r>
          </w:p>
        </w:tc>
        <w:tc>
          <w:tcPr>
            <w:tcW w:w="648" w:type="pct"/>
            <w:tcBorders>
              <w:top w:val="nil"/>
              <w:left w:val="nil"/>
              <w:bottom w:val="nil"/>
              <w:right w:val="nil"/>
            </w:tcBorders>
            <w:shd w:val="clear" w:color="auto" w:fill="auto"/>
            <w:noWrap/>
            <w:vAlign w:val="center"/>
            <w:hideMark/>
          </w:tcPr>
          <w:p w14:paraId="2A47D5B6" w14:textId="77777777" w:rsidR="00507BC0" w:rsidRPr="00507BC0" w:rsidRDefault="00507BC0" w:rsidP="00507BC0">
            <w:pPr>
              <w:spacing w:after="0" w:line="240" w:lineRule="auto"/>
              <w:jc w:val="left"/>
              <w:rPr>
                <w:rFonts w:ascii="Arial" w:hAnsi="Arial" w:cs="Arial"/>
                <w:color w:val="000000"/>
                <w:sz w:val="16"/>
                <w:szCs w:val="16"/>
              </w:rPr>
            </w:pPr>
          </w:p>
        </w:tc>
        <w:tc>
          <w:tcPr>
            <w:tcW w:w="648" w:type="pct"/>
            <w:tcBorders>
              <w:top w:val="nil"/>
              <w:left w:val="nil"/>
              <w:bottom w:val="nil"/>
              <w:right w:val="nil"/>
            </w:tcBorders>
            <w:shd w:val="clear" w:color="auto" w:fill="auto"/>
            <w:noWrap/>
            <w:vAlign w:val="center"/>
            <w:hideMark/>
          </w:tcPr>
          <w:p w14:paraId="20DE6AB4" w14:textId="77777777" w:rsidR="00507BC0" w:rsidRPr="00507BC0" w:rsidRDefault="00507BC0" w:rsidP="00507BC0">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center"/>
            <w:hideMark/>
          </w:tcPr>
          <w:p w14:paraId="0FB04F17" w14:textId="77777777" w:rsidR="00507BC0" w:rsidRPr="00507BC0" w:rsidRDefault="00507BC0" w:rsidP="00507BC0">
            <w:pPr>
              <w:spacing w:after="0" w:line="240" w:lineRule="auto"/>
              <w:jc w:val="left"/>
              <w:rPr>
                <w:rFonts w:ascii="Times New Roman" w:hAnsi="Times New Roman"/>
              </w:rPr>
            </w:pPr>
          </w:p>
        </w:tc>
      </w:tr>
      <w:tr w:rsidR="00507BC0" w:rsidRPr="00507BC0" w14:paraId="5501CE03" w14:textId="77777777" w:rsidTr="00507BC0">
        <w:trPr>
          <w:trHeight w:hRule="exact" w:val="225"/>
        </w:trPr>
        <w:tc>
          <w:tcPr>
            <w:tcW w:w="1760" w:type="pct"/>
            <w:tcBorders>
              <w:top w:val="nil"/>
              <w:left w:val="nil"/>
              <w:bottom w:val="nil"/>
              <w:right w:val="nil"/>
            </w:tcBorders>
            <w:shd w:val="clear" w:color="auto" w:fill="auto"/>
            <w:noWrap/>
            <w:vAlign w:val="bottom"/>
            <w:hideMark/>
          </w:tcPr>
          <w:p w14:paraId="41AB1C2A" w14:textId="77777777" w:rsidR="00507BC0" w:rsidRPr="00507BC0" w:rsidRDefault="00507BC0" w:rsidP="00507BC0">
            <w:pPr>
              <w:spacing w:after="0" w:line="240" w:lineRule="auto"/>
              <w:ind w:left="170"/>
              <w:jc w:val="left"/>
              <w:rPr>
                <w:rFonts w:ascii="Arial" w:hAnsi="Arial" w:cs="Arial"/>
                <w:color w:val="000000"/>
                <w:sz w:val="16"/>
                <w:szCs w:val="16"/>
              </w:rPr>
            </w:pPr>
            <w:r w:rsidRPr="00507BC0">
              <w:rPr>
                <w:rFonts w:ascii="Arial" w:hAnsi="Arial" w:cs="Arial"/>
                <w:color w:val="000000"/>
                <w:sz w:val="16"/>
                <w:szCs w:val="16"/>
              </w:rPr>
              <w:t>Other gains</w:t>
            </w:r>
          </w:p>
        </w:tc>
        <w:tc>
          <w:tcPr>
            <w:tcW w:w="648" w:type="pct"/>
            <w:tcBorders>
              <w:top w:val="nil"/>
              <w:left w:val="nil"/>
              <w:bottom w:val="nil"/>
              <w:right w:val="nil"/>
            </w:tcBorders>
            <w:shd w:val="clear" w:color="auto" w:fill="auto"/>
            <w:noWrap/>
            <w:vAlign w:val="center"/>
            <w:hideMark/>
          </w:tcPr>
          <w:p w14:paraId="5C644D33"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425,015 </w:t>
            </w:r>
          </w:p>
        </w:tc>
        <w:tc>
          <w:tcPr>
            <w:tcW w:w="648" w:type="pct"/>
            <w:tcBorders>
              <w:top w:val="nil"/>
              <w:left w:val="nil"/>
              <w:bottom w:val="nil"/>
              <w:right w:val="nil"/>
            </w:tcBorders>
            <w:shd w:val="clear" w:color="000000" w:fill="E6E6E6"/>
            <w:noWrap/>
            <w:vAlign w:val="center"/>
            <w:hideMark/>
          </w:tcPr>
          <w:p w14:paraId="0EF2847B"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105,878 </w:t>
            </w:r>
          </w:p>
        </w:tc>
        <w:tc>
          <w:tcPr>
            <w:tcW w:w="648" w:type="pct"/>
            <w:tcBorders>
              <w:top w:val="nil"/>
              <w:left w:val="nil"/>
              <w:bottom w:val="nil"/>
              <w:right w:val="nil"/>
            </w:tcBorders>
            <w:shd w:val="clear" w:color="auto" w:fill="auto"/>
            <w:noWrap/>
            <w:vAlign w:val="center"/>
            <w:hideMark/>
          </w:tcPr>
          <w:p w14:paraId="08D12C31"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228,272 </w:t>
            </w:r>
          </w:p>
        </w:tc>
        <w:tc>
          <w:tcPr>
            <w:tcW w:w="648" w:type="pct"/>
            <w:tcBorders>
              <w:top w:val="nil"/>
              <w:left w:val="nil"/>
              <w:bottom w:val="nil"/>
              <w:right w:val="nil"/>
            </w:tcBorders>
            <w:shd w:val="clear" w:color="auto" w:fill="auto"/>
            <w:noWrap/>
            <w:vAlign w:val="center"/>
            <w:hideMark/>
          </w:tcPr>
          <w:p w14:paraId="5B990E8B"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197,121 </w:t>
            </w:r>
          </w:p>
        </w:tc>
        <w:tc>
          <w:tcPr>
            <w:tcW w:w="648" w:type="pct"/>
            <w:tcBorders>
              <w:top w:val="nil"/>
              <w:left w:val="nil"/>
              <w:bottom w:val="nil"/>
              <w:right w:val="nil"/>
            </w:tcBorders>
            <w:shd w:val="clear" w:color="auto" w:fill="auto"/>
            <w:noWrap/>
            <w:vAlign w:val="center"/>
            <w:hideMark/>
          </w:tcPr>
          <w:p w14:paraId="19CFD3EC"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303,901 </w:t>
            </w:r>
          </w:p>
        </w:tc>
      </w:tr>
      <w:tr w:rsidR="00507BC0" w:rsidRPr="00507BC0" w14:paraId="4B4E381C" w14:textId="77777777" w:rsidTr="00507BC0">
        <w:trPr>
          <w:trHeight w:hRule="exact" w:val="450"/>
        </w:trPr>
        <w:tc>
          <w:tcPr>
            <w:tcW w:w="1760" w:type="pct"/>
            <w:tcBorders>
              <w:top w:val="nil"/>
              <w:left w:val="nil"/>
              <w:bottom w:val="nil"/>
              <w:right w:val="nil"/>
            </w:tcBorders>
            <w:shd w:val="clear" w:color="auto" w:fill="auto"/>
            <w:vAlign w:val="bottom"/>
            <w:hideMark/>
          </w:tcPr>
          <w:p w14:paraId="41493BA8"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Total gains administered on</w:t>
            </w:r>
            <w:r w:rsidRPr="00507BC0">
              <w:rPr>
                <w:rFonts w:ascii="Arial" w:hAnsi="Arial" w:cs="Arial"/>
                <w:b/>
                <w:bCs/>
                <w:color w:val="000000"/>
                <w:sz w:val="16"/>
                <w:szCs w:val="16"/>
              </w:rPr>
              <w:br/>
              <w:t xml:space="preserve">  behalf of Government</w:t>
            </w:r>
          </w:p>
        </w:tc>
        <w:tc>
          <w:tcPr>
            <w:tcW w:w="648" w:type="pct"/>
            <w:tcBorders>
              <w:top w:val="single" w:sz="4" w:space="0" w:color="auto"/>
              <w:left w:val="nil"/>
              <w:bottom w:val="single" w:sz="4" w:space="0" w:color="auto"/>
              <w:right w:val="nil"/>
            </w:tcBorders>
            <w:shd w:val="clear" w:color="auto" w:fill="auto"/>
            <w:noWrap/>
            <w:vAlign w:val="bottom"/>
            <w:hideMark/>
          </w:tcPr>
          <w:p w14:paraId="31826B75"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425,015 </w:t>
            </w:r>
          </w:p>
        </w:tc>
        <w:tc>
          <w:tcPr>
            <w:tcW w:w="648" w:type="pct"/>
            <w:tcBorders>
              <w:top w:val="single" w:sz="4" w:space="0" w:color="auto"/>
              <w:left w:val="nil"/>
              <w:bottom w:val="single" w:sz="4" w:space="0" w:color="auto"/>
              <w:right w:val="nil"/>
            </w:tcBorders>
            <w:shd w:val="clear" w:color="000000" w:fill="E6E6E6"/>
            <w:noWrap/>
            <w:vAlign w:val="bottom"/>
            <w:hideMark/>
          </w:tcPr>
          <w:p w14:paraId="73612FA8"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105,878 </w:t>
            </w:r>
          </w:p>
        </w:tc>
        <w:tc>
          <w:tcPr>
            <w:tcW w:w="648" w:type="pct"/>
            <w:tcBorders>
              <w:top w:val="single" w:sz="4" w:space="0" w:color="auto"/>
              <w:left w:val="nil"/>
              <w:bottom w:val="single" w:sz="4" w:space="0" w:color="auto"/>
              <w:right w:val="nil"/>
            </w:tcBorders>
            <w:shd w:val="clear" w:color="auto" w:fill="auto"/>
            <w:noWrap/>
            <w:vAlign w:val="bottom"/>
            <w:hideMark/>
          </w:tcPr>
          <w:p w14:paraId="726E3D29"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228,272 </w:t>
            </w:r>
          </w:p>
        </w:tc>
        <w:tc>
          <w:tcPr>
            <w:tcW w:w="648" w:type="pct"/>
            <w:tcBorders>
              <w:top w:val="single" w:sz="4" w:space="0" w:color="auto"/>
              <w:left w:val="nil"/>
              <w:bottom w:val="single" w:sz="4" w:space="0" w:color="auto"/>
              <w:right w:val="nil"/>
            </w:tcBorders>
            <w:shd w:val="clear" w:color="auto" w:fill="auto"/>
            <w:noWrap/>
            <w:vAlign w:val="bottom"/>
            <w:hideMark/>
          </w:tcPr>
          <w:p w14:paraId="0A2D34ED"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197,121 </w:t>
            </w:r>
          </w:p>
        </w:tc>
        <w:tc>
          <w:tcPr>
            <w:tcW w:w="648" w:type="pct"/>
            <w:tcBorders>
              <w:top w:val="single" w:sz="4" w:space="0" w:color="auto"/>
              <w:left w:val="nil"/>
              <w:bottom w:val="single" w:sz="4" w:space="0" w:color="auto"/>
              <w:right w:val="nil"/>
            </w:tcBorders>
            <w:shd w:val="clear" w:color="auto" w:fill="auto"/>
            <w:noWrap/>
            <w:vAlign w:val="bottom"/>
            <w:hideMark/>
          </w:tcPr>
          <w:p w14:paraId="03541249"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303,901 </w:t>
            </w:r>
          </w:p>
        </w:tc>
      </w:tr>
      <w:tr w:rsidR="00507BC0" w:rsidRPr="00507BC0" w14:paraId="67ACBD4D" w14:textId="77777777" w:rsidTr="00507BC0">
        <w:trPr>
          <w:trHeight w:hRule="exact" w:val="675"/>
        </w:trPr>
        <w:tc>
          <w:tcPr>
            <w:tcW w:w="1760" w:type="pct"/>
            <w:tcBorders>
              <w:top w:val="nil"/>
              <w:left w:val="nil"/>
              <w:bottom w:val="nil"/>
              <w:right w:val="nil"/>
            </w:tcBorders>
            <w:shd w:val="clear" w:color="auto" w:fill="auto"/>
            <w:vAlign w:val="bottom"/>
            <w:hideMark/>
          </w:tcPr>
          <w:p w14:paraId="12CB6FDB" w14:textId="3D828946"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Total own</w:t>
            </w:r>
            <w:r w:rsidR="00B33758">
              <w:rPr>
                <w:rFonts w:ascii="Arial" w:hAnsi="Arial" w:cs="Arial"/>
                <w:b/>
                <w:bCs/>
                <w:color w:val="000000"/>
                <w:sz w:val="16"/>
                <w:szCs w:val="16"/>
              </w:rPr>
              <w:noBreakHyphen/>
            </w:r>
            <w:r w:rsidRPr="00507BC0">
              <w:rPr>
                <w:rFonts w:ascii="Arial" w:hAnsi="Arial" w:cs="Arial"/>
                <w:b/>
                <w:bCs/>
                <w:color w:val="000000"/>
                <w:sz w:val="16"/>
                <w:szCs w:val="16"/>
              </w:rPr>
              <w:t>sourced income</w:t>
            </w:r>
            <w:r w:rsidRPr="00507BC0">
              <w:rPr>
                <w:rFonts w:ascii="Arial" w:hAnsi="Arial" w:cs="Arial"/>
                <w:b/>
                <w:bCs/>
                <w:color w:val="000000"/>
                <w:sz w:val="16"/>
                <w:szCs w:val="16"/>
              </w:rPr>
              <w:br/>
              <w:t xml:space="preserve">  administered on behalf of</w:t>
            </w:r>
            <w:r w:rsidRPr="00507BC0">
              <w:rPr>
                <w:rFonts w:ascii="Arial" w:hAnsi="Arial" w:cs="Arial"/>
                <w:b/>
                <w:bCs/>
                <w:color w:val="000000"/>
                <w:sz w:val="16"/>
                <w:szCs w:val="16"/>
              </w:rPr>
              <w:br/>
              <w:t xml:space="preserve">  Government</w:t>
            </w:r>
          </w:p>
        </w:tc>
        <w:tc>
          <w:tcPr>
            <w:tcW w:w="648" w:type="pct"/>
            <w:tcBorders>
              <w:top w:val="nil"/>
              <w:left w:val="nil"/>
              <w:bottom w:val="single" w:sz="4" w:space="0" w:color="auto"/>
              <w:right w:val="nil"/>
            </w:tcBorders>
            <w:shd w:val="clear" w:color="auto" w:fill="auto"/>
            <w:noWrap/>
            <w:vAlign w:val="bottom"/>
            <w:hideMark/>
          </w:tcPr>
          <w:p w14:paraId="218EDB55"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3,484,958 </w:t>
            </w:r>
          </w:p>
        </w:tc>
        <w:tc>
          <w:tcPr>
            <w:tcW w:w="648" w:type="pct"/>
            <w:tcBorders>
              <w:top w:val="nil"/>
              <w:left w:val="nil"/>
              <w:bottom w:val="single" w:sz="4" w:space="0" w:color="auto"/>
              <w:right w:val="nil"/>
            </w:tcBorders>
            <w:shd w:val="clear" w:color="000000" w:fill="E6E6E6"/>
            <w:noWrap/>
            <w:vAlign w:val="bottom"/>
            <w:hideMark/>
          </w:tcPr>
          <w:p w14:paraId="00811D41"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2,387,716 </w:t>
            </w:r>
          </w:p>
        </w:tc>
        <w:tc>
          <w:tcPr>
            <w:tcW w:w="648" w:type="pct"/>
            <w:tcBorders>
              <w:top w:val="nil"/>
              <w:left w:val="nil"/>
              <w:bottom w:val="single" w:sz="4" w:space="0" w:color="auto"/>
              <w:right w:val="nil"/>
            </w:tcBorders>
            <w:shd w:val="clear" w:color="auto" w:fill="auto"/>
            <w:noWrap/>
            <w:vAlign w:val="bottom"/>
            <w:hideMark/>
          </w:tcPr>
          <w:p w14:paraId="744C0420"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2,199,873 </w:t>
            </w:r>
          </w:p>
        </w:tc>
        <w:tc>
          <w:tcPr>
            <w:tcW w:w="648" w:type="pct"/>
            <w:tcBorders>
              <w:top w:val="nil"/>
              <w:left w:val="nil"/>
              <w:bottom w:val="single" w:sz="4" w:space="0" w:color="auto"/>
              <w:right w:val="nil"/>
            </w:tcBorders>
            <w:shd w:val="clear" w:color="auto" w:fill="auto"/>
            <w:noWrap/>
            <w:vAlign w:val="bottom"/>
            <w:hideMark/>
          </w:tcPr>
          <w:p w14:paraId="234744B3"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1,032,462 </w:t>
            </w:r>
          </w:p>
        </w:tc>
        <w:tc>
          <w:tcPr>
            <w:tcW w:w="648" w:type="pct"/>
            <w:tcBorders>
              <w:top w:val="nil"/>
              <w:left w:val="nil"/>
              <w:bottom w:val="single" w:sz="4" w:space="0" w:color="auto"/>
              <w:right w:val="nil"/>
            </w:tcBorders>
            <w:shd w:val="clear" w:color="auto" w:fill="auto"/>
            <w:noWrap/>
            <w:vAlign w:val="bottom"/>
            <w:hideMark/>
          </w:tcPr>
          <w:p w14:paraId="00235CD3"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 xml:space="preserve">1,175,904 </w:t>
            </w:r>
          </w:p>
        </w:tc>
      </w:tr>
      <w:tr w:rsidR="00507BC0" w:rsidRPr="00507BC0" w14:paraId="164DB500" w14:textId="77777777" w:rsidTr="00507BC0">
        <w:trPr>
          <w:trHeight w:hRule="exact" w:val="450"/>
        </w:trPr>
        <w:tc>
          <w:tcPr>
            <w:tcW w:w="1760" w:type="pct"/>
            <w:tcBorders>
              <w:top w:val="nil"/>
              <w:left w:val="nil"/>
              <w:bottom w:val="nil"/>
              <w:right w:val="nil"/>
            </w:tcBorders>
            <w:shd w:val="clear" w:color="auto" w:fill="auto"/>
            <w:vAlign w:val="bottom"/>
            <w:hideMark/>
          </w:tcPr>
          <w:p w14:paraId="68E72B15"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Net (cost of)/contribution by</w:t>
            </w:r>
            <w:r w:rsidRPr="00507BC0">
              <w:rPr>
                <w:rFonts w:ascii="Arial" w:hAnsi="Arial" w:cs="Arial"/>
                <w:b/>
                <w:bCs/>
                <w:color w:val="000000"/>
                <w:sz w:val="16"/>
                <w:szCs w:val="16"/>
              </w:rPr>
              <w:br/>
              <w:t xml:space="preserve">  services</w:t>
            </w:r>
          </w:p>
        </w:tc>
        <w:tc>
          <w:tcPr>
            <w:tcW w:w="648" w:type="pct"/>
            <w:tcBorders>
              <w:top w:val="nil"/>
              <w:left w:val="nil"/>
              <w:bottom w:val="single" w:sz="4" w:space="0" w:color="auto"/>
              <w:right w:val="nil"/>
            </w:tcBorders>
            <w:shd w:val="clear" w:color="auto" w:fill="auto"/>
            <w:noWrap/>
            <w:vAlign w:val="bottom"/>
            <w:hideMark/>
          </w:tcPr>
          <w:p w14:paraId="076CB360"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(181,639,041)</w:t>
            </w:r>
          </w:p>
        </w:tc>
        <w:tc>
          <w:tcPr>
            <w:tcW w:w="648" w:type="pct"/>
            <w:tcBorders>
              <w:top w:val="nil"/>
              <w:left w:val="nil"/>
              <w:bottom w:val="single" w:sz="4" w:space="0" w:color="auto"/>
              <w:right w:val="nil"/>
            </w:tcBorders>
            <w:shd w:val="clear" w:color="000000" w:fill="E6E6E6"/>
            <w:noWrap/>
            <w:vAlign w:val="bottom"/>
            <w:hideMark/>
          </w:tcPr>
          <w:p w14:paraId="702A2F2E"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(181,736,590)</w:t>
            </w:r>
          </w:p>
        </w:tc>
        <w:tc>
          <w:tcPr>
            <w:tcW w:w="648" w:type="pct"/>
            <w:tcBorders>
              <w:top w:val="nil"/>
              <w:left w:val="nil"/>
              <w:bottom w:val="single" w:sz="4" w:space="0" w:color="auto"/>
              <w:right w:val="nil"/>
            </w:tcBorders>
            <w:shd w:val="clear" w:color="auto" w:fill="auto"/>
            <w:noWrap/>
            <w:vAlign w:val="bottom"/>
            <w:hideMark/>
          </w:tcPr>
          <w:p w14:paraId="1D60F897"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(187,755,768)</w:t>
            </w:r>
          </w:p>
        </w:tc>
        <w:tc>
          <w:tcPr>
            <w:tcW w:w="648" w:type="pct"/>
            <w:tcBorders>
              <w:top w:val="nil"/>
              <w:left w:val="nil"/>
              <w:bottom w:val="single" w:sz="4" w:space="0" w:color="auto"/>
              <w:right w:val="nil"/>
            </w:tcBorders>
            <w:shd w:val="clear" w:color="auto" w:fill="auto"/>
            <w:noWrap/>
            <w:vAlign w:val="bottom"/>
            <w:hideMark/>
          </w:tcPr>
          <w:p w14:paraId="2C2D7C84"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(192,898,964)</w:t>
            </w:r>
          </w:p>
        </w:tc>
        <w:tc>
          <w:tcPr>
            <w:tcW w:w="648" w:type="pct"/>
            <w:tcBorders>
              <w:top w:val="nil"/>
              <w:left w:val="nil"/>
              <w:bottom w:val="single" w:sz="4" w:space="0" w:color="auto"/>
              <w:right w:val="nil"/>
            </w:tcBorders>
            <w:shd w:val="clear" w:color="auto" w:fill="auto"/>
            <w:noWrap/>
            <w:vAlign w:val="bottom"/>
            <w:hideMark/>
          </w:tcPr>
          <w:p w14:paraId="680EAE9D"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(191,678,343)</w:t>
            </w:r>
          </w:p>
        </w:tc>
      </w:tr>
      <w:tr w:rsidR="00507BC0" w:rsidRPr="00507BC0" w14:paraId="3CC0A2C2" w14:textId="77777777" w:rsidTr="00507BC0">
        <w:trPr>
          <w:trHeight w:hRule="exact" w:val="225"/>
        </w:trPr>
        <w:tc>
          <w:tcPr>
            <w:tcW w:w="1760" w:type="pct"/>
            <w:tcBorders>
              <w:top w:val="nil"/>
              <w:left w:val="nil"/>
              <w:bottom w:val="nil"/>
              <w:right w:val="nil"/>
            </w:tcBorders>
            <w:shd w:val="clear" w:color="auto" w:fill="auto"/>
            <w:noWrap/>
            <w:vAlign w:val="bottom"/>
            <w:hideMark/>
          </w:tcPr>
          <w:p w14:paraId="3E256D0F"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OTHER COMPREHENSIVE INCOME</w:t>
            </w:r>
          </w:p>
        </w:tc>
        <w:tc>
          <w:tcPr>
            <w:tcW w:w="648" w:type="pct"/>
            <w:tcBorders>
              <w:top w:val="nil"/>
              <w:left w:val="nil"/>
              <w:bottom w:val="nil"/>
              <w:right w:val="nil"/>
            </w:tcBorders>
            <w:shd w:val="clear" w:color="auto" w:fill="auto"/>
            <w:noWrap/>
            <w:vAlign w:val="center"/>
            <w:hideMark/>
          </w:tcPr>
          <w:p w14:paraId="3CD5AACC" w14:textId="77777777" w:rsidR="00507BC0" w:rsidRPr="00507BC0" w:rsidRDefault="00507BC0" w:rsidP="00507BC0">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center"/>
            <w:hideMark/>
          </w:tcPr>
          <w:p w14:paraId="6C061F7C" w14:textId="77777777" w:rsidR="00507BC0" w:rsidRPr="00507BC0" w:rsidRDefault="00507BC0" w:rsidP="00507BC0">
            <w:pPr>
              <w:spacing w:after="0" w:line="240" w:lineRule="auto"/>
              <w:jc w:val="left"/>
              <w:rPr>
                <w:rFonts w:ascii="Arial" w:hAnsi="Arial" w:cs="Arial"/>
                <w:color w:val="000000"/>
                <w:sz w:val="16"/>
                <w:szCs w:val="16"/>
              </w:rPr>
            </w:pPr>
            <w:r w:rsidRPr="00507BC0">
              <w:rPr>
                <w:rFonts w:ascii="Arial" w:hAnsi="Arial" w:cs="Arial"/>
                <w:color w:val="000000"/>
                <w:sz w:val="16"/>
                <w:szCs w:val="16"/>
              </w:rPr>
              <w:t> </w:t>
            </w:r>
          </w:p>
        </w:tc>
        <w:tc>
          <w:tcPr>
            <w:tcW w:w="648" w:type="pct"/>
            <w:tcBorders>
              <w:top w:val="nil"/>
              <w:left w:val="nil"/>
              <w:bottom w:val="nil"/>
              <w:right w:val="nil"/>
            </w:tcBorders>
            <w:shd w:val="clear" w:color="auto" w:fill="auto"/>
            <w:noWrap/>
            <w:vAlign w:val="center"/>
            <w:hideMark/>
          </w:tcPr>
          <w:p w14:paraId="41F2CDE9" w14:textId="77777777" w:rsidR="00507BC0" w:rsidRPr="00507BC0" w:rsidRDefault="00507BC0" w:rsidP="00507BC0">
            <w:pPr>
              <w:spacing w:after="0" w:line="240" w:lineRule="auto"/>
              <w:jc w:val="left"/>
              <w:rPr>
                <w:rFonts w:ascii="Arial" w:hAnsi="Arial" w:cs="Arial"/>
                <w:color w:val="000000"/>
                <w:sz w:val="16"/>
                <w:szCs w:val="16"/>
              </w:rPr>
            </w:pPr>
          </w:p>
        </w:tc>
        <w:tc>
          <w:tcPr>
            <w:tcW w:w="648" w:type="pct"/>
            <w:tcBorders>
              <w:top w:val="nil"/>
              <w:left w:val="nil"/>
              <w:bottom w:val="nil"/>
              <w:right w:val="nil"/>
            </w:tcBorders>
            <w:shd w:val="clear" w:color="auto" w:fill="auto"/>
            <w:noWrap/>
            <w:vAlign w:val="center"/>
            <w:hideMark/>
          </w:tcPr>
          <w:p w14:paraId="1AD232D9" w14:textId="77777777" w:rsidR="00507BC0" w:rsidRPr="00507BC0" w:rsidRDefault="00507BC0" w:rsidP="00507BC0">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center"/>
            <w:hideMark/>
          </w:tcPr>
          <w:p w14:paraId="0CF56216" w14:textId="77777777" w:rsidR="00507BC0" w:rsidRPr="00507BC0" w:rsidRDefault="00507BC0" w:rsidP="00507BC0">
            <w:pPr>
              <w:spacing w:after="0" w:line="240" w:lineRule="auto"/>
              <w:jc w:val="left"/>
              <w:rPr>
                <w:rFonts w:ascii="Times New Roman" w:hAnsi="Times New Roman"/>
              </w:rPr>
            </w:pPr>
          </w:p>
        </w:tc>
      </w:tr>
      <w:tr w:rsidR="00507BC0" w:rsidRPr="00507BC0" w14:paraId="14B08EB8" w14:textId="77777777" w:rsidTr="00507BC0">
        <w:trPr>
          <w:trHeight w:hRule="exact" w:val="225"/>
        </w:trPr>
        <w:tc>
          <w:tcPr>
            <w:tcW w:w="1760" w:type="pct"/>
            <w:tcBorders>
              <w:top w:val="nil"/>
              <w:left w:val="nil"/>
              <w:bottom w:val="single" w:sz="4" w:space="0" w:color="000000"/>
              <w:right w:val="nil"/>
            </w:tcBorders>
            <w:shd w:val="clear" w:color="auto" w:fill="auto"/>
            <w:noWrap/>
            <w:vAlign w:val="bottom"/>
            <w:hideMark/>
          </w:tcPr>
          <w:p w14:paraId="4530D23B"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Total comprehensive income/(loss)</w:t>
            </w:r>
          </w:p>
        </w:tc>
        <w:tc>
          <w:tcPr>
            <w:tcW w:w="648" w:type="pct"/>
            <w:tcBorders>
              <w:top w:val="single" w:sz="4" w:space="0" w:color="000000"/>
              <w:left w:val="nil"/>
              <w:bottom w:val="single" w:sz="4" w:space="0" w:color="000000"/>
              <w:right w:val="nil"/>
            </w:tcBorders>
            <w:shd w:val="clear" w:color="auto" w:fill="auto"/>
            <w:noWrap/>
            <w:vAlign w:val="center"/>
            <w:hideMark/>
          </w:tcPr>
          <w:p w14:paraId="7CFDEE88"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(181,639,041)</w:t>
            </w:r>
          </w:p>
        </w:tc>
        <w:tc>
          <w:tcPr>
            <w:tcW w:w="648" w:type="pct"/>
            <w:tcBorders>
              <w:top w:val="single" w:sz="4" w:space="0" w:color="000000"/>
              <w:left w:val="nil"/>
              <w:bottom w:val="single" w:sz="4" w:space="0" w:color="000000"/>
              <w:right w:val="nil"/>
            </w:tcBorders>
            <w:shd w:val="clear" w:color="000000" w:fill="E6E6E6"/>
            <w:noWrap/>
            <w:vAlign w:val="center"/>
            <w:hideMark/>
          </w:tcPr>
          <w:p w14:paraId="34B4D417"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(181,736,590)</w:t>
            </w:r>
          </w:p>
        </w:tc>
        <w:tc>
          <w:tcPr>
            <w:tcW w:w="648" w:type="pct"/>
            <w:tcBorders>
              <w:top w:val="single" w:sz="4" w:space="0" w:color="000000"/>
              <w:left w:val="nil"/>
              <w:bottom w:val="single" w:sz="4" w:space="0" w:color="000000"/>
              <w:right w:val="nil"/>
            </w:tcBorders>
            <w:shd w:val="clear" w:color="auto" w:fill="auto"/>
            <w:noWrap/>
            <w:vAlign w:val="center"/>
            <w:hideMark/>
          </w:tcPr>
          <w:p w14:paraId="1839336D"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(187,755,768)</w:t>
            </w:r>
          </w:p>
        </w:tc>
        <w:tc>
          <w:tcPr>
            <w:tcW w:w="648" w:type="pct"/>
            <w:tcBorders>
              <w:top w:val="single" w:sz="4" w:space="0" w:color="000000"/>
              <w:left w:val="nil"/>
              <w:bottom w:val="single" w:sz="4" w:space="0" w:color="000000"/>
              <w:right w:val="nil"/>
            </w:tcBorders>
            <w:shd w:val="clear" w:color="auto" w:fill="auto"/>
            <w:noWrap/>
            <w:vAlign w:val="center"/>
            <w:hideMark/>
          </w:tcPr>
          <w:p w14:paraId="6576917F"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(192,898,964)</w:t>
            </w:r>
          </w:p>
        </w:tc>
        <w:tc>
          <w:tcPr>
            <w:tcW w:w="648" w:type="pct"/>
            <w:tcBorders>
              <w:top w:val="single" w:sz="4" w:space="0" w:color="000000"/>
              <w:left w:val="nil"/>
              <w:bottom w:val="single" w:sz="4" w:space="0" w:color="000000"/>
              <w:right w:val="nil"/>
            </w:tcBorders>
            <w:shd w:val="clear" w:color="auto" w:fill="auto"/>
            <w:noWrap/>
            <w:vAlign w:val="center"/>
            <w:hideMark/>
          </w:tcPr>
          <w:p w14:paraId="10B8981F"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(191,678,343)</w:t>
            </w:r>
          </w:p>
        </w:tc>
      </w:tr>
    </w:tbl>
    <w:p w14:paraId="53E0EEFF" w14:textId="6185A142" w:rsidR="00DD05A6" w:rsidRPr="00507BC0" w:rsidRDefault="00DD05A6" w:rsidP="00507BC0">
      <w:pPr>
        <w:pStyle w:val="ChartandTableFootnote"/>
      </w:pPr>
      <w:r w:rsidRPr="00DC2A23">
        <w:t>Prepared on Australian Accounting Standards basis.</w:t>
      </w:r>
    </w:p>
    <w:p w14:paraId="6BE034D8" w14:textId="77777777" w:rsidR="004D458D" w:rsidRDefault="004D458D">
      <w:pPr>
        <w:spacing w:after="0" w:line="240" w:lineRule="auto"/>
        <w:jc w:val="left"/>
        <w:rPr>
          <w:rFonts w:ascii="Arial" w:hAnsi="Arial"/>
          <w:sz w:val="16"/>
        </w:rPr>
      </w:pPr>
      <w:r>
        <w:br w:type="page"/>
      </w:r>
    </w:p>
    <w:p w14:paraId="3ED567A4" w14:textId="35177F91" w:rsidR="008B1DAB" w:rsidRPr="008B1DAB" w:rsidRDefault="00DD05A6" w:rsidP="007827EF">
      <w:pPr>
        <w:pStyle w:val="TableHeading"/>
        <w:rPr>
          <w:b w:val="0"/>
        </w:rPr>
      </w:pP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w:t>
      </w:r>
      <w:r w:rsidR="00D12AA3">
        <w:rPr>
          <w:lang w:val="en-AU"/>
        </w:rPr>
        <w:t>u</w:t>
      </w:r>
      <w:r w:rsidR="002F7596">
        <w:rPr>
          <w:lang w:val="en-AU"/>
        </w:rPr>
        <w:t>ne)</w:t>
      </w:r>
    </w:p>
    <w:tbl>
      <w:tblPr>
        <w:tblW w:w="5000" w:type="pct"/>
        <w:tblCellMar>
          <w:left w:w="0" w:type="dxa"/>
          <w:right w:w="28" w:type="dxa"/>
        </w:tblCellMar>
        <w:tblLook w:val="04A0" w:firstRow="1" w:lastRow="0" w:firstColumn="1" w:lastColumn="0" w:noHBand="0" w:noVBand="1"/>
      </w:tblPr>
      <w:tblGrid>
        <w:gridCol w:w="4063"/>
        <w:gridCol w:w="1496"/>
        <w:gridCol w:w="1495"/>
        <w:gridCol w:w="1495"/>
        <w:gridCol w:w="1495"/>
        <w:gridCol w:w="1495"/>
      </w:tblGrid>
      <w:tr w:rsidR="008B1DAB" w:rsidRPr="008B1DAB" w14:paraId="19018DE8" w14:textId="77777777" w:rsidTr="008B1DAB">
        <w:trPr>
          <w:trHeight w:hRule="exact" w:val="900"/>
        </w:trPr>
        <w:tc>
          <w:tcPr>
            <w:tcW w:w="1760" w:type="pct"/>
            <w:tcBorders>
              <w:top w:val="single" w:sz="4" w:space="0" w:color="auto"/>
              <w:left w:val="nil"/>
              <w:bottom w:val="nil"/>
              <w:right w:val="nil"/>
            </w:tcBorders>
            <w:shd w:val="clear" w:color="auto" w:fill="auto"/>
            <w:noWrap/>
            <w:hideMark/>
          </w:tcPr>
          <w:p w14:paraId="4D83B800" w14:textId="3A11256C" w:rsidR="008B1DAB" w:rsidRPr="008B1DAB" w:rsidRDefault="008B1DAB" w:rsidP="008B1DAB">
            <w:pPr>
              <w:spacing w:after="0" w:line="240" w:lineRule="auto"/>
              <w:rPr>
                <w:rFonts w:ascii="Arial" w:hAnsi="Arial" w:cs="Arial"/>
                <w:b/>
                <w:bCs/>
                <w:sz w:val="16"/>
                <w:szCs w:val="16"/>
              </w:rPr>
            </w:pPr>
            <w:r w:rsidRPr="008B1DAB">
              <w:rPr>
                <w:rFonts w:ascii="Arial" w:hAnsi="Arial" w:cs="Arial"/>
                <w:b/>
                <w:bCs/>
                <w:sz w:val="16"/>
                <w:szCs w:val="16"/>
              </w:rPr>
              <w:t> </w:t>
            </w:r>
          </w:p>
        </w:tc>
        <w:tc>
          <w:tcPr>
            <w:tcW w:w="648" w:type="pct"/>
            <w:tcBorders>
              <w:top w:val="single" w:sz="4" w:space="0" w:color="auto"/>
              <w:left w:val="nil"/>
              <w:bottom w:val="single" w:sz="4" w:space="0" w:color="auto"/>
              <w:right w:val="nil"/>
            </w:tcBorders>
            <w:shd w:val="clear" w:color="auto" w:fill="auto"/>
            <w:hideMark/>
          </w:tcPr>
          <w:p w14:paraId="5136C2C6" w14:textId="5A12D463"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2021</w:t>
            </w:r>
            <w:r w:rsidR="00B33758">
              <w:rPr>
                <w:rFonts w:ascii="Arial" w:hAnsi="Arial" w:cs="Arial"/>
                <w:sz w:val="16"/>
                <w:szCs w:val="16"/>
              </w:rPr>
              <w:noBreakHyphen/>
            </w:r>
            <w:r w:rsidRPr="008B1DAB">
              <w:rPr>
                <w:rFonts w:ascii="Arial" w:hAnsi="Arial" w:cs="Arial"/>
                <w:sz w:val="16"/>
                <w:szCs w:val="16"/>
              </w:rPr>
              <w:t xml:space="preserve">22 </w:t>
            </w:r>
            <w:r w:rsidRPr="008B1DAB">
              <w:rPr>
                <w:rFonts w:ascii="Arial" w:hAnsi="Arial" w:cs="Arial"/>
                <w:sz w:val="16"/>
                <w:szCs w:val="16"/>
              </w:rPr>
              <w:br/>
              <w:t>Estimated actual</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c>
          <w:tcPr>
            <w:tcW w:w="648" w:type="pct"/>
            <w:tcBorders>
              <w:top w:val="single" w:sz="4" w:space="0" w:color="auto"/>
              <w:left w:val="nil"/>
              <w:bottom w:val="single" w:sz="4" w:space="0" w:color="auto"/>
              <w:right w:val="nil"/>
            </w:tcBorders>
            <w:shd w:val="clear" w:color="000000" w:fill="E6E6E6"/>
            <w:hideMark/>
          </w:tcPr>
          <w:p w14:paraId="3CDAF98D" w14:textId="5B193C2A"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2022</w:t>
            </w:r>
            <w:r w:rsidR="00B33758">
              <w:rPr>
                <w:rFonts w:ascii="Arial" w:hAnsi="Arial" w:cs="Arial"/>
                <w:sz w:val="16"/>
                <w:szCs w:val="16"/>
              </w:rPr>
              <w:noBreakHyphen/>
            </w:r>
            <w:r w:rsidRPr="008B1DAB">
              <w:rPr>
                <w:rFonts w:ascii="Arial" w:hAnsi="Arial" w:cs="Arial"/>
                <w:sz w:val="16"/>
                <w:szCs w:val="16"/>
              </w:rPr>
              <w:t>23</w:t>
            </w:r>
            <w:r w:rsidRPr="008B1DAB">
              <w:rPr>
                <w:rFonts w:ascii="Arial" w:hAnsi="Arial" w:cs="Arial"/>
                <w:sz w:val="16"/>
                <w:szCs w:val="16"/>
              </w:rPr>
              <w:br/>
              <w:t>Budget</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37A464F9" w14:textId="33CA6753"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2023</w:t>
            </w:r>
            <w:r w:rsidR="00B33758">
              <w:rPr>
                <w:rFonts w:ascii="Arial" w:hAnsi="Arial" w:cs="Arial"/>
                <w:sz w:val="16"/>
                <w:szCs w:val="16"/>
              </w:rPr>
              <w:noBreakHyphen/>
            </w:r>
            <w:r w:rsidRPr="008B1DAB">
              <w:rPr>
                <w:rFonts w:ascii="Arial" w:hAnsi="Arial" w:cs="Arial"/>
                <w:sz w:val="16"/>
                <w:szCs w:val="16"/>
              </w:rPr>
              <w:t xml:space="preserve">24 </w:t>
            </w:r>
            <w:r w:rsidRPr="008B1DAB">
              <w:rPr>
                <w:rFonts w:ascii="Arial" w:hAnsi="Arial" w:cs="Arial"/>
                <w:sz w:val="16"/>
                <w:szCs w:val="16"/>
              </w:rPr>
              <w:br/>
              <w:t>Forward estimate</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38C27AA0" w14:textId="24D24A16"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2024</w:t>
            </w:r>
            <w:r w:rsidR="00B33758">
              <w:rPr>
                <w:rFonts w:ascii="Arial" w:hAnsi="Arial" w:cs="Arial"/>
                <w:sz w:val="16"/>
                <w:szCs w:val="16"/>
              </w:rPr>
              <w:noBreakHyphen/>
            </w:r>
            <w:r w:rsidRPr="008B1DAB">
              <w:rPr>
                <w:rFonts w:ascii="Arial" w:hAnsi="Arial" w:cs="Arial"/>
                <w:sz w:val="16"/>
                <w:szCs w:val="16"/>
              </w:rPr>
              <w:t xml:space="preserve">25 </w:t>
            </w:r>
            <w:r w:rsidRPr="008B1DAB">
              <w:rPr>
                <w:rFonts w:ascii="Arial" w:hAnsi="Arial" w:cs="Arial"/>
                <w:sz w:val="16"/>
                <w:szCs w:val="16"/>
              </w:rPr>
              <w:br/>
              <w:t>Forward estimate</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17E7219F" w14:textId="31FEEDD1" w:rsidR="008B1DAB" w:rsidRPr="008B1DAB" w:rsidRDefault="008B1DAB" w:rsidP="008B1DAB">
            <w:pPr>
              <w:spacing w:after="0" w:line="240" w:lineRule="auto"/>
              <w:jc w:val="right"/>
              <w:rPr>
                <w:rFonts w:ascii="Arial" w:hAnsi="Arial" w:cs="Arial"/>
                <w:sz w:val="16"/>
                <w:szCs w:val="16"/>
              </w:rPr>
            </w:pPr>
            <w:r w:rsidRPr="008B1DAB">
              <w:rPr>
                <w:rFonts w:ascii="Arial" w:hAnsi="Arial" w:cs="Arial"/>
                <w:sz w:val="16"/>
                <w:szCs w:val="16"/>
              </w:rPr>
              <w:t>2025</w:t>
            </w:r>
            <w:r w:rsidR="00B33758">
              <w:rPr>
                <w:rFonts w:ascii="Arial" w:hAnsi="Arial" w:cs="Arial"/>
                <w:sz w:val="16"/>
                <w:szCs w:val="16"/>
              </w:rPr>
              <w:noBreakHyphen/>
            </w:r>
            <w:r w:rsidRPr="008B1DAB">
              <w:rPr>
                <w:rFonts w:ascii="Arial" w:hAnsi="Arial" w:cs="Arial"/>
                <w:sz w:val="16"/>
                <w:szCs w:val="16"/>
              </w:rPr>
              <w:t>26</w:t>
            </w:r>
            <w:r w:rsidRPr="008B1DAB">
              <w:rPr>
                <w:rFonts w:ascii="Arial" w:hAnsi="Arial" w:cs="Arial"/>
                <w:sz w:val="16"/>
                <w:szCs w:val="16"/>
              </w:rPr>
              <w:br/>
              <w:t>Forward estimate</w:t>
            </w:r>
            <w:r w:rsidRPr="008B1DAB">
              <w:rPr>
                <w:rFonts w:ascii="Arial" w:hAnsi="Arial" w:cs="Arial"/>
                <w:sz w:val="16"/>
                <w:szCs w:val="16"/>
              </w:rPr>
              <w:br/>
              <w:t>$</w:t>
            </w:r>
            <w:r w:rsidR="00B33758">
              <w:rPr>
                <w:rFonts w:ascii="Arial" w:hAnsi="Arial" w:cs="Arial"/>
                <w:sz w:val="16"/>
                <w:szCs w:val="16"/>
              </w:rPr>
              <w:t>’</w:t>
            </w:r>
            <w:r w:rsidRPr="008B1DAB">
              <w:rPr>
                <w:rFonts w:ascii="Arial" w:hAnsi="Arial" w:cs="Arial"/>
                <w:sz w:val="16"/>
                <w:szCs w:val="16"/>
              </w:rPr>
              <w:t>000</w:t>
            </w:r>
          </w:p>
        </w:tc>
      </w:tr>
      <w:tr w:rsidR="008B1DAB" w:rsidRPr="008B1DAB" w14:paraId="532DC679" w14:textId="77777777" w:rsidTr="008B1DAB">
        <w:trPr>
          <w:trHeight w:hRule="exact" w:val="225"/>
        </w:trPr>
        <w:tc>
          <w:tcPr>
            <w:tcW w:w="1760" w:type="pct"/>
            <w:tcBorders>
              <w:top w:val="nil"/>
              <w:left w:val="nil"/>
              <w:bottom w:val="nil"/>
              <w:right w:val="nil"/>
            </w:tcBorders>
            <w:shd w:val="clear" w:color="auto" w:fill="auto"/>
            <w:noWrap/>
            <w:vAlign w:val="bottom"/>
            <w:hideMark/>
          </w:tcPr>
          <w:p w14:paraId="6BADB926"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 xml:space="preserve">ASSETS </w:t>
            </w:r>
          </w:p>
        </w:tc>
        <w:tc>
          <w:tcPr>
            <w:tcW w:w="648" w:type="pct"/>
            <w:tcBorders>
              <w:top w:val="nil"/>
              <w:left w:val="nil"/>
              <w:bottom w:val="nil"/>
              <w:right w:val="nil"/>
            </w:tcBorders>
            <w:shd w:val="clear" w:color="auto" w:fill="auto"/>
            <w:noWrap/>
            <w:vAlign w:val="center"/>
            <w:hideMark/>
          </w:tcPr>
          <w:p w14:paraId="02A4C5AB" w14:textId="77777777" w:rsidR="008B1DAB" w:rsidRPr="008B1DAB" w:rsidRDefault="008B1DAB" w:rsidP="008B1DAB">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center"/>
            <w:hideMark/>
          </w:tcPr>
          <w:p w14:paraId="063FE31A" w14:textId="77777777" w:rsidR="008B1DAB" w:rsidRPr="008B1DAB" w:rsidRDefault="008B1DAB" w:rsidP="008B1DAB">
            <w:pPr>
              <w:spacing w:after="0" w:line="240" w:lineRule="auto"/>
              <w:jc w:val="left"/>
              <w:rPr>
                <w:rFonts w:ascii="Arial" w:hAnsi="Arial" w:cs="Arial"/>
                <w:color w:val="000000"/>
                <w:sz w:val="16"/>
                <w:szCs w:val="16"/>
              </w:rPr>
            </w:pPr>
            <w:r w:rsidRPr="008B1DAB">
              <w:rPr>
                <w:rFonts w:ascii="Arial" w:hAnsi="Arial" w:cs="Arial"/>
                <w:color w:val="000000"/>
                <w:sz w:val="16"/>
                <w:szCs w:val="16"/>
              </w:rPr>
              <w:t> </w:t>
            </w:r>
          </w:p>
        </w:tc>
        <w:tc>
          <w:tcPr>
            <w:tcW w:w="648" w:type="pct"/>
            <w:tcBorders>
              <w:top w:val="nil"/>
              <w:left w:val="nil"/>
              <w:bottom w:val="nil"/>
              <w:right w:val="nil"/>
            </w:tcBorders>
            <w:shd w:val="clear" w:color="auto" w:fill="auto"/>
            <w:noWrap/>
            <w:vAlign w:val="center"/>
            <w:hideMark/>
          </w:tcPr>
          <w:p w14:paraId="5BF815D7" w14:textId="77777777" w:rsidR="008B1DAB" w:rsidRPr="008B1DAB" w:rsidRDefault="008B1DAB" w:rsidP="008B1DAB">
            <w:pPr>
              <w:spacing w:after="0" w:line="240" w:lineRule="auto"/>
              <w:jc w:val="left"/>
              <w:rPr>
                <w:rFonts w:ascii="Arial" w:hAnsi="Arial" w:cs="Arial"/>
                <w:color w:val="000000"/>
                <w:sz w:val="16"/>
                <w:szCs w:val="16"/>
              </w:rPr>
            </w:pPr>
          </w:p>
        </w:tc>
        <w:tc>
          <w:tcPr>
            <w:tcW w:w="648" w:type="pct"/>
            <w:tcBorders>
              <w:top w:val="nil"/>
              <w:left w:val="nil"/>
              <w:bottom w:val="nil"/>
              <w:right w:val="nil"/>
            </w:tcBorders>
            <w:shd w:val="clear" w:color="auto" w:fill="auto"/>
            <w:noWrap/>
            <w:vAlign w:val="center"/>
            <w:hideMark/>
          </w:tcPr>
          <w:p w14:paraId="576ACF2F" w14:textId="77777777" w:rsidR="008B1DAB" w:rsidRPr="008B1DAB" w:rsidRDefault="008B1DAB" w:rsidP="008B1DAB">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center"/>
            <w:hideMark/>
          </w:tcPr>
          <w:p w14:paraId="379B12D2" w14:textId="77777777" w:rsidR="008B1DAB" w:rsidRPr="008B1DAB" w:rsidRDefault="008B1DAB" w:rsidP="008B1DAB">
            <w:pPr>
              <w:spacing w:after="0" w:line="240" w:lineRule="auto"/>
              <w:jc w:val="left"/>
              <w:rPr>
                <w:rFonts w:ascii="Times New Roman" w:hAnsi="Times New Roman"/>
              </w:rPr>
            </w:pPr>
          </w:p>
        </w:tc>
      </w:tr>
      <w:tr w:rsidR="008B1DAB" w:rsidRPr="008B1DAB" w14:paraId="706F3455" w14:textId="77777777" w:rsidTr="008B1DAB">
        <w:trPr>
          <w:trHeight w:hRule="exact" w:val="225"/>
        </w:trPr>
        <w:tc>
          <w:tcPr>
            <w:tcW w:w="1760" w:type="pct"/>
            <w:tcBorders>
              <w:top w:val="nil"/>
              <w:left w:val="nil"/>
              <w:bottom w:val="nil"/>
              <w:right w:val="nil"/>
            </w:tcBorders>
            <w:shd w:val="clear" w:color="auto" w:fill="auto"/>
            <w:noWrap/>
            <w:vAlign w:val="bottom"/>
            <w:hideMark/>
          </w:tcPr>
          <w:p w14:paraId="1E23F50A"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Financial assets</w:t>
            </w:r>
          </w:p>
        </w:tc>
        <w:tc>
          <w:tcPr>
            <w:tcW w:w="648" w:type="pct"/>
            <w:tcBorders>
              <w:top w:val="nil"/>
              <w:left w:val="nil"/>
              <w:bottom w:val="nil"/>
              <w:right w:val="nil"/>
            </w:tcBorders>
            <w:shd w:val="clear" w:color="auto" w:fill="auto"/>
            <w:noWrap/>
            <w:vAlign w:val="center"/>
            <w:hideMark/>
          </w:tcPr>
          <w:p w14:paraId="647C3561" w14:textId="77777777" w:rsidR="008B1DAB" w:rsidRPr="008B1DAB" w:rsidRDefault="008B1DAB" w:rsidP="008B1DAB">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center"/>
            <w:hideMark/>
          </w:tcPr>
          <w:p w14:paraId="0C18C5A6" w14:textId="77777777" w:rsidR="008B1DAB" w:rsidRPr="008B1DAB" w:rsidRDefault="008B1DAB" w:rsidP="008B1DAB">
            <w:pPr>
              <w:spacing w:after="0" w:line="240" w:lineRule="auto"/>
              <w:jc w:val="left"/>
              <w:rPr>
                <w:rFonts w:ascii="Arial" w:hAnsi="Arial" w:cs="Arial"/>
                <w:color w:val="000000"/>
                <w:sz w:val="16"/>
                <w:szCs w:val="16"/>
              </w:rPr>
            </w:pPr>
            <w:r w:rsidRPr="008B1DAB">
              <w:rPr>
                <w:rFonts w:ascii="Arial" w:hAnsi="Arial" w:cs="Arial"/>
                <w:color w:val="000000"/>
                <w:sz w:val="16"/>
                <w:szCs w:val="16"/>
              </w:rPr>
              <w:t> </w:t>
            </w:r>
          </w:p>
        </w:tc>
        <w:tc>
          <w:tcPr>
            <w:tcW w:w="648" w:type="pct"/>
            <w:tcBorders>
              <w:top w:val="nil"/>
              <w:left w:val="nil"/>
              <w:bottom w:val="nil"/>
              <w:right w:val="nil"/>
            </w:tcBorders>
            <w:shd w:val="clear" w:color="auto" w:fill="auto"/>
            <w:noWrap/>
            <w:vAlign w:val="center"/>
            <w:hideMark/>
          </w:tcPr>
          <w:p w14:paraId="2D632B00" w14:textId="77777777" w:rsidR="008B1DAB" w:rsidRPr="008B1DAB" w:rsidRDefault="008B1DAB" w:rsidP="008B1DAB">
            <w:pPr>
              <w:spacing w:after="0" w:line="240" w:lineRule="auto"/>
              <w:jc w:val="left"/>
              <w:rPr>
                <w:rFonts w:ascii="Arial" w:hAnsi="Arial" w:cs="Arial"/>
                <w:color w:val="000000"/>
                <w:sz w:val="16"/>
                <w:szCs w:val="16"/>
              </w:rPr>
            </w:pPr>
          </w:p>
        </w:tc>
        <w:tc>
          <w:tcPr>
            <w:tcW w:w="648" w:type="pct"/>
            <w:tcBorders>
              <w:top w:val="nil"/>
              <w:left w:val="nil"/>
              <w:bottom w:val="nil"/>
              <w:right w:val="nil"/>
            </w:tcBorders>
            <w:shd w:val="clear" w:color="auto" w:fill="auto"/>
            <w:noWrap/>
            <w:vAlign w:val="center"/>
            <w:hideMark/>
          </w:tcPr>
          <w:p w14:paraId="50757398" w14:textId="77777777" w:rsidR="008B1DAB" w:rsidRPr="008B1DAB" w:rsidRDefault="008B1DAB" w:rsidP="008B1DAB">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center"/>
            <w:hideMark/>
          </w:tcPr>
          <w:p w14:paraId="44E06AD5" w14:textId="77777777" w:rsidR="008B1DAB" w:rsidRPr="008B1DAB" w:rsidRDefault="008B1DAB" w:rsidP="008B1DAB">
            <w:pPr>
              <w:spacing w:after="0" w:line="240" w:lineRule="auto"/>
              <w:jc w:val="left"/>
              <w:rPr>
                <w:rFonts w:ascii="Times New Roman" w:hAnsi="Times New Roman"/>
              </w:rPr>
            </w:pPr>
          </w:p>
        </w:tc>
      </w:tr>
      <w:tr w:rsidR="008B1DAB" w:rsidRPr="008B1DAB" w14:paraId="3556C1D7" w14:textId="77777777" w:rsidTr="008B1DAB">
        <w:trPr>
          <w:trHeight w:hRule="exact" w:val="225"/>
        </w:trPr>
        <w:tc>
          <w:tcPr>
            <w:tcW w:w="1760" w:type="pct"/>
            <w:tcBorders>
              <w:top w:val="nil"/>
              <w:left w:val="nil"/>
              <w:bottom w:val="nil"/>
              <w:right w:val="nil"/>
            </w:tcBorders>
            <w:shd w:val="clear" w:color="auto" w:fill="auto"/>
            <w:noWrap/>
            <w:vAlign w:val="bottom"/>
            <w:hideMark/>
          </w:tcPr>
          <w:p w14:paraId="7537A19A" w14:textId="77777777" w:rsidR="008B1DAB" w:rsidRPr="008B1DAB" w:rsidRDefault="008B1DAB" w:rsidP="008B1DAB">
            <w:pPr>
              <w:spacing w:after="0" w:line="240" w:lineRule="auto"/>
              <w:ind w:left="170"/>
              <w:jc w:val="left"/>
              <w:rPr>
                <w:rFonts w:ascii="Arial" w:hAnsi="Arial" w:cs="Arial"/>
                <w:sz w:val="16"/>
                <w:szCs w:val="16"/>
              </w:rPr>
            </w:pPr>
            <w:r w:rsidRPr="008B1DAB">
              <w:rPr>
                <w:rFonts w:ascii="Arial" w:hAnsi="Arial" w:cs="Arial"/>
                <w:sz w:val="16"/>
                <w:szCs w:val="16"/>
              </w:rPr>
              <w:t>Cash and cash equivalents</w:t>
            </w:r>
          </w:p>
        </w:tc>
        <w:tc>
          <w:tcPr>
            <w:tcW w:w="648" w:type="pct"/>
            <w:tcBorders>
              <w:top w:val="nil"/>
              <w:left w:val="nil"/>
              <w:bottom w:val="nil"/>
              <w:right w:val="nil"/>
            </w:tcBorders>
            <w:shd w:val="clear" w:color="auto" w:fill="auto"/>
            <w:noWrap/>
            <w:vAlign w:val="bottom"/>
            <w:hideMark/>
          </w:tcPr>
          <w:p w14:paraId="723F938B"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974,065 </w:t>
            </w:r>
          </w:p>
        </w:tc>
        <w:tc>
          <w:tcPr>
            <w:tcW w:w="648" w:type="pct"/>
            <w:tcBorders>
              <w:top w:val="nil"/>
              <w:left w:val="nil"/>
              <w:bottom w:val="nil"/>
              <w:right w:val="nil"/>
            </w:tcBorders>
            <w:shd w:val="clear" w:color="000000" w:fill="E6E6E6"/>
            <w:noWrap/>
            <w:vAlign w:val="bottom"/>
            <w:hideMark/>
          </w:tcPr>
          <w:p w14:paraId="0C0C2C6B"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873,310 </w:t>
            </w:r>
          </w:p>
        </w:tc>
        <w:tc>
          <w:tcPr>
            <w:tcW w:w="648" w:type="pct"/>
            <w:tcBorders>
              <w:top w:val="nil"/>
              <w:left w:val="nil"/>
              <w:bottom w:val="nil"/>
              <w:right w:val="nil"/>
            </w:tcBorders>
            <w:shd w:val="clear" w:color="auto" w:fill="auto"/>
            <w:noWrap/>
            <w:vAlign w:val="bottom"/>
            <w:hideMark/>
          </w:tcPr>
          <w:p w14:paraId="4A10AE28"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791,364 </w:t>
            </w:r>
          </w:p>
        </w:tc>
        <w:tc>
          <w:tcPr>
            <w:tcW w:w="648" w:type="pct"/>
            <w:tcBorders>
              <w:top w:val="nil"/>
              <w:left w:val="nil"/>
              <w:bottom w:val="nil"/>
              <w:right w:val="nil"/>
            </w:tcBorders>
            <w:shd w:val="clear" w:color="auto" w:fill="auto"/>
            <w:noWrap/>
            <w:vAlign w:val="bottom"/>
            <w:hideMark/>
          </w:tcPr>
          <w:p w14:paraId="7CF61197"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950,000 </w:t>
            </w:r>
          </w:p>
        </w:tc>
        <w:tc>
          <w:tcPr>
            <w:tcW w:w="648" w:type="pct"/>
            <w:tcBorders>
              <w:top w:val="nil"/>
              <w:left w:val="nil"/>
              <w:bottom w:val="nil"/>
              <w:right w:val="nil"/>
            </w:tcBorders>
            <w:shd w:val="clear" w:color="auto" w:fill="auto"/>
            <w:noWrap/>
            <w:vAlign w:val="bottom"/>
            <w:hideMark/>
          </w:tcPr>
          <w:p w14:paraId="070DBEA0"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900,000 </w:t>
            </w:r>
          </w:p>
        </w:tc>
      </w:tr>
      <w:tr w:rsidR="008B1DAB" w:rsidRPr="008B1DAB" w14:paraId="281BC66E" w14:textId="77777777" w:rsidTr="008B1DAB">
        <w:trPr>
          <w:trHeight w:hRule="exact" w:val="225"/>
        </w:trPr>
        <w:tc>
          <w:tcPr>
            <w:tcW w:w="1760" w:type="pct"/>
            <w:tcBorders>
              <w:top w:val="nil"/>
              <w:left w:val="nil"/>
              <w:bottom w:val="nil"/>
              <w:right w:val="nil"/>
            </w:tcBorders>
            <w:shd w:val="clear" w:color="auto" w:fill="auto"/>
            <w:noWrap/>
            <w:vAlign w:val="bottom"/>
            <w:hideMark/>
          </w:tcPr>
          <w:p w14:paraId="5C57140B" w14:textId="77777777" w:rsidR="008B1DAB" w:rsidRPr="008B1DAB" w:rsidRDefault="008B1DAB" w:rsidP="008B1DAB">
            <w:pPr>
              <w:spacing w:after="0" w:line="240" w:lineRule="auto"/>
              <w:ind w:left="170"/>
              <w:jc w:val="left"/>
              <w:rPr>
                <w:rFonts w:ascii="Arial" w:hAnsi="Arial" w:cs="Arial"/>
                <w:color w:val="000000"/>
                <w:sz w:val="16"/>
                <w:szCs w:val="16"/>
              </w:rPr>
            </w:pPr>
            <w:r w:rsidRPr="008B1DAB">
              <w:rPr>
                <w:rFonts w:ascii="Arial" w:hAnsi="Arial" w:cs="Arial"/>
                <w:color w:val="000000"/>
                <w:sz w:val="16"/>
                <w:szCs w:val="16"/>
              </w:rPr>
              <w:t>Trade and other receivables</w:t>
            </w:r>
          </w:p>
        </w:tc>
        <w:tc>
          <w:tcPr>
            <w:tcW w:w="648" w:type="pct"/>
            <w:tcBorders>
              <w:top w:val="nil"/>
              <w:left w:val="nil"/>
              <w:bottom w:val="nil"/>
              <w:right w:val="nil"/>
            </w:tcBorders>
            <w:shd w:val="clear" w:color="auto" w:fill="auto"/>
            <w:noWrap/>
            <w:vAlign w:val="bottom"/>
            <w:hideMark/>
          </w:tcPr>
          <w:p w14:paraId="13A8DA04"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2,224,555 </w:t>
            </w:r>
          </w:p>
        </w:tc>
        <w:tc>
          <w:tcPr>
            <w:tcW w:w="648" w:type="pct"/>
            <w:tcBorders>
              <w:top w:val="nil"/>
              <w:left w:val="nil"/>
              <w:bottom w:val="nil"/>
              <w:right w:val="nil"/>
            </w:tcBorders>
            <w:shd w:val="clear" w:color="000000" w:fill="E6E6E6"/>
            <w:noWrap/>
            <w:vAlign w:val="bottom"/>
            <w:hideMark/>
          </w:tcPr>
          <w:p w14:paraId="4FC09422"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2,195,093 </w:t>
            </w:r>
          </w:p>
        </w:tc>
        <w:tc>
          <w:tcPr>
            <w:tcW w:w="648" w:type="pct"/>
            <w:tcBorders>
              <w:top w:val="nil"/>
              <w:left w:val="nil"/>
              <w:bottom w:val="nil"/>
              <w:right w:val="nil"/>
            </w:tcBorders>
            <w:shd w:val="clear" w:color="auto" w:fill="auto"/>
            <w:noWrap/>
            <w:vAlign w:val="bottom"/>
            <w:hideMark/>
          </w:tcPr>
          <w:p w14:paraId="29FFBD89"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2,136,940 </w:t>
            </w:r>
          </w:p>
        </w:tc>
        <w:tc>
          <w:tcPr>
            <w:tcW w:w="648" w:type="pct"/>
            <w:tcBorders>
              <w:top w:val="nil"/>
              <w:left w:val="nil"/>
              <w:bottom w:val="nil"/>
              <w:right w:val="nil"/>
            </w:tcBorders>
            <w:shd w:val="clear" w:color="auto" w:fill="auto"/>
            <w:noWrap/>
            <w:vAlign w:val="bottom"/>
            <w:hideMark/>
          </w:tcPr>
          <w:p w14:paraId="5316FACC"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1,879,921 </w:t>
            </w:r>
          </w:p>
        </w:tc>
        <w:tc>
          <w:tcPr>
            <w:tcW w:w="648" w:type="pct"/>
            <w:tcBorders>
              <w:top w:val="nil"/>
              <w:left w:val="nil"/>
              <w:bottom w:val="nil"/>
              <w:right w:val="nil"/>
            </w:tcBorders>
            <w:shd w:val="clear" w:color="auto" w:fill="auto"/>
            <w:noWrap/>
            <w:vAlign w:val="bottom"/>
            <w:hideMark/>
          </w:tcPr>
          <w:p w14:paraId="33A04FA2"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1,838,544 </w:t>
            </w:r>
          </w:p>
        </w:tc>
      </w:tr>
      <w:tr w:rsidR="008B1DAB" w:rsidRPr="008B1DAB" w14:paraId="06359A8A" w14:textId="77777777" w:rsidTr="008B1DAB">
        <w:trPr>
          <w:trHeight w:hRule="exact" w:val="225"/>
        </w:trPr>
        <w:tc>
          <w:tcPr>
            <w:tcW w:w="1760" w:type="pct"/>
            <w:tcBorders>
              <w:top w:val="nil"/>
              <w:left w:val="nil"/>
              <w:bottom w:val="nil"/>
              <w:right w:val="nil"/>
            </w:tcBorders>
            <w:shd w:val="clear" w:color="auto" w:fill="auto"/>
            <w:noWrap/>
            <w:vAlign w:val="bottom"/>
            <w:hideMark/>
          </w:tcPr>
          <w:p w14:paraId="4C9835DD" w14:textId="77777777" w:rsidR="008B1DAB" w:rsidRPr="008B1DAB" w:rsidRDefault="008B1DAB" w:rsidP="008B1DAB">
            <w:pPr>
              <w:spacing w:after="0" w:line="240" w:lineRule="auto"/>
              <w:ind w:left="170"/>
              <w:jc w:val="left"/>
              <w:rPr>
                <w:rFonts w:ascii="Arial" w:hAnsi="Arial" w:cs="Arial"/>
                <w:color w:val="000000"/>
                <w:sz w:val="16"/>
                <w:szCs w:val="16"/>
              </w:rPr>
            </w:pPr>
            <w:r w:rsidRPr="008B1DAB">
              <w:rPr>
                <w:rFonts w:ascii="Arial" w:hAnsi="Arial" w:cs="Arial"/>
                <w:color w:val="000000"/>
                <w:sz w:val="16"/>
                <w:szCs w:val="16"/>
              </w:rPr>
              <w:t>Other investments</w:t>
            </w:r>
          </w:p>
        </w:tc>
        <w:tc>
          <w:tcPr>
            <w:tcW w:w="648" w:type="pct"/>
            <w:tcBorders>
              <w:top w:val="nil"/>
              <w:left w:val="nil"/>
              <w:bottom w:val="nil"/>
              <w:right w:val="nil"/>
            </w:tcBorders>
            <w:shd w:val="clear" w:color="auto" w:fill="auto"/>
            <w:noWrap/>
            <w:vAlign w:val="bottom"/>
            <w:hideMark/>
          </w:tcPr>
          <w:p w14:paraId="06573934"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50,851,541 </w:t>
            </w:r>
          </w:p>
        </w:tc>
        <w:tc>
          <w:tcPr>
            <w:tcW w:w="648" w:type="pct"/>
            <w:tcBorders>
              <w:top w:val="nil"/>
              <w:left w:val="nil"/>
              <w:bottom w:val="nil"/>
              <w:right w:val="nil"/>
            </w:tcBorders>
            <w:shd w:val="clear" w:color="000000" w:fill="E6E6E6"/>
            <w:noWrap/>
            <w:vAlign w:val="bottom"/>
            <w:hideMark/>
          </w:tcPr>
          <w:p w14:paraId="5B3A322B"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50,915,284 </w:t>
            </w:r>
          </w:p>
        </w:tc>
        <w:tc>
          <w:tcPr>
            <w:tcW w:w="648" w:type="pct"/>
            <w:tcBorders>
              <w:top w:val="nil"/>
              <w:left w:val="nil"/>
              <w:bottom w:val="nil"/>
              <w:right w:val="nil"/>
            </w:tcBorders>
            <w:shd w:val="clear" w:color="auto" w:fill="auto"/>
            <w:noWrap/>
            <w:vAlign w:val="bottom"/>
            <w:hideMark/>
          </w:tcPr>
          <w:p w14:paraId="62A370E3"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50,623,364 </w:t>
            </w:r>
          </w:p>
        </w:tc>
        <w:tc>
          <w:tcPr>
            <w:tcW w:w="648" w:type="pct"/>
            <w:tcBorders>
              <w:top w:val="nil"/>
              <w:left w:val="nil"/>
              <w:bottom w:val="nil"/>
              <w:right w:val="nil"/>
            </w:tcBorders>
            <w:shd w:val="clear" w:color="auto" w:fill="auto"/>
            <w:noWrap/>
            <w:vAlign w:val="bottom"/>
            <w:hideMark/>
          </w:tcPr>
          <w:p w14:paraId="332EA96E"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50,322,351 </w:t>
            </w:r>
          </w:p>
        </w:tc>
        <w:tc>
          <w:tcPr>
            <w:tcW w:w="648" w:type="pct"/>
            <w:tcBorders>
              <w:top w:val="nil"/>
              <w:left w:val="nil"/>
              <w:bottom w:val="nil"/>
              <w:right w:val="nil"/>
            </w:tcBorders>
            <w:shd w:val="clear" w:color="auto" w:fill="auto"/>
            <w:noWrap/>
            <w:vAlign w:val="bottom"/>
            <w:hideMark/>
          </w:tcPr>
          <w:p w14:paraId="2026A932"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49,858,281 </w:t>
            </w:r>
          </w:p>
        </w:tc>
      </w:tr>
      <w:tr w:rsidR="008B1DAB" w:rsidRPr="008B1DAB" w14:paraId="3B0144DC" w14:textId="77777777" w:rsidTr="008B1DAB">
        <w:trPr>
          <w:trHeight w:hRule="exact" w:val="210"/>
        </w:trPr>
        <w:tc>
          <w:tcPr>
            <w:tcW w:w="1760" w:type="pct"/>
            <w:tcBorders>
              <w:top w:val="nil"/>
              <w:left w:val="nil"/>
              <w:bottom w:val="nil"/>
              <w:right w:val="nil"/>
            </w:tcBorders>
            <w:shd w:val="clear" w:color="auto" w:fill="auto"/>
            <w:noWrap/>
            <w:vAlign w:val="bottom"/>
            <w:hideMark/>
          </w:tcPr>
          <w:p w14:paraId="51765C86" w14:textId="77777777" w:rsidR="008B1DAB" w:rsidRPr="008B1DAB" w:rsidRDefault="008B1DAB" w:rsidP="008B1DAB">
            <w:pPr>
              <w:spacing w:after="0" w:line="240" w:lineRule="auto"/>
              <w:jc w:val="left"/>
              <w:rPr>
                <w:rFonts w:ascii="Arial" w:hAnsi="Arial" w:cs="Arial"/>
                <w:b/>
                <w:bCs/>
                <w:i/>
                <w:iCs/>
                <w:color w:val="000000"/>
                <w:sz w:val="16"/>
                <w:szCs w:val="16"/>
              </w:rPr>
            </w:pPr>
            <w:r w:rsidRPr="008B1DAB">
              <w:rPr>
                <w:rFonts w:ascii="Arial" w:hAnsi="Arial" w:cs="Arial"/>
                <w:b/>
                <w:bCs/>
                <w:i/>
                <w:iCs/>
                <w:color w:val="000000"/>
                <w:sz w:val="16"/>
                <w:szCs w:val="16"/>
              </w:rPr>
              <w:t>Total financial assets</w:t>
            </w:r>
          </w:p>
        </w:tc>
        <w:tc>
          <w:tcPr>
            <w:tcW w:w="648" w:type="pct"/>
            <w:tcBorders>
              <w:top w:val="single" w:sz="4" w:space="0" w:color="000000"/>
              <w:left w:val="nil"/>
              <w:bottom w:val="single" w:sz="4" w:space="0" w:color="000000"/>
              <w:right w:val="nil"/>
            </w:tcBorders>
            <w:shd w:val="clear" w:color="auto" w:fill="auto"/>
            <w:noWrap/>
            <w:vAlign w:val="bottom"/>
            <w:hideMark/>
          </w:tcPr>
          <w:p w14:paraId="44C869F4"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54,050,161 </w:t>
            </w:r>
          </w:p>
        </w:tc>
        <w:tc>
          <w:tcPr>
            <w:tcW w:w="648" w:type="pct"/>
            <w:tcBorders>
              <w:top w:val="single" w:sz="4" w:space="0" w:color="000000"/>
              <w:left w:val="nil"/>
              <w:bottom w:val="single" w:sz="4" w:space="0" w:color="000000"/>
              <w:right w:val="nil"/>
            </w:tcBorders>
            <w:shd w:val="clear" w:color="000000" w:fill="E6E6E6"/>
            <w:noWrap/>
            <w:vAlign w:val="bottom"/>
            <w:hideMark/>
          </w:tcPr>
          <w:p w14:paraId="57959759"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53,983,687 </w:t>
            </w:r>
          </w:p>
        </w:tc>
        <w:tc>
          <w:tcPr>
            <w:tcW w:w="648" w:type="pct"/>
            <w:tcBorders>
              <w:top w:val="single" w:sz="4" w:space="0" w:color="000000"/>
              <w:left w:val="nil"/>
              <w:bottom w:val="single" w:sz="4" w:space="0" w:color="000000"/>
              <w:right w:val="nil"/>
            </w:tcBorders>
            <w:shd w:val="clear" w:color="auto" w:fill="auto"/>
            <w:noWrap/>
            <w:vAlign w:val="bottom"/>
            <w:hideMark/>
          </w:tcPr>
          <w:p w14:paraId="20DC05C7"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53,551,668 </w:t>
            </w:r>
          </w:p>
        </w:tc>
        <w:tc>
          <w:tcPr>
            <w:tcW w:w="648" w:type="pct"/>
            <w:tcBorders>
              <w:top w:val="single" w:sz="4" w:space="0" w:color="000000"/>
              <w:left w:val="nil"/>
              <w:bottom w:val="single" w:sz="4" w:space="0" w:color="000000"/>
              <w:right w:val="nil"/>
            </w:tcBorders>
            <w:shd w:val="clear" w:color="auto" w:fill="auto"/>
            <w:noWrap/>
            <w:vAlign w:val="bottom"/>
            <w:hideMark/>
          </w:tcPr>
          <w:p w14:paraId="33D671F8"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53,152,272 </w:t>
            </w:r>
          </w:p>
        </w:tc>
        <w:tc>
          <w:tcPr>
            <w:tcW w:w="648" w:type="pct"/>
            <w:tcBorders>
              <w:top w:val="single" w:sz="4" w:space="0" w:color="000000"/>
              <w:left w:val="nil"/>
              <w:bottom w:val="single" w:sz="4" w:space="0" w:color="000000"/>
              <w:right w:val="nil"/>
            </w:tcBorders>
            <w:shd w:val="clear" w:color="auto" w:fill="auto"/>
            <w:noWrap/>
            <w:vAlign w:val="bottom"/>
            <w:hideMark/>
          </w:tcPr>
          <w:p w14:paraId="44DF064B"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52,596,825 </w:t>
            </w:r>
          </w:p>
        </w:tc>
      </w:tr>
      <w:tr w:rsidR="008B1DAB" w:rsidRPr="008B1DAB" w14:paraId="45307B50" w14:textId="77777777" w:rsidTr="008B1DAB">
        <w:trPr>
          <w:trHeight w:hRule="exact" w:val="450"/>
        </w:trPr>
        <w:tc>
          <w:tcPr>
            <w:tcW w:w="1760" w:type="pct"/>
            <w:tcBorders>
              <w:top w:val="nil"/>
              <w:left w:val="nil"/>
              <w:bottom w:val="nil"/>
              <w:right w:val="nil"/>
            </w:tcBorders>
            <w:shd w:val="clear" w:color="auto" w:fill="auto"/>
            <w:vAlign w:val="bottom"/>
            <w:hideMark/>
          </w:tcPr>
          <w:p w14:paraId="3ABB8F0D"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Total assets administered on</w:t>
            </w:r>
            <w:r w:rsidRPr="008B1DAB">
              <w:rPr>
                <w:rFonts w:ascii="Arial" w:hAnsi="Arial" w:cs="Arial"/>
                <w:b/>
                <w:bCs/>
                <w:color w:val="000000"/>
                <w:sz w:val="16"/>
                <w:szCs w:val="16"/>
              </w:rPr>
              <w:br/>
              <w:t xml:space="preserve">  behalf of Government</w:t>
            </w:r>
          </w:p>
        </w:tc>
        <w:tc>
          <w:tcPr>
            <w:tcW w:w="648" w:type="pct"/>
            <w:tcBorders>
              <w:top w:val="nil"/>
              <w:left w:val="nil"/>
              <w:bottom w:val="single" w:sz="4" w:space="0" w:color="auto"/>
              <w:right w:val="nil"/>
            </w:tcBorders>
            <w:shd w:val="clear" w:color="auto" w:fill="auto"/>
            <w:noWrap/>
            <w:vAlign w:val="bottom"/>
            <w:hideMark/>
          </w:tcPr>
          <w:p w14:paraId="486BCB7A"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54,050,161 </w:t>
            </w:r>
          </w:p>
        </w:tc>
        <w:tc>
          <w:tcPr>
            <w:tcW w:w="648" w:type="pct"/>
            <w:tcBorders>
              <w:top w:val="nil"/>
              <w:left w:val="nil"/>
              <w:bottom w:val="single" w:sz="4" w:space="0" w:color="auto"/>
              <w:right w:val="nil"/>
            </w:tcBorders>
            <w:shd w:val="clear" w:color="000000" w:fill="E6E6E6"/>
            <w:noWrap/>
            <w:vAlign w:val="bottom"/>
            <w:hideMark/>
          </w:tcPr>
          <w:p w14:paraId="6A69D46B"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53,983,687 </w:t>
            </w:r>
          </w:p>
        </w:tc>
        <w:tc>
          <w:tcPr>
            <w:tcW w:w="648" w:type="pct"/>
            <w:tcBorders>
              <w:top w:val="nil"/>
              <w:left w:val="nil"/>
              <w:bottom w:val="single" w:sz="4" w:space="0" w:color="auto"/>
              <w:right w:val="nil"/>
            </w:tcBorders>
            <w:shd w:val="clear" w:color="auto" w:fill="auto"/>
            <w:noWrap/>
            <w:vAlign w:val="bottom"/>
            <w:hideMark/>
          </w:tcPr>
          <w:p w14:paraId="7907098C"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53,551,668 </w:t>
            </w:r>
          </w:p>
        </w:tc>
        <w:tc>
          <w:tcPr>
            <w:tcW w:w="648" w:type="pct"/>
            <w:tcBorders>
              <w:top w:val="nil"/>
              <w:left w:val="nil"/>
              <w:bottom w:val="single" w:sz="4" w:space="0" w:color="auto"/>
              <w:right w:val="nil"/>
            </w:tcBorders>
            <w:shd w:val="clear" w:color="auto" w:fill="auto"/>
            <w:noWrap/>
            <w:vAlign w:val="bottom"/>
            <w:hideMark/>
          </w:tcPr>
          <w:p w14:paraId="1E0649A8"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53,152,272 </w:t>
            </w:r>
          </w:p>
        </w:tc>
        <w:tc>
          <w:tcPr>
            <w:tcW w:w="648" w:type="pct"/>
            <w:tcBorders>
              <w:top w:val="nil"/>
              <w:left w:val="nil"/>
              <w:bottom w:val="single" w:sz="4" w:space="0" w:color="auto"/>
              <w:right w:val="nil"/>
            </w:tcBorders>
            <w:shd w:val="clear" w:color="auto" w:fill="auto"/>
            <w:noWrap/>
            <w:vAlign w:val="bottom"/>
            <w:hideMark/>
          </w:tcPr>
          <w:p w14:paraId="72446701"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52,596,825 </w:t>
            </w:r>
          </w:p>
        </w:tc>
      </w:tr>
      <w:tr w:rsidR="008B1DAB" w:rsidRPr="008B1DAB" w14:paraId="502041F7" w14:textId="77777777" w:rsidTr="008B1DAB">
        <w:trPr>
          <w:trHeight w:hRule="exact" w:val="225"/>
        </w:trPr>
        <w:tc>
          <w:tcPr>
            <w:tcW w:w="1760" w:type="pct"/>
            <w:tcBorders>
              <w:top w:val="nil"/>
              <w:left w:val="nil"/>
              <w:bottom w:val="nil"/>
              <w:right w:val="nil"/>
            </w:tcBorders>
            <w:shd w:val="clear" w:color="auto" w:fill="auto"/>
            <w:noWrap/>
            <w:vAlign w:val="bottom"/>
            <w:hideMark/>
          </w:tcPr>
          <w:p w14:paraId="6FF77FE8"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LIABILITIES</w:t>
            </w:r>
          </w:p>
        </w:tc>
        <w:tc>
          <w:tcPr>
            <w:tcW w:w="648" w:type="pct"/>
            <w:tcBorders>
              <w:top w:val="nil"/>
              <w:left w:val="nil"/>
              <w:bottom w:val="nil"/>
              <w:right w:val="nil"/>
            </w:tcBorders>
            <w:shd w:val="clear" w:color="auto" w:fill="auto"/>
            <w:noWrap/>
            <w:vAlign w:val="bottom"/>
            <w:hideMark/>
          </w:tcPr>
          <w:p w14:paraId="04F2CAF1" w14:textId="77777777" w:rsidR="008B1DAB" w:rsidRPr="008B1DAB" w:rsidRDefault="008B1DAB" w:rsidP="008B1DAB">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bottom"/>
            <w:hideMark/>
          </w:tcPr>
          <w:p w14:paraId="71602324"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w:t>
            </w:r>
          </w:p>
        </w:tc>
        <w:tc>
          <w:tcPr>
            <w:tcW w:w="648" w:type="pct"/>
            <w:tcBorders>
              <w:top w:val="nil"/>
              <w:left w:val="nil"/>
              <w:bottom w:val="nil"/>
              <w:right w:val="nil"/>
            </w:tcBorders>
            <w:shd w:val="clear" w:color="auto" w:fill="auto"/>
            <w:noWrap/>
            <w:vAlign w:val="bottom"/>
            <w:hideMark/>
          </w:tcPr>
          <w:p w14:paraId="103100A3" w14:textId="77777777" w:rsidR="008B1DAB" w:rsidRPr="008B1DAB" w:rsidRDefault="008B1DAB" w:rsidP="008B1DAB">
            <w:pPr>
              <w:spacing w:after="0" w:line="240" w:lineRule="auto"/>
              <w:jc w:val="right"/>
              <w:rPr>
                <w:rFonts w:ascii="Arial" w:hAnsi="Arial" w:cs="Arial"/>
                <w:color w:val="000000"/>
                <w:sz w:val="16"/>
                <w:szCs w:val="16"/>
              </w:rPr>
            </w:pPr>
          </w:p>
        </w:tc>
        <w:tc>
          <w:tcPr>
            <w:tcW w:w="648" w:type="pct"/>
            <w:tcBorders>
              <w:top w:val="nil"/>
              <w:left w:val="nil"/>
              <w:bottom w:val="nil"/>
              <w:right w:val="nil"/>
            </w:tcBorders>
            <w:shd w:val="clear" w:color="auto" w:fill="auto"/>
            <w:noWrap/>
            <w:vAlign w:val="bottom"/>
            <w:hideMark/>
          </w:tcPr>
          <w:p w14:paraId="42F217B3" w14:textId="77777777" w:rsidR="008B1DAB" w:rsidRPr="008B1DAB" w:rsidRDefault="008B1DAB" w:rsidP="008B1DA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C84077E" w14:textId="77777777" w:rsidR="008B1DAB" w:rsidRPr="008B1DAB" w:rsidRDefault="008B1DAB" w:rsidP="008B1DAB">
            <w:pPr>
              <w:spacing w:after="0" w:line="240" w:lineRule="auto"/>
              <w:jc w:val="right"/>
              <w:rPr>
                <w:rFonts w:ascii="Times New Roman" w:hAnsi="Times New Roman"/>
              </w:rPr>
            </w:pPr>
          </w:p>
        </w:tc>
      </w:tr>
      <w:tr w:rsidR="008B1DAB" w:rsidRPr="008B1DAB" w14:paraId="1979D620" w14:textId="77777777" w:rsidTr="008B1DAB">
        <w:trPr>
          <w:trHeight w:hRule="exact" w:val="225"/>
        </w:trPr>
        <w:tc>
          <w:tcPr>
            <w:tcW w:w="1760" w:type="pct"/>
            <w:tcBorders>
              <w:top w:val="nil"/>
              <w:left w:val="nil"/>
              <w:bottom w:val="nil"/>
              <w:right w:val="nil"/>
            </w:tcBorders>
            <w:shd w:val="clear" w:color="auto" w:fill="auto"/>
            <w:noWrap/>
            <w:vAlign w:val="bottom"/>
            <w:hideMark/>
          </w:tcPr>
          <w:p w14:paraId="008F8EBB"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Payables</w:t>
            </w:r>
          </w:p>
        </w:tc>
        <w:tc>
          <w:tcPr>
            <w:tcW w:w="648" w:type="pct"/>
            <w:tcBorders>
              <w:top w:val="nil"/>
              <w:left w:val="nil"/>
              <w:bottom w:val="nil"/>
              <w:right w:val="nil"/>
            </w:tcBorders>
            <w:shd w:val="clear" w:color="auto" w:fill="auto"/>
            <w:noWrap/>
            <w:vAlign w:val="bottom"/>
            <w:hideMark/>
          </w:tcPr>
          <w:p w14:paraId="1E6341ED" w14:textId="77777777" w:rsidR="008B1DAB" w:rsidRPr="008B1DAB" w:rsidRDefault="008B1DAB" w:rsidP="008B1DAB">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bottom"/>
            <w:hideMark/>
          </w:tcPr>
          <w:p w14:paraId="60E4D818"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w:t>
            </w:r>
          </w:p>
        </w:tc>
        <w:tc>
          <w:tcPr>
            <w:tcW w:w="648" w:type="pct"/>
            <w:tcBorders>
              <w:top w:val="nil"/>
              <w:left w:val="nil"/>
              <w:bottom w:val="nil"/>
              <w:right w:val="nil"/>
            </w:tcBorders>
            <w:shd w:val="clear" w:color="auto" w:fill="auto"/>
            <w:noWrap/>
            <w:vAlign w:val="bottom"/>
            <w:hideMark/>
          </w:tcPr>
          <w:p w14:paraId="4643027F" w14:textId="77777777" w:rsidR="008B1DAB" w:rsidRPr="008B1DAB" w:rsidRDefault="008B1DAB" w:rsidP="008B1DAB">
            <w:pPr>
              <w:spacing w:after="0" w:line="240" w:lineRule="auto"/>
              <w:jc w:val="right"/>
              <w:rPr>
                <w:rFonts w:ascii="Arial" w:hAnsi="Arial" w:cs="Arial"/>
                <w:color w:val="000000"/>
                <w:sz w:val="16"/>
                <w:szCs w:val="16"/>
              </w:rPr>
            </w:pPr>
          </w:p>
        </w:tc>
        <w:tc>
          <w:tcPr>
            <w:tcW w:w="648" w:type="pct"/>
            <w:tcBorders>
              <w:top w:val="nil"/>
              <w:left w:val="nil"/>
              <w:bottom w:val="nil"/>
              <w:right w:val="nil"/>
            </w:tcBorders>
            <w:shd w:val="clear" w:color="auto" w:fill="auto"/>
            <w:noWrap/>
            <w:vAlign w:val="bottom"/>
            <w:hideMark/>
          </w:tcPr>
          <w:p w14:paraId="13C3A858" w14:textId="77777777" w:rsidR="008B1DAB" w:rsidRPr="008B1DAB" w:rsidRDefault="008B1DAB" w:rsidP="008B1DA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41DE227" w14:textId="77777777" w:rsidR="008B1DAB" w:rsidRPr="008B1DAB" w:rsidRDefault="008B1DAB" w:rsidP="008B1DAB">
            <w:pPr>
              <w:spacing w:after="0" w:line="240" w:lineRule="auto"/>
              <w:jc w:val="right"/>
              <w:rPr>
                <w:rFonts w:ascii="Times New Roman" w:hAnsi="Times New Roman"/>
              </w:rPr>
            </w:pPr>
          </w:p>
        </w:tc>
      </w:tr>
      <w:tr w:rsidR="008B1DAB" w:rsidRPr="008B1DAB" w14:paraId="4BB38BF8" w14:textId="77777777" w:rsidTr="008B1DAB">
        <w:trPr>
          <w:trHeight w:hRule="exact" w:val="225"/>
        </w:trPr>
        <w:tc>
          <w:tcPr>
            <w:tcW w:w="1760" w:type="pct"/>
            <w:tcBorders>
              <w:top w:val="nil"/>
              <w:left w:val="nil"/>
              <w:bottom w:val="nil"/>
              <w:right w:val="nil"/>
            </w:tcBorders>
            <w:shd w:val="clear" w:color="auto" w:fill="auto"/>
            <w:noWrap/>
            <w:vAlign w:val="bottom"/>
            <w:hideMark/>
          </w:tcPr>
          <w:p w14:paraId="721848F0" w14:textId="77777777" w:rsidR="008B1DAB" w:rsidRPr="008B1DAB" w:rsidRDefault="008B1DAB" w:rsidP="008B1DAB">
            <w:pPr>
              <w:spacing w:after="0" w:line="240" w:lineRule="auto"/>
              <w:ind w:left="170"/>
              <w:jc w:val="left"/>
              <w:rPr>
                <w:rFonts w:ascii="Arial" w:hAnsi="Arial" w:cs="Arial"/>
                <w:color w:val="000000"/>
                <w:sz w:val="16"/>
                <w:szCs w:val="16"/>
              </w:rPr>
            </w:pPr>
            <w:r w:rsidRPr="008B1DAB">
              <w:rPr>
                <w:rFonts w:ascii="Arial" w:hAnsi="Arial" w:cs="Arial"/>
                <w:color w:val="000000"/>
                <w:sz w:val="16"/>
                <w:szCs w:val="16"/>
              </w:rPr>
              <w:t>Grants</w:t>
            </w:r>
          </w:p>
        </w:tc>
        <w:tc>
          <w:tcPr>
            <w:tcW w:w="648" w:type="pct"/>
            <w:tcBorders>
              <w:top w:val="nil"/>
              <w:left w:val="nil"/>
              <w:bottom w:val="nil"/>
              <w:right w:val="nil"/>
            </w:tcBorders>
            <w:shd w:val="clear" w:color="auto" w:fill="auto"/>
            <w:noWrap/>
            <w:vAlign w:val="bottom"/>
            <w:hideMark/>
          </w:tcPr>
          <w:p w14:paraId="28B30BAF"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3,359,086 </w:t>
            </w:r>
          </w:p>
        </w:tc>
        <w:tc>
          <w:tcPr>
            <w:tcW w:w="648" w:type="pct"/>
            <w:tcBorders>
              <w:top w:val="nil"/>
              <w:left w:val="nil"/>
              <w:bottom w:val="nil"/>
              <w:right w:val="nil"/>
            </w:tcBorders>
            <w:shd w:val="clear" w:color="000000" w:fill="E6E6E6"/>
            <w:noWrap/>
            <w:vAlign w:val="bottom"/>
            <w:hideMark/>
          </w:tcPr>
          <w:p w14:paraId="77D41302"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526,015 </w:t>
            </w:r>
          </w:p>
        </w:tc>
        <w:tc>
          <w:tcPr>
            <w:tcW w:w="648" w:type="pct"/>
            <w:tcBorders>
              <w:top w:val="nil"/>
              <w:left w:val="nil"/>
              <w:bottom w:val="nil"/>
              <w:right w:val="nil"/>
            </w:tcBorders>
            <w:shd w:val="clear" w:color="auto" w:fill="auto"/>
            <w:noWrap/>
            <w:vAlign w:val="bottom"/>
            <w:hideMark/>
          </w:tcPr>
          <w:p w14:paraId="1DEA3D26"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117,080 </w:t>
            </w:r>
          </w:p>
        </w:tc>
        <w:tc>
          <w:tcPr>
            <w:tcW w:w="648" w:type="pct"/>
            <w:tcBorders>
              <w:top w:val="nil"/>
              <w:left w:val="nil"/>
              <w:bottom w:val="nil"/>
              <w:right w:val="nil"/>
            </w:tcBorders>
            <w:shd w:val="clear" w:color="auto" w:fill="auto"/>
            <w:noWrap/>
            <w:vAlign w:val="bottom"/>
            <w:hideMark/>
          </w:tcPr>
          <w:p w14:paraId="3E389360"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50,779 </w:t>
            </w:r>
          </w:p>
        </w:tc>
        <w:tc>
          <w:tcPr>
            <w:tcW w:w="648" w:type="pct"/>
            <w:tcBorders>
              <w:top w:val="nil"/>
              <w:left w:val="nil"/>
              <w:bottom w:val="nil"/>
              <w:right w:val="nil"/>
            </w:tcBorders>
            <w:shd w:val="clear" w:color="auto" w:fill="auto"/>
            <w:noWrap/>
            <w:vAlign w:val="bottom"/>
            <w:hideMark/>
          </w:tcPr>
          <w:p w14:paraId="1B7AA909"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41,790 </w:t>
            </w:r>
          </w:p>
        </w:tc>
      </w:tr>
      <w:tr w:rsidR="008B1DAB" w:rsidRPr="008B1DAB" w14:paraId="05B0DE2A" w14:textId="77777777" w:rsidTr="008B1DAB">
        <w:trPr>
          <w:trHeight w:hRule="exact" w:val="225"/>
        </w:trPr>
        <w:tc>
          <w:tcPr>
            <w:tcW w:w="1760" w:type="pct"/>
            <w:tcBorders>
              <w:top w:val="nil"/>
              <w:left w:val="nil"/>
              <w:bottom w:val="nil"/>
              <w:right w:val="nil"/>
            </w:tcBorders>
            <w:shd w:val="clear" w:color="auto" w:fill="auto"/>
            <w:noWrap/>
            <w:vAlign w:val="bottom"/>
            <w:hideMark/>
          </w:tcPr>
          <w:p w14:paraId="420D90CB" w14:textId="77777777" w:rsidR="008B1DAB" w:rsidRPr="008B1DAB" w:rsidRDefault="008B1DAB" w:rsidP="008B1DAB">
            <w:pPr>
              <w:spacing w:after="0" w:line="240" w:lineRule="auto"/>
              <w:ind w:left="170"/>
              <w:jc w:val="left"/>
              <w:rPr>
                <w:rFonts w:ascii="Arial" w:hAnsi="Arial" w:cs="Arial"/>
                <w:color w:val="000000"/>
                <w:sz w:val="16"/>
                <w:szCs w:val="16"/>
              </w:rPr>
            </w:pPr>
            <w:r w:rsidRPr="008B1DAB">
              <w:rPr>
                <w:rFonts w:ascii="Arial" w:hAnsi="Arial" w:cs="Arial"/>
                <w:color w:val="000000"/>
                <w:sz w:val="16"/>
                <w:szCs w:val="16"/>
              </w:rPr>
              <w:t>Other payables</w:t>
            </w:r>
          </w:p>
        </w:tc>
        <w:tc>
          <w:tcPr>
            <w:tcW w:w="648" w:type="pct"/>
            <w:tcBorders>
              <w:top w:val="nil"/>
              <w:left w:val="nil"/>
              <w:bottom w:val="nil"/>
              <w:right w:val="nil"/>
            </w:tcBorders>
            <w:shd w:val="clear" w:color="auto" w:fill="auto"/>
            <w:noWrap/>
            <w:vAlign w:val="bottom"/>
            <w:hideMark/>
          </w:tcPr>
          <w:p w14:paraId="1D78A493"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1,393,847 </w:t>
            </w:r>
          </w:p>
        </w:tc>
        <w:tc>
          <w:tcPr>
            <w:tcW w:w="648" w:type="pct"/>
            <w:tcBorders>
              <w:top w:val="nil"/>
              <w:left w:val="nil"/>
              <w:bottom w:val="nil"/>
              <w:right w:val="nil"/>
            </w:tcBorders>
            <w:shd w:val="clear" w:color="000000" w:fill="E6E6E6"/>
            <w:noWrap/>
            <w:vAlign w:val="bottom"/>
            <w:hideMark/>
          </w:tcPr>
          <w:p w14:paraId="384E534D"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1,284,852 </w:t>
            </w:r>
          </w:p>
        </w:tc>
        <w:tc>
          <w:tcPr>
            <w:tcW w:w="648" w:type="pct"/>
            <w:tcBorders>
              <w:top w:val="nil"/>
              <w:left w:val="nil"/>
              <w:bottom w:val="nil"/>
              <w:right w:val="nil"/>
            </w:tcBorders>
            <w:shd w:val="clear" w:color="auto" w:fill="auto"/>
            <w:noWrap/>
            <w:vAlign w:val="bottom"/>
            <w:hideMark/>
          </w:tcPr>
          <w:p w14:paraId="2FDE77C8"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1,205,195 </w:t>
            </w:r>
          </w:p>
        </w:tc>
        <w:tc>
          <w:tcPr>
            <w:tcW w:w="648" w:type="pct"/>
            <w:tcBorders>
              <w:top w:val="nil"/>
              <w:left w:val="nil"/>
              <w:bottom w:val="nil"/>
              <w:right w:val="nil"/>
            </w:tcBorders>
            <w:shd w:val="clear" w:color="auto" w:fill="auto"/>
            <w:noWrap/>
            <w:vAlign w:val="bottom"/>
            <w:hideMark/>
          </w:tcPr>
          <w:p w14:paraId="04A60016"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954,576 </w:t>
            </w:r>
          </w:p>
        </w:tc>
        <w:tc>
          <w:tcPr>
            <w:tcW w:w="648" w:type="pct"/>
            <w:tcBorders>
              <w:top w:val="nil"/>
              <w:left w:val="nil"/>
              <w:bottom w:val="nil"/>
              <w:right w:val="nil"/>
            </w:tcBorders>
            <w:shd w:val="clear" w:color="auto" w:fill="auto"/>
            <w:noWrap/>
            <w:vAlign w:val="bottom"/>
            <w:hideMark/>
          </w:tcPr>
          <w:p w14:paraId="6F5E09F5"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686,388 </w:t>
            </w:r>
          </w:p>
        </w:tc>
      </w:tr>
      <w:tr w:rsidR="008B1DAB" w:rsidRPr="008B1DAB" w14:paraId="79F2D9E9" w14:textId="77777777" w:rsidTr="008B1DAB">
        <w:trPr>
          <w:trHeight w:hRule="exact" w:val="210"/>
        </w:trPr>
        <w:tc>
          <w:tcPr>
            <w:tcW w:w="1760" w:type="pct"/>
            <w:tcBorders>
              <w:top w:val="nil"/>
              <w:left w:val="nil"/>
              <w:bottom w:val="nil"/>
              <w:right w:val="nil"/>
            </w:tcBorders>
            <w:shd w:val="clear" w:color="auto" w:fill="auto"/>
            <w:noWrap/>
            <w:vAlign w:val="bottom"/>
            <w:hideMark/>
          </w:tcPr>
          <w:p w14:paraId="6D47A2EF" w14:textId="77777777" w:rsidR="008B1DAB" w:rsidRPr="008B1DAB" w:rsidRDefault="008B1DAB" w:rsidP="008B1DAB">
            <w:pPr>
              <w:spacing w:after="0" w:line="240" w:lineRule="auto"/>
              <w:jc w:val="left"/>
              <w:rPr>
                <w:rFonts w:ascii="Arial" w:hAnsi="Arial" w:cs="Arial"/>
                <w:b/>
                <w:bCs/>
                <w:i/>
                <w:iCs/>
                <w:color w:val="000000"/>
                <w:sz w:val="16"/>
                <w:szCs w:val="16"/>
              </w:rPr>
            </w:pPr>
            <w:r w:rsidRPr="008B1DAB">
              <w:rPr>
                <w:rFonts w:ascii="Arial" w:hAnsi="Arial" w:cs="Arial"/>
                <w:b/>
                <w:bCs/>
                <w:i/>
                <w:iCs/>
                <w:color w:val="000000"/>
                <w:sz w:val="16"/>
                <w:szCs w:val="16"/>
              </w:rPr>
              <w:t>Total payables</w:t>
            </w:r>
          </w:p>
        </w:tc>
        <w:tc>
          <w:tcPr>
            <w:tcW w:w="648" w:type="pct"/>
            <w:tcBorders>
              <w:top w:val="single" w:sz="4" w:space="0" w:color="000000"/>
              <w:left w:val="nil"/>
              <w:bottom w:val="single" w:sz="4" w:space="0" w:color="000000"/>
              <w:right w:val="nil"/>
            </w:tcBorders>
            <w:shd w:val="clear" w:color="auto" w:fill="auto"/>
            <w:noWrap/>
            <w:vAlign w:val="bottom"/>
            <w:hideMark/>
          </w:tcPr>
          <w:p w14:paraId="70429512"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4,752,933 </w:t>
            </w:r>
          </w:p>
        </w:tc>
        <w:tc>
          <w:tcPr>
            <w:tcW w:w="648" w:type="pct"/>
            <w:tcBorders>
              <w:top w:val="single" w:sz="4" w:space="0" w:color="000000"/>
              <w:left w:val="nil"/>
              <w:bottom w:val="single" w:sz="4" w:space="0" w:color="000000"/>
              <w:right w:val="nil"/>
            </w:tcBorders>
            <w:shd w:val="clear" w:color="000000" w:fill="E6E6E6"/>
            <w:noWrap/>
            <w:vAlign w:val="bottom"/>
            <w:hideMark/>
          </w:tcPr>
          <w:p w14:paraId="455DC342"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1,810,867 </w:t>
            </w:r>
          </w:p>
        </w:tc>
        <w:tc>
          <w:tcPr>
            <w:tcW w:w="648" w:type="pct"/>
            <w:tcBorders>
              <w:top w:val="single" w:sz="4" w:space="0" w:color="000000"/>
              <w:left w:val="nil"/>
              <w:bottom w:val="single" w:sz="4" w:space="0" w:color="000000"/>
              <w:right w:val="nil"/>
            </w:tcBorders>
            <w:shd w:val="clear" w:color="auto" w:fill="auto"/>
            <w:noWrap/>
            <w:vAlign w:val="bottom"/>
            <w:hideMark/>
          </w:tcPr>
          <w:p w14:paraId="39188E39"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1,322,275 </w:t>
            </w:r>
          </w:p>
        </w:tc>
        <w:tc>
          <w:tcPr>
            <w:tcW w:w="648" w:type="pct"/>
            <w:tcBorders>
              <w:top w:val="single" w:sz="4" w:space="0" w:color="000000"/>
              <w:left w:val="nil"/>
              <w:bottom w:val="single" w:sz="4" w:space="0" w:color="000000"/>
              <w:right w:val="nil"/>
            </w:tcBorders>
            <w:shd w:val="clear" w:color="auto" w:fill="auto"/>
            <w:noWrap/>
            <w:vAlign w:val="bottom"/>
            <w:hideMark/>
          </w:tcPr>
          <w:p w14:paraId="7E14F2FA"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1,005,355 </w:t>
            </w:r>
          </w:p>
        </w:tc>
        <w:tc>
          <w:tcPr>
            <w:tcW w:w="648" w:type="pct"/>
            <w:tcBorders>
              <w:top w:val="single" w:sz="4" w:space="0" w:color="000000"/>
              <w:left w:val="nil"/>
              <w:bottom w:val="single" w:sz="4" w:space="0" w:color="000000"/>
              <w:right w:val="nil"/>
            </w:tcBorders>
            <w:shd w:val="clear" w:color="auto" w:fill="auto"/>
            <w:noWrap/>
            <w:vAlign w:val="bottom"/>
            <w:hideMark/>
          </w:tcPr>
          <w:p w14:paraId="04BA4B99"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728,178 </w:t>
            </w:r>
          </w:p>
        </w:tc>
      </w:tr>
      <w:tr w:rsidR="008B1DAB" w:rsidRPr="008B1DAB" w14:paraId="381CA350" w14:textId="77777777" w:rsidTr="008B1DAB">
        <w:trPr>
          <w:trHeight w:hRule="exact" w:val="225"/>
        </w:trPr>
        <w:tc>
          <w:tcPr>
            <w:tcW w:w="1760" w:type="pct"/>
            <w:tcBorders>
              <w:top w:val="nil"/>
              <w:left w:val="nil"/>
              <w:bottom w:val="nil"/>
              <w:right w:val="nil"/>
            </w:tcBorders>
            <w:shd w:val="clear" w:color="auto" w:fill="auto"/>
            <w:noWrap/>
            <w:vAlign w:val="bottom"/>
            <w:hideMark/>
          </w:tcPr>
          <w:p w14:paraId="749EBBB9"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Interest bearing liabilities</w:t>
            </w:r>
          </w:p>
        </w:tc>
        <w:tc>
          <w:tcPr>
            <w:tcW w:w="648" w:type="pct"/>
            <w:tcBorders>
              <w:top w:val="nil"/>
              <w:left w:val="nil"/>
              <w:bottom w:val="nil"/>
              <w:right w:val="nil"/>
            </w:tcBorders>
            <w:shd w:val="clear" w:color="auto" w:fill="auto"/>
            <w:noWrap/>
            <w:vAlign w:val="bottom"/>
            <w:hideMark/>
          </w:tcPr>
          <w:p w14:paraId="0894A09F" w14:textId="77777777" w:rsidR="008B1DAB" w:rsidRPr="008B1DAB" w:rsidRDefault="008B1DAB" w:rsidP="008B1DAB">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bottom"/>
            <w:hideMark/>
          </w:tcPr>
          <w:p w14:paraId="48E2A357"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w:t>
            </w:r>
          </w:p>
        </w:tc>
        <w:tc>
          <w:tcPr>
            <w:tcW w:w="648" w:type="pct"/>
            <w:tcBorders>
              <w:top w:val="nil"/>
              <w:left w:val="nil"/>
              <w:bottom w:val="nil"/>
              <w:right w:val="nil"/>
            </w:tcBorders>
            <w:shd w:val="clear" w:color="auto" w:fill="auto"/>
            <w:noWrap/>
            <w:vAlign w:val="bottom"/>
            <w:hideMark/>
          </w:tcPr>
          <w:p w14:paraId="39A1278F" w14:textId="77777777" w:rsidR="008B1DAB" w:rsidRPr="008B1DAB" w:rsidRDefault="008B1DAB" w:rsidP="008B1DAB">
            <w:pPr>
              <w:spacing w:after="0" w:line="240" w:lineRule="auto"/>
              <w:jc w:val="right"/>
              <w:rPr>
                <w:rFonts w:ascii="Arial" w:hAnsi="Arial" w:cs="Arial"/>
                <w:color w:val="000000"/>
                <w:sz w:val="16"/>
                <w:szCs w:val="16"/>
              </w:rPr>
            </w:pPr>
          </w:p>
        </w:tc>
        <w:tc>
          <w:tcPr>
            <w:tcW w:w="648" w:type="pct"/>
            <w:tcBorders>
              <w:top w:val="nil"/>
              <w:left w:val="nil"/>
              <w:bottom w:val="nil"/>
              <w:right w:val="nil"/>
            </w:tcBorders>
            <w:shd w:val="clear" w:color="auto" w:fill="auto"/>
            <w:noWrap/>
            <w:vAlign w:val="bottom"/>
            <w:hideMark/>
          </w:tcPr>
          <w:p w14:paraId="76776273" w14:textId="77777777" w:rsidR="008B1DAB" w:rsidRPr="008B1DAB" w:rsidRDefault="008B1DAB" w:rsidP="008B1DA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D08DD3F" w14:textId="77777777" w:rsidR="008B1DAB" w:rsidRPr="008B1DAB" w:rsidRDefault="008B1DAB" w:rsidP="008B1DAB">
            <w:pPr>
              <w:spacing w:after="0" w:line="240" w:lineRule="auto"/>
              <w:jc w:val="right"/>
              <w:rPr>
                <w:rFonts w:ascii="Times New Roman" w:hAnsi="Times New Roman"/>
              </w:rPr>
            </w:pPr>
          </w:p>
        </w:tc>
      </w:tr>
      <w:tr w:rsidR="008B1DAB" w:rsidRPr="008B1DAB" w14:paraId="699B31AB" w14:textId="77777777" w:rsidTr="008B1DAB">
        <w:trPr>
          <w:trHeight w:hRule="exact" w:val="225"/>
        </w:trPr>
        <w:tc>
          <w:tcPr>
            <w:tcW w:w="1760" w:type="pct"/>
            <w:tcBorders>
              <w:top w:val="nil"/>
              <w:left w:val="nil"/>
              <w:bottom w:val="nil"/>
              <w:right w:val="nil"/>
            </w:tcBorders>
            <w:shd w:val="clear" w:color="auto" w:fill="auto"/>
            <w:noWrap/>
            <w:vAlign w:val="bottom"/>
            <w:hideMark/>
          </w:tcPr>
          <w:p w14:paraId="3DB1FD58" w14:textId="77777777" w:rsidR="008B1DAB" w:rsidRPr="008B1DAB" w:rsidRDefault="008B1DAB" w:rsidP="008B1DAB">
            <w:pPr>
              <w:spacing w:after="0" w:line="240" w:lineRule="auto"/>
              <w:ind w:left="170"/>
              <w:jc w:val="left"/>
              <w:rPr>
                <w:rFonts w:ascii="Arial" w:hAnsi="Arial" w:cs="Arial"/>
                <w:color w:val="000000"/>
                <w:sz w:val="16"/>
                <w:szCs w:val="16"/>
              </w:rPr>
            </w:pPr>
            <w:r w:rsidRPr="008B1DAB">
              <w:rPr>
                <w:rFonts w:ascii="Arial" w:hAnsi="Arial" w:cs="Arial"/>
                <w:color w:val="000000"/>
                <w:sz w:val="16"/>
                <w:szCs w:val="16"/>
              </w:rPr>
              <w:t>Loans</w:t>
            </w:r>
          </w:p>
        </w:tc>
        <w:tc>
          <w:tcPr>
            <w:tcW w:w="648" w:type="pct"/>
            <w:tcBorders>
              <w:top w:val="nil"/>
              <w:left w:val="nil"/>
              <w:bottom w:val="nil"/>
              <w:right w:val="nil"/>
            </w:tcBorders>
            <w:shd w:val="clear" w:color="auto" w:fill="auto"/>
            <w:noWrap/>
            <w:vAlign w:val="bottom"/>
            <w:hideMark/>
          </w:tcPr>
          <w:p w14:paraId="7050E52B"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9,419,858 </w:t>
            </w:r>
          </w:p>
        </w:tc>
        <w:tc>
          <w:tcPr>
            <w:tcW w:w="648" w:type="pct"/>
            <w:tcBorders>
              <w:top w:val="nil"/>
              <w:left w:val="nil"/>
              <w:bottom w:val="nil"/>
              <w:right w:val="nil"/>
            </w:tcBorders>
            <w:shd w:val="clear" w:color="000000" w:fill="E6E6E6"/>
            <w:noWrap/>
            <w:vAlign w:val="bottom"/>
            <w:hideMark/>
          </w:tcPr>
          <w:p w14:paraId="6A749868"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9,419,603 </w:t>
            </w:r>
          </w:p>
        </w:tc>
        <w:tc>
          <w:tcPr>
            <w:tcW w:w="648" w:type="pct"/>
            <w:tcBorders>
              <w:top w:val="nil"/>
              <w:left w:val="nil"/>
              <w:bottom w:val="nil"/>
              <w:right w:val="nil"/>
            </w:tcBorders>
            <w:shd w:val="clear" w:color="auto" w:fill="auto"/>
            <w:noWrap/>
            <w:vAlign w:val="bottom"/>
            <w:hideMark/>
          </w:tcPr>
          <w:p w14:paraId="1607BC4E"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9,418,838 </w:t>
            </w:r>
          </w:p>
        </w:tc>
        <w:tc>
          <w:tcPr>
            <w:tcW w:w="648" w:type="pct"/>
            <w:tcBorders>
              <w:top w:val="nil"/>
              <w:left w:val="nil"/>
              <w:bottom w:val="nil"/>
              <w:right w:val="nil"/>
            </w:tcBorders>
            <w:shd w:val="clear" w:color="auto" w:fill="auto"/>
            <w:noWrap/>
            <w:vAlign w:val="bottom"/>
            <w:hideMark/>
          </w:tcPr>
          <w:p w14:paraId="41CFACBD"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9,418,177 </w:t>
            </w:r>
          </w:p>
        </w:tc>
        <w:tc>
          <w:tcPr>
            <w:tcW w:w="648" w:type="pct"/>
            <w:tcBorders>
              <w:top w:val="nil"/>
              <w:left w:val="nil"/>
              <w:bottom w:val="nil"/>
              <w:right w:val="nil"/>
            </w:tcBorders>
            <w:shd w:val="clear" w:color="auto" w:fill="auto"/>
            <w:noWrap/>
            <w:vAlign w:val="bottom"/>
            <w:hideMark/>
          </w:tcPr>
          <w:p w14:paraId="5722B589"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9,417,159 </w:t>
            </w:r>
          </w:p>
        </w:tc>
      </w:tr>
      <w:tr w:rsidR="008B1DAB" w:rsidRPr="008B1DAB" w14:paraId="112B1C00" w14:textId="77777777" w:rsidTr="008B1DAB">
        <w:trPr>
          <w:trHeight w:hRule="exact" w:val="225"/>
        </w:trPr>
        <w:tc>
          <w:tcPr>
            <w:tcW w:w="1760" w:type="pct"/>
            <w:tcBorders>
              <w:top w:val="nil"/>
              <w:left w:val="nil"/>
              <w:bottom w:val="nil"/>
              <w:right w:val="nil"/>
            </w:tcBorders>
            <w:shd w:val="clear" w:color="auto" w:fill="auto"/>
            <w:noWrap/>
            <w:vAlign w:val="bottom"/>
            <w:hideMark/>
          </w:tcPr>
          <w:p w14:paraId="01CD525A" w14:textId="77777777" w:rsidR="008B1DAB" w:rsidRPr="008B1DAB" w:rsidRDefault="008B1DAB" w:rsidP="008B1DAB">
            <w:pPr>
              <w:spacing w:after="0" w:line="240" w:lineRule="auto"/>
              <w:ind w:left="170"/>
              <w:jc w:val="left"/>
              <w:rPr>
                <w:rFonts w:ascii="Arial" w:hAnsi="Arial" w:cs="Arial"/>
                <w:color w:val="000000"/>
                <w:sz w:val="16"/>
                <w:szCs w:val="16"/>
              </w:rPr>
            </w:pPr>
            <w:r w:rsidRPr="008B1DAB">
              <w:rPr>
                <w:rFonts w:ascii="Arial" w:hAnsi="Arial" w:cs="Arial"/>
                <w:color w:val="000000"/>
                <w:sz w:val="16"/>
                <w:szCs w:val="16"/>
              </w:rPr>
              <w:t>Other</w:t>
            </w:r>
          </w:p>
        </w:tc>
        <w:tc>
          <w:tcPr>
            <w:tcW w:w="648" w:type="pct"/>
            <w:tcBorders>
              <w:top w:val="nil"/>
              <w:left w:val="nil"/>
              <w:bottom w:val="nil"/>
              <w:right w:val="nil"/>
            </w:tcBorders>
            <w:shd w:val="clear" w:color="auto" w:fill="auto"/>
            <w:noWrap/>
            <w:vAlign w:val="bottom"/>
            <w:hideMark/>
          </w:tcPr>
          <w:p w14:paraId="3CDD0962"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17,886,748 </w:t>
            </w:r>
          </w:p>
        </w:tc>
        <w:tc>
          <w:tcPr>
            <w:tcW w:w="648" w:type="pct"/>
            <w:tcBorders>
              <w:top w:val="nil"/>
              <w:left w:val="nil"/>
              <w:bottom w:val="nil"/>
              <w:right w:val="nil"/>
            </w:tcBorders>
            <w:shd w:val="clear" w:color="000000" w:fill="E6E6E6"/>
            <w:noWrap/>
            <w:vAlign w:val="bottom"/>
            <w:hideMark/>
          </w:tcPr>
          <w:p w14:paraId="06BDC169"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17,780,871 </w:t>
            </w:r>
          </w:p>
        </w:tc>
        <w:tc>
          <w:tcPr>
            <w:tcW w:w="648" w:type="pct"/>
            <w:tcBorders>
              <w:top w:val="nil"/>
              <w:left w:val="nil"/>
              <w:bottom w:val="nil"/>
              <w:right w:val="nil"/>
            </w:tcBorders>
            <w:shd w:val="clear" w:color="auto" w:fill="auto"/>
            <w:noWrap/>
            <w:vAlign w:val="bottom"/>
            <w:hideMark/>
          </w:tcPr>
          <w:p w14:paraId="38B1843B"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17,552,600 </w:t>
            </w:r>
          </w:p>
        </w:tc>
        <w:tc>
          <w:tcPr>
            <w:tcW w:w="648" w:type="pct"/>
            <w:tcBorders>
              <w:top w:val="nil"/>
              <w:left w:val="nil"/>
              <w:bottom w:val="nil"/>
              <w:right w:val="nil"/>
            </w:tcBorders>
            <w:shd w:val="clear" w:color="auto" w:fill="auto"/>
            <w:noWrap/>
            <w:vAlign w:val="bottom"/>
            <w:hideMark/>
          </w:tcPr>
          <w:p w14:paraId="0D2A8FEC"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17,355,479 </w:t>
            </w:r>
          </w:p>
        </w:tc>
        <w:tc>
          <w:tcPr>
            <w:tcW w:w="648" w:type="pct"/>
            <w:tcBorders>
              <w:top w:val="nil"/>
              <w:left w:val="nil"/>
              <w:bottom w:val="nil"/>
              <w:right w:val="nil"/>
            </w:tcBorders>
            <w:shd w:val="clear" w:color="auto" w:fill="auto"/>
            <w:noWrap/>
            <w:vAlign w:val="bottom"/>
            <w:hideMark/>
          </w:tcPr>
          <w:p w14:paraId="34E004F6"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17,051,578 </w:t>
            </w:r>
          </w:p>
        </w:tc>
      </w:tr>
      <w:tr w:rsidR="008B1DAB" w:rsidRPr="008B1DAB" w14:paraId="6552F0CC" w14:textId="77777777" w:rsidTr="008B1DAB">
        <w:trPr>
          <w:trHeight w:hRule="exact" w:val="225"/>
        </w:trPr>
        <w:tc>
          <w:tcPr>
            <w:tcW w:w="1760" w:type="pct"/>
            <w:tcBorders>
              <w:top w:val="nil"/>
              <w:left w:val="nil"/>
              <w:bottom w:val="nil"/>
              <w:right w:val="nil"/>
            </w:tcBorders>
            <w:shd w:val="clear" w:color="auto" w:fill="auto"/>
            <w:noWrap/>
            <w:vAlign w:val="bottom"/>
            <w:hideMark/>
          </w:tcPr>
          <w:p w14:paraId="3DDDDC2E"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 xml:space="preserve">Total </w:t>
            </w:r>
            <w:proofErr w:type="gramStart"/>
            <w:r w:rsidRPr="008B1DAB">
              <w:rPr>
                <w:rFonts w:ascii="Arial" w:hAnsi="Arial" w:cs="Arial"/>
                <w:b/>
                <w:bCs/>
                <w:color w:val="000000"/>
                <w:sz w:val="16"/>
                <w:szCs w:val="16"/>
              </w:rPr>
              <w:t>interest bearing</w:t>
            </w:r>
            <w:proofErr w:type="gramEnd"/>
            <w:r w:rsidRPr="008B1DAB">
              <w:rPr>
                <w:rFonts w:ascii="Arial" w:hAnsi="Arial" w:cs="Arial"/>
                <w:b/>
                <w:bCs/>
                <w:color w:val="000000"/>
                <w:sz w:val="16"/>
                <w:szCs w:val="16"/>
              </w:rPr>
              <w:t xml:space="preserve"> liabilities</w:t>
            </w:r>
          </w:p>
        </w:tc>
        <w:tc>
          <w:tcPr>
            <w:tcW w:w="648" w:type="pct"/>
            <w:tcBorders>
              <w:top w:val="single" w:sz="4" w:space="0" w:color="000000"/>
              <w:left w:val="nil"/>
              <w:bottom w:val="single" w:sz="4" w:space="0" w:color="000000"/>
              <w:right w:val="nil"/>
            </w:tcBorders>
            <w:shd w:val="clear" w:color="auto" w:fill="auto"/>
            <w:noWrap/>
            <w:vAlign w:val="bottom"/>
            <w:hideMark/>
          </w:tcPr>
          <w:p w14:paraId="0354A2B0"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27,306,606 </w:t>
            </w:r>
          </w:p>
        </w:tc>
        <w:tc>
          <w:tcPr>
            <w:tcW w:w="648" w:type="pct"/>
            <w:tcBorders>
              <w:top w:val="single" w:sz="4" w:space="0" w:color="000000"/>
              <w:left w:val="nil"/>
              <w:bottom w:val="single" w:sz="4" w:space="0" w:color="000000"/>
              <w:right w:val="nil"/>
            </w:tcBorders>
            <w:shd w:val="clear" w:color="000000" w:fill="E6E6E6"/>
            <w:noWrap/>
            <w:vAlign w:val="bottom"/>
            <w:hideMark/>
          </w:tcPr>
          <w:p w14:paraId="60F1E279"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27,200,474 </w:t>
            </w:r>
          </w:p>
        </w:tc>
        <w:tc>
          <w:tcPr>
            <w:tcW w:w="648" w:type="pct"/>
            <w:tcBorders>
              <w:top w:val="single" w:sz="4" w:space="0" w:color="000000"/>
              <w:left w:val="nil"/>
              <w:bottom w:val="single" w:sz="4" w:space="0" w:color="000000"/>
              <w:right w:val="nil"/>
            </w:tcBorders>
            <w:shd w:val="clear" w:color="auto" w:fill="auto"/>
            <w:noWrap/>
            <w:vAlign w:val="bottom"/>
            <w:hideMark/>
          </w:tcPr>
          <w:p w14:paraId="3A8A2010"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26,971,438 </w:t>
            </w:r>
          </w:p>
        </w:tc>
        <w:tc>
          <w:tcPr>
            <w:tcW w:w="648" w:type="pct"/>
            <w:tcBorders>
              <w:top w:val="single" w:sz="4" w:space="0" w:color="000000"/>
              <w:left w:val="nil"/>
              <w:bottom w:val="single" w:sz="4" w:space="0" w:color="000000"/>
              <w:right w:val="nil"/>
            </w:tcBorders>
            <w:shd w:val="clear" w:color="auto" w:fill="auto"/>
            <w:noWrap/>
            <w:vAlign w:val="bottom"/>
            <w:hideMark/>
          </w:tcPr>
          <w:p w14:paraId="5FFCEA11"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26,773,656 </w:t>
            </w:r>
          </w:p>
        </w:tc>
        <w:tc>
          <w:tcPr>
            <w:tcW w:w="648" w:type="pct"/>
            <w:tcBorders>
              <w:top w:val="single" w:sz="4" w:space="0" w:color="000000"/>
              <w:left w:val="nil"/>
              <w:bottom w:val="single" w:sz="4" w:space="0" w:color="000000"/>
              <w:right w:val="nil"/>
            </w:tcBorders>
            <w:shd w:val="clear" w:color="auto" w:fill="auto"/>
            <w:noWrap/>
            <w:vAlign w:val="bottom"/>
            <w:hideMark/>
          </w:tcPr>
          <w:p w14:paraId="04AC695E"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26,468,737 </w:t>
            </w:r>
          </w:p>
        </w:tc>
      </w:tr>
      <w:tr w:rsidR="008B1DAB" w:rsidRPr="008B1DAB" w14:paraId="3227B74D" w14:textId="77777777" w:rsidTr="008B1DAB">
        <w:trPr>
          <w:trHeight w:hRule="exact" w:val="225"/>
        </w:trPr>
        <w:tc>
          <w:tcPr>
            <w:tcW w:w="1760" w:type="pct"/>
            <w:tcBorders>
              <w:top w:val="nil"/>
              <w:left w:val="nil"/>
              <w:bottom w:val="nil"/>
              <w:right w:val="nil"/>
            </w:tcBorders>
            <w:shd w:val="clear" w:color="auto" w:fill="auto"/>
            <w:noWrap/>
            <w:vAlign w:val="bottom"/>
            <w:hideMark/>
          </w:tcPr>
          <w:p w14:paraId="39EC9E0C"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Provisions</w:t>
            </w:r>
          </w:p>
        </w:tc>
        <w:tc>
          <w:tcPr>
            <w:tcW w:w="648" w:type="pct"/>
            <w:tcBorders>
              <w:top w:val="nil"/>
              <w:left w:val="nil"/>
              <w:bottom w:val="nil"/>
              <w:right w:val="nil"/>
            </w:tcBorders>
            <w:shd w:val="clear" w:color="auto" w:fill="auto"/>
            <w:noWrap/>
            <w:vAlign w:val="bottom"/>
            <w:hideMark/>
          </w:tcPr>
          <w:p w14:paraId="45780754" w14:textId="77777777" w:rsidR="008B1DAB" w:rsidRPr="008B1DAB" w:rsidRDefault="008B1DAB" w:rsidP="008B1DAB">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bottom"/>
            <w:hideMark/>
          </w:tcPr>
          <w:p w14:paraId="28BDFA9B"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w:t>
            </w:r>
          </w:p>
        </w:tc>
        <w:tc>
          <w:tcPr>
            <w:tcW w:w="648" w:type="pct"/>
            <w:tcBorders>
              <w:top w:val="nil"/>
              <w:left w:val="nil"/>
              <w:bottom w:val="nil"/>
              <w:right w:val="nil"/>
            </w:tcBorders>
            <w:shd w:val="clear" w:color="auto" w:fill="auto"/>
            <w:noWrap/>
            <w:vAlign w:val="bottom"/>
            <w:hideMark/>
          </w:tcPr>
          <w:p w14:paraId="1B43E507" w14:textId="77777777" w:rsidR="008B1DAB" w:rsidRPr="008B1DAB" w:rsidRDefault="008B1DAB" w:rsidP="008B1DAB">
            <w:pPr>
              <w:spacing w:after="0" w:line="240" w:lineRule="auto"/>
              <w:jc w:val="right"/>
              <w:rPr>
                <w:rFonts w:ascii="Arial" w:hAnsi="Arial" w:cs="Arial"/>
                <w:color w:val="000000"/>
                <w:sz w:val="16"/>
                <w:szCs w:val="16"/>
              </w:rPr>
            </w:pPr>
          </w:p>
        </w:tc>
        <w:tc>
          <w:tcPr>
            <w:tcW w:w="648" w:type="pct"/>
            <w:tcBorders>
              <w:top w:val="nil"/>
              <w:left w:val="nil"/>
              <w:bottom w:val="nil"/>
              <w:right w:val="nil"/>
            </w:tcBorders>
            <w:shd w:val="clear" w:color="auto" w:fill="auto"/>
            <w:noWrap/>
            <w:vAlign w:val="bottom"/>
            <w:hideMark/>
          </w:tcPr>
          <w:p w14:paraId="16B5F36B" w14:textId="77777777" w:rsidR="008B1DAB" w:rsidRPr="008B1DAB" w:rsidRDefault="008B1DAB" w:rsidP="008B1DA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5D481A59" w14:textId="77777777" w:rsidR="008B1DAB" w:rsidRPr="008B1DAB" w:rsidRDefault="008B1DAB" w:rsidP="008B1DAB">
            <w:pPr>
              <w:spacing w:after="0" w:line="240" w:lineRule="auto"/>
              <w:jc w:val="right"/>
              <w:rPr>
                <w:rFonts w:ascii="Times New Roman" w:hAnsi="Times New Roman"/>
              </w:rPr>
            </w:pPr>
          </w:p>
        </w:tc>
      </w:tr>
      <w:tr w:rsidR="008B1DAB" w:rsidRPr="008B1DAB" w14:paraId="03808B56" w14:textId="77777777" w:rsidTr="008B1DAB">
        <w:trPr>
          <w:trHeight w:hRule="exact" w:val="225"/>
        </w:trPr>
        <w:tc>
          <w:tcPr>
            <w:tcW w:w="1760" w:type="pct"/>
            <w:tcBorders>
              <w:top w:val="nil"/>
              <w:left w:val="nil"/>
              <w:bottom w:val="nil"/>
              <w:right w:val="nil"/>
            </w:tcBorders>
            <w:shd w:val="clear" w:color="auto" w:fill="auto"/>
            <w:noWrap/>
            <w:vAlign w:val="bottom"/>
            <w:hideMark/>
          </w:tcPr>
          <w:p w14:paraId="38AFDF30" w14:textId="77777777" w:rsidR="008B1DAB" w:rsidRPr="008B1DAB" w:rsidRDefault="008B1DAB" w:rsidP="008B1DAB">
            <w:pPr>
              <w:spacing w:after="0" w:line="240" w:lineRule="auto"/>
              <w:ind w:left="170"/>
              <w:jc w:val="left"/>
              <w:rPr>
                <w:rFonts w:ascii="Arial" w:hAnsi="Arial" w:cs="Arial"/>
                <w:color w:val="000000"/>
                <w:sz w:val="16"/>
                <w:szCs w:val="16"/>
              </w:rPr>
            </w:pPr>
            <w:r w:rsidRPr="008B1DAB">
              <w:rPr>
                <w:rFonts w:ascii="Arial" w:hAnsi="Arial" w:cs="Arial"/>
                <w:color w:val="000000"/>
                <w:sz w:val="16"/>
                <w:szCs w:val="16"/>
              </w:rPr>
              <w:t>Other provisions</w:t>
            </w:r>
          </w:p>
        </w:tc>
        <w:tc>
          <w:tcPr>
            <w:tcW w:w="648" w:type="pct"/>
            <w:tcBorders>
              <w:top w:val="nil"/>
              <w:left w:val="nil"/>
              <w:bottom w:val="nil"/>
              <w:right w:val="nil"/>
            </w:tcBorders>
            <w:shd w:val="clear" w:color="auto" w:fill="auto"/>
            <w:noWrap/>
            <w:vAlign w:val="bottom"/>
            <w:hideMark/>
          </w:tcPr>
          <w:p w14:paraId="4E120296"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39,984 </w:t>
            </w:r>
          </w:p>
        </w:tc>
        <w:tc>
          <w:tcPr>
            <w:tcW w:w="648" w:type="pct"/>
            <w:tcBorders>
              <w:top w:val="nil"/>
              <w:left w:val="nil"/>
              <w:bottom w:val="nil"/>
              <w:right w:val="nil"/>
            </w:tcBorders>
            <w:shd w:val="clear" w:color="000000" w:fill="E6E6E6"/>
            <w:noWrap/>
            <w:vAlign w:val="bottom"/>
            <w:hideMark/>
          </w:tcPr>
          <w:p w14:paraId="23FA1FA4"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72,253 </w:t>
            </w:r>
          </w:p>
        </w:tc>
        <w:tc>
          <w:tcPr>
            <w:tcW w:w="648" w:type="pct"/>
            <w:tcBorders>
              <w:top w:val="nil"/>
              <w:left w:val="nil"/>
              <w:bottom w:val="nil"/>
              <w:right w:val="nil"/>
            </w:tcBorders>
            <w:shd w:val="clear" w:color="auto" w:fill="auto"/>
            <w:noWrap/>
            <w:vAlign w:val="bottom"/>
            <w:hideMark/>
          </w:tcPr>
          <w:p w14:paraId="4D9CA6AD"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105,091 </w:t>
            </w:r>
          </w:p>
        </w:tc>
        <w:tc>
          <w:tcPr>
            <w:tcW w:w="648" w:type="pct"/>
            <w:tcBorders>
              <w:top w:val="nil"/>
              <w:left w:val="nil"/>
              <w:bottom w:val="nil"/>
              <w:right w:val="nil"/>
            </w:tcBorders>
            <w:shd w:val="clear" w:color="auto" w:fill="auto"/>
            <w:noWrap/>
            <w:vAlign w:val="bottom"/>
            <w:hideMark/>
          </w:tcPr>
          <w:p w14:paraId="0DB31B5C"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137,417 </w:t>
            </w:r>
          </w:p>
        </w:tc>
        <w:tc>
          <w:tcPr>
            <w:tcW w:w="648" w:type="pct"/>
            <w:tcBorders>
              <w:top w:val="nil"/>
              <w:left w:val="nil"/>
              <w:bottom w:val="nil"/>
              <w:right w:val="nil"/>
            </w:tcBorders>
            <w:shd w:val="clear" w:color="auto" w:fill="auto"/>
            <w:noWrap/>
            <w:vAlign w:val="bottom"/>
            <w:hideMark/>
          </w:tcPr>
          <w:p w14:paraId="2B2D4A1A" w14:textId="77777777" w:rsidR="008B1DAB" w:rsidRPr="008B1DAB" w:rsidRDefault="008B1DAB" w:rsidP="008B1DAB">
            <w:pPr>
              <w:spacing w:after="0" w:line="240" w:lineRule="auto"/>
              <w:jc w:val="right"/>
              <w:rPr>
                <w:rFonts w:ascii="Arial" w:hAnsi="Arial" w:cs="Arial"/>
                <w:color w:val="000000"/>
                <w:sz w:val="16"/>
                <w:szCs w:val="16"/>
              </w:rPr>
            </w:pPr>
            <w:r w:rsidRPr="008B1DAB">
              <w:rPr>
                <w:rFonts w:ascii="Arial" w:hAnsi="Arial" w:cs="Arial"/>
                <w:color w:val="000000"/>
                <w:sz w:val="16"/>
                <w:szCs w:val="16"/>
              </w:rPr>
              <w:t xml:space="preserve">155,403 </w:t>
            </w:r>
          </w:p>
        </w:tc>
      </w:tr>
      <w:tr w:rsidR="008B1DAB" w:rsidRPr="008B1DAB" w14:paraId="1E5ED8B5" w14:textId="77777777" w:rsidTr="008B1DAB">
        <w:trPr>
          <w:trHeight w:hRule="exact" w:val="210"/>
        </w:trPr>
        <w:tc>
          <w:tcPr>
            <w:tcW w:w="1760" w:type="pct"/>
            <w:tcBorders>
              <w:top w:val="nil"/>
              <w:left w:val="nil"/>
              <w:bottom w:val="nil"/>
              <w:right w:val="nil"/>
            </w:tcBorders>
            <w:shd w:val="clear" w:color="auto" w:fill="auto"/>
            <w:noWrap/>
            <w:vAlign w:val="bottom"/>
            <w:hideMark/>
          </w:tcPr>
          <w:p w14:paraId="756E0515" w14:textId="77777777" w:rsidR="008B1DAB" w:rsidRPr="008B1DAB" w:rsidRDefault="008B1DAB" w:rsidP="008B1DAB">
            <w:pPr>
              <w:spacing w:after="0" w:line="240" w:lineRule="auto"/>
              <w:jc w:val="left"/>
              <w:rPr>
                <w:rFonts w:ascii="Arial" w:hAnsi="Arial" w:cs="Arial"/>
                <w:b/>
                <w:bCs/>
                <w:i/>
                <w:iCs/>
                <w:color w:val="000000"/>
                <w:sz w:val="16"/>
                <w:szCs w:val="16"/>
              </w:rPr>
            </w:pPr>
            <w:r w:rsidRPr="008B1DAB">
              <w:rPr>
                <w:rFonts w:ascii="Arial" w:hAnsi="Arial" w:cs="Arial"/>
                <w:b/>
                <w:bCs/>
                <w:i/>
                <w:iCs/>
                <w:color w:val="000000"/>
                <w:sz w:val="16"/>
                <w:szCs w:val="16"/>
              </w:rPr>
              <w:t>Total provisions</w:t>
            </w:r>
          </w:p>
        </w:tc>
        <w:tc>
          <w:tcPr>
            <w:tcW w:w="648" w:type="pct"/>
            <w:tcBorders>
              <w:top w:val="single" w:sz="4" w:space="0" w:color="000000"/>
              <w:left w:val="nil"/>
              <w:bottom w:val="single" w:sz="4" w:space="0" w:color="000000"/>
              <w:right w:val="nil"/>
            </w:tcBorders>
            <w:shd w:val="clear" w:color="auto" w:fill="auto"/>
            <w:noWrap/>
            <w:vAlign w:val="bottom"/>
            <w:hideMark/>
          </w:tcPr>
          <w:p w14:paraId="18C5E23B"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39,984 </w:t>
            </w:r>
          </w:p>
        </w:tc>
        <w:tc>
          <w:tcPr>
            <w:tcW w:w="648" w:type="pct"/>
            <w:tcBorders>
              <w:top w:val="single" w:sz="4" w:space="0" w:color="000000"/>
              <w:left w:val="nil"/>
              <w:bottom w:val="single" w:sz="4" w:space="0" w:color="000000"/>
              <w:right w:val="nil"/>
            </w:tcBorders>
            <w:shd w:val="clear" w:color="000000" w:fill="E6E6E6"/>
            <w:noWrap/>
            <w:vAlign w:val="bottom"/>
            <w:hideMark/>
          </w:tcPr>
          <w:p w14:paraId="7A849E9D"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72,253 </w:t>
            </w:r>
          </w:p>
        </w:tc>
        <w:tc>
          <w:tcPr>
            <w:tcW w:w="648" w:type="pct"/>
            <w:tcBorders>
              <w:top w:val="single" w:sz="4" w:space="0" w:color="000000"/>
              <w:left w:val="nil"/>
              <w:bottom w:val="single" w:sz="4" w:space="0" w:color="000000"/>
              <w:right w:val="nil"/>
            </w:tcBorders>
            <w:shd w:val="clear" w:color="auto" w:fill="auto"/>
            <w:noWrap/>
            <w:vAlign w:val="bottom"/>
            <w:hideMark/>
          </w:tcPr>
          <w:p w14:paraId="4CC5DB2E"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105,091 </w:t>
            </w:r>
          </w:p>
        </w:tc>
        <w:tc>
          <w:tcPr>
            <w:tcW w:w="648" w:type="pct"/>
            <w:tcBorders>
              <w:top w:val="single" w:sz="4" w:space="0" w:color="000000"/>
              <w:left w:val="nil"/>
              <w:bottom w:val="single" w:sz="4" w:space="0" w:color="000000"/>
              <w:right w:val="nil"/>
            </w:tcBorders>
            <w:shd w:val="clear" w:color="auto" w:fill="auto"/>
            <w:noWrap/>
            <w:vAlign w:val="bottom"/>
            <w:hideMark/>
          </w:tcPr>
          <w:p w14:paraId="5D764E26"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137,417 </w:t>
            </w:r>
          </w:p>
        </w:tc>
        <w:tc>
          <w:tcPr>
            <w:tcW w:w="648" w:type="pct"/>
            <w:tcBorders>
              <w:top w:val="single" w:sz="4" w:space="0" w:color="000000"/>
              <w:left w:val="nil"/>
              <w:bottom w:val="single" w:sz="4" w:space="0" w:color="000000"/>
              <w:right w:val="nil"/>
            </w:tcBorders>
            <w:shd w:val="clear" w:color="auto" w:fill="auto"/>
            <w:noWrap/>
            <w:vAlign w:val="bottom"/>
            <w:hideMark/>
          </w:tcPr>
          <w:p w14:paraId="1EA0EADD"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155,403 </w:t>
            </w:r>
          </w:p>
        </w:tc>
      </w:tr>
      <w:tr w:rsidR="008B1DAB" w:rsidRPr="008B1DAB" w14:paraId="1833EEBC" w14:textId="77777777" w:rsidTr="008B1DAB">
        <w:trPr>
          <w:trHeight w:hRule="exact" w:val="450"/>
        </w:trPr>
        <w:tc>
          <w:tcPr>
            <w:tcW w:w="1760" w:type="pct"/>
            <w:tcBorders>
              <w:top w:val="nil"/>
              <w:left w:val="nil"/>
              <w:bottom w:val="nil"/>
              <w:right w:val="nil"/>
            </w:tcBorders>
            <w:shd w:val="clear" w:color="auto" w:fill="auto"/>
            <w:vAlign w:val="bottom"/>
            <w:hideMark/>
          </w:tcPr>
          <w:p w14:paraId="37AC68FA"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Total liabilities administered on</w:t>
            </w:r>
            <w:r w:rsidRPr="008B1DAB">
              <w:rPr>
                <w:rFonts w:ascii="Arial" w:hAnsi="Arial" w:cs="Arial"/>
                <w:b/>
                <w:bCs/>
                <w:color w:val="000000"/>
                <w:sz w:val="16"/>
                <w:szCs w:val="16"/>
              </w:rPr>
              <w:br/>
              <w:t xml:space="preserve">  behalf of Government</w:t>
            </w:r>
          </w:p>
        </w:tc>
        <w:tc>
          <w:tcPr>
            <w:tcW w:w="648" w:type="pct"/>
            <w:tcBorders>
              <w:top w:val="nil"/>
              <w:left w:val="nil"/>
              <w:bottom w:val="single" w:sz="4" w:space="0" w:color="000000"/>
              <w:right w:val="nil"/>
            </w:tcBorders>
            <w:shd w:val="clear" w:color="auto" w:fill="auto"/>
            <w:noWrap/>
            <w:vAlign w:val="bottom"/>
            <w:hideMark/>
          </w:tcPr>
          <w:p w14:paraId="6C4414C3"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32,099,523 </w:t>
            </w:r>
          </w:p>
        </w:tc>
        <w:tc>
          <w:tcPr>
            <w:tcW w:w="648" w:type="pct"/>
            <w:tcBorders>
              <w:top w:val="nil"/>
              <w:left w:val="nil"/>
              <w:bottom w:val="single" w:sz="4" w:space="0" w:color="000000"/>
              <w:right w:val="nil"/>
            </w:tcBorders>
            <w:shd w:val="clear" w:color="000000" w:fill="E6E6E6"/>
            <w:noWrap/>
            <w:vAlign w:val="bottom"/>
            <w:hideMark/>
          </w:tcPr>
          <w:p w14:paraId="0ADD63CB"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29,083,594 </w:t>
            </w:r>
          </w:p>
        </w:tc>
        <w:tc>
          <w:tcPr>
            <w:tcW w:w="648" w:type="pct"/>
            <w:tcBorders>
              <w:top w:val="nil"/>
              <w:left w:val="nil"/>
              <w:bottom w:val="single" w:sz="4" w:space="0" w:color="000000"/>
              <w:right w:val="nil"/>
            </w:tcBorders>
            <w:shd w:val="clear" w:color="auto" w:fill="auto"/>
            <w:noWrap/>
            <w:vAlign w:val="bottom"/>
            <w:hideMark/>
          </w:tcPr>
          <w:p w14:paraId="6A4A2C66"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28,398,804 </w:t>
            </w:r>
          </w:p>
        </w:tc>
        <w:tc>
          <w:tcPr>
            <w:tcW w:w="648" w:type="pct"/>
            <w:tcBorders>
              <w:top w:val="nil"/>
              <w:left w:val="nil"/>
              <w:bottom w:val="single" w:sz="4" w:space="0" w:color="000000"/>
              <w:right w:val="nil"/>
            </w:tcBorders>
            <w:shd w:val="clear" w:color="auto" w:fill="auto"/>
            <w:noWrap/>
            <w:vAlign w:val="bottom"/>
            <w:hideMark/>
          </w:tcPr>
          <w:p w14:paraId="3A963419"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27,916,428 </w:t>
            </w:r>
          </w:p>
        </w:tc>
        <w:tc>
          <w:tcPr>
            <w:tcW w:w="648" w:type="pct"/>
            <w:tcBorders>
              <w:top w:val="nil"/>
              <w:left w:val="nil"/>
              <w:bottom w:val="single" w:sz="4" w:space="0" w:color="000000"/>
              <w:right w:val="nil"/>
            </w:tcBorders>
            <w:shd w:val="clear" w:color="auto" w:fill="auto"/>
            <w:noWrap/>
            <w:vAlign w:val="bottom"/>
            <w:hideMark/>
          </w:tcPr>
          <w:p w14:paraId="2F598444"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27,352,318 </w:t>
            </w:r>
          </w:p>
        </w:tc>
      </w:tr>
      <w:tr w:rsidR="008B1DAB" w:rsidRPr="008B1DAB" w14:paraId="0FA1BD3D" w14:textId="77777777" w:rsidTr="008B1DAB">
        <w:trPr>
          <w:trHeight w:hRule="exact" w:val="225"/>
        </w:trPr>
        <w:tc>
          <w:tcPr>
            <w:tcW w:w="1760" w:type="pct"/>
            <w:tcBorders>
              <w:top w:val="nil"/>
              <w:left w:val="nil"/>
              <w:bottom w:val="single" w:sz="4" w:space="0" w:color="000000"/>
              <w:right w:val="nil"/>
            </w:tcBorders>
            <w:shd w:val="clear" w:color="auto" w:fill="auto"/>
            <w:noWrap/>
            <w:vAlign w:val="bottom"/>
            <w:hideMark/>
          </w:tcPr>
          <w:p w14:paraId="1B5A6775" w14:textId="77777777" w:rsidR="008B1DAB" w:rsidRPr="008B1DAB" w:rsidRDefault="008B1DAB" w:rsidP="008B1DAB">
            <w:pPr>
              <w:spacing w:after="0" w:line="240" w:lineRule="auto"/>
              <w:jc w:val="left"/>
              <w:rPr>
                <w:rFonts w:ascii="Arial" w:hAnsi="Arial" w:cs="Arial"/>
                <w:b/>
                <w:bCs/>
                <w:color w:val="000000"/>
                <w:sz w:val="16"/>
                <w:szCs w:val="16"/>
              </w:rPr>
            </w:pPr>
            <w:r w:rsidRPr="008B1DAB">
              <w:rPr>
                <w:rFonts w:ascii="Arial" w:hAnsi="Arial" w:cs="Arial"/>
                <w:b/>
                <w:bCs/>
                <w:color w:val="000000"/>
                <w:sz w:val="16"/>
                <w:szCs w:val="16"/>
              </w:rPr>
              <w:t>Net assets/(liabilities)</w:t>
            </w:r>
          </w:p>
        </w:tc>
        <w:tc>
          <w:tcPr>
            <w:tcW w:w="648" w:type="pct"/>
            <w:tcBorders>
              <w:top w:val="nil"/>
              <w:left w:val="nil"/>
              <w:bottom w:val="single" w:sz="4" w:space="0" w:color="000000"/>
              <w:right w:val="nil"/>
            </w:tcBorders>
            <w:shd w:val="clear" w:color="auto" w:fill="auto"/>
            <w:noWrap/>
            <w:vAlign w:val="bottom"/>
            <w:hideMark/>
          </w:tcPr>
          <w:p w14:paraId="763FC014"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21,950,638 </w:t>
            </w:r>
          </w:p>
        </w:tc>
        <w:tc>
          <w:tcPr>
            <w:tcW w:w="648" w:type="pct"/>
            <w:tcBorders>
              <w:top w:val="nil"/>
              <w:left w:val="nil"/>
              <w:bottom w:val="single" w:sz="4" w:space="0" w:color="000000"/>
              <w:right w:val="nil"/>
            </w:tcBorders>
            <w:shd w:val="clear" w:color="000000" w:fill="E6E6E6"/>
            <w:noWrap/>
            <w:vAlign w:val="bottom"/>
            <w:hideMark/>
          </w:tcPr>
          <w:p w14:paraId="06B8B189" w14:textId="77777777" w:rsidR="008B1DAB" w:rsidRPr="008B1DAB" w:rsidRDefault="008B1DAB" w:rsidP="008B1DAB">
            <w:pPr>
              <w:spacing w:after="0" w:line="240" w:lineRule="auto"/>
              <w:jc w:val="right"/>
              <w:rPr>
                <w:rFonts w:ascii="Arial" w:hAnsi="Arial" w:cs="Arial"/>
                <w:b/>
                <w:bCs/>
                <w:i/>
                <w:iCs/>
                <w:color w:val="000000"/>
                <w:sz w:val="16"/>
                <w:szCs w:val="16"/>
              </w:rPr>
            </w:pPr>
            <w:r w:rsidRPr="008B1DAB">
              <w:rPr>
                <w:rFonts w:ascii="Arial" w:hAnsi="Arial" w:cs="Arial"/>
                <w:b/>
                <w:bCs/>
                <w:i/>
                <w:iCs/>
                <w:color w:val="000000"/>
                <w:sz w:val="16"/>
                <w:szCs w:val="16"/>
              </w:rPr>
              <w:t xml:space="preserve">24,900,093 </w:t>
            </w:r>
          </w:p>
        </w:tc>
        <w:tc>
          <w:tcPr>
            <w:tcW w:w="648" w:type="pct"/>
            <w:tcBorders>
              <w:top w:val="nil"/>
              <w:left w:val="nil"/>
              <w:bottom w:val="single" w:sz="4" w:space="0" w:color="000000"/>
              <w:right w:val="nil"/>
            </w:tcBorders>
            <w:shd w:val="clear" w:color="auto" w:fill="auto"/>
            <w:noWrap/>
            <w:vAlign w:val="bottom"/>
            <w:hideMark/>
          </w:tcPr>
          <w:p w14:paraId="767F8864"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25,152,864 </w:t>
            </w:r>
          </w:p>
        </w:tc>
        <w:tc>
          <w:tcPr>
            <w:tcW w:w="648" w:type="pct"/>
            <w:tcBorders>
              <w:top w:val="nil"/>
              <w:left w:val="nil"/>
              <w:bottom w:val="single" w:sz="4" w:space="0" w:color="000000"/>
              <w:right w:val="nil"/>
            </w:tcBorders>
            <w:shd w:val="clear" w:color="auto" w:fill="auto"/>
            <w:noWrap/>
            <w:vAlign w:val="bottom"/>
            <w:hideMark/>
          </w:tcPr>
          <w:p w14:paraId="15A06A4E"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25,235,844 </w:t>
            </w:r>
          </w:p>
        </w:tc>
        <w:tc>
          <w:tcPr>
            <w:tcW w:w="648" w:type="pct"/>
            <w:tcBorders>
              <w:top w:val="nil"/>
              <w:left w:val="nil"/>
              <w:bottom w:val="single" w:sz="4" w:space="0" w:color="000000"/>
              <w:right w:val="nil"/>
            </w:tcBorders>
            <w:shd w:val="clear" w:color="auto" w:fill="auto"/>
            <w:noWrap/>
            <w:vAlign w:val="bottom"/>
            <w:hideMark/>
          </w:tcPr>
          <w:p w14:paraId="461ADD1F" w14:textId="77777777" w:rsidR="008B1DAB" w:rsidRPr="008B1DAB" w:rsidRDefault="008B1DAB" w:rsidP="008B1DAB">
            <w:pPr>
              <w:spacing w:after="0" w:line="240" w:lineRule="auto"/>
              <w:jc w:val="right"/>
              <w:rPr>
                <w:rFonts w:ascii="Arial" w:hAnsi="Arial" w:cs="Arial"/>
                <w:b/>
                <w:bCs/>
                <w:color w:val="000000"/>
                <w:sz w:val="16"/>
                <w:szCs w:val="16"/>
              </w:rPr>
            </w:pPr>
            <w:r w:rsidRPr="008B1DAB">
              <w:rPr>
                <w:rFonts w:ascii="Arial" w:hAnsi="Arial" w:cs="Arial"/>
                <w:b/>
                <w:bCs/>
                <w:color w:val="000000"/>
                <w:sz w:val="16"/>
                <w:szCs w:val="16"/>
              </w:rPr>
              <w:t xml:space="preserve">25,244,507 </w:t>
            </w:r>
          </w:p>
        </w:tc>
      </w:tr>
    </w:tbl>
    <w:p w14:paraId="6EFAC261" w14:textId="40EF3D82" w:rsidR="004D458D" w:rsidRDefault="00DD05A6" w:rsidP="00350F81">
      <w:pPr>
        <w:pStyle w:val="Source"/>
      </w:pPr>
      <w:r w:rsidRPr="002F7596">
        <w:t>Prepared on Australian Accounting Standards basis.</w:t>
      </w:r>
      <w:r w:rsidR="004D458D">
        <w:br w:type="page"/>
      </w:r>
    </w:p>
    <w:p w14:paraId="1320D5A3" w14:textId="74216A12" w:rsidR="00507BC0" w:rsidRPr="00507BC0" w:rsidRDefault="00DD05A6" w:rsidP="00507BC0">
      <w:pPr>
        <w:pStyle w:val="TableHeading"/>
      </w:pPr>
      <w:r>
        <w:lastRenderedPageBreak/>
        <w:t xml:space="preserve">Table 3.9: </w:t>
      </w:r>
      <w:r w:rsidRPr="00C41D55">
        <w:t xml:space="preserve">Schedule of </w:t>
      </w:r>
      <w:r>
        <w:t xml:space="preserve">budgeted administered cash flows </w:t>
      </w:r>
      <w:r w:rsidRPr="00C41D55">
        <w:t>(for</w:t>
      </w:r>
      <w:r>
        <w:t> the </w:t>
      </w:r>
      <w:r w:rsidRPr="00C41D55">
        <w:t>period ended 30 June)</w:t>
      </w:r>
    </w:p>
    <w:tbl>
      <w:tblPr>
        <w:tblW w:w="5000" w:type="pct"/>
        <w:tblCellMar>
          <w:left w:w="0" w:type="dxa"/>
          <w:right w:w="28" w:type="dxa"/>
        </w:tblCellMar>
        <w:tblLook w:val="04A0" w:firstRow="1" w:lastRow="0" w:firstColumn="1" w:lastColumn="0" w:noHBand="0" w:noVBand="1"/>
      </w:tblPr>
      <w:tblGrid>
        <w:gridCol w:w="4268"/>
        <w:gridCol w:w="1455"/>
        <w:gridCol w:w="1454"/>
        <w:gridCol w:w="1454"/>
        <w:gridCol w:w="1454"/>
        <w:gridCol w:w="1454"/>
      </w:tblGrid>
      <w:tr w:rsidR="00507BC0" w:rsidRPr="00507BC0" w14:paraId="39BA10A7" w14:textId="77777777" w:rsidTr="00507BC0">
        <w:trPr>
          <w:trHeight w:hRule="exact" w:val="900"/>
        </w:trPr>
        <w:tc>
          <w:tcPr>
            <w:tcW w:w="1848" w:type="pct"/>
            <w:tcBorders>
              <w:top w:val="single" w:sz="4" w:space="0" w:color="auto"/>
              <w:left w:val="nil"/>
              <w:bottom w:val="nil"/>
              <w:right w:val="nil"/>
            </w:tcBorders>
            <w:shd w:val="clear" w:color="auto" w:fill="auto"/>
            <w:noWrap/>
            <w:hideMark/>
          </w:tcPr>
          <w:p w14:paraId="15D0AD23" w14:textId="710CCCFC" w:rsidR="00507BC0" w:rsidRPr="00507BC0" w:rsidRDefault="00507BC0" w:rsidP="00507BC0">
            <w:pPr>
              <w:spacing w:after="0" w:line="240" w:lineRule="auto"/>
              <w:rPr>
                <w:rFonts w:ascii="Arial" w:hAnsi="Arial" w:cs="Arial"/>
                <w:b/>
                <w:bCs/>
                <w:sz w:val="16"/>
                <w:szCs w:val="16"/>
              </w:rPr>
            </w:pPr>
            <w:r w:rsidRPr="00507BC0">
              <w:rPr>
                <w:rFonts w:ascii="Arial" w:hAnsi="Arial" w:cs="Arial"/>
                <w:b/>
                <w:bCs/>
                <w:sz w:val="16"/>
                <w:szCs w:val="16"/>
              </w:rPr>
              <w:t> </w:t>
            </w:r>
          </w:p>
        </w:tc>
        <w:tc>
          <w:tcPr>
            <w:tcW w:w="630" w:type="pct"/>
            <w:tcBorders>
              <w:top w:val="single" w:sz="4" w:space="0" w:color="auto"/>
              <w:left w:val="nil"/>
              <w:bottom w:val="single" w:sz="4" w:space="0" w:color="auto"/>
              <w:right w:val="nil"/>
            </w:tcBorders>
            <w:shd w:val="clear" w:color="auto" w:fill="auto"/>
            <w:hideMark/>
          </w:tcPr>
          <w:p w14:paraId="018ECFFD" w14:textId="4E044F8D"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2021</w:t>
            </w:r>
            <w:r w:rsidR="00B33758">
              <w:rPr>
                <w:rFonts w:ascii="Arial" w:hAnsi="Arial" w:cs="Arial"/>
                <w:sz w:val="16"/>
                <w:szCs w:val="16"/>
              </w:rPr>
              <w:noBreakHyphen/>
            </w:r>
            <w:r w:rsidRPr="00507BC0">
              <w:rPr>
                <w:rFonts w:ascii="Arial" w:hAnsi="Arial" w:cs="Arial"/>
                <w:sz w:val="16"/>
                <w:szCs w:val="16"/>
              </w:rPr>
              <w:t xml:space="preserve">22 </w:t>
            </w:r>
            <w:r w:rsidRPr="00507BC0">
              <w:rPr>
                <w:rFonts w:ascii="Arial" w:hAnsi="Arial" w:cs="Arial"/>
                <w:sz w:val="16"/>
                <w:szCs w:val="16"/>
              </w:rPr>
              <w:br/>
              <w:t>Estimated actual</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E6E6E6"/>
            <w:hideMark/>
          </w:tcPr>
          <w:p w14:paraId="5ECDE032" w14:textId="64E25083"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2022</w:t>
            </w:r>
            <w:r w:rsidR="00B33758">
              <w:rPr>
                <w:rFonts w:ascii="Arial" w:hAnsi="Arial" w:cs="Arial"/>
                <w:sz w:val="16"/>
                <w:szCs w:val="16"/>
              </w:rPr>
              <w:noBreakHyphen/>
            </w:r>
            <w:r w:rsidRPr="00507BC0">
              <w:rPr>
                <w:rFonts w:ascii="Arial" w:hAnsi="Arial" w:cs="Arial"/>
                <w:sz w:val="16"/>
                <w:szCs w:val="16"/>
              </w:rPr>
              <w:t>23</w:t>
            </w:r>
            <w:r w:rsidRPr="00507BC0">
              <w:rPr>
                <w:rFonts w:ascii="Arial" w:hAnsi="Arial" w:cs="Arial"/>
                <w:sz w:val="16"/>
                <w:szCs w:val="16"/>
              </w:rPr>
              <w:br/>
              <w:t>Budget</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hideMark/>
          </w:tcPr>
          <w:p w14:paraId="1B1EBC5A" w14:textId="483F4F55"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2023</w:t>
            </w:r>
            <w:r w:rsidR="00B33758">
              <w:rPr>
                <w:rFonts w:ascii="Arial" w:hAnsi="Arial" w:cs="Arial"/>
                <w:sz w:val="16"/>
                <w:szCs w:val="16"/>
              </w:rPr>
              <w:noBreakHyphen/>
            </w:r>
            <w:r w:rsidRPr="00507BC0">
              <w:rPr>
                <w:rFonts w:ascii="Arial" w:hAnsi="Arial" w:cs="Arial"/>
                <w:sz w:val="16"/>
                <w:szCs w:val="16"/>
              </w:rPr>
              <w:t xml:space="preserve">24 </w:t>
            </w:r>
            <w:r w:rsidRPr="00507BC0">
              <w:rPr>
                <w:rFonts w:ascii="Arial" w:hAnsi="Arial" w:cs="Arial"/>
                <w:sz w:val="16"/>
                <w:szCs w:val="16"/>
              </w:rPr>
              <w:br/>
              <w:t>Forward estimate</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hideMark/>
          </w:tcPr>
          <w:p w14:paraId="052C9401" w14:textId="282764DD"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2024</w:t>
            </w:r>
            <w:r w:rsidR="00B33758">
              <w:rPr>
                <w:rFonts w:ascii="Arial" w:hAnsi="Arial" w:cs="Arial"/>
                <w:sz w:val="16"/>
                <w:szCs w:val="16"/>
              </w:rPr>
              <w:noBreakHyphen/>
            </w:r>
            <w:r w:rsidRPr="00507BC0">
              <w:rPr>
                <w:rFonts w:ascii="Arial" w:hAnsi="Arial" w:cs="Arial"/>
                <w:sz w:val="16"/>
                <w:szCs w:val="16"/>
              </w:rPr>
              <w:t xml:space="preserve">25 </w:t>
            </w:r>
            <w:r w:rsidRPr="00507BC0">
              <w:rPr>
                <w:rFonts w:ascii="Arial" w:hAnsi="Arial" w:cs="Arial"/>
                <w:sz w:val="16"/>
                <w:szCs w:val="16"/>
              </w:rPr>
              <w:br/>
              <w:t>Forward estimate</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hideMark/>
          </w:tcPr>
          <w:p w14:paraId="1A368C89" w14:textId="0048B37F" w:rsidR="00507BC0" w:rsidRPr="00507BC0" w:rsidRDefault="00507BC0" w:rsidP="00507BC0">
            <w:pPr>
              <w:spacing w:after="0" w:line="240" w:lineRule="auto"/>
              <w:jc w:val="right"/>
              <w:rPr>
                <w:rFonts w:ascii="Arial" w:hAnsi="Arial" w:cs="Arial"/>
                <w:sz w:val="16"/>
                <w:szCs w:val="16"/>
              </w:rPr>
            </w:pPr>
            <w:r w:rsidRPr="00507BC0">
              <w:rPr>
                <w:rFonts w:ascii="Arial" w:hAnsi="Arial" w:cs="Arial"/>
                <w:sz w:val="16"/>
                <w:szCs w:val="16"/>
              </w:rPr>
              <w:t>2025</w:t>
            </w:r>
            <w:r w:rsidR="00B33758">
              <w:rPr>
                <w:rFonts w:ascii="Arial" w:hAnsi="Arial" w:cs="Arial"/>
                <w:sz w:val="16"/>
                <w:szCs w:val="16"/>
              </w:rPr>
              <w:noBreakHyphen/>
            </w:r>
            <w:r w:rsidRPr="00507BC0">
              <w:rPr>
                <w:rFonts w:ascii="Arial" w:hAnsi="Arial" w:cs="Arial"/>
                <w:sz w:val="16"/>
                <w:szCs w:val="16"/>
              </w:rPr>
              <w:t>26</w:t>
            </w:r>
            <w:r w:rsidRPr="00507BC0">
              <w:rPr>
                <w:rFonts w:ascii="Arial" w:hAnsi="Arial" w:cs="Arial"/>
                <w:sz w:val="16"/>
                <w:szCs w:val="16"/>
              </w:rPr>
              <w:br/>
              <w:t>Forward estimate</w:t>
            </w:r>
            <w:r w:rsidRPr="00507BC0">
              <w:rPr>
                <w:rFonts w:ascii="Arial" w:hAnsi="Arial" w:cs="Arial"/>
                <w:sz w:val="16"/>
                <w:szCs w:val="16"/>
              </w:rPr>
              <w:br/>
              <w:t>$</w:t>
            </w:r>
            <w:r w:rsidR="00B33758">
              <w:rPr>
                <w:rFonts w:ascii="Arial" w:hAnsi="Arial" w:cs="Arial"/>
                <w:sz w:val="16"/>
                <w:szCs w:val="16"/>
              </w:rPr>
              <w:t>’</w:t>
            </w:r>
            <w:r w:rsidRPr="00507BC0">
              <w:rPr>
                <w:rFonts w:ascii="Arial" w:hAnsi="Arial" w:cs="Arial"/>
                <w:sz w:val="16"/>
                <w:szCs w:val="16"/>
              </w:rPr>
              <w:t>000</w:t>
            </w:r>
          </w:p>
        </w:tc>
      </w:tr>
      <w:tr w:rsidR="00507BC0" w:rsidRPr="00507BC0" w14:paraId="6C7D1557" w14:textId="77777777" w:rsidTr="00507BC0">
        <w:trPr>
          <w:trHeight w:hRule="exact" w:val="225"/>
        </w:trPr>
        <w:tc>
          <w:tcPr>
            <w:tcW w:w="1848" w:type="pct"/>
            <w:tcBorders>
              <w:top w:val="nil"/>
              <w:left w:val="nil"/>
              <w:bottom w:val="nil"/>
              <w:right w:val="nil"/>
            </w:tcBorders>
            <w:shd w:val="clear" w:color="auto" w:fill="auto"/>
            <w:noWrap/>
            <w:vAlign w:val="center"/>
            <w:hideMark/>
          </w:tcPr>
          <w:p w14:paraId="321DA8F1"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OPERATING ACTIVITIES</w:t>
            </w:r>
          </w:p>
        </w:tc>
        <w:tc>
          <w:tcPr>
            <w:tcW w:w="630" w:type="pct"/>
            <w:tcBorders>
              <w:top w:val="nil"/>
              <w:left w:val="nil"/>
              <w:bottom w:val="nil"/>
              <w:right w:val="nil"/>
            </w:tcBorders>
            <w:shd w:val="clear" w:color="auto" w:fill="auto"/>
            <w:noWrap/>
            <w:vAlign w:val="center"/>
            <w:hideMark/>
          </w:tcPr>
          <w:p w14:paraId="36E6E9F6" w14:textId="77777777" w:rsidR="00507BC0" w:rsidRPr="00507BC0" w:rsidRDefault="00507BC0" w:rsidP="00507BC0">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53AA55FC" w14:textId="77777777" w:rsidR="00507BC0" w:rsidRPr="00507BC0" w:rsidRDefault="00507BC0" w:rsidP="00507BC0">
            <w:pPr>
              <w:spacing w:after="0" w:line="240" w:lineRule="auto"/>
              <w:jc w:val="left"/>
              <w:rPr>
                <w:rFonts w:ascii="Arial" w:hAnsi="Arial" w:cs="Arial"/>
                <w:color w:val="000000"/>
                <w:sz w:val="16"/>
                <w:szCs w:val="16"/>
              </w:rPr>
            </w:pPr>
            <w:r w:rsidRPr="00507BC0">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48B199A9" w14:textId="77777777" w:rsidR="00507BC0" w:rsidRPr="00507BC0" w:rsidRDefault="00507BC0" w:rsidP="00507BC0">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6060BE8F" w14:textId="77777777" w:rsidR="00507BC0" w:rsidRPr="00507BC0" w:rsidRDefault="00507BC0" w:rsidP="00507BC0">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7A7B6FCD" w14:textId="77777777" w:rsidR="00507BC0" w:rsidRPr="00507BC0" w:rsidRDefault="00507BC0" w:rsidP="00507BC0">
            <w:pPr>
              <w:spacing w:after="0" w:line="240" w:lineRule="auto"/>
              <w:jc w:val="left"/>
              <w:rPr>
                <w:rFonts w:ascii="Times New Roman" w:hAnsi="Times New Roman"/>
              </w:rPr>
            </w:pPr>
          </w:p>
        </w:tc>
      </w:tr>
      <w:tr w:rsidR="00507BC0" w:rsidRPr="00507BC0" w14:paraId="04318C12" w14:textId="77777777" w:rsidTr="00507BC0">
        <w:trPr>
          <w:trHeight w:hRule="exact" w:val="225"/>
        </w:trPr>
        <w:tc>
          <w:tcPr>
            <w:tcW w:w="1848" w:type="pct"/>
            <w:tcBorders>
              <w:top w:val="nil"/>
              <w:left w:val="nil"/>
              <w:bottom w:val="nil"/>
              <w:right w:val="nil"/>
            </w:tcBorders>
            <w:shd w:val="clear" w:color="auto" w:fill="auto"/>
            <w:noWrap/>
            <w:vAlign w:val="center"/>
            <w:hideMark/>
          </w:tcPr>
          <w:p w14:paraId="15A88CD7"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Cash received</w:t>
            </w:r>
          </w:p>
        </w:tc>
        <w:tc>
          <w:tcPr>
            <w:tcW w:w="630" w:type="pct"/>
            <w:tcBorders>
              <w:top w:val="nil"/>
              <w:left w:val="nil"/>
              <w:bottom w:val="nil"/>
              <w:right w:val="nil"/>
            </w:tcBorders>
            <w:shd w:val="clear" w:color="auto" w:fill="auto"/>
            <w:noWrap/>
            <w:vAlign w:val="center"/>
            <w:hideMark/>
          </w:tcPr>
          <w:p w14:paraId="7E2FCCAC" w14:textId="77777777" w:rsidR="00507BC0" w:rsidRPr="00507BC0" w:rsidRDefault="00507BC0" w:rsidP="00507BC0">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0ACBE803" w14:textId="77777777" w:rsidR="00507BC0" w:rsidRPr="00507BC0" w:rsidRDefault="00507BC0" w:rsidP="00507BC0">
            <w:pPr>
              <w:spacing w:after="0" w:line="240" w:lineRule="auto"/>
              <w:jc w:val="left"/>
              <w:rPr>
                <w:rFonts w:ascii="Arial" w:hAnsi="Arial" w:cs="Arial"/>
                <w:color w:val="000000"/>
                <w:sz w:val="16"/>
                <w:szCs w:val="16"/>
              </w:rPr>
            </w:pPr>
            <w:r w:rsidRPr="00507BC0">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4B906294" w14:textId="77777777" w:rsidR="00507BC0" w:rsidRPr="00507BC0" w:rsidRDefault="00507BC0" w:rsidP="00507BC0">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7D229709" w14:textId="77777777" w:rsidR="00507BC0" w:rsidRPr="00507BC0" w:rsidRDefault="00507BC0" w:rsidP="00507BC0">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33093B37" w14:textId="77777777" w:rsidR="00507BC0" w:rsidRPr="00507BC0" w:rsidRDefault="00507BC0" w:rsidP="00507BC0">
            <w:pPr>
              <w:spacing w:after="0" w:line="240" w:lineRule="auto"/>
              <w:jc w:val="left"/>
              <w:rPr>
                <w:rFonts w:ascii="Times New Roman" w:hAnsi="Times New Roman"/>
              </w:rPr>
            </w:pPr>
          </w:p>
        </w:tc>
      </w:tr>
      <w:tr w:rsidR="00507BC0" w:rsidRPr="00507BC0" w14:paraId="6F11FE66" w14:textId="77777777" w:rsidTr="00891745">
        <w:trPr>
          <w:trHeight w:hRule="exact" w:val="235"/>
        </w:trPr>
        <w:tc>
          <w:tcPr>
            <w:tcW w:w="1848" w:type="pct"/>
            <w:tcBorders>
              <w:top w:val="nil"/>
              <w:left w:val="nil"/>
              <w:bottom w:val="nil"/>
              <w:right w:val="nil"/>
            </w:tcBorders>
            <w:shd w:val="clear" w:color="auto" w:fill="auto"/>
            <w:vAlign w:val="center"/>
            <w:hideMark/>
          </w:tcPr>
          <w:p w14:paraId="7BD72EE8" w14:textId="1A954D7C" w:rsidR="00507BC0" w:rsidRPr="00507BC0" w:rsidRDefault="00507BC0" w:rsidP="00507BC0">
            <w:pPr>
              <w:spacing w:after="0" w:line="240" w:lineRule="auto"/>
              <w:ind w:left="170"/>
              <w:jc w:val="left"/>
              <w:rPr>
                <w:rFonts w:ascii="Arial" w:hAnsi="Arial" w:cs="Arial"/>
                <w:sz w:val="16"/>
                <w:szCs w:val="16"/>
              </w:rPr>
            </w:pPr>
            <w:r w:rsidRPr="00507BC0">
              <w:rPr>
                <w:rFonts w:ascii="Arial" w:hAnsi="Arial" w:cs="Arial"/>
                <w:sz w:val="16"/>
                <w:szCs w:val="16"/>
              </w:rPr>
              <w:t>Sales of goods and rendering of services</w:t>
            </w:r>
          </w:p>
        </w:tc>
        <w:tc>
          <w:tcPr>
            <w:tcW w:w="630" w:type="pct"/>
            <w:tcBorders>
              <w:top w:val="nil"/>
              <w:left w:val="nil"/>
              <w:bottom w:val="nil"/>
              <w:right w:val="nil"/>
            </w:tcBorders>
            <w:shd w:val="clear" w:color="auto" w:fill="auto"/>
            <w:noWrap/>
            <w:vAlign w:val="center"/>
            <w:hideMark/>
          </w:tcPr>
          <w:p w14:paraId="092F661B"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937 </w:t>
            </w:r>
          </w:p>
        </w:tc>
        <w:tc>
          <w:tcPr>
            <w:tcW w:w="630" w:type="pct"/>
            <w:tcBorders>
              <w:top w:val="nil"/>
              <w:left w:val="nil"/>
              <w:bottom w:val="nil"/>
              <w:right w:val="nil"/>
            </w:tcBorders>
            <w:shd w:val="clear" w:color="000000" w:fill="E6E6E6"/>
            <w:noWrap/>
            <w:vAlign w:val="center"/>
            <w:hideMark/>
          </w:tcPr>
          <w:p w14:paraId="7A6CDBF8"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777 </w:t>
            </w:r>
          </w:p>
        </w:tc>
        <w:tc>
          <w:tcPr>
            <w:tcW w:w="630" w:type="pct"/>
            <w:tcBorders>
              <w:top w:val="nil"/>
              <w:left w:val="nil"/>
              <w:bottom w:val="nil"/>
              <w:right w:val="nil"/>
            </w:tcBorders>
            <w:shd w:val="clear" w:color="auto" w:fill="auto"/>
            <w:noWrap/>
            <w:vAlign w:val="center"/>
            <w:hideMark/>
          </w:tcPr>
          <w:p w14:paraId="3D3FA1D8" w14:textId="09FBD65E"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4D30B2E9" w14:textId="5CA828B3"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604C6D82" w14:textId="1B4A07D4"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r>
      <w:tr w:rsidR="00507BC0" w:rsidRPr="00507BC0" w14:paraId="2BB9350A" w14:textId="77777777" w:rsidTr="00507BC0">
        <w:trPr>
          <w:trHeight w:hRule="exact" w:val="225"/>
        </w:trPr>
        <w:tc>
          <w:tcPr>
            <w:tcW w:w="1848" w:type="pct"/>
            <w:tcBorders>
              <w:top w:val="nil"/>
              <w:left w:val="nil"/>
              <w:bottom w:val="nil"/>
              <w:right w:val="nil"/>
            </w:tcBorders>
            <w:shd w:val="clear" w:color="auto" w:fill="auto"/>
            <w:noWrap/>
            <w:vAlign w:val="center"/>
            <w:hideMark/>
          </w:tcPr>
          <w:p w14:paraId="205977A8" w14:textId="77777777" w:rsidR="00507BC0" w:rsidRPr="00507BC0" w:rsidRDefault="00507BC0" w:rsidP="00507BC0">
            <w:pPr>
              <w:spacing w:after="0" w:line="240" w:lineRule="auto"/>
              <w:ind w:left="170"/>
              <w:jc w:val="left"/>
              <w:rPr>
                <w:rFonts w:ascii="Arial" w:hAnsi="Arial" w:cs="Arial"/>
                <w:color w:val="000000"/>
                <w:sz w:val="16"/>
                <w:szCs w:val="16"/>
              </w:rPr>
            </w:pPr>
            <w:r w:rsidRPr="00507BC0">
              <w:rPr>
                <w:rFonts w:ascii="Arial" w:hAnsi="Arial" w:cs="Arial"/>
                <w:color w:val="000000"/>
                <w:sz w:val="16"/>
                <w:szCs w:val="16"/>
              </w:rPr>
              <w:t>Interest</w:t>
            </w:r>
          </w:p>
        </w:tc>
        <w:tc>
          <w:tcPr>
            <w:tcW w:w="630" w:type="pct"/>
            <w:tcBorders>
              <w:top w:val="nil"/>
              <w:left w:val="nil"/>
              <w:bottom w:val="nil"/>
              <w:right w:val="nil"/>
            </w:tcBorders>
            <w:shd w:val="clear" w:color="auto" w:fill="auto"/>
            <w:noWrap/>
            <w:vAlign w:val="center"/>
            <w:hideMark/>
          </w:tcPr>
          <w:p w14:paraId="23503163"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46,735 </w:t>
            </w:r>
          </w:p>
        </w:tc>
        <w:tc>
          <w:tcPr>
            <w:tcW w:w="630" w:type="pct"/>
            <w:tcBorders>
              <w:top w:val="nil"/>
              <w:left w:val="nil"/>
              <w:bottom w:val="nil"/>
              <w:right w:val="nil"/>
            </w:tcBorders>
            <w:shd w:val="clear" w:color="000000" w:fill="E6E6E6"/>
            <w:noWrap/>
            <w:vAlign w:val="center"/>
            <w:hideMark/>
          </w:tcPr>
          <w:p w14:paraId="56837622"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86,014 </w:t>
            </w:r>
          </w:p>
        </w:tc>
        <w:tc>
          <w:tcPr>
            <w:tcW w:w="630" w:type="pct"/>
            <w:tcBorders>
              <w:top w:val="nil"/>
              <w:left w:val="nil"/>
              <w:bottom w:val="nil"/>
              <w:right w:val="nil"/>
            </w:tcBorders>
            <w:shd w:val="clear" w:color="auto" w:fill="auto"/>
            <w:noWrap/>
            <w:vAlign w:val="center"/>
            <w:hideMark/>
          </w:tcPr>
          <w:p w14:paraId="0C57E805"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131,219 </w:t>
            </w:r>
          </w:p>
        </w:tc>
        <w:tc>
          <w:tcPr>
            <w:tcW w:w="630" w:type="pct"/>
            <w:tcBorders>
              <w:top w:val="nil"/>
              <w:left w:val="nil"/>
              <w:bottom w:val="nil"/>
              <w:right w:val="nil"/>
            </w:tcBorders>
            <w:shd w:val="clear" w:color="auto" w:fill="auto"/>
            <w:noWrap/>
            <w:vAlign w:val="center"/>
            <w:hideMark/>
          </w:tcPr>
          <w:p w14:paraId="236CD059"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160,780 </w:t>
            </w:r>
          </w:p>
        </w:tc>
        <w:tc>
          <w:tcPr>
            <w:tcW w:w="630" w:type="pct"/>
            <w:tcBorders>
              <w:top w:val="nil"/>
              <w:left w:val="nil"/>
              <w:bottom w:val="nil"/>
              <w:right w:val="nil"/>
            </w:tcBorders>
            <w:shd w:val="clear" w:color="auto" w:fill="auto"/>
            <w:noWrap/>
            <w:vAlign w:val="center"/>
            <w:hideMark/>
          </w:tcPr>
          <w:p w14:paraId="2081B994"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201,871 </w:t>
            </w:r>
          </w:p>
        </w:tc>
      </w:tr>
      <w:tr w:rsidR="00507BC0" w:rsidRPr="00507BC0" w14:paraId="1D26C1E4" w14:textId="77777777" w:rsidTr="00507BC0">
        <w:trPr>
          <w:trHeight w:hRule="exact" w:val="225"/>
        </w:trPr>
        <w:tc>
          <w:tcPr>
            <w:tcW w:w="1848" w:type="pct"/>
            <w:tcBorders>
              <w:top w:val="nil"/>
              <w:left w:val="nil"/>
              <w:bottom w:val="nil"/>
              <w:right w:val="nil"/>
            </w:tcBorders>
            <w:shd w:val="clear" w:color="auto" w:fill="auto"/>
            <w:noWrap/>
            <w:vAlign w:val="center"/>
            <w:hideMark/>
          </w:tcPr>
          <w:p w14:paraId="7B34850A" w14:textId="77777777" w:rsidR="00507BC0" w:rsidRPr="00507BC0" w:rsidRDefault="00507BC0" w:rsidP="00507BC0">
            <w:pPr>
              <w:spacing w:after="0" w:line="240" w:lineRule="auto"/>
              <w:ind w:left="170"/>
              <w:jc w:val="left"/>
              <w:rPr>
                <w:rFonts w:ascii="Arial" w:hAnsi="Arial" w:cs="Arial"/>
                <w:color w:val="000000"/>
                <w:sz w:val="16"/>
                <w:szCs w:val="16"/>
              </w:rPr>
            </w:pPr>
            <w:r w:rsidRPr="00507BC0">
              <w:rPr>
                <w:rFonts w:ascii="Arial" w:hAnsi="Arial" w:cs="Arial"/>
                <w:color w:val="000000"/>
                <w:sz w:val="16"/>
                <w:szCs w:val="16"/>
              </w:rPr>
              <w:t>Dividends</w:t>
            </w:r>
          </w:p>
        </w:tc>
        <w:tc>
          <w:tcPr>
            <w:tcW w:w="630" w:type="pct"/>
            <w:tcBorders>
              <w:top w:val="nil"/>
              <w:left w:val="nil"/>
              <w:bottom w:val="nil"/>
              <w:right w:val="nil"/>
            </w:tcBorders>
            <w:shd w:val="clear" w:color="auto" w:fill="auto"/>
            <w:noWrap/>
            <w:vAlign w:val="center"/>
            <w:hideMark/>
          </w:tcPr>
          <w:p w14:paraId="28E0CA9E"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2,669,000 </w:t>
            </w:r>
          </w:p>
        </w:tc>
        <w:tc>
          <w:tcPr>
            <w:tcW w:w="630" w:type="pct"/>
            <w:tcBorders>
              <w:top w:val="nil"/>
              <w:left w:val="nil"/>
              <w:bottom w:val="nil"/>
              <w:right w:val="nil"/>
            </w:tcBorders>
            <w:shd w:val="clear" w:color="000000" w:fill="E6E6E6"/>
            <w:noWrap/>
            <w:vAlign w:val="center"/>
            <w:hideMark/>
          </w:tcPr>
          <w:p w14:paraId="52C9DE26" w14:textId="64FC80EE"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255C2DF9" w14:textId="66F96526"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5C5C7EF3" w14:textId="0B3D9A0F"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637F13C8" w14:textId="5AC57357"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r>
      <w:tr w:rsidR="00507BC0" w:rsidRPr="00507BC0" w14:paraId="16EACEAD" w14:textId="77777777" w:rsidTr="00507BC0">
        <w:trPr>
          <w:trHeight w:hRule="exact" w:val="225"/>
        </w:trPr>
        <w:tc>
          <w:tcPr>
            <w:tcW w:w="1848" w:type="pct"/>
            <w:tcBorders>
              <w:top w:val="nil"/>
              <w:left w:val="nil"/>
              <w:bottom w:val="nil"/>
              <w:right w:val="nil"/>
            </w:tcBorders>
            <w:shd w:val="clear" w:color="auto" w:fill="auto"/>
            <w:noWrap/>
            <w:vAlign w:val="center"/>
            <w:hideMark/>
          </w:tcPr>
          <w:p w14:paraId="72E90052" w14:textId="77777777" w:rsidR="00507BC0" w:rsidRPr="00507BC0" w:rsidRDefault="00507BC0" w:rsidP="00507BC0">
            <w:pPr>
              <w:spacing w:after="0" w:line="240" w:lineRule="auto"/>
              <w:ind w:left="170"/>
              <w:jc w:val="left"/>
              <w:rPr>
                <w:rFonts w:ascii="Arial" w:hAnsi="Arial" w:cs="Arial"/>
                <w:color w:val="000000"/>
                <w:sz w:val="16"/>
                <w:szCs w:val="16"/>
              </w:rPr>
            </w:pPr>
            <w:r w:rsidRPr="00507BC0">
              <w:rPr>
                <w:rFonts w:ascii="Arial" w:hAnsi="Arial" w:cs="Arial"/>
                <w:color w:val="000000"/>
                <w:sz w:val="16"/>
                <w:szCs w:val="16"/>
              </w:rPr>
              <w:t>COAG receipts from government entities</w:t>
            </w:r>
          </w:p>
        </w:tc>
        <w:tc>
          <w:tcPr>
            <w:tcW w:w="630" w:type="pct"/>
            <w:tcBorders>
              <w:top w:val="nil"/>
              <w:left w:val="nil"/>
              <w:bottom w:val="nil"/>
              <w:right w:val="nil"/>
            </w:tcBorders>
            <w:shd w:val="clear" w:color="auto" w:fill="auto"/>
            <w:noWrap/>
            <w:vAlign w:val="center"/>
            <w:hideMark/>
          </w:tcPr>
          <w:p w14:paraId="6FBE4857"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27,263,544 </w:t>
            </w:r>
          </w:p>
        </w:tc>
        <w:tc>
          <w:tcPr>
            <w:tcW w:w="630" w:type="pct"/>
            <w:tcBorders>
              <w:top w:val="nil"/>
              <w:left w:val="nil"/>
              <w:bottom w:val="nil"/>
              <w:right w:val="nil"/>
            </w:tcBorders>
            <w:shd w:val="clear" w:color="000000" w:fill="E6E6E6"/>
            <w:noWrap/>
            <w:vAlign w:val="center"/>
            <w:hideMark/>
          </w:tcPr>
          <w:p w14:paraId="71EA29DD"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27,729,843 </w:t>
            </w:r>
          </w:p>
        </w:tc>
        <w:tc>
          <w:tcPr>
            <w:tcW w:w="630" w:type="pct"/>
            <w:tcBorders>
              <w:top w:val="nil"/>
              <w:left w:val="nil"/>
              <w:bottom w:val="nil"/>
              <w:right w:val="nil"/>
            </w:tcBorders>
            <w:shd w:val="clear" w:color="auto" w:fill="auto"/>
            <w:noWrap/>
            <w:vAlign w:val="center"/>
            <w:hideMark/>
          </w:tcPr>
          <w:p w14:paraId="3F54F1A8"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28,864,653 </w:t>
            </w:r>
          </w:p>
        </w:tc>
        <w:tc>
          <w:tcPr>
            <w:tcW w:w="630" w:type="pct"/>
            <w:tcBorders>
              <w:top w:val="nil"/>
              <w:left w:val="nil"/>
              <w:bottom w:val="nil"/>
              <w:right w:val="nil"/>
            </w:tcBorders>
            <w:shd w:val="clear" w:color="auto" w:fill="auto"/>
            <w:noWrap/>
            <w:vAlign w:val="center"/>
            <w:hideMark/>
          </w:tcPr>
          <w:p w14:paraId="38C782F0"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28,689,593 </w:t>
            </w:r>
          </w:p>
        </w:tc>
        <w:tc>
          <w:tcPr>
            <w:tcW w:w="630" w:type="pct"/>
            <w:tcBorders>
              <w:top w:val="nil"/>
              <w:left w:val="nil"/>
              <w:bottom w:val="nil"/>
              <w:right w:val="nil"/>
            </w:tcBorders>
            <w:shd w:val="clear" w:color="auto" w:fill="auto"/>
            <w:noWrap/>
            <w:vAlign w:val="center"/>
            <w:hideMark/>
          </w:tcPr>
          <w:p w14:paraId="58F700E9"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29,659,353 </w:t>
            </w:r>
          </w:p>
        </w:tc>
      </w:tr>
      <w:tr w:rsidR="00507BC0" w:rsidRPr="00507BC0" w14:paraId="28286D32" w14:textId="77777777" w:rsidTr="00507BC0">
        <w:trPr>
          <w:trHeight w:hRule="exact" w:val="225"/>
        </w:trPr>
        <w:tc>
          <w:tcPr>
            <w:tcW w:w="1848" w:type="pct"/>
            <w:tcBorders>
              <w:top w:val="nil"/>
              <w:left w:val="nil"/>
              <w:bottom w:val="nil"/>
              <w:right w:val="nil"/>
            </w:tcBorders>
            <w:shd w:val="clear" w:color="auto" w:fill="auto"/>
            <w:noWrap/>
            <w:vAlign w:val="center"/>
            <w:hideMark/>
          </w:tcPr>
          <w:p w14:paraId="49078921" w14:textId="77777777" w:rsidR="00507BC0" w:rsidRPr="00507BC0" w:rsidRDefault="00507BC0" w:rsidP="00507BC0">
            <w:pPr>
              <w:spacing w:after="0" w:line="240" w:lineRule="auto"/>
              <w:ind w:left="170"/>
              <w:jc w:val="left"/>
              <w:rPr>
                <w:rFonts w:ascii="Arial" w:hAnsi="Arial" w:cs="Arial"/>
                <w:sz w:val="16"/>
                <w:szCs w:val="16"/>
              </w:rPr>
            </w:pPr>
            <w:r w:rsidRPr="00507BC0">
              <w:rPr>
                <w:rFonts w:ascii="Arial" w:hAnsi="Arial" w:cs="Arial"/>
                <w:sz w:val="16"/>
                <w:szCs w:val="16"/>
              </w:rPr>
              <w:t>Net GST received</w:t>
            </w:r>
          </w:p>
        </w:tc>
        <w:tc>
          <w:tcPr>
            <w:tcW w:w="630" w:type="pct"/>
            <w:tcBorders>
              <w:top w:val="nil"/>
              <w:left w:val="nil"/>
              <w:bottom w:val="nil"/>
              <w:right w:val="nil"/>
            </w:tcBorders>
            <w:shd w:val="clear" w:color="auto" w:fill="auto"/>
            <w:noWrap/>
            <w:vAlign w:val="center"/>
            <w:hideMark/>
          </w:tcPr>
          <w:p w14:paraId="41249F5D"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1,530,334 </w:t>
            </w:r>
          </w:p>
        </w:tc>
        <w:tc>
          <w:tcPr>
            <w:tcW w:w="630" w:type="pct"/>
            <w:tcBorders>
              <w:top w:val="nil"/>
              <w:left w:val="nil"/>
              <w:bottom w:val="nil"/>
              <w:right w:val="nil"/>
            </w:tcBorders>
            <w:shd w:val="clear" w:color="000000" w:fill="E6E6E6"/>
            <w:noWrap/>
            <w:vAlign w:val="center"/>
            <w:hideMark/>
          </w:tcPr>
          <w:p w14:paraId="35028D99"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1,612,623 </w:t>
            </w:r>
          </w:p>
        </w:tc>
        <w:tc>
          <w:tcPr>
            <w:tcW w:w="630" w:type="pct"/>
            <w:tcBorders>
              <w:top w:val="nil"/>
              <w:left w:val="nil"/>
              <w:bottom w:val="nil"/>
              <w:right w:val="nil"/>
            </w:tcBorders>
            <w:shd w:val="clear" w:color="auto" w:fill="auto"/>
            <w:noWrap/>
            <w:vAlign w:val="center"/>
            <w:hideMark/>
          </w:tcPr>
          <w:p w14:paraId="3DFF061E"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1,689,041 </w:t>
            </w:r>
          </w:p>
        </w:tc>
        <w:tc>
          <w:tcPr>
            <w:tcW w:w="630" w:type="pct"/>
            <w:tcBorders>
              <w:top w:val="nil"/>
              <w:left w:val="nil"/>
              <w:bottom w:val="nil"/>
              <w:right w:val="nil"/>
            </w:tcBorders>
            <w:shd w:val="clear" w:color="auto" w:fill="auto"/>
            <w:noWrap/>
            <w:vAlign w:val="center"/>
            <w:hideMark/>
          </w:tcPr>
          <w:p w14:paraId="7B9A7713"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1,746,777 </w:t>
            </w:r>
          </w:p>
        </w:tc>
        <w:tc>
          <w:tcPr>
            <w:tcW w:w="630" w:type="pct"/>
            <w:tcBorders>
              <w:top w:val="nil"/>
              <w:left w:val="nil"/>
              <w:bottom w:val="nil"/>
              <w:right w:val="nil"/>
            </w:tcBorders>
            <w:shd w:val="clear" w:color="auto" w:fill="auto"/>
            <w:noWrap/>
            <w:vAlign w:val="center"/>
            <w:hideMark/>
          </w:tcPr>
          <w:p w14:paraId="6FD70D5C"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1,800,486 </w:t>
            </w:r>
          </w:p>
        </w:tc>
      </w:tr>
      <w:tr w:rsidR="00507BC0" w:rsidRPr="00507BC0" w14:paraId="3526B48D" w14:textId="77777777" w:rsidTr="00507BC0">
        <w:trPr>
          <w:trHeight w:hRule="exact" w:val="225"/>
        </w:trPr>
        <w:tc>
          <w:tcPr>
            <w:tcW w:w="1848" w:type="pct"/>
            <w:tcBorders>
              <w:top w:val="nil"/>
              <w:left w:val="nil"/>
              <w:bottom w:val="nil"/>
              <w:right w:val="nil"/>
            </w:tcBorders>
            <w:shd w:val="clear" w:color="auto" w:fill="auto"/>
            <w:noWrap/>
            <w:vAlign w:val="center"/>
            <w:hideMark/>
          </w:tcPr>
          <w:p w14:paraId="31F1EADC" w14:textId="77777777" w:rsidR="00507BC0" w:rsidRPr="00507BC0" w:rsidRDefault="00507BC0" w:rsidP="00507BC0">
            <w:pPr>
              <w:spacing w:after="0" w:line="240" w:lineRule="auto"/>
              <w:ind w:left="170"/>
              <w:jc w:val="left"/>
              <w:rPr>
                <w:rFonts w:ascii="Arial" w:hAnsi="Arial" w:cs="Arial"/>
                <w:color w:val="000000"/>
                <w:sz w:val="16"/>
                <w:szCs w:val="16"/>
              </w:rPr>
            </w:pPr>
            <w:r w:rsidRPr="00507BC0">
              <w:rPr>
                <w:rFonts w:ascii="Arial" w:hAnsi="Arial" w:cs="Arial"/>
                <w:color w:val="000000"/>
                <w:sz w:val="16"/>
                <w:szCs w:val="16"/>
              </w:rPr>
              <w:t>Other</w:t>
            </w:r>
          </w:p>
        </w:tc>
        <w:tc>
          <w:tcPr>
            <w:tcW w:w="630" w:type="pct"/>
            <w:tcBorders>
              <w:top w:val="nil"/>
              <w:left w:val="nil"/>
              <w:bottom w:val="nil"/>
              <w:right w:val="nil"/>
            </w:tcBorders>
            <w:shd w:val="clear" w:color="auto" w:fill="auto"/>
            <w:noWrap/>
            <w:vAlign w:val="center"/>
            <w:hideMark/>
          </w:tcPr>
          <w:p w14:paraId="28CBCFA4"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95,906 </w:t>
            </w:r>
          </w:p>
        </w:tc>
        <w:tc>
          <w:tcPr>
            <w:tcW w:w="630" w:type="pct"/>
            <w:tcBorders>
              <w:top w:val="nil"/>
              <w:left w:val="nil"/>
              <w:bottom w:val="nil"/>
              <w:right w:val="nil"/>
            </w:tcBorders>
            <w:shd w:val="clear" w:color="000000" w:fill="E6E6E6"/>
            <w:noWrap/>
            <w:vAlign w:val="center"/>
            <w:hideMark/>
          </w:tcPr>
          <w:p w14:paraId="2DE998A0"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95,128 </w:t>
            </w:r>
          </w:p>
        </w:tc>
        <w:tc>
          <w:tcPr>
            <w:tcW w:w="630" w:type="pct"/>
            <w:tcBorders>
              <w:top w:val="nil"/>
              <w:left w:val="nil"/>
              <w:bottom w:val="nil"/>
              <w:right w:val="nil"/>
            </w:tcBorders>
            <w:shd w:val="clear" w:color="auto" w:fill="auto"/>
            <w:noWrap/>
            <w:vAlign w:val="center"/>
            <w:hideMark/>
          </w:tcPr>
          <w:p w14:paraId="759107FD"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94,453 </w:t>
            </w:r>
          </w:p>
        </w:tc>
        <w:tc>
          <w:tcPr>
            <w:tcW w:w="630" w:type="pct"/>
            <w:tcBorders>
              <w:top w:val="nil"/>
              <w:left w:val="nil"/>
              <w:bottom w:val="nil"/>
              <w:right w:val="nil"/>
            </w:tcBorders>
            <w:shd w:val="clear" w:color="auto" w:fill="auto"/>
            <w:noWrap/>
            <w:vAlign w:val="center"/>
            <w:hideMark/>
          </w:tcPr>
          <w:p w14:paraId="57EC7B41"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94,487 </w:t>
            </w:r>
          </w:p>
        </w:tc>
        <w:tc>
          <w:tcPr>
            <w:tcW w:w="630" w:type="pct"/>
            <w:tcBorders>
              <w:top w:val="nil"/>
              <w:left w:val="nil"/>
              <w:bottom w:val="nil"/>
              <w:right w:val="nil"/>
            </w:tcBorders>
            <w:shd w:val="clear" w:color="auto" w:fill="auto"/>
            <w:noWrap/>
            <w:vAlign w:val="center"/>
            <w:hideMark/>
          </w:tcPr>
          <w:p w14:paraId="264160AE"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94,522 </w:t>
            </w:r>
          </w:p>
        </w:tc>
      </w:tr>
      <w:tr w:rsidR="00507BC0" w:rsidRPr="00507BC0" w14:paraId="69E0209D" w14:textId="77777777" w:rsidTr="00507BC0">
        <w:trPr>
          <w:trHeight w:hRule="exact" w:val="210"/>
        </w:trPr>
        <w:tc>
          <w:tcPr>
            <w:tcW w:w="1848" w:type="pct"/>
            <w:tcBorders>
              <w:top w:val="nil"/>
              <w:left w:val="nil"/>
              <w:bottom w:val="nil"/>
              <w:right w:val="nil"/>
            </w:tcBorders>
            <w:shd w:val="clear" w:color="auto" w:fill="auto"/>
            <w:noWrap/>
            <w:vAlign w:val="center"/>
            <w:hideMark/>
          </w:tcPr>
          <w:p w14:paraId="28E947B0" w14:textId="77777777" w:rsidR="00507BC0" w:rsidRPr="00507BC0" w:rsidRDefault="00507BC0" w:rsidP="00507BC0">
            <w:pPr>
              <w:spacing w:after="0" w:line="240" w:lineRule="auto"/>
              <w:jc w:val="left"/>
              <w:rPr>
                <w:rFonts w:ascii="Arial" w:hAnsi="Arial" w:cs="Arial"/>
                <w:b/>
                <w:bCs/>
                <w:i/>
                <w:iCs/>
                <w:color w:val="000000"/>
                <w:sz w:val="16"/>
                <w:szCs w:val="16"/>
              </w:rPr>
            </w:pPr>
            <w:r w:rsidRPr="00507BC0">
              <w:rPr>
                <w:rFonts w:ascii="Arial" w:hAnsi="Arial" w:cs="Arial"/>
                <w:b/>
                <w:bCs/>
                <w:i/>
                <w:iCs/>
                <w:color w:val="000000"/>
                <w:sz w:val="16"/>
                <w:szCs w:val="16"/>
              </w:rPr>
              <w:t>Total cash received</w:t>
            </w:r>
          </w:p>
        </w:tc>
        <w:tc>
          <w:tcPr>
            <w:tcW w:w="630" w:type="pct"/>
            <w:tcBorders>
              <w:top w:val="single" w:sz="4" w:space="0" w:color="000000"/>
              <w:left w:val="nil"/>
              <w:bottom w:val="single" w:sz="4" w:space="0" w:color="000000"/>
              <w:right w:val="nil"/>
            </w:tcBorders>
            <w:shd w:val="clear" w:color="auto" w:fill="auto"/>
            <w:noWrap/>
            <w:vAlign w:val="center"/>
            <w:hideMark/>
          </w:tcPr>
          <w:p w14:paraId="186FE2D6"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31,606,456 </w:t>
            </w:r>
          </w:p>
        </w:tc>
        <w:tc>
          <w:tcPr>
            <w:tcW w:w="630" w:type="pct"/>
            <w:tcBorders>
              <w:top w:val="single" w:sz="4" w:space="0" w:color="000000"/>
              <w:left w:val="nil"/>
              <w:bottom w:val="single" w:sz="4" w:space="0" w:color="000000"/>
              <w:right w:val="nil"/>
            </w:tcBorders>
            <w:shd w:val="clear" w:color="000000" w:fill="E6E6E6"/>
            <w:noWrap/>
            <w:vAlign w:val="center"/>
            <w:hideMark/>
          </w:tcPr>
          <w:p w14:paraId="175DF28D"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29,524,385 </w:t>
            </w:r>
          </w:p>
        </w:tc>
        <w:tc>
          <w:tcPr>
            <w:tcW w:w="630" w:type="pct"/>
            <w:tcBorders>
              <w:top w:val="single" w:sz="4" w:space="0" w:color="000000"/>
              <w:left w:val="nil"/>
              <w:bottom w:val="single" w:sz="4" w:space="0" w:color="000000"/>
              <w:right w:val="nil"/>
            </w:tcBorders>
            <w:shd w:val="clear" w:color="auto" w:fill="auto"/>
            <w:noWrap/>
            <w:vAlign w:val="center"/>
            <w:hideMark/>
          </w:tcPr>
          <w:p w14:paraId="0A2ED7A7"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30,779,366 </w:t>
            </w:r>
          </w:p>
        </w:tc>
        <w:tc>
          <w:tcPr>
            <w:tcW w:w="630" w:type="pct"/>
            <w:tcBorders>
              <w:top w:val="single" w:sz="4" w:space="0" w:color="000000"/>
              <w:left w:val="nil"/>
              <w:bottom w:val="single" w:sz="4" w:space="0" w:color="000000"/>
              <w:right w:val="nil"/>
            </w:tcBorders>
            <w:shd w:val="clear" w:color="auto" w:fill="auto"/>
            <w:noWrap/>
            <w:vAlign w:val="center"/>
            <w:hideMark/>
          </w:tcPr>
          <w:p w14:paraId="4213DFA2"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30,691,637 </w:t>
            </w:r>
          </w:p>
        </w:tc>
        <w:tc>
          <w:tcPr>
            <w:tcW w:w="630" w:type="pct"/>
            <w:tcBorders>
              <w:top w:val="single" w:sz="4" w:space="0" w:color="000000"/>
              <w:left w:val="nil"/>
              <w:bottom w:val="single" w:sz="4" w:space="0" w:color="000000"/>
              <w:right w:val="nil"/>
            </w:tcBorders>
            <w:shd w:val="clear" w:color="auto" w:fill="auto"/>
            <w:noWrap/>
            <w:vAlign w:val="center"/>
            <w:hideMark/>
          </w:tcPr>
          <w:p w14:paraId="0F772C03"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31,756,232 </w:t>
            </w:r>
          </w:p>
        </w:tc>
      </w:tr>
      <w:tr w:rsidR="00507BC0" w:rsidRPr="00507BC0" w14:paraId="042C9C32" w14:textId="77777777" w:rsidTr="00507BC0">
        <w:trPr>
          <w:trHeight w:hRule="exact" w:val="225"/>
        </w:trPr>
        <w:tc>
          <w:tcPr>
            <w:tcW w:w="1848" w:type="pct"/>
            <w:tcBorders>
              <w:top w:val="nil"/>
              <w:left w:val="nil"/>
              <w:bottom w:val="nil"/>
              <w:right w:val="nil"/>
            </w:tcBorders>
            <w:shd w:val="clear" w:color="auto" w:fill="auto"/>
            <w:noWrap/>
            <w:vAlign w:val="center"/>
            <w:hideMark/>
          </w:tcPr>
          <w:p w14:paraId="565029B6"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Cash used</w:t>
            </w:r>
          </w:p>
        </w:tc>
        <w:tc>
          <w:tcPr>
            <w:tcW w:w="630" w:type="pct"/>
            <w:tcBorders>
              <w:top w:val="nil"/>
              <w:left w:val="nil"/>
              <w:bottom w:val="nil"/>
              <w:right w:val="nil"/>
            </w:tcBorders>
            <w:shd w:val="clear" w:color="auto" w:fill="auto"/>
            <w:noWrap/>
            <w:vAlign w:val="center"/>
            <w:hideMark/>
          </w:tcPr>
          <w:p w14:paraId="5C5CFC90" w14:textId="77777777" w:rsidR="00507BC0" w:rsidRPr="00507BC0" w:rsidRDefault="00507BC0" w:rsidP="00507BC0">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76520B28" w14:textId="77777777" w:rsidR="00507BC0" w:rsidRPr="00507BC0" w:rsidRDefault="00507BC0" w:rsidP="00507BC0">
            <w:pPr>
              <w:spacing w:after="0" w:line="240" w:lineRule="auto"/>
              <w:jc w:val="left"/>
              <w:rPr>
                <w:rFonts w:ascii="Arial" w:hAnsi="Arial" w:cs="Arial"/>
                <w:color w:val="000000"/>
                <w:sz w:val="16"/>
                <w:szCs w:val="16"/>
              </w:rPr>
            </w:pPr>
            <w:r w:rsidRPr="00507BC0">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4482FE7C" w14:textId="77777777" w:rsidR="00507BC0" w:rsidRPr="00507BC0" w:rsidRDefault="00507BC0" w:rsidP="00507BC0">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7069A5BF" w14:textId="77777777" w:rsidR="00507BC0" w:rsidRPr="00507BC0" w:rsidRDefault="00507BC0" w:rsidP="00507BC0">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20089443" w14:textId="77777777" w:rsidR="00507BC0" w:rsidRPr="00507BC0" w:rsidRDefault="00507BC0" w:rsidP="00507BC0">
            <w:pPr>
              <w:spacing w:after="0" w:line="240" w:lineRule="auto"/>
              <w:jc w:val="left"/>
              <w:rPr>
                <w:rFonts w:ascii="Times New Roman" w:hAnsi="Times New Roman"/>
              </w:rPr>
            </w:pPr>
          </w:p>
        </w:tc>
      </w:tr>
      <w:tr w:rsidR="00507BC0" w:rsidRPr="00507BC0" w14:paraId="04B4177D" w14:textId="77777777" w:rsidTr="00507BC0">
        <w:trPr>
          <w:trHeight w:hRule="exact" w:val="225"/>
        </w:trPr>
        <w:tc>
          <w:tcPr>
            <w:tcW w:w="1848" w:type="pct"/>
            <w:tcBorders>
              <w:top w:val="nil"/>
              <w:left w:val="nil"/>
              <w:bottom w:val="nil"/>
              <w:right w:val="nil"/>
            </w:tcBorders>
            <w:shd w:val="clear" w:color="auto" w:fill="auto"/>
            <w:noWrap/>
            <w:vAlign w:val="center"/>
            <w:hideMark/>
          </w:tcPr>
          <w:p w14:paraId="3E70D313" w14:textId="77777777" w:rsidR="00507BC0" w:rsidRPr="00507BC0" w:rsidRDefault="00507BC0" w:rsidP="00507BC0">
            <w:pPr>
              <w:spacing w:after="0" w:line="240" w:lineRule="auto"/>
              <w:ind w:left="170"/>
              <w:jc w:val="left"/>
              <w:rPr>
                <w:rFonts w:ascii="Arial" w:hAnsi="Arial" w:cs="Arial"/>
                <w:sz w:val="16"/>
                <w:szCs w:val="16"/>
              </w:rPr>
            </w:pPr>
            <w:r w:rsidRPr="00507BC0">
              <w:rPr>
                <w:rFonts w:ascii="Arial" w:hAnsi="Arial" w:cs="Arial"/>
                <w:sz w:val="16"/>
                <w:szCs w:val="16"/>
              </w:rPr>
              <w:t>Grant</w:t>
            </w:r>
          </w:p>
        </w:tc>
        <w:tc>
          <w:tcPr>
            <w:tcW w:w="630" w:type="pct"/>
            <w:tcBorders>
              <w:top w:val="nil"/>
              <w:left w:val="nil"/>
              <w:bottom w:val="nil"/>
              <w:right w:val="nil"/>
            </w:tcBorders>
            <w:shd w:val="clear" w:color="auto" w:fill="auto"/>
            <w:noWrap/>
            <w:vAlign w:val="center"/>
            <w:hideMark/>
          </w:tcPr>
          <w:p w14:paraId="095E607D"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164,447,290 </w:t>
            </w:r>
          </w:p>
        </w:tc>
        <w:tc>
          <w:tcPr>
            <w:tcW w:w="630" w:type="pct"/>
            <w:tcBorders>
              <w:top w:val="nil"/>
              <w:left w:val="nil"/>
              <w:bottom w:val="nil"/>
              <w:right w:val="nil"/>
            </w:tcBorders>
            <w:shd w:val="clear" w:color="000000" w:fill="E6E6E6"/>
            <w:noWrap/>
            <w:vAlign w:val="center"/>
            <w:hideMark/>
          </w:tcPr>
          <w:p w14:paraId="04A8540F"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165,943,351 </w:t>
            </w:r>
          </w:p>
        </w:tc>
        <w:tc>
          <w:tcPr>
            <w:tcW w:w="630" w:type="pct"/>
            <w:tcBorders>
              <w:top w:val="nil"/>
              <w:left w:val="nil"/>
              <w:bottom w:val="nil"/>
              <w:right w:val="nil"/>
            </w:tcBorders>
            <w:shd w:val="clear" w:color="auto" w:fill="auto"/>
            <w:noWrap/>
            <w:vAlign w:val="center"/>
            <w:hideMark/>
          </w:tcPr>
          <w:p w14:paraId="48AD8337"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169,769,141 </w:t>
            </w:r>
          </w:p>
        </w:tc>
        <w:tc>
          <w:tcPr>
            <w:tcW w:w="630" w:type="pct"/>
            <w:tcBorders>
              <w:top w:val="nil"/>
              <w:left w:val="nil"/>
              <w:bottom w:val="nil"/>
              <w:right w:val="nil"/>
            </w:tcBorders>
            <w:shd w:val="clear" w:color="auto" w:fill="auto"/>
            <w:noWrap/>
            <w:vAlign w:val="center"/>
            <w:hideMark/>
          </w:tcPr>
          <w:p w14:paraId="438F9E8F"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172,701,607 </w:t>
            </w:r>
          </w:p>
        </w:tc>
        <w:tc>
          <w:tcPr>
            <w:tcW w:w="630" w:type="pct"/>
            <w:tcBorders>
              <w:top w:val="nil"/>
              <w:left w:val="nil"/>
              <w:bottom w:val="nil"/>
              <w:right w:val="nil"/>
            </w:tcBorders>
            <w:shd w:val="clear" w:color="auto" w:fill="auto"/>
            <w:noWrap/>
            <w:vAlign w:val="center"/>
            <w:hideMark/>
          </w:tcPr>
          <w:p w14:paraId="77C2BC06"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170,564,929 </w:t>
            </w:r>
          </w:p>
        </w:tc>
      </w:tr>
      <w:tr w:rsidR="00507BC0" w:rsidRPr="00507BC0" w14:paraId="7B955E40" w14:textId="77777777" w:rsidTr="00507BC0">
        <w:trPr>
          <w:trHeight w:hRule="exact" w:val="225"/>
        </w:trPr>
        <w:tc>
          <w:tcPr>
            <w:tcW w:w="1848" w:type="pct"/>
            <w:tcBorders>
              <w:top w:val="nil"/>
              <w:left w:val="nil"/>
              <w:bottom w:val="nil"/>
              <w:right w:val="nil"/>
            </w:tcBorders>
            <w:shd w:val="clear" w:color="auto" w:fill="auto"/>
            <w:noWrap/>
            <w:vAlign w:val="center"/>
            <w:hideMark/>
          </w:tcPr>
          <w:p w14:paraId="0BF5B9B4" w14:textId="77777777" w:rsidR="00507BC0" w:rsidRPr="00507BC0" w:rsidRDefault="00507BC0" w:rsidP="00507BC0">
            <w:pPr>
              <w:spacing w:after="0" w:line="240" w:lineRule="auto"/>
              <w:ind w:left="170"/>
              <w:jc w:val="left"/>
              <w:rPr>
                <w:rFonts w:ascii="Arial" w:hAnsi="Arial" w:cs="Arial"/>
                <w:sz w:val="16"/>
                <w:szCs w:val="16"/>
              </w:rPr>
            </w:pPr>
            <w:r w:rsidRPr="00507BC0">
              <w:rPr>
                <w:rFonts w:ascii="Arial" w:hAnsi="Arial" w:cs="Arial"/>
                <w:sz w:val="16"/>
                <w:szCs w:val="16"/>
              </w:rPr>
              <w:t>Suppliers</w:t>
            </w:r>
          </w:p>
        </w:tc>
        <w:tc>
          <w:tcPr>
            <w:tcW w:w="630" w:type="pct"/>
            <w:tcBorders>
              <w:top w:val="nil"/>
              <w:left w:val="nil"/>
              <w:bottom w:val="nil"/>
              <w:right w:val="nil"/>
            </w:tcBorders>
            <w:shd w:val="clear" w:color="auto" w:fill="auto"/>
            <w:noWrap/>
            <w:vAlign w:val="center"/>
            <w:hideMark/>
          </w:tcPr>
          <w:p w14:paraId="6CE1F712"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60,811 </w:t>
            </w:r>
          </w:p>
        </w:tc>
        <w:tc>
          <w:tcPr>
            <w:tcW w:w="630" w:type="pct"/>
            <w:tcBorders>
              <w:top w:val="nil"/>
              <w:left w:val="nil"/>
              <w:bottom w:val="nil"/>
              <w:right w:val="nil"/>
            </w:tcBorders>
            <w:shd w:val="clear" w:color="000000" w:fill="E6E6E6"/>
            <w:noWrap/>
            <w:vAlign w:val="center"/>
            <w:hideMark/>
          </w:tcPr>
          <w:p w14:paraId="33D04EB9"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5,197 </w:t>
            </w:r>
          </w:p>
        </w:tc>
        <w:tc>
          <w:tcPr>
            <w:tcW w:w="630" w:type="pct"/>
            <w:tcBorders>
              <w:top w:val="nil"/>
              <w:left w:val="nil"/>
              <w:bottom w:val="nil"/>
              <w:right w:val="nil"/>
            </w:tcBorders>
            <w:shd w:val="clear" w:color="auto" w:fill="auto"/>
            <w:noWrap/>
            <w:vAlign w:val="center"/>
            <w:hideMark/>
          </w:tcPr>
          <w:p w14:paraId="5968D94F"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1,557 </w:t>
            </w:r>
          </w:p>
        </w:tc>
        <w:tc>
          <w:tcPr>
            <w:tcW w:w="630" w:type="pct"/>
            <w:tcBorders>
              <w:top w:val="nil"/>
              <w:left w:val="nil"/>
              <w:bottom w:val="nil"/>
              <w:right w:val="nil"/>
            </w:tcBorders>
            <w:shd w:val="clear" w:color="auto" w:fill="auto"/>
            <w:noWrap/>
            <w:vAlign w:val="center"/>
            <w:hideMark/>
          </w:tcPr>
          <w:p w14:paraId="26659E31"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1,557 </w:t>
            </w:r>
          </w:p>
        </w:tc>
        <w:tc>
          <w:tcPr>
            <w:tcW w:w="630" w:type="pct"/>
            <w:tcBorders>
              <w:top w:val="nil"/>
              <w:left w:val="nil"/>
              <w:bottom w:val="nil"/>
              <w:right w:val="nil"/>
            </w:tcBorders>
            <w:shd w:val="clear" w:color="auto" w:fill="auto"/>
            <w:noWrap/>
            <w:vAlign w:val="center"/>
            <w:hideMark/>
          </w:tcPr>
          <w:p w14:paraId="23728642"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1,557 </w:t>
            </w:r>
          </w:p>
        </w:tc>
      </w:tr>
      <w:tr w:rsidR="00507BC0" w:rsidRPr="00507BC0" w14:paraId="31488460" w14:textId="77777777" w:rsidTr="00507BC0">
        <w:trPr>
          <w:trHeight w:hRule="exact" w:val="225"/>
        </w:trPr>
        <w:tc>
          <w:tcPr>
            <w:tcW w:w="1848" w:type="pct"/>
            <w:tcBorders>
              <w:top w:val="nil"/>
              <w:left w:val="nil"/>
              <w:bottom w:val="nil"/>
              <w:right w:val="nil"/>
            </w:tcBorders>
            <w:shd w:val="clear" w:color="auto" w:fill="auto"/>
            <w:noWrap/>
            <w:vAlign w:val="center"/>
            <w:hideMark/>
          </w:tcPr>
          <w:p w14:paraId="2C4DBA02" w14:textId="77777777" w:rsidR="00507BC0" w:rsidRPr="00507BC0" w:rsidRDefault="00507BC0" w:rsidP="00507BC0">
            <w:pPr>
              <w:spacing w:after="0" w:line="240" w:lineRule="auto"/>
              <w:ind w:left="170"/>
              <w:jc w:val="left"/>
              <w:rPr>
                <w:rFonts w:ascii="Arial" w:hAnsi="Arial" w:cs="Arial"/>
                <w:sz w:val="16"/>
                <w:szCs w:val="16"/>
              </w:rPr>
            </w:pPr>
            <w:r w:rsidRPr="00507BC0">
              <w:rPr>
                <w:rFonts w:ascii="Arial" w:hAnsi="Arial" w:cs="Arial"/>
                <w:sz w:val="16"/>
                <w:szCs w:val="16"/>
              </w:rPr>
              <w:t>Net GST paid</w:t>
            </w:r>
          </w:p>
        </w:tc>
        <w:tc>
          <w:tcPr>
            <w:tcW w:w="630" w:type="pct"/>
            <w:tcBorders>
              <w:top w:val="nil"/>
              <w:left w:val="nil"/>
              <w:bottom w:val="nil"/>
              <w:right w:val="nil"/>
            </w:tcBorders>
            <w:shd w:val="clear" w:color="auto" w:fill="auto"/>
            <w:noWrap/>
            <w:vAlign w:val="center"/>
            <w:hideMark/>
          </w:tcPr>
          <w:p w14:paraId="3CE5A2D6"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1,530,228 </w:t>
            </w:r>
          </w:p>
        </w:tc>
        <w:tc>
          <w:tcPr>
            <w:tcW w:w="630" w:type="pct"/>
            <w:tcBorders>
              <w:top w:val="nil"/>
              <w:left w:val="nil"/>
              <w:bottom w:val="nil"/>
              <w:right w:val="nil"/>
            </w:tcBorders>
            <w:shd w:val="clear" w:color="000000" w:fill="E6E6E6"/>
            <w:noWrap/>
            <w:vAlign w:val="center"/>
            <w:hideMark/>
          </w:tcPr>
          <w:p w14:paraId="50A4C9DA"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1,612,623 </w:t>
            </w:r>
          </w:p>
        </w:tc>
        <w:tc>
          <w:tcPr>
            <w:tcW w:w="630" w:type="pct"/>
            <w:tcBorders>
              <w:top w:val="nil"/>
              <w:left w:val="nil"/>
              <w:bottom w:val="nil"/>
              <w:right w:val="nil"/>
            </w:tcBorders>
            <w:shd w:val="clear" w:color="auto" w:fill="auto"/>
            <w:noWrap/>
            <w:vAlign w:val="center"/>
            <w:hideMark/>
          </w:tcPr>
          <w:p w14:paraId="5CE08F6D"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1,689,041 </w:t>
            </w:r>
          </w:p>
        </w:tc>
        <w:tc>
          <w:tcPr>
            <w:tcW w:w="630" w:type="pct"/>
            <w:tcBorders>
              <w:top w:val="nil"/>
              <w:left w:val="nil"/>
              <w:bottom w:val="nil"/>
              <w:right w:val="nil"/>
            </w:tcBorders>
            <w:shd w:val="clear" w:color="auto" w:fill="auto"/>
            <w:noWrap/>
            <w:vAlign w:val="center"/>
            <w:hideMark/>
          </w:tcPr>
          <w:p w14:paraId="2DEB43A2"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1,746,777 </w:t>
            </w:r>
          </w:p>
        </w:tc>
        <w:tc>
          <w:tcPr>
            <w:tcW w:w="630" w:type="pct"/>
            <w:tcBorders>
              <w:top w:val="nil"/>
              <w:left w:val="nil"/>
              <w:bottom w:val="nil"/>
              <w:right w:val="nil"/>
            </w:tcBorders>
            <w:shd w:val="clear" w:color="auto" w:fill="auto"/>
            <w:noWrap/>
            <w:vAlign w:val="center"/>
            <w:hideMark/>
          </w:tcPr>
          <w:p w14:paraId="358E5B12"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1,800,486 </w:t>
            </w:r>
          </w:p>
        </w:tc>
      </w:tr>
      <w:tr w:rsidR="00507BC0" w:rsidRPr="00507BC0" w14:paraId="028B7BF9" w14:textId="77777777" w:rsidTr="00507BC0">
        <w:trPr>
          <w:trHeight w:hRule="exact" w:val="225"/>
        </w:trPr>
        <w:tc>
          <w:tcPr>
            <w:tcW w:w="1848" w:type="pct"/>
            <w:tcBorders>
              <w:top w:val="nil"/>
              <w:left w:val="nil"/>
              <w:bottom w:val="nil"/>
              <w:right w:val="nil"/>
            </w:tcBorders>
            <w:shd w:val="clear" w:color="auto" w:fill="auto"/>
            <w:noWrap/>
            <w:vAlign w:val="center"/>
            <w:hideMark/>
          </w:tcPr>
          <w:p w14:paraId="460B319D" w14:textId="77777777" w:rsidR="00507BC0" w:rsidRPr="00507BC0" w:rsidRDefault="00507BC0" w:rsidP="00507BC0">
            <w:pPr>
              <w:spacing w:after="0" w:line="240" w:lineRule="auto"/>
              <w:ind w:left="170"/>
              <w:jc w:val="left"/>
              <w:rPr>
                <w:rFonts w:ascii="Arial" w:hAnsi="Arial" w:cs="Arial"/>
                <w:sz w:val="16"/>
                <w:szCs w:val="16"/>
              </w:rPr>
            </w:pPr>
            <w:r w:rsidRPr="00507BC0">
              <w:rPr>
                <w:rFonts w:ascii="Arial" w:hAnsi="Arial" w:cs="Arial"/>
                <w:sz w:val="16"/>
                <w:szCs w:val="16"/>
              </w:rPr>
              <w:t>Borrowing costs</w:t>
            </w:r>
          </w:p>
        </w:tc>
        <w:tc>
          <w:tcPr>
            <w:tcW w:w="630" w:type="pct"/>
            <w:tcBorders>
              <w:top w:val="nil"/>
              <w:left w:val="nil"/>
              <w:bottom w:val="nil"/>
              <w:right w:val="nil"/>
            </w:tcBorders>
            <w:shd w:val="clear" w:color="auto" w:fill="auto"/>
            <w:noWrap/>
            <w:vAlign w:val="center"/>
            <w:hideMark/>
          </w:tcPr>
          <w:p w14:paraId="367B2C9A"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14,536 </w:t>
            </w:r>
          </w:p>
        </w:tc>
        <w:tc>
          <w:tcPr>
            <w:tcW w:w="630" w:type="pct"/>
            <w:tcBorders>
              <w:top w:val="nil"/>
              <w:left w:val="nil"/>
              <w:bottom w:val="nil"/>
              <w:right w:val="nil"/>
            </w:tcBorders>
            <w:shd w:val="clear" w:color="000000" w:fill="E6E6E6"/>
            <w:noWrap/>
            <w:vAlign w:val="center"/>
            <w:hideMark/>
          </w:tcPr>
          <w:p w14:paraId="2E6ADE3F"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53,328 </w:t>
            </w:r>
          </w:p>
        </w:tc>
        <w:tc>
          <w:tcPr>
            <w:tcW w:w="630" w:type="pct"/>
            <w:tcBorders>
              <w:top w:val="nil"/>
              <w:left w:val="nil"/>
              <w:bottom w:val="nil"/>
              <w:right w:val="nil"/>
            </w:tcBorders>
            <w:shd w:val="clear" w:color="auto" w:fill="auto"/>
            <w:noWrap/>
            <w:vAlign w:val="center"/>
            <w:hideMark/>
          </w:tcPr>
          <w:p w14:paraId="54DCE99B"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105,217 </w:t>
            </w:r>
          </w:p>
        </w:tc>
        <w:tc>
          <w:tcPr>
            <w:tcW w:w="630" w:type="pct"/>
            <w:tcBorders>
              <w:top w:val="nil"/>
              <w:left w:val="nil"/>
              <w:bottom w:val="nil"/>
              <w:right w:val="nil"/>
            </w:tcBorders>
            <w:shd w:val="clear" w:color="auto" w:fill="auto"/>
            <w:noWrap/>
            <w:vAlign w:val="center"/>
            <w:hideMark/>
          </w:tcPr>
          <w:p w14:paraId="39FACD87"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138,541 </w:t>
            </w:r>
          </w:p>
        </w:tc>
        <w:tc>
          <w:tcPr>
            <w:tcW w:w="630" w:type="pct"/>
            <w:tcBorders>
              <w:top w:val="nil"/>
              <w:left w:val="nil"/>
              <w:bottom w:val="nil"/>
              <w:right w:val="nil"/>
            </w:tcBorders>
            <w:shd w:val="clear" w:color="auto" w:fill="auto"/>
            <w:noWrap/>
            <w:vAlign w:val="center"/>
            <w:hideMark/>
          </w:tcPr>
          <w:p w14:paraId="65AB954C"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187,661 </w:t>
            </w:r>
          </w:p>
        </w:tc>
      </w:tr>
      <w:tr w:rsidR="00507BC0" w:rsidRPr="00507BC0" w14:paraId="2F06D3D3" w14:textId="77777777" w:rsidTr="00507BC0">
        <w:trPr>
          <w:trHeight w:hRule="exact" w:val="225"/>
        </w:trPr>
        <w:tc>
          <w:tcPr>
            <w:tcW w:w="1848" w:type="pct"/>
            <w:tcBorders>
              <w:top w:val="nil"/>
              <w:left w:val="nil"/>
              <w:bottom w:val="nil"/>
              <w:right w:val="nil"/>
            </w:tcBorders>
            <w:shd w:val="clear" w:color="auto" w:fill="auto"/>
            <w:noWrap/>
            <w:vAlign w:val="center"/>
            <w:hideMark/>
          </w:tcPr>
          <w:p w14:paraId="3C1FC07F" w14:textId="77777777" w:rsidR="00507BC0" w:rsidRPr="00507BC0" w:rsidRDefault="00507BC0" w:rsidP="00507BC0">
            <w:pPr>
              <w:spacing w:after="0" w:line="240" w:lineRule="auto"/>
              <w:ind w:left="170"/>
              <w:jc w:val="left"/>
              <w:rPr>
                <w:rFonts w:ascii="Arial" w:hAnsi="Arial" w:cs="Arial"/>
                <w:sz w:val="16"/>
                <w:szCs w:val="16"/>
              </w:rPr>
            </w:pPr>
            <w:r w:rsidRPr="00507BC0">
              <w:rPr>
                <w:rFonts w:ascii="Arial" w:hAnsi="Arial" w:cs="Arial"/>
                <w:sz w:val="16"/>
                <w:szCs w:val="16"/>
              </w:rPr>
              <w:t>Payments to the Medicare Guarantee Fund</w:t>
            </w:r>
          </w:p>
        </w:tc>
        <w:tc>
          <w:tcPr>
            <w:tcW w:w="630" w:type="pct"/>
            <w:tcBorders>
              <w:top w:val="nil"/>
              <w:left w:val="nil"/>
              <w:bottom w:val="nil"/>
              <w:right w:val="nil"/>
            </w:tcBorders>
            <w:shd w:val="clear" w:color="auto" w:fill="auto"/>
            <w:noWrap/>
            <w:vAlign w:val="center"/>
            <w:hideMark/>
          </w:tcPr>
          <w:p w14:paraId="29289518"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44,867,877 </w:t>
            </w:r>
          </w:p>
        </w:tc>
        <w:tc>
          <w:tcPr>
            <w:tcW w:w="630" w:type="pct"/>
            <w:tcBorders>
              <w:top w:val="nil"/>
              <w:left w:val="nil"/>
              <w:bottom w:val="nil"/>
              <w:right w:val="nil"/>
            </w:tcBorders>
            <w:shd w:val="clear" w:color="000000" w:fill="E6E6E6"/>
            <w:noWrap/>
            <w:vAlign w:val="center"/>
            <w:hideMark/>
          </w:tcPr>
          <w:p w14:paraId="14EC72BE"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46,467,038 </w:t>
            </w:r>
          </w:p>
        </w:tc>
        <w:tc>
          <w:tcPr>
            <w:tcW w:w="630" w:type="pct"/>
            <w:tcBorders>
              <w:top w:val="nil"/>
              <w:left w:val="nil"/>
              <w:bottom w:val="nil"/>
              <w:right w:val="nil"/>
            </w:tcBorders>
            <w:shd w:val="clear" w:color="auto" w:fill="auto"/>
            <w:noWrap/>
            <w:vAlign w:val="center"/>
            <w:hideMark/>
          </w:tcPr>
          <w:p w14:paraId="4DFA9F44"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47,296,749 </w:t>
            </w:r>
          </w:p>
        </w:tc>
        <w:tc>
          <w:tcPr>
            <w:tcW w:w="630" w:type="pct"/>
            <w:tcBorders>
              <w:top w:val="nil"/>
              <w:left w:val="nil"/>
              <w:bottom w:val="nil"/>
              <w:right w:val="nil"/>
            </w:tcBorders>
            <w:shd w:val="clear" w:color="auto" w:fill="auto"/>
            <w:noWrap/>
            <w:vAlign w:val="center"/>
            <w:hideMark/>
          </w:tcPr>
          <w:p w14:paraId="22BCCF0B"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49,001,481 </w:t>
            </w:r>
          </w:p>
        </w:tc>
        <w:tc>
          <w:tcPr>
            <w:tcW w:w="630" w:type="pct"/>
            <w:tcBorders>
              <w:top w:val="nil"/>
              <w:left w:val="nil"/>
              <w:bottom w:val="nil"/>
              <w:right w:val="nil"/>
            </w:tcBorders>
            <w:shd w:val="clear" w:color="auto" w:fill="auto"/>
            <w:noWrap/>
            <w:vAlign w:val="center"/>
            <w:hideMark/>
          </w:tcPr>
          <w:p w14:paraId="405F9C95"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50,770,771 </w:t>
            </w:r>
          </w:p>
        </w:tc>
      </w:tr>
      <w:tr w:rsidR="00507BC0" w:rsidRPr="00507BC0" w14:paraId="0256D377" w14:textId="77777777" w:rsidTr="00507BC0">
        <w:trPr>
          <w:trHeight w:hRule="exact" w:val="225"/>
        </w:trPr>
        <w:tc>
          <w:tcPr>
            <w:tcW w:w="1848" w:type="pct"/>
            <w:tcBorders>
              <w:top w:val="nil"/>
              <w:left w:val="nil"/>
              <w:bottom w:val="nil"/>
              <w:right w:val="nil"/>
            </w:tcBorders>
            <w:shd w:val="clear" w:color="auto" w:fill="auto"/>
            <w:noWrap/>
            <w:vAlign w:val="center"/>
            <w:hideMark/>
          </w:tcPr>
          <w:p w14:paraId="33F91B5F" w14:textId="77777777" w:rsidR="00507BC0" w:rsidRPr="00507BC0" w:rsidRDefault="00507BC0" w:rsidP="00507BC0">
            <w:pPr>
              <w:spacing w:after="0" w:line="240" w:lineRule="auto"/>
              <w:ind w:left="170"/>
              <w:jc w:val="left"/>
              <w:rPr>
                <w:rFonts w:ascii="Arial" w:hAnsi="Arial" w:cs="Arial"/>
                <w:color w:val="000000"/>
                <w:sz w:val="16"/>
                <w:szCs w:val="16"/>
              </w:rPr>
            </w:pPr>
            <w:r w:rsidRPr="00507BC0">
              <w:rPr>
                <w:rFonts w:ascii="Arial" w:hAnsi="Arial" w:cs="Arial"/>
                <w:color w:val="000000"/>
                <w:sz w:val="16"/>
                <w:szCs w:val="16"/>
              </w:rPr>
              <w:t>Other</w:t>
            </w:r>
          </w:p>
        </w:tc>
        <w:tc>
          <w:tcPr>
            <w:tcW w:w="630" w:type="pct"/>
            <w:tcBorders>
              <w:top w:val="nil"/>
              <w:left w:val="nil"/>
              <w:bottom w:val="nil"/>
              <w:right w:val="nil"/>
            </w:tcBorders>
            <w:shd w:val="clear" w:color="auto" w:fill="auto"/>
            <w:noWrap/>
            <w:vAlign w:val="center"/>
            <w:hideMark/>
          </w:tcPr>
          <w:p w14:paraId="769BDD8E"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18,587 </w:t>
            </w:r>
          </w:p>
        </w:tc>
        <w:tc>
          <w:tcPr>
            <w:tcW w:w="630" w:type="pct"/>
            <w:tcBorders>
              <w:top w:val="nil"/>
              <w:left w:val="nil"/>
              <w:bottom w:val="nil"/>
              <w:right w:val="nil"/>
            </w:tcBorders>
            <w:shd w:val="clear" w:color="000000" w:fill="E6E6E6"/>
            <w:noWrap/>
            <w:vAlign w:val="center"/>
            <w:hideMark/>
          </w:tcPr>
          <w:p w14:paraId="548F8CD1"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137,065 </w:t>
            </w:r>
          </w:p>
        </w:tc>
        <w:tc>
          <w:tcPr>
            <w:tcW w:w="630" w:type="pct"/>
            <w:tcBorders>
              <w:top w:val="nil"/>
              <w:left w:val="nil"/>
              <w:bottom w:val="nil"/>
              <w:right w:val="nil"/>
            </w:tcBorders>
            <w:shd w:val="clear" w:color="auto" w:fill="auto"/>
            <w:noWrap/>
            <w:vAlign w:val="center"/>
            <w:hideMark/>
          </w:tcPr>
          <w:p w14:paraId="221A0E10"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103,083 </w:t>
            </w:r>
          </w:p>
        </w:tc>
        <w:tc>
          <w:tcPr>
            <w:tcW w:w="630" w:type="pct"/>
            <w:tcBorders>
              <w:top w:val="nil"/>
              <w:left w:val="nil"/>
              <w:bottom w:val="nil"/>
              <w:right w:val="nil"/>
            </w:tcBorders>
            <w:shd w:val="clear" w:color="auto" w:fill="auto"/>
            <w:noWrap/>
            <w:vAlign w:val="center"/>
            <w:hideMark/>
          </w:tcPr>
          <w:p w14:paraId="5C9A3103"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273,597 </w:t>
            </w:r>
          </w:p>
        </w:tc>
        <w:tc>
          <w:tcPr>
            <w:tcW w:w="630" w:type="pct"/>
            <w:tcBorders>
              <w:top w:val="nil"/>
              <w:left w:val="nil"/>
              <w:bottom w:val="nil"/>
              <w:right w:val="nil"/>
            </w:tcBorders>
            <w:shd w:val="clear" w:color="auto" w:fill="auto"/>
            <w:noWrap/>
            <w:vAlign w:val="center"/>
            <w:hideMark/>
          </w:tcPr>
          <w:p w14:paraId="22571895"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291,036 </w:t>
            </w:r>
          </w:p>
        </w:tc>
      </w:tr>
      <w:tr w:rsidR="00507BC0" w:rsidRPr="00507BC0" w14:paraId="16CB0108" w14:textId="77777777" w:rsidTr="00507BC0">
        <w:trPr>
          <w:trHeight w:hRule="exact" w:val="210"/>
        </w:trPr>
        <w:tc>
          <w:tcPr>
            <w:tcW w:w="1848" w:type="pct"/>
            <w:tcBorders>
              <w:top w:val="nil"/>
              <w:left w:val="nil"/>
              <w:bottom w:val="nil"/>
              <w:right w:val="nil"/>
            </w:tcBorders>
            <w:shd w:val="clear" w:color="auto" w:fill="auto"/>
            <w:noWrap/>
            <w:vAlign w:val="center"/>
            <w:hideMark/>
          </w:tcPr>
          <w:p w14:paraId="57FB2CB5" w14:textId="77777777" w:rsidR="00507BC0" w:rsidRPr="00507BC0" w:rsidRDefault="00507BC0" w:rsidP="00507BC0">
            <w:pPr>
              <w:spacing w:after="0" w:line="240" w:lineRule="auto"/>
              <w:jc w:val="left"/>
              <w:rPr>
                <w:rFonts w:ascii="Arial" w:hAnsi="Arial" w:cs="Arial"/>
                <w:b/>
                <w:bCs/>
                <w:i/>
                <w:iCs/>
                <w:color w:val="000000"/>
                <w:sz w:val="16"/>
                <w:szCs w:val="16"/>
              </w:rPr>
            </w:pPr>
            <w:r w:rsidRPr="00507BC0">
              <w:rPr>
                <w:rFonts w:ascii="Arial" w:hAnsi="Arial" w:cs="Arial"/>
                <w:b/>
                <w:bCs/>
                <w:i/>
                <w:iCs/>
                <w:color w:val="000000"/>
                <w:sz w:val="16"/>
                <w:szCs w:val="16"/>
              </w:rPr>
              <w:t>Total cash used</w:t>
            </w:r>
          </w:p>
        </w:tc>
        <w:tc>
          <w:tcPr>
            <w:tcW w:w="630" w:type="pct"/>
            <w:tcBorders>
              <w:top w:val="single" w:sz="4" w:space="0" w:color="000000"/>
              <w:left w:val="nil"/>
              <w:bottom w:val="single" w:sz="4" w:space="0" w:color="000000"/>
              <w:right w:val="nil"/>
            </w:tcBorders>
            <w:shd w:val="clear" w:color="auto" w:fill="auto"/>
            <w:noWrap/>
            <w:vAlign w:val="center"/>
            <w:hideMark/>
          </w:tcPr>
          <w:p w14:paraId="59EF099A"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210,939,329 </w:t>
            </w:r>
          </w:p>
        </w:tc>
        <w:tc>
          <w:tcPr>
            <w:tcW w:w="630" w:type="pct"/>
            <w:tcBorders>
              <w:top w:val="single" w:sz="4" w:space="0" w:color="000000"/>
              <w:left w:val="nil"/>
              <w:bottom w:val="single" w:sz="4" w:space="0" w:color="000000"/>
              <w:right w:val="nil"/>
            </w:tcBorders>
            <w:shd w:val="clear" w:color="000000" w:fill="E6E6E6"/>
            <w:noWrap/>
            <w:vAlign w:val="center"/>
            <w:hideMark/>
          </w:tcPr>
          <w:p w14:paraId="42502E5D"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214,218,602 </w:t>
            </w:r>
          </w:p>
        </w:tc>
        <w:tc>
          <w:tcPr>
            <w:tcW w:w="630" w:type="pct"/>
            <w:tcBorders>
              <w:top w:val="single" w:sz="4" w:space="0" w:color="000000"/>
              <w:left w:val="nil"/>
              <w:bottom w:val="single" w:sz="4" w:space="0" w:color="000000"/>
              <w:right w:val="nil"/>
            </w:tcBorders>
            <w:shd w:val="clear" w:color="auto" w:fill="auto"/>
            <w:noWrap/>
            <w:vAlign w:val="center"/>
            <w:hideMark/>
          </w:tcPr>
          <w:p w14:paraId="190F8253"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218,964,788 </w:t>
            </w:r>
          </w:p>
        </w:tc>
        <w:tc>
          <w:tcPr>
            <w:tcW w:w="630" w:type="pct"/>
            <w:tcBorders>
              <w:top w:val="single" w:sz="4" w:space="0" w:color="000000"/>
              <w:left w:val="nil"/>
              <w:bottom w:val="single" w:sz="4" w:space="0" w:color="000000"/>
              <w:right w:val="nil"/>
            </w:tcBorders>
            <w:shd w:val="clear" w:color="auto" w:fill="auto"/>
            <w:noWrap/>
            <w:vAlign w:val="center"/>
            <w:hideMark/>
          </w:tcPr>
          <w:p w14:paraId="03076A25"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223,863,560 </w:t>
            </w:r>
          </w:p>
        </w:tc>
        <w:tc>
          <w:tcPr>
            <w:tcW w:w="630" w:type="pct"/>
            <w:tcBorders>
              <w:top w:val="single" w:sz="4" w:space="0" w:color="000000"/>
              <w:left w:val="nil"/>
              <w:bottom w:val="single" w:sz="4" w:space="0" w:color="000000"/>
              <w:right w:val="nil"/>
            </w:tcBorders>
            <w:shd w:val="clear" w:color="auto" w:fill="auto"/>
            <w:noWrap/>
            <w:vAlign w:val="center"/>
            <w:hideMark/>
          </w:tcPr>
          <w:p w14:paraId="4E7FC590"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223,616,440 </w:t>
            </w:r>
          </w:p>
        </w:tc>
      </w:tr>
      <w:tr w:rsidR="00507BC0" w:rsidRPr="00507BC0" w14:paraId="5CAF7388" w14:textId="77777777" w:rsidTr="00507BC0">
        <w:trPr>
          <w:trHeight w:hRule="exact" w:val="450"/>
        </w:trPr>
        <w:tc>
          <w:tcPr>
            <w:tcW w:w="1848" w:type="pct"/>
            <w:tcBorders>
              <w:top w:val="nil"/>
              <w:left w:val="nil"/>
              <w:bottom w:val="nil"/>
              <w:right w:val="nil"/>
            </w:tcBorders>
            <w:shd w:val="clear" w:color="auto" w:fill="auto"/>
            <w:vAlign w:val="center"/>
            <w:hideMark/>
          </w:tcPr>
          <w:p w14:paraId="04F3409D"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Net cash from</w:t>
            </w:r>
            <w:proofErr w:type="gramStart"/>
            <w:r w:rsidRPr="00507BC0">
              <w:rPr>
                <w:rFonts w:ascii="Arial" w:hAnsi="Arial" w:cs="Arial"/>
                <w:b/>
                <w:bCs/>
                <w:color w:val="000000"/>
                <w:sz w:val="16"/>
                <w:szCs w:val="16"/>
              </w:rPr>
              <w:t>/(</w:t>
            </w:r>
            <w:proofErr w:type="gramEnd"/>
            <w:r w:rsidRPr="00507BC0">
              <w:rPr>
                <w:rFonts w:ascii="Arial" w:hAnsi="Arial" w:cs="Arial"/>
                <w:b/>
                <w:bCs/>
                <w:color w:val="000000"/>
                <w:sz w:val="16"/>
                <w:szCs w:val="16"/>
              </w:rPr>
              <w:t>used by)</w:t>
            </w:r>
            <w:r w:rsidRPr="00507BC0">
              <w:rPr>
                <w:rFonts w:ascii="Arial" w:hAnsi="Arial" w:cs="Arial"/>
                <w:b/>
                <w:bCs/>
                <w:color w:val="000000"/>
                <w:sz w:val="16"/>
                <w:szCs w:val="16"/>
              </w:rPr>
              <w:br/>
              <w:t xml:space="preserve">  operating activities</w:t>
            </w:r>
          </w:p>
        </w:tc>
        <w:tc>
          <w:tcPr>
            <w:tcW w:w="630" w:type="pct"/>
            <w:tcBorders>
              <w:top w:val="nil"/>
              <w:left w:val="nil"/>
              <w:bottom w:val="single" w:sz="4" w:space="0" w:color="000000"/>
              <w:right w:val="nil"/>
            </w:tcBorders>
            <w:shd w:val="clear" w:color="auto" w:fill="auto"/>
            <w:noWrap/>
            <w:vAlign w:val="center"/>
            <w:hideMark/>
          </w:tcPr>
          <w:p w14:paraId="03027D10"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(179,332,873)</w:t>
            </w:r>
          </w:p>
        </w:tc>
        <w:tc>
          <w:tcPr>
            <w:tcW w:w="630" w:type="pct"/>
            <w:tcBorders>
              <w:top w:val="nil"/>
              <w:left w:val="nil"/>
              <w:bottom w:val="single" w:sz="4" w:space="0" w:color="000000"/>
              <w:right w:val="nil"/>
            </w:tcBorders>
            <w:shd w:val="clear" w:color="000000" w:fill="E6E6E6"/>
            <w:noWrap/>
            <w:vAlign w:val="center"/>
            <w:hideMark/>
          </w:tcPr>
          <w:p w14:paraId="118480DE"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(184,694,217)</w:t>
            </w:r>
          </w:p>
        </w:tc>
        <w:tc>
          <w:tcPr>
            <w:tcW w:w="630" w:type="pct"/>
            <w:tcBorders>
              <w:top w:val="nil"/>
              <w:left w:val="nil"/>
              <w:bottom w:val="single" w:sz="4" w:space="0" w:color="000000"/>
              <w:right w:val="nil"/>
            </w:tcBorders>
            <w:shd w:val="clear" w:color="auto" w:fill="auto"/>
            <w:noWrap/>
            <w:vAlign w:val="center"/>
            <w:hideMark/>
          </w:tcPr>
          <w:p w14:paraId="23508504"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(188,185,422)</w:t>
            </w:r>
          </w:p>
        </w:tc>
        <w:tc>
          <w:tcPr>
            <w:tcW w:w="630" w:type="pct"/>
            <w:tcBorders>
              <w:top w:val="nil"/>
              <w:left w:val="nil"/>
              <w:bottom w:val="single" w:sz="4" w:space="0" w:color="000000"/>
              <w:right w:val="nil"/>
            </w:tcBorders>
            <w:shd w:val="clear" w:color="auto" w:fill="auto"/>
            <w:noWrap/>
            <w:vAlign w:val="center"/>
            <w:hideMark/>
          </w:tcPr>
          <w:p w14:paraId="630BB60E"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(193,171,923)</w:t>
            </w:r>
          </w:p>
        </w:tc>
        <w:tc>
          <w:tcPr>
            <w:tcW w:w="630" w:type="pct"/>
            <w:tcBorders>
              <w:top w:val="nil"/>
              <w:left w:val="nil"/>
              <w:bottom w:val="single" w:sz="4" w:space="0" w:color="000000"/>
              <w:right w:val="nil"/>
            </w:tcBorders>
            <w:shd w:val="clear" w:color="auto" w:fill="auto"/>
            <w:noWrap/>
            <w:vAlign w:val="center"/>
            <w:hideMark/>
          </w:tcPr>
          <w:p w14:paraId="53541B7D" w14:textId="77777777" w:rsidR="00507BC0" w:rsidRPr="00507BC0" w:rsidRDefault="00507BC0" w:rsidP="00507BC0">
            <w:pPr>
              <w:spacing w:after="0" w:line="240" w:lineRule="auto"/>
              <w:jc w:val="right"/>
              <w:rPr>
                <w:rFonts w:ascii="Arial" w:hAnsi="Arial" w:cs="Arial"/>
                <w:b/>
                <w:bCs/>
                <w:color w:val="000000"/>
                <w:sz w:val="16"/>
                <w:szCs w:val="16"/>
              </w:rPr>
            </w:pPr>
            <w:r w:rsidRPr="00507BC0">
              <w:rPr>
                <w:rFonts w:ascii="Arial" w:hAnsi="Arial" w:cs="Arial"/>
                <w:b/>
                <w:bCs/>
                <w:color w:val="000000"/>
                <w:sz w:val="16"/>
                <w:szCs w:val="16"/>
              </w:rPr>
              <w:t>(191,860,208)</w:t>
            </w:r>
          </w:p>
        </w:tc>
      </w:tr>
      <w:tr w:rsidR="00507BC0" w:rsidRPr="00507BC0" w14:paraId="33075CDC" w14:textId="77777777" w:rsidTr="00507BC0">
        <w:trPr>
          <w:trHeight w:hRule="exact" w:val="225"/>
        </w:trPr>
        <w:tc>
          <w:tcPr>
            <w:tcW w:w="1848" w:type="pct"/>
            <w:tcBorders>
              <w:top w:val="nil"/>
              <w:left w:val="nil"/>
              <w:bottom w:val="nil"/>
              <w:right w:val="nil"/>
            </w:tcBorders>
            <w:shd w:val="clear" w:color="auto" w:fill="auto"/>
            <w:noWrap/>
            <w:vAlign w:val="center"/>
            <w:hideMark/>
          </w:tcPr>
          <w:p w14:paraId="51F0228A"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INVESTING ACTIVITIES</w:t>
            </w:r>
          </w:p>
        </w:tc>
        <w:tc>
          <w:tcPr>
            <w:tcW w:w="630" w:type="pct"/>
            <w:tcBorders>
              <w:top w:val="nil"/>
              <w:left w:val="nil"/>
              <w:bottom w:val="nil"/>
              <w:right w:val="nil"/>
            </w:tcBorders>
            <w:shd w:val="clear" w:color="auto" w:fill="auto"/>
            <w:noWrap/>
            <w:vAlign w:val="center"/>
            <w:hideMark/>
          </w:tcPr>
          <w:p w14:paraId="0469E4D3" w14:textId="77777777" w:rsidR="00507BC0" w:rsidRPr="00507BC0" w:rsidRDefault="00507BC0" w:rsidP="00507BC0">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6D7C1A36" w14:textId="77777777" w:rsidR="00507BC0" w:rsidRPr="00507BC0" w:rsidRDefault="00507BC0" w:rsidP="00507BC0">
            <w:pPr>
              <w:spacing w:after="0" w:line="240" w:lineRule="auto"/>
              <w:jc w:val="left"/>
              <w:rPr>
                <w:rFonts w:ascii="Arial" w:hAnsi="Arial" w:cs="Arial"/>
                <w:color w:val="000000"/>
                <w:sz w:val="16"/>
                <w:szCs w:val="16"/>
              </w:rPr>
            </w:pPr>
            <w:r w:rsidRPr="00507BC0">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4D068639" w14:textId="77777777" w:rsidR="00507BC0" w:rsidRPr="00507BC0" w:rsidRDefault="00507BC0" w:rsidP="00507BC0">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0E58153F" w14:textId="77777777" w:rsidR="00507BC0" w:rsidRPr="00507BC0" w:rsidRDefault="00507BC0" w:rsidP="00507BC0">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6433D1E0" w14:textId="77777777" w:rsidR="00507BC0" w:rsidRPr="00507BC0" w:rsidRDefault="00507BC0" w:rsidP="00507BC0">
            <w:pPr>
              <w:spacing w:after="0" w:line="240" w:lineRule="auto"/>
              <w:jc w:val="left"/>
              <w:rPr>
                <w:rFonts w:ascii="Times New Roman" w:hAnsi="Times New Roman"/>
              </w:rPr>
            </w:pPr>
          </w:p>
        </w:tc>
      </w:tr>
      <w:tr w:rsidR="00507BC0" w:rsidRPr="00507BC0" w14:paraId="6CA7E4A1" w14:textId="77777777" w:rsidTr="00507BC0">
        <w:trPr>
          <w:trHeight w:hRule="exact" w:val="225"/>
        </w:trPr>
        <w:tc>
          <w:tcPr>
            <w:tcW w:w="1848" w:type="pct"/>
            <w:tcBorders>
              <w:top w:val="nil"/>
              <w:left w:val="nil"/>
              <w:bottom w:val="nil"/>
              <w:right w:val="nil"/>
            </w:tcBorders>
            <w:shd w:val="clear" w:color="auto" w:fill="auto"/>
            <w:noWrap/>
            <w:vAlign w:val="center"/>
            <w:hideMark/>
          </w:tcPr>
          <w:p w14:paraId="3C823FA2" w14:textId="77777777" w:rsidR="00507BC0" w:rsidRPr="00507BC0" w:rsidRDefault="00507BC0" w:rsidP="00507BC0">
            <w:pPr>
              <w:spacing w:after="0" w:line="240" w:lineRule="auto"/>
              <w:jc w:val="left"/>
              <w:rPr>
                <w:rFonts w:ascii="Arial" w:hAnsi="Arial" w:cs="Arial"/>
                <w:b/>
                <w:bCs/>
                <w:color w:val="000000"/>
                <w:sz w:val="16"/>
                <w:szCs w:val="16"/>
              </w:rPr>
            </w:pPr>
            <w:r w:rsidRPr="00507BC0">
              <w:rPr>
                <w:rFonts w:ascii="Arial" w:hAnsi="Arial" w:cs="Arial"/>
                <w:b/>
                <w:bCs/>
                <w:color w:val="000000"/>
                <w:sz w:val="16"/>
                <w:szCs w:val="16"/>
              </w:rPr>
              <w:t>Cash received</w:t>
            </w:r>
          </w:p>
        </w:tc>
        <w:tc>
          <w:tcPr>
            <w:tcW w:w="630" w:type="pct"/>
            <w:tcBorders>
              <w:top w:val="nil"/>
              <w:left w:val="nil"/>
              <w:bottom w:val="nil"/>
              <w:right w:val="nil"/>
            </w:tcBorders>
            <w:shd w:val="clear" w:color="auto" w:fill="auto"/>
            <w:noWrap/>
            <w:vAlign w:val="center"/>
            <w:hideMark/>
          </w:tcPr>
          <w:p w14:paraId="6BD01047" w14:textId="77777777" w:rsidR="00507BC0" w:rsidRPr="00507BC0" w:rsidRDefault="00507BC0" w:rsidP="00507BC0">
            <w:pPr>
              <w:spacing w:after="0" w:line="240" w:lineRule="auto"/>
              <w:jc w:val="lef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center"/>
            <w:hideMark/>
          </w:tcPr>
          <w:p w14:paraId="280D593F" w14:textId="77777777" w:rsidR="00507BC0" w:rsidRPr="00507BC0" w:rsidRDefault="00507BC0" w:rsidP="00507BC0">
            <w:pPr>
              <w:spacing w:after="0" w:line="240" w:lineRule="auto"/>
              <w:jc w:val="left"/>
              <w:rPr>
                <w:rFonts w:ascii="Arial" w:hAnsi="Arial" w:cs="Arial"/>
                <w:color w:val="000000"/>
                <w:sz w:val="16"/>
                <w:szCs w:val="16"/>
              </w:rPr>
            </w:pPr>
            <w:r w:rsidRPr="00507BC0">
              <w:rPr>
                <w:rFonts w:ascii="Arial" w:hAnsi="Arial" w:cs="Arial"/>
                <w:color w:val="000000"/>
                <w:sz w:val="16"/>
                <w:szCs w:val="16"/>
              </w:rPr>
              <w:t> </w:t>
            </w:r>
          </w:p>
        </w:tc>
        <w:tc>
          <w:tcPr>
            <w:tcW w:w="630" w:type="pct"/>
            <w:tcBorders>
              <w:top w:val="nil"/>
              <w:left w:val="nil"/>
              <w:bottom w:val="nil"/>
              <w:right w:val="nil"/>
            </w:tcBorders>
            <w:shd w:val="clear" w:color="auto" w:fill="auto"/>
            <w:noWrap/>
            <w:vAlign w:val="center"/>
            <w:hideMark/>
          </w:tcPr>
          <w:p w14:paraId="23259DA1" w14:textId="77777777" w:rsidR="00507BC0" w:rsidRPr="00507BC0" w:rsidRDefault="00507BC0" w:rsidP="00507BC0">
            <w:pPr>
              <w:spacing w:after="0" w:line="240" w:lineRule="auto"/>
              <w:jc w:val="left"/>
              <w:rPr>
                <w:rFonts w:ascii="Arial" w:hAnsi="Arial" w:cs="Arial"/>
                <w:color w:val="000000"/>
                <w:sz w:val="16"/>
                <w:szCs w:val="16"/>
              </w:rPr>
            </w:pPr>
          </w:p>
        </w:tc>
        <w:tc>
          <w:tcPr>
            <w:tcW w:w="630" w:type="pct"/>
            <w:tcBorders>
              <w:top w:val="nil"/>
              <w:left w:val="nil"/>
              <w:bottom w:val="nil"/>
              <w:right w:val="nil"/>
            </w:tcBorders>
            <w:shd w:val="clear" w:color="auto" w:fill="auto"/>
            <w:noWrap/>
            <w:vAlign w:val="center"/>
            <w:hideMark/>
          </w:tcPr>
          <w:p w14:paraId="751CF7DC" w14:textId="77777777" w:rsidR="00507BC0" w:rsidRPr="00507BC0" w:rsidRDefault="00507BC0" w:rsidP="00507BC0">
            <w:pPr>
              <w:spacing w:after="0" w:line="240" w:lineRule="auto"/>
              <w:jc w:val="left"/>
              <w:rPr>
                <w:rFonts w:ascii="Times New Roman" w:hAnsi="Times New Roman"/>
              </w:rPr>
            </w:pPr>
          </w:p>
        </w:tc>
        <w:tc>
          <w:tcPr>
            <w:tcW w:w="630" w:type="pct"/>
            <w:tcBorders>
              <w:top w:val="nil"/>
              <w:left w:val="nil"/>
              <w:bottom w:val="nil"/>
              <w:right w:val="nil"/>
            </w:tcBorders>
            <w:shd w:val="clear" w:color="auto" w:fill="auto"/>
            <w:noWrap/>
            <w:vAlign w:val="center"/>
            <w:hideMark/>
          </w:tcPr>
          <w:p w14:paraId="735DB2F9" w14:textId="77777777" w:rsidR="00507BC0" w:rsidRPr="00507BC0" w:rsidRDefault="00507BC0" w:rsidP="00507BC0">
            <w:pPr>
              <w:spacing w:after="0" w:line="240" w:lineRule="auto"/>
              <w:jc w:val="left"/>
              <w:rPr>
                <w:rFonts w:ascii="Times New Roman" w:hAnsi="Times New Roman"/>
              </w:rPr>
            </w:pPr>
          </w:p>
        </w:tc>
      </w:tr>
      <w:tr w:rsidR="00507BC0" w:rsidRPr="00507BC0" w14:paraId="15AD2776" w14:textId="77777777" w:rsidTr="00507BC0">
        <w:trPr>
          <w:trHeight w:hRule="exact" w:val="225"/>
        </w:trPr>
        <w:tc>
          <w:tcPr>
            <w:tcW w:w="1848" w:type="pct"/>
            <w:tcBorders>
              <w:top w:val="nil"/>
              <w:left w:val="nil"/>
              <w:bottom w:val="nil"/>
              <w:right w:val="nil"/>
            </w:tcBorders>
            <w:shd w:val="clear" w:color="auto" w:fill="auto"/>
            <w:vAlign w:val="center"/>
            <w:hideMark/>
          </w:tcPr>
          <w:p w14:paraId="7FFADD29" w14:textId="77777777" w:rsidR="00507BC0" w:rsidRPr="00507BC0" w:rsidRDefault="00507BC0" w:rsidP="00507BC0">
            <w:pPr>
              <w:spacing w:after="0" w:line="240" w:lineRule="auto"/>
              <w:ind w:left="170"/>
              <w:jc w:val="left"/>
              <w:rPr>
                <w:rFonts w:ascii="Arial" w:hAnsi="Arial" w:cs="Arial"/>
                <w:color w:val="000000"/>
                <w:sz w:val="16"/>
                <w:szCs w:val="16"/>
              </w:rPr>
            </w:pPr>
            <w:r w:rsidRPr="00507BC0">
              <w:rPr>
                <w:rFonts w:ascii="Arial" w:hAnsi="Arial" w:cs="Arial"/>
                <w:color w:val="000000"/>
                <w:sz w:val="16"/>
                <w:szCs w:val="16"/>
              </w:rPr>
              <w:t>Repayments of advances and loans</w:t>
            </w:r>
          </w:p>
        </w:tc>
        <w:tc>
          <w:tcPr>
            <w:tcW w:w="630" w:type="pct"/>
            <w:tcBorders>
              <w:top w:val="nil"/>
              <w:left w:val="nil"/>
              <w:bottom w:val="nil"/>
              <w:right w:val="nil"/>
            </w:tcBorders>
            <w:shd w:val="clear" w:color="auto" w:fill="auto"/>
            <w:noWrap/>
            <w:vAlign w:val="center"/>
            <w:hideMark/>
          </w:tcPr>
          <w:p w14:paraId="560364A8"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283,280 </w:t>
            </w:r>
          </w:p>
        </w:tc>
        <w:tc>
          <w:tcPr>
            <w:tcW w:w="630" w:type="pct"/>
            <w:tcBorders>
              <w:top w:val="nil"/>
              <w:left w:val="nil"/>
              <w:bottom w:val="nil"/>
              <w:right w:val="nil"/>
            </w:tcBorders>
            <w:shd w:val="clear" w:color="000000" w:fill="E6E6E6"/>
            <w:noWrap/>
            <w:vAlign w:val="center"/>
            <w:hideMark/>
          </w:tcPr>
          <w:p w14:paraId="5B39571F"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264,834 </w:t>
            </w:r>
          </w:p>
        </w:tc>
        <w:tc>
          <w:tcPr>
            <w:tcW w:w="630" w:type="pct"/>
            <w:tcBorders>
              <w:top w:val="nil"/>
              <w:left w:val="nil"/>
              <w:bottom w:val="nil"/>
              <w:right w:val="nil"/>
            </w:tcBorders>
            <w:shd w:val="clear" w:color="auto" w:fill="auto"/>
            <w:noWrap/>
            <w:vAlign w:val="center"/>
            <w:hideMark/>
          </w:tcPr>
          <w:p w14:paraId="41D03526"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303,488 </w:t>
            </w:r>
          </w:p>
        </w:tc>
        <w:tc>
          <w:tcPr>
            <w:tcW w:w="630" w:type="pct"/>
            <w:tcBorders>
              <w:top w:val="nil"/>
              <w:left w:val="nil"/>
              <w:bottom w:val="nil"/>
              <w:right w:val="nil"/>
            </w:tcBorders>
            <w:shd w:val="clear" w:color="auto" w:fill="auto"/>
            <w:noWrap/>
            <w:vAlign w:val="center"/>
            <w:hideMark/>
          </w:tcPr>
          <w:p w14:paraId="6B93DA6E"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443,754 </w:t>
            </w:r>
          </w:p>
        </w:tc>
        <w:tc>
          <w:tcPr>
            <w:tcW w:w="630" w:type="pct"/>
            <w:tcBorders>
              <w:top w:val="nil"/>
              <w:left w:val="nil"/>
              <w:bottom w:val="nil"/>
              <w:right w:val="nil"/>
            </w:tcBorders>
            <w:shd w:val="clear" w:color="auto" w:fill="auto"/>
            <w:noWrap/>
            <w:vAlign w:val="center"/>
            <w:hideMark/>
          </w:tcPr>
          <w:p w14:paraId="222F8FD2"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173,202 </w:t>
            </w:r>
          </w:p>
        </w:tc>
      </w:tr>
      <w:tr w:rsidR="00507BC0" w:rsidRPr="00507BC0" w14:paraId="56BC8A90" w14:textId="77777777" w:rsidTr="00507BC0">
        <w:trPr>
          <w:trHeight w:hRule="exact" w:val="225"/>
        </w:trPr>
        <w:tc>
          <w:tcPr>
            <w:tcW w:w="1848" w:type="pct"/>
            <w:tcBorders>
              <w:top w:val="nil"/>
              <w:left w:val="nil"/>
              <w:bottom w:val="nil"/>
              <w:right w:val="nil"/>
            </w:tcBorders>
            <w:shd w:val="clear" w:color="auto" w:fill="auto"/>
            <w:vAlign w:val="center"/>
            <w:hideMark/>
          </w:tcPr>
          <w:p w14:paraId="2ECF87E0" w14:textId="77777777" w:rsidR="00507BC0" w:rsidRPr="00507BC0" w:rsidRDefault="00507BC0" w:rsidP="00507BC0">
            <w:pPr>
              <w:spacing w:after="0" w:line="240" w:lineRule="auto"/>
              <w:ind w:left="170"/>
              <w:jc w:val="left"/>
              <w:rPr>
                <w:rFonts w:ascii="Arial" w:hAnsi="Arial" w:cs="Arial"/>
                <w:color w:val="000000"/>
                <w:sz w:val="16"/>
                <w:szCs w:val="16"/>
              </w:rPr>
            </w:pPr>
            <w:r w:rsidRPr="00507BC0">
              <w:rPr>
                <w:rFonts w:ascii="Arial" w:hAnsi="Arial" w:cs="Arial"/>
                <w:color w:val="000000"/>
                <w:sz w:val="16"/>
                <w:szCs w:val="16"/>
              </w:rPr>
              <w:t>Investments</w:t>
            </w:r>
          </w:p>
        </w:tc>
        <w:tc>
          <w:tcPr>
            <w:tcW w:w="630" w:type="pct"/>
            <w:tcBorders>
              <w:top w:val="nil"/>
              <w:left w:val="nil"/>
              <w:bottom w:val="nil"/>
              <w:right w:val="nil"/>
            </w:tcBorders>
            <w:shd w:val="clear" w:color="auto" w:fill="auto"/>
            <w:noWrap/>
            <w:vAlign w:val="center"/>
            <w:hideMark/>
          </w:tcPr>
          <w:p w14:paraId="6A9C6414" w14:textId="77777777" w:rsidR="00507BC0" w:rsidRPr="00507BC0" w:rsidRDefault="00507BC0" w:rsidP="00507BC0">
            <w:pPr>
              <w:spacing w:after="0" w:line="240" w:lineRule="auto"/>
              <w:jc w:val="right"/>
              <w:rPr>
                <w:rFonts w:ascii="Arial" w:hAnsi="Arial" w:cs="Arial"/>
                <w:color w:val="000000"/>
                <w:sz w:val="16"/>
                <w:szCs w:val="16"/>
              </w:rPr>
            </w:pPr>
            <w:r w:rsidRPr="00507BC0">
              <w:rPr>
                <w:rFonts w:ascii="Arial" w:hAnsi="Arial" w:cs="Arial"/>
                <w:color w:val="000000"/>
                <w:sz w:val="16"/>
                <w:szCs w:val="16"/>
              </w:rPr>
              <w:t xml:space="preserve">5,950 </w:t>
            </w:r>
          </w:p>
        </w:tc>
        <w:tc>
          <w:tcPr>
            <w:tcW w:w="630" w:type="pct"/>
            <w:tcBorders>
              <w:top w:val="nil"/>
              <w:left w:val="nil"/>
              <w:bottom w:val="nil"/>
              <w:right w:val="nil"/>
            </w:tcBorders>
            <w:shd w:val="clear" w:color="000000" w:fill="E6E6E6"/>
            <w:noWrap/>
            <w:vAlign w:val="center"/>
            <w:hideMark/>
          </w:tcPr>
          <w:p w14:paraId="0CB84CF4" w14:textId="22C9AD3A"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156CDF85" w14:textId="69439956"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0CC7B19C" w14:textId="7DC71B89"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center"/>
            <w:hideMark/>
          </w:tcPr>
          <w:p w14:paraId="63F55B4D" w14:textId="537FB94B" w:rsidR="00507BC0" w:rsidRPr="00507BC0" w:rsidRDefault="00B33758" w:rsidP="00507BC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507BC0" w:rsidRPr="00507BC0">
              <w:rPr>
                <w:rFonts w:ascii="Arial" w:hAnsi="Arial" w:cs="Arial"/>
                <w:color w:val="000000"/>
                <w:sz w:val="16"/>
                <w:szCs w:val="16"/>
              </w:rPr>
              <w:t xml:space="preserve"> </w:t>
            </w:r>
          </w:p>
        </w:tc>
      </w:tr>
      <w:tr w:rsidR="00507BC0" w:rsidRPr="00507BC0" w14:paraId="493CE918" w14:textId="77777777" w:rsidTr="00507BC0">
        <w:trPr>
          <w:trHeight w:hRule="exact" w:val="210"/>
        </w:trPr>
        <w:tc>
          <w:tcPr>
            <w:tcW w:w="1848" w:type="pct"/>
            <w:tcBorders>
              <w:top w:val="nil"/>
              <w:left w:val="nil"/>
              <w:bottom w:val="single" w:sz="4" w:space="0" w:color="000000"/>
              <w:right w:val="nil"/>
            </w:tcBorders>
            <w:shd w:val="clear" w:color="auto" w:fill="auto"/>
            <w:noWrap/>
            <w:vAlign w:val="center"/>
            <w:hideMark/>
          </w:tcPr>
          <w:p w14:paraId="1A1C9E3E" w14:textId="77777777" w:rsidR="00507BC0" w:rsidRPr="00507BC0" w:rsidRDefault="00507BC0" w:rsidP="00507BC0">
            <w:pPr>
              <w:spacing w:after="0" w:line="240" w:lineRule="auto"/>
              <w:jc w:val="left"/>
              <w:rPr>
                <w:rFonts w:ascii="Arial" w:hAnsi="Arial" w:cs="Arial"/>
                <w:b/>
                <w:bCs/>
                <w:i/>
                <w:iCs/>
                <w:color w:val="000000"/>
                <w:sz w:val="16"/>
                <w:szCs w:val="16"/>
              </w:rPr>
            </w:pPr>
            <w:r w:rsidRPr="00507BC0">
              <w:rPr>
                <w:rFonts w:ascii="Arial" w:hAnsi="Arial" w:cs="Arial"/>
                <w:b/>
                <w:bCs/>
                <w:i/>
                <w:iCs/>
                <w:color w:val="000000"/>
                <w:sz w:val="16"/>
                <w:szCs w:val="16"/>
              </w:rPr>
              <w:t>Total cash received</w:t>
            </w:r>
          </w:p>
        </w:tc>
        <w:tc>
          <w:tcPr>
            <w:tcW w:w="630" w:type="pct"/>
            <w:tcBorders>
              <w:top w:val="single" w:sz="4" w:space="0" w:color="000000"/>
              <w:left w:val="nil"/>
              <w:bottom w:val="single" w:sz="4" w:space="0" w:color="000000"/>
              <w:right w:val="nil"/>
            </w:tcBorders>
            <w:shd w:val="clear" w:color="auto" w:fill="auto"/>
            <w:noWrap/>
            <w:vAlign w:val="center"/>
            <w:hideMark/>
          </w:tcPr>
          <w:p w14:paraId="56EF6187"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289,230 </w:t>
            </w:r>
          </w:p>
        </w:tc>
        <w:tc>
          <w:tcPr>
            <w:tcW w:w="630" w:type="pct"/>
            <w:tcBorders>
              <w:top w:val="single" w:sz="4" w:space="0" w:color="000000"/>
              <w:left w:val="nil"/>
              <w:bottom w:val="single" w:sz="4" w:space="0" w:color="000000"/>
              <w:right w:val="nil"/>
            </w:tcBorders>
            <w:shd w:val="clear" w:color="000000" w:fill="E6E6E6"/>
            <w:noWrap/>
            <w:vAlign w:val="center"/>
            <w:hideMark/>
          </w:tcPr>
          <w:p w14:paraId="387D49F1"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264,834 </w:t>
            </w:r>
          </w:p>
        </w:tc>
        <w:tc>
          <w:tcPr>
            <w:tcW w:w="630" w:type="pct"/>
            <w:tcBorders>
              <w:top w:val="single" w:sz="4" w:space="0" w:color="000000"/>
              <w:left w:val="nil"/>
              <w:bottom w:val="single" w:sz="4" w:space="0" w:color="000000"/>
              <w:right w:val="nil"/>
            </w:tcBorders>
            <w:shd w:val="clear" w:color="auto" w:fill="auto"/>
            <w:noWrap/>
            <w:vAlign w:val="center"/>
            <w:hideMark/>
          </w:tcPr>
          <w:p w14:paraId="398A6A7C"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303,488 </w:t>
            </w:r>
          </w:p>
        </w:tc>
        <w:tc>
          <w:tcPr>
            <w:tcW w:w="630" w:type="pct"/>
            <w:tcBorders>
              <w:top w:val="single" w:sz="4" w:space="0" w:color="000000"/>
              <w:left w:val="nil"/>
              <w:bottom w:val="single" w:sz="4" w:space="0" w:color="000000"/>
              <w:right w:val="nil"/>
            </w:tcBorders>
            <w:shd w:val="clear" w:color="auto" w:fill="auto"/>
            <w:noWrap/>
            <w:vAlign w:val="center"/>
            <w:hideMark/>
          </w:tcPr>
          <w:p w14:paraId="0E23D8EA"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443,754 </w:t>
            </w:r>
          </w:p>
        </w:tc>
        <w:tc>
          <w:tcPr>
            <w:tcW w:w="630" w:type="pct"/>
            <w:tcBorders>
              <w:top w:val="single" w:sz="4" w:space="0" w:color="000000"/>
              <w:left w:val="nil"/>
              <w:bottom w:val="single" w:sz="4" w:space="0" w:color="000000"/>
              <w:right w:val="nil"/>
            </w:tcBorders>
            <w:shd w:val="clear" w:color="auto" w:fill="auto"/>
            <w:noWrap/>
            <w:vAlign w:val="center"/>
            <w:hideMark/>
          </w:tcPr>
          <w:p w14:paraId="10452F86" w14:textId="77777777" w:rsidR="00507BC0" w:rsidRPr="00507BC0" w:rsidRDefault="00507BC0" w:rsidP="00507BC0">
            <w:pPr>
              <w:spacing w:after="0" w:line="240" w:lineRule="auto"/>
              <w:jc w:val="right"/>
              <w:rPr>
                <w:rFonts w:ascii="Arial" w:hAnsi="Arial" w:cs="Arial"/>
                <w:b/>
                <w:bCs/>
                <w:i/>
                <w:iCs/>
                <w:color w:val="000000"/>
                <w:sz w:val="16"/>
                <w:szCs w:val="16"/>
              </w:rPr>
            </w:pPr>
            <w:r w:rsidRPr="00507BC0">
              <w:rPr>
                <w:rFonts w:ascii="Arial" w:hAnsi="Arial" w:cs="Arial"/>
                <w:b/>
                <w:bCs/>
                <w:i/>
                <w:iCs/>
                <w:color w:val="000000"/>
                <w:sz w:val="16"/>
                <w:szCs w:val="16"/>
              </w:rPr>
              <w:t xml:space="preserve">173,202 </w:t>
            </w:r>
          </w:p>
        </w:tc>
      </w:tr>
    </w:tbl>
    <w:p w14:paraId="7D140FED" w14:textId="44F48865" w:rsidR="00877C56" w:rsidRPr="00877C56" w:rsidRDefault="00877C56" w:rsidP="00507BC0">
      <w:pPr>
        <w:pStyle w:val="ChartGraphic"/>
        <w:jc w:val="both"/>
      </w:pPr>
    </w:p>
    <w:p w14:paraId="53A8D55F" w14:textId="4504E12D" w:rsidR="004D458D" w:rsidRDefault="004D458D">
      <w:pPr>
        <w:spacing w:after="0" w:line="240" w:lineRule="auto"/>
        <w:jc w:val="left"/>
        <w:rPr>
          <w:rFonts w:ascii="Arial" w:hAnsi="Arial"/>
          <w:sz w:val="16"/>
        </w:rPr>
      </w:pPr>
      <w:r>
        <w:br w:type="page"/>
      </w:r>
    </w:p>
    <w:p w14:paraId="4BB8673E" w14:textId="04C6C1B2" w:rsidR="00877C56" w:rsidRPr="00877C56" w:rsidRDefault="00DD05A6" w:rsidP="00F75D77">
      <w:pPr>
        <w:pStyle w:val="TableHeadingcontinued0"/>
      </w:pPr>
      <w:r w:rsidRPr="004C5507">
        <w:lastRenderedPageBreak/>
        <w:t>Table</w:t>
      </w:r>
      <w:r>
        <w:t xml:space="preserve"> 3.9</w:t>
      </w:r>
      <w:r w:rsidRPr="004C5507">
        <w:t>: Schedule of budgeted administered cash flows</w:t>
      </w:r>
      <w:r>
        <w:t xml:space="preserve"> </w:t>
      </w:r>
      <w:r w:rsidRPr="004C5507">
        <w:t>(for the period ended 30 June) (continue</w:t>
      </w:r>
      <w:r w:rsidR="007827EF">
        <w:rPr>
          <w:lang w:val="en-AU"/>
        </w:rPr>
        <w:t>d</w:t>
      </w:r>
      <w:r w:rsidR="00877C56">
        <w:rPr>
          <w:lang w:val="en-AU"/>
        </w:rPr>
        <w:t>)</w:t>
      </w:r>
    </w:p>
    <w:tbl>
      <w:tblPr>
        <w:tblW w:w="5000" w:type="pct"/>
        <w:tblCellMar>
          <w:left w:w="0" w:type="dxa"/>
          <w:right w:w="28" w:type="dxa"/>
        </w:tblCellMar>
        <w:tblLook w:val="04A0" w:firstRow="1" w:lastRow="0" w:firstColumn="1" w:lastColumn="0" w:noHBand="0" w:noVBand="1"/>
      </w:tblPr>
      <w:tblGrid>
        <w:gridCol w:w="4063"/>
        <w:gridCol w:w="1496"/>
        <w:gridCol w:w="1495"/>
        <w:gridCol w:w="1495"/>
        <w:gridCol w:w="1495"/>
        <w:gridCol w:w="1495"/>
      </w:tblGrid>
      <w:tr w:rsidR="00877C56" w:rsidRPr="00877C56" w14:paraId="4EC74F83" w14:textId="77777777" w:rsidTr="00877C56">
        <w:trPr>
          <w:trHeight w:hRule="exact" w:val="900"/>
        </w:trPr>
        <w:tc>
          <w:tcPr>
            <w:tcW w:w="1760" w:type="pct"/>
            <w:tcBorders>
              <w:top w:val="single" w:sz="4" w:space="0" w:color="auto"/>
              <w:left w:val="nil"/>
              <w:bottom w:val="nil"/>
              <w:right w:val="nil"/>
            </w:tcBorders>
            <w:shd w:val="clear" w:color="auto" w:fill="auto"/>
            <w:noWrap/>
            <w:hideMark/>
          </w:tcPr>
          <w:p w14:paraId="33D56D65" w14:textId="6A975C2F" w:rsidR="00877C56" w:rsidRPr="00877C56" w:rsidRDefault="00877C56" w:rsidP="00877C56">
            <w:pPr>
              <w:spacing w:after="0" w:line="240" w:lineRule="auto"/>
              <w:jc w:val="left"/>
              <w:rPr>
                <w:rFonts w:ascii="Arial" w:hAnsi="Arial" w:cs="Arial"/>
                <w:b/>
                <w:bCs/>
                <w:sz w:val="16"/>
                <w:szCs w:val="16"/>
              </w:rPr>
            </w:pPr>
            <w:r w:rsidRPr="00877C56">
              <w:rPr>
                <w:rFonts w:ascii="Arial" w:hAnsi="Arial" w:cs="Arial"/>
                <w:b/>
                <w:bCs/>
                <w:sz w:val="16"/>
                <w:szCs w:val="16"/>
              </w:rPr>
              <w:t> </w:t>
            </w:r>
          </w:p>
        </w:tc>
        <w:tc>
          <w:tcPr>
            <w:tcW w:w="648" w:type="pct"/>
            <w:tcBorders>
              <w:top w:val="single" w:sz="4" w:space="0" w:color="auto"/>
              <w:left w:val="nil"/>
              <w:bottom w:val="single" w:sz="4" w:space="0" w:color="auto"/>
              <w:right w:val="nil"/>
            </w:tcBorders>
            <w:shd w:val="clear" w:color="auto" w:fill="auto"/>
            <w:hideMark/>
          </w:tcPr>
          <w:p w14:paraId="1DD29502" w14:textId="1F8BBCFC" w:rsidR="00877C56" w:rsidRPr="00877C56" w:rsidRDefault="00877C56" w:rsidP="00877C56">
            <w:pPr>
              <w:spacing w:after="0" w:line="240" w:lineRule="auto"/>
              <w:jc w:val="right"/>
              <w:rPr>
                <w:rFonts w:ascii="Arial" w:hAnsi="Arial" w:cs="Arial"/>
                <w:sz w:val="16"/>
                <w:szCs w:val="16"/>
              </w:rPr>
            </w:pPr>
            <w:r w:rsidRPr="00877C56">
              <w:rPr>
                <w:rFonts w:ascii="Arial" w:hAnsi="Arial" w:cs="Arial"/>
                <w:sz w:val="16"/>
                <w:szCs w:val="16"/>
              </w:rPr>
              <w:t>2021</w:t>
            </w:r>
            <w:r w:rsidR="00B33758">
              <w:rPr>
                <w:rFonts w:ascii="Arial" w:hAnsi="Arial" w:cs="Arial"/>
                <w:sz w:val="16"/>
                <w:szCs w:val="16"/>
              </w:rPr>
              <w:noBreakHyphen/>
            </w:r>
            <w:r w:rsidRPr="00877C56">
              <w:rPr>
                <w:rFonts w:ascii="Arial" w:hAnsi="Arial" w:cs="Arial"/>
                <w:sz w:val="16"/>
                <w:szCs w:val="16"/>
              </w:rPr>
              <w:t xml:space="preserve">22 </w:t>
            </w:r>
            <w:r w:rsidRPr="00877C56">
              <w:rPr>
                <w:rFonts w:ascii="Arial" w:hAnsi="Arial" w:cs="Arial"/>
                <w:sz w:val="16"/>
                <w:szCs w:val="16"/>
              </w:rPr>
              <w:br/>
              <w:t>Estimated actual</w:t>
            </w:r>
            <w:r w:rsidRPr="00877C56">
              <w:rPr>
                <w:rFonts w:ascii="Arial" w:hAnsi="Arial" w:cs="Arial"/>
                <w:sz w:val="16"/>
                <w:szCs w:val="16"/>
              </w:rPr>
              <w:br/>
              <w:t>$</w:t>
            </w:r>
            <w:r w:rsidR="00B33758">
              <w:rPr>
                <w:rFonts w:ascii="Arial" w:hAnsi="Arial" w:cs="Arial"/>
                <w:sz w:val="16"/>
                <w:szCs w:val="16"/>
              </w:rPr>
              <w:t>’</w:t>
            </w:r>
            <w:r w:rsidRPr="00877C56">
              <w:rPr>
                <w:rFonts w:ascii="Arial" w:hAnsi="Arial" w:cs="Arial"/>
                <w:sz w:val="16"/>
                <w:szCs w:val="16"/>
              </w:rPr>
              <w:t>000</w:t>
            </w:r>
          </w:p>
        </w:tc>
        <w:tc>
          <w:tcPr>
            <w:tcW w:w="648" w:type="pct"/>
            <w:tcBorders>
              <w:top w:val="single" w:sz="4" w:space="0" w:color="auto"/>
              <w:left w:val="nil"/>
              <w:bottom w:val="single" w:sz="4" w:space="0" w:color="auto"/>
              <w:right w:val="nil"/>
            </w:tcBorders>
            <w:shd w:val="clear" w:color="000000" w:fill="E6E6E6"/>
            <w:hideMark/>
          </w:tcPr>
          <w:p w14:paraId="32AB34FC" w14:textId="2E60C128" w:rsidR="00877C56" w:rsidRPr="00877C56" w:rsidRDefault="00877C56" w:rsidP="00877C56">
            <w:pPr>
              <w:spacing w:after="0" w:line="240" w:lineRule="auto"/>
              <w:jc w:val="right"/>
              <w:rPr>
                <w:rFonts w:ascii="Arial" w:hAnsi="Arial" w:cs="Arial"/>
                <w:sz w:val="16"/>
                <w:szCs w:val="16"/>
              </w:rPr>
            </w:pPr>
            <w:r w:rsidRPr="00877C56">
              <w:rPr>
                <w:rFonts w:ascii="Arial" w:hAnsi="Arial" w:cs="Arial"/>
                <w:sz w:val="16"/>
                <w:szCs w:val="16"/>
              </w:rPr>
              <w:t>2022</w:t>
            </w:r>
            <w:r w:rsidR="00B33758">
              <w:rPr>
                <w:rFonts w:ascii="Arial" w:hAnsi="Arial" w:cs="Arial"/>
                <w:sz w:val="16"/>
                <w:szCs w:val="16"/>
              </w:rPr>
              <w:noBreakHyphen/>
            </w:r>
            <w:r w:rsidRPr="00877C56">
              <w:rPr>
                <w:rFonts w:ascii="Arial" w:hAnsi="Arial" w:cs="Arial"/>
                <w:sz w:val="16"/>
                <w:szCs w:val="16"/>
              </w:rPr>
              <w:t>23</w:t>
            </w:r>
            <w:r w:rsidRPr="00877C56">
              <w:rPr>
                <w:rFonts w:ascii="Arial" w:hAnsi="Arial" w:cs="Arial"/>
                <w:sz w:val="16"/>
                <w:szCs w:val="16"/>
              </w:rPr>
              <w:br/>
              <w:t>Budget</w:t>
            </w:r>
            <w:r w:rsidRPr="00877C56">
              <w:rPr>
                <w:rFonts w:ascii="Arial" w:hAnsi="Arial" w:cs="Arial"/>
                <w:sz w:val="16"/>
                <w:szCs w:val="16"/>
              </w:rPr>
              <w:br/>
              <w:t>$</w:t>
            </w:r>
            <w:r w:rsidR="00B33758">
              <w:rPr>
                <w:rFonts w:ascii="Arial" w:hAnsi="Arial" w:cs="Arial"/>
                <w:sz w:val="16"/>
                <w:szCs w:val="16"/>
              </w:rPr>
              <w:t>’</w:t>
            </w:r>
            <w:r w:rsidRPr="00877C56">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6D1C776B" w14:textId="10DD58B3" w:rsidR="00877C56" w:rsidRPr="00877C56" w:rsidRDefault="00877C56" w:rsidP="00877C56">
            <w:pPr>
              <w:spacing w:after="0" w:line="240" w:lineRule="auto"/>
              <w:jc w:val="right"/>
              <w:rPr>
                <w:rFonts w:ascii="Arial" w:hAnsi="Arial" w:cs="Arial"/>
                <w:sz w:val="16"/>
                <w:szCs w:val="16"/>
              </w:rPr>
            </w:pPr>
            <w:r w:rsidRPr="00877C56">
              <w:rPr>
                <w:rFonts w:ascii="Arial" w:hAnsi="Arial" w:cs="Arial"/>
                <w:sz w:val="16"/>
                <w:szCs w:val="16"/>
              </w:rPr>
              <w:t>2023</w:t>
            </w:r>
            <w:r w:rsidR="00B33758">
              <w:rPr>
                <w:rFonts w:ascii="Arial" w:hAnsi="Arial" w:cs="Arial"/>
                <w:sz w:val="16"/>
                <w:szCs w:val="16"/>
              </w:rPr>
              <w:noBreakHyphen/>
            </w:r>
            <w:r w:rsidRPr="00877C56">
              <w:rPr>
                <w:rFonts w:ascii="Arial" w:hAnsi="Arial" w:cs="Arial"/>
                <w:sz w:val="16"/>
                <w:szCs w:val="16"/>
              </w:rPr>
              <w:t xml:space="preserve">24 </w:t>
            </w:r>
            <w:r w:rsidRPr="00877C56">
              <w:rPr>
                <w:rFonts w:ascii="Arial" w:hAnsi="Arial" w:cs="Arial"/>
                <w:sz w:val="16"/>
                <w:szCs w:val="16"/>
              </w:rPr>
              <w:br/>
              <w:t>Forward estimate</w:t>
            </w:r>
            <w:r w:rsidRPr="00877C56">
              <w:rPr>
                <w:rFonts w:ascii="Arial" w:hAnsi="Arial" w:cs="Arial"/>
                <w:sz w:val="16"/>
                <w:szCs w:val="16"/>
              </w:rPr>
              <w:br/>
              <w:t>$</w:t>
            </w:r>
            <w:r w:rsidR="00B33758">
              <w:rPr>
                <w:rFonts w:ascii="Arial" w:hAnsi="Arial" w:cs="Arial"/>
                <w:sz w:val="16"/>
                <w:szCs w:val="16"/>
              </w:rPr>
              <w:t>’</w:t>
            </w:r>
            <w:r w:rsidRPr="00877C56">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781E35D5" w14:textId="28D6AD5F" w:rsidR="00877C56" w:rsidRPr="00877C56" w:rsidRDefault="00877C56" w:rsidP="00877C56">
            <w:pPr>
              <w:spacing w:after="0" w:line="240" w:lineRule="auto"/>
              <w:jc w:val="right"/>
              <w:rPr>
                <w:rFonts w:ascii="Arial" w:hAnsi="Arial" w:cs="Arial"/>
                <w:sz w:val="16"/>
                <w:szCs w:val="16"/>
              </w:rPr>
            </w:pPr>
            <w:r w:rsidRPr="00877C56">
              <w:rPr>
                <w:rFonts w:ascii="Arial" w:hAnsi="Arial" w:cs="Arial"/>
                <w:sz w:val="16"/>
                <w:szCs w:val="16"/>
              </w:rPr>
              <w:t>2024</w:t>
            </w:r>
            <w:r w:rsidR="00B33758">
              <w:rPr>
                <w:rFonts w:ascii="Arial" w:hAnsi="Arial" w:cs="Arial"/>
                <w:sz w:val="16"/>
                <w:szCs w:val="16"/>
              </w:rPr>
              <w:noBreakHyphen/>
            </w:r>
            <w:r w:rsidRPr="00877C56">
              <w:rPr>
                <w:rFonts w:ascii="Arial" w:hAnsi="Arial" w:cs="Arial"/>
                <w:sz w:val="16"/>
                <w:szCs w:val="16"/>
              </w:rPr>
              <w:t xml:space="preserve">25 </w:t>
            </w:r>
            <w:r w:rsidRPr="00877C56">
              <w:rPr>
                <w:rFonts w:ascii="Arial" w:hAnsi="Arial" w:cs="Arial"/>
                <w:sz w:val="16"/>
                <w:szCs w:val="16"/>
              </w:rPr>
              <w:br/>
              <w:t>Forward estimate</w:t>
            </w:r>
            <w:r w:rsidRPr="00877C56">
              <w:rPr>
                <w:rFonts w:ascii="Arial" w:hAnsi="Arial" w:cs="Arial"/>
                <w:sz w:val="16"/>
                <w:szCs w:val="16"/>
              </w:rPr>
              <w:br/>
              <w:t>$</w:t>
            </w:r>
            <w:r w:rsidR="00B33758">
              <w:rPr>
                <w:rFonts w:ascii="Arial" w:hAnsi="Arial" w:cs="Arial"/>
                <w:sz w:val="16"/>
                <w:szCs w:val="16"/>
              </w:rPr>
              <w:t>’</w:t>
            </w:r>
            <w:r w:rsidRPr="00877C56">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3A043739" w14:textId="154EFCFD" w:rsidR="00877C56" w:rsidRPr="00877C56" w:rsidRDefault="00877C56" w:rsidP="00877C56">
            <w:pPr>
              <w:spacing w:after="0" w:line="240" w:lineRule="auto"/>
              <w:jc w:val="right"/>
              <w:rPr>
                <w:rFonts w:ascii="Arial" w:hAnsi="Arial" w:cs="Arial"/>
                <w:sz w:val="16"/>
                <w:szCs w:val="16"/>
              </w:rPr>
            </w:pPr>
            <w:r w:rsidRPr="00877C56">
              <w:rPr>
                <w:rFonts w:ascii="Arial" w:hAnsi="Arial" w:cs="Arial"/>
                <w:sz w:val="16"/>
                <w:szCs w:val="16"/>
              </w:rPr>
              <w:t>2025</w:t>
            </w:r>
            <w:r w:rsidR="00B33758">
              <w:rPr>
                <w:rFonts w:ascii="Arial" w:hAnsi="Arial" w:cs="Arial"/>
                <w:sz w:val="16"/>
                <w:szCs w:val="16"/>
              </w:rPr>
              <w:noBreakHyphen/>
            </w:r>
            <w:r w:rsidRPr="00877C56">
              <w:rPr>
                <w:rFonts w:ascii="Arial" w:hAnsi="Arial" w:cs="Arial"/>
                <w:sz w:val="16"/>
                <w:szCs w:val="16"/>
              </w:rPr>
              <w:t>26</w:t>
            </w:r>
            <w:r w:rsidRPr="00877C56">
              <w:rPr>
                <w:rFonts w:ascii="Arial" w:hAnsi="Arial" w:cs="Arial"/>
                <w:sz w:val="16"/>
                <w:szCs w:val="16"/>
              </w:rPr>
              <w:br/>
              <w:t>Forward estimate</w:t>
            </w:r>
            <w:r w:rsidRPr="00877C56">
              <w:rPr>
                <w:rFonts w:ascii="Arial" w:hAnsi="Arial" w:cs="Arial"/>
                <w:sz w:val="16"/>
                <w:szCs w:val="16"/>
              </w:rPr>
              <w:br/>
              <w:t>$</w:t>
            </w:r>
            <w:r w:rsidR="00B33758">
              <w:rPr>
                <w:rFonts w:ascii="Arial" w:hAnsi="Arial" w:cs="Arial"/>
                <w:sz w:val="16"/>
                <w:szCs w:val="16"/>
              </w:rPr>
              <w:t>’</w:t>
            </w:r>
            <w:r w:rsidRPr="00877C56">
              <w:rPr>
                <w:rFonts w:ascii="Arial" w:hAnsi="Arial" w:cs="Arial"/>
                <w:sz w:val="16"/>
                <w:szCs w:val="16"/>
              </w:rPr>
              <w:t>000</w:t>
            </w:r>
          </w:p>
        </w:tc>
      </w:tr>
      <w:tr w:rsidR="00877C56" w:rsidRPr="00877C56" w14:paraId="49ACAA59" w14:textId="77777777" w:rsidTr="00877C56">
        <w:trPr>
          <w:trHeight w:hRule="exact" w:val="225"/>
        </w:trPr>
        <w:tc>
          <w:tcPr>
            <w:tcW w:w="1760" w:type="pct"/>
            <w:tcBorders>
              <w:top w:val="nil"/>
              <w:left w:val="nil"/>
              <w:bottom w:val="nil"/>
              <w:right w:val="nil"/>
            </w:tcBorders>
            <w:shd w:val="clear" w:color="auto" w:fill="auto"/>
            <w:noWrap/>
            <w:vAlign w:val="center"/>
            <w:hideMark/>
          </w:tcPr>
          <w:p w14:paraId="4F422B35" w14:textId="77777777" w:rsidR="00877C56" w:rsidRPr="00877C56" w:rsidRDefault="00877C56" w:rsidP="00877C56">
            <w:pPr>
              <w:spacing w:after="0" w:line="240" w:lineRule="auto"/>
              <w:jc w:val="left"/>
              <w:rPr>
                <w:rFonts w:ascii="Arial" w:hAnsi="Arial" w:cs="Arial"/>
                <w:b/>
                <w:bCs/>
                <w:color w:val="000000"/>
                <w:sz w:val="16"/>
                <w:szCs w:val="16"/>
              </w:rPr>
            </w:pPr>
            <w:r w:rsidRPr="00877C56">
              <w:rPr>
                <w:rFonts w:ascii="Arial" w:hAnsi="Arial" w:cs="Arial"/>
                <w:b/>
                <w:bCs/>
                <w:color w:val="000000"/>
                <w:sz w:val="16"/>
                <w:szCs w:val="16"/>
              </w:rPr>
              <w:t>Cash used</w:t>
            </w:r>
          </w:p>
        </w:tc>
        <w:tc>
          <w:tcPr>
            <w:tcW w:w="648" w:type="pct"/>
            <w:tcBorders>
              <w:top w:val="nil"/>
              <w:left w:val="nil"/>
              <w:bottom w:val="nil"/>
              <w:right w:val="nil"/>
            </w:tcBorders>
            <w:shd w:val="clear" w:color="auto" w:fill="auto"/>
            <w:noWrap/>
            <w:vAlign w:val="center"/>
            <w:hideMark/>
          </w:tcPr>
          <w:p w14:paraId="38806932" w14:textId="77777777" w:rsidR="00877C56" w:rsidRPr="00877C56" w:rsidRDefault="00877C56" w:rsidP="00877C56">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center"/>
            <w:hideMark/>
          </w:tcPr>
          <w:p w14:paraId="31506DF2"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c>
          <w:tcPr>
            <w:tcW w:w="648" w:type="pct"/>
            <w:tcBorders>
              <w:top w:val="nil"/>
              <w:left w:val="nil"/>
              <w:bottom w:val="nil"/>
              <w:right w:val="nil"/>
            </w:tcBorders>
            <w:shd w:val="clear" w:color="auto" w:fill="auto"/>
            <w:noWrap/>
            <w:vAlign w:val="center"/>
            <w:hideMark/>
          </w:tcPr>
          <w:p w14:paraId="75969B07" w14:textId="77777777" w:rsidR="00877C56" w:rsidRPr="00877C56" w:rsidRDefault="00877C56" w:rsidP="00877C56">
            <w:pPr>
              <w:spacing w:after="0" w:line="240" w:lineRule="auto"/>
              <w:jc w:val="left"/>
              <w:rPr>
                <w:rFonts w:ascii="Arial" w:hAnsi="Arial" w:cs="Arial"/>
                <w:color w:val="000000"/>
                <w:sz w:val="16"/>
                <w:szCs w:val="16"/>
              </w:rPr>
            </w:pPr>
          </w:p>
        </w:tc>
        <w:tc>
          <w:tcPr>
            <w:tcW w:w="648" w:type="pct"/>
            <w:tcBorders>
              <w:top w:val="nil"/>
              <w:left w:val="nil"/>
              <w:bottom w:val="nil"/>
              <w:right w:val="nil"/>
            </w:tcBorders>
            <w:shd w:val="clear" w:color="auto" w:fill="auto"/>
            <w:noWrap/>
            <w:vAlign w:val="center"/>
            <w:hideMark/>
          </w:tcPr>
          <w:p w14:paraId="2DC64BA3" w14:textId="77777777" w:rsidR="00877C56" w:rsidRPr="00877C56" w:rsidRDefault="00877C56" w:rsidP="00877C56">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center"/>
            <w:hideMark/>
          </w:tcPr>
          <w:p w14:paraId="2B507BDD" w14:textId="77777777" w:rsidR="00877C56" w:rsidRPr="00877C56" w:rsidRDefault="00877C56" w:rsidP="00877C56">
            <w:pPr>
              <w:spacing w:after="0" w:line="240" w:lineRule="auto"/>
              <w:jc w:val="left"/>
              <w:rPr>
                <w:rFonts w:ascii="Times New Roman" w:hAnsi="Times New Roman"/>
              </w:rPr>
            </w:pPr>
          </w:p>
        </w:tc>
      </w:tr>
      <w:tr w:rsidR="00877C56" w:rsidRPr="00877C56" w14:paraId="42228DB9" w14:textId="77777777" w:rsidTr="00877C56">
        <w:trPr>
          <w:trHeight w:hRule="exact" w:val="225"/>
        </w:trPr>
        <w:tc>
          <w:tcPr>
            <w:tcW w:w="1760" w:type="pct"/>
            <w:tcBorders>
              <w:top w:val="nil"/>
              <w:left w:val="nil"/>
              <w:bottom w:val="nil"/>
              <w:right w:val="nil"/>
            </w:tcBorders>
            <w:shd w:val="clear" w:color="auto" w:fill="auto"/>
            <w:noWrap/>
            <w:vAlign w:val="center"/>
            <w:hideMark/>
          </w:tcPr>
          <w:p w14:paraId="000FE2BD" w14:textId="77777777" w:rsidR="00877C56" w:rsidRPr="00877C56" w:rsidRDefault="00877C56" w:rsidP="00877C56">
            <w:pPr>
              <w:spacing w:after="0" w:line="240" w:lineRule="auto"/>
              <w:ind w:left="170"/>
              <w:jc w:val="left"/>
              <w:rPr>
                <w:rFonts w:ascii="Arial" w:hAnsi="Arial" w:cs="Arial"/>
                <w:color w:val="000000"/>
                <w:sz w:val="16"/>
                <w:szCs w:val="16"/>
              </w:rPr>
            </w:pPr>
            <w:r w:rsidRPr="00877C56">
              <w:rPr>
                <w:rFonts w:ascii="Arial" w:hAnsi="Arial" w:cs="Arial"/>
                <w:color w:val="000000"/>
                <w:sz w:val="16"/>
                <w:szCs w:val="16"/>
              </w:rPr>
              <w:t>Advances and loans made</w:t>
            </w:r>
          </w:p>
        </w:tc>
        <w:tc>
          <w:tcPr>
            <w:tcW w:w="648" w:type="pct"/>
            <w:tcBorders>
              <w:top w:val="nil"/>
              <w:left w:val="nil"/>
              <w:bottom w:val="nil"/>
              <w:right w:val="nil"/>
            </w:tcBorders>
            <w:shd w:val="clear" w:color="auto" w:fill="auto"/>
            <w:noWrap/>
            <w:vAlign w:val="center"/>
            <w:hideMark/>
          </w:tcPr>
          <w:p w14:paraId="7C7A2E4B"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708,520 </w:t>
            </w:r>
          </w:p>
        </w:tc>
        <w:tc>
          <w:tcPr>
            <w:tcW w:w="648" w:type="pct"/>
            <w:tcBorders>
              <w:top w:val="nil"/>
              <w:left w:val="nil"/>
              <w:bottom w:val="nil"/>
              <w:right w:val="nil"/>
            </w:tcBorders>
            <w:shd w:val="clear" w:color="000000" w:fill="E6E6E6"/>
            <w:noWrap/>
            <w:vAlign w:val="center"/>
            <w:hideMark/>
          </w:tcPr>
          <w:p w14:paraId="764EF7F1"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135,755 </w:t>
            </w:r>
          </w:p>
        </w:tc>
        <w:tc>
          <w:tcPr>
            <w:tcW w:w="648" w:type="pct"/>
            <w:tcBorders>
              <w:top w:val="nil"/>
              <w:left w:val="nil"/>
              <w:bottom w:val="nil"/>
              <w:right w:val="nil"/>
            </w:tcBorders>
            <w:shd w:val="clear" w:color="auto" w:fill="auto"/>
            <w:noWrap/>
            <w:vAlign w:val="center"/>
            <w:hideMark/>
          </w:tcPr>
          <w:p w14:paraId="4E8ADA67"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152,616 </w:t>
            </w:r>
          </w:p>
        </w:tc>
        <w:tc>
          <w:tcPr>
            <w:tcW w:w="648" w:type="pct"/>
            <w:tcBorders>
              <w:top w:val="nil"/>
              <w:left w:val="nil"/>
              <w:bottom w:val="nil"/>
              <w:right w:val="nil"/>
            </w:tcBorders>
            <w:shd w:val="clear" w:color="auto" w:fill="auto"/>
            <w:noWrap/>
            <w:vAlign w:val="center"/>
            <w:hideMark/>
          </w:tcPr>
          <w:p w14:paraId="3FE97304"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95,139 </w:t>
            </w:r>
          </w:p>
        </w:tc>
        <w:tc>
          <w:tcPr>
            <w:tcW w:w="648" w:type="pct"/>
            <w:tcBorders>
              <w:top w:val="nil"/>
              <w:left w:val="nil"/>
              <w:bottom w:val="nil"/>
              <w:right w:val="nil"/>
            </w:tcBorders>
            <w:shd w:val="clear" w:color="auto" w:fill="auto"/>
            <w:noWrap/>
            <w:vAlign w:val="center"/>
            <w:hideMark/>
          </w:tcPr>
          <w:p w14:paraId="79EE32DF"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50,000 </w:t>
            </w:r>
          </w:p>
        </w:tc>
      </w:tr>
      <w:tr w:rsidR="00877C56" w:rsidRPr="00877C56" w14:paraId="064797C4" w14:textId="77777777" w:rsidTr="00877C56">
        <w:trPr>
          <w:trHeight w:hRule="exact" w:val="225"/>
        </w:trPr>
        <w:tc>
          <w:tcPr>
            <w:tcW w:w="1760" w:type="pct"/>
            <w:tcBorders>
              <w:top w:val="nil"/>
              <w:left w:val="nil"/>
              <w:bottom w:val="nil"/>
              <w:right w:val="nil"/>
            </w:tcBorders>
            <w:shd w:val="clear" w:color="auto" w:fill="auto"/>
            <w:noWrap/>
            <w:vAlign w:val="center"/>
            <w:hideMark/>
          </w:tcPr>
          <w:p w14:paraId="42A3BDA9" w14:textId="76139B31" w:rsidR="00877C56" w:rsidRPr="00877C56" w:rsidRDefault="008D4E5C" w:rsidP="00877C56">
            <w:pPr>
              <w:spacing w:after="0" w:line="240" w:lineRule="auto"/>
              <w:ind w:left="170"/>
              <w:jc w:val="left"/>
              <w:rPr>
                <w:rFonts w:ascii="Arial" w:hAnsi="Arial" w:cs="Arial"/>
                <w:color w:val="000000"/>
                <w:sz w:val="16"/>
                <w:szCs w:val="16"/>
              </w:rPr>
            </w:pPr>
            <w:r>
              <w:rPr>
                <w:rFonts w:ascii="Arial" w:hAnsi="Arial" w:cs="Arial"/>
                <w:color w:val="000000"/>
                <w:sz w:val="16"/>
                <w:szCs w:val="16"/>
              </w:rPr>
              <w:t>Investments</w:t>
            </w:r>
          </w:p>
        </w:tc>
        <w:tc>
          <w:tcPr>
            <w:tcW w:w="648" w:type="pct"/>
            <w:tcBorders>
              <w:top w:val="nil"/>
              <w:left w:val="nil"/>
              <w:bottom w:val="nil"/>
              <w:right w:val="nil"/>
            </w:tcBorders>
            <w:shd w:val="clear" w:color="auto" w:fill="auto"/>
            <w:noWrap/>
            <w:vAlign w:val="center"/>
            <w:hideMark/>
          </w:tcPr>
          <w:p w14:paraId="1EAFD2DD"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246,524 </w:t>
            </w:r>
          </w:p>
        </w:tc>
        <w:tc>
          <w:tcPr>
            <w:tcW w:w="648" w:type="pct"/>
            <w:tcBorders>
              <w:top w:val="nil"/>
              <w:left w:val="nil"/>
              <w:bottom w:val="nil"/>
              <w:right w:val="nil"/>
            </w:tcBorders>
            <w:shd w:val="clear" w:color="000000" w:fill="E6E6E6"/>
            <w:noWrap/>
            <w:vAlign w:val="center"/>
            <w:hideMark/>
          </w:tcPr>
          <w:p w14:paraId="5A393349"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56,662 </w:t>
            </w:r>
          </w:p>
        </w:tc>
        <w:tc>
          <w:tcPr>
            <w:tcW w:w="648" w:type="pct"/>
            <w:tcBorders>
              <w:top w:val="nil"/>
              <w:left w:val="nil"/>
              <w:bottom w:val="nil"/>
              <w:right w:val="nil"/>
            </w:tcBorders>
            <w:shd w:val="clear" w:color="auto" w:fill="auto"/>
            <w:noWrap/>
            <w:vAlign w:val="center"/>
            <w:hideMark/>
          </w:tcPr>
          <w:p w14:paraId="5F7170E7"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55,935 </w:t>
            </w:r>
          </w:p>
        </w:tc>
        <w:tc>
          <w:tcPr>
            <w:tcW w:w="648" w:type="pct"/>
            <w:tcBorders>
              <w:top w:val="nil"/>
              <w:left w:val="nil"/>
              <w:bottom w:val="nil"/>
              <w:right w:val="nil"/>
            </w:tcBorders>
            <w:shd w:val="clear" w:color="auto" w:fill="auto"/>
            <w:noWrap/>
            <w:vAlign w:val="center"/>
            <w:hideMark/>
          </w:tcPr>
          <w:p w14:paraId="1E0531A6" w14:textId="144DEB45" w:rsidR="00877C56" w:rsidRPr="00877C56" w:rsidRDefault="00B33758" w:rsidP="00877C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w:t>
            </w:r>
          </w:p>
        </w:tc>
        <w:tc>
          <w:tcPr>
            <w:tcW w:w="648" w:type="pct"/>
            <w:tcBorders>
              <w:top w:val="nil"/>
              <w:left w:val="nil"/>
              <w:bottom w:val="nil"/>
              <w:right w:val="nil"/>
            </w:tcBorders>
            <w:shd w:val="clear" w:color="auto" w:fill="auto"/>
            <w:noWrap/>
            <w:vAlign w:val="center"/>
            <w:hideMark/>
          </w:tcPr>
          <w:p w14:paraId="484E7E14" w14:textId="2C0A5B43" w:rsidR="00877C56" w:rsidRPr="00877C56" w:rsidRDefault="00B33758" w:rsidP="00877C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w:t>
            </w:r>
          </w:p>
        </w:tc>
      </w:tr>
      <w:tr w:rsidR="00877C56" w:rsidRPr="00877C56" w14:paraId="1C6968A9" w14:textId="77777777" w:rsidTr="00877C56">
        <w:trPr>
          <w:trHeight w:hRule="exact" w:val="225"/>
        </w:trPr>
        <w:tc>
          <w:tcPr>
            <w:tcW w:w="1760" w:type="pct"/>
            <w:tcBorders>
              <w:top w:val="nil"/>
              <w:left w:val="nil"/>
              <w:bottom w:val="nil"/>
              <w:right w:val="nil"/>
            </w:tcBorders>
            <w:shd w:val="clear" w:color="auto" w:fill="auto"/>
            <w:noWrap/>
            <w:vAlign w:val="center"/>
            <w:hideMark/>
          </w:tcPr>
          <w:p w14:paraId="0395ED29" w14:textId="77777777" w:rsidR="00877C56" w:rsidRPr="00877C56" w:rsidRDefault="00877C56" w:rsidP="00877C56">
            <w:pPr>
              <w:spacing w:after="0" w:line="240" w:lineRule="auto"/>
              <w:ind w:left="170"/>
              <w:jc w:val="left"/>
              <w:rPr>
                <w:rFonts w:ascii="Arial" w:hAnsi="Arial" w:cs="Arial"/>
                <w:color w:val="000000"/>
                <w:sz w:val="16"/>
                <w:szCs w:val="16"/>
              </w:rPr>
            </w:pPr>
            <w:r w:rsidRPr="00877C56">
              <w:rPr>
                <w:rFonts w:ascii="Arial" w:hAnsi="Arial" w:cs="Arial"/>
                <w:color w:val="000000"/>
                <w:sz w:val="16"/>
                <w:szCs w:val="16"/>
              </w:rPr>
              <w:t>Other</w:t>
            </w:r>
          </w:p>
        </w:tc>
        <w:tc>
          <w:tcPr>
            <w:tcW w:w="648" w:type="pct"/>
            <w:tcBorders>
              <w:top w:val="nil"/>
              <w:left w:val="nil"/>
              <w:bottom w:val="nil"/>
              <w:right w:val="nil"/>
            </w:tcBorders>
            <w:shd w:val="clear" w:color="auto" w:fill="auto"/>
            <w:noWrap/>
            <w:vAlign w:val="center"/>
            <w:hideMark/>
          </w:tcPr>
          <w:p w14:paraId="29B7DECA"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165,000 </w:t>
            </w:r>
          </w:p>
        </w:tc>
        <w:tc>
          <w:tcPr>
            <w:tcW w:w="648" w:type="pct"/>
            <w:tcBorders>
              <w:top w:val="nil"/>
              <w:left w:val="nil"/>
              <w:bottom w:val="nil"/>
              <w:right w:val="nil"/>
            </w:tcBorders>
            <w:shd w:val="clear" w:color="000000" w:fill="E6E6E6"/>
            <w:noWrap/>
            <w:vAlign w:val="center"/>
            <w:hideMark/>
          </w:tcPr>
          <w:p w14:paraId="0DEABB42"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165,000 </w:t>
            </w:r>
          </w:p>
        </w:tc>
        <w:tc>
          <w:tcPr>
            <w:tcW w:w="648" w:type="pct"/>
            <w:tcBorders>
              <w:top w:val="nil"/>
              <w:left w:val="nil"/>
              <w:bottom w:val="nil"/>
              <w:right w:val="nil"/>
            </w:tcBorders>
            <w:shd w:val="clear" w:color="auto" w:fill="auto"/>
            <w:noWrap/>
            <w:vAlign w:val="center"/>
            <w:hideMark/>
          </w:tcPr>
          <w:p w14:paraId="011E9E95" w14:textId="75426C41" w:rsidR="00877C56" w:rsidRPr="00877C56" w:rsidRDefault="00B33758" w:rsidP="00877C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w:t>
            </w:r>
          </w:p>
        </w:tc>
        <w:tc>
          <w:tcPr>
            <w:tcW w:w="648" w:type="pct"/>
            <w:tcBorders>
              <w:top w:val="nil"/>
              <w:left w:val="nil"/>
              <w:bottom w:val="nil"/>
              <w:right w:val="nil"/>
            </w:tcBorders>
            <w:shd w:val="clear" w:color="auto" w:fill="auto"/>
            <w:noWrap/>
            <w:vAlign w:val="center"/>
            <w:hideMark/>
          </w:tcPr>
          <w:p w14:paraId="0EB6782C" w14:textId="7D96E454" w:rsidR="00877C56" w:rsidRPr="00877C56" w:rsidRDefault="00B33758" w:rsidP="00877C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w:t>
            </w:r>
          </w:p>
        </w:tc>
        <w:tc>
          <w:tcPr>
            <w:tcW w:w="648" w:type="pct"/>
            <w:tcBorders>
              <w:top w:val="nil"/>
              <w:left w:val="nil"/>
              <w:bottom w:val="nil"/>
              <w:right w:val="nil"/>
            </w:tcBorders>
            <w:shd w:val="clear" w:color="auto" w:fill="auto"/>
            <w:noWrap/>
            <w:vAlign w:val="center"/>
            <w:hideMark/>
          </w:tcPr>
          <w:p w14:paraId="092CF2C0" w14:textId="5AF2A448" w:rsidR="00877C56" w:rsidRPr="00877C56" w:rsidRDefault="00B33758" w:rsidP="00877C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w:t>
            </w:r>
          </w:p>
        </w:tc>
      </w:tr>
      <w:tr w:rsidR="00877C56" w:rsidRPr="00877C56" w14:paraId="5ECAD830" w14:textId="77777777" w:rsidTr="00877C56">
        <w:trPr>
          <w:trHeight w:hRule="exact" w:val="210"/>
        </w:trPr>
        <w:tc>
          <w:tcPr>
            <w:tcW w:w="1760" w:type="pct"/>
            <w:tcBorders>
              <w:top w:val="nil"/>
              <w:left w:val="nil"/>
              <w:bottom w:val="nil"/>
              <w:right w:val="nil"/>
            </w:tcBorders>
            <w:shd w:val="clear" w:color="auto" w:fill="auto"/>
            <w:noWrap/>
            <w:vAlign w:val="center"/>
            <w:hideMark/>
          </w:tcPr>
          <w:p w14:paraId="12E0E05E" w14:textId="77777777" w:rsidR="00877C56" w:rsidRPr="00877C56" w:rsidRDefault="00877C56" w:rsidP="00877C56">
            <w:pPr>
              <w:spacing w:after="0" w:line="240" w:lineRule="auto"/>
              <w:jc w:val="left"/>
              <w:rPr>
                <w:rFonts w:ascii="Arial" w:hAnsi="Arial" w:cs="Arial"/>
                <w:b/>
                <w:bCs/>
                <w:i/>
                <w:iCs/>
                <w:color w:val="000000"/>
                <w:sz w:val="16"/>
                <w:szCs w:val="16"/>
              </w:rPr>
            </w:pPr>
            <w:r w:rsidRPr="00877C56">
              <w:rPr>
                <w:rFonts w:ascii="Arial" w:hAnsi="Arial" w:cs="Arial"/>
                <w:b/>
                <w:bCs/>
                <w:i/>
                <w:iCs/>
                <w:color w:val="000000"/>
                <w:sz w:val="16"/>
                <w:szCs w:val="16"/>
              </w:rPr>
              <w:t>Total cash used</w:t>
            </w:r>
          </w:p>
        </w:tc>
        <w:tc>
          <w:tcPr>
            <w:tcW w:w="648" w:type="pct"/>
            <w:tcBorders>
              <w:top w:val="single" w:sz="4" w:space="0" w:color="000000"/>
              <w:left w:val="nil"/>
              <w:bottom w:val="single" w:sz="4" w:space="0" w:color="000000"/>
              <w:right w:val="nil"/>
            </w:tcBorders>
            <w:shd w:val="clear" w:color="auto" w:fill="auto"/>
            <w:noWrap/>
            <w:vAlign w:val="center"/>
            <w:hideMark/>
          </w:tcPr>
          <w:p w14:paraId="580C447C"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 xml:space="preserve">1,120,044 </w:t>
            </w:r>
          </w:p>
        </w:tc>
        <w:tc>
          <w:tcPr>
            <w:tcW w:w="648" w:type="pct"/>
            <w:tcBorders>
              <w:top w:val="single" w:sz="4" w:space="0" w:color="000000"/>
              <w:left w:val="nil"/>
              <w:bottom w:val="single" w:sz="4" w:space="0" w:color="000000"/>
              <w:right w:val="nil"/>
            </w:tcBorders>
            <w:shd w:val="clear" w:color="000000" w:fill="E6E6E6"/>
            <w:noWrap/>
            <w:vAlign w:val="center"/>
            <w:hideMark/>
          </w:tcPr>
          <w:p w14:paraId="69AC326E"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 xml:space="preserve">357,417 </w:t>
            </w:r>
          </w:p>
        </w:tc>
        <w:tc>
          <w:tcPr>
            <w:tcW w:w="648" w:type="pct"/>
            <w:tcBorders>
              <w:top w:val="single" w:sz="4" w:space="0" w:color="000000"/>
              <w:left w:val="nil"/>
              <w:bottom w:val="single" w:sz="4" w:space="0" w:color="000000"/>
              <w:right w:val="nil"/>
            </w:tcBorders>
            <w:shd w:val="clear" w:color="auto" w:fill="auto"/>
            <w:noWrap/>
            <w:vAlign w:val="center"/>
            <w:hideMark/>
          </w:tcPr>
          <w:p w14:paraId="0E17A558"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 xml:space="preserve">208,551 </w:t>
            </w:r>
          </w:p>
        </w:tc>
        <w:tc>
          <w:tcPr>
            <w:tcW w:w="648" w:type="pct"/>
            <w:tcBorders>
              <w:top w:val="single" w:sz="4" w:space="0" w:color="000000"/>
              <w:left w:val="nil"/>
              <w:bottom w:val="single" w:sz="4" w:space="0" w:color="000000"/>
              <w:right w:val="nil"/>
            </w:tcBorders>
            <w:shd w:val="clear" w:color="auto" w:fill="auto"/>
            <w:noWrap/>
            <w:vAlign w:val="center"/>
            <w:hideMark/>
          </w:tcPr>
          <w:p w14:paraId="3C2ECC5A"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 xml:space="preserve">95,139 </w:t>
            </w:r>
          </w:p>
        </w:tc>
        <w:tc>
          <w:tcPr>
            <w:tcW w:w="648" w:type="pct"/>
            <w:tcBorders>
              <w:top w:val="single" w:sz="4" w:space="0" w:color="000000"/>
              <w:left w:val="nil"/>
              <w:bottom w:val="single" w:sz="4" w:space="0" w:color="000000"/>
              <w:right w:val="nil"/>
            </w:tcBorders>
            <w:shd w:val="clear" w:color="auto" w:fill="auto"/>
            <w:noWrap/>
            <w:vAlign w:val="center"/>
            <w:hideMark/>
          </w:tcPr>
          <w:p w14:paraId="6A62790D"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 xml:space="preserve">50,000 </w:t>
            </w:r>
          </w:p>
        </w:tc>
      </w:tr>
      <w:tr w:rsidR="00877C56" w:rsidRPr="00877C56" w14:paraId="16CB7D00" w14:textId="77777777" w:rsidTr="00877C56">
        <w:trPr>
          <w:trHeight w:hRule="exact" w:val="450"/>
        </w:trPr>
        <w:tc>
          <w:tcPr>
            <w:tcW w:w="1760" w:type="pct"/>
            <w:tcBorders>
              <w:top w:val="nil"/>
              <w:left w:val="nil"/>
              <w:bottom w:val="nil"/>
              <w:right w:val="nil"/>
            </w:tcBorders>
            <w:shd w:val="clear" w:color="auto" w:fill="auto"/>
            <w:vAlign w:val="center"/>
            <w:hideMark/>
          </w:tcPr>
          <w:p w14:paraId="26D49BEE" w14:textId="77777777" w:rsidR="00877C56" w:rsidRPr="00877C56" w:rsidRDefault="00877C56" w:rsidP="00877C56">
            <w:pPr>
              <w:spacing w:after="0" w:line="240" w:lineRule="auto"/>
              <w:jc w:val="left"/>
              <w:rPr>
                <w:rFonts w:ascii="Arial" w:hAnsi="Arial" w:cs="Arial"/>
                <w:b/>
                <w:bCs/>
                <w:color w:val="000000"/>
                <w:sz w:val="16"/>
                <w:szCs w:val="16"/>
              </w:rPr>
            </w:pPr>
            <w:r w:rsidRPr="00877C56">
              <w:rPr>
                <w:rFonts w:ascii="Arial" w:hAnsi="Arial" w:cs="Arial"/>
                <w:b/>
                <w:bCs/>
                <w:color w:val="000000"/>
                <w:sz w:val="16"/>
                <w:szCs w:val="16"/>
              </w:rPr>
              <w:t>Net cash from/(used by)</w:t>
            </w:r>
            <w:r w:rsidRPr="00877C56">
              <w:rPr>
                <w:rFonts w:ascii="Arial" w:hAnsi="Arial" w:cs="Arial"/>
                <w:b/>
                <w:bCs/>
                <w:color w:val="000000"/>
                <w:sz w:val="16"/>
                <w:szCs w:val="16"/>
              </w:rPr>
              <w:br/>
              <w:t xml:space="preserve">  investing activities</w:t>
            </w:r>
          </w:p>
        </w:tc>
        <w:tc>
          <w:tcPr>
            <w:tcW w:w="648" w:type="pct"/>
            <w:tcBorders>
              <w:top w:val="nil"/>
              <w:left w:val="nil"/>
              <w:bottom w:val="single" w:sz="4" w:space="0" w:color="auto"/>
              <w:right w:val="nil"/>
            </w:tcBorders>
            <w:shd w:val="clear" w:color="auto" w:fill="auto"/>
            <w:noWrap/>
            <w:vAlign w:val="bottom"/>
            <w:hideMark/>
          </w:tcPr>
          <w:p w14:paraId="456EC1EB"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(830,814)</w:t>
            </w:r>
          </w:p>
        </w:tc>
        <w:tc>
          <w:tcPr>
            <w:tcW w:w="648" w:type="pct"/>
            <w:tcBorders>
              <w:top w:val="nil"/>
              <w:left w:val="nil"/>
              <w:bottom w:val="single" w:sz="4" w:space="0" w:color="auto"/>
              <w:right w:val="nil"/>
            </w:tcBorders>
            <w:shd w:val="clear" w:color="000000" w:fill="E6E6E6"/>
            <w:noWrap/>
            <w:vAlign w:val="bottom"/>
            <w:hideMark/>
          </w:tcPr>
          <w:p w14:paraId="451220A6"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(92,583)</w:t>
            </w:r>
          </w:p>
        </w:tc>
        <w:tc>
          <w:tcPr>
            <w:tcW w:w="648" w:type="pct"/>
            <w:tcBorders>
              <w:top w:val="nil"/>
              <w:left w:val="nil"/>
              <w:bottom w:val="single" w:sz="4" w:space="0" w:color="auto"/>
              <w:right w:val="nil"/>
            </w:tcBorders>
            <w:shd w:val="clear" w:color="auto" w:fill="auto"/>
            <w:noWrap/>
            <w:vAlign w:val="bottom"/>
            <w:hideMark/>
          </w:tcPr>
          <w:p w14:paraId="637B56B2"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94,937 </w:t>
            </w:r>
          </w:p>
        </w:tc>
        <w:tc>
          <w:tcPr>
            <w:tcW w:w="648" w:type="pct"/>
            <w:tcBorders>
              <w:top w:val="nil"/>
              <w:left w:val="nil"/>
              <w:bottom w:val="single" w:sz="4" w:space="0" w:color="auto"/>
              <w:right w:val="nil"/>
            </w:tcBorders>
            <w:shd w:val="clear" w:color="auto" w:fill="auto"/>
            <w:noWrap/>
            <w:vAlign w:val="bottom"/>
            <w:hideMark/>
          </w:tcPr>
          <w:p w14:paraId="0DB9D511"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348,615 </w:t>
            </w:r>
          </w:p>
        </w:tc>
        <w:tc>
          <w:tcPr>
            <w:tcW w:w="648" w:type="pct"/>
            <w:tcBorders>
              <w:top w:val="nil"/>
              <w:left w:val="nil"/>
              <w:bottom w:val="single" w:sz="4" w:space="0" w:color="auto"/>
              <w:right w:val="nil"/>
            </w:tcBorders>
            <w:shd w:val="clear" w:color="auto" w:fill="auto"/>
            <w:noWrap/>
            <w:vAlign w:val="bottom"/>
            <w:hideMark/>
          </w:tcPr>
          <w:p w14:paraId="2D2F9DF5"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123,202 </w:t>
            </w:r>
          </w:p>
        </w:tc>
      </w:tr>
      <w:tr w:rsidR="00877C56" w:rsidRPr="00877C56" w14:paraId="2E8A64BB" w14:textId="77777777" w:rsidTr="00877C56">
        <w:trPr>
          <w:trHeight w:hRule="exact" w:val="225"/>
        </w:trPr>
        <w:tc>
          <w:tcPr>
            <w:tcW w:w="1760" w:type="pct"/>
            <w:tcBorders>
              <w:top w:val="nil"/>
              <w:left w:val="nil"/>
              <w:bottom w:val="nil"/>
              <w:right w:val="nil"/>
            </w:tcBorders>
            <w:shd w:val="clear" w:color="auto" w:fill="auto"/>
            <w:noWrap/>
            <w:vAlign w:val="center"/>
            <w:hideMark/>
          </w:tcPr>
          <w:p w14:paraId="178716EF" w14:textId="77777777" w:rsidR="00877C56" w:rsidRPr="00877C56" w:rsidRDefault="00877C56" w:rsidP="00877C56">
            <w:pPr>
              <w:spacing w:after="0" w:line="240" w:lineRule="auto"/>
              <w:jc w:val="left"/>
              <w:rPr>
                <w:rFonts w:ascii="Arial" w:hAnsi="Arial" w:cs="Arial"/>
                <w:b/>
                <w:bCs/>
                <w:color w:val="000000"/>
                <w:sz w:val="16"/>
                <w:szCs w:val="16"/>
              </w:rPr>
            </w:pPr>
            <w:r w:rsidRPr="00877C56">
              <w:rPr>
                <w:rFonts w:ascii="Arial" w:hAnsi="Arial" w:cs="Arial"/>
                <w:b/>
                <w:bCs/>
                <w:color w:val="000000"/>
                <w:sz w:val="16"/>
                <w:szCs w:val="16"/>
              </w:rPr>
              <w:t>FINANCING ACTIVITIES</w:t>
            </w:r>
          </w:p>
        </w:tc>
        <w:tc>
          <w:tcPr>
            <w:tcW w:w="648" w:type="pct"/>
            <w:tcBorders>
              <w:top w:val="nil"/>
              <w:left w:val="nil"/>
              <w:bottom w:val="nil"/>
              <w:right w:val="nil"/>
            </w:tcBorders>
            <w:shd w:val="clear" w:color="auto" w:fill="auto"/>
            <w:noWrap/>
            <w:vAlign w:val="center"/>
            <w:hideMark/>
          </w:tcPr>
          <w:p w14:paraId="34878F90" w14:textId="77777777" w:rsidR="00877C56" w:rsidRPr="00877C56" w:rsidRDefault="00877C56" w:rsidP="00877C56">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center"/>
            <w:hideMark/>
          </w:tcPr>
          <w:p w14:paraId="4F9B5EC1"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c>
          <w:tcPr>
            <w:tcW w:w="648" w:type="pct"/>
            <w:tcBorders>
              <w:top w:val="nil"/>
              <w:left w:val="nil"/>
              <w:bottom w:val="nil"/>
              <w:right w:val="nil"/>
            </w:tcBorders>
            <w:shd w:val="clear" w:color="auto" w:fill="auto"/>
            <w:noWrap/>
            <w:vAlign w:val="center"/>
            <w:hideMark/>
          </w:tcPr>
          <w:p w14:paraId="168EEAFB" w14:textId="77777777" w:rsidR="00877C56" w:rsidRPr="00877C56" w:rsidRDefault="00877C56" w:rsidP="00877C56">
            <w:pPr>
              <w:spacing w:after="0" w:line="240" w:lineRule="auto"/>
              <w:jc w:val="left"/>
              <w:rPr>
                <w:rFonts w:ascii="Arial" w:hAnsi="Arial" w:cs="Arial"/>
                <w:color w:val="000000"/>
                <w:sz w:val="16"/>
                <w:szCs w:val="16"/>
              </w:rPr>
            </w:pPr>
          </w:p>
        </w:tc>
        <w:tc>
          <w:tcPr>
            <w:tcW w:w="648" w:type="pct"/>
            <w:tcBorders>
              <w:top w:val="nil"/>
              <w:left w:val="nil"/>
              <w:bottom w:val="nil"/>
              <w:right w:val="nil"/>
            </w:tcBorders>
            <w:shd w:val="clear" w:color="auto" w:fill="auto"/>
            <w:noWrap/>
            <w:vAlign w:val="center"/>
            <w:hideMark/>
          </w:tcPr>
          <w:p w14:paraId="03D962FF" w14:textId="77777777" w:rsidR="00877C56" w:rsidRPr="00877C56" w:rsidRDefault="00877C56" w:rsidP="00877C56">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center"/>
            <w:hideMark/>
          </w:tcPr>
          <w:p w14:paraId="45B792E0" w14:textId="77777777" w:rsidR="00877C56" w:rsidRPr="00877C56" w:rsidRDefault="00877C56" w:rsidP="00877C56">
            <w:pPr>
              <w:spacing w:after="0" w:line="240" w:lineRule="auto"/>
              <w:jc w:val="left"/>
              <w:rPr>
                <w:rFonts w:ascii="Times New Roman" w:hAnsi="Times New Roman"/>
              </w:rPr>
            </w:pPr>
          </w:p>
        </w:tc>
      </w:tr>
      <w:tr w:rsidR="00877C56" w:rsidRPr="00877C56" w14:paraId="4E7F28D6" w14:textId="77777777" w:rsidTr="00877C56">
        <w:trPr>
          <w:trHeight w:hRule="exact" w:val="225"/>
        </w:trPr>
        <w:tc>
          <w:tcPr>
            <w:tcW w:w="1760" w:type="pct"/>
            <w:tcBorders>
              <w:top w:val="nil"/>
              <w:left w:val="nil"/>
              <w:bottom w:val="nil"/>
              <w:right w:val="nil"/>
            </w:tcBorders>
            <w:shd w:val="clear" w:color="auto" w:fill="auto"/>
            <w:noWrap/>
            <w:vAlign w:val="center"/>
            <w:hideMark/>
          </w:tcPr>
          <w:p w14:paraId="0E472D1B" w14:textId="77777777" w:rsidR="00877C56" w:rsidRPr="00877C56" w:rsidRDefault="00877C56" w:rsidP="00877C56">
            <w:pPr>
              <w:spacing w:after="0" w:line="240" w:lineRule="auto"/>
              <w:jc w:val="left"/>
              <w:rPr>
                <w:rFonts w:ascii="Arial" w:hAnsi="Arial" w:cs="Arial"/>
                <w:b/>
                <w:bCs/>
                <w:color w:val="000000"/>
                <w:sz w:val="16"/>
                <w:szCs w:val="16"/>
              </w:rPr>
            </w:pPr>
            <w:r w:rsidRPr="00877C56">
              <w:rPr>
                <w:rFonts w:ascii="Arial" w:hAnsi="Arial" w:cs="Arial"/>
                <w:b/>
                <w:bCs/>
                <w:color w:val="000000"/>
                <w:sz w:val="16"/>
                <w:szCs w:val="16"/>
              </w:rPr>
              <w:t>Cash received</w:t>
            </w:r>
          </w:p>
        </w:tc>
        <w:tc>
          <w:tcPr>
            <w:tcW w:w="648" w:type="pct"/>
            <w:tcBorders>
              <w:top w:val="nil"/>
              <w:left w:val="nil"/>
              <w:bottom w:val="nil"/>
              <w:right w:val="nil"/>
            </w:tcBorders>
            <w:shd w:val="clear" w:color="auto" w:fill="auto"/>
            <w:noWrap/>
            <w:vAlign w:val="center"/>
            <w:hideMark/>
          </w:tcPr>
          <w:p w14:paraId="5B9A301C" w14:textId="77777777" w:rsidR="00877C56" w:rsidRPr="00877C56" w:rsidRDefault="00877C56" w:rsidP="00877C56">
            <w:pPr>
              <w:spacing w:after="0" w:line="240" w:lineRule="auto"/>
              <w:jc w:val="left"/>
              <w:rPr>
                <w:rFonts w:ascii="Arial" w:hAnsi="Arial" w:cs="Arial"/>
                <w:b/>
                <w:bCs/>
                <w:color w:val="000000"/>
                <w:sz w:val="16"/>
                <w:szCs w:val="16"/>
              </w:rPr>
            </w:pPr>
          </w:p>
        </w:tc>
        <w:tc>
          <w:tcPr>
            <w:tcW w:w="648" w:type="pct"/>
            <w:tcBorders>
              <w:top w:val="nil"/>
              <w:left w:val="nil"/>
              <w:bottom w:val="nil"/>
              <w:right w:val="nil"/>
            </w:tcBorders>
            <w:shd w:val="clear" w:color="000000" w:fill="E6E6E6"/>
            <w:noWrap/>
            <w:vAlign w:val="center"/>
            <w:hideMark/>
          </w:tcPr>
          <w:p w14:paraId="45349111"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c>
          <w:tcPr>
            <w:tcW w:w="648" w:type="pct"/>
            <w:tcBorders>
              <w:top w:val="nil"/>
              <w:left w:val="nil"/>
              <w:bottom w:val="nil"/>
              <w:right w:val="nil"/>
            </w:tcBorders>
            <w:shd w:val="clear" w:color="auto" w:fill="auto"/>
            <w:noWrap/>
            <w:vAlign w:val="center"/>
            <w:hideMark/>
          </w:tcPr>
          <w:p w14:paraId="0CAE0C6D" w14:textId="77777777" w:rsidR="00877C56" w:rsidRPr="00877C56" w:rsidRDefault="00877C56" w:rsidP="00877C56">
            <w:pPr>
              <w:spacing w:after="0" w:line="240" w:lineRule="auto"/>
              <w:jc w:val="left"/>
              <w:rPr>
                <w:rFonts w:ascii="Arial" w:hAnsi="Arial" w:cs="Arial"/>
                <w:color w:val="000000"/>
                <w:sz w:val="16"/>
                <w:szCs w:val="16"/>
              </w:rPr>
            </w:pPr>
          </w:p>
        </w:tc>
        <w:tc>
          <w:tcPr>
            <w:tcW w:w="648" w:type="pct"/>
            <w:tcBorders>
              <w:top w:val="nil"/>
              <w:left w:val="nil"/>
              <w:bottom w:val="nil"/>
              <w:right w:val="nil"/>
            </w:tcBorders>
            <w:shd w:val="clear" w:color="auto" w:fill="auto"/>
            <w:noWrap/>
            <w:vAlign w:val="center"/>
            <w:hideMark/>
          </w:tcPr>
          <w:p w14:paraId="0C1F5D82" w14:textId="77777777" w:rsidR="00877C56" w:rsidRPr="00877C56" w:rsidRDefault="00877C56" w:rsidP="00877C56">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center"/>
            <w:hideMark/>
          </w:tcPr>
          <w:p w14:paraId="2A5308A3" w14:textId="77777777" w:rsidR="00877C56" w:rsidRPr="00877C56" w:rsidRDefault="00877C56" w:rsidP="00877C56">
            <w:pPr>
              <w:spacing w:after="0" w:line="240" w:lineRule="auto"/>
              <w:jc w:val="left"/>
              <w:rPr>
                <w:rFonts w:ascii="Times New Roman" w:hAnsi="Times New Roman"/>
              </w:rPr>
            </w:pPr>
          </w:p>
        </w:tc>
      </w:tr>
      <w:tr w:rsidR="00877C56" w:rsidRPr="00877C56" w14:paraId="0963099F" w14:textId="77777777" w:rsidTr="00877C56">
        <w:trPr>
          <w:trHeight w:hRule="exact" w:val="225"/>
        </w:trPr>
        <w:tc>
          <w:tcPr>
            <w:tcW w:w="1760" w:type="pct"/>
            <w:tcBorders>
              <w:top w:val="nil"/>
              <w:left w:val="nil"/>
              <w:bottom w:val="nil"/>
              <w:right w:val="nil"/>
            </w:tcBorders>
            <w:shd w:val="clear" w:color="auto" w:fill="auto"/>
            <w:noWrap/>
            <w:vAlign w:val="center"/>
            <w:hideMark/>
          </w:tcPr>
          <w:p w14:paraId="7F4E687D" w14:textId="77777777" w:rsidR="00877C56" w:rsidRPr="00877C56" w:rsidRDefault="00877C56" w:rsidP="00877C56">
            <w:pPr>
              <w:spacing w:after="0" w:line="240" w:lineRule="auto"/>
              <w:ind w:left="170"/>
              <w:jc w:val="left"/>
              <w:rPr>
                <w:rFonts w:ascii="Arial" w:hAnsi="Arial" w:cs="Arial"/>
                <w:color w:val="000000"/>
                <w:sz w:val="16"/>
                <w:szCs w:val="16"/>
              </w:rPr>
            </w:pPr>
            <w:r w:rsidRPr="00877C56">
              <w:rPr>
                <w:rFonts w:ascii="Arial" w:hAnsi="Arial" w:cs="Arial"/>
                <w:color w:val="000000"/>
                <w:sz w:val="16"/>
                <w:szCs w:val="16"/>
              </w:rPr>
              <w:t>Other</w:t>
            </w:r>
          </w:p>
        </w:tc>
        <w:tc>
          <w:tcPr>
            <w:tcW w:w="648" w:type="pct"/>
            <w:tcBorders>
              <w:top w:val="nil"/>
              <w:left w:val="nil"/>
              <w:bottom w:val="nil"/>
              <w:right w:val="nil"/>
            </w:tcBorders>
            <w:shd w:val="clear" w:color="auto" w:fill="auto"/>
            <w:noWrap/>
            <w:vAlign w:val="center"/>
            <w:hideMark/>
          </w:tcPr>
          <w:p w14:paraId="7E0B7FF0"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441,796 </w:t>
            </w:r>
          </w:p>
        </w:tc>
        <w:tc>
          <w:tcPr>
            <w:tcW w:w="648" w:type="pct"/>
            <w:tcBorders>
              <w:top w:val="nil"/>
              <w:left w:val="nil"/>
              <w:bottom w:val="nil"/>
              <w:right w:val="nil"/>
            </w:tcBorders>
            <w:shd w:val="clear" w:color="000000" w:fill="E6E6E6"/>
            <w:noWrap/>
            <w:vAlign w:val="center"/>
            <w:hideMark/>
          </w:tcPr>
          <w:p w14:paraId="1A381632"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114,245 </w:t>
            </w:r>
          </w:p>
        </w:tc>
        <w:tc>
          <w:tcPr>
            <w:tcW w:w="648" w:type="pct"/>
            <w:tcBorders>
              <w:top w:val="nil"/>
              <w:left w:val="nil"/>
              <w:bottom w:val="nil"/>
              <w:right w:val="nil"/>
            </w:tcBorders>
            <w:shd w:val="clear" w:color="auto" w:fill="auto"/>
            <w:noWrap/>
            <w:vAlign w:val="center"/>
            <w:hideMark/>
          </w:tcPr>
          <w:p w14:paraId="74B84750"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(31,946)</w:t>
            </w:r>
          </w:p>
        </w:tc>
        <w:tc>
          <w:tcPr>
            <w:tcW w:w="648" w:type="pct"/>
            <w:tcBorders>
              <w:top w:val="nil"/>
              <w:left w:val="nil"/>
              <w:bottom w:val="nil"/>
              <w:right w:val="nil"/>
            </w:tcBorders>
            <w:shd w:val="clear" w:color="auto" w:fill="auto"/>
            <w:noWrap/>
            <w:vAlign w:val="center"/>
            <w:hideMark/>
          </w:tcPr>
          <w:p w14:paraId="5C94CF62"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158,636 </w:t>
            </w:r>
          </w:p>
        </w:tc>
        <w:tc>
          <w:tcPr>
            <w:tcW w:w="648" w:type="pct"/>
            <w:tcBorders>
              <w:top w:val="nil"/>
              <w:left w:val="nil"/>
              <w:bottom w:val="nil"/>
              <w:right w:val="nil"/>
            </w:tcBorders>
            <w:shd w:val="clear" w:color="auto" w:fill="auto"/>
            <w:noWrap/>
            <w:vAlign w:val="center"/>
            <w:hideMark/>
          </w:tcPr>
          <w:p w14:paraId="53E4BE3D"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(50,000)</w:t>
            </w:r>
          </w:p>
        </w:tc>
      </w:tr>
      <w:tr w:rsidR="00877C56" w:rsidRPr="00877C56" w14:paraId="2AE32AA4" w14:textId="77777777" w:rsidTr="00877C56">
        <w:trPr>
          <w:trHeight w:hRule="exact" w:val="210"/>
        </w:trPr>
        <w:tc>
          <w:tcPr>
            <w:tcW w:w="1760" w:type="pct"/>
            <w:tcBorders>
              <w:top w:val="nil"/>
              <w:left w:val="nil"/>
              <w:bottom w:val="nil"/>
              <w:right w:val="nil"/>
            </w:tcBorders>
            <w:shd w:val="clear" w:color="auto" w:fill="auto"/>
            <w:noWrap/>
            <w:vAlign w:val="center"/>
            <w:hideMark/>
          </w:tcPr>
          <w:p w14:paraId="3774DBF9" w14:textId="77777777" w:rsidR="00877C56" w:rsidRPr="00877C56" w:rsidRDefault="00877C56" w:rsidP="00877C56">
            <w:pPr>
              <w:spacing w:after="0" w:line="240" w:lineRule="auto"/>
              <w:jc w:val="left"/>
              <w:rPr>
                <w:rFonts w:ascii="Arial" w:hAnsi="Arial" w:cs="Arial"/>
                <w:b/>
                <w:bCs/>
                <w:i/>
                <w:iCs/>
                <w:color w:val="000000"/>
                <w:sz w:val="16"/>
                <w:szCs w:val="16"/>
              </w:rPr>
            </w:pPr>
            <w:r w:rsidRPr="00877C56">
              <w:rPr>
                <w:rFonts w:ascii="Arial" w:hAnsi="Arial" w:cs="Arial"/>
                <w:b/>
                <w:bCs/>
                <w:i/>
                <w:iCs/>
                <w:color w:val="000000"/>
                <w:sz w:val="16"/>
                <w:szCs w:val="16"/>
              </w:rPr>
              <w:t>Total cash received</w:t>
            </w:r>
          </w:p>
        </w:tc>
        <w:tc>
          <w:tcPr>
            <w:tcW w:w="648" w:type="pct"/>
            <w:tcBorders>
              <w:top w:val="single" w:sz="4" w:space="0" w:color="000000"/>
              <w:left w:val="nil"/>
              <w:bottom w:val="single" w:sz="4" w:space="0" w:color="000000"/>
              <w:right w:val="nil"/>
            </w:tcBorders>
            <w:shd w:val="clear" w:color="auto" w:fill="auto"/>
            <w:noWrap/>
            <w:vAlign w:val="center"/>
            <w:hideMark/>
          </w:tcPr>
          <w:p w14:paraId="1927B6AD"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 xml:space="preserve">441,796 </w:t>
            </w:r>
          </w:p>
        </w:tc>
        <w:tc>
          <w:tcPr>
            <w:tcW w:w="648" w:type="pct"/>
            <w:tcBorders>
              <w:top w:val="single" w:sz="4" w:space="0" w:color="000000"/>
              <w:left w:val="nil"/>
              <w:bottom w:val="single" w:sz="4" w:space="0" w:color="000000"/>
              <w:right w:val="nil"/>
            </w:tcBorders>
            <w:shd w:val="clear" w:color="000000" w:fill="E6E6E6"/>
            <w:noWrap/>
            <w:vAlign w:val="center"/>
            <w:hideMark/>
          </w:tcPr>
          <w:p w14:paraId="2397CECF"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 xml:space="preserve">114,245 </w:t>
            </w:r>
          </w:p>
        </w:tc>
        <w:tc>
          <w:tcPr>
            <w:tcW w:w="648" w:type="pct"/>
            <w:tcBorders>
              <w:top w:val="single" w:sz="4" w:space="0" w:color="000000"/>
              <w:left w:val="nil"/>
              <w:bottom w:val="single" w:sz="4" w:space="0" w:color="000000"/>
              <w:right w:val="nil"/>
            </w:tcBorders>
            <w:shd w:val="clear" w:color="auto" w:fill="auto"/>
            <w:noWrap/>
            <w:vAlign w:val="center"/>
            <w:hideMark/>
          </w:tcPr>
          <w:p w14:paraId="11E5AB60"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(31,946)</w:t>
            </w:r>
          </w:p>
        </w:tc>
        <w:tc>
          <w:tcPr>
            <w:tcW w:w="648" w:type="pct"/>
            <w:tcBorders>
              <w:top w:val="single" w:sz="4" w:space="0" w:color="000000"/>
              <w:left w:val="nil"/>
              <w:bottom w:val="single" w:sz="4" w:space="0" w:color="000000"/>
              <w:right w:val="nil"/>
            </w:tcBorders>
            <w:shd w:val="clear" w:color="auto" w:fill="auto"/>
            <w:noWrap/>
            <w:vAlign w:val="center"/>
            <w:hideMark/>
          </w:tcPr>
          <w:p w14:paraId="32EC42FD"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 xml:space="preserve">158,636 </w:t>
            </w:r>
          </w:p>
        </w:tc>
        <w:tc>
          <w:tcPr>
            <w:tcW w:w="648" w:type="pct"/>
            <w:tcBorders>
              <w:top w:val="single" w:sz="4" w:space="0" w:color="000000"/>
              <w:left w:val="nil"/>
              <w:bottom w:val="single" w:sz="4" w:space="0" w:color="000000"/>
              <w:right w:val="nil"/>
            </w:tcBorders>
            <w:shd w:val="clear" w:color="auto" w:fill="auto"/>
            <w:noWrap/>
            <w:vAlign w:val="center"/>
            <w:hideMark/>
          </w:tcPr>
          <w:p w14:paraId="2CD2B7D5"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(50,000)</w:t>
            </w:r>
          </w:p>
        </w:tc>
      </w:tr>
      <w:tr w:rsidR="00877C56" w:rsidRPr="00877C56" w14:paraId="21C33B9D" w14:textId="77777777" w:rsidTr="00877C56">
        <w:trPr>
          <w:trHeight w:hRule="exact" w:val="450"/>
        </w:trPr>
        <w:tc>
          <w:tcPr>
            <w:tcW w:w="1760" w:type="pct"/>
            <w:tcBorders>
              <w:top w:val="nil"/>
              <w:left w:val="nil"/>
              <w:bottom w:val="nil"/>
              <w:right w:val="nil"/>
            </w:tcBorders>
            <w:shd w:val="clear" w:color="auto" w:fill="auto"/>
            <w:vAlign w:val="center"/>
            <w:hideMark/>
          </w:tcPr>
          <w:p w14:paraId="67E79B42" w14:textId="77777777" w:rsidR="00877C56" w:rsidRPr="00877C56" w:rsidRDefault="00877C56" w:rsidP="00877C56">
            <w:pPr>
              <w:spacing w:after="0" w:line="240" w:lineRule="auto"/>
              <w:jc w:val="left"/>
              <w:rPr>
                <w:rFonts w:ascii="Arial" w:hAnsi="Arial" w:cs="Arial"/>
                <w:b/>
                <w:bCs/>
                <w:color w:val="000000"/>
                <w:sz w:val="16"/>
                <w:szCs w:val="16"/>
              </w:rPr>
            </w:pPr>
            <w:r w:rsidRPr="00877C56">
              <w:rPr>
                <w:rFonts w:ascii="Arial" w:hAnsi="Arial" w:cs="Arial"/>
                <w:b/>
                <w:bCs/>
                <w:color w:val="000000"/>
                <w:sz w:val="16"/>
                <w:szCs w:val="16"/>
              </w:rPr>
              <w:t>Net cash from/(used by)</w:t>
            </w:r>
            <w:r w:rsidRPr="00877C56">
              <w:rPr>
                <w:rFonts w:ascii="Arial" w:hAnsi="Arial" w:cs="Arial"/>
                <w:b/>
                <w:bCs/>
                <w:color w:val="000000"/>
                <w:sz w:val="16"/>
                <w:szCs w:val="16"/>
              </w:rPr>
              <w:br/>
              <w:t xml:space="preserve">  financing activities</w:t>
            </w:r>
          </w:p>
        </w:tc>
        <w:tc>
          <w:tcPr>
            <w:tcW w:w="648" w:type="pct"/>
            <w:tcBorders>
              <w:top w:val="nil"/>
              <w:left w:val="nil"/>
              <w:bottom w:val="single" w:sz="4" w:space="0" w:color="auto"/>
              <w:right w:val="nil"/>
            </w:tcBorders>
            <w:shd w:val="clear" w:color="auto" w:fill="auto"/>
            <w:noWrap/>
            <w:vAlign w:val="bottom"/>
            <w:hideMark/>
          </w:tcPr>
          <w:p w14:paraId="3B3C3055"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441,796 </w:t>
            </w:r>
          </w:p>
        </w:tc>
        <w:tc>
          <w:tcPr>
            <w:tcW w:w="648" w:type="pct"/>
            <w:tcBorders>
              <w:top w:val="nil"/>
              <w:left w:val="nil"/>
              <w:bottom w:val="single" w:sz="4" w:space="0" w:color="auto"/>
              <w:right w:val="nil"/>
            </w:tcBorders>
            <w:shd w:val="clear" w:color="000000" w:fill="E6E6E6"/>
            <w:noWrap/>
            <w:vAlign w:val="bottom"/>
            <w:hideMark/>
          </w:tcPr>
          <w:p w14:paraId="0F17024D"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114,245 </w:t>
            </w:r>
          </w:p>
        </w:tc>
        <w:tc>
          <w:tcPr>
            <w:tcW w:w="648" w:type="pct"/>
            <w:tcBorders>
              <w:top w:val="nil"/>
              <w:left w:val="nil"/>
              <w:bottom w:val="single" w:sz="4" w:space="0" w:color="auto"/>
              <w:right w:val="nil"/>
            </w:tcBorders>
            <w:shd w:val="clear" w:color="auto" w:fill="auto"/>
            <w:noWrap/>
            <w:vAlign w:val="bottom"/>
            <w:hideMark/>
          </w:tcPr>
          <w:p w14:paraId="00BFFA26"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(31,946)</w:t>
            </w:r>
          </w:p>
        </w:tc>
        <w:tc>
          <w:tcPr>
            <w:tcW w:w="648" w:type="pct"/>
            <w:tcBorders>
              <w:top w:val="nil"/>
              <w:left w:val="nil"/>
              <w:bottom w:val="single" w:sz="4" w:space="0" w:color="auto"/>
              <w:right w:val="nil"/>
            </w:tcBorders>
            <w:shd w:val="clear" w:color="auto" w:fill="auto"/>
            <w:noWrap/>
            <w:vAlign w:val="bottom"/>
            <w:hideMark/>
          </w:tcPr>
          <w:p w14:paraId="5FEC43CB"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158,636 </w:t>
            </w:r>
          </w:p>
        </w:tc>
        <w:tc>
          <w:tcPr>
            <w:tcW w:w="648" w:type="pct"/>
            <w:tcBorders>
              <w:top w:val="nil"/>
              <w:left w:val="nil"/>
              <w:bottom w:val="single" w:sz="4" w:space="0" w:color="auto"/>
              <w:right w:val="nil"/>
            </w:tcBorders>
            <w:shd w:val="clear" w:color="auto" w:fill="auto"/>
            <w:noWrap/>
            <w:vAlign w:val="bottom"/>
            <w:hideMark/>
          </w:tcPr>
          <w:p w14:paraId="05F1A13C"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(50,000)</w:t>
            </w:r>
          </w:p>
        </w:tc>
      </w:tr>
      <w:tr w:rsidR="00877C56" w:rsidRPr="00877C56" w14:paraId="2291CBE5" w14:textId="77777777" w:rsidTr="00877C56">
        <w:trPr>
          <w:trHeight w:hRule="exact" w:val="420"/>
        </w:trPr>
        <w:tc>
          <w:tcPr>
            <w:tcW w:w="1760" w:type="pct"/>
            <w:tcBorders>
              <w:top w:val="nil"/>
              <w:left w:val="nil"/>
              <w:bottom w:val="nil"/>
              <w:right w:val="nil"/>
            </w:tcBorders>
            <w:shd w:val="clear" w:color="auto" w:fill="auto"/>
            <w:vAlign w:val="center"/>
            <w:hideMark/>
          </w:tcPr>
          <w:p w14:paraId="59D2AE15" w14:textId="77777777" w:rsidR="00877C56" w:rsidRPr="00877C56" w:rsidRDefault="00877C56" w:rsidP="00877C56">
            <w:pPr>
              <w:spacing w:after="0" w:line="240" w:lineRule="auto"/>
              <w:jc w:val="left"/>
              <w:rPr>
                <w:rFonts w:ascii="Arial" w:hAnsi="Arial" w:cs="Arial"/>
                <w:b/>
                <w:bCs/>
                <w:i/>
                <w:iCs/>
                <w:color w:val="000000"/>
                <w:sz w:val="16"/>
                <w:szCs w:val="16"/>
              </w:rPr>
            </w:pPr>
            <w:r w:rsidRPr="00877C56">
              <w:rPr>
                <w:rFonts w:ascii="Arial" w:hAnsi="Arial" w:cs="Arial"/>
                <w:b/>
                <w:bCs/>
                <w:i/>
                <w:iCs/>
                <w:color w:val="000000"/>
                <w:sz w:val="16"/>
                <w:szCs w:val="16"/>
              </w:rPr>
              <w:t>Net increase/(decrease) in cash</w:t>
            </w:r>
            <w:r w:rsidRPr="00877C56">
              <w:rPr>
                <w:rFonts w:ascii="Arial" w:hAnsi="Arial" w:cs="Arial"/>
                <w:b/>
                <w:bCs/>
                <w:i/>
                <w:iCs/>
                <w:color w:val="000000"/>
                <w:sz w:val="16"/>
                <w:szCs w:val="16"/>
              </w:rPr>
              <w:br/>
              <w:t xml:space="preserve">  held</w:t>
            </w:r>
          </w:p>
        </w:tc>
        <w:tc>
          <w:tcPr>
            <w:tcW w:w="648" w:type="pct"/>
            <w:tcBorders>
              <w:top w:val="nil"/>
              <w:left w:val="nil"/>
              <w:bottom w:val="single" w:sz="4" w:space="0" w:color="auto"/>
              <w:right w:val="nil"/>
            </w:tcBorders>
            <w:shd w:val="clear" w:color="auto" w:fill="auto"/>
            <w:noWrap/>
            <w:vAlign w:val="bottom"/>
            <w:hideMark/>
          </w:tcPr>
          <w:p w14:paraId="026D3060"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(179,721,891)</w:t>
            </w:r>
          </w:p>
        </w:tc>
        <w:tc>
          <w:tcPr>
            <w:tcW w:w="648" w:type="pct"/>
            <w:tcBorders>
              <w:top w:val="nil"/>
              <w:left w:val="nil"/>
              <w:bottom w:val="single" w:sz="4" w:space="0" w:color="auto"/>
              <w:right w:val="nil"/>
            </w:tcBorders>
            <w:shd w:val="clear" w:color="000000" w:fill="E6E6E6"/>
            <w:noWrap/>
            <w:vAlign w:val="bottom"/>
            <w:hideMark/>
          </w:tcPr>
          <w:p w14:paraId="31E59710"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(184,672,555)</w:t>
            </w:r>
          </w:p>
        </w:tc>
        <w:tc>
          <w:tcPr>
            <w:tcW w:w="648" w:type="pct"/>
            <w:tcBorders>
              <w:top w:val="nil"/>
              <w:left w:val="nil"/>
              <w:bottom w:val="single" w:sz="4" w:space="0" w:color="auto"/>
              <w:right w:val="nil"/>
            </w:tcBorders>
            <w:shd w:val="clear" w:color="auto" w:fill="auto"/>
            <w:noWrap/>
            <w:vAlign w:val="bottom"/>
            <w:hideMark/>
          </w:tcPr>
          <w:p w14:paraId="4FE0FF87"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(188,122,431)</w:t>
            </w:r>
          </w:p>
        </w:tc>
        <w:tc>
          <w:tcPr>
            <w:tcW w:w="648" w:type="pct"/>
            <w:tcBorders>
              <w:top w:val="nil"/>
              <w:left w:val="nil"/>
              <w:bottom w:val="single" w:sz="4" w:space="0" w:color="auto"/>
              <w:right w:val="nil"/>
            </w:tcBorders>
            <w:shd w:val="clear" w:color="auto" w:fill="auto"/>
            <w:noWrap/>
            <w:vAlign w:val="bottom"/>
            <w:hideMark/>
          </w:tcPr>
          <w:p w14:paraId="05B7D02A"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(192,664,672)</w:t>
            </w:r>
          </w:p>
        </w:tc>
        <w:tc>
          <w:tcPr>
            <w:tcW w:w="648" w:type="pct"/>
            <w:tcBorders>
              <w:top w:val="nil"/>
              <w:left w:val="nil"/>
              <w:bottom w:val="single" w:sz="4" w:space="0" w:color="auto"/>
              <w:right w:val="nil"/>
            </w:tcBorders>
            <w:shd w:val="clear" w:color="auto" w:fill="auto"/>
            <w:noWrap/>
            <w:vAlign w:val="bottom"/>
            <w:hideMark/>
          </w:tcPr>
          <w:p w14:paraId="77B980DE" w14:textId="77777777" w:rsidR="00877C56" w:rsidRPr="00877C56" w:rsidRDefault="00877C56" w:rsidP="00877C56">
            <w:pPr>
              <w:spacing w:after="0" w:line="240" w:lineRule="auto"/>
              <w:jc w:val="right"/>
              <w:rPr>
                <w:rFonts w:ascii="Arial" w:hAnsi="Arial" w:cs="Arial"/>
                <w:b/>
                <w:bCs/>
                <w:i/>
                <w:iCs/>
                <w:color w:val="000000"/>
                <w:sz w:val="16"/>
                <w:szCs w:val="16"/>
              </w:rPr>
            </w:pPr>
            <w:r w:rsidRPr="00877C56">
              <w:rPr>
                <w:rFonts w:ascii="Arial" w:hAnsi="Arial" w:cs="Arial"/>
                <w:b/>
                <w:bCs/>
                <w:i/>
                <w:iCs/>
                <w:color w:val="000000"/>
                <w:sz w:val="16"/>
                <w:szCs w:val="16"/>
              </w:rPr>
              <w:t>(191,787,006)</w:t>
            </w:r>
          </w:p>
        </w:tc>
      </w:tr>
      <w:tr w:rsidR="00877C56" w:rsidRPr="00877C56" w14:paraId="0F32A46E" w14:textId="77777777" w:rsidTr="00877C56">
        <w:trPr>
          <w:trHeight w:hRule="exact" w:val="450"/>
        </w:trPr>
        <w:tc>
          <w:tcPr>
            <w:tcW w:w="1760" w:type="pct"/>
            <w:tcBorders>
              <w:top w:val="nil"/>
              <w:left w:val="nil"/>
              <w:bottom w:val="nil"/>
              <w:right w:val="nil"/>
            </w:tcBorders>
            <w:shd w:val="clear" w:color="auto" w:fill="auto"/>
            <w:vAlign w:val="center"/>
            <w:hideMark/>
          </w:tcPr>
          <w:p w14:paraId="4E47E4C9" w14:textId="77777777" w:rsidR="00877C56" w:rsidRPr="00877C56" w:rsidRDefault="00877C56" w:rsidP="00877C56">
            <w:pPr>
              <w:spacing w:after="0" w:line="240" w:lineRule="auto"/>
              <w:ind w:left="170"/>
              <w:jc w:val="left"/>
              <w:rPr>
                <w:rFonts w:ascii="Arial" w:hAnsi="Arial" w:cs="Arial"/>
                <w:color w:val="000000"/>
                <w:sz w:val="16"/>
                <w:szCs w:val="16"/>
              </w:rPr>
            </w:pPr>
            <w:r w:rsidRPr="00877C56">
              <w:rPr>
                <w:rFonts w:ascii="Arial" w:hAnsi="Arial" w:cs="Arial"/>
                <w:color w:val="000000"/>
                <w:sz w:val="16"/>
                <w:szCs w:val="16"/>
              </w:rPr>
              <w:t>Cash and cash equivalents at</w:t>
            </w:r>
            <w:r w:rsidRPr="00877C56">
              <w:rPr>
                <w:rFonts w:ascii="Arial" w:hAnsi="Arial" w:cs="Arial"/>
                <w:color w:val="000000"/>
                <w:sz w:val="16"/>
                <w:szCs w:val="16"/>
              </w:rPr>
              <w:br/>
              <w:t xml:space="preserve">  beginning of reporting period</w:t>
            </w:r>
          </w:p>
        </w:tc>
        <w:tc>
          <w:tcPr>
            <w:tcW w:w="648" w:type="pct"/>
            <w:tcBorders>
              <w:top w:val="nil"/>
              <w:left w:val="nil"/>
              <w:bottom w:val="nil"/>
              <w:right w:val="nil"/>
            </w:tcBorders>
            <w:shd w:val="clear" w:color="auto" w:fill="auto"/>
            <w:noWrap/>
            <w:vAlign w:val="center"/>
            <w:hideMark/>
          </w:tcPr>
          <w:p w14:paraId="3720CFA2"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797,269 </w:t>
            </w:r>
          </w:p>
        </w:tc>
        <w:tc>
          <w:tcPr>
            <w:tcW w:w="648" w:type="pct"/>
            <w:tcBorders>
              <w:top w:val="nil"/>
              <w:left w:val="nil"/>
              <w:bottom w:val="nil"/>
              <w:right w:val="nil"/>
            </w:tcBorders>
            <w:shd w:val="clear" w:color="000000" w:fill="E6E6E6"/>
            <w:noWrap/>
            <w:vAlign w:val="center"/>
            <w:hideMark/>
          </w:tcPr>
          <w:p w14:paraId="00CA40D0"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974,065 </w:t>
            </w:r>
          </w:p>
        </w:tc>
        <w:tc>
          <w:tcPr>
            <w:tcW w:w="648" w:type="pct"/>
            <w:tcBorders>
              <w:top w:val="nil"/>
              <w:left w:val="nil"/>
              <w:bottom w:val="nil"/>
              <w:right w:val="nil"/>
            </w:tcBorders>
            <w:shd w:val="clear" w:color="auto" w:fill="auto"/>
            <w:noWrap/>
            <w:vAlign w:val="center"/>
            <w:hideMark/>
          </w:tcPr>
          <w:p w14:paraId="6A251F8F"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873,310 </w:t>
            </w:r>
          </w:p>
        </w:tc>
        <w:tc>
          <w:tcPr>
            <w:tcW w:w="648" w:type="pct"/>
            <w:tcBorders>
              <w:top w:val="nil"/>
              <w:left w:val="nil"/>
              <w:bottom w:val="nil"/>
              <w:right w:val="nil"/>
            </w:tcBorders>
            <w:shd w:val="clear" w:color="auto" w:fill="auto"/>
            <w:noWrap/>
            <w:vAlign w:val="center"/>
            <w:hideMark/>
          </w:tcPr>
          <w:p w14:paraId="2D38B367"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791,364 </w:t>
            </w:r>
          </w:p>
        </w:tc>
        <w:tc>
          <w:tcPr>
            <w:tcW w:w="648" w:type="pct"/>
            <w:tcBorders>
              <w:top w:val="nil"/>
              <w:left w:val="nil"/>
              <w:bottom w:val="nil"/>
              <w:right w:val="nil"/>
            </w:tcBorders>
            <w:shd w:val="clear" w:color="auto" w:fill="auto"/>
            <w:noWrap/>
            <w:vAlign w:val="center"/>
            <w:hideMark/>
          </w:tcPr>
          <w:p w14:paraId="73473E6C"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950,000 </w:t>
            </w:r>
          </w:p>
        </w:tc>
      </w:tr>
      <w:tr w:rsidR="00877C56" w:rsidRPr="00877C56" w14:paraId="5B7C9A40" w14:textId="77777777" w:rsidTr="00877C56">
        <w:trPr>
          <w:trHeight w:hRule="exact" w:val="225"/>
        </w:trPr>
        <w:tc>
          <w:tcPr>
            <w:tcW w:w="1760" w:type="pct"/>
            <w:tcBorders>
              <w:top w:val="nil"/>
              <w:left w:val="nil"/>
              <w:bottom w:val="nil"/>
              <w:right w:val="nil"/>
            </w:tcBorders>
            <w:shd w:val="clear" w:color="auto" w:fill="auto"/>
            <w:vAlign w:val="center"/>
            <w:hideMark/>
          </w:tcPr>
          <w:p w14:paraId="24DAD8B8" w14:textId="77777777" w:rsidR="00877C56" w:rsidRPr="00877C56" w:rsidRDefault="00877C56" w:rsidP="00877C56">
            <w:pPr>
              <w:spacing w:after="0" w:line="240" w:lineRule="auto"/>
              <w:ind w:left="340"/>
              <w:jc w:val="left"/>
              <w:rPr>
                <w:rFonts w:ascii="Arial" w:hAnsi="Arial" w:cs="Arial"/>
                <w:color w:val="000000"/>
                <w:sz w:val="16"/>
                <w:szCs w:val="16"/>
              </w:rPr>
            </w:pPr>
            <w:r w:rsidRPr="00877C56">
              <w:rPr>
                <w:rFonts w:ascii="Arial" w:hAnsi="Arial" w:cs="Arial"/>
                <w:color w:val="000000"/>
                <w:sz w:val="16"/>
                <w:szCs w:val="16"/>
              </w:rPr>
              <w:t>Cash from Official Public Account for:</w:t>
            </w:r>
          </w:p>
        </w:tc>
        <w:tc>
          <w:tcPr>
            <w:tcW w:w="648" w:type="pct"/>
            <w:tcBorders>
              <w:top w:val="nil"/>
              <w:left w:val="nil"/>
              <w:bottom w:val="nil"/>
              <w:right w:val="nil"/>
            </w:tcBorders>
            <w:shd w:val="clear" w:color="auto" w:fill="auto"/>
            <w:noWrap/>
            <w:vAlign w:val="center"/>
            <w:hideMark/>
          </w:tcPr>
          <w:p w14:paraId="7AB8CCA1" w14:textId="77777777" w:rsidR="00877C56" w:rsidRPr="00877C56" w:rsidRDefault="00877C56" w:rsidP="00877C56">
            <w:pPr>
              <w:spacing w:after="0" w:line="240" w:lineRule="auto"/>
              <w:ind w:firstLineChars="200" w:firstLine="320"/>
              <w:jc w:val="left"/>
              <w:rPr>
                <w:rFonts w:ascii="Arial" w:hAnsi="Arial" w:cs="Arial"/>
                <w:color w:val="000000"/>
                <w:sz w:val="16"/>
                <w:szCs w:val="16"/>
              </w:rPr>
            </w:pPr>
          </w:p>
        </w:tc>
        <w:tc>
          <w:tcPr>
            <w:tcW w:w="648" w:type="pct"/>
            <w:tcBorders>
              <w:top w:val="nil"/>
              <w:left w:val="nil"/>
              <w:bottom w:val="nil"/>
              <w:right w:val="nil"/>
            </w:tcBorders>
            <w:shd w:val="clear" w:color="000000" w:fill="E6E6E6"/>
            <w:noWrap/>
            <w:vAlign w:val="center"/>
            <w:hideMark/>
          </w:tcPr>
          <w:p w14:paraId="1E8F28C3"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c>
          <w:tcPr>
            <w:tcW w:w="648" w:type="pct"/>
            <w:tcBorders>
              <w:top w:val="nil"/>
              <w:left w:val="nil"/>
              <w:bottom w:val="nil"/>
              <w:right w:val="nil"/>
            </w:tcBorders>
            <w:shd w:val="clear" w:color="auto" w:fill="auto"/>
            <w:noWrap/>
            <w:vAlign w:val="center"/>
            <w:hideMark/>
          </w:tcPr>
          <w:p w14:paraId="751B8672" w14:textId="77777777" w:rsidR="00877C56" w:rsidRPr="00877C56" w:rsidRDefault="00877C56" w:rsidP="00877C56">
            <w:pPr>
              <w:spacing w:after="0" w:line="240" w:lineRule="auto"/>
              <w:jc w:val="left"/>
              <w:rPr>
                <w:rFonts w:ascii="Arial" w:hAnsi="Arial" w:cs="Arial"/>
                <w:color w:val="000000"/>
                <w:sz w:val="16"/>
                <w:szCs w:val="16"/>
              </w:rPr>
            </w:pPr>
          </w:p>
        </w:tc>
        <w:tc>
          <w:tcPr>
            <w:tcW w:w="648" w:type="pct"/>
            <w:tcBorders>
              <w:top w:val="nil"/>
              <w:left w:val="nil"/>
              <w:bottom w:val="nil"/>
              <w:right w:val="nil"/>
            </w:tcBorders>
            <w:shd w:val="clear" w:color="auto" w:fill="auto"/>
            <w:noWrap/>
            <w:vAlign w:val="center"/>
            <w:hideMark/>
          </w:tcPr>
          <w:p w14:paraId="3C01B9CD" w14:textId="77777777" w:rsidR="00877C56" w:rsidRPr="00877C56" w:rsidRDefault="00877C56" w:rsidP="00877C56">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center"/>
            <w:hideMark/>
          </w:tcPr>
          <w:p w14:paraId="2941C704" w14:textId="77777777" w:rsidR="00877C56" w:rsidRPr="00877C56" w:rsidRDefault="00877C56" w:rsidP="00877C56">
            <w:pPr>
              <w:spacing w:after="0" w:line="240" w:lineRule="auto"/>
              <w:jc w:val="left"/>
              <w:rPr>
                <w:rFonts w:ascii="Times New Roman" w:hAnsi="Times New Roman"/>
              </w:rPr>
            </w:pPr>
          </w:p>
        </w:tc>
      </w:tr>
      <w:tr w:rsidR="00877C56" w:rsidRPr="00877C56" w14:paraId="386202FB" w14:textId="77777777" w:rsidTr="00877C56">
        <w:trPr>
          <w:trHeight w:hRule="exact" w:val="225"/>
        </w:trPr>
        <w:tc>
          <w:tcPr>
            <w:tcW w:w="1760" w:type="pct"/>
            <w:tcBorders>
              <w:top w:val="nil"/>
              <w:left w:val="nil"/>
              <w:bottom w:val="nil"/>
              <w:right w:val="nil"/>
            </w:tcBorders>
            <w:shd w:val="clear" w:color="auto" w:fill="auto"/>
            <w:noWrap/>
            <w:vAlign w:val="center"/>
            <w:hideMark/>
          </w:tcPr>
          <w:p w14:paraId="5636731F" w14:textId="5C4A268A" w:rsidR="00877C56" w:rsidRPr="00877C56" w:rsidRDefault="00B33758" w:rsidP="00877C56">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Appropriations</w:t>
            </w:r>
          </w:p>
        </w:tc>
        <w:tc>
          <w:tcPr>
            <w:tcW w:w="648" w:type="pct"/>
            <w:tcBorders>
              <w:top w:val="nil"/>
              <w:left w:val="nil"/>
              <w:bottom w:val="nil"/>
              <w:right w:val="nil"/>
            </w:tcBorders>
            <w:shd w:val="clear" w:color="auto" w:fill="auto"/>
            <w:noWrap/>
            <w:vAlign w:val="center"/>
            <w:hideMark/>
          </w:tcPr>
          <w:p w14:paraId="01EB5F5B"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109,817,352 </w:t>
            </w:r>
          </w:p>
        </w:tc>
        <w:tc>
          <w:tcPr>
            <w:tcW w:w="648" w:type="pct"/>
            <w:tcBorders>
              <w:top w:val="nil"/>
              <w:left w:val="nil"/>
              <w:bottom w:val="nil"/>
              <w:right w:val="nil"/>
            </w:tcBorders>
            <w:shd w:val="clear" w:color="000000" w:fill="E6E6E6"/>
            <w:noWrap/>
            <w:vAlign w:val="center"/>
            <w:hideMark/>
          </w:tcPr>
          <w:p w14:paraId="3DB5D989"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114,984,246 </w:t>
            </w:r>
          </w:p>
        </w:tc>
        <w:tc>
          <w:tcPr>
            <w:tcW w:w="648" w:type="pct"/>
            <w:tcBorders>
              <w:top w:val="nil"/>
              <w:left w:val="nil"/>
              <w:bottom w:val="nil"/>
              <w:right w:val="nil"/>
            </w:tcBorders>
            <w:shd w:val="clear" w:color="auto" w:fill="auto"/>
            <w:noWrap/>
            <w:vAlign w:val="center"/>
            <w:hideMark/>
          </w:tcPr>
          <w:p w14:paraId="04672E73"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119,378,945 </w:t>
            </w:r>
          </w:p>
        </w:tc>
        <w:tc>
          <w:tcPr>
            <w:tcW w:w="648" w:type="pct"/>
            <w:tcBorders>
              <w:top w:val="nil"/>
              <w:left w:val="nil"/>
              <w:bottom w:val="nil"/>
              <w:right w:val="nil"/>
            </w:tcBorders>
            <w:shd w:val="clear" w:color="auto" w:fill="auto"/>
            <w:noWrap/>
            <w:vAlign w:val="center"/>
            <w:hideMark/>
          </w:tcPr>
          <w:p w14:paraId="056D9572"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125,724,177 </w:t>
            </w:r>
          </w:p>
        </w:tc>
        <w:tc>
          <w:tcPr>
            <w:tcW w:w="648" w:type="pct"/>
            <w:tcBorders>
              <w:top w:val="nil"/>
              <w:left w:val="nil"/>
              <w:bottom w:val="nil"/>
              <w:right w:val="nil"/>
            </w:tcBorders>
            <w:shd w:val="clear" w:color="auto" w:fill="auto"/>
            <w:noWrap/>
            <w:vAlign w:val="center"/>
            <w:hideMark/>
          </w:tcPr>
          <w:p w14:paraId="580AFB92"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129,694,312 </w:t>
            </w:r>
          </w:p>
        </w:tc>
      </w:tr>
      <w:tr w:rsidR="00877C56" w:rsidRPr="00877C56" w14:paraId="642AF4F9" w14:textId="77777777" w:rsidTr="00877C56">
        <w:trPr>
          <w:trHeight w:hRule="exact" w:val="225"/>
        </w:trPr>
        <w:tc>
          <w:tcPr>
            <w:tcW w:w="1760" w:type="pct"/>
            <w:tcBorders>
              <w:top w:val="nil"/>
              <w:left w:val="nil"/>
              <w:bottom w:val="nil"/>
              <w:right w:val="nil"/>
            </w:tcBorders>
            <w:shd w:val="clear" w:color="auto" w:fill="auto"/>
            <w:noWrap/>
            <w:vAlign w:val="center"/>
            <w:hideMark/>
          </w:tcPr>
          <w:p w14:paraId="23192317" w14:textId="028FB684" w:rsidR="00877C56" w:rsidRPr="00877C56" w:rsidRDefault="00B33758" w:rsidP="00877C56">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Special accounts</w:t>
            </w:r>
          </w:p>
        </w:tc>
        <w:tc>
          <w:tcPr>
            <w:tcW w:w="648" w:type="pct"/>
            <w:tcBorders>
              <w:top w:val="nil"/>
              <w:left w:val="nil"/>
              <w:bottom w:val="nil"/>
              <w:right w:val="nil"/>
            </w:tcBorders>
            <w:shd w:val="clear" w:color="auto" w:fill="auto"/>
            <w:noWrap/>
            <w:vAlign w:val="center"/>
            <w:hideMark/>
          </w:tcPr>
          <w:p w14:paraId="1663DCE9"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75,487,386 </w:t>
            </w:r>
          </w:p>
        </w:tc>
        <w:tc>
          <w:tcPr>
            <w:tcW w:w="648" w:type="pct"/>
            <w:tcBorders>
              <w:top w:val="nil"/>
              <w:left w:val="nil"/>
              <w:bottom w:val="nil"/>
              <w:right w:val="nil"/>
            </w:tcBorders>
            <w:shd w:val="clear" w:color="000000" w:fill="E6E6E6"/>
            <w:noWrap/>
            <w:vAlign w:val="center"/>
            <w:hideMark/>
          </w:tcPr>
          <w:p w14:paraId="101E88ED"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71,343,518 </w:t>
            </w:r>
          </w:p>
        </w:tc>
        <w:tc>
          <w:tcPr>
            <w:tcW w:w="648" w:type="pct"/>
            <w:tcBorders>
              <w:top w:val="nil"/>
              <w:left w:val="nil"/>
              <w:bottom w:val="nil"/>
              <w:right w:val="nil"/>
            </w:tcBorders>
            <w:shd w:val="clear" w:color="auto" w:fill="auto"/>
            <w:noWrap/>
            <w:vAlign w:val="center"/>
            <w:hideMark/>
          </w:tcPr>
          <w:p w14:paraId="7E779B00"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70,334,543 </w:t>
            </w:r>
          </w:p>
        </w:tc>
        <w:tc>
          <w:tcPr>
            <w:tcW w:w="648" w:type="pct"/>
            <w:tcBorders>
              <w:top w:val="nil"/>
              <w:left w:val="nil"/>
              <w:bottom w:val="nil"/>
              <w:right w:val="nil"/>
            </w:tcBorders>
            <w:shd w:val="clear" w:color="auto" w:fill="auto"/>
            <w:noWrap/>
            <w:vAlign w:val="center"/>
            <w:hideMark/>
          </w:tcPr>
          <w:p w14:paraId="4D8243F6"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67,798,152 </w:t>
            </w:r>
          </w:p>
        </w:tc>
        <w:tc>
          <w:tcPr>
            <w:tcW w:w="648" w:type="pct"/>
            <w:tcBorders>
              <w:top w:val="nil"/>
              <w:left w:val="nil"/>
              <w:bottom w:val="nil"/>
              <w:right w:val="nil"/>
            </w:tcBorders>
            <w:shd w:val="clear" w:color="auto" w:fill="auto"/>
            <w:noWrap/>
            <w:vAlign w:val="center"/>
            <w:hideMark/>
          </w:tcPr>
          <w:p w14:paraId="1976230A"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 xml:space="preserve">62,512,289 </w:t>
            </w:r>
          </w:p>
        </w:tc>
      </w:tr>
      <w:tr w:rsidR="00877C56" w:rsidRPr="00877C56" w14:paraId="5D94F78D" w14:textId="77777777" w:rsidTr="00877C56">
        <w:trPr>
          <w:trHeight w:hRule="exact" w:val="450"/>
        </w:trPr>
        <w:tc>
          <w:tcPr>
            <w:tcW w:w="1760" w:type="pct"/>
            <w:tcBorders>
              <w:top w:val="nil"/>
              <w:left w:val="nil"/>
              <w:bottom w:val="nil"/>
              <w:right w:val="nil"/>
            </w:tcBorders>
            <w:shd w:val="clear" w:color="auto" w:fill="auto"/>
            <w:vAlign w:val="center"/>
            <w:hideMark/>
          </w:tcPr>
          <w:p w14:paraId="5F04D317" w14:textId="77777777" w:rsidR="00877C56" w:rsidRPr="00877C56" w:rsidRDefault="00877C56" w:rsidP="00877C56">
            <w:pPr>
              <w:spacing w:after="0" w:line="240" w:lineRule="auto"/>
              <w:ind w:left="340"/>
              <w:jc w:val="left"/>
              <w:rPr>
                <w:rFonts w:ascii="Arial" w:hAnsi="Arial" w:cs="Arial"/>
                <w:i/>
                <w:iCs/>
                <w:color w:val="000000"/>
                <w:sz w:val="16"/>
                <w:szCs w:val="16"/>
              </w:rPr>
            </w:pPr>
            <w:r w:rsidRPr="00877C56">
              <w:rPr>
                <w:rFonts w:ascii="Arial" w:hAnsi="Arial" w:cs="Arial"/>
                <w:i/>
                <w:iCs/>
                <w:color w:val="000000"/>
                <w:sz w:val="16"/>
                <w:szCs w:val="16"/>
              </w:rPr>
              <w:t>Total cash from Official Public Account</w:t>
            </w:r>
          </w:p>
        </w:tc>
        <w:tc>
          <w:tcPr>
            <w:tcW w:w="648" w:type="pct"/>
            <w:tcBorders>
              <w:top w:val="single" w:sz="4" w:space="0" w:color="000000"/>
              <w:left w:val="nil"/>
              <w:bottom w:val="nil"/>
              <w:right w:val="nil"/>
            </w:tcBorders>
            <w:shd w:val="clear" w:color="000000" w:fill="FFFFFF"/>
            <w:noWrap/>
            <w:vAlign w:val="bottom"/>
            <w:hideMark/>
          </w:tcPr>
          <w:p w14:paraId="57230301"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 xml:space="preserve">185,304,738 </w:t>
            </w:r>
          </w:p>
        </w:tc>
        <w:tc>
          <w:tcPr>
            <w:tcW w:w="648" w:type="pct"/>
            <w:tcBorders>
              <w:top w:val="single" w:sz="4" w:space="0" w:color="000000"/>
              <w:left w:val="nil"/>
              <w:bottom w:val="nil"/>
              <w:right w:val="nil"/>
            </w:tcBorders>
            <w:shd w:val="clear" w:color="000000" w:fill="E6E6E6"/>
            <w:noWrap/>
            <w:vAlign w:val="bottom"/>
            <w:hideMark/>
          </w:tcPr>
          <w:p w14:paraId="75371B8C"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 xml:space="preserve">186,327,764 </w:t>
            </w:r>
          </w:p>
        </w:tc>
        <w:tc>
          <w:tcPr>
            <w:tcW w:w="648" w:type="pct"/>
            <w:tcBorders>
              <w:top w:val="single" w:sz="4" w:space="0" w:color="000000"/>
              <w:left w:val="nil"/>
              <w:bottom w:val="nil"/>
              <w:right w:val="nil"/>
            </w:tcBorders>
            <w:shd w:val="clear" w:color="auto" w:fill="auto"/>
            <w:noWrap/>
            <w:vAlign w:val="bottom"/>
            <w:hideMark/>
          </w:tcPr>
          <w:p w14:paraId="5E28B00F"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 xml:space="preserve">189,713,488 </w:t>
            </w:r>
          </w:p>
        </w:tc>
        <w:tc>
          <w:tcPr>
            <w:tcW w:w="648" w:type="pct"/>
            <w:tcBorders>
              <w:top w:val="single" w:sz="4" w:space="0" w:color="000000"/>
              <w:left w:val="nil"/>
              <w:bottom w:val="nil"/>
              <w:right w:val="nil"/>
            </w:tcBorders>
            <w:shd w:val="clear" w:color="auto" w:fill="auto"/>
            <w:noWrap/>
            <w:vAlign w:val="bottom"/>
            <w:hideMark/>
          </w:tcPr>
          <w:p w14:paraId="59F7265C"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 xml:space="preserve">193,522,329 </w:t>
            </w:r>
          </w:p>
        </w:tc>
        <w:tc>
          <w:tcPr>
            <w:tcW w:w="648" w:type="pct"/>
            <w:tcBorders>
              <w:top w:val="single" w:sz="4" w:space="0" w:color="000000"/>
              <w:left w:val="nil"/>
              <w:bottom w:val="nil"/>
              <w:right w:val="nil"/>
            </w:tcBorders>
            <w:shd w:val="clear" w:color="auto" w:fill="auto"/>
            <w:noWrap/>
            <w:vAlign w:val="bottom"/>
            <w:hideMark/>
          </w:tcPr>
          <w:p w14:paraId="79877B5F"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 xml:space="preserve">192,206,601 </w:t>
            </w:r>
          </w:p>
        </w:tc>
      </w:tr>
      <w:tr w:rsidR="00877C56" w:rsidRPr="00877C56" w14:paraId="7526766B" w14:textId="77777777" w:rsidTr="00877C56">
        <w:trPr>
          <w:trHeight w:hRule="exact" w:val="225"/>
        </w:trPr>
        <w:tc>
          <w:tcPr>
            <w:tcW w:w="1760" w:type="pct"/>
            <w:tcBorders>
              <w:top w:val="nil"/>
              <w:left w:val="nil"/>
              <w:bottom w:val="nil"/>
              <w:right w:val="nil"/>
            </w:tcBorders>
            <w:shd w:val="clear" w:color="auto" w:fill="auto"/>
            <w:noWrap/>
            <w:vAlign w:val="center"/>
            <w:hideMark/>
          </w:tcPr>
          <w:p w14:paraId="36E9C8CB" w14:textId="77777777" w:rsidR="00877C56" w:rsidRPr="00877C56" w:rsidRDefault="00877C56" w:rsidP="00877C56">
            <w:pPr>
              <w:spacing w:after="0" w:line="240" w:lineRule="auto"/>
              <w:ind w:left="340"/>
              <w:jc w:val="left"/>
              <w:rPr>
                <w:rFonts w:ascii="Arial" w:hAnsi="Arial" w:cs="Arial"/>
                <w:color w:val="000000"/>
                <w:sz w:val="16"/>
                <w:szCs w:val="16"/>
              </w:rPr>
            </w:pPr>
            <w:r w:rsidRPr="00877C56">
              <w:rPr>
                <w:rFonts w:ascii="Arial" w:hAnsi="Arial" w:cs="Arial"/>
                <w:color w:val="000000"/>
                <w:sz w:val="16"/>
                <w:szCs w:val="16"/>
              </w:rPr>
              <w:t>Cash to Official Public Account for:</w:t>
            </w:r>
          </w:p>
        </w:tc>
        <w:tc>
          <w:tcPr>
            <w:tcW w:w="648" w:type="pct"/>
            <w:tcBorders>
              <w:top w:val="single" w:sz="4" w:space="0" w:color="auto"/>
              <w:left w:val="nil"/>
              <w:bottom w:val="nil"/>
              <w:right w:val="nil"/>
            </w:tcBorders>
            <w:shd w:val="clear" w:color="auto" w:fill="auto"/>
            <w:noWrap/>
            <w:vAlign w:val="center"/>
            <w:hideMark/>
          </w:tcPr>
          <w:p w14:paraId="41C8F527"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c>
          <w:tcPr>
            <w:tcW w:w="648" w:type="pct"/>
            <w:tcBorders>
              <w:top w:val="single" w:sz="4" w:space="0" w:color="auto"/>
              <w:left w:val="nil"/>
              <w:bottom w:val="nil"/>
              <w:right w:val="nil"/>
            </w:tcBorders>
            <w:shd w:val="clear" w:color="000000" w:fill="E6E6E6"/>
            <w:noWrap/>
            <w:vAlign w:val="center"/>
            <w:hideMark/>
          </w:tcPr>
          <w:p w14:paraId="5571B81A"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c>
          <w:tcPr>
            <w:tcW w:w="648" w:type="pct"/>
            <w:tcBorders>
              <w:top w:val="single" w:sz="4" w:space="0" w:color="auto"/>
              <w:left w:val="nil"/>
              <w:bottom w:val="nil"/>
              <w:right w:val="nil"/>
            </w:tcBorders>
            <w:shd w:val="clear" w:color="auto" w:fill="auto"/>
            <w:noWrap/>
            <w:vAlign w:val="center"/>
            <w:hideMark/>
          </w:tcPr>
          <w:p w14:paraId="06B09C9C"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c>
          <w:tcPr>
            <w:tcW w:w="648" w:type="pct"/>
            <w:tcBorders>
              <w:top w:val="single" w:sz="4" w:space="0" w:color="auto"/>
              <w:left w:val="nil"/>
              <w:bottom w:val="nil"/>
              <w:right w:val="nil"/>
            </w:tcBorders>
            <w:shd w:val="clear" w:color="auto" w:fill="auto"/>
            <w:noWrap/>
            <w:vAlign w:val="center"/>
            <w:hideMark/>
          </w:tcPr>
          <w:p w14:paraId="4074B402"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c>
          <w:tcPr>
            <w:tcW w:w="648" w:type="pct"/>
            <w:tcBorders>
              <w:top w:val="single" w:sz="4" w:space="0" w:color="auto"/>
              <w:left w:val="nil"/>
              <w:bottom w:val="nil"/>
              <w:right w:val="nil"/>
            </w:tcBorders>
            <w:shd w:val="clear" w:color="auto" w:fill="auto"/>
            <w:noWrap/>
            <w:vAlign w:val="center"/>
            <w:hideMark/>
          </w:tcPr>
          <w:p w14:paraId="582A986D" w14:textId="77777777" w:rsidR="00877C56" w:rsidRPr="00877C56" w:rsidRDefault="00877C56" w:rsidP="00877C56">
            <w:pPr>
              <w:spacing w:after="0" w:line="240" w:lineRule="auto"/>
              <w:jc w:val="left"/>
              <w:rPr>
                <w:rFonts w:ascii="Arial" w:hAnsi="Arial" w:cs="Arial"/>
                <w:color w:val="000000"/>
                <w:sz w:val="16"/>
                <w:szCs w:val="16"/>
              </w:rPr>
            </w:pPr>
            <w:r w:rsidRPr="00877C56">
              <w:rPr>
                <w:rFonts w:ascii="Arial" w:hAnsi="Arial" w:cs="Arial"/>
                <w:color w:val="000000"/>
                <w:sz w:val="16"/>
                <w:szCs w:val="16"/>
              </w:rPr>
              <w:t> </w:t>
            </w:r>
          </w:p>
        </w:tc>
      </w:tr>
      <w:tr w:rsidR="00877C56" w:rsidRPr="00877C56" w14:paraId="2D0DD807" w14:textId="77777777" w:rsidTr="00877C56">
        <w:trPr>
          <w:trHeight w:hRule="exact" w:val="225"/>
        </w:trPr>
        <w:tc>
          <w:tcPr>
            <w:tcW w:w="1760" w:type="pct"/>
            <w:tcBorders>
              <w:top w:val="nil"/>
              <w:left w:val="nil"/>
              <w:bottom w:val="nil"/>
              <w:right w:val="nil"/>
            </w:tcBorders>
            <w:shd w:val="clear" w:color="auto" w:fill="auto"/>
            <w:noWrap/>
            <w:vAlign w:val="center"/>
            <w:hideMark/>
          </w:tcPr>
          <w:p w14:paraId="5F99EB7E" w14:textId="2DF5876C" w:rsidR="00877C56" w:rsidRPr="00877C56" w:rsidRDefault="00B33758" w:rsidP="00877C56">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Appropriations</w:t>
            </w:r>
          </w:p>
        </w:tc>
        <w:tc>
          <w:tcPr>
            <w:tcW w:w="648" w:type="pct"/>
            <w:tcBorders>
              <w:top w:val="nil"/>
              <w:left w:val="nil"/>
              <w:bottom w:val="nil"/>
              <w:right w:val="nil"/>
            </w:tcBorders>
            <w:shd w:val="clear" w:color="auto" w:fill="auto"/>
            <w:noWrap/>
            <w:vAlign w:val="center"/>
            <w:hideMark/>
          </w:tcPr>
          <w:p w14:paraId="2EEC2E18"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(3,062,244)</w:t>
            </w:r>
          </w:p>
        </w:tc>
        <w:tc>
          <w:tcPr>
            <w:tcW w:w="648" w:type="pct"/>
            <w:tcBorders>
              <w:top w:val="nil"/>
              <w:left w:val="nil"/>
              <w:bottom w:val="nil"/>
              <w:right w:val="nil"/>
            </w:tcBorders>
            <w:shd w:val="clear" w:color="000000" w:fill="E6E6E6"/>
            <w:noWrap/>
            <w:vAlign w:val="center"/>
            <w:hideMark/>
          </w:tcPr>
          <w:p w14:paraId="35B12915"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(403,753)</w:t>
            </w:r>
          </w:p>
        </w:tc>
        <w:tc>
          <w:tcPr>
            <w:tcW w:w="648" w:type="pct"/>
            <w:tcBorders>
              <w:top w:val="nil"/>
              <w:left w:val="nil"/>
              <w:bottom w:val="nil"/>
              <w:right w:val="nil"/>
            </w:tcBorders>
            <w:shd w:val="clear" w:color="auto" w:fill="auto"/>
            <w:noWrap/>
            <w:vAlign w:val="center"/>
            <w:hideMark/>
          </w:tcPr>
          <w:p w14:paraId="6881E6B7"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(438,490)</w:t>
            </w:r>
          </w:p>
        </w:tc>
        <w:tc>
          <w:tcPr>
            <w:tcW w:w="648" w:type="pct"/>
            <w:tcBorders>
              <w:top w:val="nil"/>
              <w:left w:val="nil"/>
              <w:bottom w:val="nil"/>
              <w:right w:val="nil"/>
            </w:tcBorders>
            <w:shd w:val="clear" w:color="auto" w:fill="auto"/>
            <w:noWrap/>
            <w:vAlign w:val="center"/>
            <w:hideMark/>
          </w:tcPr>
          <w:p w14:paraId="5A7CDD62"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(445,246)</w:t>
            </w:r>
          </w:p>
        </w:tc>
        <w:tc>
          <w:tcPr>
            <w:tcW w:w="648" w:type="pct"/>
            <w:tcBorders>
              <w:top w:val="nil"/>
              <w:left w:val="nil"/>
              <w:bottom w:val="nil"/>
              <w:right w:val="nil"/>
            </w:tcBorders>
            <w:shd w:val="clear" w:color="auto" w:fill="auto"/>
            <w:noWrap/>
            <w:vAlign w:val="center"/>
            <w:hideMark/>
          </w:tcPr>
          <w:p w14:paraId="0345EFD1"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(469,595)</w:t>
            </w:r>
          </w:p>
        </w:tc>
      </w:tr>
      <w:tr w:rsidR="00877C56" w:rsidRPr="00877C56" w14:paraId="5FAEA0E3" w14:textId="77777777" w:rsidTr="00877C56">
        <w:trPr>
          <w:trHeight w:hRule="exact" w:val="225"/>
        </w:trPr>
        <w:tc>
          <w:tcPr>
            <w:tcW w:w="1760" w:type="pct"/>
            <w:tcBorders>
              <w:top w:val="nil"/>
              <w:left w:val="nil"/>
              <w:bottom w:val="nil"/>
              <w:right w:val="nil"/>
            </w:tcBorders>
            <w:shd w:val="clear" w:color="auto" w:fill="auto"/>
            <w:noWrap/>
            <w:vAlign w:val="center"/>
            <w:hideMark/>
          </w:tcPr>
          <w:p w14:paraId="072559BE" w14:textId="54E00B8B" w:rsidR="00877C56" w:rsidRPr="00877C56" w:rsidRDefault="00B33758" w:rsidP="00877C56">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Special accounts</w:t>
            </w:r>
          </w:p>
        </w:tc>
        <w:tc>
          <w:tcPr>
            <w:tcW w:w="648" w:type="pct"/>
            <w:tcBorders>
              <w:top w:val="nil"/>
              <w:left w:val="nil"/>
              <w:bottom w:val="nil"/>
              <w:right w:val="nil"/>
            </w:tcBorders>
            <w:shd w:val="clear" w:color="auto" w:fill="auto"/>
            <w:noWrap/>
            <w:vAlign w:val="center"/>
            <w:hideMark/>
          </w:tcPr>
          <w:p w14:paraId="3EF0864C"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(2,343,807)</w:t>
            </w:r>
          </w:p>
        </w:tc>
        <w:tc>
          <w:tcPr>
            <w:tcW w:w="648" w:type="pct"/>
            <w:tcBorders>
              <w:top w:val="nil"/>
              <w:left w:val="nil"/>
              <w:bottom w:val="nil"/>
              <w:right w:val="nil"/>
            </w:tcBorders>
            <w:shd w:val="clear" w:color="000000" w:fill="E6E6E6"/>
            <w:noWrap/>
            <w:vAlign w:val="center"/>
            <w:hideMark/>
          </w:tcPr>
          <w:p w14:paraId="2C5CD4E6"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(1,352,211)</w:t>
            </w:r>
          </w:p>
        </w:tc>
        <w:tc>
          <w:tcPr>
            <w:tcW w:w="648" w:type="pct"/>
            <w:tcBorders>
              <w:top w:val="nil"/>
              <w:left w:val="nil"/>
              <w:bottom w:val="nil"/>
              <w:right w:val="nil"/>
            </w:tcBorders>
            <w:shd w:val="clear" w:color="auto" w:fill="auto"/>
            <w:noWrap/>
            <w:vAlign w:val="center"/>
            <w:hideMark/>
          </w:tcPr>
          <w:p w14:paraId="00603361"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(1,234,513)</w:t>
            </w:r>
          </w:p>
        </w:tc>
        <w:tc>
          <w:tcPr>
            <w:tcW w:w="648" w:type="pct"/>
            <w:tcBorders>
              <w:top w:val="nil"/>
              <w:left w:val="nil"/>
              <w:bottom w:val="nil"/>
              <w:right w:val="nil"/>
            </w:tcBorders>
            <w:shd w:val="clear" w:color="auto" w:fill="auto"/>
            <w:noWrap/>
            <w:vAlign w:val="center"/>
            <w:hideMark/>
          </w:tcPr>
          <w:p w14:paraId="059FD015" w14:textId="77777777" w:rsidR="00877C56" w:rsidRPr="00877C56" w:rsidRDefault="00877C56" w:rsidP="00877C56">
            <w:pPr>
              <w:spacing w:after="0" w:line="240" w:lineRule="auto"/>
              <w:jc w:val="right"/>
              <w:rPr>
                <w:rFonts w:ascii="Arial" w:hAnsi="Arial" w:cs="Arial"/>
                <w:color w:val="000000"/>
                <w:sz w:val="16"/>
                <w:szCs w:val="16"/>
              </w:rPr>
            </w:pPr>
            <w:r w:rsidRPr="00877C56">
              <w:rPr>
                <w:rFonts w:ascii="Arial" w:hAnsi="Arial" w:cs="Arial"/>
                <w:color w:val="000000"/>
                <w:sz w:val="16"/>
                <w:szCs w:val="16"/>
              </w:rPr>
              <w:t>(253,775)</w:t>
            </w:r>
          </w:p>
        </w:tc>
        <w:tc>
          <w:tcPr>
            <w:tcW w:w="648" w:type="pct"/>
            <w:tcBorders>
              <w:top w:val="nil"/>
              <w:left w:val="nil"/>
              <w:bottom w:val="nil"/>
              <w:right w:val="nil"/>
            </w:tcBorders>
            <w:shd w:val="clear" w:color="auto" w:fill="auto"/>
            <w:noWrap/>
            <w:vAlign w:val="center"/>
            <w:hideMark/>
          </w:tcPr>
          <w:p w14:paraId="5EFE5FD0" w14:textId="377C4A8D" w:rsidR="00877C56" w:rsidRPr="00877C56" w:rsidRDefault="00B33758" w:rsidP="00877C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77C56" w:rsidRPr="00877C56">
              <w:rPr>
                <w:rFonts w:ascii="Arial" w:hAnsi="Arial" w:cs="Arial"/>
                <w:color w:val="000000"/>
                <w:sz w:val="16"/>
                <w:szCs w:val="16"/>
              </w:rPr>
              <w:t xml:space="preserve"> </w:t>
            </w:r>
          </w:p>
        </w:tc>
      </w:tr>
      <w:tr w:rsidR="00877C56" w:rsidRPr="00877C56" w14:paraId="70EB963E" w14:textId="77777777" w:rsidTr="00877C56">
        <w:trPr>
          <w:trHeight w:hRule="exact" w:val="225"/>
        </w:trPr>
        <w:tc>
          <w:tcPr>
            <w:tcW w:w="1760" w:type="pct"/>
            <w:tcBorders>
              <w:top w:val="nil"/>
              <w:left w:val="nil"/>
              <w:bottom w:val="nil"/>
              <w:right w:val="nil"/>
            </w:tcBorders>
            <w:shd w:val="clear" w:color="auto" w:fill="auto"/>
            <w:vAlign w:val="center"/>
            <w:hideMark/>
          </w:tcPr>
          <w:p w14:paraId="495F14DB" w14:textId="77777777" w:rsidR="00877C56" w:rsidRPr="00877C56" w:rsidRDefault="00877C56" w:rsidP="00877C56">
            <w:pPr>
              <w:spacing w:after="0" w:line="240" w:lineRule="auto"/>
              <w:ind w:left="170"/>
              <w:jc w:val="left"/>
              <w:rPr>
                <w:rFonts w:ascii="Arial" w:hAnsi="Arial" w:cs="Arial"/>
                <w:i/>
                <w:iCs/>
                <w:color w:val="000000"/>
                <w:sz w:val="16"/>
                <w:szCs w:val="16"/>
              </w:rPr>
            </w:pPr>
            <w:r w:rsidRPr="00877C56">
              <w:rPr>
                <w:rFonts w:ascii="Arial" w:hAnsi="Arial" w:cs="Arial"/>
                <w:i/>
                <w:iCs/>
                <w:color w:val="000000"/>
                <w:sz w:val="16"/>
                <w:szCs w:val="16"/>
              </w:rPr>
              <w:t>Total cash to Official Public Account</w:t>
            </w:r>
          </w:p>
        </w:tc>
        <w:tc>
          <w:tcPr>
            <w:tcW w:w="648" w:type="pct"/>
            <w:tcBorders>
              <w:top w:val="single" w:sz="4" w:space="0" w:color="000000"/>
              <w:left w:val="nil"/>
              <w:bottom w:val="nil"/>
              <w:right w:val="nil"/>
            </w:tcBorders>
            <w:shd w:val="clear" w:color="auto" w:fill="auto"/>
            <w:noWrap/>
            <w:vAlign w:val="bottom"/>
            <w:hideMark/>
          </w:tcPr>
          <w:p w14:paraId="5FB00114"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(5,406,051)</w:t>
            </w:r>
          </w:p>
        </w:tc>
        <w:tc>
          <w:tcPr>
            <w:tcW w:w="648" w:type="pct"/>
            <w:tcBorders>
              <w:top w:val="single" w:sz="4" w:space="0" w:color="000000"/>
              <w:left w:val="nil"/>
              <w:bottom w:val="nil"/>
              <w:right w:val="nil"/>
            </w:tcBorders>
            <w:shd w:val="clear" w:color="000000" w:fill="E6E6E6"/>
            <w:noWrap/>
            <w:vAlign w:val="bottom"/>
            <w:hideMark/>
          </w:tcPr>
          <w:p w14:paraId="7E264F34"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(1,755,964)</w:t>
            </w:r>
          </w:p>
        </w:tc>
        <w:tc>
          <w:tcPr>
            <w:tcW w:w="648" w:type="pct"/>
            <w:tcBorders>
              <w:top w:val="single" w:sz="4" w:space="0" w:color="000000"/>
              <w:left w:val="nil"/>
              <w:bottom w:val="nil"/>
              <w:right w:val="nil"/>
            </w:tcBorders>
            <w:shd w:val="clear" w:color="auto" w:fill="auto"/>
            <w:noWrap/>
            <w:vAlign w:val="bottom"/>
            <w:hideMark/>
          </w:tcPr>
          <w:p w14:paraId="1EB97029"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(1,673,003)</w:t>
            </w:r>
          </w:p>
        </w:tc>
        <w:tc>
          <w:tcPr>
            <w:tcW w:w="648" w:type="pct"/>
            <w:tcBorders>
              <w:top w:val="single" w:sz="4" w:space="0" w:color="000000"/>
              <w:left w:val="nil"/>
              <w:bottom w:val="nil"/>
              <w:right w:val="nil"/>
            </w:tcBorders>
            <w:shd w:val="clear" w:color="auto" w:fill="auto"/>
            <w:noWrap/>
            <w:vAlign w:val="bottom"/>
            <w:hideMark/>
          </w:tcPr>
          <w:p w14:paraId="4B108885"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(699,021)</w:t>
            </w:r>
          </w:p>
        </w:tc>
        <w:tc>
          <w:tcPr>
            <w:tcW w:w="648" w:type="pct"/>
            <w:tcBorders>
              <w:top w:val="single" w:sz="4" w:space="0" w:color="000000"/>
              <w:left w:val="nil"/>
              <w:bottom w:val="nil"/>
              <w:right w:val="nil"/>
            </w:tcBorders>
            <w:shd w:val="clear" w:color="auto" w:fill="auto"/>
            <w:noWrap/>
            <w:vAlign w:val="bottom"/>
            <w:hideMark/>
          </w:tcPr>
          <w:p w14:paraId="545235ED" w14:textId="77777777" w:rsidR="00877C56" w:rsidRPr="00877C56" w:rsidRDefault="00877C56" w:rsidP="00877C56">
            <w:pPr>
              <w:spacing w:after="0" w:line="240" w:lineRule="auto"/>
              <w:jc w:val="right"/>
              <w:rPr>
                <w:rFonts w:ascii="Arial" w:hAnsi="Arial" w:cs="Arial"/>
                <w:i/>
                <w:iCs/>
                <w:color w:val="000000"/>
                <w:sz w:val="16"/>
                <w:szCs w:val="16"/>
              </w:rPr>
            </w:pPr>
            <w:r w:rsidRPr="00877C56">
              <w:rPr>
                <w:rFonts w:ascii="Arial" w:hAnsi="Arial" w:cs="Arial"/>
                <w:i/>
                <w:iCs/>
                <w:color w:val="000000"/>
                <w:sz w:val="16"/>
                <w:szCs w:val="16"/>
              </w:rPr>
              <w:t>(469,595)</w:t>
            </w:r>
          </w:p>
        </w:tc>
      </w:tr>
      <w:tr w:rsidR="00877C56" w:rsidRPr="00877C56" w14:paraId="490271D3" w14:textId="77777777" w:rsidTr="00877C56">
        <w:trPr>
          <w:trHeight w:hRule="exact" w:val="450"/>
        </w:trPr>
        <w:tc>
          <w:tcPr>
            <w:tcW w:w="1760" w:type="pct"/>
            <w:tcBorders>
              <w:top w:val="nil"/>
              <w:left w:val="nil"/>
              <w:bottom w:val="single" w:sz="4" w:space="0" w:color="auto"/>
              <w:right w:val="nil"/>
            </w:tcBorders>
            <w:shd w:val="clear" w:color="auto" w:fill="auto"/>
            <w:vAlign w:val="center"/>
            <w:hideMark/>
          </w:tcPr>
          <w:p w14:paraId="18EFBDDD" w14:textId="77777777" w:rsidR="00877C56" w:rsidRPr="00877C56" w:rsidRDefault="00877C56" w:rsidP="00877C56">
            <w:pPr>
              <w:spacing w:after="0" w:line="240" w:lineRule="auto"/>
              <w:jc w:val="left"/>
              <w:rPr>
                <w:rFonts w:ascii="Arial" w:hAnsi="Arial" w:cs="Arial"/>
                <w:b/>
                <w:bCs/>
                <w:color w:val="000000"/>
                <w:sz w:val="16"/>
                <w:szCs w:val="16"/>
              </w:rPr>
            </w:pPr>
            <w:r w:rsidRPr="00877C56">
              <w:rPr>
                <w:rFonts w:ascii="Arial" w:hAnsi="Arial" w:cs="Arial"/>
                <w:b/>
                <w:bCs/>
                <w:color w:val="000000"/>
                <w:sz w:val="16"/>
                <w:szCs w:val="16"/>
              </w:rPr>
              <w:t>Cash and cash equivalents at</w:t>
            </w:r>
            <w:r w:rsidRPr="00877C56">
              <w:rPr>
                <w:rFonts w:ascii="Arial" w:hAnsi="Arial" w:cs="Arial"/>
                <w:b/>
                <w:bCs/>
                <w:color w:val="000000"/>
                <w:sz w:val="16"/>
                <w:szCs w:val="16"/>
              </w:rPr>
              <w:br/>
              <w:t xml:space="preserve">  end of reporting period</w:t>
            </w:r>
          </w:p>
        </w:tc>
        <w:tc>
          <w:tcPr>
            <w:tcW w:w="648" w:type="pct"/>
            <w:tcBorders>
              <w:top w:val="single" w:sz="4" w:space="0" w:color="000000"/>
              <w:left w:val="nil"/>
              <w:bottom w:val="single" w:sz="4" w:space="0" w:color="auto"/>
              <w:right w:val="nil"/>
            </w:tcBorders>
            <w:shd w:val="clear" w:color="auto" w:fill="auto"/>
            <w:noWrap/>
            <w:vAlign w:val="bottom"/>
            <w:hideMark/>
          </w:tcPr>
          <w:p w14:paraId="40538C25"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974,065 </w:t>
            </w:r>
          </w:p>
        </w:tc>
        <w:tc>
          <w:tcPr>
            <w:tcW w:w="648" w:type="pct"/>
            <w:tcBorders>
              <w:top w:val="single" w:sz="4" w:space="0" w:color="000000"/>
              <w:left w:val="nil"/>
              <w:bottom w:val="single" w:sz="4" w:space="0" w:color="auto"/>
              <w:right w:val="nil"/>
            </w:tcBorders>
            <w:shd w:val="clear" w:color="000000" w:fill="E6E6E6"/>
            <w:noWrap/>
            <w:vAlign w:val="bottom"/>
            <w:hideMark/>
          </w:tcPr>
          <w:p w14:paraId="60343E82"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873,310 </w:t>
            </w:r>
          </w:p>
        </w:tc>
        <w:tc>
          <w:tcPr>
            <w:tcW w:w="648" w:type="pct"/>
            <w:tcBorders>
              <w:top w:val="single" w:sz="4" w:space="0" w:color="000000"/>
              <w:left w:val="nil"/>
              <w:bottom w:val="single" w:sz="4" w:space="0" w:color="auto"/>
              <w:right w:val="nil"/>
            </w:tcBorders>
            <w:shd w:val="clear" w:color="auto" w:fill="auto"/>
            <w:noWrap/>
            <w:vAlign w:val="bottom"/>
            <w:hideMark/>
          </w:tcPr>
          <w:p w14:paraId="4F4EDD9D"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791,364 </w:t>
            </w:r>
          </w:p>
        </w:tc>
        <w:tc>
          <w:tcPr>
            <w:tcW w:w="648" w:type="pct"/>
            <w:tcBorders>
              <w:top w:val="single" w:sz="4" w:space="0" w:color="000000"/>
              <w:left w:val="nil"/>
              <w:bottom w:val="single" w:sz="4" w:space="0" w:color="auto"/>
              <w:right w:val="nil"/>
            </w:tcBorders>
            <w:shd w:val="clear" w:color="auto" w:fill="auto"/>
            <w:noWrap/>
            <w:vAlign w:val="bottom"/>
            <w:hideMark/>
          </w:tcPr>
          <w:p w14:paraId="1F98A874"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950,000 </w:t>
            </w:r>
          </w:p>
        </w:tc>
        <w:tc>
          <w:tcPr>
            <w:tcW w:w="648" w:type="pct"/>
            <w:tcBorders>
              <w:top w:val="single" w:sz="4" w:space="0" w:color="000000"/>
              <w:left w:val="nil"/>
              <w:bottom w:val="single" w:sz="4" w:space="0" w:color="auto"/>
              <w:right w:val="nil"/>
            </w:tcBorders>
            <w:shd w:val="clear" w:color="auto" w:fill="auto"/>
            <w:noWrap/>
            <w:vAlign w:val="bottom"/>
            <w:hideMark/>
          </w:tcPr>
          <w:p w14:paraId="3E832A81" w14:textId="77777777" w:rsidR="00877C56" w:rsidRPr="00877C56" w:rsidRDefault="00877C56" w:rsidP="00877C56">
            <w:pPr>
              <w:spacing w:after="0" w:line="240" w:lineRule="auto"/>
              <w:jc w:val="right"/>
              <w:rPr>
                <w:rFonts w:ascii="Arial" w:hAnsi="Arial" w:cs="Arial"/>
                <w:b/>
                <w:bCs/>
                <w:color w:val="000000"/>
                <w:sz w:val="16"/>
                <w:szCs w:val="16"/>
              </w:rPr>
            </w:pPr>
            <w:r w:rsidRPr="00877C56">
              <w:rPr>
                <w:rFonts w:ascii="Arial" w:hAnsi="Arial" w:cs="Arial"/>
                <w:b/>
                <w:bCs/>
                <w:color w:val="000000"/>
                <w:sz w:val="16"/>
                <w:szCs w:val="16"/>
              </w:rPr>
              <w:t xml:space="preserve">900,000 </w:t>
            </w:r>
          </w:p>
        </w:tc>
      </w:tr>
    </w:tbl>
    <w:p w14:paraId="3B1AD8B0" w14:textId="372E42D5" w:rsidR="00E443D9" w:rsidRPr="007827EF" w:rsidRDefault="00E443D9" w:rsidP="00E443D9">
      <w:pPr>
        <w:pStyle w:val="ChartandTableFootnote"/>
        <w:rPr>
          <w:rFonts w:ascii="Times New Roman" w:hAnsi="Times New Roman"/>
          <w:color w:val="auto"/>
          <w:sz w:val="20"/>
          <w:lang w:val="en-AU" w:eastAsia="en-AU"/>
        </w:rPr>
      </w:pPr>
      <w:r>
        <w:t>Prepared on Australian Accounting Standards basis.</w:t>
      </w:r>
    </w:p>
    <w:p w14:paraId="121AA65F" w14:textId="77777777" w:rsidR="002F7596" w:rsidRPr="002F7596" w:rsidRDefault="00E443D9" w:rsidP="00181A0C">
      <w:pPr>
        <w:pStyle w:val="TableHeading"/>
        <w:rPr>
          <w:sz w:val="16"/>
        </w:rPr>
      </w:pPr>
      <w:r w:rsidRPr="00D30CBA">
        <w:lastRenderedPageBreak/>
        <w:t>Table</w:t>
      </w:r>
      <w:r>
        <w:t xml:space="preserve"> 3.10</w:t>
      </w:r>
      <w:r w:rsidRPr="00D30CBA">
        <w:t xml:space="preserve">: </w:t>
      </w:r>
      <w:r>
        <w:rPr>
          <w:lang w:val="en-AU"/>
        </w:rPr>
        <w:t xml:space="preserve">Schedule of </w:t>
      </w:r>
      <w:r>
        <w:t>administered capital budget statement (for the period ended 30 June)</w:t>
      </w:r>
    </w:p>
    <w:tbl>
      <w:tblPr>
        <w:tblW w:w="5000" w:type="pct"/>
        <w:tblCellMar>
          <w:left w:w="0" w:type="dxa"/>
          <w:right w:w="28" w:type="dxa"/>
        </w:tblCellMar>
        <w:tblLook w:val="04A0" w:firstRow="1" w:lastRow="0" w:firstColumn="1" w:lastColumn="0" w:noHBand="0" w:noVBand="1"/>
      </w:tblPr>
      <w:tblGrid>
        <w:gridCol w:w="4859"/>
        <w:gridCol w:w="1336"/>
        <w:gridCol w:w="1336"/>
        <w:gridCol w:w="1336"/>
        <w:gridCol w:w="1336"/>
        <w:gridCol w:w="1336"/>
      </w:tblGrid>
      <w:tr w:rsidR="002F7596" w:rsidRPr="002F7596" w14:paraId="6EE72A85" w14:textId="77777777" w:rsidTr="00495823">
        <w:trPr>
          <w:trHeight w:hRule="exact" w:val="608"/>
        </w:trPr>
        <w:tc>
          <w:tcPr>
            <w:tcW w:w="2105" w:type="pct"/>
            <w:tcBorders>
              <w:top w:val="single" w:sz="4" w:space="0" w:color="auto"/>
              <w:left w:val="nil"/>
              <w:bottom w:val="nil"/>
              <w:right w:val="nil"/>
            </w:tcBorders>
            <w:shd w:val="clear" w:color="auto" w:fill="auto"/>
            <w:noWrap/>
            <w:hideMark/>
          </w:tcPr>
          <w:p w14:paraId="6A10CF6F" w14:textId="0E254B7E" w:rsidR="002F7596" w:rsidRPr="002F7596" w:rsidRDefault="002F7596" w:rsidP="002F7596">
            <w:pPr>
              <w:spacing w:after="0" w:line="240" w:lineRule="auto"/>
              <w:rPr>
                <w:rFonts w:ascii="Arial" w:hAnsi="Arial" w:cs="Arial"/>
                <w:b/>
                <w:bCs/>
                <w:sz w:val="16"/>
                <w:szCs w:val="16"/>
              </w:rPr>
            </w:pPr>
            <w:r w:rsidRPr="002F7596">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1F2C02D" w14:textId="11CACAE3" w:rsidR="002F7596" w:rsidRPr="002F7596" w:rsidRDefault="002F7596" w:rsidP="002F7596">
            <w:pPr>
              <w:spacing w:after="0" w:line="240" w:lineRule="auto"/>
              <w:jc w:val="right"/>
              <w:rPr>
                <w:rFonts w:ascii="Arial" w:hAnsi="Arial" w:cs="Arial"/>
                <w:sz w:val="16"/>
                <w:szCs w:val="16"/>
              </w:rPr>
            </w:pPr>
            <w:r w:rsidRPr="002F7596">
              <w:rPr>
                <w:rFonts w:ascii="Arial" w:hAnsi="Arial" w:cs="Arial"/>
                <w:sz w:val="16"/>
                <w:szCs w:val="16"/>
              </w:rPr>
              <w:t>2021</w:t>
            </w:r>
            <w:r w:rsidR="00B33758">
              <w:rPr>
                <w:rFonts w:ascii="Arial" w:hAnsi="Arial" w:cs="Arial"/>
                <w:sz w:val="16"/>
                <w:szCs w:val="16"/>
              </w:rPr>
              <w:noBreakHyphen/>
            </w:r>
            <w:r w:rsidRPr="002F7596">
              <w:rPr>
                <w:rFonts w:ascii="Arial" w:hAnsi="Arial" w:cs="Arial"/>
                <w:sz w:val="16"/>
                <w:szCs w:val="16"/>
              </w:rPr>
              <w:t xml:space="preserve">22 </w:t>
            </w:r>
            <w:r w:rsidRPr="002F7596">
              <w:rPr>
                <w:rFonts w:ascii="Arial" w:hAnsi="Arial" w:cs="Arial"/>
                <w:sz w:val="16"/>
                <w:szCs w:val="16"/>
              </w:rPr>
              <w:br/>
              <w:t>Estimated actual</w:t>
            </w:r>
            <w:r w:rsidRPr="002F7596">
              <w:rPr>
                <w:rFonts w:ascii="Arial" w:hAnsi="Arial" w:cs="Arial"/>
                <w:sz w:val="16"/>
                <w:szCs w:val="16"/>
              </w:rPr>
              <w:br/>
              <w:t>$</w:t>
            </w:r>
            <w:r w:rsidR="00B33758">
              <w:rPr>
                <w:rFonts w:ascii="Arial" w:hAnsi="Arial" w:cs="Arial"/>
                <w:sz w:val="16"/>
                <w:szCs w:val="16"/>
              </w:rPr>
              <w:t>’</w:t>
            </w:r>
            <w:r w:rsidRPr="002F759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78C33292" w14:textId="4F662775" w:rsidR="002F7596" w:rsidRPr="002F7596" w:rsidRDefault="002F7596" w:rsidP="002F7596">
            <w:pPr>
              <w:spacing w:after="0" w:line="240" w:lineRule="auto"/>
              <w:jc w:val="right"/>
              <w:rPr>
                <w:rFonts w:ascii="Arial" w:hAnsi="Arial" w:cs="Arial"/>
                <w:sz w:val="16"/>
                <w:szCs w:val="16"/>
              </w:rPr>
            </w:pPr>
            <w:r w:rsidRPr="002F7596">
              <w:rPr>
                <w:rFonts w:ascii="Arial" w:hAnsi="Arial" w:cs="Arial"/>
                <w:sz w:val="16"/>
                <w:szCs w:val="16"/>
              </w:rPr>
              <w:t>2022</w:t>
            </w:r>
            <w:r w:rsidR="00B33758">
              <w:rPr>
                <w:rFonts w:ascii="Arial" w:hAnsi="Arial" w:cs="Arial"/>
                <w:sz w:val="16"/>
                <w:szCs w:val="16"/>
              </w:rPr>
              <w:noBreakHyphen/>
            </w:r>
            <w:r w:rsidRPr="002F7596">
              <w:rPr>
                <w:rFonts w:ascii="Arial" w:hAnsi="Arial" w:cs="Arial"/>
                <w:sz w:val="16"/>
                <w:szCs w:val="16"/>
              </w:rPr>
              <w:t>23</w:t>
            </w:r>
            <w:r w:rsidRPr="002F7596">
              <w:rPr>
                <w:rFonts w:ascii="Arial" w:hAnsi="Arial" w:cs="Arial"/>
                <w:sz w:val="16"/>
                <w:szCs w:val="16"/>
              </w:rPr>
              <w:br/>
              <w:t>Budget</w:t>
            </w:r>
            <w:r w:rsidRPr="002F7596">
              <w:rPr>
                <w:rFonts w:ascii="Arial" w:hAnsi="Arial" w:cs="Arial"/>
                <w:sz w:val="16"/>
                <w:szCs w:val="16"/>
              </w:rPr>
              <w:br/>
              <w:t>$</w:t>
            </w:r>
            <w:r w:rsidR="00B33758">
              <w:rPr>
                <w:rFonts w:ascii="Arial" w:hAnsi="Arial" w:cs="Arial"/>
                <w:sz w:val="16"/>
                <w:szCs w:val="16"/>
              </w:rPr>
              <w:t>’</w:t>
            </w:r>
            <w:r w:rsidRPr="002F759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377FC07" w14:textId="50CF303D" w:rsidR="002F7596" w:rsidRPr="002F7596" w:rsidRDefault="002F7596" w:rsidP="002F7596">
            <w:pPr>
              <w:spacing w:after="0" w:line="240" w:lineRule="auto"/>
              <w:jc w:val="right"/>
              <w:rPr>
                <w:rFonts w:ascii="Arial" w:hAnsi="Arial" w:cs="Arial"/>
                <w:sz w:val="16"/>
                <w:szCs w:val="16"/>
              </w:rPr>
            </w:pPr>
            <w:r w:rsidRPr="002F7596">
              <w:rPr>
                <w:rFonts w:ascii="Arial" w:hAnsi="Arial" w:cs="Arial"/>
                <w:sz w:val="16"/>
                <w:szCs w:val="16"/>
              </w:rPr>
              <w:t>2023</w:t>
            </w:r>
            <w:r w:rsidR="00B33758">
              <w:rPr>
                <w:rFonts w:ascii="Arial" w:hAnsi="Arial" w:cs="Arial"/>
                <w:sz w:val="16"/>
                <w:szCs w:val="16"/>
              </w:rPr>
              <w:noBreakHyphen/>
            </w:r>
            <w:r w:rsidRPr="002F7596">
              <w:rPr>
                <w:rFonts w:ascii="Arial" w:hAnsi="Arial" w:cs="Arial"/>
                <w:sz w:val="16"/>
                <w:szCs w:val="16"/>
              </w:rPr>
              <w:t xml:space="preserve">24 </w:t>
            </w:r>
            <w:r w:rsidRPr="002F7596">
              <w:rPr>
                <w:rFonts w:ascii="Arial" w:hAnsi="Arial" w:cs="Arial"/>
                <w:sz w:val="16"/>
                <w:szCs w:val="16"/>
              </w:rPr>
              <w:br/>
              <w:t>Forward estimate</w:t>
            </w:r>
            <w:r w:rsidRPr="002F7596">
              <w:rPr>
                <w:rFonts w:ascii="Arial" w:hAnsi="Arial" w:cs="Arial"/>
                <w:sz w:val="16"/>
                <w:szCs w:val="16"/>
              </w:rPr>
              <w:br/>
              <w:t>$</w:t>
            </w:r>
            <w:r w:rsidR="00B33758">
              <w:rPr>
                <w:rFonts w:ascii="Arial" w:hAnsi="Arial" w:cs="Arial"/>
                <w:sz w:val="16"/>
                <w:szCs w:val="16"/>
              </w:rPr>
              <w:t>’</w:t>
            </w:r>
            <w:r w:rsidRPr="002F759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D0C9572" w14:textId="6E706C74" w:rsidR="002F7596" w:rsidRPr="002F7596" w:rsidRDefault="002F7596" w:rsidP="002F7596">
            <w:pPr>
              <w:spacing w:after="0" w:line="240" w:lineRule="auto"/>
              <w:jc w:val="right"/>
              <w:rPr>
                <w:rFonts w:ascii="Arial" w:hAnsi="Arial" w:cs="Arial"/>
                <w:sz w:val="16"/>
                <w:szCs w:val="16"/>
              </w:rPr>
            </w:pPr>
            <w:r w:rsidRPr="002F7596">
              <w:rPr>
                <w:rFonts w:ascii="Arial" w:hAnsi="Arial" w:cs="Arial"/>
                <w:sz w:val="16"/>
                <w:szCs w:val="16"/>
              </w:rPr>
              <w:t>2024</w:t>
            </w:r>
            <w:r w:rsidR="00B33758">
              <w:rPr>
                <w:rFonts w:ascii="Arial" w:hAnsi="Arial" w:cs="Arial"/>
                <w:sz w:val="16"/>
                <w:szCs w:val="16"/>
              </w:rPr>
              <w:noBreakHyphen/>
            </w:r>
            <w:r w:rsidRPr="002F7596">
              <w:rPr>
                <w:rFonts w:ascii="Arial" w:hAnsi="Arial" w:cs="Arial"/>
                <w:sz w:val="16"/>
                <w:szCs w:val="16"/>
              </w:rPr>
              <w:t xml:space="preserve">25 </w:t>
            </w:r>
            <w:r w:rsidRPr="002F7596">
              <w:rPr>
                <w:rFonts w:ascii="Arial" w:hAnsi="Arial" w:cs="Arial"/>
                <w:sz w:val="16"/>
                <w:szCs w:val="16"/>
              </w:rPr>
              <w:br/>
              <w:t>Forward estimate</w:t>
            </w:r>
            <w:r w:rsidRPr="002F7596">
              <w:rPr>
                <w:rFonts w:ascii="Arial" w:hAnsi="Arial" w:cs="Arial"/>
                <w:sz w:val="16"/>
                <w:szCs w:val="16"/>
              </w:rPr>
              <w:br/>
              <w:t>$</w:t>
            </w:r>
            <w:r w:rsidR="00B33758">
              <w:rPr>
                <w:rFonts w:ascii="Arial" w:hAnsi="Arial" w:cs="Arial"/>
                <w:sz w:val="16"/>
                <w:szCs w:val="16"/>
              </w:rPr>
              <w:t>’</w:t>
            </w:r>
            <w:r w:rsidRPr="002F759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6CE2ED3" w14:textId="4179CA19" w:rsidR="002F7596" w:rsidRPr="002F7596" w:rsidRDefault="002F7596" w:rsidP="002F7596">
            <w:pPr>
              <w:spacing w:after="0" w:line="240" w:lineRule="auto"/>
              <w:jc w:val="right"/>
              <w:rPr>
                <w:rFonts w:ascii="Arial" w:hAnsi="Arial" w:cs="Arial"/>
                <w:sz w:val="16"/>
                <w:szCs w:val="16"/>
              </w:rPr>
            </w:pPr>
            <w:r w:rsidRPr="002F7596">
              <w:rPr>
                <w:rFonts w:ascii="Arial" w:hAnsi="Arial" w:cs="Arial"/>
                <w:sz w:val="16"/>
                <w:szCs w:val="16"/>
              </w:rPr>
              <w:t>2025</w:t>
            </w:r>
            <w:r w:rsidR="00B33758">
              <w:rPr>
                <w:rFonts w:ascii="Arial" w:hAnsi="Arial" w:cs="Arial"/>
                <w:sz w:val="16"/>
                <w:szCs w:val="16"/>
              </w:rPr>
              <w:noBreakHyphen/>
            </w:r>
            <w:r w:rsidRPr="002F7596">
              <w:rPr>
                <w:rFonts w:ascii="Arial" w:hAnsi="Arial" w:cs="Arial"/>
                <w:sz w:val="16"/>
                <w:szCs w:val="16"/>
              </w:rPr>
              <w:t>26</w:t>
            </w:r>
            <w:r w:rsidRPr="002F7596">
              <w:rPr>
                <w:rFonts w:ascii="Arial" w:hAnsi="Arial" w:cs="Arial"/>
                <w:sz w:val="16"/>
                <w:szCs w:val="16"/>
              </w:rPr>
              <w:br/>
              <w:t>Forward estimate</w:t>
            </w:r>
            <w:r w:rsidRPr="002F7596">
              <w:rPr>
                <w:rFonts w:ascii="Arial" w:hAnsi="Arial" w:cs="Arial"/>
                <w:sz w:val="16"/>
                <w:szCs w:val="16"/>
              </w:rPr>
              <w:br/>
              <w:t>$</w:t>
            </w:r>
            <w:r w:rsidR="00B33758">
              <w:rPr>
                <w:rFonts w:ascii="Arial" w:hAnsi="Arial" w:cs="Arial"/>
                <w:sz w:val="16"/>
                <w:szCs w:val="16"/>
              </w:rPr>
              <w:t>’</w:t>
            </w:r>
            <w:r w:rsidRPr="002F7596">
              <w:rPr>
                <w:rFonts w:ascii="Arial" w:hAnsi="Arial" w:cs="Arial"/>
                <w:sz w:val="16"/>
                <w:szCs w:val="16"/>
              </w:rPr>
              <w:t>000</w:t>
            </w:r>
          </w:p>
        </w:tc>
      </w:tr>
      <w:tr w:rsidR="002F7596" w:rsidRPr="002F7596" w14:paraId="756755CC" w14:textId="77777777" w:rsidTr="002F7596">
        <w:trPr>
          <w:trHeight w:hRule="exact" w:val="240"/>
        </w:trPr>
        <w:tc>
          <w:tcPr>
            <w:tcW w:w="2105" w:type="pct"/>
            <w:tcBorders>
              <w:top w:val="nil"/>
              <w:left w:val="nil"/>
              <w:bottom w:val="nil"/>
              <w:right w:val="nil"/>
            </w:tcBorders>
            <w:shd w:val="clear" w:color="auto" w:fill="auto"/>
            <w:noWrap/>
            <w:vAlign w:val="center"/>
            <w:hideMark/>
          </w:tcPr>
          <w:p w14:paraId="3557104D" w14:textId="77777777" w:rsidR="002F7596" w:rsidRPr="002F7596" w:rsidRDefault="002F7596" w:rsidP="002F7596">
            <w:pPr>
              <w:spacing w:after="0" w:line="240" w:lineRule="auto"/>
              <w:jc w:val="left"/>
              <w:rPr>
                <w:rFonts w:ascii="Arial" w:hAnsi="Arial" w:cs="Arial"/>
                <w:b/>
                <w:bCs/>
                <w:sz w:val="16"/>
                <w:szCs w:val="16"/>
              </w:rPr>
            </w:pPr>
            <w:r w:rsidRPr="002F7596">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681927AC" w14:textId="77777777" w:rsidR="002F7596" w:rsidRPr="002F7596" w:rsidRDefault="002F7596" w:rsidP="002F7596">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2813D930" w14:textId="77777777" w:rsidR="002F7596" w:rsidRPr="002F7596" w:rsidRDefault="002F7596" w:rsidP="002F7596">
            <w:pPr>
              <w:spacing w:after="0" w:line="240" w:lineRule="auto"/>
              <w:jc w:val="right"/>
              <w:rPr>
                <w:rFonts w:ascii="Arial" w:hAnsi="Arial" w:cs="Arial"/>
                <w:color w:val="000000"/>
                <w:sz w:val="16"/>
                <w:szCs w:val="16"/>
              </w:rPr>
            </w:pPr>
            <w:r w:rsidRPr="002F759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1C7FC8E7" w14:textId="77777777" w:rsidR="002F7596" w:rsidRPr="002F7596" w:rsidRDefault="002F7596" w:rsidP="002F7596">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D4AFDD0" w14:textId="77777777" w:rsidR="002F7596" w:rsidRPr="002F7596" w:rsidRDefault="002F7596" w:rsidP="002F7596">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0F801BB" w14:textId="77777777" w:rsidR="002F7596" w:rsidRPr="002F7596" w:rsidRDefault="002F7596" w:rsidP="002F7596">
            <w:pPr>
              <w:spacing w:after="0" w:line="240" w:lineRule="auto"/>
              <w:jc w:val="left"/>
              <w:rPr>
                <w:rFonts w:ascii="Times New Roman" w:hAnsi="Times New Roman"/>
              </w:rPr>
            </w:pPr>
          </w:p>
        </w:tc>
      </w:tr>
      <w:tr w:rsidR="002F7596" w:rsidRPr="002F7596" w14:paraId="2217E31A" w14:textId="77777777" w:rsidTr="002F7596">
        <w:trPr>
          <w:trHeight w:hRule="exact" w:val="455"/>
        </w:trPr>
        <w:tc>
          <w:tcPr>
            <w:tcW w:w="2105" w:type="pct"/>
            <w:tcBorders>
              <w:top w:val="nil"/>
              <w:left w:val="nil"/>
              <w:bottom w:val="nil"/>
              <w:right w:val="nil"/>
            </w:tcBorders>
            <w:shd w:val="clear" w:color="000000" w:fill="FFFFFF"/>
            <w:vAlign w:val="center"/>
            <w:hideMark/>
          </w:tcPr>
          <w:p w14:paraId="18535E7C" w14:textId="142DB8AD" w:rsidR="002F7596" w:rsidRPr="002F7596" w:rsidRDefault="002F7596" w:rsidP="002F7596">
            <w:pPr>
              <w:spacing w:after="0" w:line="240" w:lineRule="auto"/>
              <w:ind w:left="170"/>
              <w:jc w:val="left"/>
              <w:rPr>
                <w:rFonts w:ascii="Arial" w:hAnsi="Arial" w:cs="Arial"/>
                <w:sz w:val="16"/>
                <w:szCs w:val="16"/>
              </w:rPr>
            </w:pPr>
            <w:r w:rsidRPr="002F7596">
              <w:rPr>
                <w:rFonts w:ascii="Arial" w:hAnsi="Arial" w:cs="Arial"/>
                <w:sz w:val="16"/>
                <w:szCs w:val="16"/>
              </w:rPr>
              <w:t xml:space="preserve">Administered Assets and Liabilities </w:t>
            </w:r>
            <w:r w:rsidRPr="002F7596">
              <w:rPr>
                <w:rFonts w:ascii="Arial" w:hAnsi="Arial" w:cs="Arial"/>
                <w:sz w:val="16"/>
                <w:szCs w:val="16"/>
              </w:rPr>
              <w:br/>
              <w:t xml:space="preserve"> </w:t>
            </w:r>
            <w:r w:rsidR="003532AB">
              <w:rPr>
                <w:rFonts w:ascii="Arial" w:hAnsi="Arial" w:cs="Arial"/>
                <w:sz w:val="16"/>
                <w:szCs w:val="16"/>
              </w:rPr>
              <w:t xml:space="preserve"> – </w:t>
            </w:r>
            <w:r w:rsidRPr="002F7596">
              <w:rPr>
                <w:rFonts w:ascii="Arial" w:hAnsi="Arial" w:cs="Arial"/>
                <w:sz w:val="16"/>
                <w:szCs w:val="16"/>
              </w:rPr>
              <w:t>Bill 2</w:t>
            </w:r>
          </w:p>
        </w:tc>
        <w:tc>
          <w:tcPr>
            <w:tcW w:w="579" w:type="pct"/>
            <w:tcBorders>
              <w:top w:val="nil"/>
              <w:left w:val="nil"/>
              <w:bottom w:val="nil"/>
              <w:right w:val="nil"/>
            </w:tcBorders>
            <w:shd w:val="clear" w:color="000000" w:fill="FFFFFF"/>
            <w:noWrap/>
            <w:vAlign w:val="center"/>
            <w:hideMark/>
          </w:tcPr>
          <w:p w14:paraId="515C79C3" w14:textId="77777777" w:rsidR="002F7596" w:rsidRPr="002F7596" w:rsidRDefault="002F7596" w:rsidP="002F7596">
            <w:pPr>
              <w:spacing w:after="0" w:line="240" w:lineRule="auto"/>
              <w:jc w:val="right"/>
              <w:rPr>
                <w:rFonts w:ascii="Arial" w:hAnsi="Arial" w:cs="Arial"/>
                <w:sz w:val="16"/>
                <w:szCs w:val="16"/>
              </w:rPr>
            </w:pPr>
            <w:r w:rsidRPr="002F7596">
              <w:rPr>
                <w:rFonts w:ascii="Arial" w:hAnsi="Arial" w:cs="Arial"/>
                <w:sz w:val="16"/>
                <w:szCs w:val="16"/>
              </w:rPr>
              <w:t xml:space="preserve">165,000 </w:t>
            </w:r>
          </w:p>
        </w:tc>
        <w:tc>
          <w:tcPr>
            <w:tcW w:w="579" w:type="pct"/>
            <w:tcBorders>
              <w:top w:val="nil"/>
              <w:left w:val="nil"/>
              <w:bottom w:val="nil"/>
              <w:right w:val="nil"/>
            </w:tcBorders>
            <w:shd w:val="clear" w:color="000000" w:fill="E6E6E6"/>
            <w:noWrap/>
            <w:vAlign w:val="center"/>
            <w:hideMark/>
          </w:tcPr>
          <w:p w14:paraId="63B808F3" w14:textId="77777777" w:rsidR="002F7596" w:rsidRPr="002F7596" w:rsidRDefault="002F7596" w:rsidP="002F7596">
            <w:pPr>
              <w:spacing w:after="0" w:line="240" w:lineRule="auto"/>
              <w:jc w:val="right"/>
              <w:rPr>
                <w:rFonts w:ascii="Arial" w:hAnsi="Arial" w:cs="Arial"/>
                <w:color w:val="000000"/>
                <w:sz w:val="16"/>
                <w:szCs w:val="16"/>
              </w:rPr>
            </w:pPr>
            <w:r w:rsidRPr="002F7596">
              <w:rPr>
                <w:rFonts w:ascii="Arial" w:hAnsi="Arial" w:cs="Arial"/>
                <w:color w:val="000000"/>
                <w:sz w:val="16"/>
                <w:szCs w:val="16"/>
              </w:rPr>
              <w:t xml:space="preserve">165,000 </w:t>
            </w:r>
          </w:p>
        </w:tc>
        <w:tc>
          <w:tcPr>
            <w:tcW w:w="579" w:type="pct"/>
            <w:tcBorders>
              <w:top w:val="nil"/>
              <w:left w:val="nil"/>
              <w:bottom w:val="nil"/>
              <w:right w:val="nil"/>
            </w:tcBorders>
            <w:shd w:val="clear" w:color="000000" w:fill="FFFFFF"/>
            <w:noWrap/>
            <w:vAlign w:val="center"/>
            <w:hideMark/>
          </w:tcPr>
          <w:p w14:paraId="263C4DB0" w14:textId="7CCA5A7D" w:rsidR="002F7596" w:rsidRPr="002F7596" w:rsidRDefault="00B33758" w:rsidP="002F7596">
            <w:pPr>
              <w:spacing w:after="0" w:line="240" w:lineRule="auto"/>
              <w:jc w:val="right"/>
              <w:rPr>
                <w:rFonts w:ascii="Arial" w:hAnsi="Arial" w:cs="Arial"/>
                <w:sz w:val="16"/>
                <w:szCs w:val="16"/>
              </w:rPr>
            </w:pPr>
            <w:r>
              <w:rPr>
                <w:rFonts w:ascii="Arial" w:hAnsi="Arial" w:cs="Arial"/>
                <w:sz w:val="16"/>
                <w:szCs w:val="16"/>
              </w:rPr>
              <w:noBreakHyphen/>
            </w:r>
            <w:r w:rsidR="002F7596" w:rsidRPr="002F7596">
              <w:rPr>
                <w:rFonts w:ascii="Arial" w:hAnsi="Arial" w:cs="Arial"/>
                <w:sz w:val="16"/>
                <w:szCs w:val="16"/>
              </w:rPr>
              <w:t xml:space="preserve"> </w:t>
            </w:r>
          </w:p>
        </w:tc>
        <w:tc>
          <w:tcPr>
            <w:tcW w:w="579" w:type="pct"/>
            <w:tcBorders>
              <w:top w:val="nil"/>
              <w:left w:val="nil"/>
              <w:bottom w:val="nil"/>
              <w:right w:val="nil"/>
            </w:tcBorders>
            <w:shd w:val="clear" w:color="000000" w:fill="FFFFFF"/>
            <w:noWrap/>
            <w:vAlign w:val="center"/>
            <w:hideMark/>
          </w:tcPr>
          <w:p w14:paraId="727D12A1" w14:textId="2DA3B5AE" w:rsidR="002F7596" w:rsidRPr="002F7596" w:rsidRDefault="00B33758" w:rsidP="002F7596">
            <w:pPr>
              <w:spacing w:after="0" w:line="240" w:lineRule="auto"/>
              <w:jc w:val="right"/>
              <w:rPr>
                <w:rFonts w:ascii="Arial" w:hAnsi="Arial" w:cs="Arial"/>
                <w:sz w:val="16"/>
                <w:szCs w:val="16"/>
              </w:rPr>
            </w:pPr>
            <w:r>
              <w:rPr>
                <w:rFonts w:ascii="Arial" w:hAnsi="Arial" w:cs="Arial"/>
                <w:sz w:val="16"/>
                <w:szCs w:val="16"/>
              </w:rPr>
              <w:noBreakHyphen/>
            </w:r>
            <w:r w:rsidR="002F7596" w:rsidRPr="002F7596">
              <w:rPr>
                <w:rFonts w:ascii="Arial" w:hAnsi="Arial" w:cs="Arial"/>
                <w:sz w:val="16"/>
                <w:szCs w:val="16"/>
              </w:rPr>
              <w:t xml:space="preserve"> </w:t>
            </w:r>
          </w:p>
        </w:tc>
        <w:tc>
          <w:tcPr>
            <w:tcW w:w="579" w:type="pct"/>
            <w:tcBorders>
              <w:top w:val="nil"/>
              <w:left w:val="nil"/>
              <w:bottom w:val="nil"/>
              <w:right w:val="nil"/>
            </w:tcBorders>
            <w:shd w:val="clear" w:color="000000" w:fill="FFFFFF"/>
            <w:noWrap/>
            <w:vAlign w:val="center"/>
            <w:hideMark/>
          </w:tcPr>
          <w:p w14:paraId="4340A572" w14:textId="7D2BF326" w:rsidR="002F7596" w:rsidRPr="002F7596" w:rsidRDefault="00B33758" w:rsidP="002F7596">
            <w:pPr>
              <w:spacing w:after="0" w:line="240" w:lineRule="auto"/>
              <w:jc w:val="right"/>
              <w:rPr>
                <w:rFonts w:ascii="Arial" w:hAnsi="Arial" w:cs="Arial"/>
                <w:sz w:val="16"/>
                <w:szCs w:val="16"/>
              </w:rPr>
            </w:pPr>
            <w:r>
              <w:rPr>
                <w:rFonts w:ascii="Arial" w:hAnsi="Arial" w:cs="Arial"/>
                <w:sz w:val="16"/>
                <w:szCs w:val="16"/>
              </w:rPr>
              <w:noBreakHyphen/>
            </w:r>
            <w:r w:rsidR="002F7596" w:rsidRPr="002F7596">
              <w:rPr>
                <w:rFonts w:ascii="Arial" w:hAnsi="Arial" w:cs="Arial"/>
                <w:sz w:val="16"/>
                <w:szCs w:val="16"/>
              </w:rPr>
              <w:t xml:space="preserve"> </w:t>
            </w:r>
          </w:p>
        </w:tc>
      </w:tr>
      <w:tr w:rsidR="002F7596" w:rsidRPr="002F7596" w14:paraId="31ED4CD1" w14:textId="77777777" w:rsidTr="002F7596">
        <w:trPr>
          <w:trHeight w:hRule="exact" w:val="240"/>
        </w:trPr>
        <w:tc>
          <w:tcPr>
            <w:tcW w:w="2105" w:type="pct"/>
            <w:tcBorders>
              <w:top w:val="nil"/>
              <w:left w:val="nil"/>
              <w:bottom w:val="nil"/>
              <w:right w:val="nil"/>
            </w:tcBorders>
            <w:shd w:val="clear" w:color="auto" w:fill="auto"/>
            <w:noWrap/>
            <w:vAlign w:val="center"/>
            <w:hideMark/>
          </w:tcPr>
          <w:p w14:paraId="09702A60" w14:textId="77777777" w:rsidR="002F7596" w:rsidRPr="002F7596" w:rsidRDefault="002F7596" w:rsidP="002F7596">
            <w:pPr>
              <w:spacing w:after="0" w:line="240" w:lineRule="auto"/>
              <w:jc w:val="left"/>
              <w:rPr>
                <w:rFonts w:ascii="Arial" w:hAnsi="Arial" w:cs="Arial"/>
                <w:b/>
                <w:bCs/>
                <w:sz w:val="16"/>
                <w:szCs w:val="16"/>
              </w:rPr>
            </w:pPr>
            <w:r w:rsidRPr="002F7596">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center"/>
            <w:hideMark/>
          </w:tcPr>
          <w:p w14:paraId="2F1654C1" w14:textId="77777777" w:rsidR="002F7596" w:rsidRPr="002F7596" w:rsidRDefault="002F7596" w:rsidP="002F7596">
            <w:pPr>
              <w:spacing w:after="0" w:line="240" w:lineRule="auto"/>
              <w:jc w:val="right"/>
              <w:rPr>
                <w:rFonts w:ascii="Arial" w:hAnsi="Arial" w:cs="Arial"/>
                <w:b/>
                <w:bCs/>
                <w:sz w:val="16"/>
                <w:szCs w:val="16"/>
              </w:rPr>
            </w:pPr>
            <w:r w:rsidRPr="002F7596">
              <w:rPr>
                <w:rFonts w:ascii="Arial" w:hAnsi="Arial" w:cs="Arial"/>
                <w:b/>
                <w:bCs/>
                <w:sz w:val="16"/>
                <w:szCs w:val="16"/>
              </w:rPr>
              <w:t xml:space="preserve">165,000 </w:t>
            </w:r>
          </w:p>
        </w:tc>
        <w:tc>
          <w:tcPr>
            <w:tcW w:w="579" w:type="pct"/>
            <w:tcBorders>
              <w:top w:val="single" w:sz="4" w:space="0" w:color="000000"/>
              <w:left w:val="nil"/>
              <w:bottom w:val="single" w:sz="4" w:space="0" w:color="000000"/>
              <w:right w:val="nil"/>
            </w:tcBorders>
            <w:shd w:val="clear" w:color="000000" w:fill="E6E6E6"/>
            <w:noWrap/>
            <w:vAlign w:val="center"/>
            <w:hideMark/>
          </w:tcPr>
          <w:p w14:paraId="06BE4C94" w14:textId="77777777" w:rsidR="002F7596" w:rsidRPr="00E52BE2" w:rsidRDefault="002F7596" w:rsidP="002F7596">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 xml:space="preserve">165,000 </w:t>
            </w:r>
          </w:p>
        </w:tc>
        <w:tc>
          <w:tcPr>
            <w:tcW w:w="579" w:type="pct"/>
            <w:tcBorders>
              <w:top w:val="single" w:sz="4" w:space="0" w:color="auto"/>
              <w:left w:val="nil"/>
              <w:bottom w:val="single" w:sz="4" w:space="0" w:color="auto"/>
              <w:right w:val="nil"/>
            </w:tcBorders>
            <w:shd w:val="clear" w:color="auto" w:fill="auto"/>
            <w:noWrap/>
            <w:vAlign w:val="center"/>
            <w:hideMark/>
          </w:tcPr>
          <w:p w14:paraId="4D8C82C9" w14:textId="3E0A1507" w:rsidR="002F7596" w:rsidRPr="002F7596" w:rsidRDefault="00B33758" w:rsidP="002F7596">
            <w:pPr>
              <w:spacing w:after="0" w:line="240" w:lineRule="auto"/>
              <w:jc w:val="right"/>
              <w:rPr>
                <w:rFonts w:ascii="Arial" w:hAnsi="Arial" w:cs="Arial"/>
                <w:b/>
                <w:bCs/>
                <w:sz w:val="16"/>
                <w:szCs w:val="16"/>
              </w:rPr>
            </w:pPr>
            <w:r>
              <w:rPr>
                <w:rFonts w:ascii="Arial" w:hAnsi="Arial" w:cs="Arial"/>
                <w:b/>
                <w:bCs/>
                <w:sz w:val="16"/>
                <w:szCs w:val="16"/>
              </w:rPr>
              <w:noBreakHyphen/>
            </w:r>
            <w:r w:rsidR="002F7596" w:rsidRPr="002F7596">
              <w:rPr>
                <w:rFonts w:ascii="Arial" w:hAnsi="Arial" w:cs="Arial"/>
                <w:b/>
                <w:bCs/>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center"/>
            <w:hideMark/>
          </w:tcPr>
          <w:p w14:paraId="22823BA1" w14:textId="4E9B5019" w:rsidR="002F7596" w:rsidRPr="002F7596" w:rsidRDefault="00B33758" w:rsidP="002F7596">
            <w:pPr>
              <w:spacing w:after="0" w:line="240" w:lineRule="auto"/>
              <w:jc w:val="right"/>
              <w:rPr>
                <w:rFonts w:ascii="Arial" w:hAnsi="Arial" w:cs="Arial"/>
                <w:b/>
                <w:bCs/>
                <w:sz w:val="16"/>
                <w:szCs w:val="16"/>
              </w:rPr>
            </w:pPr>
            <w:r>
              <w:rPr>
                <w:rFonts w:ascii="Arial" w:hAnsi="Arial" w:cs="Arial"/>
                <w:b/>
                <w:bCs/>
                <w:sz w:val="16"/>
                <w:szCs w:val="16"/>
              </w:rPr>
              <w:noBreakHyphen/>
            </w:r>
            <w:r w:rsidR="002F7596" w:rsidRPr="002F7596">
              <w:rPr>
                <w:rFonts w:ascii="Arial" w:hAnsi="Arial" w:cs="Arial"/>
                <w:b/>
                <w:bCs/>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center"/>
            <w:hideMark/>
          </w:tcPr>
          <w:p w14:paraId="79364476" w14:textId="7750A858" w:rsidR="002F7596" w:rsidRPr="002F7596" w:rsidRDefault="00B33758" w:rsidP="002F7596">
            <w:pPr>
              <w:spacing w:after="0" w:line="240" w:lineRule="auto"/>
              <w:jc w:val="right"/>
              <w:rPr>
                <w:rFonts w:ascii="Arial" w:hAnsi="Arial" w:cs="Arial"/>
                <w:b/>
                <w:bCs/>
                <w:sz w:val="16"/>
                <w:szCs w:val="16"/>
              </w:rPr>
            </w:pPr>
            <w:r>
              <w:rPr>
                <w:rFonts w:ascii="Arial" w:hAnsi="Arial" w:cs="Arial"/>
                <w:b/>
                <w:bCs/>
                <w:sz w:val="16"/>
                <w:szCs w:val="16"/>
              </w:rPr>
              <w:noBreakHyphen/>
            </w:r>
            <w:r w:rsidR="002F7596" w:rsidRPr="002F7596">
              <w:rPr>
                <w:rFonts w:ascii="Arial" w:hAnsi="Arial" w:cs="Arial"/>
                <w:b/>
                <w:bCs/>
                <w:sz w:val="16"/>
                <w:szCs w:val="16"/>
              </w:rPr>
              <w:t xml:space="preserve"> </w:t>
            </w:r>
          </w:p>
        </w:tc>
      </w:tr>
      <w:tr w:rsidR="002F7596" w:rsidRPr="002F7596" w14:paraId="0D376CC5" w14:textId="77777777" w:rsidTr="002F7596">
        <w:trPr>
          <w:trHeight w:hRule="exact" w:val="240"/>
        </w:trPr>
        <w:tc>
          <w:tcPr>
            <w:tcW w:w="2105" w:type="pct"/>
            <w:tcBorders>
              <w:top w:val="nil"/>
              <w:left w:val="nil"/>
              <w:bottom w:val="nil"/>
              <w:right w:val="nil"/>
            </w:tcBorders>
            <w:shd w:val="clear" w:color="auto" w:fill="auto"/>
            <w:noWrap/>
            <w:vAlign w:val="center"/>
            <w:hideMark/>
          </w:tcPr>
          <w:p w14:paraId="77A8C1C4" w14:textId="77777777" w:rsidR="002F7596" w:rsidRPr="002F7596" w:rsidRDefault="002F7596" w:rsidP="002F7596">
            <w:pPr>
              <w:spacing w:after="0" w:line="240" w:lineRule="auto"/>
              <w:jc w:val="left"/>
              <w:rPr>
                <w:rFonts w:ascii="Arial" w:hAnsi="Arial" w:cs="Arial"/>
                <w:b/>
                <w:bCs/>
                <w:i/>
                <w:iCs/>
                <w:sz w:val="16"/>
                <w:szCs w:val="16"/>
              </w:rPr>
            </w:pPr>
            <w:r w:rsidRPr="002F7596">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center"/>
            <w:hideMark/>
          </w:tcPr>
          <w:p w14:paraId="201E8639" w14:textId="77777777" w:rsidR="002F7596" w:rsidRPr="002F7596" w:rsidRDefault="002F7596" w:rsidP="002F7596">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center"/>
            <w:hideMark/>
          </w:tcPr>
          <w:p w14:paraId="4E1002A9" w14:textId="77777777" w:rsidR="002F7596" w:rsidRPr="002F7596" w:rsidRDefault="002F7596" w:rsidP="002F7596">
            <w:pPr>
              <w:spacing w:after="0" w:line="240" w:lineRule="auto"/>
              <w:jc w:val="right"/>
              <w:rPr>
                <w:rFonts w:ascii="Arial" w:hAnsi="Arial" w:cs="Arial"/>
                <w:color w:val="000000"/>
                <w:sz w:val="16"/>
                <w:szCs w:val="16"/>
              </w:rPr>
            </w:pPr>
            <w:r w:rsidRPr="002F759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742F1F2" w14:textId="77777777" w:rsidR="002F7596" w:rsidRPr="002F7596" w:rsidRDefault="002F7596" w:rsidP="002F7596">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E48C7FA" w14:textId="77777777" w:rsidR="002F7596" w:rsidRPr="002F7596" w:rsidRDefault="002F7596" w:rsidP="002F7596">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92C8D5A" w14:textId="77777777" w:rsidR="002F7596" w:rsidRPr="002F7596" w:rsidRDefault="002F7596" w:rsidP="002F7596">
            <w:pPr>
              <w:spacing w:after="0" w:line="240" w:lineRule="auto"/>
              <w:jc w:val="left"/>
              <w:rPr>
                <w:rFonts w:ascii="Times New Roman" w:hAnsi="Times New Roman"/>
              </w:rPr>
            </w:pPr>
          </w:p>
        </w:tc>
      </w:tr>
      <w:tr w:rsidR="002F7596" w:rsidRPr="002F7596" w14:paraId="3DE0CE53" w14:textId="77777777" w:rsidTr="002F7596">
        <w:trPr>
          <w:trHeight w:hRule="exact" w:val="450"/>
        </w:trPr>
        <w:tc>
          <w:tcPr>
            <w:tcW w:w="2105" w:type="pct"/>
            <w:tcBorders>
              <w:top w:val="nil"/>
              <w:left w:val="nil"/>
              <w:bottom w:val="nil"/>
              <w:right w:val="nil"/>
            </w:tcBorders>
            <w:shd w:val="clear" w:color="auto" w:fill="auto"/>
            <w:hideMark/>
          </w:tcPr>
          <w:p w14:paraId="22548873" w14:textId="77777777" w:rsidR="002F7596" w:rsidRPr="002F7596" w:rsidRDefault="002F7596" w:rsidP="002F7596">
            <w:pPr>
              <w:spacing w:after="0" w:line="240" w:lineRule="auto"/>
              <w:ind w:left="170"/>
              <w:jc w:val="left"/>
              <w:rPr>
                <w:rFonts w:ascii="Arial" w:hAnsi="Arial" w:cs="Arial"/>
                <w:i/>
                <w:iCs/>
                <w:sz w:val="16"/>
                <w:szCs w:val="16"/>
              </w:rPr>
            </w:pPr>
            <w:r w:rsidRPr="002F7596">
              <w:rPr>
                <w:rFonts w:ascii="Arial" w:hAnsi="Arial" w:cs="Arial"/>
                <w:i/>
                <w:iCs/>
                <w:sz w:val="16"/>
                <w:szCs w:val="16"/>
              </w:rPr>
              <w:t>Funding for National Housing Finance and Investment Corporation</w:t>
            </w:r>
          </w:p>
        </w:tc>
        <w:tc>
          <w:tcPr>
            <w:tcW w:w="579" w:type="pct"/>
            <w:tcBorders>
              <w:top w:val="nil"/>
              <w:left w:val="nil"/>
              <w:bottom w:val="nil"/>
              <w:right w:val="nil"/>
            </w:tcBorders>
            <w:shd w:val="clear" w:color="auto" w:fill="auto"/>
            <w:noWrap/>
            <w:vAlign w:val="center"/>
            <w:hideMark/>
          </w:tcPr>
          <w:p w14:paraId="2003772D" w14:textId="77777777" w:rsidR="002F7596" w:rsidRPr="002F7596" w:rsidRDefault="002F7596" w:rsidP="002F7596">
            <w:pPr>
              <w:spacing w:after="0" w:line="240" w:lineRule="auto"/>
              <w:jc w:val="right"/>
              <w:rPr>
                <w:rFonts w:ascii="Arial" w:hAnsi="Arial" w:cs="Arial"/>
                <w:i/>
                <w:iCs/>
                <w:sz w:val="16"/>
                <w:szCs w:val="16"/>
              </w:rPr>
            </w:pPr>
            <w:r w:rsidRPr="002F7596">
              <w:rPr>
                <w:rFonts w:ascii="Arial" w:hAnsi="Arial" w:cs="Arial"/>
                <w:i/>
                <w:iCs/>
                <w:sz w:val="16"/>
                <w:szCs w:val="16"/>
              </w:rPr>
              <w:t>(165,000)</w:t>
            </w:r>
          </w:p>
        </w:tc>
        <w:tc>
          <w:tcPr>
            <w:tcW w:w="579" w:type="pct"/>
            <w:tcBorders>
              <w:top w:val="nil"/>
              <w:left w:val="nil"/>
              <w:bottom w:val="nil"/>
              <w:right w:val="nil"/>
            </w:tcBorders>
            <w:shd w:val="clear" w:color="000000" w:fill="E6E6E6"/>
            <w:noWrap/>
            <w:vAlign w:val="center"/>
            <w:hideMark/>
          </w:tcPr>
          <w:p w14:paraId="3FFFB331" w14:textId="77777777" w:rsidR="002F7596" w:rsidRPr="002F7596" w:rsidRDefault="002F7596" w:rsidP="002F7596">
            <w:pPr>
              <w:spacing w:after="0" w:line="240" w:lineRule="auto"/>
              <w:jc w:val="right"/>
              <w:rPr>
                <w:rFonts w:ascii="Arial" w:hAnsi="Arial" w:cs="Arial"/>
                <w:color w:val="000000"/>
                <w:sz w:val="16"/>
                <w:szCs w:val="16"/>
              </w:rPr>
            </w:pPr>
            <w:r w:rsidRPr="002F7596">
              <w:rPr>
                <w:rFonts w:ascii="Arial" w:hAnsi="Arial" w:cs="Arial"/>
                <w:color w:val="000000"/>
                <w:sz w:val="16"/>
                <w:szCs w:val="16"/>
              </w:rPr>
              <w:t>(165,000)</w:t>
            </w:r>
          </w:p>
        </w:tc>
        <w:tc>
          <w:tcPr>
            <w:tcW w:w="579" w:type="pct"/>
            <w:tcBorders>
              <w:top w:val="nil"/>
              <w:left w:val="nil"/>
              <w:bottom w:val="nil"/>
              <w:right w:val="nil"/>
            </w:tcBorders>
            <w:shd w:val="clear" w:color="auto" w:fill="auto"/>
            <w:noWrap/>
            <w:vAlign w:val="center"/>
            <w:hideMark/>
          </w:tcPr>
          <w:p w14:paraId="4F8A4155" w14:textId="696BDDCB" w:rsidR="002F7596" w:rsidRPr="002F7596" w:rsidRDefault="00B33758" w:rsidP="002F7596">
            <w:pPr>
              <w:spacing w:after="0" w:line="240" w:lineRule="auto"/>
              <w:jc w:val="right"/>
              <w:rPr>
                <w:rFonts w:ascii="Arial" w:hAnsi="Arial" w:cs="Arial"/>
                <w:i/>
                <w:iCs/>
                <w:sz w:val="16"/>
                <w:szCs w:val="16"/>
              </w:rPr>
            </w:pPr>
            <w:r>
              <w:rPr>
                <w:rFonts w:ascii="Arial" w:hAnsi="Arial" w:cs="Arial"/>
                <w:i/>
                <w:iCs/>
                <w:sz w:val="16"/>
                <w:szCs w:val="16"/>
              </w:rPr>
              <w:noBreakHyphen/>
            </w:r>
            <w:r w:rsidR="002F7596" w:rsidRPr="002F7596">
              <w:rPr>
                <w:rFonts w:ascii="Arial" w:hAnsi="Arial" w:cs="Arial"/>
                <w:i/>
                <w:iCs/>
                <w:sz w:val="16"/>
                <w:szCs w:val="16"/>
              </w:rPr>
              <w:t xml:space="preserve"> </w:t>
            </w:r>
          </w:p>
        </w:tc>
        <w:tc>
          <w:tcPr>
            <w:tcW w:w="579" w:type="pct"/>
            <w:tcBorders>
              <w:top w:val="nil"/>
              <w:left w:val="nil"/>
              <w:bottom w:val="nil"/>
              <w:right w:val="nil"/>
            </w:tcBorders>
            <w:shd w:val="clear" w:color="auto" w:fill="auto"/>
            <w:noWrap/>
            <w:vAlign w:val="center"/>
            <w:hideMark/>
          </w:tcPr>
          <w:p w14:paraId="05F92E41" w14:textId="36D51E66" w:rsidR="002F7596" w:rsidRPr="002F7596" w:rsidRDefault="00B33758" w:rsidP="002F7596">
            <w:pPr>
              <w:spacing w:after="0" w:line="240" w:lineRule="auto"/>
              <w:jc w:val="right"/>
              <w:rPr>
                <w:rFonts w:ascii="Arial" w:hAnsi="Arial" w:cs="Arial"/>
                <w:i/>
                <w:iCs/>
                <w:sz w:val="16"/>
                <w:szCs w:val="16"/>
              </w:rPr>
            </w:pPr>
            <w:r>
              <w:rPr>
                <w:rFonts w:ascii="Arial" w:hAnsi="Arial" w:cs="Arial"/>
                <w:i/>
                <w:iCs/>
                <w:sz w:val="16"/>
                <w:szCs w:val="16"/>
              </w:rPr>
              <w:noBreakHyphen/>
            </w:r>
            <w:r w:rsidR="002F7596" w:rsidRPr="002F7596">
              <w:rPr>
                <w:rFonts w:ascii="Arial" w:hAnsi="Arial" w:cs="Arial"/>
                <w:i/>
                <w:iCs/>
                <w:sz w:val="16"/>
                <w:szCs w:val="16"/>
              </w:rPr>
              <w:t xml:space="preserve"> </w:t>
            </w:r>
          </w:p>
        </w:tc>
        <w:tc>
          <w:tcPr>
            <w:tcW w:w="579" w:type="pct"/>
            <w:tcBorders>
              <w:top w:val="nil"/>
              <w:left w:val="nil"/>
              <w:bottom w:val="nil"/>
              <w:right w:val="nil"/>
            </w:tcBorders>
            <w:shd w:val="clear" w:color="auto" w:fill="auto"/>
            <w:noWrap/>
            <w:vAlign w:val="center"/>
            <w:hideMark/>
          </w:tcPr>
          <w:p w14:paraId="437014F5" w14:textId="66335EC7" w:rsidR="002F7596" w:rsidRPr="002F7596" w:rsidRDefault="00B33758" w:rsidP="002F7596">
            <w:pPr>
              <w:spacing w:after="0" w:line="240" w:lineRule="auto"/>
              <w:jc w:val="right"/>
              <w:rPr>
                <w:rFonts w:ascii="Arial" w:hAnsi="Arial" w:cs="Arial"/>
                <w:i/>
                <w:iCs/>
                <w:sz w:val="16"/>
                <w:szCs w:val="16"/>
              </w:rPr>
            </w:pPr>
            <w:r>
              <w:rPr>
                <w:rFonts w:ascii="Arial" w:hAnsi="Arial" w:cs="Arial"/>
                <w:i/>
                <w:iCs/>
                <w:sz w:val="16"/>
                <w:szCs w:val="16"/>
              </w:rPr>
              <w:noBreakHyphen/>
            </w:r>
            <w:r w:rsidR="002F7596" w:rsidRPr="002F7596">
              <w:rPr>
                <w:rFonts w:ascii="Arial" w:hAnsi="Arial" w:cs="Arial"/>
                <w:i/>
                <w:iCs/>
                <w:sz w:val="16"/>
                <w:szCs w:val="16"/>
              </w:rPr>
              <w:t xml:space="preserve"> </w:t>
            </w:r>
          </w:p>
        </w:tc>
      </w:tr>
      <w:tr w:rsidR="002F7596" w:rsidRPr="002F7596" w14:paraId="614A85C1" w14:textId="77777777" w:rsidTr="002F7596">
        <w:trPr>
          <w:trHeight w:hRule="exact" w:val="240"/>
        </w:trPr>
        <w:tc>
          <w:tcPr>
            <w:tcW w:w="2105" w:type="pct"/>
            <w:tcBorders>
              <w:top w:val="nil"/>
              <w:left w:val="nil"/>
              <w:bottom w:val="single" w:sz="4" w:space="0" w:color="auto"/>
              <w:right w:val="nil"/>
            </w:tcBorders>
            <w:shd w:val="clear" w:color="auto" w:fill="auto"/>
            <w:vAlign w:val="center"/>
            <w:hideMark/>
          </w:tcPr>
          <w:p w14:paraId="74581F64" w14:textId="77777777" w:rsidR="002F7596" w:rsidRPr="002F7596" w:rsidRDefault="002F7596" w:rsidP="002F7596">
            <w:pPr>
              <w:spacing w:after="0" w:line="240" w:lineRule="auto"/>
              <w:jc w:val="left"/>
              <w:rPr>
                <w:rFonts w:ascii="Arial" w:hAnsi="Arial" w:cs="Arial"/>
                <w:b/>
                <w:bCs/>
                <w:i/>
                <w:iCs/>
                <w:sz w:val="16"/>
                <w:szCs w:val="16"/>
              </w:rPr>
            </w:pPr>
            <w:r w:rsidRPr="002F7596">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center"/>
            <w:hideMark/>
          </w:tcPr>
          <w:p w14:paraId="73B925FA" w14:textId="77777777" w:rsidR="002F7596" w:rsidRPr="002F7596" w:rsidRDefault="002F7596" w:rsidP="002F7596">
            <w:pPr>
              <w:spacing w:after="0" w:line="240" w:lineRule="auto"/>
              <w:jc w:val="right"/>
              <w:rPr>
                <w:rFonts w:ascii="Arial" w:hAnsi="Arial" w:cs="Arial"/>
                <w:b/>
                <w:bCs/>
                <w:i/>
                <w:iCs/>
                <w:sz w:val="16"/>
                <w:szCs w:val="16"/>
              </w:rPr>
            </w:pPr>
            <w:r w:rsidRPr="002F7596">
              <w:rPr>
                <w:rFonts w:ascii="Arial" w:hAnsi="Arial" w:cs="Arial"/>
                <w:b/>
                <w:bCs/>
                <w:i/>
                <w:iCs/>
                <w:sz w:val="16"/>
                <w:szCs w:val="16"/>
              </w:rPr>
              <w:t>(165,000)</w:t>
            </w:r>
          </w:p>
        </w:tc>
        <w:tc>
          <w:tcPr>
            <w:tcW w:w="579" w:type="pct"/>
            <w:tcBorders>
              <w:top w:val="single" w:sz="4" w:space="0" w:color="auto"/>
              <w:left w:val="nil"/>
              <w:bottom w:val="single" w:sz="4" w:space="0" w:color="auto"/>
              <w:right w:val="nil"/>
            </w:tcBorders>
            <w:shd w:val="clear" w:color="000000" w:fill="E6E6E6"/>
            <w:noWrap/>
            <w:vAlign w:val="center"/>
            <w:hideMark/>
          </w:tcPr>
          <w:p w14:paraId="20F2E255" w14:textId="77777777" w:rsidR="002F7596" w:rsidRPr="00E52BE2" w:rsidRDefault="002F7596" w:rsidP="002F7596">
            <w:pPr>
              <w:spacing w:after="0" w:line="240" w:lineRule="auto"/>
              <w:jc w:val="right"/>
              <w:rPr>
                <w:rFonts w:ascii="Arial" w:hAnsi="Arial" w:cs="Arial"/>
                <w:b/>
                <w:bCs/>
                <w:color w:val="000000"/>
                <w:sz w:val="16"/>
                <w:szCs w:val="16"/>
              </w:rPr>
            </w:pPr>
            <w:r w:rsidRPr="00E52BE2">
              <w:rPr>
                <w:rFonts w:ascii="Arial" w:hAnsi="Arial" w:cs="Arial"/>
                <w:b/>
                <w:bCs/>
                <w:color w:val="000000"/>
                <w:sz w:val="16"/>
                <w:szCs w:val="16"/>
              </w:rPr>
              <w:t>(165,000)</w:t>
            </w:r>
          </w:p>
        </w:tc>
        <w:tc>
          <w:tcPr>
            <w:tcW w:w="579" w:type="pct"/>
            <w:tcBorders>
              <w:top w:val="single" w:sz="4" w:space="0" w:color="auto"/>
              <w:left w:val="nil"/>
              <w:bottom w:val="single" w:sz="4" w:space="0" w:color="auto"/>
              <w:right w:val="nil"/>
            </w:tcBorders>
            <w:shd w:val="clear" w:color="auto" w:fill="auto"/>
            <w:noWrap/>
            <w:vAlign w:val="center"/>
            <w:hideMark/>
          </w:tcPr>
          <w:p w14:paraId="20E189C2" w14:textId="1EE310D9" w:rsidR="002F7596" w:rsidRPr="002F7596" w:rsidRDefault="00B33758" w:rsidP="002F7596">
            <w:pPr>
              <w:spacing w:after="0" w:line="240" w:lineRule="auto"/>
              <w:jc w:val="right"/>
              <w:rPr>
                <w:rFonts w:ascii="Arial" w:hAnsi="Arial" w:cs="Arial"/>
                <w:b/>
                <w:bCs/>
                <w:i/>
                <w:iCs/>
                <w:sz w:val="16"/>
                <w:szCs w:val="16"/>
              </w:rPr>
            </w:pPr>
            <w:r>
              <w:rPr>
                <w:rFonts w:ascii="Arial" w:hAnsi="Arial" w:cs="Arial"/>
                <w:b/>
                <w:bCs/>
                <w:i/>
                <w:iCs/>
                <w:sz w:val="16"/>
                <w:szCs w:val="16"/>
              </w:rPr>
              <w:noBreakHyphen/>
            </w:r>
            <w:r w:rsidR="002F7596" w:rsidRPr="002F7596">
              <w:rPr>
                <w:rFonts w:ascii="Arial" w:hAnsi="Arial" w:cs="Arial"/>
                <w:b/>
                <w:bCs/>
                <w:i/>
                <w:iCs/>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center"/>
            <w:hideMark/>
          </w:tcPr>
          <w:p w14:paraId="076E97C5" w14:textId="085A1D6C" w:rsidR="002F7596" w:rsidRPr="002F7596" w:rsidRDefault="00B33758" w:rsidP="002F7596">
            <w:pPr>
              <w:spacing w:after="0" w:line="240" w:lineRule="auto"/>
              <w:jc w:val="right"/>
              <w:rPr>
                <w:rFonts w:ascii="Arial" w:hAnsi="Arial" w:cs="Arial"/>
                <w:b/>
                <w:bCs/>
                <w:i/>
                <w:iCs/>
                <w:sz w:val="16"/>
                <w:szCs w:val="16"/>
              </w:rPr>
            </w:pPr>
            <w:r>
              <w:rPr>
                <w:rFonts w:ascii="Arial" w:hAnsi="Arial" w:cs="Arial"/>
                <w:b/>
                <w:bCs/>
                <w:i/>
                <w:iCs/>
                <w:sz w:val="16"/>
                <w:szCs w:val="16"/>
              </w:rPr>
              <w:noBreakHyphen/>
            </w:r>
            <w:r w:rsidR="002F7596" w:rsidRPr="002F7596">
              <w:rPr>
                <w:rFonts w:ascii="Arial" w:hAnsi="Arial" w:cs="Arial"/>
                <w:b/>
                <w:bCs/>
                <w:i/>
                <w:iCs/>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center"/>
            <w:hideMark/>
          </w:tcPr>
          <w:p w14:paraId="38C10E33" w14:textId="756D8D08" w:rsidR="002F7596" w:rsidRPr="002F7596" w:rsidRDefault="00B33758" w:rsidP="002F7596">
            <w:pPr>
              <w:spacing w:after="0" w:line="240" w:lineRule="auto"/>
              <w:jc w:val="right"/>
              <w:rPr>
                <w:rFonts w:ascii="Arial" w:hAnsi="Arial" w:cs="Arial"/>
                <w:b/>
                <w:bCs/>
                <w:i/>
                <w:iCs/>
                <w:sz w:val="16"/>
                <w:szCs w:val="16"/>
              </w:rPr>
            </w:pPr>
            <w:r>
              <w:rPr>
                <w:rFonts w:ascii="Arial" w:hAnsi="Arial" w:cs="Arial"/>
                <w:b/>
                <w:bCs/>
                <w:i/>
                <w:iCs/>
                <w:sz w:val="16"/>
                <w:szCs w:val="16"/>
              </w:rPr>
              <w:noBreakHyphen/>
            </w:r>
            <w:r w:rsidR="002F7596" w:rsidRPr="002F7596">
              <w:rPr>
                <w:rFonts w:ascii="Arial" w:hAnsi="Arial" w:cs="Arial"/>
                <w:b/>
                <w:bCs/>
                <w:i/>
                <w:iCs/>
                <w:sz w:val="16"/>
                <w:szCs w:val="16"/>
              </w:rPr>
              <w:t xml:space="preserve"> </w:t>
            </w:r>
          </w:p>
        </w:tc>
      </w:tr>
    </w:tbl>
    <w:p w14:paraId="0A02F242" w14:textId="3FCBA152" w:rsidR="00E443D9" w:rsidRDefault="00E443D9" w:rsidP="00A26FF9">
      <w:pPr>
        <w:pStyle w:val="ChartandTableFootnote"/>
      </w:pPr>
      <w:r w:rsidRPr="00B7521F">
        <w:t>Prepared on Australian Accounting Standards basis</w:t>
      </w:r>
    </w:p>
    <w:p w14:paraId="38C55E15" w14:textId="7F6AB110" w:rsidR="000C3B86" w:rsidRPr="00375D02" w:rsidRDefault="000C3B86" w:rsidP="00FD5A3B">
      <w:pPr>
        <w:pStyle w:val="TableHeading"/>
        <w:rPr>
          <w:sz w:val="2"/>
          <w:szCs w:val="2"/>
        </w:rPr>
      </w:pPr>
    </w:p>
    <w:sectPr w:rsidR="000C3B86" w:rsidRPr="00375D02" w:rsidSect="0018207F">
      <w:headerReference w:type="even" r:id="rId36"/>
      <w:headerReference w:type="default" r:id="rId37"/>
      <w:footerReference w:type="even" r:id="rId38"/>
      <w:footerReference w:type="default" r:id="rId39"/>
      <w:headerReference w:type="first" r:id="rId40"/>
      <w:footerReference w:type="first" r:id="rId41"/>
      <w:pgSz w:w="16840" w:h="11907" w:code="9"/>
      <w:pgMar w:top="2098" w:right="2835" w:bottom="2098" w:left="2466" w:header="1531"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9C4" w14:textId="77777777" w:rsidR="00502891" w:rsidRDefault="00502891" w:rsidP="00C07DEC">
      <w:r>
        <w:separator/>
      </w:r>
    </w:p>
  </w:endnote>
  <w:endnote w:type="continuationSeparator" w:id="0">
    <w:p w14:paraId="2B79A8AF" w14:textId="77777777" w:rsidR="00502891" w:rsidRDefault="00502891" w:rsidP="00C07DEC">
      <w:r>
        <w:continuationSeparator/>
      </w:r>
    </w:p>
  </w:endnote>
  <w:endnote w:type="continuationNotice" w:id="1">
    <w:p w14:paraId="0C74B3CF" w14:textId="77777777" w:rsidR="00502891" w:rsidRDefault="00502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C498" w14:textId="3CF4AA22" w:rsidR="00C65397" w:rsidRPr="00650A13" w:rsidRDefault="00C65397" w:rsidP="00650A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E55B" w14:textId="77777777" w:rsidR="00650A13" w:rsidRPr="00CD5034" w:rsidRDefault="00650A13" w:rsidP="00CD5034">
    <w:pPr>
      <w:pStyle w:val="Footer"/>
      <w:rPr>
        <w:rStyle w:val="PageNumber"/>
        <w:rFonts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C536" w14:textId="77777777" w:rsidR="00212221" w:rsidRDefault="0021222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A6D9" w14:textId="0CC18E1F" w:rsidR="00650A13" w:rsidRPr="00782467" w:rsidRDefault="00650A13" w:rsidP="00650A13">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244</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9E3180" w:rsidRPr="009E3180">
      <w:rPr>
        <w:rStyle w:val="PageNumber"/>
        <w:rFonts w:cs="Times New Roman"/>
        <w:noProof/>
        <w:sz w:val="18"/>
        <w:lang w:val="en-US"/>
      </w:rPr>
      <w:t>Department of the Treasury</w:t>
    </w:r>
    <w:r>
      <w:rPr>
        <w:rStyle w:val="PageNumber"/>
        <w:rFonts w:cs="Times New Roman"/>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9DC7" w14:textId="31617C88" w:rsidR="00524281" w:rsidRPr="00782467" w:rsidRDefault="00524281" w:rsidP="00524281">
    <w:pPr>
      <w:pStyle w:val="FooterOdd"/>
      <w:rPr>
        <w:rStyle w:val="PageNumber"/>
        <w:rFonts w:cs="Times New Roman"/>
        <w:sz w:val="18"/>
      </w:rPr>
    </w:pPr>
    <w:r>
      <w:rPr>
        <w:lang w:val="en-AU"/>
      </w:rPr>
      <w:tab/>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9E3180" w:rsidRPr="009E3180">
      <w:rPr>
        <w:rStyle w:val="PageNumber"/>
        <w:rFonts w:cs="Times New Roman"/>
        <w:noProof/>
        <w:sz w:val="18"/>
        <w:lang w:val="en-US"/>
      </w:rPr>
      <w:t>Department of the Treasury</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245</w:t>
    </w:r>
    <w:r w:rsidRPr="00B628E8">
      <w:rPr>
        <w:rStyle w:val="PageNumber"/>
        <w:rFonts w:cs="Times New Roman"/>
        <w:b/>
        <w:bCs/>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83B9" w14:textId="283E6CDF" w:rsidR="00650A13" w:rsidRPr="00782467" w:rsidRDefault="00650A13" w:rsidP="00650A13">
    <w:pPr>
      <w:pStyle w:val="FooterOdd"/>
      <w:rPr>
        <w:rStyle w:val="PageNumber"/>
        <w:rFonts w:cs="Times New Roman"/>
        <w:sz w:val="18"/>
      </w:rPr>
    </w:pPr>
    <w:r>
      <w:rPr>
        <w:lang w:val="en-AU"/>
      </w:rPr>
      <w:tab/>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9E3180" w:rsidRPr="009E3180">
      <w:rPr>
        <w:rStyle w:val="PageNumber"/>
        <w:rFonts w:cs="Times New Roman"/>
        <w:noProof/>
        <w:sz w:val="18"/>
        <w:lang w:val="en-US"/>
      </w:rPr>
      <w:t>Department of the Treasury</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245</w:t>
    </w:r>
    <w:r w:rsidRPr="00B628E8">
      <w:rPr>
        <w:rStyle w:val="PageNumber"/>
        <w:rFonts w:cs="Times New Roman"/>
        <w:b/>
        <w:bCs/>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BF95" w14:textId="10C0D712" w:rsidR="00874FC9" w:rsidRPr="00874FC9" w:rsidRDefault="00874FC9" w:rsidP="00874FC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AB92" w14:textId="22EE8273" w:rsidR="00E443D9" w:rsidRPr="00874FC9" w:rsidRDefault="00E443D9" w:rsidP="00874FC9">
    <w:pPr>
      <w:pStyle w:val="Footer"/>
      <w:rPr>
        <w:rStyle w:val="PageNumber"/>
        <w:rFonts w:cs="Times New Roma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EBD6" w14:textId="4D97363C" w:rsidR="00C65397" w:rsidRPr="00874FC9" w:rsidRDefault="00C65397" w:rsidP="00874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82DB" w14:textId="170C49B1" w:rsidR="00650A13" w:rsidRPr="007113DE" w:rsidRDefault="00650A13" w:rsidP="00650A13">
    <w:pPr>
      <w:pStyle w:val="FooterOdd"/>
      <w:jc w:val="both"/>
      <w:rPr>
        <w:rStyle w:val="PageNumber"/>
        <w:rFonts w:cs="Times New Roman"/>
        <w:b/>
        <w:bCs/>
        <w:sz w:val="18"/>
        <w:lang w:val="en-AU"/>
      </w:rPr>
    </w:pPr>
    <w:r w:rsidRPr="00B628E8">
      <w:rPr>
        <w:rStyle w:val="PageNumber"/>
        <w:rFonts w:cs="Times New Roman"/>
        <w:b/>
        <w:bCs/>
        <w:sz w:val="18"/>
      </w:rPr>
      <w:t xml:space="preserve">Page </w:t>
    </w:r>
    <w:r w:rsidR="00F55AEE" w:rsidRPr="00F55AEE">
      <w:rPr>
        <w:rStyle w:val="PageNumber"/>
        <w:rFonts w:cs="Times New Roman"/>
        <w:b/>
        <w:bCs/>
        <w:sz w:val="18"/>
      </w:rPr>
      <w:fldChar w:fldCharType="begin"/>
    </w:r>
    <w:r w:rsidR="00F55AEE" w:rsidRPr="00F55AEE">
      <w:rPr>
        <w:rStyle w:val="PageNumber"/>
        <w:rFonts w:cs="Times New Roman"/>
        <w:b/>
        <w:bCs/>
        <w:sz w:val="18"/>
      </w:rPr>
      <w:instrText xml:space="preserve"> PAGE   \* MERGEFORMAT </w:instrText>
    </w:r>
    <w:r w:rsidR="00F55AEE" w:rsidRPr="00F55AEE">
      <w:rPr>
        <w:rStyle w:val="PageNumber"/>
        <w:rFonts w:cs="Times New Roman"/>
        <w:b/>
        <w:bCs/>
        <w:sz w:val="18"/>
      </w:rPr>
      <w:fldChar w:fldCharType="separate"/>
    </w:r>
    <w:r w:rsidR="00F55AEE" w:rsidRPr="00F55AEE">
      <w:rPr>
        <w:rStyle w:val="PageNumber"/>
        <w:rFonts w:cs="Times New Roman"/>
        <w:b/>
        <w:bCs/>
        <w:noProof/>
        <w:sz w:val="18"/>
      </w:rPr>
      <w:t>1</w:t>
    </w:r>
    <w:r w:rsidR="00F55AEE" w:rsidRPr="00F55AEE">
      <w:rPr>
        <w:rStyle w:val="PageNumber"/>
        <w:rFonts w:cs="Times New Roman"/>
        <w:b/>
        <w:bCs/>
        <w:noProof/>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F84ADD" w:rsidRPr="00F84ADD">
      <w:rPr>
        <w:rStyle w:val="PageNumber"/>
        <w:rFonts w:cs="Times New Roman"/>
        <w:noProof/>
        <w:sz w:val="18"/>
        <w:lang w:val="en-US"/>
      </w:rPr>
      <w:t>Department of the Treasury</w:t>
    </w:r>
    <w:r>
      <w:rPr>
        <w:rStyle w:val="PageNumber"/>
        <w:rFonts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90F8" w14:textId="7086BAA1" w:rsidR="00C65397" w:rsidRPr="00B628E8" w:rsidRDefault="005A2E0C" w:rsidP="00B628E8">
    <w:pPr>
      <w:pStyle w:val="FooterOdd"/>
      <w:rPr>
        <w:rStyle w:val="PageNumber"/>
        <w:rFonts w:cs="Times New Roman"/>
        <w:sz w:val="18"/>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F84ADD" w:rsidRPr="00F84ADD">
      <w:rPr>
        <w:rStyle w:val="PageNumber"/>
        <w:rFonts w:cs="Times New Roman"/>
        <w:noProof/>
        <w:sz w:val="18"/>
        <w:lang w:val="en-US"/>
      </w:rPr>
      <w:t>Department of the Treasury</w:t>
    </w:r>
    <w:r>
      <w:rPr>
        <w:rStyle w:val="PageNumber"/>
        <w:rFonts w:cs="Times New Roman"/>
        <w:sz w:val="18"/>
      </w:rPr>
      <w:fldChar w:fldCharType="end"/>
    </w:r>
    <w:r w:rsidR="004D660D">
      <w:rPr>
        <w:rStyle w:val="PageNumber"/>
        <w:rFonts w:cs="Times New Roman"/>
        <w:sz w:val="18"/>
        <w:lang w:val="en-AU"/>
      </w:rPr>
      <w:t xml:space="preserve"> </w:t>
    </w:r>
    <w:r w:rsidR="00B628E8" w:rsidRPr="00B628E8">
      <w:rPr>
        <w:rStyle w:val="PageNumber"/>
        <w:rFonts w:cs="Times New Roman"/>
        <w:sz w:val="18"/>
      </w:rPr>
      <w:t xml:space="preserve"> |</w:t>
    </w:r>
    <w:r w:rsidR="004D660D">
      <w:rPr>
        <w:rStyle w:val="PageNumber"/>
        <w:rFonts w:cs="Times New Roman"/>
        <w:sz w:val="18"/>
        <w:lang w:val="en-AU"/>
      </w:rPr>
      <w:t xml:space="preserve"> </w:t>
    </w:r>
    <w:r w:rsidR="00B628E8" w:rsidRPr="00B628E8">
      <w:rPr>
        <w:rStyle w:val="PageNumber"/>
        <w:rFonts w:cs="Times New Roman"/>
        <w:sz w:val="18"/>
      </w:rPr>
      <w:t xml:space="preserve"> </w:t>
    </w:r>
    <w:r w:rsidR="00B628E8" w:rsidRPr="00B628E8">
      <w:rPr>
        <w:rStyle w:val="PageNumber"/>
        <w:rFonts w:cs="Times New Roman"/>
        <w:b/>
        <w:bCs/>
        <w:sz w:val="18"/>
      </w:rPr>
      <w:t xml:space="preserve">Page </w:t>
    </w:r>
    <w:r w:rsidR="00C65397" w:rsidRPr="00B628E8">
      <w:rPr>
        <w:rStyle w:val="PageNumber"/>
        <w:rFonts w:cs="Times New Roman"/>
        <w:b/>
        <w:bCs/>
        <w:sz w:val="18"/>
      </w:rPr>
      <w:fldChar w:fldCharType="begin"/>
    </w:r>
    <w:r w:rsidR="00C65397" w:rsidRPr="00B628E8">
      <w:rPr>
        <w:rStyle w:val="PageNumber"/>
        <w:rFonts w:cs="Times New Roman"/>
        <w:b/>
        <w:bCs/>
        <w:sz w:val="18"/>
      </w:rPr>
      <w:instrText xml:space="preserve"> PAGE  \* Arabic </w:instrText>
    </w:r>
    <w:r w:rsidR="00C65397" w:rsidRPr="00B628E8">
      <w:rPr>
        <w:rStyle w:val="PageNumber"/>
        <w:rFonts w:cs="Times New Roman"/>
        <w:b/>
        <w:bCs/>
        <w:sz w:val="18"/>
      </w:rPr>
      <w:fldChar w:fldCharType="separate"/>
    </w:r>
    <w:r w:rsidR="00300E2E">
      <w:rPr>
        <w:rStyle w:val="PageNumber"/>
        <w:rFonts w:cs="Times New Roman"/>
        <w:b/>
        <w:bCs/>
        <w:noProof/>
        <w:sz w:val="18"/>
      </w:rPr>
      <w:t>33</w:t>
    </w:r>
    <w:r w:rsidR="00C65397" w:rsidRPr="00B628E8">
      <w:rPr>
        <w:rStyle w:val="PageNumber"/>
        <w:rFonts w:cs="Times New Roman"/>
        <w:b/>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3C9D" w14:textId="02296192" w:rsidR="00650A13" w:rsidRPr="003E3FC7" w:rsidRDefault="00650A13" w:rsidP="00650A13">
    <w:pPr>
      <w:pStyle w:val="FooterOdd"/>
      <w:rPr>
        <w:rStyle w:val="PageNumber"/>
        <w:rFonts w:cs="Times New Roman"/>
        <w:sz w:val="18"/>
        <w:lang w:val="en-AU"/>
      </w:rPr>
    </w:pPr>
    <w:r>
      <w:rPr>
        <w:lang w:val="en-AU"/>
      </w:rPr>
      <w:tab/>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9E3180" w:rsidRPr="009E3180">
      <w:rPr>
        <w:rStyle w:val="PageNumber"/>
        <w:rFonts w:cs="Times New Roman"/>
        <w:noProof/>
        <w:sz w:val="18"/>
        <w:lang w:val="en-US"/>
      </w:rPr>
      <w:t>Department of the Treasury</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00F55AEE" w:rsidRPr="00F55AEE">
      <w:rPr>
        <w:rStyle w:val="PageNumber"/>
        <w:rFonts w:cs="Times New Roman"/>
        <w:b/>
        <w:bCs/>
        <w:sz w:val="18"/>
      </w:rPr>
      <w:fldChar w:fldCharType="begin"/>
    </w:r>
    <w:r w:rsidR="00F55AEE" w:rsidRPr="00F55AEE">
      <w:rPr>
        <w:rStyle w:val="PageNumber"/>
        <w:rFonts w:cs="Times New Roman"/>
        <w:b/>
        <w:bCs/>
        <w:sz w:val="18"/>
      </w:rPr>
      <w:instrText xml:space="preserve"> PAGE   \* MERGEFORMAT </w:instrText>
    </w:r>
    <w:r w:rsidR="00F55AEE" w:rsidRPr="00F55AEE">
      <w:rPr>
        <w:rStyle w:val="PageNumber"/>
        <w:rFonts w:cs="Times New Roman"/>
        <w:b/>
        <w:bCs/>
        <w:sz w:val="18"/>
      </w:rPr>
      <w:fldChar w:fldCharType="separate"/>
    </w:r>
    <w:r w:rsidR="00F55AEE" w:rsidRPr="00F55AEE">
      <w:rPr>
        <w:rStyle w:val="PageNumber"/>
        <w:rFonts w:cs="Times New Roman"/>
        <w:b/>
        <w:bCs/>
        <w:noProof/>
        <w:sz w:val="18"/>
      </w:rPr>
      <w:t>1</w:t>
    </w:r>
    <w:r w:rsidR="00F55AEE" w:rsidRPr="00F55AEE">
      <w:rPr>
        <w:rStyle w:val="PageNumber"/>
        <w:rFonts w:cs="Times New Roman"/>
        <w:b/>
        <w:bCs/>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5BDC" w14:textId="62F74172" w:rsidR="00650A13" w:rsidRPr="00782467" w:rsidRDefault="00650A13" w:rsidP="00650A13">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244</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9E3180" w:rsidRPr="009E3180">
      <w:rPr>
        <w:rStyle w:val="PageNumber"/>
        <w:rFonts w:cs="Times New Roman"/>
        <w:noProof/>
        <w:sz w:val="18"/>
        <w:lang w:val="en-US"/>
      </w:rPr>
      <w:t>Department of the Treasury</w:t>
    </w:r>
    <w:r>
      <w:rPr>
        <w:rStyle w:val="PageNumber"/>
        <w:rFonts w:cs="Times New Roman"/>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2230" w14:textId="10D62851" w:rsidR="00650A13" w:rsidRPr="00782467" w:rsidRDefault="00650A13" w:rsidP="00650A13">
    <w:pPr>
      <w:pStyle w:val="FooterOdd"/>
      <w:rPr>
        <w:rStyle w:val="PageNumber"/>
        <w:rFonts w:cs="Times New Roman"/>
        <w:sz w:val="18"/>
      </w:rPr>
    </w:pPr>
    <w:r>
      <w:rPr>
        <w:lang w:val="en-AU"/>
      </w:rPr>
      <w:tab/>
    </w: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9E3180" w:rsidRPr="009E3180">
      <w:rPr>
        <w:rStyle w:val="PageNumber"/>
        <w:rFonts w:cs="Times New Roman"/>
        <w:noProof/>
        <w:sz w:val="18"/>
        <w:lang w:val="en-US"/>
      </w:rPr>
      <w:t>Department of the Treasury</w:t>
    </w:r>
    <w:r>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245</w:t>
    </w:r>
    <w:r w:rsidRPr="00B628E8">
      <w:rPr>
        <w:rStyle w:val="PageNumber"/>
        <w:rFonts w:cs="Times New Roman"/>
        <w:b/>
        <w:bCs/>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AB0C" w14:textId="51673EB2" w:rsidR="00650A13" w:rsidRPr="00782467" w:rsidRDefault="00A274A6" w:rsidP="00A274A6">
    <w:pPr>
      <w:pStyle w:val="FooterEven"/>
      <w:rPr>
        <w:rStyle w:val="PageNumber"/>
        <w:rFonts w:cs="Times New Roman"/>
        <w:sz w:val="18"/>
      </w:rPr>
    </w:pPr>
    <w:r w:rsidRPr="00A274A6">
      <w:rPr>
        <w:rStyle w:val="PageNumber"/>
        <w:b/>
        <w:bCs w:val="0"/>
        <w:sz w:val="18"/>
        <w:szCs w:val="18"/>
      </w:rPr>
      <w:t xml:space="preserve">Page </w:t>
    </w:r>
    <w:r w:rsidRPr="00A274A6">
      <w:rPr>
        <w:rStyle w:val="PageNumber"/>
        <w:b/>
        <w:bCs w:val="0"/>
        <w:sz w:val="18"/>
        <w:szCs w:val="18"/>
      </w:rPr>
      <w:fldChar w:fldCharType="begin"/>
    </w:r>
    <w:r w:rsidRPr="00A274A6">
      <w:rPr>
        <w:rStyle w:val="PageNumber"/>
        <w:b/>
        <w:bCs w:val="0"/>
        <w:sz w:val="18"/>
        <w:szCs w:val="18"/>
      </w:rPr>
      <w:instrText xml:space="preserve"> PAGE </w:instrText>
    </w:r>
    <w:r w:rsidRPr="00A274A6">
      <w:rPr>
        <w:rStyle w:val="PageNumber"/>
        <w:b/>
        <w:bCs w:val="0"/>
        <w:sz w:val="18"/>
        <w:szCs w:val="18"/>
      </w:rPr>
      <w:fldChar w:fldCharType="separate"/>
    </w:r>
    <w:r w:rsidRPr="00A274A6">
      <w:rPr>
        <w:rStyle w:val="PageNumber"/>
        <w:b/>
        <w:bCs w:val="0"/>
        <w:sz w:val="18"/>
        <w:szCs w:val="18"/>
      </w:rPr>
      <w:t>viii</w:t>
    </w:r>
    <w:r w:rsidRPr="00A274A6">
      <w:rPr>
        <w:rStyle w:val="PageNumber"/>
        <w:b/>
        <w:bCs w:val="0"/>
        <w:sz w:val="18"/>
        <w:szCs w:val="18"/>
      </w:rPr>
      <w:fldChar w:fldCharType="end"/>
    </w:r>
    <w:r w:rsidRPr="00A274A6">
      <w:rPr>
        <w:rStyle w:val="PageNumber"/>
        <w:sz w:val="18"/>
        <w:szCs w:val="18"/>
      </w:rPr>
      <w:t xml:space="preserve">  |  </w:t>
    </w:r>
    <w:r w:rsidR="00F844CA" w:rsidRPr="00F844CA">
      <w:rPr>
        <w:rStyle w:val="PageNumber"/>
        <w:rFonts w:cs="Times New Roman"/>
        <w:sz w:val="18"/>
      </w:rPr>
      <w:fldChar w:fldCharType="begin"/>
    </w:r>
    <w:r w:rsidR="00F844CA" w:rsidRPr="00F844CA">
      <w:rPr>
        <w:rStyle w:val="PageNumber"/>
        <w:rFonts w:cs="Times New Roman"/>
        <w:sz w:val="18"/>
      </w:rPr>
      <w:instrText xml:space="preserve"> STYLEREF  "Heading 1"  \* MERGEFORMAT </w:instrText>
    </w:r>
    <w:r w:rsidR="00F844CA" w:rsidRPr="00F844CA">
      <w:rPr>
        <w:rStyle w:val="PageNumber"/>
        <w:rFonts w:cs="Times New Roman"/>
        <w:sz w:val="18"/>
      </w:rPr>
      <w:fldChar w:fldCharType="separate"/>
    </w:r>
    <w:r w:rsidR="009E3180" w:rsidRPr="009E3180">
      <w:rPr>
        <w:rStyle w:val="PageNumber"/>
        <w:noProof/>
        <w:sz w:val="18"/>
        <w:szCs w:val="18"/>
      </w:rPr>
      <w:t>Department of the Treasury</w:t>
    </w:r>
    <w:r w:rsidR="00F844CA" w:rsidRPr="00F844CA">
      <w:rPr>
        <w:rStyle w:val="PageNumber"/>
        <w:rFonts w:cs="Times New Roman"/>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DFAC" w14:textId="77777777" w:rsidR="00650A13" w:rsidRPr="00021348" w:rsidRDefault="00650A13" w:rsidP="00021348">
    <w:pPr>
      <w:pStyle w:val="Footer"/>
      <w:rPr>
        <w:rStyle w:val="PageNumber"/>
        <w:rFonts w:cs="Times New Roma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7127" w14:textId="77777777" w:rsidR="00650A13" w:rsidRPr="00021348" w:rsidRDefault="00650A13" w:rsidP="00021348">
    <w:pPr>
      <w:pStyle w:val="Footer"/>
      <w:rPr>
        <w:rStyle w:val="PageNumbe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6460" w14:textId="77777777" w:rsidR="00502891" w:rsidRDefault="00502891" w:rsidP="00C07DEC">
      <w:r>
        <w:separator/>
      </w:r>
    </w:p>
  </w:footnote>
  <w:footnote w:type="continuationSeparator" w:id="0">
    <w:p w14:paraId="5635FEFB" w14:textId="77777777" w:rsidR="00502891" w:rsidRDefault="00502891" w:rsidP="00C07DEC">
      <w:r>
        <w:continuationSeparator/>
      </w:r>
    </w:p>
  </w:footnote>
  <w:footnote w:type="continuationNotice" w:id="1">
    <w:p w14:paraId="09B23873" w14:textId="77777777" w:rsidR="00502891" w:rsidRDefault="00502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F458D" w14:paraId="1FA925B5" w14:textId="77777777" w:rsidTr="00C126FC">
      <w:trPr>
        <w:trHeight w:hRule="exact" w:val="340"/>
      </w:trPr>
      <w:tc>
        <w:tcPr>
          <w:tcW w:w="7797" w:type="dxa"/>
        </w:tcPr>
        <w:p w14:paraId="0ADB71CB" w14:textId="5F6F4C31" w:rsidR="003F458D" w:rsidRDefault="003F458D" w:rsidP="003F458D">
          <w:pPr>
            <w:pStyle w:val="HeaderEven"/>
            <w:ind w:left="-113"/>
          </w:pPr>
          <w:bookmarkStart w:id="25" w:name="_Hlk98781520"/>
          <w:bookmarkStart w:id="26" w:name="_Hlk94690506"/>
          <w:r w:rsidRPr="000635BE">
            <w:rPr>
              <w:rFonts w:ascii="Arial Bold" w:hAnsi="Arial Bold"/>
              <w:b/>
              <w:bCs/>
              <w:noProof/>
              <w:position w:val="-10"/>
            </w:rPr>
            <w:drawing>
              <wp:inline distT="0" distB="0" distL="0" distR="0" wp14:anchorId="371843A2" wp14:editId="6C62BE76">
                <wp:extent cx="989308" cy="170121"/>
                <wp:effectExtent l="0" t="0" r="190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bookmarkEnd w:id="25"/>
        </w:p>
      </w:tc>
    </w:tr>
    <w:bookmarkEnd w:id="26"/>
  </w:tbl>
  <w:p w14:paraId="3842A55E" w14:textId="107D49FF" w:rsidR="00C65397" w:rsidRPr="00F00984" w:rsidRDefault="00C65397" w:rsidP="00A02E16">
    <w:pPr>
      <w:pStyle w:val="HeaderEven"/>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5DFC" w14:textId="77777777" w:rsidR="00212221" w:rsidRDefault="00223319">
    <w:pPr>
      <w:pStyle w:val="Header"/>
    </w:pPr>
    <w:r w:rsidRPr="00D37F21">
      <w:rPr>
        <w:noProof/>
        <w:sz w:val="32"/>
        <w:szCs w:val="32"/>
      </w:rPr>
      <mc:AlternateContent>
        <mc:Choice Requires="wps">
          <w:drawing>
            <wp:anchor distT="0" distB="0" distL="114300" distR="114300" simplePos="0" relativeHeight="251658249" behindDoc="0" locked="0" layoutInCell="1" allowOverlap="1" wp14:anchorId="219D8AF4" wp14:editId="33E8769A">
              <wp:simplePos x="0" y="0"/>
              <wp:positionH relativeFrom="column">
                <wp:posOffset>7560945</wp:posOffset>
              </wp:positionH>
              <wp:positionV relativeFrom="margin">
                <wp:posOffset>0</wp:posOffset>
              </wp:positionV>
              <wp:extent cx="399600" cy="4896000"/>
              <wp:effectExtent l="0" t="0" r="635" b="0"/>
              <wp:wrapNone/>
              <wp:docPr id="2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33155" w14:textId="77777777" w:rsidR="00223319" w:rsidRPr="00137C7E" w:rsidRDefault="00223319"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231854BC" wp14:editId="77777561">
                                <wp:extent cx="1000760" cy="172091"/>
                                <wp:effectExtent l="0" t="4763" r="4128" b="4127"/>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D8AF4" id="_x0000_t202" coordsize="21600,21600" o:spt="202" path="m,l,21600r21600,l21600,xe">
              <v:stroke joinstyle="miter"/>
              <v:path gradientshapeok="t" o:connecttype="rect"/>
            </v:shapetype>
            <v:shape id="_x0000_s1030" type="#_x0000_t202" alt="Landscape Odd Header" style="position:absolute;margin-left:595.35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" stroked="f">
              <v:textbox style="layout-flow:vertical" inset="0,0,0,0">
                <w:txbxContent>
                  <w:p w14:paraId="4AD33155" w14:textId="77777777" w:rsidR="00223319" w:rsidRPr="00137C7E" w:rsidRDefault="00223319"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231854BC" wp14:editId="77777561">
                          <wp:extent cx="1000760" cy="172091"/>
                          <wp:effectExtent l="0" t="4763" r="4128" b="4127"/>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r w:rsidRPr="005E792C">
      <w:rPr>
        <w:noProof/>
        <w:sz w:val="2"/>
        <w:szCs w:val="2"/>
      </w:rPr>
      <mc:AlternateContent>
        <mc:Choice Requires="wps">
          <w:drawing>
            <wp:anchor distT="0" distB="0" distL="114300" distR="114300" simplePos="0" relativeHeight="251658248" behindDoc="0" locked="0" layoutInCell="1" allowOverlap="1" wp14:anchorId="781AC21E" wp14:editId="3595E060">
              <wp:simplePos x="0" y="0"/>
              <wp:positionH relativeFrom="column">
                <wp:posOffset>-541020</wp:posOffset>
              </wp:positionH>
              <wp:positionV relativeFrom="margin">
                <wp:posOffset>0</wp:posOffset>
              </wp:positionV>
              <wp:extent cx="399600" cy="4896000"/>
              <wp:effectExtent l="0" t="0" r="635" b="0"/>
              <wp:wrapNone/>
              <wp:docPr id="2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3CDEF636" w14:textId="1B69A3DD" w:rsidR="00223319" w:rsidRPr="005C224F" w:rsidRDefault="00223319" w:rsidP="005C224F">
                          <w:pPr>
                            <w:pStyle w:val="FooterOdd"/>
                            <w:rPr>
                              <w:lang w:val="en-AU"/>
                            </w:rPr>
                          </w:pPr>
                          <w:r w:rsidRPr="00B3705D">
                            <w:t xml:space="preserve">  </w:t>
                          </w:r>
                          <w:r w:rsidR="00F84ADD">
                            <w:fldChar w:fldCharType="begin"/>
                          </w:r>
                          <w:r w:rsidR="00F84ADD">
                            <w:instrText xml:space="preserve"> STYLEREF  "Heading 1"  \* MERGEFORMAT </w:instrText>
                          </w:r>
                          <w:r w:rsidR="00F84ADD">
                            <w:fldChar w:fldCharType="separate"/>
                          </w:r>
                          <w:r w:rsidR="009E3180">
                            <w:rPr>
                              <w:noProof/>
                            </w:rPr>
                            <w:t>Department of the Treasury</w:t>
                          </w:r>
                          <w:r w:rsidR="00F84ADD">
                            <w:rPr>
                              <w:noProof/>
                            </w:rPr>
                            <w:fldChar w:fldCharType="end"/>
                          </w:r>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AC21E" id="_x0000_t202" coordsize="21600,21600" o:spt="202" path="m,l,21600r21600,l21600,xe">
              <v:stroke joinstyle="miter"/>
              <v:path gradientshapeok="t" o:connecttype="rect"/>
            </v:shapetype>
            <v:shape id="_x0000_s1031" type="#_x0000_t202" alt="Landscape Page Number" style="position:absolute;margin-left:-42.6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" stroked="f">
              <v:textbox style="layout-flow:vertical" inset="0,0,0,0">
                <w:txbxContent>
                  <w:p w14:paraId="3CDEF636" w14:textId="1B69A3DD" w:rsidR="00223319" w:rsidRPr="005C224F" w:rsidRDefault="00223319" w:rsidP="005C224F">
                    <w:pPr>
                      <w:pStyle w:val="FooterOdd"/>
                      <w:rPr>
                        <w:lang w:val="en-AU"/>
                      </w:rPr>
                    </w:pPr>
                    <w:r w:rsidRPr="00B3705D">
                      <w:t xml:space="preserve">  </w:t>
                    </w:r>
                    <w:r w:rsidR="00F84ADD">
                      <w:fldChar w:fldCharType="begin"/>
                    </w:r>
                    <w:r w:rsidR="00F84ADD">
                      <w:instrText xml:space="preserve"> STYLEREF  "Heading 1"  \* MERGEFORMAT </w:instrText>
                    </w:r>
                    <w:r w:rsidR="00F84ADD">
                      <w:fldChar w:fldCharType="separate"/>
                    </w:r>
                    <w:r w:rsidR="009E3180">
                      <w:rPr>
                        <w:noProof/>
                      </w:rPr>
                      <w:t>Department of the Treasury</w:t>
                    </w:r>
                    <w:r w:rsidR="00F84ADD">
                      <w:rPr>
                        <w:noProof/>
                      </w:rPr>
                      <w:fldChar w:fldCharType="end"/>
                    </w:r>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v:textbox>
              <w10:wrap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9403" w14:textId="77777777" w:rsidR="00021348" w:rsidRPr="00137C7E" w:rsidRDefault="00021348" w:rsidP="00021348">
    <w:pPr>
      <w:pStyle w:val="HeaderEven"/>
      <w:framePr w:w="289" w:h="7663" w:hRule="exact" w:wrap="around" w:vAnchor="page" w:hAnchor="page" w:x="14646" w:y="2093" w:anchorLock="1"/>
      <w:textDirection w:val="tbRl"/>
    </w:pPr>
    <w:r w:rsidRPr="000635BE">
      <w:rPr>
        <w:rFonts w:ascii="Arial Bold" w:hAnsi="Arial Bold"/>
        <w:b/>
        <w:bCs/>
        <w:noProof/>
        <w:position w:val="-10"/>
      </w:rPr>
      <w:drawing>
        <wp:inline distT="0" distB="0" distL="0" distR="0" wp14:anchorId="503EF108" wp14:editId="19B195C7">
          <wp:extent cx="1000760" cy="172091"/>
          <wp:effectExtent l="0" t="4763" r="4128" b="4127"/>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proofErr w:type="gramStart"/>
    <w:r w:rsidRPr="004D660D">
      <w:rPr>
        <w:position w:val="-2"/>
      </w:rPr>
      <w:t>|  Portfolio</w:t>
    </w:r>
    <w:proofErr w:type="gramEnd"/>
    <w:r w:rsidRPr="004D660D">
      <w:rPr>
        <w:position w:val="-2"/>
      </w:rPr>
      <w:t xml:space="preserve"> Budget Statements</w: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50A13" w14:paraId="063D9A1B" w14:textId="77777777" w:rsidTr="00C126FC">
      <w:trPr>
        <w:trHeight w:hRule="exact" w:val="340"/>
      </w:trPr>
      <w:tc>
        <w:tcPr>
          <w:tcW w:w="7797" w:type="dxa"/>
        </w:tcPr>
        <w:p w14:paraId="35808690" w14:textId="77777777" w:rsidR="00650A13" w:rsidRPr="00FF18CF" w:rsidRDefault="00650A13" w:rsidP="00650A13">
          <w:pPr>
            <w:pStyle w:val="Header"/>
            <w:rPr>
              <w:i w:val="0"/>
              <w:iCs/>
            </w:rPr>
          </w:pPr>
          <w:bookmarkStart w:id="43" w:name="_Hlk98797604"/>
          <w:r w:rsidRPr="000635BE">
            <w:rPr>
              <w:rFonts w:ascii="Arial Bold" w:hAnsi="Arial Bold"/>
              <w:b/>
              <w:bCs/>
              <w:noProof/>
              <w:position w:val="-10"/>
            </w:rPr>
            <w:drawing>
              <wp:inline distT="0" distB="0" distL="0" distR="0" wp14:anchorId="1EB7206D" wp14:editId="7263AE77">
                <wp:extent cx="989308" cy="170121"/>
                <wp:effectExtent l="0" t="0" r="1905" b="190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xml:space="preserve">| </w:t>
          </w:r>
          <w:r w:rsidRPr="00FF18CF">
            <w:rPr>
              <w:rFonts w:ascii="Arial" w:hAnsi="Arial"/>
              <w:i w:val="0"/>
              <w:position w:val="-2"/>
              <w:sz w:val="18"/>
              <w:lang w:val="en-AU"/>
            </w:rPr>
            <w:t>Portfolio Budget Statements</w:t>
          </w:r>
        </w:p>
        <w:bookmarkEnd w:id="43"/>
        <w:p w14:paraId="18EAE41B" w14:textId="439B3D03" w:rsidR="00650A13" w:rsidRDefault="00650A13" w:rsidP="00650A13">
          <w:pPr>
            <w:pStyle w:val="HeaderOdd"/>
          </w:pPr>
        </w:p>
      </w:tc>
    </w:tr>
  </w:tbl>
  <w:p w14:paraId="1D33332C" w14:textId="64B7BD90" w:rsidR="00021348" w:rsidRPr="00F00984" w:rsidRDefault="00021348" w:rsidP="00F00984">
    <w:pPr>
      <w:pStyle w:val="HeaderEven"/>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87A2" w14:textId="77777777" w:rsidR="00021348" w:rsidRPr="00137C7E" w:rsidRDefault="00021348" w:rsidP="00021348">
    <w:pPr>
      <w:pStyle w:val="HeaderEven"/>
      <w:framePr w:w="289" w:h="7663" w:hRule="exact" w:wrap="around" w:vAnchor="page" w:hAnchor="page" w:x="14646" w:y="2093" w:anchorLock="1"/>
      <w:jc w:val="right"/>
      <w:textDirection w:val="tbRl"/>
    </w:pPr>
    <w:r w:rsidRPr="004D660D">
      <w:rPr>
        <w:position w:val="-2"/>
      </w:rPr>
      <w:t xml:space="preserve">Portfolio Budget </w:t>
    </w:r>
    <w:proofErr w:type="gramStart"/>
    <w:r w:rsidRPr="004D660D">
      <w:rPr>
        <w:position w:val="-2"/>
      </w:rPr>
      <w:t>Statements</w:t>
    </w:r>
    <w:r>
      <w:t xml:space="preserve">  </w:t>
    </w:r>
    <w:r w:rsidRPr="004D660D">
      <w:rPr>
        <w:position w:val="-2"/>
      </w:rPr>
      <w:t>|</w:t>
    </w:r>
    <w:proofErr w:type="gramEnd"/>
    <w:r w:rsidRPr="004D660D">
      <w:rPr>
        <w:position w:val="-2"/>
      </w:rPr>
      <w:t xml:space="preserve">  </w:t>
    </w:r>
    <w:r w:rsidRPr="000635BE">
      <w:rPr>
        <w:rFonts w:ascii="Arial Bold" w:hAnsi="Arial Bold"/>
        <w:b/>
        <w:bCs/>
        <w:noProof/>
        <w:position w:val="-10"/>
      </w:rPr>
      <w:drawing>
        <wp:inline distT="0" distB="0" distL="0" distR="0" wp14:anchorId="13D3A724" wp14:editId="39BFD384">
          <wp:extent cx="1000760" cy="172091"/>
          <wp:effectExtent l="0" t="4763" r="4128" b="4127"/>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24281" w14:paraId="5175E47C" w14:textId="77777777" w:rsidTr="00961AD3">
      <w:trPr>
        <w:trHeight w:hRule="exact" w:val="340"/>
      </w:trPr>
      <w:tc>
        <w:tcPr>
          <w:tcW w:w="7797" w:type="dxa"/>
        </w:tcPr>
        <w:p w14:paraId="3C5CDC22" w14:textId="77777777" w:rsidR="00524281" w:rsidRDefault="00524281" w:rsidP="00524281">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32CB449C" wp14:editId="3B13ED2A">
                <wp:extent cx="989308" cy="170121"/>
                <wp:effectExtent l="0" t="0" r="1905" b="190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40A2254" w14:textId="515D0F2E" w:rsidR="00021348" w:rsidRDefault="00021348" w:rsidP="00F00984">
    <w:pPr>
      <w:pStyle w:val="HeaderOd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BC86" w14:textId="77777777" w:rsidR="00021348" w:rsidRPr="00137C7E" w:rsidRDefault="00021348" w:rsidP="00021348">
    <w:pPr>
      <w:pStyle w:val="HeaderEven"/>
      <w:framePr w:w="289" w:h="7663" w:hRule="exact" w:wrap="around" w:vAnchor="page" w:hAnchor="page" w:x="14646" w:y="2093" w:anchorLock="1"/>
      <w:jc w:val="right"/>
      <w:textDirection w:val="tbRl"/>
    </w:pPr>
    <w:r w:rsidRPr="004D660D">
      <w:rPr>
        <w:position w:val="-2"/>
      </w:rPr>
      <w:t xml:space="preserve">Portfolio Budget </w:t>
    </w:r>
    <w:proofErr w:type="gramStart"/>
    <w:r w:rsidRPr="004D660D">
      <w:rPr>
        <w:position w:val="-2"/>
      </w:rPr>
      <w:t>Statements</w:t>
    </w:r>
    <w:r>
      <w:t xml:space="preserve">  </w:t>
    </w:r>
    <w:r w:rsidRPr="004D660D">
      <w:rPr>
        <w:position w:val="-2"/>
      </w:rPr>
      <w:t>|</w:t>
    </w:r>
    <w:proofErr w:type="gramEnd"/>
    <w:r w:rsidRPr="004D660D">
      <w:rPr>
        <w:position w:val="-2"/>
      </w:rPr>
      <w:t xml:space="preserve">  </w:t>
    </w:r>
    <w:r w:rsidRPr="000635BE">
      <w:rPr>
        <w:rFonts w:ascii="Arial Bold" w:hAnsi="Arial Bold"/>
        <w:b/>
        <w:bCs/>
        <w:noProof/>
        <w:position w:val="-10"/>
      </w:rPr>
      <w:drawing>
        <wp:inline distT="0" distB="0" distL="0" distR="0" wp14:anchorId="790F4E4F" wp14:editId="5B3C1A51">
          <wp:extent cx="1000760" cy="172091"/>
          <wp:effectExtent l="0" t="4763" r="4128" b="4127"/>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50A13" w14:paraId="27D02B9D" w14:textId="77777777" w:rsidTr="00C126FC">
      <w:trPr>
        <w:trHeight w:hRule="exact" w:val="340"/>
      </w:trPr>
      <w:tc>
        <w:tcPr>
          <w:tcW w:w="7797" w:type="dxa"/>
        </w:tcPr>
        <w:p w14:paraId="1E22602C" w14:textId="77777777" w:rsidR="00650A13" w:rsidRDefault="00650A13" w:rsidP="00650A13">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7825DF47" wp14:editId="5FF39E4D">
                <wp:extent cx="989308" cy="170121"/>
                <wp:effectExtent l="0" t="0" r="1905" b="190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754F2A1B" w14:textId="1D2D6C70" w:rsidR="00021348" w:rsidRPr="00F00984" w:rsidRDefault="00021348" w:rsidP="00695014">
    <w:pPr>
      <w:pStyle w:val="HeaderEven"/>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CF29" w14:textId="40683143" w:rsidR="00C65397" w:rsidRPr="00874FC9" w:rsidRDefault="00795874" w:rsidP="00874FC9">
    <w:pPr>
      <w:pStyle w:val="Header"/>
    </w:pPr>
    <w:r w:rsidRPr="00D37F21">
      <w:rPr>
        <w:noProof/>
        <w:sz w:val="32"/>
        <w:szCs w:val="32"/>
        <w:lang w:val="en-AU"/>
      </w:rPr>
      <mc:AlternateContent>
        <mc:Choice Requires="wps">
          <w:drawing>
            <wp:anchor distT="0" distB="0" distL="114300" distR="114300" simplePos="0" relativeHeight="251658243" behindDoc="0" locked="0" layoutInCell="1" allowOverlap="1" wp14:anchorId="7836AA35" wp14:editId="4C5B0570">
              <wp:simplePos x="0" y="0"/>
              <wp:positionH relativeFrom="column">
                <wp:posOffset>7581900</wp:posOffset>
              </wp:positionH>
              <wp:positionV relativeFrom="margin">
                <wp:align>center</wp:align>
              </wp:positionV>
              <wp:extent cx="399600" cy="4896000"/>
              <wp:effectExtent l="0" t="0" r="635" b="0"/>
              <wp:wrapNone/>
              <wp:docPr id="2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C8627" w14:textId="77777777" w:rsidR="00795874" w:rsidRPr="00137C7E" w:rsidRDefault="00795874" w:rsidP="00795874">
                          <w:pPr>
                            <w:pStyle w:val="HeaderEven"/>
                          </w:pPr>
                          <w:r w:rsidRPr="000635BE">
                            <w:rPr>
                              <w:rFonts w:ascii="Arial Bold" w:hAnsi="Arial Bold"/>
                              <w:b/>
                              <w:bCs/>
                              <w:noProof/>
                              <w:position w:val="-10"/>
                            </w:rPr>
                            <w:drawing>
                              <wp:inline distT="0" distB="0" distL="0" distR="0" wp14:anchorId="0A7E396E" wp14:editId="276DF54C">
                                <wp:extent cx="1000760" cy="172091"/>
                                <wp:effectExtent l="0" t="4763" r="4128" b="4127"/>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Pr>
                              <w:position w:val="-2"/>
                            </w:rPr>
                            <w:t xml:space="preserve"> </w:t>
                          </w:r>
                          <w:r>
                            <w:t xml:space="preserve"> </w:t>
                          </w:r>
                          <w:r w:rsidRPr="004D660D">
                            <w:rPr>
                              <w:position w:val="-2"/>
                            </w:rPr>
                            <w:t xml:space="preserve">|  Portfolio Budget Statements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AA35" id="_x0000_t202" coordsize="21600,21600" o:spt="202" path="m,l,21600r21600,l21600,xe">
              <v:stroke joinstyle="miter"/>
              <v:path gradientshapeok="t" o:connecttype="rect"/>
            </v:shapetype>
            <v:shape id="_x0000_s1032" type="#_x0000_t202" alt="Landscape Odd Header" style="position:absolute;margin-left:597pt;margin-top:0;width:31.45pt;height:385.5pt;z-index:251658243;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" stroked="f">
              <v:textbox style="layout-flow:vertical" inset="0,0,0,0">
                <w:txbxContent>
                  <w:p w14:paraId="245C8627" w14:textId="77777777" w:rsidR="00795874" w:rsidRPr="00137C7E" w:rsidRDefault="00795874" w:rsidP="00795874">
                    <w:pPr>
                      <w:pStyle w:val="HeaderEven"/>
                    </w:pPr>
                    <w:r w:rsidRPr="000635BE">
                      <w:rPr>
                        <w:rFonts w:ascii="Arial Bold" w:hAnsi="Arial Bold"/>
                        <w:b/>
                        <w:bCs/>
                        <w:noProof/>
                        <w:position w:val="-10"/>
                      </w:rPr>
                      <w:drawing>
                        <wp:inline distT="0" distB="0" distL="0" distR="0" wp14:anchorId="0A7E396E" wp14:editId="276DF54C">
                          <wp:extent cx="1000760" cy="172091"/>
                          <wp:effectExtent l="0" t="4763" r="4128" b="4127"/>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Pr>
                        <w:position w:val="-2"/>
                      </w:rPr>
                      <w:t xml:space="preserve"> </w:t>
                    </w:r>
                    <w:r>
                      <w:t xml:space="preserve"> </w:t>
                    </w:r>
                    <w:r w:rsidRPr="004D660D">
                      <w:rPr>
                        <w:position w:val="-2"/>
                      </w:rPr>
                      <w:t xml:space="preserve">|  Portfolio Budget Statements </w:t>
                    </w:r>
                  </w:p>
                </w:txbxContent>
              </v:textbox>
              <w10:wrap anchory="margin"/>
            </v:shape>
          </w:pict>
        </mc:Fallback>
      </mc:AlternateContent>
    </w:r>
    <w:r w:rsidRPr="005E792C">
      <w:rPr>
        <w:noProof/>
        <w:sz w:val="2"/>
        <w:szCs w:val="2"/>
        <w:lang w:val="en-AU"/>
      </w:rPr>
      <mc:AlternateContent>
        <mc:Choice Requires="wps">
          <w:drawing>
            <wp:anchor distT="0" distB="0" distL="114300" distR="114300" simplePos="0" relativeHeight="251658242" behindDoc="0" locked="0" layoutInCell="1" allowOverlap="1" wp14:anchorId="5B79A118" wp14:editId="4C4A1B43">
              <wp:simplePos x="0" y="0"/>
              <wp:positionH relativeFrom="column">
                <wp:posOffset>-657225</wp:posOffset>
              </wp:positionH>
              <wp:positionV relativeFrom="margin">
                <wp:align>center</wp:align>
              </wp:positionV>
              <wp:extent cx="399600" cy="4896000"/>
              <wp:effectExtent l="0" t="0" r="635" b="0"/>
              <wp:wrapNone/>
              <wp:docPr id="20"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45EF7D77" w14:textId="48AED5BE" w:rsidR="00795874" w:rsidRDefault="00795874" w:rsidP="00795874">
                          <w:pPr>
                            <w:pStyle w:val="FooterEven"/>
                          </w:pPr>
                          <w:r w:rsidRPr="006E442F">
                            <w:rPr>
                              <w:b/>
                              <w:bCs w:val="0"/>
                            </w:rPr>
                            <w:t xml:space="preserve">Page </w:t>
                          </w:r>
                          <w:r w:rsidRPr="006E442F">
                            <w:rPr>
                              <w:b/>
                              <w:bCs w:val="0"/>
                            </w:rPr>
                            <w:fldChar w:fldCharType="begin"/>
                          </w:r>
                          <w:r w:rsidRPr="006E442F">
                            <w:rPr>
                              <w:b/>
                              <w:bCs w:val="0"/>
                            </w:rPr>
                            <w:instrText xml:space="preserve"> PAGE   \* MERGEFORMAT </w:instrText>
                          </w:r>
                          <w:r w:rsidRPr="006E442F">
                            <w:rPr>
                              <w:b/>
                              <w:bCs w:val="0"/>
                            </w:rPr>
                            <w:fldChar w:fldCharType="separate"/>
                          </w:r>
                          <w:r>
                            <w:rPr>
                              <w:b/>
                              <w:bCs w:val="0"/>
                            </w:rPr>
                            <w:t>28</w:t>
                          </w:r>
                          <w:r w:rsidRPr="006E442F">
                            <w:rPr>
                              <w:b/>
                              <w:bCs w:val="0"/>
                              <w:noProof/>
                            </w:rPr>
                            <w:fldChar w:fldCharType="end"/>
                          </w:r>
                          <w:r>
                            <w:rPr>
                              <w:noProof/>
                            </w:rPr>
                            <w:t xml:space="preserve">  |  </w:t>
                          </w:r>
                          <w:r w:rsidR="00F84ADD">
                            <w:fldChar w:fldCharType="begin"/>
                          </w:r>
                          <w:r w:rsidR="00F84ADD">
                            <w:instrText>STYLEREF  "Heading 1"  \* MERGEFORMAT</w:instrText>
                          </w:r>
                          <w:r w:rsidR="00F84ADD">
                            <w:fldChar w:fldCharType="separate"/>
                          </w:r>
                          <w:r w:rsidR="009E3180" w:rsidRPr="009E3180">
                            <w:rPr>
                              <w:noProof/>
                              <w:lang w:val="en-US"/>
                            </w:rPr>
                            <w:t>Department of the Treasury</w:t>
                          </w:r>
                          <w:r w:rsidR="00F84ADD">
                            <w:rPr>
                              <w:noProof/>
                              <w:lang w:val="en-US"/>
                            </w:rPr>
                            <w:fldChar w:fldCharType="end"/>
                          </w:r>
                        </w:p>
                        <w:p w14:paraId="0FAD111B" w14:textId="77777777" w:rsidR="00795874" w:rsidRDefault="00795874" w:rsidP="00795874">
                          <w:pPr>
                            <w:pStyle w:val="FooterEven"/>
                            <w:jc w:val="right"/>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9A118" id="_x0000_t202" coordsize="21600,21600" o:spt="202" path="m,l,21600r21600,l21600,xe">
              <v:stroke joinstyle="miter"/>
              <v:path gradientshapeok="t" o:connecttype="rect"/>
            </v:shapetype>
            <v:shape id="_x0000_s1033" type="#_x0000_t202" alt="Landscape Page Number" style="position:absolute;margin-left:-51.7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" stroked="f">
              <v:textbox style="layout-flow:vertical" inset="0,0,0,0">
                <w:txbxContent>
                  <w:p w14:paraId="45EF7D77" w14:textId="48AED5BE" w:rsidR="00795874" w:rsidRDefault="00795874" w:rsidP="00795874">
                    <w:pPr>
                      <w:pStyle w:val="FooterEven"/>
                    </w:pPr>
                    <w:r w:rsidRPr="006E442F">
                      <w:rPr>
                        <w:b/>
                        <w:bCs w:val="0"/>
                      </w:rPr>
                      <w:t xml:space="preserve">Page </w:t>
                    </w:r>
                    <w:r w:rsidRPr="006E442F">
                      <w:rPr>
                        <w:b/>
                        <w:bCs w:val="0"/>
                      </w:rPr>
                      <w:fldChar w:fldCharType="begin"/>
                    </w:r>
                    <w:r w:rsidRPr="006E442F">
                      <w:rPr>
                        <w:b/>
                        <w:bCs w:val="0"/>
                      </w:rPr>
                      <w:instrText xml:space="preserve"> PAGE   \* MERGEFORMAT </w:instrText>
                    </w:r>
                    <w:r w:rsidRPr="006E442F">
                      <w:rPr>
                        <w:b/>
                        <w:bCs w:val="0"/>
                      </w:rPr>
                      <w:fldChar w:fldCharType="separate"/>
                    </w:r>
                    <w:r>
                      <w:rPr>
                        <w:b/>
                        <w:bCs w:val="0"/>
                      </w:rPr>
                      <w:t>28</w:t>
                    </w:r>
                    <w:r w:rsidRPr="006E442F">
                      <w:rPr>
                        <w:b/>
                        <w:bCs w:val="0"/>
                        <w:noProof/>
                      </w:rPr>
                      <w:fldChar w:fldCharType="end"/>
                    </w:r>
                    <w:r>
                      <w:rPr>
                        <w:noProof/>
                      </w:rPr>
                      <w:t xml:space="preserve">  |  </w:t>
                    </w:r>
                    <w:r w:rsidR="00F84ADD">
                      <w:fldChar w:fldCharType="begin"/>
                    </w:r>
                    <w:r w:rsidR="00F84ADD">
                      <w:instrText>STYLEREF  "Heading 1"  \* MERGEFORMAT</w:instrText>
                    </w:r>
                    <w:r w:rsidR="00F84ADD">
                      <w:fldChar w:fldCharType="separate"/>
                    </w:r>
                    <w:r w:rsidR="009E3180" w:rsidRPr="009E3180">
                      <w:rPr>
                        <w:noProof/>
                        <w:lang w:val="en-US"/>
                      </w:rPr>
                      <w:t>Department of the Treasury</w:t>
                    </w:r>
                    <w:r w:rsidR="00F84ADD">
                      <w:rPr>
                        <w:noProof/>
                        <w:lang w:val="en-US"/>
                      </w:rPr>
                      <w:fldChar w:fldCharType="end"/>
                    </w:r>
                  </w:p>
                  <w:p w14:paraId="0FAD111B" w14:textId="77777777" w:rsidR="00795874" w:rsidRDefault="00795874" w:rsidP="00795874">
                    <w:pPr>
                      <w:pStyle w:val="FooterEven"/>
                      <w:jc w:val="right"/>
                    </w:pPr>
                  </w:p>
                </w:txbxContent>
              </v:textbox>
              <w10:wrap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935E" w14:textId="330F2F8C" w:rsidR="00C65397" w:rsidRPr="00375D02" w:rsidRDefault="00E9717F" w:rsidP="00375D02">
    <w:pPr>
      <w:pStyle w:val="Header"/>
    </w:pPr>
    <w:r w:rsidRPr="005E792C">
      <w:rPr>
        <w:noProof/>
        <w:sz w:val="2"/>
        <w:szCs w:val="2"/>
        <w:lang w:val="en-AU"/>
      </w:rPr>
      <mc:AlternateContent>
        <mc:Choice Requires="wps">
          <w:drawing>
            <wp:anchor distT="0" distB="0" distL="114300" distR="114300" simplePos="0" relativeHeight="251658245" behindDoc="0" locked="0" layoutInCell="1" allowOverlap="1" wp14:anchorId="3E42C84C" wp14:editId="5A34D383">
              <wp:simplePos x="0" y="0"/>
              <wp:positionH relativeFrom="column">
                <wp:posOffset>-714375</wp:posOffset>
              </wp:positionH>
              <wp:positionV relativeFrom="margin">
                <wp:posOffset>5715</wp:posOffset>
              </wp:positionV>
              <wp:extent cx="399600" cy="4896000"/>
              <wp:effectExtent l="0" t="0" r="635" b="0"/>
              <wp:wrapNone/>
              <wp:docPr id="13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196AC6CB" w14:textId="2AC9181F" w:rsidR="00E9717F" w:rsidRDefault="00F84ADD" w:rsidP="00E9717F">
                          <w:pPr>
                            <w:pStyle w:val="FooterEven"/>
                            <w:jc w:val="right"/>
                          </w:pPr>
                          <w:r>
                            <w:fldChar w:fldCharType="begin"/>
                          </w:r>
                          <w:r>
                            <w:instrText>STYLEREF  "Heading 1"  \* MERGEFORMAT</w:instrText>
                          </w:r>
                          <w:r>
                            <w:fldChar w:fldCharType="separate"/>
                          </w:r>
                          <w:r w:rsidR="009E3180" w:rsidRPr="009E3180">
                            <w:rPr>
                              <w:noProof/>
                              <w:lang w:val="en-US"/>
                            </w:rPr>
                            <w:t>Department of the Treasury</w:t>
                          </w:r>
                          <w:r>
                            <w:rPr>
                              <w:noProof/>
                              <w:lang w:val="en-US"/>
                            </w:rPr>
                            <w:fldChar w:fldCharType="end"/>
                          </w:r>
                          <w:r w:rsidR="00E9717F">
                            <w:rPr>
                              <w:noProof/>
                            </w:rPr>
                            <w:t xml:space="preserve">  |  </w:t>
                          </w:r>
                          <w:r w:rsidR="00E9717F" w:rsidRPr="006E442F">
                            <w:rPr>
                              <w:b/>
                              <w:bCs w:val="0"/>
                            </w:rPr>
                            <w:t xml:space="preserve">Page </w:t>
                          </w:r>
                          <w:r w:rsidR="00E9717F" w:rsidRPr="006E442F">
                            <w:rPr>
                              <w:b/>
                              <w:bCs w:val="0"/>
                            </w:rPr>
                            <w:fldChar w:fldCharType="begin"/>
                          </w:r>
                          <w:r w:rsidR="00E9717F" w:rsidRPr="006E442F">
                            <w:rPr>
                              <w:b/>
                              <w:bCs w:val="0"/>
                            </w:rPr>
                            <w:instrText xml:space="preserve"> PAGE   \* MERGEFORMAT </w:instrText>
                          </w:r>
                          <w:r w:rsidR="00E9717F" w:rsidRPr="006E442F">
                            <w:rPr>
                              <w:b/>
                              <w:bCs w:val="0"/>
                            </w:rPr>
                            <w:fldChar w:fldCharType="separate"/>
                          </w:r>
                          <w:r w:rsidR="00E9717F">
                            <w:rPr>
                              <w:b/>
                              <w:bCs w:val="0"/>
                            </w:rPr>
                            <w:t>28</w:t>
                          </w:r>
                          <w:r w:rsidR="00E9717F" w:rsidRPr="006E442F">
                            <w:rPr>
                              <w:b/>
                              <w:bCs w:val="0"/>
                              <w:noProof/>
                            </w:rPr>
                            <w:fldChar w:fldCharType="end"/>
                          </w:r>
                          <w:r w:rsidR="00E9717F">
                            <w:rPr>
                              <w:noProof/>
                            </w:rPr>
                            <w:t xml:space="preserve"> </w:t>
                          </w:r>
                        </w:p>
                        <w:p w14:paraId="305908A7" w14:textId="77777777" w:rsidR="00E9717F" w:rsidRDefault="00E9717F" w:rsidP="00E9717F">
                          <w:pPr>
                            <w:pStyle w:val="FooterEven"/>
                            <w:jc w:val="right"/>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2C84C" id="_x0000_t202" coordsize="21600,21600" o:spt="202" path="m,l,21600r21600,l21600,xe">
              <v:stroke joinstyle="miter"/>
              <v:path gradientshapeok="t" o:connecttype="rect"/>
            </v:shapetype>
            <v:shape id="_x0000_s1034" type="#_x0000_t202" alt="Landscape Page Number" style="position:absolute;margin-left:-56.25pt;margin-top:.45pt;width:31.45pt;height:3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" stroked="f">
              <v:textbox style="layout-flow:vertical" inset="0,0,0,0">
                <w:txbxContent>
                  <w:p w14:paraId="196AC6CB" w14:textId="2AC9181F" w:rsidR="00E9717F" w:rsidRDefault="00F84ADD" w:rsidP="00E9717F">
                    <w:pPr>
                      <w:pStyle w:val="FooterEven"/>
                      <w:jc w:val="right"/>
                    </w:pPr>
                    <w:r>
                      <w:fldChar w:fldCharType="begin"/>
                    </w:r>
                    <w:r>
                      <w:instrText>STYLEREF  "Heading 1"  \* MERGEFORMAT</w:instrText>
                    </w:r>
                    <w:r>
                      <w:fldChar w:fldCharType="separate"/>
                    </w:r>
                    <w:r w:rsidR="009E3180" w:rsidRPr="009E3180">
                      <w:rPr>
                        <w:noProof/>
                        <w:lang w:val="en-US"/>
                      </w:rPr>
                      <w:t>Department of the Treasury</w:t>
                    </w:r>
                    <w:r>
                      <w:rPr>
                        <w:noProof/>
                        <w:lang w:val="en-US"/>
                      </w:rPr>
                      <w:fldChar w:fldCharType="end"/>
                    </w:r>
                    <w:r w:rsidR="00E9717F">
                      <w:rPr>
                        <w:noProof/>
                      </w:rPr>
                      <w:t xml:space="preserve">  |  </w:t>
                    </w:r>
                    <w:r w:rsidR="00E9717F" w:rsidRPr="006E442F">
                      <w:rPr>
                        <w:b/>
                        <w:bCs w:val="0"/>
                      </w:rPr>
                      <w:t xml:space="preserve">Page </w:t>
                    </w:r>
                    <w:r w:rsidR="00E9717F" w:rsidRPr="006E442F">
                      <w:rPr>
                        <w:b/>
                        <w:bCs w:val="0"/>
                      </w:rPr>
                      <w:fldChar w:fldCharType="begin"/>
                    </w:r>
                    <w:r w:rsidR="00E9717F" w:rsidRPr="006E442F">
                      <w:rPr>
                        <w:b/>
                        <w:bCs w:val="0"/>
                      </w:rPr>
                      <w:instrText xml:space="preserve"> PAGE   \* MERGEFORMAT </w:instrText>
                    </w:r>
                    <w:r w:rsidR="00E9717F" w:rsidRPr="006E442F">
                      <w:rPr>
                        <w:b/>
                        <w:bCs w:val="0"/>
                      </w:rPr>
                      <w:fldChar w:fldCharType="separate"/>
                    </w:r>
                    <w:r w:rsidR="00E9717F">
                      <w:rPr>
                        <w:b/>
                        <w:bCs w:val="0"/>
                      </w:rPr>
                      <w:t>28</w:t>
                    </w:r>
                    <w:r w:rsidR="00E9717F" w:rsidRPr="006E442F">
                      <w:rPr>
                        <w:b/>
                        <w:bCs w:val="0"/>
                        <w:noProof/>
                      </w:rPr>
                      <w:fldChar w:fldCharType="end"/>
                    </w:r>
                    <w:r w:rsidR="00E9717F">
                      <w:rPr>
                        <w:noProof/>
                      </w:rPr>
                      <w:t xml:space="preserve"> </w:t>
                    </w:r>
                  </w:p>
                  <w:p w14:paraId="305908A7" w14:textId="77777777" w:rsidR="00E9717F" w:rsidRDefault="00E9717F" w:rsidP="00E9717F">
                    <w:pPr>
                      <w:pStyle w:val="FooterEven"/>
                      <w:jc w:val="right"/>
                    </w:pPr>
                  </w:p>
                </w:txbxContent>
              </v:textbox>
              <w10:wrap anchory="margin"/>
            </v:shape>
          </w:pict>
        </mc:Fallback>
      </mc:AlternateContent>
    </w:r>
    <w:r w:rsidRPr="00D37F21">
      <w:rPr>
        <w:noProof/>
        <w:sz w:val="32"/>
        <w:szCs w:val="32"/>
        <w:lang w:val="en-AU"/>
      </w:rPr>
      <mc:AlternateContent>
        <mc:Choice Requires="wps">
          <w:drawing>
            <wp:anchor distT="0" distB="0" distL="114300" distR="114300" simplePos="0" relativeHeight="251658244" behindDoc="0" locked="0" layoutInCell="1" allowOverlap="1" wp14:anchorId="43342ED3" wp14:editId="44A34B36">
              <wp:simplePos x="0" y="0"/>
              <wp:positionH relativeFrom="column">
                <wp:posOffset>7572375</wp:posOffset>
              </wp:positionH>
              <wp:positionV relativeFrom="margin">
                <wp:align>center</wp:align>
              </wp:positionV>
              <wp:extent cx="399600" cy="4896000"/>
              <wp:effectExtent l="0" t="0" r="635" b="0"/>
              <wp:wrapNone/>
              <wp:docPr id="13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2A5FC" w14:textId="77777777" w:rsidR="00E9717F" w:rsidRPr="00137C7E" w:rsidRDefault="00E9717F" w:rsidP="00E9717F">
                          <w:pPr>
                            <w:pStyle w:val="HeaderEven"/>
                            <w:jc w:val="right"/>
                          </w:pPr>
                          <w:r w:rsidRPr="004D660D">
                            <w:rPr>
                              <w:position w:val="-2"/>
                            </w:rPr>
                            <w:t>Portfolio Budget Statements</w:t>
                          </w:r>
                          <w:r>
                            <w:rPr>
                              <w:position w:val="-2"/>
                            </w:rPr>
                            <w:t xml:space="preserve"> </w:t>
                          </w:r>
                          <w:r>
                            <w:t xml:space="preserve"> </w:t>
                          </w:r>
                          <w:r w:rsidRPr="004D660D">
                            <w:rPr>
                              <w:position w:val="-2"/>
                            </w:rPr>
                            <w:t xml:space="preserve">|  </w:t>
                          </w:r>
                          <w:r w:rsidRPr="000635BE">
                            <w:rPr>
                              <w:rFonts w:ascii="Arial Bold" w:hAnsi="Arial Bold"/>
                              <w:b/>
                              <w:bCs/>
                              <w:noProof/>
                              <w:position w:val="-10"/>
                            </w:rPr>
                            <w:drawing>
                              <wp:inline distT="0" distB="0" distL="0" distR="0" wp14:anchorId="2466A983" wp14:editId="1181CEE6">
                                <wp:extent cx="1000760" cy="172091"/>
                                <wp:effectExtent l="0" t="4763" r="4128" b="4127"/>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2ED3" id="_x0000_s1035" type="#_x0000_t202" alt="Landscape Odd Header" style="position:absolute;margin-left:596.25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" stroked="f">
              <v:textbox style="layout-flow:vertical" inset="0,0,0,0">
                <w:txbxContent>
                  <w:p w14:paraId="76C2A5FC" w14:textId="77777777" w:rsidR="00E9717F" w:rsidRPr="00137C7E" w:rsidRDefault="00E9717F" w:rsidP="00E9717F">
                    <w:pPr>
                      <w:pStyle w:val="HeaderEven"/>
                      <w:jc w:val="right"/>
                    </w:pPr>
                    <w:r w:rsidRPr="004D660D">
                      <w:rPr>
                        <w:position w:val="-2"/>
                      </w:rPr>
                      <w:t>Portfolio Budget Statements</w:t>
                    </w:r>
                    <w:r>
                      <w:rPr>
                        <w:position w:val="-2"/>
                      </w:rPr>
                      <w:t xml:space="preserve"> </w:t>
                    </w:r>
                    <w:r>
                      <w:t xml:space="preserve"> </w:t>
                    </w:r>
                    <w:r w:rsidRPr="004D660D">
                      <w:rPr>
                        <w:position w:val="-2"/>
                      </w:rPr>
                      <w:t xml:space="preserve">|  </w:t>
                    </w:r>
                    <w:r w:rsidRPr="000635BE">
                      <w:rPr>
                        <w:rFonts w:ascii="Arial Bold" w:hAnsi="Arial Bold"/>
                        <w:b/>
                        <w:bCs/>
                        <w:noProof/>
                        <w:position w:val="-10"/>
                      </w:rPr>
                      <w:drawing>
                        <wp:inline distT="0" distB="0" distL="0" distR="0" wp14:anchorId="2466A983" wp14:editId="1181CEE6">
                          <wp:extent cx="1000760" cy="172091"/>
                          <wp:effectExtent l="0" t="4763" r="4128" b="4127"/>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txbxContent>
              </v:textbox>
              <w10:wrap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F759" w14:textId="02570DCF" w:rsidR="00C65397" w:rsidRPr="00874FC9" w:rsidRDefault="00386E05" w:rsidP="00874FC9">
    <w:pPr>
      <w:pStyle w:val="Header"/>
    </w:pPr>
    <w:r w:rsidRPr="00D37F21">
      <w:rPr>
        <w:noProof/>
        <w:sz w:val="32"/>
        <w:szCs w:val="32"/>
      </w:rPr>
      <mc:AlternateContent>
        <mc:Choice Requires="wps">
          <w:drawing>
            <wp:anchor distT="0" distB="0" distL="114300" distR="114300" simplePos="0" relativeHeight="251658251" behindDoc="0" locked="0" layoutInCell="1" allowOverlap="1" wp14:anchorId="0724C40B" wp14:editId="28817D37">
              <wp:simplePos x="0" y="0"/>
              <wp:positionH relativeFrom="column">
                <wp:posOffset>7560945</wp:posOffset>
              </wp:positionH>
              <wp:positionV relativeFrom="margin">
                <wp:posOffset>0</wp:posOffset>
              </wp:positionV>
              <wp:extent cx="399600" cy="4896000"/>
              <wp:effectExtent l="0" t="0" r="635" b="0"/>
              <wp:wrapNone/>
              <wp:docPr id="2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68BC6" w14:textId="77777777" w:rsidR="00386E05" w:rsidRPr="00137C7E" w:rsidRDefault="00386E05"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7C6CD8B5" wp14:editId="76C29747">
                                <wp:extent cx="1000760" cy="172091"/>
                                <wp:effectExtent l="0" t="4763" r="4128" b="4127"/>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4C40B" id="_x0000_t202" coordsize="21600,21600" o:spt="202" path="m,l,21600r21600,l21600,xe">
              <v:stroke joinstyle="miter"/>
              <v:path gradientshapeok="t" o:connecttype="rect"/>
            </v:shapetype>
            <v:shape id="_x0000_s1036" type="#_x0000_t202" alt="Landscape Odd Header" style="position:absolute;margin-left:595.35pt;margin-top:0;width:31.45pt;height:38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" stroked="f">
              <v:textbox style="layout-flow:vertical" inset="0,0,0,0">
                <w:txbxContent>
                  <w:p w14:paraId="1B468BC6" w14:textId="77777777" w:rsidR="00386E05" w:rsidRPr="00137C7E" w:rsidRDefault="00386E05"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7C6CD8B5" wp14:editId="76C29747">
                          <wp:extent cx="1000760" cy="172091"/>
                          <wp:effectExtent l="0" t="4763" r="4128" b="4127"/>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r w:rsidRPr="005E792C">
      <w:rPr>
        <w:noProof/>
        <w:sz w:val="2"/>
        <w:szCs w:val="2"/>
      </w:rPr>
      <mc:AlternateContent>
        <mc:Choice Requires="wps">
          <w:drawing>
            <wp:anchor distT="0" distB="0" distL="114300" distR="114300" simplePos="0" relativeHeight="251658250" behindDoc="0" locked="0" layoutInCell="1" allowOverlap="1" wp14:anchorId="2C9D902C" wp14:editId="33B0B935">
              <wp:simplePos x="0" y="0"/>
              <wp:positionH relativeFrom="column">
                <wp:posOffset>-541020</wp:posOffset>
              </wp:positionH>
              <wp:positionV relativeFrom="margin">
                <wp:posOffset>0</wp:posOffset>
              </wp:positionV>
              <wp:extent cx="399600" cy="4896000"/>
              <wp:effectExtent l="0" t="0" r="635" b="0"/>
              <wp:wrapNone/>
              <wp:docPr id="2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0D52B966" w14:textId="5E1B486D" w:rsidR="00386E05" w:rsidRPr="005C224F" w:rsidRDefault="00386E05" w:rsidP="005C224F">
                          <w:pPr>
                            <w:pStyle w:val="FooterOdd"/>
                            <w:rPr>
                              <w:lang w:val="en-AU"/>
                            </w:rPr>
                          </w:pPr>
                          <w:r w:rsidRPr="00B3705D">
                            <w:t xml:space="preserve">  </w:t>
                          </w:r>
                          <w:r w:rsidR="00F84ADD">
                            <w:fldChar w:fldCharType="begin"/>
                          </w:r>
                          <w:r w:rsidR="00F84ADD">
                            <w:instrText xml:space="preserve"> STYLEREF  "Heading 1"  \* MERGEFORMAT </w:instrText>
                          </w:r>
                          <w:r w:rsidR="00F84ADD">
                            <w:fldChar w:fldCharType="separate"/>
                          </w:r>
                          <w:r w:rsidR="009E3180">
                            <w:rPr>
                              <w:noProof/>
                            </w:rPr>
                            <w:t>Department of the Treasury</w:t>
                          </w:r>
                          <w:r w:rsidR="00F84ADD">
                            <w:rPr>
                              <w:noProof/>
                            </w:rPr>
                            <w:fldChar w:fldCharType="end"/>
                          </w:r>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D902C" id="_x0000_t202" coordsize="21600,21600" o:spt="202" path="m,l,21600r21600,l21600,xe">
              <v:stroke joinstyle="miter"/>
              <v:path gradientshapeok="t" o:connecttype="rect"/>
            </v:shapetype>
            <v:shape id="_x0000_s1037" type="#_x0000_t202" alt="Landscape Page Number" style="position:absolute;margin-left:-42.6pt;margin-top:0;width:31.45pt;height:38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" stroked="f">
              <v:textbox style="layout-flow:vertical" inset="0,0,0,0">
                <w:txbxContent>
                  <w:p w14:paraId="0D52B966" w14:textId="5E1B486D" w:rsidR="00386E05" w:rsidRPr="005C224F" w:rsidRDefault="00386E05" w:rsidP="005C224F">
                    <w:pPr>
                      <w:pStyle w:val="FooterOdd"/>
                      <w:rPr>
                        <w:lang w:val="en-AU"/>
                      </w:rPr>
                    </w:pPr>
                    <w:r w:rsidRPr="00B3705D">
                      <w:t xml:space="preserve">  </w:t>
                    </w:r>
                    <w:r w:rsidR="00F84ADD">
                      <w:fldChar w:fldCharType="begin"/>
                    </w:r>
                    <w:r w:rsidR="00F84ADD">
                      <w:instrText xml:space="preserve"> STYLEREF  "Heading 1"  \* MERGEFORMAT </w:instrText>
                    </w:r>
                    <w:r w:rsidR="00F84ADD">
                      <w:fldChar w:fldCharType="separate"/>
                    </w:r>
                    <w:r w:rsidR="009E3180">
                      <w:rPr>
                        <w:noProof/>
                      </w:rPr>
                      <w:t>Department of the Treasury</w:t>
                    </w:r>
                    <w:r w:rsidR="00F84ADD">
                      <w:rPr>
                        <w:noProof/>
                      </w:rPr>
                      <w:fldChar w:fldCharType="end"/>
                    </w:r>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3EA9CF4D" w14:textId="77777777" w:rsidTr="00C126FC">
      <w:trPr>
        <w:trHeight w:hRule="exact" w:val="340"/>
      </w:trPr>
      <w:tc>
        <w:tcPr>
          <w:tcW w:w="7797" w:type="dxa"/>
        </w:tcPr>
        <w:p w14:paraId="548CF542" w14:textId="4D59A30C" w:rsidR="00050A97" w:rsidRDefault="00050A97" w:rsidP="00050A97">
          <w:pPr>
            <w:pStyle w:val="HeaderOdd"/>
          </w:pPr>
          <w:bookmarkStart w:id="27" w:name="_Hlk98781537"/>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13828D26" wp14:editId="5D636206">
                <wp:extent cx="989308" cy="170121"/>
                <wp:effectExtent l="0" t="0" r="190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bookmarkEnd w:id="27"/>
        </w:p>
      </w:tc>
    </w:tr>
  </w:tbl>
  <w:p w14:paraId="6BD6FB65" w14:textId="6DAB684A" w:rsidR="00C65397" w:rsidRDefault="00C65397" w:rsidP="00A02E16">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36BC" w14:textId="77777777" w:rsidR="00C65397" w:rsidRPr="00B4084B" w:rsidRDefault="00C65397"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2D14" w14:textId="77777777" w:rsidR="00021348" w:rsidRPr="00137C7E" w:rsidRDefault="00021348" w:rsidP="00021348">
    <w:pPr>
      <w:pStyle w:val="HeaderEven"/>
      <w:framePr w:w="289" w:h="7663" w:hRule="exact" w:wrap="around" w:vAnchor="page" w:hAnchor="page" w:x="14646" w:y="2093" w:anchorLock="1"/>
      <w:textDirection w:val="tbRl"/>
    </w:pPr>
    <w:r w:rsidRPr="000635BE">
      <w:rPr>
        <w:rFonts w:ascii="Arial Bold" w:hAnsi="Arial Bold"/>
        <w:b/>
        <w:bCs/>
        <w:noProof/>
        <w:position w:val="-10"/>
      </w:rPr>
      <w:drawing>
        <wp:inline distT="0" distB="0" distL="0" distR="0" wp14:anchorId="381B33C1" wp14:editId="069D44A4">
          <wp:extent cx="1000760" cy="172091"/>
          <wp:effectExtent l="0" t="4763" r="4128" b="412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proofErr w:type="gramStart"/>
    <w:r w:rsidRPr="004D660D">
      <w:rPr>
        <w:position w:val="-2"/>
      </w:rPr>
      <w:t>|  Portfolio</w:t>
    </w:r>
    <w:proofErr w:type="gramEnd"/>
    <w:r w:rsidRPr="004D660D">
      <w:rPr>
        <w:position w:val="-2"/>
      </w:rPr>
      <w:t xml:space="preserve"> Budget Statements</w:t>
    </w:r>
  </w:p>
  <w:p w14:paraId="62919905" w14:textId="4C87D744" w:rsidR="00C65397" w:rsidRPr="00F00984" w:rsidRDefault="00650A13" w:rsidP="00F00984">
    <w:pPr>
      <w:pStyle w:val="HeaderEven"/>
    </w:pPr>
    <w:r w:rsidRPr="000635BE">
      <w:rPr>
        <w:rFonts w:ascii="Arial Bold" w:hAnsi="Arial Bold"/>
        <w:b/>
        <w:bCs/>
        <w:noProof/>
        <w:position w:val="-10"/>
      </w:rPr>
      <w:drawing>
        <wp:inline distT="0" distB="0" distL="0" distR="0" wp14:anchorId="125A38F4" wp14:editId="2A4795AD">
          <wp:extent cx="989308" cy="170121"/>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74C6" w14:textId="0F16C286" w:rsidR="00021348" w:rsidRPr="00137C7E" w:rsidRDefault="00021348" w:rsidP="00021348">
    <w:pPr>
      <w:pStyle w:val="HeaderEven"/>
      <w:framePr w:w="289" w:h="7663" w:hRule="exact" w:wrap="around" w:vAnchor="page" w:hAnchor="page" w:x="14646" w:y="2093" w:anchorLock="1"/>
      <w:jc w:val="right"/>
      <w:textDirection w:val="tbRl"/>
    </w:pPr>
    <w:r w:rsidRPr="004D660D">
      <w:rPr>
        <w:position w:val="-2"/>
      </w:rPr>
      <w:t xml:space="preserve">Portfolio Budget </w:t>
    </w:r>
    <w:proofErr w:type="gramStart"/>
    <w:r w:rsidRPr="004D660D">
      <w:rPr>
        <w:position w:val="-2"/>
      </w:rPr>
      <w:t>Statements</w:t>
    </w:r>
    <w:r>
      <w:t xml:space="preserve">  </w:t>
    </w:r>
    <w:r w:rsidRPr="004D660D">
      <w:rPr>
        <w:position w:val="-2"/>
      </w:rPr>
      <w:t>|</w:t>
    </w:r>
    <w:proofErr w:type="gramEnd"/>
    <w:r w:rsidRPr="004D660D">
      <w:rPr>
        <w:position w:val="-2"/>
      </w:rPr>
      <w:t xml:space="preserve">  </w:t>
    </w:r>
    <w:r w:rsidRPr="000635BE">
      <w:rPr>
        <w:rFonts w:ascii="Arial Bold" w:hAnsi="Arial Bold"/>
        <w:b/>
        <w:bCs/>
        <w:noProof/>
        <w:position w:val="-10"/>
      </w:rPr>
      <w:drawing>
        <wp:inline distT="0" distB="0" distL="0" distR="0" wp14:anchorId="7CBC9FE0" wp14:editId="6B4E4D4F">
          <wp:extent cx="1000760" cy="172091"/>
          <wp:effectExtent l="0" t="4763" r="4128" b="4127"/>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50A13" w14:paraId="279AC006" w14:textId="77777777" w:rsidTr="00C126FC">
      <w:trPr>
        <w:trHeight w:hRule="exact" w:val="340"/>
      </w:trPr>
      <w:tc>
        <w:tcPr>
          <w:tcW w:w="7797" w:type="dxa"/>
        </w:tcPr>
        <w:p w14:paraId="7AF1C18A" w14:textId="77777777" w:rsidR="00650A13" w:rsidRDefault="00650A13" w:rsidP="00650A13">
          <w:pPr>
            <w:pStyle w:val="HeaderOdd"/>
          </w:pPr>
          <w:r w:rsidRPr="00213592">
            <w:rPr>
              <w:position w:val="-2"/>
            </w:rPr>
            <w:t xml:space="preserve">Portfolio Budget </w:t>
          </w:r>
          <w:proofErr w:type="gramStart"/>
          <w:r w:rsidRPr="00213592">
            <w:rPr>
              <w:position w:val="-2"/>
            </w:rPr>
            <w:t>Statements  |</w:t>
          </w:r>
          <w:proofErr w:type="gramEnd"/>
          <w:r>
            <w:t xml:space="preserve">  </w:t>
          </w:r>
          <w:r w:rsidRPr="000635BE">
            <w:rPr>
              <w:rFonts w:ascii="Arial Bold" w:hAnsi="Arial Bold"/>
              <w:b/>
              <w:bCs/>
              <w:noProof/>
              <w:position w:val="-10"/>
            </w:rPr>
            <w:drawing>
              <wp:inline distT="0" distB="0" distL="0" distR="0" wp14:anchorId="76C56770" wp14:editId="0E1E3BE9">
                <wp:extent cx="989308" cy="170121"/>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1FDBC10" w14:textId="510723F8" w:rsidR="00C65397" w:rsidRDefault="00C65397" w:rsidP="00650A13">
    <w:pPr>
      <w:pStyle w:val="HeaderOdd"/>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911C" w14:textId="77777777" w:rsidR="00021348" w:rsidRPr="00137C7E" w:rsidRDefault="00021348" w:rsidP="00021348">
    <w:pPr>
      <w:pStyle w:val="HeaderEven"/>
      <w:framePr w:w="289" w:h="7663" w:hRule="exact" w:wrap="around" w:vAnchor="page" w:hAnchor="page" w:x="14646" w:y="2093" w:anchorLock="1"/>
      <w:jc w:val="right"/>
      <w:textDirection w:val="tbRl"/>
    </w:pPr>
    <w:r w:rsidRPr="004D660D">
      <w:rPr>
        <w:position w:val="-2"/>
      </w:rPr>
      <w:t xml:space="preserve">Portfolio Budget </w:t>
    </w:r>
    <w:proofErr w:type="gramStart"/>
    <w:r w:rsidRPr="004D660D">
      <w:rPr>
        <w:position w:val="-2"/>
      </w:rPr>
      <w:t>Statements</w:t>
    </w:r>
    <w:r>
      <w:t xml:space="preserve">  </w:t>
    </w:r>
    <w:r w:rsidRPr="004D660D">
      <w:rPr>
        <w:position w:val="-2"/>
      </w:rPr>
      <w:t>|</w:t>
    </w:r>
    <w:proofErr w:type="gramEnd"/>
    <w:r w:rsidRPr="004D660D">
      <w:rPr>
        <w:position w:val="-2"/>
      </w:rPr>
      <w:t xml:space="preserve">  </w:t>
    </w:r>
    <w:r w:rsidRPr="000635BE">
      <w:rPr>
        <w:rFonts w:ascii="Arial Bold" w:hAnsi="Arial Bold"/>
        <w:b/>
        <w:bCs/>
        <w:noProof/>
        <w:position w:val="-10"/>
      </w:rPr>
      <w:drawing>
        <wp:inline distT="0" distB="0" distL="0" distR="0" wp14:anchorId="51D0CE37" wp14:editId="5283F550">
          <wp:extent cx="1000760" cy="172091"/>
          <wp:effectExtent l="0" t="4763" r="4128" b="4127"/>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274A6" w14:paraId="4B5DEFFC" w14:textId="77777777" w:rsidTr="00B776BA">
      <w:trPr>
        <w:trHeight w:hRule="exact" w:val="340"/>
      </w:trPr>
      <w:tc>
        <w:tcPr>
          <w:tcW w:w="7797" w:type="dxa"/>
        </w:tcPr>
        <w:p w14:paraId="3D178BE0" w14:textId="77777777" w:rsidR="00A274A6" w:rsidRDefault="00A274A6" w:rsidP="00050A97">
          <w:pPr>
            <w:pStyle w:val="HeaderEven"/>
            <w:ind w:left="-113"/>
          </w:pPr>
          <w:r w:rsidRPr="000635BE">
            <w:rPr>
              <w:rFonts w:ascii="Arial Bold" w:hAnsi="Arial Bold"/>
              <w:b/>
              <w:bCs/>
              <w:noProof/>
              <w:position w:val="-10"/>
            </w:rPr>
            <w:drawing>
              <wp:inline distT="0" distB="0" distL="0" distR="0" wp14:anchorId="6DCC67B1" wp14:editId="55B2E6A3">
                <wp:extent cx="989308" cy="170121"/>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proofErr w:type="gramStart"/>
          <w:r w:rsidRPr="00213592">
            <w:rPr>
              <w:position w:val="-2"/>
            </w:rPr>
            <w:t>|  Portfolio</w:t>
          </w:r>
          <w:proofErr w:type="gramEnd"/>
          <w:r w:rsidRPr="00213592">
            <w:rPr>
              <w:position w:val="-2"/>
            </w:rPr>
            <w:t xml:space="preserve"> Budget Statements</w:t>
          </w:r>
        </w:p>
      </w:tc>
    </w:tr>
  </w:tbl>
  <w:p w14:paraId="49EE57B9" w14:textId="46C184A4" w:rsidR="00C65397" w:rsidRPr="00F00984" w:rsidRDefault="00C65397" w:rsidP="00650A13">
    <w:pPr>
      <w:pStyle w:val="HeaderEven"/>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A8CF" w14:textId="77777777" w:rsidR="00650A13" w:rsidRPr="00137C7E" w:rsidRDefault="00650A13" w:rsidP="00021348">
    <w:pPr>
      <w:pStyle w:val="HeaderEven"/>
      <w:framePr w:w="289" w:h="7663" w:hRule="exact" w:wrap="around" w:vAnchor="page" w:hAnchor="page" w:x="14646" w:y="2093" w:anchorLock="1"/>
      <w:textDirection w:val="tbRl"/>
    </w:pPr>
    <w:bookmarkStart w:id="33" w:name="_Hlk98797475"/>
    <w:r w:rsidRPr="000635BE">
      <w:rPr>
        <w:rFonts w:ascii="Arial Bold" w:hAnsi="Arial Bold"/>
        <w:b/>
        <w:bCs/>
        <w:noProof/>
        <w:position w:val="-10"/>
      </w:rPr>
      <w:drawing>
        <wp:inline distT="0" distB="0" distL="0" distR="0" wp14:anchorId="490BCF55" wp14:editId="651DC7EB">
          <wp:extent cx="1000760" cy="172091"/>
          <wp:effectExtent l="0" t="4763" r="4128" b="4127"/>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t xml:space="preserve">  </w:t>
    </w:r>
    <w:proofErr w:type="gramStart"/>
    <w:r w:rsidRPr="004D660D">
      <w:rPr>
        <w:position w:val="-2"/>
      </w:rPr>
      <w:t>|  Portfolio</w:t>
    </w:r>
    <w:proofErr w:type="gramEnd"/>
    <w:r w:rsidRPr="004D660D">
      <w:rPr>
        <w:position w:val="-2"/>
      </w:rPr>
      <w:t xml:space="preserve"> Budget Statements</w:t>
    </w:r>
  </w:p>
  <w:bookmarkEnd w:id="33"/>
  <w:p w14:paraId="6999B6EF" w14:textId="77777777" w:rsidR="00650A13" w:rsidRPr="00F00984" w:rsidRDefault="00650A13" w:rsidP="00F00984">
    <w:pPr>
      <w:pStyle w:val="HeaderEven"/>
    </w:pPr>
    <w:r>
      <w:rPr>
        <w:noProof/>
      </w:rPr>
      <mc:AlternateContent>
        <mc:Choice Requires="wps">
          <w:drawing>
            <wp:anchor distT="0" distB="0" distL="114300" distR="114300" simplePos="0" relativeHeight="251658240" behindDoc="0" locked="0" layoutInCell="1" allowOverlap="1" wp14:anchorId="428B6C9F" wp14:editId="79D2D8F7">
              <wp:simplePos x="0" y="0"/>
              <wp:positionH relativeFrom="page">
                <wp:posOffset>480060</wp:posOffset>
              </wp:positionH>
              <wp:positionV relativeFrom="margin">
                <wp:align>center</wp:align>
              </wp:positionV>
              <wp:extent cx="942975" cy="4876800"/>
              <wp:effectExtent l="0" t="0" r="9525" b="0"/>
              <wp:wrapNone/>
              <wp:docPr id="12" name="Text Box 6" descr="Landscape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87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A6C0A" w14:textId="345CA8C1" w:rsidR="00650A13" w:rsidRDefault="00650A13" w:rsidP="00021348">
                          <w:pPr>
                            <w:pStyle w:val="FooterEven"/>
                          </w:pPr>
                          <w:r w:rsidRPr="00B3705D">
                            <w:rPr>
                              <w:b/>
                            </w:rPr>
                            <w:t xml:space="preserve">Page </w:t>
                          </w:r>
                          <w:r w:rsidRPr="00B3705D">
                            <w:rPr>
                              <w:b/>
                              <w:bCs w:val="0"/>
                            </w:rPr>
                            <w:fldChar w:fldCharType="begin"/>
                          </w:r>
                          <w:r w:rsidRPr="00B3705D">
                            <w:rPr>
                              <w:b/>
                            </w:rPr>
                            <w:instrText xml:space="preserve"> PAGE  \* Arabic  \* MERGEFORMAT </w:instrText>
                          </w:r>
                          <w:r w:rsidRPr="00B3705D">
                            <w:rPr>
                              <w:b/>
                              <w:bCs w:val="0"/>
                            </w:rPr>
                            <w:fldChar w:fldCharType="separate"/>
                          </w:r>
                          <w:r>
                            <w:rPr>
                              <w:b/>
                              <w:bCs w:val="0"/>
                            </w:rPr>
                            <w:t>29</w:t>
                          </w:r>
                          <w:r w:rsidRPr="00B3705D">
                            <w:rPr>
                              <w:b/>
                              <w:bCs w:val="0"/>
                            </w:rPr>
                            <w:fldChar w:fldCharType="end"/>
                          </w:r>
                          <w:r w:rsidRPr="00B3705D">
                            <w:t xml:space="preserve">  |  </w:t>
                          </w:r>
                          <w:r w:rsidR="00F84ADD">
                            <w:fldChar w:fldCharType="begin"/>
                          </w:r>
                          <w:r w:rsidR="00F84ADD">
                            <w:instrText>STYLEREF  "Heading 1"  \* MERGEFORMAT</w:instrText>
                          </w:r>
                          <w:r w:rsidR="00F84ADD">
                            <w:fldChar w:fldCharType="separate"/>
                          </w:r>
                          <w:r w:rsidR="00F84ADD" w:rsidRPr="00F84ADD">
                            <w:rPr>
                              <w:noProof/>
                              <w:lang w:val="en-US"/>
                            </w:rPr>
                            <w:t>Department of the Treasury</w:t>
                          </w:r>
                          <w:r w:rsidR="00F84ADD">
                            <w:rPr>
                              <w:noProof/>
                              <w:lang w:val="en-US"/>
                            </w:rPr>
                            <w:fldChar w:fldCharType="end"/>
                          </w:r>
                        </w:p>
                        <w:p w14:paraId="485F89C8" w14:textId="77777777" w:rsidR="00650A13" w:rsidRDefault="00650A13" w:rsidP="00021348">
                          <w:pPr>
                            <w:pStyle w:val="FileProperties"/>
                            <w:tabs>
                              <w:tab w:val="right" w:pos="7711"/>
                            </w:tabs>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B6C9F" id="_x0000_t202" coordsize="21600,21600" o:spt="202" path="m,l,21600r21600,l21600,xe">
              <v:stroke joinstyle="miter"/>
              <v:path gradientshapeok="t" o:connecttype="rect"/>
            </v:shapetype>
            <v:shape id="Text Box 6" o:spid="_x0000_s1026" type="#_x0000_t202" alt="Landscape Classification Footer" style="position:absolute;margin-left:37.8pt;margin-top:0;width:74.25pt;height:384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" stroked="f">
              <v:textbox style="layout-flow:vertical">
                <w:txbxContent>
                  <w:p w14:paraId="3B8A6C0A" w14:textId="345CA8C1" w:rsidR="00650A13" w:rsidRDefault="00650A13" w:rsidP="00021348">
                    <w:pPr>
                      <w:pStyle w:val="FooterEven"/>
                    </w:pPr>
                    <w:r w:rsidRPr="00B3705D">
                      <w:rPr>
                        <w:b/>
                      </w:rPr>
                      <w:t xml:space="preserve">Page </w:t>
                    </w:r>
                    <w:r w:rsidRPr="00B3705D">
                      <w:rPr>
                        <w:b/>
                        <w:bCs w:val="0"/>
                      </w:rPr>
                      <w:fldChar w:fldCharType="begin"/>
                    </w:r>
                    <w:r w:rsidRPr="00B3705D">
                      <w:rPr>
                        <w:b/>
                      </w:rPr>
                      <w:instrText xml:space="preserve"> PAGE  \* Arabic  \* MERGEFORMAT </w:instrText>
                    </w:r>
                    <w:r w:rsidRPr="00B3705D">
                      <w:rPr>
                        <w:b/>
                        <w:bCs w:val="0"/>
                      </w:rPr>
                      <w:fldChar w:fldCharType="separate"/>
                    </w:r>
                    <w:r>
                      <w:rPr>
                        <w:b/>
                        <w:bCs w:val="0"/>
                      </w:rPr>
                      <w:t>29</w:t>
                    </w:r>
                    <w:r w:rsidRPr="00B3705D">
                      <w:rPr>
                        <w:b/>
                        <w:bCs w:val="0"/>
                      </w:rPr>
                      <w:fldChar w:fldCharType="end"/>
                    </w:r>
                    <w:r w:rsidRPr="00B3705D">
                      <w:t xml:space="preserve">  |  </w:t>
                    </w:r>
                    <w:r w:rsidR="00F84ADD">
                      <w:fldChar w:fldCharType="begin"/>
                    </w:r>
                    <w:r w:rsidR="00F84ADD">
                      <w:instrText>STYLEREF  "Heading 1"  \* MERGEFORMAT</w:instrText>
                    </w:r>
                    <w:r w:rsidR="00F84ADD">
                      <w:fldChar w:fldCharType="separate"/>
                    </w:r>
                    <w:r w:rsidR="00F84ADD" w:rsidRPr="00F84ADD">
                      <w:rPr>
                        <w:noProof/>
                        <w:lang w:val="en-US"/>
                      </w:rPr>
                      <w:t>Department of the Treasury</w:t>
                    </w:r>
                    <w:r w:rsidR="00F84ADD">
                      <w:rPr>
                        <w:noProof/>
                        <w:lang w:val="en-US"/>
                      </w:rPr>
                      <w:fldChar w:fldCharType="end"/>
                    </w:r>
                  </w:p>
                  <w:p w14:paraId="485F89C8" w14:textId="77777777" w:rsidR="00650A13" w:rsidRDefault="00650A13" w:rsidP="00021348">
                    <w:pPr>
                      <w:pStyle w:val="FileProperties"/>
                      <w:tabs>
                        <w:tab w:val="right" w:pos="7711"/>
                      </w:tabs>
                    </w:pPr>
                  </w:p>
                </w:txbxContent>
              </v:textbox>
              <w10:wrap anchorx="page"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BEFD" w14:textId="77777777" w:rsidR="00650A13" w:rsidRPr="00137C7E" w:rsidRDefault="00650A13" w:rsidP="00021348">
    <w:pPr>
      <w:pStyle w:val="HeaderEven"/>
      <w:framePr w:w="289" w:h="7663" w:hRule="exact" w:wrap="around" w:vAnchor="page" w:hAnchor="page" w:x="14646" w:y="2093" w:anchorLock="1"/>
      <w:jc w:val="right"/>
      <w:textDirection w:val="tbRl"/>
    </w:pPr>
    <w:bookmarkStart w:id="34" w:name="_Hlk98789016"/>
    <w:r w:rsidRPr="004D660D">
      <w:rPr>
        <w:position w:val="-2"/>
      </w:rPr>
      <w:t xml:space="preserve">Portfolio Budget </w:t>
    </w:r>
    <w:proofErr w:type="gramStart"/>
    <w:r w:rsidRPr="004D660D">
      <w:rPr>
        <w:position w:val="-2"/>
      </w:rPr>
      <w:t>Statements</w:t>
    </w:r>
    <w:r>
      <w:t xml:space="preserve">  </w:t>
    </w:r>
    <w:r w:rsidRPr="004D660D">
      <w:rPr>
        <w:position w:val="-2"/>
      </w:rPr>
      <w:t>|</w:t>
    </w:r>
    <w:proofErr w:type="gramEnd"/>
    <w:r w:rsidRPr="004D660D">
      <w:rPr>
        <w:position w:val="-2"/>
      </w:rPr>
      <w:t xml:space="preserve">  </w:t>
    </w:r>
    <w:r w:rsidRPr="000635BE">
      <w:rPr>
        <w:rFonts w:ascii="Arial Bold" w:hAnsi="Arial Bold"/>
        <w:b/>
        <w:bCs/>
        <w:noProof/>
        <w:position w:val="-10"/>
      </w:rPr>
      <w:drawing>
        <wp:inline distT="0" distB="0" distL="0" distR="0" wp14:anchorId="3CBE35E2" wp14:editId="6825F80A">
          <wp:extent cx="1000760" cy="172091"/>
          <wp:effectExtent l="0" t="4763" r="4128" b="4127"/>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r w:rsidRPr="004D660D">
      <w:rPr>
        <w:position w:val="-2"/>
      </w:rPr>
      <w:t xml:space="preserve"> </w:t>
    </w:r>
  </w:p>
  <w:bookmarkEnd w:id="34"/>
  <w:p w14:paraId="24C1E014" w14:textId="52C94975" w:rsidR="00650A13" w:rsidRDefault="00650A13" w:rsidP="00F00984">
    <w:pPr>
      <w:pStyle w:val="HeaderOdd"/>
    </w:pPr>
    <w:r w:rsidRPr="005E792C">
      <w:rPr>
        <w:noProof/>
        <w:sz w:val="2"/>
        <w:szCs w:val="2"/>
      </w:rPr>
      <mc:AlternateContent>
        <mc:Choice Requires="wps">
          <w:drawing>
            <wp:anchor distT="0" distB="0" distL="114300" distR="114300" simplePos="0" relativeHeight="251658241" behindDoc="0" locked="0" layoutInCell="1" allowOverlap="1" wp14:anchorId="13A988C7" wp14:editId="69F0F868">
              <wp:simplePos x="0" y="0"/>
              <wp:positionH relativeFrom="column">
                <wp:posOffset>-599440</wp:posOffset>
              </wp:positionH>
              <wp:positionV relativeFrom="margin">
                <wp:align>bottom</wp:align>
              </wp:positionV>
              <wp:extent cx="399600" cy="4896000"/>
              <wp:effectExtent l="0" t="0" r="635" b="0"/>
              <wp:wrapNone/>
              <wp:docPr id="13"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9CFBDEE" w14:textId="45F1D3AB" w:rsidR="00650A13" w:rsidRDefault="00F84ADD" w:rsidP="00021348">
                          <w:pPr>
                            <w:pStyle w:val="FooterEven"/>
                            <w:jc w:val="right"/>
                          </w:pPr>
                          <w:r>
                            <w:fldChar w:fldCharType="begin"/>
                          </w:r>
                          <w:r>
                            <w:instrText>STYLEREF  "Heading 1"  \* MERGEFORMAT</w:instrText>
                          </w:r>
                          <w:r>
                            <w:fldChar w:fldCharType="separate"/>
                          </w:r>
                          <w:r w:rsidR="009E3180" w:rsidRPr="009E3180">
                            <w:rPr>
                              <w:noProof/>
                              <w:lang w:val="en-US"/>
                            </w:rPr>
                            <w:t>Department of the Treasury</w:t>
                          </w:r>
                          <w:r>
                            <w:rPr>
                              <w:noProof/>
                              <w:lang w:val="en-US"/>
                            </w:rPr>
                            <w:fldChar w:fldCharType="end"/>
                          </w:r>
                          <w:r w:rsidR="00650A13" w:rsidRPr="00F844CA">
                            <w:rPr>
                              <w:noProof/>
                            </w:rPr>
                            <w:t xml:space="preserve"> </w:t>
                          </w:r>
                          <w:r w:rsidR="00650A13">
                            <w:rPr>
                              <w:noProof/>
                            </w:rPr>
                            <w:t xml:space="preserve"> |  </w:t>
                          </w:r>
                          <w:r w:rsidR="00650A13" w:rsidRPr="006E442F">
                            <w:rPr>
                              <w:b/>
                              <w:bCs w:val="0"/>
                            </w:rPr>
                            <w:t xml:space="preserve">Page </w:t>
                          </w:r>
                          <w:r w:rsidR="00650A13" w:rsidRPr="006E442F">
                            <w:rPr>
                              <w:b/>
                              <w:bCs w:val="0"/>
                            </w:rPr>
                            <w:fldChar w:fldCharType="begin"/>
                          </w:r>
                          <w:r w:rsidR="00650A13" w:rsidRPr="006E442F">
                            <w:rPr>
                              <w:b/>
                              <w:bCs w:val="0"/>
                            </w:rPr>
                            <w:instrText xml:space="preserve"> PAGE   \* MERGEFORMAT </w:instrText>
                          </w:r>
                          <w:r w:rsidR="00650A13" w:rsidRPr="006E442F">
                            <w:rPr>
                              <w:b/>
                              <w:bCs w:val="0"/>
                            </w:rPr>
                            <w:fldChar w:fldCharType="separate"/>
                          </w:r>
                          <w:r w:rsidR="00650A13">
                            <w:rPr>
                              <w:b/>
                              <w:bCs w:val="0"/>
                            </w:rPr>
                            <w:t>28</w:t>
                          </w:r>
                          <w:r w:rsidR="00650A13" w:rsidRPr="006E442F">
                            <w:rPr>
                              <w:b/>
                              <w:bCs w:val="0"/>
                              <w:noProof/>
                            </w:rPr>
                            <w:fldChar w:fldCharType="end"/>
                          </w:r>
                          <w:r w:rsidR="00650A13">
                            <w:rPr>
                              <w:noProof/>
                            </w:rPr>
                            <w:t xml:space="preserve"> </w:t>
                          </w:r>
                        </w:p>
                        <w:p w14:paraId="21B6274F" w14:textId="77777777" w:rsidR="00650A13" w:rsidRDefault="00650A13" w:rsidP="00021348">
                          <w:pPr>
                            <w:pStyle w:val="FooterEven"/>
                            <w:jc w:val="right"/>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988C7" id="_x0000_t202" coordsize="21600,21600" o:spt="202" path="m,l,21600r21600,l21600,xe">
              <v:stroke joinstyle="miter"/>
              <v:path gradientshapeok="t" o:connecttype="rect"/>
            </v:shapetype>
            <v:shape id="Text Box 7" o:spid="_x0000_s1027" type="#_x0000_t202" alt="Landscape Page Number" style="position:absolute;left:0;text-align:left;margin-left:-47.2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" stroked="f">
              <v:textbox style="layout-flow:vertical" inset="0,0,0,0">
                <w:txbxContent>
                  <w:p w14:paraId="29CFBDEE" w14:textId="45F1D3AB" w:rsidR="00650A13" w:rsidRDefault="00F84ADD" w:rsidP="00021348">
                    <w:pPr>
                      <w:pStyle w:val="FooterEven"/>
                      <w:jc w:val="right"/>
                    </w:pPr>
                    <w:r>
                      <w:fldChar w:fldCharType="begin"/>
                    </w:r>
                    <w:r>
                      <w:instrText>STYLEREF  "Heading 1"  \* MERGEFORMAT</w:instrText>
                    </w:r>
                    <w:r>
                      <w:fldChar w:fldCharType="separate"/>
                    </w:r>
                    <w:r w:rsidR="009E3180" w:rsidRPr="009E3180">
                      <w:rPr>
                        <w:noProof/>
                        <w:lang w:val="en-US"/>
                      </w:rPr>
                      <w:t>Department of the Treasury</w:t>
                    </w:r>
                    <w:r>
                      <w:rPr>
                        <w:noProof/>
                        <w:lang w:val="en-US"/>
                      </w:rPr>
                      <w:fldChar w:fldCharType="end"/>
                    </w:r>
                    <w:r w:rsidR="00650A13" w:rsidRPr="00F844CA">
                      <w:rPr>
                        <w:noProof/>
                      </w:rPr>
                      <w:t xml:space="preserve"> </w:t>
                    </w:r>
                    <w:r w:rsidR="00650A13">
                      <w:rPr>
                        <w:noProof/>
                      </w:rPr>
                      <w:t xml:space="preserve"> |  </w:t>
                    </w:r>
                    <w:r w:rsidR="00650A13" w:rsidRPr="006E442F">
                      <w:rPr>
                        <w:b/>
                        <w:bCs w:val="0"/>
                      </w:rPr>
                      <w:t xml:space="preserve">Page </w:t>
                    </w:r>
                    <w:r w:rsidR="00650A13" w:rsidRPr="006E442F">
                      <w:rPr>
                        <w:b/>
                        <w:bCs w:val="0"/>
                      </w:rPr>
                      <w:fldChar w:fldCharType="begin"/>
                    </w:r>
                    <w:r w:rsidR="00650A13" w:rsidRPr="006E442F">
                      <w:rPr>
                        <w:b/>
                        <w:bCs w:val="0"/>
                      </w:rPr>
                      <w:instrText xml:space="preserve"> PAGE   \* MERGEFORMAT </w:instrText>
                    </w:r>
                    <w:r w:rsidR="00650A13" w:rsidRPr="006E442F">
                      <w:rPr>
                        <w:b/>
                        <w:bCs w:val="0"/>
                      </w:rPr>
                      <w:fldChar w:fldCharType="separate"/>
                    </w:r>
                    <w:r w:rsidR="00650A13">
                      <w:rPr>
                        <w:b/>
                        <w:bCs w:val="0"/>
                      </w:rPr>
                      <w:t>28</w:t>
                    </w:r>
                    <w:r w:rsidR="00650A13" w:rsidRPr="006E442F">
                      <w:rPr>
                        <w:b/>
                        <w:bCs w:val="0"/>
                        <w:noProof/>
                      </w:rPr>
                      <w:fldChar w:fldCharType="end"/>
                    </w:r>
                    <w:r w:rsidR="00650A13">
                      <w:rPr>
                        <w:noProof/>
                      </w:rPr>
                      <w:t xml:space="preserve"> </w:t>
                    </w:r>
                  </w:p>
                  <w:p w14:paraId="21B6274F" w14:textId="77777777" w:rsidR="00650A13" w:rsidRDefault="00650A13" w:rsidP="00021348">
                    <w:pPr>
                      <w:pStyle w:val="FooterEven"/>
                      <w:jc w:val="right"/>
                    </w:pPr>
                  </w:p>
                </w:txbxContent>
              </v:textbox>
              <w10:wrap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6179" w14:textId="0D192658" w:rsidR="00650A13" w:rsidRPr="00F00984" w:rsidRDefault="00C66205" w:rsidP="00695014">
    <w:pPr>
      <w:pStyle w:val="HeaderEven"/>
      <w:jc w:val="right"/>
    </w:pPr>
    <w:r w:rsidRPr="00D37F21">
      <w:rPr>
        <w:noProof/>
        <w:sz w:val="32"/>
        <w:szCs w:val="32"/>
      </w:rPr>
      <mc:AlternateContent>
        <mc:Choice Requires="wps">
          <w:drawing>
            <wp:anchor distT="0" distB="0" distL="114300" distR="114300" simplePos="0" relativeHeight="251658247" behindDoc="0" locked="0" layoutInCell="1" allowOverlap="1" wp14:anchorId="2DDAF290" wp14:editId="43983935">
              <wp:simplePos x="0" y="0"/>
              <wp:positionH relativeFrom="column">
                <wp:posOffset>7560945</wp:posOffset>
              </wp:positionH>
              <wp:positionV relativeFrom="margin">
                <wp:posOffset>0</wp:posOffset>
              </wp:positionV>
              <wp:extent cx="399600" cy="4896000"/>
              <wp:effectExtent l="0" t="0" r="635" b="0"/>
              <wp:wrapNone/>
              <wp:docPr id="7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3AF42" w14:textId="77777777" w:rsidR="00C66205" w:rsidRPr="00137C7E" w:rsidRDefault="00C66205"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4BF7668B" wp14:editId="6D25CE17">
                                <wp:extent cx="1000760" cy="172091"/>
                                <wp:effectExtent l="0" t="4763" r="4128" b="4127"/>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F290" id="_x0000_t202" coordsize="21600,21600" o:spt="202" path="m,l,21600r21600,l21600,xe">
              <v:stroke joinstyle="miter"/>
              <v:path gradientshapeok="t" o:connecttype="rect"/>
            </v:shapetype>
            <v:shape id="_x0000_s1028" type="#_x0000_t202" alt="Landscape Odd Header" style="position:absolute;left:0;text-align:left;margin-left:595.35pt;margin-top:0;width:31.45pt;height:38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" stroked="f">
              <v:textbox style="layout-flow:vertical" inset="0,0,0,0">
                <w:txbxContent>
                  <w:p w14:paraId="58D3AF42" w14:textId="77777777" w:rsidR="00C66205" w:rsidRPr="00137C7E" w:rsidRDefault="00C66205" w:rsidP="005C224F">
                    <w:pPr>
                      <w:pStyle w:val="HeaderOdd"/>
                    </w:pPr>
                    <w:r w:rsidRPr="004D660D">
                      <w:rPr>
                        <w:position w:val="-2"/>
                      </w:rPr>
                      <w:t>Portfolio Budget Statements  |</w:t>
                    </w:r>
                    <w:r>
                      <w:t xml:space="preserve">  </w:t>
                    </w:r>
                    <w:r w:rsidRPr="000635BE">
                      <w:rPr>
                        <w:rFonts w:ascii="Arial Bold" w:hAnsi="Arial Bold"/>
                        <w:b/>
                        <w:bCs/>
                        <w:noProof/>
                        <w:position w:val="-10"/>
                      </w:rPr>
                      <w:drawing>
                        <wp:inline distT="0" distB="0" distL="0" distR="0" wp14:anchorId="4BF7668B" wp14:editId="6D25CE17">
                          <wp:extent cx="1000760" cy="172091"/>
                          <wp:effectExtent l="0" t="4763" r="4128" b="4127"/>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172091"/>
                                  </a:xfrm>
                                  <a:prstGeom prst="rect">
                                    <a:avLst/>
                                  </a:prstGeom>
                                  <a:noFill/>
                                </pic:spPr>
                              </pic:pic>
                            </a:graphicData>
                          </a:graphic>
                        </wp:inline>
                      </w:drawing>
                    </w:r>
                  </w:p>
                </w:txbxContent>
              </v:textbox>
              <w10:wrap anchory="margin"/>
            </v:shape>
          </w:pict>
        </mc:Fallback>
      </mc:AlternateContent>
    </w:r>
    <w:r w:rsidRPr="005E792C">
      <w:rPr>
        <w:noProof/>
        <w:sz w:val="2"/>
        <w:szCs w:val="2"/>
      </w:rPr>
      <mc:AlternateContent>
        <mc:Choice Requires="wps">
          <w:drawing>
            <wp:anchor distT="0" distB="0" distL="114300" distR="114300" simplePos="0" relativeHeight="251658246" behindDoc="0" locked="0" layoutInCell="1" allowOverlap="1" wp14:anchorId="3D19D56D" wp14:editId="231D8799">
              <wp:simplePos x="0" y="0"/>
              <wp:positionH relativeFrom="column">
                <wp:posOffset>-541020</wp:posOffset>
              </wp:positionH>
              <wp:positionV relativeFrom="margin">
                <wp:posOffset>0</wp:posOffset>
              </wp:positionV>
              <wp:extent cx="399600" cy="4896000"/>
              <wp:effectExtent l="0" t="0" r="635" b="0"/>
              <wp:wrapNone/>
              <wp:docPr id="7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E56B8BC" w14:textId="264A175F" w:rsidR="00C66205" w:rsidRPr="005C224F" w:rsidRDefault="00C66205" w:rsidP="005C224F">
                          <w:pPr>
                            <w:pStyle w:val="FooterOdd"/>
                            <w:rPr>
                              <w:lang w:val="en-AU"/>
                            </w:rPr>
                          </w:pPr>
                          <w:r w:rsidRPr="00B3705D">
                            <w:t xml:space="preserve">  </w:t>
                          </w:r>
                          <w:r w:rsidR="00F84ADD">
                            <w:fldChar w:fldCharType="begin"/>
                          </w:r>
                          <w:r w:rsidR="00F84ADD">
                            <w:instrText xml:space="preserve"> STYLEREF  "Heading 1"  \* MERGEFORMAT </w:instrText>
                          </w:r>
                          <w:r w:rsidR="00F84ADD">
                            <w:fldChar w:fldCharType="separate"/>
                          </w:r>
                          <w:r w:rsidR="009E3180">
                            <w:rPr>
                              <w:noProof/>
                            </w:rPr>
                            <w:t>Department of the Treasury</w:t>
                          </w:r>
                          <w:r w:rsidR="00F84ADD">
                            <w:rPr>
                              <w:noProof/>
                            </w:rPr>
                            <w:fldChar w:fldCharType="end"/>
                          </w:r>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9D56D" id="_x0000_t202" coordsize="21600,21600" o:spt="202" path="m,l,21600r21600,l21600,xe">
              <v:stroke joinstyle="miter"/>
              <v:path gradientshapeok="t" o:connecttype="rect"/>
            </v:shapetype>
            <v:shape id="_x0000_s1029" type="#_x0000_t202" alt="Landscape Page Number" style="position:absolute;left:0;text-align:left;margin-left:-42.6pt;margin-top:0;width:31.45pt;height:38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" stroked="f">
              <v:textbox style="layout-flow:vertical" inset="0,0,0,0">
                <w:txbxContent>
                  <w:p w14:paraId="2E56B8BC" w14:textId="264A175F" w:rsidR="00C66205" w:rsidRPr="005C224F" w:rsidRDefault="00C66205" w:rsidP="005C224F">
                    <w:pPr>
                      <w:pStyle w:val="FooterOdd"/>
                      <w:rPr>
                        <w:lang w:val="en-AU"/>
                      </w:rPr>
                    </w:pPr>
                    <w:r w:rsidRPr="00B3705D">
                      <w:t xml:space="preserve">  </w:t>
                    </w:r>
                    <w:r w:rsidR="00F84ADD">
                      <w:fldChar w:fldCharType="begin"/>
                    </w:r>
                    <w:r w:rsidR="00F84ADD">
                      <w:instrText xml:space="preserve"> STYLEREF  "Heading 1"  \* MERGEFORMAT </w:instrText>
                    </w:r>
                    <w:r w:rsidR="00F84ADD">
                      <w:fldChar w:fldCharType="separate"/>
                    </w:r>
                    <w:r w:rsidR="009E3180">
                      <w:rPr>
                        <w:noProof/>
                      </w:rPr>
                      <w:t>Department of the Treasury</w:t>
                    </w:r>
                    <w:r w:rsidR="00F84ADD">
                      <w:rPr>
                        <w:noProof/>
                      </w:rPr>
                      <w:fldChar w:fldCharType="end"/>
                    </w:r>
                    <w:r>
                      <w:rPr>
                        <w:noProof/>
                        <w:lang w:val="en-AU"/>
                      </w:rPr>
                      <w:t xml:space="preserve">  |  </w: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43</w:t>
                    </w:r>
                    <w:r w:rsidRPr="00B3705D">
                      <w:rPr>
                        <w:b/>
                        <w:bCs/>
                      </w:rPr>
                      <w:fldChar w:fldCharType="end"/>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3605250C"/>
    <w:multiLevelType w:val="multilevel"/>
    <w:tmpl w:val="6960E058"/>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8" w15:restartNumberingAfterBreak="0">
    <w:nsid w:val="41C862E5"/>
    <w:multiLevelType w:val="hybridMultilevel"/>
    <w:tmpl w:val="5D223A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9"/>
  </w:num>
  <w:num w:numId="2">
    <w:abstractNumId w:val="1"/>
  </w:num>
  <w:num w:numId="3">
    <w:abstractNumId w:val="11"/>
  </w:num>
  <w:num w:numId="4">
    <w:abstractNumId w:val="12"/>
  </w:num>
  <w:num w:numId="5">
    <w:abstractNumId w:val="4"/>
  </w:num>
  <w:num w:numId="6">
    <w:abstractNumId w:val="10"/>
  </w:num>
  <w:num w:numId="7">
    <w:abstractNumId w:val="7"/>
    <w:lvlOverride w:ilvl="0">
      <w:startOverride w:val="1"/>
    </w:lvlOverride>
  </w:num>
  <w:num w:numId="8">
    <w:abstractNumId w:val="7"/>
    <w:lvlOverride w:ilvl="0">
      <w:startOverride w:val="1"/>
    </w:lvlOverride>
  </w:num>
  <w:num w:numId="9">
    <w:abstractNumId w:val="0"/>
  </w:num>
  <w:num w:numId="10">
    <w:abstractNumId w:val="7"/>
    <w:lvlOverride w:ilvl="0">
      <w:startOverride w:val="1"/>
    </w:lvlOverride>
  </w:num>
  <w:num w:numId="11">
    <w:abstractNumId w:val="7"/>
    <w:lvlOverride w:ilvl="0">
      <w:startOverride w:val="1"/>
    </w:lvlOverride>
  </w:num>
  <w:num w:numId="12">
    <w:abstractNumId w:val="3"/>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8"/>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6"/>
  </w:num>
  <w:num w:numId="21">
    <w:abstractNumId w:val="7"/>
    <w:lvlOverride w:ilvl="0">
      <w:startOverride w:val="1"/>
    </w:lvlOverride>
  </w:num>
  <w:num w:numId="22">
    <w:abstractNumId w:val="7"/>
    <w:lvlOverride w:ilvl="0">
      <w:startOverride w:val="1"/>
    </w:lvlOverride>
  </w:num>
  <w:num w:numId="23">
    <w:abstractNumId w:val="4"/>
  </w:num>
  <w:num w:numId="24">
    <w:abstractNumId w:val="7"/>
    <w:lvlOverride w:ilvl="0">
      <w:startOverride w:val="1"/>
    </w:lvlOverride>
  </w:num>
  <w:num w:numId="2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10657F"/>
    <w:rsid w:val="000000C3"/>
    <w:rsid w:val="00002B44"/>
    <w:rsid w:val="0000358C"/>
    <w:rsid w:val="00003AC4"/>
    <w:rsid w:val="00003CA0"/>
    <w:rsid w:val="00003FFA"/>
    <w:rsid w:val="0000595C"/>
    <w:rsid w:val="00006AE4"/>
    <w:rsid w:val="00006B50"/>
    <w:rsid w:val="0000711B"/>
    <w:rsid w:val="0001294C"/>
    <w:rsid w:val="00012BB0"/>
    <w:rsid w:val="00013D25"/>
    <w:rsid w:val="0001438C"/>
    <w:rsid w:val="00015D19"/>
    <w:rsid w:val="0001615A"/>
    <w:rsid w:val="00016D95"/>
    <w:rsid w:val="00017619"/>
    <w:rsid w:val="00017840"/>
    <w:rsid w:val="00020573"/>
    <w:rsid w:val="00020E31"/>
    <w:rsid w:val="00021348"/>
    <w:rsid w:val="000216BF"/>
    <w:rsid w:val="000216E3"/>
    <w:rsid w:val="00021DA6"/>
    <w:rsid w:val="000220B0"/>
    <w:rsid w:val="00022415"/>
    <w:rsid w:val="00023CED"/>
    <w:rsid w:val="00025CB2"/>
    <w:rsid w:val="000300D7"/>
    <w:rsid w:val="000304FC"/>
    <w:rsid w:val="00030FDA"/>
    <w:rsid w:val="0003384E"/>
    <w:rsid w:val="00033F08"/>
    <w:rsid w:val="00034B3A"/>
    <w:rsid w:val="00034C41"/>
    <w:rsid w:val="0003503B"/>
    <w:rsid w:val="00036095"/>
    <w:rsid w:val="000364F3"/>
    <w:rsid w:val="000366AE"/>
    <w:rsid w:val="000369AC"/>
    <w:rsid w:val="0003724F"/>
    <w:rsid w:val="00037BA1"/>
    <w:rsid w:val="000413D4"/>
    <w:rsid w:val="00042FDD"/>
    <w:rsid w:val="00043256"/>
    <w:rsid w:val="00044CF1"/>
    <w:rsid w:val="0004509D"/>
    <w:rsid w:val="00045667"/>
    <w:rsid w:val="000476D8"/>
    <w:rsid w:val="0005030D"/>
    <w:rsid w:val="00050A9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19A"/>
    <w:rsid w:val="000725C0"/>
    <w:rsid w:val="00072DE3"/>
    <w:rsid w:val="00074CE6"/>
    <w:rsid w:val="00075E2A"/>
    <w:rsid w:val="000768A5"/>
    <w:rsid w:val="00077277"/>
    <w:rsid w:val="0007743A"/>
    <w:rsid w:val="00080069"/>
    <w:rsid w:val="00080125"/>
    <w:rsid w:val="0008089D"/>
    <w:rsid w:val="00080F4F"/>
    <w:rsid w:val="00081CBC"/>
    <w:rsid w:val="00082159"/>
    <w:rsid w:val="0008449F"/>
    <w:rsid w:val="000846ED"/>
    <w:rsid w:val="000877D2"/>
    <w:rsid w:val="00090681"/>
    <w:rsid w:val="000924A7"/>
    <w:rsid w:val="000924B7"/>
    <w:rsid w:val="00093177"/>
    <w:rsid w:val="00093D79"/>
    <w:rsid w:val="00094B28"/>
    <w:rsid w:val="00094B9A"/>
    <w:rsid w:val="00095829"/>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5CC3"/>
    <w:rsid w:val="000A6897"/>
    <w:rsid w:val="000A6DBE"/>
    <w:rsid w:val="000A7E1F"/>
    <w:rsid w:val="000B1FC4"/>
    <w:rsid w:val="000B21D6"/>
    <w:rsid w:val="000B2404"/>
    <w:rsid w:val="000B36D8"/>
    <w:rsid w:val="000B3B7D"/>
    <w:rsid w:val="000B5D69"/>
    <w:rsid w:val="000B6E38"/>
    <w:rsid w:val="000C056F"/>
    <w:rsid w:val="000C1442"/>
    <w:rsid w:val="000C1928"/>
    <w:rsid w:val="000C19B3"/>
    <w:rsid w:val="000C19EF"/>
    <w:rsid w:val="000C2D7D"/>
    <w:rsid w:val="000C3B4E"/>
    <w:rsid w:val="000C3B86"/>
    <w:rsid w:val="000C4A46"/>
    <w:rsid w:val="000C4F54"/>
    <w:rsid w:val="000C55A6"/>
    <w:rsid w:val="000C6A39"/>
    <w:rsid w:val="000C6FB8"/>
    <w:rsid w:val="000D0547"/>
    <w:rsid w:val="000D13E5"/>
    <w:rsid w:val="000D2424"/>
    <w:rsid w:val="000D28EB"/>
    <w:rsid w:val="000D308C"/>
    <w:rsid w:val="000D4262"/>
    <w:rsid w:val="000D43DE"/>
    <w:rsid w:val="000D55B5"/>
    <w:rsid w:val="000D58A1"/>
    <w:rsid w:val="000D7E54"/>
    <w:rsid w:val="000E04C6"/>
    <w:rsid w:val="000E050D"/>
    <w:rsid w:val="000E0A5A"/>
    <w:rsid w:val="000E0A85"/>
    <w:rsid w:val="000E2F5F"/>
    <w:rsid w:val="000E68E3"/>
    <w:rsid w:val="000E6DDB"/>
    <w:rsid w:val="000E72AB"/>
    <w:rsid w:val="000E74A6"/>
    <w:rsid w:val="000F03B1"/>
    <w:rsid w:val="000F08AE"/>
    <w:rsid w:val="000F0DA6"/>
    <w:rsid w:val="000F1AAB"/>
    <w:rsid w:val="000F2D33"/>
    <w:rsid w:val="000F42D2"/>
    <w:rsid w:val="000F43F4"/>
    <w:rsid w:val="000F440E"/>
    <w:rsid w:val="000F6647"/>
    <w:rsid w:val="000F73B7"/>
    <w:rsid w:val="000F7477"/>
    <w:rsid w:val="000F794F"/>
    <w:rsid w:val="000F7E7B"/>
    <w:rsid w:val="001002F8"/>
    <w:rsid w:val="001016EE"/>
    <w:rsid w:val="00101B3A"/>
    <w:rsid w:val="00102294"/>
    <w:rsid w:val="00102654"/>
    <w:rsid w:val="001028CC"/>
    <w:rsid w:val="001045F9"/>
    <w:rsid w:val="0010472B"/>
    <w:rsid w:val="00104F95"/>
    <w:rsid w:val="0010657F"/>
    <w:rsid w:val="001078E6"/>
    <w:rsid w:val="001103B7"/>
    <w:rsid w:val="00111159"/>
    <w:rsid w:val="00111B35"/>
    <w:rsid w:val="00111FFF"/>
    <w:rsid w:val="0011221E"/>
    <w:rsid w:val="00112D0F"/>
    <w:rsid w:val="001133E0"/>
    <w:rsid w:val="00115DE5"/>
    <w:rsid w:val="001163D6"/>
    <w:rsid w:val="0011726A"/>
    <w:rsid w:val="00117C18"/>
    <w:rsid w:val="0012022D"/>
    <w:rsid w:val="00120B5E"/>
    <w:rsid w:val="0012108F"/>
    <w:rsid w:val="00121EB0"/>
    <w:rsid w:val="0012228D"/>
    <w:rsid w:val="00123218"/>
    <w:rsid w:val="001232E4"/>
    <w:rsid w:val="001237BA"/>
    <w:rsid w:val="00123925"/>
    <w:rsid w:val="00126641"/>
    <w:rsid w:val="00126954"/>
    <w:rsid w:val="00132F9E"/>
    <w:rsid w:val="00133D3A"/>
    <w:rsid w:val="001352EE"/>
    <w:rsid w:val="00135505"/>
    <w:rsid w:val="001364A7"/>
    <w:rsid w:val="00136827"/>
    <w:rsid w:val="001375D4"/>
    <w:rsid w:val="00141233"/>
    <w:rsid w:val="00143750"/>
    <w:rsid w:val="00143E88"/>
    <w:rsid w:val="001455D8"/>
    <w:rsid w:val="00146715"/>
    <w:rsid w:val="00146B5E"/>
    <w:rsid w:val="00147346"/>
    <w:rsid w:val="0014790A"/>
    <w:rsid w:val="00150E70"/>
    <w:rsid w:val="00151609"/>
    <w:rsid w:val="00151975"/>
    <w:rsid w:val="00151ABB"/>
    <w:rsid w:val="00152B2B"/>
    <w:rsid w:val="0015405C"/>
    <w:rsid w:val="00154447"/>
    <w:rsid w:val="001549BE"/>
    <w:rsid w:val="00154CDE"/>
    <w:rsid w:val="00154F5B"/>
    <w:rsid w:val="00160C23"/>
    <w:rsid w:val="00161DAC"/>
    <w:rsid w:val="00162B55"/>
    <w:rsid w:val="00162D8B"/>
    <w:rsid w:val="00163101"/>
    <w:rsid w:val="001638E9"/>
    <w:rsid w:val="00164710"/>
    <w:rsid w:val="00165824"/>
    <w:rsid w:val="001666EA"/>
    <w:rsid w:val="00167406"/>
    <w:rsid w:val="00170A1E"/>
    <w:rsid w:val="0017111A"/>
    <w:rsid w:val="00171A85"/>
    <w:rsid w:val="00171E96"/>
    <w:rsid w:val="00172AF5"/>
    <w:rsid w:val="00173F5C"/>
    <w:rsid w:val="00174186"/>
    <w:rsid w:val="00174565"/>
    <w:rsid w:val="00174EC9"/>
    <w:rsid w:val="00175BB3"/>
    <w:rsid w:val="00177A9A"/>
    <w:rsid w:val="001808A4"/>
    <w:rsid w:val="00180FF3"/>
    <w:rsid w:val="001815A5"/>
    <w:rsid w:val="00181A0C"/>
    <w:rsid w:val="00181F30"/>
    <w:rsid w:val="0018207F"/>
    <w:rsid w:val="00182740"/>
    <w:rsid w:val="001833A3"/>
    <w:rsid w:val="00184071"/>
    <w:rsid w:val="001852C5"/>
    <w:rsid w:val="00185A3B"/>
    <w:rsid w:val="00186850"/>
    <w:rsid w:val="001873F9"/>
    <w:rsid w:val="001904A5"/>
    <w:rsid w:val="00190773"/>
    <w:rsid w:val="001923C8"/>
    <w:rsid w:val="001939FF"/>
    <w:rsid w:val="00193A49"/>
    <w:rsid w:val="00194DE8"/>
    <w:rsid w:val="00197990"/>
    <w:rsid w:val="001A0106"/>
    <w:rsid w:val="001A02CB"/>
    <w:rsid w:val="001A02FD"/>
    <w:rsid w:val="001A11DB"/>
    <w:rsid w:val="001A123C"/>
    <w:rsid w:val="001A33F4"/>
    <w:rsid w:val="001A50DE"/>
    <w:rsid w:val="001A53AE"/>
    <w:rsid w:val="001A6256"/>
    <w:rsid w:val="001A65A6"/>
    <w:rsid w:val="001A6EFB"/>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1246"/>
    <w:rsid w:val="001C1E88"/>
    <w:rsid w:val="001C261E"/>
    <w:rsid w:val="001C3AC7"/>
    <w:rsid w:val="001C42D0"/>
    <w:rsid w:val="001C7A6A"/>
    <w:rsid w:val="001C7B78"/>
    <w:rsid w:val="001C7FB4"/>
    <w:rsid w:val="001D0A25"/>
    <w:rsid w:val="001D0BA6"/>
    <w:rsid w:val="001D1354"/>
    <w:rsid w:val="001D1903"/>
    <w:rsid w:val="001D1942"/>
    <w:rsid w:val="001D1D2A"/>
    <w:rsid w:val="001D1DDB"/>
    <w:rsid w:val="001D35D7"/>
    <w:rsid w:val="001D53EA"/>
    <w:rsid w:val="001D6F7C"/>
    <w:rsid w:val="001E0156"/>
    <w:rsid w:val="001E12A5"/>
    <w:rsid w:val="001E1BF9"/>
    <w:rsid w:val="001E1EDB"/>
    <w:rsid w:val="001E3A18"/>
    <w:rsid w:val="001E7093"/>
    <w:rsid w:val="001E717D"/>
    <w:rsid w:val="001E71F5"/>
    <w:rsid w:val="001E7D86"/>
    <w:rsid w:val="001F16A3"/>
    <w:rsid w:val="001F377B"/>
    <w:rsid w:val="001F3CF9"/>
    <w:rsid w:val="001F45A8"/>
    <w:rsid w:val="001F55E5"/>
    <w:rsid w:val="001F5CB9"/>
    <w:rsid w:val="002003A1"/>
    <w:rsid w:val="00200DC3"/>
    <w:rsid w:val="002011E2"/>
    <w:rsid w:val="00201BB9"/>
    <w:rsid w:val="00202925"/>
    <w:rsid w:val="0020297E"/>
    <w:rsid w:val="00202C70"/>
    <w:rsid w:val="002050B0"/>
    <w:rsid w:val="00205D80"/>
    <w:rsid w:val="00206401"/>
    <w:rsid w:val="00210874"/>
    <w:rsid w:val="0021093F"/>
    <w:rsid w:val="00212221"/>
    <w:rsid w:val="002133CA"/>
    <w:rsid w:val="00213592"/>
    <w:rsid w:val="002146B5"/>
    <w:rsid w:val="00214FA2"/>
    <w:rsid w:val="00215783"/>
    <w:rsid w:val="0021644B"/>
    <w:rsid w:val="00216489"/>
    <w:rsid w:val="00216DC9"/>
    <w:rsid w:val="00217CA0"/>
    <w:rsid w:val="002202EB"/>
    <w:rsid w:val="00220FCF"/>
    <w:rsid w:val="00221705"/>
    <w:rsid w:val="00221972"/>
    <w:rsid w:val="00222BAC"/>
    <w:rsid w:val="002231C8"/>
    <w:rsid w:val="00223319"/>
    <w:rsid w:val="00224154"/>
    <w:rsid w:val="00224375"/>
    <w:rsid w:val="00230194"/>
    <w:rsid w:val="00230678"/>
    <w:rsid w:val="00231923"/>
    <w:rsid w:val="002329C3"/>
    <w:rsid w:val="002332AE"/>
    <w:rsid w:val="002333C2"/>
    <w:rsid w:val="002339F7"/>
    <w:rsid w:val="00233F2D"/>
    <w:rsid w:val="00234040"/>
    <w:rsid w:val="00235D67"/>
    <w:rsid w:val="0023626B"/>
    <w:rsid w:val="002376AD"/>
    <w:rsid w:val="00242F07"/>
    <w:rsid w:val="00243020"/>
    <w:rsid w:val="00243B73"/>
    <w:rsid w:val="00244D22"/>
    <w:rsid w:val="00246C09"/>
    <w:rsid w:val="002470E4"/>
    <w:rsid w:val="00247262"/>
    <w:rsid w:val="00247D37"/>
    <w:rsid w:val="0025144C"/>
    <w:rsid w:val="00255CA9"/>
    <w:rsid w:val="0025616B"/>
    <w:rsid w:val="00257285"/>
    <w:rsid w:val="00257FF4"/>
    <w:rsid w:val="002604B5"/>
    <w:rsid w:val="002608CE"/>
    <w:rsid w:val="00261607"/>
    <w:rsid w:val="00261660"/>
    <w:rsid w:val="0026279C"/>
    <w:rsid w:val="00262CD3"/>
    <w:rsid w:val="00264181"/>
    <w:rsid w:val="0026452D"/>
    <w:rsid w:val="00264BB2"/>
    <w:rsid w:val="00265289"/>
    <w:rsid w:val="00266613"/>
    <w:rsid w:val="00266FE9"/>
    <w:rsid w:val="00272396"/>
    <w:rsid w:val="002738D6"/>
    <w:rsid w:val="00273D98"/>
    <w:rsid w:val="00274162"/>
    <w:rsid w:val="00275A4E"/>
    <w:rsid w:val="0027614D"/>
    <w:rsid w:val="0027651A"/>
    <w:rsid w:val="00276E5E"/>
    <w:rsid w:val="002770A1"/>
    <w:rsid w:val="00277E5F"/>
    <w:rsid w:val="0028001E"/>
    <w:rsid w:val="00280D53"/>
    <w:rsid w:val="00281CF6"/>
    <w:rsid w:val="0028359B"/>
    <w:rsid w:val="00283E53"/>
    <w:rsid w:val="00284441"/>
    <w:rsid w:val="002857FE"/>
    <w:rsid w:val="002861F8"/>
    <w:rsid w:val="00290933"/>
    <w:rsid w:val="00291E57"/>
    <w:rsid w:val="00292D6A"/>
    <w:rsid w:val="0029312A"/>
    <w:rsid w:val="0029325C"/>
    <w:rsid w:val="00293B2D"/>
    <w:rsid w:val="00293B46"/>
    <w:rsid w:val="00294E5F"/>
    <w:rsid w:val="002960B7"/>
    <w:rsid w:val="00297643"/>
    <w:rsid w:val="00297824"/>
    <w:rsid w:val="00297942"/>
    <w:rsid w:val="002A0898"/>
    <w:rsid w:val="002A097B"/>
    <w:rsid w:val="002A0F2E"/>
    <w:rsid w:val="002A153F"/>
    <w:rsid w:val="002A1CC2"/>
    <w:rsid w:val="002A32FD"/>
    <w:rsid w:val="002A3FD7"/>
    <w:rsid w:val="002A40DC"/>
    <w:rsid w:val="002A4534"/>
    <w:rsid w:val="002A5329"/>
    <w:rsid w:val="002A5753"/>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961"/>
    <w:rsid w:val="002C1240"/>
    <w:rsid w:val="002C1CF7"/>
    <w:rsid w:val="002C1D11"/>
    <w:rsid w:val="002C25D0"/>
    <w:rsid w:val="002C280B"/>
    <w:rsid w:val="002C2DB0"/>
    <w:rsid w:val="002C4D41"/>
    <w:rsid w:val="002C75B0"/>
    <w:rsid w:val="002C7703"/>
    <w:rsid w:val="002C7A63"/>
    <w:rsid w:val="002D0153"/>
    <w:rsid w:val="002D0985"/>
    <w:rsid w:val="002D0B65"/>
    <w:rsid w:val="002D403A"/>
    <w:rsid w:val="002D4262"/>
    <w:rsid w:val="002D46B7"/>
    <w:rsid w:val="002D6163"/>
    <w:rsid w:val="002E0F6A"/>
    <w:rsid w:val="002E1064"/>
    <w:rsid w:val="002E2551"/>
    <w:rsid w:val="002E323F"/>
    <w:rsid w:val="002E4103"/>
    <w:rsid w:val="002E5554"/>
    <w:rsid w:val="002E59C4"/>
    <w:rsid w:val="002E5D24"/>
    <w:rsid w:val="002F1864"/>
    <w:rsid w:val="002F1B12"/>
    <w:rsid w:val="002F2256"/>
    <w:rsid w:val="002F3D9F"/>
    <w:rsid w:val="002F530C"/>
    <w:rsid w:val="002F591B"/>
    <w:rsid w:val="002F5C70"/>
    <w:rsid w:val="002F7596"/>
    <w:rsid w:val="002F7B47"/>
    <w:rsid w:val="00300013"/>
    <w:rsid w:val="0030032D"/>
    <w:rsid w:val="003006F8"/>
    <w:rsid w:val="00300BF2"/>
    <w:rsid w:val="00300E2E"/>
    <w:rsid w:val="003027C1"/>
    <w:rsid w:val="00302A25"/>
    <w:rsid w:val="00302DD6"/>
    <w:rsid w:val="00303532"/>
    <w:rsid w:val="003044B9"/>
    <w:rsid w:val="00304900"/>
    <w:rsid w:val="00304C13"/>
    <w:rsid w:val="00305718"/>
    <w:rsid w:val="00305EC5"/>
    <w:rsid w:val="00306107"/>
    <w:rsid w:val="003077B8"/>
    <w:rsid w:val="003111F8"/>
    <w:rsid w:val="0031204A"/>
    <w:rsid w:val="0031272B"/>
    <w:rsid w:val="003153A0"/>
    <w:rsid w:val="00315435"/>
    <w:rsid w:val="00316FBD"/>
    <w:rsid w:val="00317BF9"/>
    <w:rsid w:val="0032038C"/>
    <w:rsid w:val="00321889"/>
    <w:rsid w:val="00324721"/>
    <w:rsid w:val="00325C5E"/>
    <w:rsid w:val="0032738E"/>
    <w:rsid w:val="00327933"/>
    <w:rsid w:val="00331B40"/>
    <w:rsid w:val="00331C5F"/>
    <w:rsid w:val="0033233D"/>
    <w:rsid w:val="003325B9"/>
    <w:rsid w:val="00332E95"/>
    <w:rsid w:val="00333074"/>
    <w:rsid w:val="00333223"/>
    <w:rsid w:val="00333A43"/>
    <w:rsid w:val="00334F7E"/>
    <w:rsid w:val="003364C1"/>
    <w:rsid w:val="00337F82"/>
    <w:rsid w:val="00340640"/>
    <w:rsid w:val="00340810"/>
    <w:rsid w:val="003435D6"/>
    <w:rsid w:val="003458E0"/>
    <w:rsid w:val="00345CCD"/>
    <w:rsid w:val="003473C9"/>
    <w:rsid w:val="00347C9B"/>
    <w:rsid w:val="00350F81"/>
    <w:rsid w:val="003511CE"/>
    <w:rsid w:val="00351909"/>
    <w:rsid w:val="00352BE0"/>
    <w:rsid w:val="003532AB"/>
    <w:rsid w:val="0035333E"/>
    <w:rsid w:val="003538F0"/>
    <w:rsid w:val="00353E49"/>
    <w:rsid w:val="00354B6A"/>
    <w:rsid w:val="00357DAE"/>
    <w:rsid w:val="003602A5"/>
    <w:rsid w:val="00360D08"/>
    <w:rsid w:val="00361259"/>
    <w:rsid w:val="00361429"/>
    <w:rsid w:val="0036275A"/>
    <w:rsid w:val="00362AA7"/>
    <w:rsid w:val="00363B11"/>
    <w:rsid w:val="003672D6"/>
    <w:rsid w:val="003705BF"/>
    <w:rsid w:val="00370935"/>
    <w:rsid w:val="00370CD2"/>
    <w:rsid w:val="00371C1A"/>
    <w:rsid w:val="00375D02"/>
    <w:rsid w:val="00375E52"/>
    <w:rsid w:val="00380888"/>
    <w:rsid w:val="00380D9F"/>
    <w:rsid w:val="00381127"/>
    <w:rsid w:val="00381178"/>
    <w:rsid w:val="0038194E"/>
    <w:rsid w:val="003819E1"/>
    <w:rsid w:val="00382234"/>
    <w:rsid w:val="003852C0"/>
    <w:rsid w:val="00385A6A"/>
    <w:rsid w:val="0038672F"/>
    <w:rsid w:val="003869A2"/>
    <w:rsid w:val="00386BC9"/>
    <w:rsid w:val="00386E05"/>
    <w:rsid w:val="00386F24"/>
    <w:rsid w:val="003876AB"/>
    <w:rsid w:val="00387957"/>
    <w:rsid w:val="0039053D"/>
    <w:rsid w:val="00390C8F"/>
    <w:rsid w:val="003910A4"/>
    <w:rsid w:val="003910AC"/>
    <w:rsid w:val="00391732"/>
    <w:rsid w:val="00392B8A"/>
    <w:rsid w:val="00392DD1"/>
    <w:rsid w:val="00393437"/>
    <w:rsid w:val="0039449C"/>
    <w:rsid w:val="00395E02"/>
    <w:rsid w:val="00395F3A"/>
    <w:rsid w:val="0039684C"/>
    <w:rsid w:val="003A0290"/>
    <w:rsid w:val="003A25BB"/>
    <w:rsid w:val="003A300D"/>
    <w:rsid w:val="003A3E7B"/>
    <w:rsid w:val="003A4566"/>
    <w:rsid w:val="003A6DB3"/>
    <w:rsid w:val="003A7067"/>
    <w:rsid w:val="003B09F6"/>
    <w:rsid w:val="003B0D03"/>
    <w:rsid w:val="003B1F0A"/>
    <w:rsid w:val="003B2691"/>
    <w:rsid w:val="003B2C1F"/>
    <w:rsid w:val="003B329D"/>
    <w:rsid w:val="003B3684"/>
    <w:rsid w:val="003B549A"/>
    <w:rsid w:val="003B5533"/>
    <w:rsid w:val="003B5A85"/>
    <w:rsid w:val="003B5F61"/>
    <w:rsid w:val="003B71EE"/>
    <w:rsid w:val="003B7621"/>
    <w:rsid w:val="003B7C64"/>
    <w:rsid w:val="003C0593"/>
    <w:rsid w:val="003C13A6"/>
    <w:rsid w:val="003C1615"/>
    <w:rsid w:val="003C1AEB"/>
    <w:rsid w:val="003C1EB4"/>
    <w:rsid w:val="003C2A44"/>
    <w:rsid w:val="003C4E3A"/>
    <w:rsid w:val="003D0E1C"/>
    <w:rsid w:val="003D1E47"/>
    <w:rsid w:val="003D3662"/>
    <w:rsid w:val="003D3C14"/>
    <w:rsid w:val="003D4188"/>
    <w:rsid w:val="003D4557"/>
    <w:rsid w:val="003D52D3"/>
    <w:rsid w:val="003D543D"/>
    <w:rsid w:val="003D59FD"/>
    <w:rsid w:val="003D671F"/>
    <w:rsid w:val="003E10B8"/>
    <w:rsid w:val="003E122D"/>
    <w:rsid w:val="003E13F5"/>
    <w:rsid w:val="003E1978"/>
    <w:rsid w:val="003E2B5E"/>
    <w:rsid w:val="003E3FC7"/>
    <w:rsid w:val="003E3FF4"/>
    <w:rsid w:val="003E48E3"/>
    <w:rsid w:val="003E4E15"/>
    <w:rsid w:val="003E53E8"/>
    <w:rsid w:val="003E5912"/>
    <w:rsid w:val="003E5AE8"/>
    <w:rsid w:val="003E68C4"/>
    <w:rsid w:val="003F07EE"/>
    <w:rsid w:val="003F0C8B"/>
    <w:rsid w:val="003F1607"/>
    <w:rsid w:val="003F2797"/>
    <w:rsid w:val="003F29F2"/>
    <w:rsid w:val="003F3C77"/>
    <w:rsid w:val="003F458D"/>
    <w:rsid w:val="003F47DF"/>
    <w:rsid w:val="003F6209"/>
    <w:rsid w:val="00400A8B"/>
    <w:rsid w:val="00401831"/>
    <w:rsid w:val="0040278A"/>
    <w:rsid w:val="0040314A"/>
    <w:rsid w:val="00405DAB"/>
    <w:rsid w:val="00405E90"/>
    <w:rsid w:val="0040629D"/>
    <w:rsid w:val="004065CE"/>
    <w:rsid w:val="00406802"/>
    <w:rsid w:val="00407A61"/>
    <w:rsid w:val="004105DD"/>
    <w:rsid w:val="0041072E"/>
    <w:rsid w:val="00410DCE"/>
    <w:rsid w:val="00412C0B"/>
    <w:rsid w:val="0041404E"/>
    <w:rsid w:val="0041429D"/>
    <w:rsid w:val="004147D0"/>
    <w:rsid w:val="00414E1F"/>
    <w:rsid w:val="0041581E"/>
    <w:rsid w:val="004161E5"/>
    <w:rsid w:val="0041765C"/>
    <w:rsid w:val="00420170"/>
    <w:rsid w:val="00420837"/>
    <w:rsid w:val="00421EEC"/>
    <w:rsid w:val="0042273B"/>
    <w:rsid w:val="00422933"/>
    <w:rsid w:val="00422E6A"/>
    <w:rsid w:val="00422F4B"/>
    <w:rsid w:val="00423003"/>
    <w:rsid w:val="004248B4"/>
    <w:rsid w:val="00424C66"/>
    <w:rsid w:val="00424F2E"/>
    <w:rsid w:val="0042526D"/>
    <w:rsid w:val="004254A2"/>
    <w:rsid w:val="00426D71"/>
    <w:rsid w:val="00427CB6"/>
    <w:rsid w:val="00430256"/>
    <w:rsid w:val="00430E3D"/>
    <w:rsid w:val="004310B5"/>
    <w:rsid w:val="0043194D"/>
    <w:rsid w:val="00431BF1"/>
    <w:rsid w:val="00432D0F"/>
    <w:rsid w:val="00433D22"/>
    <w:rsid w:val="00433EDF"/>
    <w:rsid w:val="004342F8"/>
    <w:rsid w:val="00434A2F"/>
    <w:rsid w:val="00434B63"/>
    <w:rsid w:val="0044083A"/>
    <w:rsid w:val="004408FA"/>
    <w:rsid w:val="00444473"/>
    <w:rsid w:val="0044552A"/>
    <w:rsid w:val="00445663"/>
    <w:rsid w:val="004461A4"/>
    <w:rsid w:val="00446612"/>
    <w:rsid w:val="00450CB4"/>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364D"/>
    <w:rsid w:val="0047481E"/>
    <w:rsid w:val="00474918"/>
    <w:rsid w:val="004751E1"/>
    <w:rsid w:val="00475EAF"/>
    <w:rsid w:val="0047681C"/>
    <w:rsid w:val="004815F8"/>
    <w:rsid w:val="00481E32"/>
    <w:rsid w:val="004831ED"/>
    <w:rsid w:val="004831FC"/>
    <w:rsid w:val="004836A7"/>
    <w:rsid w:val="004845BE"/>
    <w:rsid w:val="004847B4"/>
    <w:rsid w:val="00484921"/>
    <w:rsid w:val="00485314"/>
    <w:rsid w:val="00486614"/>
    <w:rsid w:val="0048661E"/>
    <w:rsid w:val="00487E11"/>
    <w:rsid w:val="00487FB8"/>
    <w:rsid w:val="004900FE"/>
    <w:rsid w:val="004919D4"/>
    <w:rsid w:val="00491FB2"/>
    <w:rsid w:val="00491FC3"/>
    <w:rsid w:val="0049200C"/>
    <w:rsid w:val="0049212C"/>
    <w:rsid w:val="0049392C"/>
    <w:rsid w:val="00495823"/>
    <w:rsid w:val="00495C39"/>
    <w:rsid w:val="004975DB"/>
    <w:rsid w:val="004A1224"/>
    <w:rsid w:val="004A1D76"/>
    <w:rsid w:val="004A247B"/>
    <w:rsid w:val="004A28C5"/>
    <w:rsid w:val="004A2F59"/>
    <w:rsid w:val="004A3865"/>
    <w:rsid w:val="004A5972"/>
    <w:rsid w:val="004A5E53"/>
    <w:rsid w:val="004A64B4"/>
    <w:rsid w:val="004A660C"/>
    <w:rsid w:val="004A6B44"/>
    <w:rsid w:val="004A6E0E"/>
    <w:rsid w:val="004B01BE"/>
    <w:rsid w:val="004B0B19"/>
    <w:rsid w:val="004B1E81"/>
    <w:rsid w:val="004B35F0"/>
    <w:rsid w:val="004B37A7"/>
    <w:rsid w:val="004B4426"/>
    <w:rsid w:val="004B44E1"/>
    <w:rsid w:val="004B5DE1"/>
    <w:rsid w:val="004B5F2A"/>
    <w:rsid w:val="004B74B2"/>
    <w:rsid w:val="004C103D"/>
    <w:rsid w:val="004C1303"/>
    <w:rsid w:val="004C1399"/>
    <w:rsid w:val="004C1C09"/>
    <w:rsid w:val="004C1D5B"/>
    <w:rsid w:val="004C2829"/>
    <w:rsid w:val="004C2A17"/>
    <w:rsid w:val="004C2B0E"/>
    <w:rsid w:val="004C5507"/>
    <w:rsid w:val="004D0D6B"/>
    <w:rsid w:val="004D1BC7"/>
    <w:rsid w:val="004D1E1A"/>
    <w:rsid w:val="004D1EFF"/>
    <w:rsid w:val="004D23A9"/>
    <w:rsid w:val="004D2683"/>
    <w:rsid w:val="004D29F5"/>
    <w:rsid w:val="004D2F90"/>
    <w:rsid w:val="004D390B"/>
    <w:rsid w:val="004D458D"/>
    <w:rsid w:val="004D660D"/>
    <w:rsid w:val="004D7804"/>
    <w:rsid w:val="004E0308"/>
    <w:rsid w:val="004E10B3"/>
    <w:rsid w:val="004E2624"/>
    <w:rsid w:val="004E2825"/>
    <w:rsid w:val="004E2D0F"/>
    <w:rsid w:val="004E2D83"/>
    <w:rsid w:val="004E3079"/>
    <w:rsid w:val="004E3276"/>
    <w:rsid w:val="004E3836"/>
    <w:rsid w:val="004E3B3F"/>
    <w:rsid w:val="004E62E4"/>
    <w:rsid w:val="004E636B"/>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16BC"/>
    <w:rsid w:val="00502638"/>
    <w:rsid w:val="00502891"/>
    <w:rsid w:val="005029BC"/>
    <w:rsid w:val="00502B87"/>
    <w:rsid w:val="0050346A"/>
    <w:rsid w:val="005037AB"/>
    <w:rsid w:val="005037BB"/>
    <w:rsid w:val="005038E5"/>
    <w:rsid w:val="00503FD8"/>
    <w:rsid w:val="00504472"/>
    <w:rsid w:val="005048E3"/>
    <w:rsid w:val="00505A77"/>
    <w:rsid w:val="00505CB3"/>
    <w:rsid w:val="005067C7"/>
    <w:rsid w:val="00506EB0"/>
    <w:rsid w:val="0050798C"/>
    <w:rsid w:val="00507BC0"/>
    <w:rsid w:val="0051207B"/>
    <w:rsid w:val="00513071"/>
    <w:rsid w:val="005136CD"/>
    <w:rsid w:val="00513928"/>
    <w:rsid w:val="00514B1A"/>
    <w:rsid w:val="00514E2B"/>
    <w:rsid w:val="005150C5"/>
    <w:rsid w:val="0051682B"/>
    <w:rsid w:val="00517351"/>
    <w:rsid w:val="00520C69"/>
    <w:rsid w:val="00521860"/>
    <w:rsid w:val="00521D74"/>
    <w:rsid w:val="00521E5D"/>
    <w:rsid w:val="005222CC"/>
    <w:rsid w:val="00522622"/>
    <w:rsid w:val="00523B5E"/>
    <w:rsid w:val="00524281"/>
    <w:rsid w:val="005250EE"/>
    <w:rsid w:val="00525AB1"/>
    <w:rsid w:val="00526B01"/>
    <w:rsid w:val="00526C61"/>
    <w:rsid w:val="00527492"/>
    <w:rsid w:val="005277F5"/>
    <w:rsid w:val="005300C9"/>
    <w:rsid w:val="005308CD"/>
    <w:rsid w:val="005310C1"/>
    <w:rsid w:val="00531934"/>
    <w:rsid w:val="005328A9"/>
    <w:rsid w:val="00532994"/>
    <w:rsid w:val="005329BE"/>
    <w:rsid w:val="00533515"/>
    <w:rsid w:val="005342DE"/>
    <w:rsid w:val="00534AC0"/>
    <w:rsid w:val="005352D5"/>
    <w:rsid w:val="00535557"/>
    <w:rsid w:val="0053606A"/>
    <w:rsid w:val="005369C0"/>
    <w:rsid w:val="00536B92"/>
    <w:rsid w:val="00540811"/>
    <w:rsid w:val="00540B25"/>
    <w:rsid w:val="00540D82"/>
    <w:rsid w:val="00541254"/>
    <w:rsid w:val="005421CC"/>
    <w:rsid w:val="00542307"/>
    <w:rsid w:val="00542BA5"/>
    <w:rsid w:val="00544841"/>
    <w:rsid w:val="00544E9C"/>
    <w:rsid w:val="00546407"/>
    <w:rsid w:val="00546BE8"/>
    <w:rsid w:val="00547058"/>
    <w:rsid w:val="0054745F"/>
    <w:rsid w:val="00547CD4"/>
    <w:rsid w:val="00547E34"/>
    <w:rsid w:val="00547EB8"/>
    <w:rsid w:val="00552FC2"/>
    <w:rsid w:val="005535FB"/>
    <w:rsid w:val="00553DA2"/>
    <w:rsid w:val="005543FB"/>
    <w:rsid w:val="00554936"/>
    <w:rsid w:val="005554D3"/>
    <w:rsid w:val="00555623"/>
    <w:rsid w:val="005562DC"/>
    <w:rsid w:val="00556725"/>
    <w:rsid w:val="00557A85"/>
    <w:rsid w:val="005606B5"/>
    <w:rsid w:val="00560E2D"/>
    <w:rsid w:val="00562BAD"/>
    <w:rsid w:val="0056365E"/>
    <w:rsid w:val="00563E62"/>
    <w:rsid w:val="00565C77"/>
    <w:rsid w:val="00566181"/>
    <w:rsid w:val="00567B75"/>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3F5D"/>
    <w:rsid w:val="00584245"/>
    <w:rsid w:val="00584C2D"/>
    <w:rsid w:val="00584D50"/>
    <w:rsid w:val="00584D80"/>
    <w:rsid w:val="00586535"/>
    <w:rsid w:val="00586BB5"/>
    <w:rsid w:val="00586DFB"/>
    <w:rsid w:val="00587C83"/>
    <w:rsid w:val="005905BC"/>
    <w:rsid w:val="005909CB"/>
    <w:rsid w:val="00590B75"/>
    <w:rsid w:val="00590DAA"/>
    <w:rsid w:val="00591107"/>
    <w:rsid w:val="0059205C"/>
    <w:rsid w:val="00592349"/>
    <w:rsid w:val="00592D49"/>
    <w:rsid w:val="0059344D"/>
    <w:rsid w:val="005955BA"/>
    <w:rsid w:val="00596F3F"/>
    <w:rsid w:val="00596F9B"/>
    <w:rsid w:val="00597EEF"/>
    <w:rsid w:val="005A1C4E"/>
    <w:rsid w:val="005A2E0C"/>
    <w:rsid w:val="005A358C"/>
    <w:rsid w:val="005A3678"/>
    <w:rsid w:val="005A3DAF"/>
    <w:rsid w:val="005A4251"/>
    <w:rsid w:val="005A4A1A"/>
    <w:rsid w:val="005A61D3"/>
    <w:rsid w:val="005A7C0B"/>
    <w:rsid w:val="005A7E70"/>
    <w:rsid w:val="005B1A53"/>
    <w:rsid w:val="005B2AF7"/>
    <w:rsid w:val="005B3D26"/>
    <w:rsid w:val="005B40E8"/>
    <w:rsid w:val="005B6A94"/>
    <w:rsid w:val="005B6DAA"/>
    <w:rsid w:val="005B7314"/>
    <w:rsid w:val="005B7C27"/>
    <w:rsid w:val="005B7D8B"/>
    <w:rsid w:val="005C03F6"/>
    <w:rsid w:val="005C0475"/>
    <w:rsid w:val="005C1569"/>
    <w:rsid w:val="005C224F"/>
    <w:rsid w:val="005C348A"/>
    <w:rsid w:val="005C3C1A"/>
    <w:rsid w:val="005C4604"/>
    <w:rsid w:val="005C46D8"/>
    <w:rsid w:val="005C4BEE"/>
    <w:rsid w:val="005C5279"/>
    <w:rsid w:val="005C5800"/>
    <w:rsid w:val="005C6E74"/>
    <w:rsid w:val="005C732E"/>
    <w:rsid w:val="005C781C"/>
    <w:rsid w:val="005D13ED"/>
    <w:rsid w:val="005D181E"/>
    <w:rsid w:val="005D1E16"/>
    <w:rsid w:val="005D280F"/>
    <w:rsid w:val="005D330E"/>
    <w:rsid w:val="005D7A35"/>
    <w:rsid w:val="005E034F"/>
    <w:rsid w:val="005E05D7"/>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6F5E"/>
    <w:rsid w:val="006070EA"/>
    <w:rsid w:val="00607ABE"/>
    <w:rsid w:val="00607F53"/>
    <w:rsid w:val="006103D0"/>
    <w:rsid w:val="0061103A"/>
    <w:rsid w:val="00611EAE"/>
    <w:rsid w:val="006131B0"/>
    <w:rsid w:val="0061364A"/>
    <w:rsid w:val="00613BEA"/>
    <w:rsid w:val="0061402C"/>
    <w:rsid w:val="0061595F"/>
    <w:rsid w:val="00615A79"/>
    <w:rsid w:val="00616179"/>
    <w:rsid w:val="0061675B"/>
    <w:rsid w:val="0062052B"/>
    <w:rsid w:val="00620797"/>
    <w:rsid w:val="00620F8F"/>
    <w:rsid w:val="00621A86"/>
    <w:rsid w:val="00623401"/>
    <w:rsid w:val="006258B8"/>
    <w:rsid w:val="00625C40"/>
    <w:rsid w:val="0062706E"/>
    <w:rsid w:val="00627E7C"/>
    <w:rsid w:val="00630CFF"/>
    <w:rsid w:val="00631369"/>
    <w:rsid w:val="00632481"/>
    <w:rsid w:val="0063262D"/>
    <w:rsid w:val="0063268B"/>
    <w:rsid w:val="0063390E"/>
    <w:rsid w:val="00634673"/>
    <w:rsid w:val="006359E5"/>
    <w:rsid w:val="00637BBD"/>
    <w:rsid w:val="00640A98"/>
    <w:rsid w:val="00640D17"/>
    <w:rsid w:val="00641A99"/>
    <w:rsid w:val="00641CCA"/>
    <w:rsid w:val="00642768"/>
    <w:rsid w:val="00642A84"/>
    <w:rsid w:val="0064411F"/>
    <w:rsid w:val="00645E69"/>
    <w:rsid w:val="00646130"/>
    <w:rsid w:val="00646ACE"/>
    <w:rsid w:val="006474C0"/>
    <w:rsid w:val="00647927"/>
    <w:rsid w:val="00650A13"/>
    <w:rsid w:val="00650B2D"/>
    <w:rsid w:val="00650C5F"/>
    <w:rsid w:val="00652B9B"/>
    <w:rsid w:val="00652F78"/>
    <w:rsid w:val="00653743"/>
    <w:rsid w:val="00653DD9"/>
    <w:rsid w:val="00654119"/>
    <w:rsid w:val="00654E6A"/>
    <w:rsid w:val="00654EC2"/>
    <w:rsid w:val="006551FC"/>
    <w:rsid w:val="00655536"/>
    <w:rsid w:val="00655FB0"/>
    <w:rsid w:val="00656DD9"/>
    <w:rsid w:val="00656FCE"/>
    <w:rsid w:val="006575F3"/>
    <w:rsid w:val="00660871"/>
    <w:rsid w:val="0066176D"/>
    <w:rsid w:val="00662809"/>
    <w:rsid w:val="006637B6"/>
    <w:rsid w:val="00663823"/>
    <w:rsid w:val="00664E08"/>
    <w:rsid w:val="006650D0"/>
    <w:rsid w:val="0066774D"/>
    <w:rsid w:val="0066777B"/>
    <w:rsid w:val="00667F42"/>
    <w:rsid w:val="006701F4"/>
    <w:rsid w:val="00671284"/>
    <w:rsid w:val="006727FC"/>
    <w:rsid w:val="00673906"/>
    <w:rsid w:val="006756CD"/>
    <w:rsid w:val="00676E5B"/>
    <w:rsid w:val="006774D3"/>
    <w:rsid w:val="00677D6B"/>
    <w:rsid w:val="00680795"/>
    <w:rsid w:val="00682713"/>
    <w:rsid w:val="00683451"/>
    <w:rsid w:val="00683579"/>
    <w:rsid w:val="006843F4"/>
    <w:rsid w:val="00684598"/>
    <w:rsid w:val="00684802"/>
    <w:rsid w:val="00684BE1"/>
    <w:rsid w:val="006854CE"/>
    <w:rsid w:val="0068655E"/>
    <w:rsid w:val="00686B47"/>
    <w:rsid w:val="006873D4"/>
    <w:rsid w:val="0068790B"/>
    <w:rsid w:val="006906E4"/>
    <w:rsid w:val="00691C54"/>
    <w:rsid w:val="00691E49"/>
    <w:rsid w:val="006922DC"/>
    <w:rsid w:val="006928E4"/>
    <w:rsid w:val="006935EF"/>
    <w:rsid w:val="006941DD"/>
    <w:rsid w:val="006943D1"/>
    <w:rsid w:val="0069466B"/>
    <w:rsid w:val="00694795"/>
    <w:rsid w:val="00695014"/>
    <w:rsid w:val="00696AA8"/>
    <w:rsid w:val="006A257C"/>
    <w:rsid w:val="006A2615"/>
    <w:rsid w:val="006A4158"/>
    <w:rsid w:val="006A41AA"/>
    <w:rsid w:val="006A4AA7"/>
    <w:rsid w:val="006A4E15"/>
    <w:rsid w:val="006A5866"/>
    <w:rsid w:val="006A5E4F"/>
    <w:rsid w:val="006A643C"/>
    <w:rsid w:val="006A6CBB"/>
    <w:rsid w:val="006A76A9"/>
    <w:rsid w:val="006B0F54"/>
    <w:rsid w:val="006B12C6"/>
    <w:rsid w:val="006B154D"/>
    <w:rsid w:val="006B415B"/>
    <w:rsid w:val="006B4C95"/>
    <w:rsid w:val="006B4CBA"/>
    <w:rsid w:val="006B59AD"/>
    <w:rsid w:val="006B6FEB"/>
    <w:rsid w:val="006B7542"/>
    <w:rsid w:val="006C0A59"/>
    <w:rsid w:val="006C0E08"/>
    <w:rsid w:val="006C19EE"/>
    <w:rsid w:val="006C211B"/>
    <w:rsid w:val="006C2E46"/>
    <w:rsid w:val="006C3B05"/>
    <w:rsid w:val="006C4E45"/>
    <w:rsid w:val="006C5EE1"/>
    <w:rsid w:val="006C61B1"/>
    <w:rsid w:val="006C6DB8"/>
    <w:rsid w:val="006D0669"/>
    <w:rsid w:val="006D1D4E"/>
    <w:rsid w:val="006D3771"/>
    <w:rsid w:val="006D440A"/>
    <w:rsid w:val="006D5599"/>
    <w:rsid w:val="006D592F"/>
    <w:rsid w:val="006D5AC9"/>
    <w:rsid w:val="006D62BE"/>
    <w:rsid w:val="006D62E0"/>
    <w:rsid w:val="006D7B71"/>
    <w:rsid w:val="006E0006"/>
    <w:rsid w:val="006E01BB"/>
    <w:rsid w:val="006E0DF6"/>
    <w:rsid w:val="006E1BDE"/>
    <w:rsid w:val="006E336C"/>
    <w:rsid w:val="006E35A9"/>
    <w:rsid w:val="006E3B9E"/>
    <w:rsid w:val="006E4451"/>
    <w:rsid w:val="006E4A27"/>
    <w:rsid w:val="006E4DF1"/>
    <w:rsid w:val="006E5828"/>
    <w:rsid w:val="006E6BB9"/>
    <w:rsid w:val="006E784F"/>
    <w:rsid w:val="006F0B4F"/>
    <w:rsid w:val="006F0E97"/>
    <w:rsid w:val="006F1592"/>
    <w:rsid w:val="006F2DF3"/>
    <w:rsid w:val="006F2DF9"/>
    <w:rsid w:val="006F3C6F"/>
    <w:rsid w:val="006F41C6"/>
    <w:rsid w:val="006F5DD9"/>
    <w:rsid w:val="006F6FA2"/>
    <w:rsid w:val="007001D0"/>
    <w:rsid w:val="00700CE3"/>
    <w:rsid w:val="00701498"/>
    <w:rsid w:val="00701E70"/>
    <w:rsid w:val="00702DC6"/>
    <w:rsid w:val="00704BB6"/>
    <w:rsid w:val="00704F47"/>
    <w:rsid w:val="00705001"/>
    <w:rsid w:val="00705BC0"/>
    <w:rsid w:val="007072C2"/>
    <w:rsid w:val="0070746B"/>
    <w:rsid w:val="007075CA"/>
    <w:rsid w:val="00707924"/>
    <w:rsid w:val="00710C02"/>
    <w:rsid w:val="007113DE"/>
    <w:rsid w:val="0071151E"/>
    <w:rsid w:val="0071178F"/>
    <w:rsid w:val="007118AC"/>
    <w:rsid w:val="00711FC7"/>
    <w:rsid w:val="0071299D"/>
    <w:rsid w:val="007144F8"/>
    <w:rsid w:val="0071482B"/>
    <w:rsid w:val="00714C8F"/>
    <w:rsid w:val="0071548B"/>
    <w:rsid w:val="00715A32"/>
    <w:rsid w:val="00716F57"/>
    <w:rsid w:val="00717A74"/>
    <w:rsid w:val="00720EA2"/>
    <w:rsid w:val="00721409"/>
    <w:rsid w:val="00721CE0"/>
    <w:rsid w:val="007221A2"/>
    <w:rsid w:val="00722935"/>
    <w:rsid w:val="00722AA1"/>
    <w:rsid w:val="007235AF"/>
    <w:rsid w:val="00723BA8"/>
    <w:rsid w:val="00724257"/>
    <w:rsid w:val="0072568C"/>
    <w:rsid w:val="00726FDE"/>
    <w:rsid w:val="00727815"/>
    <w:rsid w:val="007301A7"/>
    <w:rsid w:val="007306C9"/>
    <w:rsid w:val="00730E31"/>
    <w:rsid w:val="00732618"/>
    <w:rsid w:val="007346F8"/>
    <w:rsid w:val="00734D66"/>
    <w:rsid w:val="00734E06"/>
    <w:rsid w:val="00736E9D"/>
    <w:rsid w:val="007373FA"/>
    <w:rsid w:val="00737E7D"/>
    <w:rsid w:val="0074063F"/>
    <w:rsid w:val="00740EF1"/>
    <w:rsid w:val="00741BF8"/>
    <w:rsid w:val="0074250E"/>
    <w:rsid w:val="00742701"/>
    <w:rsid w:val="007437BA"/>
    <w:rsid w:val="007444E7"/>
    <w:rsid w:val="00744DBD"/>
    <w:rsid w:val="00745398"/>
    <w:rsid w:val="00746FC3"/>
    <w:rsid w:val="00747B90"/>
    <w:rsid w:val="007518C0"/>
    <w:rsid w:val="00754870"/>
    <w:rsid w:val="00755FF0"/>
    <w:rsid w:val="007561F0"/>
    <w:rsid w:val="00756632"/>
    <w:rsid w:val="0075754A"/>
    <w:rsid w:val="00760554"/>
    <w:rsid w:val="0076083D"/>
    <w:rsid w:val="00761DC2"/>
    <w:rsid w:val="00761E8B"/>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2467"/>
    <w:rsid w:val="007827EF"/>
    <w:rsid w:val="00783D75"/>
    <w:rsid w:val="007857E3"/>
    <w:rsid w:val="00786231"/>
    <w:rsid w:val="0079000B"/>
    <w:rsid w:val="007900CB"/>
    <w:rsid w:val="007905B2"/>
    <w:rsid w:val="007909AE"/>
    <w:rsid w:val="00790E3A"/>
    <w:rsid w:val="00790E9B"/>
    <w:rsid w:val="007917E7"/>
    <w:rsid w:val="007927C6"/>
    <w:rsid w:val="0079348E"/>
    <w:rsid w:val="00793EEB"/>
    <w:rsid w:val="0079405B"/>
    <w:rsid w:val="00795679"/>
    <w:rsid w:val="00795874"/>
    <w:rsid w:val="0079797F"/>
    <w:rsid w:val="007A05F4"/>
    <w:rsid w:val="007A0BB9"/>
    <w:rsid w:val="007A14E8"/>
    <w:rsid w:val="007A1D73"/>
    <w:rsid w:val="007A3FD7"/>
    <w:rsid w:val="007A4023"/>
    <w:rsid w:val="007A44D3"/>
    <w:rsid w:val="007A5445"/>
    <w:rsid w:val="007A5A94"/>
    <w:rsid w:val="007A5E11"/>
    <w:rsid w:val="007A6C47"/>
    <w:rsid w:val="007B0AD5"/>
    <w:rsid w:val="007B281B"/>
    <w:rsid w:val="007B31F7"/>
    <w:rsid w:val="007B347F"/>
    <w:rsid w:val="007B39F6"/>
    <w:rsid w:val="007B4481"/>
    <w:rsid w:val="007B5A98"/>
    <w:rsid w:val="007B5E30"/>
    <w:rsid w:val="007B5E45"/>
    <w:rsid w:val="007C1DB0"/>
    <w:rsid w:val="007C2270"/>
    <w:rsid w:val="007C27D4"/>
    <w:rsid w:val="007C4720"/>
    <w:rsid w:val="007C4CCE"/>
    <w:rsid w:val="007C570A"/>
    <w:rsid w:val="007C7D49"/>
    <w:rsid w:val="007C7DE5"/>
    <w:rsid w:val="007D0EEB"/>
    <w:rsid w:val="007D1D99"/>
    <w:rsid w:val="007D4D2A"/>
    <w:rsid w:val="007D5E52"/>
    <w:rsid w:val="007D763D"/>
    <w:rsid w:val="007D766B"/>
    <w:rsid w:val="007D77A3"/>
    <w:rsid w:val="007E00B1"/>
    <w:rsid w:val="007E0749"/>
    <w:rsid w:val="007E2A15"/>
    <w:rsid w:val="007E2E0B"/>
    <w:rsid w:val="007E2F87"/>
    <w:rsid w:val="007E334F"/>
    <w:rsid w:val="007E3AC7"/>
    <w:rsid w:val="007E4155"/>
    <w:rsid w:val="007E57B5"/>
    <w:rsid w:val="007E5D39"/>
    <w:rsid w:val="007E66C8"/>
    <w:rsid w:val="007E67BD"/>
    <w:rsid w:val="007E6BBD"/>
    <w:rsid w:val="007E701F"/>
    <w:rsid w:val="007F06E1"/>
    <w:rsid w:val="007F0C09"/>
    <w:rsid w:val="007F3E75"/>
    <w:rsid w:val="007F48CD"/>
    <w:rsid w:val="007F4D4C"/>
    <w:rsid w:val="007F517F"/>
    <w:rsid w:val="007F5915"/>
    <w:rsid w:val="007F6391"/>
    <w:rsid w:val="007F67CD"/>
    <w:rsid w:val="007F6CAD"/>
    <w:rsid w:val="007F6FB8"/>
    <w:rsid w:val="007F7481"/>
    <w:rsid w:val="007F76FF"/>
    <w:rsid w:val="007F7807"/>
    <w:rsid w:val="007F7E83"/>
    <w:rsid w:val="00801491"/>
    <w:rsid w:val="008015A7"/>
    <w:rsid w:val="00801B8F"/>
    <w:rsid w:val="00801EF6"/>
    <w:rsid w:val="00802AEC"/>
    <w:rsid w:val="00803099"/>
    <w:rsid w:val="008032A9"/>
    <w:rsid w:val="0080347B"/>
    <w:rsid w:val="0080406C"/>
    <w:rsid w:val="0080562C"/>
    <w:rsid w:val="008071D0"/>
    <w:rsid w:val="0081037F"/>
    <w:rsid w:val="0081066B"/>
    <w:rsid w:val="00810809"/>
    <w:rsid w:val="00810C6A"/>
    <w:rsid w:val="00810C86"/>
    <w:rsid w:val="00812350"/>
    <w:rsid w:val="00812369"/>
    <w:rsid w:val="00812741"/>
    <w:rsid w:val="008128E3"/>
    <w:rsid w:val="00812B12"/>
    <w:rsid w:val="00815871"/>
    <w:rsid w:val="008162F6"/>
    <w:rsid w:val="00821789"/>
    <w:rsid w:val="0082180B"/>
    <w:rsid w:val="00821BC9"/>
    <w:rsid w:val="00821D71"/>
    <w:rsid w:val="00823406"/>
    <w:rsid w:val="00825147"/>
    <w:rsid w:val="00825D4F"/>
    <w:rsid w:val="00830017"/>
    <w:rsid w:val="00830787"/>
    <w:rsid w:val="00830DC9"/>
    <w:rsid w:val="00831489"/>
    <w:rsid w:val="00831E7D"/>
    <w:rsid w:val="00833A6A"/>
    <w:rsid w:val="00833E2F"/>
    <w:rsid w:val="00834240"/>
    <w:rsid w:val="00834F9A"/>
    <w:rsid w:val="008368F3"/>
    <w:rsid w:val="008400A8"/>
    <w:rsid w:val="0084156A"/>
    <w:rsid w:val="008427B1"/>
    <w:rsid w:val="008449FF"/>
    <w:rsid w:val="00845E77"/>
    <w:rsid w:val="0084601D"/>
    <w:rsid w:val="008462FB"/>
    <w:rsid w:val="00846C73"/>
    <w:rsid w:val="008500CD"/>
    <w:rsid w:val="00850462"/>
    <w:rsid w:val="0085161D"/>
    <w:rsid w:val="008516E4"/>
    <w:rsid w:val="00852EEF"/>
    <w:rsid w:val="00855597"/>
    <w:rsid w:val="00855780"/>
    <w:rsid w:val="008557AA"/>
    <w:rsid w:val="00855DD9"/>
    <w:rsid w:val="00856178"/>
    <w:rsid w:val="008567C0"/>
    <w:rsid w:val="00856C69"/>
    <w:rsid w:val="008570AB"/>
    <w:rsid w:val="00862545"/>
    <w:rsid w:val="00862D62"/>
    <w:rsid w:val="00863356"/>
    <w:rsid w:val="00864544"/>
    <w:rsid w:val="00864554"/>
    <w:rsid w:val="008653B5"/>
    <w:rsid w:val="00865A76"/>
    <w:rsid w:val="008663D7"/>
    <w:rsid w:val="0086730B"/>
    <w:rsid w:val="008674DC"/>
    <w:rsid w:val="008679E6"/>
    <w:rsid w:val="00867A0F"/>
    <w:rsid w:val="00871811"/>
    <w:rsid w:val="00872862"/>
    <w:rsid w:val="00872E1F"/>
    <w:rsid w:val="00873942"/>
    <w:rsid w:val="0087400E"/>
    <w:rsid w:val="00874FC9"/>
    <w:rsid w:val="00877C56"/>
    <w:rsid w:val="00880558"/>
    <w:rsid w:val="00881DD6"/>
    <w:rsid w:val="00882ED0"/>
    <w:rsid w:val="00883894"/>
    <w:rsid w:val="00885DA2"/>
    <w:rsid w:val="00885E17"/>
    <w:rsid w:val="00886342"/>
    <w:rsid w:val="008875DE"/>
    <w:rsid w:val="0089074D"/>
    <w:rsid w:val="0089092F"/>
    <w:rsid w:val="00891540"/>
    <w:rsid w:val="00891745"/>
    <w:rsid w:val="00893594"/>
    <w:rsid w:val="008947EA"/>
    <w:rsid w:val="00894ABF"/>
    <w:rsid w:val="00895FFF"/>
    <w:rsid w:val="008966A8"/>
    <w:rsid w:val="00896F7A"/>
    <w:rsid w:val="00896FF4"/>
    <w:rsid w:val="008A0E85"/>
    <w:rsid w:val="008A15CB"/>
    <w:rsid w:val="008A1DDE"/>
    <w:rsid w:val="008A2544"/>
    <w:rsid w:val="008A34CE"/>
    <w:rsid w:val="008A371D"/>
    <w:rsid w:val="008A5443"/>
    <w:rsid w:val="008A5481"/>
    <w:rsid w:val="008A55A8"/>
    <w:rsid w:val="008A5F01"/>
    <w:rsid w:val="008A6B66"/>
    <w:rsid w:val="008A7078"/>
    <w:rsid w:val="008A740F"/>
    <w:rsid w:val="008B0969"/>
    <w:rsid w:val="008B11D0"/>
    <w:rsid w:val="008B1DAB"/>
    <w:rsid w:val="008B32B6"/>
    <w:rsid w:val="008B4464"/>
    <w:rsid w:val="008B4BF2"/>
    <w:rsid w:val="008B56E5"/>
    <w:rsid w:val="008B5AFD"/>
    <w:rsid w:val="008B6650"/>
    <w:rsid w:val="008B729C"/>
    <w:rsid w:val="008B7A4E"/>
    <w:rsid w:val="008B7AE7"/>
    <w:rsid w:val="008C1506"/>
    <w:rsid w:val="008C223F"/>
    <w:rsid w:val="008C2D30"/>
    <w:rsid w:val="008C33F2"/>
    <w:rsid w:val="008C444D"/>
    <w:rsid w:val="008C6C92"/>
    <w:rsid w:val="008C77F7"/>
    <w:rsid w:val="008D0262"/>
    <w:rsid w:val="008D028E"/>
    <w:rsid w:val="008D0AE4"/>
    <w:rsid w:val="008D1B0D"/>
    <w:rsid w:val="008D20E6"/>
    <w:rsid w:val="008D29C7"/>
    <w:rsid w:val="008D2F52"/>
    <w:rsid w:val="008D3E19"/>
    <w:rsid w:val="008D4E5C"/>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AD"/>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2668"/>
    <w:rsid w:val="0090394F"/>
    <w:rsid w:val="009054D3"/>
    <w:rsid w:val="00905587"/>
    <w:rsid w:val="009057D3"/>
    <w:rsid w:val="009078B0"/>
    <w:rsid w:val="00907B9D"/>
    <w:rsid w:val="00910CFA"/>
    <w:rsid w:val="009125D2"/>
    <w:rsid w:val="00913057"/>
    <w:rsid w:val="00914007"/>
    <w:rsid w:val="00915142"/>
    <w:rsid w:val="00915E3F"/>
    <w:rsid w:val="00915F49"/>
    <w:rsid w:val="00915F97"/>
    <w:rsid w:val="009179EB"/>
    <w:rsid w:val="0092273F"/>
    <w:rsid w:val="009238F1"/>
    <w:rsid w:val="009248D6"/>
    <w:rsid w:val="009249B4"/>
    <w:rsid w:val="00926716"/>
    <w:rsid w:val="009270DB"/>
    <w:rsid w:val="00930BEB"/>
    <w:rsid w:val="009323DF"/>
    <w:rsid w:val="00932AFC"/>
    <w:rsid w:val="0093389C"/>
    <w:rsid w:val="00933A7D"/>
    <w:rsid w:val="00933DA9"/>
    <w:rsid w:val="0093452F"/>
    <w:rsid w:val="0093491F"/>
    <w:rsid w:val="00935E14"/>
    <w:rsid w:val="00936AA9"/>
    <w:rsid w:val="00941E4F"/>
    <w:rsid w:val="00942454"/>
    <w:rsid w:val="0094480E"/>
    <w:rsid w:val="00947B5B"/>
    <w:rsid w:val="00950281"/>
    <w:rsid w:val="009516EB"/>
    <w:rsid w:val="00951BD3"/>
    <w:rsid w:val="009529FD"/>
    <w:rsid w:val="00952B8F"/>
    <w:rsid w:val="009546F4"/>
    <w:rsid w:val="0095496C"/>
    <w:rsid w:val="0095569B"/>
    <w:rsid w:val="009559F2"/>
    <w:rsid w:val="0095628F"/>
    <w:rsid w:val="009562CC"/>
    <w:rsid w:val="0095695E"/>
    <w:rsid w:val="00957310"/>
    <w:rsid w:val="0095750D"/>
    <w:rsid w:val="0095751F"/>
    <w:rsid w:val="00960B83"/>
    <w:rsid w:val="00961AD3"/>
    <w:rsid w:val="00962B8F"/>
    <w:rsid w:val="009637E4"/>
    <w:rsid w:val="00964464"/>
    <w:rsid w:val="00964AF6"/>
    <w:rsid w:val="00965665"/>
    <w:rsid w:val="0096632E"/>
    <w:rsid w:val="00966D4F"/>
    <w:rsid w:val="00966DE0"/>
    <w:rsid w:val="0096775E"/>
    <w:rsid w:val="00970E65"/>
    <w:rsid w:val="0097102C"/>
    <w:rsid w:val="00971CBF"/>
    <w:rsid w:val="00971F52"/>
    <w:rsid w:val="0097202E"/>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3522"/>
    <w:rsid w:val="009843A8"/>
    <w:rsid w:val="00984993"/>
    <w:rsid w:val="00984CA2"/>
    <w:rsid w:val="009854F1"/>
    <w:rsid w:val="00985BF9"/>
    <w:rsid w:val="0098714A"/>
    <w:rsid w:val="00990428"/>
    <w:rsid w:val="00993EA1"/>
    <w:rsid w:val="0099496C"/>
    <w:rsid w:val="00995582"/>
    <w:rsid w:val="00996569"/>
    <w:rsid w:val="009A057B"/>
    <w:rsid w:val="009A06F0"/>
    <w:rsid w:val="009A14DE"/>
    <w:rsid w:val="009A2294"/>
    <w:rsid w:val="009A40DD"/>
    <w:rsid w:val="009A5F36"/>
    <w:rsid w:val="009A6DED"/>
    <w:rsid w:val="009A72B5"/>
    <w:rsid w:val="009A7BC2"/>
    <w:rsid w:val="009B011E"/>
    <w:rsid w:val="009B0C25"/>
    <w:rsid w:val="009B180F"/>
    <w:rsid w:val="009B1897"/>
    <w:rsid w:val="009B1BB7"/>
    <w:rsid w:val="009B1C51"/>
    <w:rsid w:val="009B233A"/>
    <w:rsid w:val="009B3EA8"/>
    <w:rsid w:val="009B45BA"/>
    <w:rsid w:val="009B48D4"/>
    <w:rsid w:val="009B751B"/>
    <w:rsid w:val="009C0992"/>
    <w:rsid w:val="009C0C48"/>
    <w:rsid w:val="009C1830"/>
    <w:rsid w:val="009C23DA"/>
    <w:rsid w:val="009C24B3"/>
    <w:rsid w:val="009C2942"/>
    <w:rsid w:val="009C2C09"/>
    <w:rsid w:val="009C2E5A"/>
    <w:rsid w:val="009C2FE4"/>
    <w:rsid w:val="009C6214"/>
    <w:rsid w:val="009C672A"/>
    <w:rsid w:val="009C703A"/>
    <w:rsid w:val="009C7B18"/>
    <w:rsid w:val="009C7D55"/>
    <w:rsid w:val="009C7F52"/>
    <w:rsid w:val="009D07F2"/>
    <w:rsid w:val="009D1785"/>
    <w:rsid w:val="009D1884"/>
    <w:rsid w:val="009D24A3"/>
    <w:rsid w:val="009D2FD6"/>
    <w:rsid w:val="009D3295"/>
    <w:rsid w:val="009D3665"/>
    <w:rsid w:val="009D3C84"/>
    <w:rsid w:val="009D40C6"/>
    <w:rsid w:val="009D54F3"/>
    <w:rsid w:val="009D5DA3"/>
    <w:rsid w:val="009D63FD"/>
    <w:rsid w:val="009D6969"/>
    <w:rsid w:val="009D7470"/>
    <w:rsid w:val="009D7A58"/>
    <w:rsid w:val="009E0638"/>
    <w:rsid w:val="009E0828"/>
    <w:rsid w:val="009E0CED"/>
    <w:rsid w:val="009E17A2"/>
    <w:rsid w:val="009E2D23"/>
    <w:rsid w:val="009E3180"/>
    <w:rsid w:val="009E4043"/>
    <w:rsid w:val="009E43C1"/>
    <w:rsid w:val="009E4D16"/>
    <w:rsid w:val="009E54AE"/>
    <w:rsid w:val="009E5FC3"/>
    <w:rsid w:val="009E6DF1"/>
    <w:rsid w:val="009E7E31"/>
    <w:rsid w:val="009F0BC9"/>
    <w:rsid w:val="009F39F7"/>
    <w:rsid w:val="009F3BA0"/>
    <w:rsid w:val="009F3F5D"/>
    <w:rsid w:val="009F43CB"/>
    <w:rsid w:val="009F4CB9"/>
    <w:rsid w:val="00A00283"/>
    <w:rsid w:val="00A01ACB"/>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1EB7"/>
    <w:rsid w:val="00A222CA"/>
    <w:rsid w:val="00A225E3"/>
    <w:rsid w:val="00A239CC"/>
    <w:rsid w:val="00A23BC2"/>
    <w:rsid w:val="00A248C9"/>
    <w:rsid w:val="00A26F01"/>
    <w:rsid w:val="00A26FF9"/>
    <w:rsid w:val="00A274A6"/>
    <w:rsid w:val="00A279AC"/>
    <w:rsid w:val="00A27A30"/>
    <w:rsid w:val="00A30C5D"/>
    <w:rsid w:val="00A310F1"/>
    <w:rsid w:val="00A31C68"/>
    <w:rsid w:val="00A31FFF"/>
    <w:rsid w:val="00A32178"/>
    <w:rsid w:val="00A325AE"/>
    <w:rsid w:val="00A326A6"/>
    <w:rsid w:val="00A3293C"/>
    <w:rsid w:val="00A342D9"/>
    <w:rsid w:val="00A357A4"/>
    <w:rsid w:val="00A35E30"/>
    <w:rsid w:val="00A35FAA"/>
    <w:rsid w:val="00A40163"/>
    <w:rsid w:val="00A409BC"/>
    <w:rsid w:val="00A40FC3"/>
    <w:rsid w:val="00A41D7C"/>
    <w:rsid w:val="00A42F6D"/>
    <w:rsid w:val="00A43C9A"/>
    <w:rsid w:val="00A43E85"/>
    <w:rsid w:val="00A44612"/>
    <w:rsid w:val="00A44720"/>
    <w:rsid w:val="00A46164"/>
    <w:rsid w:val="00A46A8E"/>
    <w:rsid w:val="00A50679"/>
    <w:rsid w:val="00A51337"/>
    <w:rsid w:val="00A537E5"/>
    <w:rsid w:val="00A540A5"/>
    <w:rsid w:val="00A54248"/>
    <w:rsid w:val="00A55B6F"/>
    <w:rsid w:val="00A569DF"/>
    <w:rsid w:val="00A61BD0"/>
    <w:rsid w:val="00A6388E"/>
    <w:rsid w:val="00A64AF8"/>
    <w:rsid w:val="00A64BC6"/>
    <w:rsid w:val="00A64FD7"/>
    <w:rsid w:val="00A659CB"/>
    <w:rsid w:val="00A70398"/>
    <w:rsid w:val="00A709AD"/>
    <w:rsid w:val="00A70D03"/>
    <w:rsid w:val="00A71441"/>
    <w:rsid w:val="00A721F1"/>
    <w:rsid w:val="00A7296C"/>
    <w:rsid w:val="00A72DA9"/>
    <w:rsid w:val="00A733CB"/>
    <w:rsid w:val="00A73934"/>
    <w:rsid w:val="00A739DF"/>
    <w:rsid w:val="00A740A0"/>
    <w:rsid w:val="00A745EF"/>
    <w:rsid w:val="00A751AD"/>
    <w:rsid w:val="00A76045"/>
    <w:rsid w:val="00A773CD"/>
    <w:rsid w:val="00A775CF"/>
    <w:rsid w:val="00A77853"/>
    <w:rsid w:val="00A77FAF"/>
    <w:rsid w:val="00A805EB"/>
    <w:rsid w:val="00A80C87"/>
    <w:rsid w:val="00A812D3"/>
    <w:rsid w:val="00A81E49"/>
    <w:rsid w:val="00A81EED"/>
    <w:rsid w:val="00A83106"/>
    <w:rsid w:val="00A8407B"/>
    <w:rsid w:val="00A84503"/>
    <w:rsid w:val="00A857C2"/>
    <w:rsid w:val="00A867DA"/>
    <w:rsid w:val="00A8782F"/>
    <w:rsid w:val="00A9167D"/>
    <w:rsid w:val="00A91895"/>
    <w:rsid w:val="00A92D25"/>
    <w:rsid w:val="00A933F4"/>
    <w:rsid w:val="00A9401F"/>
    <w:rsid w:val="00A94689"/>
    <w:rsid w:val="00A94C6C"/>
    <w:rsid w:val="00A94DDB"/>
    <w:rsid w:val="00A94F82"/>
    <w:rsid w:val="00A950A1"/>
    <w:rsid w:val="00A95563"/>
    <w:rsid w:val="00A965CD"/>
    <w:rsid w:val="00A96970"/>
    <w:rsid w:val="00A96D4D"/>
    <w:rsid w:val="00AA11C3"/>
    <w:rsid w:val="00AA1BEC"/>
    <w:rsid w:val="00AA27AA"/>
    <w:rsid w:val="00AA2DF3"/>
    <w:rsid w:val="00AA4761"/>
    <w:rsid w:val="00AA50BC"/>
    <w:rsid w:val="00AA6AE4"/>
    <w:rsid w:val="00AB24E7"/>
    <w:rsid w:val="00AB256A"/>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4732"/>
    <w:rsid w:val="00AC6332"/>
    <w:rsid w:val="00AC716E"/>
    <w:rsid w:val="00AD00AE"/>
    <w:rsid w:val="00AD0F89"/>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A3C"/>
    <w:rsid w:val="00AE4CEC"/>
    <w:rsid w:val="00AE4EC8"/>
    <w:rsid w:val="00AE517C"/>
    <w:rsid w:val="00AE599E"/>
    <w:rsid w:val="00AE5D9F"/>
    <w:rsid w:val="00AE5F15"/>
    <w:rsid w:val="00AE61C0"/>
    <w:rsid w:val="00AE632D"/>
    <w:rsid w:val="00AE72C2"/>
    <w:rsid w:val="00AE76C9"/>
    <w:rsid w:val="00AF06B4"/>
    <w:rsid w:val="00AF0C7E"/>
    <w:rsid w:val="00AF0EB2"/>
    <w:rsid w:val="00AF1F39"/>
    <w:rsid w:val="00AF2791"/>
    <w:rsid w:val="00AF2EF5"/>
    <w:rsid w:val="00AF3117"/>
    <w:rsid w:val="00AF326B"/>
    <w:rsid w:val="00AF32F0"/>
    <w:rsid w:val="00AF3811"/>
    <w:rsid w:val="00AF3CE4"/>
    <w:rsid w:val="00AF418D"/>
    <w:rsid w:val="00AF560E"/>
    <w:rsid w:val="00AF6220"/>
    <w:rsid w:val="00AF6C17"/>
    <w:rsid w:val="00AF70EE"/>
    <w:rsid w:val="00AF7618"/>
    <w:rsid w:val="00B00B01"/>
    <w:rsid w:val="00B01538"/>
    <w:rsid w:val="00B0420F"/>
    <w:rsid w:val="00B04550"/>
    <w:rsid w:val="00B04964"/>
    <w:rsid w:val="00B04CBD"/>
    <w:rsid w:val="00B10605"/>
    <w:rsid w:val="00B10F95"/>
    <w:rsid w:val="00B11B0A"/>
    <w:rsid w:val="00B11CF6"/>
    <w:rsid w:val="00B12331"/>
    <w:rsid w:val="00B124AD"/>
    <w:rsid w:val="00B13EB9"/>
    <w:rsid w:val="00B1462F"/>
    <w:rsid w:val="00B1539D"/>
    <w:rsid w:val="00B154B3"/>
    <w:rsid w:val="00B15B71"/>
    <w:rsid w:val="00B16085"/>
    <w:rsid w:val="00B1630C"/>
    <w:rsid w:val="00B166C6"/>
    <w:rsid w:val="00B21941"/>
    <w:rsid w:val="00B21EB4"/>
    <w:rsid w:val="00B22A5B"/>
    <w:rsid w:val="00B25F60"/>
    <w:rsid w:val="00B2691D"/>
    <w:rsid w:val="00B26C44"/>
    <w:rsid w:val="00B26F23"/>
    <w:rsid w:val="00B27291"/>
    <w:rsid w:val="00B27820"/>
    <w:rsid w:val="00B306EA"/>
    <w:rsid w:val="00B30944"/>
    <w:rsid w:val="00B3104B"/>
    <w:rsid w:val="00B32776"/>
    <w:rsid w:val="00B32AAC"/>
    <w:rsid w:val="00B32ABE"/>
    <w:rsid w:val="00B33758"/>
    <w:rsid w:val="00B33F4D"/>
    <w:rsid w:val="00B34F01"/>
    <w:rsid w:val="00B36CFC"/>
    <w:rsid w:val="00B37148"/>
    <w:rsid w:val="00B37AFC"/>
    <w:rsid w:val="00B4084B"/>
    <w:rsid w:val="00B40A29"/>
    <w:rsid w:val="00B41232"/>
    <w:rsid w:val="00B4271D"/>
    <w:rsid w:val="00B42B56"/>
    <w:rsid w:val="00B4385E"/>
    <w:rsid w:val="00B45864"/>
    <w:rsid w:val="00B460B5"/>
    <w:rsid w:val="00B4742C"/>
    <w:rsid w:val="00B47F4C"/>
    <w:rsid w:val="00B50032"/>
    <w:rsid w:val="00B50958"/>
    <w:rsid w:val="00B51526"/>
    <w:rsid w:val="00B51CE1"/>
    <w:rsid w:val="00B567D8"/>
    <w:rsid w:val="00B60F6F"/>
    <w:rsid w:val="00B61A52"/>
    <w:rsid w:val="00B6230B"/>
    <w:rsid w:val="00B628E8"/>
    <w:rsid w:val="00B63C3C"/>
    <w:rsid w:val="00B64DE4"/>
    <w:rsid w:val="00B65561"/>
    <w:rsid w:val="00B668D1"/>
    <w:rsid w:val="00B67413"/>
    <w:rsid w:val="00B676B8"/>
    <w:rsid w:val="00B70250"/>
    <w:rsid w:val="00B70C9E"/>
    <w:rsid w:val="00B70F85"/>
    <w:rsid w:val="00B71222"/>
    <w:rsid w:val="00B7174A"/>
    <w:rsid w:val="00B72380"/>
    <w:rsid w:val="00B7358B"/>
    <w:rsid w:val="00B7388C"/>
    <w:rsid w:val="00B73E0D"/>
    <w:rsid w:val="00B7521F"/>
    <w:rsid w:val="00B776BA"/>
    <w:rsid w:val="00B77C6C"/>
    <w:rsid w:val="00B77FDC"/>
    <w:rsid w:val="00B821F7"/>
    <w:rsid w:val="00B830A1"/>
    <w:rsid w:val="00B83160"/>
    <w:rsid w:val="00B8365B"/>
    <w:rsid w:val="00B83705"/>
    <w:rsid w:val="00B83CA0"/>
    <w:rsid w:val="00B84243"/>
    <w:rsid w:val="00B85C34"/>
    <w:rsid w:val="00B86CCD"/>
    <w:rsid w:val="00B876C0"/>
    <w:rsid w:val="00B87806"/>
    <w:rsid w:val="00B90E92"/>
    <w:rsid w:val="00B92B09"/>
    <w:rsid w:val="00B93884"/>
    <w:rsid w:val="00B93D53"/>
    <w:rsid w:val="00B94405"/>
    <w:rsid w:val="00B94A65"/>
    <w:rsid w:val="00B94ADF"/>
    <w:rsid w:val="00B94FB4"/>
    <w:rsid w:val="00B95D2D"/>
    <w:rsid w:val="00B9607C"/>
    <w:rsid w:val="00B9631B"/>
    <w:rsid w:val="00B9676C"/>
    <w:rsid w:val="00B9772B"/>
    <w:rsid w:val="00BA0966"/>
    <w:rsid w:val="00BA0F2F"/>
    <w:rsid w:val="00BA1A95"/>
    <w:rsid w:val="00BA28F3"/>
    <w:rsid w:val="00BA379F"/>
    <w:rsid w:val="00BA4E7C"/>
    <w:rsid w:val="00BA6777"/>
    <w:rsid w:val="00BB05FC"/>
    <w:rsid w:val="00BB2A98"/>
    <w:rsid w:val="00BB3AB5"/>
    <w:rsid w:val="00BB3DA8"/>
    <w:rsid w:val="00BB498B"/>
    <w:rsid w:val="00BB5A84"/>
    <w:rsid w:val="00BB6D23"/>
    <w:rsid w:val="00BB721D"/>
    <w:rsid w:val="00BB7455"/>
    <w:rsid w:val="00BC049F"/>
    <w:rsid w:val="00BC1405"/>
    <w:rsid w:val="00BC2C65"/>
    <w:rsid w:val="00BC311A"/>
    <w:rsid w:val="00BC3472"/>
    <w:rsid w:val="00BC3CAB"/>
    <w:rsid w:val="00BC3F11"/>
    <w:rsid w:val="00BC42CE"/>
    <w:rsid w:val="00BC4A0E"/>
    <w:rsid w:val="00BC6702"/>
    <w:rsid w:val="00BC76B4"/>
    <w:rsid w:val="00BD210E"/>
    <w:rsid w:val="00BD2CB2"/>
    <w:rsid w:val="00BD34C3"/>
    <w:rsid w:val="00BD40CB"/>
    <w:rsid w:val="00BD4954"/>
    <w:rsid w:val="00BD78D5"/>
    <w:rsid w:val="00BE0659"/>
    <w:rsid w:val="00BE0A68"/>
    <w:rsid w:val="00BE3D0E"/>
    <w:rsid w:val="00BE477F"/>
    <w:rsid w:val="00BE537C"/>
    <w:rsid w:val="00BE6D85"/>
    <w:rsid w:val="00BE6E6B"/>
    <w:rsid w:val="00BE70B3"/>
    <w:rsid w:val="00BE7D58"/>
    <w:rsid w:val="00BF0270"/>
    <w:rsid w:val="00BF05CD"/>
    <w:rsid w:val="00BF0E14"/>
    <w:rsid w:val="00BF164E"/>
    <w:rsid w:val="00BF1A33"/>
    <w:rsid w:val="00BF1D1F"/>
    <w:rsid w:val="00BF23C3"/>
    <w:rsid w:val="00BF3D35"/>
    <w:rsid w:val="00BF4C99"/>
    <w:rsid w:val="00BF6D42"/>
    <w:rsid w:val="00BF7ED9"/>
    <w:rsid w:val="00C00AA5"/>
    <w:rsid w:val="00C00B3B"/>
    <w:rsid w:val="00C01093"/>
    <w:rsid w:val="00C01D60"/>
    <w:rsid w:val="00C02450"/>
    <w:rsid w:val="00C02EEC"/>
    <w:rsid w:val="00C038D0"/>
    <w:rsid w:val="00C066AF"/>
    <w:rsid w:val="00C06CE4"/>
    <w:rsid w:val="00C07DEC"/>
    <w:rsid w:val="00C07F1C"/>
    <w:rsid w:val="00C1005F"/>
    <w:rsid w:val="00C107D2"/>
    <w:rsid w:val="00C11F05"/>
    <w:rsid w:val="00C11F2F"/>
    <w:rsid w:val="00C126FC"/>
    <w:rsid w:val="00C12D0A"/>
    <w:rsid w:val="00C13681"/>
    <w:rsid w:val="00C13DA0"/>
    <w:rsid w:val="00C15DEF"/>
    <w:rsid w:val="00C1778B"/>
    <w:rsid w:val="00C17B32"/>
    <w:rsid w:val="00C20E76"/>
    <w:rsid w:val="00C219C4"/>
    <w:rsid w:val="00C23647"/>
    <w:rsid w:val="00C23FE4"/>
    <w:rsid w:val="00C2476F"/>
    <w:rsid w:val="00C24BB1"/>
    <w:rsid w:val="00C2641F"/>
    <w:rsid w:val="00C276B1"/>
    <w:rsid w:val="00C3009E"/>
    <w:rsid w:val="00C31E81"/>
    <w:rsid w:val="00C3239B"/>
    <w:rsid w:val="00C3249E"/>
    <w:rsid w:val="00C3303C"/>
    <w:rsid w:val="00C3324A"/>
    <w:rsid w:val="00C342CD"/>
    <w:rsid w:val="00C34390"/>
    <w:rsid w:val="00C34C59"/>
    <w:rsid w:val="00C359BA"/>
    <w:rsid w:val="00C36775"/>
    <w:rsid w:val="00C36FBA"/>
    <w:rsid w:val="00C37BFF"/>
    <w:rsid w:val="00C37F04"/>
    <w:rsid w:val="00C40689"/>
    <w:rsid w:val="00C41058"/>
    <w:rsid w:val="00C41D55"/>
    <w:rsid w:val="00C42089"/>
    <w:rsid w:val="00C428E6"/>
    <w:rsid w:val="00C42D37"/>
    <w:rsid w:val="00C431A3"/>
    <w:rsid w:val="00C43DF8"/>
    <w:rsid w:val="00C44BE3"/>
    <w:rsid w:val="00C44C1D"/>
    <w:rsid w:val="00C450A9"/>
    <w:rsid w:val="00C45903"/>
    <w:rsid w:val="00C45C60"/>
    <w:rsid w:val="00C46399"/>
    <w:rsid w:val="00C46D0E"/>
    <w:rsid w:val="00C53301"/>
    <w:rsid w:val="00C53EF2"/>
    <w:rsid w:val="00C55846"/>
    <w:rsid w:val="00C61EA2"/>
    <w:rsid w:val="00C62BEE"/>
    <w:rsid w:val="00C6305B"/>
    <w:rsid w:val="00C63109"/>
    <w:rsid w:val="00C63C1F"/>
    <w:rsid w:val="00C63ED7"/>
    <w:rsid w:val="00C65397"/>
    <w:rsid w:val="00C66205"/>
    <w:rsid w:val="00C66319"/>
    <w:rsid w:val="00C705DA"/>
    <w:rsid w:val="00C715F0"/>
    <w:rsid w:val="00C72BD2"/>
    <w:rsid w:val="00C7356F"/>
    <w:rsid w:val="00C74126"/>
    <w:rsid w:val="00C74C39"/>
    <w:rsid w:val="00C74DA9"/>
    <w:rsid w:val="00C74E8D"/>
    <w:rsid w:val="00C753BA"/>
    <w:rsid w:val="00C75E22"/>
    <w:rsid w:val="00C7638D"/>
    <w:rsid w:val="00C763EA"/>
    <w:rsid w:val="00C76D7B"/>
    <w:rsid w:val="00C77417"/>
    <w:rsid w:val="00C8049D"/>
    <w:rsid w:val="00C819F0"/>
    <w:rsid w:val="00C81D65"/>
    <w:rsid w:val="00C854F5"/>
    <w:rsid w:val="00C85E77"/>
    <w:rsid w:val="00C86D90"/>
    <w:rsid w:val="00C872C5"/>
    <w:rsid w:val="00C8748F"/>
    <w:rsid w:val="00C87B2A"/>
    <w:rsid w:val="00C87FB8"/>
    <w:rsid w:val="00C91347"/>
    <w:rsid w:val="00C91CF4"/>
    <w:rsid w:val="00C92123"/>
    <w:rsid w:val="00C946DC"/>
    <w:rsid w:val="00C95596"/>
    <w:rsid w:val="00C95850"/>
    <w:rsid w:val="00C95B85"/>
    <w:rsid w:val="00C97362"/>
    <w:rsid w:val="00C978F2"/>
    <w:rsid w:val="00C97F24"/>
    <w:rsid w:val="00C97F3F"/>
    <w:rsid w:val="00CA056E"/>
    <w:rsid w:val="00CA0B5E"/>
    <w:rsid w:val="00CA0F4F"/>
    <w:rsid w:val="00CA15D7"/>
    <w:rsid w:val="00CA2F21"/>
    <w:rsid w:val="00CA3214"/>
    <w:rsid w:val="00CA450E"/>
    <w:rsid w:val="00CA475B"/>
    <w:rsid w:val="00CA4819"/>
    <w:rsid w:val="00CA49A3"/>
    <w:rsid w:val="00CA5A0A"/>
    <w:rsid w:val="00CA600B"/>
    <w:rsid w:val="00CA709C"/>
    <w:rsid w:val="00CB1F59"/>
    <w:rsid w:val="00CB2844"/>
    <w:rsid w:val="00CB4589"/>
    <w:rsid w:val="00CB54F0"/>
    <w:rsid w:val="00CB60C9"/>
    <w:rsid w:val="00CB62C0"/>
    <w:rsid w:val="00CB6D24"/>
    <w:rsid w:val="00CB795F"/>
    <w:rsid w:val="00CC0486"/>
    <w:rsid w:val="00CC0B67"/>
    <w:rsid w:val="00CC12AE"/>
    <w:rsid w:val="00CC2A06"/>
    <w:rsid w:val="00CC36A5"/>
    <w:rsid w:val="00CC4867"/>
    <w:rsid w:val="00CC5AB0"/>
    <w:rsid w:val="00CC6371"/>
    <w:rsid w:val="00CC6AFF"/>
    <w:rsid w:val="00CC7ED8"/>
    <w:rsid w:val="00CC7F08"/>
    <w:rsid w:val="00CD12CE"/>
    <w:rsid w:val="00CD1BF3"/>
    <w:rsid w:val="00CD2597"/>
    <w:rsid w:val="00CD3382"/>
    <w:rsid w:val="00CD5034"/>
    <w:rsid w:val="00CD6D22"/>
    <w:rsid w:val="00CD6D33"/>
    <w:rsid w:val="00CD73EB"/>
    <w:rsid w:val="00CE0085"/>
    <w:rsid w:val="00CE0472"/>
    <w:rsid w:val="00CE179F"/>
    <w:rsid w:val="00CE29D5"/>
    <w:rsid w:val="00CE2B6C"/>
    <w:rsid w:val="00CE2C1A"/>
    <w:rsid w:val="00CE3F53"/>
    <w:rsid w:val="00CE4134"/>
    <w:rsid w:val="00CE4D05"/>
    <w:rsid w:val="00CE558E"/>
    <w:rsid w:val="00CE5774"/>
    <w:rsid w:val="00CE7933"/>
    <w:rsid w:val="00CF164C"/>
    <w:rsid w:val="00CF2C6F"/>
    <w:rsid w:val="00CF4131"/>
    <w:rsid w:val="00CF5085"/>
    <w:rsid w:val="00CF5FDC"/>
    <w:rsid w:val="00CF7DCF"/>
    <w:rsid w:val="00D00382"/>
    <w:rsid w:val="00D0086A"/>
    <w:rsid w:val="00D02C8E"/>
    <w:rsid w:val="00D02EF1"/>
    <w:rsid w:val="00D05719"/>
    <w:rsid w:val="00D059F1"/>
    <w:rsid w:val="00D07A8D"/>
    <w:rsid w:val="00D1024D"/>
    <w:rsid w:val="00D11CD9"/>
    <w:rsid w:val="00D11F5B"/>
    <w:rsid w:val="00D120BF"/>
    <w:rsid w:val="00D12AA3"/>
    <w:rsid w:val="00D143EC"/>
    <w:rsid w:val="00D1469B"/>
    <w:rsid w:val="00D14ED7"/>
    <w:rsid w:val="00D15792"/>
    <w:rsid w:val="00D1741D"/>
    <w:rsid w:val="00D174C3"/>
    <w:rsid w:val="00D17D15"/>
    <w:rsid w:val="00D17E55"/>
    <w:rsid w:val="00D2179B"/>
    <w:rsid w:val="00D21F46"/>
    <w:rsid w:val="00D22699"/>
    <w:rsid w:val="00D2316C"/>
    <w:rsid w:val="00D232B7"/>
    <w:rsid w:val="00D23531"/>
    <w:rsid w:val="00D24D0C"/>
    <w:rsid w:val="00D24FF4"/>
    <w:rsid w:val="00D30A84"/>
    <w:rsid w:val="00D30CBA"/>
    <w:rsid w:val="00D323B5"/>
    <w:rsid w:val="00D327B7"/>
    <w:rsid w:val="00D33924"/>
    <w:rsid w:val="00D3564F"/>
    <w:rsid w:val="00D36333"/>
    <w:rsid w:val="00D36AC5"/>
    <w:rsid w:val="00D37A7B"/>
    <w:rsid w:val="00D37C36"/>
    <w:rsid w:val="00D40340"/>
    <w:rsid w:val="00D4187B"/>
    <w:rsid w:val="00D428B3"/>
    <w:rsid w:val="00D43E58"/>
    <w:rsid w:val="00D44150"/>
    <w:rsid w:val="00D4477C"/>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5A83"/>
    <w:rsid w:val="00D65AE7"/>
    <w:rsid w:val="00D6621C"/>
    <w:rsid w:val="00D6661E"/>
    <w:rsid w:val="00D6714F"/>
    <w:rsid w:val="00D7099F"/>
    <w:rsid w:val="00D70BF5"/>
    <w:rsid w:val="00D70EB2"/>
    <w:rsid w:val="00D715EF"/>
    <w:rsid w:val="00D720BB"/>
    <w:rsid w:val="00D729FE"/>
    <w:rsid w:val="00D75368"/>
    <w:rsid w:val="00D75924"/>
    <w:rsid w:val="00D75DD0"/>
    <w:rsid w:val="00D7602E"/>
    <w:rsid w:val="00D76996"/>
    <w:rsid w:val="00D77C45"/>
    <w:rsid w:val="00D80ECB"/>
    <w:rsid w:val="00D81071"/>
    <w:rsid w:val="00D821E0"/>
    <w:rsid w:val="00D82879"/>
    <w:rsid w:val="00D835A8"/>
    <w:rsid w:val="00D83B82"/>
    <w:rsid w:val="00D844C4"/>
    <w:rsid w:val="00D85D3F"/>
    <w:rsid w:val="00D86C0E"/>
    <w:rsid w:val="00D86FFD"/>
    <w:rsid w:val="00D87479"/>
    <w:rsid w:val="00D87AF9"/>
    <w:rsid w:val="00D9150D"/>
    <w:rsid w:val="00D92465"/>
    <w:rsid w:val="00D92B42"/>
    <w:rsid w:val="00D93254"/>
    <w:rsid w:val="00D942D3"/>
    <w:rsid w:val="00D94C7E"/>
    <w:rsid w:val="00D952A8"/>
    <w:rsid w:val="00D961F2"/>
    <w:rsid w:val="00D97687"/>
    <w:rsid w:val="00D9775E"/>
    <w:rsid w:val="00DA1610"/>
    <w:rsid w:val="00DA1A11"/>
    <w:rsid w:val="00DA1BEF"/>
    <w:rsid w:val="00DA28A8"/>
    <w:rsid w:val="00DA3143"/>
    <w:rsid w:val="00DA4EAE"/>
    <w:rsid w:val="00DA55D4"/>
    <w:rsid w:val="00DA60CD"/>
    <w:rsid w:val="00DA6854"/>
    <w:rsid w:val="00DA6D4F"/>
    <w:rsid w:val="00DA6FB4"/>
    <w:rsid w:val="00DA7AC3"/>
    <w:rsid w:val="00DA7B65"/>
    <w:rsid w:val="00DB10A8"/>
    <w:rsid w:val="00DB22B0"/>
    <w:rsid w:val="00DB3297"/>
    <w:rsid w:val="00DB4C98"/>
    <w:rsid w:val="00DB584E"/>
    <w:rsid w:val="00DB69D9"/>
    <w:rsid w:val="00DC16AF"/>
    <w:rsid w:val="00DC2917"/>
    <w:rsid w:val="00DC2A23"/>
    <w:rsid w:val="00DC3165"/>
    <w:rsid w:val="00DC32EC"/>
    <w:rsid w:val="00DC4099"/>
    <w:rsid w:val="00DC4790"/>
    <w:rsid w:val="00DC5A4C"/>
    <w:rsid w:val="00DC6737"/>
    <w:rsid w:val="00DD051E"/>
    <w:rsid w:val="00DD05A6"/>
    <w:rsid w:val="00DD05B3"/>
    <w:rsid w:val="00DD0BA0"/>
    <w:rsid w:val="00DD1046"/>
    <w:rsid w:val="00DD2754"/>
    <w:rsid w:val="00DD53A9"/>
    <w:rsid w:val="00DD5856"/>
    <w:rsid w:val="00DD693E"/>
    <w:rsid w:val="00DD7B40"/>
    <w:rsid w:val="00DD7D90"/>
    <w:rsid w:val="00DE117E"/>
    <w:rsid w:val="00DE1987"/>
    <w:rsid w:val="00DE1EF9"/>
    <w:rsid w:val="00DE2A71"/>
    <w:rsid w:val="00DE2AC1"/>
    <w:rsid w:val="00DE36CF"/>
    <w:rsid w:val="00DE42BA"/>
    <w:rsid w:val="00DE50C2"/>
    <w:rsid w:val="00DE52F4"/>
    <w:rsid w:val="00DE566F"/>
    <w:rsid w:val="00DE5DF9"/>
    <w:rsid w:val="00DE5E0C"/>
    <w:rsid w:val="00DE6613"/>
    <w:rsid w:val="00DE78B5"/>
    <w:rsid w:val="00DF045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0D28"/>
    <w:rsid w:val="00E01B7C"/>
    <w:rsid w:val="00E0338D"/>
    <w:rsid w:val="00E054BA"/>
    <w:rsid w:val="00E05967"/>
    <w:rsid w:val="00E06F9F"/>
    <w:rsid w:val="00E1099E"/>
    <w:rsid w:val="00E10D3F"/>
    <w:rsid w:val="00E1129E"/>
    <w:rsid w:val="00E120DB"/>
    <w:rsid w:val="00E121DD"/>
    <w:rsid w:val="00E12264"/>
    <w:rsid w:val="00E15A7E"/>
    <w:rsid w:val="00E160CA"/>
    <w:rsid w:val="00E1675C"/>
    <w:rsid w:val="00E16977"/>
    <w:rsid w:val="00E16BE1"/>
    <w:rsid w:val="00E17DAB"/>
    <w:rsid w:val="00E2011C"/>
    <w:rsid w:val="00E20209"/>
    <w:rsid w:val="00E20628"/>
    <w:rsid w:val="00E2103B"/>
    <w:rsid w:val="00E223BE"/>
    <w:rsid w:val="00E22A07"/>
    <w:rsid w:val="00E235C3"/>
    <w:rsid w:val="00E253F7"/>
    <w:rsid w:val="00E26003"/>
    <w:rsid w:val="00E273FF"/>
    <w:rsid w:val="00E27B91"/>
    <w:rsid w:val="00E306E7"/>
    <w:rsid w:val="00E30774"/>
    <w:rsid w:val="00E3087C"/>
    <w:rsid w:val="00E30E1D"/>
    <w:rsid w:val="00E30FE2"/>
    <w:rsid w:val="00E32B74"/>
    <w:rsid w:val="00E335C8"/>
    <w:rsid w:val="00E33A6E"/>
    <w:rsid w:val="00E3664F"/>
    <w:rsid w:val="00E37BA9"/>
    <w:rsid w:val="00E37F9B"/>
    <w:rsid w:val="00E41090"/>
    <w:rsid w:val="00E42411"/>
    <w:rsid w:val="00E42C8A"/>
    <w:rsid w:val="00E43189"/>
    <w:rsid w:val="00E436F2"/>
    <w:rsid w:val="00E43965"/>
    <w:rsid w:val="00E43E3B"/>
    <w:rsid w:val="00E443D9"/>
    <w:rsid w:val="00E4452C"/>
    <w:rsid w:val="00E4582E"/>
    <w:rsid w:val="00E46611"/>
    <w:rsid w:val="00E46AB8"/>
    <w:rsid w:val="00E47163"/>
    <w:rsid w:val="00E473B3"/>
    <w:rsid w:val="00E479CE"/>
    <w:rsid w:val="00E50E8D"/>
    <w:rsid w:val="00E51F1C"/>
    <w:rsid w:val="00E52BE2"/>
    <w:rsid w:val="00E53F1A"/>
    <w:rsid w:val="00E54185"/>
    <w:rsid w:val="00E5444F"/>
    <w:rsid w:val="00E55ABA"/>
    <w:rsid w:val="00E57979"/>
    <w:rsid w:val="00E57CA7"/>
    <w:rsid w:val="00E61C5E"/>
    <w:rsid w:val="00E61EC0"/>
    <w:rsid w:val="00E62415"/>
    <w:rsid w:val="00E62B36"/>
    <w:rsid w:val="00E62DF5"/>
    <w:rsid w:val="00E63BDC"/>
    <w:rsid w:val="00E647C8"/>
    <w:rsid w:val="00E64EFB"/>
    <w:rsid w:val="00E666B0"/>
    <w:rsid w:val="00E67C82"/>
    <w:rsid w:val="00E702CE"/>
    <w:rsid w:val="00E70F0A"/>
    <w:rsid w:val="00E71844"/>
    <w:rsid w:val="00E731D7"/>
    <w:rsid w:val="00E7371B"/>
    <w:rsid w:val="00E73765"/>
    <w:rsid w:val="00E74ACE"/>
    <w:rsid w:val="00E75A0F"/>
    <w:rsid w:val="00E76B64"/>
    <w:rsid w:val="00E77C06"/>
    <w:rsid w:val="00E831F7"/>
    <w:rsid w:val="00E835D7"/>
    <w:rsid w:val="00E83F21"/>
    <w:rsid w:val="00E84024"/>
    <w:rsid w:val="00E855E0"/>
    <w:rsid w:val="00E860B7"/>
    <w:rsid w:val="00E8780D"/>
    <w:rsid w:val="00E9221F"/>
    <w:rsid w:val="00E92644"/>
    <w:rsid w:val="00E93C24"/>
    <w:rsid w:val="00E940D9"/>
    <w:rsid w:val="00E94499"/>
    <w:rsid w:val="00E95DB8"/>
    <w:rsid w:val="00E95E3B"/>
    <w:rsid w:val="00E9717F"/>
    <w:rsid w:val="00E972CA"/>
    <w:rsid w:val="00E97527"/>
    <w:rsid w:val="00EA05CD"/>
    <w:rsid w:val="00EA186C"/>
    <w:rsid w:val="00EA1F37"/>
    <w:rsid w:val="00EA46A8"/>
    <w:rsid w:val="00EA5A9E"/>
    <w:rsid w:val="00EA6556"/>
    <w:rsid w:val="00EA6842"/>
    <w:rsid w:val="00EA6D25"/>
    <w:rsid w:val="00EB1B80"/>
    <w:rsid w:val="00EB2AB6"/>
    <w:rsid w:val="00EB3341"/>
    <w:rsid w:val="00EB4C26"/>
    <w:rsid w:val="00EB5127"/>
    <w:rsid w:val="00EB53F2"/>
    <w:rsid w:val="00EB548C"/>
    <w:rsid w:val="00EB54DC"/>
    <w:rsid w:val="00EB7803"/>
    <w:rsid w:val="00EC0295"/>
    <w:rsid w:val="00EC0454"/>
    <w:rsid w:val="00EC0C7C"/>
    <w:rsid w:val="00EC19FA"/>
    <w:rsid w:val="00EC1F39"/>
    <w:rsid w:val="00EC2948"/>
    <w:rsid w:val="00EC3161"/>
    <w:rsid w:val="00EC4677"/>
    <w:rsid w:val="00EC4FBD"/>
    <w:rsid w:val="00EC5F86"/>
    <w:rsid w:val="00EC67A9"/>
    <w:rsid w:val="00ED0940"/>
    <w:rsid w:val="00ED14F4"/>
    <w:rsid w:val="00ED25CE"/>
    <w:rsid w:val="00ED3A55"/>
    <w:rsid w:val="00ED3B06"/>
    <w:rsid w:val="00ED3C2C"/>
    <w:rsid w:val="00ED402C"/>
    <w:rsid w:val="00ED511B"/>
    <w:rsid w:val="00ED6715"/>
    <w:rsid w:val="00ED71CA"/>
    <w:rsid w:val="00ED7DD7"/>
    <w:rsid w:val="00EE0ACF"/>
    <w:rsid w:val="00EE22E3"/>
    <w:rsid w:val="00EE2ED0"/>
    <w:rsid w:val="00EE37DE"/>
    <w:rsid w:val="00EE67C5"/>
    <w:rsid w:val="00EF09E9"/>
    <w:rsid w:val="00EF18EF"/>
    <w:rsid w:val="00EF4031"/>
    <w:rsid w:val="00EF45CE"/>
    <w:rsid w:val="00EF4C71"/>
    <w:rsid w:val="00EF695C"/>
    <w:rsid w:val="00F00984"/>
    <w:rsid w:val="00F01FF7"/>
    <w:rsid w:val="00F05908"/>
    <w:rsid w:val="00F10305"/>
    <w:rsid w:val="00F1076B"/>
    <w:rsid w:val="00F10D71"/>
    <w:rsid w:val="00F11B9B"/>
    <w:rsid w:val="00F11D20"/>
    <w:rsid w:val="00F120D0"/>
    <w:rsid w:val="00F1363A"/>
    <w:rsid w:val="00F13E0D"/>
    <w:rsid w:val="00F1526A"/>
    <w:rsid w:val="00F15DFF"/>
    <w:rsid w:val="00F175CA"/>
    <w:rsid w:val="00F20B6E"/>
    <w:rsid w:val="00F20FF5"/>
    <w:rsid w:val="00F248EC"/>
    <w:rsid w:val="00F24BCF"/>
    <w:rsid w:val="00F24C64"/>
    <w:rsid w:val="00F2639B"/>
    <w:rsid w:val="00F26706"/>
    <w:rsid w:val="00F271F4"/>
    <w:rsid w:val="00F276EE"/>
    <w:rsid w:val="00F30B12"/>
    <w:rsid w:val="00F324F6"/>
    <w:rsid w:val="00F3255F"/>
    <w:rsid w:val="00F33271"/>
    <w:rsid w:val="00F34C7D"/>
    <w:rsid w:val="00F3510E"/>
    <w:rsid w:val="00F35B8D"/>
    <w:rsid w:val="00F373DC"/>
    <w:rsid w:val="00F37EF3"/>
    <w:rsid w:val="00F403D6"/>
    <w:rsid w:val="00F40782"/>
    <w:rsid w:val="00F41408"/>
    <w:rsid w:val="00F420BA"/>
    <w:rsid w:val="00F422EF"/>
    <w:rsid w:val="00F42894"/>
    <w:rsid w:val="00F43E26"/>
    <w:rsid w:val="00F4532B"/>
    <w:rsid w:val="00F45CF2"/>
    <w:rsid w:val="00F45E43"/>
    <w:rsid w:val="00F470EA"/>
    <w:rsid w:val="00F4727D"/>
    <w:rsid w:val="00F47B25"/>
    <w:rsid w:val="00F5038E"/>
    <w:rsid w:val="00F506AE"/>
    <w:rsid w:val="00F51346"/>
    <w:rsid w:val="00F5235B"/>
    <w:rsid w:val="00F54947"/>
    <w:rsid w:val="00F54F7B"/>
    <w:rsid w:val="00F557A3"/>
    <w:rsid w:val="00F55AEE"/>
    <w:rsid w:val="00F55CD7"/>
    <w:rsid w:val="00F560DC"/>
    <w:rsid w:val="00F56916"/>
    <w:rsid w:val="00F56AD0"/>
    <w:rsid w:val="00F56CB1"/>
    <w:rsid w:val="00F626C2"/>
    <w:rsid w:val="00F630EF"/>
    <w:rsid w:val="00F63F85"/>
    <w:rsid w:val="00F65819"/>
    <w:rsid w:val="00F663AE"/>
    <w:rsid w:val="00F66865"/>
    <w:rsid w:val="00F67A6B"/>
    <w:rsid w:val="00F70B5B"/>
    <w:rsid w:val="00F71634"/>
    <w:rsid w:val="00F7244F"/>
    <w:rsid w:val="00F72962"/>
    <w:rsid w:val="00F72D23"/>
    <w:rsid w:val="00F743D8"/>
    <w:rsid w:val="00F74CB0"/>
    <w:rsid w:val="00F75495"/>
    <w:rsid w:val="00F75D77"/>
    <w:rsid w:val="00F7639C"/>
    <w:rsid w:val="00F765EB"/>
    <w:rsid w:val="00F773A0"/>
    <w:rsid w:val="00F775A8"/>
    <w:rsid w:val="00F81CE4"/>
    <w:rsid w:val="00F822BA"/>
    <w:rsid w:val="00F828F5"/>
    <w:rsid w:val="00F836EA"/>
    <w:rsid w:val="00F844CA"/>
    <w:rsid w:val="00F84ADD"/>
    <w:rsid w:val="00F84CA6"/>
    <w:rsid w:val="00F8673B"/>
    <w:rsid w:val="00F87522"/>
    <w:rsid w:val="00F908F8"/>
    <w:rsid w:val="00F92442"/>
    <w:rsid w:val="00F926C8"/>
    <w:rsid w:val="00F939DB"/>
    <w:rsid w:val="00F94E4F"/>
    <w:rsid w:val="00F94E8C"/>
    <w:rsid w:val="00F964B0"/>
    <w:rsid w:val="00F97013"/>
    <w:rsid w:val="00F973F0"/>
    <w:rsid w:val="00F97B52"/>
    <w:rsid w:val="00F97D2D"/>
    <w:rsid w:val="00FA05A4"/>
    <w:rsid w:val="00FA1177"/>
    <w:rsid w:val="00FA2F87"/>
    <w:rsid w:val="00FA30C2"/>
    <w:rsid w:val="00FA31D8"/>
    <w:rsid w:val="00FA3845"/>
    <w:rsid w:val="00FA63B6"/>
    <w:rsid w:val="00FA6958"/>
    <w:rsid w:val="00FA7135"/>
    <w:rsid w:val="00FA784C"/>
    <w:rsid w:val="00FB06E1"/>
    <w:rsid w:val="00FB0CA2"/>
    <w:rsid w:val="00FB1A25"/>
    <w:rsid w:val="00FB4A9E"/>
    <w:rsid w:val="00FB5E94"/>
    <w:rsid w:val="00FB630A"/>
    <w:rsid w:val="00FB66AB"/>
    <w:rsid w:val="00FB6912"/>
    <w:rsid w:val="00FC00DD"/>
    <w:rsid w:val="00FC0848"/>
    <w:rsid w:val="00FC0A72"/>
    <w:rsid w:val="00FC1247"/>
    <w:rsid w:val="00FC13E2"/>
    <w:rsid w:val="00FC14D9"/>
    <w:rsid w:val="00FC1C66"/>
    <w:rsid w:val="00FC27D4"/>
    <w:rsid w:val="00FC3CD4"/>
    <w:rsid w:val="00FC4E2A"/>
    <w:rsid w:val="00FC5B2F"/>
    <w:rsid w:val="00FC6CF3"/>
    <w:rsid w:val="00FC6F4F"/>
    <w:rsid w:val="00FD1B30"/>
    <w:rsid w:val="00FD3D3E"/>
    <w:rsid w:val="00FD4975"/>
    <w:rsid w:val="00FD4A60"/>
    <w:rsid w:val="00FD5051"/>
    <w:rsid w:val="00FD522D"/>
    <w:rsid w:val="00FD5958"/>
    <w:rsid w:val="00FD5A0F"/>
    <w:rsid w:val="00FD5A3B"/>
    <w:rsid w:val="00FD718B"/>
    <w:rsid w:val="00FD756D"/>
    <w:rsid w:val="00FD7972"/>
    <w:rsid w:val="00FD79EA"/>
    <w:rsid w:val="00FE059A"/>
    <w:rsid w:val="00FE0649"/>
    <w:rsid w:val="00FE0767"/>
    <w:rsid w:val="00FE0781"/>
    <w:rsid w:val="00FE1091"/>
    <w:rsid w:val="00FE2022"/>
    <w:rsid w:val="00FE271E"/>
    <w:rsid w:val="00FE29AF"/>
    <w:rsid w:val="00FE395C"/>
    <w:rsid w:val="00FE3DE9"/>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74"/>
    <w:pPr>
      <w:spacing w:after="240" w:line="260" w:lineRule="exact"/>
      <w:jc w:val="both"/>
    </w:pPr>
    <w:rPr>
      <w:rFonts w:ascii="Book Antiqua" w:hAnsi="Book Antiqua"/>
    </w:rPr>
  </w:style>
  <w:style w:type="paragraph" w:styleId="Heading1">
    <w:name w:val="heading 1"/>
    <w:basedOn w:val="HeadingBase"/>
    <w:next w:val="Normal"/>
    <w:qFormat/>
    <w:rsid w:val="00E32B74"/>
    <w:pPr>
      <w:spacing w:after="240"/>
      <w:jc w:val="center"/>
      <w:outlineLvl w:val="0"/>
    </w:pPr>
    <w:rPr>
      <w:rFonts w:ascii="Arial Bold" w:hAnsi="Arial Bold"/>
      <w:b/>
      <w:kern w:val="34"/>
      <w:sz w:val="36"/>
    </w:rPr>
  </w:style>
  <w:style w:type="paragraph" w:styleId="Heading2">
    <w:name w:val="heading 2"/>
    <w:basedOn w:val="HeadingBase"/>
    <w:next w:val="Normal"/>
    <w:qFormat/>
    <w:rsid w:val="00E32B74"/>
    <w:pPr>
      <w:spacing w:before="240" w:after="240"/>
      <w:outlineLvl w:val="1"/>
    </w:pPr>
    <w:rPr>
      <w:rFonts w:ascii="Arial Bold" w:hAnsi="Arial Bold"/>
      <w:b/>
      <w:sz w:val="26"/>
    </w:rPr>
  </w:style>
  <w:style w:type="paragraph" w:styleId="Heading3">
    <w:name w:val="heading 3"/>
    <w:basedOn w:val="HeadingBase"/>
    <w:next w:val="Normal"/>
    <w:link w:val="Heading3Char"/>
    <w:qFormat/>
    <w:rsid w:val="00E32B74"/>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E32B74"/>
    <w:pPr>
      <w:tabs>
        <w:tab w:val="left" w:pos="709"/>
      </w:tabs>
      <w:spacing w:after="120"/>
      <w:outlineLvl w:val="3"/>
    </w:pPr>
    <w:rPr>
      <w:rFonts w:ascii="Arial Bold" w:hAnsi="Arial Bold"/>
      <w:b/>
      <w:sz w:val="20"/>
    </w:rPr>
  </w:style>
  <w:style w:type="paragraph" w:styleId="Heading5">
    <w:name w:val="heading 5"/>
    <w:basedOn w:val="HeadingBase"/>
    <w:next w:val="Normal"/>
    <w:qFormat/>
    <w:rsid w:val="00E32B74"/>
    <w:pPr>
      <w:spacing w:after="120"/>
      <w:outlineLvl w:val="4"/>
    </w:pPr>
    <w:rPr>
      <w:bCs/>
      <w:iCs/>
      <w:sz w:val="20"/>
      <w:szCs w:val="26"/>
    </w:rPr>
  </w:style>
  <w:style w:type="paragraph" w:styleId="Heading6">
    <w:name w:val="heading 6"/>
    <w:basedOn w:val="HeadingBase"/>
    <w:next w:val="Normal"/>
    <w:qFormat/>
    <w:rsid w:val="00E32B74"/>
    <w:pPr>
      <w:spacing w:after="120"/>
      <w:outlineLvl w:val="5"/>
    </w:pPr>
    <w:rPr>
      <w:bCs/>
      <w:sz w:val="20"/>
      <w:szCs w:val="22"/>
    </w:rPr>
  </w:style>
  <w:style w:type="paragraph" w:styleId="Heading7">
    <w:name w:val="heading 7"/>
    <w:basedOn w:val="HeadingBase"/>
    <w:next w:val="Normal"/>
    <w:unhideWhenUsed/>
    <w:qFormat/>
    <w:rsid w:val="00E32B74"/>
    <w:pPr>
      <w:spacing w:after="100"/>
      <w:outlineLvl w:val="6"/>
    </w:pPr>
    <w:rPr>
      <w:sz w:val="18"/>
      <w:szCs w:val="24"/>
    </w:rPr>
  </w:style>
  <w:style w:type="paragraph" w:styleId="Heading8">
    <w:name w:val="heading 8"/>
    <w:basedOn w:val="HeadingBase"/>
    <w:next w:val="Normal"/>
    <w:unhideWhenUsed/>
    <w:qFormat/>
    <w:rsid w:val="00E32B74"/>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E32B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32B74"/>
    <w:pPr>
      <w:spacing w:after="0"/>
    </w:pPr>
  </w:style>
  <w:style w:type="paragraph" w:customStyle="1" w:styleId="Exampletext">
    <w:name w:val="Example text"/>
    <w:basedOn w:val="Normal"/>
    <w:link w:val="ExampletextCharChar"/>
    <w:rsid w:val="00E32B74"/>
    <w:rPr>
      <w:i/>
      <w:color w:val="FF0000"/>
      <w:lang w:val="x-none" w:eastAsia="x-none"/>
    </w:rPr>
  </w:style>
  <w:style w:type="paragraph" w:customStyle="1" w:styleId="ChartSecondHeading">
    <w:name w:val="Chart Second Heading"/>
    <w:basedOn w:val="HeadingBase"/>
    <w:next w:val="ChartGraphic"/>
    <w:rsid w:val="00E32B74"/>
    <w:pPr>
      <w:spacing w:before="60"/>
      <w:jc w:val="center"/>
    </w:pPr>
    <w:rPr>
      <w:sz w:val="20"/>
    </w:rPr>
  </w:style>
  <w:style w:type="paragraph" w:customStyle="1" w:styleId="TableHeading">
    <w:name w:val="Table Heading"/>
    <w:basedOn w:val="HeadingBase"/>
    <w:next w:val="TableGraphic"/>
    <w:link w:val="TableHeadingChar"/>
    <w:rsid w:val="00E32B74"/>
    <w:pPr>
      <w:spacing w:after="20"/>
    </w:pPr>
    <w:rPr>
      <w:b/>
      <w:color w:val="000000"/>
      <w:sz w:val="20"/>
      <w:lang w:val="x-none" w:eastAsia="x-none"/>
    </w:rPr>
  </w:style>
  <w:style w:type="paragraph" w:customStyle="1" w:styleId="HeadingBase">
    <w:name w:val="Heading Base"/>
    <w:link w:val="HeadingBaseChar"/>
    <w:rsid w:val="00E32B74"/>
    <w:pPr>
      <w:keepNext/>
    </w:pPr>
    <w:rPr>
      <w:rFonts w:ascii="Arial" w:hAnsi="Arial"/>
      <w:sz w:val="24"/>
    </w:rPr>
  </w:style>
  <w:style w:type="paragraph" w:customStyle="1" w:styleId="AlphaParagraph">
    <w:name w:val="Alpha Paragraph"/>
    <w:basedOn w:val="Normal"/>
    <w:rsid w:val="00E32B74"/>
    <w:pPr>
      <w:numPr>
        <w:numId w:val="1"/>
      </w:numPr>
    </w:pPr>
  </w:style>
  <w:style w:type="paragraph" w:customStyle="1" w:styleId="Bullet">
    <w:name w:val="Bullet"/>
    <w:basedOn w:val="Normal"/>
    <w:link w:val="BulletChar"/>
    <w:rsid w:val="00E32B74"/>
    <w:pPr>
      <w:numPr>
        <w:numId w:val="2"/>
      </w:numPr>
    </w:pPr>
    <w:rPr>
      <w:lang w:val="x-none" w:eastAsia="x-none"/>
    </w:rPr>
  </w:style>
  <w:style w:type="paragraph" w:customStyle="1" w:styleId="Dash">
    <w:name w:val="Dash"/>
    <w:basedOn w:val="Normal"/>
    <w:link w:val="DashChar"/>
    <w:rsid w:val="00E32B74"/>
    <w:pPr>
      <w:numPr>
        <w:ilvl w:val="1"/>
        <w:numId w:val="2"/>
      </w:numPr>
    </w:pPr>
  </w:style>
  <w:style w:type="paragraph" w:customStyle="1" w:styleId="DoubleDot">
    <w:name w:val="Double Dot"/>
    <w:basedOn w:val="Normal"/>
    <w:rsid w:val="00E32B74"/>
    <w:pPr>
      <w:numPr>
        <w:ilvl w:val="2"/>
        <w:numId w:val="2"/>
      </w:numPr>
    </w:pPr>
  </w:style>
  <w:style w:type="paragraph" w:customStyle="1" w:styleId="AppendixHeading">
    <w:name w:val="Appendix Heading"/>
    <w:basedOn w:val="HeadingBase"/>
    <w:semiHidden/>
    <w:rsid w:val="00E32B74"/>
    <w:pPr>
      <w:spacing w:after="240"/>
      <w:jc w:val="center"/>
      <w:outlineLvl w:val="3"/>
    </w:pPr>
    <w:rPr>
      <w:b/>
      <w:smallCaps/>
      <w:sz w:val="30"/>
    </w:rPr>
  </w:style>
  <w:style w:type="paragraph" w:customStyle="1" w:styleId="BoxText">
    <w:name w:val="Box Text"/>
    <w:basedOn w:val="BoxTextBase"/>
    <w:rsid w:val="00E32B74"/>
    <w:pPr>
      <w:spacing w:line="240" w:lineRule="auto"/>
    </w:pPr>
  </w:style>
  <w:style w:type="paragraph" w:customStyle="1" w:styleId="BoxHeading">
    <w:name w:val="Box Heading"/>
    <w:basedOn w:val="HeadingBase"/>
    <w:next w:val="BoxText"/>
    <w:rsid w:val="00E32B74"/>
    <w:pPr>
      <w:spacing w:before="120" w:after="120"/>
    </w:pPr>
    <w:rPr>
      <w:b/>
      <w:sz w:val="20"/>
    </w:rPr>
  </w:style>
  <w:style w:type="paragraph" w:customStyle="1" w:styleId="ChartandTableFootnoteAlpha">
    <w:name w:val="Chart and Table Footnote Alpha"/>
    <w:basedOn w:val="HeadingBase"/>
    <w:next w:val="Normal"/>
    <w:rsid w:val="00E32B74"/>
    <w:pPr>
      <w:keepNext w:val="0"/>
      <w:numPr>
        <w:numId w:val="7"/>
      </w:numPr>
      <w:jc w:val="both"/>
    </w:pPr>
    <w:rPr>
      <w:sz w:val="16"/>
    </w:rPr>
  </w:style>
  <w:style w:type="paragraph" w:customStyle="1" w:styleId="ChartandTableFootnoteAlphaSmall">
    <w:name w:val="Chart and Table Footnote Alpha Small"/>
    <w:basedOn w:val="HeadingBase"/>
    <w:next w:val="Normal"/>
    <w:rsid w:val="00E32B74"/>
    <w:pPr>
      <w:numPr>
        <w:numId w:val="3"/>
      </w:numPr>
      <w:jc w:val="both"/>
    </w:pPr>
    <w:rPr>
      <w:sz w:val="15"/>
    </w:rPr>
  </w:style>
  <w:style w:type="paragraph" w:customStyle="1" w:styleId="ChartandTableFootnote">
    <w:name w:val="Chart and Table Footnote"/>
    <w:basedOn w:val="HeadingBase"/>
    <w:next w:val="Normal"/>
    <w:link w:val="ChartandTableFootnoteChar"/>
    <w:rsid w:val="00E32B74"/>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32B74"/>
    <w:pPr>
      <w:tabs>
        <w:tab w:val="left" w:pos="284"/>
      </w:tabs>
      <w:jc w:val="both"/>
    </w:pPr>
    <w:rPr>
      <w:sz w:val="15"/>
    </w:rPr>
  </w:style>
  <w:style w:type="paragraph" w:customStyle="1" w:styleId="BoxBullet">
    <w:name w:val="Box Bullet"/>
    <w:basedOn w:val="BoxText"/>
    <w:rsid w:val="00E32B74"/>
    <w:pPr>
      <w:numPr>
        <w:numId w:val="6"/>
      </w:numPr>
    </w:pPr>
  </w:style>
  <w:style w:type="paragraph" w:customStyle="1" w:styleId="ChartGraphic">
    <w:name w:val="Chart Graphic"/>
    <w:basedOn w:val="HeadingBase"/>
    <w:rsid w:val="00E32B74"/>
    <w:pPr>
      <w:jc w:val="center"/>
    </w:pPr>
    <w:rPr>
      <w:sz w:val="20"/>
    </w:rPr>
  </w:style>
  <w:style w:type="paragraph" w:customStyle="1" w:styleId="ContentsHeading">
    <w:name w:val="Contents Heading"/>
    <w:basedOn w:val="HeadingBase"/>
    <w:next w:val="Normal"/>
    <w:rsid w:val="00E32B74"/>
    <w:pPr>
      <w:spacing w:after="600"/>
      <w:jc w:val="center"/>
    </w:pPr>
    <w:rPr>
      <w:rFonts w:ascii="Arial Bold" w:hAnsi="Arial Bold"/>
      <w:b/>
      <w:sz w:val="36"/>
    </w:rPr>
  </w:style>
  <w:style w:type="paragraph" w:customStyle="1" w:styleId="FigureHeading">
    <w:name w:val="Figure Heading"/>
    <w:basedOn w:val="HeadingBase"/>
    <w:next w:val="ChartGraphic"/>
    <w:rsid w:val="00E32B74"/>
    <w:pPr>
      <w:spacing w:after="120"/>
      <w:jc w:val="center"/>
    </w:pPr>
    <w:rPr>
      <w:b/>
      <w:sz w:val="20"/>
    </w:rPr>
  </w:style>
  <w:style w:type="paragraph" w:customStyle="1" w:styleId="Classification">
    <w:name w:val="Classification"/>
    <w:basedOn w:val="HeadingBase"/>
    <w:rsid w:val="00E32B74"/>
    <w:pPr>
      <w:jc w:val="center"/>
    </w:pPr>
    <w:rPr>
      <w:b/>
      <w:smallCaps/>
    </w:rPr>
  </w:style>
  <w:style w:type="character" w:customStyle="1" w:styleId="HiddenSequenceCode">
    <w:name w:val="Hidden Sequence Code"/>
    <w:semiHidden/>
    <w:rsid w:val="00E32B74"/>
    <w:rPr>
      <w:rFonts w:ascii="Times New Roman" w:hAnsi="Times New Roman"/>
      <w:vanish/>
      <w:sz w:val="16"/>
    </w:rPr>
  </w:style>
  <w:style w:type="paragraph" w:customStyle="1" w:styleId="OverviewParagraph">
    <w:name w:val="Overview Paragraph"/>
    <w:basedOn w:val="Normal"/>
    <w:semiHidden/>
    <w:rsid w:val="00E32B74"/>
    <w:pPr>
      <w:spacing w:before="120" w:after="120" w:line="240" w:lineRule="auto"/>
    </w:pPr>
  </w:style>
  <w:style w:type="paragraph" w:customStyle="1" w:styleId="TableGraphic">
    <w:name w:val="Table Graphic"/>
    <w:basedOn w:val="Normal"/>
    <w:next w:val="Normal"/>
    <w:rsid w:val="00E32B74"/>
    <w:pPr>
      <w:spacing w:after="0" w:line="240" w:lineRule="auto"/>
      <w:ind w:right="-113"/>
    </w:pPr>
  </w:style>
  <w:style w:type="paragraph" w:customStyle="1" w:styleId="NoteTableHeading">
    <w:name w:val="Note Table Heading"/>
    <w:basedOn w:val="HeadingBase"/>
    <w:next w:val="TableGraphic"/>
    <w:semiHidden/>
    <w:rsid w:val="00E32B74"/>
    <w:pPr>
      <w:spacing w:before="240"/>
    </w:pPr>
    <w:rPr>
      <w:b/>
      <w:sz w:val="20"/>
    </w:rPr>
  </w:style>
  <w:style w:type="paragraph" w:customStyle="1" w:styleId="Source">
    <w:name w:val="Source"/>
    <w:basedOn w:val="Normal"/>
    <w:rsid w:val="00E32B74"/>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32B74"/>
    <w:pPr>
      <w:spacing w:before="60" w:after="60" w:line="240" w:lineRule="auto"/>
      <w:jc w:val="left"/>
    </w:pPr>
    <w:rPr>
      <w:rFonts w:ascii="Arial" w:hAnsi="Arial"/>
      <w:sz w:val="18"/>
    </w:rPr>
  </w:style>
  <w:style w:type="paragraph" w:customStyle="1" w:styleId="TableColumnHeadingBase">
    <w:name w:val="Table Column Heading Base"/>
    <w:basedOn w:val="Normal"/>
    <w:rsid w:val="00E32B74"/>
    <w:pPr>
      <w:spacing w:before="60" w:after="60" w:line="240" w:lineRule="auto"/>
      <w:jc w:val="left"/>
    </w:pPr>
    <w:rPr>
      <w:rFonts w:ascii="Arial" w:hAnsi="Arial"/>
      <w:b/>
    </w:rPr>
  </w:style>
  <w:style w:type="paragraph" w:customStyle="1" w:styleId="TableTextLeft">
    <w:name w:val="Table Text Left"/>
    <w:basedOn w:val="TableTextBase"/>
    <w:link w:val="TableTextLeftChar"/>
    <w:rsid w:val="00E32B74"/>
  </w:style>
  <w:style w:type="paragraph" w:customStyle="1" w:styleId="TableTextRight">
    <w:name w:val="Table Text Right"/>
    <w:basedOn w:val="TableTextBase"/>
    <w:rsid w:val="00E32B74"/>
    <w:pPr>
      <w:jc w:val="right"/>
    </w:pPr>
  </w:style>
  <w:style w:type="paragraph" w:customStyle="1" w:styleId="TableTextCentred">
    <w:name w:val="Table Text Centred"/>
    <w:basedOn w:val="TableTextBase"/>
    <w:rsid w:val="00E32B74"/>
    <w:pPr>
      <w:jc w:val="center"/>
    </w:pPr>
  </w:style>
  <w:style w:type="paragraph" w:customStyle="1" w:styleId="TableTextIndented">
    <w:name w:val="Table Text Indented"/>
    <w:basedOn w:val="TableTextBase"/>
    <w:rsid w:val="00E32B74"/>
    <w:pPr>
      <w:ind w:left="284"/>
    </w:pPr>
  </w:style>
  <w:style w:type="paragraph" w:customStyle="1" w:styleId="TableColumnHeadingLeft">
    <w:name w:val="Table Column Heading Left"/>
    <w:basedOn w:val="TableColumnHeadingBase"/>
    <w:next w:val="TableTextLeft"/>
    <w:rsid w:val="00BC1405"/>
    <w:rPr>
      <w:sz w:val="18"/>
    </w:rPr>
  </w:style>
  <w:style w:type="paragraph" w:customStyle="1" w:styleId="TableColumnHeadingRight">
    <w:name w:val="Table Column Heading Right"/>
    <w:basedOn w:val="TableColumnHeadingBase"/>
    <w:next w:val="TableTextRight"/>
    <w:rsid w:val="00E32B74"/>
    <w:pPr>
      <w:jc w:val="right"/>
    </w:pPr>
  </w:style>
  <w:style w:type="paragraph" w:customStyle="1" w:styleId="TableColumnHeadingCentred">
    <w:name w:val="Table Column Heading Centred"/>
    <w:basedOn w:val="TableColumnHeadingBase"/>
    <w:next w:val="TableTextLeft"/>
    <w:rsid w:val="00E32B74"/>
    <w:pPr>
      <w:jc w:val="center"/>
    </w:pPr>
  </w:style>
  <w:style w:type="paragraph" w:customStyle="1" w:styleId="Exampletextbullet">
    <w:name w:val="Example text bullet"/>
    <w:basedOn w:val="Exampletext"/>
    <w:semiHidden/>
    <w:rsid w:val="00E32B74"/>
    <w:pPr>
      <w:numPr>
        <w:numId w:val="4"/>
      </w:numPr>
    </w:pPr>
  </w:style>
  <w:style w:type="paragraph" w:styleId="Title">
    <w:name w:val="Title"/>
    <w:basedOn w:val="Normal"/>
    <w:qFormat/>
    <w:rsid w:val="00E32B7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E32B74"/>
    <w:pPr>
      <w:spacing w:after="20"/>
    </w:pPr>
    <w:rPr>
      <w:rFonts w:ascii="Arial Bold" w:hAnsi="Arial Bold"/>
      <w:b/>
      <w:sz w:val="20"/>
    </w:rPr>
  </w:style>
  <w:style w:type="paragraph" w:customStyle="1" w:styleId="TPHeading1">
    <w:name w:val="TP Heading 1"/>
    <w:basedOn w:val="HeadingBase"/>
    <w:rsid w:val="00E32B74"/>
    <w:pPr>
      <w:jc w:val="center"/>
    </w:pPr>
    <w:rPr>
      <w:rFonts w:cs="Arial"/>
      <w:b/>
      <w:sz w:val="32"/>
      <w:szCs w:val="18"/>
    </w:rPr>
  </w:style>
  <w:style w:type="paragraph" w:customStyle="1" w:styleId="TPHeading2">
    <w:name w:val="TP Heading 2"/>
    <w:basedOn w:val="HeadingBase"/>
    <w:rsid w:val="00E32B74"/>
    <w:pPr>
      <w:spacing w:before="480"/>
      <w:jc w:val="center"/>
    </w:pPr>
    <w:rPr>
      <w:rFonts w:cs="Arial"/>
      <w:sz w:val="28"/>
      <w:szCs w:val="18"/>
    </w:rPr>
  </w:style>
  <w:style w:type="paragraph" w:customStyle="1" w:styleId="TPHeading3">
    <w:name w:val="TP Heading 3"/>
    <w:basedOn w:val="HeadingBase"/>
    <w:rsid w:val="00E32B74"/>
    <w:pPr>
      <w:jc w:val="center"/>
    </w:pPr>
    <w:rPr>
      <w:sz w:val="22"/>
    </w:rPr>
  </w:style>
  <w:style w:type="paragraph" w:customStyle="1" w:styleId="HeaderBase">
    <w:name w:val="Header Base"/>
    <w:rsid w:val="00E32B74"/>
    <w:rPr>
      <w:rFonts w:ascii="Book Antiqua" w:hAnsi="Book Antiqua"/>
      <w:i/>
    </w:rPr>
  </w:style>
  <w:style w:type="paragraph" w:customStyle="1" w:styleId="HeaderEven">
    <w:name w:val="Header Even"/>
    <w:basedOn w:val="Normal"/>
    <w:rsid w:val="00E32B74"/>
    <w:pPr>
      <w:spacing w:after="0" w:line="240" w:lineRule="auto"/>
      <w:jc w:val="left"/>
    </w:pPr>
    <w:rPr>
      <w:rFonts w:ascii="Arial" w:hAnsi="Arial"/>
      <w:sz w:val="18"/>
    </w:rPr>
  </w:style>
  <w:style w:type="paragraph" w:customStyle="1" w:styleId="HeaderOdd">
    <w:name w:val="Header Odd"/>
    <w:basedOn w:val="Normal"/>
    <w:rsid w:val="00E32B74"/>
    <w:pPr>
      <w:spacing w:after="0" w:line="240" w:lineRule="auto"/>
      <w:jc w:val="right"/>
    </w:pPr>
    <w:rPr>
      <w:rFonts w:ascii="Arial" w:hAnsi="Arial"/>
      <w:sz w:val="18"/>
    </w:rPr>
  </w:style>
  <w:style w:type="paragraph" w:styleId="Header">
    <w:name w:val="header"/>
    <w:basedOn w:val="Normal"/>
    <w:link w:val="HeaderChar"/>
    <w:uiPriority w:val="99"/>
    <w:rsid w:val="00E32B74"/>
    <w:pPr>
      <w:tabs>
        <w:tab w:val="center" w:pos="4153"/>
        <w:tab w:val="right" w:pos="8306"/>
      </w:tabs>
      <w:spacing w:after="0" w:line="240" w:lineRule="auto"/>
      <w:jc w:val="left"/>
    </w:pPr>
    <w:rPr>
      <w:i/>
      <w:lang w:val="x-none"/>
    </w:rPr>
  </w:style>
  <w:style w:type="paragraph" w:customStyle="1" w:styleId="FooterBase">
    <w:name w:val="Footer Base"/>
    <w:rsid w:val="00E32B74"/>
    <w:pPr>
      <w:jc w:val="center"/>
    </w:pPr>
    <w:rPr>
      <w:rFonts w:ascii="Arial" w:hAnsi="Arial"/>
    </w:rPr>
  </w:style>
  <w:style w:type="paragraph" w:styleId="Footer">
    <w:name w:val="footer"/>
    <w:basedOn w:val="FooterBase"/>
    <w:link w:val="FooterChar"/>
    <w:uiPriority w:val="99"/>
    <w:rsid w:val="00E32B74"/>
    <w:pPr>
      <w:tabs>
        <w:tab w:val="center" w:pos="4153"/>
        <w:tab w:val="right" w:pos="8306"/>
      </w:tabs>
    </w:pPr>
    <w:rPr>
      <w:lang w:val="x-none" w:eastAsia="x-none"/>
    </w:rPr>
  </w:style>
  <w:style w:type="paragraph" w:styleId="BalloonText">
    <w:name w:val="Balloon Text"/>
    <w:basedOn w:val="Normal"/>
    <w:semiHidden/>
    <w:rsid w:val="00E32B74"/>
    <w:rPr>
      <w:rFonts w:ascii="Tahoma" w:hAnsi="Tahoma" w:cs="Tahoma"/>
      <w:sz w:val="16"/>
      <w:szCs w:val="16"/>
    </w:rPr>
  </w:style>
  <w:style w:type="paragraph" w:styleId="Caption">
    <w:name w:val="caption"/>
    <w:basedOn w:val="Normal"/>
    <w:next w:val="Normal"/>
    <w:qFormat/>
    <w:rsid w:val="00E32B74"/>
    <w:rPr>
      <w:b/>
      <w:bCs/>
    </w:rPr>
  </w:style>
  <w:style w:type="character" w:styleId="CommentReference">
    <w:name w:val="annotation reference"/>
    <w:semiHidden/>
    <w:rsid w:val="00E32B74"/>
    <w:rPr>
      <w:sz w:val="16"/>
      <w:szCs w:val="16"/>
    </w:rPr>
  </w:style>
  <w:style w:type="paragraph" w:styleId="CommentText">
    <w:name w:val="annotation text"/>
    <w:basedOn w:val="Normal"/>
    <w:link w:val="CommentTextChar"/>
    <w:uiPriority w:val="99"/>
    <w:qFormat/>
    <w:rsid w:val="00E32B74"/>
    <w:rPr>
      <w:lang w:val="x-none" w:eastAsia="x-none"/>
    </w:rPr>
  </w:style>
  <w:style w:type="paragraph" w:styleId="CommentSubject">
    <w:name w:val="annotation subject"/>
    <w:basedOn w:val="CommentText"/>
    <w:next w:val="CommentText"/>
    <w:link w:val="CommentSubjectChar"/>
    <w:semiHidden/>
    <w:rsid w:val="00E32B74"/>
    <w:rPr>
      <w:b/>
      <w:bCs/>
    </w:rPr>
  </w:style>
  <w:style w:type="paragraph" w:styleId="DocumentMap">
    <w:name w:val="Document Map"/>
    <w:basedOn w:val="Normal"/>
    <w:semiHidden/>
    <w:rsid w:val="00E32B74"/>
    <w:pPr>
      <w:shd w:val="clear" w:color="auto" w:fill="000080"/>
    </w:pPr>
    <w:rPr>
      <w:rFonts w:ascii="Tahoma" w:hAnsi="Tahoma" w:cs="Tahoma"/>
    </w:rPr>
  </w:style>
  <w:style w:type="character" w:styleId="EndnoteReference">
    <w:name w:val="endnote reference"/>
    <w:semiHidden/>
    <w:rsid w:val="00E32B74"/>
    <w:rPr>
      <w:vertAlign w:val="superscript"/>
    </w:rPr>
  </w:style>
  <w:style w:type="paragraph" w:styleId="EndnoteText">
    <w:name w:val="endnote text"/>
    <w:basedOn w:val="Normal"/>
    <w:semiHidden/>
    <w:rsid w:val="00E32B74"/>
  </w:style>
  <w:style w:type="character" w:styleId="FootnoteReference">
    <w:name w:val="footnote reference"/>
    <w:rsid w:val="00E32B74"/>
    <w:rPr>
      <w:vertAlign w:val="superscript"/>
    </w:rPr>
  </w:style>
  <w:style w:type="paragraph" w:styleId="FootnoteText">
    <w:name w:val="footnote text"/>
    <w:basedOn w:val="Normal"/>
    <w:rsid w:val="00E32B74"/>
    <w:pPr>
      <w:tabs>
        <w:tab w:val="left" w:pos="284"/>
      </w:tabs>
      <w:spacing w:after="0" w:line="240" w:lineRule="auto"/>
      <w:ind w:left="284" w:hanging="284"/>
    </w:pPr>
    <w:rPr>
      <w:sz w:val="18"/>
    </w:rPr>
  </w:style>
  <w:style w:type="paragraph" w:styleId="Index1">
    <w:name w:val="index 1"/>
    <w:basedOn w:val="Normal"/>
    <w:next w:val="Normal"/>
    <w:autoRedefine/>
    <w:semiHidden/>
    <w:rsid w:val="00E32B74"/>
    <w:pPr>
      <w:ind w:left="200" w:hanging="200"/>
    </w:pPr>
  </w:style>
  <w:style w:type="paragraph" w:styleId="Index2">
    <w:name w:val="index 2"/>
    <w:basedOn w:val="Normal"/>
    <w:next w:val="Normal"/>
    <w:autoRedefine/>
    <w:semiHidden/>
    <w:rsid w:val="00E32B74"/>
    <w:pPr>
      <w:ind w:left="400" w:hanging="200"/>
    </w:pPr>
  </w:style>
  <w:style w:type="paragraph" w:styleId="Index3">
    <w:name w:val="index 3"/>
    <w:basedOn w:val="Normal"/>
    <w:next w:val="Normal"/>
    <w:autoRedefine/>
    <w:semiHidden/>
    <w:rsid w:val="00E32B74"/>
    <w:pPr>
      <w:ind w:left="600" w:hanging="200"/>
    </w:pPr>
  </w:style>
  <w:style w:type="paragraph" w:styleId="Index4">
    <w:name w:val="index 4"/>
    <w:basedOn w:val="Normal"/>
    <w:next w:val="Normal"/>
    <w:autoRedefine/>
    <w:semiHidden/>
    <w:rsid w:val="00E32B74"/>
    <w:pPr>
      <w:ind w:left="800" w:hanging="200"/>
    </w:pPr>
  </w:style>
  <w:style w:type="paragraph" w:styleId="Index5">
    <w:name w:val="index 5"/>
    <w:basedOn w:val="Normal"/>
    <w:next w:val="Normal"/>
    <w:autoRedefine/>
    <w:semiHidden/>
    <w:rsid w:val="00E32B74"/>
    <w:pPr>
      <w:ind w:left="1000" w:hanging="200"/>
    </w:pPr>
  </w:style>
  <w:style w:type="paragraph" w:styleId="Index6">
    <w:name w:val="index 6"/>
    <w:basedOn w:val="Normal"/>
    <w:next w:val="Normal"/>
    <w:autoRedefine/>
    <w:semiHidden/>
    <w:rsid w:val="00E32B74"/>
    <w:pPr>
      <w:ind w:left="1200" w:hanging="200"/>
    </w:pPr>
  </w:style>
  <w:style w:type="paragraph" w:styleId="Index7">
    <w:name w:val="index 7"/>
    <w:basedOn w:val="Normal"/>
    <w:next w:val="Normal"/>
    <w:autoRedefine/>
    <w:semiHidden/>
    <w:rsid w:val="00E32B74"/>
    <w:pPr>
      <w:ind w:left="1400" w:hanging="200"/>
    </w:pPr>
  </w:style>
  <w:style w:type="paragraph" w:styleId="Index8">
    <w:name w:val="index 8"/>
    <w:basedOn w:val="Normal"/>
    <w:next w:val="Normal"/>
    <w:autoRedefine/>
    <w:semiHidden/>
    <w:rsid w:val="00E32B74"/>
    <w:pPr>
      <w:ind w:left="1600" w:hanging="200"/>
    </w:pPr>
  </w:style>
  <w:style w:type="paragraph" w:styleId="Index9">
    <w:name w:val="index 9"/>
    <w:basedOn w:val="Normal"/>
    <w:next w:val="Normal"/>
    <w:autoRedefine/>
    <w:semiHidden/>
    <w:rsid w:val="00E32B74"/>
    <w:pPr>
      <w:ind w:left="1800" w:hanging="200"/>
    </w:pPr>
  </w:style>
  <w:style w:type="paragraph" w:styleId="IndexHeading">
    <w:name w:val="index heading"/>
    <w:basedOn w:val="Normal"/>
    <w:next w:val="Index1"/>
    <w:semiHidden/>
    <w:rsid w:val="00E32B74"/>
    <w:rPr>
      <w:rFonts w:ascii="Arial" w:hAnsi="Arial" w:cs="Arial"/>
      <w:b/>
      <w:bCs/>
    </w:rPr>
  </w:style>
  <w:style w:type="paragraph" w:styleId="MacroText">
    <w:name w:val="macro"/>
    <w:semiHidden/>
    <w:rsid w:val="00E32B74"/>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32B74"/>
    <w:pPr>
      <w:ind w:left="200" w:hanging="200"/>
    </w:pPr>
  </w:style>
  <w:style w:type="paragraph" w:styleId="TableofFigures">
    <w:name w:val="table of figures"/>
    <w:basedOn w:val="Normal"/>
    <w:next w:val="Normal"/>
    <w:semiHidden/>
    <w:rsid w:val="00E32B74"/>
  </w:style>
  <w:style w:type="paragraph" w:styleId="TOAHeading">
    <w:name w:val="toa heading"/>
    <w:basedOn w:val="Normal"/>
    <w:next w:val="Normal"/>
    <w:semiHidden/>
    <w:rsid w:val="00E32B74"/>
    <w:pPr>
      <w:spacing w:before="120"/>
    </w:pPr>
    <w:rPr>
      <w:rFonts w:ascii="Arial" w:hAnsi="Arial" w:cs="Arial"/>
      <w:b/>
      <w:bCs/>
      <w:sz w:val="24"/>
      <w:szCs w:val="24"/>
    </w:rPr>
  </w:style>
  <w:style w:type="paragraph" w:styleId="TOC1">
    <w:name w:val="toc 1"/>
    <w:basedOn w:val="HeaderBase"/>
    <w:next w:val="Normal"/>
    <w:uiPriority w:val="39"/>
    <w:rsid w:val="00E32B74"/>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32B74"/>
    <w:pPr>
      <w:tabs>
        <w:tab w:val="right" w:leader="dot" w:pos="7700"/>
      </w:tabs>
      <w:spacing w:before="80"/>
      <w:ind w:right="851"/>
    </w:pPr>
    <w:rPr>
      <w:sz w:val="20"/>
    </w:rPr>
  </w:style>
  <w:style w:type="paragraph" w:styleId="TOC3">
    <w:name w:val="toc 3"/>
    <w:basedOn w:val="HeadingBase"/>
    <w:next w:val="Normal"/>
    <w:uiPriority w:val="39"/>
    <w:rsid w:val="00E32B74"/>
    <w:pPr>
      <w:tabs>
        <w:tab w:val="right" w:leader="dot" w:pos="7700"/>
      </w:tabs>
      <w:spacing w:before="120"/>
      <w:ind w:right="851"/>
    </w:pPr>
    <w:rPr>
      <w:b/>
      <w:sz w:val="20"/>
    </w:rPr>
  </w:style>
  <w:style w:type="paragraph" w:styleId="TOC4">
    <w:name w:val="toc 4"/>
    <w:basedOn w:val="HeadingBase"/>
    <w:next w:val="Normal"/>
    <w:uiPriority w:val="39"/>
    <w:rsid w:val="00E32B74"/>
    <w:pPr>
      <w:tabs>
        <w:tab w:val="right" w:leader="dot" w:pos="7700"/>
      </w:tabs>
      <w:spacing w:before="40"/>
      <w:ind w:right="851"/>
    </w:pPr>
    <w:rPr>
      <w:sz w:val="20"/>
    </w:rPr>
  </w:style>
  <w:style w:type="paragraph" w:styleId="TOC5">
    <w:name w:val="toc 5"/>
    <w:basedOn w:val="Normal"/>
    <w:next w:val="Normal"/>
    <w:autoRedefine/>
    <w:uiPriority w:val="39"/>
    <w:rsid w:val="00E32B74"/>
    <w:pPr>
      <w:ind w:left="800"/>
    </w:pPr>
  </w:style>
  <w:style w:type="paragraph" w:styleId="TOC6">
    <w:name w:val="toc 6"/>
    <w:basedOn w:val="Normal"/>
    <w:next w:val="Normal"/>
    <w:autoRedefine/>
    <w:semiHidden/>
    <w:rsid w:val="00E32B74"/>
    <w:pPr>
      <w:ind w:left="1000"/>
    </w:pPr>
  </w:style>
  <w:style w:type="paragraph" w:styleId="TOC7">
    <w:name w:val="toc 7"/>
    <w:basedOn w:val="Normal"/>
    <w:next w:val="Normal"/>
    <w:autoRedefine/>
    <w:semiHidden/>
    <w:rsid w:val="00E32B74"/>
    <w:pPr>
      <w:ind w:left="1200"/>
    </w:pPr>
  </w:style>
  <w:style w:type="paragraph" w:styleId="TOC8">
    <w:name w:val="toc 8"/>
    <w:basedOn w:val="Normal"/>
    <w:next w:val="Normal"/>
    <w:autoRedefine/>
    <w:semiHidden/>
    <w:rsid w:val="00E32B74"/>
    <w:pPr>
      <w:ind w:left="1400"/>
    </w:pPr>
  </w:style>
  <w:style w:type="paragraph" w:styleId="TOC9">
    <w:name w:val="toc 9"/>
    <w:basedOn w:val="Normal"/>
    <w:next w:val="Normal"/>
    <w:autoRedefine/>
    <w:semiHidden/>
    <w:rsid w:val="00E32B74"/>
    <w:pPr>
      <w:ind w:left="1600"/>
    </w:pPr>
  </w:style>
  <w:style w:type="paragraph" w:customStyle="1" w:styleId="FileProperties">
    <w:name w:val="File Properties"/>
    <w:basedOn w:val="Normal"/>
    <w:rsid w:val="00E32B74"/>
    <w:rPr>
      <w:i/>
    </w:rPr>
  </w:style>
  <w:style w:type="character" w:styleId="PageNumber">
    <w:name w:val="page number"/>
    <w:rsid w:val="00E32B74"/>
    <w:rPr>
      <w:rFonts w:ascii="Arial" w:hAnsi="Arial" w:cs="Arial"/>
      <w:sz w:val="20"/>
    </w:rPr>
  </w:style>
  <w:style w:type="character" w:customStyle="1" w:styleId="FramedHeader">
    <w:name w:val="Framed Header"/>
    <w:rsid w:val="00E32B74"/>
    <w:rPr>
      <w:rFonts w:ascii="Book Antiqua" w:hAnsi="Book Antiqua"/>
      <w:i/>
      <w:dstrike w:val="0"/>
      <w:color w:val="auto"/>
      <w:sz w:val="18"/>
      <w:vertAlign w:val="baseline"/>
    </w:rPr>
  </w:style>
  <w:style w:type="paragraph" w:styleId="NormalIndent">
    <w:name w:val="Normal Indent"/>
    <w:basedOn w:val="Normal"/>
    <w:rsid w:val="00E32B74"/>
    <w:pPr>
      <w:ind w:left="567"/>
    </w:pPr>
  </w:style>
  <w:style w:type="paragraph" w:customStyle="1" w:styleId="BlockedQuotation">
    <w:name w:val="Blocked Quotation"/>
    <w:basedOn w:val="Normal"/>
    <w:semiHidden/>
    <w:rsid w:val="00E32B74"/>
    <w:pPr>
      <w:ind w:left="567"/>
    </w:pPr>
  </w:style>
  <w:style w:type="paragraph" w:customStyle="1" w:styleId="ChartMainHeading">
    <w:name w:val="Chart Main Heading"/>
    <w:basedOn w:val="Normal"/>
    <w:next w:val="ChartGraphic"/>
    <w:rsid w:val="00E32B74"/>
    <w:pPr>
      <w:keepNext/>
      <w:spacing w:before="120" w:after="20" w:line="240" w:lineRule="auto"/>
      <w:jc w:val="center"/>
    </w:pPr>
    <w:rPr>
      <w:rFonts w:ascii="Arial" w:hAnsi="Arial"/>
      <w:b/>
    </w:rPr>
  </w:style>
  <w:style w:type="table" w:styleId="TableGrid">
    <w:name w:val="Table Grid"/>
    <w:basedOn w:val="TableNormal"/>
    <w:rsid w:val="00E32B74"/>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32B74"/>
    <w:rPr>
      <w:sz w:val="24"/>
    </w:rPr>
  </w:style>
  <w:style w:type="paragraph" w:customStyle="1" w:styleId="Title3rdLevel">
    <w:name w:val="Title 3rd Level"/>
    <w:basedOn w:val="Normal"/>
    <w:next w:val="Title"/>
    <w:rsid w:val="00E32B74"/>
    <w:pPr>
      <w:jc w:val="center"/>
    </w:pPr>
    <w:rPr>
      <w:rFonts w:ascii="Arial" w:hAnsi="Arial"/>
      <w:caps/>
    </w:rPr>
  </w:style>
  <w:style w:type="paragraph" w:customStyle="1" w:styleId="Part">
    <w:name w:val="Part"/>
    <w:basedOn w:val="Title"/>
    <w:next w:val="Normal"/>
    <w:rsid w:val="00E32B74"/>
    <w:rPr>
      <w:caps/>
      <w:smallCaps w:val="0"/>
    </w:rPr>
  </w:style>
  <w:style w:type="paragraph" w:customStyle="1" w:styleId="TableHeadingNoTable">
    <w:name w:val="Table Heading No Table"/>
    <w:basedOn w:val="TableHeading"/>
    <w:next w:val="Normal"/>
    <w:rsid w:val="00E32B74"/>
    <w:pPr>
      <w:spacing w:after="240"/>
    </w:pPr>
  </w:style>
  <w:style w:type="paragraph" w:customStyle="1" w:styleId="TransmittalAddressee">
    <w:name w:val="Transmittal Addressee"/>
    <w:basedOn w:val="Normal"/>
    <w:rsid w:val="00E32B74"/>
    <w:pPr>
      <w:spacing w:after="0"/>
    </w:pPr>
  </w:style>
  <w:style w:type="paragraph" w:customStyle="1" w:styleId="TransmittalStyle1">
    <w:name w:val="Transmittal Style 1"/>
    <w:basedOn w:val="HeadingBase"/>
    <w:rsid w:val="00E32B74"/>
    <w:pPr>
      <w:spacing w:after="60"/>
      <w:jc w:val="right"/>
    </w:pPr>
    <w:rPr>
      <w:b/>
      <w:smallCaps/>
    </w:rPr>
  </w:style>
  <w:style w:type="paragraph" w:customStyle="1" w:styleId="TransmittalStyle2">
    <w:name w:val="Transmittal Style 2"/>
    <w:basedOn w:val="HeadingBase"/>
    <w:rsid w:val="00E32B74"/>
    <w:pPr>
      <w:spacing w:before="60" w:after="60"/>
      <w:jc w:val="right"/>
    </w:pPr>
    <w:rPr>
      <w:rFonts w:ascii="Helvetica" w:hAnsi="Helvetica"/>
      <w:b/>
      <w:caps/>
      <w:sz w:val="16"/>
    </w:rPr>
  </w:style>
  <w:style w:type="paragraph" w:customStyle="1" w:styleId="UserGuidelevelTOC">
    <w:name w:val="UserGuide level TOC"/>
    <w:basedOn w:val="HeadingBase"/>
    <w:next w:val="Normal"/>
    <w:rsid w:val="00E32B74"/>
    <w:pPr>
      <w:spacing w:before="360" w:after="360"/>
    </w:pPr>
    <w:rPr>
      <w:sz w:val="30"/>
    </w:rPr>
  </w:style>
  <w:style w:type="paragraph" w:customStyle="1" w:styleId="TableTextJustified">
    <w:name w:val="Table Text Justified"/>
    <w:basedOn w:val="TableTextBase"/>
    <w:rsid w:val="00E32B74"/>
    <w:pPr>
      <w:jc w:val="both"/>
    </w:pPr>
  </w:style>
  <w:style w:type="paragraph" w:customStyle="1" w:styleId="Department">
    <w:name w:val="Department"/>
    <w:basedOn w:val="Normal"/>
    <w:rsid w:val="00E32B74"/>
    <w:pPr>
      <w:spacing w:after="0" w:line="240" w:lineRule="auto"/>
      <w:jc w:val="center"/>
    </w:pPr>
    <w:rPr>
      <w:rFonts w:ascii="Arial" w:hAnsi="Arial"/>
      <w:b/>
      <w:sz w:val="52"/>
    </w:rPr>
  </w:style>
  <w:style w:type="paragraph" w:customStyle="1" w:styleId="DepartmentSubtitle">
    <w:name w:val="Department Subtitle"/>
    <w:basedOn w:val="Department"/>
    <w:rsid w:val="00E32B74"/>
    <w:rPr>
      <w:sz w:val="44"/>
    </w:rPr>
  </w:style>
  <w:style w:type="character" w:customStyle="1" w:styleId="ExampletextCharChar">
    <w:name w:val="Example text Char Char"/>
    <w:link w:val="Exampletext"/>
    <w:rsid w:val="00E32B74"/>
    <w:rPr>
      <w:rFonts w:ascii="Book Antiqua" w:hAnsi="Book Antiqua"/>
      <w:i/>
      <w:color w:val="FF0000"/>
      <w:lang w:val="x-none" w:eastAsia="x-none"/>
    </w:rPr>
  </w:style>
  <w:style w:type="paragraph" w:customStyle="1" w:styleId="Crest">
    <w:name w:val="Crest"/>
    <w:basedOn w:val="Normal"/>
    <w:next w:val="TransmittalStyle1"/>
    <w:semiHidden/>
    <w:rsid w:val="00E32B74"/>
    <w:pPr>
      <w:spacing w:after="0" w:line="240" w:lineRule="auto"/>
      <w:jc w:val="center"/>
    </w:pPr>
  </w:style>
  <w:style w:type="character" w:styleId="Hyperlink">
    <w:name w:val="Hyperlink"/>
    <w:uiPriority w:val="99"/>
    <w:rsid w:val="00E32B74"/>
    <w:rPr>
      <w:color w:val="000000"/>
      <w:u w:val="none"/>
    </w:rPr>
  </w:style>
  <w:style w:type="paragraph" w:customStyle="1" w:styleId="Heading1noTOC">
    <w:name w:val="Heading 1 no TOC"/>
    <w:basedOn w:val="Heading1"/>
    <w:rsid w:val="00E32B74"/>
  </w:style>
  <w:style w:type="paragraph" w:customStyle="1" w:styleId="TableColumnOutgroupHeading">
    <w:name w:val="Table Column Outgroup Heading"/>
    <w:basedOn w:val="Normal"/>
    <w:rsid w:val="00E32B74"/>
    <w:pPr>
      <w:spacing w:before="60" w:after="120" w:line="240" w:lineRule="auto"/>
      <w:jc w:val="left"/>
    </w:pPr>
    <w:rPr>
      <w:b/>
      <w:sz w:val="22"/>
    </w:rPr>
  </w:style>
  <w:style w:type="paragraph" w:customStyle="1" w:styleId="TableColumnOutgroupSubheading">
    <w:name w:val="Table Column Outgroup Subheading"/>
    <w:basedOn w:val="Normal"/>
    <w:rsid w:val="00E32B74"/>
    <w:pPr>
      <w:spacing w:before="60" w:after="120" w:line="240" w:lineRule="auto"/>
      <w:jc w:val="center"/>
    </w:pPr>
  </w:style>
  <w:style w:type="paragraph" w:customStyle="1" w:styleId="TableTextBullet">
    <w:name w:val="Table Text Bullet"/>
    <w:basedOn w:val="TableTextBase"/>
    <w:rsid w:val="00E32B74"/>
    <w:pPr>
      <w:numPr>
        <w:numId w:val="5"/>
      </w:numPr>
    </w:pPr>
  </w:style>
  <w:style w:type="paragraph" w:customStyle="1" w:styleId="Exampletextdash">
    <w:name w:val="Example text dash"/>
    <w:basedOn w:val="Exampletextbullet"/>
    <w:semiHidden/>
    <w:rsid w:val="00E32B74"/>
    <w:pPr>
      <w:numPr>
        <w:ilvl w:val="1"/>
      </w:numPr>
    </w:pPr>
  </w:style>
  <w:style w:type="character" w:customStyle="1" w:styleId="HeadingBaseChar">
    <w:name w:val="Heading Base Char"/>
    <w:link w:val="HeadingBase"/>
    <w:rsid w:val="00E32B74"/>
    <w:rPr>
      <w:rFonts w:ascii="Arial" w:hAnsi="Arial"/>
      <w:sz w:val="24"/>
    </w:rPr>
  </w:style>
  <w:style w:type="character" w:customStyle="1" w:styleId="TableHeadingChar">
    <w:name w:val="Table Heading Char"/>
    <w:link w:val="TableHeading"/>
    <w:rsid w:val="00E32B74"/>
    <w:rPr>
      <w:rFonts w:ascii="Arial" w:hAnsi="Arial"/>
      <w:b/>
      <w:color w:val="000000"/>
      <w:lang w:val="x-none" w:eastAsia="x-none"/>
    </w:rPr>
  </w:style>
  <w:style w:type="character" w:customStyle="1" w:styleId="TableTextBaseChar">
    <w:name w:val="Table Text Base Char"/>
    <w:link w:val="TableTextBase"/>
    <w:rsid w:val="00E32B74"/>
    <w:rPr>
      <w:rFonts w:ascii="Arial" w:hAnsi="Arial"/>
      <w:sz w:val="18"/>
    </w:rPr>
  </w:style>
  <w:style w:type="character" w:customStyle="1" w:styleId="TableTextLeftChar">
    <w:name w:val="Table Text Left Char"/>
    <w:link w:val="TableTextLeft"/>
    <w:rsid w:val="00E32B74"/>
    <w:rPr>
      <w:rFonts w:ascii="Arial" w:hAnsi="Arial"/>
      <w:sz w:val="18"/>
    </w:rPr>
  </w:style>
  <w:style w:type="paragraph" w:styleId="ListParagraph">
    <w:name w:val="List Paragraph"/>
    <w:basedOn w:val="Normal"/>
    <w:qFormat/>
    <w:rsid w:val="00E32B74"/>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32B74"/>
    <w:pPr>
      <w:numPr>
        <w:ilvl w:val="1"/>
        <w:numId w:val="5"/>
      </w:numPr>
    </w:pPr>
  </w:style>
  <w:style w:type="character" w:customStyle="1" w:styleId="ChartandTableFootnoteChar">
    <w:name w:val="Chart and Table Footnote Char"/>
    <w:link w:val="ChartandTableFootnote"/>
    <w:rsid w:val="00E32B74"/>
    <w:rPr>
      <w:rFonts w:ascii="Arial" w:hAnsi="Arial"/>
      <w:color w:val="000000"/>
      <w:sz w:val="16"/>
      <w:lang w:val="x-none" w:eastAsia="x-none"/>
    </w:rPr>
  </w:style>
  <w:style w:type="paragraph" w:customStyle="1" w:styleId="PartHeading">
    <w:name w:val="Part Heading"/>
    <w:basedOn w:val="Title"/>
    <w:next w:val="Normal"/>
    <w:rsid w:val="00E32B74"/>
    <w:pPr>
      <w:spacing w:after="480"/>
      <w:outlineLvl w:val="9"/>
    </w:pPr>
    <w:rPr>
      <w:rFonts w:ascii="Arial Bold" w:hAnsi="Arial Bold"/>
      <w:smallCaps w:val="0"/>
    </w:rPr>
  </w:style>
  <w:style w:type="character" w:customStyle="1" w:styleId="BulletChar">
    <w:name w:val="Bullet Char"/>
    <w:link w:val="Bullet"/>
    <w:rsid w:val="00E32B74"/>
    <w:rPr>
      <w:rFonts w:ascii="Book Antiqua" w:hAnsi="Book Antiqua"/>
      <w:lang w:val="x-none" w:eastAsia="x-none"/>
    </w:rPr>
  </w:style>
  <w:style w:type="paragraph" w:customStyle="1" w:styleId="BoxTextBase">
    <w:name w:val="Box Text Base"/>
    <w:basedOn w:val="Normal"/>
    <w:rsid w:val="00E32B74"/>
    <w:pPr>
      <w:spacing w:after="120"/>
    </w:pPr>
    <w:rPr>
      <w:color w:val="000000"/>
    </w:rPr>
  </w:style>
  <w:style w:type="paragraph" w:customStyle="1" w:styleId="BoxDash">
    <w:name w:val="Box Dash"/>
    <w:basedOn w:val="Normal"/>
    <w:rsid w:val="00E32B74"/>
    <w:pPr>
      <w:numPr>
        <w:ilvl w:val="1"/>
        <w:numId w:val="6"/>
      </w:numPr>
    </w:pPr>
    <w:rPr>
      <w:color w:val="000000"/>
    </w:rPr>
  </w:style>
  <w:style w:type="paragraph" w:customStyle="1" w:styleId="BoxDoubleDot">
    <w:name w:val="Box Double Dot"/>
    <w:basedOn w:val="BoxTextBase"/>
    <w:rsid w:val="00E32B74"/>
    <w:pPr>
      <w:numPr>
        <w:ilvl w:val="2"/>
        <w:numId w:val="6"/>
      </w:numPr>
    </w:pPr>
  </w:style>
  <w:style w:type="paragraph" w:customStyle="1" w:styleId="BoxHeadinglevel2">
    <w:name w:val="Box Heading level 2"/>
    <w:basedOn w:val="BoxHeading"/>
    <w:rsid w:val="009546F4"/>
    <w:pPr>
      <w:spacing w:before="20"/>
    </w:pPr>
    <w:rPr>
      <w:sz w:val="18"/>
    </w:rPr>
  </w:style>
  <w:style w:type="paragraph" w:customStyle="1" w:styleId="Outcome">
    <w:name w:val="Outcome"/>
    <w:basedOn w:val="Normal"/>
    <w:rsid w:val="00E32B74"/>
    <w:pPr>
      <w:spacing w:before="120" w:after="120" w:line="280" w:lineRule="exact"/>
    </w:pPr>
    <w:rPr>
      <w:rFonts w:ascii="Arial" w:hAnsi="Arial" w:cs="Arial"/>
      <w:b/>
    </w:rPr>
  </w:style>
  <w:style w:type="paragraph" w:customStyle="1" w:styleId="ProgramHeading">
    <w:name w:val="Program Heading"/>
    <w:basedOn w:val="HeadingBase"/>
    <w:rsid w:val="00E32B74"/>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32B74"/>
  </w:style>
  <w:style w:type="character" w:customStyle="1" w:styleId="Heading3Char">
    <w:name w:val="Heading 3 Char"/>
    <w:link w:val="Heading3"/>
    <w:rsid w:val="00E32B74"/>
    <w:rPr>
      <w:rFonts w:ascii="Arial Bold" w:hAnsi="Arial Bold"/>
      <w:b/>
      <w:sz w:val="22"/>
    </w:rPr>
  </w:style>
  <w:style w:type="character" w:customStyle="1" w:styleId="CommentTextChar">
    <w:name w:val="Comment Text Char"/>
    <w:link w:val="CommentText"/>
    <w:uiPriority w:val="99"/>
    <w:rsid w:val="00E32B74"/>
    <w:rPr>
      <w:rFonts w:ascii="Book Antiqua" w:hAnsi="Book Antiqua"/>
      <w:lang w:val="x-none" w:eastAsia="x-none"/>
    </w:rPr>
  </w:style>
  <w:style w:type="paragraph" w:customStyle="1" w:styleId="ExampleText0">
    <w:name w:val="Example Text"/>
    <w:basedOn w:val="Normal"/>
    <w:semiHidden/>
    <w:rsid w:val="00E32B74"/>
    <w:pPr>
      <w:jc w:val="left"/>
    </w:pPr>
    <w:rPr>
      <w:i/>
      <w:color w:val="FF0000"/>
    </w:rPr>
  </w:style>
  <w:style w:type="paragraph" w:styleId="NoSpacing">
    <w:name w:val="No Spacing"/>
    <w:uiPriority w:val="1"/>
    <w:qFormat/>
    <w:rsid w:val="00E32B74"/>
    <w:pPr>
      <w:jc w:val="both"/>
    </w:pPr>
    <w:rPr>
      <w:rFonts w:ascii="Book Antiqua" w:hAnsi="Book Antiqua"/>
    </w:rPr>
  </w:style>
  <w:style w:type="character" w:customStyle="1" w:styleId="A5">
    <w:name w:val="A5"/>
    <w:uiPriority w:val="99"/>
    <w:rsid w:val="00E32B74"/>
    <w:rPr>
      <w:rFonts w:ascii="Swiss 721 BT" w:hAnsi="Swiss 721 BT" w:cs="Swiss 721 BT" w:hint="default"/>
      <w:color w:val="000000"/>
      <w:sz w:val="20"/>
      <w:szCs w:val="20"/>
    </w:rPr>
  </w:style>
  <w:style w:type="character" w:customStyle="1" w:styleId="HeaderChar">
    <w:name w:val="Header Char"/>
    <w:link w:val="Header"/>
    <w:uiPriority w:val="99"/>
    <w:rsid w:val="00E32B74"/>
    <w:rPr>
      <w:rFonts w:ascii="Book Antiqua" w:hAnsi="Book Antiqua"/>
      <w:i/>
      <w:lang w:val="x-none"/>
    </w:rPr>
  </w:style>
  <w:style w:type="character" w:styleId="FollowedHyperlink">
    <w:name w:val="FollowedHyperlink"/>
    <w:rsid w:val="00E32B74"/>
    <w:rPr>
      <w:color w:val="800080"/>
      <w:u w:val="single"/>
    </w:rPr>
  </w:style>
  <w:style w:type="character" w:customStyle="1" w:styleId="FooterChar">
    <w:name w:val="Footer Char"/>
    <w:link w:val="Footer"/>
    <w:uiPriority w:val="99"/>
    <w:rsid w:val="00E32B74"/>
    <w:rPr>
      <w:rFonts w:ascii="Arial" w:hAnsi="Arial"/>
      <w:lang w:val="x-none" w:eastAsia="x-none"/>
    </w:rPr>
  </w:style>
  <w:style w:type="character" w:styleId="Strong">
    <w:name w:val="Strong"/>
    <w:semiHidden/>
    <w:qFormat/>
    <w:rsid w:val="00E32B74"/>
    <w:rPr>
      <w:b/>
      <w:bCs/>
    </w:rPr>
  </w:style>
  <w:style w:type="paragraph" w:styleId="BodyText">
    <w:name w:val="Body Text"/>
    <w:basedOn w:val="Normal"/>
    <w:link w:val="BodyTextChar"/>
    <w:qFormat/>
    <w:rsid w:val="00E32B7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E32B74"/>
    <w:rPr>
      <w:rFonts w:ascii="Cambria" w:eastAsia="Cambria" w:hAnsi="Cambria"/>
      <w:sz w:val="22"/>
      <w:szCs w:val="22"/>
      <w:lang w:val="x-none" w:eastAsia="en-US"/>
    </w:rPr>
  </w:style>
  <w:style w:type="paragraph" w:customStyle="1" w:styleId="Heading2NoTOC">
    <w:name w:val="Heading 2 No TOC"/>
    <w:basedOn w:val="Heading2"/>
    <w:qFormat/>
    <w:rsid w:val="00E32B74"/>
    <w:pPr>
      <w:outlineLvl w:val="9"/>
    </w:pPr>
  </w:style>
  <w:style w:type="paragraph" w:customStyle="1" w:styleId="Heading1-TOC">
    <w:name w:val="Heading 1 - TOC"/>
    <w:basedOn w:val="Heading1"/>
    <w:rsid w:val="00E32B74"/>
  </w:style>
  <w:style w:type="paragraph" w:customStyle="1" w:styleId="PartHeading-TOC">
    <w:name w:val="Part Heading - TOC"/>
    <w:basedOn w:val="PartHeading"/>
    <w:rsid w:val="00E32B74"/>
  </w:style>
  <w:style w:type="paragraph" w:customStyle="1" w:styleId="Heading4-NoTOC">
    <w:name w:val="Heading 4 - No TOC"/>
    <w:basedOn w:val="Heading4"/>
    <w:rsid w:val="00E32B74"/>
    <w:pPr>
      <w:outlineLvl w:val="9"/>
    </w:pPr>
  </w:style>
  <w:style w:type="paragraph" w:styleId="Revision">
    <w:name w:val="Revision"/>
    <w:hidden/>
    <w:uiPriority w:val="99"/>
    <w:semiHidden/>
    <w:rsid w:val="00E32B74"/>
    <w:rPr>
      <w:rFonts w:ascii="Book Antiqua" w:hAnsi="Book Antiqua"/>
    </w:rPr>
  </w:style>
  <w:style w:type="paragraph" w:styleId="NoteHeading">
    <w:name w:val="Note Heading"/>
    <w:basedOn w:val="Normal"/>
    <w:next w:val="Normal"/>
    <w:link w:val="NoteHeadingChar"/>
    <w:rsid w:val="00E32B74"/>
  </w:style>
  <w:style w:type="character" w:customStyle="1" w:styleId="NoteHeadingChar">
    <w:name w:val="Note Heading Char"/>
    <w:basedOn w:val="DefaultParagraphFont"/>
    <w:link w:val="NoteHeading"/>
    <w:rsid w:val="00E32B74"/>
    <w:rPr>
      <w:rFonts w:ascii="Book Antiqua" w:hAnsi="Book Antiqua"/>
    </w:rPr>
  </w:style>
  <w:style w:type="paragraph" w:customStyle="1" w:styleId="SecurityClassificationHeader">
    <w:name w:val="Security Classification Header"/>
    <w:link w:val="SecurityClassificationHeaderChar"/>
    <w:rsid w:val="00E32B7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E32B74"/>
    <w:rPr>
      <w:rFonts w:ascii="Calibri" w:hAnsi="Calibri"/>
      <w:b/>
      <w:i/>
      <w:caps/>
      <w:sz w:val="24"/>
      <w:lang w:val="x-none" w:eastAsia="x-none"/>
    </w:rPr>
  </w:style>
  <w:style w:type="paragraph" w:customStyle="1" w:styleId="SecurityClassificationFooter">
    <w:name w:val="Security Classification Footer"/>
    <w:link w:val="SecurityClassificationFooterChar"/>
    <w:rsid w:val="00E32B7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E32B74"/>
    <w:rPr>
      <w:rFonts w:ascii="Calibri" w:hAnsi="Calibri"/>
      <w:b/>
      <w:i/>
      <w:caps/>
      <w:sz w:val="24"/>
      <w:lang w:val="x-none" w:eastAsia="x-none"/>
    </w:rPr>
  </w:style>
  <w:style w:type="paragraph" w:customStyle="1" w:styleId="DLMSecurityHeader">
    <w:name w:val="DLM Security Header"/>
    <w:link w:val="DLMSecurityHeaderChar"/>
    <w:rsid w:val="00E32B7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E32B74"/>
    <w:rPr>
      <w:rFonts w:ascii="Calibri" w:hAnsi="Calibri"/>
      <w:b/>
      <w:i/>
      <w:caps/>
      <w:sz w:val="24"/>
      <w:lang w:val="x-none" w:eastAsia="x-none"/>
    </w:rPr>
  </w:style>
  <w:style w:type="paragraph" w:customStyle="1" w:styleId="DLMSecurityFooter">
    <w:name w:val="DLM Security Footer"/>
    <w:link w:val="DLMSecurityFooterChar"/>
    <w:rsid w:val="00E32B7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E32B74"/>
    <w:rPr>
      <w:rFonts w:ascii="Calibri" w:hAnsi="Calibri"/>
      <w:b/>
      <w:i/>
      <w:caps/>
      <w:sz w:val="24"/>
      <w:lang w:val="x-none" w:eastAsia="x-none"/>
    </w:rPr>
  </w:style>
  <w:style w:type="paragraph" w:customStyle="1" w:styleId="FooterEven">
    <w:name w:val="Footer Even"/>
    <w:basedOn w:val="Footer"/>
    <w:qFormat/>
    <w:rsid w:val="00E32B74"/>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E32B74"/>
    <w:pPr>
      <w:numPr>
        <w:numId w:val="12"/>
      </w:numPr>
      <w:tabs>
        <w:tab w:val="left" w:pos="454"/>
      </w:tabs>
      <w:ind w:left="454" w:hanging="170"/>
    </w:pPr>
    <w:rPr>
      <w:rFonts w:cs="Arial"/>
      <w:szCs w:val="16"/>
    </w:rPr>
  </w:style>
  <w:style w:type="character" w:customStyle="1" w:styleId="Heading9Char">
    <w:name w:val="Heading 9 Char"/>
    <w:basedOn w:val="DefaultParagraphFont"/>
    <w:link w:val="Heading9"/>
    <w:semiHidden/>
    <w:rsid w:val="00E32B74"/>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E32B74"/>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E32B74"/>
    <w:pPr>
      <w:pBdr>
        <w:top w:val="single" w:sz="4" w:space="10" w:color="auto"/>
      </w:pBdr>
      <w:jc w:val="right"/>
    </w:pPr>
    <w:rPr>
      <w:sz w:val="18"/>
      <w:lang w:eastAsia="en-AU"/>
    </w:rPr>
  </w:style>
  <w:style w:type="paragraph" w:customStyle="1" w:styleId="TableHeadingcontinued0">
    <w:name w:val="Table Heading (continued)"/>
    <w:basedOn w:val="Normal"/>
    <w:rsid w:val="005E05D7"/>
    <w:pPr>
      <w:keepNext/>
      <w:snapToGrid w:val="0"/>
      <w:spacing w:before="120" w:after="20" w:line="240" w:lineRule="auto"/>
      <w:jc w:val="left"/>
    </w:pPr>
    <w:rPr>
      <w:rFonts w:ascii="Arial" w:hAnsi="Arial"/>
      <w:b/>
      <w:lang w:val="x-none"/>
    </w:rPr>
  </w:style>
  <w:style w:type="paragraph" w:styleId="NormalWeb">
    <w:name w:val="Normal (Web)"/>
    <w:basedOn w:val="Normal"/>
    <w:uiPriority w:val="99"/>
    <w:semiHidden/>
    <w:unhideWhenUsed/>
    <w:rsid w:val="0051682B"/>
    <w:pPr>
      <w:spacing w:before="100" w:beforeAutospacing="1" w:after="100" w:afterAutospacing="1" w:line="240" w:lineRule="auto"/>
      <w:jc w:val="left"/>
    </w:pPr>
    <w:rPr>
      <w:rFonts w:ascii="Times New Roman" w:hAnsi="Times New Roman"/>
      <w:sz w:val="24"/>
      <w:szCs w:val="24"/>
    </w:rPr>
  </w:style>
  <w:style w:type="paragraph" w:customStyle="1" w:styleId="Tabletextjustified0">
    <w:name w:val="Table text justified"/>
    <w:basedOn w:val="Normal"/>
    <w:semiHidden/>
    <w:rsid w:val="00AE4A3C"/>
    <w:pPr>
      <w:spacing w:before="100" w:after="100" w:line="250" w:lineRule="exact"/>
    </w:pPr>
    <w:rPr>
      <w:rFonts w:ascii="Arial" w:hAnsi="Arial" w:cs="Arial"/>
      <w:sz w:val="18"/>
    </w:rPr>
  </w:style>
  <w:style w:type="character" w:customStyle="1" w:styleId="DashChar">
    <w:name w:val="Dash Char"/>
    <w:basedOn w:val="DefaultParagraphFont"/>
    <w:link w:val="Dash"/>
    <w:rsid w:val="008D028E"/>
    <w:rPr>
      <w:rFonts w:ascii="Book Antiqua" w:hAnsi="Book Antiqua"/>
    </w:rPr>
  </w:style>
  <w:style w:type="character" w:customStyle="1" w:styleId="CommentSubjectChar">
    <w:name w:val="Comment Subject Char"/>
    <w:basedOn w:val="CommentTextChar"/>
    <w:link w:val="CommentSubject"/>
    <w:semiHidden/>
    <w:rsid w:val="001873F9"/>
    <w:rPr>
      <w:rFonts w:ascii="Book Antiqua" w:hAnsi="Book Antiqua"/>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59">
      <w:bodyDiv w:val="1"/>
      <w:marLeft w:val="0"/>
      <w:marRight w:val="0"/>
      <w:marTop w:val="0"/>
      <w:marBottom w:val="0"/>
      <w:divBdr>
        <w:top w:val="none" w:sz="0" w:space="0" w:color="auto"/>
        <w:left w:val="none" w:sz="0" w:space="0" w:color="auto"/>
        <w:bottom w:val="none" w:sz="0" w:space="0" w:color="auto"/>
        <w:right w:val="none" w:sz="0" w:space="0" w:color="auto"/>
      </w:divBdr>
    </w:div>
    <w:div w:id="5599571">
      <w:bodyDiv w:val="1"/>
      <w:marLeft w:val="0"/>
      <w:marRight w:val="0"/>
      <w:marTop w:val="0"/>
      <w:marBottom w:val="0"/>
      <w:divBdr>
        <w:top w:val="none" w:sz="0" w:space="0" w:color="auto"/>
        <w:left w:val="none" w:sz="0" w:space="0" w:color="auto"/>
        <w:bottom w:val="none" w:sz="0" w:space="0" w:color="auto"/>
        <w:right w:val="none" w:sz="0" w:space="0" w:color="auto"/>
      </w:divBdr>
    </w:div>
    <w:div w:id="6101183">
      <w:bodyDiv w:val="1"/>
      <w:marLeft w:val="0"/>
      <w:marRight w:val="0"/>
      <w:marTop w:val="0"/>
      <w:marBottom w:val="0"/>
      <w:divBdr>
        <w:top w:val="none" w:sz="0" w:space="0" w:color="auto"/>
        <w:left w:val="none" w:sz="0" w:space="0" w:color="auto"/>
        <w:bottom w:val="none" w:sz="0" w:space="0" w:color="auto"/>
        <w:right w:val="none" w:sz="0" w:space="0" w:color="auto"/>
      </w:divBdr>
    </w:div>
    <w:div w:id="6686247">
      <w:bodyDiv w:val="1"/>
      <w:marLeft w:val="0"/>
      <w:marRight w:val="0"/>
      <w:marTop w:val="0"/>
      <w:marBottom w:val="0"/>
      <w:divBdr>
        <w:top w:val="none" w:sz="0" w:space="0" w:color="auto"/>
        <w:left w:val="none" w:sz="0" w:space="0" w:color="auto"/>
        <w:bottom w:val="none" w:sz="0" w:space="0" w:color="auto"/>
        <w:right w:val="none" w:sz="0" w:space="0" w:color="auto"/>
      </w:divBdr>
    </w:div>
    <w:div w:id="11884296">
      <w:bodyDiv w:val="1"/>
      <w:marLeft w:val="0"/>
      <w:marRight w:val="0"/>
      <w:marTop w:val="0"/>
      <w:marBottom w:val="0"/>
      <w:divBdr>
        <w:top w:val="none" w:sz="0" w:space="0" w:color="auto"/>
        <w:left w:val="none" w:sz="0" w:space="0" w:color="auto"/>
        <w:bottom w:val="none" w:sz="0" w:space="0" w:color="auto"/>
        <w:right w:val="none" w:sz="0" w:space="0" w:color="auto"/>
      </w:divBdr>
    </w:div>
    <w:div w:id="26218999">
      <w:bodyDiv w:val="1"/>
      <w:marLeft w:val="0"/>
      <w:marRight w:val="0"/>
      <w:marTop w:val="0"/>
      <w:marBottom w:val="0"/>
      <w:divBdr>
        <w:top w:val="none" w:sz="0" w:space="0" w:color="auto"/>
        <w:left w:val="none" w:sz="0" w:space="0" w:color="auto"/>
        <w:bottom w:val="none" w:sz="0" w:space="0" w:color="auto"/>
        <w:right w:val="none" w:sz="0" w:space="0" w:color="auto"/>
      </w:divBdr>
    </w:div>
    <w:div w:id="38747023">
      <w:bodyDiv w:val="1"/>
      <w:marLeft w:val="0"/>
      <w:marRight w:val="0"/>
      <w:marTop w:val="0"/>
      <w:marBottom w:val="0"/>
      <w:divBdr>
        <w:top w:val="none" w:sz="0" w:space="0" w:color="auto"/>
        <w:left w:val="none" w:sz="0" w:space="0" w:color="auto"/>
        <w:bottom w:val="none" w:sz="0" w:space="0" w:color="auto"/>
        <w:right w:val="none" w:sz="0" w:space="0" w:color="auto"/>
      </w:divBdr>
    </w:div>
    <w:div w:id="48382232">
      <w:bodyDiv w:val="1"/>
      <w:marLeft w:val="0"/>
      <w:marRight w:val="0"/>
      <w:marTop w:val="0"/>
      <w:marBottom w:val="0"/>
      <w:divBdr>
        <w:top w:val="none" w:sz="0" w:space="0" w:color="auto"/>
        <w:left w:val="none" w:sz="0" w:space="0" w:color="auto"/>
        <w:bottom w:val="none" w:sz="0" w:space="0" w:color="auto"/>
        <w:right w:val="none" w:sz="0" w:space="0" w:color="auto"/>
      </w:divBdr>
    </w:div>
    <w:div w:id="61752926">
      <w:bodyDiv w:val="1"/>
      <w:marLeft w:val="0"/>
      <w:marRight w:val="0"/>
      <w:marTop w:val="0"/>
      <w:marBottom w:val="0"/>
      <w:divBdr>
        <w:top w:val="none" w:sz="0" w:space="0" w:color="auto"/>
        <w:left w:val="none" w:sz="0" w:space="0" w:color="auto"/>
        <w:bottom w:val="none" w:sz="0" w:space="0" w:color="auto"/>
        <w:right w:val="none" w:sz="0" w:space="0" w:color="auto"/>
      </w:divBdr>
    </w:div>
    <w:div w:id="63723679">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76754317">
      <w:bodyDiv w:val="1"/>
      <w:marLeft w:val="0"/>
      <w:marRight w:val="0"/>
      <w:marTop w:val="0"/>
      <w:marBottom w:val="0"/>
      <w:divBdr>
        <w:top w:val="none" w:sz="0" w:space="0" w:color="auto"/>
        <w:left w:val="none" w:sz="0" w:space="0" w:color="auto"/>
        <w:bottom w:val="none" w:sz="0" w:space="0" w:color="auto"/>
        <w:right w:val="none" w:sz="0" w:space="0" w:color="auto"/>
      </w:divBdr>
    </w:div>
    <w:div w:id="78261406">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3496852">
      <w:bodyDiv w:val="1"/>
      <w:marLeft w:val="0"/>
      <w:marRight w:val="0"/>
      <w:marTop w:val="0"/>
      <w:marBottom w:val="0"/>
      <w:divBdr>
        <w:top w:val="none" w:sz="0" w:space="0" w:color="auto"/>
        <w:left w:val="none" w:sz="0" w:space="0" w:color="auto"/>
        <w:bottom w:val="none" w:sz="0" w:space="0" w:color="auto"/>
        <w:right w:val="none" w:sz="0" w:space="0" w:color="auto"/>
      </w:divBdr>
    </w:div>
    <w:div w:id="106198646">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25049819">
      <w:bodyDiv w:val="1"/>
      <w:marLeft w:val="0"/>
      <w:marRight w:val="0"/>
      <w:marTop w:val="0"/>
      <w:marBottom w:val="0"/>
      <w:divBdr>
        <w:top w:val="none" w:sz="0" w:space="0" w:color="auto"/>
        <w:left w:val="none" w:sz="0" w:space="0" w:color="auto"/>
        <w:bottom w:val="none" w:sz="0" w:space="0" w:color="auto"/>
        <w:right w:val="none" w:sz="0" w:space="0" w:color="auto"/>
      </w:divBdr>
    </w:div>
    <w:div w:id="144667368">
      <w:bodyDiv w:val="1"/>
      <w:marLeft w:val="0"/>
      <w:marRight w:val="0"/>
      <w:marTop w:val="0"/>
      <w:marBottom w:val="0"/>
      <w:divBdr>
        <w:top w:val="none" w:sz="0" w:space="0" w:color="auto"/>
        <w:left w:val="none" w:sz="0" w:space="0" w:color="auto"/>
        <w:bottom w:val="none" w:sz="0" w:space="0" w:color="auto"/>
        <w:right w:val="none" w:sz="0" w:space="0" w:color="auto"/>
      </w:divBdr>
    </w:div>
    <w:div w:id="146359984">
      <w:bodyDiv w:val="1"/>
      <w:marLeft w:val="0"/>
      <w:marRight w:val="0"/>
      <w:marTop w:val="0"/>
      <w:marBottom w:val="0"/>
      <w:divBdr>
        <w:top w:val="none" w:sz="0" w:space="0" w:color="auto"/>
        <w:left w:val="none" w:sz="0" w:space="0" w:color="auto"/>
        <w:bottom w:val="none" w:sz="0" w:space="0" w:color="auto"/>
        <w:right w:val="none" w:sz="0" w:space="0" w:color="auto"/>
      </w:divBdr>
    </w:div>
    <w:div w:id="146678210">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3838414">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5536212">
      <w:bodyDiv w:val="1"/>
      <w:marLeft w:val="0"/>
      <w:marRight w:val="0"/>
      <w:marTop w:val="0"/>
      <w:marBottom w:val="0"/>
      <w:divBdr>
        <w:top w:val="none" w:sz="0" w:space="0" w:color="auto"/>
        <w:left w:val="none" w:sz="0" w:space="0" w:color="auto"/>
        <w:bottom w:val="none" w:sz="0" w:space="0" w:color="auto"/>
        <w:right w:val="none" w:sz="0" w:space="0" w:color="auto"/>
      </w:divBdr>
    </w:div>
    <w:div w:id="169296742">
      <w:bodyDiv w:val="1"/>
      <w:marLeft w:val="0"/>
      <w:marRight w:val="0"/>
      <w:marTop w:val="0"/>
      <w:marBottom w:val="0"/>
      <w:divBdr>
        <w:top w:val="none" w:sz="0" w:space="0" w:color="auto"/>
        <w:left w:val="none" w:sz="0" w:space="0" w:color="auto"/>
        <w:bottom w:val="none" w:sz="0" w:space="0" w:color="auto"/>
        <w:right w:val="none" w:sz="0" w:space="0" w:color="auto"/>
      </w:divBdr>
    </w:div>
    <w:div w:id="177307293">
      <w:bodyDiv w:val="1"/>
      <w:marLeft w:val="0"/>
      <w:marRight w:val="0"/>
      <w:marTop w:val="0"/>
      <w:marBottom w:val="0"/>
      <w:divBdr>
        <w:top w:val="none" w:sz="0" w:space="0" w:color="auto"/>
        <w:left w:val="none" w:sz="0" w:space="0" w:color="auto"/>
        <w:bottom w:val="none" w:sz="0" w:space="0" w:color="auto"/>
        <w:right w:val="none" w:sz="0" w:space="0" w:color="auto"/>
      </w:divBdr>
    </w:div>
    <w:div w:id="189269121">
      <w:bodyDiv w:val="1"/>
      <w:marLeft w:val="0"/>
      <w:marRight w:val="0"/>
      <w:marTop w:val="0"/>
      <w:marBottom w:val="0"/>
      <w:divBdr>
        <w:top w:val="none" w:sz="0" w:space="0" w:color="auto"/>
        <w:left w:val="none" w:sz="0" w:space="0" w:color="auto"/>
        <w:bottom w:val="none" w:sz="0" w:space="0" w:color="auto"/>
        <w:right w:val="none" w:sz="0" w:space="0" w:color="auto"/>
      </w:divBdr>
    </w:div>
    <w:div w:id="192037814">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3907660">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10575156">
      <w:bodyDiv w:val="1"/>
      <w:marLeft w:val="0"/>
      <w:marRight w:val="0"/>
      <w:marTop w:val="0"/>
      <w:marBottom w:val="0"/>
      <w:divBdr>
        <w:top w:val="none" w:sz="0" w:space="0" w:color="auto"/>
        <w:left w:val="none" w:sz="0" w:space="0" w:color="auto"/>
        <w:bottom w:val="none" w:sz="0" w:space="0" w:color="auto"/>
        <w:right w:val="none" w:sz="0" w:space="0" w:color="auto"/>
      </w:divBdr>
    </w:div>
    <w:div w:id="213976104">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339513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3539627">
      <w:bodyDiv w:val="1"/>
      <w:marLeft w:val="0"/>
      <w:marRight w:val="0"/>
      <w:marTop w:val="0"/>
      <w:marBottom w:val="0"/>
      <w:divBdr>
        <w:top w:val="none" w:sz="0" w:space="0" w:color="auto"/>
        <w:left w:val="none" w:sz="0" w:space="0" w:color="auto"/>
        <w:bottom w:val="none" w:sz="0" w:space="0" w:color="auto"/>
        <w:right w:val="none" w:sz="0" w:space="0" w:color="auto"/>
      </w:divBdr>
    </w:div>
    <w:div w:id="244151776">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68437594">
      <w:bodyDiv w:val="1"/>
      <w:marLeft w:val="0"/>
      <w:marRight w:val="0"/>
      <w:marTop w:val="0"/>
      <w:marBottom w:val="0"/>
      <w:divBdr>
        <w:top w:val="none" w:sz="0" w:space="0" w:color="auto"/>
        <w:left w:val="none" w:sz="0" w:space="0" w:color="auto"/>
        <w:bottom w:val="none" w:sz="0" w:space="0" w:color="auto"/>
        <w:right w:val="none" w:sz="0" w:space="0" w:color="auto"/>
      </w:divBdr>
    </w:div>
    <w:div w:id="277296574">
      <w:bodyDiv w:val="1"/>
      <w:marLeft w:val="0"/>
      <w:marRight w:val="0"/>
      <w:marTop w:val="0"/>
      <w:marBottom w:val="0"/>
      <w:divBdr>
        <w:top w:val="none" w:sz="0" w:space="0" w:color="auto"/>
        <w:left w:val="none" w:sz="0" w:space="0" w:color="auto"/>
        <w:bottom w:val="none" w:sz="0" w:space="0" w:color="auto"/>
        <w:right w:val="none" w:sz="0" w:space="0" w:color="auto"/>
      </w:divBdr>
    </w:div>
    <w:div w:id="287130701">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23750004">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4409711">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90886788">
      <w:bodyDiv w:val="1"/>
      <w:marLeft w:val="0"/>
      <w:marRight w:val="0"/>
      <w:marTop w:val="0"/>
      <w:marBottom w:val="0"/>
      <w:divBdr>
        <w:top w:val="none" w:sz="0" w:space="0" w:color="auto"/>
        <w:left w:val="none" w:sz="0" w:space="0" w:color="auto"/>
        <w:bottom w:val="none" w:sz="0" w:space="0" w:color="auto"/>
        <w:right w:val="none" w:sz="0" w:space="0" w:color="auto"/>
      </w:divBdr>
    </w:div>
    <w:div w:id="401299464">
      <w:bodyDiv w:val="1"/>
      <w:marLeft w:val="0"/>
      <w:marRight w:val="0"/>
      <w:marTop w:val="0"/>
      <w:marBottom w:val="0"/>
      <w:divBdr>
        <w:top w:val="none" w:sz="0" w:space="0" w:color="auto"/>
        <w:left w:val="none" w:sz="0" w:space="0" w:color="auto"/>
        <w:bottom w:val="none" w:sz="0" w:space="0" w:color="auto"/>
        <w:right w:val="none" w:sz="0" w:space="0" w:color="auto"/>
      </w:divBdr>
    </w:div>
    <w:div w:id="419372159">
      <w:bodyDiv w:val="1"/>
      <w:marLeft w:val="0"/>
      <w:marRight w:val="0"/>
      <w:marTop w:val="0"/>
      <w:marBottom w:val="0"/>
      <w:divBdr>
        <w:top w:val="none" w:sz="0" w:space="0" w:color="auto"/>
        <w:left w:val="none" w:sz="0" w:space="0" w:color="auto"/>
        <w:bottom w:val="none" w:sz="0" w:space="0" w:color="auto"/>
        <w:right w:val="none" w:sz="0" w:space="0" w:color="auto"/>
      </w:divBdr>
    </w:div>
    <w:div w:id="433088420">
      <w:bodyDiv w:val="1"/>
      <w:marLeft w:val="0"/>
      <w:marRight w:val="0"/>
      <w:marTop w:val="0"/>
      <w:marBottom w:val="0"/>
      <w:divBdr>
        <w:top w:val="none" w:sz="0" w:space="0" w:color="auto"/>
        <w:left w:val="none" w:sz="0" w:space="0" w:color="auto"/>
        <w:bottom w:val="none" w:sz="0" w:space="0" w:color="auto"/>
        <w:right w:val="none" w:sz="0" w:space="0" w:color="auto"/>
      </w:divBdr>
    </w:div>
    <w:div w:id="442574587">
      <w:bodyDiv w:val="1"/>
      <w:marLeft w:val="0"/>
      <w:marRight w:val="0"/>
      <w:marTop w:val="0"/>
      <w:marBottom w:val="0"/>
      <w:divBdr>
        <w:top w:val="none" w:sz="0" w:space="0" w:color="auto"/>
        <w:left w:val="none" w:sz="0" w:space="0" w:color="auto"/>
        <w:bottom w:val="none" w:sz="0" w:space="0" w:color="auto"/>
        <w:right w:val="none" w:sz="0" w:space="0" w:color="auto"/>
      </w:divBdr>
    </w:div>
    <w:div w:id="443228433">
      <w:bodyDiv w:val="1"/>
      <w:marLeft w:val="0"/>
      <w:marRight w:val="0"/>
      <w:marTop w:val="0"/>
      <w:marBottom w:val="0"/>
      <w:divBdr>
        <w:top w:val="none" w:sz="0" w:space="0" w:color="auto"/>
        <w:left w:val="none" w:sz="0" w:space="0" w:color="auto"/>
        <w:bottom w:val="none" w:sz="0" w:space="0" w:color="auto"/>
        <w:right w:val="none" w:sz="0" w:space="0" w:color="auto"/>
      </w:divBdr>
    </w:div>
    <w:div w:id="447772444">
      <w:bodyDiv w:val="1"/>
      <w:marLeft w:val="0"/>
      <w:marRight w:val="0"/>
      <w:marTop w:val="0"/>
      <w:marBottom w:val="0"/>
      <w:divBdr>
        <w:top w:val="none" w:sz="0" w:space="0" w:color="auto"/>
        <w:left w:val="none" w:sz="0" w:space="0" w:color="auto"/>
        <w:bottom w:val="none" w:sz="0" w:space="0" w:color="auto"/>
        <w:right w:val="none" w:sz="0" w:space="0" w:color="auto"/>
      </w:divBdr>
    </w:div>
    <w:div w:id="451704108">
      <w:bodyDiv w:val="1"/>
      <w:marLeft w:val="0"/>
      <w:marRight w:val="0"/>
      <w:marTop w:val="0"/>
      <w:marBottom w:val="0"/>
      <w:divBdr>
        <w:top w:val="none" w:sz="0" w:space="0" w:color="auto"/>
        <w:left w:val="none" w:sz="0" w:space="0" w:color="auto"/>
        <w:bottom w:val="none" w:sz="0" w:space="0" w:color="auto"/>
        <w:right w:val="none" w:sz="0" w:space="0" w:color="auto"/>
      </w:divBdr>
    </w:div>
    <w:div w:id="45687131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33372">
      <w:bodyDiv w:val="1"/>
      <w:marLeft w:val="0"/>
      <w:marRight w:val="0"/>
      <w:marTop w:val="0"/>
      <w:marBottom w:val="0"/>
      <w:divBdr>
        <w:top w:val="none" w:sz="0" w:space="0" w:color="auto"/>
        <w:left w:val="none" w:sz="0" w:space="0" w:color="auto"/>
        <w:bottom w:val="none" w:sz="0" w:space="0" w:color="auto"/>
        <w:right w:val="none" w:sz="0" w:space="0" w:color="auto"/>
      </w:divBdr>
    </w:div>
    <w:div w:id="489181014">
      <w:bodyDiv w:val="1"/>
      <w:marLeft w:val="0"/>
      <w:marRight w:val="0"/>
      <w:marTop w:val="0"/>
      <w:marBottom w:val="0"/>
      <w:divBdr>
        <w:top w:val="none" w:sz="0" w:space="0" w:color="auto"/>
        <w:left w:val="none" w:sz="0" w:space="0" w:color="auto"/>
        <w:bottom w:val="none" w:sz="0" w:space="0" w:color="auto"/>
        <w:right w:val="none" w:sz="0" w:space="0" w:color="auto"/>
      </w:divBdr>
    </w:div>
    <w:div w:id="49121568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9471380">
      <w:bodyDiv w:val="1"/>
      <w:marLeft w:val="0"/>
      <w:marRight w:val="0"/>
      <w:marTop w:val="0"/>
      <w:marBottom w:val="0"/>
      <w:divBdr>
        <w:top w:val="none" w:sz="0" w:space="0" w:color="auto"/>
        <w:left w:val="none" w:sz="0" w:space="0" w:color="auto"/>
        <w:bottom w:val="none" w:sz="0" w:space="0" w:color="auto"/>
        <w:right w:val="none" w:sz="0" w:space="0" w:color="auto"/>
      </w:divBdr>
    </w:div>
    <w:div w:id="502404795">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26869356">
      <w:bodyDiv w:val="1"/>
      <w:marLeft w:val="0"/>
      <w:marRight w:val="0"/>
      <w:marTop w:val="0"/>
      <w:marBottom w:val="0"/>
      <w:divBdr>
        <w:top w:val="none" w:sz="0" w:space="0" w:color="auto"/>
        <w:left w:val="none" w:sz="0" w:space="0" w:color="auto"/>
        <w:bottom w:val="none" w:sz="0" w:space="0" w:color="auto"/>
        <w:right w:val="none" w:sz="0" w:space="0" w:color="auto"/>
      </w:divBdr>
    </w:div>
    <w:div w:id="528756630">
      <w:bodyDiv w:val="1"/>
      <w:marLeft w:val="0"/>
      <w:marRight w:val="0"/>
      <w:marTop w:val="0"/>
      <w:marBottom w:val="0"/>
      <w:divBdr>
        <w:top w:val="none" w:sz="0" w:space="0" w:color="auto"/>
        <w:left w:val="none" w:sz="0" w:space="0" w:color="auto"/>
        <w:bottom w:val="none" w:sz="0" w:space="0" w:color="auto"/>
        <w:right w:val="none" w:sz="0" w:space="0" w:color="auto"/>
      </w:divBdr>
    </w:div>
    <w:div w:id="542180983">
      <w:bodyDiv w:val="1"/>
      <w:marLeft w:val="0"/>
      <w:marRight w:val="0"/>
      <w:marTop w:val="0"/>
      <w:marBottom w:val="0"/>
      <w:divBdr>
        <w:top w:val="none" w:sz="0" w:space="0" w:color="auto"/>
        <w:left w:val="none" w:sz="0" w:space="0" w:color="auto"/>
        <w:bottom w:val="none" w:sz="0" w:space="0" w:color="auto"/>
        <w:right w:val="none" w:sz="0" w:space="0" w:color="auto"/>
      </w:divBdr>
    </w:div>
    <w:div w:id="549072893">
      <w:bodyDiv w:val="1"/>
      <w:marLeft w:val="0"/>
      <w:marRight w:val="0"/>
      <w:marTop w:val="0"/>
      <w:marBottom w:val="0"/>
      <w:divBdr>
        <w:top w:val="none" w:sz="0" w:space="0" w:color="auto"/>
        <w:left w:val="none" w:sz="0" w:space="0" w:color="auto"/>
        <w:bottom w:val="none" w:sz="0" w:space="0" w:color="auto"/>
        <w:right w:val="none" w:sz="0" w:space="0" w:color="auto"/>
      </w:divBdr>
    </w:div>
    <w:div w:id="556863717">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5797678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75479405">
      <w:bodyDiv w:val="1"/>
      <w:marLeft w:val="0"/>
      <w:marRight w:val="0"/>
      <w:marTop w:val="0"/>
      <w:marBottom w:val="0"/>
      <w:divBdr>
        <w:top w:val="none" w:sz="0" w:space="0" w:color="auto"/>
        <w:left w:val="none" w:sz="0" w:space="0" w:color="auto"/>
        <w:bottom w:val="none" w:sz="0" w:space="0" w:color="auto"/>
        <w:right w:val="none" w:sz="0" w:space="0" w:color="auto"/>
      </w:divBdr>
    </w:div>
    <w:div w:id="579868933">
      <w:bodyDiv w:val="1"/>
      <w:marLeft w:val="0"/>
      <w:marRight w:val="0"/>
      <w:marTop w:val="0"/>
      <w:marBottom w:val="0"/>
      <w:divBdr>
        <w:top w:val="none" w:sz="0" w:space="0" w:color="auto"/>
        <w:left w:val="none" w:sz="0" w:space="0" w:color="auto"/>
        <w:bottom w:val="none" w:sz="0" w:space="0" w:color="auto"/>
        <w:right w:val="none" w:sz="0" w:space="0" w:color="auto"/>
      </w:divBdr>
    </w:div>
    <w:div w:id="59055291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22200268">
      <w:bodyDiv w:val="1"/>
      <w:marLeft w:val="0"/>
      <w:marRight w:val="0"/>
      <w:marTop w:val="0"/>
      <w:marBottom w:val="0"/>
      <w:divBdr>
        <w:top w:val="none" w:sz="0" w:space="0" w:color="auto"/>
        <w:left w:val="none" w:sz="0" w:space="0" w:color="auto"/>
        <w:bottom w:val="none" w:sz="0" w:space="0" w:color="auto"/>
        <w:right w:val="none" w:sz="0" w:space="0" w:color="auto"/>
      </w:divBdr>
    </w:div>
    <w:div w:id="623970518">
      <w:bodyDiv w:val="1"/>
      <w:marLeft w:val="0"/>
      <w:marRight w:val="0"/>
      <w:marTop w:val="0"/>
      <w:marBottom w:val="0"/>
      <w:divBdr>
        <w:top w:val="none" w:sz="0" w:space="0" w:color="auto"/>
        <w:left w:val="none" w:sz="0" w:space="0" w:color="auto"/>
        <w:bottom w:val="none" w:sz="0" w:space="0" w:color="auto"/>
        <w:right w:val="none" w:sz="0" w:space="0" w:color="auto"/>
      </w:divBdr>
    </w:div>
    <w:div w:id="630013901">
      <w:bodyDiv w:val="1"/>
      <w:marLeft w:val="0"/>
      <w:marRight w:val="0"/>
      <w:marTop w:val="0"/>
      <w:marBottom w:val="0"/>
      <w:divBdr>
        <w:top w:val="none" w:sz="0" w:space="0" w:color="auto"/>
        <w:left w:val="none" w:sz="0" w:space="0" w:color="auto"/>
        <w:bottom w:val="none" w:sz="0" w:space="0" w:color="auto"/>
        <w:right w:val="none" w:sz="0" w:space="0" w:color="auto"/>
      </w:divBdr>
    </w:div>
    <w:div w:id="630406280">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54723163">
      <w:bodyDiv w:val="1"/>
      <w:marLeft w:val="0"/>
      <w:marRight w:val="0"/>
      <w:marTop w:val="0"/>
      <w:marBottom w:val="0"/>
      <w:divBdr>
        <w:top w:val="none" w:sz="0" w:space="0" w:color="auto"/>
        <w:left w:val="none" w:sz="0" w:space="0" w:color="auto"/>
        <w:bottom w:val="none" w:sz="0" w:space="0" w:color="auto"/>
        <w:right w:val="none" w:sz="0" w:space="0" w:color="auto"/>
      </w:divBdr>
    </w:div>
    <w:div w:id="657806801">
      <w:bodyDiv w:val="1"/>
      <w:marLeft w:val="0"/>
      <w:marRight w:val="0"/>
      <w:marTop w:val="0"/>
      <w:marBottom w:val="0"/>
      <w:divBdr>
        <w:top w:val="none" w:sz="0" w:space="0" w:color="auto"/>
        <w:left w:val="none" w:sz="0" w:space="0" w:color="auto"/>
        <w:bottom w:val="none" w:sz="0" w:space="0" w:color="auto"/>
        <w:right w:val="none" w:sz="0" w:space="0" w:color="auto"/>
      </w:divBdr>
    </w:div>
    <w:div w:id="671418105">
      <w:bodyDiv w:val="1"/>
      <w:marLeft w:val="0"/>
      <w:marRight w:val="0"/>
      <w:marTop w:val="0"/>
      <w:marBottom w:val="0"/>
      <w:divBdr>
        <w:top w:val="none" w:sz="0" w:space="0" w:color="auto"/>
        <w:left w:val="none" w:sz="0" w:space="0" w:color="auto"/>
        <w:bottom w:val="none" w:sz="0" w:space="0" w:color="auto"/>
        <w:right w:val="none" w:sz="0" w:space="0" w:color="auto"/>
      </w:divBdr>
    </w:div>
    <w:div w:id="67203072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0086109">
      <w:bodyDiv w:val="1"/>
      <w:marLeft w:val="0"/>
      <w:marRight w:val="0"/>
      <w:marTop w:val="0"/>
      <w:marBottom w:val="0"/>
      <w:divBdr>
        <w:top w:val="none" w:sz="0" w:space="0" w:color="auto"/>
        <w:left w:val="none" w:sz="0" w:space="0" w:color="auto"/>
        <w:bottom w:val="none" w:sz="0" w:space="0" w:color="auto"/>
        <w:right w:val="none" w:sz="0" w:space="0" w:color="auto"/>
      </w:divBdr>
    </w:div>
    <w:div w:id="712924436">
      <w:bodyDiv w:val="1"/>
      <w:marLeft w:val="0"/>
      <w:marRight w:val="0"/>
      <w:marTop w:val="0"/>
      <w:marBottom w:val="0"/>
      <w:divBdr>
        <w:top w:val="none" w:sz="0" w:space="0" w:color="auto"/>
        <w:left w:val="none" w:sz="0" w:space="0" w:color="auto"/>
        <w:bottom w:val="none" w:sz="0" w:space="0" w:color="auto"/>
        <w:right w:val="none" w:sz="0" w:space="0" w:color="auto"/>
      </w:divBdr>
    </w:div>
    <w:div w:id="732778144">
      <w:bodyDiv w:val="1"/>
      <w:marLeft w:val="0"/>
      <w:marRight w:val="0"/>
      <w:marTop w:val="0"/>
      <w:marBottom w:val="0"/>
      <w:divBdr>
        <w:top w:val="none" w:sz="0" w:space="0" w:color="auto"/>
        <w:left w:val="none" w:sz="0" w:space="0" w:color="auto"/>
        <w:bottom w:val="none" w:sz="0" w:space="0" w:color="auto"/>
        <w:right w:val="none" w:sz="0" w:space="0" w:color="auto"/>
      </w:divBdr>
    </w:div>
    <w:div w:id="738098075">
      <w:bodyDiv w:val="1"/>
      <w:marLeft w:val="0"/>
      <w:marRight w:val="0"/>
      <w:marTop w:val="0"/>
      <w:marBottom w:val="0"/>
      <w:divBdr>
        <w:top w:val="none" w:sz="0" w:space="0" w:color="auto"/>
        <w:left w:val="none" w:sz="0" w:space="0" w:color="auto"/>
        <w:bottom w:val="none" w:sz="0" w:space="0" w:color="auto"/>
        <w:right w:val="none" w:sz="0" w:space="0" w:color="auto"/>
      </w:divBdr>
    </w:div>
    <w:div w:id="769081408">
      <w:bodyDiv w:val="1"/>
      <w:marLeft w:val="0"/>
      <w:marRight w:val="0"/>
      <w:marTop w:val="0"/>
      <w:marBottom w:val="0"/>
      <w:divBdr>
        <w:top w:val="none" w:sz="0" w:space="0" w:color="auto"/>
        <w:left w:val="none" w:sz="0" w:space="0" w:color="auto"/>
        <w:bottom w:val="none" w:sz="0" w:space="0" w:color="auto"/>
        <w:right w:val="none" w:sz="0" w:space="0" w:color="auto"/>
      </w:divBdr>
    </w:div>
    <w:div w:id="793719972">
      <w:bodyDiv w:val="1"/>
      <w:marLeft w:val="0"/>
      <w:marRight w:val="0"/>
      <w:marTop w:val="0"/>
      <w:marBottom w:val="0"/>
      <w:divBdr>
        <w:top w:val="none" w:sz="0" w:space="0" w:color="auto"/>
        <w:left w:val="none" w:sz="0" w:space="0" w:color="auto"/>
        <w:bottom w:val="none" w:sz="0" w:space="0" w:color="auto"/>
        <w:right w:val="none" w:sz="0" w:space="0" w:color="auto"/>
      </w:divBdr>
    </w:div>
    <w:div w:id="802499569">
      <w:bodyDiv w:val="1"/>
      <w:marLeft w:val="0"/>
      <w:marRight w:val="0"/>
      <w:marTop w:val="0"/>
      <w:marBottom w:val="0"/>
      <w:divBdr>
        <w:top w:val="none" w:sz="0" w:space="0" w:color="auto"/>
        <w:left w:val="none" w:sz="0" w:space="0" w:color="auto"/>
        <w:bottom w:val="none" w:sz="0" w:space="0" w:color="auto"/>
        <w:right w:val="none" w:sz="0" w:space="0" w:color="auto"/>
      </w:divBdr>
    </w:div>
    <w:div w:id="820655321">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26634170">
      <w:bodyDiv w:val="1"/>
      <w:marLeft w:val="0"/>
      <w:marRight w:val="0"/>
      <w:marTop w:val="0"/>
      <w:marBottom w:val="0"/>
      <w:divBdr>
        <w:top w:val="none" w:sz="0" w:space="0" w:color="auto"/>
        <w:left w:val="none" w:sz="0" w:space="0" w:color="auto"/>
        <w:bottom w:val="none" w:sz="0" w:space="0" w:color="auto"/>
        <w:right w:val="none" w:sz="0" w:space="0" w:color="auto"/>
      </w:divBdr>
    </w:div>
    <w:div w:id="828523263">
      <w:bodyDiv w:val="1"/>
      <w:marLeft w:val="0"/>
      <w:marRight w:val="0"/>
      <w:marTop w:val="0"/>
      <w:marBottom w:val="0"/>
      <w:divBdr>
        <w:top w:val="none" w:sz="0" w:space="0" w:color="auto"/>
        <w:left w:val="none" w:sz="0" w:space="0" w:color="auto"/>
        <w:bottom w:val="none" w:sz="0" w:space="0" w:color="auto"/>
        <w:right w:val="none" w:sz="0" w:space="0" w:color="auto"/>
      </w:divBdr>
    </w:div>
    <w:div w:id="832526552">
      <w:bodyDiv w:val="1"/>
      <w:marLeft w:val="0"/>
      <w:marRight w:val="0"/>
      <w:marTop w:val="0"/>
      <w:marBottom w:val="0"/>
      <w:divBdr>
        <w:top w:val="none" w:sz="0" w:space="0" w:color="auto"/>
        <w:left w:val="none" w:sz="0" w:space="0" w:color="auto"/>
        <w:bottom w:val="none" w:sz="0" w:space="0" w:color="auto"/>
        <w:right w:val="none" w:sz="0" w:space="0" w:color="auto"/>
      </w:divBdr>
    </w:div>
    <w:div w:id="83796136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3809406">
      <w:bodyDiv w:val="1"/>
      <w:marLeft w:val="0"/>
      <w:marRight w:val="0"/>
      <w:marTop w:val="0"/>
      <w:marBottom w:val="0"/>
      <w:divBdr>
        <w:top w:val="none" w:sz="0" w:space="0" w:color="auto"/>
        <w:left w:val="none" w:sz="0" w:space="0" w:color="auto"/>
        <w:bottom w:val="none" w:sz="0" w:space="0" w:color="auto"/>
        <w:right w:val="none" w:sz="0" w:space="0" w:color="auto"/>
      </w:divBdr>
    </w:div>
    <w:div w:id="8593189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9684091">
      <w:bodyDiv w:val="1"/>
      <w:marLeft w:val="0"/>
      <w:marRight w:val="0"/>
      <w:marTop w:val="0"/>
      <w:marBottom w:val="0"/>
      <w:divBdr>
        <w:top w:val="none" w:sz="0" w:space="0" w:color="auto"/>
        <w:left w:val="none" w:sz="0" w:space="0" w:color="auto"/>
        <w:bottom w:val="none" w:sz="0" w:space="0" w:color="auto"/>
        <w:right w:val="none" w:sz="0" w:space="0" w:color="auto"/>
      </w:divBdr>
    </w:div>
    <w:div w:id="871457678">
      <w:bodyDiv w:val="1"/>
      <w:marLeft w:val="0"/>
      <w:marRight w:val="0"/>
      <w:marTop w:val="0"/>
      <w:marBottom w:val="0"/>
      <w:divBdr>
        <w:top w:val="none" w:sz="0" w:space="0" w:color="auto"/>
        <w:left w:val="none" w:sz="0" w:space="0" w:color="auto"/>
        <w:bottom w:val="none" w:sz="0" w:space="0" w:color="auto"/>
        <w:right w:val="none" w:sz="0" w:space="0" w:color="auto"/>
      </w:divBdr>
    </w:div>
    <w:div w:id="873083969">
      <w:bodyDiv w:val="1"/>
      <w:marLeft w:val="0"/>
      <w:marRight w:val="0"/>
      <w:marTop w:val="0"/>
      <w:marBottom w:val="0"/>
      <w:divBdr>
        <w:top w:val="none" w:sz="0" w:space="0" w:color="auto"/>
        <w:left w:val="none" w:sz="0" w:space="0" w:color="auto"/>
        <w:bottom w:val="none" w:sz="0" w:space="0" w:color="auto"/>
        <w:right w:val="none" w:sz="0" w:space="0" w:color="auto"/>
      </w:divBdr>
    </w:div>
    <w:div w:id="896161179">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1140044">
      <w:bodyDiv w:val="1"/>
      <w:marLeft w:val="0"/>
      <w:marRight w:val="0"/>
      <w:marTop w:val="0"/>
      <w:marBottom w:val="0"/>
      <w:divBdr>
        <w:top w:val="none" w:sz="0" w:space="0" w:color="auto"/>
        <w:left w:val="none" w:sz="0" w:space="0" w:color="auto"/>
        <w:bottom w:val="none" w:sz="0" w:space="0" w:color="auto"/>
        <w:right w:val="none" w:sz="0" w:space="0" w:color="auto"/>
      </w:divBdr>
    </w:div>
    <w:div w:id="906185016">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7519873">
      <w:bodyDiv w:val="1"/>
      <w:marLeft w:val="0"/>
      <w:marRight w:val="0"/>
      <w:marTop w:val="0"/>
      <w:marBottom w:val="0"/>
      <w:divBdr>
        <w:top w:val="none" w:sz="0" w:space="0" w:color="auto"/>
        <w:left w:val="none" w:sz="0" w:space="0" w:color="auto"/>
        <w:bottom w:val="none" w:sz="0" w:space="0" w:color="auto"/>
        <w:right w:val="none" w:sz="0" w:space="0" w:color="auto"/>
      </w:divBdr>
    </w:div>
    <w:div w:id="943029124">
      <w:bodyDiv w:val="1"/>
      <w:marLeft w:val="0"/>
      <w:marRight w:val="0"/>
      <w:marTop w:val="0"/>
      <w:marBottom w:val="0"/>
      <w:divBdr>
        <w:top w:val="none" w:sz="0" w:space="0" w:color="auto"/>
        <w:left w:val="none" w:sz="0" w:space="0" w:color="auto"/>
        <w:bottom w:val="none" w:sz="0" w:space="0" w:color="auto"/>
        <w:right w:val="none" w:sz="0" w:space="0" w:color="auto"/>
      </w:divBdr>
    </w:div>
    <w:div w:id="944388110">
      <w:bodyDiv w:val="1"/>
      <w:marLeft w:val="0"/>
      <w:marRight w:val="0"/>
      <w:marTop w:val="0"/>
      <w:marBottom w:val="0"/>
      <w:divBdr>
        <w:top w:val="none" w:sz="0" w:space="0" w:color="auto"/>
        <w:left w:val="none" w:sz="0" w:space="0" w:color="auto"/>
        <w:bottom w:val="none" w:sz="0" w:space="0" w:color="auto"/>
        <w:right w:val="none" w:sz="0" w:space="0" w:color="auto"/>
      </w:divBdr>
    </w:div>
    <w:div w:id="950671064">
      <w:bodyDiv w:val="1"/>
      <w:marLeft w:val="0"/>
      <w:marRight w:val="0"/>
      <w:marTop w:val="0"/>
      <w:marBottom w:val="0"/>
      <w:divBdr>
        <w:top w:val="none" w:sz="0" w:space="0" w:color="auto"/>
        <w:left w:val="none" w:sz="0" w:space="0" w:color="auto"/>
        <w:bottom w:val="none" w:sz="0" w:space="0" w:color="auto"/>
        <w:right w:val="none" w:sz="0" w:space="0" w:color="auto"/>
      </w:divBdr>
    </w:div>
    <w:div w:id="95775954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8455327">
      <w:bodyDiv w:val="1"/>
      <w:marLeft w:val="0"/>
      <w:marRight w:val="0"/>
      <w:marTop w:val="0"/>
      <w:marBottom w:val="0"/>
      <w:divBdr>
        <w:top w:val="none" w:sz="0" w:space="0" w:color="auto"/>
        <w:left w:val="none" w:sz="0" w:space="0" w:color="auto"/>
        <w:bottom w:val="none" w:sz="0" w:space="0" w:color="auto"/>
        <w:right w:val="none" w:sz="0" w:space="0" w:color="auto"/>
      </w:divBdr>
    </w:div>
    <w:div w:id="981274685">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5935905">
      <w:bodyDiv w:val="1"/>
      <w:marLeft w:val="0"/>
      <w:marRight w:val="0"/>
      <w:marTop w:val="0"/>
      <w:marBottom w:val="0"/>
      <w:divBdr>
        <w:top w:val="none" w:sz="0" w:space="0" w:color="auto"/>
        <w:left w:val="none" w:sz="0" w:space="0" w:color="auto"/>
        <w:bottom w:val="none" w:sz="0" w:space="0" w:color="auto"/>
        <w:right w:val="none" w:sz="0" w:space="0" w:color="auto"/>
      </w:divBdr>
    </w:div>
    <w:div w:id="1001657741">
      <w:bodyDiv w:val="1"/>
      <w:marLeft w:val="0"/>
      <w:marRight w:val="0"/>
      <w:marTop w:val="0"/>
      <w:marBottom w:val="0"/>
      <w:divBdr>
        <w:top w:val="none" w:sz="0" w:space="0" w:color="auto"/>
        <w:left w:val="none" w:sz="0" w:space="0" w:color="auto"/>
        <w:bottom w:val="none" w:sz="0" w:space="0" w:color="auto"/>
        <w:right w:val="none" w:sz="0" w:space="0" w:color="auto"/>
      </w:divBdr>
    </w:div>
    <w:div w:id="100532294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7584067">
      <w:bodyDiv w:val="1"/>
      <w:marLeft w:val="0"/>
      <w:marRight w:val="0"/>
      <w:marTop w:val="0"/>
      <w:marBottom w:val="0"/>
      <w:divBdr>
        <w:top w:val="none" w:sz="0" w:space="0" w:color="auto"/>
        <w:left w:val="none" w:sz="0" w:space="0" w:color="auto"/>
        <w:bottom w:val="none" w:sz="0" w:space="0" w:color="auto"/>
        <w:right w:val="none" w:sz="0" w:space="0" w:color="auto"/>
      </w:divBdr>
    </w:div>
    <w:div w:id="1019350441">
      <w:bodyDiv w:val="1"/>
      <w:marLeft w:val="0"/>
      <w:marRight w:val="0"/>
      <w:marTop w:val="0"/>
      <w:marBottom w:val="0"/>
      <w:divBdr>
        <w:top w:val="none" w:sz="0" w:space="0" w:color="auto"/>
        <w:left w:val="none" w:sz="0" w:space="0" w:color="auto"/>
        <w:bottom w:val="none" w:sz="0" w:space="0" w:color="auto"/>
        <w:right w:val="none" w:sz="0" w:space="0" w:color="auto"/>
      </w:divBdr>
    </w:div>
    <w:div w:id="1026753960">
      <w:bodyDiv w:val="1"/>
      <w:marLeft w:val="0"/>
      <w:marRight w:val="0"/>
      <w:marTop w:val="0"/>
      <w:marBottom w:val="0"/>
      <w:divBdr>
        <w:top w:val="none" w:sz="0" w:space="0" w:color="auto"/>
        <w:left w:val="none" w:sz="0" w:space="0" w:color="auto"/>
        <w:bottom w:val="none" w:sz="0" w:space="0" w:color="auto"/>
        <w:right w:val="none" w:sz="0" w:space="0" w:color="auto"/>
      </w:divBdr>
    </w:div>
    <w:div w:id="1029449317">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1877515">
      <w:bodyDiv w:val="1"/>
      <w:marLeft w:val="0"/>
      <w:marRight w:val="0"/>
      <w:marTop w:val="0"/>
      <w:marBottom w:val="0"/>
      <w:divBdr>
        <w:top w:val="none" w:sz="0" w:space="0" w:color="auto"/>
        <w:left w:val="none" w:sz="0" w:space="0" w:color="auto"/>
        <w:bottom w:val="none" w:sz="0" w:space="0" w:color="auto"/>
        <w:right w:val="none" w:sz="0" w:space="0" w:color="auto"/>
      </w:divBdr>
    </w:div>
    <w:div w:id="1052344149">
      <w:bodyDiv w:val="1"/>
      <w:marLeft w:val="0"/>
      <w:marRight w:val="0"/>
      <w:marTop w:val="0"/>
      <w:marBottom w:val="0"/>
      <w:divBdr>
        <w:top w:val="none" w:sz="0" w:space="0" w:color="auto"/>
        <w:left w:val="none" w:sz="0" w:space="0" w:color="auto"/>
        <w:bottom w:val="none" w:sz="0" w:space="0" w:color="auto"/>
        <w:right w:val="none" w:sz="0" w:space="0" w:color="auto"/>
      </w:divBdr>
    </w:div>
    <w:div w:id="1052998887">
      <w:bodyDiv w:val="1"/>
      <w:marLeft w:val="0"/>
      <w:marRight w:val="0"/>
      <w:marTop w:val="0"/>
      <w:marBottom w:val="0"/>
      <w:divBdr>
        <w:top w:val="none" w:sz="0" w:space="0" w:color="auto"/>
        <w:left w:val="none" w:sz="0" w:space="0" w:color="auto"/>
        <w:bottom w:val="none" w:sz="0" w:space="0" w:color="auto"/>
        <w:right w:val="none" w:sz="0" w:space="0" w:color="auto"/>
      </w:divBdr>
    </w:div>
    <w:div w:id="1058167386">
      <w:bodyDiv w:val="1"/>
      <w:marLeft w:val="0"/>
      <w:marRight w:val="0"/>
      <w:marTop w:val="0"/>
      <w:marBottom w:val="0"/>
      <w:divBdr>
        <w:top w:val="none" w:sz="0" w:space="0" w:color="auto"/>
        <w:left w:val="none" w:sz="0" w:space="0" w:color="auto"/>
        <w:bottom w:val="none" w:sz="0" w:space="0" w:color="auto"/>
        <w:right w:val="none" w:sz="0" w:space="0" w:color="auto"/>
      </w:divBdr>
    </w:div>
    <w:div w:id="1079213173">
      <w:bodyDiv w:val="1"/>
      <w:marLeft w:val="0"/>
      <w:marRight w:val="0"/>
      <w:marTop w:val="0"/>
      <w:marBottom w:val="0"/>
      <w:divBdr>
        <w:top w:val="none" w:sz="0" w:space="0" w:color="auto"/>
        <w:left w:val="none" w:sz="0" w:space="0" w:color="auto"/>
        <w:bottom w:val="none" w:sz="0" w:space="0" w:color="auto"/>
        <w:right w:val="none" w:sz="0" w:space="0" w:color="auto"/>
      </w:divBdr>
    </w:div>
    <w:div w:id="1079596719">
      <w:bodyDiv w:val="1"/>
      <w:marLeft w:val="0"/>
      <w:marRight w:val="0"/>
      <w:marTop w:val="0"/>
      <w:marBottom w:val="0"/>
      <w:divBdr>
        <w:top w:val="none" w:sz="0" w:space="0" w:color="auto"/>
        <w:left w:val="none" w:sz="0" w:space="0" w:color="auto"/>
        <w:bottom w:val="none" w:sz="0" w:space="0" w:color="auto"/>
        <w:right w:val="none" w:sz="0" w:space="0" w:color="auto"/>
      </w:divBdr>
    </w:div>
    <w:div w:id="107964367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7427958">
      <w:bodyDiv w:val="1"/>
      <w:marLeft w:val="0"/>
      <w:marRight w:val="0"/>
      <w:marTop w:val="0"/>
      <w:marBottom w:val="0"/>
      <w:divBdr>
        <w:top w:val="none" w:sz="0" w:space="0" w:color="auto"/>
        <w:left w:val="none" w:sz="0" w:space="0" w:color="auto"/>
        <w:bottom w:val="none" w:sz="0" w:space="0" w:color="auto"/>
        <w:right w:val="none" w:sz="0" w:space="0" w:color="auto"/>
      </w:divBdr>
    </w:div>
    <w:div w:id="1108701286">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6096911">
      <w:bodyDiv w:val="1"/>
      <w:marLeft w:val="0"/>
      <w:marRight w:val="0"/>
      <w:marTop w:val="0"/>
      <w:marBottom w:val="0"/>
      <w:divBdr>
        <w:top w:val="none" w:sz="0" w:space="0" w:color="auto"/>
        <w:left w:val="none" w:sz="0" w:space="0" w:color="auto"/>
        <w:bottom w:val="none" w:sz="0" w:space="0" w:color="auto"/>
        <w:right w:val="none" w:sz="0" w:space="0" w:color="auto"/>
      </w:divBdr>
    </w:div>
    <w:div w:id="1159540997">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7495929">
      <w:bodyDiv w:val="1"/>
      <w:marLeft w:val="0"/>
      <w:marRight w:val="0"/>
      <w:marTop w:val="0"/>
      <w:marBottom w:val="0"/>
      <w:divBdr>
        <w:top w:val="none" w:sz="0" w:space="0" w:color="auto"/>
        <w:left w:val="none" w:sz="0" w:space="0" w:color="auto"/>
        <w:bottom w:val="none" w:sz="0" w:space="0" w:color="auto"/>
        <w:right w:val="none" w:sz="0" w:space="0" w:color="auto"/>
      </w:divBdr>
    </w:div>
    <w:div w:id="1189567158">
      <w:bodyDiv w:val="1"/>
      <w:marLeft w:val="0"/>
      <w:marRight w:val="0"/>
      <w:marTop w:val="0"/>
      <w:marBottom w:val="0"/>
      <w:divBdr>
        <w:top w:val="none" w:sz="0" w:space="0" w:color="auto"/>
        <w:left w:val="none" w:sz="0" w:space="0" w:color="auto"/>
        <w:bottom w:val="none" w:sz="0" w:space="0" w:color="auto"/>
        <w:right w:val="none" w:sz="0" w:space="0" w:color="auto"/>
      </w:divBdr>
    </w:div>
    <w:div w:id="1201623205">
      <w:bodyDiv w:val="1"/>
      <w:marLeft w:val="0"/>
      <w:marRight w:val="0"/>
      <w:marTop w:val="0"/>
      <w:marBottom w:val="0"/>
      <w:divBdr>
        <w:top w:val="none" w:sz="0" w:space="0" w:color="auto"/>
        <w:left w:val="none" w:sz="0" w:space="0" w:color="auto"/>
        <w:bottom w:val="none" w:sz="0" w:space="0" w:color="auto"/>
        <w:right w:val="none" w:sz="0" w:space="0" w:color="auto"/>
      </w:divBdr>
    </w:div>
    <w:div w:id="1225607713">
      <w:bodyDiv w:val="1"/>
      <w:marLeft w:val="0"/>
      <w:marRight w:val="0"/>
      <w:marTop w:val="0"/>
      <w:marBottom w:val="0"/>
      <w:divBdr>
        <w:top w:val="none" w:sz="0" w:space="0" w:color="auto"/>
        <w:left w:val="none" w:sz="0" w:space="0" w:color="auto"/>
        <w:bottom w:val="none" w:sz="0" w:space="0" w:color="auto"/>
        <w:right w:val="none" w:sz="0" w:space="0" w:color="auto"/>
      </w:divBdr>
    </w:div>
    <w:div w:id="1228956766">
      <w:bodyDiv w:val="1"/>
      <w:marLeft w:val="0"/>
      <w:marRight w:val="0"/>
      <w:marTop w:val="0"/>
      <w:marBottom w:val="0"/>
      <w:divBdr>
        <w:top w:val="none" w:sz="0" w:space="0" w:color="auto"/>
        <w:left w:val="none" w:sz="0" w:space="0" w:color="auto"/>
        <w:bottom w:val="none" w:sz="0" w:space="0" w:color="auto"/>
        <w:right w:val="none" w:sz="0" w:space="0" w:color="auto"/>
      </w:divBdr>
    </w:div>
    <w:div w:id="1233202435">
      <w:bodyDiv w:val="1"/>
      <w:marLeft w:val="0"/>
      <w:marRight w:val="0"/>
      <w:marTop w:val="0"/>
      <w:marBottom w:val="0"/>
      <w:divBdr>
        <w:top w:val="none" w:sz="0" w:space="0" w:color="auto"/>
        <w:left w:val="none" w:sz="0" w:space="0" w:color="auto"/>
        <w:bottom w:val="none" w:sz="0" w:space="0" w:color="auto"/>
        <w:right w:val="none" w:sz="0" w:space="0" w:color="auto"/>
      </w:divBdr>
    </w:div>
    <w:div w:id="1241528507">
      <w:bodyDiv w:val="1"/>
      <w:marLeft w:val="0"/>
      <w:marRight w:val="0"/>
      <w:marTop w:val="0"/>
      <w:marBottom w:val="0"/>
      <w:divBdr>
        <w:top w:val="none" w:sz="0" w:space="0" w:color="auto"/>
        <w:left w:val="none" w:sz="0" w:space="0" w:color="auto"/>
        <w:bottom w:val="none" w:sz="0" w:space="0" w:color="auto"/>
        <w:right w:val="none" w:sz="0" w:space="0" w:color="auto"/>
      </w:divBdr>
    </w:div>
    <w:div w:id="1249460841">
      <w:bodyDiv w:val="1"/>
      <w:marLeft w:val="0"/>
      <w:marRight w:val="0"/>
      <w:marTop w:val="0"/>
      <w:marBottom w:val="0"/>
      <w:divBdr>
        <w:top w:val="none" w:sz="0" w:space="0" w:color="auto"/>
        <w:left w:val="none" w:sz="0" w:space="0" w:color="auto"/>
        <w:bottom w:val="none" w:sz="0" w:space="0" w:color="auto"/>
        <w:right w:val="none" w:sz="0" w:space="0" w:color="auto"/>
      </w:divBdr>
    </w:div>
    <w:div w:id="125065393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3586905">
      <w:bodyDiv w:val="1"/>
      <w:marLeft w:val="0"/>
      <w:marRight w:val="0"/>
      <w:marTop w:val="0"/>
      <w:marBottom w:val="0"/>
      <w:divBdr>
        <w:top w:val="none" w:sz="0" w:space="0" w:color="auto"/>
        <w:left w:val="none" w:sz="0" w:space="0" w:color="auto"/>
        <w:bottom w:val="none" w:sz="0" w:space="0" w:color="auto"/>
        <w:right w:val="none" w:sz="0" w:space="0" w:color="auto"/>
      </w:divBdr>
    </w:div>
    <w:div w:id="1265457156">
      <w:bodyDiv w:val="1"/>
      <w:marLeft w:val="0"/>
      <w:marRight w:val="0"/>
      <w:marTop w:val="0"/>
      <w:marBottom w:val="0"/>
      <w:divBdr>
        <w:top w:val="none" w:sz="0" w:space="0" w:color="auto"/>
        <w:left w:val="none" w:sz="0" w:space="0" w:color="auto"/>
        <w:bottom w:val="none" w:sz="0" w:space="0" w:color="auto"/>
        <w:right w:val="none" w:sz="0" w:space="0" w:color="auto"/>
      </w:divBdr>
    </w:div>
    <w:div w:id="1266620417">
      <w:bodyDiv w:val="1"/>
      <w:marLeft w:val="0"/>
      <w:marRight w:val="0"/>
      <w:marTop w:val="0"/>
      <w:marBottom w:val="0"/>
      <w:divBdr>
        <w:top w:val="none" w:sz="0" w:space="0" w:color="auto"/>
        <w:left w:val="none" w:sz="0" w:space="0" w:color="auto"/>
        <w:bottom w:val="none" w:sz="0" w:space="0" w:color="auto"/>
        <w:right w:val="none" w:sz="0" w:space="0" w:color="auto"/>
      </w:divBdr>
    </w:div>
    <w:div w:id="1267273831">
      <w:bodyDiv w:val="1"/>
      <w:marLeft w:val="0"/>
      <w:marRight w:val="0"/>
      <w:marTop w:val="0"/>
      <w:marBottom w:val="0"/>
      <w:divBdr>
        <w:top w:val="none" w:sz="0" w:space="0" w:color="auto"/>
        <w:left w:val="none" w:sz="0" w:space="0" w:color="auto"/>
        <w:bottom w:val="none" w:sz="0" w:space="0" w:color="auto"/>
        <w:right w:val="none" w:sz="0" w:space="0" w:color="auto"/>
      </w:divBdr>
    </w:div>
    <w:div w:id="1271625169">
      <w:bodyDiv w:val="1"/>
      <w:marLeft w:val="0"/>
      <w:marRight w:val="0"/>
      <w:marTop w:val="0"/>
      <w:marBottom w:val="0"/>
      <w:divBdr>
        <w:top w:val="none" w:sz="0" w:space="0" w:color="auto"/>
        <w:left w:val="none" w:sz="0" w:space="0" w:color="auto"/>
        <w:bottom w:val="none" w:sz="0" w:space="0" w:color="auto"/>
        <w:right w:val="none" w:sz="0" w:space="0" w:color="auto"/>
      </w:divBdr>
    </w:div>
    <w:div w:id="1272279717">
      <w:bodyDiv w:val="1"/>
      <w:marLeft w:val="0"/>
      <w:marRight w:val="0"/>
      <w:marTop w:val="0"/>
      <w:marBottom w:val="0"/>
      <w:divBdr>
        <w:top w:val="none" w:sz="0" w:space="0" w:color="auto"/>
        <w:left w:val="none" w:sz="0" w:space="0" w:color="auto"/>
        <w:bottom w:val="none" w:sz="0" w:space="0" w:color="auto"/>
        <w:right w:val="none" w:sz="0" w:space="0" w:color="auto"/>
      </w:divBdr>
    </w:div>
    <w:div w:id="128302886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306015">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08390561">
      <w:bodyDiv w:val="1"/>
      <w:marLeft w:val="0"/>
      <w:marRight w:val="0"/>
      <w:marTop w:val="0"/>
      <w:marBottom w:val="0"/>
      <w:divBdr>
        <w:top w:val="none" w:sz="0" w:space="0" w:color="auto"/>
        <w:left w:val="none" w:sz="0" w:space="0" w:color="auto"/>
        <w:bottom w:val="none" w:sz="0" w:space="0" w:color="auto"/>
        <w:right w:val="none" w:sz="0" w:space="0" w:color="auto"/>
      </w:divBdr>
    </w:div>
    <w:div w:id="131356414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44624401">
      <w:bodyDiv w:val="1"/>
      <w:marLeft w:val="0"/>
      <w:marRight w:val="0"/>
      <w:marTop w:val="0"/>
      <w:marBottom w:val="0"/>
      <w:divBdr>
        <w:top w:val="none" w:sz="0" w:space="0" w:color="auto"/>
        <w:left w:val="none" w:sz="0" w:space="0" w:color="auto"/>
        <w:bottom w:val="none" w:sz="0" w:space="0" w:color="auto"/>
        <w:right w:val="none" w:sz="0" w:space="0" w:color="auto"/>
      </w:divBdr>
    </w:div>
    <w:div w:id="1362126887">
      <w:bodyDiv w:val="1"/>
      <w:marLeft w:val="0"/>
      <w:marRight w:val="0"/>
      <w:marTop w:val="0"/>
      <w:marBottom w:val="0"/>
      <w:divBdr>
        <w:top w:val="none" w:sz="0" w:space="0" w:color="auto"/>
        <w:left w:val="none" w:sz="0" w:space="0" w:color="auto"/>
        <w:bottom w:val="none" w:sz="0" w:space="0" w:color="auto"/>
        <w:right w:val="none" w:sz="0" w:space="0" w:color="auto"/>
      </w:divBdr>
    </w:div>
    <w:div w:id="1368485460">
      <w:bodyDiv w:val="1"/>
      <w:marLeft w:val="0"/>
      <w:marRight w:val="0"/>
      <w:marTop w:val="0"/>
      <w:marBottom w:val="0"/>
      <w:divBdr>
        <w:top w:val="none" w:sz="0" w:space="0" w:color="auto"/>
        <w:left w:val="none" w:sz="0" w:space="0" w:color="auto"/>
        <w:bottom w:val="none" w:sz="0" w:space="0" w:color="auto"/>
        <w:right w:val="none" w:sz="0" w:space="0" w:color="auto"/>
      </w:divBdr>
    </w:div>
    <w:div w:id="1372801469">
      <w:bodyDiv w:val="1"/>
      <w:marLeft w:val="0"/>
      <w:marRight w:val="0"/>
      <w:marTop w:val="0"/>
      <w:marBottom w:val="0"/>
      <w:divBdr>
        <w:top w:val="none" w:sz="0" w:space="0" w:color="auto"/>
        <w:left w:val="none" w:sz="0" w:space="0" w:color="auto"/>
        <w:bottom w:val="none" w:sz="0" w:space="0" w:color="auto"/>
        <w:right w:val="none" w:sz="0" w:space="0" w:color="auto"/>
      </w:divBdr>
    </w:div>
    <w:div w:id="1374962339">
      <w:bodyDiv w:val="1"/>
      <w:marLeft w:val="0"/>
      <w:marRight w:val="0"/>
      <w:marTop w:val="0"/>
      <w:marBottom w:val="0"/>
      <w:divBdr>
        <w:top w:val="none" w:sz="0" w:space="0" w:color="auto"/>
        <w:left w:val="none" w:sz="0" w:space="0" w:color="auto"/>
        <w:bottom w:val="none" w:sz="0" w:space="0" w:color="auto"/>
        <w:right w:val="none" w:sz="0" w:space="0" w:color="auto"/>
      </w:divBdr>
    </w:div>
    <w:div w:id="1386755277">
      <w:bodyDiv w:val="1"/>
      <w:marLeft w:val="0"/>
      <w:marRight w:val="0"/>
      <w:marTop w:val="0"/>
      <w:marBottom w:val="0"/>
      <w:divBdr>
        <w:top w:val="none" w:sz="0" w:space="0" w:color="auto"/>
        <w:left w:val="none" w:sz="0" w:space="0" w:color="auto"/>
        <w:bottom w:val="none" w:sz="0" w:space="0" w:color="auto"/>
        <w:right w:val="none" w:sz="0" w:space="0" w:color="auto"/>
      </w:divBdr>
    </w:div>
    <w:div w:id="1397314726">
      <w:bodyDiv w:val="1"/>
      <w:marLeft w:val="0"/>
      <w:marRight w:val="0"/>
      <w:marTop w:val="0"/>
      <w:marBottom w:val="0"/>
      <w:divBdr>
        <w:top w:val="none" w:sz="0" w:space="0" w:color="auto"/>
        <w:left w:val="none" w:sz="0" w:space="0" w:color="auto"/>
        <w:bottom w:val="none" w:sz="0" w:space="0" w:color="auto"/>
        <w:right w:val="none" w:sz="0" w:space="0" w:color="auto"/>
      </w:divBdr>
    </w:div>
    <w:div w:id="1424302982">
      <w:bodyDiv w:val="1"/>
      <w:marLeft w:val="0"/>
      <w:marRight w:val="0"/>
      <w:marTop w:val="0"/>
      <w:marBottom w:val="0"/>
      <w:divBdr>
        <w:top w:val="none" w:sz="0" w:space="0" w:color="auto"/>
        <w:left w:val="none" w:sz="0" w:space="0" w:color="auto"/>
        <w:bottom w:val="none" w:sz="0" w:space="0" w:color="auto"/>
        <w:right w:val="none" w:sz="0" w:space="0" w:color="auto"/>
      </w:divBdr>
    </w:div>
    <w:div w:id="1439326819">
      <w:bodyDiv w:val="1"/>
      <w:marLeft w:val="0"/>
      <w:marRight w:val="0"/>
      <w:marTop w:val="0"/>
      <w:marBottom w:val="0"/>
      <w:divBdr>
        <w:top w:val="none" w:sz="0" w:space="0" w:color="auto"/>
        <w:left w:val="none" w:sz="0" w:space="0" w:color="auto"/>
        <w:bottom w:val="none" w:sz="0" w:space="0" w:color="auto"/>
        <w:right w:val="none" w:sz="0" w:space="0" w:color="auto"/>
      </w:divBdr>
    </w:div>
    <w:div w:id="1449158117">
      <w:bodyDiv w:val="1"/>
      <w:marLeft w:val="0"/>
      <w:marRight w:val="0"/>
      <w:marTop w:val="0"/>
      <w:marBottom w:val="0"/>
      <w:divBdr>
        <w:top w:val="none" w:sz="0" w:space="0" w:color="auto"/>
        <w:left w:val="none" w:sz="0" w:space="0" w:color="auto"/>
        <w:bottom w:val="none" w:sz="0" w:space="0" w:color="auto"/>
        <w:right w:val="none" w:sz="0" w:space="0" w:color="auto"/>
      </w:divBdr>
    </w:div>
    <w:div w:id="1454788202">
      <w:bodyDiv w:val="1"/>
      <w:marLeft w:val="0"/>
      <w:marRight w:val="0"/>
      <w:marTop w:val="0"/>
      <w:marBottom w:val="0"/>
      <w:divBdr>
        <w:top w:val="none" w:sz="0" w:space="0" w:color="auto"/>
        <w:left w:val="none" w:sz="0" w:space="0" w:color="auto"/>
        <w:bottom w:val="none" w:sz="0" w:space="0" w:color="auto"/>
        <w:right w:val="none" w:sz="0" w:space="0" w:color="auto"/>
      </w:divBdr>
    </w:div>
    <w:div w:id="1460108757">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199806">
      <w:bodyDiv w:val="1"/>
      <w:marLeft w:val="0"/>
      <w:marRight w:val="0"/>
      <w:marTop w:val="0"/>
      <w:marBottom w:val="0"/>
      <w:divBdr>
        <w:top w:val="none" w:sz="0" w:space="0" w:color="auto"/>
        <w:left w:val="none" w:sz="0" w:space="0" w:color="auto"/>
        <w:bottom w:val="none" w:sz="0" w:space="0" w:color="auto"/>
        <w:right w:val="none" w:sz="0" w:space="0" w:color="auto"/>
      </w:divBdr>
    </w:div>
    <w:div w:id="1475608731">
      <w:bodyDiv w:val="1"/>
      <w:marLeft w:val="0"/>
      <w:marRight w:val="0"/>
      <w:marTop w:val="0"/>
      <w:marBottom w:val="0"/>
      <w:divBdr>
        <w:top w:val="none" w:sz="0" w:space="0" w:color="auto"/>
        <w:left w:val="none" w:sz="0" w:space="0" w:color="auto"/>
        <w:bottom w:val="none" w:sz="0" w:space="0" w:color="auto"/>
        <w:right w:val="none" w:sz="0" w:space="0" w:color="auto"/>
      </w:divBdr>
    </w:div>
    <w:div w:id="1476609098">
      <w:bodyDiv w:val="1"/>
      <w:marLeft w:val="0"/>
      <w:marRight w:val="0"/>
      <w:marTop w:val="0"/>
      <w:marBottom w:val="0"/>
      <w:divBdr>
        <w:top w:val="none" w:sz="0" w:space="0" w:color="auto"/>
        <w:left w:val="none" w:sz="0" w:space="0" w:color="auto"/>
        <w:bottom w:val="none" w:sz="0" w:space="0" w:color="auto"/>
        <w:right w:val="none" w:sz="0" w:space="0" w:color="auto"/>
      </w:divBdr>
    </w:div>
    <w:div w:id="1478181799">
      <w:bodyDiv w:val="1"/>
      <w:marLeft w:val="0"/>
      <w:marRight w:val="0"/>
      <w:marTop w:val="0"/>
      <w:marBottom w:val="0"/>
      <w:divBdr>
        <w:top w:val="none" w:sz="0" w:space="0" w:color="auto"/>
        <w:left w:val="none" w:sz="0" w:space="0" w:color="auto"/>
        <w:bottom w:val="none" w:sz="0" w:space="0" w:color="auto"/>
        <w:right w:val="none" w:sz="0" w:space="0" w:color="auto"/>
      </w:divBdr>
    </w:div>
    <w:div w:id="1481924223">
      <w:bodyDiv w:val="1"/>
      <w:marLeft w:val="0"/>
      <w:marRight w:val="0"/>
      <w:marTop w:val="0"/>
      <w:marBottom w:val="0"/>
      <w:divBdr>
        <w:top w:val="none" w:sz="0" w:space="0" w:color="auto"/>
        <w:left w:val="none" w:sz="0" w:space="0" w:color="auto"/>
        <w:bottom w:val="none" w:sz="0" w:space="0" w:color="auto"/>
        <w:right w:val="none" w:sz="0" w:space="0" w:color="auto"/>
      </w:divBdr>
    </w:div>
    <w:div w:id="148257846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9128834">
      <w:bodyDiv w:val="1"/>
      <w:marLeft w:val="0"/>
      <w:marRight w:val="0"/>
      <w:marTop w:val="0"/>
      <w:marBottom w:val="0"/>
      <w:divBdr>
        <w:top w:val="none" w:sz="0" w:space="0" w:color="auto"/>
        <w:left w:val="none" w:sz="0" w:space="0" w:color="auto"/>
        <w:bottom w:val="none" w:sz="0" w:space="0" w:color="auto"/>
        <w:right w:val="none" w:sz="0" w:space="0" w:color="auto"/>
      </w:divBdr>
    </w:div>
    <w:div w:id="1513492851">
      <w:bodyDiv w:val="1"/>
      <w:marLeft w:val="0"/>
      <w:marRight w:val="0"/>
      <w:marTop w:val="0"/>
      <w:marBottom w:val="0"/>
      <w:divBdr>
        <w:top w:val="none" w:sz="0" w:space="0" w:color="auto"/>
        <w:left w:val="none" w:sz="0" w:space="0" w:color="auto"/>
        <w:bottom w:val="none" w:sz="0" w:space="0" w:color="auto"/>
        <w:right w:val="none" w:sz="0" w:space="0" w:color="auto"/>
      </w:divBdr>
    </w:div>
    <w:div w:id="1520661405">
      <w:bodyDiv w:val="1"/>
      <w:marLeft w:val="0"/>
      <w:marRight w:val="0"/>
      <w:marTop w:val="0"/>
      <w:marBottom w:val="0"/>
      <w:divBdr>
        <w:top w:val="none" w:sz="0" w:space="0" w:color="auto"/>
        <w:left w:val="none" w:sz="0" w:space="0" w:color="auto"/>
        <w:bottom w:val="none" w:sz="0" w:space="0" w:color="auto"/>
        <w:right w:val="none" w:sz="0" w:space="0" w:color="auto"/>
      </w:divBdr>
    </w:div>
    <w:div w:id="1528638795">
      <w:bodyDiv w:val="1"/>
      <w:marLeft w:val="0"/>
      <w:marRight w:val="0"/>
      <w:marTop w:val="0"/>
      <w:marBottom w:val="0"/>
      <w:divBdr>
        <w:top w:val="none" w:sz="0" w:space="0" w:color="auto"/>
        <w:left w:val="none" w:sz="0" w:space="0" w:color="auto"/>
        <w:bottom w:val="none" w:sz="0" w:space="0" w:color="auto"/>
        <w:right w:val="none" w:sz="0" w:space="0" w:color="auto"/>
      </w:divBdr>
    </w:div>
    <w:div w:id="1540895175">
      <w:bodyDiv w:val="1"/>
      <w:marLeft w:val="0"/>
      <w:marRight w:val="0"/>
      <w:marTop w:val="0"/>
      <w:marBottom w:val="0"/>
      <w:divBdr>
        <w:top w:val="none" w:sz="0" w:space="0" w:color="auto"/>
        <w:left w:val="none" w:sz="0" w:space="0" w:color="auto"/>
        <w:bottom w:val="none" w:sz="0" w:space="0" w:color="auto"/>
        <w:right w:val="none" w:sz="0" w:space="0" w:color="auto"/>
      </w:divBdr>
    </w:div>
    <w:div w:id="1555238581">
      <w:bodyDiv w:val="1"/>
      <w:marLeft w:val="0"/>
      <w:marRight w:val="0"/>
      <w:marTop w:val="0"/>
      <w:marBottom w:val="0"/>
      <w:divBdr>
        <w:top w:val="none" w:sz="0" w:space="0" w:color="auto"/>
        <w:left w:val="none" w:sz="0" w:space="0" w:color="auto"/>
        <w:bottom w:val="none" w:sz="0" w:space="0" w:color="auto"/>
        <w:right w:val="none" w:sz="0" w:space="0" w:color="auto"/>
      </w:divBdr>
    </w:div>
    <w:div w:id="1569261698">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7999693">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368382">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8311848">
      <w:bodyDiv w:val="1"/>
      <w:marLeft w:val="0"/>
      <w:marRight w:val="0"/>
      <w:marTop w:val="0"/>
      <w:marBottom w:val="0"/>
      <w:divBdr>
        <w:top w:val="none" w:sz="0" w:space="0" w:color="auto"/>
        <w:left w:val="none" w:sz="0" w:space="0" w:color="auto"/>
        <w:bottom w:val="none" w:sz="0" w:space="0" w:color="auto"/>
        <w:right w:val="none" w:sz="0" w:space="0" w:color="auto"/>
      </w:divBdr>
    </w:div>
    <w:div w:id="1641612246">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4622215">
      <w:bodyDiv w:val="1"/>
      <w:marLeft w:val="0"/>
      <w:marRight w:val="0"/>
      <w:marTop w:val="0"/>
      <w:marBottom w:val="0"/>
      <w:divBdr>
        <w:top w:val="none" w:sz="0" w:space="0" w:color="auto"/>
        <w:left w:val="none" w:sz="0" w:space="0" w:color="auto"/>
        <w:bottom w:val="none" w:sz="0" w:space="0" w:color="auto"/>
        <w:right w:val="none" w:sz="0" w:space="0" w:color="auto"/>
      </w:divBdr>
    </w:div>
    <w:div w:id="1669675373">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94657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3961483">
      <w:bodyDiv w:val="1"/>
      <w:marLeft w:val="0"/>
      <w:marRight w:val="0"/>
      <w:marTop w:val="0"/>
      <w:marBottom w:val="0"/>
      <w:divBdr>
        <w:top w:val="none" w:sz="0" w:space="0" w:color="auto"/>
        <w:left w:val="none" w:sz="0" w:space="0" w:color="auto"/>
        <w:bottom w:val="none" w:sz="0" w:space="0" w:color="auto"/>
        <w:right w:val="none" w:sz="0" w:space="0" w:color="auto"/>
      </w:divBdr>
    </w:div>
    <w:div w:id="1739091430">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2754166">
      <w:bodyDiv w:val="1"/>
      <w:marLeft w:val="0"/>
      <w:marRight w:val="0"/>
      <w:marTop w:val="0"/>
      <w:marBottom w:val="0"/>
      <w:divBdr>
        <w:top w:val="none" w:sz="0" w:space="0" w:color="auto"/>
        <w:left w:val="none" w:sz="0" w:space="0" w:color="auto"/>
        <w:bottom w:val="none" w:sz="0" w:space="0" w:color="auto"/>
        <w:right w:val="none" w:sz="0" w:space="0" w:color="auto"/>
      </w:divBdr>
    </w:div>
    <w:div w:id="1763377817">
      <w:bodyDiv w:val="1"/>
      <w:marLeft w:val="0"/>
      <w:marRight w:val="0"/>
      <w:marTop w:val="0"/>
      <w:marBottom w:val="0"/>
      <w:divBdr>
        <w:top w:val="none" w:sz="0" w:space="0" w:color="auto"/>
        <w:left w:val="none" w:sz="0" w:space="0" w:color="auto"/>
        <w:bottom w:val="none" w:sz="0" w:space="0" w:color="auto"/>
        <w:right w:val="none" w:sz="0" w:space="0" w:color="auto"/>
      </w:divBdr>
    </w:div>
    <w:div w:id="1770200028">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9346985">
      <w:bodyDiv w:val="1"/>
      <w:marLeft w:val="0"/>
      <w:marRight w:val="0"/>
      <w:marTop w:val="0"/>
      <w:marBottom w:val="0"/>
      <w:divBdr>
        <w:top w:val="none" w:sz="0" w:space="0" w:color="auto"/>
        <w:left w:val="none" w:sz="0" w:space="0" w:color="auto"/>
        <w:bottom w:val="none" w:sz="0" w:space="0" w:color="auto"/>
        <w:right w:val="none" w:sz="0" w:space="0" w:color="auto"/>
      </w:divBdr>
    </w:div>
    <w:div w:id="179077696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116326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5996154">
      <w:bodyDiv w:val="1"/>
      <w:marLeft w:val="0"/>
      <w:marRight w:val="0"/>
      <w:marTop w:val="0"/>
      <w:marBottom w:val="0"/>
      <w:divBdr>
        <w:top w:val="none" w:sz="0" w:space="0" w:color="auto"/>
        <w:left w:val="none" w:sz="0" w:space="0" w:color="auto"/>
        <w:bottom w:val="none" w:sz="0" w:space="0" w:color="auto"/>
        <w:right w:val="none" w:sz="0" w:space="0" w:color="auto"/>
      </w:divBdr>
    </w:div>
    <w:div w:id="1840340484">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44007794">
      <w:bodyDiv w:val="1"/>
      <w:marLeft w:val="0"/>
      <w:marRight w:val="0"/>
      <w:marTop w:val="0"/>
      <w:marBottom w:val="0"/>
      <w:divBdr>
        <w:top w:val="none" w:sz="0" w:space="0" w:color="auto"/>
        <w:left w:val="none" w:sz="0" w:space="0" w:color="auto"/>
        <w:bottom w:val="none" w:sz="0" w:space="0" w:color="auto"/>
        <w:right w:val="none" w:sz="0" w:space="0" w:color="auto"/>
      </w:divBdr>
    </w:div>
    <w:div w:id="1862821256">
      <w:bodyDiv w:val="1"/>
      <w:marLeft w:val="0"/>
      <w:marRight w:val="0"/>
      <w:marTop w:val="0"/>
      <w:marBottom w:val="0"/>
      <w:divBdr>
        <w:top w:val="none" w:sz="0" w:space="0" w:color="auto"/>
        <w:left w:val="none" w:sz="0" w:space="0" w:color="auto"/>
        <w:bottom w:val="none" w:sz="0" w:space="0" w:color="auto"/>
        <w:right w:val="none" w:sz="0" w:space="0" w:color="auto"/>
      </w:divBdr>
    </w:div>
    <w:div w:id="1872763874">
      <w:bodyDiv w:val="1"/>
      <w:marLeft w:val="0"/>
      <w:marRight w:val="0"/>
      <w:marTop w:val="0"/>
      <w:marBottom w:val="0"/>
      <w:divBdr>
        <w:top w:val="none" w:sz="0" w:space="0" w:color="auto"/>
        <w:left w:val="none" w:sz="0" w:space="0" w:color="auto"/>
        <w:bottom w:val="none" w:sz="0" w:space="0" w:color="auto"/>
        <w:right w:val="none" w:sz="0" w:space="0" w:color="auto"/>
      </w:divBdr>
    </w:div>
    <w:div w:id="1882207624">
      <w:bodyDiv w:val="1"/>
      <w:marLeft w:val="0"/>
      <w:marRight w:val="0"/>
      <w:marTop w:val="0"/>
      <w:marBottom w:val="0"/>
      <w:divBdr>
        <w:top w:val="none" w:sz="0" w:space="0" w:color="auto"/>
        <w:left w:val="none" w:sz="0" w:space="0" w:color="auto"/>
        <w:bottom w:val="none" w:sz="0" w:space="0" w:color="auto"/>
        <w:right w:val="none" w:sz="0" w:space="0" w:color="auto"/>
      </w:divBdr>
    </w:div>
    <w:div w:id="1883589841">
      <w:bodyDiv w:val="1"/>
      <w:marLeft w:val="0"/>
      <w:marRight w:val="0"/>
      <w:marTop w:val="0"/>
      <w:marBottom w:val="0"/>
      <w:divBdr>
        <w:top w:val="none" w:sz="0" w:space="0" w:color="auto"/>
        <w:left w:val="none" w:sz="0" w:space="0" w:color="auto"/>
        <w:bottom w:val="none" w:sz="0" w:space="0" w:color="auto"/>
        <w:right w:val="none" w:sz="0" w:space="0" w:color="auto"/>
      </w:divBdr>
    </w:div>
    <w:div w:id="1885949717">
      <w:bodyDiv w:val="1"/>
      <w:marLeft w:val="0"/>
      <w:marRight w:val="0"/>
      <w:marTop w:val="0"/>
      <w:marBottom w:val="0"/>
      <w:divBdr>
        <w:top w:val="none" w:sz="0" w:space="0" w:color="auto"/>
        <w:left w:val="none" w:sz="0" w:space="0" w:color="auto"/>
        <w:bottom w:val="none" w:sz="0" w:space="0" w:color="auto"/>
        <w:right w:val="none" w:sz="0" w:space="0" w:color="auto"/>
      </w:divBdr>
    </w:div>
    <w:div w:id="1891257671">
      <w:bodyDiv w:val="1"/>
      <w:marLeft w:val="0"/>
      <w:marRight w:val="0"/>
      <w:marTop w:val="0"/>
      <w:marBottom w:val="0"/>
      <w:divBdr>
        <w:top w:val="none" w:sz="0" w:space="0" w:color="auto"/>
        <w:left w:val="none" w:sz="0" w:space="0" w:color="auto"/>
        <w:bottom w:val="none" w:sz="0" w:space="0" w:color="auto"/>
        <w:right w:val="none" w:sz="0" w:space="0" w:color="auto"/>
      </w:divBdr>
    </w:div>
    <w:div w:id="1908761705">
      <w:bodyDiv w:val="1"/>
      <w:marLeft w:val="0"/>
      <w:marRight w:val="0"/>
      <w:marTop w:val="0"/>
      <w:marBottom w:val="0"/>
      <w:divBdr>
        <w:top w:val="none" w:sz="0" w:space="0" w:color="auto"/>
        <w:left w:val="none" w:sz="0" w:space="0" w:color="auto"/>
        <w:bottom w:val="none" w:sz="0" w:space="0" w:color="auto"/>
        <w:right w:val="none" w:sz="0" w:space="0" w:color="auto"/>
      </w:divBdr>
    </w:div>
    <w:div w:id="1918973973">
      <w:bodyDiv w:val="1"/>
      <w:marLeft w:val="0"/>
      <w:marRight w:val="0"/>
      <w:marTop w:val="0"/>
      <w:marBottom w:val="0"/>
      <w:divBdr>
        <w:top w:val="none" w:sz="0" w:space="0" w:color="auto"/>
        <w:left w:val="none" w:sz="0" w:space="0" w:color="auto"/>
        <w:bottom w:val="none" w:sz="0" w:space="0" w:color="auto"/>
        <w:right w:val="none" w:sz="0" w:space="0" w:color="auto"/>
      </w:divBdr>
    </w:div>
    <w:div w:id="192035986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44607208">
      <w:bodyDiv w:val="1"/>
      <w:marLeft w:val="0"/>
      <w:marRight w:val="0"/>
      <w:marTop w:val="0"/>
      <w:marBottom w:val="0"/>
      <w:divBdr>
        <w:top w:val="none" w:sz="0" w:space="0" w:color="auto"/>
        <w:left w:val="none" w:sz="0" w:space="0" w:color="auto"/>
        <w:bottom w:val="none" w:sz="0" w:space="0" w:color="auto"/>
        <w:right w:val="none" w:sz="0" w:space="0" w:color="auto"/>
      </w:divBdr>
    </w:div>
    <w:div w:id="1954438344">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06543542">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398878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8291101">
      <w:bodyDiv w:val="1"/>
      <w:marLeft w:val="0"/>
      <w:marRight w:val="0"/>
      <w:marTop w:val="0"/>
      <w:marBottom w:val="0"/>
      <w:divBdr>
        <w:top w:val="none" w:sz="0" w:space="0" w:color="auto"/>
        <w:left w:val="none" w:sz="0" w:space="0" w:color="auto"/>
        <w:bottom w:val="none" w:sz="0" w:space="0" w:color="auto"/>
        <w:right w:val="none" w:sz="0" w:space="0" w:color="auto"/>
      </w:divBdr>
    </w:div>
    <w:div w:id="2038386877">
      <w:bodyDiv w:val="1"/>
      <w:marLeft w:val="0"/>
      <w:marRight w:val="0"/>
      <w:marTop w:val="0"/>
      <w:marBottom w:val="0"/>
      <w:divBdr>
        <w:top w:val="none" w:sz="0" w:space="0" w:color="auto"/>
        <w:left w:val="none" w:sz="0" w:space="0" w:color="auto"/>
        <w:bottom w:val="none" w:sz="0" w:space="0" w:color="auto"/>
        <w:right w:val="none" w:sz="0" w:space="0" w:color="auto"/>
      </w:divBdr>
    </w:div>
    <w:div w:id="2043433565">
      <w:bodyDiv w:val="1"/>
      <w:marLeft w:val="0"/>
      <w:marRight w:val="0"/>
      <w:marTop w:val="0"/>
      <w:marBottom w:val="0"/>
      <w:divBdr>
        <w:top w:val="none" w:sz="0" w:space="0" w:color="auto"/>
        <w:left w:val="none" w:sz="0" w:space="0" w:color="auto"/>
        <w:bottom w:val="none" w:sz="0" w:space="0" w:color="auto"/>
        <w:right w:val="none" w:sz="0" w:space="0" w:color="auto"/>
      </w:divBdr>
    </w:div>
    <w:div w:id="2045984204">
      <w:bodyDiv w:val="1"/>
      <w:marLeft w:val="0"/>
      <w:marRight w:val="0"/>
      <w:marTop w:val="0"/>
      <w:marBottom w:val="0"/>
      <w:divBdr>
        <w:top w:val="none" w:sz="0" w:space="0" w:color="auto"/>
        <w:left w:val="none" w:sz="0" w:space="0" w:color="auto"/>
        <w:bottom w:val="none" w:sz="0" w:space="0" w:color="auto"/>
        <w:right w:val="none" w:sz="0" w:space="0" w:color="auto"/>
      </w:divBdr>
    </w:div>
    <w:div w:id="2057310618">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1511064">
      <w:bodyDiv w:val="1"/>
      <w:marLeft w:val="0"/>
      <w:marRight w:val="0"/>
      <w:marTop w:val="0"/>
      <w:marBottom w:val="0"/>
      <w:divBdr>
        <w:top w:val="none" w:sz="0" w:space="0" w:color="auto"/>
        <w:left w:val="none" w:sz="0" w:space="0" w:color="auto"/>
        <w:bottom w:val="none" w:sz="0" w:space="0" w:color="auto"/>
        <w:right w:val="none" w:sz="0" w:space="0" w:color="auto"/>
      </w:divBdr>
    </w:div>
    <w:div w:id="2068142525">
      <w:bodyDiv w:val="1"/>
      <w:marLeft w:val="0"/>
      <w:marRight w:val="0"/>
      <w:marTop w:val="0"/>
      <w:marBottom w:val="0"/>
      <w:divBdr>
        <w:top w:val="none" w:sz="0" w:space="0" w:color="auto"/>
        <w:left w:val="none" w:sz="0" w:space="0" w:color="auto"/>
        <w:bottom w:val="none" w:sz="0" w:space="0" w:color="auto"/>
        <w:right w:val="none" w:sz="0" w:space="0" w:color="auto"/>
      </w:divBdr>
    </w:div>
    <w:div w:id="2083601246">
      <w:bodyDiv w:val="1"/>
      <w:marLeft w:val="0"/>
      <w:marRight w:val="0"/>
      <w:marTop w:val="0"/>
      <w:marBottom w:val="0"/>
      <w:divBdr>
        <w:top w:val="none" w:sz="0" w:space="0" w:color="auto"/>
        <w:left w:val="none" w:sz="0" w:space="0" w:color="auto"/>
        <w:bottom w:val="none" w:sz="0" w:space="0" w:color="auto"/>
        <w:right w:val="none" w:sz="0" w:space="0" w:color="auto"/>
      </w:divBdr>
    </w:div>
    <w:div w:id="2086564927">
      <w:bodyDiv w:val="1"/>
      <w:marLeft w:val="0"/>
      <w:marRight w:val="0"/>
      <w:marTop w:val="0"/>
      <w:marBottom w:val="0"/>
      <w:divBdr>
        <w:top w:val="none" w:sz="0" w:space="0" w:color="auto"/>
        <w:left w:val="none" w:sz="0" w:space="0" w:color="auto"/>
        <w:bottom w:val="none" w:sz="0" w:space="0" w:color="auto"/>
        <w:right w:val="none" w:sz="0" w:space="0" w:color="auto"/>
      </w:divBdr>
    </w:div>
    <w:div w:id="2088532932">
      <w:bodyDiv w:val="1"/>
      <w:marLeft w:val="0"/>
      <w:marRight w:val="0"/>
      <w:marTop w:val="0"/>
      <w:marBottom w:val="0"/>
      <w:divBdr>
        <w:top w:val="none" w:sz="0" w:space="0" w:color="auto"/>
        <w:left w:val="none" w:sz="0" w:space="0" w:color="auto"/>
        <w:bottom w:val="none" w:sz="0" w:space="0" w:color="auto"/>
        <w:right w:val="none" w:sz="0" w:space="0" w:color="auto"/>
      </w:divBdr>
    </w:div>
    <w:div w:id="2111851001">
      <w:bodyDiv w:val="1"/>
      <w:marLeft w:val="0"/>
      <w:marRight w:val="0"/>
      <w:marTop w:val="0"/>
      <w:marBottom w:val="0"/>
      <w:divBdr>
        <w:top w:val="none" w:sz="0" w:space="0" w:color="auto"/>
        <w:left w:val="none" w:sz="0" w:space="0" w:color="auto"/>
        <w:bottom w:val="none" w:sz="0" w:space="0" w:color="auto"/>
        <w:right w:val="none" w:sz="0" w:space="0" w:color="auto"/>
      </w:divBdr>
    </w:div>
    <w:div w:id="2123378123">
      <w:bodyDiv w:val="1"/>
      <w:marLeft w:val="0"/>
      <w:marRight w:val="0"/>
      <w:marTop w:val="0"/>
      <w:marBottom w:val="0"/>
      <w:divBdr>
        <w:top w:val="none" w:sz="0" w:space="0" w:color="auto"/>
        <w:left w:val="none" w:sz="0" w:space="0" w:color="auto"/>
        <w:bottom w:val="none" w:sz="0" w:space="0" w:color="auto"/>
        <w:right w:val="none" w:sz="0" w:space="0" w:color="auto"/>
      </w:divBdr>
    </w:div>
    <w:div w:id="2128741525">
      <w:bodyDiv w:val="1"/>
      <w:marLeft w:val="0"/>
      <w:marRight w:val="0"/>
      <w:marTop w:val="0"/>
      <w:marBottom w:val="0"/>
      <w:divBdr>
        <w:top w:val="none" w:sz="0" w:space="0" w:color="auto"/>
        <w:left w:val="none" w:sz="0" w:space="0" w:color="auto"/>
        <w:bottom w:val="none" w:sz="0" w:space="0" w:color="auto"/>
        <w:right w:val="none" w:sz="0" w:space="0" w:color="auto"/>
      </w:divBdr>
    </w:div>
    <w:div w:id="2142381419">
      <w:bodyDiv w:val="1"/>
      <w:marLeft w:val="0"/>
      <w:marRight w:val="0"/>
      <w:marTop w:val="0"/>
      <w:marBottom w:val="0"/>
      <w:divBdr>
        <w:top w:val="none" w:sz="0" w:space="0" w:color="auto"/>
        <w:left w:val="none" w:sz="0" w:space="0" w:color="auto"/>
        <w:bottom w:val="none" w:sz="0" w:space="0" w:color="auto"/>
        <w:right w:val="none" w:sz="0" w:space="0" w:color="auto"/>
      </w:divBdr>
    </w:div>
    <w:div w:id="214442086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6116995F-8F33-4AA3-80B6-8B9F4393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8218</Words>
  <Characters>59799</Characters>
  <Application>Microsoft Office Word</Application>
  <DocSecurity>0</DocSecurity>
  <Lines>498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67882</CharactersWithSpaces>
  <SharedDoc>false</SharedDoc>
  <HLinks>
    <vt:vector size="48" baseType="variant">
      <vt:variant>
        <vt:i4>1376304</vt:i4>
      </vt:variant>
      <vt:variant>
        <vt:i4>44</vt:i4>
      </vt:variant>
      <vt:variant>
        <vt:i4>0</vt:i4>
      </vt:variant>
      <vt:variant>
        <vt:i4>5</vt:i4>
      </vt:variant>
      <vt:variant>
        <vt:lpwstr/>
      </vt:variant>
      <vt:variant>
        <vt:lpwstr>_Toc98941816</vt:lpwstr>
      </vt:variant>
      <vt:variant>
        <vt:i4>1441840</vt:i4>
      </vt:variant>
      <vt:variant>
        <vt:i4>38</vt:i4>
      </vt:variant>
      <vt:variant>
        <vt:i4>0</vt:i4>
      </vt:variant>
      <vt:variant>
        <vt:i4>5</vt:i4>
      </vt:variant>
      <vt:variant>
        <vt:lpwstr/>
      </vt:variant>
      <vt:variant>
        <vt:lpwstr>_Toc98941815</vt:lpwstr>
      </vt:variant>
      <vt:variant>
        <vt:i4>1507376</vt:i4>
      </vt:variant>
      <vt:variant>
        <vt:i4>32</vt:i4>
      </vt:variant>
      <vt:variant>
        <vt:i4>0</vt:i4>
      </vt:variant>
      <vt:variant>
        <vt:i4>5</vt:i4>
      </vt:variant>
      <vt:variant>
        <vt:lpwstr/>
      </vt:variant>
      <vt:variant>
        <vt:lpwstr>_Toc98941814</vt:lpwstr>
      </vt:variant>
      <vt:variant>
        <vt:i4>1048624</vt:i4>
      </vt:variant>
      <vt:variant>
        <vt:i4>26</vt:i4>
      </vt:variant>
      <vt:variant>
        <vt:i4>0</vt:i4>
      </vt:variant>
      <vt:variant>
        <vt:i4>5</vt:i4>
      </vt:variant>
      <vt:variant>
        <vt:lpwstr/>
      </vt:variant>
      <vt:variant>
        <vt:lpwstr>_Toc98941813</vt:lpwstr>
      </vt:variant>
      <vt:variant>
        <vt:i4>1114160</vt:i4>
      </vt:variant>
      <vt:variant>
        <vt:i4>20</vt:i4>
      </vt:variant>
      <vt:variant>
        <vt:i4>0</vt:i4>
      </vt:variant>
      <vt:variant>
        <vt:i4>5</vt:i4>
      </vt:variant>
      <vt:variant>
        <vt:lpwstr/>
      </vt:variant>
      <vt:variant>
        <vt:lpwstr>_Toc98941812</vt:lpwstr>
      </vt:variant>
      <vt:variant>
        <vt:i4>1179696</vt:i4>
      </vt:variant>
      <vt:variant>
        <vt:i4>14</vt:i4>
      </vt:variant>
      <vt:variant>
        <vt:i4>0</vt:i4>
      </vt:variant>
      <vt:variant>
        <vt:i4>5</vt:i4>
      </vt:variant>
      <vt:variant>
        <vt:lpwstr/>
      </vt:variant>
      <vt:variant>
        <vt:lpwstr>_Toc98941811</vt:lpwstr>
      </vt:variant>
      <vt:variant>
        <vt:i4>1245232</vt:i4>
      </vt:variant>
      <vt:variant>
        <vt:i4>8</vt:i4>
      </vt:variant>
      <vt:variant>
        <vt:i4>0</vt:i4>
      </vt:variant>
      <vt:variant>
        <vt:i4>5</vt:i4>
      </vt:variant>
      <vt:variant>
        <vt:lpwstr/>
      </vt:variant>
      <vt:variant>
        <vt:lpwstr>_Toc98941810</vt:lpwstr>
      </vt:variant>
      <vt:variant>
        <vt:i4>1703985</vt:i4>
      </vt:variant>
      <vt:variant>
        <vt:i4>2</vt:i4>
      </vt:variant>
      <vt:variant>
        <vt:i4>0</vt:i4>
      </vt:variant>
      <vt:variant>
        <vt:i4>5</vt:i4>
      </vt:variant>
      <vt:variant>
        <vt:lpwstr/>
      </vt:variant>
      <vt:variant>
        <vt:lpwstr>_Toc98941809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
  <dc:creator/>
  <cp:keywords/>
  <cp:lastModifiedBy/>
  <cp:revision>1</cp:revision>
  <dcterms:created xsi:type="dcterms:W3CDTF">2022-03-27T06:45:00Z</dcterms:created>
  <dcterms:modified xsi:type="dcterms:W3CDTF">2022-03-27T06:47:00Z</dcterms:modified>
  <cp:contentStatus/>
</cp:coreProperties>
</file>