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F39DF1" w14:textId="58F244BF" w:rsidR="00E24AA1" w:rsidRDefault="00B70AEF" w:rsidP="00E24AA1">
      <w:pPr>
        <w:pStyle w:val="Baseparagraphcentred"/>
        <w:spacing w:before="720"/>
      </w:pPr>
      <w:bookmarkStart w:id="0" w:name="_Toc78548463"/>
      <w:bookmarkStart w:id="1" w:name="_Toc78549734"/>
      <w:bookmarkStart w:id="2" w:name="_Toc78549779"/>
      <w:bookmarkStart w:id="3" w:name="_Toc80097481"/>
      <w:bookmarkStart w:id="4" w:name="_Toc80097775"/>
      <w:bookmarkStart w:id="5" w:name="_Hlk81640909"/>
      <w:bookmarkStart w:id="6" w:name="_GoBack"/>
      <w:bookmarkEnd w:id="6"/>
      <w:r>
        <w:t>2022-2023-2024</w:t>
      </w:r>
    </w:p>
    <w:p w14:paraId="65FF0B67" w14:textId="77777777" w:rsidR="00E24AA1" w:rsidRDefault="00E24AA1" w:rsidP="00E24AA1">
      <w:pPr>
        <w:pStyle w:val="Baseparagraphcentred"/>
      </w:pPr>
    </w:p>
    <w:p w14:paraId="04655AFE" w14:textId="77777777" w:rsidR="00E24AA1" w:rsidRDefault="00E24AA1" w:rsidP="00E24AA1">
      <w:pPr>
        <w:pStyle w:val="Baseparagraphcentred"/>
      </w:pPr>
      <w:r>
        <w:t>THE PARLIAMENT OF THE COMMONWEALTH OF AUSTRALIA</w:t>
      </w:r>
    </w:p>
    <w:p w14:paraId="3F607D51" w14:textId="77777777" w:rsidR="00E24AA1" w:rsidRDefault="00E24AA1" w:rsidP="00E24AA1">
      <w:pPr>
        <w:pStyle w:val="Baseparagraphcentred"/>
      </w:pPr>
    </w:p>
    <w:p w14:paraId="73B46B5B" w14:textId="77777777" w:rsidR="00E24AA1" w:rsidRDefault="00E24AA1" w:rsidP="00E24AA1">
      <w:pPr>
        <w:pStyle w:val="Baseparagraphcentred"/>
      </w:pPr>
    </w:p>
    <w:p w14:paraId="6B878794" w14:textId="77777777" w:rsidR="00E24AA1" w:rsidRDefault="00E24AA1" w:rsidP="00E24AA1">
      <w:pPr>
        <w:pStyle w:val="Baseparagraphcentred"/>
      </w:pPr>
    </w:p>
    <w:p w14:paraId="49692CFB" w14:textId="23EB5BB9" w:rsidR="00E24AA1" w:rsidRDefault="0099303C" w:rsidP="00E24AA1">
      <w:pPr>
        <w:pStyle w:val="Baseparagraphcentred"/>
      </w:pPr>
      <w:r>
        <w:t>HOUSE OF REPRESENTATIVES</w:t>
      </w:r>
    </w:p>
    <w:p w14:paraId="62EF6888" w14:textId="77777777" w:rsidR="00E24AA1" w:rsidRDefault="00E24AA1" w:rsidP="00E24AA1">
      <w:pPr>
        <w:pStyle w:val="Baseparagraphcentred"/>
      </w:pPr>
    </w:p>
    <w:p w14:paraId="158A10F6" w14:textId="77777777" w:rsidR="00E24AA1" w:rsidRDefault="00E24AA1" w:rsidP="00E24AA1">
      <w:pPr>
        <w:pStyle w:val="Baseparagraphcentred"/>
      </w:pPr>
    </w:p>
    <w:p w14:paraId="6CB961E4" w14:textId="77777777" w:rsidR="00E24AA1" w:rsidRDefault="00E24AA1" w:rsidP="00E24AA1">
      <w:pPr>
        <w:pStyle w:val="Baseparagraphcentred"/>
        <w:pBdr>
          <w:bottom w:val="single" w:sz="4" w:space="1" w:color="auto"/>
        </w:pBdr>
      </w:pPr>
    </w:p>
    <w:p w14:paraId="1EED4E55" w14:textId="34F5A32E" w:rsidR="00E24AA1" w:rsidRPr="00E24AA1" w:rsidRDefault="008872BA" w:rsidP="00E24AA1">
      <w:pPr>
        <w:pStyle w:val="BillName"/>
      </w:pPr>
      <w:bookmarkStart w:id="7" w:name="BillName"/>
      <w:bookmarkEnd w:id="7"/>
      <w:r w:rsidRPr="00AF6E6A">
        <w:t xml:space="preserve">Treasury Laws Amendment (Measures for Consultation) Bill 2022: Adjustment to tax on certain </w:t>
      </w:r>
      <w:r w:rsidR="008262BD">
        <w:t>payments or credits</w:t>
      </w:r>
      <w:r w:rsidRPr="00AF6E6A">
        <w:t xml:space="preserve"> paid to Indian firms</w:t>
      </w:r>
    </w:p>
    <w:p w14:paraId="10E2D8F1" w14:textId="77777777" w:rsidR="00E24AA1" w:rsidRDefault="00E24AA1" w:rsidP="00E24AA1">
      <w:pPr>
        <w:pStyle w:val="Baseparagraphcentred"/>
        <w:pBdr>
          <w:top w:val="single" w:sz="4" w:space="1" w:color="auto"/>
        </w:pBdr>
      </w:pPr>
    </w:p>
    <w:p w14:paraId="69A942A8" w14:textId="77777777" w:rsidR="00E24AA1" w:rsidRDefault="00E24AA1" w:rsidP="00E24AA1">
      <w:pPr>
        <w:pStyle w:val="Baseparagraphcentred"/>
      </w:pPr>
    </w:p>
    <w:p w14:paraId="1D6F0E36" w14:textId="77777777" w:rsidR="00E24AA1" w:rsidRDefault="00E24AA1" w:rsidP="00E24AA1">
      <w:pPr>
        <w:pStyle w:val="Baseparagraphcentred"/>
      </w:pPr>
    </w:p>
    <w:p w14:paraId="4880E5AA" w14:textId="77777777" w:rsidR="00E24AA1" w:rsidRDefault="00E24AA1" w:rsidP="00E24AA1">
      <w:pPr>
        <w:pStyle w:val="Baseparagraphcentred"/>
      </w:pPr>
    </w:p>
    <w:p w14:paraId="2357CE8E" w14:textId="77777777" w:rsidR="00671320" w:rsidRDefault="00671320" w:rsidP="00E24AA1">
      <w:pPr>
        <w:pStyle w:val="Baseparagraphcentred"/>
      </w:pPr>
      <w:r>
        <w:t>EXPOSURE DRAFT EXPLANATORY MATERIALS</w:t>
      </w:r>
    </w:p>
    <w:p w14:paraId="18E33C0D" w14:textId="665699D1" w:rsidR="00E24AA1" w:rsidRDefault="00E24AA1" w:rsidP="00E24AA1">
      <w:pPr>
        <w:pStyle w:val="Baseparagraphcentred"/>
      </w:pPr>
    </w:p>
    <w:p w14:paraId="60837D70" w14:textId="77777777" w:rsidR="00E24AA1" w:rsidRDefault="00E24AA1" w:rsidP="00E24AA1">
      <w:pPr>
        <w:pStyle w:val="Baseparagraphcentred"/>
      </w:pPr>
    </w:p>
    <w:p w14:paraId="2F700CCD" w14:textId="77777777" w:rsidR="00E24AA1" w:rsidRDefault="00E24AA1" w:rsidP="00E24AA1">
      <w:pPr>
        <w:pStyle w:val="ParaCentredNoSpacing"/>
      </w:pPr>
    </w:p>
    <w:p w14:paraId="78A7E983" w14:textId="77777777" w:rsidR="00E24AA1" w:rsidRPr="00967273" w:rsidRDefault="00E24AA1" w:rsidP="00E24AA1">
      <w:pPr>
        <w:pStyle w:val="Normalparatextnonumbers"/>
        <w:jc w:val="center"/>
        <w:rPr>
          <w:rFonts w:cs="Calibri"/>
          <w:color w:val="000000" w:themeColor="text1"/>
        </w:rPr>
      </w:pPr>
    </w:p>
    <w:p w14:paraId="58B540D5" w14:textId="77777777" w:rsidR="00873094" w:rsidRDefault="00873094" w:rsidP="00873094">
      <w:pPr>
        <w:pStyle w:val="Normalparatextnonumbers"/>
      </w:pPr>
    </w:p>
    <w:p w14:paraId="3C8515ED" w14:textId="77777777" w:rsidR="00E24AA1" w:rsidRPr="00020288" w:rsidRDefault="00E24AA1" w:rsidP="00873094">
      <w:pPr>
        <w:pStyle w:val="Normalparatextnonumbers"/>
      </w:pPr>
    </w:p>
    <w:p w14:paraId="58A70A2D" w14:textId="77777777" w:rsidR="00873094" w:rsidRPr="00020288" w:rsidRDefault="00873094" w:rsidP="00873094">
      <w:pPr>
        <w:pStyle w:val="TOC1"/>
        <w:sectPr w:rsidR="00873094" w:rsidRPr="00020288" w:rsidSect="00000BFC">
          <w:headerReference w:type="first" r:id="rId13"/>
          <w:footerReference w:type="first" r:id="rId14"/>
          <w:type w:val="oddPage"/>
          <w:pgSz w:w="9979" w:h="14175" w:code="138"/>
          <w:pgMar w:top="567" w:right="1134" w:bottom="567" w:left="1134" w:header="709" w:footer="709" w:gutter="0"/>
          <w:cols w:space="708"/>
          <w:titlePg/>
          <w:docGrid w:linePitch="360"/>
        </w:sectPr>
      </w:pPr>
    </w:p>
    <w:p w14:paraId="32C1DFE7" w14:textId="77777777" w:rsidR="00413061" w:rsidRDefault="00873094" w:rsidP="004F282D">
      <w:pPr>
        <w:pStyle w:val="TOCHeading"/>
        <w:rPr>
          <w:noProof/>
        </w:rPr>
      </w:pPr>
      <w:bookmarkStart w:id="8" w:name="_Toc80172450"/>
      <w:bookmarkStart w:id="9" w:name="_Toc80197114"/>
      <w:bookmarkStart w:id="10" w:name="_Toc81852681"/>
      <w:bookmarkEnd w:id="0"/>
      <w:bookmarkEnd w:id="1"/>
      <w:bookmarkEnd w:id="2"/>
      <w:bookmarkEnd w:id="3"/>
      <w:bookmarkEnd w:id="4"/>
      <w:r w:rsidRPr="00020288">
        <w:lastRenderedPageBreak/>
        <w:t>Table of Contents</w:t>
      </w:r>
      <w:bookmarkStart w:id="11" w:name="_Toc78549733"/>
      <w:bookmarkStart w:id="12" w:name="_Toc78549778"/>
      <w:bookmarkStart w:id="13" w:name="_Toc80097483"/>
      <w:bookmarkStart w:id="14" w:name="_Toc80097777"/>
      <w:bookmarkStart w:id="15" w:name="_Toc80115276"/>
      <w:bookmarkStart w:id="16" w:name="_Toc80172451"/>
      <w:bookmarkStart w:id="17" w:name="_Toc80197115"/>
      <w:bookmarkStart w:id="18" w:name="_Toc81852682"/>
      <w:bookmarkStart w:id="19" w:name="_Toc81852727"/>
      <w:bookmarkEnd w:id="8"/>
      <w:bookmarkEnd w:id="9"/>
      <w:bookmarkEnd w:id="10"/>
      <w:r w:rsidRPr="00BC2E4A">
        <w:fldChar w:fldCharType="begin"/>
      </w:r>
      <w:r w:rsidRPr="00BC2E4A">
        <w:instrText xml:space="preserve"> TOC \o "1-1" \u </w:instrText>
      </w:r>
      <w:r w:rsidRPr="00BC2E4A">
        <w:fldChar w:fldCharType="separate"/>
      </w:r>
    </w:p>
    <w:p w14:paraId="52B7737D" w14:textId="423561D7" w:rsidR="00413061" w:rsidRDefault="00413061">
      <w:pPr>
        <w:pStyle w:val="TOC1"/>
        <w:rPr>
          <w:rFonts w:asciiTheme="minorHAnsi" w:eastAsiaTheme="minorEastAsia" w:hAnsiTheme="minorHAnsi" w:cstheme="minorBidi"/>
          <w:bCs w:val="0"/>
          <w:noProof/>
          <w:sz w:val="22"/>
          <w:szCs w:val="22"/>
          <w:lang w:eastAsia="en-AU"/>
        </w:rPr>
      </w:pPr>
      <w:r>
        <w:rPr>
          <w:noProof/>
        </w:rPr>
        <w:t>Glossary</w:t>
      </w:r>
      <w:r>
        <w:rPr>
          <w:noProof/>
        </w:rPr>
        <w:tab/>
      </w:r>
      <w:r w:rsidR="00D239B4">
        <w:rPr>
          <w:noProof/>
        </w:rPr>
        <w:tab/>
      </w:r>
      <w:r>
        <w:rPr>
          <w:noProof/>
        </w:rPr>
        <w:fldChar w:fldCharType="begin"/>
      </w:r>
      <w:r>
        <w:rPr>
          <w:noProof/>
        </w:rPr>
        <w:instrText xml:space="preserve"> PAGEREF _Toc109228664 \h </w:instrText>
      </w:r>
      <w:r>
        <w:rPr>
          <w:noProof/>
        </w:rPr>
      </w:r>
      <w:r>
        <w:rPr>
          <w:noProof/>
        </w:rPr>
        <w:fldChar w:fldCharType="separate"/>
      </w:r>
      <w:r w:rsidR="00145C73">
        <w:rPr>
          <w:noProof/>
        </w:rPr>
        <w:t>iii</w:t>
      </w:r>
      <w:r>
        <w:rPr>
          <w:noProof/>
        </w:rPr>
        <w:fldChar w:fldCharType="end"/>
      </w:r>
    </w:p>
    <w:p w14:paraId="62D662B1" w14:textId="6D68D96C" w:rsidR="00413061" w:rsidRDefault="00413061">
      <w:pPr>
        <w:pStyle w:val="TOC1"/>
        <w:rPr>
          <w:rFonts w:asciiTheme="minorHAnsi" w:eastAsiaTheme="minorEastAsia" w:hAnsiTheme="minorHAnsi" w:cstheme="minorBidi"/>
          <w:bCs w:val="0"/>
          <w:noProof/>
          <w:sz w:val="22"/>
          <w:szCs w:val="22"/>
          <w:lang w:eastAsia="en-AU"/>
        </w:rPr>
      </w:pPr>
      <w:r w:rsidRPr="00E30882">
        <w:rPr>
          <w:noProof/>
          <w14:scene3d>
            <w14:camera w14:prst="orthographicFront"/>
            <w14:lightRig w14:rig="threePt" w14:dir="t">
              <w14:rot w14:lat="0" w14:lon="0" w14:rev="0"/>
            </w14:lightRig>
          </w14:scene3d>
        </w:rPr>
        <w:t>Chapter 1:</w:t>
      </w:r>
      <w:r>
        <w:rPr>
          <w:rFonts w:asciiTheme="minorHAnsi" w:eastAsiaTheme="minorEastAsia" w:hAnsiTheme="minorHAnsi" w:cstheme="minorBidi"/>
          <w:bCs w:val="0"/>
          <w:noProof/>
          <w:sz w:val="22"/>
          <w:szCs w:val="22"/>
          <w:lang w:eastAsia="en-AU"/>
        </w:rPr>
        <w:tab/>
      </w:r>
      <w:r>
        <w:rPr>
          <w:noProof/>
        </w:rPr>
        <w:t>Adjustment to tax on certain payments or credits paid to Indian Firms</w:t>
      </w:r>
      <w:r>
        <w:rPr>
          <w:noProof/>
        </w:rPr>
        <w:tab/>
      </w:r>
      <w:r>
        <w:rPr>
          <w:noProof/>
        </w:rPr>
        <w:fldChar w:fldCharType="begin"/>
      </w:r>
      <w:r>
        <w:rPr>
          <w:noProof/>
        </w:rPr>
        <w:instrText xml:space="preserve"> PAGEREF _Toc109228665 \h </w:instrText>
      </w:r>
      <w:r>
        <w:rPr>
          <w:noProof/>
        </w:rPr>
      </w:r>
      <w:r>
        <w:rPr>
          <w:noProof/>
        </w:rPr>
        <w:fldChar w:fldCharType="separate"/>
      </w:r>
      <w:r w:rsidR="00145C73">
        <w:rPr>
          <w:noProof/>
        </w:rPr>
        <w:t>5</w:t>
      </w:r>
      <w:r>
        <w:rPr>
          <w:noProof/>
        </w:rPr>
        <w:fldChar w:fldCharType="end"/>
      </w:r>
    </w:p>
    <w:p w14:paraId="0E0A3F0A" w14:textId="459B5AC3" w:rsidR="00873094" w:rsidRPr="00020288" w:rsidRDefault="00873094" w:rsidP="00BC2E4A">
      <w:pPr>
        <w:pStyle w:val="TOC1"/>
      </w:pPr>
      <w:r w:rsidRPr="00BC2E4A">
        <w:fldChar w:fldCharType="end"/>
      </w:r>
    </w:p>
    <w:p w14:paraId="4EB7D96F" w14:textId="77777777" w:rsidR="00873094" w:rsidRPr="00020288" w:rsidRDefault="00873094" w:rsidP="00873094"/>
    <w:p w14:paraId="7E1D4BC4" w14:textId="77777777" w:rsidR="00873094" w:rsidRPr="00020288" w:rsidRDefault="00873094" w:rsidP="00873094"/>
    <w:p w14:paraId="44F0933E" w14:textId="77777777" w:rsidR="00873094" w:rsidRPr="00020288" w:rsidRDefault="00873094" w:rsidP="00873094">
      <w:pPr>
        <w:sectPr w:rsidR="00873094" w:rsidRPr="00020288" w:rsidSect="00000BFC">
          <w:headerReference w:type="even" r:id="rId15"/>
          <w:headerReference w:type="default" r:id="rId16"/>
          <w:headerReference w:type="first" r:id="rId17"/>
          <w:footerReference w:type="first" r:id="rId18"/>
          <w:type w:val="oddPage"/>
          <w:pgSz w:w="9979" w:h="14175" w:code="9"/>
          <w:pgMar w:top="567" w:right="1134" w:bottom="567" w:left="1134" w:header="709" w:footer="709" w:gutter="0"/>
          <w:pgNumType w:start="1"/>
          <w:cols w:space="708"/>
          <w:titlePg/>
          <w:docGrid w:linePitch="360"/>
        </w:sectPr>
      </w:pPr>
    </w:p>
    <w:p w14:paraId="5C4D80DF" w14:textId="77777777" w:rsidR="00873094" w:rsidRPr="00020288" w:rsidRDefault="00873094" w:rsidP="00873094">
      <w:pPr>
        <w:pStyle w:val="Heading1"/>
      </w:pPr>
      <w:bookmarkStart w:id="20" w:name="_Toc82021619"/>
      <w:bookmarkStart w:id="21" w:name="_Toc82067318"/>
      <w:bookmarkStart w:id="22" w:name="_Toc82072959"/>
      <w:bookmarkStart w:id="23" w:name="_Toc82073275"/>
      <w:bookmarkStart w:id="24" w:name="_Toc82073912"/>
      <w:bookmarkStart w:id="25" w:name="_Toc82074016"/>
      <w:bookmarkStart w:id="26" w:name="_Toc109228664"/>
      <w:r w:rsidRPr="00020288">
        <w:lastRenderedPageBreak/>
        <w:t>Glossary</w:t>
      </w:r>
      <w:bookmarkStart w:id="27" w:name="_Toc485286223"/>
      <w:bookmarkStart w:id="28" w:name="_Toc78193244"/>
      <w:bookmarkStart w:id="29" w:name="_Toc78193401"/>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2455D291" w14:textId="77777777" w:rsidR="00873094" w:rsidRPr="00020288" w:rsidRDefault="00873094" w:rsidP="00873094">
      <w:pPr>
        <w:pStyle w:val="Normalparatextnonumbers"/>
      </w:pPr>
      <w:r w:rsidRPr="00020288">
        <w:t>This Explanatory Memorand</w:t>
      </w:r>
      <w:r>
        <w:t>um</w:t>
      </w:r>
      <w:r w:rsidRPr="00020288">
        <w:t xml:space="preserve"> uses the following abbreviations and acronyms.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6"/>
        <w:gridCol w:w="3874"/>
      </w:tblGrid>
      <w:tr w:rsidR="00873094" w:rsidRPr="002E7A73" w14:paraId="60DFB8F6" w14:textId="77777777" w:rsidTr="002425D9">
        <w:tc>
          <w:tcPr>
            <w:tcW w:w="3776" w:type="dxa"/>
            <w:shd w:val="clear" w:color="auto" w:fill="auto"/>
          </w:tcPr>
          <w:p w14:paraId="0B7BB934" w14:textId="77777777" w:rsidR="00873094" w:rsidRPr="002E7A73" w:rsidRDefault="00873094" w:rsidP="00B7393A">
            <w:pPr>
              <w:pStyle w:val="Tableheaderrowtext"/>
            </w:pPr>
            <w:bookmarkStart w:id="30" w:name="GlossaryTableStart"/>
            <w:bookmarkEnd w:id="30"/>
            <w:r w:rsidRPr="002E7A73">
              <w:t>Abbreviation</w:t>
            </w:r>
          </w:p>
        </w:tc>
        <w:tc>
          <w:tcPr>
            <w:tcW w:w="3874" w:type="dxa"/>
            <w:shd w:val="clear" w:color="auto" w:fill="auto"/>
          </w:tcPr>
          <w:p w14:paraId="247CC008" w14:textId="77777777" w:rsidR="00873094" w:rsidRPr="002E7A73" w:rsidRDefault="00873094" w:rsidP="00B7393A">
            <w:pPr>
              <w:pStyle w:val="Tableheaderrowtext"/>
            </w:pPr>
            <w:r w:rsidRPr="002E7A73">
              <w:t>Definition</w:t>
            </w:r>
          </w:p>
        </w:tc>
      </w:tr>
      <w:tr w:rsidR="00873094" w:rsidRPr="00020288" w14:paraId="613BBDCD" w14:textId="77777777" w:rsidTr="002425D9">
        <w:tc>
          <w:tcPr>
            <w:tcW w:w="3776" w:type="dxa"/>
          </w:tcPr>
          <w:p w14:paraId="01C7AF34" w14:textId="7FA1AE4C" w:rsidR="00873094" w:rsidRPr="00020288" w:rsidRDefault="007E76DD" w:rsidP="002425D9">
            <w:pPr>
              <w:pStyle w:val="Normalparatextnonumbers"/>
            </w:pPr>
            <w:r>
              <w:t>ITAA 1936</w:t>
            </w:r>
          </w:p>
        </w:tc>
        <w:tc>
          <w:tcPr>
            <w:tcW w:w="3874" w:type="dxa"/>
          </w:tcPr>
          <w:p w14:paraId="64991EB4" w14:textId="064A6EAE" w:rsidR="00873094" w:rsidRPr="007E76DD" w:rsidRDefault="007E76DD" w:rsidP="002425D9">
            <w:pPr>
              <w:pStyle w:val="Normalparatextnonumbers"/>
              <w:rPr>
                <w:i/>
                <w:iCs/>
              </w:rPr>
            </w:pPr>
            <w:r>
              <w:rPr>
                <w:i/>
                <w:iCs/>
              </w:rPr>
              <w:t>Income Tax Assessment Act 1936</w:t>
            </w:r>
          </w:p>
        </w:tc>
      </w:tr>
      <w:tr w:rsidR="00873094" w:rsidRPr="00020288" w14:paraId="5C4F0A8E" w14:textId="77777777" w:rsidTr="002425D9">
        <w:tc>
          <w:tcPr>
            <w:tcW w:w="3776" w:type="dxa"/>
          </w:tcPr>
          <w:p w14:paraId="4BED4D38" w14:textId="12134D8E" w:rsidR="00873094" w:rsidRPr="00020288" w:rsidRDefault="007E76DD" w:rsidP="002425D9">
            <w:pPr>
              <w:pStyle w:val="Normalparatextnonumbers"/>
            </w:pPr>
            <w:r>
              <w:t>ITAA 1997</w:t>
            </w:r>
          </w:p>
        </w:tc>
        <w:tc>
          <w:tcPr>
            <w:tcW w:w="3874" w:type="dxa"/>
          </w:tcPr>
          <w:p w14:paraId="69B83ED3" w14:textId="08D66C85" w:rsidR="00873094" w:rsidRPr="007E76DD" w:rsidRDefault="007E76DD" w:rsidP="002425D9">
            <w:pPr>
              <w:pStyle w:val="Normalparatextnonumbers"/>
              <w:rPr>
                <w:i/>
                <w:iCs/>
              </w:rPr>
            </w:pPr>
            <w:r w:rsidRPr="007E76DD">
              <w:rPr>
                <w:i/>
                <w:iCs/>
              </w:rPr>
              <w:t>Income Tax Assessment Act 1997</w:t>
            </w:r>
          </w:p>
        </w:tc>
      </w:tr>
      <w:tr w:rsidR="00E72FC6" w:rsidRPr="00020288" w14:paraId="176314B6" w14:textId="77777777" w:rsidTr="002425D9">
        <w:tc>
          <w:tcPr>
            <w:tcW w:w="3776" w:type="dxa"/>
          </w:tcPr>
          <w:p w14:paraId="5F54C49F" w14:textId="4B3D3E4F" w:rsidR="00E72FC6" w:rsidRPr="00020288" w:rsidRDefault="004E00D3" w:rsidP="00E72FC6">
            <w:pPr>
              <w:pStyle w:val="Normalparatextnonumbers"/>
            </w:pPr>
            <w:r>
              <w:t>Agreements Act</w:t>
            </w:r>
          </w:p>
        </w:tc>
        <w:tc>
          <w:tcPr>
            <w:tcW w:w="3874" w:type="dxa"/>
          </w:tcPr>
          <w:p w14:paraId="5207FC33" w14:textId="2CBB2959" w:rsidR="00E72FC6" w:rsidRPr="00020288" w:rsidRDefault="00E72FC6" w:rsidP="00E72FC6">
            <w:pPr>
              <w:pStyle w:val="Normalparatextnonumbers"/>
            </w:pPr>
            <w:r>
              <w:rPr>
                <w:i/>
                <w:iCs/>
              </w:rPr>
              <w:t>International Tax Agreements Act 1953</w:t>
            </w:r>
          </w:p>
        </w:tc>
      </w:tr>
      <w:tr w:rsidR="00E72FC6" w:rsidRPr="00020288" w14:paraId="10F100BE" w14:textId="77777777" w:rsidTr="002425D9">
        <w:tc>
          <w:tcPr>
            <w:tcW w:w="3776" w:type="dxa"/>
          </w:tcPr>
          <w:p w14:paraId="6ECFB05C" w14:textId="538E8892" w:rsidR="00E72FC6" w:rsidRPr="00020288" w:rsidRDefault="002577F5" w:rsidP="00E72FC6">
            <w:pPr>
              <w:pStyle w:val="Normalparatextnonumbers"/>
            </w:pPr>
            <w:r>
              <w:t>Indian Agreement</w:t>
            </w:r>
          </w:p>
        </w:tc>
        <w:tc>
          <w:tcPr>
            <w:tcW w:w="3874" w:type="dxa"/>
          </w:tcPr>
          <w:p w14:paraId="30ADA71E" w14:textId="43A12816" w:rsidR="00E72FC6" w:rsidRPr="00020288" w:rsidRDefault="002577F5" w:rsidP="00E72FC6">
            <w:pPr>
              <w:pStyle w:val="Normalparatextnonumbers"/>
            </w:pPr>
            <w:r>
              <w:rPr>
                <w:i/>
                <w:iCs/>
              </w:rPr>
              <w:t>Agreement between the Government of Australia and the Government of the Republic of India for the Avoidance of Double Taxation and the Prevention of Fiscal Evasion with respect to Taxes on Income</w:t>
            </w:r>
            <w:r w:rsidR="00D850B9">
              <w:t xml:space="preserve"> (</w:t>
            </w:r>
            <w:r w:rsidR="00F511F0">
              <w:t>signed</w:t>
            </w:r>
            <w:r w:rsidR="00D850B9">
              <w:t xml:space="preserve"> at Canberra, 25 July 1991)</w:t>
            </w:r>
            <w:r>
              <w:t xml:space="preserve"> </w:t>
            </w:r>
            <w:r w:rsidR="00D850B9">
              <w:t>[1991] ATS 49 (</w:t>
            </w:r>
            <w:r>
              <w:t>entered into force on 30 December 1991</w:t>
            </w:r>
            <w:r w:rsidR="00D850B9">
              <w:t>)</w:t>
            </w:r>
            <w:r w:rsidR="006342F8">
              <w:t xml:space="preserve">, </w:t>
            </w:r>
            <w:r w:rsidR="006342F8" w:rsidRPr="004D5F13">
              <w:t>as amended by the Indian protocol (No. 1)</w:t>
            </w:r>
          </w:p>
        </w:tc>
      </w:tr>
    </w:tbl>
    <w:p w14:paraId="7297C03C" w14:textId="77777777" w:rsidR="00873094" w:rsidRPr="00020288" w:rsidRDefault="00873094" w:rsidP="00873094"/>
    <w:p w14:paraId="4710AF59" w14:textId="77777777" w:rsidR="00873094" w:rsidRPr="00020288" w:rsidRDefault="00873094" w:rsidP="00873094"/>
    <w:p w14:paraId="6623B887" w14:textId="77777777" w:rsidR="00873094" w:rsidRPr="00020288" w:rsidRDefault="00873094" w:rsidP="00873094">
      <w:pPr>
        <w:pStyle w:val="Heading1"/>
        <w:sectPr w:rsidR="00873094" w:rsidRPr="00020288" w:rsidSect="00000BFC">
          <w:headerReference w:type="even" r:id="rId19"/>
          <w:headerReference w:type="default" r:id="rId20"/>
          <w:headerReference w:type="first" r:id="rId21"/>
          <w:footerReference w:type="first" r:id="rId22"/>
          <w:type w:val="oddPage"/>
          <w:pgSz w:w="9979" w:h="14175" w:code="9"/>
          <w:pgMar w:top="567" w:right="1134" w:bottom="567" w:left="1134" w:header="709" w:footer="709" w:gutter="0"/>
          <w:pgNumType w:fmt="lowerRoman"/>
          <w:cols w:space="708"/>
          <w:docGrid w:linePitch="360"/>
        </w:sectPr>
      </w:pPr>
      <w:bookmarkStart w:id="31" w:name="_Toc78548464"/>
      <w:bookmarkStart w:id="32" w:name="_Toc78549735"/>
      <w:bookmarkStart w:id="33" w:name="_Toc78549780"/>
      <w:bookmarkStart w:id="34" w:name="_Toc80097484"/>
      <w:bookmarkStart w:id="35" w:name="_Toc80097778"/>
      <w:bookmarkStart w:id="36" w:name="_Toc80115277"/>
      <w:bookmarkStart w:id="37" w:name="_Toc80172452"/>
      <w:bookmarkStart w:id="38" w:name="_Toc80197116"/>
      <w:bookmarkStart w:id="39" w:name="_Toc81852683"/>
      <w:bookmarkStart w:id="40" w:name="_Toc81852728"/>
    </w:p>
    <w:p w14:paraId="3EB4BA28" w14:textId="6095E0BC" w:rsidR="00873094" w:rsidRPr="00020288" w:rsidRDefault="00926318" w:rsidP="00873094">
      <w:pPr>
        <w:pStyle w:val="Chapterheading"/>
      </w:pPr>
      <w:bookmarkStart w:id="41" w:name="GeneralOutline"/>
      <w:bookmarkStart w:id="42" w:name="_Toc109228665"/>
      <w:bookmarkEnd w:id="41"/>
      <w:bookmarkEnd w:id="27"/>
      <w:bookmarkEnd w:id="28"/>
      <w:bookmarkEnd w:id="29"/>
      <w:bookmarkEnd w:id="31"/>
      <w:bookmarkEnd w:id="32"/>
      <w:bookmarkEnd w:id="33"/>
      <w:bookmarkEnd w:id="34"/>
      <w:bookmarkEnd w:id="35"/>
      <w:bookmarkEnd w:id="36"/>
      <w:bookmarkEnd w:id="37"/>
      <w:bookmarkEnd w:id="38"/>
      <w:bookmarkEnd w:id="39"/>
      <w:bookmarkEnd w:id="40"/>
      <w:r>
        <w:lastRenderedPageBreak/>
        <w:t xml:space="preserve">Adjustment to tax on certain </w:t>
      </w:r>
      <w:r w:rsidR="002858B8">
        <w:t>payments or credits</w:t>
      </w:r>
      <w:r>
        <w:t xml:space="preserve"> paid to Indian Firms</w:t>
      </w:r>
      <w:bookmarkEnd w:id="42"/>
    </w:p>
    <w:p w14:paraId="60DB5F5B" w14:textId="77777777" w:rsidR="00873094" w:rsidRPr="00020288" w:rsidRDefault="00873094" w:rsidP="005D0844">
      <w:pPr>
        <w:pStyle w:val="Heading2"/>
      </w:pPr>
      <w:r w:rsidRPr="00020288">
        <w:t xml:space="preserve">Outline </w:t>
      </w:r>
      <w:r w:rsidRPr="005D0844">
        <w:t>of</w:t>
      </w:r>
      <w:r w:rsidRPr="00020288">
        <w:t xml:space="preserve"> chapter</w:t>
      </w:r>
    </w:p>
    <w:p w14:paraId="5AE6164D" w14:textId="0285E5FF" w:rsidR="00873094" w:rsidRDefault="00CD0ABE" w:rsidP="00F632AF">
      <w:pPr>
        <w:pStyle w:val="Normalparatextwithnumbers"/>
      </w:pPr>
      <w:r>
        <w:t xml:space="preserve">Schedule # amends the </w:t>
      </w:r>
      <w:r w:rsidRPr="00A7377C">
        <w:t>Agreements Act</w:t>
      </w:r>
      <w:r>
        <w:t xml:space="preserve"> </w:t>
      </w:r>
      <w:r w:rsidR="001C066E" w:rsidRPr="00510FC4">
        <w:t xml:space="preserve">to </w:t>
      </w:r>
      <w:r w:rsidR="001C066E">
        <w:t>stop Australian taxation</w:t>
      </w:r>
      <w:r w:rsidR="001C066E" w:rsidRPr="00510FC4" w:rsidDel="00592CAC">
        <w:t xml:space="preserve"> </w:t>
      </w:r>
      <w:r w:rsidR="001C066E">
        <w:t>on</w:t>
      </w:r>
      <w:r w:rsidR="001C066E" w:rsidRPr="00510FC4">
        <w:t xml:space="preserve"> income </w:t>
      </w:r>
      <w:r w:rsidR="001C066E">
        <w:t>of non-resident Indian firms providing technical services</w:t>
      </w:r>
      <w:r w:rsidR="00614F59">
        <w:t xml:space="preserve"> remotely</w:t>
      </w:r>
      <w:r w:rsidR="00310E66">
        <w:t xml:space="preserve"> (not through a permanent establishment)</w:t>
      </w:r>
      <w:r w:rsidR="001C066E">
        <w:t xml:space="preserve"> to Australian </w:t>
      </w:r>
      <w:r w:rsidR="005F3CE4">
        <w:t xml:space="preserve">customers </w:t>
      </w:r>
      <w:r w:rsidR="002577F5">
        <w:t xml:space="preserve">that </w:t>
      </w:r>
      <w:r w:rsidR="007A357D">
        <w:t>are covered by</w:t>
      </w:r>
      <w:r w:rsidR="001C066E">
        <w:t xml:space="preserve"> A</w:t>
      </w:r>
      <w:r w:rsidR="001C066E" w:rsidRPr="00510FC4">
        <w:t xml:space="preserve">rticle 12(3)(g) of the </w:t>
      </w:r>
      <w:r w:rsidR="001C066E" w:rsidRPr="00387DEA">
        <w:t>Indian Agreement</w:t>
      </w:r>
      <w:r w:rsidR="001C066E">
        <w:t>,</w:t>
      </w:r>
      <w:r w:rsidR="008330E5">
        <w:t xml:space="preserve"> that is a not a royalty within the meaning of the ITAA 1936</w:t>
      </w:r>
      <w:r w:rsidR="00EC7488">
        <w:t>,</w:t>
      </w:r>
      <w:r w:rsidR="001C066E">
        <w:t xml:space="preserve"> and</w:t>
      </w:r>
      <w:r w:rsidR="007A357D">
        <w:t xml:space="preserve"> that</w:t>
      </w:r>
      <w:r w:rsidR="001C066E">
        <w:t xml:space="preserve"> is only taxable in Australia because of the operation of </w:t>
      </w:r>
      <w:r w:rsidR="0020130E">
        <w:t>Article 12(3)(g) and Article 23 of the</w:t>
      </w:r>
      <w:r w:rsidR="001C066E">
        <w:t xml:space="preserve"> Indian Agreement, as given effect by the Agreements Act</w:t>
      </w:r>
      <w:r w:rsidR="001C066E" w:rsidRPr="00CF554E">
        <w:t>.</w:t>
      </w:r>
      <w:r w:rsidR="001C066E">
        <w:t xml:space="preserve"> </w:t>
      </w:r>
    </w:p>
    <w:p w14:paraId="5A08D461" w14:textId="6982FCA1" w:rsidR="00BE6AB3" w:rsidRPr="000E521B" w:rsidRDefault="009C2953" w:rsidP="000E521B">
      <w:pPr>
        <w:pStyle w:val="Normalparatextwithnumbers"/>
      </w:pPr>
      <w:r>
        <w:t>Unless otherwise stated, a</w:t>
      </w:r>
      <w:r w:rsidR="00BE6AB3">
        <w:t xml:space="preserve">ll treaty references in this chapter are to the </w:t>
      </w:r>
      <w:r w:rsidR="00063914">
        <w:t>Indian Agreement</w:t>
      </w:r>
      <w:r w:rsidR="00214D87">
        <w:t xml:space="preserve">. Any </w:t>
      </w:r>
      <w:r w:rsidR="00BD2A7F">
        <w:t xml:space="preserve">references to providing technical services remotely means services not provided through a permanent establishment. </w:t>
      </w:r>
      <w:r w:rsidR="00EC7488">
        <w:t xml:space="preserve">In addition, all references to payments or credits in this chapter are to payments and credits that are not royalties within the meaning of the ITAA 1936. </w:t>
      </w:r>
    </w:p>
    <w:p w14:paraId="3D151D48" w14:textId="77777777" w:rsidR="00873094" w:rsidRPr="00020288" w:rsidRDefault="00873094" w:rsidP="005D0844">
      <w:pPr>
        <w:pStyle w:val="Heading2"/>
      </w:pPr>
      <w:r w:rsidRPr="00020288">
        <w:t xml:space="preserve">Context of </w:t>
      </w:r>
      <w:r w:rsidRPr="005D0844">
        <w:t>amendments</w:t>
      </w:r>
    </w:p>
    <w:p w14:paraId="7A939AC3" w14:textId="749DE44C" w:rsidR="00C25E39" w:rsidRDefault="005077B3" w:rsidP="00FF22E4">
      <w:pPr>
        <w:pStyle w:val="Normalparatextwithnumbers"/>
        <w:numPr>
          <w:ilvl w:val="1"/>
          <w:numId w:val="3"/>
        </w:numPr>
      </w:pPr>
      <w:r>
        <w:t xml:space="preserve">Currently, Australia is taxing </w:t>
      </w:r>
      <w:r w:rsidR="00376B05">
        <w:t xml:space="preserve">payments or credits </w:t>
      </w:r>
      <w:r w:rsidR="00FF22E4" w:rsidRPr="00703F5F">
        <w:t xml:space="preserve">paid to non-resident Indian firms by Australian </w:t>
      </w:r>
      <w:r w:rsidR="001C5A35">
        <w:t>customers</w:t>
      </w:r>
      <w:r w:rsidR="001C5A35" w:rsidRPr="00703F5F">
        <w:t xml:space="preserve"> </w:t>
      </w:r>
      <w:r w:rsidR="00FF22E4" w:rsidRPr="00703F5F">
        <w:t>for technical services covered by Article 12(3)(g) that are provided remotely</w:t>
      </w:r>
      <w:r w:rsidR="00FF22E4">
        <w:t xml:space="preserve">. </w:t>
      </w:r>
      <w:r w:rsidR="00C25E39">
        <w:t xml:space="preserve">Australia taxes these </w:t>
      </w:r>
      <w:r w:rsidR="00376B05">
        <w:t xml:space="preserve">payments or credits </w:t>
      </w:r>
      <w:r w:rsidR="00C25E39">
        <w:t xml:space="preserve">of non-resident Indian firms </w:t>
      </w:r>
      <w:r w:rsidR="002F6B2B">
        <w:t xml:space="preserve">due to </w:t>
      </w:r>
      <w:r w:rsidR="005E7B74">
        <w:t xml:space="preserve">operation of both the royalty definition and the Source Article </w:t>
      </w:r>
      <w:r w:rsidR="00E36296">
        <w:t xml:space="preserve">(Article 23) </w:t>
      </w:r>
      <w:r w:rsidR="005E7B74">
        <w:t xml:space="preserve">under </w:t>
      </w:r>
      <w:r w:rsidR="00C25E39">
        <w:t>the Indian Agreement</w:t>
      </w:r>
      <w:r w:rsidR="005E7B74">
        <w:t>,</w:t>
      </w:r>
      <w:r w:rsidR="00C25E39">
        <w:t xml:space="preserve"> </w:t>
      </w:r>
      <w:r w:rsidR="002F6B2B">
        <w:t xml:space="preserve">which </w:t>
      </w:r>
      <w:r w:rsidR="00C25E39">
        <w:t>were included when it was first agreed in 1991.</w:t>
      </w:r>
    </w:p>
    <w:p w14:paraId="7DF26E7D" w14:textId="07408A98" w:rsidR="00873094" w:rsidRPr="00020288" w:rsidRDefault="00622B46" w:rsidP="00F971AF">
      <w:pPr>
        <w:pStyle w:val="Normalparatextwithnumbers"/>
        <w:numPr>
          <w:ilvl w:val="1"/>
          <w:numId w:val="3"/>
        </w:numPr>
      </w:pPr>
      <w:r>
        <w:t>Following extensive negotiations in 2021 and 2022</w:t>
      </w:r>
      <w:r w:rsidR="00043E2B">
        <w:t>,</w:t>
      </w:r>
      <w:r w:rsidR="004919C0">
        <w:t xml:space="preserve"> as part of the AI</w:t>
      </w:r>
      <w:r w:rsidR="00FF22E4">
        <w:noBreakHyphen/>
      </w:r>
      <w:r w:rsidR="004919C0">
        <w:t>ECTA</w:t>
      </w:r>
      <w:r w:rsidR="00CA6627">
        <w:t xml:space="preserve">, the Australian Government agreed to stop the taxation of </w:t>
      </w:r>
      <w:r w:rsidR="00376B05">
        <w:t xml:space="preserve">payments or credits </w:t>
      </w:r>
      <w:r w:rsidR="00AB5AB0" w:rsidRPr="00703F5F">
        <w:t xml:space="preserve">paid to non-resident Indian firms by Australian </w:t>
      </w:r>
      <w:r w:rsidR="005F3CE4">
        <w:t>customers</w:t>
      </w:r>
      <w:r w:rsidR="005F3CE4" w:rsidRPr="00703F5F">
        <w:t xml:space="preserve"> </w:t>
      </w:r>
      <w:r w:rsidR="00AB5AB0" w:rsidRPr="00703F5F">
        <w:t>for technical services covered by Article 12(3)(g) that are provided remotely</w:t>
      </w:r>
      <w:r w:rsidR="00AB5AB0">
        <w:t xml:space="preserve">. </w:t>
      </w:r>
      <w:r w:rsidR="00CA6627">
        <w:t>This commitment was reflected through an exchange of side letters</w:t>
      </w:r>
      <w:r w:rsidR="004919C0">
        <w:t xml:space="preserve"> on 2 April 2022</w:t>
      </w:r>
      <w:r w:rsidR="00CA6627">
        <w:t xml:space="preserve"> between the </w:t>
      </w:r>
      <w:r w:rsidR="008904E4">
        <w:t xml:space="preserve">then </w:t>
      </w:r>
      <w:r w:rsidR="00CA6627">
        <w:t>Minister for Trade, Tourism and Investment and their Indian counterpart.</w:t>
      </w:r>
      <w:r w:rsidR="004919C0">
        <w:t xml:space="preserve"> </w:t>
      </w:r>
      <w:r w:rsidRPr="003D0F77">
        <w:t xml:space="preserve">The Australian Government agreed to implement this legislative change in a similar time frame to the implementation of the </w:t>
      </w:r>
      <w:r w:rsidR="00660486">
        <w:t>AI</w:t>
      </w:r>
      <w:r w:rsidR="00AB5AB0">
        <w:noBreakHyphen/>
      </w:r>
      <w:r w:rsidR="00660486">
        <w:t>ECTA</w:t>
      </w:r>
      <w:r w:rsidR="00043E2B">
        <w:t>, an interim agreement</w:t>
      </w:r>
      <w:r w:rsidRPr="003D0F77">
        <w:t>.</w:t>
      </w:r>
    </w:p>
    <w:p w14:paraId="565569C6" w14:textId="77777777" w:rsidR="00873094" w:rsidRPr="00020288" w:rsidRDefault="00873094" w:rsidP="00AF50CE">
      <w:pPr>
        <w:pStyle w:val="Heading2"/>
      </w:pPr>
      <w:r w:rsidRPr="00AF50CE">
        <w:lastRenderedPageBreak/>
        <w:t>Comparison</w:t>
      </w:r>
      <w:r w:rsidRPr="00020288">
        <w:t xml:space="preserve"> of key features of new law and current law</w:t>
      </w:r>
    </w:p>
    <w:p w14:paraId="48E6BF0A" w14:textId="77777777" w:rsidR="00873094" w:rsidRPr="002D3B91" w:rsidRDefault="00873094" w:rsidP="00873094">
      <w:pPr>
        <w:pStyle w:val="TableHeading"/>
        <w:numPr>
          <w:ilvl w:val="4"/>
          <w:numId w:val="3"/>
        </w:numPr>
      </w:pPr>
      <w:r w:rsidRPr="002D3B91">
        <w:t>Comparison of new law and current law</w:t>
      </w:r>
    </w:p>
    <w:tbl>
      <w:tblPr>
        <w:tblStyle w:val="Treasurytable"/>
        <w:tblW w:w="0" w:type="auto"/>
        <w:tblLook w:val="01E0" w:firstRow="1" w:lastRow="1" w:firstColumn="1" w:lastColumn="1" w:noHBand="0" w:noVBand="0"/>
      </w:tblPr>
      <w:tblGrid>
        <w:gridCol w:w="3776"/>
        <w:gridCol w:w="3874"/>
      </w:tblGrid>
      <w:tr w:rsidR="00873094" w:rsidRPr="00020288" w14:paraId="6C984DAF" w14:textId="77777777" w:rsidTr="002425D9">
        <w:trPr>
          <w:cnfStyle w:val="100000000000" w:firstRow="1" w:lastRow="0" w:firstColumn="0" w:lastColumn="0" w:oddVBand="0" w:evenVBand="0" w:oddHBand="0" w:evenHBand="0" w:firstRowFirstColumn="0" w:firstRowLastColumn="0" w:lastRowFirstColumn="0" w:lastRowLastColumn="0"/>
          <w:cantSplit w:val="0"/>
        </w:trPr>
        <w:tc>
          <w:tcPr>
            <w:tcW w:w="3776" w:type="dxa"/>
          </w:tcPr>
          <w:p w14:paraId="573BD07A" w14:textId="77777777" w:rsidR="00873094" w:rsidRPr="00A61FE9" w:rsidRDefault="00873094" w:rsidP="00873094">
            <w:pPr>
              <w:pStyle w:val="Tableheaderrowtext"/>
              <w:numPr>
                <w:ilvl w:val="3"/>
                <w:numId w:val="2"/>
              </w:numPr>
              <w:ind w:left="1701" w:hanging="1701"/>
            </w:pPr>
            <w:r w:rsidRPr="00A61FE9">
              <w:t>New law</w:t>
            </w:r>
          </w:p>
        </w:tc>
        <w:tc>
          <w:tcPr>
            <w:tcW w:w="3874" w:type="dxa"/>
          </w:tcPr>
          <w:p w14:paraId="2CB9BD1A" w14:textId="77777777" w:rsidR="00873094" w:rsidRPr="00A61FE9" w:rsidRDefault="00873094" w:rsidP="00873094">
            <w:pPr>
              <w:pStyle w:val="Tableheaderrowtext"/>
              <w:numPr>
                <w:ilvl w:val="3"/>
                <w:numId w:val="2"/>
              </w:numPr>
              <w:ind w:left="1701" w:hanging="1701"/>
            </w:pPr>
            <w:r w:rsidRPr="00A61FE9">
              <w:t>Current law</w:t>
            </w:r>
          </w:p>
        </w:tc>
      </w:tr>
      <w:tr w:rsidR="00AC18A1" w:rsidRPr="00020288" w14:paraId="53FAF4EA" w14:textId="77777777" w:rsidTr="002425D9">
        <w:tc>
          <w:tcPr>
            <w:tcW w:w="3776" w:type="dxa"/>
          </w:tcPr>
          <w:p w14:paraId="29E9181B" w14:textId="58ACE8D2" w:rsidR="00AC18A1" w:rsidRPr="00020288" w:rsidRDefault="00376B05" w:rsidP="00AC18A1">
            <w:pPr>
              <w:pStyle w:val="Tabletext"/>
            </w:pPr>
            <w:r>
              <w:t xml:space="preserve">Payments or credits </w:t>
            </w:r>
            <w:r w:rsidR="00AC18A1">
              <w:t xml:space="preserve">paid to non-resident Indian firms by Australian </w:t>
            </w:r>
            <w:r w:rsidR="005F3CE4">
              <w:t xml:space="preserve">customers </w:t>
            </w:r>
            <w:r w:rsidR="00AC18A1">
              <w:t>for technical services</w:t>
            </w:r>
            <w:r w:rsidR="008E71D1">
              <w:t xml:space="preserve"> provided remotely that are</w:t>
            </w:r>
            <w:r w:rsidR="00AC18A1">
              <w:t xml:space="preserve"> covered by Article 12(3)(g) of the Indian Agreement</w:t>
            </w:r>
            <w:r w:rsidR="002C40F8">
              <w:t>,</w:t>
            </w:r>
            <w:r w:rsidR="00AC18A1">
              <w:t xml:space="preserve"> are not subject to tax in Australia </w:t>
            </w:r>
          </w:p>
        </w:tc>
        <w:tc>
          <w:tcPr>
            <w:tcW w:w="3874" w:type="dxa"/>
          </w:tcPr>
          <w:p w14:paraId="6E4E7C14" w14:textId="3B36649D" w:rsidR="00AC18A1" w:rsidRPr="00020288" w:rsidRDefault="00376B05" w:rsidP="00AC18A1">
            <w:pPr>
              <w:pStyle w:val="Tabletext"/>
            </w:pPr>
            <w:r>
              <w:t xml:space="preserve">Payments or credits </w:t>
            </w:r>
            <w:r w:rsidR="00AC18A1">
              <w:t xml:space="preserve">paid to non-resident Indian firms by Australian </w:t>
            </w:r>
            <w:r w:rsidR="005F3CE4">
              <w:t xml:space="preserve">customers </w:t>
            </w:r>
            <w:r w:rsidR="00AC18A1">
              <w:t xml:space="preserve">for technical services </w:t>
            </w:r>
            <w:r w:rsidR="008E71D1">
              <w:t xml:space="preserve">provided remotely that are </w:t>
            </w:r>
            <w:r w:rsidR="00AC18A1">
              <w:t>covered by Article 12(3)(g) of the Indian Agreement</w:t>
            </w:r>
            <w:r w:rsidR="002C40F8">
              <w:t>,</w:t>
            </w:r>
            <w:r w:rsidR="00AC18A1">
              <w:t xml:space="preserve"> are subject to tax in Australia </w:t>
            </w:r>
          </w:p>
        </w:tc>
      </w:tr>
    </w:tbl>
    <w:p w14:paraId="31AA2A31" w14:textId="77777777" w:rsidR="00873094" w:rsidRPr="00020288" w:rsidRDefault="00873094" w:rsidP="00873094">
      <w:pPr>
        <w:pStyle w:val="Heading2"/>
        <w:numPr>
          <w:ilvl w:val="1"/>
          <w:numId w:val="2"/>
        </w:numPr>
        <w:tabs>
          <w:tab w:val="num" w:pos="567"/>
        </w:tabs>
        <w:ind w:left="567" w:hanging="567"/>
      </w:pPr>
      <w:r w:rsidRPr="00020288">
        <w:t>Detailed explanation of new law</w:t>
      </w:r>
    </w:p>
    <w:p w14:paraId="430C06AC" w14:textId="52A43FDE" w:rsidR="00BE41F6" w:rsidRDefault="00D22475" w:rsidP="00507C3D">
      <w:pPr>
        <w:pStyle w:val="Normalparatextwithnumbers"/>
      </w:pPr>
      <w:r>
        <w:t xml:space="preserve">Currently, </w:t>
      </w:r>
      <w:r w:rsidR="00376B05">
        <w:t>payments or credits</w:t>
      </w:r>
      <w:r w:rsidR="000F7C48">
        <w:t xml:space="preserve"> </w:t>
      </w:r>
      <w:r w:rsidR="008170E6">
        <w:t xml:space="preserve">paid to non-resident Indian firms </w:t>
      </w:r>
      <w:r w:rsidR="00F36475">
        <w:t xml:space="preserve">by Australian </w:t>
      </w:r>
      <w:r w:rsidR="005F3CE4">
        <w:t xml:space="preserve">customers </w:t>
      </w:r>
      <w:r w:rsidR="008170E6">
        <w:t xml:space="preserve">for technical services </w:t>
      </w:r>
      <w:r w:rsidR="00F36475">
        <w:t xml:space="preserve">provided </w:t>
      </w:r>
      <w:r w:rsidR="00F36475" w:rsidRPr="00A90DA1">
        <w:t xml:space="preserve">remotely </w:t>
      </w:r>
      <w:r w:rsidR="00531FA1">
        <w:t xml:space="preserve">are taxable in Australia through the interaction between the ITAA 1936, </w:t>
      </w:r>
      <w:r w:rsidR="00043E2B">
        <w:t xml:space="preserve">the </w:t>
      </w:r>
      <w:r w:rsidR="00531FA1">
        <w:t>ITAA 1997, the Agreements Act and the Indian Agreement. Specifically, these</w:t>
      </w:r>
      <w:r w:rsidR="008170E6">
        <w:t xml:space="preserve"> </w:t>
      </w:r>
      <w:r w:rsidR="00376B05">
        <w:t xml:space="preserve">payments or credits </w:t>
      </w:r>
      <w:r w:rsidR="00BE41F6">
        <w:t xml:space="preserve">are </w:t>
      </w:r>
      <w:r w:rsidR="0036446A">
        <w:t>taxable</w:t>
      </w:r>
      <w:r w:rsidR="00BE41F6">
        <w:t xml:space="preserve"> because: </w:t>
      </w:r>
    </w:p>
    <w:p w14:paraId="3F68BC1E" w14:textId="37D3EAF3" w:rsidR="00BE41F6" w:rsidRDefault="00BE41F6" w:rsidP="00BE41F6">
      <w:pPr>
        <w:pStyle w:val="Dotpoint1"/>
      </w:pPr>
      <w:r>
        <w:t xml:space="preserve">they are </w:t>
      </w:r>
      <w:r w:rsidR="00B772A8">
        <w:t>covered by</w:t>
      </w:r>
      <w:r>
        <w:t xml:space="preserve"> Article 12(3)(g); and </w:t>
      </w:r>
    </w:p>
    <w:p w14:paraId="7B0E8AE6" w14:textId="091A0226" w:rsidR="00454A9C" w:rsidRDefault="00454A9C" w:rsidP="00BE41F6">
      <w:pPr>
        <w:pStyle w:val="Dotpoint1"/>
      </w:pPr>
      <w:r>
        <w:t xml:space="preserve">they are </w:t>
      </w:r>
      <w:r w:rsidR="00BE41F6">
        <w:t>considered to be sourced in Australia</w:t>
      </w:r>
      <w:r w:rsidR="00DB0E04">
        <w:t xml:space="preserve"> </w:t>
      </w:r>
      <w:r w:rsidR="003B078C" w:rsidRPr="003B078C">
        <w:t>because of the operation of Articles 12 and 23, as given effect by sections 4 and 5 of the Agreements Acts</w:t>
      </w:r>
      <w:r w:rsidR="00732B58">
        <w:t>;</w:t>
      </w:r>
      <w:r w:rsidR="003B078C" w:rsidRPr="003B078C">
        <w:t xml:space="preserve"> and </w:t>
      </w:r>
    </w:p>
    <w:p w14:paraId="30059740" w14:textId="35E07958" w:rsidR="00BE41F6" w:rsidRDefault="003B078C" w:rsidP="00BE41F6">
      <w:pPr>
        <w:pStyle w:val="Dotpoint1"/>
      </w:pPr>
      <w:r w:rsidRPr="003B078C">
        <w:t>paragraph 6-5(3)(a) of the ITAA 1997</w:t>
      </w:r>
      <w:r w:rsidR="00454A9C">
        <w:t xml:space="preserve"> includes the amounts in assessable income</w:t>
      </w:r>
      <w:r w:rsidR="00DB0E04">
        <w:t>.</w:t>
      </w:r>
    </w:p>
    <w:p w14:paraId="42E2DDD5" w14:textId="52BBFDA4" w:rsidR="0036446A" w:rsidRDefault="00F36475" w:rsidP="00902483">
      <w:pPr>
        <w:pStyle w:val="Normalparatextwithnumbers"/>
      </w:pPr>
      <w:r>
        <w:t xml:space="preserve">These </w:t>
      </w:r>
      <w:r w:rsidR="00376B05">
        <w:t xml:space="preserve">payments or credits </w:t>
      </w:r>
      <w:r>
        <w:t xml:space="preserve">are </w:t>
      </w:r>
      <w:r w:rsidR="00BE41F6" w:rsidRPr="002A2857">
        <w:t xml:space="preserve">taken to have an Australian source by reason of the Source Article (Article 23) </w:t>
      </w:r>
      <w:r w:rsidR="00C807FF">
        <w:t>which deems an Australian source for royalties in Article</w:t>
      </w:r>
      <w:r w:rsidR="00910C08">
        <w:t xml:space="preserve"> </w:t>
      </w:r>
      <w:r w:rsidR="00C807FF">
        <w:t xml:space="preserve">12(3)(g) </w:t>
      </w:r>
      <w:r w:rsidR="00C807FF" w:rsidRPr="002A2857">
        <w:t xml:space="preserve">for the purposes of </w:t>
      </w:r>
      <w:r w:rsidR="00C807FF">
        <w:t xml:space="preserve">Australian law relating to its tax </w:t>
      </w:r>
      <w:r w:rsidR="00BE41F6" w:rsidRPr="002A2857">
        <w:t>and the Agreements Act</w:t>
      </w:r>
      <w:r w:rsidR="00B65EE1">
        <w:t xml:space="preserve">, which gives effect to the provisions </w:t>
      </w:r>
      <w:r w:rsidR="007924DB">
        <w:t xml:space="preserve">of </w:t>
      </w:r>
      <w:r w:rsidR="00B65EE1">
        <w:t xml:space="preserve">the Indian Agreement. </w:t>
      </w:r>
      <w:r w:rsidR="00902483">
        <w:t>Consequently, this income is assessable income under</w:t>
      </w:r>
      <w:r w:rsidR="00E36296">
        <w:t xml:space="preserve"> section 6-5 of the</w:t>
      </w:r>
      <w:r w:rsidR="00902483">
        <w:t xml:space="preserve"> ITAA 1997 as being Australian sourced income of a non-resident. </w:t>
      </w:r>
      <w:r w:rsidR="00686D68">
        <w:t>Without</w:t>
      </w:r>
      <w:r w:rsidR="0036446A">
        <w:t xml:space="preserve"> the</w:t>
      </w:r>
      <w:r w:rsidR="00E36296">
        <w:t>se</w:t>
      </w:r>
      <w:r w:rsidR="0036446A">
        <w:t xml:space="preserve"> provisions in the Indian Agreement, Australia would not tax these </w:t>
      </w:r>
      <w:r w:rsidR="00376B05">
        <w:t>payments or credits</w:t>
      </w:r>
      <w:r w:rsidR="0036446A">
        <w:t>.</w:t>
      </w:r>
    </w:p>
    <w:p w14:paraId="42B1DAB8" w14:textId="0E027092" w:rsidR="00703F5F" w:rsidRPr="00703F5F" w:rsidRDefault="007A5622" w:rsidP="00411053">
      <w:pPr>
        <w:pStyle w:val="Normalparatextwithnumbers"/>
        <w:numPr>
          <w:ilvl w:val="1"/>
          <w:numId w:val="3"/>
        </w:numPr>
      </w:pPr>
      <w:r w:rsidRPr="00703F5F">
        <w:t>N</w:t>
      </w:r>
      <w:r w:rsidR="008170E6" w:rsidRPr="00703F5F">
        <w:t xml:space="preserve">ew </w:t>
      </w:r>
      <w:r w:rsidR="00BC40CE" w:rsidRPr="00703F5F">
        <w:t>section 11J of the Agreements Act</w:t>
      </w:r>
      <w:r w:rsidRPr="00703F5F">
        <w:t xml:space="preserve"> </w:t>
      </w:r>
      <w:r w:rsidR="00B65EE1" w:rsidRPr="00703F5F">
        <w:t>will</w:t>
      </w:r>
      <w:r w:rsidR="004A4A6F" w:rsidRPr="00703F5F">
        <w:t xml:space="preserve"> stop </w:t>
      </w:r>
      <w:r w:rsidR="003A0EEF" w:rsidRPr="00703F5F">
        <w:t xml:space="preserve">the </w:t>
      </w:r>
      <w:r w:rsidR="004A4A6F" w:rsidRPr="00703F5F">
        <w:t xml:space="preserve">Australian taxation on </w:t>
      </w:r>
      <w:r w:rsidR="00376B05">
        <w:t>payments or credits</w:t>
      </w:r>
      <w:r w:rsidR="003600BA">
        <w:t xml:space="preserve"> </w:t>
      </w:r>
      <w:r w:rsidR="004A4A6F" w:rsidRPr="00703F5F">
        <w:t xml:space="preserve">paid </w:t>
      </w:r>
      <w:r w:rsidR="00703F5F" w:rsidRPr="00703F5F">
        <w:t xml:space="preserve">to non-resident Indian firms by Australian </w:t>
      </w:r>
      <w:r w:rsidR="005F3CE4">
        <w:t>customers</w:t>
      </w:r>
      <w:r w:rsidR="005F3CE4" w:rsidRPr="00703F5F">
        <w:t xml:space="preserve"> </w:t>
      </w:r>
      <w:r w:rsidR="00703F5F" w:rsidRPr="00703F5F">
        <w:t>for technical services covered by Article 12(3)(g) that are provided remotely if three criteria are met.</w:t>
      </w:r>
    </w:p>
    <w:p w14:paraId="625B0657" w14:textId="5D226355" w:rsidR="005F123A" w:rsidRDefault="00FD1DEA" w:rsidP="00A416E0">
      <w:pPr>
        <w:pStyle w:val="Normalparatextwithnumbers"/>
        <w:numPr>
          <w:ilvl w:val="0"/>
          <w:numId w:val="0"/>
        </w:numPr>
        <w:ind w:left="709"/>
      </w:pPr>
      <w:r w:rsidRPr="003D60FB">
        <w:rPr>
          <w:rStyle w:val="References"/>
        </w:rPr>
        <w:t xml:space="preserve">[Schedule </w:t>
      </w:r>
      <w:r>
        <w:rPr>
          <w:rStyle w:val="References"/>
        </w:rPr>
        <w:t>#</w:t>
      </w:r>
      <w:r w:rsidRPr="003D60FB">
        <w:rPr>
          <w:rStyle w:val="References"/>
        </w:rPr>
        <w:t>, item</w:t>
      </w:r>
      <w:r w:rsidR="00AE2C88">
        <w:rPr>
          <w:rStyle w:val="References"/>
        </w:rPr>
        <w:t xml:space="preserve"> 3</w:t>
      </w:r>
      <w:r w:rsidRPr="003D60FB">
        <w:rPr>
          <w:rStyle w:val="References"/>
        </w:rPr>
        <w:t xml:space="preserve">, </w:t>
      </w:r>
      <w:r>
        <w:rPr>
          <w:rStyle w:val="References"/>
        </w:rPr>
        <w:t>section 11J</w:t>
      </w:r>
      <w:r w:rsidRPr="003D60FB">
        <w:rPr>
          <w:rStyle w:val="References"/>
        </w:rPr>
        <w:t xml:space="preserve"> </w:t>
      </w:r>
      <w:r>
        <w:rPr>
          <w:rStyle w:val="References"/>
        </w:rPr>
        <w:t>of the International Tax Agreements Act 1953</w:t>
      </w:r>
      <w:r w:rsidRPr="003D60FB">
        <w:rPr>
          <w:rStyle w:val="References"/>
        </w:rPr>
        <w:t>]</w:t>
      </w:r>
    </w:p>
    <w:p w14:paraId="6DAF054C" w14:textId="4A3C042B" w:rsidR="00F2668A" w:rsidRDefault="00B77689" w:rsidP="00F2668A">
      <w:pPr>
        <w:pStyle w:val="Normalparatextwithnumbers"/>
        <w:numPr>
          <w:ilvl w:val="1"/>
          <w:numId w:val="3"/>
        </w:numPr>
      </w:pPr>
      <w:r>
        <w:lastRenderedPageBreak/>
        <w:t>Firstly, t</w:t>
      </w:r>
      <w:r w:rsidR="009F3565">
        <w:t xml:space="preserve">he </w:t>
      </w:r>
      <w:r w:rsidR="00A416E0">
        <w:t>payments or credits</w:t>
      </w:r>
      <w:r w:rsidR="0090662D">
        <w:t xml:space="preserve"> </w:t>
      </w:r>
      <w:r w:rsidR="00376B05">
        <w:t>have to be</w:t>
      </w:r>
      <w:r w:rsidR="00A416E0">
        <w:t xml:space="preserve"> </w:t>
      </w:r>
      <w:r w:rsidR="00035815">
        <w:t xml:space="preserve">paid </w:t>
      </w:r>
      <w:r w:rsidR="003600BA">
        <w:t xml:space="preserve">or credited </w:t>
      </w:r>
      <w:r w:rsidR="00035815">
        <w:t xml:space="preserve">to a non-resident </w:t>
      </w:r>
      <w:r w:rsidR="00035815" w:rsidRPr="00755869">
        <w:t>Indian firm</w:t>
      </w:r>
      <w:r w:rsidR="00A416E0" w:rsidRPr="00755869">
        <w:t xml:space="preserve"> </w:t>
      </w:r>
      <w:r w:rsidR="00A416E0">
        <w:t xml:space="preserve">as consideration </w:t>
      </w:r>
      <w:r w:rsidR="00035815">
        <w:t>for a service covered by</w:t>
      </w:r>
      <w:r w:rsidR="00A702CE">
        <w:t xml:space="preserve"> Article 12(3)(g)</w:t>
      </w:r>
      <w:r w:rsidR="00686D68">
        <w:t xml:space="preserve">. </w:t>
      </w:r>
      <w:r w:rsidR="00F2668A">
        <w:t xml:space="preserve">Article 12(3)(g) covers </w:t>
      </w:r>
      <w:r w:rsidR="00383864">
        <w:t xml:space="preserve">services </w:t>
      </w:r>
      <w:r w:rsidR="00EF6CD3">
        <w:t xml:space="preserve">(including those of technical or other personnel) </w:t>
      </w:r>
      <w:r w:rsidR="00F2668A">
        <w:t>which make available technical knowledge, experience, skill, know</w:t>
      </w:r>
      <w:r w:rsidR="00CD4819">
        <w:noBreakHyphen/>
      </w:r>
      <w:r w:rsidR="00F2668A">
        <w:t xml:space="preserve">how or processes or consists of </w:t>
      </w:r>
      <w:r w:rsidR="00383864">
        <w:t xml:space="preserve">the development and transfer of </w:t>
      </w:r>
      <w:r w:rsidR="00F2668A">
        <w:t xml:space="preserve">a </w:t>
      </w:r>
      <w:r w:rsidR="00383864">
        <w:t xml:space="preserve">technical plan or design. </w:t>
      </w:r>
    </w:p>
    <w:p w14:paraId="4C8F5729" w14:textId="7D2C8F5C" w:rsidR="004233D6" w:rsidRDefault="001F2AE0">
      <w:pPr>
        <w:pStyle w:val="Normalparatextwithnumbers"/>
        <w:numPr>
          <w:ilvl w:val="1"/>
          <w:numId w:val="3"/>
        </w:numPr>
      </w:pPr>
      <w:r>
        <w:t>T</w:t>
      </w:r>
      <w:r w:rsidR="00383864">
        <w:t xml:space="preserve">he </w:t>
      </w:r>
      <w:r w:rsidR="00383864" w:rsidRPr="00BE4804">
        <w:t>Income Tax (International Agreements) Amendment Bill (No. 2) 1991</w:t>
      </w:r>
      <w:r>
        <w:t xml:space="preserve"> </w:t>
      </w:r>
      <w:r w:rsidR="00F2668A">
        <w:t xml:space="preserve">amended </w:t>
      </w:r>
      <w:r>
        <w:t xml:space="preserve">domestic legislation to give force to the Indian Agreement. The Explanatory Memorandum to that Bill </w:t>
      </w:r>
      <w:r w:rsidR="007B45C1">
        <w:t>outline</w:t>
      </w:r>
      <w:r>
        <w:t>s</w:t>
      </w:r>
      <w:r w:rsidR="007B45C1">
        <w:t xml:space="preserve"> </w:t>
      </w:r>
      <w:r>
        <w:t xml:space="preserve">broadly </w:t>
      </w:r>
      <w:r w:rsidR="009A5831">
        <w:t xml:space="preserve">the types of </w:t>
      </w:r>
      <w:r>
        <w:t xml:space="preserve">technical service </w:t>
      </w:r>
      <w:r w:rsidR="009A5831">
        <w:t xml:space="preserve">covered in </w:t>
      </w:r>
      <w:r>
        <w:t>Article 12</w:t>
      </w:r>
      <w:r w:rsidR="00FD6F17">
        <w:t>(3)(g)</w:t>
      </w:r>
      <w:r>
        <w:t xml:space="preserve">. </w:t>
      </w:r>
      <w:r w:rsidR="00721CA3">
        <w:t>‘</w:t>
      </w:r>
      <w:r>
        <w:t>Technical service</w:t>
      </w:r>
      <w:r w:rsidR="00721CA3">
        <w:t>’</w:t>
      </w:r>
      <w:r>
        <w:t xml:space="preserve"> is intended to cover services </w:t>
      </w:r>
      <w:r w:rsidR="00F25FF1">
        <w:t>of a technical nature, which</w:t>
      </w:r>
      <w:r w:rsidR="00B42F77">
        <w:t xml:space="preserve"> </w:t>
      </w:r>
      <w:r w:rsidR="00721CA3">
        <w:t>is</w:t>
      </w:r>
      <w:r w:rsidR="00B42F77">
        <w:t xml:space="preserve"> made available to the person acquiring the service through the supply or transfer or transfer of technical knowledge or technology</w:t>
      </w:r>
      <w:r>
        <w:t>.</w:t>
      </w:r>
      <w:r w:rsidR="007B45C1">
        <w:t xml:space="preserve"> </w:t>
      </w:r>
      <w:r>
        <w:t xml:space="preserve">The typical categories of services intended to be covered by Article 12(3)(g) </w:t>
      </w:r>
      <w:r w:rsidR="007B45C1">
        <w:t>include:</w:t>
      </w:r>
    </w:p>
    <w:p w14:paraId="5EE35551" w14:textId="57ECAA6F" w:rsidR="007B45C1" w:rsidRDefault="007B45C1" w:rsidP="007B45C1">
      <w:pPr>
        <w:pStyle w:val="Dotpoint1"/>
      </w:pPr>
      <w:r>
        <w:t>engineering services;</w:t>
      </w:r>
    </w:p>
    <w:p w14:paraId="2FCCD48F" w14:textId="02E307A7" w:rsidR="007B45C1" w:rsidRDefault="007B45C1" w:rsidP="007B45C1">
      <w:pPr>
        <w:pStyle w:val="Dotpoint1"/>
      </w:pPr>
      <w:r>
        <w:t>architectural services; and</w:t>
      </w:r>
    </w:p>
    <w:p w14:paraId="4D7C5566" w14:textId="46FBCD95" w:rsidR="007B45C1" w:rsidRDefault="007B45C1" w:rsidP="007B45C1">
      <w:pPr>
        <w:pStyle w:val="Dotpoint1"/>
      </w:pPr>
      <w:r>
        <w:t>computer software development</w:t>
      </w:r>
      <w:r w:rsidR="009314A9">
        <w:t>.</w:t>
      </w:r>
    </w:p>
    <w:p w14:paraId="0A9FD9D4" w14:textId="4CFB9ECB" w:rsidR="00BD1AFC" w:rsidRDefault="003D60FB" w:rsidP="00383864">
      <w:pPr>
        <w:pStyle w:val="Normalparatextwithnumbers"/>
        <w:numPr>
          <w:ilvl w:val="0"/>
          <w:numId w:val="0"/>
        </w:numPr>
        <w:ind w:left="709"/>
      </w:pPr>
      <w:r w:rsidRPr="003D60FB">
        <w:rPr>
          <w:rStyle w:val="References"/>
        </w:rPr>
        <w:t xml:space="preserve">[Schedule </w:t>
      </w:r>
      <w:r>
        <w:rPr>
          <w:rStyle w:val="References"/>
        </w:rPr>
        <w:t>#</w:t>
      </w:r>
      <w:r w:rsidRPr="003D60FB">
        <w:rPr>
          <w:rStyle w:val="References"/>
        </w:rPr>
        <w:t>, item</w:t>
      </w:r>
      <w:r w:rsidR="00AE2C88">
        <w:rPr>
          <w:rStyle w:val="References"/>
        </w:rPr>
        <w:t xml:space="preserve"> 3</w:t>
      </w:r>
      <w:r w:rsidRPr="003D60FB">
        <w:rPr>
          <w:rStyle w:val="References"/>
        </w:rPr>
        <w:t xml:space="preserve">, </w:t>
      </w:r>
      <w:r>
        <w:rPr>
          <w:rStyle w:val="References"/>
        </w:rPr>
        <w:t>subsection 11J(a)</w:t>
      </w:r>
      <w:r w:rsidRPr="003D60FB">
        <w:rPr>
          <w:rStyle w:val="References"/>
        </w:rPr>
        <w:t xml:space="preserve"> </w:t>
      </w:r>
      <w:r>
        <w:rPr>
          <w:rStyle w:val="References"/>
        </w:rPr>
        <w:t>of the International Tax Agreements Act 1953</w:t>
      </w:r>
      <w:r w:rsidRPr="003D60FB">
        <w:rPr>
          <w:rStyle w:val="References"/>
        </w:rPr>
        <w:t xml:space="preserve">] </w:t>
      </w:r>
    </w:p>
    <w:p w14:paraId="49C37373" w14:textId="42AC2194" w:rsidR="00593F90" w:rsidRDefault="00593F90">
      <w:pPr>
        <w:pStyle w:val="Normalparatextwithnumbers"/>
      </w:pPr>
      <w:r>
        <w:t>Secondly, the</w:t>
      </w:r>
      <w:r w:rsidR="00DD07A1">
        <w:t>se</w:t>
      </w:r>
      <w:r>
        <w:t xml:space="preserve"> </w:t>
      </w:r>
      <w:r w:rsidR="000579B4">
        <w:t xml:space="preserve">payments or credits </w:t>
      </w:r>
      <w:r w:rsidR="00E83276">
        <w:t>are not</w:t>
      </w:r>
      <w:r>
        <w:t xml:space="preserve"> royalt</w:t>
      </w:r>
      <w:r w:rsidR="002B6B9D">
        <w:t>ies</w:t>
      </w:r>
      <w:r>
        <w:t xml:space="preserve"> </w:t>
      </w:r>
      <w:r w:rsidR="00E83276">
        <w:t xml:space="preserve">within the meaning of the </w:t>
      </w:r>
      <w:r>
        <w:t xml:space="preserve">ITAA 1936. The </w:t>
      </w:r>
      <w:r w:rsidRPr="00C227F7">
        <w:t>effect is that an amount that is a royalty under the ITAA 1936 is not affected by the amendments</w:t>
      </w:r>
      <w:r>
        <w:t xml:space="preserve"> and therefore continues to be subject to taxation in Australia. </w:t>
      </w:r>
      <w:r w:rsidR="00C22003">
        <w:t xml:space="preserve">The </w:t>
      </w:r>
      <w:r w:rsidR="00C22003" w:rsidRPr="00882A54">
        <w:t xml:space="preserve">definition of “royalties” contained in Article 12(3)(g) </w:t>
      </w:r>
      <w:r w:rsidR="00C22003">
        <w:t>is different</w:t>
      </w:r>
      <w:r w:rsidR="00C22003" w:rsidRPr="00882A54">
        <w:t xml:space="preserve"> from the definition in Australia’s domestic income tax law and other tax treaties in that it includes </w:t>
      </w:r>
      <w:r w:rsidR="00376B05">
        <w:t>payments or credits</w:t>
      </w:r>
      <w:r w:rsidR="00376B05" w:rsidRPr="00882A54">
        <w:t xml:space="preserve"> </w:t>
      </w:r>
      <w:r w:rsidR="00C22003" w:rsidRPr="00882A54">
        <w:t>for certain technical and consultancy services.</w:t>
      </w:r>
      <w:r w:rsidR="00C22003" w:rsidRPr="00882A54">
        <w:rPr>
          <w:rStyle w:val="References"/>
          <w:b w:val="0"/>
          <w:bCs w:val="0"/>
          <w:i w:val="0"/>
          <w:iCs w:val="0"/>
        </w:rPr>
        <w:t xml:space="preserve"> </w:t>
      </w:r>
      <w:r w:rsidR="00C22003" w:rsidRPr="00882A54">
        <w:t xml:space="preserve">If </w:t>
      </w:r>
      <w:r w:rsidR="00C22003">
        <w:t xml:space="preserve">a </w:t>
      </w:r>
      <w:r w:rsidR="005D59E2">
        <w:t>payment or credit</w:t>
      </w:r>
      <w:r w:rsidR="00C22003">
        <w:t xml:space="preserve"> is covered by Article 12(3)(g) and is also considered a ‘royalty’ under the ITAA 1936</w:t>
      </w:r>
      <w:r w:rsidR="00C22003" w:rsidRPr="00882A54">
        <w:t xml:space="preserve">, then </w:t>
      </w:r>
      <w:r w:rsidR="00C22003">
        <w:t xml:space="preserve">the amendment will not apply and this </w:t>
      </w:r>
      <w:r w:rsidR="0053796A">
        <w:t xml:space="preserve">payment or credit </w:t>
      </w:r>
      <w:r w:rsidR="00C22003">
        <w:t>will</w:t>
      </w:r>
      <w:r w:rsidR="00C22003" w:rsidRPr="00882A54">
        <w:t xml:space="preserve"> </w:t>
      </w:r>
      <w:r w:rsidR="00C22003">
        <w:t xml:space="preserve">continue to be subject to </w:t>
      </w:r>
      <w:r w:rsidR="00C22003" w:rsidRPr="00882A54">
        <w:t>Australian tax</w:t>
      </w:r>
      <w:r w:rsidR="000E0416">
        <w:t>.</w:t>
      </w:r>
      <w:r w:rsidRPr="00C227F7">
        <w:br/>
      </w:r>
      <w:r w:rsidRPr="00C227F7">
        <w:rPr>
          <w:rStyle w:val="References"/>
        </w:rPr>
        <w:t>[Schedule #, item</w:t>
      </w:r>
      <w:r w:rsidR="00AE2C88">
        <w:rPr>
          <w:rStyle w:val="References"/>
        </w:rPr>
        <w:t xml:space="preserve"> 3</w:t>
      </w:r>
      <w:r w:rsidRPr="00C227F7">
        <w:rPr>
          <w:rStyle w:val="References"/>
        </w:rPr>
        <w:t>, subsection 11J(b) of the International Tax Agreements Act 1953]</w:t>
      </w:r>
    </w:p>
    <w:p w14:paraId="55C3FDE2" w14:textId="581748AB" w:rsidR="001534C2" w:rsidRDefault="00593F90" w:rsidP="005D657A">
      <w:pPr>
        <w:pStyle w:val="Normalparatextwithnumbers"/>
        <w:numPr>
          <w:ilvl w:val="1"/>
          <w:numId w:val="3"/>
        </w:numPr>
      </w:pPr>
      <w:r>
        <w:t>Thirdly</w:t>
      </w:r>
      <w:r w:rsidR="00900636">
        <w:t xml:space="preserve">, </w:t>
      </w:r>
      <w:r w:rsidR="00DC0D1C">
        <w:t>the</w:t>
      </w:r>
      <w:r w:rsidR="00DD07A1">
        <w:t>se</w:t>
      </w:r>
      <w:r w:rsidR="00DC0D1C">
        <w:t xml:space="preserve"> </w:t>
      </w:r>
      <w:r w:rsidR="00376B05">
        <w:t xml:space="preserve">payments or credits </w:t>
      </w:r>
      <w:r w:rsidR="00DC0D1C">
        <w:t>must only be subject to Australian tax because of the operation of Article 12(3)(g) and Article 23, as given effect by the Agreements Act. I</w:t>
      </w:r>
      <w:r w:rsidR="005D657A">
        <w:t xml:space="preserve">f there are amounts that are covered or dealt with by another article of the Indian Agreement, these amounts would continue to be subject to Australian tax. For example, </w:t>
      </w:r>
      <w:r w:rsidR="002308B1">
        <w:t xml:space="preserve">if </w:t>
      </w:r>
      <w:r w:rsidR="005D657A">
        <w:t>a technical</w:t>
      </w:r>
      <w:r w:rsidR="00900636" w:rsidRPr="00423724">
        <w:t xml:space="preserve"> service is provided in Australia through a permanent establishment</w:t>
      </w:r>
      <w:r w:rsidR="005D657A">
        <w:t xml:space="preserve"> of </w:t>
      </w:r>
      <w:r w:rsidR="000E0416">
        <w:t xml:space="preserve">an </w:t>
      </w:r>
      <w:r w:rsidR="005D657A">
        <w:t>Indian resident</w:t>
      </w:r>
      <w:r w:rsidR="00900636" w:rsidRPr="00423724">
        <w:t xml:space="preserve">, </w:t>
      </w:r>
      <w:r w:rsidR="00900636">
        <w:t>the amendment does not apply in respect of an amount that Australia has a right to tax under</w:t>
      </w:r>
      <w:r w:rsidR="00F65D7F">
        <w:t xml:space="preserve"> another article, such as</w:t>
      </w:r>
      <w:r w:rsidR="00900636">
        <w:t xml:space="preserve"> the Business Profits Article (Article 7) due to being attributable to </w:t>
      </w:r>
      <w:r w:rsidR="00E14BBF">
        <w:t>that</w:t>
      </w:r>
      <w:r w:rsidR="00900636">
        <w:t xml:space="preserve"> permanent establishment in Australia. </w:t>
      </w:r>
    </w:p>
    <w:p w14:paraId="6265DF8F" w14:textId="36678B25" w:rsidR="00900636" w:rsidRDefault="001534C2" w:rsidP="001534C2">
      <w:pPr>
        <w:pStyle w:val="Normalparatextwithnumbers"/>
        <w:numPr>
          <w:ilvl w:val="1"/>
          <w:numId w:val="3"/>
        </w:numPr>
      </w:pPr>
      <w:r w:rsidRPr="001B34A7">
        <w:t>If Australia can tax the</w:t>
      </w:r>
      <w:r w:rsidR="003A1FCF">
        <w:t xml:space="preserve">se payments or credits </w:t>
      </w:r>
      <w:r w:rsidRPr="001B34A7">
        <w:t>outside of the operation Article 12(3)(g) and Article 23, then Australia continues to retain and exercise this taxing right.</w:t>
      </w:r>
      <w:r w:rsidR="00900636">
        <w:br/>
      </w:r>
      <w:r w:rsidR="00900636" w:rsidRPr="003D60FB">
        <w:rPr>
          <w:rStyle w:val="References"/>
        </w:rPr>
        <w:lastRenderedPageBreak/>
        <w:t xml:space="preserve">[Schedule </w:t>
      </w:r>
      <w:r w:rsidR="00900636">
        <w:rPr>
          <w:rStyle w:val="References"/>
        </w:rPr>
        <w:t>#</w:t>
      </w:r>
      <w:r w:rsidR="00900636" w:rsidRPr="003D60FB">
        <w:rPr>
          <w:rStyle w:val="References"/>
        </w:rPr>
        <w:t>, item</w:t>
      </w:r>
      <w:r w:rsidR="00387553">
        <w:rPr>
          <w:rStyle w:val="References"/>
        </w:rPr>
        <w:t xml:space="preserve"> 3</w:t>
      </w:r>
      <w:r w:rsidR="00900636" w:rsidRPr="003D60FB">
        <w:rPr>
          <w:rStyle w:val="References"/>
        </w:rPr>
        <w:t xml:space="preserve">, </w:t>
      </w:r>
      <w:r w:rsidR="00900636">
        <w:rPr>
          <w:rStyle w:val="References"/>
        </w:rPr>
        <w:t>subsection 11J(c)</w:t>
      </w:r>
      <w:r w:rsidR="00900636" w:rsidRPr="003D60FB">
        <w:rPr>
          <w:rStyle w:val="References"/>
        </w:rPr>
        <w:t xml:space="preserve"> </w:t>
      </w:r>
      <w:r w:rsidR="00900636">
        <w:rPr>
          <w:rStyle w:val="References"/>
        </w:rPr>
        <w:t>of the International Tax Agreements Act 1953</w:t>
      </w:r>
      <w:r w:rsidR="00900636" w:rsidRPr="003D60FB">
        <w:rPr>
          <w:rStyle w:val="References"/>
        </w:rPr>
        <w:t>]</w:t>
      </w:r>
    </w:p>
    <w:p w14:paraId="6A299D3A" w14:textId="5EF06D23" w:rsidR="0051602A" w:rsidRDefault="004E5AD0" w:rsidP="004E5AD0">
      <w:pPr>
        <w:pStyle w:val="ExampleHeading"/>
      </w:pPr>
      <w:r>
        <w:t xml:space="preserve">Technical service that will not be subject to </w:t>
      </w:r>
      <w:r w:rsidR="00313C56">
        <w:t xml:space="preserve">Australian </w:t>
      </w:r>
      <w:r>
        <w:t>tax</w:t>
      </w:r>
    </w:p>
    <w:p w14:paraId="2EE1F4F3" w14:textId="14589159" w:rsidR="0084175E" w:rsidRDefault="007D548F" w:rsidP="0084175E">
      <w:pPr>
        <w:pStyle w:val="Exampletext"/>
      </w:pPr>
      <w:r>
        <w:t>An</w:t>
      </w:r>
      <w:r w:rsidR="009D3439">
        <w:t xml:space="preserve"> Australian resident for tax </w:t>
      </w:r>
      <w:r w:rsidR="009D3439" w:rsidRPr="00C6419C">
        <w:t>purposes</w:t>
      </w:r>
      <w:r w:rsidRPr="00C6419C">
        <w:t xml:space="preserve"> owns inventory</w:t>
      </w:r>
      <w:r>
        <w:t xml:space="preserve"> control software for use in its own chain of retail outlets throughout Australia. It expands its sales operation by employing a team of travelling </w:t>
      </w:r>
      <w:r w:rsidR="000E0416">
        <w:t xml:space="preserve">salespeople </w:t>
      </w:r>
      <w:r>
        <w:t xml:space="preserve">to travel around the countryside selling the company’s wares. </w:t>
      </w:r>
      <w:r w:rsidR="009D3439">
        <w:t>It</w:t>
      </w:r>
      <w:r>
        <w:t xml:space="preserve"> wants to modify its software to permit </w:t>
      </w:r>
      <w:r w:rsidR="00F511F0">
        <w:t>salesperson</w:t>
      </w:r>
      <w:r>
        <w:t xml:space="preserve"> to access </w:t>
      </w:r>
      <w:r w:rsidR="009D3439">
        <w:t>its</w:t>
      </w:r>
      <w:r>
        <w:t xml:space="preserve"> central computers for information on what products are available in inventory and when they can be delivered. </w:t>
      </w:r>
      <w:r w:rsidR="009D3439">
        <w:t xml:space="preserve">It </w:t>
      </w:r>
      <w:r>
        <w:t xml:space="preserve">hires a computer programming firm </w:t>
      </w:r>
      <w:r w:rsidR="00B9694F">
        <w:t>that</w:t>
      </w:r>
      <w:r w:rsidR="009D3439">
        <w:t xml:space="preserve"> is</w:t>
      </w:r>
      <w:r w:rsidR="00B9694F">
        <w:t xml:space="preserve"> a</w:t>
      </w:r>
      <w:r w:rsidR="009D3439">
        <w:t xml:space="preserve"> resident </w:t>
      </w:r>
      <w:r w:rsidR="00B9694F">
        <w:t>of</w:t>
      </w:r>
      <w:r w:rsidR="009D3439">
        <w:t xml:space="preserve"> India for tax purposes </w:t>
      </w:r>
      <w:r>
        <w:t>to modify its software for this purpose.</w:t>
      </w:r>
      <w:r w:rsidR="009D3439">
        <w:t xml:space="preserve"> </w:t>
      </w:r>
    </w:p>
    <w:p w14:paraId="3716847D" w14:textId="7F5E3EAE" w:rsidR="007D548F" w:rsidRDefault="007D548F" w:rsidP="0084175E">
      <w:pPr>
        <w:pStyle w:val="Exampletext"/>
      </w:pPr>
      <w:r>
        <w:t xml:space="preserve">The </w:t>
      </w:r>
      <w:r w:rsidR="00376B05">
        <w:t xml:space="preserve">payments </w:t>
      </w:r>
      <w:r>
        <w:t xml:space="preserve">which </w:t>
      </w:r>
      <w:r w:rsidR="009D3439">
        <w:t>the Australian resident</w:t>
      </w:r>
      <w:r>
        <w:t xml:space="preserve"> pays are royalties within the meaning of Article 12(3)(g). The Indian firm performs a technical service for the Australian company</w:t>
      </w:r>
      <w:r w:rsidR="00113390">
        <w:t xml:space="preserve"> </w:t>
      </w:r>
      <w:r w:rsidR="00FE1945">
        <w:t>remotely</w:t>
      </w:r>
      <w:r>
        <w:t>, and it transfer</w:t>
      </w:r>
      <w:r w:rsidR="00957E8D">
        <w:t>s</w:t>
      </w:r>
      <w:r>
        <w:t xml:space="preserve"> to the Australian company the technical plan (i.e. the computer program) which it has developed for that company.</w:t>
      </w:r>
    </w:p>
    <w:p w14:paraId="12EAFA9F" w14:textId="7A1CF2E4" w:rsidR="00137CB6" w:rsidRPr="00020288" w:rsidRDefault="00E22CC1" w:rsidP="004D7E24">
      <w:pPr>
        <w:pStyle w:val="Exampletext"/>
      </w:pPr>
      <w:r>
        <w:t xml:space="preserve">This </w:t>
      </w:r>
      <w:r w:rsidR="0053796A">
        <w:t xml:space="preserve">payment </w:t>
      </w:r>
      <w:r>
        <w:t xml:space="preserve">is not subject to Australian tax because it satisfies the three criteria </w:t>
      </w:r>
      <w:r w:rsidR="004D7E24">
        <w:t>in section 11J.</w:t>
      </w:r>
    </w:p>
    <w:p w14:paraId="10BC25B4" w14:textId="77777777" w:rsidR="00873094" w:rsidRPr="00020288" w:rsidRDefault="00873094" w:rsidP="005D0844">
      <w:pPr>
        <w:pStyle w:val="Heading2"/>
      </w:pPr>
      <w:bookmarkStart w:id="43" w:name="_Toc78193246"/>
      <w:bookmarkStart w:id="44" w:name="_Toc78193403"/>
      <w:bookmarkStart w:id="45" w:name="_Toc78548476"/>
      <w:bookmarkStart w:id="46" w:name="_Toc78549747"/>
      <w:bookmarkStart w:id="47" w:name="_Toc78549791"/>
      <w:r w:rsidRPr="005D0844">
        <w:t>Consequential</w:t>
      </w:r>
      <w:r w:rsidRPr="00020288">
        <w:t xml:space="preserve"> amendments</w:t>
      </w:r>
    </w:p>
    <w:p w14:paraId="409B1808" w14:textId="77777777" w:rsidR="003C0436" w:rsidRDefault="00D02BA7" w:rsidP="003C0436">
      <w:pPr>
        <w:pStyle w:val="Normalparatextwithnumbers"/>
        <w:numPr>
          <w:ilvl w:val="1"/>
          <w:numId w:val="3"/>
        </w:numPr>
      </w:pPr>
      <w:r>
        <w:t xml:space="preserve">Consequential amendments are made to the Agreements Acts by amending subsection 5(1) to </w:t>
      </w:r>
      <w:r w:rsidR="00326313">
        <w:t xml:space="preserve">include “section 11J” in </w:t>
      </w:r>
      <w:r w:rsidR="00957E8D">
        <w:t xml:space="preserve">the </w:t>
      </w:r>
      <w:r w:rsidR="00326313">
        <w:t>table item dealing with the Indian Agreement and the table item dealing with the India protocol (No. 1)</w:t>
      </w:r>
      <w:r w:rsidR="00957E8D">
        <w:t>.</w:t>
      </w:r>
    </w:p>
    <w:p w14:paraId="6A8AE2BA" w14:textId="5E215A89" w:rsidR="00AE2C88" w:rsidRPr="003C0436" w:rsidRDefault="00AE2C88" w:rsidP="003C0436">
      <w:pPr>
        <w:pStyle w:val="Normalparatextwithnumbers"/>
        <w:numPr>
          <w:ilvl w:val="0"/>
          <w:numId w:val="0"/>
        </w:numPr>
        <w:ind w:left="709"/>
        <w:rPr>
          <w:rStyle w:val="References"/>
          <w:b w:val="0"/>
          <w:bCs w:val="0"/>
          <w:i w:val="0"/>
          <w:iCs w:val="0"/>
        </w:rPr>
      </w:pPr>
      <w:r w:rsidRPr="00AE2C88">
        <w:rPr>
          <w:rStyle w:val="References"/>
        </w:rPr>
        <w:t>[Schedule</w:t>
      </w:r>
      <w:r>
        <w:rPr>
          <w:rStyle w:val="References"/>
        </w:rPr>
        <w:t xml:space="preserve"> #</w:t>
      </w:r>
      <w:r w:rsidRPr="00AE2C88">
        <w:rPr>
          <w:rStyle w:val="References"/>
        </w:rPr>
        <w:t>, item</w:t>
      </w:r>
      <w:r>
        <w:rPr>
          <w:rStyle w:val="References"/>
        </w:rPr>
        <w:t>s 1 and 2</w:t>
      </w:r>
      <w:r w:rsidRPr="00AE2C88">
        <w:rPr>
          <w:rStyle w:val="References"/>
        </w:rPr>
        <w:t xml:space="preserve">, </w:t>
      </w:r>
      <w:r>
        <w:rPr>
          <w:rStyle w:val="References"/>
        </w:rPr>
        <w:t>subsection 5(1)</w:t>
      </w:r>
      <w:r w:rsidRPr="003D60FB">
        <w:rPr>
          <w:rStyle w:val="References"/>
        </w:rPr>
        <w:t xml:space="preserve"> </w:t>
      </w:r>
      <w:r>
        <w:rPr>
          <w:rStyle w:val="References"/>
        </w:rPr>
        <w:t>of the International Tax Agreements Act 1953</w:t>
      </w:r>
      <w:r w:rsidRPr="00AE2C88">
        <w:rPr>
          <w:rStyle w:val="References"/>
        </w:rPr>
        <w:t xml:space="preserve">] </w:t>
      </w:r>
    </w:p>
    <w:p w14:paraId="58826666" w14:textId="77777777" w:rsidR="00873094" w:rsidRPr="00020288" w:rsidRDefault="00873094" w:rsidP="00AF50CE">
      <w:pPr>
        <w:pStyle w:val="Heading2"/>
      </w:pPr>
      <w:r w:rsidRPr="00020288">
        <w:t xml:space="preserve">Commencement, </w:t>
      </w:r>
      <w:r w:rsidRPr="00AF50CE">
        <w:t>application</w:t>
      </w:r>
      <w:r w:rsidRPr="00020288">
        <w:t>, and transitional provisions</w:t>
      </w:r>
    </w:p>
    <w:p w14:paraId="79FC1835" w14:textId="5D0AEB3B" w:rsidR="004F2A49" w:rsidRDefault="00241349" w:rsidP="004F2A49">
      <w:pPr>
        <w:pStyle w:val="Normalparatextwithnumbers"/>
      </w:pPr>
      <w:r w:rsidRPr="00241349">
        <w:t xml:space="preserve">The amendments made by this schedule will commence on </w:t>
      </w:r>
      <w:r w:rsidR="00647D4E">
        <w:t xml:space="preserve">the </w:t>
      </w:r>
      <w:r w:rsidRPr="00241349">
        <w:t>later of the day this Act receiv</w:t>
      </w:r>
      <w:r w:rsidR="00647D4E">
        <w:t>es</w:t>
      </w:r>
      <w:r w:rsidRPr="00241349">
        <w:t xml:space="preserve"> Royal Assent and the day the </w:t>
      </w:r>
      <w:r w:rsidR="001E483B">
        <w:t>AI</w:t>
      </w:r>
      <w:r w:rsidR="001E483B">
        <w:noBreakHyphen/>
        <w:t>ECTA</w:t>
      </w:r>
      <w:r w:rsidRPr="00241349">
        <w:t xml:space="preserve"> </w:t>
      </w:r>
      <w:r w:rsidR="002133AD">
        <w:t>signed</w:t>
      </w:r>
      <w:r w:rsidR="002133AD" w:rsidRPr="00241349">
        <w:t xml:space="preserve"> </w:t>
      </w:r>
      <w:r w:rsidRPr="00241349">
        <w:t xml:space="preserve">at Melbourne and New </w:t>
      </w:r>
      <w:r w:rsidR="00EC6C8F" w:rsidRPr="00241349">
        <w:t>Delhi</w:t>
      </w:r>
      <w:r w:rsidRPr="00241349">
        <w:t xml:space="preserve"> on 2 April 2022, enters into force for Australia.</w:t>
      </w:r>
      <w:r w:rsidR="00A853D0">
        <w:t xml:space="preserve"> However, the provisions do not commence at all if the AI</w:t>
      </w:r>
      <w:r w:rsidR="001E483B">
        <w:noBreakHyphen/>
      </w:r>
      <w:r w:rsidR="00A853D0">
        <w:t xml:space="preserve">ECTA does not enter into force. The Minister must announce, by notifiable instrument, the day the Agreement enters into force for Australia. </w:t>
      </w:r>
    </w:p>
    <w:p w14:paraId="1D9F2F53" w14:textId="7A0EE088" w:rsidR="00873094" w:rsidRDefault="007135A2" w:rsidP="00873094">
      <w:pPr>
        <w:pStyle w:val="Normalparatextwithnumbers"/>
        <w:numPr>
          <w:ilvl w:val="1"/>
          <w:numId w:val="3"/>
        </w:numPr>
      </w:pPr>
      <w:r w:rsidRPr="00241349">
        <w:t>The amendments made by this Schedule apply in relation to assessments for years of income starting on or after the commencement of this Schedule.</w:t>
      </w:r>
    </w:p>
    <w:p w14:paraId="35D2828C" w14:textId="7B6EEA46" w:rsidR="00B77D03" w:rsidRDefault="00105A67" w:rsidP="00CB5D8E">
      <w:pPr>
        <w:pStyle w:val="Normalparatextwithnumbers"/>
        <w:numPr>
          <w:ilvl w:val="0"/>
          <w:numId w:val="0"/>
        </w:numPr>
        <w:ind w:left="709"/>
      </w:pPr>
      <w:r w:rsidRPr="0065417B">
        <w:rPr>
          <w:rStyle w:val="References"/>
          <w:color w:val="000000" w:themeColor="text1"/>
        </w:rPr>
        <w:t xml:space="preserve">[Schedule </w:t>
      </w:r>
      <w:r w:rsidR="009C5440">
        <w:rPr>
          <w:rStyle w:val="References"/>
          <w:color w:val="000000" w:themeColor="text1"/>
        </w:rPr>
        <w:t>#</w:t>
      </w:r>
      <w:r w:rsidRPr="0065417B">
        <w:rPr>
          <w:rStyle w:val="References"/>
          <w:color w:val="000000" w:themeColor="text1"/>
        </w:rPr>
        <w:t xml:space="preserve">, </w:t>
      </w:r>
      <w:r>
        <w:rPr>
          <w:rStyle w:val="References"/>
          <w:color w:val="000000" w:themeColor="text1"/>
        </w:rPr>
        <w:t>item 4</w:t>
      </w:r>
      <w:r w:rsidRPr="0065417B">
        <w:rPr>
          <w:rStyle w:val="References"/>
          <w:color w:val="000000" w:themeColor="text1"/>
        </w:rPr>
        <w:t>]</w:t>
      </w:r>
      <w:bookmarkEnd w:id="43"/>
      <w:bookmarkEnd w:id="44"/>
      <w:bookmarkEnd w:id="45"/>
      <w:bookmarkEnd w:id="46"/>
      <w:bookmarkEnd w:id="47"/>
      <w:bookmarkEnd w:id="5"/>
    </w:p>
    <w:sectPr w:rsidR="00B77D03" w:rsidSect="00000BFC">
      <w:headerReference w:type="first" r:id="rId23"/>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9BB1A0" w14:textId="77777777" w:rsidR="002F559F" w:rsidRDefault="002F559F">
      <w:pPr>
        <w:spacing w:before="0" w:after="0"/>
      </w:pPr>
      <w:r>
        <w:separator/>
      </w:r>
    </w:p>
  </w:endnote>
  <w:endnote w:type="continuationSeparator" w:id="0">
    <w:p w14:paraId="71C9F82C" w14:textId="77777777" w:rsidR="002F559F" w:rsidRDefault="002F559F">
      <w:pPr>
        <w:spacing w:before="0" w:after="0"/>
      </w:pPr>
      <w:r>
        <w:continuationSeparator/>
      </w:r>
    </w:p>
  </w:endnote>
  <w:endnote w:type="continuationNotice" w:id="1">
    <w:p w14:paraId="52B6527B" w14:textId="77777777" w:rsidR="002F559F" w:rsidRDefault="002F559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itica">
    <w:altName w:val="Arial"/>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43C1D" w14:textId="77777777" w:rsidR="007A2DBD" w:rsidRDefault="007A2DBD" w:rsidP="002425D9">
    <w:pPr>
      <w:pStyle w:val="Footer"/>
      <w:ind w:right="360" w:firstLine="36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24E8D" w14:textId="77777777" w:rsidR="007A2DBD" w:rsidRPr="004D61CF" w:rsidRDefault="007A2DBD" w:rsidP="002425D9">
    <w:pPr>
      <w:pStyle w:val="right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D48A3" w14:textId="77777777" w:rsidR="007A2DBD" w:rsidRPr="00091474" w:rsidRDefault="007A2DBD" w:rsidP="00671320">
    <w:pPr>
      <w:pStyle w:val="right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008718" w14:textId="77777777" w:rsidR="002F559F" w:rsidRDefault="002F559F">
      <w:pPr>
        <w:spacing w:before="0" w:after="0"/>
      </w:pPr>
      <w:r>
        <w:separator/>
      </w:r>
    </w:p>
  </w:footnote>
  <w:footnote w:type="continuationSeparator" w:id="0">
    <w:p w14:paraId="63FF6762" w14:textId="77777777" w:rsidR="002F559F" w:rsidRDefault="002F559F">
      <w:pPr>
        <w:spacing w:before="0" w:after="0"/>
      </w:pPr>
      <w:r>
        <w:continuationSeparator/>
      </w:r>
    </w:p>
  </w:footnote>
  <w:footnote w:type="continuationNotice" w:id="1">
    <w:p w14:paraId="783ACB5F" w14:textId="77777777" w:rsidR="002F559F" w:rsidRDefault="002F559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1182601"/>
      <w:docPartObj>
        <w:docPartGallery w:val="Watermarks"/>
      </w:docPartObj>
    </w:sdtPr>
    <w:sdtEndPr/>
    <w:sdtContent>
      <w:p w14:paraId="621548D2" w14:textId="77777777" w:rsidR="007A2DBD" w:rsidRDefault="00376D7C">
        <w:pPr>
          <w:pStyle w:val="Header"/>
        </w:pPr>
        <w:r>
          <w:rPr>
            <w:noProof/>
          </w:rPr>
          <w:pict w14:anchorId="1CB005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73"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6D07A" w14:textId="77777777" w:rsidR="007A2DBD" w:rsidRPr="009106AC" w:rsidRDefault="007A2DBD" w:rsidP="002425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88EEB" w14:textId="427C469B" w:rsidR="007A2DBD" w:rsidRPr="0070093E" w:rsidRDefault="007A2DBD" w:rsidP="002425D9">
    <w:pPr>
      <w:pStyle w:val="rightheader"/>
      <w:ind w:firstLine="720"/>
      <w:rPr>
        <w:lang w:val="en-US"/>
      </w:rPr>
    </w:pPr>
    <w:r>
      <w:rPr>
        <w:lang w:val="en-US"/>
      </w:rPr>
      <w:t>(</w:t>
    </w:r>
    <w:r>
      <w:rPr>
        <w:lang w:val="en-US"/>
      </w:rPr>
      <w:fldChar w:fldCharType="begin"/>
    </w:r>
    <w:r>
      <w:rPr>
        <w:lang w:val="en-US"/>
      </w:rPr>
      <w:instrText xml:space="preserve"> STYLEREF  ChapterNameOnly  \* MERGEFORMAT </w:instrText>
    </w:r>
    <w:r>
      <w:rPr>
        <w:lang w:val="en-US"/>
      </w:rPr>
      <w:fldChar w:fldCharType="separate"/>
    </w:r>
    <w:r w:rsidR="00145C73">
      <w:rPr>
        <w:b/>
        <w:bCs/>
        <w:noProof/>
        <w:lang w:val="en-US"/>
      </w:rPr>
      <w:t>Error! Use the Home tab to apply ChapterNameOnly to the text that you want to appear here.</w:t>
    </w:r>
    <w:r>
      <w:rPr>
        <w:lang w:val="en-U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FD7C4" w14:textId="77777777" w:rsidR="007A2DBD" w:rsidRDefault="007A2DB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BBA36" w14:textId="46D3B830" w:rsidR="007A2DBD" w:rsidRPr="00671320" w:rsidRDefault="00376D7C" w:rsidP="00671320">
    <w:pPr>
      <w:pStyle w:val="leftheader"/>
    </w:pPr>
    <w:r>
      <w:fldChar w:fldCharType="begin"/>
    </w:r>
    <w:r>
      <w:instrText xml:space="preserve"> STYLEREF "Chapter heading" \* MERGEFORMAT </w:instrText>
    </w:r>
    <w:r>
      <w:fldChar w:fldCharType="separate"/>
    </w:r>
    <w:r>
      <w:rPr>
        <w:noProof/>
      </w:rPr>
      <w:t>Adjustment to tax on certain payments or credits paid to Indian Firms</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AAED9" w14:textId="5D042E6B" w:rsidR="007A2DBD" w:rsidRPr="00671320" w:rsidRDefault="00376D7C" w:rsidP="00671320">
    <w:pPr>
      <w:pStyle w:val="rightheader"/>
    </w:pPr>
    <w:r>
      <w:fldChar w:fldCharType="begin"/>
    </w:r>
    <w:r>
      <w:instrText xml:space="preserve"> STYLEREF "Bill Name" \* MERGEFORMAT </w:instrText>
    </w:r>
    <w:r>
      <w:fldChar w:fldCharType="separate"/>
    </w:r>
    <w:r>
      <w:rPr>
        <w:noProof/>
      </w:rPr>
      <w:t>Treasury Laws Amendment (Measures for Consultation) Bill 2022: Adjustment to tax on certain payments or credits paid to Indian firms</w:t>
    </w:r>
    <w:r>
      <w:rPr>
        <w:noProof/>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ED88A" w14:textId="77777777" w:rsidR="007A2DBD" w:rsidRDefault="007A2DB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49AB5" w14:textId="77777777" w:rsidR="00671320" w:rsidRDefault="006713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C6F87"/>
    <w:multiLevelType w:val="hybridMultilevel"/>
    <w:tmpl w:val="14E4DCC0"/>
    <w:lvl w:ilvl="0" w:tplc="CEDE9538">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B543A0"/>
    <w:multiLevelType w:val="multilevel"/>
    <w:tmpl w:val="4F888F1E"/>
    <w:lvl w:ilvl="0">
      <w:start w:val="1"/>
      <w:numFmt w:val="decimal"/>
      <w:pStyle w:val="AttachmentHeading"/>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676E74"/>
    <w:multiLevelType w:val="hybridMultilevel"/>
    <w:tmpl w:val="5A7CC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A91E88"/>
    <w:multiLevelType w:val="hybridMultilevel"/>
    <w:tmpl w:val="1DE8CBA4"/>
    <w:lvl w:ilvl="0" w:tplc="D84EA11C">
      <w:start w:val="1"/>
      <w:numFmt w:val="bullet"/>
      <w:pStyle w:val="RISbullet2"/>
      <w:lvlText w:val="‒"/>
      <w:lvlJc w:val="left"/>
      <w:pPr>
        <w:ind w:left="1571" w:hanging="360"/>
      </w:pPr>
      <w:rPr>
        <w:rFonts w:ascii="Times New Roman" w:hAnsi="Times New Roman" w:cs="Times New Roman" w:hint="default"/>
        <w:b w:val="0"/>
        <w:i w:val="0"/>
        <w:sz w:val="22"/>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4" w15:restartNumberingAfterBreak="0">
    <w:nsid w:val="29170CA0"/>
    <w:multiLevelType w:val="multilevel"/>
    <w:tmpl w:val="015C884A"/>
    <w:styleLink w:val="Chapternumbering"/>
    <w:lvl w:ilvl="0">
      <w:start w:val="1"/>
      <w:numFmt w:val="decimal"/>
      <w:pStyle w:val="Chapterheading"/>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ormalparatextwithnumbers"/>
      <w:lvlText w:val="%1.%2"/>
      <w:lvlJc w:val="left"/>
      <w:pPr>
        <w:tabs>
          <w:tab w:val="num" w:pos="709"/>
        </w:tabs>
        <w:ind w:left="709" w:hanging="709"/>
      </w:pPr>
      <w:rPr>
        <w:rFonts w:hint="default"/>
      </w:rPr>
    </w:lvl>
    <w:lvl w:ilvl="2">
      <w:start w:val="1"/>
      <w:numFmt w:val="decimal"/>
      <w:lvlRestart w:val="1"/>
      <w:pStyle w:val="DiagramHeading"/>
      <w:suff w:val="space"/>
      <w:lvlText w:val="Diagram %1.%3"/>
      <w:lvlJc w:val="left"/>
      <w:pPr>
        <w:ind w:left="1701" w:hanging="1701"/>
      </w:pPr>
      <w:rPr>
        <w:rFonts w:hint="default"/>
      </w:rPr>
    </w:lvl>
    <w:lvl w:ilvl="3">
      <w:start w:val="1"/>
      <w:numFmt w:val="decimal"/>
      <w:lvlRestart w:val="1"/>
      <w:pStyle w:val="ExampleHeading"/>
      <w:suff w:val="space"/>
      <w:lvlText w:val="Example %1.%4"/>
      <w:lvlJc w:val="left"/>
      <w:pPr>
        <w:ind w:left="1701" w:hanging="1701"/>
      </w:pPr>
      <w:rPr>
        <w:rFonts w:hint="default"/>
      </w:rPr>
    </w:lvl>
    <w:lvl w:ilvl="4">
      <w:start w:val="1"/>
      <w:numFmt w:val="decimal"/>
      <w:lvlRestart w:val="1"/>
      <w:pStyle w:val="TableHeading"/>
      <w:suff w:val="space"/>
      <w:lvlText w:val="Table %1.%5"/>
      <w:lvlJc w:val="left"/>
      <w:pPr>
        <w:ind w:left="1701" w:hanging="1701"/>
      </w:pPr>
      <w:rPr>
        <w:rFonts w:hint="default"/>
      </w:rPr>
    </w:lvl>
    <w:lvl w:ilvl="5">
      <w:start w:val="1"/>
      <w:numFmt w:val="none"/>
      <w:lvlRestart w:val="0"/>
      <w:suff w:val="nothing"/>
      <w:lvlText w:val=""/>
      <w:lvlJc w:val="left"/>
      <w:pPr>
        <w:ind w:left="0" w:firstLine="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2B7E2A"/>
    <w:multiLevelType w:val="hybridMultilevel"/>
    <w:tmpl w:val="BBD8CBD2"/>
    <w:lvl w:ilvl="0" w:tplc="F154CDD8">
      <w:start w:val="1"/>
      <w:numFmt w:val="bullet"/>
      <w:pStyle w:val="Dotpoin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06B0A42"/>
    <w:multiLevelType w:val="hybridMultilevel"/>
    <w:tmpl w:val="3970DC8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3832D47"/>
    <w:multiLevelType w:val="hybridMultilevel"/>
    <w:tmpl w:val="6F7A201E"/>
    <w:lvl w:ilvl="0" w:tplc="6440602C">
      <w:start w:val="1"/>
      <w:numFmt w:val="bullet"/>
      <w:pStyle w:val="Exampledotpoint2"/>
      <w:lvlText w:val="‒"/>
      <w:lvlJc w:val="left"/>
      <w:pPr>
        <w:ind w:left="1928" w:hanging="360"/>
      </w:pPr>
      <w:rPr>
        <w:rFonts w:ascii="Times New Roman" w:hAnsi="Times New Roman" w:cs="Times New Roman" w:hint="default"/>
        <w:b w:val="0"/>
        <w:i w:val="0"/>
        <w:sz w:val="22"/>
      </w:rPr>
    </w:lvl>
    <w:lvl w:ilvl="1" w:tplc="0C090003" w:tentative="1">
      <w:start w:val="1"/>
      <w:numFmt w:val="bullet"/>
      <w:lvlText w:val="o"/>
      <w:lvlJc w:val="left"/>
      <w:pPr>
        <w:ind w:left="2648" w:hanging="360"/>
      </w:pPr>
      <w:rPr>
        <w:rFonts w:ascii="Courier New" w:hAnsi="Courier New" w:cs="Courier New" w:hint="default"/>
      </w:rPr>
    </w:lvl>
    <w:lvl w:ilvl="2" w:tplc="0C090005" w:tentative="1">
      <w:start w:val="1"/>
      <w:numFmt w:val="bullet"/>
      <w:lvlText w:val=""/>
      <w:lvlJc w:val="left"/>
      <w:pPr>
        <w:ind w:left="3368" w:hanging="360"/>
      </w:pPr>
      <w:rPr>
        <w:rFonts w:ascii="Wingdings" w:hAnsi="Wingdings" w:hint="default"/>
      </w:rPr>
    </w:lvl>
    <w:lvl w:ilvl="3" w:tplc="0C090001" w:tentative="1">
      <w:start w:val="1"/>
      <w:numFmt w:val="bullet"/>
      <w:lvlText w:val=""/>
      <w:lvlJc w:val="left"/>
      <w:pPr>
        <w:ind w:left="4088" w:hanging="360"/>
      </w:pPr>
      <w:rPr>
        <w:rFonts w:ascii="Symbol" w:hAnsi="Symbol" w:hint="default"/>
      </w:rPr>
    </w:lvl>
    <w:lvl w:ilvl="4" w:tplc="0C090003" w:tentative="1">
      <w:start w:val="1"/>
      <w:numFmt w:val="bullet"/>
      <w:lvlText w:val="o"/>
      <w:lvlJc w:val="left"/>
      <w:pPr>
        <w:ind w:left="4808" w:hanging="360"/>
      </w:pPr>
      <w:rPr>
        <w:rFonts w:ascii="Courier New" w:hAnsi="Courier New" w:cs="Courier New" w:hint="default"/>
      </w:rPr>
    </w:lvl>
    <w:lvl w:ilvl="5" w:tplc="0C090005" w:tentative="1">
      <w:start w:val="1"/>
      <w:numFmt w:val="bullet"/>
      <w:lvlText w:val=""/>
      <w:lvlJc w:val="left"/>
      <w:pPr>
        <w:ind w:left="5528" w:hanging="360"/>
      </w:pPr>
      <w:rPr>
        <w:rFonts w:ascii="Wingdings" w:hAnsi="Wingdings" w:hint="default"/>
      </w:rPr>
    </w:lvl>
    <w:lvl w:ilvl="6" w:tplc="0C090001" w:tentative="1">
      <w:start w:val="1"/>
      <w:numFmt w:val="bullet"/>
      <w:lvlText w:val=""/>
      <w:lvlJc w:val="left"/>
      <w:pPr>
        <w:ind w:left="6248" w:hanging="360"/>
      </w:pPr>
      <w:rPr>
        <w:rFonts w:ascii="Symbol" w:hAnsi="Symbol" w:hint="default"/>
      </w:rPr>
    </w:lvl>
    <w:lvl w:ilvl="7" w:tplc="0C090003" w:tentative="1">
      <w:start w:val="1"/>
      <w:numFmt w:val="bullet"/>
      <w:lvlText w:val="o"/>
      <w:lvlJc w:val="left"/>
      <w:pPr>
        <w:ind w:left="6968" w:hanging="360"/>
      </w:pPr>
      <w:rPr>
        <w:rFonts w:ascii="Courier New" w:hAnsi="Courier New" w:cs="Courier New" w:hint="default"/>
      </w:rPr>
    </w:lvl>
    <w:lvl w:ilvl="8" w:tplc="0C090005" w:tentative="1">
      <w:start w:val="1"/>
      <w:numFmt w:val="bullet"/>
      <w:lvlText w:val=""/>
      <w:lvlJc w:val="left"/>
      <w:pPr>
        <w:ind w:left="7688" w:hanging="360"/>
      </w:pPr>
      <w:rPr>
        <w:rFonts w:ascii="Wingdings" w:hAnsi="Wingdings" w:hint="default"/>
      </w:rPr>
    </w:lvl>
  </w:abstractNum>
  <w:abstractNum w:abstractNumId="8" w15:restartNumberingAfterBreak="0">
    <w:nsid w:val="45F63EEB"/>
    <w:multiLevelType w:val="multilevel"/>
    <w:tmpl w:val="F586D2D0"/>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D393011"/>
    <w:multiLevelType w:val="hybridMultilevel"/>
    <w:tmpl w:val="11FA1D2A"/>
    <w:lvl w:ilvl="0" w:tplc="35E2AAE4">
      <w:start w:val="1"/>
      <w:numFmt w:val="bullet"/>
      <w:pStyle w:val="Exampledotpoin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DE3293"/>
    <w:multiLevelType w:val="hybridMultilevel"/>
    <w:tmpl w:val="DACEC83A"/>
    <w:lvl w:ilvl="0" w:tplc="055A8A32">
      <w:start w:val="1"/>
      <w:numFmt w:val="bullet"/>
      <w:pStyle w:val="Tabledotpoint1"/>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11" w15:restartNumberingAfterBreak="0">
    <w:nsid w:val="5FBC7E8D"/>
    <w:multiLevelType w:val="singleLevel"/>
    <w:tmpl w:val="83A0FB46"/>
    <w:name w:val="BaseTextParagraphList"/>
    <w:lvl w:ilvl="0">
      <w:start w:val="1"/>
      <w:numFmt w:val="decimal"/>
      <w:lvlRestart w:val="0"/>
      <w:pStyle w:val="base-text-paragraph"/>
      <w:lvlText w:val="%1."/>
      <w:lvlJc w:val="left"/>
      <w:pPr>
        <w:tabs>
          <w:tab w:val="num" w:pos="2834"/>
        </w:tabs>
        <w:ind w:left="1990" w:firstLine="0"/>
      </w:pPr>
      <w:rPr>
        <w:b w:val="0"/>
        <w:i w:val="0"/>
        <w:color w:val="000000"/>
      </w:rPr>
    </w:lvl>
  </w:abstractNum>
  <w:abstractNum w:abstractNumId="12" w15:restartNumberingAfterBreak="0">
    <w:nsid w:val="60490B74"/>
    <w:multiLevelType w:val="hybridMultilevel"/>
    <w:tmpl w:val="EC7866F8"/>
    <w:lvl w:ilvl="0" w:tplc="A588DE40">
      <w:start w:val="1"/>
      <w:numFmt w:val="bullet"/>
      <w:pStyle w:val="Instructionalguidancedotpoin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E97FDF"/>
    <w:multiLevelType w:val="hybridMultilevel"/>
    <w:tmpl w:val="543E5738"/>
    <w:lvl w:ilvl="0" w:tplc="0AFCCC26">
      <w:start w:val="1"/>
      <w:numFmt w:val="decimal"/>
      <w:pStyle w:val="Instructionalguidancenumbered"/>
      <w:lvlText w:val="%1."/>
      <w:lvlJc w:val="left"/>
      <w:pPr>
        <w:ind w:left="108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80645C"/>
    <w:multiLevelType w:val="multilevel"/>
    <w:tmpl w:val="51D49B14"/>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7AF255FB"/>
    <w:multiLevelType w:val="hybridMultilevel"/>
    <w:tmpl w:val="954AB974"/>
    <w:lvl w:ilvl="0" w:tplc="088E8732">
      <w:start w:val="1"/>
      <w:numFmt w:val="bullet"/>
      <w:pStyle w:val="Tabledotpoint2"/>
      <w:lvlText w:val="‒"/>
      <w:lvlJc w:val="left"/>
      <w:pPr>
        <w:ind w:left="786" w:hanging="360"/>
      </w:pPr>
      <w:rPr>
        <w:rFonts w:ascii="Times New Roman" w:hAnsi="Times New Roman" w:cs="Times New Roman" w:hint="default"/>
        <w:b w:val="0"/>
        <w:i w:val="0"/>
        <w:sz w:val="22"/>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6" w15:restartNumberingAfterBreak="0">
    <w:nsid w:val="7B891783"/>
    <w:multiLevelType w:val="hybridMultilevel"/>
    <w:tmpl w:val="0CCE9FEC"/>
    <w:lvl w:ilvl="0" w:tplc="0B52848A">
      <w:start w:val="1"/>
      <w:numFmt w:val="bullet"/>
      <w:pStyle w:val="Dotpoint2"/>
      <w:lvlText w:val="‒"/>
      <w:lvlJc w:val="left"/>
      <w:pPr>
        <w:ind w:left="720" w:hanging="360"/>
      </w:pPr>
      <w:rPr>
        <w:rFonts w:ascii="Times New Roman" w:hAnsi="Times New Roman" w:cs="Times New Roman" w:hint="default"/>
        <w:b w:val="0"/>
        <w:i w:val="0"/>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4"/>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
    <w:abstractNumId w:val="4"/>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
    <w:abstractNumId w:val="4"/>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6">
    <w:abstractNumId w:val="4"/>
  </w:num>
  <w:num w:numId="7">
    <w:abstractNumId w:val="4"/>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8">
    <w:abstractNumId w:val="5"/>
  </w:num>
  <w:num w:numId="9">
    <w:abstractNumId w:val="16"/>
  </w:num>
  <w:num w:numId="10">
    <w:abstractNumId w:val="9"/>
  </w:num>
  <w:num w:numId="11">
    <w:abstractNumId w:val="7"/>
  </w:num>
  <w:num w:numId="12">
    <w:abstractNumId w:val="4"/>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3">
    <w:abstractNumId w:val="14"/>
  </w:num>
  <w:num w:numId="14">
    <w:abstractNumId w:val="12"/>
  </w:num>
  <w:num w:numId="15">
    <w:abstractNumId w:val="13"/>
  </w:num>
  <w:num w:numId="16">
    <w:abstractNumId w:val="4"/>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7">
    <w:abstractNumId w:val="5"/>
  </w:num>
  <w:num w:numId="18">
    <w:abstractNumId w:val="3"/>
  </w:num>
  <w:num w:numId="19">
    <w:abstractNumId w:val="10"/>
  </w:num>
  <w:num w:numId="20">
    <w:abstractNumId w:val="15"/>
  </w:num>
  <w:num w:numId="21">
    <w:abstractNumId w:val="14"/>
  </w:num>
  <w:num w:numId="22">
    <w:abstractNumId w:val="2"/>
  </w:num>
  <w:num w:numId="23">
    <w:abstractNumId w:val="11"/>
  </w:num>
  <w:num w:numId="24">
    <w:abstractNumId w:val="8"/>
  </w:num>
  <w:num w:numId="25">
    <w:abstractNumId w:val="0"/>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attachedTemplate r:id="rId1"/>
  <w:defaultTabStop w:val="720"/>
  <w:evenAndOddHeaders/>
  <w:characterSpacingControl w:val="doNotCompress"/>
  <w:hdrShapeDefaults>
    <o:shapedefaults v:ext="edit" spidmax="2074"/>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59F"/>
    <w:rsid w:val="00000BFC"/>
    <w:rsid w:val="00001FB8"/>
    <w:rsid w:val="000144D8"/>
    <w:rsid w:val="000148DE"/>
    <w:rsid w:val="00017B8A"/>
    <w:rsid w:val="000217AD"/>
    <w:rsid w:val="00021DAA"/>
    <w:rsid w:val="00032EEC"/>
    <w:rsid w:val="00035815"/>
    <w:rsid w:val="00036D20"/>
    <w:rsid w:val="00037E6E"/>
    <w:rsid w:val="00040058"/>
    <w:rsid w:val="00040BB5"/>
    <w:rsid w:val="000424CB"/>
    <w:rsid w:val="00043E2B"/>
    <w:rsid w:val="000457A5"/>
    <w:rsid w:val="00047FF2"/>
    <w:rsid w:val="00053BE2"/>
    <w:rsid w:val="000577F1"/>
    <w:rsid w:val="000579B4"/>
    <w:rsid w:val="00057AEB"/>
    <w:rsid w:val="00063914"/>
    <w:rsid w:val="00065262"/>
    <w:rsid w:val="0006606F"/>
    <w:rsid w:val="00071156"/>
    <w:rsid w:val="000802FF"/>
    <w:rsid w:val="00081FE8"/>
    <w:rsid w:val="00083428"/>
    <w:rsid w:val="000852A0"/>
    <w:rsid w:val="00087F47"/>
    <w:rsid w:val="00087FE9"/>
    <w:rsid w:val="00090A2C"/>
    <w:rsid w:val="000937F0"/>
    <w:rsid w:val="000A1A4A"/>
    <w:rsid w:val="000A30A3"/>
    <w:rsid w:val="000A3230"/>
    <w:rsid w:val="000A7055"/>
    <w:rsid w:val="000B29A7"/>
    <w:rsid w:val="000B2AB8"/>
    <w:rsid w:val="000B5352"/>
    <w:rsid w:val="000B6B3E"/>
    <w:rsid w:val="000B6F64"/>
    <w:rsid w:val="000B7D6E"/>
    <w:rsid w:val="000D4040"/>
    <w:rsid w:val="000D4CC3"/>
    <w:rsid w:val="000E0416"/>
    <w:rsid w:val="000E2743"/>
    <w:rsid w:val="000E4D39"/>
    <w:rsid w:val="000E521B"/>
    <w:rsid w:val="000E720F"/>
    <w:rsid w:val="000F7C48"/>
    <w:rsid w:val="001001EA"/>
    <w:rsid w:val="00101AB9"/>
    <w:rsid w:val="00105A67"/>
    <w:rsid w:val="00105E85"/>
    <w:rsid w:val="00106FDC"/>
    <w:rsid w:val="00107365"/>
    <w:rsid w:val="00111320"/>
    <w:rsid w:val="00111D98"/>
    <w:rsid w:val="00113390"/>
    <w:rsid w:val="001136CA"/>
    <w:rsid w:val="00115509"/>
    <w:rsid w:val="0011630F"/>
    <w:rsid w:val="001166B1"/>
    <w:rsid w:val="001227A2"/>
    <w:rsid w:val="00126097"/>
    <w:rsid w:val="00126474"/>
    <w:rsid w:val="00135D2D"/>
    <w:rsid w:val="00137CB6"/>
    <w:rsid w:val="00140D1D"/>
    <w:rsid w:val="001416B3"/>
    <w:rsid w:val="00141701"/>
    <w:rsid w:val="001431C7"/>
    <w:rsid w:val="00144CC6"/>
    <w:rsid w:val="00145C73"/>
    <w:rsid w:val="00150E73"/>
    <w:rsid w:val="001534C2"/>
    <w:rsid w:val="00156C5C"/>
    <w:rsid w:val="00157FCF"/>
    <w:rsid w:val="00161FDE"/>
    <w:rsid w:val="00163457"/>
    <w:rsid w:val="00170401"/>
    <w:rsid w:val="00170604"/>
    <w:rsid w:val="00170C78"/>
    <w:rsid w:val="00171AD4"/>
    <w:rsid w:val="0017249B"/>
    <w:rsid w:val="001741A2"/>
    <w:rsid w:val="0017528C"/>
    <w:rsid w:val="001754A4"/>
    <w:rsid w:val="001825B4"/>
    <w:rsid w:val="001934AF"/>
    <w:rsid w:val="00194B06"/>
    <w:rsid w:val="00194C2B"/>
    <w:rsid w:val="00195D1C"/>
    <w:rsid w:val="001A034E"/>
    <w:rsid w:val="001A0E43"/>
    <w:rsid w:val="001A14E4"/>
    <w:rsid w:val="001A289E"/>
    <w:rsid w:val="001B00BF"/>
    <w:rsid w:val="001B07FA"/>
    <w:rsid w:val="001B1306"/>
    <w:rsid w:val="001B34A7"/>
    <w:rsid w:val="001B36CE"/>
    <w:rsid w:val="001C066E"/>
    <w:rsid w:val="001C0966"/>
    <w:rsid w:val="001C3A40"/>
    <w:rsid w:val="001C53A6"/>
    <w:rsid w:val="001C5A35"/>
    <w:rsid w:val="001C5CBF"/>
    <w:rsid w:val="001C73FC"/>
    <w:rsid w:val="001D25B1"/>
    <w:rsid w:val="001D48CD"/>
    <w:rsid w:val="001D60FE"/>
    <w:rsid w:val="001E01BF"/>
    <w:rsid w:val="001E3514"/>
    <w:rsid w:val="001E483B"/>
    <w:rsid w:val="001F2AE0"/>
    <w:rsid w:val="001F5725"/>
    <w:rsid w:val="001F73D8"/>
    <w:rsid w:val="0020130E"/>
    <w:rsid w:val="00204000"/>
    <w:rsid w:val="002077D0"/>
    <w:rsid w:val="00211873"/>
    <w:rsid w:val="002133AD"/>
    <w:rsid w:val="00214D87"/>
    <w:rsid w:val="002151FA"/>
    <w:rsid w:val="00217171"/>
    <w:rsid w:val="00217337"/>
    <w:rsid w:val="00226FF7"/>
    <w:rsid w:val="002308B1"/>
    <w:rsid w:val="00230C17"/>
    <w:rsid w:val="00232BF4"/>
    <w:rsid w:val="0023409D"/>
    <w:rsid w:val="00234CD2"/>
    <w:rsid w:val="00241349"/>
    <w:rsid w:val="00241B82"/>
    <w:rsid w:val="002425D9"/>
    <w:rsid w:val="00242B2A"/>
    <w:rsid w:val="0024784F"/>
    <w:rsid w:val="00250844"/>
    <w:rsid w:val="00251E2D"/>
    <w:rsid w:val="00251F9B"/>
    <w:rsid w:val="00256473"/>
    <w:rsid w:val="002577F5"/>
    <w:rsid w:val="00260A13"/>
    <w:rsid w:val="00260B8B"/>
    <w:rsid w:val="00260F33"/>
    <w:rsid w:val="002629D3"/>
    <w:rsid w:val="00262ACA"/>
    <w:rsid w:val="0026577F"/>
    <w:rsid w:val="00266DF5"/>
    <w:rsid w:val="00267E99"/>
    <w:rsid w:val="002704BC"/>
    <w:rsid w:val="00271E2F"/>
    <w:rsid w:val="00274D5C"/>
    <w:rsid w:val="00276753"/>
    <w:rsid w:val="00280F0F"/>
    <w:rsid w:val="00280FA9"/>
    <w:rsid w:val="00281B9F"/>
    <w:rsid w:val="00281F59"/>
    <w:rsid w:val="002821D7"/>
    <w:rsid w:val="0028303E"/>
    <w:rsid w:val="002858B8"/>
    <w:rsid w:val="002872AB"/>
    <w:rsid w:val="002935AC"/>
    <w:rsid w:val="00295C5D"/>
    <w:rsid w:val="00297081"/>
    <w:rsid w:val="002A2137"/>
    <w:rsid w:val="002A25DE"/>
    <w:rsid w:val="002A2857"/>
    <w:rsid w:val="002A52E5"/>
    <w:rsid w:val="002A615D"/>
    <w:rsid w:val="002B0B67"/>
    <w:rsid w:val="002B13DC"/>
    <w:rsid w:val="002B1D9E"/>
    <w:rsid w:val="002B20A6"/>
    <w:rsid w:val="002B623C"/>
    <w:rsid w:val="002B6B9D"/>
    <w:rsid w:val="002B6F60"/>
    <w:rsid w:val="002C0398"/>
    <w:rsid w:val="002C089E"/>
    <w:rsid w:val="002C3A53"/>
    <w:rsid w:val="002C40F8"/>
    <w:rsid w:val="002C78D6"/>
    <w:rsid w:val="002D080A"/>
    <w:rsid w:val="002D2B5F"/>
    <w:rsid w:val="002D2B9B"/>
    <w:rsid w:val="002E1DB7"/>
    <w:rsid w:val="002E5BBE"/>
    <w:rsid w:val="002F1CB0"/>
    <w:rsid w:val="002F2565"/>
    <w:rsid w:val="002F4B60"/>
    <w:rsid w:val="002F559F"/>
    <w:rsid w:val="002F6B2B"/>
    <w:rsid w:val="00310E66"/>
    <w:rsid w:val="00311057"/>
    <w:rsid w:val="0031330D"/>
    <w:rsid w:val="00313C56"/>
    <w:rsid w:val="0031597C"/>
    <w:rsid w:val="00315D81"/>
    <w:rsid w:val="00315FDC"/>
    <w:rsid w:val="00326313"/>
    <w:rsid w:val="003312CE"/>
    <w:rsid w:val="00335F33"/>
    <w:rsid w:val="00341AFB"/>
    <w:rsid w:val="00344B04"/>
    <w:rsid w:val="00345AE8"/>
    <w:rsid w:val="00346217"/>
    <w:rsid w:val="0035074D"/>
    <w:rsid w:val="00350BFA"/>
    <w:rsid w:val="00351274"/>
    <w:rsid w:val="00351D4D"/>
    <w:rsid w:val="0035417C"/>
    <w:rsid w:val="003556BF"/>
    <w:rsid w:val="003600BA"/>
    <w:rsid w:val="0036446A"/>
    <w:rsid w:val="0036790F"/>
    <w:rsid w:val="00376B05"/>
    <w:rsid w:val="00376D7C"/>
    <w:rsid w:val="00382E7E"/>
    <w:rsid w:val="00383864"/>
    <w:rsid w:val="00387402"/>
    <w:rsid w:val="00387553"/>
    <w:rsid w:val="003909C6"/>
    <w:rsid w:val="0039156B"/>
    <w:rsid w:val="0039391C"/>
    <w:rsid w:val="00395925"/>
    <w:rsid w:val="003959F8"/>
    <w:rsid w:val="003971ED"/>
    <w:rsid w:val="003A0372"/>
    <w:rsid w:val="003A0EEF"/>
    <w:rsid w:val="003A1405"/>
    <w:rsid w:val="003A1FCF"/>
    <w:rsid w:val="003A5C80"/>
    <w:rsid w:val="003B00AB"/>
    <w:rsid w:val="003B078C"/>
    <w:rsid w:val="003B71EB"/>
    <w:rsid w:val="003C0436"/>
    <w:rsid w:val="003C5652"/>
    <w:rsid w:val="003D0510"/>
    <w:rsid w:val="003D0F77"/>
    <w:rsid w:val="003D60FB"/>
    <w:rsid w:val="003D7301"/>
    <w:rsid w:val="003D7385"/>
    <w:rsid w:val="003F127E"/>
    <w:rsid w:val="003F1AD7"/>
    <w:rsid w:val="003F52C6"/>
    <w:rsid w:val="003F5E9A"/>
    <w:rsid w:val="00403C89"/>
    <w:rsid w:val="00403CBA"/>
    <w:rsid w:val="0040471E"/>
    <w:rsid w:val="00411053"/>
    <w:rsid w:val="00413061"/>
    <w:rsid w:val="00414017"/>
    <w:rsid w:val="004233D6"/>
    <w:rsid w:val="00423724"/>
    <w:rsid w:val="004240C0"/>
    <w:rsid w:val="00427EDF"/>
    <w:rsid w:val="00430A32"/>
    <w:rsid w:val="00431E4B"/>
    <w:rsid w:val="00436B0B"/>
    <w:rsid w:val="00440377"/>
    <w:rsid w:val="00443471"/>
    <w:rsid w:val="0044362C"/>
    <w:rsid w:val="00444D28"/>
    <w:rsid w:val="00453901"/>
    <w:rsid w:val="004543E1"/>
    <w:rsid w:val="00454A9C"/>
    <w:rsid w:val="00456AC9"/>
    <w:rsid w:val="004603EF"/>
    <w:rsid w:val="004736A4"/>
    <w:rsid w:val="0047593B"/>
    <w:rsid w:val="00477C04"/>
    <w:rsid w:val="00480EB2"/>
    <w:rsid w:val="00484467"/>
    <w:rsid w:val="00484E68"/>
    <w:rsid w:val="00485FD0"/>
    <w:rsid w:val="00486D44"/>
    <w:rsid w:val="0049165D"/>
    <w:rsid w:val="004919C0"/>
    <w:rsid w:val="00492729"/>
    <w:rsid w:val="0049480A"/>
    <w:rsid w:val="0049480F"/>
    <w:rsid w:val="00496642"/>
    <w:rsid w:val="00496C21"/>
    <w:rsid w:val="004971E2"/>
    <w:rsid w:val="00497631"/>
    <w:rsid w:val="004978DB"/>
    <w:rsid w:val="004A17FC"/>
    <w:rsid w:val="004A4A6F"/>
    <w:rsid w:val="004A5230"/>
    <w:rsid w:val="004A5869"/>
    <w:rsid w:val="004B0ECD"/>
    <w:rsid w:val="004B1C70"/>
    <w:rsid w:val="004B1F33"/>
    <w:rsid w:val="004B26E2"/>
    <w:rsid w:val="004C1279"/>
    <w:rsid w:val="004C3B63"/>
    <w:rsid w:val="004D38F6"/>
    <w:rsid w:val="004D7E24"/>
    <w:rsid w:val="004E00D3"/>
    <w:rsid w:val="004E1B40"/>
    <w:rsid w:val="004E1C91"/>
    <w:rsid w:val="004E419E"/>
    <w:rsid w:val="004E5AD0"/>
    <w:rsid w:val="004F23C3"/>
    <w:rsid w:val="004F282D"/>
    <w:rsid w:val="004F2A49"/>
    <w:rsid w:val="004F68C8"/>
    <w:rsid w:val="004F7C15"/>
    <w:rsid w:val="005031EC"/>
    <w:rsid w:val="00505347"/>
    <w:rsid w:val="005066F5"/>
    <w:rsid w:val="005077B3"/>
    <w:rsid w:val="00507C3D"/>
    <w:rsid w:val="00510AA7"/>
    <w:rsid w:val="00511B69"/>
    <w:rsid w:val="0051602A"/>
    <w:rsid w:val="00517D6E"/>
    <w:rsid w:val="005214BF"/>
    <w:rsid w:val="00521BF0"/>
    <w:rsid w:val="005253F2"/>
    <w:rsid w:val="00531C67"/>
    <w:rsid w:val="00531FA1"/>
    <w:rsid w:val="005356CB"/>
    <w:rsid w:val="00536EF4"/>
    <w:rsid w:val="00536F76"/>
    <w:rsid w:val="0053796A"/>
    <w:rsid w:val="0054212D"/>
    <w:rsid w:val="00542F61"/>
    <w:rsid w:val="00545457"/>
    <w:rsid w:val="005515C0"/>
    <w:rsid w:val="00566506"/>
    <w:rsid w:val="0056675C"/>
    <w:rsid w:val="00571997"/>
    <w:rsid w:val="00582571"/>
    <w:rsid w:val="00583CE6"/>
    <w:rsid w:val="0059200B"/>
    <w:rsid w:val="005935A8"/>
    <w:rsid w:val="00593F90"/>
    <w:rsid w:val="00595F45"/>
    <w:rsid w:val="00596442"/>
    <w:rsid w:val="005A21CF"/>
    <w:rsid w:val="005A3AA3"/>
    <w:rsid w:val="005A3D66"/>
    <w:rsid w:val="005B07B9"/>
    <w:rsid w:val="005B5FFB"/>
    <w:rsid w:val="005B6EAA"/>
    <w:rsid w:val="005B7A5B"/>
    <w:rsid w:val="005C2055"/>
    <w:rsid w:val="005C2BD1"/>
    <w:rsid w:val="005C436D"/>
    <w:rsid w:val="005C5448"/>
    <w:rsid w:val="005C6C5A"/>
    <w:rsid w:val="005C71AD"/>
    <w:rsid w:val="005D0844"/>
    <w:rsid w:val="005D169F"/>
    <w:rsid w:val="005D17E9"/>
    <w:rsid w:val="005D19EB"/>
    <w:rsid w:val="005D59E2"/>
    <w:rsid w:val="005D5F12"/>
    <w:rsid w:val="005D657A"/>
    <w:rsid w:val="005E1542"/>
    <w:rsid w:val="005E1688"/>
    <w:rsid w:val="005E19B9"/>
    <w:rsid w:val="005E21D7"/>
    <w:rsid w:val="005E2BD6"/>
    <w:rsid w:val="005E3A93"/>
    <w:rsid w:val="005E67B0"/>
    <w:rsid w:val="005E7B74"/>
    <w:rsid w:val="005F123A"/>
    <w:rsid w:val="005F1ABE"/>
    <w:rsid w:val="005F3CE4"/>
    <w:rsid w:val="006042C2"/>
    <w:rsid w:val="00614F59"/>
    <w:rsid w:val="006157EE"/>
    <w:rsid w:val="006221AA"/>
    <w:rsid w:val="00622763"/>
    <w:rsid w:val="00622B46"/>
    <w:rsid w:val="006235C8"/>
    <w:rsid w:val="00624905"/>
    <w:rsid w:val="00630725"/>
    <w:rsid w:val="00631D5E"/>
    <w:rsid w:val="0063341E"/>
    <w:rsid w:val="006342F8"/>
    <w:rsid w:val="00634C1E"/>
    <w:rsid w:val="006418C1"/>
    <w:rsid w:val="00642420"/>
    <w:rsid w:val="00645F03"/>
    <w:rsid w:val="006479AC"/>
    <w:rsid w:val="00647D4E"/>
    <w:rsid w:val="00656990"/>
    <w:rsid w:val="00657E64"/>
    <w:rsid w:val="00660486"/>
    <w:rsid w:val="00662898"/>
    <w:rsid w:val="00662FBA"/>
    <w:rsid w:val="006637A0"/>
    <w:rsid w:val="006637EA"/>
    <w:rsid w:val="00671320"/>
    <w:rsid w:val="00672180"/>
    <w:rsid w:val="00677130"/>
    <w:rsid w:val="00681B36"/>
    <w:rsid w:val="00683847"/>
    <w:rsid w:val="00686D68"/>
    <w:rsid w:val="006A2BC6"/>
    <w:rsid w:val="006B29DA"/>
    <w:rsid w:val="006C192F"/>
    <w:rsid w:val="006C3E71"/>
    <w:rsid w:val="006C40A4"/>
    <w:rsid w:val="006D005D"/>
    <w:rsid w:val="006D12F3"/>
    <w:rsid w:val="006E0237"/>
    <w:rsid w:val="006E09BB"/>
    <w:rsid w:val="006E699E"/>
    <w:rsid w:val="006E74AC"/>
    <w:rsid w:val="006E7FC6"/>
    <w:rsid w:val="006F1EE1"/>
    <w:rsid w:val="006F4987"/>
    <w:rsid w:val="00703F5F"/>
    <w:rsid w:val="00704223"/>
    <w:rsid w:val="00711041"/>
    <w:rsid w:val="007135A2"/>
    <w:rsid w:val="007145E8"/>
    <w:rsid w:val="007216A6"/>
    <w:rsid w:val="00721CA3"/>
    <w:rsid w:val="007316F6"/>
    <w:rsid w:val="00731BE4"/>
    <w:rsid w:val="00732B58"/>
    <w:rsid w:val="0073326A"/>
    <w:rsid w:val="00734238"/>
    <w:rsid w:val="00734EBB"/>
    <w:rsid w:val="007353BA"/>
    <w:rsid w:val="00741F68"/>
    <w:rsid w:val="007426A8"/>
    <w:rsid w:val="0074298B"/>
    <w:rsid w:val="0074484A"/>
    <w:rsid w:val="007479A1"/>
    <w:rsid w:val="00752137"/>
    <w:rsid w:val="00752190"/>
    <w:rsid w:val="0075452D"/>
    <w:rsid w:val="00755669"/>
    <w:rsid w:val="00755869"/>
    <w:rsid w:val="00755EAD"/>
    <w:rsid w:val="00756E14"/>
    <w:rsid w:val="00763484"/>
    <w:rsid w:val="00763884"/>
    <w:rsid w:val="00766853"/>
    <w:rsid w:val="00766AE2"/>
    <w:rsid w:val="00766B37"/>
    <w:rsid w:val="007719D1"/>
    <w:rsid w:val="00776617"/>
    <w:rsid w:val="00777A92"/>
    <w:rsid w:val="0078135B"/>
    <w:rsid w:val="007850A3"/>
    <w:rsid w:val="007909F6"/>
    <w:rsid w:val="007924DB"/>
    <w:rsid w:val="00797BAA"/>
    <w:rsid w:val="007A2DBD"/>
    <w:rsid w:val="007A357D"/>
    <w:rsid w:val="007A38B8"/>
    <w:rsid w:val="007A5622"/>
    <w:rsid w:val="007B0679"/>
    <w:rsid w:val="007B1509"/>
    <w:rsid w:val="007B2289"/>
    <w:rsid w:val="007B2EE6"/>
    <w:rsid w:val="007B45C1"/>
    <w:rsid w:val="007B5482"/>
    <w:rsid w:val="007B6304"/>
    <w:rsid w:val="007C1208"/>
    <w:rsid w:val="007C1F94"/>
    <w:rsid w:val="007C2065"/>
    <w:rsid w:val="007C6371"/>
    <w:rsid w:val="007C68D3"/>
    <w:rsid w:val="007D0737"/>
    <w:rsid w:val="007D4A21"/>
    <w:rsid w:val="007D548F"/>
    <w:rsid w:val="007E1ED8"/>
    <w:rsid w:val="007E530A"/>
    <w:rsid w:val="007E62B0"/>
    <w:rsid w:val="007E76DD"/>
    <w:rsid w:val="007F3B53"/>
    <w:rsid w:val="007F5700"/>
    <w:rsid w:val="008004F0"/>
    <w:rsid w:val="00804CB5"/>
    <w:rsid w:val="00806DC6"/>
    <w:rsid w:val="008111C7"/>
    <w:rsid w:val="00811CBA"/>
    <w:rsid w:val="00812C80"/>
    <w:rsid w:val="008132B7"/>
    <w:rsid w:val="00813A83"/>
    <w:rsid w:val="008170E6"/>
    <w:rsid w:val="0082284C"/>
    <w:rsid w:val="00822E86"/>
    <w:rsid w:val="008249D8"/>
    <w:rsid w:val="008262BD"/>
    <w:rsid w:val="00830923"/>
    <w:rsid w:val="008319D4"/>
    <w:rsid w:val="008330E5"/>
    <w:rsid w:val="00835F36"/>
    <w:rsid w:val="00836973"/>
    <w:rsid w:val="00837167"/>
    <w:rsid w:val="00837C1E"/>
    <w:rsid w:val="00837E93"/>
    <w:rsid w:val="00840882"/>
    <w:rsid w:val="0084175E"/>
    <w:rsid w:val="00845430"/>
    <w:rsid w:val="00850A25"/>
    <w:rsid w:val="00853915"/>
    <w:rsid w:val="00855F6B"/>
    <w:rsid w:val="00861B6B"/>
    <w:rsid w:val="0086245A"/>
    <w:rsid w:val="00867EE8"/>
    <w:rsid w:val="00870071"/>
    <w:rsid w:val="00871BC6"/>
    <w:rsid w:val="00873094"/>
    <w:rsid w:val="00877854"/>
    <w:rsid w:val="00882A54"/>
    <w:rsid w:val="00883A1C"/>
    <w:rsid w:val="008872BA"/>
    <w:rsid w:val="008904E4"/>
    <w:rsid w:val="00892FAF"/>
    <w:rsid w:val="0089590E"/>
    <w:rsid w:val="008A15EE"/>
    <w:rsid w:val="008A5A27"/>
    <w:rsid w:val="008A5E42"/>
    <w:rsid w:val="008A6A5E"/>
    <w:rsid w:val="008B7018"/>
    <w:rsid w:val="008C10FF"/>
    <w:rsid w:val="008C250E"/>
    <w:rsid w:val="008C5717"/>
    <w:rsid w:val="008D491E"/>
    <w:rsid w:val="008E166E"/>
    <w:rsid w:val="008E1CFA"/>
    <w:rsid w:val="008E3DC9"/>
    <w:rsid w:val="008E71D1"/>
    <w:rsid w:val="008F21AA"/>
    <w:rsid w:val="008F39F4"/>
    <w:rsid w:val="008F47A5"/>
    <w:rsid w:val="00900636"/>
    <w:rsid w:val="00902483"/>
    <w:rsid w:val="00904E50"/>
    <w:rsid w:val="0090662D"/>
    <w:rsid w:val="00907727"/>
    <w:rsid w:val="00907EB9"/>
    <w:rsid w:val="00910C08"/>
    <w:rsid w:val="00914EB0"/>
    <w:rsid w:val="0091575E"/>
    <w:rsid w:val="00920652"/>
    <w:rsid w:val="009215E0"/>
    <w:rsid w:val="009229D7"/>
    <w:rsid w:val="00922A02"/>
    <w:rsid w:val="00923E81"/>
    <w:rsid w:val="00926318"/>
    <w:rsid w:val="0092665F"/>
    <w:rsid w:val="00926FB0"/>
    <w:rsid w:val="009275EE"/>
    <w:rsid w:val="009314A9"/>
    <w:rsid w:val="00935D3E"/>
    <w:rsid w:val="00945DEC"/>
    <w:rsid w:val="00955C72"/>
    <w:rsid w:val="00956A2B"/>
    <w:rsid w:val="00957E8D"/>
    <w:rsid w:val="00962EC4"/>
    <w:rsid w:val="009655A0"/>
    <w:rsid w:val="00966650"/>
    <w:rsid w:val="0096683C"/>
    <w:rsid w:val="00966AFE"/>
    <w:rsid w:val="009673E0"/>
    <w:rsid w:val="00971A53"/>
    <w:rsid w:val="00971E64"/>
    <w:rsid w:val="009732E4"/>
    <w:rsid w:val="009747C3"/>
    <w:rsid w:val="00974FED"/>
    <w:rsid w:val="009805EE"/>
    <w:rsid w:val="009825BC"/>
    <w:rsid w:val="00986357"/>
    <w:rsid w:val="00986453"/>
    <w:rsid w:val="009923C2"/>
    <w:rsid w:val="0099303C"/>
    <w:rsid w:val="0099358B"/>
    <w:rsid w:val="009950E9"/>
    <w:rsid w:val="0099671D"/>
    <w:rsid w:val="009A1B28"/>
    <w:rsid w:val="009A4323"/>
    <w:rsid w:val="009A5831"/>
    <w:rsid w:val="009B622F"/>
    <w:rsid w:val="009C0D06"/>
    <w:rsid w:val="009C2953"/>
    <w:rsid w:val="009C5440"/>
    <w:rsid w:val="009C6888"/>
    <w:rsid w:val="009C69D3"/>
    <w:rsid w:val="009D095E"/>
    <w:rsid w:val="009D3439"/>
    <w:rsid w:val="009D47DC"/>
    <w:rsid w:val="009D4F51"/>
    <w:rsid w:val="009E2BAE"/>
    <w:rsid w:val="009E457C"/>
    <w:rsid w:val="009E7BA6"/>
    <w:rsid w:val="009F26F6"/>
    <w:rsid w:val="009F3565"/>
    <w:rsid w:val="009F3FA5"/>
    <w:rsid w:val="009F51A6"/>
    <w:rsid w:val="009F774F"/>
    <w:rsid w:val="00A04BF2"/>
    <w:rsid w:val="00A06F32"/>
    <w:rsid w:val="00A07C8D"/>
    <w:rsid w:val="00A117C7"/>
    <w:rsid w:val="00A12CB9"/>
    <w:rsid w:val="00A13BEA"/>
    <w:rsid w:val="00A1491C"/>
    <w:rsid w:val="00A15644"/>
    <w:rsid w:val="00A208A9"/>
    <w:rsid w:val="00A248BA"/>
    <w:rsid w:val="00A24EEA"/>
    <w:rsid w:val="00A25C8B"/>
    <w:rsid w:val="00A26C75"/>
    <w:rsid w:val="00A27F4A"/>
    <w:rsid w:val="00A30113"/>
    <w:rsid w:val="00A328B0"/>
    <w:rsid w:val="00A33669"/>
    <w:rsid w:val="00A416E0"/>
    <w:rsid w:val="00A444AF"/>
    <w:rsid w:val="00A4719B"/>
    <w:rsid w:val="00A50270"/>
    <w:rsid w:val="00A55A8B"/>
    <w:rsid w:val="00A55FA1"/>
    <w:rsid w:val="00A56AF7"/>
    <w:rsid w:val="00A63A51"/>
    <w:rsid w:val="00A66591"/>
    <w:rsid w:val="00A702CE"/>
    <w:rsid w:val="00A70F09"/>
    <w:rsid w:val="00A7111A"/>
    <w:rsid w:val="00A7377C"/>
    <w:rsid w:val="00A73AE9"/>
    <w:rsid w:val="00A742BC"/>
    <w:rsid w:val="00A74B1A"/>
    <w:rsid w:val="00A76E63"/>
    <w:rsid w:val="00A8155C"/>
    <w:rsid w:val="00A822DB"/>
    <w:rsid w:val="00A853D0"/>
    <w:rsid w:val="00A855B9"/>
    <w:rsid w:val="00A85CDE"/>
    <w:rsid w:val="00A90DA1"/>
    <w:rsid w:val="00A91042"/>
    <w:rsid w:val="00A9588A"/>
    <w:rsid w:val="00AA2654"/>
    <w:rsid w:val="00AB34FA"/>
    <w:rsid w:val="00AB5AB0"/>
    <w:rsid w:val="00AB613B"/>
    <w:rsid w:val="00AC18A1"/>
    <w:rsid w:val="00AC3AD8"/>
    <w:rsid w:val="00AC4178"/>
    <w:rsid w:val="00AC597D"/>
    <w:rsid w:val="00AC5A43"/>
    <w:rsid w:val="00AC6D2B"/>
    <w:rsid w:val="00AD13D7"/>
    <w:rsid w:val="00AD408D"/>
    <w:rsid w:val="00AD5981"/>
    <w:rsid w:val="00AE2C88"/>
    <w:rsid w:val="00AE31B1"/>
    <w:rsid w:val="00AE65DF"/>
    <w:rsid w:val="00AF31E8"/>
    <w:rsid w:val="00AF33C4"/>
    <w:rsid w:val="00AF50CE"/>
    <w:rsid w:val="00AF6E6A"/>
    <w:rsid w:val="00AF7CC4"/>
    <w:rsid w:val="00B011CC"/>
    <w:rsid w:val="00B06C7A"/>
    <w:rsid w:val="00B07271"/>
    <w:rsid w:val="00B17F36"/>
    <w:rsid w:val="00B23ACE"/>
    <w:rsid w:val="00B255C5"/>
    <w:rsid w:val="00B25924"/>
    <w:rsid w:val="00B36028"/>
    <w:rsid w:val="00B36649"/>
    <w:rsid w:val="00B415E0"/>
    <w:rsid w:val="00B42F77"/>
    <w:rsid w:val="00B45DFB"/>
    <w:rsid w:val="00B46334"/>
    <w:rsid w:val="00B53272"/>
    <w:rsid w:val="00B54394"/>
    <w:rsid w:val="00B567E4"/>
    <w:rsid w:val="00B61EF2"/>
    <w:rsid w:val="00B623B2"/>
    <w:rsid w:val="00B63D8C"/>
    <w:rsid w:val="00B65CF9"/>
    <w:rsid w:val="00B65EE1"/>
    <w:rsid w:val="00B70AEF"/>
    <w:rsid w:val="00B723A6"/>
    <w:rsid w:val="00B73932"/>
    <w:rsid w:val="00B7393A"/>
    <w:rsid w:val="00B75FCD"/>
    <w:rsid w:val="00B772A8"/>
    <w:rsid w:val="00B77689"/>
    <w:rsid w:val="00B77D03"/>
    <w:rsid w:val="00B8187E"/>
    <w:rsid w:val="00B8613C"/>
    <w:rsid w:val="00B9154F"/>
    <w:rsid w:val="00B96479"/>
    <w:rsid w:val="00B9694F"/>
    <w:rsid w:val="00BA34D8"/>
    <w:rsid w:val="00BA4452"/>
    <w:rsid w:val="00BA54C2"/>
    <w:rsid w:val="00BB326F"/>
    <w:rsid w:val="00BB3666"/>
    <w:rsid w:val="00BB57FA"/>
    <w:rsid w:val="00BB5D89"/>
    <w:rsid w:val="00BB6B78"/>
    <w:rsid w:val="00BC2E4A"/>
    <w:rsid w:val="00BC3F1E"/>
    <w:rsid w:val="00BC40CE"/>
    <w:rsid w:val="00BC6C50"/>
    <w:rsid w:val="00BC70F4"/>
    <w:rsid w:val="00BD0751"/>
    <w:rsid w:val="00BD07DF"/>
    <w:rsid w:val="00BD1AFC"/>
    <w:rsid w:val="00BD2A7F"/>
    <w:rsid w:val="00BD38FF"/>
    <w:rsid w:val="00BE29B4"/>
    <w:rsid w:val="00BE2AC7"/>
    <w:rsid w:val="00BE41F6"/>
    <w:rsid w:val="00BE4804"/>
    <w:rsid w:val="00BE5BC9"/>
    <w:rsid w:val="00BE6AB3"/>
    <w:rsid w:val="00BF2F7B"/>
    <w:rsid w:val="00BF39F8"/>
    <w:rsid w:val="00C026E1"/>
    <w:rsid w:val="00C1298C"/>
    <w:rsid w:val="00C13E3E"/>
    <w:rsid w:val="00C2087B"/>
    <w:rsid w:val="00C22003"/>
    <w:rsid w:val="00C227F7"/>
    <w:rsid w:val="00C23579"/>
    <w:rsid w:val="00C25E39"/>
    <w:rsid w:val="00C2649F"/>
    <w:rsid w:val="00C30E70"/>
    <w:rsid w:val="00C42DCC"/>
    <w:rsid w:val="00C515B8"/>
    <w:rsid w:val="00C5653A"/>
    <w:rsid w:val="00C57052"/>
    <w:rsid w:val="00C570D6"/>
    <w:rsid w:val="00C63AA4"/>
    <w:rsid w:val="00C6419C"/>
    <w:rsid w:val="00C71031"/>
    <w:rsid w:val="00C7406B"/>
    <w:rsid w:val="00C807FF"/>
    <w:rsid w:val="00C82A8E"/>
    <w:rsid w:val="00C86AA5"/>
    <w:rsid w:val="00C91C71"/>
    <w:rsid w:val="00C93928"/>
    <w:rsid w:val="00C93AD4"/>
    <w:rsid w:val="00C93E28"/>
    <w:rsid w:val="00CA0694"/>
    <w:rsid w:val="00CA174D"/>
    <w:rsid w:val="00CA1A2F"/>
    <w:rsid w:val="00CA49A3"/>
    <w:rsid w:val="00CA6627"/>
    <w:rsid w:val="00CA7684"/>
    <w:rsid w:val="00CA7719"/>
    <w:rsid w:val="00CB3CB6"/>
    <w:rsid w:val="00CB4F57"/>
    <w:rsid w:val="00CB5D8E"/>
    <w:rsid w:val="00CC0025"/>
    <w:rsid w:val="00CC1D4D"/>
    <w:rsid w:val="00CC3A14"/>
    <w:rsid w:val="00CC4CCC"/>
    <w:rsid w:val="00CC640E"/>
    <w:rsid w:val="00CC6BA1"/>
    <w:rsid w:val="00CD037A"/>
    <w:rsid w:val="00CD0ABE"/>
    <w:rsid w:val="00CD1342"/>
    <w:rsid w:val="00CD246E"/>
    <w:rsid w:val="00CD3D5C"/>
    <w:rsid w:val="00CD4819"/>
    <w:rsid w:val="00CE2639"/>
    <w:rsid w:val="00CE51C0"/>
    <w:rsid w:val="00CE5B6B"/>
    <w:rsid w:val="00CE7E94"/>
    <w:rsid w:val="00CF04CD"/>
    <w:rsid w:val="00CF16E1"/>
    <w:rsid w:val="00CF422D"/>
    <w:rsid w:val="00CF6524"/>
    <w:rsid w:val="00CF6DE2"/>
    <w:rsid w:val="00D009C7"/>
    <w:rsid w:val="00D02601"/>
    <w:rsid w:val="00D02BA7"/>
    <w:rsid w:val="00D04320"/>
    <w:rsid w:val="00D04933"/>
    <w:rsid w:val="00D06FC7"/>
    <w:rsid w:val="00D12C0B"/>
    <w:rsid w:val="00D132A8"/>
    <w:rsid w:val="00D134FE"/>
    <w:rsid w:val="00D17288"/>
    <w:rsid w:val="00D21B7A"/>
    <w:rsid w:val="00D22475"/>
    <w:rsid w:val="00D239B4"/>
    <w:rsid w:val="00D339F5"/>
    <w:rsid w:val="00D33AF3"/>
    <w:rsid w:val="00D34E72"/>
    <w:rsid w:val="00D35130"/>
    <w:rsid w:val="00D35568"/>
    <w:rsid w:val="00D356B1"/>
    <w:rsid w:val="00D366DF"/>
    <w:rsid w:val="00D4083B"/>
    <w:rsid w:val="00D449A6"/>
    <w:rsid w:val="00D44E01"/>
    <w:rsid w:val="00D61F45"/>
    <w:rsid w:val="00D62D5A"/>
    <w:rsid w:val="00D66F28"/>
    <w:rsid w:val="00D67151"/>
    <w:rsid w:val="00D7166A"/>
    <w:rsid w:val="00D71A86"/>
    <w:rsid w:val="00D7228C"/>
    <w:rsid w:val="00D733BC"/>
    <w:rsid w:val="00D750C3"/>
    <w:rsid w:val="00D801C7"/>
    <w:rsid w:val="00D820E2"/>
    <w:rsid w:val="00D833D4"/>
    <w:rsid w:val="00D84C2A"/>
    <w:rsid w:val="00D850B9"/>
    <w:rsid w:val="00D85918"/>
    <w:rsid w:val="00D85956"/>
    <w:rsid w:val="00D85D04"/>
    <w:rsid w:val="00D8735C"/>
    <w:rsid w:val="00D92D54"/>
    <w:rsid w:val="00DA3496"/>
    <w:rsid w:val="00DA3937"/>
    <w:rsid w:val="00DA3ECF"/>
    <w:rsid w:val="00DB0A95"/>
    <w:rsid w:val="00DB0E04"/>
    <w:rsid w:val="00DB4ACA"/>
    <w:rsid w:val="00DC0D1C"/>
    <w:rsid w:val="00DD07A1"/>
    <w:rsid w:val="00DD1375"/>
    <w:rsid w:val="00DD1666"/>
    <w:rsid w:val="00DD5D32"/>
    <w:rsid w:val="00DD6655"/>
    <w:rsid w:val="00DD6CB7"/>
    <w:rsid w:val="00DE6316"/>
    <w:rsid w:val="00DE6EBD"/>
    <w:rsid w:val="00DF0867"/>
    <w:rsid w:val="00DF41D9"/>
    <w:rsid w:val="00DF5D0C"/>
    <w:rsid w:val="00DF647C"/>
    <w:rsid w:val="00E020D6"/>
    <w:rsid w:val="00E04E07"/>
    <w:rsid w:val="00E1142A"/>
    <w:rsid w:val="00E12B7D"/>
    <w:rsid w:val="00E14BBF"/>
    <w:rsid w:val="00E17D90"/>
    <w:rsid w:val="00E22CC1"/>
    <w:rsid w:val="00E2336E"/>
    <w:rsid w:val="00E24AA1"/>
    <w:rsid w:val="00E265A2"/>
    <w:rsid w:val="00E26B56"/>
    <w:rsid w:val="00E27D54"/>
    <w:rsid w:val="00E326A8"/>
    <w:rsid w:val="00E3622A"/>
    <w:rsid w:val="00E36296"/>
    <w:rsid w:val="00E43B64"/>
    <w:rsid w:val="00E465F6"/>
    <w:rsid w:val="00E50554"/>
    <w:rsid w:val="00E53AFE"/>
    <w:rsid w:val="00E57971"/>
    <w:rsid w:val="00E6372F"/>
    <w:rsid w:val="00E65D77"/>
    <w:rsid w:val="00E67A6E"/>
    <w:rsid w:val="00E72862"/>
    <w:rsid w:val="00E72FC6"/>
    <w:rsid w:val="00E76767"/>
    <w:rsid w:val="00E7751B"/>
    <w:rsid w:val="00E81499"/>
    <w:rsid w:val="00E83276"/>
    <w:rsid w:val="00E92E7C"/>
    <w:rsid w:val="00E931CA"/>
    <w:rsid w:val="00E93A07"/>
    <w:rsid w:val="00E93DEB"/>
    <w:rsid w:val="00E95922"/>
    <w:rsid w:val="00E95EB2"/>
    <w:rsid w:val="00E9694F"/>
    <w:rsid w:val="00E97783"/>
    <w:rsid w:val="00E97A34"/>
    <w:rsid w:val="00EA0BFB"/>
    <w:rsid w:val="00EA1907"/>
    <w:rsid w:val="00EA4BA8"/>
    <w:rsid w:val="00EA4D88"/>
    <w:rsid w:val="00EB783F"/>
    <w:rsid w:val="00EC6C8F"/>
    <w:rsid w:val="00EC7488"/>
    <w:rsid w:val="00ED0E47"/>
    <w:rsid w:val="00ED5A4B"/>
    <w:rsid w:val="00ED5E39"/>
    <w:rsid w:val="00EE067F"/>
    <w:rsid w:val="00EF146D"/>
    <w:rsid w:val="00EF5CF8"/>
    <w:rsid w:val="00EF6CD3"/>
    <w:rsid w:val="00EF6DB8"/>
    <w:rsid w:val="00F0130C"/>
    <w:rsid w:val="00F03937"/>
    <w:rsid w:val="00F04C67"/>
    <w:rsid w:val="00F053DB"/>
    <w:rsid w:val="00F16BE4"/>
    <w:rsid w:val="00F16C15"/>
    <w:rsid w:val="00F209F8"/>
    <w:rsid w:val="00F22AA3"/>
    <w:rsid w:val="00F22AFB"/>
    <w:rsid w:val="00F22F58"/>
    <w:rsid w:val="00F254C2"/>
    <w:rsid w:val="00F25FF1"/>
    <w:rsid w:val="00F2668A"/>
    <w:rsid w:val="00F36475"/>
    <w:rsid w:val="00F36CF1"/>
    <w:rsid w:val="00F426D8"/>
    <w:rsid w:val="00F511F0"/>
    <w:rsid w:val="00F51A5E"/>
    <w:rsid w:val="00F530F2"/>
    <w:rsid w:val="00F554CF"/>
    <w:rsid w:val="00F612DE"/>
    <w:rsid w:val="00F62519"/>
    <w:rsid w:val="00F65D7F"/>
    <w:rsid w:val="00F6639D"/>
    <w:rsid w:val="00F71310"/>
    <w:rsid w:val="00F72AEE"/>
    <w:rsid w:val="00F74DC1"/>
    <w:rsid w:val="00F76029"/>
    <w:rsid w:val="00F81921"/>
    <w:rsid w:val="00F81C08"/>
    <w:rsid w:val="00F903CE"/>
    <w:rsid w:val="00F91723"/>
    <w:rsid w:val="00F93E06"/>
    <w:rsid w:val="00F9456F"/>
    <w:rsid w:val="00F9465B"/>
    <w:rsid w:val="00F971AF"/>
    <w:rsid w:val="00FA23D5"/>
    <w:rsid w:val="00FA48D6"/>
    <w:rsid w:val="00FB2EC0"/>
    <w:rsid w:val="00FB3204"/>
    <w:rsid w:val="00FB43F8"/>
    <w:rsid w:val="00FB7664"/>
    <w:rsid w:val="00FC3D37"/>
    <w:rsid w:val="00FC5603"/>
    <w:rsid w:val="00FD0D4A"/>
    <w:rsid w:val="00FD1349"/>
    <w:rsid w:val="00FD1DEA"/>
    <w:rsid w:val="00FD33C7"/>
    <w:rsid w:val="00FD5ECF"/>
    <w:rsid w:val="00FD6878"/>
    <w:rsid w:val="00FD6F17"/>
    <w:rsid w:val="00FD7F1B"/>
    <w:rsid w:val="00FE1945"/>
    <w:rsid w:val="00FE2322"/>
    <w:rsid w:val="00FF22E4"/>
    <w:rsid w:val="00FF45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74"/>
    <o:shapelayout v:ext="edit">
      <o:idmap v:ext="edit" data="1"/>
    </o:shapelayout>
  </w:shapeDefaults>
  <w:decimalSymbol w:val="."/>
  <w:listSeparator w:val=","/>
  <w14:docId w14:val="27A705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3"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21B7A"/>
    <w:pPr>
      <w:spacing w:before="120" w:after="120" w:line="240" w:lineRule="auto"/>
    </w:pPr>
    <w:rPr>
      <w:rFonts w:ascii="Times New Roman" w:hAnsi="Times New Roman"/>
    </w:rPr>
  </w:style>
  <w:style w:type="paragraph" w:styleId="Heading1">
    <w:name w:val="heading 1"/>
    <w:basedOn w:val="Normal"/>
    <w:next w:val="Normalparatextnonumbers"/>
    <w:link w:val="Heading1Char"/>
    <w:qFormat/>
    <w:rsid w:val="00E24AA1"/>
    <w:pPr>
      <w:keepNext/>
      <w:keepLines/>
      <w:pBdr>
        <w:bottom w:val="single" w:sz="4" w:space="1" w:color="auto"/>
      </w:pBdr>
      <w:spacing w:after="480"/>
      <w:outlineLvl w:val="0"/>
    </w:pPr>
    <w:rPr>
      <w:rFonts w:ascii="Helvitica" w:eastAsiaTheme="majorEastAsia" w:hAnsi="Helvitica" w:cstheme="majorBidi"/>
      <w:b/>
      <w:i/>
      <w:sz w:val="40"/>
      <w:szCs w:val="32"/>
    </w:rPr>
  </w:style>
  <w:style w:type="paragraph" w:styleId="Heading2">
    <w:name w:val="heading 2"/>
    <w:basedOn w:val="Heading1"/>
    <w:next w:val="Normalparatextnonumbers"/>
    <w:link w:val="Heading2Char"/>
    <w:qFormat/>
    <w:rsid w:val="003F1AD7"/>
    <w:pPr>
      <w:pBdr>
        <w:bottom w:val="none" w:sz="0" w:space="0" w:color="auto"/>
      </w:pBdr>
      <w:spacing w:before="360" w:after="360"/>
      <w:outlineLvl w:val="1"/>
    </w:pPr>
    <w:rPr>
      <w:b w:val="0"/>
      <w:i w:val="0"/>
      <w:sz w:val="36"/>
      <w:szCs w:val="26"/>
    </w:rPr>
  </w:style>
  <w:style w:type="paragraph" w:styleId="Heading3">
    <w:name w:val="heading 3"/>
    <w:basedOn w:val="Normal"/>
    <w:next w:val="Normalparatextnonumbers"/>
    <w:link w:val="Heading3Char"/>
    <w:qFormat/>
    <w:rsid w:val="003F1AD7"/>
    <w:pPr>
      <w:keepNext/>
      <w:keepLines/>
      <w:spacing w:before="240" w:after="360"/>
      <w:outlineLvl w:val="2"/>
    </w:pPr>
    <w:rPr>
      <w:rFonts w:ascii="Helvitica" w:eastAsiaTheme="majorEastAsia" w:hAnsi="Helvitica" w:cstheme="majorBidi"/>
      <w:sz w:val="32"/>
      <w:szCs w:val="24"/>
    </w:rPr>
  </w:style>
  <w:style w:type="paragraph" w:styleId="Heading4">
    <w:name w:val="heading 4"/>
    <w:basedOn w:val="Normal"/>
    <w:next w:val="Normalparatextnonumbers"/>
    <w:link w:val="Heading4Char"/>
    <w:uiPriority w:val="9"/>
    <w:unhideWhenUsed/>
    <w:qFormat/>
    <w:rsid w:val="003F1AD7"/>
    <w:pPr>
      <w:keepNext/>
      <w:keepLines/>
      <w:numPr>
        <w:ilvl w:val="3"/>
        <w:numId w:val="21"/>
      </w:numPr>
      <w:spacing w:before="280" w:after="240"/>
      <w:outlineLvl w:val="3"/>
    </w:pPr>
    <w:rPr>
      <w:rFonts w:ascii="Helvetica" w:eastAsiaTheme="majorEastAsia" w:hAnsi="Helvetica" w:cstheme="majorBidi"/>
      <w:iCs/>
      <w:sz w:val="28"/>
    </w:rPr>
  </w:style>
  <w:style w:type="paragraph" w:styleId="Heading5">
    <w:name w:val="heading 5"/>
    <w:basedOn w:val="Normal"/>
    <w:next w:val="Normalparatextnonumbers"/>
    <w:link w:val="Heading5Char"/>
    <w:uiPriority w:val="9"/>
    <w:unhideWhenUsed/>
    <w:qFormat/>
    <w:rsid w:val="00F22F58"/>
    <w:pPr>
      <w:keepNext/>
      <w:keepLines/>
      <w:numPr>
        <w:ilvl w:val="4"/>
        <w:numId w:val="21"/>
      </w:numPr>
      <w:spacing w:before="240" w:after="240"/>
      <w:contextualSpacing/>
      <w:outlineLvl w:val="4"/>
    </w:pPr>
    <w:rPr>
      <w:rFonts w:ascii="Helvetica" w:eastAsiaTheme="majorEastAsia" w:hAnsi="Helvetica" w:cstheme="majorBidi"/>
      <w:b/>
      <w:spacing w:val="-10"/>
      <w:kern w:val="28"/>
      <w:sz w:val="24"/>
      <w:szCs w:val="56"/>
    </w:rPr>
  </w:style>
  <w:style w:type="paragraph" w:styleId="Heading6">
    <w:name w:val="heading 6"/>
    <w:basedOn w:val="Normal"/>
    <w:next w:val="Normal"/>
    <w:link w:val="Heading6Char"/>
    <w:uiPriority w:val="9"/>
    <w:semiHidden/>
    <w:unhideWhenUsed/>
    <w:qFormat/>
    <w:rsid w:val="002A2137"/>
    <w:pPr>
      <w:keepNext/>
      <w:keepLines/>
      <w:spacing w:before="240"/>
      <w:outlineLvl w:val="5"/>
    </w:pPr>
    <w:rPr>
      <w:rFonts w:ascii="Helvitica" w:eastAsiaTheme="majorEastAsia" w:hAnsi="Helvitic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4AA1"/>
    <w:rPr>
      <w:rFonts w:ascii="Helvitica" w:eastAsiaTheme="majorEastAsia" w:hAnsi="Helvitica" w:cstheme="majorBidi"/>
      <w:b/>
      <w:i/>
      <w:sz w:val="40"/>
      <w:szCs w:val="32"/>
    </w:rPr>
  </w:style>
  <w:style w:type="paragraph" w:customStyle="1" w:styleId="AttachmentHeading">
    <w:name w:val="AttachmentHeading"/>
    <w:basedOn w:val="Heading1"/>
    <w:next w:val="Normalparatextnonumbers"/>
    <w:uiPriority w:val="1"/>
    <w:rsid w:val="00777A92"/>
    <w:pPr>
      <w:numPr>
        <w:numId w:val="1"/>
      </w:numPr>
      <w:pBdr>
        <w:bottom w:val="single" w:sz="4" w:space="8" w:color="auto"/>
      </w:pBdr>
      <w:ind w:left="0" w:firstLine="0"/>
    </w:pPr>
  </w:style>
  <w:style w:type="paragraph" w:customStyle="1" w:styleId="Normalparatextnonumbers">
    <w:name w:val="Normal para text (no numbers)"/>
    <w:basedOn w:val="Normal"/>
    <w:link w:val="NormalparatextnonumbersChar"/>
    <w:qFormat/>
    <w:rsid w:val="00F22F58"/>
  </w:style>
  <w:style w:type="paragraph" w:customStyle="1" w:styleId="BillName">
    <w:name w:val="Bill Name"/>
    <w:basedOn w:val="Normalparatextnonumbers"/>
    <w:next w:val="Normalparatextnonumbers"/>
    <w:qFormat/>
    <w:rsid w:val="00DB0A95"/>
    <w:pPr>
      <w:spacing w:before="200" w:after="200"/>
      <w:jc w:val="center"/>
    </w:pPr>
    <w:rPr>
      <w:rFonts w:cs="Times New Roman"/>
      <w:caps/>
    </w:rPr>
  </w:style>
  <w:style w:type="character" w:customStyle="1" w:styleId="Heading4Char">
    <w:name w:val="Heading 4 Char"/>
    <w:basedOn w:val="DefaultParagraphFont"/>
    <w:link w:val="Heading4"/>
    <w:uiPriority w:val="9"/>
    <w:rsid w:val="003F1AD7"/>
    <w:rPr>
      <w:rFonts w:ascii="Helvetica" w:eastAsiaTheme="majorEastAsia" w:hAnsi="Helvetica" w:cstheme="majorBidi"/>
      <w:iCs/>
      <w:sz w:val="28"/>
    </w:rPr>
  </w:style>
  <w:style w:type="paragraph" w:customStyle="1" w:styleId="TableHeading">
    <w:name w:val="Table Heading"/>
    <w:basedOn w:val="Heading4"/>
    <w:next w:val="Normalparatextnonumbers"/>
    <w:uiPriority w:val="1"/>
    <w:rsid w:val="00492729"/>
    <w:pPr>
      <w:keepLines w:val="0"/>
      <w:numPr>
        <w:ilvl w:val="4"/>
        <w:numId w:val="6"/>
      </w:numPr>
      <w:spacing w:before="240" w:after="200"/>
      <w:ind w:left="0" w:firstLine="0"/>
    </w:pPr>
    <w:rPr>
      <w:rFonts w:eastAsia="Times New Roman" w:cs="Helvetica"/>
      <w:b/>
      <w:i/>
      <w:sz w:val="22"/>
    </w:rPr>
  </w:style>
  <w:style w:type="paragraph" w:styleId="Caption">
    <w:name w:val="caption"/>
    <w:basedOn w:val="TableHeading"/>
    <w:next w:val="Normal"/>
    <w:uiPriority w:val="35"/>
    <w:unhideWhenUsed/>
    <w:qFormat/>
    <w:rsid w:val="00BD0751"/>
    <w:pPr>
      <w:numPr>
        <w:ilvl w:val="0"/>
        <w:numId w:val="0"/>
      </w:numPr>
    </w:pPr>
    <w:rPr>
      <w:iCs w:val="0"/>
      <w:color w:val="44546A" w:themeColor="text2"/>
      <w:szCs w:val="18"/>
    </w:rPr>
  </w:style>
  <w:style w:type="paragraph" w:customStyle="1" w:styleId="Chapterheading">
    <w:name w:val="Chapter heading"/>
    <w:basedOn w:val="Heading1"/>
    <w:next w:val="Normalparatextnonumbers"/>
    <w:rsid w:val="00777A92"/>
    <w:pPr>
      <w:numPr>
        <w:numId w:val="6"/>
      </w:numPr>
      <w:pBdr>
        <w:bottom w:val="single" w:sz="4" w:space="8" w:color="auto"/>
      </w:pBdr>
      <w:spacing w:before="0"/>
    </w:pPr>
  </w:style>
  <w:style w:type="numbering" w:customStyle="1" w:styleId="Chapternumbering">
    <w:name w:val="Chapter numbering"/>
    <w:uiPriority w:val="99"/>
    <w:rsid w:val="005D0844"/>
    <w:pPr>
      <w:numPr>
        <w:numId w:val="6"/>
      </w:numPr>
    </w:pPr>
  </w:style>
  <w:style w:type="paragraph" w:customStyle="1" w:styleId="ChartandTableFootnoteAlpha">
    <w:name w:val="Chart and Table Footnote Alpha"/>
    <w:uiPriority w:val="1"/>
    <w:rsid w:val="00F22F58"/>
    <w:pPr>
      <w:tabs>
        <w:tab w:val="num" w:pos="284"/>
      </w:tabs>
      <w:spacing w:after="0" w:line="240" w:lineRule="auto"/>
      <w:ind w:left="284" w:hanging="284"/>
      <w:jc w:val="both"/>
    </w:pPr>
    <w:rPr>
      <w:rFonts w:ascii="Times New Roman" w:eastAsia="Times New Roman" w:hAnsi="Times New Roman" w:cs="Times New Roman"/>
      <w:color w:val="000000"/>
      <w:sz w:val="20"/>
      <w:szCs w:val="16"/>
      <w:lang w:eastAsia="en-AU"/>
    </w:rPr>
  </w:style>
  <w:style w:type="paragraph" w:customStyle="1" w:styleId="Dash">
    <w:name w:val="Dash"/>
    <w:basedOn w:val="Normal"/>
    <w:semiHidden/>
    <w:rsid w:val="00F22F58"/>
    <w:pPr>
      <w:numPr>
        <w:ilvl w:val="1"/>
        <w:numId w:val="24"/>
      </w:numPr>
      <w:tabs>
        <w:tab w:val="num" w:pos="532"/>
      </w:tabs>
      <w:spacing w:before="0" w:after="240" w:line="260" w:lineRule="exact"/>
    </w:pPr>
  </w:style>
  <w:style w:type="paragraph" w:customStyle="1" w:styleId="DiagramHeading">
    <w:name w:val="Diagram Heading"/>
    <w:basedOn w:val="TableHeading"/>
    <w:next w:val="Normalparatextnonumbers"/>
    <w:uiPriority w:val="1"/>
    <w:rsid w:val="00CB4F57"/>
    <w:pPr>
      <w:numPr>
        <w:ilvl w:val="2"/>
      </w:numPr>
      <w:ind w:left="0" w:firstLine="0"/>
    </w:pPr>
  </w:style>
  <w:style w:type="paragraph" w:customStyle="1" w:styleId="Dotpoint1">
    <w:name w:val="Dot point 1"/>
    <w:basedOn w:val="Normal"/>
    <w:link w:val="Dotpoint1Char"/>
    <w:uiPriority w:val="1"/>
    <w:qFormat/>
    <w:rsid w:val="000E521B"/>
    <w:pPr>
      <w:numPr>
        <w:numId w:val="17"/>
      </w:numPr>
      <w:ind w:left="1418" w:hanging="709"/>
    </w:pPr>
  </w:style>
  <w:style w:type="character" w:customStyle="1" w:styleId="Dotpoint1Char">
    <w:name w:val="Dot point 1 Char"/>
    <w:basedOn w:val="DefaultParagraphFont"/>
    <w:link w:val="Dotpoint1"/>
    <w:uiPriority w:val="1"/>
    <w:rsid w:val="000E521B"/>
    <w:rPr>
      <w:rFonts w:ascii="Times New Roman" w:hAnsi="Times New Roman"/>
    </w:rPr>
  </w:style>
  <w:style w:type="paragraph" w:customStyle="1" w:styleId="Dotpoint2">
    <w:name w:val="Dot point 2"/>
    <w:basedOn w:val="Dotpoint1"/>
    <w:uiPriority w:val="1"/>
    <w:rsid w:val="000E521B"/>
    <w:pPr>
      <w:numPr>
        <w:numId w:val="9"/>
      </w:numPr>
      <w:ind w:left="2127" w:hanging="709"/>
    </w:pPr>
  </w:style>
  <w:style w:type="paragraph" w:customStyle="1" w:styleId="Exampletext">
    <w:name w:val="Example text"/>
    <w:basedOn w:val="Normal"/>
    <w:uiPriority w:val="1"/>
    <w:qFormat/>
    <w:rsid w:val="00F22F58"/>
    <w:pPr>
      <w:spacing w:before="200" w:after="160"/>
      <w:ind w:left="1134" w:right="864"/>
    </w:pPr>
    <w:rPr>
      <w:iCs/>
      <w:color w:val="000000" w:themeColor="text1"/>
      <w:sz w:val="21"/>
    </w:rPr>
  </w:style>
  <w:style w:type="paragraph" w:customStyle="1" w:styleId="Exampledotpoint1">
    <w:name w:val="Example dot point 1"/>
    <w:basedOn w:val="Exampletext"/>
    <w:uiPriority w:val="1"/>
    <w:qFormat/>
    <w:rsid w:val="000E521B"/>
    <w:pPr>
      <w:numPr>
        <w:numId w:val="10"/>
      </w:numPr>
      <w:spacing w:before="120" w:after="120"/>
      <w:ind w:left="1843" w:right="862" w:hanging="709"/>
    </w:pPr>
  </w:style>
  <w:style w:type="paragraph" w:customStyle="1" w:styleId="Exampledotpoint2">
    <w:name w:val="Example dot point 2"/>
    <w:basedOn w:val="Exampledotpoint1"/>
    <w:uiPriority w:val="1"/>
    <w:rsid w:val="000E521B"/>
    <w:pPr>
      <w:numPr>
        <w:numId w:val="11"/>
      </w:numPr>
      <w:ind w:left="2552" w:hanging="709"/>
    </w:pPr>
  </w:style>
  <w:style w:type="paragraph" w:customStyle="1" w:styleId="ExampleHeading">
    <w:name w:val="Example Heading"/>
    <w:basedOn w:val="TableHeading"/>
    <w:next w:val="Exampletext"/>
    <w:uiPriority w:val="1"/>
    <w:rsid w:val="00492729"/>
    <w:pPr>
      <w:numPr>
        <w:ilvl w:val="3"/>
      </w:numPr>
      <w:ind w:left="0" w:firstLine="0"/>
    </w:pPr>
  </w:style>
  <w:style w:type="paragraph" w:customStyle="1" w:styleId="Exampleindent">
    <w:name w:val="Example indent"/>
    <w:basedOn w:val="Exampletext"/>
    <w:uiPriority w:val="1"/>
    <w:rsid w:val="00F22F58"/>
    <w:pPr>
      <w:ind w:left="1560"/>
    </w:pPr>
  </w:style>
  <w:style w:type="paragraph" w:customStyle="1" w:styleId="Baseparagraphcentred">
    <w:name w:val="Base paragraph centred"/>
    <w:basedOn w:val="Normal"/>
    <w:rsid w:val="00E24AA1"/>
    <w:pPr>
      <w:spacing w:before="200" w:after="200"/>
      <w:jc w:val="center"/>
    </w:pPr>
    <w:rPr>
      <w:rFonts w:eastAsia="Times New Roman" w:cs="Times New Roman"/>
      <w:szCs w:val="20"/>
      <w:lang w:eastAsia="en-AU"/>
    </w:rPr>
  </w:style>
  <w:style w:type="paragraph" w:styleId="Footer">
    <w:name w:val="footer"/>
    <w:basedOn w:val="Normal"/>
    <w:link w:val="FooterChar"/>
    <w:semiHidden/>
    <w:rsid w:val="00F22F58"/>
    <w:pPr>
      <w:tabs>
        <w:tab w:val="center" w:pos="4153"/>
        <w:tab w:val="right" w:pos="8306"/>
      </w:tabs>
    </w:pPr>
  </w:style>
  <w:style w:type="character" w:customStyle="1" w:styleId="FooterChar">
    <w:name w:val="Footer Char"/>
    <w:basedOn w:val="DefaultParagraphFont"/>
    <w:link w:val="Footer"/>
    <w:semiHidden/>
    <w:rsid w:val="00F22F58"/>
    <w:rPr>
      <w:rFonts w:ascii="Times New Roman" w:hAnsi="Times New Roman"/>
    </w:rPr>
  </w:style>
  <w:style w:type="character" w:styleId="FootnoteReference">
    <w:name w:val="footnote reference"/>
    <w:basedOn w:val="DefaultParagraphFont"/>
    <w:uiPriority w:val="3"/>
    <w:rsid w:val="00F22F58"/>
    <w:rPr>
      <w:vertAlign w:val="superscript"/>
    </w:rPr>
  </w:style>
  <w:style w:type="paragraph" w:styleId="FootnoteText">
    <w:name w:val="footnote text"/>
    <w:basedOn w:val="Normal"/>
    <w:link w:val="FootnoteTextChar"/>
    <w:uiPriority w:val="3"/>
    <w:rsid w:val="00F22F58"/>
    <w:pPr>
      <w:spacing w:before="0" w:after="0"/>
    </w:pPr>
    <w:rPr>
      <w:sz w:val="20"/>
      <w:szCs w:val="20"/>
    </w:rPr>
  </w:style>
  <w:style w:type="character" w:customStyle="1" w:styleId="FootnoteTextChar">
    <w:name w:val="Footnote Text Char"/>
    <w:basedOn w:val="DefaultParagraphFont"/>
    <w:link w:val="FootnoteText"/>
    <w:uiPriority w:val="3"/>
    <w:rsid w:val="00F22F58"/>
    <w:rPr>
      <w:rFonts w:ascii="Times New Roman" w:hAnsi="Times New Roman"/>
      <w:sz w:val="20"/>
      <w:szCs w:val="20"/>
    </w:rPr>
  </w:style>
  <w:style w:type="paragraph" w:customStyle="1" w:styleId="Glossarytabletext">
    <w:name w:val="Glossary table text"/>
    <w:basedOn w:val="Normal"/>
    <w:uiPriority w:val="2"/>
    <w:rsid w:val="002D080A"/>
    <w:pPr>
      <w:spacing w:before="60" w:after="60"/>
    </w:pPr>
    <w:rPr>
      <w:sz w:val="20"/>
    </w:rPr>
  </w:style>
  <w:style w:type="paragraph" w:styleId="Header">
    <w:name w:val="header"/>
    <w:basedOn w:val="Normal"/>
    <w:link w:val="HeaderChar"/>
    <w:semiHidden/>
    <w:rsid w:val="00F22F58"/>
    <w:pPr>
      <w:tabs>
        <w:tab w:val="center" w:pos="4153"/>
        <w:tab w:val="right" w:pos="8306"/>
      </w:tabs>
    </w:pPr>
  </w:style>
  <w:style w:type="character" w:customStyle="1" w:styleId="HeaderChar">
    <w:name w:val="Header Char"/>
    <w:basedOn w:val="DefaultParagraphFont"/>
    <w:link w:val="Header"/>
    <w:semiHidden/>
    <w:rsid w:val="00F22F58"/>
    <w:rPr>
      <w:rFonts w:ascii="Times New Roman" w:hAnsi="Times New Roman"/>
    </w:rPr>
  </w:style>
  <w:style w:type="character" w:customStyle="1" w:styleId="Heading2Char">
    <w:name w:val="Heading 2 Char"/>
    <w:basedOn w:val="DefaultParagraphFont"/>
    <w:link w:val="Heading2"/>
    <w:rsid w:val="003F1AD7"/>
    <w:rPr>
      <w:rFonts w:ascii="Helvitica" w:eastAsiaTheme="majorEastAsia" w:hAnsi="Helvitica" w:cstheme="majorBidi"/>
      <w:sz w:val="36"/>
      <w:szCs w:val="26"/>
    </w:rPr>
  </w:style>
  <w:style w:type="character" w:customStyle="1" w:styleId="Heading3Char">
    <w:name w:val="Heading 3 Char"/>
    <w:basedOn w:val="DefaultParagraphFont"/>
    <w:link w:val="Heading3"/>
    <w:rsid w:val="003F1AD7"/>
    <w:rPr>
      <w:rFonts w:ascii="Helvitica" w:eastAsiaTheme="majorEastAsia" w:hAnsi="Helvitica" w:cstheme="majorBidi"/>
      <w:sz w:val="32"/>
      <w:szCs w:val="24"/>
    </w:rPr>
  </w:style>
  <w:style w:type="character" w:customStyle="1" w:styleId="Heading5Char">
    <w:name w:val="Heading 5 Char"/>
    <w:basedOn w:val="DefaultParagraphFont"/>
    <w:link w:val="Heading5"/>
    <w:uiPriority w:val="9"/>
    <w:rsid w:val="00F22F58"/>
    <w:rPr>
      <w:rFonts w:ascii="Helvetica" w:eastAsiaTheme="majorEastAsia" w:hAnsi="Helvetica" w:cstheme="majorBidi"/>
      <w:b/>
      <w:spacing w:val="-10"/>
      <w:kern w:val="28"/>
      <w:sz w:val="24"/>
      <w:szCs w:val="56"/>
    </w:rPr>
  </w:style>
  <w:style w:type="table" w:customStyle="1" w:styleId="InstructionTable">
    <w:name w:val="Instruction Table"/>
    <w:basedOn w:val="TableNormal"/>
    <w:uiPriority w:val="99"/>
    <w:rsid w:val="00F22F58"/>
    <w:pPr>
      <w:spacing w:after="0" w:line="240" w:lineRule="auto"/>
    </w:pPr>
    <w:tblPr>
      <w:tblBorders>
        <w:top w:val="single" w:sz="12" w:space="0" w:color="2F528F"/>
        <w:left w:val="single" w:sz="12" w:space="0" w:color="2F528F"/>
        <w:bottom w:val="single" w:sz="12" w:space="0" w:color="2F528F"/>
        <w:right w:val="single" w:sz="12" w:space="0" w:color="2F528F"/>
      </w:tblBorders>
    </w:tblPr>
    <w:tcPr>
      <w:shd w:val="clear" w:color="auto" w:fill="E7E6E6"/>
    </w:tcPr>
  </w:style>
  <w:style w:type="paragraph" w:customStyle="1" w:styleId="Instructionalguidance">
    <w:name w:val="Instructional guidance"/>
    <w:basedOn w:val="Normal"/>
    <w:link w:val="InstructionalguidanceChar"/>
    <w:uiPriority w:val="99"/>
    <w:rsid w:val="00090A2C"/>
    <w:rPr>
      <w:rFonts w:ascii="Calibri" w:hAnsi="Calibri"/>
      <w:color w:val="2F5496" w:themeColor="accent1" w:themeShade="BF"/>
    </w:rPr>
  </w:style>
  <w:style w:type="character" w:customStyle="1" w:styleId="InstructionalguidanceChar">
    <w:name w:val="Instructional guidance Char"/>
    <w:basedOn w:val="DefaultParagraphFont"/>
    <w:link w:val="Instructionalguidance"/>
    <w:uiPriority w:val="99"/>
    <w:rsid w:val="005515C0"/>
    <w:rPr>
      <w:rFonts w:ascii="Calibri" w:hAnsi="Calibri"/>
      <w:color w:val="2F5496" w:themeColor="accent1" w:themeShade="BF"/>
    </w:rPr>
  </w:style>
  <w:style w:type="paragraph" w:customStyle="1" w:styleId="Instructionalguidancebold">
    <w:name w:val="Instructional guidance bold"/>
    <w:basedOn w:val="Instructionalguidance"/>
    <w:next w:val="Instructionalguidance"/>
    <w:link w:val="InstructionalguidanceboldChar"/>
    <w:uiPriority w:val="99"/>
    <w:rsid w:val="00F22F58"/>
    <w:pPr>
      <w:keepNext/>
    </w:pPr>
    <w:rPr>
      <w:b/>
      <w:bCs/>
    </w:rPr>
  </w:style>
  <w:style w:type="character" w:customStyle="1" w:styleId="InstructionalguidanceboldChar">
    <w:name w:val="Instructional guidance bold Char"/>
    <w:basedOn w:val="InstructionalguidanceChar"/>
    <w:link w:val="Instructionalguidancebold"/>
    <w:uiPriority w:val="99"/>
    <w:rsid w:val="00F22F58"/>
    <w:rPr>
      <w:rFonts w:ascii="Calibri" w:hAnsi="Calibri"/>
      <w:b/>
      <w:bCs/>
      <w:color w:val="2F5496" w:themeColor="accent1" w:themeShade="BF"/>
    </w:rPr>
  </w:style>
  <w:style w:type="paragraph" w:customStyle="1" w:styleId="Instructionalguidancedotpoint">
    <w:name w:val="Instructional guidance dot point"/>
    <w:basedOn w:val="Instructionalguidance"/>
    <w:uiPriority w:val="99"/>
    <w:qFormat/>
    <w:rsid w:val="00F22F58"/>
    <w:pPr>
      <w:numPr>
        <w:numId w:val="14"/>
      </w:numPr>
    </w:pPr>
    <w:rPr>
      <w:rFonts w:eastAsia="Calibri"/>
      <w:lang w:eastAsia="en-GB"/>
    </w:rPr>
  </w:style>
  <w:style w:type="paragraph" w:customStyle="1" w:styleId="Instructionalguidancenumbered">
    <w:name w:val="Instructional guidance numbered"/>
    <w:basedOn w:val="Normal"/>
    <w:uiPriority w:val="99"/>
    <w:semiHidden/>
    <w:rsid w:val="00F22F58"/>
    <w:pPr>
      <w:numPr>
        <w:numId w:val="15"/>
      </w:numPr>
    </w:pPr>
    <w:rPr>
      <w:rFonts w:eastAsia="Calibri"/>
      <w:color w:val="2F5496" w:themeColor="accent1" w:themeShade="BF"/>
      <w:lang w:val="en-US" w:eastAsia="en-GB"/>
    </w:rPr>
  </w:style>
  <w:style w:type="character" w:customStyle="1" w:styleId="Instructuralguidancebold">
    <w:name w:val="Instructural guidance bold"/>
    <w:basedOn w:val="DefaultParagraphFont"/>
    <w:uiPriority w:val="99"/>
    <w:semiHidden/>
    <w:rsid w:val="00F22F58"/>
    <w:rPr>
      <w:rFonts w:ascii="Calibri" w:hAnsi="Calibri"/>
      <w:b/>
      <w:color w:val="2F528F"/>
      <w:sz w:val="22"/>
      <w:u w:color="2F528F"/>
    </w:rPr>
  </w:style>
  <w:style w:type="paragraph" w:customStyle="1" w:styleId="leftfooter">
    <w:name w:val="left footer"/>
    <w:basedOn w:val="Normal"/>
    <w:uiPriority w:val="1"/>
    <w:rsid w:val="00F22F58"/>
    <w:pPr>
      <w:pBdr>
        <w:top w:val="single" w:sz="4" w:space="1" w:color="auto"/>
      </w:pBdr>
      <w:spacing w:before="240" w:after="0"/>
    </w:pPr>
    <w:rPr>
      <w:i/>
      <w:sz w:val="20"/>
    </w:rPr>
  </w:style>
  <w:style w:type="paragraph" w:customStyle="1" w:styleId="leftheader">
    <w:name w:val="left header"/>
    <w:basedOn w:val="Normal"/>
    <w:uiPriority w:val="1"/>
    <w:rsid w:val="00D04933"/>
    <w:pPr>
      <w:pBdr>
        <w:bottom w:val="single" w:sz="4" w:space="1" w:color="auto"/>
      </w:pBdr>
    </w:pPr>
    <w:rPr>
      <w:i/>
      <w:sz w:val="20"/>
    </w:rPr>
  </w:style>
  <w:style w:type="paragraph" w:customStyle="1" w:styleId="Normalparatextwithnumbers">
    <w:name w:val="Normal para text (with numbers)"/>
    <w:basedOn w:val="Normalparatextnonumbers"/>
    <w:link w:val="NormalparatextwithnumbersChar"/>
    <w:qFormat/>
    <w:rsid w:val="005D0844"/>
    <w:pPr>
      <w:numPr>
        <w:ilvl w:val="1"/>
        <w:numId w:val="6"/>
      </w:numPr>
    </w:pPr>
  </w:style>
  <w:style w:type="paragraph" w:customStyle="1" w:styleId="PurposeheadingnoTOC">
    <w:name w:val="Purpose heading (no TOC)"/>
    <w:basedOn w:val="Normal"/>
    <w:next w:val="Normalparatextnonumbers"/>
    <w:rsid w:val="00F22F58"/>
    <w:pPr>
      <w:spacing w:before="480" w:after="480"/>
    </w:pPr>
    <w:rPr>
      <w:rFonts w:ascii="Helvitica" w:hAnsi="Helvitica"/>
      <w:sz w:val="48"/>
    </w:rPr>
  </w:style>
  <w:style w:type="paragraph" w:styleId="Quote">
    <w:name w:val="Quote"/>
    <w:basedOn w:val="Normal"/>
    <w:next w:val="Normal"/>
    <w:link w:val="QuoteChar"/>
    <w:uiPriority w:val="29"/>
    <w:semiHidden/>
    <w:rsid w:val="00F22F5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21B7A"/>
    <w:rPr>
      <w:rFonts w:ascii="Times New Roman" w:hAnsi="Times New Roman"/>
      <w:i/>
      <w:iCs/>
      <w:color w:val="404040" w:themeColor="text1" w:themeTint="BF"/>
    </w:rPr>
  </w:style>
  <w:style w:type="paragraph" w:styleId="EndnoteText">
    <w:name w:val="endnote text"/>
    <w:basedOn w:val="Normal"/>
    <w:link w:val="EndnoteTextChar"/>
    <w:uiPriority w:val="3"/>
    <w:rsid w:val="002D080A"/>
    <w:pPr>
      <w:spacing w:before="0" w:after="0"/>
    </w:pPr>
    <w:rPr>
      <w:sz w:val="20"/>
      <w:szCs w:val="20"/>
    </w:rPr>
  </w:style>
  <w:style w:type="character" w:customStyle="1" w:styleId="References">
    <w:name w:val="References"/>
    <w:basedOn w:val="DefaultParagraphFont"/>
    <w:uiPriority w:val="1"/>
    <w:rsid w:val="00F22F58"/>
    <w:rPr>
      <w:rFonts w:ascii="Times New Roman" w:hAnsi="Times New Roman"/>
      <w:b/>
      <w:bCs/>
      <w:i/>
      <w:iCs/>
      <w:sz w:val="22"/>
    </w:rPr>
  </w:style>
  <w:style w:type="paragraph" w:customStyle="1" w:styleId="rightfooter">
    <w:name w:val="right footer"/>
    <w:basedOn w:val="Normal"/>
    <w:uiPriority w:val="1"/>
    <w:rsid w:val="00F22F58"/>
    <w:pPr>
      <w:pBdr>
        <w:top w:val="single" w:sz="4" w:space="1" w:color="auto"/>
      </w:pBdr>
      <w:spacing w:before="60" w:after="60"/>
      <w:ind w:left="34"/>
      <w:jc w:val="right"/>
    </w:pPr>
    <w:rPr>
      <w:rFonts w:eastAsia="Times New Roman" w:cs="Times New Roman"/>
      <w:i/>
      <w:sz w:val="20"/>
      <w:szCs w:val="20"/>
      <w:lang w:eastAsia="en-AU"/>
    </w:rPr>
  </w:style>
  <w:style w:type="paragraph" w:customStyle="1" w:styleId="rightheader">
    <w:name w:val="right header"/>
    <w:basedOn w:val="Normal"/>
    <w:uiPriority w:val="1"/>
    <w:rsid w:val="00D04933"/>
    <w:pPr>
      <w:pBdr>
        <w:bottom w:val="single" w:sz="4" w:space="1" w:color="auto"/>
      </w:pBdr>
      <w:jc w:val="right"/>
    </w:pPr>
    <w:rPr>
      <w:i/>
      <w:sz w:val="20"/>
    </w:rPr>
  </w:style>
  <w:style w:type="paragraph" w:customStyle="1" w:styleId="RISbullet">
    <w:name w:val="RIS bullet"/>
    <w:basedOn w:val="Dotpoint1"/>
    <w:uiPriority w:val="2"/>
    <w:rsid w:val="00F22F58"/>
    <w:pPr>
      <w:tabs>
        <w:tab w:val="left" w:pos="567"/>
      </w:tabs>
      <w:ind w:left="851" w:hanging="284"/>
    </w:pPr>
  </w:style>
  <w:style w:type="paragraph" w:customStyle="1" w:styleId="RISbullet2">
    <w:name w:val="RIS bullet 2"/>
    <w:basedOn w:val="RISbullet"/>
    <w:uiPriority w:val="2"/>
    <w:rsid w:val="00F22F58"/>
    <w:pPr>
      <w:numPr>
        <w:numId w:val="18"/>
      </w:numPr>
      <w:tabs>
        <w:tab w:val="clear" w:pos="567"/>
      </w:tabs>
    </w:pPr>
  </w:style>
  <w:style w:type="paragraph" w:customStyle="1" w:styleId="Tabledotpoint1">
    <w:name w:val="Table dot point 1"/>
    <w:basedOn w:val="Normalparatextnonumbers"/>
    <w:uiPriority w:val="1"/>
    <w:rsid w:val="000E521B"/>
    <w:pPr>
      <w:numPr>
        <w:numId w:val="19"/>
      </w:numPr>
      <w:ind w:left="425" w:hanging="425"/>
    </w:pPr>
    <w:rPr>
      <w:sz w:val="20"/>
    </w:rPr>
  </w:style>
  <w:style w:type="paragraph" w:customStyle="1" w:styleId="Tabledotpoint2">
    <w:name w:val="Table dot point 2"/>
    <w:basedOn w:val="Tabledotpoint1"/>
    <w:uiPriority w:val="1"/>
    <w:rsid w:val="000E521B"/>
    <w:pPr>
      <w:numPr>
        <w:numId w:val="20"/>
      </w:numPr>
      <w:ind w:left="850" w:hanging="425"/>
    </w:pPr>
  </w:style>
  <w:style w:type="paragraph" w:customStyle="1" w:styleId="Tableheaderrowtext">
    <w:name w:val="Table header row text"/>
    <w:basedOn w:val="Heading4"/>
    <w:uiPriority w:val="1"/>
    <w:rsid w:val="005D0844"/>
    <w:pPr>
      <w:keepLines w:val="0"/>
      <w:spacing w:before="120" w:after="120"/>
    </w:pPr>
    <w:rPr>
      <w:rFonts w:eastAsia="Times New Roman" w:cs="Helvetica"/>
      <w:b/>
      <w:i/>
      <w:sz w:val="22"/>
    </w:rPr>
  </w:style>
  <w:style w:type="paragraph" w:styleId="TOC1">
    <w:name w:val="toc 1"/>
    <w:basedOn w:val="Normal"/>
    <w:next w:val="TOC2"/>
    <w:uiPriority w:val="39"/>
    <w:rsid w:val="00170C78"/>
    <w:pPr>
      <w:tabs>
        <w:tab w:val="right" w:leader="dot" w:pos="7655"/>
      </w:tabs>
      <w:ind w:left="1758" w:hanging="1758"/>
    </w:pPr>
    <w:rPr>
      <w:rFonts w:ascii="Helvitica" w:hAnsi="Helvitica" w:cstheme="minorHAnsi"/>
      <w:bCs/>
      <w:sz w:val="24"/>
      <w:szCs w:val="20"/>
    </w:rPr>
  </w:style>
  <w:style w:type="paragraph" w:styleId="TOC2">
    <w:name w:val="toc 2"/>
    <w:basedOn w:val="Normal"/>
    <w:next w:val="Normal"/>
    <w:uiPriority w:val="39"/>
    <w:rsid w:val="00683847"/>
    <w:pPr>
      <w:tabs>
        <w:tab w:val="right" w:leader="dot" w:pos="7655"/>
      </w:tabs>
    </w:pPr>
    <w:rPr>
      <w:rFonts w:ascii="Helvetica" w:hAnsi="Helvetica"/>
      <w:noProof/>
      <w:sz w:val="24"/>
    </w:rPr>
  </w:style>
  <w:style w:type="paragraph" w:styleId="TOC3">
    <w:name w:val="toc 3"/>
    <w:basedOn w:val="Normal"/>
    <w:next w:val="Normal"/>
    <w:uiPriority w:val="39"/>
    <w:unhideWhenUsed/>
    <w:rsid w:val="00414017"/>
    <w:pPr>
      <w:tabs>
        <w:tab w:val="right" w:leader="dot" w:pos="7655"/>
      </w:tabs>
      <w:ind w:left="442"/>
    </w:pPr>
    <w:rPr>
      <w:rFonts w:ascii="Helvitica" w:hAnsi="Helvitica" w:cstheme="minorHAnsi"/>
      <w:iCs/>
      <w:sz w:val="24"/>
      <w:szCs w:val="20"/>
    </w:rPr>
  </w:style>
  <w:style w:type="paragraph" w:customStyle="1" w:styleId="Tabletext">
    <w:name w:val="Table text"/>
    <w:basedOn w:val="Normal"/>
    <w:uiPriority w:val="1"/>
    <w:rsid w:val="00F22F58"/>
    <w:pPr>
      <w:spacing w:before="60" w:after="60"/>
      <w:ind w:left="34"/>
    </w:pPr>
    <w:rPr>
      <w:rFonts w:eastAsia="Times New Roman" w:cs="Times New Roman"/>
      <w:sz w:val="20"/>
      <w:szCs w:val="20"/>
      <w:lang w:eastAsia="en-AU"/>
    </w:rPr>
  </w:style>
  <w:style w:type="paragraph" w:customStyle="1" w:styleId="TOCHeading">
    <w:name w:val="TOCHeading"/>
    <w:basedOn w:val="Normal"/>
    <w:next w:val="Normalparatextnonumbers"/>
    <w:qFormat/>
    <w:rsid w:val="00F22F58"/>
    <w:pPr>
      <w:spacing w:before="360" w:after="360"/>
    </w:pPr>
    <w:rPr>
      <w:rFonts w:ascii="Helvitica" w:hAnsi="Helvitica"/>
      <w:sz w:val="40"/>
    </w:rPr>
  </w:style>
  <w:style w:type="character" w:customStyle="1" w:styleId="EndnoteTextChar">
    <w:name w:val="Endnote Text Char"/>
    <w:basedOn w:val="DefaultParagraphFont"/>
    <w:link w:val="EndnoteText"/>
    <w:uiPriority w:val="3"/>
    <w:rsid w:val="002D080A"/>
    <w:rPr>
      <w:rFonts w:ascii="Times New Roman" w:hAnsi="Times New Roman"/>
      <w:sz w:val="20"/>
      <w:szCs w:val="20"/>
    </w:rPr>
  </w:style>
  <w:style w:type="paragraph" w:customStyle="1" w:styleId="Coverpageheading">
    <w:name w:val="Cover page heading"/>
    <w:basedOn w:val="Normalparatextnonumbers"/>
    <w:next w:val="Normalparatextnonumbers"/>
    <w:uiPriority w:val="1"/>
    <w:qFormat/>
    <w:rsid w:val="002D080A"/>
    <w:pPr>
      <w:spacing w:after="480"/>
      <w:jc w:val="center"/>
    </w:pPr>
    <w:rPr>
      <w:rFonts w:ascii="Helvitica" w:hAnsi="Helvitica"/>
      <w:sz w:val="36"/>
    </w:rPr>
  </w:style>
  <w:style w:type="paragraph" w:styleId="NoSpacing">
    <w:name w:val="No Spacing"/>
    <w:uiPriority w:val="3"/>
    <w:rsid w:val="002D080A"/>
    <w:pPr>
      <w:spacing w:after="0" w:line="240" w:lineRule="auto"/>
    </w:pPr>
  </w:style>
  <w:style w:type="character" w:styleId="Hyperlink">
    <w:name w:val="Hyperlink"/>
    <w:basedOn w:val="DefaultParagraphFont"/>
    <w:uiPriority w:val="99"/>
    <w:rsid w:val="00873094"/>
    <w:rPr>
      <w:color w:val="0563C1" w:themeColor="hyperlink"/>
      <w:u w:val="single"/>
    </w:rPr>
  </w:style>
  <w:style w:type="table" w:styleId="TableGrid">
    <w:name w:val="Table Grid"/>
    <w:basedOn w:val="TableNormal"/>
    <w:rsid w:val="00873094"/>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easurytable">
    <w:name w:val="Treasury table"/>
    <w:basedOn w:val="TableNormal"/>
    <w:uiPriority w:val="99"/>
    <w:rsid w:val="00873094"/>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280" w:beforeAutospacing="0" w:afterLines="0" w:after="240" w:afterAutospacing="0" w:line="240" w:lineRule="auto"/>
      </w:pPr>
      <w:rPr>
        <w:rFonts w:ascii="Helvetica" w:hAnsi="Helvetica"/>
        <w:sz w:val="28"/>
      </w:rPr>
      <w:tblPr/>
      <w:trPr>
        <w:cantSplit/>
        <w:tblHeader/>
      </w:trPr>
    </w:tblStylePr>
  </w:style>
  <w:style w:type="paragraph" w:customStyle="1" w:styleId="ParaCentredNoSpacing">
    <w:name w:val="ParaCentredNoSpacing"/>
    <w:basedOn w:val="Baseparagraphcentred"/>
    <w:qFormat/>
    <w:rsid w:val="00E24AA1"/>
    <w:pPr>
      <w:spacing w:before="0" w:after="0"/>
    </w:pPr>
  </w:style>
  <w:style w:type="paragraph" w:customStyle="1" w:styleId="Referenceafterdotpoint">
    <w:name w:val="Reference after dot point"/>
    <w:basedOn w:val="Normalparatextnonumbers"/>
    <w:next w:val="Dotpoint1"/>
    <w:rsid w:val="00DF5D0C"/>
    <w:pPr>
      <w:spacing w:before="0" w:after="0"/>
      <w:ind w:left="709"/>
    </w:pPr>
    <w:rPr>
      <w:b/>
      <w:i/>
      <w:noProof/>
    </w:rPr>
  </w:style>
  <w:style w:type="character" w:customStyle="1" w:styleId="Heading6Char">
    <w:name w:val="Heading 6 Char"/>
    <w:basedOn w:val="DefaultParagraphFont"/>
    <w:link w:val="Heading6"/>
    <w:uiPriority w:val="9"/>
    <w:semiHidden/>
    <w:rsid w:val="002A2137"/>
    <w:rPr>
      <w:rFonts w:ascii="Helvitica" w:eastAsiaTheme="majorEastAsia" w:hAnsi="Helvitica" w:cstheme="majorBidi"/>
      <w:i/>
    </w:rPr>
  </w:style>
  <w:style w:type="paragraph" w:customStyle="1" w:styleId="Scheduleheading">
    <w:name w:val="Schedule heading"/>
    <w:basedOn w:val="Heading2"/>
    <w:next w:val="Normalparatextnonumbers"/>
    <w:link w:val="ScheduleheadingChar"/>
    <w:rsid w:val="003556BF"/>
  </w:style>
  <w:style w:type="character" w:customStyle="1" w:styleId="ScheduleheadingChar">
    <w:name w:val="Schedule heading Char"/>
    <w:basedOn w:val="Heading2Char"/>
    <w:link w:val="Scheduleheading"/>
    <w:rsid w:val="003556BF"/>
    <w:rPr>
      <w:rFonts w:ascii="Helvitica" w:eastAsiaTheme="majorEastAsia" w:hAnsi="Helvitica" w:cstheme="majorBidi"/>
      <w:sz w:val="36"/>
      <w:szCs w:val="26"/>
    </w:rPr>
  </w:style>
  <w:style w:type="character" w:styleId="UnresolvedMention">
    <w:name w:val="Unresolved Mention"/>
    <w:basedOn w:val="DefaultParagraphFont"/>
    <w:uiPriority w:val="99"/>
    <w:semiHidden/>
    <w:unhideWhenUsed/>
    <w:rsid w:val="007A2DBD"/>
    <w:rPr>
      <w:color w:val="605E5C"/>
      <w:shd w:val="clear" w:color="auto" w:fill="E1DFDD"/>
    </w:rPr>
  </w:style>
  <w:style w:type="paragraph" w:styleId="Revision">
    <w:name w:val="Revision"/>
    <w:hidden/>
    <w:uiPriority w:val="99"/>
    <w:semiHidden/>
    <w:rsid w:val="009732E4"/>
    <w:pPr>
      <w:spacing w:after="0" w:line="240" w:lineRule="auto"/>
    </w:pPr>
    <w:rPr>
      <w:rFonts w:ascii="Times New Roman" w:hAnsi="Times New Roman"/>
    </w:rPr>
  </w:style>
  <w:style w:type="character" w:styleId="CommentReference">
    <w:name w:val="annotation reference"/>
    <w:basedOn w:val="DefaultParagraphFont"/>
    <w:uiPriority w:val="99"/>
    <w:semiHidden/>
    <w:unhideWhenUsed/>
    <w:rsid w:val="0040471E"/>
    <w:rPr>
      <w:sz w:val="16"/>
      <w:szCs w:val="16"/>
    </w:rPr>
  </w:style>
  <w:style w:type="paragraph" w:styleId="CommentText">
    <w:name w:val="annotation text"/>
    <w:basedOn w:val="Normal"/>
    <w:link w:val="CommentTextChar"/>
    <w:uiPriority w:val="99"/>
    <w:semiHidden/>
    <w:unhideWhenUsed/>
    <w:rsid w:val="0040471E"/>
    <w:rPr>
      <w:sz w:val="20"/>
      <w:szCs w:val="20"/>
    </w:rPr>
  </w:style>
  <w:style w:type="character" w:customStyle="1" w:styleId="CommentTextChar">
    <w:name w:val="Comment Text Char"/>
    <w:basedOn w:val="DefaultParagraphFont"/>
    <w:link w:val="CommentText"/>
    <w:uiPriority w:val="99"/>
    <w:semiHidden/>
    <w:rsid w:val="0040471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0471E"/>
    <w:rPr>
      <w:b/>
      <w:bCs/>
    </w:rPr>
  </w:style>
  <w:style w:type="character" w:customStyle="1" w:styleId="CommentSubjectChar">
    <w:name w:val="Comment Subject Char"/>
    <w:basedOn w:val="CommentTextChar"/>
    <w:link w:val="CommentSubject"/>
    <w:uiPriority w:val="99"/>
    <w:semiHidden/>
    <w:rsid w:val="0040471E"/>
    <w:rPr>
      <w:rFonts w:ascii="Times New Roman" w:hAnsi="Times New Roman"/>
      <w:b/>
      <w:bCs/>
      <w:sz w:val="20"/>
      <w:szCs w:val="20"/>
    </w:rPr>
  </w:style>
  <w:style w:type="paragraph" w:customStyle="1" w:styleId="base-text-paragraph">
    <w:name w:val="base-text-paragraph"/>
    <w:link w:val="base-text-paragraphChar"/>
    <w:rsid w:val="002A2857"/>
    <w:pPr>
      <w:numPr>
        <w:numId w:val="23"/>
      </w:numPr>
      <w:tabs>
        <w:tab w:val="num" w:pos="1276"/>
      </w:tabs>
      <w:spacing w:before="120" w:after="120" w:line="240" w:lineRule="auto"/>
      <w:ind w:left="709"/>
    </w:pPr>
    <w:rPr>
      <w:rFonts w:ascii="Times New Roman" w:eastAsia="Times New Roman" w:hAnsi="Times New Roman" w:cs="Times New Roman"/>
      <w:szCs w:val="20"/>
      <w:lang w:eastAsia="en-AU"/>
    </w:rPr>
  </w:style>
  <w:style w:type="character" w:customStyle="1" w:styleId="base-text-paragraphChar">
    <w:name w:val="base-text-paragraph Char"/>
    <w:basedOn w:val="DefaultParagraphFont"/>
    <w:link w:val="base-text-paragraph"/>
    <w:rsid w:val="002A2857"/>
    <w:rPr>
      <w:rFonts w:ascii="Times New Roman" w:eastAsia="Times New Roman" w:hAnsi="Times New Roman" w:cs="Times New Roman"/>
      <w:szCs w:val="20"/>
      <w:lang w:eastAsia="en-AU"/>
    </w:rPr>
  </w:style>
  <w:style w:type="character" w:styleId="FollowedHyperlink">
    <w:name w:val="FollowedHyperlink"/>
    <w:basedOn w:val="DefaultParagraphFont"/>
    <w:uiPriority w:val="99"/>
    <w:semiHidden/>
    <w:unhideWhenUsed/>
    <w:rsid w:val="002151FA"/>
    <w:rPr>
      <w:color w:val="954F72" w:themeColor="followedHyperlink"/>
      <w:u w:val="single"/>
    </w:rPr>
  </w:style>
  <w:style w:type="paragraph" w:customStyle="1" w:styleId="Bullet">
    <w:name w:val="Bullet"/>
    <w:basedOn w:val="Normal"/>
    <w:link w:val="BulletChar"/>
    <w:rsid w:val="0091575E"/>
    <w:pPr>
      <w:numPr>
        <w:numId w:val="24"/>
      </w:numPr>
    </w:pPr>
  </w:style>
  <w:style w:type="character" w:customStyle="1" w:styleId="NormalparatextnonumbersChar">
    <w:name w:val="Normal para text (no numbers) Char"/>
    <w:basedOn w:val="DefaultParagraphFont"/>
    <w:link w:val="Normalparatextnonumbers"/>
    <w:rsid w:val="0091575E"/>
    <w:rPr>
      <w:rFonts w:ascii="Times New Roman" w:hAnsi="Times New Roman"/>
    </w:rPr>
  </w:style>
  <w:style w:type="character" w:customStyle="1" w:styleId="NormalparatextwithnumbersChar">
    <w:name w:val="Normal para text (with numbers) Char"/>
    <w:basedOn w:val="NormalparatextnonumbersChar"/>
    <w:link w:val="Normalparatextwithnumbers"/>
    <w:rsid w:val="0091575E"/>
    <w:rPr>
      <w:rFonts w:ascii="Times New Roman" w:hAnsi="Times New Roman"/>
    </w:rPr>
  </w:style>
  <w:style w:type="character" w:customStyle="1" w:styleId="BulletChar">
    <w:name w:val="Bullet Char"/>
    <w:basedOn w:val="NormalparatextwithnumbersChar"/>
    <w:link w:val="Bullet"/>
    <w:rsid w:val="0091575E"/>
    <w:rPr>
      <w:rFonts w:ascii="Times New Roman" w:hAnsi="Times New Roman"/>
    </w:rPr>
  </w:style>
  <w:style w:type="paragraph" w:customStyle="1" w:styleId="DoubleDot">
    <w:name w:val="Double Dot"/>
    <w:basedOn w:val="Normal"/>
    <w:link w:val="DoubleDotChar"/>
    <w:rsid w:val="0091575E"/>
    <w:pPr>
      <w:numPr>
        <w:ilvl w:val="2"/>
        <w:numId w:val="24"/>
      </w:numPr>
    </w:pPr>
  </w:style>
  <w:style w:type="character" w:customStyle="1" w:styleId="DoubleDotChar">
    <w:name w:val="Double Dot Char"/>
    <w:basedOn w:val="NormalparatextwithnumbersChar"/>
    <w:link w:val="DoubleDot"/>
    <w:rsid w:val="0091575E"/>
    <w:rPr>
      <w:rFonts w:ascii="Times New Roman" w:hAnsi="Times New Roman"/>
    </w:rPr>
  </w:style>
  <w:style w:type="character" w:styleId="EndnoteReference">
    <w:name w:val="endnote reference"/>
    <w:basedOn w:val="DefaultParagraphFont"/>
    <w:uiPriority w:val="99"/>
    <w:semiHidden/>
    <w:unhideWhenUsed/>
    <w:rsid w:val="00BC70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260315">
      <w:bodyDiv w:val="1"/>
      <w:marLeft w:val="0"/>
      <w:marRight w:val="0"/>
      <w:marTop w:val="0"/>
      <w:marBottom w:val="0"/>
      <w:divBdr>
        <w:top w:val="none" w:sz="0" w:space="0" w:color="auto"/>
        <w:left w:val="none" w:sz="0" w:space="0" w:color="auto"/>
        <w:bottom w:val="none" w:sz="0" w:space="0" w:color="auto"/>
        <w:right w:val="none" w:sz="0" w:space="0" w:color="auto"/>
      </w:divBdr>
    </w:div>
    <w:div w:id="821118332">
      <w:bodyDiv w:val="1"/>
      <w:marLeft w:val="0"/>
      <w:marRight w:val="0"/>
      <w:marTop w:val="0"/>
      <w:marBottom w:val="0"/>
      <w:divBdr>
        <w:top w:val="none" w:sz="0" w:space="0" w:color="auto"/>
        <w:left w:val="none" w:sz="0" w:space="0" w:color="auto"/>
        <w:bottom w:val="none" w:sz="0" w:space="0" w:color="auto"/>
        <w:right w:val="none" w:sz="0" w:space="0" w:color="auto"/>
      </w:divBdr>
    </w:div>
    <w:div w:id="868907787">
      <w:bodyDiv w:val="1"/>
      <w:marLeft w:val="0"/>
      <w:marRight w:val="0"/>
      <w:marTop w:val="0"/>
      <w:marBottom w:val="0"/>
      <w:divBdr>
        <w:top w:val="none" w:sz="0" w:space="0" w:color="auto"/>
        <w:left w:val="none" w:sz="0" w:space="0" w:color="auto"/>
        <w:bottom w:val="none" w:sz="0" w:space="0" w:color="auto"/>
        <w:right w:val="none" w:sz="0" w:space="0" w:color="auto"/>
      </w:divBdr>
    </w:div>
    <w:div w:id="873469127">
      <w:bodyDiv w:val="1"/>
      <w:marLeft w:val="0"/>
      <w:marRight w:val="0"/>
      <w:marTop w:val="0"/>
      <w:marBottom w:val="0"/>
      <w:divBdr>
        <w:top w:val="none" w:sz="0" w:space="0" w:color="auto"/>
        <w:left w:val="none" w:sz="0" w:space="0" w:color="auto"/>
        <w:bottom w:val="none" w:sz="0" w:space="0" w:color="auto"/>
        <w:right w:val="none" w:sz="0" w:space="0" w:color="auto"/>
      </w:divBdr>
    </w:div>
    <w:div w:id="982468461">
      <w:bodyDiv w:val="1"/>
      <w:marLeft w:val="0"/>
      <w:marRight w:val="0"/>
      <w:marTop w:val="0"/>
      <w:marBottom w:val="0"/>
      <w:divBdr>
        <w:top w:val="none" w:sz="0" w:space="0" w:color="auto"/>
        <w:left w:val="none" w:sz="0" w:space="0" w:color="auto"/>
        <w:bottom w:val="none" w:sz="0" w:space="0" w:color="auto"/>
        <w:right w:val="none" w:sz="0" w:space="0" w:color="auto"/>
      </w:divBdr>
    </w:div>
    <w:div w:id="1328820642">
      <w:bodyDiv w:val="1"/>
      <w:marLeft w:val="0"/>
      <w:marRight w:val="0"/>
      <w:marTop w:val="0"/>
      <w:marBottom w:val="0"/>
      <w:divBdr>
        <w:top w:val="none" w:sz="0" w:space="0" w:color="auto"/>
        <w:left w:val="none" w:sz="0" w:space="0" w:color="auto"/>
        <w:bottom w:val="none" w:sz="0" w:space="0" w:color="auto"/>
        <w:right w:val="none" w:sz="0" w:space="0" w:color="auto"/>
      </w:divBdr>
    </w:div>
    <w:div w:id="1530802535">
      <w:bodyDiv w:val="1"/>
      <w:marLeft w:val="0"/>
      <w:marRight w:val="0"/>
      <w:marTop w:val="0"/>
      <w:marBottom w:val="0"/>
      <w:divBdr>
        <w:top w:val="none" w:sz="0" w:space="0" w:color="auto"/>
        <w:left w:val="none" w:sz="0" w:space="0" w:color="auto"/>
        <w:bottom w:val="none" w:sz="0" w:space="0" w:color="auto"/>
        <w:right w:val="none" w:sz="0" w:space="0" w:color="auto"/>
      </w:divBdr>
    </w:div>
    <w:div w:id="1666857302">
      <w:bodyDiv w:val="1"/>
      <w:marLeft w:val="0"/>
      <w:marRight w:val="0"/>
      <w:marTop w:val="0"/>
      <w:marBottom w:val="0"/>
      <w:divBdr>
        <w:top w:val="none" w:sz="0" w:space="0" w:color="auto"/>
        <w:left w:val="none" w:sz="0" w:space="0" w:color="auto"/>
        <w:bottom w:val="none" w:sz="0" w:space="0" w:color="auto"/>
        <w:right w:val="none" w:sz="0" w:space="0" w:color="auto"/>
      </w:divBdr>
    </w:div>
    <w:div w:id="1731658847">
      <w:bodyDiv w:val="1"/>
      <w:marLeft w:val="0"/>
      <w:marRight w:val="0"/>
      <w:marTop w:val="0"/>
      <w:marBottom w:val="0"/>
      <w:divBdr>
        <w:top w:val="none" w:sz="0" w:space="0" w:color="auto"/>
        <w:left w:val="none" w:sz="0" w:space="0" w:color="auto"/>
        <w:bottom w:val="none" w:sz="0" w:space="0" w:color="auto"/>
        <w:right w:val="none" w:sz="0" w:space="0" w:color="auto"/>
      </w:divBdr>
    </w:div>
    <w:div w:id="1824925272">
      <w:bodyDiv w:val="1"/>
      <w:marLeft w:val="0"/>
      <w:marRight w:val="0"/>
      <w:marTop w:val="0"/>
      <w:marBottom w:val="0"/>
      <w:divBdr>
        <w:top w:val="none" w:sz="0" w:space="0" w:color="auto"/>
        <w:left w:val="none" w:sz="0" w:space="0" w:color="auto"/>
        <w:bottom w:val="none" w:sz="0" w:space="0" w:color="auto"/>
        <w:right w:val="none" w:sz="0" w:space="0" w:color="auto"/>
      </w:divBdr>
    </w:div>
    <w:div w:id="2056270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8.xml"/><Relationship Id="rId10" Type="http://schemas.openxmlformats.org/officeDocument/2006/relationships/webSettings" Target="webSetting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3E3C4A52B0574A4DB9E7A9171180051B" ma:contentTypeVersion="48493" ma:contentTypeDescription=" " ma:contentTypeScope="" ma:versionID="f477d920c4c8be33f971a2ae876786f8">
  <xsd:schema xmlns:xsd="http://www.w3.org/2001/XMLSchema" xmlns:xs="http://www.w3.org/2001/XMLSchema" xmlns:p="http://schemas.microsoft.com/office/2006/metadata/properties" xmlns:ns1="http://schemas.microsoft.com/sharepoint/v3" xmlns:ns2="0f563589-9cf9-4143-b1eb-fb0534803d38" xmlns:ns3="9f7bc583-7cbe-45b9-a2bd-8bbb6543b37e" xmlns:ns4="http://schemas.microsoft.com/sharepoint/v4" targetNamespace="http://schemas.microsoft.com/office/2006/metadata/properties" ma:root="true" ma:fieldsID="a44e6d130d7d8fca8dc8c289c49be9f1" ns1:_="" ns2:_="" ns3:_="" ns4: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6;#TSY RA-9241 - Retain as national archives|f92f0150-6021-43b5-a30c-415e02490674"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4.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AE-20260-Destroy 7 years after action completed</TermName>
          <TermId xmlns="http://schemas.microsoft.com/office/infopath/2007/PartnerControls">623f5ec9-ec5d-4824-8e13-9c9bfc51fe7e</TermId>
        </TermInfo>
      </Terms>
    </lb508a4dc5e84436a0fe496b536466aa>
    <_dlc_DocId xmlns="0f563589-9cf9-4143-b1eb-fb0534803d38">2022RG-104-31551</_dlc_DocId>
    <TaxCatchAll xmlns="0f563589-9cf9-4143-b1eb-fb0534803d38">
      <Value>1</Value>
    </TaxCatchAll>
    <_dlc_DocIdUrl xmlns="0f563589-9cf9-4143-b1eb-fb0534803d38">
      <Url>http://tweb/sites/rg/citd/_layouts/15/DocIdRedir.aspx?ID=2022RG-104-31551</Url>
      <Description>2022RG-104-31551</Description>
    </_dlc_DocIdUrl>
    <IconOverlay xmlns="http://schemas.microsoft.com/sharepoint/v4" xsi:nil="true"/>
  </documentManagement>
</p:propertie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BA6D9F-244E-48BB-8F99-1E73576940B9}">
  <ds:schemaRefs>
    <ds:schemaRef ds:uri="http://schemas.microsoft.com/sharepoint/v3/contenttype/forms"/>
  </ds:schemaRefs>
</ds:datastoreItem>
</file>

<file path=customXml/itemProps2.xml><?xml version="1.0" encoding="utf-8"?>
<ds:datastoreItem xmlns:ds="http://schemas.openxmlformats.org/officeDocument/2006/customXml" ds:itemID="{477ACEC4-60F0-4569-A2B2-82396A76D7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33CC62-0F24-473C-9F4A-78899FFC9B2F}">
  <ds:schemaRefs>
    <ds:schemaRef ds:uri="http://schemas.microsoft.com/sharepoint/events"/>
  </ds:schemaRefs>
</ds:datastoreItem>
</file>

<file path=customXml/itemProps4.xml><?xml version="1.0" encoding="utf-8"?>
<ds:datastoreItem xmlns:ds="http://schemas.openxmlformats.org/officeDocument/2006/customXml" ds:itemID="{4960B3BD-0D0B-4ADD-87C9-CAC0DA94C23D}">
  <ds:schemaRefs>
    <ds:schemaRef ds:uri="http://schemas.microsoft.com/sharepoint/v3"/>
    <ds:schemaRef ds:uri="9f7bc583-7cbe-45b9-a2bd-8bbb6543b37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f563589-9cf9-4143-b1eb-fb0534803d38"/>
    <ds:schemaRef ds:uri="http://purl.org/dc/elements/1.1/"/>
    <ds:schemaRef ds:uri="http://schemas.microsoft.com/office/2006/metadata/properties"/>
    <ds:schemaRef ds:uri="http://schemas.microsoft.com/sharepoint/v4"/>
    <ds:schemaRef ds:uri="http://www.w3.org/XML/1998/namespace"/>
    <ds:schemaRef ds:uri="http://purl.org/dc/dcmitype/"/>
  </ds:schemaRefs>
</ds:datastoreItem>
</file>

<file path=customXml/itemProps5.xml><?xml version="1.0" encoding="utf-8"?>
<ds:datastoreItem xmlns:ds="http://schemas.openxmlformats.org/officeDocument/2006/customXml" ds:itemID="{053F917A-5910-49D6-ACB2-C89ED82D310E}">
  <ds:schemaRefs>
    <ds:schemaRef ds:uri="office.server.policy"/>
  </ds:schemaRefs>
</ds:datastoreItem>
</file>

<file path=customXml/itemProps6.xml><?xml version="1.0" encoding="utf-8"?>
<ds:datastoreItem xmlns:ds="http://schemas.openxmlformats.org/officeDocument/2006/customXml" ds:itemID="{A2963127-39F0-4A17-A3BD-58799C6E4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Pri-EM.dotx</Template>
  <TotalTime>59</TotalTime>
  <Pages>10</Pages>
  <Words>1578</Words>
  <Characters>8446</Characters>
  <Application>Microsoft Office Word</Application>
  <DocSecurity>0</DocSecurity>
  <Lines>209</Lines>
  <Paragraphs>61</Paragraphs>
  <ScaleCrop>false</ScaleCrop>
  <HeadingPairs>
    <vt:vector size="2" baseType="variant">
      <vt:variant>
        <vt:lpstr>Title</vt:lpstr>
      </vt:variant>
      <vt:variant>
        <vt:i4>1</vt:i4>
      </vt:variant>
    </vt:vector>
  </HeadingPairs>
  <TitlesOfParts>
    <vt:vector size="1" baseType="lpstr">
      <vt:lpstr>Exposure Draft Explanatory Materials - Treasury Laws Amendment (Measures for consultation) Bill 2022: Adjustment to tax on certain payments or credits paid to Indian firms </vt:lpstr>
    </vt:vector>
  </TitlesOfParts>
  <Company/>
  <LinksUpToDate>false</LinksUpToDate>
  <CharactersWithSpaces>9980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Explanatory Materials - Treasury Laws Amendment (Measures for consultation) Bill 2022: Adjustment to tax on certain payments or credits paid to Indian firms </dc:title>
  <dc:subject/>
  <dc:creator/>
  <cp:keywords/>
  <dc:description/>
  <cp:lastModifiedBy/>
  <cp:revision>26</cp:revision>
  <dcterms:created xsi:type="dcterms:W3CDTF">2022-07-20T06:48:00Z</dcterms:created>
  <dcterms:modified xsi:type="dcterms:W3CDTF">2022-07-29T05:19:00Z</dcterms:modified>
</cp:coreProperties>
</file>