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60862"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4FD3E5A2" w14:textId="04EA8559" w:rsidR="00F109D4" w:rsidRPr="006B4423" w:rsidRDefault="00F109D4" w:rsidP="006B4423">
      <w:pPr>
        <w:pStyle w:val="Heading2"/>
        <w:jc w:val="center"/>
        <w:rPr>
          <w:sz w:val="24"/>
          <w:szCs w:val="24"/>
        </w:rPr>
      </w:pPr>
      <w:r w:rsidRPr="007B335E">
        <w:rPr>
          <w:sz w:val="24"/>
          <w:szCs w:val="24"/>
        </w:rPr>
        <w:t xml:space="preserve">Issued by authority of </w:t>
      </w:r>
      <w:sdt>
        <w:sdtPr>
          <w:rPr>
            <w:rStyle w:val="DefaultChar"/>
          </w:rPr>
          <w:id w:val="-1025254589"/>
          <w:placeholder>
            <w:docPart w:val="C866AB29F4F04BBA9A178E9B5FD5F193"/>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3A2344">
            <w:rPr>
              <w:rStyle w:val="DefaultChar"/>
            </w:rPr>
            <w:t>the Assistant Treasurer and Minister for Financial Services</w:t>
          </w:r>
        </w:sdtContent>
      </w:sdt>
      <w:r w:rsidR="00076178" w:rsidRPr="00731FEA">
        <w:rPr>
          <w:sz w:val="24"/>
          <w:szCs w:val="24"/>
        </w:rPr>
        <w:t xml:space="preserve"> </w:t>
      </w:r>
    </w:p>
    <w:p w14:paraId="0F1D45B5" w14:textId="08192FEB" w:rsidR="00F109D4" w:rsidRPr="007E5644" w:rsidRDefault="007E5644" w:rsidP="00AA1689">
      <w:pPr>
        <w:tabs>
          <w:tab w:val="left" w:pos="1418"/>
        </w:tabs>
        <w:spacing w:before="0" w:after="240"/>
        <w:jc w:val="center"/>
        <w:rPr>
          <w:i/>
          <w:iCs/>
        </w:rPr>
      </w:pPr>
      <w:r w:rsidRPr="007E5644">
        <w:rPr>
          <w:i/>
          <w:iCs/>
        </w:rPr>
        <w:t>Treasury Laws Amendment (Measures for Consultation) Regulations 2022</w:t>
      </w:r>
    </w:p>
    <w:p w14:paraId="7107D9A9" w14:textId="5ED356B5" w:rsidR="00F109D4" w:rsidRDefault="00C55D29" w:rsidP="00647BB7">
      <w:pPr>
        <w:spacing w:before="240"/>
      </w:pPr>
      <w:r w:rsidRPr="00503E44">
        <w:t xml:space="preserve">Section </w:t>
      </w:r>
      <w:r w:rsidR="00026598">
        <w:t>1364</w:t>
      </w:r>
      <w:r w:rsidR="005E4BAC">
        <w:t xml:space="preserve"> </w:t>
      </w:r>
      <w:r w:rsidR="00F109D4" w:rsidRPr="00503E44">
        <w:t xml:space="preserve">of the </w:t>
      </w:r>
      <w:r w:rsidR="00026598" w:rsidRPr="00026598">
        <w:rPr>
          <w:i/>
          <w:iCs/>
        </w:rPr>
        <w:t>Corporations Act 2001</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41769F9F" w14:textId="2216B3B8" w:rsidR="001C03F6" w:rsidRDefault="00B810B4" w:rsidP="001C03F6">
      <w:pPr>
        <w:spacing w:before="240"/>
      </w:pPr>
      <w:r>
        <w:t xml:space="preserve">The purpose of the </w:t>
      </w:r>
      <w:r w:rsidRPr="00B810B4">
        <w:rPr>
          <w:i/>
          <w:iCs/>
        </w:rPr>
        <w:t>Treasury Laws Amendment (Measures for Consultation) Regulations 2022</w:t>
      </w:r>
      <w:r>
        <w:rPr>
          <w:i/>
          <w:iCs/>
        </w:rPr>
        <w:t xml:space="preserve"> </w:t>
      </w:r>
      <w:r>
        <w:t>(the Regulations)</w:t>
      </w:r>
      <w:r w:rsidR="00C62FD7">
        <w:t xml:space="preserve"> is</w:t>
      </w:r>
      <w:r w:rsidR="00731A2E">
        <w:t xml:space="preserve"> to simplify </w:t>
      </w:r>
      <w:r w:rsidR="001F105B">
        <w:t xml:space="preserve">and rationalise </w:t>
      </w:r>
      <w:r w:rsidR="00731A2E">
        <w:t xml:space="preserve">the </w:t>
      </w:r>
      <w:r w:rsidR="001C03F6">
        <w:rPr>
          <w:i/>
          <w:iCs/>
        </w:rPr>
        <w:t>Corporations Regulations</w:t>
      </w:r>
      <w:r w:rsidR="00721E67">
        <w:rPr>
          <w:i/>
          <w:iCs/>
        </w:rPr>
        <w:t xml:space="preserve"> 2001</w:t>
      </w:r>
      <w:r w:rsidR="001C03F6">
        <w:rPr>
          <w:i/>
          <w:iCs/>
        </w:rPr>
        <w:t xml:space="preserve"> </w:t>
      </w:r>
      <w:r w:rsidR="001C03F6">
        <w:t xml:space="preserve">in line with recommendations and other suggested improvements identified by the Australian Law Reform Commission (ALRC) in Interim Report A of its Review of the Legislative Framework for Corporations and Financial Services Regulation (ALRC Report 137). </w:t>
      </w:r>
    </w:p>
    <w:p w14:paraId="3CE747B3" w14:textId="260B92C6" w:rsidR="00A25F4A" w:rsidRDefault="00A25F4A" w:rsidP="00647BB7">
      <w:pPr>
        <w:spacing w:before="240"/>
      </w:pPr>
      <w:r>
        <w:t xml:space="preserve">Interim Report A, and the ALRC’s Review more broadly, forms part of the </w:t>
      </w:r>
      <w:r w:rsidR="00D807C7">
        <w:t xml:space="preserve">Government’s </w:t>
      </w:r>
      <w:r>
        <w:t>response to the Royal Commission into Misconduct in the Banking, Superannuation and Financial Services Industry in 2019, which noted the law needed to be simplified to ensure its intent is met.</w:t>
      </w:r>
      <w:r w:rsidR="001C03F6">
        <w:t xml:space="preserve"> </w:t>
      </w:r>
    </w:p>
    <w:p w14:paraId="4DF6263E" w14:textId="77777777" w:rsidR="0024522E" w:rsidRDefault="0024522E" w:rsidP="0024522E">
      <w:pPr>
        <w:spacing w:before="240"/>
      </w:pPr>
      <w:r>
        <w:t xml:space="preserve">The Regulations clarify the meaning of defined terms, remove redundant definitions, and make broad improvements in relation to the use of definitions. These changes facilitate a more adaptive, efficient, and navigable legislative framework which help ensure that the legislative intent is met. </w:t>
      </w:r>
    </w:p>
    <w:p w14:paraId="073D1909" w14:textId="32C143F6" w:rsidR="0024522E" w:rsidRDefault="00721E67" w:rsidP="00647BB7">
      <w:pPr>
        <w:spacing w:before="240"/>
      </w:pPr>
      <w:r>
        <w:t>Consultation: with States and Territories under intergovernmental agreements (excl. GST).</w:t>
      </w:r>
    </w:p>
    <w:p w14:paraId="5EDAA7C8" w14:textId="46DBCF0F" w:rsidR="00087588" w:rsidRDefault="00087588" w:rsidP="00087588">
      <w:pPr>
        <w:spacing w:before="240"/>
      </w:pPr>
      <w:r>
        <w:t xml:space="preserve">Details of the Regulations are set out in </w:t>
      </w:r>
      <w:r w:rsidRPr="004260BD">
        <w:rPr>
          <w:u w:val="single"/>
        </w:rPr>
        <w:t>Attachment</w:t>
      </w:r>
      <w:r w:rsidR="00377B65">
        <w:rPr>
          <w:u w:val="single"/>
        </w:rPr>
        <w:t xml:space="preserve"> A</w:t>
      </w:r>
      <w:r w:rsidRPr="004260BD">
        <w:rPr>
          <w:u w:val="single"/>
        </w:rPr>
        <w:t>.</w:t>
      </w:r>
    </w:p>
    <w:p w14:paraId="1E24439F" w14:textId="77777777"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49C5B1CF" w14:textId="77777777" w:rsidR="002662EA" w:rsidRDefault="002662EA" w:rsidP="002662EA">
      <w:pPr>
        <w:spacing w:before="240"/>
      </w:pPr>
      <w:r>
        <w:t xml:space="preserve">The Regulations commenced on the same date as Schedule 1 to the </w:t>
      </w:r>
      <w:r>
        <w:rPr>
          <w:i/>
          <w:iCs/>
        </w:rPr>
        <w:t>Treasury Laws Amendment (Measures for consultation) Act 2022: ALRC Financial Services Interim Report Recommendations</w:t>
      </w:r>
      <w:r w:rsidRPr="0024522E">
        <w:t>.</w:t>
      </w:r>
    </w:p>
    <w:p w14:paraId="247A72D9" w14:textId="4E54B3D3" w:rsidR="009143A0" w:rsidRDefault="00C013FE" w:rsidP="00647BB7">
      <w:pPr>
        <w:spacing w:before="240"/>
      </w:pPr>
      <w:bookmarkStart w:id="0" w:name="_Hlk109565916"/>
      <w:r>
        <w:t>There are no compliance costs or additional regulatory burden</w:t>
      </w:r>
      <w:r w:rsidR="00CA20DE">
        <w:t>s</w:t>
      </w:r>
      <w:r>
        <w:t xml:space="preserve"> associated with the </w:t>
      </w:r>
      <w:r w:rsidR="0073394E">
        <w:t>Regulations</w:t>
      </w:r>
      <w:r>
        <w:t>.</w:t>
      </w:r>
    </w:p>
    <w:bookmarkEnd w:id="0"/>
    <w:p w14:paraId="4920A280" w14:textId="3FD04DAC" w:rsidR="00EA4DD8" w:rsidRDefault="00EA4DD8" w:rsidP="00EA4DD8">
      <w:pPr>
        <w:pageBreakBefore/>
        <w:spacing w:before="240"/>
        <w:jc w:val="right"/>
        <w:rPr>
          <w:b/>
          <w:u w:val="single"/>
        </w:rPr>
      </w:pPr>
      <w:r w:rsidRPr="007B335E">
        <w:rPr>
          <w:b/>
          <w:u w:val="single"/>
        </w:rPr>
        <w:lastRenderedPageBreak/>
        <w:t>ATTACHMENT</w:t>
      </w:r>
      <w:r w:rsidR="00C013FE">
        <w:rPr>
          <w:b/>
          <w:u w:val="single"/>
        </w:rPr>
        <w:t xml:space="preserve"> A</w:t>
      </w:r>
    </w:p>
    <w:p w14:paraId="0406E604" w14:textId="548F39FA" w:rsidR="00EA4DD8" w:rsidRPr="00AC2807" w:rsidRDefault="00EA4DD8" w:rsidP="00EA4DD8">
      <w:pPr>
        <w:spacing w:before="240"/>
        <w:ind w:right="91"/>
        <w:rPr>
          <w:b/>
          <w:i/>
          <w:iCs/>
          <w:u w:val="single"/>
        </w:rPr>
      </w:pPr>
      <w:r>
        <w:rPr>
          <w:b/>
          <w:bCs/>
          <w:u w:val="single"/>
        </w:rPr>
        <w:t xml:space="preserve">Details of the </w:t>
      </w:r>
      <w:r w:rsidR="00AC2807" w:rsidRPr="00AC2807">
        <w:rPr>
          <w:b/>
          <w:i/>
          <w:iCs/>
          <w:u w:val="single"/>
        </w:rPr>
        <w:t>Treasury Laws Amendment (Measures for Consultation) Regulations 2022</w:t>
      </w:r>
      <w:r>
        <w:rPr>
          <w:b/>
          <w:bCs/>
          <w:u w:val="single"/>
        </w:rPr>
        <w:t xml:space="preserve"> </w:t>
      </w:r>
    </w:p>
    <w:p w14:paraId="17B2CEF1"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41B9C2D3" w14:textId="12F99614" w:rsidR="00EA4DD8" w:rsidRPr="00AC2807" w:rsidRDefault="00EA4DD8" w:rsidP="00EA4DD8">
      <w:pPr>
        <w:spacing w:before="240"/>
        <w:rPr>
          <w:i/>
          <w:iCs/>
        </w:rPr>
      </w:pPr>
      <w:r>
        <w:t xml:space="preserve">This section provides that the name of the Regulations is the </w:t>
      </w:r>
      <w:r w:rsidR="00AC2807" w:rsidRPr="00AC2807">
        <w:rPr>
          <w:i/>
          <w:iCs/>
        </w:rPr>
        <w:t>Treasury Laws Amendment (Measures for Consultation) Regulations 2022</w:t>
      </w:r>
      <w:r>
        <w:t xml:space="preserve"> (the Regulations).</w:t>
      </w:r>
    </w:p>
    <w:p w14:paraId="0E73F93D" w14:textId="77777777" w:rsidR="00EA4DD8" w:rsidRDefault="00EA4DD8" w:rsidP="00EA4DD8">
      <w:pPr>
        <w:spacing w:before="240"/>
        <w:ind w:right="91"/>
        <w:rPr>
          <w:u w:val="single"/>
        </w:rPr>
      </w:pPr>
      <w:r>
        <w:rPr>
          <w:u w:val="single"/>
        </w:rPr>
        <w:t>Section 2 – Commencement</w:t>
      </w:r>
    </w:p>
    <w:p w14:paraId="07CDF620" w14:textId="3BD55F82" w:rsidR="00C013FE" w:rsidRDefault="00EA4DD8" w:rsidP="00EA4DD8">
      <w:pPr>
        <w:spacing w:before="240"/>
        <w:ind w:right="91"/>
      </w:pPr>
      <w:r>
        <w:t xml:space="preserve">Schedule 1 to the Regulations </w:t>
      </w:r>
      <w:r w:rsidR="00C013FE" w:rsidRPr="00C013FE">
        <w:t>commence</w:t>
      </w:r>
      <w:r w:rsidR="00CA20DE">
        <w:t>s</w:t>
      </w:r>
      <w:r w:rsidR="00C013FE" w:rsidRPr="00C013FE">
        <w:t xml:space="preserve"> on the same date as Schedule 1 to the </w:t>
      </w:r>
      <w:bookmarkStart w:id="1" w:name="_Hlk109566622"/>
      <w:r w:rsidR="00C013FE" w:rsidRPr="00CA20DE">
        <w:rPr>
          <w:i/>
          <w:iCs/>
        </w:rPr>
        <w:t>Treasury Laws Amendment (Measures for consultation) Act 2022: ALRC Financial Services Interim Report Recommendations</w:t>
      </w:r>
      <w:r w:rsidR="00C013FE" w:rsidRPr="00C013FE">
        <w:t>.</w:t>
      </w:r>
      <w:r w:rsidR="00C013FE">
        <w:t xml:space="preserve"> </w:t>
      </w:r>
      <w:bookmarkEnd w:id="1"/>
    </w:p>
    <w:p w14:paraId="6FA831F6" w14:textId="0A29FCA5" w:rsidR="00EA4DD8" w:rsidRDefault="00EA4DD8" w:rsidP="00EA4DD8">
      <w:pPr>
        <w:spacing w:before="240"/>
        <w:ind w:right="91"/>
        <w:rPr>
          <w:u w:val="single"/>
        </w:rPr>
      </w:pPr>
      <w:r>
        <w:rPr>
          <w:u w:val="single"/>
        </w:rPr>
        <w:t>Section 3 – Authority</w:t>
      </w:r>
    </w:p>
    <w:p w14:paraId="22919A50" w14:textId="1B5FD0D7" w:rsidR="00EA4DD8" w:rsidRDefault="00EA4DD8" w:rsidP="00EA4DD8">
      <w:pPr>
        <w:spacing w:before="240"/>
        <w:ind w:right="91"/>
      </w:pPr>
      <w:r>
        <w:t>The Regulations are made under</w:t>
      </w:r>
      <w:r w:rsidR="00447D23">
        <w:t xml:space="preserve"> section 1364</w:t>
      </w:r>
      <w:r>
        <w:t xml:space="preserve"> the </w:t>
      </w:r>
      <w:r w:rsidR="003D14D9">
        <w:rPr>
          <w:i/>
        </w:rPr>
        <w:t>Corporations Act 2001</w:t>
      </w:r>
      <w:r>
        <w:t xml:space="preserve"> (the Act).</w:t>
      </w:r>
    </w:p>
    <w:p w14:paraId="46D9B0ED" w14:textId="7F617A55" w:rsidR="00EA4DD8" w:rsidRDefault="00EA4DD8" w:rsidP="00EA4DD8">
      <w:pPr>
        <w:spacing w:before="240"/>
        <w:ind w:right="91"/>
        <w:rPr>
          <w:u w:val="single"/>
        </w:rPr>
      </w:pPr>
      <w:r>
        <w:rPr>
          <w:u w:val="single"/>
        </w:rPr>
        <w:t>Section 4 – Schedule</w:t>
      </w:r>
    </w:p>
    <w:p w14:paraId="286540FA" w14:textId="77777777"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28635F3A" w14:textId="5F5156DA" w:rsidR="00EA4DD8" w:rsidRDefault="00EA4DD8" w:rsidP="009F6278">
      <w:pPr>
        <w:spacing w:after="0"/>
        <w:ind w:right="91"/>
        <w:rPr>
          <w:u w:val="single"/>
        </w:rPr>
      </w:pPr>
      <w:r>
        <w:rPr>
          <w:u w:val="single"/>
        </w:rPr>
        <w:t xml:space="preserve">Schedule 1 – </w:t>
      </w:r>
      <w:r w:rsidR="009F6278">
        <w:rPr>
          <w:u w:val="single"/>
        </w:rPr>
        <w:t>ALRC Financial Services Interim Report</w:t>
      </w:r>
    </w:p>
    <w:p w14:paraId="7F61DC9E" w14:textId="6599FE93" w:rsidR="002232B4" w:rsidRPr="00FB21E2" w:rsidRDefault="009F6278" w:rsidP="009F6278">
      <w:pPr>
        <w:spacing w:after="0"/>
        <w:ind w:right="91"/>
      </w:pPr>
      <w:r w:rsidRPr="003E5A0D">
        <w:t>Item 1 inserts new sub</w:t>
      </w:r>
      <w:r w:rsidR="004F2290" w:rsidRPr="003E5A0D">
        <w:t>-</w:t>
      </w:r>
      <w:r w:rsidRPr="003E5A0D">
        <w:t xml:space="preserve">regulation 1.0.02(1) </w:t>
      </w:r>
      <w:r w:rsidR="00E36AF1" w:rsidRPr="003E5A0D">
        <w:t xml:space="preserve">to define </w:t>
      </w:r>
      <w:r w:rsidRPr="003E5A0D">
        <w:t>the term</w:t>
      </w:r>
      <w:r w:rsidR="00035AB7" w:rsidRPr="003E5A0D">
        <w:t>s</w:t>
      </w:r>
      <w:r w:rsidRPr="003E5A0D">
        <w:t xml:space="preserve"> ‘cash management trust interest’</w:t>
      </w:r>
      <w:r w:rsidR="00035AB7" w:rsidRPr="003E5A0D">
        <w:t xml:space="preserve"> </w:t>
      </w:r>
      <w:r w:rsidRPr="003E5A0D">
        <w:t xml:space="preserve">and ‘quarter day’. </w:t>
      </w:r>
      <w:r w:rsidR="00035AB7" w:rsidRPr="003E5A0D">
        <w:t>The</w:t>
      </w:r>
      <w:r w:rsidR="00AA5A09" w:rsidRPr="003E5A0D">
        <w:t xml:space="preserve"> new sub-regulation facilitates navigability in the </w:t>
      </w:r>
      <w:r w:rsidR="007C2F9B" w:rsidRPr="003E5A0D">
        <w:rPr>
          <w:i/>
          <w:iCs/>
        </w:rPr>
        <w:t xml:space="preserve">Corporations </w:t>
      </w:r>
      <w:r w:rsidR="00AA5A09" w:rsidRPr="003E5A0D">
        <w:rPr>
          <w:i/>
        </w:rPr>
        <w:t xml:space="preserve">Regulations </w:t>
      </w:r>
      <w:r w:rsidR="007C2F9B" w:rsidRPr="003E5A0D">
        <w:rPr>
          <w:i/>
          <w:iCs/>
        </w:rPr>
        <w:t>2001</w:t>
      </w:r>
      <w:r w:rsidR="007C2F9B" w:rsidRPr="003E5A0D">
        <w:t xml:space="preserve"> (Corporations Regulations) </w:t>
      </w:r>
      <w:r w:rsidR="004A3513" w:rsidRPr="003E5A0D">
        <w:t>by removing the need for</w:t>
      </w:r>
      <w:r w:rsidR="00F7559C" w:rsidRPr="003E5A0D">
        <w:t xml:space="preserve"> a reader of </w:t>
      </w:r>
      <w:r w:rsidR="004A3513" w:rsidRPr="003E5A0D">
        <w:t xml:space="preserve">the </w:t>
      </w:r>
      <w:r w:rsidR="007C2F9B" w:rsidRPr="003E5A0D">
        <w:t xml:space="preserve">Corporations </w:t>
      </w:r>
      <w:r w:rsidR="004A3513" w:rsidRPr="003E5A0D">
        <w:t>Regulations</w:t>
      </w:r>
      <w:r w:rsidR="00F7559C" w:rsidRPr="003E5A0D">
        <w:t xml:space="preserve"> to refer to </w:t>
      </w:r>
      <w:r w:rsidR="004A3513" w:rsidRPr="003E5A0D">
        <w:t xml:space="preserve">the </w:t>
      </w:r>
      <w:r w:rsidR="00F7559C" w:rsidRPr="003E5A0D">
        <w:t xml:space="preserve">Act </w:t>
      </w:r>
      <w:r w:rsidR="004A3513" w:rsidRPr="003E5A0D">
        <w:t>to locate the meaning of these terms.</w:t>
      </w:r>
      <w:r w:rsidR="0073394E" w:rsidRPr="003E5A0D">
        <w:t xml:space="preserve"> The terms are not used in the Act</w:t>
      </w:r>
      <w:r w:rsidR="0097325D" w:rsidRPr="003E5A0D">
        <w:t xml:space="preserve"> and are </w:t>
      </w:r>
      <w:r w:rsidR="0097325D" w:rsidRPr="00FB21E2">
        <w:t xml:space="preserve">repealed by the </w:t>
      </w:r>
      <w:r w:rsidR="0097325D" w:rsidRPr="00864068">
        <w:rPr>
          <w:i/>
          <w:iCs/>
        </w:rPr>
        <w:t>Treasury Laws Amendment (Measures for consultation) Act 2022: ALRC Financial Services Interim Report Recommendations</w:t>
      </w:r>
      <w:r w:rsidR="0097325D" w:rsidRPr="00FB21E2">
        <w:t xml:space="preserve">. </w:t>
      </w:r>
    </w:p>
    <w:p w14:paraId="39F97049" w14:textId="4A3D45C9" w:rsidR="002232B4" w:rsidRPr="009F6189" w:rsidRDefault="002232B4" w:rsidP="009F6278">
      <w:pPr>
        <w:spacing w:after="0"/>
        <w:ind w:right="91"/>
      </w:pPr>
      <w:r w:rsidRPr="00864068">
        <w:t xml:space="preserve">Item </w:t>
      </w:r>
      <w:r w:rsidR="0097325D" w:rsidRPr="00864068">
        <w:t>2</w:t>
      </w:r>
      <w:r w:rsidRPr="00864068">
        <w:t xml:space="preserve"> repeals regulation 7.1.02. </w:t>
      </w:r>
      <w:r w:rsidR="00941604" w:rsidRPr="00864068">
        <w:t xml:space="preserve">This regulation modified </w:t>
      </w:r>
      <w:r w:rsidR="0097325D" w:rsidRPr="00864068">
        <w:t xml:space="preserve">the definition of ‘participant’ in </w:t>
      </w:r>
      <w:r w:rsidR="00941604" w:rsidRPr="00864068">
        <w:t>section 761</w:t>
      </w:r>
      <w:r w:rsidR="00BE52B2" w:rsidRPr="00864068">
        <w:t>A</w:t>
      </w:r>
      <w:r w:rsidR="00941604" w:rsidRPr="00864068">
        <w:t xml:space="preserve"> of the Act</w:t>
      </w:r>
      <w:r w:rsidR="0097325D" w:rsidRPr="00864068">
        <w:t xml:space="preserve">. That definition </w:t>
      </w:r>
      <w:r w:rsidR="00941604" w:rsidRPr="00FB21E2">
        <w:t xml:space="preserve"> </w:t>
      </w:r>
      <w:r w:rsidR="00941604" w:rsidRPr="00864068">
        <w:t xml:space="preserve">is repealed by </w:t>
      </w:r>
      <w:r w:rsidR="00941604" w:rsidRPr="00864068">
        <w:rPr>
          <w:i/>
          <w:iCs/>
        </w:rPr>
        <w:t>Treasury Laws Amendment (Measures for consultation) Act 2022: ALRC Financial Services Interim Report Recommendations</w:t>
      </w:r>
      <w:r w:rsidR="00941604" w:rsidRPr="00864068">
        <w:t>.</w:t>
      </w:r>
    </w:p>
    <w:p w14:paraId="727D2B6D" w14:textId="2BAAFEC5" w:rsidR="005566E2" w:rsidRDefault="005566E2" w:rsidP="009F6278">
      <w:pPr>
        <w:spacing w:after="0"/>
        <w:ind w:right="91"/>
      </w:pPr>
      <w:r>
        <w:t xml:space="preserve">Item </w:t>
      </w:r>
      <w:r w:rsidR="0097325D">
        <w:t xml:space="preserve">3 </w:t>
      </w:r>
      <w:r>
        <w:t>repeals regulation 7.1.07</w:t>
      </w:r>
      <w:r w:rsidR="003B5793">
        <w:t>I. This</w:t>
      </w:r>
      <w:r w:rsidR="00190B0A">
        <w:t xml:space="preserve"> is a spent</w:t>
      </w:r>
      <w:r w:rsidR="003B5793">
        <w:t xml:space="preserve"> regulation</w:t>
      </w:r>
      <w:r w:rsidR="00190B0A">
        <w:t xml:space="preserve"> that</w:t>
      </w:r>
      <w:r>
        <w:t xml:space="preserve"> provides that Australian carbon credit units and eligible international emissions units </w:t>
      </w:r>
      <w:r w:rsidR="003B5793">
        <w:t>were</w:t>
      </w:r>
      <w:r>
        <w:t xml:space="preserve"> not financial products, until 1 July 2012, from which</w:t>
      </w:r>
      <w:r w:rsidR="00AA5A09">
        <w:t xml:space="preserve"> point</w:t>
      </w:r>
      <w:r>
        <w:t xml:space="preserve"> they became financial products. </w:t>
      </w:r>
    </w:p>
    <w:p w14:paraId="2DEB9B5D" w14:textId="59FCA1BC" w:rsidR="005566E2" w:rsidRDefault="005566E2" w:rsidP="009F6278">
      <w:pPr>
        <w:spacing w:after="0"/>
        <w:ind w:right="91"/>
      </w:pPr>
      <w:r>
        <w:t xml:space="preserve">Item </w:t>
      </w:r>
      <w:r w:rsidR="0097325D">
        <w:t xml:space="preserve">4 </w:t>
      </w:r>
      <w:r>
        <w:t>repeals regulation</w:t>
      </w:r>
      <w:r w:rsidR="00683B53">
        <w:t xml:space="preserve"> 7.6.02AGA</w:t>
      </w:r>
      <w:r w:rsidR="003B2912">
        <w:t>. This regulation</w:t>
      </w:r>
      <w:r w:rsidR="00683B53">
        <w:t xml:space="preserve"> </w:t>
      </w:r>
      <w:r w:rsidR="007C2F9B">
        <w:t>was</w:t>
      </w:r>
      <w:r w:rsidR="00683B53">
        <w:t xml:space="preserve"> directed at applying a transitional regime for providers of financial services in relation to carbon credit units, which commended on 1 May 2012 and ceased operation 31 December 2012. This regulation has been </w:t>
      </w:r>
      <w:r w:rsidR="003904BD">
        <w:t>superseded</w:t>
      </w:r>
      <w:r w:rsidR="00683B53">
        <w:t xml:space="preserve"> by the obligation to hold an AFS License.</w:t>
      </w:r>
    </w:p>
    <w:p w14:paraId="365B1492" w14:textId="586DEEE3" w:rsidR="003904BD" w:rsidRDefault="00CC5F71" w:rsidP="009F6278">
      <w:pPr>
        <w:spacing w:after="0"/>
        <w:ind w:right="91"/>
      </w:pPr>
      <w:r>
        <w:t xml:space="preserve">Item </w:t>
      </w:r>
      <w:r w:rsidR="0097325D">
        <w:t xml:space="preserve">5 </w:t>
      </w:r>
      <w:r w:rsidR="008066A6">
        <w:t>amends sub</w:t>
      </w:r>
      <w:r w:rsidR="004F2290">
        <w:t>-</w:t>
      </w:r>
      <w:r w:rsidR="008066A6">
        <w:t xml:space="preserve">regulation 9.12.02(6) to incorporate the </w:t>
      </w:r>
      <w:r w:rsidR="00246C91">
        <w:t xml:space="preserve">substance of the </w:t>
      </w:r>
      <w:r w:rsidR="008066A6">
        <w:t>definition of</w:t>
      </w:r>
      <w:r w:rsidR="00FB0056">
        <w:t xml:space="preserve"> </w:t>
      </w:r>
      <w:r w:rsidR="008066A6">
        <w:t xml:space="preserve">‘Australian bank’ from the </w:t>
      </w:r>
      <w:r w:rsidR="008066A6" w:rsidRPr="007C2F9B">
        <w:t>Act</w:t>
      </w:r>
      <w:r w:rsidR="003B5793">
        <w:rPr>
          <w:i/>
          <w:iCs/>
        </w:rPr>
        <w:t xml:space="preserve"> </w:t>
      </w:r>
      <w:r w:rsidR="003B5793">
        <w:t xml:space="preserve">into the </w:t>
      </w:r>
      <w:r w:rsidR="00BD5CE9">
        <w:t>definition of ‘Australian entity’</w:t>
      </w:r>
      <w:r w:rsidR="00112718">
        <w:t xml:space="preserve"> </w:t>
      </w:r>
      <w:r w:rsidR="00112718">
        <w:lastRenderedPageBreak/>
        <w:t>in the Regulations</w:t>
      </w:r>
      <w:r w:rsidR="008066A6">
        <w:t>. Th</w:t>
      </w:r>
      <w:r w:rsidR="00BD5CE9">
        <w:t>e</w:t>
      </w:r>
      <w:r w:rsidR="008066A6">
        <w:t xml:space="preserve"> term </w:t>
      </w:r>
      <w:r w:rsidR="00246C91">
        <w:t xml:space="preserve">‘Australian bank’ </w:t>
      </w:r>
      <w:r w:rsidR="003B5793">
        <w:t>is</w:t>
      </w:r>
      <w:r w:rsidR="00755049">
        <w:t xml:space="preserve"> not used within the </w:t>
      </w:r>
      <w:r w:rsidR="00755049" w:rsidRPr="007C2F9B">
        <w:t>Act</w:t>
      </w:r>
      <w:r w:rsidR="00755049">
        <w:t xml:space="preserve"> and is</w:t>
      </w:r>
      <w:r w:rsidR="008066A6">
        <w:t xml:space="preserve"> only used as part of the definition of </w:t>
      </w:r>
      <w:r w:rsidR="00BD5CE9">
        <w:t>‘</w:t>
      </w:r>
      <w:r w:rsidR="008066A6">
        <w:t>Australian entity</w:t>
      </w:r>
      <w:r w:rsidR="00BD5CE9">
        <w:t xml:space="preserve">’ within the </w:t>
      </w:r>
      <w:r w:rsidR="007C2F9B">
        <w:t>R</w:t>
      </w:r>
      <w:r w:rsidR="00FB0056">
        <w:t xml:space="preserve">egulations. </w:t>
      </w:r>
      <w:r w:rsidR="00716AE7">
        <w:t>Incorporating the definition of ‘Australian bank’ into ‘Australian entity’</w:t>
      </w:r>
      <w:r w:rsidR="003F6EA7">
        <w:t xml:space="preserve"> clarifies the meaning of Australian entity and removes the unnecessary definition of ‘Australian bank’ </w:t>
      </w:r>
      <w:r w:rsidR="00DE02FB">
        <w:t>from</w:t>
      </w:r>
      <w:r w:rsidR="003F6EA7">
        <w:t xml:space="preserve"> the </w:t>
      </w:r>
      <w:r w:rsidR="003F6EA7" w:rsidRPr="007C2F9B">
        <w:t>Act</w:t>
      </w:r>
      <w:r w:rsidR="003F6EA7">
        <w:t>.</w:t>
      </w:r>
    </w:p>
    <w:p w14:paraId="38F199F3" w14:textId="1A5AF787" w:rsidR="00632650" w:rsidRDefault="00632650" w:rsidP="009F6278">
      <w:pPr>
        <w:spacing w:after="0"/>
        <w:ind w:right="91"/>
      </w:pPr>
      <w:r>
        <w:t xml:space="preserve">Items </w:t>
      </w:r>
      <w:r w:rsidR="0097325D">
        <w:t xml:space="preserve">6 </w:t>
      </w:r>
      <w:r>
        <w:t xml:space="preserve">to 21 amend the heading of sections which contain a definition, so that these sections are named consistently with each other and consistently with definition sections in the Act. This will assist users with navigating through the instrument. </w:t>
      </w:r>
    </w:p>
    <w:p w14:paraId="013C7A6E" w14:textId="49D4A772" w:rsidR="0097325D" w:rsidRDefault="0097325D" w:rsidP="009F6278">
      <w:pPr>
        <w:spacing w:after="0"/>
        <w:ind w:right="91"/>
      </w:pPr>
      <w:r>
        <w:t>Item 22</w:t>
      </w:r>
      <w:r w:rsidR="00F475BA">
        <w:t xml:space="preserve"> amends the heading of regulation 1.0.17 so that the reference to ‘rules’ is now ‘rules of court’.</w:t>
      </w:r>
    </w:p>
    <w:p w14:paraId="7B0894A3" w14:textId="3CBB1C6C" w:rsidR="00F6069A" w:rsidRDefault="00F6069A" w:rsidP="009F6278">
      <w:pPr>
        <w:spacing w:after="0"/>
        <w:ind w:right="91"/>
      </w:pPr>
      <w:r>
        <w:t>Item</w:t>
      </w:r>
      <w:r w:rsidR="00F34A3E">
        <w:t xml:space="preserve"> </w:t>
      </w:r>
      <w:r w:rsidR="0097325D">
        <w:t xml:space="preserve">23 </w:t>
      </w:r>
      <w:r>
        <w:t>amend</w:t>
      </w:r>
      <w:r w:rsidR="00F34A3E">
        <w:t xml:space="preserve">s </w:t>
      </w:r>
      <w:r w:rsidR="00F475BA">
        <w:t xml:space="preserve">the references to ‘rules’ in </w:t>
      </w:r>
      <w:r w:rsidR="00F34A3E">
        <w:t>sub</w:t>
      </w:r>
      <w:r w:rsidR="004F2290">
        <w:t>-</w:t>
      </w:r>
      <w:r w:rsidR="00F34A3E">
        <w:t>regulation</w:t>
      </w:r>
      <w:r w:rsidR="00941604">
        <w:t>s</w:t>
      </w:r>
      <w:r w:rsidR="00F34A3E">
        <w:t xml:space="preserve"> 1.0.17(1) and (2)</w:t>
      </w:r>
      <w:r>
        <w:t xml:space="preserve"> </w:t>
      </w:r>
      <w:r w:rsidR="00F34A3E">
        <w:t xml:space="preserve">to  ‘rules of </w:t>
      </w:r>
      <w:r w:rsidR="00A971BD">
        <w:t>c</w:t>
      </w:r>
      <w:r w:rsidR="00F34A3E">
        <w:t xml:space="preserve">ourt’. </w:t>
      </w:r>
    </w:p>
    <w:p w14:paraId="40375776" w14:textId="424A4B64" w:rsidR="008A2F9C" w:rsidRDefault="002D1AFE" w:rsidP="009F6278">
      <w:pPr>
        <w:spacing w:after="0"/>
        <w:ind w:right="91"/>
      </w:pPr>
      <w:r>
        <w:t>Item</w:t>
      </w:r>
      <w:r w:rsidR="00A971BD">
        <w:t>s</w:t>
      </w:r>
      <w:r>
        <w:t xml:space="preserve"> </w:t>
      </w:r>
      <w:r w:rsidR="00F475BA">
        <w:t xml:space="preserve">24 </w:t>
      </w:r>
      <w:r w:rsidR="00A971BD">
        <w:t>to</w:t>
      </w:r>
      <w:r>
        <w:t xml:space="preserve"> </w:t>
      </w:r>
      <w:r w:rsidR="00F475BA">
        <w:t xml:space="preserve">28 </w:t>
      </w:r>
      <w:r>
        <w:t>amend paragraphs 5.4.01A(2)(a) and (b)</w:t>
      </w:r>
      <w:r w:rsidR="00A971BD">
        <w:t xml:space="preserve"> and paragraph 5.6.43A(1)(b)</w:t>
      </w:r>
      <w:r>
        <w:t xml:space="preserve"> to</w:t>
      </w:r>
      <w:r w:rsidR="00A971BD">
        <w:t xml:space="preserve"> clarify that the terms ‘court rules’ and ‘rules’ refer to the ‘rules of court’.</w:t>
      </w:r>
    </w:p>
    <w:p w14:paraId="22B49A1E" w14:textId="59225AF6" w:rsidR="008A2F9C" w:rsidRDefault="008A2F9C" w:rsidP="009F6278">
      <w:pPr>
        <w:spacing w:after="0"/>
        <w:ind w:right="91"/>
      </w:pPr>
      <w:r>
        <w:t xml:space="preserve">Item </w:t>
      </w:r>
      <w:r w:rsidR="00F475BA">
        <w:t xml:space="preserve">29 </w:t>
      </w:r>
      <w:r w:rsidR="00AB15DD">
        <w:t>amends</w:t>
      </w:r>
      <w:r>
        <w:t xml:space="preserve"> subparagraph 7.1.04(8)(b)(iv) </w:t>
      </w:r>
      <w:r w:rsidR="00AB15DD">
        <w:t xml:space="preserve">to incorporate </w:t>
      </w:r>
      <w:r>
        <w:t xml:space="preserve">the definition of ‘rules’ </w:t>
      </w:r>
      <w:r w:rsidR="00F475BA">
        <w:t xml:space="preserve">previously found in </w:t>
      </w:r>
      <w:r>
        <w:t>sub-regulation 7.1.04(10</w:t>
      </w:r>
      <w:r w:rsidR="00F475BA">
        <w:t xml:space="preserve">). It provided that </w:t>
      </w:r>
      <w:r w:rsidR="00AB15DD">
        <w:t xml:space="preserve">the term ‘rules’ </w:t>
      </w:r>
      <w:r w:rsidR="00A07304">
        <w:t>refers to</w:t>
      </w:r>
      <w:r w:rsidR="00EF7B3D">
        <w:t xml:space="preserve"> the rules of a market or clearing and settlement facility.</w:t>
      </w:r>
      <w:r w:rsidR="009C436E">
        <w:t xml:space="preserve"> This </w:t>
      </w:r>
      <w:r w:rsidR="000B61BA">
        <w:t>removes an unnecessary definition and makes subparagraph 7.1.04(8)(b)(iv) easier to read.</w:t>
      </w:r>
    </w:p>
    <w:p w14:paraId="6CEB2A1B" w14:textId="16088349" w:rsidR="00F34A3E" w:rsidRDefault="000E52FC" w:rsidP="009F6278">
      <w:pPr>
        <w:spacing w:after="0"/>
        <w:ind w:right="91"/>
      </w:pPr>
      <w:r>
        <w:t xml:space="preserve">Item </w:t>
      </w:r>
      <w:r w:rsidR="000B61BA">
        <w:t xml:space="preserve">30 </w:t>
      </w:r>
      <w:r>
        <w:t>repeals the definition of ‘rules’ from sub</w:t>
      </w:r>
      <w:r w:rsidR="004F2290">
        <w:t>-</w:t>
      </w:r>
      <w:r>
        <w:t>regulation 7.1.04(10)</w:t>
      </w:r>
      <w:r w:rsidR="004F2290">
        <w:t xml:space="preserve">, and consequently the entirety of the </w:t>
      </w:r>
      <w:r w:rsidR="004F2290" w:rsidRPr="004F2290">
        <w:rPr>
          <w:i/>
          <w:iCs/>
        </w:rPr>
        <w:t>Corporations Regulations</w:t>
      </w:r>
      <w:r w:rsidR="009E2B71">
        <w:rPr>
          <w:i/>
          <w:iCs/>
        </w:rPr>
        <w:t xml:space="preserve"> 2001</w:t>
      </w:r>
      <w:r>
        <w:t>.</w:t>
      </w:r>
      <w:r w:rsidR="004F2290">
        <w:t xml:space="preserve"> The term ‘rules’ is defined for the purpose of one sub-regulation only and refers to the rules of a market or clearing and settlement facility. The substance of these rules has been included in sub</w:t>
      </w:r>
      <w:r w:rsidR="00387DBB">
        <w:t>paragraph</w:t>
      </w:r>
      <w:r w:rsidR="004F2290">
        <w:t xml:space="preserve"> </w:t>
      </w:r>
      <w:r w:rsidR="00387DBB">
        <w:t>7.1.04(8)(b)(iv)</w:t>
      </w:r>
      <w:r w:rsidR="00632650">
        <w:t>, as outlined in the previous paragraph.</w:t>
      </w:r>
    </w:p>
    <w:p w14:paraId="4C2659E4" w14:textId="475E3A70" w:rsidR="00DA4FE0" w:rsidRPr="0020129A" w:rsidRDefault="00211CB1" w:rsidP="009F6278">
      <w:pPr>
        <w:spacing w:after="0"/>
        <w:ind w:right="91"/>
      </w:pPr>
      <w:r>
        <w:t xml:space="preserve">Item </w:t>
      </w:r>
      <w:r w:rsidR="00F41587">
        <w:t xml:space="preserve">31 </w:t>
      </w:r>
      <w:r>
        <w:t xml:space="preserve">amends Form 509H of Schedule 2 to clarify that the reference to ‘rules’ in this form is a reference to ‘rules of court’. </w:t>
      </w:r>
      <w:r w:rsidR="00676F58">
        <w:t xml:space="preserve">Form 509H is used to </w:t>
      </w:r>
      <w:r w:rsidR="00DA4FE0">
        <w:t>make</w:t>
      </w:r>
      <w:r w:rsidR="00676F58">
        <w:t xml:space="preserve"> a statutory demand on a company under section 459E of the Act.</w:t>
      </w:r>
      <w:r w:rsidR="006B4423">
        <w:t xml:space="preserve"> </w:t>
      </w:r>
      <w:r w:rsidR="00DA4FE0">
        <w:t>This amendment only affect</w:t>
      </w:r>
      <w:r w:rsidR="004A3513">
        <w:t>s</w:t>
      </w:r>
      <w:r w:rsidR="00DA4FE0">
        <w:t xml:space="preserve"> the form of statutory demands made after the date the Regulations commence.</w:t>
      </w:r>
    </w:p>
    <w:p w14:paraId="7B43C0E4" w14:textId="77777777" w:rsidR="007F64AC" w:rsidRDefault="007F64AC" w:rsidP="00EA4DD8">
      <w:pPr>
        <w:spacing w:before="0" w:after="0"/>
      </w:pPr>
    </w:p>
    <w:p w14:paraId="0725B36F" w14:textId="77777777" w:rsidR="007F64AC" w:rsidRDefault="007F64AC" w:rsidP="00EA4DD8">
      <w:pPr>
        <w:spacing w:before="0" w:after="0"/>
      </w:pPr>
    </w:p>
    <w:p w14:paraId="4FCA23C8" w14:textId="77777777" w:rsidR="007F64AC" w:rsidRDefault="007F64AC" w:rsidP="00EA4DD8">
      <w:pPr>
        <w:spacing w:before="0" w:after="0"/>
      </w:pPr>
    </w:p>
    <w:p w14:paraId="1B46EB77" w14:textId="77777777" w:rsidR="00482B81" w:rsidRPr="00EA4DD8" w:rsidRDefault="00482B81" w:rsidP="00EA4DD8">
      <w:pPr>
        <w:spacing w:before="0" w:after="0"/>
      </w:pPr>
    </w:p>
    <w:sectPr w:rsidR="00482B81" w:rsidRPr="00EA4DD8" w:rsidSect="00392BBA">
      <w:footerReference w:type="defaul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C290" w14:textId="77777777" w:rsidR="00193B97" w:rsidRDefault="00193B97" w:rsidP="00954679">
      <w:pPr>
        <w:spacing w:before="0" w:after="0"/>
      </w:pPr>
      <w:r>
        <w:separator/>
      </w:r>
    </w:p>
  </w:endnote>
  <w:endnote w:type="continuationSeparator" w:id="0">
    <w:p w14:paraId="6EFF7BB9" w14:textId="77777777" w:rsidR="00193B97" w:rsidRDefault="00193B97" w:rsidP="00954679">
      <w:pPr>
        <w:spacing w:before="0" w:after="0"/>
      </w:pPr>
      <w:r>
        <w:continuationSeparator/>
      </w:r>
    </w:p>
  </w:endnote>
  <w:endnote w:type="continuationNotice" w:id="1">
    <w:p w14:paraId="0B93CF0A" w14:textId="77777777" w:rsidR="00193B97" w:rsidRDefault="00193B9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itica">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26E1F9D"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AA938" w14:textId="77777777" w:rsidR="00193B97" w:rsidRDefault="00193B97" w:rsidP="00954679">
      <w:pPr>
        <w:spacing w:before="0" w:after="0"/>
      </w:pPr>
      <w:r>
        <w:separator/>
      </w:r>
    </w:p>
  </w:footnote>
  <w:footnote w:type="continuationSeparator" w:id="0">
    <w:p w14:paraId="223768C1" w14:textId="77777777" w:rsidR="00193B97" w:rsidRDefault="00193B97" w:rsidP="00954679">
      <w:pPr>
        <w:spacing w:before="0" w:after="0"/>
      </w:pPr>
      <w:r>
        <w:continuationSeparator/>
      </w:r>
    </w:p>
  </w:footnote>
  <w:footnote w:type="continuationNotice" w:id="1">
    <w:p w14:paraId="0912C4C2" w14:textId="77777777" w:rsidR="00193B97" w:rsidRDefault="00193B9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0"/>
  </w:num>
  <w:num w:numId="4">
    <w:abstractNumId w:val="1"/>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88"/>
    <w:rsid w:val="00001F36"/>
    <w:rsid w:val="00013390"/>
    <w:rsid w:val="00016EA2"/>
    <w:rsid w:val="00017AE2"/>
    <w:rsid w:val="00026598"/>
    <w:rsid w:val="00035AB7"/>
    <w:rsid w:val="00074E2C"/>
    <w:rsid w:val="00076178"/>
    <w:rsid w:val="0008280C"/>
    <w:rsid w:val="00087588"/>
    <w:rsid w:val="00095211"/>
    <w:rsid w:val="000A2B1F"/>
    <w:rsid w:val="000B182E"/>
    <w:rsid w:val="000B39A1"/>
    <w:rsid w:val="000B61BA"/>
    <w:rsid w:val="000C10DF"/>
    <w:rsid w:val="000C131B"/>
    <w:rsid w:val="000C6527"/>
    <w:rsid w:val="000C6935"/>
    <w:rsid w:val="000E32E3"/>
    <w:rsid w:val="000E52FC"/>
    <w:rsid w:val="00112718"/>
    <w:rsid w:val="00113B45"/>
    <w:rsid w:val="00117C02"/>
    <w:rsid w:val="00155BC7"/>
    <w:rsid w:val="00190B0A"/>
    <w:rsid w:val="00193B97"/>
    <w:rsid w:val="001B18C8"/>
    <w:rsid w:val="001B7535"/>
    <w:rsid w:val="001C03F6"/>
    <w:rsid w:val="001E6A74"/>
    <w:rsid w:val="001F105B"/>
    <w:rsid w:val="001F41D0"/>
    <w:rsid w:val="0020129A"/>
    <w:rsid w:val="00211CB1"/>
    <w:rsid w:val="00220F16"/>
    <w:rsid w:val="002226CD"/>
    <w:rsid w:val="002232B4"/>
    <w:rsid w:val="0024522E"/>
    <w:rsid w:val="00246C91"/>
    <w:rsid w:val="00251831"/>
    <w:rsid w:val="00254C5B"/>
    <w:rsid w:val="00264B2E"/>
    <w:rsid w:val="002662EA"/>
    <w:rsid w:val="002A7E1F"/>
    <w:rsid w:val="002C226C"/>
    <w:rsid w:val="002C5D20"/>
    <w:rsid w:val="002D1AFE"/>
    <w:rsid w:val="002F022D"/>
    <w:rsid w:val="002F5F10"/>
    <w:rsid w:val="003041FA"/>
    <w:rsid w:val="003342CD"/>
    <w:rsid w:val="00335042"/>
    <w:rsid w:val="00362B70"/>
    <w:rsid w:val="003744B4"/>
    <w:rsid w:val="00377B65"/>
    <w:rsid w:val="00387DBB"/>
    <w:rsid w:val="003904BD"/>
    <w:rsid w:val="00392BBA"/>
    <w:rsid w:val="003954FD"/>
    <w:rsid w:val="003A2344"/>
    <w:rsid w:val="003A546C"/>
    <w:rsid w:val="003B0EE4"/>
    <w:rsid w:val="003B2912"/>
    <w:rsid w:val="003B5793"/>
    <w:rsid w:val="003C7907"/>
    <w:rsid w:val="003D14D9"/>
    <w:rsid w:val="003D60D7"/>
    <w:rsid w:val="003E1CE3"/>
    <w:rsid w:val="003E5A0D"/>
    <w:rsid w:val="003F6EA7"/>
    <w:rsid w:val="004260BD"/>
    <w:rsid w:val="00447D23"/>
    <w:rsid w:val="00462095"/>
    <w:rsid w:val="004746CA"/>
    <w:rsid w:val="00474751"/>
    <w:rsid w:val="00482B81"/>
    <w:rsid w:val="00482D4C"/>
    <w:rsid w:val="004A3513"/>
    <w:rsid w:val="004B3C0F"/>
    <w:rsid w:val="004C05E4"/>
    <w:rsid w:val="004E39E1"/>
    <w:rsid w:val="004E781E"/>
    <w:rsid w:val="004F2290"/>
    <w:rsid w:val="004F56D0"/>
    <w:rsid w:val="00503E44"/>
    <w:rsid w:val="00515283"/>
    <w:rsid w:val="00533926"/>
    <w:rsid w:val="00551767"/>
    <w:rsid w:val="005566E2"/>
    <w:rsid w:val="0055675D"/>
    <w:rsid w:val="0056620B"/>
    <w:rsid w:val="00566E8F"/>
    <w:rsid w:val="0057422E"/>
    <w:rsid w:val="005833BE"/>
    <w:rsid w:val="00585686"/>
    <w:rsid w:val="005C7FEA"/>
    <w:rsid w:val="005D7D5A"/>
    <w:rsid w:val="005E0C21"/>
    <w:rsid w:val="005E4BAC"/>
    <w:rsid w:val="005E71A1"/>
    <w:rsid w:val="0060130D"/>
    <w:rsid w:val="006100E5"/>
    <w:rsid w:val="00632650"/>
    <w:rsid w:val="0064129F"/>
    <w:rsid w:val="006424A3"/>
    <w:rsid w:val="00647BB7"/>
    <w:rsid w:val="0066452C"/>
    <w:rsid w:val="00676F58"/>
    <w:rsid w:val="00680297"/>
    <w:rsid w:val="00683B53"/>
    <w:rsid w:val="006873CE"/>
    <w:rsid w:val="006A0786"/>
    <w:rsid w:val="006B4423"/>
    <w:rsid w:val="00710E94"/>
    <w:rsid w:val="00716AE7"/>
    <w:rsid w:val="00721E67"/>
    <w:rsid w:val="00727D8A"/>
    <w:rsid w:val="00731A2E"/>
    <w:rsid w:val="00731FEA"/>
    <w:rsid w:val="0073394E"/>
    <w:rsid w:val="00736F61"/>
    <w:rsid w:val="00742253"/>
    <w:rsid w:val="00755049"/>
    <w:rsid w:val="007662C7"/>
    <w:rsid w:val="00776306"/>
    <w:rsid w:val="0077758E"/>
    <w:rsid w:val="007A18A5"/>
    <w:rsid w:val="007A55A7"/>
    <w:rsid w:val="007B0A62"/>
    <w:rsid w:val="007B1F10"/>
    <w:rsid w:val="007B335E"/>
    <w:rsid w:val="007C2F9B"/>
    <w:rsid w:val="007C7D64"/>
    <w:rsid w:val="007E018D"/>
    <w:rsid w:val="007E5644"/>
    <w:rsid w:val="007F1B71"/>
    <w:rsid w:val="007F64AC"/>
    <w:rsid w:val="00804FE1"/>
    <w:rsid w:val="008066A6"/>
    <w:rsid w:val="00807E7D"/>
    <w:rsid w:val="00831675"/>
    <w:rsid w:val="00864068"/>
    <w:rsid w:val="0088467C"/>
    <w:rsid w:val="00894579"/>
    <w:rsid w:val="008A2F9C"/>
    <w:rsid w:val="008A5B67"/>
    <w:rsid w:val="008A5CCD"/>
    <w:rsid w:val="008D16F7"/>
    <w:rsid w:val="008E1427"/>
    <w:rsid w:val="00910448"/>
    <w:rsid w:val="009143A0"/>
    <w:rsid w:val="009274E2"/>
    <w:rsid w:val="00936902"/>
    <w:rsid w:val="00941604"/>
    <w:rsid w:val="00954679"/>
    <w:rsid w:val="009607EB"/>
    <w:rsid w:val="0097325D"/>
    <w:rsid w:val="009A3814"/>
    <w:rsid w:val="009A5C8A"/>
    <w:rsid w:val="009B66B3"/>
    <w:rsid w:val="009C436E"/>
    <w:rsid w:val="009C6A1E"/>
    <w:rsid w:val="009D0D2A"/>
    <w:rsid w:val="009E2B71"/>
    <w:rsid w:val="009E2F86"/>
    <w:rsid w:val="009F6189"/>
    <w:rsid w:val="009F6278"/>
    <w:rsid w:val="00A07304"/>
    <w:rsid w:val="00A12209"/>
    <w:rsid w:val="00A25F4A"/>
    <w:rsid w:val="00A34CA4"/>
    <w:rsid w:val="00A36DF3"/>
    <w:rsid w:val="00A532DD"/>
    <w:rsid w:val="00A80BCF"/>
    <w:rsid w:val="00A8369C"/>
    <w:rsid w:val="00A9593D"/>
    <w:rsid w:val="00A971BD"/>
    <w:rsid w:val="00AA1689"/>
    <w:rsid w:val="00AA5770"/>
    <w:rsid w:val="00AA5A09"/>
    <w:rsid w:val="00AB15DD"/>
    <w:rsid w:val="00AC1D15"/>
    <w:rsid w:val="00AC2807"/>
    <w:rsid w:val="00B07B0C"/>
    <w:rsid w:val="00B25563"/>
    <w:rsid w:val="00B26D48"/>
    <w:rsid w:val="00B42EE1"/>
    <w:rsid w:val="00B51494"/>
    <w:rsid w:val="00B810B4"/>
    <w:rsid w:val="00B8293D"/>
    <w:rsid w:val="00B92478"/>
    <w:rsid w:val="00B932EE"/>
    <w:rsid w:val="00BA6188"/>
    <w:rsid w:val="00BB1B6F"/>
    <w:rsid w:val="00BB4C18"/>
    <w:rsid w:val="00BD5CE9"/>
    <w:rsid w:val="00BD61A2"/>
    <w:rsid w:val="00BE2C88"/>
    <w:rsid w:val="00BE484D"/>
    <w:rsid w:val="00BE52B2"/>
    <w:rsid w:val="00C013FE"/>
    <w:rsid w:val="00C37E05"/>
    <w:rsid w:val="00C42CE7"/>
    <w:rsid w:val="00C47789"/>
    <w:rsid w:val="00C55D29"/>
    <w:rsid w:val="00C55D58"/>
    <w:rsid w:val="00C62FD7"/>
    <w:rsid w:val="00C82ED7"/>
    <w:rsid w:val="00CA0BE9"/>
    <w:rsid w:val="00CA138D"/>
    <w:rsid w:val="00CA20DE"/>
    <w:rsid w:val="00CB3C0F"/>
    <w:rsid w:val="00CC2B23"/>
    <w:rsid w:val="00CC5F71"/>
    <w:rsid w:val="00CC7641"/>
    <w:rsid w:val="00CD72FF"/>
    <w:rsid w:val="00D130A3"/>
    <w:rsid w:val="00D13794"/>
    <w:rsid w:val="00D24043"/>
    <w:rsid w:val="00D24052"/>
    <w:rsid w:val="00D24386"/>
    <w:rsid w:val="00D31575"/>
    <w:rsid w:val="00D34626"/>
    <w:rsid w:val="00D34FB4"/>
    <w:rsid w:val="00D4257A"/>
    <w:rsid w:val="00D62665"/>
    <w:rsid w:val="00D66C71"/>
    <w:rsid w:val="00D807C7"/>
    <w:rsid w:val="00D82E47"/>
    <w:rsid w:val="00D939DD"/>
    <w:rsid w:val="00DA4FE0"/>
    <w:rsid w:val="00DC0CDE"/>
    <w:rsid w:val="00DC4D72"/>
    <w:rsid w:val="00DD1609"/>
    <w:rsid w:val="00DE02FB"/>
    <w:rsid w:val="00E0624D"/>
    <w:rsid w:val="00E24EA2"/>
    <w:rsid w:val="00E353A3"/>
    <w:rsid w:val="00E36AF1"/>
    <w:rsid w:val="00E4438C"/>
    <w:rsid w:val="00E457F3"/>
    <w:rsid w:val="00EA4DD8"/>
    <w:rsid w:val="00EB2AEF"/>
    <w:rsid w:val="00EB7E71"/>
    <w:rsid w:val="00EC5DEC"/>
    <w:rsid w:val="00ED7CBC"/>
    <w:rsid w:val="00EF7B3D"/>
    <w:rsid w:val="00F109D4"/>
    <w:rsid w:val="00F15EE9"/>
    <w:rsid w:val="00F24674"/>
    <w:rsid w:val="00F34A3E"/>
    <w:rsid w:val="00F41587"/>
    <w:rsid w:val="00F468C7"/>
    <w:rsid w:val="00F47585"/>
    <w:rsid w:val="00F475BA"/>
    <w:rsid w:val="00F6069A"/>
    <w:rsid w:val="00F7559C"/>
    <w:rsid w:val="00F85E6F"/>
    <w:rsid w:val="00FB0056"/>
    <w:rsid w:val="00FB21E2"/>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B9DD5"/>
  <w15:docId w15:val="{FAF61A24-ABED-40E7-BB33-6B9FEC73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Revision">
    <w:name w:val="Revision"/>
    <w:hidden/>
    <w:uiPriority w:val="99"/>
    <w:semiHidden/>
    <w:rsid w:val="003A2344"/>
    <w:rPr>
      <w:sz w:val="24"/>
    </w:rPr>
  </w:style>
  <w:style w:type="paragraph" w:customStyle="1" w:styleId="TableHeading">
    <w:name w:val="Table Heading"/>
    <w:basedOn w:val="Heading4"/>
    <w:next w:val="Normal"/>
    <w:uiPriority w:val="1"/>
    <w:rsid w:val="00D130A3"/>
    <w:pPr>
      <w:numPr>
        <w:ilvl w:val="4"/>
        <w:numId w:val="4"/>
      </w:numPr>
      <w:tabs>
        <w:tab w:val="clear" w:pos="1987"/>
      </w:tabs>
      <w:spacing w:before="240" w:after="200"/>
      <w:ind w:left="0" w:firstLine="0"/>
    </w:pPr>
    <w:rPr>
      <w:rFonts w:ascii="Helvetica" w:hAnsi="Helvetica" w:cs="Helvetica"/>
      <w:i/>
      <w:iCs/>
      <w:kern w:val="0"/>
      <w:sz w:val="22"/>
      <w:szCs w:val="22"/>
      <w:lang w:eastAsia="en-US"/>
    </w:rPr>
  </w:style>
  <w:style w:type="paragraph" w:customStyle="1" w:styleId="Chapterheading">
    <w:name w:val="Chapter heading"/>
    <w:basedOn w:val="Heading1"/>
    <w:next w:val="Normal"/>
    <w:rsid w:val="00D130A3"/>
    <w:pPr>
      <w:keepLines/>
      <w:numPr>
        <w:numId w:val="4"/>
      </w:numPr>
      <w:pBdr>
        <w:bottom w:val="single" w:sz="4" w:space="8" w:color="auto"/>
      </w:pBdr>
      <w:spacing w:before="0" w:after="480"/>
      <w:jc w:val="left"/>
    </w:pPr>
    <w:rPr>
      <w:rFonts w:ascii="Helvitica" w:eastAsiaTheme="majorEastAsia" w:hAnsi="Helvitica" w:cstheme="majorBidi"/>
      <w:i/>
      <w:kern w:val="0"/>
      <w:sz w:val="40"/>
      <w:szCs w:val="32"/>
      <w:u w:val="none"/>
      <w:lang w:eastAsia="en-US"/>
    </w:rPr>
  </w:style>
  <w:style w:type="numbering" w:customStyle="1" w:styleId="Chapternumbering">
    <w:name w:val="Chapter numbering"/>
    <w:uiPriority w:val="99"/>
    <w:rsid w:val="00D130A3"/>
    <w:pPr>
      <w:numPr>
        <w:numId w:val="5"/>
      </w:numPr>
    </w:pPr>
  </w:style>
  <w:style w:type="paragraph" w:customStyle="1" w:styleId="DiagramHeading">
    <w:name w:val="Diagram Heading"/>
    <w:basedOn w:val="TableHeading"/>
    <w:next w:val="Normal"/>
    <w:uiPriority w:val="1"/>
    <w:rsid w:val="00D130A3"/>
    <w:pPr>
      <w:numPr>
        <w:ilvl w:val="2"/>
      </w:numPr>
      <w:ind w:left="0" w:firstLine="0"/>
    </w:pPr>
  </w:style>
  <w:style w:type="paragraph" w:customStyle="1" w:styleId="ExampleHeading">
    <w:name w:val="Example Heading"/>
    <w:basedOn w:val="TableHeading"/>
    <w:next w:val="Normal"/>
    <w:uiPriority w:val="1"/>
    <w:rsid w:val="00D130A3"/>
    <w:pPr>
      <w:numPr>
        <w:ilvl w:val="3"/>
      </w:numPr>
      <w:ind w:left="0" w:firstLine="0"/>
    </w:pPr>
  </w:style>
  <w:style w:type="paragraph" w:customStyle="1" w:styleId="Normalparatextwithnumbers">
    <w:name w:val="Normal para text (with numbers)"/>
    <w:basedOn w:val="Normal"/>
    <w:qFormat/>
    <w:rsid w:val="00D130A3"/>
    <w:pPr>
      <w:numPr>
        <w:ilvl w:val="1"/>
        <w:numId w:val="4"/>
      </w:numPr>
    </w:pPr>
    <w:rPr>
      <w:rFonts w:eastAsiaTheme="minorHAnsi" w:cstheme="minorBidi"/>
      <w:sz w:val="22"/>
      <w:szCs w:val="22"/>
      <w:lang w:eastAsia="en-US"/>
    </w:rPr>
  </w:style>
  <w:style w:type="paragraph" w:customStyle="1" w:styleId="Normalparatextnonumbers">
    <w:name w:val="Normal para text (no numbers)"/>
    <w:basedOn w:val="Normal"/>
    <w:qFormat/>
    <w:rsid w:val="00D130A3"/>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3691">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66AB29F4F04BBA9A178E9B5FD5F193"/>
        <w:category>
          <w:name w:val="General"/>
          <w:gallery w:val="placeholder"/>
        </w:category>
        <w:types>
          <w:type w:val="bbPlcHdr"/>
        </w:types>
        <w:behaviors>
          <w:behavior w:val="content"/>
        </w:behaviors>
        <w:guid w:val="{886EAE34-C0AB-4A61-A0EC-D2C1D90CB0C0}"/>
      </w:docPartPr>
      <w:docPartBody>
        <w:p w:rsidR="00D32B8F" w:rsidRDefault="00AA1EAD">
          <w:pPr>
            <w:pStyle w:val="C866AB29F4F04BBA9A178E9B5FD5F193"/>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itica">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AD"/>
    <w:rsid w:val="00076A0C"/>
    <w:rsid w:val="002D2C39"/>
    <w:rsid w:val="0079324C"/>
    <w:rsid w:val="00AA1EAD"/>
    <w:rsid w:val="00D32B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866AB29F4F04BBA9A178E9B5FD5F193">
    <w:name w:val="C866AB29F4F04BBA9A178E9B5FD5F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02C316BC9CF0E419CA71038F431FBA1" ma:contentTypeVersion="" ma:contentTypeDescription="PDMS Document Site Content Type" ma:contentTypeScope="" ma:versionID="bc51a8ec225fdb9dc399c2bde0cc35d3">
  <xsd:schema xmlns:xsd="http://www.w3.org/2001/XMLSchema" xmlns:xs="http://www.w3.org/2001/XMLSchema" xmlns:p="http://schemas.microsoft.com/office/2006/metadata/properties" xmlns:ns2="4C432570-1254-49F7-A633-126EEC666AA3" targetNamespace="http://schemas.microsoft.com/office/2006/metadata/properties" ma:root="true" ma:fieldsID="1c8bb070e7951ae55d66838be19aec13" ns2:_="">
    <xsd:import namespace="4C432570-1254-49F7-A633-126EEC666AA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32570-1254-49F7-A633-126EEC666AA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4C432570-1254-49F7-A633-126EEC666AA3" xsi:nil="true"/>
  </documentManagement>
</p:properties>
</file>

<file path=customXml/itemProps1.xml><?xml version="1.0" encoding="utf-8"?>
<ds:datastoreItem xmlns:ds="http://schemas.openxmlformats.org/officeDocument/2006/customXml" ds:itemID="{8A0156F6-9E71-4618-A316-31FD85EFB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32570-1254-49F7-A633-126EEC666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4C432570-1254-49F7-A633-126EEC666AA3"/>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3</Pages>
  <Words>977</Words>
  <Characters>5488</Characters>
  <Application>Microsoft Office Word</Application>
  <DocSecurity>0</DocSecurity>
  <Lines>101</Lines>
  <Paragraphs>35</Paragraphs>
  <ScaleCrop>false</ScaleCrop>
  <HeadingPairs>
    <vt:vector size="2" baseType="variant">
      <vt:variant>
        <vt:lpstr>Title</vt:lpstr>
      </vt:variant>
      <vt:variant>
        <vt:i4>1</vt:i4>
      </vt:variant>
    </vt:vector>
  </HeadingPairs>
  <TitlesOfParts>
    <vt:vector size="1" baseType="lpstr">
      <vt:lpstr>Explanatory Statement - Treasury Laws Amendment (Measures for Consultation) Regulations 2022</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Treasury Laws Amendment (Measures for Consultation) Regulations 2022</dc:title>
  <dc:creator>Australian Government</dc:creator>
  <cp:lastModifiedBy>Smith, Matthew</cp:lastModifiedBy>
  <cp:revision>4</cp:revision>
  <cp:lastPrinted>2022-08-23T00:53:00Z</cp:lastPrinted>
  <dcterms:created xsi:type="dcterms:W3CDTF">2022-08-23T00:52:00Z</dcterms:created>
  <dcterms:modified xsi:type="dcterms:W3CDTF">2022-08-23T02:51:00Z</dcterms:modified>
</cp:coreProperties>
</file>