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4EDE2" w14:textId="77777777" w:rsidR="00715914" w:rsidRPr="005F1388" w:rsidRDefault="00DA186E" w:rsidP="00B05CF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3E761858" wp14:editId="5390BA50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8529"/>
      </w:tblGrid>
      <w:tr w:rsidR="00480A04" w14:paraId="0B872C6E" w14:textId="77777777" w:rsidTr="00480A04">
        <w:tc>
          <w:tcPr>
            <w:tcW w:w="5000" w:type="pct"/>
            <w:shd w:val="clear" w:color="auto" w:fill="auto"/>
          </w:tcPr>
          <w:p w14:paraId="6946B49E" w14:textId="77777777" w:rsidR="00480A04" w:rsidRDefault="00480A04" w:rsidP="00480A04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EXPOSURE DRAFT (09/09/2022)</w:t>
            </w:r>
          </w:p>
          <w:p w14:paraId="588BF01B" w14:textId="77777777" w:rsidR="00480A04" w:rsidRPr="00480A04" w:rsidRDefault="00480A04" w:rsidP="00480A04">
            <w:pPr>
              <w:rPr>
                <w:b/>
                <w:sz w:val="20"/>
              </w:rPr>
            </w:pPr>
          </w:p>
        </w:tc>
      </w:tr>
    </w:tbl>
    <w:p w14:paraId="5BC02BA9" w14:textId="77777777" w:rsidR="00715914" w:rsidRDefault="00715914" w:rsidP="00715914">
      <w:pPr>
        <w:rPr>
          <w:sz w:val="19"/>
        </w:rPr>
      </w:pPr>
    </w:p>
    <w:p w14:paraId="7657D8F8" w14:textId="77777777" w:rsidR="00480A04" w:rsidRPr="00E500D4" w:rsidRDefault="00480A04" w:rsidP="00715914">
      <w:pPr>
        <w:rPr>
          <w:sz w:val="19"/>
        </w:rPr>
      </w:pPr>
    </w:p>
    <w:p w14:paraId="232B957C" w14:textId="77777777" w:rsidR="00715914" w:rsidRPr="00E500D4" w:rsidRDefault="000E5769" w:rsidP="00715914">
      <w:pPr>
        <w:pStyle w:val="ShortT"/>
      </w:pPr>
      <w:r w:rsidRPr="000E5769">
        <w:t xml:space="preserve">Superannuation Auditor Registration Imposition </w:t>
      </w:r>
      <w:r w:rsidR="00C335C3">
        <w:t>Regulations 2</w:t>
      </w:r>
      <w:r w:rsidRPr="000E5769">
        <w:t>022</w:t>
      </w:r>
    </w:p>
    <w:p w14:paraId="5A128565" w14:textId="77777777" w:rsidR="00EB78D9" w:rsidRPr="0034086C" w:rsidRDefault="00EB78D9" w:rsidP="00171B7D">
      <w:pPr>
        <w:pStyle w:val="SignCoverPageStart"/>
        <w:spacing w:before="240"/>
        <w:rPr>
          <w:szCs w:val="22"/>
        </w:rPr>
      </w:pPr>
      <w:r w:rsidRPr="0034086C">
        <w:rPr>
          <w:szCs w:val="22"/>
        </w:rPr>
        <w:t xml:space="preserve">I, </w:t>
      </w:r>
      <w:r>
        <w:rPr>
          <w:szCs w:val="22"/>
        </w:rPr>
        <w:t>General the Honourable David Hurley AC DSC (Retd)</w:t>
      </w:r>
      <w:r w:rsidRPr="0034086C">
        <w:rPr>
          <w:szCs w:val="22"/>
        </w:rPr>
        <w:t xml:space="preserve">, </w:t>
      </w:r>
      <w:r>
        <w:rPr>
          <w:szCs w:val="22"/>
        </w:rPr>
        <w:t>Governor</w:t>
      </w:r>
      <w:r w:rsidR="00C335C3">
        <w:rPr>
          <w:szCs w:val="22"/>
        </w:rPr>
        <w:noBreakHyphen/>
      </w:r>
      <w:r>
        <w:rPr>
          <w:szCs w:val="22"/>
        </w:rPr>
        <w:t>General of the Commonwealth of Australia</w:t>
      </w:r>
      <w:r w:rsidRPr="0034086C">
        <w:rPr>
          <w:szCs w:val="22"/>
        </w:rPr>
        <w:t xml:space="preserve">, acting with the advice of the Federal Executive Council, make the following </w:t>
      </w:r>
      <w:r>
        <w:rPr>
          <w:szCs w:val="22"/>
        </w:rPr>
        <w:t>regulations</w:t>
      </w:r>
      <w:r w:rsidRPr="0034086C">
        <w:rPr>
          <w:szCs w:val="22"/>
        </w:rPr>
        <w:t>.</w:t>
      </w:r>
    </w:p>
    <w:p w14:paraId="13945B3F" w14:textId="77777777" w:rsidR="00EB78D9" w:rsidRPr="0034086C" w:rsidRDefault="00EB78D9" w:rsidP="00171B7D">
      <w:pPr>
        <w:keepNext/>
        <w:spacing w:before="720" w:line="240" w:lineRule="atLeast"/>
        <w:ind w:right="397"/>
        <w:jc w:val="both"/>
        <w:rPr>
          <w:szCs w:val="22"/>
        </w:rPr>
      </w:pPr>
      <w:r w:rsidRPr="0034086C">
        <w:rPr>
          <w:szCs w:val="22"/>
        </w:rPr>
        <w:t xml:space="preserve">Dated </w:t>
      </w:r>
      <w:r w:rsidRPr="0034086C">
        <w:rPr>
          <w:szCs w:val="22"/>
        </w:rPr>
        <w:tab/>
      </w:r>
      <w:r w:rsidRPr="0034086C">
        <w:rPr>
          <w:szCs w:val="22"/>
        </w:rPr>
        <w:tab/>
      </w:r>
      <w:r w:rsidRPr="0034086C">
        <w:rPr>
          <w:szCs w:val="22"/>
        </w:rPr>
        <w:tab/>
      </w:r>
      <w:r w:rsidRPr="0034086C">
        <w:rPr>
          <w:szCs w:val="22"/>
        </w:rPr>
        <w:tab/>
      </w:r>
      <w:r w:rsidRPr="0034086C">
        <w:rPr>
          <w:szCs w:val="22"/>
        </w:rPr>
        <w:fldChar w:fldCharType="begin"/>
      </w:r>
      <w:r w:rsidRPr="0034086C">
        <w:rPr>
          <w:szCs w:val="22"/>
        </w:rPr>
        <w:instrText xml:space="preserve"> DOCPROPERTY  DateMade </w:instrText>
      </w:r>
      <w:r w:rsidRPr="0034086C">
        <w:rPr>
          <w:szCs w:val="22"/>
        </w:rPr>
        <w:fldChar w:fldCharType="separate"/>
      </w:r>
      <w:r w:rsidR="002851C8">
        <w:rPr>
          <w:szCs w:val="22"/>
        </w:rPr>
        <w:t>2022</w:t>
      </w:r>
      <w:r w:rsidRPr="0034086C">
        <w:rPr>
          <w:szCs w:val="22"/>
        </w:rPr>
        <w:fldChar w:fldCharType="end"/>
      </w:r>
    </w:p>
    <w:p w14:paraId="3D7D3469" w14:textId="77777777" w:rsidR="00EB78D9" w:rsidRPr="0034086C" w:rsidRDefault="00EB78D9" w:rsidP="00171B7D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>
        <w:rPr>
          <w:szCs w:val="22"/>
        </w:rPr>
        <w:t>David Hurley</w:t>
      </w:r>
    </w:p>
    <w:p w14:paraId="075086A6" w14:textId="77777777" w:rsidR="00EB78D9" w:rsidRPr="0034086C" w:rsidRDefault="00EB78D9" w:rsidP="00171B7D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>
        <w:rPr>
          <w:szCs w:val="22"/>
        </w:rPr>
        <w:t>Governor</w:t>
      </w:r>
      <w:r w:rsidR="00C335C3">
        <w:rPr>
          <w:szCs w:val="22"/>
        </w:rPr>
        <w:noBreakHyphen/>
      </w:r>
      <w:r>
        <w:rPr>
          <w:szCs w:val="22"/>
        </w:rPr>
        <w:t>General</w:t>
      </w:r>
    </w:p>
    <w:p w14:paraId="374A545D" w14:textId="77777777" w:rsidR="00EB78D9" w:rsidRPr="0034086C" w:rsidRDefault="00EB78D9" w:rsidP="00171B7D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34086C">
        <w:rPr>
          <w:szCs w:val="22"/>
        </w:rPr>
        <w:t>By His Excellency’s Command</w:t>
      </w:r>
    </w:p>
    <w:p w14:paraId="39934742" w14:textId="77777777" w:rsidR="00EB78D9" w:rsidRPr="0034086C" w:rsidRDefault="00EB78D9" w:rsidP="00171B7D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>
        <w:rPr>
          <w:szCs w:val="22"/>
        </w:rPr>
        <w:t>Stephen Jones</w:t>
      </w:r>
      <w:r>
        <w:t xml:space="preserve"> </w:t>
      </w:r>
      <w:r w:rsidRPr="002539D6">
        <w:rPr>
          <w:b/>
          <w:szCs w:val="22"/>
        </w:rPr>
        <w:t>[DRAFT ONLY—NOT FOR SIGNATURE]</w:t>
      </w:r>
    </w:p>
    <w:p w14:paraId="62216FCA" w14:textId="77777777" w:rsidR="00EB78D9" w:rsidRPr="001F2C7F" w:rsidRDefault="00EB78D9" w:rsidP="00171B7D">
      <w:pPr>
        <w:pStyle w:val="SignCoverPageEnd"/>
        <w:rPr>
          <w:szCs w:val="22"/>
        </w:rPr>
      </w:pPr>
      <w:r>
        <w:rPr>
          <w:szCs w:val="22"/>
        </w:rPr>
        <w:t>Assistant Treasurer</w:t>
      </w:r>
      <w:r>
        <w:rPr>
          <w:szCs w:val="22"/>
        </w:rPr>
        <w:br/>
        <w:t>Minister for Financial Services</w:t>
      </w:r>
    </w:p>
    <w:p w14:paraId="37CA76CB" w14:textId="77777777" w:rsidR="00EB78D9" w:rsidRDefault="00EB78D9" w:rsidP="00171B7D"/>
    <w:p w14:paraId="6D3C1E7D" w14:textId="77777777" w:rsidR="00EB78D9" w:rsidRDefault="00EB78D9" w:rsidP="00171B7D"/>
    <w:p w14:paraId="366A8BF6" w14:textId="77777777" w:rsidR="00EB78D9" w:rsidRDefault="00EB78D9" w:rsidP="00171B7D"/>
    <w:p w14:paraId="30881B3C" w14:textId="77777777" w:rsidR="00715914" w:rsidRPr="00480A04" w:rsidRDefault="00715914" w:rsidP="00715914">
      <w:pPr>
        <w:pStyle w:val="Header"/>
        <w:tabs>
          <w:tab w:val="clear" w:pos="4150"/>
          <w:tab w:val="clear" w:pos="8307"/>
        </w:tabs>
      </w:pPr>
      <w:r w:rsidRPr="00480A04">
        <w:rPr>
          <w:rStyle w:val="CharChapNo"/>
        </w:rPr>
        <w:t xml:space="preserve"> </w:t>
      </w:r>
      <w:r w:rsidRPr="00480A04">
        <w:rPr>
          <w:rStyle w:val="CharChapText"/>
        </w:rPr>
        <w:t xml:space="preserve"> </w:t>
      </w:r>
    </w:p>
    <w:p w14:paraId="70898F7B" w14:textId="77777777" w:rsidR="00715914" w:rsidRPr="00480A04" w:rsidRDefault="00715914" w:rsidP="00715914">
      <w:pPr>
        <w:pStyle w:val="Header"/>
        <w:tabs>
          <w:tab w:val="clear" w:pos="4150"/>
          <w:tab w:val="clear" w:pos="8307"/>
        </w:tabs>
      </w:pPr>
      <w:r w:rsidRPr="00480A04">
        <w:rPr>
          <w:rStyle w:val="CharPartNo"/>
        </w:rPr>
        <w:t xml:space="preserve"> </w:t>
      </w:r>
      <w:r w:rsidRPr="00480A04">
        <w:rPr>
          <w:rStyle w:val="CharPartText"/>
        </w:rPr>
        <w:t xml:space="preserve"> </w:t>
      </w:r>
    </w:p>
    <w:p w14:paraId="685254D9" w14:textId="77777777" w:rsidR="00715914" w:rsidRPr="00480A04" w:rsidRDefault="00715914" w:rsidP="00715914">
      <w:pPr>
        <w:pStyle w:val="Header"/>
        <w:tabs>
          <w:tab w:val="clear" w:pos="4150"/>
          <w:tab w:val="clear" w:pos="8307"/>
        </w:tabs>
      </w:pPr>
      <w:r w:rsidRPr="00480A04">
        <w:rPr>
          <w:rStyle w:val="CharDivNo"/>
        </w:rPr>
        <w:t xml:space="preserve"> </w:t>
      </w:r>
      <w:r w:rsidRPr="00480A04">
        <w:rPr>
          <w:rStyle w:val="CharDivText"/>
        </w:rPr>
        <w:t xml:space="preserve"> </w:t>
      </w:r>
    </w:p>
    <w:p w14:paraId="398DE9B7" w14:textId="77777777" w:rsidR="00715914" w:rsidRDefault="00715914" w:rsidP="00715914">
      <w:pPr>
        <w:sectPr w:rsidR="00715914" w:rsidSect="00FA1E5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144BE601" w14:textId="77777777" w:rsidR="00F67BCA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3EC363A5" w14:textId="0AABE8B3" w:rsidR="00480A04" w:rsidRDefault="00480A04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Part 1—Preliminary</w:t>
      </w:r>
      <w:r w:rsidRPr="00480A04">
        <w:rPr>
          <w:b w:val="0"/>
          <w:noProof/>
          <w:sz w:val="18"/>
        </w:rPr>
        <w:tab/>
      </w:r>
      <w:r w:rsidRPr="00480A04">
        <w:rPr>
          <w:b w:val="0"/>
          <w:noProof/>
          <w:sz w:val="18"/>
        </w:rPr>
        <w:fldChar w:fldCharType="begin"/>
      </w:r>
      <w:r w:rsidRPr="00480A04">
        <w:rPr>
          <w:b w:val="0"/>
          <w:noProof/>
          <w:sz w:val="18"/>
        </w:rPr>
        <w:instrText xml:space="preserve"> PAGEREF _Toc113615105 \h </w:instrText>
      </w:r>
      <w:r w:rsidRPr="00480A04">
        <w:rPr>
          <w:b w:val="0"/>
          <w:noProof/>
          <w:sz w:val="18"/>
        </w:rPr>
      </w:r>
      <w:r w:rsidRPr="00480A04">
        <w:rPr>
          <w:b w:val="0"/>
          <w:noProof/>
          <w:sz w:val="18"/>
        </w:rPr>
        <w:fldChar w:fldCharType="separate"/>
      </w:r>
      <w:r w:rsidR="004E0496">
        <w:rPr>
          <w:b w:val="0"/>
          <w:noProof/>
          <w:sz w:val="18"/>
        </w:rPr>
        <w:t>1</w:t>
      </w:r>
      <w:r w:rsidRPr="00480A04">
        <w:rPr>
          <w:b w:val="0"/>
          <w:noProof/>
          <w:sz w:val="18"/>
        </w:rPr>
        <w:fldChar w:fldCharType="end"/>
      </w:r>
    </w:p>
    <w:p w14:paraId="68D27C04" w14:textId="3B6FC7B7" w:rsidR="00480A04" w:rsidRDefault="00480A0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</w:t>
      </w:r>
      <w:r>
        <w:rPr>
          <w:noProof/>
        </w:rPr>
        <w:tab/>
        <w:t>Name</w:t>
      </w:r>
      <w:r w:rsidRPr="00480A04">
        <w:rPr>
          <w:noProof/>
        </w:rPr>
        <w:tab/>
      </w:r>
      <w:r w:rsidRPr="00480A04">
        <w:rPr>
          <w:noProof/>
        </w:rPr>
        <w:fldChar w:fldCharType="begin"/>
      </w:r>
      <w:r w:rsidRPr="00480A04">
        <w:rPr>
          <w:noProof/>
        </w:rPr>
        <w:instrText xml:space="preserve"> PAGEREF _Toc113615106 \h </w:instrText>
      </w:r>
      <w:r w:rsidRPr="00480A04">
        <w:rPr>
          <w:noProof/>
        </w:rPr>
      </w:r>
      <w:r w:rsidRPr="00480A04">
        <w:rPr>
          <w:noProof/>
        </w:rPr>
        <w:fldChar w:fldCharType="separate"/>
      </w:r>
      <w:r w:rsidR="004E0496">
        <w:rPr>
          <w:noProof/>
        </w:rPr>
        <w:t>1</w:t>
      </w:r>
      <w:r w:rsidRPr="00480A04">
        <w:rPr>
          <w:noProof/>
        </w:rPr>
        <w:fldChar w:fldCharType="end"/>
      </w:r>
    </w:p>
    <w:p w14:paraId="6DECA5CE" w14:textId="1B098A68" w:rsidR="00480A04" w:rsidRDefault="00480A0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480A04">
        <w:rPr>
          <w:noProof/>
        </w:rPr>
        <w:tab/>
      </w:r>
      <w:r w:rsidRPr="00480A04">
        <w:rPr>
          <w:noProof/>
        </w:rPr>
        <w:fldChar w:fldCharType="begin"/>
      </w:r>
      <w:r w:rsidRPr="00480A04">
        <w:rPr>
          <w:noProof/>
        </w:rPr>
        <w:instrText xml:space="preserve"> PAGEREF _Toc113615107 \h </w:instrText>
      </w:r>
      <w:r w:rsidRPr="00480A04">
        <w:rPr>
          <w:noProof/>
        </w:rPr>
      </w:r>
      <w:r w:rsidRPr="00480A04">
        <w:rPr>
          <w:noProof/>
        </w:rPr>
        <w:fldChar w:fldCharType="separate"/>
      </w:r>
      <w:r w:rsidR="004E0496">
        <w:rPr>
          <w:noProof/>
        </w:rPr>
        <w:t>1</w:t>
      </w:r>
      <w:r w:rsidRPr="00480A04">
        <w:rPr>
          <w:noProof/>
        </w:rPr>
        <w:fldChar w:fldCharType="end"/>
      </w:r>
    </w:p>
    <w:p w14:paraId="2AA1AF72" w14:textId="62113A77" w:rsidR="00480A04" w:rsidRDefault="00480A0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480A04">
        <w:rPr>
          <w:noProof/>
        </w:rPr>
        <w:tab/>
      </w:r>
      <w:r w:rsidRPr="00480A04">
        <w:rPr>
          <w:noProof/>
        </w:rPr>
        <w:fldChar w:fldCharType="begin"/>
      </w:r>
      <w:r w:rsidRPr="00480A04">
        <w:rPr>
          <w:noProof/>
        </w:rPr>
        <w:instrText xml:space="preserve"> PAGEREF _Toc113615108 \h </w:instrText>
      </w:r>
      <w:r w:rsidRPr="00480A04">
        <w:rPr>
          <w:noProof/>
        </w:rPr>
      </w:r>
      <w:r w:rsidRPr="00480A04">
        <w:rPr>
          <w:noProof/>
        </w:rPr>
        <w:fldChar w:fldCharType="separate"/>
      </w:r>
      <w:r w:rsidR="004E0496">
        <w:rPr>
          <w:noProof/>
        </w:rPr>
        <w:t>1</w:t>
      </w:r>
      <w:r w:rsidRPr="00480A04">
        <w:rPr>
          <w:noProof/>
        </w:rPr>
        <w:fldChar w:fldCharType="end"/>
      </w:r>
    </w:p>
    <w:p w14:paraId="17D47990" w14:textId="0541CAC5" w:rsidR="00480A04" w:rsidRDefault="00480A0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480A04">
        <w:rPr>
          <w:noProof/>
        </w:rPr>
        <w:tab/>
      </w:r>
      <w:r w:rsidRPr="00480A04">
        <w:rPr>
          <w:noProof/>
        </w:rPr>
        <w:fldChar w:fldCharType="begin"/>
      </w:r>
      <w:r w:rsidRPr="00480A04">
        <w:rPr>
          <w:noProof/>
        </w:rPr>
        <w:instrText xml:space="preserve"> PAGEREF _Toc113615109 \h </w:instrText>
      </w:r>
      <w:r w:rsidRPr="00480A04">
        <w:rPr>
          <w:noProof/>
        </w:rPr>
      </w:r>
      <w:r w:rsidRPr="00480A04">
        <w:rPr>
          <w:noProof/>
        </w:rPr>
        <w:fldChar w:fldCharType="separate"/>
      </w:r>
      <w:r w:rsidR="004E0496">
        <w:rPr>
          <w:noProof/>
        </w:rPr>
        <w:t>1</w:t>
      </w:r>
      <w:r w:rsidRPr="00480A04">
        <w:rPr>
          <w:noProof/>
        </w:rPr>
        <w:fldChar w:fldCharType="end"/>
      </w:r>
    </w:p>
    <w:p w14:paraId="4D485849" w14:textId="2548F651" w:rsidR="00480A04" w:rsidRDefault="00480A0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noProof/>
        </w:rPr>
        <w:tab/>
        <w:t>Definitions</w:t>
      </w:r>
      <w:r w:rsidRPr="00480A04">
        <w:rPr>
          <w:noProof/>
        </w:rPr>
        <w:tab/>
      </w:r>
      <w:r w:rsidRPr="00480A04">
        <w:rPr>
          <w:noProof/>
        </w:rPr>
        <w:fldChar w:fldCharType="begin"/>
      </w:r>
      <w:r w:rsidRPr="00480A04">
        <w:rPr>
          <w:noProof/>
        </w:rPr>
        <w:instrText xml:space="preserve"> PAGEREF _Toc113615110 \h </w:instrText>
      </w:r>
      <w:r w:rsidRPr="00480A04">
        <w:rPr>
          <w:noProof/>
        </w:rPr>
      </w:r>
      <w:r w:rsidRPr="00480A04">
        <w:rPr>
          <w:noProof/>
        </w:rPr>
        <w:fldChar w:fldCharType="separate"/>
      </w:r>
      <w:r w:rsidR="004E0496">
        <w:rPr>
          <w:noProof/>
        </w:rPr>
        <w:t>1</w:t>
      </w:r>
      <w:r w:rsidRPr="00480A04">
        <w:rPr>
          <w:noProof/>
        </w:rPr>
        <w:fldChar w:fldCharType="end"/>
      </w:r>
    </w:p>
    <w:p w14:paraId="6B6FD397" w14:textId="568BF247" w:rsidR="00480A04" w:rsidRDefault="00480A04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2—Prescribed fees</w:t>
      </w:r>
      <w:r w:rsidRPr="00480A04">
        <w:rPr>
          <w:b w:val="0"/>
          <w:noProof/>
          <w:sz w:val="18"/>
        </w:rPr>
        <w:tab/>
      </w:r>
      <w:r w:rsidRPr="00480A04">
        <w:rPr>
          <w:b w:val="0"/>
          <w:noProof/>
          <w:sz w:val="18"/>
        </w:rPr>
        <w:fldChar w:fldCharType="begin"/>
      </w:r>
      <w:r w:rsidRPr="00480A04">
        <w:rPr>
          <w:b w:val="0"/>
          <w:noProof/>
          <w:sz w:val="18"/>
        </w:rPr>
        <w:instrText xml:space="preserve"> PAGEREF _Toc113615111 \h </w:instrText>
      </w:r>
      <w:r w:rsidRPr="00480A04">
        <w:rPr>
          <w:b w:val="0"/>
          <w:noProof/>
          <w:sz w:val="18"/>
        </w:rPr>
      </w:r>
      <w:r w:rsidRPr="00480A04">
        <w:rPr>
          <w:b w:val="0"/>
          <w:noProof/>
          <w:sz w:val="18"/>
        </w:rPr>
        <w:fldChar w:fldCharType="separate"/>
      </w:r>
      <w:r w:rsidR="004E0496">
        <w:rPr>
          <w:b w:val="0"/>
          <w:noProof/>
          <w:sz w:val="18"/>
        </w:rPr>
        <w:t>2</w:t>
      </w:r>
      <w:r w:rsidRPr="00480A04">
        <w:rPr>
          <w:b w:val="0"/>
          <w:noProof/>
          <w:sz w:val="18"/>
        </w:rPr>
        <w:fldChar w:fldCharType="end"/>
      </w:r>
    </w:p>
    <w:p w14:paraId="3C153759" w14:textId="470AD261" w:rsidR="00480A04" w:rsidRDefault="00480A0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</w:t>
      </w:r>
      <w:r>
        <w:rPr>
          <w:noProof/>
        </w:rPr>
        <w:tab/>
        <w:t>ASIC fees</w:t>
      </w:r>
      <w:r w:rsidRPr="00480A04">
        <w:rPr>
          <w:noProof/>
        </w:rPr>
        <w:tab/>
      </w:r>
      <w:r w:rsidRPr="00480A04">
        <w:rPr>
          <w:noProof/>
        </w:rPr>
        <w:fldChar w:fldCharType="begin"/>
      </w:r>
      <w:r w:rsidRPr="00480A04">
        <w:rPr>
          <w:noProof/>
        </w:rPr>
        <w:instrText xml:space="preserve"> PAGEREF _Toc113615112 \h </w:instrText>
      </w:r>
      <w:r w:rsidRPr="00480A04">
        <w:rPr>
          <w:noProof/>
        </w:rPr>
      </w:r>
      <w:r w:rsidRPr="00480A04">
        <w:rPr>
          <w:noProof/>
        </w:rPr>
        <w:fldChar w:fldCharType="separate"/>
      </w:r>
      <w:r w:rsidR="004E0496">
        <w:rPr>
          <w:noProof/>
        </w:rPr>
        <w:t>2</w:t>
      </w:r>
      <w:r w:rsidRPr="00480A04">
        <w:rPr>
          <w:noProof/>
        </w:rPr>
        <w:fldChar w:fldCharType="end"/>
      </w:r>
    </w:p>
    <w:p w14:paraId="14F935F7" w14:textId="7834DED0" w:rsidR="00480A04" w:rsidRDefault="00480A0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</w:t>
      </w:r>
      <w:r>
        <w:rPr>
          <w:noProof/>
        </w:rPr>
        <w:tab/>
        <w:t>Registry fees</w:t>
      </w:r>
      <w:r w:rsidRPr="00480A04">
        <w:rPr>
          <w:noProof/>
        </w:rPr>
        <w:tab/>
      </w:r>
      <w:r w:rsidRPr="00480A04">
        <w:rPr>
          <w:noProof/>
        </w:rPr>
        <w:fldChar w:fldCharType="begin"/>
      </w:r>
      <w:r w:rsidRPr="00480A04">
        <w:rPr>
          <w:noProof/>
        </w:rPr>
        <w:instrText xml:space="preserve"> PAGEREF _Toc113615113 \h </w:instrText>
      </w:r>
      <w:r w:rsidRPr="00480A04">
        <w:rPr>
          <w:noProof/>
        </w:rPr>
      </w:r>
      <w:r w:rsidRPr="00480A04">
        <w:rPr>
          <w:noProof/>
        </w:rPr>
        <w:fldChar w:fldCharType="separate"/>
      </w:r>
      <w:r w:rsidR="004E0496">
        <w:rPr>
          <w:noProof/>
        </w:rPr>
        <w:t>2</w:t>
      </w:r>
      <w:r w:rsidRPr="00480A04">
        <w:rPr>
          <w:noProof/>
        </w:rPr>
        <w:fldChar w:fldCharType="end"/>
      </w:r>
    </w:p>
    <w:p w14:paraId="3797F609" w14:textId="12902E82" w:rsidR="00480A04" w:rsidRDefault="00480A0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</w:t>
      </w:r>
      <w:r>
        <w:rPr>
          <w:noProof/>
        </w:rPr>
        <w:tab/>
        <w:t>Method for calculating registry fees in subsequent financial years</w:t>
      </w:r>
      <w:r w:rsidRPr="00480A04">
        <w:rPr>
          <w:noProof/>
        </w:rPr>
        <w:tab/>
      </w:r>
      <w:r w:rsidRPr="00480A04">
        <w:rPr>
          <w:noProof/>
        </w:rPr>
        <w:fldChar w:fldCharType="begin"/>
      </w:r>
      <w:r w:rsidRPr="00480A04">
        <w:rPr>
          <w:noProof/>
        </w:rPr>
        <w:instrText xml:space="preserve"> PAGEREF _Toc113615114 \h </w:instrText>
      </w:r>
      <w:r w:rsidRPr="00480A04">
        <w:rPr>
          <w:noProof/>
        </w:rPr>
      </w:r>
      <w:r w:rsidRPr="00480A04">
        <w:rPr>
          <w:noProof/>
        </w:rPr>
        <w:fldChar w:fldCharType="separate"/>
      </w:r>
      <w:r w:rsidR="004E0496">
        <w:rPr>
          <w:noProof/>
        </w:rPr>
        <w:t>3</w:t>
      </w:r>
      <w:r w:rsidRPr="00480A04">
        <w:rPr>
          <w:noProof/>
        </w:rPr>
        <w:fldChar w:fldCharType="end"/>
      </w:r>
    </w:p>
    <w:p w14:paraId="5BC67EAD" w14:textId="1360C45E" w:rsidR="00480A04" w:rsidRDefault="00480A04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1—Repeals</w:t>
      </w:r>
      <w:r w:rsidRPr="00480A04">
        <w:rPr>
          <w:b w:val="0"/>
          <w:noProof/>
          <w:sz w:val="18"/>
        </w:rPr>
        <w:tab/>
      </w:r>
      <w:r w:rsidRPr="00480A04">
        <w:rPr>
          <w:b w:val="0"/>
          <w:noProof/>
          <w:sz w:val="18"/>
        </w:rPr>
        <w:fldChar w:fldCharType="begin"/>
      </w:r>
      <w:r w:rsidRPr="00480A04">
        <w:rPr>
          <w:b w:val="0"/>
          <w:noProof/>
          <w:sz w:val="18"/>
        </w:rPr>
        <w:instrText xml:space="preserve"> PAGEREF _Toc113615115 \h </w:instrText>
      </w:r>
      <w:r w:rsidRPr="00480A04">
        <w:rPr>
          <w:b w:val="0"/>
          <w:noProof/>
          <w:sz w:val="18"/>
        </w:rPr>
      </w:r>
      <w:r w:rsidRPr="00480A04">
        <w:rPr>
          <w:b w:val="0"/>
          <w:noProof/>
          <w:sz w:val="18"/>
        </w:rPr>
        <w:fldChar w:fldCharType="separate"/>
      </w:r>
      <w:r w:rsidR="004E0496">
        <w:rPr>
          <w:b w:val="0"/>
          <w:noProof/>
          <w:sz w:val="18"/>
        </w:rPr>
        <w:t>5</w:t>
      </w:r>
      <w:r w:rsidRPr="00480A04">
        <w:rPr>
          <w:b w:val="0"/>
          <w:noProof/>
          <w:sz w:val="18"/>
        </w:rPr>
        <w:fldChar w:fldCharType="end"/>
      </w:r>
    </w:p>
    <w:p w14:paraId="68F690A8" w14:textId="53A57ACD" w:rsidR="00480A04" w:rsidRDefault="00480A04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Superannuation Auditor Registration Imposition Regulation 2012</w:t>
      </w:r>
      <w:r w:rsidRPr="00480A04">
        <w:rPr>
          <w:i w:val="0"/>
          <w:noProof/>
          <w:sz w:val="18"/>
        </w:rPr>
        <w:tab/>
      </w:r>
      <w:r w:rsidRPr="00480A04">
        <w:rPr>
          <w:i w:val="0"/>
          <w:noProof/>
          <w:sz w:val="18"/>
        </w:rPr>
        <w:fldChar w:fldCharType="begin"/>
      </w:r>
      <w:r w:rsidRPr="00480A04">
        <w:rPr>
          <w:i w:val="0"/>
          <w:noProof/>
          <w:sz w:val="18"/>
        </w:rPr>
        <w:instrText xml:space="preserve"> PAGEREF _Toc113615116 \h </w:instrText>
      </w:r>
      <w:r w:rsidRPr="00480A04">
        <w:rPr>
          <w:i w:val="0"/>
          <w:noProof/>
          <w:sz w:val="18"/>
        </w:rPr>
      </w:r>
      <w:r w:rsidRPr="00480A04">
        <w:rPr>
          <w:i w:val="0"/>
          <w:noProof/>
          <w:sz w:val="18"/>
        </w:rPr>
        <w:fldChar w:fldCharType="separate"/>
      </w:r>
      <w:r w:rsidR="004E0496">
        <w:rPr>
          <w:i w:val="0"/>
          <w:noProof/>
          <w:sz w:val="18"/>
        </w:rPr>
        <w:t>5</w:t>
      </w:r>
      <w:r w:rsidRPr="00480A04">
        <w:rPr>
          <w:i w:val="0"/>
          <w:noProof/>
          <w:sz w:val="18"/>
        </w:rPr>
        <w:fldChar w:fldCharType="end"/>
      </w:r>
    </w:p>
    <w:p w14:paraId="561866C1" w14:textId="77777777" w:rsidR="00670EA1" w:rsidRDefault="00480A04" w:rsidP="00715914">
      <w:r>
        <w:fldChar w:fldCharType="end"/>
      </w:r>
    </w:p>
    <w:p w14:paraId="012ADF45" w14:textId="77777777" w:rsidR="00670EA1" w:rsidRDefault="00670EA1" w:rsidP="00715914">
      <w:pPr>
        <w:sectPr w:rsidR="00670EA1" w:rsidSect="00243018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64C415C8" w14:textId="77777777" w:rsidR="00715914" w:rsidRDefault="00715914" w:rsidP="00715914">
      <w:pPr>
        <w:pStyle w:val="ActHead2"/>
      </w:pPr>
      <w:bookmarkStart w:id="0" w:name="_Toc113615105"/>
      <w:r w:rsidRPr="00480A04">
        <w:rPr>
          <w:rStyle w:val="CharPartNo"/>
        </w:rPr>
        <w:lastRenderedPageBreak/>
        <w:t>Part 1</w:t>
      </w:r>
      <w:r>
        <w:t>—</w:t>
      </w:r>
      <w:r w:rsidRPr="00480A04">
        <w:rPr>
          <w:rStyle w:val="CharPartText"/>
        </w:rPr>
        <w:t>Preliminary</w:t>
      </w:r>
      <w:bookmarkEnd w:id="0"/>
    </w:p>
    <w:p w14:paraId="518490F1" w14:textId="77777777" w:rsidR="00715914" w:rsidRPr="00480A04" w:rsidRDefault="00715914" w:rsidP="00715914">
      <w:pPr>
        <w:pStyle w:val="Header"/>
      </w:pPr>
      <w:r w:rsidRPr="00480A04">
        <w:rPr>
          <w:rStyle w:val="CharDivNo"/>
        </w:rPr>
        <w:t xml:space="preserve"> </w:t>
      </w:r>
      <w:r w:rsidRPr="00480A04">
        <w:rPr>
          <w:rStyle w:val="CharDivText"/>
        </w:rPr>
        <w:t xml:space="preserve"> </w:t>
      </w:r>
    </w:p>
    <w:p w14:paraId="65B95972" w14:textId="77777777" w:rsidR="00715914" w:rsidRDefault="00BA2D08" w:rsidP="00715914">
      <w:pPr>
        <w:pStyle w:val="ActHead5"/>
      </w:pPr>
      <w:bookmarkStart w:id="1" w:name="_Toc113615106"/>
      <w:proofErr w:type="gramStart"/>
      <w:r w:rsidRPr="00480A04">
        <w:rPr>
          <w:rStyle w:val="CharSectno"/>
        </w:rPr>
        <w:t>1</w:t>
      </w:r>
      <w:r w:rsidR="00715914">
        <w:t xml:space="preserve">  </w:t>
      </w:r>
      <w:r w:rsidR="00CE493D">
        <w:t>Name</w:t>
      </w:r>
      <w:bookmarkEnd w:id="1"/>
      <w:proofErr w:type="gramEnd"/>
    </w:p>
    <w:p w14:paraId="12A959D6" w14:textId="54B42A28" w:rsidR="00715914" w:rsidRPr="009A038B" w:rsidRDefault="00715914" w:rsidP="00715914">
      <w:pPr>
        <w:pStyle w:val="subsection"/>
      </w:pPr>
      <w:r w:rsidRPr="009A038B">
        <w:tab/>
      </w:r>
      <w:r w:rsidRPr="009A038B">
        <w:tab/>
      </w:r>
      <w:r w:rsidR="000E5769">
        <w:t>This instrument is</w:t>
      </w:r>
      <w:r w:rsidR="00CE493D">
        <w:t xml:space="preserve"> the </w:t>
      </w:r>
      <w:r w:rsidR="00BC76AC" w:rsidRPr="00BC76AC">
        <w:rPr>
          <w:i/>
        </w:rPr>
        <w:fldChar w:fldCharType="begin"/>
      </w:r>
      <w:r w:rsidR="00BC76AC" w:rsidRPr="00BC76AC">
        <w:rPr>
          <w:i/>
        </w:rPr>
        <w:instrText xml:space="preserve"> STYLEREF  ShortT </w:instrText>
      </w:r>
      <w:r w:rsidR="00BC76AC" w:rsidRPr="00BC76AC">
        <w:rPr>
          <w:i/>
        </w:rPr>
        <w:fldChar w:fldCharType="separate"/>
      </w:r>
      <w:r w:rsidR="004E0496">
        <w:rPr>
          <w:i/>
          <w:noProof/>
        </w:rPr>
        <w:t>Superannuation Auditor Registration Imposition Regulations 2022</w:t>
      </w:r>
      <w:r w:rsidR="00BC76AC" w:rsidRPr="00BC76AC">
        <w:rPr>
          <w:i/>
        </w:rPr>
        <w:fldChar w:fldCharType="end"/>
      </w:r>
      <w:r w:rsidRPr="009A038B">
        <w:t>.</w:t>
      </w:r>
    </w:p>
    <w:p w14:paraId="05E81E0B" w14:textId="77777777" w:rsidR="00715914" w:rsidRDefault="00BA2D08" w:rsidP="00715914">
      <w:pPr>
        <w:pStyle w:val="ActHead5"/>
      </w:pPr>
      <w:bookmarkStart w:id="2" w:name="_Toc113615107"/>
      <w:proofErr w:type="gramStart"/>
      <w:r w:rsidRPr="00480A04">
        <w:rPr>
          <w:rStyle w:val="CharSectno"/>
        </w:rPr>
        <w:t>2</w:t>
      </w:r>
      <w:r w:rsidR="00715914" w:rsidRPr="009A038B">
        <w:t xml:space="preserve">  Commencement</w:t>
      </w:r>
      <w:bookmarkEnd w:id="2"/>
      <w:proofErr w:type="gramEnd"/>
    </w:p>
    <w:p w14:paraId="34D5416C" w14:textId="77777777" w:rsidR="00AE3652" w:rsidRDefault="00807626" w:rsidP="00AE3652">
      <w:pPr>
        <w:pStyle w:val="subsection"/>
      </w:pPr>
      <w:r>
        <w:tab/>
      </w:r>
      <w:r w:rsidR="00AE3652">
        <w:t>(1)</w:t>
      </w:r>
      <w:r w:rsidR="00AE3652">
        <w:tab/>
        <w:t xml:space="preserve">Each provision of </w:t>
      </w:r>
      <w:r w:rsidR="000E5769">
        <w:t>this instrument</w:t>
      </w:r>
      <w:r w:rsidR="00AE3652">
        <w:t xml:space="preserve"> specified in column 1 of the table commences, or is taken to have commenced, in accordance with column 2 of the table. Any other statement in column 2 has effect according to its terms.</w:t>
      </w:r>
    </w:p>
    <w:p w14:paraId="743B9343" w14:textId="77777777" w:rsidR="00AE3652" w:rsidRDefault="00AE3652" w:rsidP="00AE3652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AE3652" w14:paraId="4A69264F" w14:textId="77777777" w:rsidTr="00171B7D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2C8D7909" w14:textId="77777777" w:rsidR="00AE3652" w:rsidRPr="00416235" w:rsidRDefault="00AE3652" w:rsidP="00171B7D">
            <w:pPr>
              <w:pStyle w:val="TableHeading"/>
            </w:pPr>
            <w:r w:rsidRPr="00416235">
              <w:t>Commencement information</w:t>
            </w:r>
          </w:p>
        </w:tc>
      </w:tr>
      <w:tr w:rsidR="00AE3652" w:rsidRPr="00416235" w14:paraId="41BD20B4" w14:textId="77777777" w:rsidTr="00171B7D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EEF8EF3" w14:textId="77777777" w:rsidR="00AE3652" w:rsidRPr="00416235" w:rsidRDefault="00AE3652" w:rsidP="00171B7D">
            <w:pPr>
              <w:pStyle w:val="TableHeading"/>
            </w:pPr>
            <w:r w:rsidRPr="0041623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74BC97C" w14:textId="77777777" w:rsidR="00AE3652" w:rsidRPr="00416235" w:rsidRDefault="00AE3652" w:rsidP="00171B7D">
            <w:pPr>
              <w:pStyle w:val="TableHeading"/>
            </w:pPr>
            <w:r w:rsidRPr="0041623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17D5F49" w14:textId="77777777" w:rsidR="00AE3652" w:rsidRPr="00416235" w:rsidRDefault="00AE3652" w:rsidP="00171B7D">
            <w:pPr>
              <w:pStyle w:val="TableHeading"/>
            </w:pPr>
            <w:r w:rsidRPr="00416235">
              <w:t>Column 3</w:t>
            </w:r>
          </w:p>
        </w:tc>
      </w:tr>
      <w:tr w:rsidR="00AE3652" w14:paraId="69205C3B" w14:textId="77777777" w:rsidTr="00171B7D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F9C612D" w14:textId="77777777" w:rsidR="00AE3652" w:rsidRPr="00416235" w:rsidRDefault="00AE3652" w:rsidP="00171B7D">
            <w:pPr>
              <w:pStyle w:val="TableHeading"/>
            </w:pPr>
            <w:r w:rsidRPr="0041623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D48BABC" w14:textId="77777777" w:rsidR="00AE3652" w:rsidRPr="00416235" w:rsidRDefault="00AE3652" w:rsidP="00171B7D">
            <w:pPr>
              <w:pStyle w:val="TableHeading"/>
            </w:pPr>
            <w:r w:rsidRPr="0041623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A30B1C2" w14:textId="77777777" w:rsidR="00AE3652" w:rsidRPr="00416235" w:rsidRDefault="00AE3652" w:rsidP="00171B7D">
            <w:pPr>
              <w:pStyle w:val="TableHeading"/>
            </w:pPr>
            <w:r w:rsidRPr="00416235">
              <w:t>Date/Details</w:t>
            </w:r>
          </w:p>
        </w:tc>
      </w:tr>
      <w:tr w:rsidR="00AE3652" w14:paraId="661ABAC7" w14:textId="77777777" w:rsidTr="00171B7D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97F2DD6" w14:textId="77777777" w:rsidR="00AE3652" w:rsidRDefault="00AE3652" w:rsidP="00171B7D">
            <w:pPr>
              <w:pStyle w:val="Tabletext"/>
            </w:pPr>
            <w:r>
              <w:t xml:space="preserve">1.  The whole of </w:t>
            </w:r>
            <w:r w:rsidR="000E5769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F0E1B85" w14:textId="77777777" w:rsidR="00AE3652" w:rsidRDefault="0061272C" w:rsidP="00171B7D">
            <w:pPr>
              <w:pStyle w:val="Tabletext"/>
            </w:pPr>
            <w:r w:rsidRPr="00FD0FDB">
              <w:t>The day</w:t>
            </w:r>
            <w:r>
              <w:t xml:space="preserve"> after</w:t>
            </w:r>
            <w:r w:rsidRPr="00FD0FDB">
              <w:t xml:space="preserve"> this </w:t>
            </w:r>
            <w:r>
              <w:t>instrument</w:t>
            </w:r>
            <w:r w:rsidRPr="00FD0FDB">
              <w:t xml:space="preserve">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B42A0AD" w14:textId="77777777" w:rsidR="00AE3652" w:rsidRDefault="00AE3652" w:rsidP="00171B7D">
            <w:pPr>
              <w:pStyle w:val="Tabletext"/>
            </w:pPr>
          </w:p>
        </w:tc>
      </w:tr>
    </w:tbl>
    <w:p w14:paraId="2A7C4B65" w14:textId="77777777" w:rsidR="00AE3652" w:rsidRPr="001E6DD6" w:rsidRDefault="00AE3652" w:rsidP="00AE3652">
      <w:pPr>
        <w:pStyle w:val="notetext"/>
      </w:pPr>
      <w:r w:rsidRPr="005F477A"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  <w:t xml:space="preserve">This table relates only to the provisions of </w:t>
      </w:r>
      <w:r w:rsidR="000E5769">
        <w:rPr>
          <w:snapToGrid w:val="0"/>
          <w:lang w:eastAsia="en-US"/>
        </w:rPr>
        <w:t>this instrument</w:t>
      </w:r>
      <w:r>
        <w:t xml:space="preserve"> </w:t>
      </w:r>
      <w:r w:rsidRPr="005F477A">
        <w:rPr>
          <w:snapToGrid w:val="0"/>
          <w:lang w:eastAsia="en-US"/>
        </w:rPr>
        <w:t xml:space="preserve">as originally </w:t>
      </w:r>
      <w:r>
        <w:rPr>
          <w:snapToGrid w:val="0"/>
          <w:lang w:eastAsia="en-US"/>
        </w:rPr>
        <w:t>made</w:t>
      </w:r>
      <w:r w:rsidRPr="005F477A">
        <w:rPr>
          <w:snapToGrid w:val="0"/>
          <w:lang w:eastAsia="en-US"/>
        </w:rPr>
        <w:t xml:space="preserve">. It will not be amended to deal with any later amendments of </w:t>
      </w:r>
      <w:r w:rsidR="000E5769">
        <w:rPr>
          <w:snapToGrid w:val="0"/>
          <w:lang w:eastAsia="en-US"/>
        </w:rPr>
        <w:t>this instrument</w:t>
      </w:r>
      <w:r w:rsidRPr="005F477A">
        <w:rPr>
          <w:snapToGrid w:val="0"/>
          <w:lang w:eastAsia="en-US"/>
        </w:rPr>
        <w:t>.</w:t>
      </w:r>
    </w:p>
    <w:p w14:paraId="7D653921" w14:textId="77777777" w:rsidR="00807626" w:rsidRDefault="00AE3652" w:rsidP="00AE3652">
      <w:pPr>
        <w:pStyle w:val="subsection"/>
      </w:pPr>
      <w:r>
        <w:tab/>
        <w:t>(2)</w:t>
      </w:r>
      <w:r>
        <w:tab/>
      </w:r>
      <w:r w:rsidRPr="005F477A">
        <w:t xml:space="preserve">Any information in </w:t>
      </w:r>
      <w:r>
        <w:t>c</w:t>
      </w:r>
      <w:r w:rsidRPr="005F477A">
        <w:t xml:space="preserve">olumn 3 of the table is not part of </w:t>
      </w:r>
      <w:r w:rsidR="000E5769">
        <w:t>this instrument</w:t>
      </w:r>
      <w:r w:rsidRPr="005F477A">
        <w:t xml:space="preserve">. Information may be inserted in this column, or information in it may be edited, in any published version of </w:t>
      </w:r>
      <w:r w:rsidR="000E5769">
        <w:t>this instrument</w:t>
      </w:r>
      <w:r w:rsidRPr="005F477A">
        <w:t>.</w:t>
      </w:r>
    </w:p>
    <w:p w14:paraId="2F4DA638" w14:textId="77777777" w:rsidR="007500C8" w:rsidRDefault="00BA2D08" w:rsidP="007500C8">
      <w:pPr>
        <w:pStyle w:val="ActHead5"/>
      </w:pPr>
      <w:bookmarkStart w:id="3" w:name="_Toc113615108"/>
      <w:proofErr w:type="gramStart"/>
      <w:r w:rsidRPr="00480A04">
        <w:rPr>
          <w:rStyle w:val="CharSectno"/>
        </w:rPr>
        <w:t>3</w:t>
      </w:r>
      <w:r w:rsidR="007500C8">
        <w:t xml:space="preserve">  Authority</w:t>
      </w:r>
      <w:bookmarkEnd w:id="3"/>
      <w:proofErr w:type="gramEnd"/>
    </w:p>
    <w:p w14:paraId="50EE764E" w14:textId="77777777" w:rsidR="00157B8B" w:rsidRDefault="007500C8" w:rsidP="007E667A">
      <w:pPr>
        <w:pStyle w:val="subsection"/>
      </w:pPr>
      <w:r>
        <w:tab/>
      </w:r>
      <w:r>
        <w:tab/>
      </w:r>
      <w:r w:rsidR="000E5769">
        <w:t>This instrument is</w:t>
      </w:r>
      <w:r>
        <w:t xml:space="preserve"> made under the </w:t>
      </w:r>
      <w:r w:rsidR="00171B7D" w:rsidRPr="00171B7D">
        <w:rPr>
          <w:i/>
        </w:rPr>
        <w:t>Superannuation Auditor Registration Imposition Act 2012</w:t>
      </w:r>
      <w:r w:rsidR="00F4350D" w:rsidRPr="003C6231">
        <w:t>.</w:t>
      </w:r>
    </w:p>
    <w:p w14:paraId="673D5E82" w14:textId="77777777" w:rsidR="008E203A" w:rsidRDefault="00BA2D08" w:rsidP="008E203A">
      <w:pPr>
        <w:pStyle w:val="ActHead5"/>
      </w:pPr>
      <w:bookmarkStart w:id="4" w:name="_Toc113615109"/>
      <w:proofErr w:type="gramStart"/>
      <w:r w:rsidRPr="00480A04">
        <w:rPr>
          <w:rStyle w:val="CharSectno"/>
        </w:rPr>
        <w:t>4</w:t>
      </w:r>
      <w:r w:rsidR="008E203A">
        <w:t xml:space="preserve">  Schedules</w:t>
      </w:r>
      <w:bookmarkEnd w:id="4"/>
      <w:proofErr w:type="gramEnd"/>
    </w:p>
    <w:p w14:paraId="385F88B4" w14:textId="77777777" w:rsidR="008E203A" w:rsidRPr="008E203A" w:rsidRDefault="008E203A" w:rsidP="008E203A">
      <w:pPr>
        <w:pStyle w:val="subsection"/>
      </w:pPr>
      <w:r>
        <w:tab/>
      </w:r>
      <w:r>
        <w:tab/>
      </w:r>
      <w:r w:rsidRPr="008E203A"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440C354F" w14:textId="77777777" w:rsidR="00EB78D9" w:rsidRDefault="00BA2D08" w:rsidP="00EB78D9">
      <w:pPr>
        <w:pStyle w:val="ActHead5"/>
      </w:pPr>
      <w:bookmarkStart w:id="5" w:name="_Toc113615110"/>
      <w:proofErr w:type="gramStart"/>
      <w:r w:rsidRPr="00480A04">
        <w:rPr>
          <w:rStyle w:val="CharSectno"/>
        </w:rPr>
        <w:t>5</w:t>
      </w:r>
      <w:r w:rsidR="00EB78D9">
        <w:t xml:space="preserve">  Definitions</w:t>
      </w:r>
      <w:bookmarkEnd w:id="5"/>
      <w:proofErr w:type="gramEnd"/>
    </w:p>
    <w:p w14:paraId="23660253" w14:textId="77777777" w:rsidR="00EB78D9" w:rsidRDefault="00EB78D9" w:rsidP="00EB78D9">
      <w:pPr>
        <w:pStyle w:val="subsection"/>
      </w:pPr>
      <w:r>
        <w:tab/>
      </w:r>
      <w:r>
        <w:tab/>
        <w:t>In this instrument:</w:t>
      </w:r>
    </w:p>
    <w:p w14:paraId="1B73EFD7" w14:textId="77777777" w:rsidR="00EB78D9" w:rsidRPr="002A715A" w:rsidRDefault="00EB78D9" w:rsidP="00EB78D9">
      <w:pPr>
        <w:pStyle w:val="Definition"/>
      </w:pPr>
      <w:r w:rsidRPr="002A715A">
        <w:rPr>
          <w:b/>
          <w:i/>
        </w:rPr>
        <w:t xml:space="preserve">Act </w:t>
      </w:r>
      <w:r w:rsidRPr="002A715A">
        <w:t xml:space="preserve">means the </w:t>
      </w:r>
      <w:r w:rsidRPr="002A715A">
        <w:rPr>
          <w:i/>
        </w:rPr>
        <w:t>Superannuation Auditor Registration Imposition Act 2012</w:t>
      </w:r>
      <w:r w:rsidRPr="002A715A">
        <w:t>.</w:t>
      </w:r>
    </w:p>
    <w:p w14:paraId="49C4BBBC" w14:textId="77777777" w:rsidR="00AF4581" w:rsidRPr="002A715A" w:rsidRDefault="00AF4581" w:rsidP="00AF4581">
      <w:pPr>
        <w:pStyle w:val="Definition"/>
      </w:pPr>
      <w:r w:rsidRPr="002A715A">
        <w:rPr>
          <w:b/>
          <w:i/>
        </w:rPr>
        <w:t xml:space="preserve">CPI number </w:t>
      </w:r>
      <w:r w:rsidRPr="002A715A">
        <w:t xml:space="preserve">means the </w:t>
      </w:r>
      <w:proofErr w:type="gramStart"/>
      <w:r w:rsidRPr="002A715A">
        <w:t>All Groups</w:t>
      </w:r>
      <w:proofErr w:type="gramEnd"/>
      <w:r w:rsidRPr="002A715A">
        <w:t xml:space="preserve"> Consumer Price Index number (being the weighted average of the 8 Australian capital cities) published by the Australian Statistician.</w:t>
      </w:r>
    </w:p>
    <w:p w14:paraId="1B62F0B8" w14:textId="77777777" w:rsidR="00EB78D9" w:rsidRPr="002A715A" w:rsidRDefault="00EB78D9" w:rsidP="00EB78D9">
      <w:pPr>
        <w:pStyle w:val="Definition"/>
      </w:pPr>
      <w:r w:rsidRPr="002A715A">
        <w:rPr>
          <w:b/>
          <w:i/>
        </w:rPr>
        <w:t xml:space="preserve">SIS Act </w:t>
      </w:r>
      <w:r w:rsidRPr="002A715A">
        <w:t xml:space="preserve">means the </w:t>
      </w:r>
      <w:r w:rsidRPr="002A715A">
        <w:rPr>
          <w:i/>
        </w:rPr>
        <w:t>Superannuation Industry (Supervision) Act 1993</w:t>
      </w:r>
      <w:r w:rsidRPr="002A715A">
        <w:t>.</w:t>
      </w:r>
    </w:p>
    <w:p w14:paraId="3DB97904" w14:textId="77777777" w:rsidR="00EB78D9" w:rsidRDefault="00DF3154" w:rsidP="00EB78D9">
      <w:pPr>
        <w:pStyle w:val="ActHead2"/>
        <w:pageBreakBefore/>
      </w:pPr>
      <w:bookmarkStart w:id="6" w:name="_Toc113615111"/>
      <w:r w:rsidRPr="00480A04">
        <w:rPr>
          <w:rStyle w:val="CharPartNo"/>
        </w:rPr>
        <w:lastRenderedPageBreak/>
        <w:t>Part 2</w:t>
      </w:r>
      <w:r w:rsidR="00EB78D9" w:rsidRPr="00EB78D9">
        <w:t>—</w:t>
      </w:r>
      <w:r w:rsidR="00EB78D9" w:rsidRPr="00480A04">
        <w:rPr>
          <w:rStyle w:val="CharPartText"/>
        </w:rPr>
        <w:t>Prescribed fees</w:t>
      </w:r>
      <w:bookmarkEnd w:id="6"/>
    </w:p>
    <w:p w14:paraId="0F6474CF" w14:textId="77777777" w:rsidR="00EB78D9" w:rsidRPr="00480A04" w:rsidRDefault="00EB78D9" w:rsidP="00EB78D9">
      <w:pPr>
        <w:pStyle w:val="Header"/>
      </w:pPr>
      <w:r w:rsidRPr="00480A04">
        <w:rPr>
          <w:rStyle w:val="CharDivNo"/>
        </w:rPr>
        <w:t xml:space="preserve"> </w:t>
      </w:r>
      <w:r w:rsidRPr="00480A04">
        <w:rPr>
          <w:rStyle w:val="CharDivText"/>
        </w:rPr>
        <w:t xml:space="preserve"> </w:t>
      </w:r>
    </w:p>
    <w:p w14:paraId="1BE1E153" w14:textId="77777777" w:rsidR="00EB78D9" w:rsidRPr="00347FA0" w:rsidRDefault="00BA2D08" w:rsidP="00EB78D9">
      <w:pPr>
        <w:pStyle w:val="ActHead5"/>
      </w:pPr>
      <w:bookmarkStart w:id="7" w:name="_Toc113615112"/>
      <w:proofErr w:type="gramStart"/>
      <w:r w:rsidRPr="00480A04">
        <w:rPr>
          <w:rStyle w:val="CharSectno"/>
        </w:rPr>
        <w:t>6</w:t>
      </w:r>
      <w:r w:rsidR="00EB78D9" w:rsidRPr="00347FA0">
        <w:t xml:space="preserve">  ASIC</w:t>
      </w:r>
      <w:proofErr w:type="gramEnd"/>
      <w:r w:rsidR="00EB78D9" w:rsidRPr="00347FA0">
        <w:t xml:space="preserve"> fees</w:t>
      </w:r>
      <w:bookmarkEnd w:id="7"/>
    </w:p>
    <w:p w14:paraId="438DE280" w14:textId="77777777" w:rsidR="00EB78D9" w:rsidRPr="002A715A" w:rsidRDefault="00EB78D9" w:rsidP="00EB78D9">
      <w:pPr>
        <w:pStyle w:val="subsection"/>
      </w:pPr>
      <w:r w:rsidRPr="002A715A">
        <w:tab/>
      </w:r>
      <w:r w:rsidRPr="002A715A">
        <w:tab/>
        <w:t>For the purposes of section</w:t>
      </w:r>
      <w:r>
        <w:t> </w:t>
      </w:r>
      <w:r w:rsidRPr="002A715A">
        <w:t>4 of the Act, the fee mentioned in column 2 of an item of the following table is prescribed for the matter mentioned in column 1 of the item.</w:t>
      </w:r>
    </w:p>
    <w:p w14:paraId="35372EEE" w14:textId="77777777" w:rsidR="00EB78D9" w:rsidRPr="002A715A" w:rsidRDefault="00EB78D9" w:rsidP="00EB78D9">
      <w:pPr>
        <w:pStyle w:val="Table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6622"/>
        <w:gridCol w:w="1138"/>
      </w:tblGrid>
      <w:tr w:rsidR="00EB78D9" w:rsidRPr="00897F30" w14:paraId="02973BD1" w14:textId="77777777" w:rsidTr="00171B7D">
        <w:trPr>
          <w:trHeight w:val="57"/>
          <w:tblHeader/>
        </w:trPr>
        <w:tc>
          <w:tcPr>
            <w:tcW w:w="5000" w:type="pct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21101F8E" w14:textId="77777777" w:rsidR="00EB78D9" w:rsidRPr="002A715A" w:rsidRDefault="00EB78D9" w:rsidP="00171B7D">
            <w:pPr>
              <w:pStyle w:val="TableHeading"/>
              <w:rPr>
                <w:lang w:eastAsia="en-US"/>
              </w:rPr>
            </w:pPr>
            <w:r w:rsidRPr="002A715A">
              <w:rPr>
                <w:lang w:eastAsia="en-US"/>
              </w:rPr>
              <w:t>ASIC fees</w:t>
            </w:r>
          </w:p>
        </w:tc>
      </w:tr>
      <w:tr w:rsidR="00EB78D9" w:rsidRPr="00897F30" w14:paraId="1E5FA4FD" w14:textId="77777777" w:rsidTr="00171B7D">
        <w:trPr>
          <w:trHeight w:val="57"/>
          <w:tblHeader/>
        </w:trPr>
        <w:tc>
          <w:tcPr>
            <w:tcW w:w="451" w:type="pct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7EDE815C" w14:textId="77777777" w:rsidR="00EB78D9" w:rsidRPr="002A715A" w:rsidRDefault="00EB78D9" w:rsidP="00171B7D">
            <w:pPr>
              <w:pStyle w:val="TableHeading"/>
              <w:rPr>
                <w:lang w:eastAsia="en-US"/>
              </w:rPr>
            </w:pPr>
            <w:r w:rsidRPr="002A715A">
              <w:rPr>
                <w:lang w:eastAsia="en-US"/>
              </w:rPr>
              <w:t>Item</w:t>
            </w:r>
          </w:p>
        </w:tc>
        <w:tc>
          <w:tcPr>
            <w:tcW w:w="3882" w:type="pct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3915AEB8" w14:textId="77777777" w:rsidR="00EB78D9" w:rsidRPr="002A715A" w:rsidRDefault="00EB78D9" w:rsidP="00171B7D">
            <w:pPr>
              <w:pStyle w:val="TableHeading"/>
              <w:rPr>
                <w:lang w:eastAsia="en-US"/>
              </w:rPr>
            </w:pPr>
            <w:r w:rsidRPr="002A715A">
              <w:rPr>
                <w:lang w:eastAsia="en-US"/>
              </w:rPr>
              <w:t>Column 1</w:t>
            </w:r>
            <w:r w:rsidRPr="002A715A">
              <w:rPr>
                <w:lang w:eastAsia="en-US"/>
              </w:rPr>
              <w:br/>
              <w:t xml:space="preserve">Fee payable for </w:t>
            </w:r>
            <w:r w:rsidR="006A7D95">
              <w:rPr>
                <w:lang w:eastAsia="en-US"/>
              </w:rPr>
              <w:t>…</w:t>
            </w:r>
          </w:p>
        </w:tc>
        <w:tc>
          <w:tcPr>
            <w:tcW w:w="667" w:type="pct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0FDCA2D6" w14:textId="77777777" w:rsidR="00EB78D9" w:rsidRPr="002A715A" w:rsidRDefault="00EB78D9" w:rsidP="00171B7D">
            <w:pPr>
              <w:pStyle w:val="TableHeading"/>
              <w:rPr>
                <w:lang w:eastAsia="en-US"/>
              </w:rPr>
            </w:pPr>
            <w:r w:rsidRPr="002A715A">
              <w:rPr>
                <w:lang w:eastAsia="en-US"/>
              </w:rPr>
              <w:t>Column 2</w:t>
            </w:r>
            <w:r w:rsidRPr="002A715A">
              <w:rPr>
                <w:lang w:eastAsia="en-US"/>
              </w:rPr>
              <w:br/>
              <w:t>Fee</w:t>
            </w:r>
          </w:p>
        </w:tc>
      </w:tr>
      <w:tr w:rsidR="00171B7D" w:rsidRPr="00897F30" w14:paraId="26D59AD5" w14:textId="77777777" w:rsidTr="00171B7D">
        <w:tc>
          <w:tcPr>
            <w:tcW w:w="45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494F0E" w14:textId="77777777" w:rsidR="00171B7D" w:rsidRPr="002A715A" w:rsidRDefault="00171B7D" w:rsidP="00171B7D">
            <w:pPr>
              <w:pStyle w:val="Tabletext"/>
            </w:pPr>
            <w:r>
              <w:t>1</w:t>
            </w:r>
          </w:p>
        </w:tc>
        <w:tc>
          <w:tcPr>
            <w:tcW w:w="3882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6AC16C" w14:textId="77777777" w:rsidR="00171B7D" w:rsidRPr="002A715A" w:rsidRDefault="00171B7D" w:rsidP="00171B7D">
            <w:pPr>
              <w:pStyle w:val="Tabletext"/>
            </w:pPr>
            <w:r w:rsidRPr="002A715A">
              <w:t>applying for registration as an approved SMSF auditor</w:t>
            </w:r>
          </w:p>
        </w:tc>
        <w:tc>
          <w:tcPr>
            <w:tcW w:w="66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8B374E" w14:textId="77777777" w:rsidR="00171B7D" w:rsidRPr="00256D56" w:rsidRDefault="00171B7D" w:rsidP="00AF4581">
            <w:pPr>
              <w:spacing w:before="60" w:line="240" w:lineRule="atLeast"/>
              <w:jc w:val="right"/>
              <w:rPr>
                <w:color w:val="000000"/>
                <w:sz w:val="20"/>
              </w:rPr>
            </w:pPr>
            <w:r w:rsidRPr="00256D56">
              <w:rPr>
                <w:color w:val="000000"/>
                <w:sz w:val="20"/>
              </w:rPr>
              <w:t>$</w:t>
            </w:r>
            <w:r>
              <w:rPr>
                <w:color w:val="000000"/>
                <w:sz w:val="20"/>
              </w:rPr>
              <w:t>2,191</w:t>
            </w:r>
          </w:p>
        </w:tc>
      </w:tr>
      <w:tr w:rsidR="00171B7D" w:rsidRPr="00897F30" w14:paraId="2CF404D2" w14:textId="77777777" w:rsidTr="00171B7D">
        <w:tc>
          <w:tcPr>
            <w:tcW w:w="451" w:type="pct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BA19BA4" w14:textId="77777777" w:rsidR="00171B7D" w:rsidRPr="002A715A" w:rsidRDefault="00171B7D" w:rsidP="00171B7D">
            <w:pPr>
              <w:pStyle w:val="Tabletext"/>
            </w:pPr>
            <w:r>
              <w:t>2</w:t>
            </w:r>
          </w:p>
        </w:tc>
        <w:tc>
          <w:tcPr>
            <w:tcW w:w="3882" w:type="pct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1DCE09C" w14:textId="77777777" w:rsidR="00171B7D" w:rsidRPr="002A715A" w:rsidRDefault="00171B7D" w:rsidP="00171B7D">
            <w:pPr>
              <w:pStyle w:val="Tabletext"/>
            </w:pPr>
            <w:r w:rsidRPr="002A715A">
              <w:t>applying for conditions imposed on registration as an approved SMSF auditor to be varied or revoked under section</w:t>
            </w:r>
            <w:r>
              <w:t> </w:t>
            </w:r>
            <w:r w:rsidRPr="002A715A">
              <w:t>128D of the SIS Act</w:t>
            </w:r>
          </w:p>
        </w:tc>
        <w:tc>
          <w:tcPr>
            <w:tcW w:w="667" w:type="pct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1A1883C" w14:textId="77777777" w:rsidR="00171B7D" w:rsidRPr="00256D56" w:rsidRDefault="00171B7D" w:rsidP="00AF4581">
            <w:pPr>
              <w:spacing w:before="60" w:line="240" w:lineRule="atLeast"/>
              <w:jc w:val="right"/>
              <w:rPr>
                <w:color w:val="000000"/>
                <w:sz w:val="20"/>
              </w:rPr>
            </w:pPr>
            <w:r w:rsidRPr="00256D56">
              <w:rPr>
                <w:color w:val="000000"/>
                <w:sz w:val="20"/>
              </w:rPr>
              <w:t>$</w:t>
            </w:r>
            <w:r>
              <w:rPr>
                <w:color w:val="000000"/>
                <w:sz w:val="20"/>
              </w:rPr>
              <w:t>678</w:t>
            </w:r>
          </w:p>
        </w:tc>
      </w:tr>
      <w:tr w:rsidR="00171B7D" w:rsidRPr="00897F30" w14:paraId="733AED70" w14:textId="77777777" w:rsidTr="00171B7D">
        <w:tc>
          <w:tcPr>
            <w:tcW w:w="45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869A769" w14:textId="77777777" w:rsidR="00171B7D" w:rsidRPr="002A715A" w:rsidRDefault="00171B7D" w:rsidP="00171B7D">
            <w:pPr>
              <w:pStyle w:val="Tabletext"/>
            </w:pPr>
            <w:r>
              <w:t>3</w:t>
            </w:r>
          </w:p>
        </w:tc>
        <w:tc>
          <w:tcPr>
            <w:tcW w:w="3882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848322F" w14:textId="77777777" w:rsidR="00171B7D" w:rsidRPr="002A715A" w:rsidRDefault="00171B7D" w:rsidP="00171B7D">
            <w:pPr>
              <w:pStyle w:val="Tabletext"/>
            </w:pPr>
            <w:r w:rsidRPr="002A715A">
              <w:t>applying for registration as an approved SMSF auditor to be cancelled under section</w:t>
            </w:r>
            <w:r>
              <w:t> </w:t>
            </w:r>
            <w:r w:rsidRPr="002A715A">
              <w:t>128E of the SIS Act</w:t>
            </w:r>
          </w:p>
        </w:tc>
        <w:tc>
          <w:tcPr>
            <w:tcW w:w="66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4BA1EC4" w14:textId="77777777" w:rsidR="00171B7D" w:rsidRPr="00256D56" w:rsidRDefault="00171B7D" w:rsidP="00AF4581">
            <w:pPr>
              <w:spacing w:before="60" w:line="240" w:lineRule="atLeast"/>
              <w:jc w:val="right"/>
              <w:rPr>
                <w:color w:val="000000"/>
                <w:sz w:val="20"/>
              </w:rPr>
            </w:pPr>
            <w:r w:rsidRPr="00256D56">
              <w:rPr>
                <w:color w:val="000000"/>
                <w:sz w:val="20"/>
              </w:rPr>
              <w:t>$</w:t>
            </w:r>
            <w:r>
              <w:rPr>
                <w:color w:val="000000"/>
                <w:sz w:val="20"/>
              </w:rPr>
              <w:t>193</w:t>
            </w:r>
          </w:p>
        </w:tc>
      </w:tr>
      <w:tr w:rsidR="00171B7D" w:rsidRPr="00897F30" w14:paraId="48092567" w14:textId="77777777" w:rsidTr="00171B7D">
        <w:tc>
          <w:tcPr>
            <w:tcW w:w="45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6B3D048" w14:textId="77777777" w:rsidR="00171B7D" w:rsidRPr="002A715A" w:rsidRDefault="00171B7D" w:rsidP="00171B7D">
            <w:pPr>
              <w:pStyle w:val="Tabletext"/>
            </w:pPr>
            <w:r>
              <w:t>4</w:t>
            </w:r>
          </w:p>
        </w:tc>
        <w:tc>
          <w:tcPr>
            <w:tcW w:w="3882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B4A37E5" w14:textId="77777777" w:rsidR="00171B7D" w:rsidRPr="002A715A" w:rsidRDefault="00171B7D" w:rsidP="00171B7D">
            <w:pPr>
              <w:pStyle w:val="Tabletext"/>
            </w:pPr>
            <w:r w:rsidRPr="002A715A">
              <w:t>undertaking a competency examination in accordance with section</w:t>
            </w:r>
            <w:r>
              <w:t> </w:t>
            </w:r>
            <w:r w:rsidRPr="002A715A">
              <w:t>128C of the SIS Act</w:t>
            </w:r>
          </w:p>
        </w:tc>
        <w:tc>
          <w:tcPr>
            <w:tcW w:w="66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94F0895" w14:textId="77777777" w:rsidR="00171B7D" w:rsidRPr="00256D56" w:rsidRDefault="00171B7D" w:rsidP="00AF4581">
            <w:pPr>
              <w:spacing w:before="60" w:line="240" w:lineRule="atLeast"/>
              <w:jc w:val="right"/>
              <w:rPr>
                <w:color w:val="000000"/>
                <w:sz w:val="20"/>
              </w:rPr>
            </w:pPr>
            <w:r w:rsidRPr="00256D56">
              <w:rPr>
                <w:color w:val="000000"/>
                <w:sz w:val="20"/>
              </w:rPr>
              <w:t>$107</w:t>
            </w:r>
          </w:p>
        </w:tc>
      </w:tr>
      <w:tr w:rsidR="00EB78D9" w:rsidRPr="00897F30" w14:paraId="6803542D" w14:textId="77777777" w:rsidTr="00171B7D">
        <w:tc>
          <w:tcPr>
            <w:tcW w:w="45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1ECC220" w14:textId="77777777" w:rsidR="00EB78D9" w:rsidRPr="002A715A" w:rsidRDefault="00171B7D" w:rsidP="00171B7D">
            <w:pPr>
              <w:pStyle w:val="Tabletext"/>
            </w:pPr>
            <w:r>
              <w:t>5</w:t>
            </w:r>
          </w:p>
        </w:tc>
        <w:tc>
          <w:tcPr>
            <w:tcW w:w="3882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2E01A12" w14:textId="77777777" w:rsidR="00EB78D9" w:rsidRPr="002A715A" w:rsidRDefault="00EB78D9" w:rsidP="00171B7D">
            <w:pPr>
              <w:pStyle w:val="Tabletext"/>
            </w:pPr>
            <w:r w:rsidRPr="002A715A">
              <w:t xml:space="preserve">giving </w:t>
            </w:r>
            <w:r w:rsidR="00570A78">
              <w:t xml:space="preserve">to </w:t>
            </w:r>
            <w:r w:rsidRPr="002A715A">
              <w:t>the Regulator a statement under section</w:t>
            </w:r>
            <w:r>
              <w:t> </w:t>
            </w:r>
            <w:r w:rsidRPr="002A715A">
              <w:t>128G of the SIS Act</w:t>
            </w:r>
          </w:p>
        </w:tc>
        <w:tc>
          <w:tcPr>
            <w:tcW w:w="66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A54F337" w14:textId="77777777" w:rsidR="00EB78D9" w:rsidRPr="002A715A" w:rsidRDefault="00EB78D9" w:rsidP="00AF4581">
            <w:pPr>
              <w:pStyle w:val="Tabletext"/>
              <w:jc w:val="right"/>
            </w:pPr>
            <w:r w:rsidRPr="002A715A">
              <w:t>nil</w:t>
            </w:r>
          </w:p>
        </w:tc>
      </w:tr>
      <w:tr w:rsidR="00EB78D9" w:rsidRPr="00897F30" w14:paraId="2C43BFBF" w14:textId="77777777" w:rsidTr="00171B7D">
        <w:tc>
          <w:tcPr>
            <w:tcW w:w="45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2C14253" w14:textId="77777777" w:rsidR="00EB78D9" w:rsidRPr="002A715A" w:rsidRDefault="00171B7D" w:rsidP="00171B7D">
            <w:pPr>
              <w:pStyle w:val="Tabletext"/>
            </w:pPr>
            <w:r>
              <w:t>6</w:t>
            </w:r>
          </w:p>
        </w:tc>
        <w:tc>
          <w:tcPr>
            <w:tcW w:w="3882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B1A4D49" w14:textId="77777777" w:rsidR="00EB78D9" w:rsidRPr="002A715A" w:rsidRDefault="00EB78D9" w:rsidP="00171B7D">
            <w:pPr>
              <w:pStyle w:val="Tabletext"/>
            </w:pPr>
            <w:r w:rsidRPr="002A715A">
              <w:t>giving to the Regulator a statement under section</w:t>
            </w:r>
            <w:r>
              <w:t> </w:t>
            </w:r>
            <w:r w:rsidRPr="002A715A">
              <w:t>128G of the SIS Act within 1 month after it fell due (in addition to the fee payable because of item</w:t>
            </w:r>
            <w:r>
              <w:t> </w:t>
            </w:r>
            <w:r w:rsidR="00A644C1">
              <w:t>5</w:t>
            </w:r>
            <w:r w:rsidRPr="002A715A">
              <w:t>)</w:t>
            </w:r>
          </w:p>
        </w:tc>
        <w:tc>
          <w:tcPr>
            <w:tcW w:w="66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B13A8E9" w14:textId="77777777" w:rsidR="00EB78D9" w:rsidRPr="002A715A" w:rsidRDefault="00EB78D9" w:rsidP="00AF4581">
            <w:pPr>
              <w:pStyle w:val="Tabletext"/>
              <w:jc w:val="right"/>
            </w:pPr>
            <w:r w:rsidRPr="002A715A">
              <w:t>nil</w:t>
            </w:r>
          </w:p>
        </w:tc>
      </w:tr>
      <w:tr w:rsidR="00EB78D9" w:rsidRPr="00897F30" w14:paraId="11A51F35" w14:textId="77777777" w:rsidTr="00171B7D">
        <w:tc>
          <w:tcPr>
            <w:tcW w:w="45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E1FD8B4" w14:textId="77777777" w:rsidR="00EB78D9" w:rsidRPr="002A715A" w:rsidRDefault="00171B7D" w:rsidP="00171B7D">
            <w:pPr>
              <w:pStyle w:val="Tabletext"/>
            </w:pPr>
            <w:r>
              <w:t>7</w:t>
            </w:r>
          </w:p>
        </w:tc>
        <w:tc>
          <w:tcPr>
            <w:tcW w:w="3882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6C954D2" w14:textId="77777777" w:rsidR="00EB78D9" w:rsidRPr="002A715A" w:rsidRDefault="00EB78D9" w:rsidP="00171B7D">
            <w:pPr>
              <w:pStyle w:val="Tabletext"/>
            </w:pPr>
            <w:r w:rsidRPr="002A715A">
              <w:t>giving to the Regulator a statement under section</w:t>
            </w:r>
            <w:r>
              <w:t> </w:t>
            </w:r>
            <w:r w:rsidRPr="002A715A">
              <w:t>128G of the SIS Act more than 1 month after it fell due (in addition to the fee payable because of item</w:t>
            </w:r>
            <w:r>
              <w:t> </w:t>
            </w:r>
            <w:r w:rsidR="00A644C1">
              <w:t>5</w:t>
            </w:r>
            <w:r w:rsidRPr="002A715A">
              <w:t>)</w:t>
            </w:r>
          </w:p>
        </w:tc>
        <w:tc>
          <w:tcPr>
            <w:tcW w:w="66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4C7D78D" w14:textId="77777777" w:rsidR="00EB78D9" w:rsidRPr="002A715A" w:rsidRDefault="00EB78D9" w:rsidP="00AF4581">
            <w:pPr>
              <w:pStyle w:val="Tabletext"/>
              <w:jc w:val="right"/>
            </w:pPr>
            <w:r w:rsidRPr="002A715A">
              <w:t>nil</w:t>
            </w:r>
          </w:p>
        </w:tc>
      </w:tr>
      <w:tr w:rsidR="00EB78D9" w:rsidRPr="00897F30" w14:paraId="66A264C7" w14:textId="77777777" w:rsidTr="00171B7D">
        <w:tc>
          <w:tcPr>
            <w:tcW w:w="45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6AAE5B6" w14:textId="77777777" w:rsidR="00EB78D9" w:rsidRPr="002A715A" w:rsidRDefault="00171B7D" w:rsidP="00171B7D">
            <w:pPr>
              <w:pStyle w:val="Tabletext"/>
            </w:pPr>
            <w:r>
              <w:t>8</w:t>
            </w:r>
          </w:p>
        </w:tc>
        <w:tc>
          <w:tcPr>
            <w:tcW w:w="3882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53B2618" w14:textId="77777777" w:rsidR="00EB78D9" w:rsidRPr="002A715A" w:rsidRDefault="00EB78D9" w:rsidP="00171B7D">
            <w:pPr>
              <w:pStyle w:val="Tabletext"/>
            </w:pPr>
            <w:r w:rsidRPr="002A715A">
              <w:t>giving to the Regulator particulars under section</w:t>
            </w:r>
            <w:r>
              <w:t> </w:t>
            </w:r>
            <w:r w:rsidRPr="002A715A">
              <w:t>128H of the SIS Act within 1 month after they fell due</w:t>
            </w:r>
          </w:p>
        </w:tc>
        <w:tc>
          <w:tcPr>
            <w:tcW w:w="66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93162A7" w14:textId="77777777" w:rsidR="00EB78D9" w:rsidRPr="002A715A" w:rsidRDefault="00EB78D9" w:rsidP="00AF4581">
            <w:pPr>
              <w:pStyle w:val="Tabletext"/>
              <w:jc w:val="right"/>
            </w:pPr>
            <w:r w:rsidRPr="002A715A">
              <w:t>nil</w:t>
            </w:r>
          </w:p>
        </w:tc>
      </w:tr>
      <w:tr w:rsidR="00EB78D9" w:rsidRPr="00897F30" w14:paraId="095387B2" w14:textId="77777777" w:rsidTr="00171B7D">
        <w:tc>
          <w:tcPr>
            <w:tcW w:w="451" w:type="pct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7F010466" w14:textId="77777777" w:rsidR="00EB78D9" w:rsidRPr="002A715A" w:rsidRDefault="00171B7D" w:rsidP="00171B7D">
            <w:pPr>
              <w:pStyle w:val="Tabletext"/>
            </w:pPr>
            <w:r>
              <w:t>9</w:t>
            </w:r>
          </w:p>
        </w:tc>
        <w:tc>
          <w:tcPr>
            <w:tcW w:w="3882" w:type="pct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6512C2A6" w14:textId="77777777" w:rsidR="00EB78D9" w:rsidRPr="002A715A" w:rsidRDefault="00EB78D9" w:rsidP="00171B7D">
            <w:pPr>
              <w:pStyle w:val="Tabletext"/>
            </w:pPr>
            <w:r w:rsidRPr="002A715A">
              <w:t>giving to the Regulator particulars under section</w:t>
            </w:r>
            <w:r>
              <w:t> </w:t>
            </w:r>
            <w:r w:rsidRPr="002A715A">
              <w:t>128H of the SIS Act more than 1 month after they fell due</w:t>
            </w:r>
          </w:p>
        </w:tc>
        <w:tc>
          <w:tcPr>
            <w:tcW w:w="667" w:type="pct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BC2556A" w14:textId="77777777" w:rsidR="00EB78D9" w:rsidRPr="002A715A" w:rsidRDefault="00EB78D9" w:rsidP="00AF4581">
            <w:pPr>
              <w:pStyle w:val="Tabletext"/>
              <w:jc w:val="right"/>
            </w:pPr>
            <w:r w:rsidRPr="002A715A">
              <w:t>nil</w:t>
            </w:r>
          </w:p>
        </w:tc>
      </w:tr>
    </w:tbl>
    <w:p w14:paraId="64897661" w14:textId="77777777" w:rsidR="00EB78D9" w:rsidRPr="00347FA0" w:rsidRDefault="00BA2D08" w:rsidP="00EB78D9">
      <w:pPr>
        <w:pStyle w:val="ActHead5"/>
      </w:pPr>
      <w:bookmarkStart w:id="8" w:name="_Toc113615113"/>
      <w:proofErr w:type="gramStart"/>
      <w:r w:rsidRPr="00480A04">
        <w:rPr>
          <w:rStyle w:val="CharSectno"/>
        </w:rPr>
        <w:t>7</w:t>
      </w:r>
      <w:r w:rsidR="00EB78D9" w:rsidRPr="00347FA0">
        <w:t xml:space="preserve">  Registry</w:t>
      </w:r>
      <w:proofErr w:type="gramEnd"/>
      <w:r w:rsidR="00EB78D9" w:rsidRPr="00347FA0">
        <w:t xml:space="preserve"> fees</w:t>
      </w:r>
      <w:bookmarkEnd w:id="8"/>
    </w:p>
    <w:p w14:paraId="088F425B" w14:textId="77777777" w:rsidR="00EB78D9" w:rsidRPr="002A715A" w:rsidRDefault="00EB78D9" w:rsidP="00EB78D9">
      <w:pPr>
        <w:pStyle w:val="subsection"/>
      </w:pPr>
      <w:r w:rsidRPr="002A715A">
        <w:tab/>
      </w:r>
      <w:r w:rsidRPr="002A715A">
        <w:tab/>
        <w:t>For the purposes of section</w:t>
      </w:r>
      <w:r>
        <w:t> </w:t>
      </w:r>
      <w:r w:rsidRPr="002A715A">
        <w:t>4 of the Act, the fee mentioned in column 2 of an item of the following table is prescribed for the matter mentioned in column 1 of the item.</w:t>
      </w:r>
    </w:p>
    <w:p w14:paraId="7AF14BBC" w14:textId="77777777" w:rsidR="00EB78D9" w:rsidRPr="002A715A" w:rsidRDefault="00EB78D9" w:rsidP="00EB78D9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4A0" w:firstRow="1" w:lastRow="0" w:firstColumn="1" w:lastColumn="0" w:noHBand="0" w:noVBand="1"/>
      </w:tblPr>
      <w:tblGrid>
        <w:gridCol w:w="769"/>
        <w:gridCol w:w="6622"/>
        <w:gridCol w:w="1138"/>
      </w:tblGrid>
      <w:tr w:rsidR="00EB78D9" w:rsidRPr="00897F30" w14:paraId="375E7497" w14:textId="77777777" w:rsidTr="00AF4581">
        <w:trPr>
          <w:trHeight w:val="57"/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15F371B9" w14:textId="77777777" w:rsidR="00EB78D9" w:rsidRPr="002A715A" w:rsidRDefault="00EB78D9" w:rsidP="00171B7D">
            <w:pPr>
              <w:pStyle w:val="TableHeading"/>
              <w:rPr>
                <w:lang w:eastAsia="en-US"/>
              </w:rPr>
            </w:pPr>
            <w:r w:rsidRPr="002A715A">
              <w:rPr>
                <w:lang w:eastAsia="en-US"/>
              </w:rPr>
              <w:t>Registry fees</w:t>
            </w:r>
          </w:p>
        </w:tc>
      </w:tr>
      <w:tr w:rsidR="00EB78D9" w:rsidRPr="00897F30" w14:paraId="0A11DA7B" w14:textId="77777777" w:rsidTr="00AF4581">
        <w:trPr>
          <w:trHeight w:val="57"/>
          <w:tblHeader/>
        </w:trPr>
        <w:tc>
          <w:tcPr>
            <w:tcW w:w="451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DAB890A" w14:textId="77777777" w:rsidR="00EB78D9" w:rsidRPr="002A715A" w:rsidRDefault="00EB78D9" w:rsidP="00171B7D">
            <w:pPr>
              <w:pStyle w:val="TableHeading"/>
              <w:rPr>
                <w:lang w:eastAsia="en-US"/>
              </w:rPr>
            </w:pPr>
            <w:r w:rsidRPr="002A715A">
              <w:rPr>
                <w:lang w:eastAsia="en-US"/>
              </w:rPr>
              <w:t>Item</w:t>
            </w:r>
          </w:p>
        </w:tc>
        <w:tc>
          <w:tcPr>
            <w:tcW w:w="388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8B529B5" w14:textId="77777777" w:rsidR="00EB78D9" w:rsidRPr="002A715A" w:rsidRDefault="00EB78D9" w:rsidP="00171B7D">
            <w:pPr>
              <w:pStyle w:val="TableHeading"/>
              <w:rPr>
                <w:lang w:eastAsia="en-US"/>
              </w:rPr>
            </w:pPr>
            <w:r w:rsidRPr="002A715A">
              <w:rPr>
                <w:lang w:eastAsia="en-US"/>
              </w:rPr>
              <w:t>Column 1</w:t>
            </w:r>
            <w:r w:rsidRPr="002A715A">
              <w:rPr>
                <w:lang w:eastAsia="en-US"/>
              </w:rPr>
              <w:br/>
              <w:t xml:space="preserve">Fee payable for </w:t>
            </w:r>
            <w:r w:rsidR="006A7D95" w:rsidRPr="006A7D95">
              <w:rPr>
                <w:lang w:eastAsia="en-US"/>
              </w:rPr>
              <w:t>…</w:t>
            </w:r>
          </w:p>
        </w:tc>
        <w:tc>
          <w:tcPr>
            <w:tcW w:w="667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90E063B" w14:textId="77777777" w:rsidR="00EB78D9" w:rsidRPr="002A715A" w:rsidRDefault="00EB78D9" w:rsidP="00171B7D">
            <w:pPr>
              <w:pStyle w:val="TableHeading"/>
              <w:rPr>
                <w:lang w:eastAsia="en-US"/>
              </w:rPr>
            </w:pPr>
            <w:r w:rsidRPr="002A715A">
              <w:rPr>
                <w:lang w:eastAsia="en-US"/>
              </w:rPr>
              <w:t>Column 2</w:t>
            </w:r>
            <w:r w:rsidRPr="002A715A">
              <w:rPr>
                <w:lang w:eastAsia="en-US"/>
              </w:rPr>
              <w:br/>
              <w:t>Fee</w:t>
            </w:r>
          </w:p>
        </w:tc>
      </w:tr>
      <w:tr w:rsidR="00EB78D9" w:rsidRPr="00897F30" w14:paraId="7D4AE93A" w14:textId="77777777" w:rsidTr="00AF4581">
        <w:tc>
          <w:tcPr>
            <w:tcW w:w="451" w:type="pct"/>
            <w:tcBorders>
              <w:top w:val="single" w:sz="12" w:space="0" w:color="auto"/>
            </w:tcBorders>
            <w:shd w:val="clear" w:color="auto" w:fill="auto"/>
          </w:tcPr>
          <w:p w14:paraId="69F75A60" w14:textId="77777777" w:rsidR="00EB78D9" w:rsidRPr="002A715A" w:rsidRDefault="00EB78D9" w:rsidP="00171B7D">
            <w:pPr>
              <w:pStyle w:val="Tabletext"/>
            </w:pPr>
            <w:r w:rsidRPr="002A715A">
              <w:t>1</w:t>
            </w:r>
          </w:p>
        </w:tc>
        <w:tc>
          <w:tcPr>
            <w:tcW w:w="3882" w:type="pct"/>
            <w:tcBorders>
              <w:top w:val="single" w:sz="12" w:space="0" w:color="auto"/>
            </w:tcBorders>
            <w:shd w:val="clear" w:color="auto" w:fill="auto"/>
          </w:tcPr>
          <w:p w14:paraId="51530FD5" w14:textId="77777777" w:rsidR="00EB78D9" w:rsidRPr="002A715A" w:rsidRDefault="00EB78D9" w:rsidP="00171B7D">
            <w:pPr>
              <w:pStyle w:val="Tabletext"/>
            </w:pPr>
            <w:r w:rsidRPr="002A715A">
              <w:t>inspecting or searching a register that the Regulator keeps under Division</w:t>
            </w:r>
            <w:r>
              <w:t> </w:t>
            </w:r>
            <w:r w:rsidRPr="002A715A">
              <w:t>1A of Part</w:t>
            </w:r>
            <w:r>
              <w:t> </w:t>
            </w:r>
            <w:r w:rsidRPr="002A715A">
              <w:t>16 of the SIS Act for a current extract</w:t>
            </w:r>
          </w:p>
        </w:tc>
        <w:tc>
          <w:tcPr>
            <w:tcW w:w="667" w:type="pct"/>
            <w:tcBorders>
              <w:top w:val="single" w:sz="12" w:space="0" w:color="auto"/>
            </w:tcBorders>
            <w:shd w:val="clear" w:color="auto" w:fill="auto"/>
          </w:tcPr>
          <w:p w14:paraId="7A933AFD" w14:textId="77777777" w:rsidR="00EB78D9" w:rsidRPr="002A715A" w:rsidRDefault="00EB78D9" w:rsidP="00AF4581">
            <w:pPr>
              <w:pStyle w:val="Tabletext"/>
              <w:jc w:val="right"/>
            </w:pPr>
            <w:r w:rsidRPr="002A715A">
              <w:t>nil</w:t>
            </w:r>
          </w:p>
        </w:tc>
      </w:tr>
      <w:tr w:rsidR="00EB78D9" w:rsidRPr="00897F30" w14:paraId="4B5A867B" w14:textId="77777777" w:rsidTr="00AF4581">
        <w:tc>
          <w:tcPr>
            <w:tcW w:w="451" w:type="pct"/>
            <w:shd w:val="clear" w:color="auto" w:fill="auto"/>
          </w:tcPr>
          <w:p w14:paraId="3DE256DF" w14:textId="77777777" w:rsidR="00EB78D9" w:rsidRPr="002A715A" w:rsidRDefault="00EB78D9" w:rsidP="00171B7D">
            <w:pPr>
              <w:pStyle w:val="Tabletext"/>
            </w:pPr>
            <w:r w:rsidRPr="002A715A">
              <w:t>2</w:t>
            </w:r>
          </w:p>
        </w:tc>
        <w:tc>
          <w:tcPr>
            <w:tcW w:w="3882" w:type="pct"/>
            <w:shd w:val="clear" w:color="auto" w:fill="auto"/>
          </w:tcPr>
          <w:p w14:paraId="2F2B8C25" w14:textId="77777777" w:rsidR="00EB78D9" w:rsidRPr="002A715A" w:rsidRDefault="00EB78D9" w:rsidP="00171B7D">
            <w:pPr>
              <w:pStyle w:val="Tabletext"/>
            </w:pPr>
            <w:r w:rsidRPr="002A715A">
              <w:t>inspecting or searching a register that the Regulator keeps under Division</w:t>
            </w:r>
            <w:r>
              <w:t> </w:t>
            </w:r>
            <w:r w:rsidRPr="002A715A">
              <w:t>1A of Part</w:t>
            </w:r>
            <w:r>
              <w:t> </w:t>
            </w:r>
            <w:r w:rsidRPr="002A715A">
              <w:t>16 of the SIS Act for a historical extract, except if the request to inspect or search is made by a journalist</w:t>
            </w:r>
          </w:p>
        </w:tc>
        <w:tc>
          <w:tcPr>
            <w:tcW w:w="667" w:type="pct"/>
            <w:shd w:val="clear" w:color="auto" w:fill="auto"/>
          </w:tcPr>
          <w:p w14:paraId="34AC26D5" w14:textId="77777777" w:rsidR="00EB78D9" w:rsidRPr="002A715A" w:rsidRDefault="00EB78D9" w:rsidP="00AF4581">
            <w:pPr>
              <w:pStyle w:val="Tabletext"/>
              <w:jc w:val="right"/>
            </w:pPr>
            <w:r w:rsidRPr="002A715A">
              <w:t>$</w:t>
            </w:r>
            <w:r w:rsidR="00077749">
              <w:t>20</w:t>
            </w:r>
          </w:p>
        </w:tc>
      </w:tr>
      <w:tr w:rsidR="00EB78D9" w:rsidRPr="00897F30" w14:paraId="72B5E28E" w14:textId="77777777" w:rsidTr="00AF4581">
        <w:tc>
          <w:tcPr>
            <w:tcW w:w="451" w:type="pct"/>
            <w:shd w:val="clear" w:color="auto" w:fill="auto"/>
          </w:tcPr>
          <w:p w14:paraId="6AE5F300" w14:textId="77777777" w:rsidR="00EB78D9" w:rsidRPr="002A715A" w:rsidRDefault="00EB78D9" w:rsidP="00171B7D">
            <w:pPr>
              <w:pStyle w:val="Tabletext"/>
            </w:pPr>
            <w:r w:rsidRPr="002A715A">
              <w:t>3</w:t>
            </w:r>
          </w:p>
        </w:tc>
        <w:tc>
          <w:tcPr>
            <w:tcW w:w="3882" w:type="pct"/>
            <w:shd w:val="clear" w:color="auto" w:fill="auto"/>
          </w:tcPr>
          <w:p w14:paraId="12A82A6F" w14:textId="77777777" w:rsidR="00EB78D9" w:rsidRPr="002A715A" w:rsidRDefault="00EB78D9" w:rsidP="00171B7D">
            <w:pPr>
              <w:pStyle w:val="Tabletext"/>
            </w:pPr>
            <w:r w:rsidRPr="002A715A">
              <w:t>inspecting or searching a register that the Regulator keeps under Division</w:t>
            </w:r>
            <w:r>
              <w:t> </w:t>
            </w:r>
            <w:r w:rsidRPr="002A715A">
              <w:t>1A of Part</w:t>
            </w:r>
            <w:r>
              <w:t> </w:t>
            </w:r>
            <w:r w:rsidRPr="002A715A">
              <w:t>16 of the SIS Act for a historical extract, if the request to inspect or search is made by a journalist</w:t>
            </w:r>
          </w:p>
        </w:tc>
        <w:tc>
          <w:tcPr>
            <w:tcW w:w="667" w:type="pct"/>
            <w:shd w:val="clear" w:color="auto" w:fill="auto"/>
          </w:tcPr>
          <w:p w14:paraId="5870994C" w14:textId="77777777" w:rsidR="00EB78D9" w:rsidRPr="002A715A" w:rsidRDefault="00EB78D9" w:rsidP="00AF4581">
            <w:pPr>
              <w:pStyle w:val="Tabletext"/>
              <w:jc w:val="right"/>
            </w:pPr>
            <w:r w:rsidRPr="002A715A">
              <w:t>nil</w:t>
            </w:r>
          </w:p>
        </w:tc>
      </w:tr>
      <w:tr w:rsidR="00EB78D9" w:rsidRPr="00897F30" w14:paraId="3DACADD0" w14:textId="77777777" w:rsidTr="00AF4581">
        <w:tc>
          <w:tcPr>
            <w:tcW w:w="451" w:type="pct"/>
            <w:tcBorders>
              <w:bottom w:val="single" w:sz="2" w:space="0" w:color="auto"/>
            </w:tcBorders>
            <w:shd w:val="clear" w:color="auto" w:fill="auto"/>
          </w:tcPr>
          <w:p w14:paraId="46C15BA5" w14:textId="77777777" w:rsidR="00EB78D9" w:rsidRPr="002A715A" w:rsidRDefault="00EB78D9" w:rsidP="00171B7D">
            <w:pPr>
              <w:pStyle w:val="Tabletext"/>
            </w:pPr>
            <w:r w:rsidRPr="002A715A">
              <w:lastRenderedPageBreak/>
              <w:t>4</w:t>
            </w:r>
          </w:p>
        </w:tc>
        <w:tc>
          <w:tcPr>
            <w:tcW w:w="3882" w:type="pct"/>
            <w:tcBorders>
              <w:bottom w:val="single" w:sz="2" w:space="0" w:color="auto"/>
            </w:tcBorders>
            <w:shd w:val="clear" w:color="auto" w:fill="auto"/>
          </w:tcPr>
          <w:p w14:paraId="02E59EBD" w14:textId="77777777" w:rsidR="00EB78D9" w:rsidRPr="002A715A" w:rsidRDefault="00EB78D9" w:rsidP="00171B7D">
            <w:pPr>
              <w:pStyle w:val="Tabletext"/>
            </w:pPr>
            <w:r w:rsidRPr="002A715A">
              <w:t>inspecting or searching an extract given to or issued by the Regulator under Division</w:t>
            </w:r>
            <w:r>
              <w:t> </w:t>
            </w:r>
            <w:r w:rsidRPr="002A715A">
              <w:t>1A of Part</w:t>
            </w:r>
            <w:r>
              <w:t> </w:t>
            </w:r>
            <w:r w:rsidRPr="002A715A">
              <w:t>16 of the SIS Act (other than an order made under subsection</w:t>
            </w:r>
            <w:r>
              <w:t> </w:t>
            </w:r>
            <w:r w:rsidRPr="002A715A">
              <w:t>130</w:t>
            </w:r>
            <w:proofErr w:type="gramStart"/>
            <w:r w:rsidRPr="002A715A">
              <w:t>F(</w:t>
            </w:r>
            <w:proofErr w:type="gramEnd"/>
            <w:r w:rsidRPr="002A715A">
              <w:t>2) of that Act), except if the request to inspect or search is made by a journalist</w:t>
            </w:r>
          </w:p>
        </w:tc>
        <w:tc>
          <w:tcPr>
            <w:tcW w:w="667" w:type="pct"/>
            <w:tcBorders>
              <w:bottom w:val="single" w:sz="2" w:space="0" w:color="auto"/>
            </w:tcBorders>
            <w:shd w:val="clear" w:color="auto" w:fill="auto"/>
          </w:tcPr>
          <w:p w14:paraId="3E076B50" w14:textId="77777777" w:rsidR="00EB78D9" w:rsidRPr="002A715A" w:rsidRDefault="00EB78D9" w:rsidP="00AF4581">
            <w:pPr>
              <w:pStyle w:val="Tabletext"/>
              <w:jc w:val="right"/>
            </w:pPr>
            <w:r w:rsidRPr="002A715A">
              <w:t>$</w:t>
            </w:r>
            <w:r w:rsidR="00077749">
              <w:t>20</w:t>
            </w:r>
          </w:p>
        </w:tc>
      </w:tr>
      <w:tr w:rsidR="00EB78D9" w:rsidRPr="00897F30" w14:paraId="788E13C2" w14:textId="77777777" w:rsidTr="00AF4581">
        <w:tc>
          <w:tcPr>
            <w:tcW w:w="451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2494D590" w14:textId="77777777" w:rsidR="00EB78D9" w:rsidRPr="002A715A" w:rsidRDefault="00EB78D9" w:rsidP="00171B7D">
            <w:pPr>
              <w:pStyle w:val="Tabletext"/>
            </w:pPr>
            <w:r w:rsidRPr="002A715A">
              <w:t>5</w:t>
            </w:r>
          </w:p>
        </w:tc>
        <w:tc>
          <w:tcPr>
            <w:tcW w:w="388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7CD1B659" w14:textId="77777777" w:rsidR="00EB78D9" w:rsidRPr="002A715A" w:rsidRDefault="00EB78D9" w:rsidP="00171B7D">
            <w:pPr>
              <w:pStyle w:val="Tabletext"/>
            </w:pPr>
            <w:r w:rsidRPr="002A715A">
              <w:t>inspecting or searching an extract given to or issued by the Regulator under Division</w:t>
            </w:r>
            <w:r>
              <w:t> </w:t>
            </w:r>
            <w:r w:rsidRPr="002A715A">
              <w:t>1A of Part</w:t>
            </w:r>
            <w:r>
              <w:t> </w:t>
            </w:r>
            <w:r w:rsidRPr="002A715A">
              <w:t>16 of the SIS Act (other than an order made under subsection</w:t>
            </w:r>
            <w:r>
              <w:t> </w:t>
            </w:r>
            <w:r w:rsidRPr="002A715A">
              <w:t>130</w:t>
            </w:r>
            <w:proofErr w:type="gramStart"/>
            <w:r w:rsidRPr="002A715A">
              <w:t>F(</w:t>
            </w:r>
            <w:proofErr w:type="gramEnd"/>
            <w:r w:rsidRPr="002A715A">
              <w:t>2) of that Act), if the request to inspect or search is made by a journalist</w:t>
            </w:r>
          </w:p>
        </w:tc>
        <w:tc>
          <w:tcPr>
            <w:tcW w:w="667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144D67A6" w14:textId="77777777" w:rsidR="00EB78D9" w:rsidRPr="002A715A" w:rsidRDefault="00EB78D9" w:rsidP="00AF4581">
            <w:pPr>
              <w:pStyle w:val="Tabletext"/>
              <w:jc w:val="right"/>
            </w:pPr>
            <w:r w:rsidRPr="002A715A">
              <w:t>nil</w:t>
            </w:r>
          </w:p>
        </w:tc>
      </w:tr>
    </w:tbl>
    <w:p w14:paraId="7D98EC1D" w14:textId="77777777" w:rsidR="00EB78D9" w:rsidRPr="00347FA0" w:rsidRDefault="00BA2D08" w:rsidP="00EB78D9">
      <w:pPr>
        <w:pStyle w:val="ActHead5"/>
      </w:pPr>
      <w:bookmarkStart w:id="9" w:name="_Toc113615114"/>
      <w:proofErr w:type="gramStart"/>
      <w:r w:rsidRPr="00480A04">
        <w:rPr>
          <w:rStyle w:val="CharSectno"/>
        </w:rPr>
        <w:t>8</w:t>
      </w:r>
      <w:r w:rsidR="00EB78D9" w:rsidRPr="00347FA0">
        <w:t xml:space="preserve">  Method</w:t>
      </w:r>
      <w:proofErr w:type="gramEnd"/>
      <w:r w:rsidR="00EB78D9" w:rsidRPr="00347FA0">
        <w:t xml:space="preserve"> for calculating </w:t>
      </w:r>
      <w:r w:rsidR="00632789">
        <w:t xml:space="preserve">registry </w:t>
      </w:r>
      <w:r w:rsidR="00EB78D9" w:rsidRPr="00347FA0">
        <w:t>fees in subsequent financial years</w:t>
      </w:r>
      <w:bookmarkEnd w:id="9"/>
    </w:p>
    <w:p w14:paraId="6EA71170" w14:textId="77777777" w:rsidR="00EB78D9" w:rsidRPr="002A715A" w:rsidRDefault="00EB78D9" w:rsidP="00EB78D9">
      <w:pPr>
        <w:pStyle w:val="subsection"/>
      </w:pPr>
      <w:r w:rsidRPr="002A715A">
        <w:tab/>
        <w:t>(</w:t>
      </w:r>
      <w:r w:rsidR="00632789">
        <w:t>1</w:t>
      </w:r>
      <w:r w:rsidRPr="002A715A">
        <w:t>)</w:t>
      </w:r>
      <w:r w:rsidRPr="002A715A">
        <w:tab/>
        <w:t>For the purposes of paragraph</w:t>
      </w:r>
      <w:r>
        <w:t> </w:t>
      </w:r>
      <w:r w:rsidRPr="002A715A">
        <w:t xml:space="preserve">4(2)(b) of the Act, in the financial year starting on </w:t>
      </w:r>
      <w:r w:rsidR="00DF3154">
        <w:t>1 July</w:t>
      </w:r>
      <w:r w:rsidRPr="002A715A">
        <w:t xml:space="preserve"> 20</w:t>
      </w:r>
      <w:r w:rsidR="00632789">
        <w:t>23</w:t>
      </w:r>
      <w:r w:rsidRPr="002A715A">
        <w:t xml:space="preserve">, or a subsequent </w:t>
      </w:r>
      <w:r w:rsidR="00DF3154">
        <w:t>1 July</w:t>
      </w:r>
      <w:r w:rsidRPr="002A715A">
        <w:t xml:space="preserve">, if the latest CPI number is greater than the earlier CPI number, the </w:t>
      </w:r>
      <w:r w:rsidR="00632789">
        <w:t xml:space="preserve">amount of a </w:t>
      </w:r>
      <w:r w:rsidRPr="002A715A">
        <w:t xml:space="preserve">fee </w:t>
      </w:r>
      <w:r w:rsidR="00632789">
        <w:t xml:space="preserve">mentioned in an item </w:t>
      </w:r>
      <w:r w:rsidR="00AF4581">
        <w:t>of</w:t>
      </w:r>
      <w:r w:rsidR="00632789">
        <w:t xml:space="preserve"> the table in section </w:t>
      </w:r>
      <w:r w:rsidR="00BA2D08">
        <w:t>7</w:t>
      </w:r>
      <w:r w:rsidR="00632789">
        <w:t xml:space="preserve"> that is not nil </w:t>
      </w:r>
      <w:r w:rsidRPr="002A715A">
        <w:t>is the amount worked out using the formula:</w:t>
      </w:r>
    </w:p>
    <w:p w14:paraId="1A54EE1A" w14:textId="77777777" w:rsidR="00EB78D9" w:rsidRPr="00312C86" w:rsidRDefault="005C4FCB" w:rsidP="00EB78D9">
      <w:pPr>
        <w:pStyle w:val="subsection2"/>
      </w:pPr>
      <w:r w:rsidRPr="00312C86">
        <w:rPr>
          <w:position w:val="-32"/>
        </w:rPr>
        <w:object w:dxaOrig="2900" w:dyaOrig="760" w14:anchorId="724880C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tart formula start fraction previous fee times latest CPI number over earlier CPI number end fraction end formula." style="width:144.7pt;height:36.7pt;mso-position-horizontal:absolute" o:ole="">
            <v:imagedata r:id="rId20" o:title=""/>
          </v:shape>
          <o:OLEObject Type="Embed" ProgID="Equation.DSMT4" ShapeID="_x0000_i1025" DrawAspect="Content" ObjectID="_1726385253" r:id="rId21"/>
        </w:object>
      </w:r>
    </w:p>
    <w:p w14:paraId="473F0B06" w14:textId="77777777" w:rsidR="00EB78D9" w:rsidRPr="002A715A" w:rsidRDefault="00EB78D9" w:rsidP="00EB78D9">
      <w:pPr>
        <w:pStyle w:val="subsection2"/>
      </w:pPr>
      <w:r w:rsidRPr="002A715A">
        <w:t>where:</w:t>
      </w:r>
    </w:p>
    <w:p w14:paraId="5896CC21" w14:textId="77777777" w:rsidR="00AF4581" w:rsidRPr="002A715A" w:rsidRDefault="00AF4581" w:rsidP="00AF4581">
      <w:pPr>
        <w:pStyle w:val="Definition"/>
      </w:pPr>
      <w:r w:rsidRPr="002A715A">
        <w:rPr>
          <w:b/>
          <w:i/>
        </w:rPr>
        <w:t xml:space="preserve">earlier CPI number </w:t>
      </w:r>
      <w:r w:rsidRPr="002A715A">
        <w:t>is the CPI number for the March quarter 2 financial years before the relevant financial year begins.</w:t>
      </w:r>
    </w:p>
    <w:p w14:paraId="2C21FDDC" w14:textId="77777777" w:rsidR="00AF4581" w:rsidRDefault="00AF4581" w:rsidP="00AF4581">
      <w:pPr>
        <w:pStyle w:val="Definition"/>
      </w:pPr>
      <w:r w:rsidRPr="002A715A">
        <w:rPr>
          <w:b/>
          <w:i/>
        </w:rPr>
        <w:t xml:space="preserve">latest CPI number </w:t>
      </w:r>
      <w:r w:rsidRPr="002A715A">
        <w:t>is the CPI number for the last March quarter before the relevant financial year begins.</w:t>
      </w:r>
    </w:p>
    <w:p w14:paraId="2F149BAB" w14:textId="77777777" w:rsidR="00EB78D9" w:rsidRPr="002A715A" w:rsidRDefault="00EB78D9" w:rsidP="00EB78D9">
      <w:pPr>
        <w:pStyle w:val="Definition"/>
      </w:pPr>
      <w:r w:rsidRPr="002A715A">
        <w:rPr>
          <w:b/>
          <w:i/>
        </w:rPr>
        <w:t xml:space="preserve">previous </w:t>
      </w:r>
      <w:r w:rsidR="00632789">
        <w:rPr>
          <w:b/>
          <w:i/>
        </w:rPr>
        <w:t>fee</w:t>
      </w:r>
      <w:r w:rsidRPr="002A715A">
        <w:rPr>
          <w:b/>
          <w:i/>
        </w:rPr>
        <w:t xml:space="preserve"> </w:t>
      </w:r>
      <w:r w:rsidRPr="002A715A">
        <w:t xml:space="preserve">is the amount of the fee that was applicable immediately before that </w:t>
      </w:r>
      <w:r w:rsidR="00DF3154">
        <w:t>1 July</w:t>
      </w:r>
      <w:r w:rsidRPr="002A715A">
        <w:t>.</w:t>
      </w:r>
    </w:p>
    <w:p w14:paraId="44A4B22F" w14:textId="77777777" w:rsidR="00EB78D9" w:rsidRPr="002A715A" w:rsidRDefault="00EB78D9" w:rsidP="00EB78D9">
      <w:pPr>
        <w:pStyle w:val="subsection"/>
      </w:pPr>
      <w:r w:rsidRPr="002A715A">
        <w:tab/>
        <w:t>(</w:t>
      </w:r>
      <w:r w:rsidR="00791CF1">
        <w:t>2</w:t>
      </w:r>
      <w:r w:rsidRPr="002A715A">
        <w:t>)</w:t>
      </w:r>
      <w:r w:rsidRPr="002A715A">
        <w:tab/>
        <w:t xml:space="preserve">If the latest CPI number is not greater than the earlier CPI number, the </w:t>
      </w:r>
      <w:r w:rsidR="00632789">
        <w:t xml:space="preserve">amount of a </w:t>
      </w:r>
      <w:r w:rsidRPr="002A715A">
        <w:t xml:space="preserve">fee </w:t>
      </w:r>
      <w:r w:rsidR="00632789">
        <w:t xml:space="preserve">mentioned in an item </w:t>
      </w:r>
      <w:r w:rsidR="00AF4581">
        <w:t>of</w:t>
      </w:r>
      <w:r w:rsidR="00632789">
        <w:t xml:space="preserve"> the table </w:t>
      </w:r>
      <w:r w:rsidRPr="002A715A">
        <w:t xml:space="preserve">is the amount of the fee that was applicable immediately before that </w:t>
      </w:r>
      <w:r w:rsidR="00DF3154">
        <w:t>1 July</w:t>
      </w:r>
      <w:r w:rsidRPr="002A715A">
        <w:t>.</w:t>
      </w:r>
    </w:p>
    <w:p w14:paraId="7D547E5A" w14:textId="77777777" w:rsidR="00BA2D08" w:rsidRDefault="00EB78D9" w:rsidP="00EB78D9">
      <w:pPr>
        <w:pStyle w:val="subsection"/>
      </w:pPr>
      <w:r w:rsidRPr="002A715A">
        <w:tab/>
        <w:t>(</w:t>
      </w:r>
      <w:r w:rsidR="00791CF1">
        <w:t>3</w:t>
      </w:r>
      <w:r w:rsidRPr="002A715A">
        <w:t>)</w:t>
      </w:r>
      <w:r w:rsidRPr="002A715A">
        <w:tab/>
        <w:t xml:space="preserve">If, apart from this subsection, the amount worked out under </w:t>
      </w:r>
      <w:r>
        <w:t>subsection (</w:t>
      </w:r>
      <w:r w:rsidR="00791CF1">
        <w:t>1</w:t>
      </w:r>
      <w:r w:rsidRPr="002A715A">
        <w:t>)</w:t>
      </w:r>
      <w:r w:rsidR="00BA2D08">
        <w:t>:</w:t>
      </w:r>
    </w:p>
    <w:p w14:paraId="2D803543" w14:textId="77777777" w:rsidR="00BA2D08" w:rsidRDefault="00BA2D08" w:rsidP="00BA2D08">
      <w:pPr>
        <w:pStyle w:val="paragraph"/>
      </w:pPr>
      <w:r>
        <w:tab/>
        <w:t>(a)</w:t>
      </w:r>
      <w:r>
        <w:tab/>
        <w:t>would be greater than $3,000—the amount is taken to be $3,000; or</w:t>
      </w:r>
    </w:p>
    <w:p w14:paraId="2A881AD7" w14:textId="77777777" w:rsidR="00EB78D9" w:rsidRPr="002A715A" w:rsidRDefault="00BA2D08" w:rsidP="00BA2D08">
      <w:pPr>
        <w:pStyle w:val="paragraph"/>
      </w:pPr>
      <w:r>
        <w:tab/>
        <w:t>(b)</w:t>
      </w:r>
      <w:r>
        <w:tab/>
        <w:t xml:space="preserve">would be </w:t>
      </w:r>
      <w:r w:rsidR="00EB78D9" w:rsidRPr="002A715A">
        <w:t>an amount of dollars and cents</w:t>
      </w:r>
      <w:r>
        <w:t>—</w:t>
      </w:r>
      <w:r w:rsidR="00EB78D9" w:rsidRPr="002A715A">
        <w:t>the amount is to be rounded to the nearest whole dollar and, if the amount to be rounded is 50 cents, rounded down.</w:t>
      </w:r>
    </w:p>
    <w:p w14:paraId="427A793B" w14:textId="77777777" w:rsidR="00EB78D9" w:rsidRPr="002A715A" w:rsidRDefault="00EB78D9" w:rsidP="00EB78D9">
      <w:pPr>
        <w:pStyle w:val="subsection"/>
      </w:pPr>
      <w:r w:rsidRPr="002A715A">
        <w:tab/>
        <w:t>(</w:t>
      </w:r>
      <w:r w:rsidR="00791CF1">
        <w:t>4</w:t>
      </w:r>
      <w:r w:rsidRPr="002A715A">
        <w:t>)</w:t>
      </w:r>
      <w:r w:rsidRPr="002A715A">
        <w:tab/>
        <w:t>For this section:</w:t>
      </w:r>
    </w:p>
    <w:p w14:paraId="6F899F14" w14:textId="77777777" w:rsidR="00EB78D9" w:rsidRPr="002A715A" w:rsidRDefault="00EB78D9" w:rsidP="00EB78D9">
      <w:pPr>
        <w:pStyle w:val="paragraph"/>
      </w:pPr>
      <w:r w:rsidRPr="002A715A">
        <w:tab/>
        <w:t>(a)</w:t>
      </w:r>
      <w:r w:rsidRPr="002A715A">
        <w:tab/>
        <w:t>if the Australian Statistician publishes a CPI number for a March quarter in substitution for a CPI number previously published by the Australian Statistician for that quarter, the publication of the later CPI number must be disregarded; and</w:t>
      </w:r>
    </w:p>
    <w:p w14:paraId="0DA8A985" w14:textId="77777777" w:rsidR="00EB78D9" w:rsidRPr="002A715A" w:rsidRDefault="00EB78D9" w:rsidP="00EB78D9">
      <w:pPr>
        <w:pStyle w:val="paragraph"/>
      </w:pPr>
      <w:r w:rsidRPr="002A715A">
        <w:tab/>
        <w:t>(b)</w:t>
      </w:r>
      <w:r w:rsidRPr="002A715A">
        <w:tab/>
        <w:t xml:space="preserve">if the Australian Statistician changes the </w:t>
      </w:r>
      <w:r w:rsidR="00791CF1">
        <w:t xml:space="preserve">index </w:t>
      </w:r>
      <w:r w:rsidRPr="002A715A">
        <w:t xml:space="preserve">reference </w:t>
      </w:r>
      <w:r w:rsidR="00791CF1">
        <w:t xml:space="preserve">period </w:t>
      </w:r>
      <w:r w:rsidRPr="002A715A">
        <w:t xml:space="preserve">for the Consumer Price Index, then, after the change is made, regard must be had </w:t>
      </w:r>
      <w:r w:rsidRPr="002A715A">
        <w:lastRenderedPageBreak/>
        <w:t xml:space="preserve">only to the CPI numbers published </w:t>
      </w:r>
      <w:r w:rsidR="00791CF1">
        <w:t>in terms of the new index reference period</w:t>
      </w:r>
      <w:r w:rsidRPr="002A715A">
        <w:t>.</w:t>
      </w:r>
    </w:p>
    <w:p w14:paraId="1A7C127C" w14:textId="77777777" w:rsidR="008E203A" w:rsidRDefault="00C335C3" w:rsidP="00BA2D08">
      <w:pPr>
        <w:pStyle w:val="ActHead6"/>
        <w:pageBreakBefore/>
      </w:pPr>
      <w:bookmarkStart w:id="10" w:name="_Toc113615115"/>
      <w:r w:rsidRPr="00480A04">
        <w:rPr>
          <w:rStyle w:val="CharAmSchNo"/>
        </w:rPr>
        <w:lastRenderedPageBreak/>
        <w:t>Schedule 1</w:t>
      </w:r>
      <w:r w:rsidR="00BA2D08">
        <w:t>—</w:t>
      </w:r>
      <w:r w:rsidR="00BA2D08" w:rsidRPr="00480A04">
        <w:rPr>
          <w:rStyle w:val="CharAmSchText"/>
        </w:rPr>
        <w:t>Repeals</w:t>
      </w:r>
      <w:bookmarkEnd w:id="10"/>
    </w:p>
    <w:p w14:paraId="24DDD73F" w14:textId="77777777" w:rsidR="00BA2D08" w:rsidRPr="00480A04" w:rsidRDefault="00BA2D08" w:rsidP="00BA2D08">
      <w:pPr>
        <w:pStyle w:val="Header"/>
      </w:pPr>
      <w:r w:rsidRPr="00480A04">
        <w:rPr>
          <w:rStyle w:val="CharAmPartNo"/>
        </w:rPr>
        <w:t xml:space="preserve"> </w:t>
      </w:r>
      <w:r w:rsidRPr="00480A04">
        <w:rPr>
          <w:rStyle w:val="CharAmPartText"/>
        </w:rPr>
        <w:t xml:space="preserve"> </w:t>
      </w:r>
    </w:p>
    <w:p w14:paraId="6D974834" w14:textId="77777777" w:rsidR="00BA2D08" w:rsidRDefault="00BA2D08" w:rsidP="00BA2D08">
      <w:pPr>
        <w:pStyle w:val="ActHead9"/>
      </w:pPr>
      <w:bookmarkStart w:id="11" w:name="_Toc113615116"/>
      <w:r w:rsidRPr="00BA2D08">
        <w:t xml:space="preserve">Superannuation Auditor Registration Imposition </w:t>
      </w:r>
      <w:r w:rsidR="00C335C3">
        <w:t>Regulation 2</w:t>
      </w:r>
      <w:r w:rsidRPr="00BA2D08">
        <w:t>012</w:t>
      </w:r>
      <w:bookmarkEnd w:id="11"/>
    </w:p>
    <w:p w14:paraId="5FB9D532" w14:textId="77777777" w:rsidR="00BA2D08" w:rsidRPr="00333FDB" w:rsidRDefault="00BA2D08" w:rsidP="00BA2D08">
      <w:pPr>
        <w:pStyle w:val="ItemHead"/>
      </w:pPr>
      <w:proofErr w:type="gramStart"/>
      <w:r w:rsidRPr="00333FDB">
        <w:t>1  The</w:t>
      </w:r>
      <w:proofErr w:type="gramEnd"/>
      <w:r w:rsidRPr="00333FDB">
        <w:t xml:space="preserve"> whole of the instrument</w:t>
      </w:r>
    </w:p>
    <w:p w14:paraId="7734C4FD" w14:textId="77777777" w:rsidR="00BA2D08" w:rsidRPr="00BA2D08" w:rsidRDefault="00BA2D08" w:rsidP="00BA2D08">
      <w:pPr>
        <w:pStyle w:val="Item"/>
      </w:pPr>
      <w:r w:rsidRPr="00333FDB">
        <w:t>Repeal the instrument.</w:t>
      </w:r>
    </w:p>
    <w:sectPr w:rsidR="00BA2D08" w:rsidRPr="00BA2D08" w:rsidSect="00243018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32250" w14:textId="77777777" w:rsidR="00FD3EAC" w:rsidRDefault="00FD3EAC" w:rsidP="00715914">
      <w:pPr>
        <w:spacing w:line="240" w:lineRule="auto"/>
      </w:pPr>
      <w:r>
        <w:separator/>
      </w:r>
    </w:p>
  </w:endnote>
  <w:endnote w:type="continuationSeparator" w:id="0">
    <w:p w14:paraId="55D2E3EF" w14:textId="77777777" w:rsidR="00FD3EAC" w:rsidRDefault="00FD3EAC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72"/>
    </w:tblGrid>
    <w:tr w:rsidR="00A7224C" w14:paraId="468287F3" w14:textId="77777777" w:rsidTr="00171B7D">
      <w:tc>
        <w:tcPr>
          <w:tcW w:w="8472" w:type="dxa"/>
        </w:tcPr>
        <w:p w14:paraId="19CF732F" w14:textId="77777777" w:rsidR="00A7224C" w:rsidRDefault="00A7224C" w:rsidP="00335BC6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18A63FC2" w14:textId="77777777" w:rsidR="00A7224C" w:rsidRPr="007500C8" w:rsidRDefault="00A7224C" w:rsidP="00335BC6">
    <w:pPr>
      <w:pStyle w:val="Footer"/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65408" behindDoc="1" locked="1" layoutInCell="1" allowOverlap="1" wp14:anchorId="66AB072C" wp14:editId="4A3F2330">
              <wp:simplePos x="0" y="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73003" cy="395785"/>
              <wp:effectExtent l="0" t="0" r="0" b="4445"/>
              <wp:wrapNone/>
              <wp:docPr id="22" name="Text Box 22" descr="Sec-Foot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B63285" w14:textId="071937EB" w:rsidR="00A7224C" w:rsidRPr="00324EB0" w:rsidRDefault="00A7224C" w:rsidP="00171B7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E049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335C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335C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E049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E049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E049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E049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AB072C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8" type="#_x0000_t202" alt="Sec-Footerevenpage" style="position:absolute;margin-left:0;margin-top:0;width:454.55pt;height:31.15pt;z-index:-25165107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" stroked="f" strokeweight=".5pt">
              <v:textbox>
                <w:txbxContent>
                  <w:p w14:paraId="6DB63285" w14:textId="071937EB" w:rsidR="00A7224C" w:rsidRPr="00324EB0" w:rsidRDefault="00A7224C" w:rsidP="00171B7D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E0496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335C3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335C3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E0496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E0496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E049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E049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105D8" w14:textId="77777777" w:rsidR="00A7224C" w:rsidRDefault="00A7224C" w:rsidP="007500C8">
    <w:pPr>
      <w:pStyle w:val="Footer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72"/>
    </w:tblGrid>
    <w:tr w:rsidR="00A7224C" w14:paraId="1DE3818C" w14:textId="77777777" w:rsidTr="00171B7D">
      <w:tc>
        <w:tcPr>
          <w:tcW w:w="8472" w:type="dxa"/>
        </w:tcPr>
        <w:p w14:paraId="38D9FD9F" w14:textId="77777777" w:rsidR="00A7224C" w:rsidRDefault="00A7224C" w:rsidP="00171B7D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3BEDA7F5" w14:textId="77777777" w:rsidR="00A7224C" w:rsidRPr="007500C8" w:rsidRDefault="00A7224C" w:rsidP="007500C8">
    <w:pPr>
      <w:pStyle w:val="Footer"/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7335BA1B" wp14:editId="6F319D8F">
              <wp:simplePos x="0" y="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73003" cy="395785"/>
              <wp:effectExtent l="0" t="0" r="0" b="4445"/>
              <wp:wrapNone/>
              <wp:docPr id="20" name="Text Box 20" descr="Sec-Foot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970F36" w14:textId="53D31E52" w:rsidR="00A7224C" w:rsidRPr="00324EB0" w:rsidRDefault="00A7224C" w:rsidP="00171B7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E049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335C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335C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E049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E049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E049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5473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35BA1B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9" type="#_x0000_t202" alt="Sec-Footerprimary" style="position:absolute;margin-left:0;margin-top:0;width:454.55pt;height:31.15pt;z-index:-25165516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psdgA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" stroked="f" strokeweight=".5pt">
              <v:textbox>
                <w:txbxContent>
                  <w:p w14:paraId="49970F36" w14:textId="53D31E52" w:rsidR="00A7224C" w:rsidRPr="00324EB0" w:rsidRDefault="00A7224C" w:rsidP="00171B7D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E0496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335C3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335C3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E0496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E0496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E049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5473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40904" w14:textId="77777777" w:rsidR="00A7224C" w:rsidRPr="00ED79B6" w:rsidRDefault="00A7224C" w:rsidP="00BA2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C63C5" w14:textId="77777777" w:rsidR="00A7224C" w:rsidRPr="00E33C1C" w:rsidRDefault="00A7224C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7224C" w14:paraId="26F5C2FD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FFC29D3" w14:textId="77777777" w:rsidR="00A7224C" w:rsidRDefault="00A7224C" w:rsidP="00171B7D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7DD5267" w14:textId="27F20224" w:rsidR="00A7224C" w:rsidRDefault="00A7224C" w:rsidP="00171B7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E0496">
            <w:rPr>
              <w:i/>
              <w:sz w:val="18"/>
            </w:rPr>
            <w:t>Superannuation Auditor Registration Imposition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0AF0F97" w14:textId="77777777" w:rsidR="00A7224C" w:rsidRDefault="00A7224C" w:rsidP="00171B7D">
          <w:pPr>
            <w:spacing w:line="0" w:lineRule="atLeast"/>
            <w:jc w:val="right"/>
            <w:rPr>
              <w:sz w:val="18"/>
            </w:rPr>
          </w:pPr>
        </w:p>
      </w:tc>
    </w:tr>
    <w:tr w:rsidR="00A7224C" w14:paraId="466ED1F4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D46210D" w14:textId="77777777" w:rsidR="00A7224C" w:rsidRDefault="00A7224C" w:rsidP="00171B7D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24795C80" w14:textId="77777777" w:rsidR="00A7224C" w:rsidRPr="00ED79B6" w:rsidRDefault="00A7224C" w:rsidP="007500C8">
    <w:pPr>
      <w:rPr>
        <w:i/>
        <w:sz w:val="18"/>
      </w:rPr>
    </w:pPr>
    <w:r w:rsidRPr="001769A7">
      <w:rPr>
        <w:b/>
        <w:i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73600" behindDoc="1" locked="1" layoutInCell="1" allowOverlap="1" wp14:anchorId="3EE707EB" wp14:editId="40278B64">
              <wp:simplePos x="0" y="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73003" cy="395785"/>
              <wp:effectExtent l="0" t="0" r="0" b="4445"/>
              <wp:wrapNone/>
              <wp:docPr id="26" name="Text Box 26" descr="Sec-Foot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41136F" w14:textId="17D57085" w:rsidR="00A7224C" w:rsidRPr="00324EB0" w:rsidRDefault="00A7224C" w:rsidP="00171B7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E049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335C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335C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E049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E049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E049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E049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E707EB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32" type="#_x0000_t202" alt="Sec-Footerevenpage" style="position:absolute;margin-left:0;margin-top:0;width:454.55pt;height:31.15pt;z-index:-25164288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QgrgA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" stroked="f" strokeweight=".5pt">
              <v:textbox>
                <w:txbxContent>
                  <w:p w14:paraId="2841136F" w14:textId="17D57085" w:rsidR="00A7224C" w:rsidRPr="00324EB0" w:rsidRDefault="00A7224C" w:rsidP="00171B7D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E0496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335C3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335C3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E0496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E0496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E049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E049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2C220" w14:textId="77777777" w:rsidR="00A7224C" w:rsidRPr="00E33C1C" w:rsidRDefault="00A7224C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A7224C" w14:paraId="0015CD9C" w14:textId="77777777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43E0697" w14:textId="77777777" w:rsidR="00A7224C" w:rsidRDefault="00A7224C" w:rsidP="00171B7D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14:paraId="2A8F94D7" w14:textId="2C51433E" w:rsidR="00A7224C" w:rsidRDefault="00A7224C" w:rsidP="00171B7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E0496">
            <w:rPr>
              <w:i/>
              <w:sz w:val="18"/>
            </w:rPr>
            <w:t>Superannuation Auditor Registration Imposition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14DC89B" w14:textId="77777777" w:rsidR="00A7224C" w:rsidRDefault="00A7224C" w:rsidP="00171B7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A7224C" w14:paraId="6F3DB53C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F7D9158" w14:textId="77777777" w:rsidR="00A7224C" w:rsidRDefault="00A7224C" w:rsidP="00171B7D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2D5EA53A" w14:textId="77777777" w:rsidR="00A7224C" w:rsidRPr="00ED79B6" w:rsidRDefault="00A7224C" w:rsidP="007500C8">
    <w:pPr>
      <w:rPr>
        <w:i/>
        <w:sz w:val="18"/>
      </w:rPr>
    </w:pPr>
    <w:r w:rsidRPr="001769A7">
      <w:rPr>
        <w:b/>
        <w:i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69504" behindDoc="1" locked="1" layoutInCell="1" allowOverlap="1" wp14:anchorId="481B425C" wp14:editId="58CDA4C1">
              <wp:simplePos x="0" y="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73003" cy="395785"/>
              <wp:effectExtent l="0" t="0" r="0" b="4445"/>
              <wp:wrapNone/>
              <wp:docPr id="24" name="Text Box 24" descr="Sec-Foot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BDA60A" w14:textId="6934A606" w:rsidR="00A7224C" w:rsidRPr="00324EB0" w:rsidRDefault="00A7224C" w:rsidP="00171B7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E049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335C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335C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E049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E049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E049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5473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1B425C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33" type="#_x0000_t202" alt="Sec-Footerprimary" style="position:absolute;margin-left:0;margin-top:0;width:454.55pt;height:31.15pt;z-index:-25164697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0f+gA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" stroked="f" strokeweight=".5pt">
              <v:textbox>
                <w:txbxContent>
                  <w:p w14:paraId="26BDA60A" w14:textId="6934A606" w:rsidR="00A7224C" w:rsidRPr="00324EB0" w:rsidRDefault="00A7224C" w:rsidP="00171B7D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E0496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335C3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335C3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E0496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E0496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E049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5473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C6E6" w14:textId="77777777" w:rsidR="00A7224C" w:rsidRPr="00E33C1C" w:rsidRDefault="00A7224C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7224C" w14:paraId="358FC0ED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68B6D79" w14:textId="77777777" w:rsidR="00A7224C" w:rsidRDefault="00A7224C" w:rsidP="00171B7D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DF3A7FA" w14:textId="3BEE2940" w:rsidR="00A7224C" w:rsidRDefault="00A7224C" w:rsidP="00171B7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E0496">
            <w:rPr>
              <w:i/>
              <w:sz w:val="18"/>
            </w:rPr>
            <w:t>Superannuation Auditor Registration Imposition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78006BF" w14:textId="77777777" w:rsidR="00A7224C" w:rsidRDefault="00A7224C" w:rsidP="00171B7D">
          <w:pPr>
            <w:spacing w:line="0" w:lineRule="atLeast"/>
            <w:jc w:val="right"/>
            <w:rPr>
              <w:sz w:val="18"/>
            </w:rPr>
          </w:pPr>
        </w:p>
      </w:tc>
    </w:tr>
    <w:tr w:rsidR="00A7224C" w14:paraId="18B28BEA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6E92162" w14:textId="77777777" w:rsidR="00A7224C" w:rsidRDefault="00A7224C" w:rsidP="00171B7D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14AE4549" w14:textId="77777777" w:rsidR="00A7224C" w:rsidRPr="00ED79B6" w:rsidRDefault="00A7224C" w:rsidP="007500C8">
    <w:pPr>
      <w:rPr>
        <w:i/>
        <w:sz w:val="18"/>
      </w:rPr>
    </w:pPr>
    <w:r w:rsidRPr="001769A7">
      <w:rPr>
        <w:b/>
        <w:i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81792" behindDoc="1" locked="1" layoutInCell="1" allowOverlap="1" wp14:anchorId="41AFE2AD" wp14:editId="1397E33D">
              <wp:simplePos x="0" y="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73003" cy="395785"/>
              <wp:effectExtent l="0" t="0" r="0" b="4445"/>
              <wp:wrapNone/>
              <wp:docPr id="30" name="Text Box 30" descr="Sec-Foot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0ECB9F" w14:textId="6D7CFD26" w:rsidR="00A7224C" w:rsidRPr="00324EB0" w:rsidRDefault="00355483" w:rsidP="00171B7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AFE2AD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36" type="#_x0000_t202" alt="Sec-Footerevenpage" style="position:absolute;margin-left:0;margin-top:0;width:454.55pt;height:31.15pt;z-index:-25163468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" stroked="f" strokeweight=".5pt">
              <v:textbox>
                <w:txbxContent>
                  <w:p w14:paraId="430ECB9F" w14:textId="6D7CFD26" w:rsidR="00A7224C" w:rsidRPr="00324EB0" w:rsidRDefault="00355483" w:rsidP="00171B7D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8029C" w14:textId="77777777" w:rsidR="00A7224C" w:rsidRPr="00E33C1C" w:rsidRDefault="00A7224C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7224C" w14:paraId="3456B344" w14:textId="77777777" w:rsidTr="00171B7D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0A8F1F7" w14:textId="77777777" w:rsidR="00A7224C" w:rsidRDefault="00A7224C" w:rsidP="00171B7D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C575BAA" w14:textId="4165B4D6" w:rsidR="00A7224C" w:rsidRDefault="00A7224C" w:rsidP="00171B7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E0496">
            <w:rPr>
              <w:i/>
              <w:sz w:val="18"/>
            </w:rPr>
            <w:t>Superannuation Auditor Registration Imposition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E642E73" w14:textId="77777777" w:rsidR="00A7224C" w:rsidRDefault="00A7224C" w:rsidP="00171B7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A7224C" w14:paraId="03CBA378" w14:textId="77777777" w:rsidTr="00171B7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D280819" w14:textId="77777777" w:rsidR="00A7224C" w:rsidRDefault="00A7224C" w:rsidP="00171B7D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364AD3CA" w14:textId="77777777" w:rsidR="00A7224C" w:rsidRPr="00ED79B6" w:rsidRDefault="00A7224C" w:rsidP="00472DBE">
    <w:pPr>
      <w:rPr>
        <w:i/>
        <w:sz w:val="18"/>
      </w:rPr>
    </w:pPr>
    <w:r w:rsidRPr="001769A7">
      <w:rPr>
        <w:b/>
        <w:i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77696" behindDoc="1" locked="1" layoutInCell="1" allowOverlap="1" wp14:anchorId="44F56437" wp14:editId="15126FA5">
              <wp:simplePos x="0" y="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73003" cy="395785"/>
              <wp:effectExtent l="0" t="0" r="0" b="4445"/>
              <wp:wrapNone/>
              <wp:docPr id="28" name="Text Box 28" descr="Sec-Foot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81DA0F" w14:textId="4D06AA6B" w:rsidR="00A7224C" w:rsidRPr="00324EB0" w:rsidRDefault="004E0496" w:rsidP="00171B7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F56437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37" type="#_x0000_t202" alt="Sec-Footerprimary" style="position:absolute;margin-left:0;margin-top:0;width:454.55pt;height:31.15pt;z-index:-25163878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BvFgAIAAG4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" stroked="f" strokeweight=".5pt">
              <v:textbox>
                <w:txbxContent>
                  <w:p w14:paraId="6E81DA0F" w14:textId="4D06AA6B" w:rsidR="00A7224C" w:rsidRPr="00324EB0" w:rsidRDefault="004E0496" w:rsidP="00171B7D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0FB3B" w14:textId="77777777" w:rsidR="00A7224C" w:rsidRPr="00E33C1C" w:rsidRDefault="00A7224C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7224C" w14:paraId="7F61ED71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0B2D064" w14:textId="77777777" w:rsidR="00A7224C" w:rsidRDefault="00A7224C" w:rsidP="00171B7D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6F14A84" w14:textId="6042D6BB" w:rsidR="00A7224C" w:rsidRDefault="00A7224C" w:rsidP="00171B7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E0496">
            <w:rPr>
              <w:i/>
              <w:sz w:val="18"/>
            </w:rPr>
            <w:t>Superannuation Auditor Registration Imposition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1C4A104" w14:textId="77777777" w:rsidR="00A7224C" w:rsidRDefault="00A7224C" w:rsidP="00171B7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A7224C" w14:paraId="08A2DEEB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ADF03D4" w14:textId="77777777" w:rsidR="00A7224C" w:rsidRDefault="00A7224C" w:rsidP="00171B7D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6B4E9D6F" w14:textId="77777777" w:rsidR="00A7224C" w:rsidRPr="00ED79B6" w:rsidRDefault="00A7224C" w:rsidP="007500C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CA1D7" w14:textId="77777777" w:rsidR="00FD3EAC" w:rsidRDefault="00FD3EAC" w:rsidP="00715914">
      <w:pPr>
        <w:spacing w:line="240" w:lineRule="auto"/>
      </w:pPr>
      <w:r>
        <w:separator/>
      </w:r>
    </w:p>
  </w:footnote>
  <w:footnote w:type="continuationSeparator" w:id="0">
    <w:p w14:paraId="729674F5" w14:textId="77777777" w:rsidR="00FD3EAC" w:rsidRDefault="00FD3EAC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BCE75" w14:textId="77777777" w:rsidR="00A7224C" w:rsidRPr="005F1388" w:rsidRDefault="00A7224C" w:rsidP="00715914">
    <w:pPr>
      <w:pStyle w:val="Header"/>
      <w:tabs>
        <w:tab w:val="clear" w:pos="4150"/>
        <w:tab w:val="clear" w:pos="8307"/>
      </w:tabs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08D4F9A6" wp14:editId="6D7A08A1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21" name="Text Box 21" descr="Sec-Head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51C25D" w14:textId="526C221E" w:rsidR="00A7224C" w:rsidRPr="00324EB0" w:rsidRDefault="00A7224C" w:rsidP="00171B7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E049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335C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335C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E049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E049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E049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E049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D4F9A6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6" type="#_x0000_t202" alt="Sec-Headerevenpage" style="position:absolute;margin-left:0;margin-top:-25pt;width:454.55pt;height:31.15pt;z-index:-25165312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" stroked="f" strokeweight=".5pt">
              <v:textbox>
                <w:txbxContent>
                  <w:p w14:paraId="7F51C25D" w14:textId="526C221E" w:rsidR="00A7224C" w:rsidRPr="00324EB0" w:rsidRDefault="00A7224C" w:rsidP="00171B7D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E0496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335C3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335C3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E0496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E0496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E049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E049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B183C" w14:textId="77777777" w:rsidR="00A7224C" w:rsidRPr="005F1388" w:rsidRDefault="00A7224C" w:rsidP="00715914">
    <w:pPr>
      <w:pStyle w:val="Header"/>
      <w:tabs>
        <w:tab w:val="clear" w:pos="4150"/>
        <w:tab w:val="clear" w:pos="8307"/>
      </w:tabs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7DA9F295" wp14:editId="7BCC461F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107" name="Text Box 107" descr="Sec-Head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0F610C" w14:textId="33ABB6EE" w:rsidR="00A7224C" w:rsidRPr="00324EB0" w:rsidRDefault="00355483" w:rsidP="00171B7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A9F295" id="_x0000_t202" coordsize="21600,21600" o:spt="202" path="m,l,21600r21600,l21600,xe">
              <v:stroke joinstyle="miter"/>
              <v:path gradientshapeok="t" o:connecttype="rect"/>
            </v:shapetype>
            <v:shape id="Text Box 107" o:spid="_x0000_s1027" type="#_x0000_t202" alt="Sec-Headerprimary" style="position:absolute;margin-left:0;margin-top:-25pt;width:454.55pt;height:31.15pt;z-index:-25165721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HVsfg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" stroked="f" strokeweight=".5pt">
              <v:textbox>
                <w:txbxContent>
                  <w:p w14:paraId="020F610C" w14:textId="33ABB6EE" w:rsidR="00A7224C" w:rsidRPr="00324EB0" w:rsidRDefault="00355483" w:rsidP="00171B7D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173A1" w14:textId="77777777" w:rsidR="00A7224C" w:rsidRPr="005F1388" w:rsidRDefault="00A7224C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D126D" w14:textId="77777777" w:rsidR="00A7224C" w:rsidRPr="00ED79B6" w:rsidRDefault="00A7224C" w:rsidP="00F67BCA">
    <w:pPr>
      <w:pBdr>
        <w:bottom w:val="single" w:sz="6" w:space="1" w:color="auto"/>
      </w:pBdr>
      <w:spacing w:before="1000" w:line="240" w:lineRule="auto"/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71552" behindDoc="1" locked="1" layoutInCell="1" allowOverlap="1" wp14:anchorId="5D766B9C" wp14:editId="230B38D5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25" name="Text Box 25" descr="Sec-Head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5BEEA0" w14:textId="49FCD30B" w:rsidR="00A7224C" w:rsidRPr="00324EB0" w:rsidRDefault="00A7224C" w:rsidP="00171B7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E049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335C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335C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E049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E049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E049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E049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766B9C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0" type="#_x0000_t202" alt="Sec-Headerevenpage" style="position:absolute;margin-left:0;margin-top:-25pt;width:454.55pt;height:31.15pt;z-index:-25164492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" stroked="f" strokeweight=".5pt">
              <v:textbox>
                <w:txbxContent>
                  <w:p w14:paraId="0B5BEEA0" w14:textId="49FCD30B" w:rsidR="00A7224C" w:rsidRPr="00324EB0" w:rsidRDefault="00A7224C" w:rsidP="00171B7D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E0496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335C3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335C3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E0496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E0496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E049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E049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68B05" w14:textId="77777777" w:rsidR="00A7224C" w:rsidRPr="00ED79B6" w:rsidRDefault="00A7224C" w:rsidP="00F67BCA">
    <w:pPr>
      <w:pBdr>
        <w:bottom w:val="single" w:sz="6" w:space="1" w:color="auto"/>
      </w:pBdr>
      <w:spacing w:before="1000" w:line="240" w:lineRule="auto"/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67456" behindDoc="1" locked="1" layoutInCell="1" allowOverlap="1" wp14:anchorId="00901235" wp14:editId="32173207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23" name="Text Box 23" descr="Sec-Head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B2B784" w14:textId="6D43E696" w:rsidR="00A7224C" w:rsidRPr="00324EB0" w:rsidRDefault="00355483" w:rsidP="00171B7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901235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31" type="#_x0000_t202" alt="Sec-Headerprimary" style="position:absolute;margin-left:0;margin-top:-25pt;width:454.55pt;height:31.15pt;z-index:-25164902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amPgA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" stroked="f" strokeweight=".5pt">
              <v:textbox>
                <w:txbxContent>
                  <w:p w14:paraId="42B2B784" w14:textId="6D43E696" w:rsidR="00A7224C" w:rsidRPr="00324EB0" w:rsidRDefault="00355483" w:rsidP="00171B7D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0195B" w14:textId="77777777" w:rsidR="00A7224C" w:rsidRPr="00ED79B6" w:rsidRDefault="00A7224C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226F7" w14:textId="021B59EF" w:rsidR="00A7224C" w:rsidRDefault="00A7224C" w:rsidP="00715914">
    <w:pPr>
      <w:rPr>
        <w:sz w:val="20"/>
      </w:rPr>
    </w:pPr>
    <w:r w:rsidRPr="001769A7">
      <w:rPr>
        <w:b/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251679744" behindDoc="1" locked="1" layoutInCell="1" allowOverlap="1" wp14:anchorId="64365814" wp14:editId="13DDDA8C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29" name="Text Box 29" descr="Sec-Head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691F08" w14:textId="028DA226" w:rsidR="00A7224C" w:rsidRPr="00324EB0" w:rsidRDefault="00A7224C" w:rsidP="00171B7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E049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335C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335C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E049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E049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E049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5473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365814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34" type="#_x0000_t202" alt="Sec-Headerevenpage" style="position:absolute;margin-left:0;margin-top:-25pt;width:454.55pt;height:31.15pt;z-index:-25163673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" stroked="f" strokeweight=".5pt">
              <v:textbox>
                <w:txbxContent>
                  <w:p w14:paraId="53691F08" w14:textId="028DA226" w:rsidR="00A7224C" w:rsidRPr="00324EB0" w:rsidRDefault="00A7224C" w:rsidP="00171B7D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E0496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335C3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335C3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E0496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E0496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E049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5473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14:paraId="018DB790" w14:textId="3C59B989" w:rsidR="00A7224C" w:rsidRDefault="00A7224C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="00563EFA">
      <w:rPr>
        <w:b/>
        <w:sz w:val="20"/>
      </w:rPr>
      <w:fldChar w:fldCharType="separate"/>
    </w:r>
    <w:r w:rsidR="00E54734">
      <w:rPr>
        <w:b/>
        <w:noProof/>
        <w:sz w:val="20"/>
      </w:rPr>
      <w:t>Part 2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 w:rsidR="00563EFA">
      <w:rPr>
        <w:sz w:val="20"/>
      </w:rPr>
      <w:fldChar w:fldCharType="separate"/>
    </w:r>
    <w:r w:rsidR="00E54734">
      <w:rPr>
        <w:noProof/>
        <w:sz w:val="20"/>
      </w:rPr>
      <w:t>Prescribed fees</w:t>
    </w:r>
    <w:r>
      <w:rPr>
        <w:sz w:val="20"/>
      </w:rPr>
      <w:fldChar w:fldCharType="end"/>
    </w:r>
  </w:p>
  <w:p w14:paraId="34C7BD05" w14:textId="55F46695" w:rsidR="00A7224C" w:rsidRPr="007A1328" w:rsidRDefault="00A7224C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6DAB3B03" w14:textId="77777777" w:rsidR="00A7224C" w:rsidRPr="007A1328" w:rsidRDefault="00A7224C" w:rsidP="00715914">
    <w:pPr>
      <w:rPr>
        <w:b/>
        <w:sz w:val="24"/>
      </w:rPr>
    </w:pPr>
  </w:p>
  <w:p w14:paraId="5D03D165" w14:textId="369FC1D8" w:rsidR="00A7224C" w:rsidRPr="007A1328" w:rsidRDefault="00A7224C" w:rsidP="00756272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4E0496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E54734">
      <w:rPr>
        <w:noProof/>
        <w:sz w:val="24"/>
      </w:rPr>
      <w:t>8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2C259" w14:textId="6D83A01E" w:rsidR="00A7224C" w:rsidRPr="007A1328" w:rsidRDefault="00A7224C" w:rsidP="00715914">
    <w:pPr>
      <w:jc w:val="right"/>
      <w:rPr>
        <w:sz w:val="20"/>
      </w:rPr>
    </w:pPr>
    <w:r w:rsidRPr="001769A7">
      <w:rPr>
        <w:b/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251675648" behindDoc="1" locked="1" layoutInCell="1" allowOverlap="1" wp14:anchorId="4115FA30" wp14:editId="032BC84D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27" name="Text Box 27" descr="Sec-Head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4103FC" w14:textId="30633DFD" w:rsidR="00A7224C" w:rsidRPr="00324EB0" w:rsidRDefault="00A7224C" w:rsidP="00171B7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E049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335C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335C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E049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E049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E049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55483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15FA30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35" type="#_x0000_t202" alt="Sec-Headerprimary" style="position:absolute;left:0;text-align:left;margin-left:0;margin-top:-25pt;width:454.55pt;height:31.15pt;z-index:-25164083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" stroked="f" strokeweight=".5pt">
              <v:textbox>
                <w:txbxContent>
                  <w:p w14:paraId="424103FC" w14:textId="30633DFD" w:rsidR="00A7224C" w:rsidRPr="00324EB0" w:rsidRDefault="00A7224C" w:rsidP="00171B7D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E0496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335C3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335C3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E0496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E0496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E049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55483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14:paraId="4746CE70" w14:textId="7C751C8D" w:rsidR="00A7224C" w:rsidRPr="007A1328" w:rsidRDefault="00A7224C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="00E54734">
      <w:rPr>
        <w:sz w:val="20"/>
      </w:rPr>
      <w:fldChar w:fldCharType="separate"/>
    </w:r>
    <w:r w:rsidR="00E54734">
      <w:rPr>
        <w:noProof/>
        <w:sz w:val="20"/>
      </w:rPr>
      <w:t>Prescribed fees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 w:rsidR="00E54734">
      <w:rPr>
        <w:b/>
        <w:sz w:val="20"/>
      </w:rPr>
      <w:fldChar w:fldCharType="separate"/>
    </w:r>
    <w:r w:rsidR="00E54734">
      <w:rPr>
        <w:b/>
        <w:noProof/>
        <w:sz w:val="20"/>
      </w:rPr>
      <w:t>Part 2</w:t>
    </w:r>
    <w:r>
      <w:rPr>
        <w:b/>
        <w:sz w:val="20"/>
      </w:rPr>
      <w:fldChar w:fldCharType="end"/>
    </w:r>
  </w:p>
  <w:p w14:paraId="026A6D11" w14:textId="4A556754" w:rsidR="00A7224C" w:rsidRPr="007A1328" w:rsidRDefault="00A7224C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47E6D880" w14:textId="77777777" w:rsidR="00A7224C" w:rsidRPr="007A1328" w:rsidRDefault="00A7224C" w:rsidP="00715914">
    <w:pPr>
      <w:jc w:val="right"/>
      <w:rPr>
        <w:b/>
        <w:sz w:val="24"/>
      </w:rPr>
    </w:pPr>
  </w:p>
  <w:p w14:paraId="7E0C9099" w14:textId="7F24CBCD" w:rsidR="00A7224C" w:rsidRPr="007A1328" w:rsidRDefault="00A7224C" w:rsidP="00756272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4E0496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E54734">
      <w:rPr>
        <w:noProof/>
        <w:sz w:val="24"/>
      </w:rPr>
      <w:t>8</w:t>
    </w:r>
    <w:r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F8DB0" w14:textId="77777777" w:rsidR="00A7224C" w:rsidRPr="007A1328" w:rsidRDefault="00A7224C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10"/>
  <w:removePersonalInformation/>
  <w:removeDateAndTime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E5769"/>
    <w:rsid w:val="00004470"/>
    <w:rsid w:val="000136AF"/>
    <w:rsid w:val="00026EBB"/>
    <w:rsid w:val="00033A3B"/>
    <w:rsid w:val="000437C1"/>
    <w:rsid w:val="0005365D"/>
    <w:rsid w:val="000614BF"/>
    <w:rsid w:val="00077749"/>
    <w:rsid w:val="000B58FA"/>
    <w:rsid w:val="000B7E30"/>
    <w:rsid w:val="000D05EF"/>
    <w:rsid w:val="000E2261"/>
    <w:rsid w:val="000E5769"/>
    <w:rsid w:val="000F21C1"/>
    <w:rsid w:val="0010745C"/>
    <w:rsid w:val="00132CEB"/>
    <w:rsid w:val="00142B62"/>
    <w:rsid w:val="00142FC6"/>
    <w:rsid w:val="0014539C"/>
    <w:rsid w:val="00153893"/>
    <w:rsid w:val="00157B8B"/>
    <w:rsid w:val="00166C2F"/>
    <w:rsid w:val="00171B7D"/>
    <w:rsid w:val="001721AC"/>
    <w:rsid w:val="001769A7"/>
    <w:rsid w:val="001809D7"/>
    <w:rsid w:val="001939E1"/>
    <w:rsid w:val="00194C3E"/>
    <w:rsid w:val="00195382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1053C"/>
    <w:rsid w:val="00212F25"/>
    <w:rsid w:val="002150FD"/>
    <w:rsid w:val="00215AF1"/>
    <w:rsid w:val="00226562"/>
    <w:rsid w:val="002321E8"/>
    <w:rsid w:val="00236EEC"/>
    <w:rsid w:val="0024010F"/>
    <w:rsid w:val="00240749"/>
    <w:rsid w:val="00243018"/>
    <w:rsid w:val="002564A4"/>
    <w:rsid w:val="0026736C"/>
    <w:rsid w:val="00281308"/>
    <w:rsid w:val="00284719"/>
    <w:rsid w:val="002851C8"/>
    <w:rsid w:val="00297ECB"/>
    <w:rsid w:val="002A7BCF"/>
    <w:rsid w:val="002C4A40"/>
    <w:rsid w:val="002D043A"/>
    <w:rsid w:val="002D6224"/>
    <w:rsid w:val="002E3F4B"/>
    <w:rsid w:val="00304F8B"/>
    <w:rsid w:val="003211D6"/>
    <w:rsid w:val="003354D2"/>
    <w:rsid w:val="00335BC6"/>
    <w:rsid w:val="003415D3"/>
    <w:rsid w:val="00344701"/>
    <w:rsid w:val="00352B0F"/>
    <w:rsid w:val="00355483"/>
    <w:rsid w:val="00356690"/>
    <w:rsid w:val="00360459"/>
    <w:rsid w:val="003B77A7"/>
    <w:rsid w:val="003C6231"/>
    <w:rsid w:val="003D0BFE"/>
    <w:rsid w:val="003D5700"/>
    <w:rsid w:val="003E341B"/>
    <w:rsid w:val="004116CD"/>
    <w:rsid w:val="004144EC"/>
    <w:rsid w:val="00417EB9"/>
    <w:rsid w:val="00424CA9"/>
    <w:rsid w:val="004306F4"/>
    <w:rsid w:val="00431E9B"/>
    <w:rsid w:val="004379E3"/>
    <w:rsid w:val="00437E5C"/>
    <w:rsid w:val="0044015E"/>
    <w:rsid w:val="0044291A"/>
    <w:rsid w:val="00444173"/>
    <w:rsid w:val="00444ABD"/>
    <w:rsid w:val="00461C81"/>
    <w:rsid w:val="00467661"/>
    <w:rsid w:val="004705B7"/>
    <w:rsid w:val="00472DBE"/>
    <w:rsid w:val="00474A19"/>
    <w:rsid w:val="00480A04"/>
    <w:rsid w:val="00496F97"/>
    <w:rsid w:val="004C6AE8"/>
    <w:rsid w:val="004D3593"/>
    <w:rsid w:val="004E0496"/>
    <w:rsid w:val="004E063A"/>
    <w:rsid w:val="004E7BEC"/>
    <w:rsid w:val="004F53FA"/>
    <w:rsid w:val="00505D3D"/>
    <w:rsid w:val="00506AF6"/>
    <w:rsid w:val="00516B8D"/>
    <w:rsid w:val="00537FBC"/>
    <w:rsid w:val="00550D00"/>
    <w:rsid w:val="00554954"/>
    <w:rsid w:val="005574D1"/>
    <w:rsid w:val="00563EFA"/>
    <w:rsid w:val="00570A78"/>
    <w:rsid w:val="00584811"/>
    <w:rsid w:val="00585784"/>
    <w:rsid w:val="00593AA6"/>
    <w:rsid w:val="00594161"/>
    <w:rsid w:val="00594749"/>
    <w:rsid w:val="005B4067"/>
    <w:rsid w:val="005C3F41"/>
    <w:rsid w:val="005C4FCB"/>
    <w:rsid w:val="005D2D09"/>
    <w:rsid w:val="00600219"/>
    <w:rsid w:val="00603DC4"/>
    <w:rsid w:val="006064E2"/>
    <w:rsid w:val="0060756A"/>
    <w:rsid w:val="0061272C"/>
    <w:rsid w:val="00620076"/>
    <w:rsid w:val="00632789"/>
    <w:rsid w:val="00645A15"/>
    <w:rsid w:val="00670EA1"/>
    <w:rsid w:val="00677CC2"/>
    <w:rsid w:val="006905DE"/>
    <w:rsid w:val="0069207B"/>
    <w:rsid w:val="006944A8"/>
    <w:rsid w:val="006A7D95"/>
    <w:rsid w:val="006B5789"/>
    <w:rsid w:val="006C30C5"/>
    <w:rsid w:val="006C7F8C"/>
    <w:rsid w:val="006D43F4"/>
    <w:rsid w:val="006E6246"/>
    <w:rsid w:val="006F313C"/>
    <w:rsid w:val="006F318F"/>
    <w:rsid w:val="006F4226"/>
    <w:rsid w:val="006F7F62"/>
    <w:rsid w:val="0070017E"/>
    <w:rsid w:val="00700B2C"/>
    <w:rsid w:val="007050A2"/>
    <w:rsid w:val="00713084"/>
    <w:rsid w:val="00714F20"/>
    <w:rsid w:val="0071590F"/>
    <w:rsid w:val="00715914"/>
    <w:rsid w:val="00731E00"/>
    <w:rsid w:val="007440B7"/>
    <w:rsid w:val="007500C8"/>
    <w:rsid w:val="00756272"/>
    <w:rsid w:val="0076681A"/>
    <w:rsid w:val="007715C9"/>
    <w:rsid w:val="00771613"/>
    <w:rsid w:val="00774EDD"/>
    <w:rsid w:val="007757EC"/>
    <w:rsid w:val="00783E89"/>
    <w:rsid w:val="00791CF1"/>
    <w:rsid w:val="00793915"/>
    <w:rsid w:val="007A6A7A"/>
    <w:rsid w:val="007C2253"/>
    <w:rsid w:val="007D5A63"/>
    <w:rsid w:val="007D7B81"/>
    <w:rsid w:val="007E163D"/>
    <w:rsid w:val="007E667A"/>
    <w:rsid w:val="007F28C9"/>
    <w:rsid w:val="00803587"/>
    <w:rsid w:val="00807626"/>
    <w:rsid w:val="008117E9"/>
    <w:rsid w:val="00824498"/>
    <w:rsid w:val="00845AE2"/>
    <w:rsid w:val="00856A31"/>
    <w:rsid w:val="008611A5"/>
    <w:rsid w:val="00864B24"/>
    <w:rsid w:val="00867B37"/>
    <w:rsid w:val="008754D0"/>
    <w:rsid w:val="008855C9"/>
    <w:rsid w:val="00886456"/>
    <w:rsid w:val="008A46E1"/>
    <w:rsid w:val="008A4F43"/>
    <w:rsid w:val="008B2706"/>
    <w:rsid w:val="008D0EE0"/>
    <w:rsid w:val="008E203A"/>
    <w:rsid w:val="008E6067"/>
    <w:rsid w:val="008F319D"/>
    <w:rsid w:val="008F54E7"/>
    <w:rsid w:val="00903422"/>
    <w:rsid w:val="00915DF9"/>
    <w:rsid w:val="009254C3"/>
    <w:rsid w:val="00932377"/>
    <w:rsid w:val="00937FED"/>
    <w:rsid w:val="009437F4"/>
    <w:rsid w:val="00947D5A"/>
    <w:rsid w:val="009532A5"/>
    <w:rsid w:val="0095530A"/>
    <w:rsid w:val="00982242"/>
    <w:rsid w:val="009868E9"/>
    <w:rsid w:val="009B5AB3"/>
    <w:rsid w:val="009E1604"/>
    <w:rsid w:val="009E5CFC"/>
    <w:rsid w:val="00A079CB"/>
    <w:rsid w:val="00A12128"/>
    <w:rsid w:val="00A22C98"/>
    <w:rsid w:val="00A231E2"/>
    <w:rsid w:val="00A313DD"/>
    <w:rsid w:val="00A644C1"/>
    <w:rsid w:val="00A64912"/>
    <w:rsid w:val="00A70A74"/>
    <w:rsid w:val="00A7224C"/>
    <w:rsid w:val="00AD5641"/>
    <w:rsid w:val="00AD7889"/>
    <w:rsid w:val="00AE3652"/>
    <w:rsid w:val="00AF021B"/>
    <w:rsid w:val="00AF06CF"/>
    <w:rsid w:val="00AF4581"/>
    <w:rsid w:val="00B04CAF"/>
    <w:rsid w:val="00B05CF4"/>
    <w:rsid w:val="00B07CDB"/>
    <w:rsid w:val="00B16A31"/>
    <w:rsid w:val="00B17DFD"/>
    <w:rsid w:val="00B308FE"/>
    <w:rsid w:val="00B33709"/>
    <w:rsid w:val="00B33B3C"/>
    <w:rsid w:val="00B50ADC"/>
    <w:rsid w:val="00B566B1"/>
    <w:rsid w:val="00B63834"/>
    <w:rsid w:val="00B65F8A"/>
    <w:rsid w:val="00B72734"/>
    <w:rsid w:val="00B80199"/>
    <w:rsid w:val="00B83204"/>
    <w:rsid w:val="00BA0C87"/>
    <w:rsid w:val="00BA220B"/>
    <w:rsid w:val="00BA2D08"/>
    <w:rsid w:val="00BA3A57"/>
    <w:rsid w:val="00BA691F"/>
    <w:rsid w:val="00BB4E1A"/>
    <w:rsid w:val="00BB7537"/>
    <w:rsid w:val="00BC015E"/>
    <w:rsid w:val="00BC76AC"/>
    <w:rsid w:val="00BD0ECB"/>
    <w:rsid w:val="00BE2155"/>
    <w:rsid w:val="00BE2213"/>
    <w:rsid w:val="00BE719A"/>
    <w:rsid w:val="00BE720A"/>
    <w:rsid w:val="00BF0D73"/>
    <w:rsid w:val="00BF2465"/>
    <w:rsid w:val="00C069CF"/>
    <w:rsid w:val="00C25E7F"/>
    <w:rsid w:val="00C2746F"/>
    <w:rsid w:val="00C324A0"/>
    <w:rsid w:val="00C3300F"/>
    <w:rsid w:val="00C335C3"/>
    <w:rsid w:val="00C42BF8"/>
    <w:rsid w:val="00C50043"/>
    <w:rsid w:val="00C7573B"/>
    <w:rsid w:val="00C93C03"/>
    <w:rsid w:val="00CB2C8E"/>
    <w:rsid w:val="00CB602E"/>
    <w:rsid w:val="00CE051D"/>
    <w:rsid w:val="00CE1335"/>
    <w:rsid w:val="00CE493D"/>
    <w:rsid w:val="00CF07FA"/>
    <w:rsid w:val="00CF0BB2"/>
    <w:rsid w:val="00CF3EE8"/>
    <w:rsid w:val="00D02D96"/>
    <w:rsid w:val="00D050E6"/>
    <w:rsid w:val="00D13441"/>
    <w:rsid w:val="00D150E7"/>
    <w:rsid w:val="00D26C80"/>
    <w:rsid w:val="00D32F65"/>
    <w:rsid w:val="00D52DC2"/>
    <w:rsid w:val="00D53BCC"/>
    <w:rsid w:val="00D67E8A"/>
    <w:rsid w:val="00D70DFB"/>
    <w:rsid w:val="00D766DF"/>
    <w:rsid w:val="00DA186E"/>
    <w:rsid w:val="00DA4116"/>
    <w:rsid w:val="00DB251C"/>
    <w:rsid w:val="00DB4630"/>
    <w:rsid w:val="00DC4F88"/>
    <w:rsid w:val="00DF3154"/>
    <w:rsid w:val="00E0559D"/>
    <w:rsid w:val="00E05704"/>
    <w:rsid w:val="00E11E44"/>
    <w:rsid w:val="00E13D8B"/>
    <w:rsid w:val="00E3270E"/>
    <w:rsid w:val="00E338EF"/>
    <w:rsid w:val="00E44E00"/>
    <w:rsid w:val="00E544BB"/>
    <w:rsid w:val="00E54734"/>
    <w:rsid w:val="00E662CB"/>
    <w:rsid w:val="00E74DC7"/>
    <w:rsid w:val="00E76806"/>
    <w:rsid w:val="00E8075A"/>
    <w:rsid w:val="00E94D5E"/>
    <w:rsid w:val="00EA7100"/>
    <w:rsid w:val="00EA7F9F"/>
    <w:rsid w:val="00EB1274"/>
    <w:rsid w:val="00EB6AD0"/>
    <w:rsid w:val="00EB78D9"/>
    <w:rsid w:val="00ED2BB6"/>
    <w:rsid w:val="00ED34E1"/>
    <w:rsid w:val="00ED3B8D"/>
    <w:rsid w:val="00ED659C"/>
    <w:rsid w:val="00EF2E3A"/>
    <w:rsid w:val="00F072A7"/>
    <w:rsid w:val="00F078DC"/>
    <w:rsid w:val="00F32BA8"/>
    <w:rsid w:val="00F349F1"/>
    <w:rsid w:val="00F4350D"/>
    <w:rsid w:val="00F567F7"/>
    <w:rsid w:val="00F62036"/>
    <w:rsid w:val="00F65B52"/>
    <w:rsid w:val="00F67BCA"/>
    <w:rsid w:val="00F73BD6"/>
    <w:rsid w:val="00F83989"/>
    <w:rsid w:val="00F85099"/>
    <w:rsid w:val="00F9379C"/>
    <w:rsid w:val="00F9632C"/>
    <w:rsid w:val="00FA1E52"/>
    <w:rsid w:val="00FB1409"/>
    <w:rsid w:val="00FD3EAC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B5C32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C335C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35C3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35C3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35C3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335C3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335C3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335C3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335C3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335C3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335C3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C335C3"/>
  </w:style>
  <w:style w:type="paragraph" w:customStyle="1" w:styleId="OPCParaBase">
    <w:name w:val="OPCParaBase"/>
    <w:qFormat/>
    <w:rsid w:val="00C335C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C335C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335C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C335C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C335C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335C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C335C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335C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335C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335C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335C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C335C3"/>
  </w:style>
  <w:style w:type="paragraph" w:customStyle="1" w:styleId="Blocks">
    <w:name w:val="Blocks"/>
    <w:aliases w:val="bb"/>
    <w:basedOn w:val="OPCParaBase"/>
    <w:qFormat/>
    <w:rsid w:val="00C335C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335C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335C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335C3"/>
    <w:rPr>
      <w:i/>
    </w:rPr>
  </w:style>
  <w:style w:type="paragraph" w:customStyle="1" w:styleId="BoxList">
    <w:name w:val="BoxList"/>
    <w:aliases w:val="bl"/>
    <w:basedOn w:val="BoxText"/>
    <w:qFormat/>
    <w:rsid w:val="00C335C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335C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335C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335C3"/>
    <w:pPr>
      <w:ind w:left="1985" w:hanging="851"/>
    </w:pPr>
  </w:style>
  <w:style w:type="character" w:customStyle="1" w:styleId="CharAmPartNo">
    <w:name w:val="CharAmPartNo"/>
    <w:basedOn w:val="OPCCharBase"/>
    <w:qFormat/>
    <w:rsid w:val="00C335C3"/>
  </w:style>
  <w:style w:type="character" w:customStyle="1" w:styleId="CharAmPartText">
    <w:name w:val="CharAmPartText"/>
    <w:basedOn w:val="OPCCharBase"/>
    <w:qFormat/>
    <w:rsid w:val="00C335C3"/>
  </w:style>
  <w:style w:type="character" w:customStyle="1" w:styleId="CharAmSchNo">
    <w:name w:val="CharAmSchNo"/>
    <w:basedOn w:val="OPCCharBase"/>
    <w:qFormat/>
    <w:rsid w:val="00C335C3"/>
  </w:style>
  <w:style w:type="character" w:customStyle="1" w:styleId="CharAmSchText">
    <w:name w:val="CharAmSchText"/>
    <w:basedOn w:val="OPCCharBase"/>
    <w:qFormat/>
    <w:rsid w:val="00C335C3"/>
  </w:style>
  <w:style w:type="character" w:customStyle="1" w:styleId="CharBoldItalic">
    <w:name w:val="CharBoldItalic"/>
    <w:basedOn w:val="OPCCharBase"/>
    <w:uiPriority w:val="1"/>
    <w:qFormat/>
    <w:rsid w:val="00C335C3"/>
    <w:rPr>
      <w:b/>
      <w:i/>
    </w:rPr>
  </w:style>
  <w:style w:type="character" w:customStyle="1" w:styleId="CharChapNo">
    <w:name w:val="CharChapNo"/>
    <w:basedOn w:val="OPCCharBase"/>
    <w:uiPriority w:val="1"/>
    <w:qFormat/>
    <w:rsid w:val="00C335C3"/>
  </w:style>
  <w:style w:type="character" w:customStyle="1" w:styleId="CharChapText">
    <w:name w:val="CharChapText"/>
    <w:basedOn w:val="OPCCharBase"/>
    <w:uiPriority w:val="1"/>
    <w:qFormat/>
    <w:rsid w:val="00C335C3"/>
  </w:style>
  <w:style w:type="character" w:customStyle="1" w:styleId="CharDivNo">
    <w:name w:val="CharDivNo"/>
    <w:basedOn w:val="OPCCharBase"/>
    <w:uiPriority w:val="1"/>
    <w:qFormat/>
    <w:rsid w:val="00C335C3"/>
  </w:style>
  <w:style w:type="character" w:customStyle="1" w:styleId="CharDivText">
    <w:name w:val="CharDivText"/>
    <w:basedOn w:val="OPCCharBase"/>
    <w:uiPriority w:val="1"/>
    <w:qFormat/>
    <w:rsid w:val="00C335C3"/>
  </w:style>
  <w:style w:type="character" w:customStyle="1" w:styleId="CharItalic">
    <w:name w:val="CharItalic"/>
    <w:basedOn w:val="OPCCharBase"/>
    <w:uiPriority w:val="1"/>
    <w:qFormat/>
    <w:rsid w:val="00C335C3"/>
    <w:rPr>
      <w:i/>
    </w:rPr>
  </w:style>
  <w:style w:type="character" w:customStyle="1" w:styleId="CharPartNo">
    <w:name w:val="CharPartNo"/>
    <w:basedOn w:val="OPCCharBase"/>
    <w:uiPriority w:val="1"/>
    <w:qFormat/>
    <w:rsid w:val="00C335C3"/>
  </w:style>
  <w:style w:type="character" w:customStyle="1" w:styleId="CharPartText">
    <w:name w:val="CharPartText"/>
    <w:basedOn w:val="OPCCharBase"/>
    <w:uiPriority w:val="1"/>
    <w:qFormat/>
    <w:rsid w:val="00C335C3"/>
  </w:style>
  <w:style w:type="character" w:customStyle="1" w:styleId="CharSectno">
    <w:name w:val="CharSectno"/>
    <w:basedOn w:val="OPCCharBase"/>
    <w:qFormat/>
    <w:rsid w:val="00C335C3"/>
  </w:style>
  <w:style w:type="character" w:customStyle="1" w:styleId="CharSubdNo">
    <w:name w:val="CharSubdNo"/>
    <w:basedOn w:val="OPCCharBase"/>
    <w:uiPriority w:val="1"/>
    <w:qFormat/>
    <w:rsid w:val="00C335C3"/>
  </w:style>
  <w:style w:type="character" w:customStyle="1" w:styleId="CharSubdText">
    <w:name w:val="CharSubdText"/>
    <w:basedOn w:val="OPCCharBase"/>
    <w:uiPriority w:val="1"/>
    <w:qFormat/>
    <w:rsid w:val="00C335C3"/>
  </w:style>
  <w:style w:type="paragraph" w:customStyle="1" w:styleId="CTA--">
    <w:name w:val="CTA --"/>
    <w:basedOn w:val="OPCParaBase"/>
    <w:next w:val="Normal"/>
    <w:rsid w:val="00C335C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335C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335C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335C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335C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335C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335C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335C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335C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335C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335C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335C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335C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335C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C335C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335C3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C335C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335C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C335C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335C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C335C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C335C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C335C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C335C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335C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C335C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335C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335C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335C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C335C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335C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C335C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335C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C335C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335C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C335C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335C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C335C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C335C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335C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335C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335C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335C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335C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335C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335C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335C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335C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335C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335C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link w:val="TabletextChar"/>
    <w:rsid w:val="00C335C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335C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335C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335C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335C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C335C3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C335C3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C335C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C335C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C335C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C335C3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C335C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C335C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C335C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C335C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335C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335C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335C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335C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C335C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C335C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335C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C335C3"/>
    <w:rPr>
      <w:sz w:val="16"/>
    </w:rPr>
  </w:style>
  <w:style w:type="table" w:customStyle="1" w:styleId="CFlag">
    <w:name w:val="CFlag"/>
    <w:basedOn w:val="TableNormal"/>
    <w:uiPriority w:val="99"/>
    <w:rsid w:val="00C335C3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C335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335C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33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C335C3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C335C3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C335C3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C335C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C335C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C335C3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C335C3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C335C3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C335C3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C335C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C335C3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C335C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C335C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335C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C335C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335C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335C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335C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C335C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335C3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C335C3"/>
  </w:style>
  <w:style w:type="character" w:customStyle="1" w:styleId="CharSubPartNoCASA">
    <w:name w:val="CharSubPartNo(CASA)"/>
    <w:basedOn w:val="OPCCharBase"/>
    <w:uiPriority w:val="1"/>
    <w:rsid w:val="00C335C3"/>
  </w:style>
  <w:style w:type="paragraph" w:customStyle="1" w:styleId="ENoteTTIndentHeadingSub">
    <w:name w:val="ENoteTTIndentHeadingSub"/>
    <w:aliases w:val="enTTHis"/>
    <w:basedOn w:val="OPCParaBase"/>
    <w:rsid w:val="00C335C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335C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335C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335C3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C335C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C335C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C335C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C335C3"/>
    <w:rPr>
      <w:sz w:val="22"/>
    </w:rPr>
  </w:style>
  <w:style w:type="paragraph" w:customStyle="1" w:styleId="SOTextNote">
    <w:name w:val="SO TextNote"/>
    <w:aliases w:val="sont"/>
    <w:basedOn w:val="SOText"/>
    <w:qFormat/>
    <w:rsid w:val="00C335C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C335C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335C3"/>
    <w:rPr>
      <w:sz w:val="22"/>
    </w:rPr>
  </w:style>
  <w:style w:type="paragraph" w:customStyle="1" w:styleId="FileName">
    <w:name w:val="FileName"/>
    <w:basedOn w:val="Normal"/>
    <w:rsid w:val="00C335C3"/>
  </w:style>
  <w:style w:type="paragraph" w:customStyle="1" w:styleId="TableHeading">
    <w:name w:val="TableHeading"/>
    <w:aliases w:val="th"/>
    <w:basedOn w:val="OPCParaBase"/>
    <w:next w:val="Tabletext"/>
    <w:rsid w:val="00C335C3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335C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335C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C335C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C335C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C335C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C335C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335C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335C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C335C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C335C3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C335C3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C335C3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C335C3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335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335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335C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C335C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C335C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C335C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C335C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C335C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C335C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C335C3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C335C3"/>
    <w:pPr>
      <w:ind w:left="240" w:hanging="240"/>
    </w:pPr>
  </w:style>
  <w:style w:type="paragraph" w:styleId="Index2">
    <w:name w:val="index 2"/>
    <w:basedOn w:val="Normal"/>
    <w:next w:val="Normal"/>
    <w:autoRedefine/>
    <w:rsid w:val="00C335C3"/>
    <w:pPr>
      <w:ind w:left="480" w:hanging="240"/>
    </w:pPr>
  </w:style>
  <w:style w:type="paragraph" w:styleId="Index3">
    <w:name w:val="index 3"/>
    <w:basedOn w:val="Normal"/>
    <w:next w:val="Normal"/>
    <w:autoRedefine/>
    <w:rsid w:val="00C335C3"/>
    <w:pPr>
      <w:ind w:left="720" w:hanging="240"/>
    </w:pPr>
  </w:style>
  <w:style w:type="paragraph" w:styleId="Index4">
    <w:name w:val="index 4"/>
    <w:basedOn w:val="Normal"/>
    <w:next w:val="Normal"/>
    <w:autoRedefine/>
    <w:rsid w:val="00C335C3"/>
    <w:pPr>
      <w:ind w:left="960" w:hanging="240"/>
    </w:pPr>
  </w:style>
  <w:style w:type="paragraph" w:styleId="Index5">
    <w:name w:val="index 5"/>
    <w:basedOn w:val="Normal"/>
    <w:next w:val="Normal"/>
    <w:autoRedefine/>
    <w:rsid w:val="00C335C3"/>
    <w:pPr>
      <w:ind w:left="1200" w:hanging="240"/>
    </w:pPr>
  </w:style>
  <w:style w:type="paragraph" w:styleId="Index6">
    <w:name w:val="index 6"/>
    <w:basedOn w:val="Normal"/>
    <w:next w:val="Normal"/>
    <w:autoRedefine/>
    <w:rsid w:val="00C335C3"/>
    <w:pPr>
      <w:ind w:left="1440" w:hanging="240"/>
    </w:pPr>
  </w:style>
  <w:style w:type="paragraph" w:styleId="Index7">
    <w:name w:val="index 7"/>
    <w:basedOn w:val="Normal"/>
    <w:next w:val="Normal"/>
    <w:autoRedefine/>
    <w:rsid w:val="00C335C3"/>
    <w:pPr>
      <w:ind w:left="1680" w:hanging="240"/>
    </w:pPr>
  </w:style>
  <w:style w:type="paragraph" w:styleId="Index8">
    <w:name w:val="index 8"/>
    <w:basedOn w:val="Normal"/>
    <w:next w:val="Normal"/>
    <w:autoRedefine/>
    <w:rsid w:val="00C335C3"/>
    <w:pPr>
      <w:ind w:left="1920" w:hanging="240"/>
    </w:pPr>
  </w:style>
  <w:style w:type="paragraph" w:styleId="Index9">
    <w:name w:val="index 9"/>
    <w:basedOn w:val="Normal"/>
    <w:next w:val="Normal"/>
    <w:autoRedefine/>
    <w:rsid w:val="00C335C3"/>
    <w:pPr>
      <w:ind w:left="2160" w:hanging="240"/>
    </w:pPr>
  </w:style>
  <w:style w:type="paragraph" w:styleId="NormalIndent">
    <w:name w:val="Normal Indent"/>
    <w:basedOn w:val="Normal"/>
    <w:rsid w:val="00C335C3"/>
    <w:pPr>
      <w:ind w:left="720"/>
    </w:pPr>
  </w:style>
  <w:style w:type="paragraph" w:styleId="FootnoteText">
    <w:name w:val="footnote text"/>
    <w:basedOn w:val="Normal"/>
    <w:link w:val="FootnoteTextChar"/>
    <w:rsid w:val="00C335C3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C335C3"/>
  </w:style>
  <w:style w:type="paragraph" w:styleId="CommentText">
    <w:name w:val="annotation text"/>
    <w:basedOn w:val="Normal"/>
    <w:link w:val="CommentTextChar"/>
    <w:rsid w:val="00C335C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335C3"/>
  </w:style>
  <w:style w:type="paragraph" w:styleId="IndexHeading">
    <w:name w:val="index heading"/>
    <w:basedOn w:val="Normal"/>
    <w:next w:val="Index1"/>
    <w:rsid w:val="00C335C3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C335C3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C335C3"/>
    <w:pPr>
      <w:ind w:left="480" w:hanging="480"/>
    </w:pPr>
  </w:style>
  <w:style w:type="paragraph" w:styleId="EnvelopeAddress">
    <w:name w:val="envelope address"/>
    <w:basedOn w:val="Normal"/>
    <w:rsid w:val="00C335C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C335C3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C335C3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C335C3"/>
    <w:rPr>
      <w:sz w:val="16"/>
      <w:szCs w:val="16"/>
    </w:rPr>
  </w:style>
  <w:style w:type="character" w:styleId="PageNumber">
    <w:name w:val="page number"/>
    <w:basedOn w:val="DefaultParagraphFont"/>
    <w:rsid w:val="00C335C3"/>
  </w:style>
  <w:style w:type="character" w:styleId="EndnoteReference">
    <w:name w:val="endnote reference"/>
    <w:basedOn w:val="DefaultParagraphFont"/>
    <w:rsid w:val="00C335C3"/>
    <w:rPr>
      <w:vertAlign w:val="superscript"/>
    </w:rPr>
  </w:style>
  <w:style w:type="paragraph" w:styleId="EndnoteText">
    <w:name w:val="endnote text"/>
    <w:basedOn w:val="Normal"/>
    <w:link w:val="EndnoteTextChar"/>
    <w:rsid w:val="00C335C3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C335C3"/>
  </w:style>
  <w:style w:type="paragraph" w:styleId="TableofAuthorities">
    <w:name w:val="table of authorities"/>
    <w:basedOn w:val="Normal"/>
    <w:next w:val="Normal"/>
    <w:rsid w:val="00C335C3"/>
    <w:pPr>
      <w:ind w:left="240" w:hanging="240"/>
    </w:pPr>
  </w:style>
  <w:style w:type="paragraph" w:styleId="MacroText">
    <w:name w:val="macro"/>
    <w:link w:val="MacroTextChar"/>
    <w:rsid w:val="00C335C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C335C3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C335C3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C335C3"/>
    <w:pPr>
      <w:ind w:left="283" w:hanging="283"/>
    </w:pPr>
  </w:style>
  <w:style w:type="paragraph" w:styleId="ListBullet">
    <w:name w:val="List Bullet"/>
    <w:basedOn w:val="Normal"/>
    <w:autoRedefine/>
    <w:rsid w:val="00C335C3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C335C3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C335C3"/>
    <w:pPr>
      <w:ind w:left="566" w:hanging="283"/>
    </w:pPr>
  </w:style>
  <w:style w:type="paragraph" w:styleId="List3">
    <w:name w:val="List 3"/>
    <w:basedOn w:val="Normal"/>
    <w:rsid w:val="00C335C3"/>
    <w:pPr>
      <w:ind w:left="849" w:hanging="283"/>
    </w:pPr>
  </w:style>
  <w:style w:type="paragraph" w:styleId="List4">
    <w:name w:val="List 4"/>
    <w:basedOn w:val="Normal"/>
    <w:rsid w:val="00C335C3"/>
    <w:pPr>
      <w:ind w:left="1132" w:hanging="283"/>
    </w:pPr>
  </w:style>
  <w:style w:type="paragraph" w:styleId="List5">
    <w:name w:val="List 5"/>
    <w:basedOn w:val="Normal"/>
    <w:rsid w:val="00C335C3"/>
    <w:pPr>
      <w:ind w:left="1415" w:hanging="283"/>
    </w:pPr>
  </w:style>
  <w:style w:type="paragraph" w:styleId="ListBullet2">
    <w:name w:val="List Bullet 2"/>
    <w:basedOn w:val="Normal"/>
    <w:autoRedefine/>
    <w:rsid w:val="00C335C3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C335C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C335C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C335C3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C335C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C335C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C335C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C335C3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C335C3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C335C3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C335C3"/>
    <w:pPr>
      <w:ind w:left="4252"/>
    </w:pPr>
  </w:style>
  <w:style w:type="character" w:customStyle="1" w:styleId="ClosingChar">
    <w:name w:val="Closing Char"/>
    <w:basedOn w:val="DefaultParagraphFont"/>
    <w:link w:val="Closing"/>
    <w:rsid w:val="00C335C3"/>
    <w:rPr>
      <w:sz w:val="22"/>
    </w:rPr>
  </w:style>
  <w:style w:type="paragraph" w:styleId="Signature">
    <w:name w:val="Signature"/>
    <w:basedOn w:val="Normal"/>
    <w:link w:val="SignatureChar"/>
    <w:rsid w:val="00C335C3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C335C3"/>
    <w:rPr>
      <w:sz w:val="22"/>
    </w:rPr>
  </w:style>
  <w:style w:type="paragraph" w:styleId="BodyText">
    <w:name w:val="Body Text"/>
    <w:basedOn w:val="Normal"/>
    <w:link w:val="BodyTextChar"/>
    <w:rsid w:val="00C335C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335C3"/>
    <w:rPr>
      <w:sz w:val="22"/>
    </w:rPr>
  </w:style>
  <w:style w:type="paragraph" w:styleId="BodyTextIndent">
    <w:name w:val="Body Text Indent"/>
    <w:basedOn w:val="Normal"/>
    <w:link w:val="BodyTextIndentChar"/>
    <w:rsid w:val="00C335C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C335C3"/>
    <w:rPr>
      <w:sz w:val="22"/>
    </w:rPr>
  </w:style>
  <w:style w:type="paragraph" w:styleId="ListContinue">
    <w:name w:val="List Continue"/>
    <w:basedOn w:val="Normal"/>
    <w:rsid w:val="00C335C3"/>
    <w:pPr>
      <w:spacing w:after="120"/>
      <w:ind w:left="283"/>
    </w:pPr>
  </w:style>
  <w:style w:type="paragraph" w:styleId="ListContinue2">
    <w:name w:val="List Continue 2"/>
    <w:basedOn w:val="Normal"/>
    <w:rsid w:val="00C335C3"/>
    <w:pPr>
      <w:spacing w:after="120"/>
      <w:ind w:left="566"/>
    </w:pPr>
  </w:style>
  <w:style w:type="paragraph" w:styleId="ListContinue3">
    <w:name w:val="List Continue 3"/>
    <w:basedOn w:val="Normal"/>
    <w:rsid w:val="00C335C3"/>
    <w:pPr>
      <w:spacing w:after="120"/>
      <w:ind w:left="849"/>
    </w:pPr>
  </w:style>
  <w:style w:type="paragraph" w:styleId="ListContinue4">
    <w:name w:val="List Continue 4"/>
    <w:basedOn w:val="Normal"/>
    <w:rsid w:val="00C335C3"/>
    <w:pPr>
      <w:spacing w:after="120"/>
      <w:ind w:left="1132"/>
    </w:pPr>
  </w:style>
  <w:style w:type="paragraph" w:styleId="ListContinue5">
    <w:name w:val="List Continue 5"/>
    <w:basedOn w:val="Normal"/>
    <w:rsid w:val="00C335C3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C335C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C335C3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C335C3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C335C3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C335C3"/>
  </w:style>
  <w:style w:type="character" w:customStyle="1" w:styleId="SalutationChar">
    <w:name w:val="Salutation Char"/>
    <w:basedOn w:val="DefaultParagraphFont"/>
    <w:link w:val="Salutation"/>
    <w:rsid w:val="00C335C3"/>
    <w:rPr>
      <w:sz w:val="22"/>
    </w:rPr>
  </w:style>
  <w:style w:type="paragraph" w:styleId="Date">
    <w:name w:val="Date"/>
    <w:basedOn w:val="Normal"/>
    <w:next w:val="Normal"/>
    <w:link w:val="DateChar"/>
    <w:rsid w:val="00C335C3"/>
  </w:style>
  <w:style w:type="character" w:customStyle="1" w:styleId="DateChar">
    <w:name w:val="Date Char"/>
    <w:basedOn w:val="DefaultParagraphFont"/>
    <w:link w:val="Date"/>
    <w:rsid w:val="00C335C3"/>
    <w:rPr>
      <w:sz w:val="22"/>
    </w:rPr>
  </w:style>
  <w:style w:type="paragraph" w:styleId="BodyTextFirstIndent">
    <w:name w:val="Body Text First Indent"/>
    <w:basedOn w:val="BodyText"/>
    <w:link w:val="BodyTextFirstIndentChar"/>
    <w:rsid w:val="00C335C3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C335C3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C335C3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C335C3"/>
    <w:rPr>
      <w:sz w:val="22"/>
    </w:rPr>
  </w:style>
  <w:style w:type="paragraph" w:styleId="BodyText2">
    <w:name w:val="Body Text 2"/>
    <w:basedOn w:val="Normal"/>
    <w:link w:val="BodyText2Char"/>
    <w:rsid w:val="00C335C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335C3"/>
    <w:rPr>
      <w:sz w:val="22"/>
    </w:rPr>
  </w:style>
  <w:style w:type="paragraph" w:styleId="BodyText3">
    <w:name w:val="Body Text 3"/>
    <w:basedOn w:val="Normal"/>
    <w:link w:val="BodyText3Char"/>
    <w:rsid w:val="00C335C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335C3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C335C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C335C3"/>
    <w:rPr>
      <w:sz w:val="22"/>
    </w:rPr>
  </w:style>
  <w:style w:type="paragraph" w:styleId="BodyTextIndent3">
    <w:name w:val="Body Text Indent 3"/>
    <w:basedOn w:val="Normal"/>
    <w:link w:val="BodyTextIndent3Char"/>
    <w:rsid w:val="00C335C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335C3"/>
    <w:rPr>
      <w:sz w:val="16"/>
      <w:szCs w:val="16"/>
    </w:rPr>
  </w:style>
  <w:style w:type="paragraph" w:styleId="BlockText">
    <w:name w:val="Block Text"/>
    <w:basedOn w:val="Normal"/>
    <w:rsid w:val="00C335C3"/>
    <w:pPr>
      <w:spacing w:after="120"/>
      <w:ind w:left="1440" w:right="1440"/>
    </w:pPr>
  </w:style>
  <w:style w:type="character" w:styleId="Hyperlink">
    <w:name w:val="Hyperlink"/>
    <w:basedOn w:val="DefaultParagraphFont"/>
    <w:rsid w:val="00C335C3"/>
    <w:rPr>
      <w:color w:val="0000FF"/>
      <w:u w:val="single"/>
    </w:rPr>
  </w:style>
  <w:style w:type="character" w:styleId="FollowedHyperlink">
    <w:name w:val="FollowedHyperlink"/>
    <w:basedOn w:val="DefaultParagraphFont"/>
    <w:rsid w:val="00C335C3"/>
    <w:rPr>
      <w:color w:val="800080"/>
      <w:u w:val="single"/>
    </w:rPr>
  </w:style>
  <w:style w:type="character" w:styleId="Strong">
    <w:name w:val="Strong"/>
    <w:basedOn w:val="DefaultParagraphFont"/>
    <w:qFormat/>
    <w:rsid w:val="00C335C3"/>
    <w:rPr>
      <w:b/>
      <w:bCs/>
    </w:rPr>
  </w:style>
  <w:style w:type="character" w:styleId="Emphasis">
    <w:name w:val="Emphasis"/>
    <w:basedOn w:val="DefaultParagraphFont"/>
    <w:qFormat/>
    <w:rsid w:val="00C335C3"/>
    <w:rPr>
      <w:i/>
      <w:iCs/>
    </w:rPr>
  </w:style>
  <w:style w:type="paragraph" w:styleId="DocumentMap">
    <w:name w:val="Document Map"/>
    <w:basedOn w:val="Normal"/>
    <w:link w:val="DocumentMapChar"/>
    <w:rsid w:val="00C335C3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C335C3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C335C3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C335C3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C335C3"/>
  </w:style>
  <w:style w:type="character" w:customStyle="1" w:styleId="E-mailSignatureChar">
    <w:name w:val="E-mail Signature Char"/>
    <w:basedOn w:val="DefaultParagraphFont"/>
    <w:link w:val="E-mailSignature"/>
    <w:rsid w:val="00C335C3"/>
    <w:rPr>
      <w:sz w:val="22"/>
    </w:rPr>
  </w:style>
  <w:style w:type="paragraph" w:styleId="NormalWeb">
    <w:name w:val="Normal (Web)"/>
    <w:basedOn w:val="Normal"/>
    <w:rsid w:val="00C335C3"/>
  </w:style>
  <w:style w:type="character" w:styleId="HTMLAcronym">
    <w:name w:val="HTML Acronym"/>
    <w:basedOn w:val="DefaultParagraphFont"/>
    <w:rsid w:val="00C335C3"/>
  </w:style>
  <w:style w:type="paragraph" w:styleId="HTMLAddress">
    <w:name w:val="HTML Address"/>
    <w:basedOn w:val="Normal"/>
    <w:link w:val="HTMLAddressChar"/>
    <w:rsid w:val="00C335C3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C335C3"/>
    <w:rPr>
      <w:i/>
      <w:iCs/>
      <w:sz w:val="22"/>
    </w:rPr>
  </w:style>
  <w:style w:type="character" w:styleId="HTMLCite">
    <w:name w:val="HTML Cite"/>
    <w:basedOn w:val="DefaultParagraphFont"/>
    <w:rsid w:val="00C335C3"/>
    <w:rPr>
      <w:i/>
      <w:iCs/>
    </w:rPr>
  </w:style>
  <w:style w:type="character" w:styleId="HTMLCode">
    <w:name w:val="HTML Code"/>
    <w:basedOn w:val="DefaultParagraphFont"/>
    <w:rsid w:val="00C335C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C335C3"/>
    <w:rPr>
      <w:i/>
      <w:iCs/>
    </w:rPr>
  </w:style>
  <w:style w:type="character" w:styleId="HTMLKeyboard">
    <w:name w:val="HTML Keyboard"/>
    <w:basedOn w:val="DefaultParagraphFont"/>
    <w:rsid w:val="00C335C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C335C3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C335C3"/>
    <w:rPr>
      <w:rFonts w:ascii="Courier New" w:hAnsi="Courier New" w:cs="Courier New"/>
    </w:rPr>
  </w:style>
  <w:style w:type="character" w:styleId="HTMLSample">
    <w:name w:val="HTML Sample"/>
    <w:basedOn w:val="DefaultParagraphFont"/>
    <w:rsid w:val="00C335C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C335C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C335C3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C335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335C3"/>
    <w:rPr>
      <w:b/>
      <w:bCs/>
    </w:rPr>
  </w:style>
  <w:style w:type="numbering" w:styleId="1ai">
    <w:name w:val="Outline List 1"/>
    <w:basedOn w:val="NoList"/>
    <w:rsid w:val="00C335C3"/>
    <w:pPr>
      <w:numPr>
        <w:numId w:val="14"/>
      </w:numPr>
    </w:pPr>
  </w:style>
  <w:style w:type="numbering" w:styleId="111111">
    <w:name w:val="Outline List 2"/>
    <w:basedOn w:val="NoList"/>
    <w:rsid w:val="00C335C3"/>
    <w:pPr>
      <w:numPr>
        <w:numId w:val="15"/>
      </w:numPr>
    </w:pPr>
  </w:style>
  <w:style w:type="numbering" w:styleId="ArticleSection">
    <w:name w:val="Outline List 3"/>
    <w:basedOn w:val="NoList"/>
    <w:rsid w:val="00C335C3"/>
    <w:pPr>
      <w:numPr>
        <w:numId w:val="17"/>
      </w:numPr>
    </w:pPr>
  </w:style>
  <w:style w:type="table" w:styleId="TableSimple1">
    <w:name w:val="Table Simple 1"/>
    <w:basedOn w:val="TableNormal"/>
    <w:rsid w:val="00C335C3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C335C3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C335C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C335C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C335C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C335C3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C335C3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C335C3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C335C3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C335C3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C335C3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C335C3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C335C3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C335C3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C335C3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C335C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C335C3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C335C3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C335C3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C335C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C335C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C335C3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C335C3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C335C3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C335C3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C335C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C335C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C335C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C335C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C335C3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C335C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C335C3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C335C3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C335C3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C335C3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C335C3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C335C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C335C3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C335C3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C335C3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C335C3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C335C3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C335C3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C335C3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C335C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C335C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C335C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C335C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C335C3"/>
  </w:style>
  <w:style w:type="character" w:customStyle="1" w:styleId="paragraphChar">
    <w:name w:val="paragraph Char"/>
    <w:aliases w:val="a Char"/>
    <w:link w:val="paragraph"/>
    <w:locked/>
    <w:rsid w:val="00EB78D9"/>
    <w:rPr>
      <w:rFonts w:eastAsia="Times New Roman" w:cs="Times New Roman"/>
      <w:sz w:val="22"/>
      <w:lang w:eastAsia="en-AU"/>
    </w:rPr>
  </w:style>
  <w:style w:type="character" w:customStyle="1" w:styleId="TabletextChar">
    <w:name w:val="Tabletext Char"/>
    <w:aliases w:val="tt Char"/>
    <w:basedOn w:val="DefaultParagraphFont"/>
    <w:link w:val="Tabletext"/>
    <w:rsid w:val="00EB78D9"/>
    <w:rPr>
      <w:rFonts w:eastAsia="Times New Roman" w:cs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20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oleObject" Target="embeddings/oleObject1.bin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image" Target="media/image2.w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7.xml"/><Relationship Id="rId27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F1AEE-F3DD-461E-ABFE-BE106291F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1090</Words>
  <Characters>6215</Characters>
  <Application>Microsoft Office Word</Application>
  <DocSecurity>2</DocSecurity>
  <PresentationFormat/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Exposure draft - Superannuation Auditor Registration Imposition Regulations 2022</vt:lpstr>
    </vt:vector>
  </TitlesOfParts>
  <Manager/>
  <Company/>
  <LinksUpToDate>false</LinksUpToDate>
  <CharactersWithSpaces>7291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Exposure draft - Superannuation Auditor Registration Imposition Regulations 2022</dc:title>
  <dc:subject/>
  <dc:creator/>
  <cp:keywords/>
  <dc:description/>
  <cp:lastModifiedBy/>
  <cp:revision>1</cp:revision>
  <dcterms:created xsi:type="dcterms:W3CDTF">2022-10-03T23:39:00Z</dcterms:created>
  <dcterms:modified xsi:type="dcterms:W3CDTF">2022-10-03T23:41:00Z</dcterms:modified>
  <cp:category/>
  <cp:contentStatus/>
  <dc:language/>
  <cp:version/>
</cp:coreProperties>
</file>