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FF4D" w14:textId="77777777" w:rsidR="0048364F" w:rsidRPr="000B20CE" w:rsidRDefault="00C24EE9" w:rsidP="0048364F">
      <w:pPr>
        <w:pStyle w:val="Session"/>
      </w:pPr>
      <w:r w:rsidRPr="000B20CE">
        <w:t>2022</w:t>
      </w:r>
    </w:p>
    <w:p w14:paraId="1EEFE3E6" w14:textId="77777777" w:rsidR="0048364F" w:rsidRPr="000B20CE" w:rsidRDefault="0048364F" w:rsidP="0048364F">
      <w:pPr>
        <w:rPr>
          <w:sz w:val="28"/>
        </w:rPr>
      </w:pPr>
    </w:p>
    <w:p w14:paraId="7406A77F" w14:textId="77777777" w:rsidR="0048364F" w:rsidRPr="000B20CE" w:rsidRDefault="0048364F" w:rsidP="0048364F">
      <w:pPr>
        <w:rPr>
          <w:sz w:val="28"/>
        </w:rPr>
      </w:pPr>
      <w:r w:rsidRPr="000B20CE">
        <w:rPr>
          <w:sz w:val="28"/>
        </w:rPr>
        <w:t>The Parliament of the</w:t>
      </w:r>
    </w:p>
    <w:p w14:paraId="3E54B523" w14:textId="77777777" w:rsidR="0048364F" w:rsidRPr="000B20CE" w:rsidRDefault="0048364F" w:rsidP="0048364F">
      <w:pPr>
        <w:rPr>
          <w:sz w:val="28"/>
        </w:rPr>
      </w:pPr>
      <w:r w:rsidRPr="000B20CE">
        <w:rPr>
          <w:sz w:val="28"/>
        </w:rPr>
        <w:t>Commonwealth of Australia</w:t>
      </w:r>
    </w:p>
    <w:p w14:paraId="52B5DF3F" w14:textId="77777777" w:rsidR="0048364F" w:rsidRPr="000B20CE" w:rsidRDefault="0048364F" w:rsidP="0048364F">
      <w:pPr>
        <w:rPr>
          <w:sz w:val="28"/>
        </w:rPr>
      </w:pPr>
    </w:p>
    <w:p w14:paraId="2642646E" w14:textId="77777777" w:rsidR="0048364F" w:rsidRPr="000B20CE" w:rsidRDefault="0048364F" w:rsidP="0048364F">
      <w:pPr>
        <w:pStyle w:val="House"/>
      </w:pPr>
      <w:r w:rsidRPr="000B20CE">
        <w:t>HOUSE OF REPRESENTATIVES</w:t>
      </w:r>
    </w:p>
    <w:p w14:paraId="5C13A30E" w14:textId="77777777" w:rsidR="0048364F" w:rsidRPr="000B20CE" w:rsidRDefault="0048364F" w:rsidP="0048364F"/>
    <w:p w14:paraId="78633AC8" w14:textId="77777777" w:rsidR="0048364F" w:rsidRPr="000B20CE" w:rsidRDefault="0048364F" w:rsidP="0048364F"/>
    <w:p w14:paraId="11D2FDAD" w14:textId="77777777" w:rsidR="0048364F" w:rsidRPr="000B20CE" w:rsidRDefault="0048364F" w:rsidP="0048364F"/>
    <w:p w14:paraId="665A826E" w14:textId="77777777" w:rsidR="0048364F" w:rsidRPr="000B20CE" w:rsidRDefault="0048364F" w:rsidP="0048364F"/>
    <w:p w14:paraId="394A92B9" w14:textId="77777777" w:rsidR="0048364F" w:rsidRPr="000B20CE" w:rsidRDefault="0048364F" w:rsidP="0048364F">
      <w:pPr>
        <w:rPr>
          <w:sz w:val="19"/>
        </w:rPr>
      </w:pPr>
    </w:p>
    <w:p w14:paraId="7CEB9819" w14:textId="77777777" w:rsidR="0048364F" w:rsidRPr="000B20CE" w:rsidRDefault="0048364F" w:rsidP="0048364F">
      <w:pPr>
        <w:rPr>
          <w:sz w:val="19"/>
        </w:rPr>
      </w:pPr>
    </w:p>
    <w:p w14:paraId="7536EF90" w14:textId="77777777" w:rsidR="0048364F" w:rsidRPr="000B20CE" w:rsidRDefault="0048364F" w:rsidP="0048364F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2500EC" w14:paraId="7AEAB302" w14:textId="77777777" w:rsidTr="002500EC">
        <w:tc>
          <w:tcPr>
            <w:tcW w:w="5000" w:type="pct"/>
            <w:shd w:val="clear" w:color="auto" w:fill="auto"/>
          </w:tcPr>
          <w:p w14:paraId="57916A83" w14:textId="77777777" w:rsidR="002500EC" w:rsidRDefault="002500EC" w:rsidP="002500E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0AFFF88" w14:textId="77777777" w:rsidR="002500EC" w:rsidRPr="002500EC" w:rsidRDefault="002500EC" w:rsidP="002500EC">
            <w:pPr>
              <w:rPr>
                <w:b/>
                <w:sz w:val="20"/>
              </w:rPr>
            </w:pPr>
          </w:p>
        </w:tc>
      </w:tr>
    </w:tbl>
    <w:p w14:paraId="18E2532F" w14:textId="77777777" w:rsidR="0048364F" w:rsidRDefault="0048364F" w:rsidP="0048364F">
      <w:pPr>
        <w:rPr>
          <w:sz w:val="19"/>
        </w:rPr>
      </w:pPr>
    </w:p>
    <w:p w14:paraId="3D9DF00A" w14:textId="77777777" w:rsidR="002500EC" w:rsidRPr="000B20CE" w:rsidRDefault="002500EC" w:rsidP="0048364F">
      <w:pPr>
        <w:rPr>
          <w:sz w:val="19"/>
        </w:rPr>
      </w:pPr>
    </w:p>
    <w:p w14:paraId="6F0E91C9" w14:textId="77777777" w:rsidR="0048364F" w:rsidRPr="000B20CE" w:rsidRDefault="00A52F7C" w:rsidP="0048364F">
      <w:pPr>
        <w:pStyle w:val="ShortT"/>
      </w:pPr>
      <w:r w:rsidRPr="000B20CE">
        <w:t>Treasury Laws Amendment (Off</w:t>
      </w:r>
      <w:r w:rsidR="00793A61">
        <w:noBreakHyphen/>
      </w:r>
      <w:r w:rsidRPr="000B20CE">
        <w:t>Market Share Buy</w:t>
      </w:r>
      <w:r w:rsidR="00793A61">
        <w:noBreakHyphen/>
      </w:r>
      <w:r w:rsidRPr="000B20CE">
        <w:t>Backs) Bill 2022</w:t>
      </w:r>
    </w:p>
    <w:p w14:paraId="1CFBCA47" w14:textId="77777777" w:rsidR="0048364F" w:rsidRPr="000B20CE" w:rsidRDefault="0048364F" w:rsidP="0048364F"/>
    <w:p w14:paraId="028BBBD2" w14:textId="77777777" w:rsidR="0048364F" w:rsidRPr="000B20CE" w:rsidRDefault="00C164CA" w:rsidP="0048364F">
      <w:pPr>
        <w:pStyle w:val="Actno"/>
      </w:pPr>
      <w:r w:rsidRPr="000B20CE">
        <w:t xml:space="preserve">No.    </w:t>
      </w:r>
      <w:proofErr w:type="gramStart"/>
      <w:r w:rsidRPr="000B20CE">
        <w:t xml:space="preserve">  ,</w:t>
      </w:r>
      <w:proofErr w:type="gramEnd"/>
      <w:r w:rsidRPr="000B20CE">
        <w:t xml:space="preserve"> 20</w:t>
      </w:r>
      <w:r w:rsidR="009E186E" w:rsidRPr="000B20CE">
        <w:t>2</w:t>
      </w:r>
      <w:r w:rsidR="005F11B1" w:rsidRPr="000B20CE">
        <w:t>2</w:t>
      </w:r>
    </w:p>
    <w:p w14:paraId="45B11957" w14:textId="77777777" w:rsidR="0048364F" w:rsidRPr="000B20CE" w:rsidRDefault="0048364F" w:rsidP="0048364F"/>
    <w:p w14:paraId="36260556" w14:textId="77777777" w:rsidR="0048364F" w:rsidRPr="000B20CE" w:rsidRDefault="0048364F" w:rsidP="0048364F">
      <w:pPr>
        <w:pStyle w:val="Portfolio"/>
      </w:pPr>
      <w:r w:rsidRPr="000B20CE">
        <w:t>(</w:t>
      </w:r>
      <w:r w:rsidR="00A52F7C" w:rsidRPr="000B20CE">
        <w:t>Treasury</w:t>
      </w:r>
      <w:r w:rsidRPr="000B20CE">
        <w:t>)</w:t>
      </w:r>
    </w:p>
    <w:p w14:paraId="6BA77FD8" w14:textId="77777777" w:rsidR="0048364F" w:rsidRPr="000B20CE" w:rsidRDefault="0048364F" w:rsidP="0048364F"/>
    <w:p w14:paraId="13E065E0" w14:textId="77777777" w:rsidR="0048364F" w:rsidRPr="000B20CE" w:rsidRDefault="0048364F" w:rsidP="0048364F"/>
    <w:p w14:paraId="22B10523" w14:textId="77777777" w:rsidR="0048364F" w:rsidRPr="000B20CE" w:rsidRDefault="0048364F" w:rsidP="0048364F"/>
    <w:p w14:paraId="7C1EE37B" w14:textId="77777777" w:rsidR="0048364F" w:rsidRPr="000B20CE" w:rsidRDefault="0048364F" w:rsidP="0048364F">
      <w:pPr>
        <w:pStyle w:val="LongT"/>
      </w:pPr>
      <w:r w:rsidRPr="000B20CE">
        <w:t xml:space="preserve">A Bill for an Act to </w:t>
      </w:r>
      <w:r w:rsidR="001D4FD8" w:rsidRPr="000B20CE">
        <w:t>amend the law relating to taxation</w:t>
      </w:r>
      <w:r w:rsidRPr="000B20CE">
        <w:t>, and for related purposes</w:t>
      </w:r>
    </w:p>
    <w:p w14:paraId="4809E8BC" w14:textId="77777777" w:rsidR="0048364F" w:rsidRPr="002500EC" w:rsidRDefault="0048364F" w:rsidP="0048364F">
      <w:pPr>
        <w:pStyle w:val="Header"/>
        <w:tabs>
          <w:tab w:val="clear" w:pos="4150"/>
          <w:tab w:val="clear" w:pos="8307"/>
        </w:tabs>
      </w:pPr>
      <w:r w:rsidRPr="002500EC">
        <w:rPr>
          <w:rStyle w:val="CharAmSchNo"/>
        </w:rPr>
        <w:t xml:space="preserve"> </w:t>
      </w:r>
      <w:r w:rsidRPr="002500EC">
        <w:rPr>
          <w:rStyle w:val="CharAmSchText"/>
        </w:rPr>
        <w:t xml:space="preserve"> </w:t>
      </w:r>
    </w:p>
    <w:p w14:paraId="3F32424C" w14:textId="77777777" w:rsidR="0048364F" w:rsidRPr="002500EC" w:rsidRDefault="0048364F" w:rsidP="0048364F">
      <w:pPr>
        <w:pStyle w:val="Header"/>
        <w:tabs>
          <w:tab w:val="clear" w:pos="4150"/>
          <w:tab w:val="clear" w:pos="8307"/>
        </w:tabs>
      </w:pPr>
      <w:r w:rsidRPr="002500EC">
        <w:rPr>
          <w:rStyle w:val="CharAmPartNo"/>
        </w:rPr>
        <w:t xml:space="preserve"> </w:t>
      </w:r>
      <w:r w:rsidRPr="002500EC">
        <w:rPr>
          <w:rStyle w:val="CharAmPartText"/>
        </w:rPr>
        <w:t xml:space="preserve"> </w:t>
      </w:r>
    </w:p>
    <w:p w14:paraId="06263AD3" w14:textId="77777777" w:rsidR="0048364F" w:rsidRPr="000B20CE" w:rsidRDefault="0048364F" w:rsidP="0048364F">
      <w:pPr>
        <w:sectPr w:rsidR="0048364F" w:rsidRPr="000B20CE" w:rsidSect="00793A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03AB62A2" w14:textId="77777777" w:rsidR="0048364F" w:rsidRPr="000B20CE" w:rsidRDefault="0048364F" w:rsidP="0048364F">
      <w:pPr>
        <w:outlineLvl w:val="0"/>
        <w:rPr>
          <w:sz w:val="36"/>
        </w:rPr>
      </w:pPr>
      <w:r w:rsidRPr="000B20CE">
        <w:rPr>
          <w:sz w:val="36"/>
        </w:rPr>
        <w:lastRenderedPageBreak/>
        <w:t>Contents</w:t>
      </w:r>
    </w:p>
    <w:p w14:paraId="60F39A3F" w14:textId="77777777" w:rsidR="002500EC" w:rsidRDefault="002500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500EC">
        <w:rPr>
          <w:noProof/>
        </w:rPr>
        <w:tab/>
      </w:r>
      <w:r w:rsidRPr="002500EC">
        <w:rPr>
          <w:noProof/>
        </w:rPr>
        <w:fldChar w:fldCharType="begin"/>
      </w:r>
      <w:r w:rsidRPr="002500EC">
        <w:rPr>
          <w:noProof/>
        </w:rPr>
        <w:instrText xml:space="preserve"> PAGEREF _Toc118735425 \h </w:instrText>
      </w:r>
      <w:r w:rsidRPr="002500EC">
        <w:rPr>
          <w:noProof/>
        </w:rPr>
      </w:r>
      <w:r w:rsidRPr="002500EC">
        <w:rPr>
          <w:noProof/>
        </w:rPr>
        <w:fldChar w:fldCharType="separate"/>
      </w:r>
      <w:r w:rsidR="00CE1506">
        <w:rPr>
          <w:noProof/>
        </w:rPr>
        <w:t>1</w:t>
      </w:r>
      <w:r w:rsidRPr="002500EC">
        <w:rPr>
          <w:noProof/>
        </w:rPr>
        <w:fldChar w:fldCharType="end"/>
      </w:r>
    </w:p>
    <w:p w14:paraId="7C7141F8" w14:textId="77777777" w:rsidR="002500EC" w:rsidRDefault="002500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500EC">
        <w:rPr>
          <w:noProof/>
        </w:rPr>
        <w:tab/>
      </w:r>
      <w:r w:rsidRPr="002500EC">
        <w:rPr>
          <w:noProof/>
        </w:rPr>
        <w:fldChar w:fldCharType="begin"/>
      </w:r>
      <w:r w:rsidRPr="002500EC">
        <w:rPr>
          <w:noProof/>
        </w:rPr>
        <w:instrText xml:space="preserve"> PAGEREF _Toc118735426 \h </w:instrText>
      </w:r>
      <w:r w:rsidRPr="002500EC">
        <w:rPr>
          <w:noProof/>
        </w:rPr>
      </w:r>
      <w:r w:rsidRPr="002500EC">
        <w:rPr>
          <w:noProof/>
        </w:rPr>
        <w:fldChar w:fldCharType="separate"/>
      </w:r>
      <w:r w:rsidR="00CE1506">
        <w:rPr>
          <w:noProof/>
        </w:rPr>
        <w:t>1</w:t>
      </w:r>
      <w:r w:rsidRPr="002500EC">
        <w:rPr>
          <w:noProof/>
        </w:rPr>
        <w:fldChar w:fldCharType="end"/>
      </w:r>
    </w:p>
    <w:p w14:paraId="1FFCB431" w14:textId="77777777" w:rsidR="002500EC" w:rsidRDefault="002500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500EC">
        <w:rPr>
          <w:noProof/>
        </w:rPr>
        <w:tab/>
      </w:r>
      <w:r w:rsidRPr="002500EC">
        <w:rPr>
          <w:noProof/>
        </w:rPr>
        <w:fldChar w:fldCharType="begin"/>
      </w:r>
      <w:r w:rsidRPr="002500EC">
        <w:rPr>
          <w:noProof/>
        </w:rPr>
        <w:instrText xml:space="preserve"> PAGEREF _Toc118735427 \h </w:instrText>
      </w:r>
      <w:r w:rsidRPr="002500EC">
        <w:rPr>
          <w:noProof/>
        </w:rPr>
      </w:r>
      <w:r w:rsidRPr="002500EC">
        <w:rPr>
          <w:noProof/>
        </w:rPr>
        <w:fldChar w:fldCharType="separate"/>
      </w:r>
      <w:r w:rsidR="00CE1506">
        <w:rPr>
          <w:noProof/>
        </w:rPr>
        <w:t>2</w:t>
      </w:r>
      <w:r w:rsidRPr="002500EC">
        <w:rPr>
          <w:noProof/>
        </w:rPr>
        <w:fldChar w:fldCharType="end"/>
      </w:r>
    </w:p>
    <w:p w14:paraId="3C998143" w14:textId="77777777" w:rsidR="002500EC" w:rsidRDefault="002500E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Pr="008150ED">
        <w:rPr>
          <w:rFonts w:cs="Arial"/>
          <w:noProof/>
        </w:rPr>
        <w:t>—</w:t>
      </w:r>
      <w:r>
        <w:rPr>
          <w:noProof/>
        </w:rPr>
        <w:t>Off</w:t>
      </w:r>
      <w:r>
        <w:rPr>
          <w:noProof/>
        </w:rPr>
        <w:noBreakHyphen/>
        <w:t>market share buy</w:t>
      </w:r>
      <w:r>
        <w:rPr>
          <w:noProof/>
        </w:rPr>
        <w:noBreakHyphen/>
        <w:t>backs</w:t>
      </w:r>
      <w:r w:rsidRPr="002500EC">
        <w:rPr>
          <w:b w:val="0"/>
          <w:noProof/>
          <w:sz w:val="18"/>
        </w:rPr>
        <w:tab/>
      </w:r>
      <w:r w:rsidRPr="002500EC">
        <w:rPr>
          <w:b w:val="0"/>
          <w:noProof/>
          <w:sz w:val="18"/>
        </w:rPr>
        <w:fldChar w:fldCharType="begin"/>
      </w:r>
      <w:r w:rsidRPr="002500EC">
        <w:rPr>
          <w:b w:val="0"/>
          <w:noProof/>
          <w:sz w:val="18"/>
        </w:rPr>
        <w:instrText xml:space="preserve"> PAGEREF _Toc118735428 \h </w:instrText>
      </w:r>
      <w:r w:rsidRPr="002500EC">
        <w:rPr>
          <w:b w:val="0"/>
          <w:noProof/>
          <w:sz w:val="18"/>
        </w:rPr>
      </w:r>
      <w:r w:rsidRPr="002500EC">
        <w:rPr>
          <w:b w:val="0"/>
          <w:noProof/>
          <w:sz w:val="18"/>
        </w:rPr>
        <w:fldChar w:fldCharType="separate"/>
      </w:r>
      <w:r w:rsidR="00CE1506">
        <w:rPr>
          <w:b w:val="0"/>
          <w:noProof/>
          <w:sz w:val="18"/>
        </w:rPr>
        <w:t>2</w:t>
      </w:r>
      <w:r w:rsidRPr="002500EC">
        <w:rPr>
          <w:b w:val="0"/>
          <w:noProof/>
          <w:sz w:val="18"/>
        </w:rPr>
        <w:fldChar w:fldCharType="end"/>
      </w:r>
    </w:p>
    <w:p w14:paraId="6800A96D" w14:textId="77777777" w:rsidR="002500EC" w:rsidRDefault="002500E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2500EC">
        <w:rPr>
          <w:noProof/>
          <w:sz w:val="18"/>
        </w:rPr>
        <w:tab/>
      </w:r>
      <w:r w:rsidRPr="002500EC">
        <w:rPr>
          <w:noProof/>
          <w:sz w:val="18"/>
        </w:rPr>
        <w:fldChar w:fldCharType="begin"/>
      </w:r>
      <w:r w:rsidRPr="002500EC">
        <w:rPr>
          <w:noProof/>
          <w:sz w:val="18"/>
        </w:rPr>
        <w:instrText xml:space="preserve"> PAGEREF _Toc118735429 \h </w:instrText>
      </w:r>
      <w:r w:rsidRPr="002500EC">
        <w:rPr>
          <w:noProof/>
          <w:sz w:val="18"/>
        </w:rPr>
      </w:r>
      <w:r w:rsidRPr="002500EC">
        <w:rPr>
          <w:noProof/>
          <w:sz w:val="18"/>
        </w:rPr>
        <w:fldChar w:fldCharType="separate"/>
      </w:r>
      <w:r w:rsidR="00CE1506">
        <w:rPr>
          <w:noProof/>
          <w:sz w:val="18"/>
        </w:rPr>
        <w:t>2</w:t>
      </w:r>
      <w:r w:rsidRPr="002500EC">
        <w:rPr>
          <w:noProof/>
          <w:sz w:val="18"/>
        </w:rPr>
        <w:fldChar w:fldCharType="end"/>
      </w:r>
    </w:p>
    <w:p w14:paraId="7C709C60" w14:textId="77777777" w:rsidR="002500EC" w:rsidRDefault="002500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1936</w:t>
      </w:r>
      <w:r w:rsidRPr="002500EC">
        <w:rPr>
          <w:i w:val="0"/>
          <w:noProof/>
          <w:sz w:val="18"/>
        </w:rPr>
        <w:tab/>
      </w:r>
      <w:r w:rsidRPr="002500EC">
        <w:rPr>
          <w:i w:val="0"/>
          <w:noProof/>
          <w:sz w:val="18"/>
        </w:rPr>
        <w:fldChar w:fldCharType="begin"/>
      </w:r>
      <w:r w:rsidRPr="002500EC">
        <w:rPr>
          <w:i w:val="0"/>
          <w:noProof/>
          <w:sz w:val="18"/>
        </w:rPr>
        <w:instrText xml:space="preserve"> PAGEREF _Toc118735430 \h </w:instrText>
      </w:r>
      <w:r w:rsidRPr="002500EC">
        <w:rPr>
          <w:i w:val="0"/>
          <w:noProof/>
          <w:sz w:val="18"/>
        </w:rPr>
      </w:r>
      <w:r w:rsidRPr="002500EC">
        <w:rPr>
          <w:i w:val="0"/>
          <w:noProof/>
          <w:sz w:val="18"/>
        </w:rPr>
        <w:fldChar w:fldCharType="separate"/>
      </w:r>
      <w:r w:rsidR="00CE1506">
        <w:rPr>
          <w:i w:val="0"/>
          <w:noProof/>
          <w:sz w:val="18"/>
        </w:rPr>
        <w:t>2</w:t>
      </w:r>
      <w:r w:rsidRPr="002500EC">
        <w:rPr>
          <w:i w:val="0"/>
          <w:noProof/>
          <w:sz w:val="18"/>
        </w:rPr>
        <w:fldChar w:fldCharType="end"/>
      </w:r>
    </w:p>
    <w:p w14:paraId="072C10A8" w14:textId="77777777" w:rsidR="002500EC" w:rsidRDefault="002500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2500EC">
        <w:rPr>
          <w:i w:val="0"/>
          <w:noProof/>
          <w:sz w:val="18"/>
        </w:rPr>
        <w:tab/>
      </w:r>
      <w:r w:rsidRPr="002500EC">
        <w:rPr>
          <w:i w:val="0"/>
          <w:noProof/>
          <w:sz w:val="18"/>
        </w:rPr>
        <w:fldChar w:fldCharType="begin"/>
      </w:r>
      <w:r w:rsidRPr="002500EC">
        <w:rPr>
          <w:i w:val="0"/>
          <w:noProof/>
          <w:sz w:val="18"/>
        </w:rPr>
        <w:instrText xml:space="preserve"> PAGEREF _Toc118735432 \h </w:instrText>
      </w:r>
      <w:r w:rsidRPr="002500EC">
        <w:rPr>
          <w:i w:val="0"/>
          <w:noProof/>
          <w:sz w:val="18"/>
        </w:rPr>
      </w:r>
      <w:r w:rsidRPr="002500EC">
        <w:rPr>
          <w:i w:val="0"/>
          <w:noProof/>
          <w:sz w:val="18"/>
        </w:rPr>
        <w:fldChar w:fldCharType="separate"/>
      </w:r>
      <w:r w:rsidR="00CE1506">
        <w:rPr>
          <w:i w:val="0"/>
          <w:noProof/>
          <w:sz w:val="18"/>
        </w:rPr>
        <w:t>2</w:t>
      </w:r>
      <w:r w:rsidRPr="002500EC">
        <w:rPr>
          <w:i w:val="0"/>
          <w:noProof/>
          <w:sz w:val="18"/>
        </w:rPr>
        <w:fldChar w:fldCharType="end"/>
      </w:r>
    </w:p>
    <w:p w14:paraId="4087A139" w14:textId="77777777" w:rsidR="002500EC" w:rsidRDefault="002500E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2500EC">
        <w:rPr>
          <w:noProof/>
          <w:sz w:val="18"/>
        </w:rPr>
        <w:tab/>
      </w:r>
      <w:r w:rsidRPr="002500EC">
        <w:rPr>
          <w:noProof/>
          <w:sz w:val="18"/>
        </w:rPr>
        <w:fldChar w:fldCharType="begin"/>
      </w:r>
      <w:r w:rsidRPr="002500EC">
        <w:rPr>
          <w:noProof/>
          <w:sz w:val="18"/>
        </w:rPr>
        <w:instrText xml:space="preserve"> PAGEREF _Toc118735433 \h </w:instrText>
      </w:r>
      <w:r w:rsidRPr="002500EC">
        <w:rPr>
          <w:noProof/>
          <w:sz w:val="18"/>
        </w:rPr>
      </w:r>
      <w:r w:rsidRPr="002500EC">
        <w:rPr>
          <w:noProof/>
          <w:sz w:val="18"/>
        </w:rPr>
        <w:fldChar w:fldCharType="separate"/>
      </w:r>
      <w:r w:rsidR="00CE1506">
        <w:rPr>
          <w:noProof/>
          <w:sz w:val="18"/>
        </w:rPr>
        <w:t>2</w:t>
      </w:r>
      <w:r w:rsidRPr="002500EC">
        <w:rPr>
          <w:noProof/>
          <w:sz w:val="18"/>
        </w:rPr>
        <w:fldChar w:fldCharType="end"/>
      </w:r>
    </w:p>
    <w:p w14:paraId="2E40D748" w14:textId="77777777" w:rsidR="002500EC" w:rsidRDefault="002500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1936</w:t>
      </w:r>
      <w:r w:rsidRPr="002500EC">
        <w:rPr>
          <w:i w:val="0"/>
          <w:noProof/>
          <w:sz w:val="18"/>
        </w:rPr>
        <w:tab/>
      </w:r>
      <w:r w:rsidRPr="002500EC">
        <w:rPr>
          <w:i w:val="0"/>
          <w:noProof/>
          <w:sz w:val="18"/>
        </w:rPr>
        <w:fldChar w:fldCharType="begin"/>
      </w:r>
      <w:r w:rsidRPr="002500EC">
        <w:rPr>
          <w:i w:val="0"/>
          <w:noProof/>
          <w:sz w:val="18"/>
        </w:rPr>
        <w:instrText xml:space="preserve"> PAGEREF _Toc118735434 \h </w:instrText>
      </w:r>
      <w:r w:rsidRPr="002500EC">
        <w:rPr>
          <w:i w:val="0"/>
          <w:noProof/>
          <w:sz w:val="18"/>
        </w:rPr>
      </w:r>
      <w:r w:rsidRPr="002500EC">
        <w:rPr>
          <w:i w:val="0"/>
          <w:noProof/>
          <w:sz w:val="18"/>
        </w:rPr>
        <w:fldChar w:fldCharType="separate"/>
      </w:r>
      <w:r w:rsidR="00CE1506">
        <w:rPr>
          <w:i w:val="0"/>
          <w:noProof/>
          <w:sz w:val="18"/>
        </w:rPr>
        <w:t>2</w:t>
      </w:r>
      <w:r w:rsidRPr="002500EC">
        <w:rPr>
          <w:i w:val="0"/>
          <w:noProof/>
          <w:sz w:val="18"/>
        </w:rPr>
        <w:fldChar w:fldCharType="end"/>
      </w:r>
    </w:p>
    <w:p w14:paraId="088FBB41" w14:textId="77777777" w:rsidR="002500EC" w:rsidRDefault="002500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2500EC">
        <w:rPr>
          <w:i w:val="0"/>
          <w:noProof/>
          <w:sz w:val="18"/>
        </w:rPr>
        <w:tab/>
      </w:r>
      <w:r w:rsidRPr="002500EC">
        <w:rPr>
          <w:i w:val="0"/>
          <w:noProof/>
          <w:sz w:val="18"/>
        </w:rPr>
        <w:fldChar w:fldCharType="begin"/>
      </w:r>
      <w:r w:rsidRPr="002500EC">
        <w:rPr>
          <w:i w:val="0"/>
          <w:noProof/>
          <w:sz w:val="18"/>
        </w:rPr>
        <w:instrText xml:space="preserve"> PAGEREF _Toc118735435 \h </w:instrText>
      </w:r>
      <w:r w:rsidRPr="002500EC">
        <w:rPr>
          <w:i w:val="0"/>
          <w:noProof/>
          <w:sz w:val="18"/>
        </w:rPr>
      </w:r>
      <w:r w:rsidRPr="002500EC">
        <w:rPr>
          <w:i w:val="0"/>
          <w:noProof/>
          <w:sz w:val="18"/>
        </w:rPr>
        <w:fldChar w:fldCharType="separate"/>
      </w:r>
      <w:r w:rsidR="00CE1506">
        <w:rPr>
          <w:i w:val="0"/>
          <w:noProof/>
          <w:sz w:val="18"/>
        </w:rPr>
        <w:t>2</w:t>
      </w:r>
      <w:r w:rsidRPr="002500EC">
        <w:rPr>
          <w:i w:val="0"/>
          <w:noProof/>
          <w:sz w:val="18"/>
        </w:rPr>
        <w:fldChar w:fldCharType="end"/>
      </w:r>
    </w:p>
    <w:p w14:paraId="0D0F54C7" w14:textId="77777777" w:rsidR="002500EC" w:rsidRDefault="002500E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2—Selective share cancellations</w:t>
      </w:r>
      <w:r w:rsidRPr="002500EC">
        <w:rPr>
          <w:b w:val="0"/>
          <w:noProof/>
          <w:sz w:val="18"/>
        </w:rPr>
        <w:tab/>
      </w:r>
      <w:r w:rsidRPr="002500EC">
        <w:rPr>
          <w:b w:val="0"/>
          <w:noProof/>
          <w:sz w:val="18"/>
        </w:rPr>
        <w:fldChar w:fldCharType="begin"/>
      </w:r>
      <w:r w:rsidRPr="002500EC">
        <w:rPr>
          <w:b w:val="0"/>
          <w:noProof/>
          <w:sz w:val="18"/>
        </w:rPr>
        <w:instrText xml:space="preserve"> PAGEREF _Toc118735436 \h </w:instrText>
      </w:r>
      <w:r w:rsidRPr="002500EC">
        <w:rPr>
          <w:b w:val="0"/>
          <w:noProof/>
          <w:sz w:val="18"/>
        </w:rPr>
      </w:r>
      <w:r w:rsidRPr="002500EC">
        <w:rPr>
          <w:b w:val="0"/>
          <w:noProof/>
          <w:sz w:val="18"/>
        </w:rPr>
        <w:fldChar w:fldCharType="separate"/>
      </w:r>
      <w:r w:rsidR="00CE1506">
        <w:rPr>
          <w:b w:val="0"/>
          <w:noProof/>
          <w:sz w:val="18"/>
        </w:rPr>
        <w:t>2</w:t>
      </w:r>
      <w:r w:rsidRPr="002500EC">
        <w:rPr>
          <w:b w:val="0"/>
          <w:noProof/>
          <w:sz w:val="18"/>
        </w:rPr>
        <w:fldChar w:fldCharType="end"/>
      </w:r>
    </w:p>
    <w:p w14:paraId="2034178F" w14:textId="77777777" w:rsidR="002500EC" w:rsidRDefault="002500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2500EC">
        <w:rPr>
          <w:i w:val="0"/>
          <w:noProof/>
          <w:sz w:val="18"/>
        </w:rPr>
        <w:tab/>
      </w:r>
      <w:r w:rsidRPr="002500EC">
        <w:rPr>
          <w:i w:val="0"/>
          <w:noProof/>
          <w:sz w:val="18"/>
        </w:rPr>
        <w:fldChar w:fldCharType="begin"/>
      </w:r>
      <w:r w:rsidRPr="002500EC">
        <w:rPr>
          <w:i w:val="0"/>
          <w:noProof/>
          <w:sz w:val="18"/>
        </w:rPr>
        <w:instrText xml:space="preserve"> PAGEREF _Toc118735437 \h </w:instrText>
      </w:r>
      <w:r w:rsidRPr="002500EC">
        <w:rPr>
          <w:i w:val="0"/>
          <w:noProof/>
          <w:sz w:val="18"/>
        </w:rPr>
      </w:r>
      <w:r w:rsidRPr="002500EC">
        <w:rPr>
          <w:i w:val="0"/>
          <w:noProof/>
          <w:sz w:val="18"/>
        </w:rPr>
        <w:fldChar w:fldCharType="separate"/>
      </w:r>
      <w:r w:rsidR="00CE1506">
        <w:rPr>
          <w:i w:val="0"/>
          <w:noProof/>
          <w:sz w:val="18"/>
        </w:rPr>
        <w:t>2</w:t>
      </w:r>
      <w:r w:rsidRPr="002500EC">
        <w:rPr>
          <w:i w:val="0"/>
          <w:noProof/>
          <w:sz w:val="18"/>
        </w:rPr>
        <w:fldChar w:fldCharType="end"/>
      </w:r>
    </w:p>
    <w:p w14:paraId="09788472" w14:textId="77777777" w:rsidR="00055B5C" w:rsidRPr="000B20CE" w:rsidRDefault="002500EC" w:rsidP="0048364F">
      <w:r>
        <w:fldChar w:fldCharType="end"/>
      </w:r>
    </w:p>
    <w:p w14:paraId="6F7DC56E" w14:textId="77777777" w:rsidR="00060FF9" w:rsidRPr="000B20CE" w:rsidRDefault="00060FF9" w:rsidP="0048364F"/>
    <w:p w14:paraId="470BF9C2" w14:textId="77777777" w:rsidR="00FE7F93" w:rsidRPr="000B20CE" w:rsidRDefault="00FE7F93" w:rsidP="0048364F">
      <w:pPr>
        <w:sectPr w:rsidR="00FE7F93" w:rsidRPr="000B20CE" w:rsidSect="00793A6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3179576D" w14:textId="77777777" w:rsidR="0048364F" w:rsidRPr="000B20CE" w:rsidRDefault="0048364F" w:rsidP="002500EC">
      <w:pPr>
        <w:pStyle w:val="Page1"/>
      </w:pPr>
      <w:r w:rsidRPr="000B20CE">
        <w:lastRenderedPageBreak/>
        <w:t xml:space="preserve">A Bill for an Act to </w:t>
      </w:r>
      <w:r w:rsidR="001D4FD8" w:rsidRPr="000B20CE">
        <w:t>amend the law relating to taxation</w:t>
      </w:r>
      <w:r w:rsidRPr="000B20CE">
        <w:t>, and for related purposes</w:t>
      </w:r>
    </w:p>
    <w:p w14:paraId="171BC32C" w14:textId="77777777" w:rsidR="0048364F" w:rsidRPr="000B20CE" w:rsidRDefault="0048364F" w:rsidP="00793A61">
      <w:pPr>
        <w:spacing w:before="240" w:line="240" w:lineRule="auto"/>
        <w:rPr>
          <w:sz w:val="32"/>
        </w:rPr>
      </w:pPr>
      <w:r w:rsidRPr="000B20CE">
        <w:rPr>
          <w:sz w:val="32"/>
        </w:rPr>
        <w:t>The Parliament of Australia enacts:</w:t>
      </w:r>
    </w:p>
    <w:p w14:paraId="1F1B28E8" w14:textId="77777777" w:rsidR="0048364F" w:rsidRPr="000B20CE" w:rsidRDefault="0048364F" w:rsidP="00793A61">
      <w:pPr>
        <w:pStyle w:val="ActHead5"/>
      </w:pPr>
      <w:bookmarkStart w:id="0" w:name="_Toc118735425"/>
      <w:proofErr w:type="gramStart"/>
      <w:r w:rsidRPr="002500EC">
        <w:rPr>
          <w:rStyle w:val="CharSectno"/>
        </w:rPr>
        <w:t>1</w:t>
      </w:r>
      <w:r w:rsidRPr="000B20CE">
        <w:t xml:space="preserve">  Short</w:t>
      </w:r>
      <w:proofErr w:type="gramEnd"/>
      <w:r w:rsidRPr="000B20CE">
        <w:t xml:space="preserve"> title</w:t>
      </w:r>
      <w:bookmarkEnd w:id="0"/>
    </w:p>
    <w:p w14:paraId="6FFD0F6A" w14:textId="77777777" w:rsidR="0048364F" w:rsidRPr="000B20CE" w:rsidRDefault="0048364F" w:rsidP="00793A61">
      <w:pPr>
        <w:pStyle w:val="subsection"/>
      </w:pPr>
      <w:r w:rsidRPr="000B20CE">
        <w:tab/>
      </w:r>
      <w:r w:rsidRPr="000B20CE">
        <w:tab/>
        <w:t xml:space="preserve">This Act </w:t>
      </w:r>
      <w:r w:rsidR="00275197" w:rsidRPr="000B20CE">
        <w:t xml:space="preserve">is </w:t>
      </w:r>
      <w:r w:rsidRPr="000B20CE">
        <w:t xml:space="preserve">the </w:t>
      </w:r>
      <w:r w:rsidR="003B38F5" w:rsidRPr="000B20CE">
        <w:rPr>
          <w:i/>
        </w:rPr>
        <w:t>Treasury Laws Amendment (Off</w:t>
      </w:r>
      <w:r w:rsidR="00793A61">
        <w:rPr>
          <w:i/>
        </w:rPr>
        <w:noBreakHyphen/>
      </w:r>
      <w:r w:rsidR="003B38F5" w:rsidRPr="000B20CE">
        <w:rPr>
          <w:i/>
        </w:rPr>
        <w:t>Market Share Buy</w:t>
      </w:r>
      <w:r w:rsidR="00793A61">
        <w:rPr>
          <w:i/>
        </w:rPr>
        <w:noBreakHyphen/>
      </w:r>
      <w:r w:rsidR="003B38F5" w:rsidRPr="000B20CE">
        <w:rPr>
          <w:i/>
        </w:rPr>
        <w:t>Backs)</w:t>
      </w:r>
      <w:r w:rsidR="00EE3E36" w:rsidRPr="000B20CE">
        <w:rPr>
          <w:i/>
        </w:rPr>
        <w:t xml:space="preserve"> Act 20</w:t>
      </w:r>
      <w:r w:rsidR="009E186E" w:rsidRPr="000B20CE">
        <w:rPr>
          <w:i/>
        </w:rPr>
        <w:t>2</w:t>
      </w:r>
      <w:r w:rsidR="00545D52" w:rsidRPr="000B20CE">
        <w:rPr>
          <w:i/>
        </w:rPr>
        <w:t>2</w:t>
      </w:r>
      <w:r w:rsidRPr="000B20CE">
        <w:t>.</w:t>
      </w:r>
    </w:p>
    <w:p w14:paraId="5A454C1E" w14:textId="77777777" w:rsidR="0048364F" w:rsidRPr="000B20CE" w:rsidRDefault="0048364F" w:rsidP="00793A61">
      <w:pPr>
        <w:pStyle w:val="ActHead5"/>
      </w:pPr>
      <w:bookmarkStart w:id="1" w:name="_Toc118735426"/>
      <w:proofErr w:type="gramStart"/>
      <w:r w:rsidRPr="002500EC">
        <w:rPr>
          <w:rStyle w:val="CharSectno"/>
        </w:rPr>
        <w:t>2</w:t>
      </w:r>
      <w:r w:rsidRPr="000B20CE">
        <w:t xml:space="preserve">  Commencement</w:t>
      </w:r>
      <w:bookmarkEnd w:id="1"/>
      <w:proofErr w:type="gramEnd"/>
    </w:p>
    <w:p w14:paraId="2F86096B" w14:textId="77777777" w:rsidR="0048364F" w:rsidRPr="000B20CE" w:rsidRDefault="0048364F" w:rsidP="00793A61">
      <w:pPr>
        <w:pStyle w:val="subsection"/>
      </w:pPr>
      <w:r w:rsidRPr="000B20CE">
        <w:tab/>
        <w:t>(1)</w:t>
      </w:r>
      <w:r w:rsidRPr="000B20C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442424A3" w14:textId="77777777" w:rsidR="0048364F" w:rsidRPr="000B20CE" w:rsidRDefault="0048364F" w:rsidP="00793A6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0B20CE" w14:paraId="0D0C2342" w14:textId="77777777" w:rsidTr="00A52F7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99E6818" w14:textId="77777777" w:rsidR="0048364F" w:rsidRPr="000B20CE" w:rsidRDefault="0048364F" w:rsidP="00793A61">
            <w:pPr>
              <w:pStyle w:val="TableHeading"/>
            </w:pPr>
            <w:r w:rsidRPr="000B20CE">
              <w:lastRenderedPageBreak/>
              <w:t>Commencement information</w:t>
            </w:r>
          </w:p>
        </w:tc>
      </w:tr>
      <w:tr w:rsidR="0048364F" w:rsidRPr="000B20CE" w14:paraId="26DA02B0" w14:textId="77777777" w:rsidTr="00A52F7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159D8" w14:textId="77777777" w:rsidR="0048364F" w:rsidRPr="000B20CE" w:rsidRDefault="0048364F" w:rsidP="00793A61">
            <w:pPr>
              <w:pStyle w:val="TableHeading"/>
            </w:pPr>
            <w:r w:rsidRPr="000B20C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07628" w14:textId="77777777" w:rsidR="0048364F" w:rsidRPr="000B20CE" w:rsidRDefault="0048364F" w:rsidP="00793A61">
            <w:pPr>
              <w:pStyle w:val="TableHeading"/>
            </w:pPr>
            <w:r w:rsidRPr="000B20C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1A956" w14:textId="77777777" w:rsidR="0048364F" w:rsidRPr="000B20CE" w:rsidRDefault="0048364F" w:rsidP="00793A61">
            <w:pPr>
              <w:pStyle w:val="TableHeading"/>
            </w:pPr>
            <w:r w:rsidRPr="000B20CE">
              <w:t>Column 3</w:t>
            </w:r>
          </w:p>
        </w:tc>
      </w:tr>
      <w:tr w:rsidR="0048364F" w:rsidRPr="000B20CE" w14:paraId="0800153D" w14:textId="77777777" w:rsidTr="00A52F7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4A5E77E" w14:textId="77777777" w:rsidR="0048364F" w:rsidRPr="000B20CE" w:rsidRDefault="0048364F" w:rsidP="00793A61">
            <w:pPr>
              <w:pStyle w:val="TableHeading"/>
            </w:pPr>
            <w:r w:rsidRPr="000B20C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AE802D" w14:textId="77777777" w:rsidR="0048364F" w:rsidRPr="000B20CE" w:rsidRDefault="0048364F" w:rsidP="00793A61">
            <w:pPr>
              <w:pStyle w:val="TableHeading"/>
            </w:pPr>
            <w:r w:rsidRPr="000B20C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078090D" w14:textId="77777777" w:rsidR="0048364F" w:rsidRPr="000B20CE" w:rsidRDefault="0048364F" w:rsidP="00793A61">
            <w:pPr>
              <w:pStyle w:val="TableHeading"/>
            </w:pPr>
            <w:r w:rsidRPr="000B20CE">
              <w:t>Date/Details</w:t>
            </w:r>
          </w:p>
        </w:tc>
      </w:tr>
      <w:tr w:rsidR="0048364F" w:rsidRPr="000B20CE" w14:paraId="6E3CCE57" w14:textId="77777777" w:rsidTr="00A52F7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3B6CA7" w14:textId="77777777" w:rsidR="0048364F" w:rsidRPr="000B20CE" w:rsidRDefault="0048364F" w:rsidP="00793A61">
            <w:pPr>
              <w:pStyle w:val="Tabletext"/>
            </w:pPr>
            <w:r w:rsidRPr="000B20CE">
              <w:t xml:space="preserve">1.  </w:t>
            </w:r>
            <w:r w:rsidR="00A52F7C" w:rsidRPr="000B20CE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C3EB94" w14:textId="77777777" w:rsidR="0048364F" w:rsidRPr="000B20CE" w:rsidRDefault="00A52F7C" w:rsidP="00793A61">
            <w:pPr>
              <w:pStyle w:val="Tabletext"/>
            </w:pPr>
            <w:r w:rsidRPr="000B20CE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316D59" w14:textId="77777777" w:rsidR="0048364F" w:rsidRPr="000B20CE" w:rsidRDefault="0048364F" w:rsidP="00793A61">
            <w:pPr>
              <w:pStyle w:val="Tabletext"/>
            </w:pPr>
          </w:p>
        </w:tc>
      </w:tr>
    </w:tbl>
    <w:p w14:paraId="2DC4C5BC" w14:textId="77777777" w:rsidR="0048364F" w:rsidRPr="000B20CE" w:rsidRDefault="00201D27" w:rsidP="00793A61">
      <w:pPr>
        <w:pStyle w:val="notetext"/>
      </w:pPr>
      <w:r w:rsidRPr="000B20CE">
        <w:t>Note:</w:t>
      </w:r>
      <w:r w:rsidRPr="000B20CE">
        <w:tab/>
        <w:t>This table relates only to the provisions of this Act as originally enacted. It will not be amended to deal with any later amendments of this Act.</w:t>
      </w:r>
    </w:p>
    <w:p w14:paraId="70E286F3" w14:textId="77777777" w:rsidR="0048364F" w:rsidRPr="000B20CE" w:rsidRDefault="0048364F" w:rsidP="00793A61">
      <w:pPr>
        <w:pStyle w:val="subsection"/>
      </w:pPr>
      <w:r w:rsidRPr="000B20CE">
        <w:tab/>
        <w:t>(2)</w:t>
      </w:r>
      <w:r w:rsidRPr="000B20CE">
        <w:tab/>
      </w:r>
      <w:r w:rsidR="00201D27" w:rsidRPr="000B20CE">
        <w:t xml:space="preserve">Any information in </w:t>
      </w:r>
      <w:r w:rsidR="00877D48" w:rsidRPr="000B20CE">
        <w:t>c</w:t>
      </w:r>
      <w:r w:rsidR="00201D27" w:rsidRPr="000B20CE">
        <w:t>olumn 3 of the table is not part of this Act. Information may be inserted in this column, or information in it may be edited, in any published version of this Act.</w:t>
      </w:r>
    </w:p>
    <w:p w14:paraId="3D600752" w14:textId="77777777" w:rsidR="0048364F" w:rsidRPr="000B20CE" w:rsidRDefault="0048364F" w:rsidP="00793A61">
      <w:pPr>
        <w:pStyle w:val="ActHead5"/>
      </w:pPr>
      <w:bookmarkStart w:id="2" w:name="_Toc118735427"/>
      <w:proofErr w:type="gramStart"/>
      <w:r w:rsidRPr="002500EC">
        <w:rPr>
          <w:rStyle w:val="CharSectno"/>
        </w:rPr>
        <w:t>3</w:t>
      </w:r>
      <w:r w:rsidRPr="000B20CE">
        <w:t xml:space="preserve">  Schedules</w:t>
      </w:r>
      <w:bookmarkEnd w:id="2"/>
      <w:proofErr w:type="gramEnd"/>
    </w:p>
    <w:p w14:paraId="2805B61F" w14:textId="77777777" w:rsidR="0048364F" w:rsidRPr="000B20CE" w:rsidRDefault="0048364F" w:rsidP="00793A61">
      <w:pPr>
        <w:pStyle w:val="subsection"/>
      </w:pPr>
      <w:r w:rsidRPr="000B20CE">
        <w:tab/>
      </w:r>
      <w:r w:rsidRPr="000B20CE">
        <w:tab/>
      </w:r>
      <w:r w:rsidR="00202618" w:rsidRPr="000B20CE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7E289B39" w14:textId="77777777" w:rsidR="001D4FD8" w:rsidRPr="000B20CE" w:rsidRDefault="001D4FD8" w:rsidP="00793A61">
      <w:pPr>
        <w:pStyle w:val="ActHead6"/>
        <w:pageBreakBefore/>
      </w:pPr>
      <w:bookmarkStart w:id="3" w:name="_Toc118735428"/>
      <w:r w:rsidRPr="002500EC">
        <w:rPr>
          <w:rStyle w:val="CharAmSchNo"/>
        </w:rPr>
        <w:lastRenderedPageBreak/>
        <w:t>Schedule 1</w:t>
      </w:r>
      <w:r w:rsidRPr="000B20CE">
        <w:rPr>
          <w:rFonts w:cs="Arial"/>
        </w:rPr>
        <w:t>—</w:t>
      </w:r>
      <w:r w:rsidRPr="002500EC">
        <w:rPr>
          <w:rStyle w:val="CharAmSchText"/>
        </w:rPr>
        <w:t>Off</w:t>
      </w:r>
      <w:r w:rsidR="00793A61" w:rsidRPr="002500EC">
        <w:rPr>
          <w:rStyle w:val="CharAmSchText"/>
        </w:rPr>
        <w:noBreakHyphen/>
      </w:r>
      <w:r w:rsidRPr="002500EC">
        <w:rPr>
          <w:rStyle w:val="CharAmSchText"/>
        </w:rPr>
        <w:t>market share buy</w:t>
      </w:r>
      <w:r w:rsidR="00793A61" w:rsidRPr="002500EC">
        <w:rPr>
          <w:rStyle w:val="CharAmSchText"/>
        </w:rPr>
        <w:noBreakHyphen/>
      </w:r>
      <w:r w:rsidRPr="002500EC">
        <w:rPr>
          <w:rStyle w:val="CharAmSchText"/>
        </w:rPr>
        <w:t>backs</w:t>
      </w:r>
      <w:bookmarkEnd w:id="3"/>
    </w:p>
    <w:p w14:paraId="76D7E359" w14:textId="77777777" w:rsidR="001D4FD8" w:rsidRPr="000B20CE" w:rsidRDefault="001D4FD8" w:rsidP="00793A61">
      <w:pPr>
        <w:pStyle w:val="ActHead7"/>
      </w:pPr>
      <w:bookmarkStart w:id="4" w:name="_Toc118735429"/>
      <w:r w:rsidRPr="002500EC">
        <w:rPr>
          <w:rStyle w:val="CharAmPartNo"/>
        </w:rPr>
        <w:t>Part 1</w:t>
      </w:r>
      <w:r w:rsidRPr="000B20CE">
        <w:t>—</w:t>
      </w:r>
      <w:r w:rsidRPr="002500EC">
        <w:rPr>
          <w:rStyle w:val="CharAmPartText"/>
        </w:rPr>
        <w:t>Main amendments</w:t>
      </w:r>
      <w:bookmarkEnd w:id="4"/>
    </w:p>
    <w:p w14:paraId="5339C118" w14:textId="77777777" w:rsidR="001D4FD8" w:rsidRPr="000B20CE" w:rsidRDefault="001D4FD8" w:rsidP="00793A61">
      <w:pPr>
        <w:pStyle w:val="ActHead9"/>
      </w:pPr>
      <w:bookmarkStart w:id="5" w:name="_Toc118735430"/>
      <w:r w:rsidRPr="000B20CE">
        <w:t>Income Tax Assessment Act 1936</w:t>
      </w:r>
      <w:bookmarkEnd w:id="5"/>
    </w:p>
    <w:p w14:paraId="69B1A7FB" w14:textId="77777777" w:rsidR="001D4FD8" w:rsidRPr="000B20CE" w:rsidRDefault="003255C0" w:rsidP="00793A61">
      <w:pPr>
        <w:pStyle w:val="ItemHead"/>
      </w:pPr>
      <w:proofErr w:type="gramStart"/>
      <w:r>
        <w:t>1</w:t>
      </w:r>
      <w:r w:rsidR="001D4FD8" w:rsidRPr="000B20CE">
        <w:t xml:space="preserve">  Section</w:t>
      </w:r>
      <w:proofErr w:type="gramEnd"/>
      <w:r w:rsidR="001D4FD8" w:rsidRPr="000B20CE">
        <w:t> 159GZZZP (at the end of the heading)</w:t>
      </w:r>
    </w:p>
    <w:p w14:paraId="5F864876" w14:textId="77777777" w:rsidR="001D4FD8" w:rsidRPr="000B20CE" w:rsidRDefault="001D4FD8" w:rsidP="00793A61">
      <w:pPr>
        <w:pStyle w:val="Item"/>
      </w:pPr>
      <w:r w:rsidRPr="000B20CE">
        <w:t>Add “</w:t>
      </w:r>
      <w:r w:rsidRPr="000B20CE">
        <w:rPr>
          <w:b/>
        </w:rPr>
        <w:t xml:space="preserve">if the company is not a listed </w:t>
      </w:r>
      <w:r w:rsidR="00D425AC" w:rsidRPr="000B20CE">
        <w:rPr>
          <w:b/>
        </w:rPr>
        <w:t xml:space="preserve">public </w:t>
      </w:r>
      <w:r w:rsidRPr="000B20CE">
        <w:rPr>
          <w:b/>
        </w:rPr>
        <w:t>company</w:t>
      </w:r>
      <w:r w:rsidRPr="000B20CE">
        <w:t>”.</w:t>
      </w:r>
    </w:p>
    <w:p w14:paraId="3D96AF82" w14:textId="77777777" w:rsidR="001D4FD8" w:rsidRPr="000B20CE" w:rsidRDefault="003255C0" w:rsidP="00793A61">
      <w:pPr>
        <w:pStyle w:val="ItemHead"/>
      </w:pPr>
      <w:proofErr w:type="gramStart"/>
      <w:r>
        <w:t>2</w:t>
      </w:r>
      <w:r w:rsidR="001D4FD8" w:rsidRPr="000B20CE">
        <w:t xml:space="preserve">  At</w:t>
      </w:r>
      <w:proofErr w:type="gramEnd"/>
      <w:r w:rsidR="001D4FD8" w:rsidRPr="000B20CE">
        <w:t xml:space="preserve"> the end of section 159GZZZP</w:t>
      </w:r>
    </w:p>
    <w:p w14:paraId="58D7E37E" w14:textId="77777777" w:rsidR="001D4FD8" w:rsidRPr="000B20CE" w:rsidRDefault="001D4FD8" w:rsidP="00793A61">
      <w:pPr>
        <w:pStyle w:val="Item"/>
      </w:pPr>
      <w:r w:rsidRPr="000B20CE">
        <w:t>Add:</w:t>
      </w:r>
    </w:p>
    <w:p w14:paraId="6D3F4DBC" w14:textId="77777777" w:rsidR="001D4FD8" w:rsidRPr="000B20CE" w:rsidRDefault="001D4FD8" w:rsidP="00793A61">
      <w:pPr>
        <w:pStyle w:val="subsection"/>
      </w:pPr>
      <w:r w:rsidRPr="000B20CE">
        <w:tab/>
        <w:t>(</w:t>
      </w:r>
      <w:r w:rsidR="00813091" w:rsidRPr="000B20CE">
        <w:t>3</w:t>
      </w:r>
      <w:r w:rsidRPr="000B20CE">
        <w:t>)</w:t>
      </w:r>
      <w:r w:rsidRPr="000B20CE">
        <w:tab/>
        <w:t xml:space="preserve">This section does not apply if the company is a listed </w:t>
      </w:r>
      <w:r w:rsidR="00D425AC" w:rsidRPr="000B20CE">
        <w:t xml:space="preserve">public </w:t>
      </w:r>
      <w:r w:rsidRPr="000B20CE">
        <w:t>company.</w:t>
      </w:r>
    </w:p>
    <w:p w14:paraId="309613E4" w14:textId="77777777" w:rsidR="001D4FD8" w:rsidRPr="000B20CE" w:rsidRDefault="003255C0" w:rsidP="00793A61">
      <w:pPr>
        <w:pStyle w:val="ItemHead"/>
      </w:pPr>
      <w:proofErr w:type="gramStart"/>
      <w:r>
        <w:t>3</w:t>
      </w:r>
      <w:r w:rsidR="001D4FD8" w:rsidRPr="000B20CE">
        <w:t xml:space="preserve">  After</w:t>
      </w:r>
      <w:proofErr w:type="gramEnd"/>
      <w:r w:rsidR="001D4FD8" w:rsidRPr="000B20CE">
        <w:t xml:space="preserve"> section 159GZZZP</w:t>
      </w:r>
    </w:p>
    <w:p w14:paraId="0885EF91" w14:textId="77777777" w:rsidR="001D4FD8" w:rsidRPr="000B20CE" w:rsidRDefault="001D4FD8" w:rsidP="00793A61">
      <w:pPr>
        <w:pStyle w:val="Item"/>
      </w:pPr>
      <w:r w:rsidRPr="000B20CE">
        <w:t>Insert:</w:t>
      </w:r>
    </w:p>
    <w:p w14:paraId="15444A12" w14:textId="77777777" w:rsidR="001D4FD8" w:rsidRPr="000B20CE" w:rsidRDefault="001D4FD8" w:rsidP="00793A61">
      <w:pPr>
        <w:pStyle w:val="ActHead5"/>
      </w:pPr>
      <w:bookmarkStart w:id="6" w:name="_Toc118735431"/>
      <w:r w:rsidRPr="002500EC">
        <w:rPr>
          <w:rStyle w:val="CharSectno"/>
        </w:rPr>
        <w:t>159</w:t>
      </w:r>
      <w:proofErr w:type="gramStart"/>
      <w:r w:rsidRPr="002500EC">
        <w:rPr>
          <w:rStyle w:val="CharSectno"/>
        </w:rPr>
        <w:t>GZZZPA</w:t>
      </w:r>
      <w:r w:rsidRPr="000B20CE">
        <w:t xml:space="preserve">  No</w:t>
      </w:r>
      <w:proofErr w:type="gramEnd"/>
      <w:r w:rsidRPr="000B20CE">
        <w:t xml:space="preserve"> part of off</w:t>
      </w:r>
      <w:r w:rsidR="00793A61">
        <w:noBreakHyphen/>
      </w:r>
      <w:r w:rsidRPr="000B20CE">
        <w:t xml:space="preserve">market purchase price is a dividend if the company is a listed </w:t>
      </w:r>
      <w:r w:rsidR="00D425AC" w:rsidRPr="000B20CE">
        <w:t xml:space="preserve">public </w:t>
      </w:r>
      <w:r w:rsidRPr="000B20CE">
        <w:t>company</w:t>
      </w:r>
      <w:bookmarkEnd w:id="6"/>
    </w:p>
    <w:p w14:paraId="77DA5772" w14:textId="77777777" w:rsidR="001D4FD8" w:rsidRPr="000B20CE" w:rsidRDefault="001D4FD8" w:rsidP="00793A61">
      <w:pPr>
        <w:pStyle w:val="subsection"/>
      </w:pPr>
      <w:r w:rsidRPr="000B20CE">
        <w:tab/>
      </w:r>
      <w:r w:rsidRPr="000B20CE">
        <w:tab/>
        <w:t>For the purposes of this Act, where a buy</w:t>
      </w:r>
      <w:r w:rsidR="00793A61">
        <w:noBreakHyphen/>
      </w:r>
      <w:r w:rsidRPr="000B20CE">
        <w:t xml:space="preserve">back of a share by a listed </w:t>
      </w:r>
      <w:r w:rsidR="00D425AC" w:rsidRPr="000B20CE">
        <w:t xml:space="preserve">public </w:t>
      </w:r>
      <w:r w:rsidRPr="000B20CE">
        <w:t>company is an off</w:t>
      </w:r>
      <w:r w:rsidR="00793A61">
        <w:noBreakHyphen/>
      </w:r>
      <w:r w:rsidRPr="000B20CE">
        <w:t>market purchase, no part of the purchase price in respect of the buy</w:t>
      </w:r>
      <w:r w:rsidR="00793A61">
        <w:noBreakHyphen/>
      </w:r>
      <w:r w:rsidRPr="000B20CE">
        <w:t>back of the share is taken to be a dividend.</w:t>
      </w:r>
    </w:p>
    <w:p w14:paraId="0E59B87D" w14:textId="77777777" w:rsidR="001D4FD8" w:rsidRPr="000B20CE" w:rsidRDefault="003255C0" w:rsidP="00793A61">
      <w:pPr>
        <w:pStyle w:val="ItemHead"/>
      </w:pPr>
      <w:proofErr w:type="gramStart"/>
      <w:r>
        <w:t>4</w:t>
      </w:r>
      <w:r w:rsidR="001D4FD8" w:rsidRPr="000B20CE">
        <w:t xml:space="preserve">  Subsection</w:t>
      </w:r>
      <w:proofErr w:type="gramEnd"/>
      <w:r w:rsidR="001D4FD8" w:rsidRPr="000B20CE">
        <w:t> 159GZZZQ(3)</w:t>
      </w:r>
    </w:p>
    <w:p w14:paraId="2307417E" w14:textId="77777777" w:rsidR="001D4FD8" w:rsidRPr="000B20CE" w:rsidRDefault="001D4FD8" w:rsidP="00793A61">
      <w:pPr>
        <w:pStyle w:val="Item"/>
      </w:pPr>
      <w:r w:rsidRPr="000B20CE">
        <w:t>Omit “subsection (8)”, substitute “subsections (3A) and (8)”.</w:t>
      </w:r>
    </w:p>
    <w:p w14:paraId="68684D72" w14:textId="77777777" w:rsidR="001D4FD8" w:rsidRPr="000B20CE" w:rsidRDefault="003255C0" w:rsidP="00793A61">
      <w:pPr>
        <w:pStyle w:val="ItemHead"/>
      </w:pPr>
      <w:proofErr w:type="gramStart"/>
      <w:r>
        <w:t>5</w:t>
      </w:r>
      <w:r w:rsidR="001D4FD8" w:rsidRPr="000B20CE">
        <w:t xml:space="preserve">  After</w:t>
      </w:r>
      <w:proofErr w:type="gramEnd"/>
      <w:r w:rsidR="001D4FD8" w:rsidRPr="000B20CE">
        <w:t xml:space="preserve"> subsection 159GZZZQ(3)</w:t>
      </w:r>
    </w:p>
    <w:p w14:paraId="047003FB" w14:textId="77777777" w:rsidR="001D4FD8" w:rsidRPr="000B20CE" w:rsidRDefault="001D4FD8" w:rsidP="00793A61">
      <w:pPr>
        <w:pStyle w:val="Item"/>
      </w:pPr>
      <w:r w:rsidRPr="000B20CE">
        <w:t>Insert:</w:t>
      </w:r>
    </w:p>
    <w:p w14:paraId="5855676F" w14:textId="77777777" w:rsidR="001D4FD8" w:rsidRPr="000B20CE" w:rsidRDefault="001D4FD8" w:rsidP="00793A61">
      <w:pPr>
        <w:pStyle w:val="subsection"/>
      </w:pPr>
      <w:r w:rsidRPr="000B20CE">
        <w:tab/>
        <w:t>(3A)</w:t>
      </w:r>
      <w:r w:rsidRPr="000B20CE">
        <w:tab/>
        <w:t>Subsection (3) does not apply if the buy</w:t>
      </w:r>
      <w:r w:rsidR="00793A61">
        <w:noBreakHyphen/>
      </w:r>
      <w:r w:rsidRPr="000B20CE">
        <w:t xml:space="preserve">back is by a listed </w:t>
      </w:r>
      <w:r w:rsidR="00D425AC" w:rsidRPr="000B20CE">
        <w:t xml:space="preserve">public </w:t>
      </w:r>
      <w:r w:rsidRPr="000B20CE">
        <w:t>company.</w:t>
      </w:r>
    </w:p>
    <w:p w14:paraId="5F6DF074" w14:textId="77777777" w:rsidR="001D4FD8" w:rsidRPr="000B20CE" w:rsidRDefault="003255C0" w:rsidP="00793A61">
      <w:pPr>
        <w:pStyle w:val="ItemHead"/>
      </w:pPr>
      <w:proofErr w:type="gramStart"/>
      <w:r>
        <w:t>6</w:t>
      </w:r>
      <w:r w:rsidR="001D4FD8" w:rsidRPr="000B20CE">
        <w:t xml:space="preserve">  Paragraph</w:t>
      </w:r>
      <w:proofErr w:type="gramEnd"/>
      <w:r w:rsidR="001D4FD8" w:rsidRPr="000B20CE">
        <w:t> 159GZZZQ(8)(aa)</w:t>
      </w:r>
    </w:p>
    <w:p w14:paraId="17AE77E5" w14:textId="77777777" w:rsidR="001D4FD8" w:rsidRPr="000B20CE" w:rsidRDefault="001D4FD8" w:rsidP="00793A61">
      <w:pPr>
        <w:pStyle w:val="Item"/>
      </w:pPr>
      <w:r w:rsidRPr="000B20CE">
        <w:t xml:space="preserve">After “corporate tax entity”, insert “(other than a listed </w:t>
      </w:r>
      <w:r w:rsidR="00D425AC" w:rsidRPr="000B20CE">
        <w:t xml:space="preserve">public </w:t>
      </w:r>
      <w:r w:rsidRPr="000B20CE">
        <w:t>company)”.</w:t>
      </w:r>
    </w:p>
    <w:p w14:paraId="1B3A594C" w14:textId="77777777" w:rsidR="00CB6FEA" w:rsidRPr="000B20CE" w:rsidRDefault="00CB6FEA" w:rsidP="00793A61">
      <w:pPr>
        <w:pStyle w:val="ActHead9"/>
      </w:pPr>
      <w:bookmarkStart w:id="7" w:name="_Toc118735432"/>
      <w:r w:rsidRPr="000B20CE">
        <w:lastRenderedPageBreak/>
        <w:t>Income Tax Assessment Act 1997</w:t>
      </w:r>
      <w:bookmarkEnd w:id="7"/>
    </w:p>
    <w:p w14:paraId="28806891" w14:textId="77777777" w:rsidR="001D4FD8" w:rsidRPr="000B20CE" w:rsidRDefault="003255C0" w:rsidP="00793A61">
      <w:pPr>
        <w:pStyle w:val="ItemHead"/>
      </w:pPr>
      <w:proofErr w:type="gramStart"/>
      <w:r>
        <w:t>7</w:t>
      </w:r>
      <w:r w:rsidR="001D4FD8" w:rsidRPr="000B20CE">
        <w:t xml:space="preserve">  Subsection</w:t>
      </w:r>
      <w:proofErr w:type="gramEnd"/>
      <w:r w:rsidR="001D4FD8" w:rsidRPr="000B20CE">
        <w:t> 205</w:t>
      </w:r>
      <w:r w:rsidR="00793A61">
        <w:noBreakHyphen/>
      </w:r>
      <w:r w:rsidR="001D4FD8" w:rsidRPr="000B20CE">
        <w:t>30(1) (cell at table item 9, column headed “If:”)</w:t>
      </w:r>
    </w:p>
    <w:p w14:paraId="61383FBE" w14:textId="77777777" w:rsidR="001D4FD8" w:rsidRPr="000B20CE" w:rsidRDefault="001D4FD8" w:rsidP="00793A61">
      <w:pPr>
        <w:pStyle w:val="Item"/>
      </w:pPr>
      <w:r w:rsidRPr="000B20CE">
        <w:t>Repeal the cell, substitute:</w:t>
      </w:r>
    </w:p>
    <w:p w14:paraId="45F23749" w14:textId="77777777" w:rsidR="001D4FD8" w:rsidRPr="000B20CE" w:rsidRDefault="001D4FD8" w:rsidP="00793A61">
      <w:pPr>
        <w:pStyle w:val="Tabletext"/>
      </w:pPr>
    </w:p>
    <w:tbl>
      <w:tblPr>
        <w:tblW w:w="2268" w:type="dxa"/>
        <w:tblInd w:w="10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</w:tblGrid>
      <w:tr w:rsidR="001D4FD8" w:rsidRPr="000B20CE" w14:paraId="0ECE2F23" w14:textId="77777777" w:rsidTr="00813091">
        <w:trPr>
          <w:cantSplit/>
        </w:trPr>
        <w:tc>
          <w:tcPr>
            <w:tcW w:w="2268" w:type="dxa"/>
          </w:tcPr>
          <w:p w14:paraId="783FCE7F" w14:textId="77777777" w:rsidR="001D4FD8" w:rsidRPr="000B20CE" w:rsidRDefault="001D4FD8" w:rsidP="00793A61">
            <w:pPr>
              <w:pStyle w:val="Tablea"/>
            </w:pPr>
            <w:r w:rsidRPr="000B20CE">
              <w:t xml:space="preserve">(a) the entity purchases a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>membership interest in itself; and</w:t>
            </w:r>
          </w:p>
          <w:p w14:paraId="42E1DC51" w14:textId="77777777" w:rsidR="001D4FD8" w:rsidRPr="000B20CE" w:rsidRDefault="001D4FD8" w:rsidP="00793A61">
            <w:pPr>
              <w:pStyle w:val="Tablea"/>
            </w:pPr>
            <w:r w:rsidRPr="000B20CE">
              <w:t xml:space="preserve">(b) the purchase is an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>on</w:t>
            </w:r>
            <w:r w:rsidR="00793A61">
              <w:noBreakHyphen/>
            </w:r>
            <w:r w:rsidRPr="000B20CE">
              <w:t>market buy</w:t>
            </w:r>
            <w:r w:rsidR="00C23FAB">
              <w:t>-</w:t>
            </w:r>
            <w:r w:rsidRPr="000B20CE">
              <w:t>back; and</w:t>
            </w:r>
          </w:p>
          <w:p w14:paraId="6DCDE4C4" w14:textId="77777777" w:rsidR="001D4FD8" w:rsidRPr="000B20CE" w:rsidRDefault="001D4FD8" w:rsidP="00793A61">
            <w:pPr>
              <w:pStyle w:val="Tablea"/>
            </w:pPr>
            <w:r w:rsidRPr="000B20CE">
              <w:t>(c) the entity is a company</w:t>
            </w:r>
          </w:p>
        </w:tc>
      </w:tr>
    </w:tbl>
    <w:p w14:paraId="16F315FA" w14:textId="77777777" w:rsidR="001D4FD8" w:rsidRPr="000B20CE" w:rsidRDefault="003255C0" w:rsidP="00793A61">
      <w:pPr>
        <w:pStyle w:val="ItemHead"/>
      </w:pPr>
      <w:proofErr w:type="gramStart"/>
      <w:r>
        <w:t>8</w:t>
      </w:r>
      <w:r w:rsidR="001D4FD8" w:rsidRPr="000B20CE">
        <w:t xml:space="preserve">  Subsection</w:t>
      </w:r>
      <w:proofErr w:type="gramEnd"/>
      <w:r w:rsidR="001D4FD8" w:rsidRPr="000B20CE">
        <w:t> 205</w:t>
      </w:r>
      <w:r w:rsidR="00793A61">
        <w:noBreakHyphen/>
      </w:r>
      <w:r w:rsidR="001D4FD8" w:rsidRPr="000B20CE">
        <w:t>30(1) (table item 9, column headed “A debit of:”, paragraph (a))</w:t>
      </w:r>
    </w:p>
    <w:p w14:paraId="069EDD82" w14:textId="77777777" w:rsidR="001D4FD8" w:rsidRPr="000B20CE" w:rsidRDefault="001D4FD8" w:rsidP="00793A61">
      <w:pPr>
        <w:pStyle w:val="Item"/>
      </w:pPr>
      <w:r w:rsidRPr="000B20CE">
        <w:t>Repeal the paragraph, substitute:</w:t>
      </w:r>
    </w:p>
    <w:p w14:paraId="17A474DC" w14:textId="77777777" w:rsidR="001D4FD8" w:rsidRPr="000B20CE" w:rsidRDefault="001D4FD8" w:rsidP="00793A61">
      <w:pPr>
        <w:pStyle w:val="Tablea"/>
      </w:pPr>
      <w:r w:rsidRPr="000B20CE">
        <w:t xml:space="preserve">(a) the purchase of the interest </w:t>
      </w:r>
      <w:proofErr w:type="gramStart"/>
      <w:r w:rsidRPr="000B20CE">
        <w:t>were</w:t>
      </w:r>
      <w:proofErr w:type="gramEnd"/>
      <w:r w:rsidRPr="000B20CE">
        <w:t xml:space="preserve"> a </w:t>
      </w:r>
      <w:r w:rsidR="00793A61" w:rsidRPr="00793A61">
        <w:rPr>
          <w:position w:val="6"/>
          <w:sz w:val="16"/>
        </w:rPr>
        <w:t>*</w:t>
      </w:r>
      <w:r w:rsidRPr="000B20CE">
        <w:t>frankable distribution equal to the one that would have arisen if the entity:</w:t>
      </w:r>
    </w:p>
    <w:p w14:paraId="1B23CAFB" w14:textId="77777777" w:rsidR="001D4FD8" w:rsidRPr="000B20CE" w:rsidRDefault="001D4FD8" w:rsidP="00793A61">
      <w:pPr>
        <w:pStyle w:val="Tablei"/>
      </w:pPr>
      <w:r w:rsidRPr="000B20CE">
        <w:t>(</w:t>
      </w:r>
      <w:proofErr w:type="spellStart"/>
      <w:r w:rsidRPr="000B20CE">
        <w:t>i</w:t>
      </w:r>
      <w:proofErr w:type="spellEnd"/>
      <w:r w:rsidRPr="000B20CE">
        <w:t xml:space="preserve">) purchased the interest </w:t>
      </w:r>
      <w:r w:rsidR="00793A61" w:rsidRPr="00793A61">
        <w:rPr>
          <w:position w:val="6"/>
          <w:sz w:val="16"/>
        </w:rPr>
        <w:t>*</w:t>
      </w:r>
      <w:r w:rsidRPr="000B20CE">
        <w:t>off</w:t>
      </w:r>
      <w:r w:rsidR="00793A61">
        <w:noBreakHyphen/>
      </w:r>
      <w:r w:rsidRPr="000B20CE">
        <w:t>market; and</w:t>
      </w:r>
    </w:p>
    <w:p w14:paraId="472EB55B" w14:textId="77777777" w:rsidR="001D4FD8" w:rsidRPr="000B20CE" w:rsidRDefault="001D4FD8" w:rsidP="00793A61">
      <w:pPr>
        <w:pStyle w:val="Tablei"/>
      </w:pPr>
      <w:r w:rsidRPr="000B20CE">
        <w:t xml:space="preserve">(ii) in the case of a </w:t>
      </w:r>
      <w:r w:rsidR="00793A61" w:rsidRPr="00793A61">
        <w:rPr>
          <w:position w:val="6"/>
          <w:sz w:val="16"/>
        </w:rPr>
        <w:t>*</w:t>
      </w:r>
      <w:r w:rsidRPr="000B20CE">
        <w:t xml:space="preserve">listed </w:t>
      </w:r>
      <w:r w:rsidR="00D425AC" w:rsidRPr="000B20CE">
        <w:t xml:space="preserve">public </w:t>
      </w:r>
      <w:r w:rsidRPr="000B20CE">
        <w:t xml:space="preserve">company—were not a listed </w:t>
      </w:r>
      <w:r w:rsidR="00D425AC" w:rsidRPr="000B20CE">
        <w:t xml:space="preserve">public </w:t>
      </w:r>
      <w:r w:rsidRPr="000B20CE">
        <w:t>company; and</w:t>
      </w:r>
    </w:p>
    <w:p w14:paraId="65F04A69" w14:textId="77777777" w:rsidR="001D4FD8" w:rsidRPr="000B20CE" w:rsidRDefault="003255C0" w:rsidP="00793A61">
      <w:pPr>
        <w:pStyle w:val="ItemHead"/>
      </w:pPr>
      <w:proofErr w:type="gramStart"/>
      <w:r>
        <w:t>9</w:t>
      </w:r>
      <w:r w:rsidR="001D4FD8" w:rsidRPr="000B20CE">
        <w:t xml:space="preserve">  Subsection</w:t>
      </w:r>
      <w:proofErr w:type="gramEnd"/>
      <w:r w:rsidR="001D4FD8" w:rsidRPr="000B20CE">
        <w:t> 205</w:t>
      </w:r>
      <w:r w:rsidR="00793A61">
        <w:noBreakHyphen/>
      </w:r>
      <w:r w:rsidR="001D4FD8" w:rsidRPr="000B20CE">
        <w:t>30(1) (after table item 9)</w:t>
      </w:r>
    </w:p>
    <w:p w14:paraId="4E637CA1" w14:textId="77777777" w:rsidR="001D4FD8" w:rsidRPr="000B20CE" w:rsidRDefault="001D4FD8" w:rsidP="00793A61">
      <w:pPr>
        <w:pStyle w:val="Item"/>
      </w:pPr>
      <w:r w:rsidRPr="000B20CE">
        <w:t>Insert:</w:t>
      </w:r>
    </w:p>
    <w:tbl>
      <w:tblPr>
        <w:tblW w:w="7371" w:type="dxa"/>
        <w:tblInd w:w="108" w:type="dxa"/>
        <w:tblBorders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2268"/>
        <w:gridCol w:w="2268"/>
        <w:gridCol w:w="2127"/>
      </w:tblGrid>
      <w:tr w:rsidR="001D4FD8" w:rsidRPr="000B20CE" w14:paraId="04C99604" w14:textId="77777777" w:rsidTr="00813091">
        <w:trPr>
          <w:cantSplit/>
        </w:trPr>
        <w:tc>
          <w:tcPr>
            <w:tcW w:w="708" w:type="dxa"/>
          </w:tcPr>
          <w:p w14:paraId="59B10833" w14:textId="77777777" w:rsidR="001D4FD8" w:rsidRPr="000B20CE" w:rsidRDefault="001D4FD8" w:rsidP="00793A61">
            <w:pPr>
              <w:pStyle w:val="Tabletext"/>
            </w:pPr>
            <w:r w:rsidRPr="000B20CE">
              <w:lastRenderedPageBreak/>
              <w:t>9A</w:t>
            </w:r>
          </w:p>
        </w:tc>
        <w:tc>
          <w:tcPr>
            <w:tcW w:w="2268" w:type="dxa"/>
          </w:tcPr>
          <w:p w14:paraId="779472F4" w14:textId="77777777" w:rsidR="001D4FD8" w:rsidRPr="000B20CE" w:rsidRDefault="001D4FD8" w:rsidP="00793A61">
            <w:pPr>
              <w:pStyle w:val="Tablea"/>
            </w:pPr>
            <w:r w:rsidRPr="000B20CE">
              <w:t xml:space="preserve">(a) the entity purchases a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>membership interest in itself; and</w:t>
            </w:r>
          </w:p>
          <w:p w14:paraId="150AE019" w14:textId="77777777" w:rsidR="001D4FD8" w:rsidRPr="000B20CE" w:rsidRDefault="001D4FD8" w:rsidP="00793A61">
            <w:pPr>
              <w:pStyle w:val="Tablea"/>
            </w:pPr>
            <w:r w:rsidRPr="000B20CE">
              <w:t xml:space="preserve">(b) the purchase is an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>off</w:t>
            </w:r>
            <w:r w:rsidR="00793A61">
              <w:noBreakHyphen/>
            </w:r>
            <w:r w:rsidRPr="000B20CE">
              <w:t>market buy</w:t>
            </w:r>
            <w:r w:rsidR="00C23FAB">
              <w:t>-</w:t>
            </w:r>
            <w:r w:rsidRPr="000B20CE">
              <w:t>back; and</w:t>
            </w:r>
          </w:p>
          <w:p w14:paraId="5D43D075" w14:textId="77777777" w:rsidR="001D4FD8" w:rsidRPr="000B20CE" w:rsidRDefault="001D4FD8" w:rsidP="00793A61">
            <w:pPr>
              <w:pStyle w:val="Tablea"/>
            </w:pPr>
            <w:r w:rsidRPr="000B20CE">
              <w:t xml:space="preserve">(c) the entity is a </w:t>
            </w:r>
            <w:r w:rsidR="00793A61" w:rsidRPr="00793A61">
              <w:rPr>
                <w:position w:val="6"/>
                <w:sz w:val="16"/>
              </w:rPr>
              <w:t>*</w:t>
            </w:r>
            <w:r w:rsidR="00813091" w:rsidRPr="000B20CE">
              <w:t xml:space="preserve">listed </w:t>
            </w:r>
            <w:r w:rsidR="00D425AC" w:rsidRPr="000B20CE">
              <w:t xml:space="preserve">public </w:t>
            </w:r>
            <w:r w:rsidR="00813091" w:rsidRPr="000B20CE">
              <w:t>company</w:t>
            </w:r>
          </w:p>
        </w:tc>
        <w:tc>
          <w:tcPr>
            <w:tcW w:w="2268" w:type="dxa"/>
          </w:tcPr>
          <w:p w14:paraId="0DA10D3F" w14:textId="77777777" w:rsidR="001D4FD8" w:rsidRPr="000B20CE" w:rsidRDefault="001D4FD8" w:rsidP="00793A61">
            <w:pPr>
              <w:pStyle w:val="Tabletext"/>
            </w:pPr>
            <w:r w:rsidRPr="000B20CE">
              <w:t>an amount equal to the debit that would have arisen if:</w:t>
            </w:r>
          </w:p>
          <w:p w14:paraId="7685DD36" w14:textId="77777777" w:rsidR="001D4FD8" w:rsidRPr="000B20CE" w:rsidRDefault="001D4FD8" w:rsidP="00793A61">
            <w:pPr>
              <w:pStyle w:val="Tablea"/>
            </w:pPr>
            <w:r w:rsidRPr="000B20CE">
              <w:t xml:space="preserve">(a) the purchase of the interest </w:t>
            </w:r>
            <w:proofErr w:type="gramStart"/>
            <w:r w:rsidRPr="000B20CE">
              <w:t>were</w:t>
            </w:r>
            <w:proofErr w:type="gramEnd"/>
            <w:r w:rsidRPr="000B20CE">
              <w:t xml:space="preserve"> a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 xml:space="preserve">frankable distribution equal to the one that would have arisen if the entity were not a listed </w:t>
            </w:r>
            <w:r w:rsidR="00D425AC" w:rsidRPr="000B20CE">
              <w:t xml:space="preserve">public </w:t>
            </w:r>
            <w:r w:rsidRPr="000B20CE">
              <w:t>company; and</w:t>
            </w:r>
          </w:p>
          <w:p w14:paraId="08844AB8" w14:textId="77777777" w:rsidR="001D4FD8" w:rsidRPr="000B20CE" w:rsidRDefault="001D4FD8" w:rsidP="00793A61">
            <w:pPr>
              <w:pStyle w:val="Tablea"/>
              <w:rPr>
                <w:i/>
              </w:rPr>
            </w:pPr>
            <w:r w:rsidRPr="000B20CE">
              <w:t xml:space="preserve">(b) the distribution </w:t>
            </w:r>
            <w:proofErr w:type="gramStart"/>
            <w:r w:rsidRPr="000B20CE">
              <w:t>were</w:t>
            </w:r>
            <w:proofErr w:type="gramEnd"/>
            <w:r w:rsidRPr="000B20CE">
              <w:t xml:space="preserve">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 xml:space="preserve">franked at the entity’s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 xml:space="preserve">benchmark franking percentage for the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 xml:space="preserve">franking period in which the purchase was made or, if the entity does not have a benchmark franking percentage for the period, at a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>franking percentage of 100%</w:t>
            </w:r>
          </w:p>
        </w:tc>
        <w:tc>
          <w:tcPr>
            <w:tcW w:w="2127" w:type="dxa"/>
          </w:tcPr>
          <w:p w14:paraId="5633301C" w14:textId="77777777" w:rsidR="001D4FD8" w:rsidRPr="000B20CE" w:rsidRDefault="001D4FD8" w:rsidP="00793A61">
            <w:pPr>
              <w:pStyle w:val="Tabletext"/>
            </w:pPr>
            <w:r w:rsidRPr="000B20CE">
              <w:t>on the day on which the interest is purchased</w:t>
            </w:r>
          </w:p>
        </w:tc>
      </w:tr>
    </w:tbl>
    <w:p w14:paraId="448CC3E3" w14:textId="77777777" w:rsidR="001D4FD8" w:rsidRPr="000B20CE" w:rsidRDefault="003255C0" w:rsidP="00793A61">
      <w:pPr>
        <w:pStyle w:val="Transitional"/>
      </w:pPr>
      <w:proofErr w:type="gramStart"/>
      <w:r>
        <w:t>10</w:t>
      </w:r>
      <w:r w:rsidR="001D4FD8" w:rsidRPr="000B20CE">
        <w:t xml:space="preserve">  Application</w:t>
      </w:r>
      <w:proofErr w:type="gramEnd"/>
      <w:r w:rsidR="001D4FD8" w:rsidRPr="000B20CE">
        <w:t xml:space="preserve"> of amendments</w:t>
      </w:r>
    </w:p>
    <w:p w14:paraId="6743AA4A" w14:textId="77777777" w:rsidR="001D4FD8" w:rsidRPr="000B20CE" w:rsidRDefault="001D4FD8" w:rsidP="00793A61">
      <w:pPr>
        <w:pStyle w:val="Subitem"/>
      </w:pPr>
      <w:r w:rsidRPr="000B20CE">
        <w:t>(1)</w:t>
      </w:r>
      <w:r w:rsidRPr="000B20CE">
        <w:tab/>
        <w:t xml:space="preserve">The amendments made by this Part apply to a purchase by a listed </w:t>
      </w:r>
      <w:r w:rsidR="00D425AC" w:rsidRPr="000B20CE">
        <w:t xml:space="preserve">public </w:t>
      </w:r>
      <w:r w:rsidRPr="000B20CE">
        <w:t>company if:</w:t>
      </w:r>
    </w:p>
    <w:p w14:paraId="29E8B605" w14:textId="77777777" w:rsidR="00651A28" w:rsidRPr="000B20CE" w:rsidRDefault="001D4FD8" w:rsidP="00793A61">
      <w:pPr>
        <w:pStyle w:val="paragraph"/>
      </w:pPr>
      <w:r w:rsidRPr="000B20CE">
        <w:tab/>
        <w:t>(a)</w:t>
      </w:r>
      <w:r w:rsidRPr="000B20CE">
        <w:tab/>
      </w:r>
      <w:r w:rsidR="00651A28" w:rsidRPr="000B20CE">
        <w:t>both:</w:t>
      </w:r>
    </w:p>
    <w:p w14:paraId="5F9BAF30" w14:textId="77777777" w:rsidR="00651A28" w:rsidRPr="000B20CE" w:rsidRDefault="00651A28" w:rsidP="00793A61">
      <w:pPr>
        <w:pStyle w:val="paragraphsub"/>
      </w:pPr>
      <w:r w:rsidRPr="000B20CE">
        <w:tab/>
        <w:t>(</w:t>
      </w:r>
      <w:proofErr w:type="spellStart"/>
      <w:r w:rsidRPr="000B20CE">
        <w:t>i</w:t>
      </w:r>
      <w:proofErr w:type="spellEnd"/>
      <w:r w:rsidRPr="000B20CE">
        <w:t>)</w:t>
      </w:r>
      <w:r w:rsidRPr="000B20CE">
        <w:tab/>
        <w:t>the purchase is announced to the market at or before the time the purchase occurs; and</w:t>
      </w:r>
    </w:p>
    <w:p w14:paraId="729CA850" w14:textId="77777777" w:rsidR="001D4FD8" w:rsidRPr="000B20CE" w:rsidRDefault="00651A28" w:rsidP="00793A61">
      <w:pPr>
        <w:pStyle w:val="paragraphsub"/>
      </w:pPr>
      <w:r w:rsidRPr="000B20CE">
        <w:tab/>
        <w:t>(ii)</w:t>
      </w:r>
      <w:r w:rsidRPr="000B20CE">
        <w:tab/>
      </w:r>
      <w:r w:rsidR="001D4FD8" w:rsidRPr="000B20CE">
        <w:t xml:space="preserve">the purchase is </w:t>
      </w:r>
      <w:r w:rsidR="00ED72A3" w:rsidRPr="000B20CE">
        <w:t xml:space="preserve">first </w:t>
      </w:r>
      <w:r w:rsidR="00CB6FEA" w:rsidRPr="000B20CE">
        <w:t xml:space="preserve">announced to the market </w:t>
      </w:r>
      <w:r w:rsidR="001D4FD8" w:rsidRPr="000B20CE">
        <w:t>after 7:30 pm, by legal time in the Australian Capital Territory, on 25 October 2022; or</w:t>
      </w:r>
    </w:p>
    <w:p w14:paraId="7EF20A22" w14:textId="77777777" w:rsidR="001D4FD8" w:rsidRPr="000B20CE" w:rsidRDefault="001D4FD8" w:rsidP="00793A61">
      <w:pPr>
        <w:pStyle w:val="paragraph"/>
      </w:pPr>
      <w:r w:rsidRPr="000B20CE">
        <w:tab/>
        <w:t>(b)</w:t>
      </w:r>
      <w:r w:rsidRPr="000B20CE">
        <w:tab/>
        <w:t>both:</w:t>
      </w:r>
    </w:p>
    <w:p w14:paraId="267BAAF8" w14:textId="77777777" w:rsidR="001D4FD8" w:rsidRPr="000B20CE" w:rsidRDefault="001D4FD8" w:rsidP="00793A61">
      <w:pPr>
        <w:pStyle w:val="paragraphsub"/>
      </w:pPr>
      <w:r w:rsidRPr="000B20CE">
        <w:tab/>
        <w:t>(</w:t>
      </w:r>
      <w:proofErr w:type="spellStart"/>
      <w:r w:rsidRPr="000B20CE">
        <w:t>i</w:t>
      </w:r>
      <w:proofErr w:type="spellEnd"/>
      <w:r w:rsidRPr="000B20CE">
        <w:t>)</w:t>
      </w:r>
      <w:r w:rsidRPr="000B20CE">
        <w:tab/>
        <w:t xml:space="preserve">the purchase is not announced </w:t>
      </w:r>
      <w:r w:rsidR="00CB6FEA" w:rsidRPr="000B20CE">
        <w:t xml:space="preserve">to the market, or </w:t>
      </w:r>
      <w:r w:rsidRPr="000B20CE">
        <w:t xml:space="preserve">the </w:t>
      </w:r>
      <w:r w:rsidR="00136A6A" w:rsidRPr="000B20CE">
        <w:t>purchase</w:t>
      </w:r>
      <w:r w:rsidRPr="000B20CE">
        <w:t xml:space="preserve"> is </w:t>
      </w:r>
      <w:r w:rsidR="00136A6A" w:rsidRPr="000B20CE">
        <w:t xml:space="preserve">first announced to the market </w:t>
      </w:r>
      <w:r w:rsidRPr="000B20CE">
        <w:t>after the purchase occurs; and</w:t>
      </w:r>
    </w:p>
    <w:p w14:paraId="715AC63B" w14:textId="77777777" w:rsidR="001D4FD8" w:rsidRPr="000B20CE" w:rsidRDefault="001D4FD8" w:rsidP="00793A61">
      <w:pPr>
        <w:pStyle w:val="paragraphsub"/>
      </w:pPr>
      <w:r w:rsidRPr="000B20CE">
        <w:lastRenderedPageBreak/>
        <w:tab/>
        <w:t>(ii)</w:t>
      </w:r>
      <w:r w:rsidRPr="000B20CE">
        <w:tab/>
        <w:t>the purchase occurs after 7:30 pm, by legal time in the Australian Capital Territory, on 25 October 2022.</w:t>
      </w:r>
    </w:p>
    <w:p w14:paraId="4273B2FB" w14:textId="77777777" w:rsidR="00ED72A3" w:rsidRPr="000B20CE" w:rsidRDefault="00CB6FEA" w:rsidP="00793A61">
      <w:pPr>
        <w:pStyle w:val="Subitem"/>
      </w:pPr>
      <w:r w:rsidRPr="000B20CE">
        <w:t>(2)</w:t>
      </w:r>
      <w:r w:rsidRPr="000B20CE">
        <w:tab/>
        <w:t xml:space="preserve">The purchase is </w:t>
      </w:r>
      <w:r w:rsidRPr="000B20CE">
        <w:rPr>
          <w:b/>
          <w:i/>
        </w:rPr>
        <w:t>announced to the market</w:t>
      </w:r>
      <w:r w:rsidRPr="000B20CE">
        <w:t xml:space="preserve"> if</w:t>
      </w:r>
      <w:r w:rsidR="00ED72A3" w:rsidRPr="000B20CE">
        <w:t>:</w:t>
      </w:r>
    </w:p>
    <w:p w14:paraId="6BA6103D" w14:textId="77777777" w:rsidR="00ED72A3" w:rsidRPr="000B20CE" w:rsidRDefault="00ED72A3" w:rsidP="00793A61">
      <w:pPr>
        <w:pStyle w:val="paragraph"/>
      </w:pPr>
      <w:r w:rsidRPr="000B20CE">
        <w:tab/>
        <w:t>(a)</w:t>
      </w:r>
      <w:r w:rsidRPr="000B20CE">
        <w:tab/>
        <w:t>the rules of a</w:t>
      </w:r>
      <w:r w:rsidR="00D425AC" w:rsidRPr="000B20CE">
        <w:t>n</w:t>
      </w:r>
      <w:r w:rsidRPr="000B20CE">
        <w:t xml:space="preserve"> </w:t>
      </w:r>
      <w:r w:rsidR="00D425AC" w:rsidRPr="000B20CE">
        <w:t xml:space="preserve">approved </w:t>
      </w:r>
      <w:r w:rsidRPr="000B20CE">
        <w:t xml:space="preserve">stock exchange require the company to notify the stock exchange of the purchase for the purpose of </w:t>
      </w:r>
      <w:r w:rsidR="004D6DEE" w:rsidRPr="000B20CE">
        <w:t xml:space="preserve">release </w:t>
      </w:r>
      <w:r w:rsidRPr="000B20CE">
        <w:t>to the market; and</w:t>
      </w:r>
    </w:p>
    <w:p w14:paraId="5CC9D1D2" w14:textId="77777777" w:rsidR="00ED72A3" w:rsidRPr="000B20CE" w:rsidRDefault="00ED72A3" w:rsidP="00793A61">
      <w:pPr>
        <w:pStyle w:val="paragraph"/>
      </w:pPr>
      <w:r w:rsidRPr="000B20CE">
        <w:tab/>
        <w:t>(b)</w:t>
      </w:r>
      <w:r w:rsidRPr="000B20CE">
        <w:tab/>
        <w:t>notification of the purchase is released to the market</w:t>
      </w:r>
      <w:r w:rsidR="00136A6A" w:rsidRPr="000B20CE">
        <w:t xml:space="preserve"> following such disclosure</w:t>
      </w:r>
      <w:r w:rsidRPr="000B20CE">
        <w:t>.</w:t>
      </w:r>
    </w:p>
    <w:p w14:paraId="4583413A" w14:textId="77777777" w:rsidR="00CB6FEA" w:rsidRPr="000B20CE" w:rsidRDefault="00CB6FEA" w:rsidP="00793A61">
      <w:pPr>
        <w:pStyle w:val="ActHead7"/>
      </w:pPr>
      <w:bookmarkStart w:id="8" w:name="_Toc118735433"/>
      <w:r w:rsidRPr="002500EC">
        <w:rPr>
          <w:rStyle w:val="CharAmPartNo"/>
        </w:rPr>
        <w:t>Part 2</w:t>
      </w:r>
      <w:r w:rsidRPr="000B20CE">
        <w:t>—</w:t>
      </w:r>
      <w:r w:rsidRPr="002500EC">
        <w:rPr>
          <w:rStyle w:val="CharAmPartText"/>
        </w:rPr>
        <w:t>Other amendments</w:t>
      </w:r>
      <w:bookmarkEnd w:id="8"/>
    </w:p>
    <w:p w14:paraId="576A230A" w14:textId="77777777" w:rsidR="00D425AC" w:rsidRPr="000B20CE" w:rsidRDefault="00D425AC" w:rsidP="00793A61">
      <w:pPr>
        <w:pStyle w:val="ActHead9"/>
      </w:pPr>
      <w:bookmarkStart w:id="9" w:name="_Toc118735434"/>
      <w:r w:rsidRPr="000B20CE">
        <w:t>Income Tax Assessment Act 1936</w:t>
      </w:r>
      <w:bookmarkEnd w:id="9"/>
    </w:p>
    <w:p w14:paraId="1DCF0FBA" w14:textId="77777777" w:rsidR="00D425AC" w:rsidRPr="000B20CE" w:rsidRDefault="003255C0" w:rsidP="00793A61">
      <w:pPr>
        <w:pStyle w:val="ItemHead"/>
      </w:pPr>
      <w:proofErr w:type="gramStart"/>
      <w:r>
        <w:t>11</w:t>
      </w:r>
      <w:r w:rsidR="00D425AC" w:rsidRPr="000B20CE">
        <w:t xml:space="preserve">  Subsection</w:t>
      </w:r>
      <w:proofErr w:type="gramEnd"/>
      <w:r w:rsidR="00D425AC" w:rsidRPr="000B20CE">
        <w:t> 6(1)</w:t>
      </w:r>
    </w:p>
    <w:p w14:paraId="2B9B04EC" w14:textId="77777777" w:rsidR="00D425AC" w:rsidRPr="000B20CE" w:rsidRDefault="00D425AC" w:rsidP="00793A61">
      <w:pPr>
        <w:pStyle w:val="Item"/>
      </w:pPr>
      <w:r w:rsidRPr="000B20CE">
        <w:t>Insert:</w:t>
      </w:r>
    </w:p>
    <w:p w14:paraId="7518ADF8" w14:textId="77777777" w:rsidR="00D425AC" w:rsidRPr="000B20CE" w:rsidRDefault="00D425AC" w:rsidP="00793A61">
      <w:pPr>
        <w:pStyle w:val="Definition"/>
      </w:pPr>
      <w:r w:rsidRPr="000B20CE">
        <w:rPr>
          <w:b/>
          <w:i/>
        </w:rPr>
        <w:t>listed public company</w:t>
      </w:r>
      <w:r w:rsidRPr="000B20CE">
        <w:t xml:space="preserve"> has the same meaning as in the </w:t>
      </w:r>
      <w:r w:rsidRPr="000B20CE">
        <w:rPr>
          <w:i/>
        </w:rPr>
        <w:t>Income Tax Assessment Act 1997</w:t>
      </w:r>
      <w:r w:rsidRPr="000B20CE">
        <w:t>.</w:t>
      </w:r>
    </w:p>
    <w:p w14:paraId="4ED6F3EF" w14:textId="77777777" w:rsidR="00D425AC" w:rsidRPr="000B20CE" w:rsidRDefault="00D425AC" w:rsidP="00793A61">
      <w:pPr>
        <w:pStyle w:val="notetext"/>
      </w:pPr>
      <w:r w:rsidRPr="000B20CE">
        <w:t>Note:</w:t>
      </w:r>
      <w:r w:rsidRPr="000B20CE">
        <w:tab/>
        <w:t>For the meaning of listed public company in Schedule 2F to this Act, see section 272</w:t>
      </w:r>
      <w:r w:rsidR="00793A61">
        <w:noBreakHyphen/>
      </w:r>
      <w:r w:rsidRPr="000B20CE">
        <w:t>135 in that Schedule.</w:t>
      </w:r>
    </w:p>
    <w:p w14:paraId="275906F2" w14:textId="77777777" w:rsidR="00D425AC" w:rsidRPr="000B20CE" w:rsidRDefault="003255C0" w:rsidP="00793A61">
      <w:pPr>
        <w:pStyle w:val="ItemHead"/>
      </w:pPr>
      <w:proofErr w:type="gramStart"/>
      <w:r>
        <w:t>12</w:t>
      </w:r>
      <w:r w:rsidR="00D425AC" w:rsidRPr="000B20CE">
        <w:t xml:space="preserve">  Paragraph</w:t>
      </w:r>
      <w:proofErr w:type="gramEnd"/>
      <w:r w:rsidR="00D425AC" w:rsidRPr="000B20CE">
        <w:t> 6BA(6)(a)</w:t>
      </w:r>
    </w:p>
    <w:p w14:paraId="1D6C33B4" w14:textId="77777777" w:rsidR="00D425AC" w:rsidRPr="000B20CE" w:rsidRDefault="00D425AC" w:rsidP="00793A61">
      <w:pPr>
        <w:pStyle w:val="Item"/>
      </w:pPr>
      <w:r w:rsidRPr="000B20CE">
        <w:t xml:space="preserve">Omit “(within the meaning of the </w:t>
      </w:r>
      <w:r w:rsidRPr="000B20CE">
        <w:rPr>
          <w:i/>
        </w:rPr>
        <w:t>Income Tax Assessment Act 1997</w:t>
      </w:r>
      <w:r w:rsidRPr="000B20CE">
        <w:t>)”.</w:t>
      </w:r>
    </w:p>
    <w:p w14:paraId="5B08464C" w14:textId="77777777" w:rsidR="00D425AC" w:rsidRPr="000B20CE" w:rsidRDefault="003255C0" w:rsidP="00793A61">
      <w:pPr>
        <w:pStyle w:val="ItemHead"/>
      </w:pPr>
      <w:proofErr w:type="gramStart"/>
      <w:r>
        <w:t>13</w:t>
      </w:r>
      <w:r w:rsidR="00D425AC" w:rsidRPr="000B20CE">
        <w:t xml:space="preserve">  Subsection</w:t>
      </w:r>
      <w:proofErr w:type="gramEnd"/>
      <w:r w:rsidR="00D425AC" w:rsidRPr="000B20CE">
        <w:t> 45D(2)</w:t>
      </w:r>
    </w:p>
    <w:p w14:paraId="677DBD81" w14:textId="77777777" w:rsidR="00D425AC" w:rsidRPr="000B20CE" w:rsidRDefault="00D425AC" w:rsidP="00793A61">
      <w:pPr>
        <w:pStyle w:val="Item"/>
      </w:pPr>
      <w:r w:rsidRPr="000B20CE">
        <w:t xml:space="preserve">Omit “within the meaning of the </w:t>
      </w:r>
      <w:r w:rsidRPr="000B20CE">
        <w:rPr>
          <w:i/>
        </w:rPr>
        <w:t>Income Tax Assessment Act 1997</w:t>
      </w:r>
      <w:r w:rsidRPr="000B20CE">
        <w:t>”.</w:t>
      </w:r>
    </w:p>
    <w:p w14:paraId="5DDBED48" w14:textId="77777777" w:rsidR="00CB6FEA" w:rsidRPr="000B20CE" w:rsidRDefault="00CB6FEA" w:rsidP="00793A61">
      <w:pPr>
        <w:pStyle w:val="ActHead9"/>
      </w:pPr>
      <w:bookmarkStart w:id="10" w:name="_Toc118735435"/>
      <w:r w:rsidRPr="000B20CE">
        <w:t>Income Tax Assessment Act 1997</w:t>
      </w:r>
      <w:bookmarkEnd w:id="10"/>
    </w:p>
    <w:p w14:paraId="592AC0D1" w14:textId="77777777" w:rsidR="00CB6FEA" w:rsidRPr="000B20CE" w:rsidRDefault="003255C0" w:rsidP="00793A61">
      <w:pPr>
        <w:pStyle w:val="ItemHead"/>
      </w:pPr>
      <w:proofErr w:type="gramStart"/>
      <w:r>
        <w:t>14</w:t>
      </w:r>
      <w:r w:rsidR="00CB6FEA" w:rsidRPr="000B20CE">
        <w:t xml:space="preserve">  Paragraph</w:t>
      </w:r>
      <w:proofErr w:type="gramEnd"/>
      <w:r w:rsidR="00CB6FEA" w:rsidRPr="000B20CE">
        <w:t> 202</w:t>
      </w:r>
      <w:r w:rsidR="00793A61">
        <w:noBreakHyphen/>
      </w:r>
      <w:r w:rsidR="00CB6FEA" w:rsidRPr="000B20CE">
        <w:t>45(c)</w:t>
      </w:r>
    </w:p>
    <w:p w14:paraId="5833EDB6" w14:textId="77777777" w:rsidR="00CB6FEA" w:rsidRPr="000B20CE" w:rsidRDefault="00CB6FEA" w:rsidP="00793A61">
      <w:pPr>
        <w:pStyle w:val="Item"/>
      </w:pPr>
      <w:r w:rsidRPr="000B20CE">
        <w:t xml:space="preserve">Omit “that Act”, substitute “the </w:t>
      </w:r>
      <w:r w:rsidRPr="000B20CE">
        <w:rPr>
          <w:i/>
        </w:rPr>
        <w:t>Income Tax Assessment Act 1936</w:t>
      </w:r>
      <w:r w:rsidRPr="000B20CE">
        <w:t>”.</w:t>
      </w:r>
    </w:p>
    <w:p w14:paraId="5B334C83" w14:textId="77777777" w:rsidR="001D4FD8" w:rsidRPr="000B20CE" w:rsidRDefault="001D4FD8" w:rsidP="00793A61">
      <w:pPr>
        <w:pStyle w:val="ActHead6"/>
        <w:pageBreakBefore/>
      </w:pPr>
      <w:bookmarkStart w:id="11" w:name="_Toc118735436"/>
      <w:r w:rsidRPr="002500EC">
        <w:rPr>
          <w:rStyle w:val="CharAmSchNo"/>
        </w:rPr>
        <w:lastRenderedPageBreak/>
        <w:t>Schedule 2</w:t>
      </w:r>
      <w:r w:rsidRPr="000B20CE">
        <w:t>—</w:t>
      </w:r>
      <w:r w:rsidRPr="002500EC">
        <w:rPr>
          <w:rStyle w:val="CharAmSchText"/>
        </w:rPr>
        <w:t>Selective share cancellations</w:t>
      </w:r>
      <w:bookmarkEnd w:id="11"/>
    </w:p>
    <w:p w14:paraId="5A0B1EEC" w14:textId="77777777" w:rsidR="001D4FD8" w:rsidRPr="002500EC" w:rsidRDefault="001D4FD8" w:rsidP="00793A61">
      <w:pPr>
        <w:pStyle w:val="Header"/>
      </w:pPr>
      <w:r w:rsidRPr="002500EC">
        <w:rPr>
          <w:rStyle w:val="CharAmPartNo"/>
        </w:rPr>
        <w:t xml:space="preserve"> </w:t>
      </w:r>
      <w:r w:rsidRPr="002500EC">
        <w:rPr>
          <w:rStyle w:val="CharAmPartText"/>
        </w:rPr>
        <w:t xml:space="preserve"> </w:t>
      </w:r>
    </w:p>
    <w:p w14:paraId="77AE1BB2" w14:textId="77777777" w:rsidR="001D4FD8" w:rsidRPr="000B20CE" w:rsidRDefault="001D4FD8" w:rsidP="00793A61">
      <w:pPr>
        <w:pStyle w:val="ActHead9"/>
      </w:pPr>
      <w:bookmarkStart w:id="12" w:name="_Toc118735437"/>
      <w:r w:rsidRPr="000B20CE">
        <w:t>Income Tax Assessment Act 1997</w:t>
      </w:r>
      <w:bookmarkEnd w:id="12"/>
    </w:p>
    <w:p w14:paraId="6D69854E" w14:textId="77777777" w:rsidR="001D4FD8" w:rsidRPr="000B20CE" w:rsidRDefault="001D4FD8" w:rsidP="00793A61">
      <w:pPr>
        <w:pStyle w:val="ItemHead"/>
      </w:pPr>
      <w:proofErr w:type="gramStart"/>
      <w:r w:rsidRPr="000B20CE">
        <w:t>1  At</w:t>
      </w:r>
      <w:proofErr w:type="gramEnd"/>
      <w:r w:rsidRPr="000B20CE">
        <w:t xml:space="preserve"> the end of section 202</w:t>
      </w:r>
      <w:r w:rsidR="00793A61">
        <w:noBreakHyphen/>
      </w:r>
      <w:r w:rsidRPr="000B20CE">
        <w:t>45</w:t>
      </w:r>
    </w:p>
    <w:p w14:paraId="042BF51B" w14:textId="77777777" w:rsidR="001D4FD8" w:rsidRPr="000B20CE" w:rsidRDefault="001D4FD8" w:rsidP="00793A61">
      <w:pPr>
        <w:pStyle w:val="Item"/>
      </w:pPr>
      <w:r w:rsidRPr="000B20CE">
        <w:t>Add:</w:t>
      </w:r>
    </w:p>
    <w:p w14:paraId="2566B25A" w14:textId="77777777" w:rsidR="00D606B6" w:rsidRPr="000B20CE" w:rsidRDefault="00D606B6" w:rsidP="00793A61">
      <w:pPr>
        <w:pStyle w:val="paragraph"/>
      </w:pPr>
      <w:r w:rsidRPr="000B20CE">
        <w:tab/>
        <w:t>; (k)</w:t>
      </w:r>
      <w:r w:rsidRPr="000B20CE">
        <w:tab/>
        <w:t xml:space="preserve">a distribution by a </w:t>
      </w:r>
      <w:r w:rsidR="00793A61" w:rsidRPr="00793A61">
        <w:rPr>
          <w:position w:val="6"/>
          <w:sz w:val="16"/>
        </w:rPr>
        <w:t>*</w:t>
      </w:r>
      <w:r w:rsidRPr="000B20CE">
        <w:t xml:space="preserve">listed public company that is consideration for the cancellation of a </w:t>
      </w:r>
      <w:r w:rsidR="00793A61" w:rsidRPr="00793A61">
        <w:rPr>
          <w:position w:val="6"/>
          <w:sz w:val="16"/>
        </w:rPr>
        <w:t>*</w:t>
      </w:r>
      <w:r w:rsidRPr="000B20CE">
        <w:t>membership interest in the company as part of</w:t>
      </w:r>
      <w:r w:rsidR="005055D4" w:rsidRPr="000B20CE">
        <w:t xml:space="preserve"> a selective reduction of capital, including </w:t>
      </w:r>
      <w:r w:rsidRPr="000B20CE">
        <w:t xml:space="preserve">a selective reduction within the meaning of </w:t>
      </w:r>
      <w:r w:rsidR="005055D4" w:rsidRPr="000B20CE">
        <w:t xml:space="preserve">section 256B of the </w:t>
      </w:r>
      <w:r w:rsidR="005055D4" w:rsidRPr="000B20CE">
        <w:rPr>
          <w:i/>
        </w:rPr>
        <w:t>Corporations Act 2001</w:t>
      </w:r>
      <w:r w:rsidR="004D5B1A" w:rsidRPr="000B20CE">
        <w:t>.</w:t>
      </w:r>
    </w:p>
    <w:p w14:paraId="6FD4DA3E" w14:textId="77777777" w:rsidR="001D4FD8" w:rsidRPr="000B20CE" w:rsidRDefault="001D4FD8" w:rsidP="00793A61">
      <w:pPr>
        <w:pStyle w:val="ItemHead"/>
      </w:pPr>
      <w:proofErr w:type="gramStart"/>
      <w:r w:rsidRPr="000B20CE">
        <w:t>2  Subsection</w:t>
      </w:r>
      <w:proofErr w:type="gramEnd"/>
      <w:r w:rsidRPr="000B20CE">
        <w:t> 205</w:t>
      </w:r>
      <w:r w:rsidR="00793A61">
        <w:noBreakHyphen/>
      </w:r>
      <w:r w:rsidRPr="000B20CE">
        <w:t>30(1) (before table item 10)</w:t>
      </w:r>
    </w:p>
    <w:p w14:paraId="53C57B87" w14:textId="77777777" w:rsidR="001D4FD8" w:rsidRPr="000B20CE" w:rsidRDefault="001D4FD8" w:rsidP="00793A61">
      <w:pPr>
        <w:pStyle w:val="Item"/>
      </w:pPr>
      <w:r w:rsidRPr="000B20CE">
        <w:t>Insert:</w:t>
      </w:r>
    </w:p>
    <w:p w14:paraId="5A20BF63" w14:textId="77777777" w:rsidR="001D4FD8" w:rsidRPr="000B20CE" w:rsidRDefault="001D4FD8" w:rsidP="00793A61">
      <w:pPr>
        <w:pStyle w:val="Tabletext"/>
      </w:pPr>
    </w:p>
    <w:tbl>
      <w:tblPr>
        <w:tblW w:w="7371" w:type="dxa"/>
        <w:tblInd w:w="10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2268"/>
        <w:gridCol w:w="2268"/>
        <w:gridCol w:w="2127"/>
      </w:tblGrid>
      <w:tr w:rsidR="001D4FD8" w:rsidRPr="000B20CE" w14:paraId="2B0B728F" w14:textId="77777777" w:rsidTr="00813091">
        <w:trPr>
          <w:cantSplit/>
        </w:trPr>
        <w:tc>
          <w:tcPr>
            <w:tcW w:w="708" w:type="dxa"/>
          </w:tcPr>
          <w:p w14:paraId="355B0E89" w14:textId="77777777" w:rsidR="001D4FD8" w:rsidRPr="000B20CE" w:rsidRDefault="001D4FD8" w:rsidP="00793A61">
            <w:pPr>
              <w:pStyle w:val="Tabletext"/>
            </w:pPr>
            <w:r w:rsidRPr="000B20CE">
              <w:t>9B</w:t>
            </w:r>
          </w:p>
        </w:tc>
        <w:tc>
          <w:tcPr>
            <w:tcW w:w="2268" w:type="dxa"/>
          </w:tcPr>
          <w:p w14:paraId="014961E2" w14:textId="77777777" w:rsidR="001D4FD8" w:rsidRPr="000B20CE" w:rsidRDefault="001D4FD8" w:rsidP="00793A61">
            <w:pPr>
              <w:pStyle w:val="Tabletext"/>
            </w:pPr>
            <w:r w:rsidRPr="000B20CE">
              <w:t xml:space="preserve">the entity makes a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>distribution to which paragraph 202</w:t>
            </w:r>
            <w:r w:rsidR="00793A61">
              <w:noBreakHyphen/>
            </w:r>
            <w:r w:rsidRPr="000B20CE">
              <w:t xml:space="preserve">45(k) applies (consideration for </w:t>
            </w:r>
            <w:r w:rsidR="005055D4" w:rsidRPr="000B20CE">
              <w:t>cancellation of membership interest as part of selective reduction of capital</w:t>
            </w:r>
            <w:r w:rsidRPr="000B20CE">
              <w:t>)</w:t>
            </w:r>
          </w:p>
        </w:tc>
        <w:tc>
          <w:tcPr>
            <w:tcW w:w="2268" w:type="dxa"/>
          </w:tcPr>
          <w:p w14:paraId="773CD2D8" w14:textId="77777777" w:rsidR="001D4FD8" w:rsidRPr="000B20CE" w:rsidRDefault="001D4FD8" w:rsidP="00793A61">
            <w:pPr>
              <w:pStyle w:val="Tabletext"/>
            </w:pPr>
            <w:r w:rsidRPr="000B20CE">
              <w:t>an amount equal to the debit that would have arisen if:</w:t>
            </w:r>
          </w:p>
          <w:p w14:paraId="7371AE10" w14:textId="77777777" w:rsidR="001D4FD8" w:rsidRPr="000B20CE" w:rsidRDefault="001D4FD8" w:rsidP="00793A61">
            <w:pPr>
              <w:pStyle w:val="Tablea"/>
            </w:pPr>
            <w:r w:rsidRPr="000B20CE">
              <w:t xml:space="preserve">(a) the distribution </w:t>
            </w:r>
            <w:proofErr w:type="gramStart"/>
            <w:r w:rsidRPr="000B20CE">
              <w:t>were</w:t>
            </w:r>
            <w:proofErr w:type="gramEnd"/>
            <w:r w:rsidRPr="000B20CE">
              <w:t xml:space="preserve"> a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 xml:space="preserve">frankable distribution equal to the one that would have arisen if the entity were not a </w:t>
            </w:r>
            <w:r w:rsidR="00793A61" w:rsidRPr="00793A61">
              <w:rPr>
                <w:position w:val="6"/>
                <w:sz w:val="16"/>
              </w:rPr>
              <w:t>*</w:t>
            </w:r>
            <w:r w:rsidR="00CB6FEA" w:rsidRPr="000B20CE">
              <w:t xml:space="preserve">listed </w:t>
            </w:r>
            <w:r w:rsidR="00D425AC" w:rsidRPr="000B20CE">
              <w:t>public c</w:t>
            </w:r>
            <w:r w:rsidR="00CB6FEA" w:rsidRPr="000B20CE">
              <w:t>ompany</w:t>
            </w:r>
            <w:r w:rsidRPr="000B20CE">
              <w:t>; and</w:t>
            </w:r>
          </w:p>
          <w:p w14:paraId="6B2FA275" w14:textId="77777777" w:rsidR="001D4FD8" w:rsidRPr="000B20CE" w:rsidRDefault="001D4FD8" w:rsidP="00793A61">
            <w:pPr>
              <w:pStyle w:val="Tablea"/>
              <w:rPr>
                <w:i/>
              </w:rPr>
            </w:pPr>
            <w:r w:rsidRPr="000B20CE">
              <w:t xml:space="preserve">(b) the distribution </w:t>
            </w:r>
            <w:proofErr w:type="gramStart"/>
            <w:r w:rsidRPr="000B20CE">
              <w:t>were</w:t>
            </w:r>
            <w:proofErr w:type="gramEnd"/>
            <w:r w:rsidRPr="000B20CE">
              <w:t xml:space="preserve">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 xml:space="preserve">franked at the entity’s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 xml:space="preserve">benchmark franking percentage for the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 xml:space="preserve">franking period in which the </w:t>
            </w:r>
            <w:r w:rsidR="005055D4" w:rsidRPr="000B20CE">
              <w:t>distribution</w:t>
            </w:r>
            <w:r w:rsidRPr="000B20CE">
              <w:t xml:space="preserve"> was made or, if the entity does not have a benchmark franking percentage for the period, at a </w:t>
            </w:r>
            <w:r w:rsidR="00793A61" w:rsidRPr="00793A61">
              <w:rPr>
                <w:position w:val="6"/>
                <w:sz w:val="16"/>
              </w:rPr>
              <w:t>*</w:t>
            </w:r>
            <w:r w:rsidRPr="000B20CE">
              <w:t>franking percentage of 100%</w:t>
            </w:r>
          </w:p>
        </w:tc>
        <w:tc>
          <w:tcPr>
            <w:tcW w:w="2127" w:type="dxa"/>
          </w:tcPr>
          <w:p w14:paraId="1D784C15" w14:textId="77777777" w:rsidR="001D4FD8" w:rsidRPr="000B20CE" w:rsidRDefault="001D4FD8" w:rsidP="00793A61">
            <w:pPr>
              <w:pStyle w:val="Tabletext"/>
            </w:pPr>
            <w:r w:rsidRPr="000B20CE">
              <w:t>on the day on which the distribution is made</w:t>
            </w:r>
          </w:p>
        </w:tc>
      </w:tr>
    </w:tbl>
    <w:p w14:paraId="7136A2E0" w14:textId="77777777" w:rsidR="001D4FD8" w:rsidRPr="000B20CE" w:rsidRDefault="001D4FD8" w:rsidP="00793A61">
      <w:pPr>
        <w:pStyle w:val="Transitional"/>
      </w:pPr>
      <w:proofErr w:type="gramStart"/>
      <w:r w:rsidRPr="000B20CE">
        <w:lastRenderedPageBreak/>
        <w:t>3  Application</w:t>
      </w:r>
      <w:proofErr w:type="gramEnd"/>
      <w:r w:rsidRPr="000B20CE">
        <w:t xml:space="preserve"> of amendments</w:t>
      </w:r>
    </w:p>
    <w:p w14:paraId="58135DCA" w14:textId="77777777" w:rsidR="00136A6A" w:rsidRPr="000B20CE" w:rsidRDefault="00136A6A" w:rsidP="00793A61">
      <w:pPr>
        <w:pStyle w:val="Subitem"/>
      </w:pPr>
      <w:r w:rsidRPr="000B20CE">
        <w:t>(1)</w:t>
      </w:r>
      <w:r w:rsidRPr="000B20CE">
        <w:tab/>
        <w:t xml:space="preserve">The amendments made by this </w:t>
      </w:r>
      <w:r w:rsidR="008F30BD" w:rsidRPr="000B20CE">
        <w:t>Schedule</w:t>
      </w:r>
      <w:r w:rsidRPr="000B20CE">
        <w:t xml:space="preserve"> apply to a cancellation of a membership interest by a listed </w:t>
      </w:r>
      <w:r w:rsidR="00D425AC" w:rsidRPr="000B20CE">
        <w:t xml:space="preserve">public </w:t>
      </w:r>
      <w:r w:rsidRPr="000B20CE">
        <w:t>company if:</w:t>
      </w:r>
    </w:p>
    <w:p w14:paraId="7A01F64E" w14:textId="77777777" w:rsidR="00651A28" w:rsidRPr="000B20CE" w:rsidRDefault="00651A28" w:rsidP="00793A61">
      <w:pPr>
        <w:pStyle w:val="paragraph"/>
      </w:pPr>
      <w:r w:rsidRPr="000B20CE">
        <w:tab/>
        <w:t>(a)</w:t>
      </w:r>
      <w:r w:rsidRPr="000B20CE">
        <w:tab/>
        <w:t>both:</w:t>
      </w:r>
    </w:p>
    <w:p w14:paraId="38530C11" w14:textId="77777777" w:rsidR="00651A28" w:rsidRPr="000B20CE" w:rsidRDefault="00651A28" w:rsidP="00793A61">
      <w:pPr>
        <w:pStyle w:val="paragraphsub"/>
      </w:pPr>
      <w:r w:rsidRPr="000B20CE">
        <w:tab/>
        <w:t>(</w:t>
      </w:r>
      <w:proofErr w:type="spellStart"/>
      <w:r w:rsidRPr="000B20CE">
        <w:t>i</w:t>
      </w:r>
      <w:proofErr w:type="spellEnd"/>
      <w:r w:rsidRPr="000B20CE">
        <w:t>)</w:t>
      </w:r>
      <w:r w:rsidRPr="000B20CE">
        <w:tab/>
        <w:t>the cancellation is announced to the market at or before the time the cancellation occurs; and</w:t>
      </w:r>
    </w:p>
    <w:p w14:paraId="6502BA38" w14:textId="77777777" w:rsidR="00651A28" w:rsidRPr="000B20CE" w:rsidRDefault="00651A28" w:rsidP="00793A61">
      <w:pPr>
        <w:pStyle w:val="paragraphsub"/>
      </w:pPr>
      <w:r w:rsidRPr="000B20CE">
        <w:tab/>
        <w:t>(ii)</w:t>
      </w:r>
      <w:r w:rsidRPr="000B20CE">
        <w:tab/>
        <w:t>the cancellation is first announced to the market after 7:30 pm, by legal time in the Australian Capital Territory, on 25 October 2022; or</w:t>
      </w:r>
    </w:p>
    <w:p w14:paraId="34AEF293" w14:textId="77777777" w:rsidR="00136A6A" w:rsidRPr="000B20CE" w:rsidRDefault="00136A6A" w:rsidP="00793A61">
      <w:pPr>
        <w:pStyle w:val="paragraph"/>
      </w:pPr>
      <w:r w:rsidRPr="000B20CE">
        <w:tab/>
        <w:t>(b)</w:t>
      </w:r>
      <w:r w:rsidRPr="000B20CE">
        <w:tab/>
        <w:t>both:</w:t>
      </w:r>
    </w:p>
    <w:p w14:paraId="369CD163" w14:textId="77777777" w:rsidR="00136A6A" w:rsidRPr="000B20CE" w:rsidRDefault="00136A6A" w:rsidP="00793A61">
      <w:pPr>
        <w:pStyle w:val="paragraphsub"/>
      </w:pPr>
      <w:r w:rsidRPr="000B20CE">
        <w:tab/>
        <w:t>(</w:t>
      </w:r>
      <w:proofErr w:type="spellStart"/>
      <w:r w:rsidRPr="000B20CE">
        <w:t>i</w:t>
      </w:r>
      <w:proofErr w:type="spellEnd"/>
      <w:r w:rsidRPr="000B20CE">
        <w:t>)</w:t>
      </w:r>
      <w:r w:rsidRPr="000B20CE">
        <w:tab/>
        <w:t>the cancellation is not announced to the market, or the cancellation is first announced to the market after the cancellation occurs; and</w:t>
      </w:r>
    </w:p>
    <w:p w14:paraId="39199097" w14:textId="77777777" w:rsidR="00136A6A" w:rsidRPr="000B20CE" w:rsidRDefault="00136A6A" w:rsidP="00793A61">
      <w:pPr>
        <w:pStyle w:val="paragraphsub"/>
      </w:pPr>
      <w:r w:rsidRPr="000B20CE">
        <w:tab/>
        <w:t>(ii)</w:t>
      </w:r>
      <w:r w:rsidRPr="000B20CE">
        <w:tab/>
        <w:t>the cancellation occurs after 7:30 pm, by legal time in the Australian Capital Territory, on 25 October 2022.</w:t>
      </w:r>
    </w:p>
    <w:p w14:paraId="24CCD197" w14:textId="77777777" w:rsidR="00136A6A" w:rsidRPr="000B20CE" w:rsidRDefault="00136A6A" w:rsidP="00793A61">
      <w:pPr>
        <w:pStyle w:val="Subitem"/>
      </w:pPr>
      <w:r w:rsidRPr="000B20CE">
        <w:t>(2)</w:t>
      </w:r>
      <w:r w:rsidRPr="000B20CE">
        <w:tab/>
        <w:t xml:space="preserve">The cancellation is </w:t>
      </w:r>
      <w:r w:rsidRPr="000B20CE">
        <w:rPr>
          <w:b/>
          <w:i/>
        </w:rPr>
        <w:t>announced to the market</w:t>
      </w:r>
      <w:r w:rsidRPr="000B20CE">
        <w:t xml:space="preserve"> if:</w:t>
      </w:r>
    </w:p>
    <w:p w14:paraId="60915470" w14:textId="77777777" w:rsidR="00136A6A" w:rsidRPr="000B20CE" w:rsidRDefault="00136A6A" w:rsidP="00793A61">
      <w:pPr>
        <w:pStyle w:val="paragraph"/>
      </w:pPr>
      <w:r w:rsidRPr="000B20CE">
        <w:tab/>
        <w:t>(a)</w:t>
      </w:r>
      <w:r w:rsidRPr="000B20CE">
        <w:tab/>
        <w:t>the rules of a</w:t>
      </w:r>
      <w:r w:rsidR="00D425AC" w:rsidRPr="000B20CE">
        <w:t>n approved</w:t>
      </w:r>
      <w:r w:rsidRPr="000B20CE">
        <w:t xml:space="preserve"> stock exchange require the company to notify the stock exchange of the cancellation for the purpose of </w:t>
      </w:r>
      <w:r w:rsidR="004D6DEE" w:rsidRPr="000B20CE">
        <w:t>release</w:t>
      </w:r>
      <w:r w:rsidRPr="000B20CE">
        <w:t xml:space="preserve"> to the market; and</w:t>
      </w:r>
    </w:p>
    <w:p w14:paraId="42612A93" w14:textId="77777777" w:rsidR="00136A6A" w:rsidRPr="000B20CE" w:rsidRDefault="00136A6A" w:rsidP="00793A61">
      <w:pPr>
        <w:pStyle w:val="paragraph"/>
      </w:pPr>
      <w:r w:rsidRPr="000B20CE">
        <w:tab/>
        <w:t>(b)</w:t>
      </w:r>
      <w:r w:rsidRPr="000B20CE">
        <w:tab/>
        <w:t>notification of the cancellation is released to the market following such disclosure.</w:t>
      </w:r>
    </w:p>
    <w:sectPr w:rsidR="00136A6A" w:rsidRPr="000B20CE" w:rsidSect="00793A6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871" w:right="2410" w:bottom="4537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E0EE" w14:textId="77777777" w:rsidR="00D606B6" w:rsidRDefault="00D606B6" w:rsidP="0048364F">
      <w:pPr>
        <w:spacing w:line="240" w:lineRule="auto"/>
      </w:pPr>
      <w:r>
        <w:separator/>
      </w:r>
    </w:p>
  </w:endnote>
  <w:endnote w:type="continuationSeparator" w:id="0">
    <w:p w14:paraId="7E9A7953" w14:textId="77777777" w:rsidR="00D606B6" w:rsidRDefault="00D606B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15AB" w14:textId="77777777" w:rsidR="00D606B6" w:rsidRPr="005F1388" w:rsidRDefault="00D606B6" w:rsidP="00793A6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7CBA0542" wp14:editId="0768ADEA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6" name="Text Box 1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CF8A4" w14:textId="77777777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A054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alt="Sec-Footerevenpage" style="position:absolute;left:0;text-align:left;margin-left:0;margin-top:120.75pt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ASjUyH8CAABt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4D6CF8A4" w14:textId="77777777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CE0B" w14:textId="77777777" w:rsidR="00D606B6" w:rsidRDefault="00D606B6" w:rsidP="00793A61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D606B6" w14:paraId="6E50EBD7" w14:textId="77777777" w:rsidTr="00813091">
      <w:tc>
        <w:tcPr>
          <w:tcW w:w="7303" w:type="dxa"/>
        </w:tcPr>
        <w:p w14:paraId="67096412" w14:textId="77777777" w:rsidR="00D606B6" w:rsidRDefault="00D606B6" w:rsidP="00813091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1748720" w14:textId="77777777" w:rsidR="00D606B6" w:rsidRPr="005F1388" w:rsidRDefault="00D606B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5E4A414" wp14:editId="3F77645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4" name="Text Box 1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4F8BC" w14:textId="6CCD8EF0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3B4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4A41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6amx2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4A64F8BC" w14:textId="6CCD8EF0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3B4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37B1" w14:textId="77777777" w:rsidR="00D606B6" w:rsidRPr="00ED79B6" w:rsidRDefault="00D606B6" w:rsidP="00793A6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0A64" w14:textId="77777777" w:rsidR="00D606B6" w:rsidRDefault="00D606B6" w:rsidP="00793A6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606B6" w14:paraId="507C9E51" w14:textId="77777777" w:rsidTr="00813091">
      <w:tc>
        <w:tcPr>
          <w:tcW w:w="646" w:type="dxa"/>
        </w:tcPr>
        <w:p w14:paraId="7E495B64" w14:textId="77777777" w:rsidR="00D606B6" w:rsidRDefault="00D606B6" w:rsidP="0081309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F440CF4" w14:textId="77777777" w:rsidR="00D606B6" w:rsidRDefault="00D606B6" w:rsidP="00813091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E1506">
            <w:rPr>
              <w:i/>
              <w:sz w:val="18"/>
            </w:rPr>
            <w:t>Treasury Laws Amendment (Off-Market Share Buy-Backs) Bill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0B1CFC5" w14:textId="77777777" w:rsidR="00D606B6" w:rsidRDefault="00D606B6" w:rsidP="0081309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E1506">
            <w:rPr>
              <w:i/>
              <w:sz w:val="18"/>
            </w:rPr>
            <w:t xml:space="preserve">No.    </w:t>
          </w:r>
          <w:proofErr w:type="gramStart"/>
          <w:r w:rsidR="00CE1506">
            <w:rPr>
              <w:i/>
              <w:sz w:val="18"/>
            </w:rPr>
            <w:t xml:space="preserve">  ,</w:t>
          </w:r>
          <w:proofErr w:type="gramEnd"/>
          <w:r w:rsidR="00CE1506">
            <w:rPr>
              <w:i/>
              <w:sz w:val="18"/>
            </w:rPr>
            <w:t xml:space="preserve"> 2022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606B6" w14:paraId="410E0D25" w14:textId="77777777" w:rsidTr="00813091">
      <w:tc>
        <w:tcPr>
          <w:tcW w:w="7303" w:type="dxa"/>
          <w:gridSpan w:val="3"/>
        </w:tcPr>
        <w:p w14:paraId="57D27CE4" w14:textId="77777777" w:rsidR="00D606B6" w:rsidRDefault="00D606B6" w:rsidP="0081309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31B27DF" w14:textId="77777777" w:rsidR="00D606B6" w:rsidRDefault="00D606B6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3FA936F3" wp14:editId="59ADCDCF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0" name="Text Box 2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F3E06" w14:textId="77777777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936F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Sec-Footerevenpage" style="position:absolute;margin-left:0;margin-top:120.75pt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/tCCu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6BCF3E06" w14:textId="77777777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6D69" w14:textId="77777777" w:rsidR="00D606B6" w:rsidRDefault="00D606B6" w:rsidP="00793A6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606B6" w14:paraId="77DB910B" w14:textId="77777777" w:rsidTr="00813091">
      <w:tc>
        <w:tcPr>
          <w:tcW w:w="1247" w:type="dxa"/>
        </w:tcPr>
        <w:p w14:paraId="20DD2CF6" w14:textId="77777777" w:rsidR="00D606B6" w:rsidRDefault="00D606B6" w:rsidP="0081309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E1506">
            <w:rPr>
              <w:i/>
              <w:sz w:val="18"/>
            </w:rPr>
            <w:t xml:space="preserve">No.    </w:t>
          </w:r>
          <w:proofErr w:type="gramStart"/>
          <w:r w:rsidR="00CE1506">
            <w:rPr>
              <w:i/>
              <w:sz w:val="18"/>
            </w:rPr>
            <w:t xml:space="preserve">  ,</w:t>
          </w:r>
          <w:proofErr w:type="gramEnd"/>
          <w:r w:rsidR="00CE1506">
            <w:rPr>
              <w:i/>
              <w:sz w:val="18"/>
            </w:rPr>
            <w:t xml:space="preserve">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012AEB5" w14:textId="77777777" w:rsidR="00D606B6" w:rsidRDefault="00D606B6" w:rsidP="00813091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E1506">
            <w:rPr>
              <w:i/>
              <w:sz w:val="18"/>
            </w:rPr>
            <w:t>Treasury Laws Amendment (Off-Market Share Buy-Backs) Bill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7C551AF" w14:textId="77777777" w:rsidR="00D606B6" w:rsidRDefault="00D606B6" w:rsidP="0081309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606B6" w14:paraId="012075D5" w14:textId="77777777" w:rsidTr="00813091">
      <w:tc>
        <w:tcPr>
          <w:tcW w:w="7303" w:type="dxa"/>
          <w:gridSpan w:val="3"/>
        </w:tcPr>
        <w:p w14:paraId="3D585778" w14:textId="77777777" w:rsidR="00D606B6" w:rsidRDefault="00D606B6" w:rsidP="0081309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5551AAF" w14:textId="77777777" w:rsidR="00D606B6" w:rsidRPr="00ED79B6" w:rsidRDefault="00D606B6" w:rsidP="00055B5C">
    <w:pPr>
      <w:rPr>
        <w:sz w:val="18"/>
      </w:rPr>
    </w:pPr>
    <w:r w:rsidRPr="002F5A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BBD6D9D" wp14:editId="2D23240F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8" name="Text Box 1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B8981" w14:textId="137A8690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3B4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D6D9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alt="Sec-Footerprimary" style="position:absolute;margin-left:0;margin-top:120.75pt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ABfR/6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66BB8981" w14:textId="137A8690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3B4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AEA8" w14:textId="77777777" w:rsidR="00D606B6" w:rsidRPr="00A961C4" w:rsidRDefault="00D606B6" w:rsidP="00793A6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606B6" w14:paraId="2B8C657D" w14:textId="77777777" w:rsidTr="00813091">
      <w:tc>
        <w:tcPr>
          <w:tcW w:w="646" w:type="dxa"/>
        </w:tcPr>
        <w:p w14:paraId="66E01FDF" w14:textId="77777777" w:rsidR="00D606B6" w:rsidRDefault="00D606B6" w:rsidP="0081309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F339ABC" w14:textId="77777777" w:rsidR="00D606B6" w:rsidRDefault="00D606B6" w:rsidP="0081309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E1506">
            <w:rPr>
              <w:i/>
              <w:sz w:val="18"/>
            </w:rPr>
            <w:t>Treasury Laws Amendment (Off-Market Share Buy-Backs) Bill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39C3E747" w14:textId="77777777" w:rsidR="00D606B6" w:rsidRDefault="00D606B6" w:rsidP="0081309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E1506">
            <w:rPr>
              <w:i/>
              <w:sz w:val="18"/>
            </w:rPr>
            <w:t xml:space="preserve">No.    </w:t>
          </w:r>
          <w:proofErr w:type="gramStart"/>
          <w:r w:rsidR="00CE1506">
            <w:rPr>
              <w:i/>
              <w:sz w:val="18"/>
            </w:rPr>
            <w:t xml:space="preserve">  ,</w:t>
          </w:r>
          <w:proofErr w:type="gramEnd"/>
          <w:r w:rsidR="00CE1506">
            <w:rPr>
              <w:i/>
              <w:sz w:val="18"/>
            </w:rPr>
            <w:t xml:space="preserve"> 2022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D606B6" w14:paraId="53A2EEA9" w14:textId="77777777" w:rsidTr="00813091">
      <w:tc>
        <w:tcPr>
          <w:tcW w:w="7303" w:type="dxa"/>
          <w:gridSpan w:val="3"/>
        </w:tcPr>
        <w:p w14:paraId="441E25F5" w14:textId="77777777" w:rsidR="00D606B6" w:rsidRDefault="00D606B6" w:rsidP="0081309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2CAAAE40" w14:textId="77777777" w:rsidR="00D606B6" w:rsidRPr="00A961C4" w:rsidRDefault="00D606B6" w:rsidP="00055B5C">
    <w:pPr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52A77C50" wp14:editId="7E58F5C8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590D3" w14:textId="0EF36EBD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3B4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77C50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6" type="#_x0000_t202" alt="Sec-Footerevenpage" style="position:absolute;margin-left:0;margin-top:120.75pt;width:454.55pt;height:31.15pt;z-index:-2516305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26ZUEH8CAABu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622590D3" w14:textId="0EF36EBD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3B4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D0EA" w14:textId="77777777" w:rsidR="00D606B6" w:rsidRPr="00A961C4" w:rsidRDefault="00D606B6" w:rsidP="00793A6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606B6" w14:paraId="78340FCF" w14:textId="77777777" w:rsidTr="00813091">
      <w:tc>
        <w:tcPr>
          <w:tcW w:w="1247" w:type="dxa"/>
        </w:tcPr>
        <w:p w14:paraId="444F5994" w14:textId="77777777" w:rsidR="00D606B6" w:rsidRDefault="00D606B6" w:rsidP="0081309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E1506">
            <w:rPr>
              <w:i/>
              <w:sz w:val="18"/>
            </w:rPr>
            <w:t xml:space="preserve">No.    </w:t>
          </w:r>
          <w:proofErr w:type="gramStart"/>
          <w:r w:rsidR="00CE1506">
            <w:rPr>
              <w:i/>
              <w:sz w:val="18"/>
            </w:rPr>
            <w:t xml:space="preserve">  ,</w:t>
          </w:r>
          <w:proofErr w:type="gramEnd"/>
          <w:r w:rsidR="00CE1506">
            <w:rPr>
              <w:i/>
              <w:sz w:val="18"/>
            </w:rPr>
            <w:t xml:space="preserve">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32C61ED" w14:textId="77777777" w:rsidR="00D606B6" w:rsidRDefault="00D606B6" w:rsidP="0081309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E1506">
            <w:rPr>
              <w:i/>
              <w:sz w:val="18"/>
            </w:rPr>
            <w:t>Treasury Laws Amendment (Off-Market Share Buy-Backs) Bill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48B58ECC" w14:textId="77777777" w:rsidR="00D606B6" w:rsidRDefault="00D606B6" w:rsidP="0081309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D606B6" w14:paraId="004A0185" w14:textId="77777777" w:rsidTr="00813091">
      <w:tc>
        <w:tcPr>
          <w:tcW w:w="7303" w:type="dxa"/>
          <w:gridSpan w:val="3"/>
        </w:tcPr>
        <w:p w14:paraId="004F6107" w14:textId="77777777" w:rsidR="00D606B6" w:rsidRDefault="00D606B6" w:rsidP="00813091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3228F2BB" w14:textId="77777777" w:rsidR="00D606B6" w:rsidRPr="00055B5C" w:rsidRDefault="00D606B6" w:rsidP="00055B5C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35D9E900" wp14:editId="03CC7BD9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A41A3" w14:textId="38AB6FBC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3B4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9E900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7" type="#_x0000_t202" alt="Sec-Footerprimary" style="position:absolute;margin-left:0;margin-top:120.75pt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KQUG8WAAgAA&#10;bg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53EA41A3" w14:textId="38AB6FBC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3B4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9114" w14:textId="77777777" w:rsidR="00D606B6" w:rsidRPr="00A961C4" w:rsidRDefault="00D606B6" w:rsidP="00793A6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606B6" w14:paraId="005CB885" w14:textId="77777777" w:rsidTr="00813091">
      <w:tc>
        <w:tcPr>
          <w:tcW w:w="1247" w:type="dxa"/>
        </w:tcPr>
        <w:p w14:paraId="45F8B41C" w14:textId="77777777" w:rsidR="00D606B6" w:rsidRDefault="00D606B6" w:rsidP="0081309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E1506">
            <w:rPr>
              <w:i/>
              <w:sz w:val="18"/>
            </w:rPr>
            <w:t xml:space="preserve">No.    </w:t>
          </w:r>
          <w:proofErr w:type="gramStart"/>
          <w:r w:rsidR="00CE1506">
            <w:rPr>
              <w:i/>
              <w:sz w:val="18"/>
            </w:rPr>
            <w:t xml:space="preserve">  ,</w:t>
          </w:r>
          <w:proofErr w:type="gramEnd"/>
          <w:r w:rsidR="00CE1506">
            <w:rPr>
              <w:i/>
              <w:sz w:val="18"/>
            </w:rPr>
            <w:t xml:space="preserve">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1227C26" w14:textId="77777777" w:rsidR="00D606B6" w:rsidRDefault="00D606B6" w:rsidP="0081309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E1506">
            <w:rPr>
              <w:i/>
              <w:sz w:val="18"/>
            </w:rPr>
            <w:t>Treasury Laws Amendment (Off-Market Share Buy-Backs) Bill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53019FCF" w14:textId="77777777" w:rsidR="00D606B6" w:rsidRDefault="00D606B6" w:rsidP="0081309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D606B6" w14:paraId="542B3FED" w14:textId="77777777" w:rsidTr="00813091">
      <w:tc>
        <w:tcPr>
          <w:tcW w:w="7303" w:type="dxa"/>
          <w:gridSpan w:val="3"/>
        </w:tcPr>
        <w:p w14:paraId="001F8483" w14:textId="77777777" w:rsidR="00D606B6" w:rsidRDefault="00D606B6" w:rsidP="00813091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1A404100" w14:textId="77777777" w:rsidR="00D606B6" w:rsidRPr="00A961C4" w:rsidRDefault="00D606B6" w:rsidP="00055B5C">
    <w:pPr>
      <w:jc w:val="right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478C25B0" wp14:editId="668EB67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2" name="Text Box 22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1ECD4" w14:textId="5FCAC5CA" w:rsidR="00D606B6" w:rsidRPr="00324EB0" w:rsidRDefault="00CE150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C25B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9" type="#_x0000_t202" alt="Sec-Footerfirstpage" style="position:absolute;left:0;text-align:left;margin-left:0;margin-top:120.75pt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" stroked="f" strokeweight=".5pt">
              <v:textbox>
                <w:txbxContent>
                  <w:p w14:paraId="66E1ECD4" w14:textId="5FCAC5CA" w:rsidR="00D606B6" w:rsidRPr="00324EB0" w:rsidRDefault="00CE150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13BC" w14:textId="77777777" w:rsidR="00D606B6" w:rsidRDefault="00D606B6" w:rsidP="0048364F">
      <w:pPr>
        <w:spacing w:line="240" w:lineRule="auto"/>
      </w:pPr>
      <w:r>
        <w:separator/>
      </w:r>
    </w:p>
  </w:footnote>
  <w:footnote w:type="continuationSeparator" w:id="0">
    <w:p w14:paraId="4F8A5F30" w14:textId="77777777" w:rsidR="00D606B6" w:rsidRDefault="00D606B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6E57" w14:textId="77777777" w:rsidR="00D606B6" w:rsidRPr="005F1388" w:rsidRDefault="00D606B6" w:rsidP="00D477C3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029F2A1" wp14:editId="444E035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5" name="Text Box 1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AD1CB" w14:textId="77777777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9F2A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BFAD1CB" w14:textId="77777777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0AE2" w14:textId="77777777" w:rsidR="00D606B6" w:rsidRPr="005F1388" w:rsidRDefault="00D606B6" w:rsidP="00D477C3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FE346A5" wp14:editId="4D1A159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7E91E" w14:textId="55749026" w:rsidR="00D606B6" w:rsidRPr="00324EB0" w:rsidRDefault="00F6731D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346A5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64E7E91E" w14:textId="55749026" w:rsidR="00D606B6" w:rsidRPr="00324EB0" w:rsidRDefault="00F6731D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3464" w14:textId="77777777" w:rsidR="00D606B6" w:rsidRPr="005F1388" w:rsidRDefault="00D606B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2081" w14:textId="77777777" w:rsidR="00D606B6" w:rsidRPr="00ED79B6" w:rsidRDefault="00D606B6" w:rsidP="00D477C3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6251259C" wp14:editId="5E1CC0D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9" name="Text Box 1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B7A03" w14:textId="77777777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1259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BEB7A03" w14:textId="77777777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5DB3" w14:textId="77777777" w:rsidR="00D606B6" w:rsidRPr="00ED79B6" w:rsidRDefault="00D606B6" w:rsidP="00D477C3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101FCD68" wp14:editId="2F17D09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7" name="Text Box 1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C649C" w14:textId="0CBA78EA" w:rsidR="00D606B6" w:rsidRPr="00324EB0" w:rsidRDefault="00F6731D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FCD6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1D7C649C" w14:textId="0CBA78EA" w:rsidR="00D606B6" w:rsidRPr="00324EB0" w:rsidRDefault="00F6731D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BFD6" w14:textId="77777777" w:rsidR="00D606B6" w:rsidRPr="00ED79B6" w:rsidRDefault="00D606B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AA4E" w14:textId="60845CAD" w:rsidR="00D606B6" w:rsidRPr="00A961C4" w:rsidRDefault="00D606B6" w:rsidP="0048364F">
    <w:pPr>
      <w:rPr>
        <w:b/>
        <w:sz w:val="20"/>
      </w:rPr>
    </w:pPr>
    <w:r w:rsidRPr="002F5A80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382B2F63" wp14:editId="6BC5BDE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9E059" w14:textId="728BD7B1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3B4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B2F6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alt="Sec-Headerevenpage" style="position:absolute;margin-left:0;margin-top:-25pt;width:454.55pt;height:31.15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1299E059" w14:textId="728BD7B1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3B4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A3B41">
      <w:rPr>
        <w:b/>
        <w:sz w:val="20"/>
      </w:rPr>
      <w:fldChar w:fldCharType="separate"/>
    </w:r>
    <w:r w:rsidR="006A3B41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A3B41">
      <w:rPr>
        <w:sz w:val="20"/>
      </w:rPr>
      <w:fldChar w:fldCharType="separate"/>
    </w:r>
    <w:r w:rsidR="006A3B41">
      <w:rPr>
        <w:noProof/>
        <w:sz w:val="20"/>
      </w:rPr>
      <w:t>Selective share cancellations</w:t>
    </w:r>
    <w:r>
      <w:rPr>
        <w:sz w:val="20"/>
      </w:rPr>
      <w:fldChar w:fldCharType="end"/>
    </w:r>
  </w:p>
  <w:p w14:paraId="177538BC" w14:textId="6E85BB86" w:rsidR="00D606B6" w:rsidRPr="00A961C4" w:rsidRDefault="00D606B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0E3D95" w14:textId="77777777" w:rsidR="00D606B6" w:rsidRPr="00A961C4" w:rsidRDefault="00D606B6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93DD" w14:textId="21838581" w:rsidR="00D606B6" w:rsidRPr="00A961C4" w:rsidRDefault="00D606B6" w:rsidP="0048364F">
    <w:pPr>
      <w:jc w:val="right"/>
      <w:rPr>
        <w:sz w:val="20"/>
      </w:rPr>
    </w:pPr>
    <w:r w:rsidRPr="002F5A80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1C1452EB" wp14:editId="52BDB3C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789E6" w14:textId="335EC020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3B4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452E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5" type="#_x0000_t202" alt="Sec-Headerprimary" style="position:absolute;left:0;text-align:left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27B789E6" w14:textId="335EC020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3B4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6731D">
      <w:rPr>
        <w:sz w:val="20"/>
      </w:rPr>
      <w:fldChar w:fldCharType="separate"/>
    </w:r>
    <w:r w:rsidR="006A3B41">
      <w:rPr>
        <w:noProof/>
        <w:sz w:val="20"/>
      </w:rPr>
      <w:t>Selective share cancellations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6731D">
      <w:rPr>
        <w:b/>
        <w:sz w:val="20"/>
      </w:rPr>
      <w:fldChar w:fldCharType="separate"/>
    </w:r>
    <w:r w:rsidR="006A3B41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14D34A39" w14:textId="5E786BD9" w:rsidR="00D606B6" w:rsidRPr="00A961C4" w:rsidRDefault="00D606B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8D32462" w14:textId="77777777" w:rsidR="00D606B6" w:rsidRPr="00A961C4" w:rsidRDefault="00D606B6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4F4A" w14:textId="77777777" w:rsidR="00D606B6" w:rsidRPr="00A961C4" w:rsidRDefault="00D606B6" w:rsidP="0048364F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56B7D4F3" wp14:editId="6571530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2A0B2" w14:textId="43615AE6" w:rsidR="00D606B6" w:rsidRPr="00324EB0" w:rsidRDefault="00D606B6" w:rsidP="008130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PROTECTED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3A6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15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73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7D4F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8" type="#_x0000_t202" alt="Sec-Headerfirstpage" style="position:absolute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3E2A0B2" w14:textId="43615AE6" w:rsidR="00D606B6" w:rsidRPr="00324EB0" w:rsidRDefault="00D606B6" w:rsidP="0081309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PROTECTED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3A6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15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73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2F7C"/>
    <w:rsid w:val="000113BC"/>
    <w:rsid w:val="000136AF"/>
    <w:rsid w:val="00023AF2"/>
    <w:rsid w:val="000417C9"/>
    <w:rsid w:val="00055B5C"/>
    <w:rsid w:val="00056391"/>
    <w:rsid w:val="00060FF9"/>
    <w:rsid w:val="000614BF"/>
    <w:rsid w:val="00071EAB"/>
    <w:rsid w:val="000B1FD2"/>
    <w:rsid w:val="000B20CE"/>
    <w:rsid w:val="000D05EF"/>
    <w:rsid w:val="000F21C1"/>
    <w:rsid w:val="000F316E"/>
    <w:rsid w:val="00101D90"/>
    <w:rsid w:val="0010745C"/>
    <w:rsid w:val="00113BD1"/>
    <w:rsid w:val="00122206"/>
    <w:rsid w:val="00136A6A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1D47"/>
    <w:rsid w:val="001A3658"/>
    <w:rsid w:val="001A759A"/>
    <w:rsid w:val="001B633C"/>
    <w:rsid w:val="001B7A5D"/>
    <w:rsid w:val="001C2418"/>
    <w:rsid w:val="001C69C4"/>
    <w:rsid w:val="001D4FD8"/>
    <w:rsid w:val="001E3590"/>
    <w:rsid w:val="001E7407"/>
    <w:rsid w:val="00201D27"/>
    <w:rsid w:val="00202618"/>
    <w:rsid w:val="00240749"/>
    <w:rsid w:val="002500EC"/>
    <w:rsid w:val="00263820"/>
    <w:rsid w:val="00275197"/>
    <w:rsid w:val="00293B89"/>
    <w:rsid w:val="00297ECB"/>
    <w:rsid w:val="002B5A30"/>
    <w:rsid w:val="002D043A"/>
    <w:rsid w:val="002D395A"/>
    <w:rsid w:val="002E70F1"/>
    <w:rsid w:val="002F5A80"/>
    <w:rsid w:val="002F657A"/>
    <w:rsid w:val="003255C0"/>
    <w:rsid w:val="003415D3"/>
    <w:rsid w:val="00350417"/>
    <w:rsid w:val="00352B0F"/>
    <w:rsid w:val="00373874"/>
    <w:rsid w:val="00375C6C"/>
    <w:rsid w:val="003A7B3C"/>
    <w:rsid w:val="003B38F5"/>
    <w:rsid w:val="003B4E3D"/>
    <w:rsid w:val="003C5F2B"/>
    <w:rsid w:val="003D0BFE"/>
    <w:rsid w:val="003D5700"/>
    <w:rsid w:val="003F0E51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48B4"/>
    <w:rsid w:val="00496F97"/>
    <w:rsid w:val="004C7C8C"/>
    <w:rsid w:val="004D5B1A"/>
    <w:rsid w:val="004D6DEE"/>
    <w:rsid w:val="004E2A4A"/>
    <w:rsid w:val="004F0D23"/>
    <w:rsid w:val="004F1FAC"/>
    <w:rsid w:val="005055D4"/>
    <w:rsid w:val="00516B8D"/>
    <w:rsid w:val="00527833"/>
    <w:rsid w:val="00537FBC"/>
    <w:rsid w:val="00543469"/>
    <w:rsid w:val="00545D52"/>
    <w:rsid w:val="00551B54"/>
    <w:rsid w:val="0055694D"/>
    <w:rsid w:val="005571A5"/>
    <w:rsid w:val="00584811"/>
    <w:rsid w:val="00593AA6"/>
    <w:rsid w:val="00594161"/>
    <w:rsid w:val="00594749"/>
    <w:rsid w:val="00595C3B"/>
    <w:rsid w:val="005A0D92"/>
    <w:rsid w:val="005B4067"/>
    <w:rsid w:val="005C283E"/>
    <w:rsid w:val="005C3F41"/>
    <w:rsid w:val="005E152A"/>
    <w:rsid w:val="005E68CE"/>
    <w:rsid w:val="005F11B1"/>
    <w:rsid w:val="00600219"/>
    <w:rsid w:val="00602B8E"/>
    <w:rsid w:val="006056B0"/>
    <w:rsid w:val="006167FD"/>
    <w:rsid w:val="00641DE5"/>
    <w:rsid w:val="00651A28"/>
    <w:rsid w:val="00656F0C"/>
    <w:rsid w:val="00677CC2"/>
    <w:rsid w:val="00681F92"/>
    <w:rsid w:val="006842C2"/>
    <w:rsid w:val="00685F42"/>
    <w:rsid w:val="0069207B"/>
    <w:rsid w:val="006A3B41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93A61"/>
    <w:rsid w:val="007B30AA"/>
    <w:rsid w:val="007D2694"/>
    <w:rsid w:val="007E08B8"/>
    <w:rsid w:val="007E7D4A"/>
    <w:rsid w:val="008006CC"/>
    <w:rsid w:val="00807F18"/>
    <w:rsid w:val="00813091"/>
    <w:rsid w:val="008211B5"/>
    <w:rsid w:val="008233DF"/>
    <w:rsid w:val="00831E8D"/>
    <w:rsid w:val="00856A31"/>
    <w:rsid w:val="00857D6B"/>
    <w:rsid w:val="008754D0"/>
    <w:rsid w:val="00876322"/>
    <w:rsid w:val="00877D48"/>
    <w:rsid w:val="00883781"/>
    <w:rsid w:val="00885570"/>
    <w:rsid w:val="00893958"/>
    <w:rsid w:val="008A2E77"/>
    <w:rsid w:val="008B532C"/>
    <w:rsid w:val="008C6F6F"/>
    <w:rsid w:val="008D0EE0"/>
    <w:rsid w:val="008D3E94"/>
    <w:rsid w:val="008F30BD"/>
    <w:rsid w:val="008F4F1C"/>
    <w:rsid w:val="008F77C4"/>
    <w:rsid w:val="009103F3"/>
    <w:rsid w:val="00932377"/>
    <w:rsid w:val="00943221"/>
    <w:rsid w:val="00967042"/>
    <w:rsid w:val="0098255A"/>
    <w:rsid w:val="009845BE"/>
    <w:rsid w:val="009969C9"/>
    <w:rsid w:val="009E186E"/>
    <w:rsid w:val="009E4299"/>
    <w:rsid w:val="009F7BD0"/>
    <w:rsid w:val="00A048FF"/>
    <w:rsid w:val="00A10775"/>
    <w:rsid w:val="00A231E2"/>
    <w:rsid w:val="00A36C48"/>
    <w:rsid w:val="00A41E0B"/>
    <w:rsid w:val="00A52F7C"/>
    <w:rsid w:val="00A55631"/>
    <w:rsid w:val="00A64912"/>
    <w:rsid w:val="00A70A74"/>
    <w:rsid w:val="00AA3795"/>
    <w:rsid w:val="00AB0B0C"/>
    <w:rsid w:val="00AC1E75"/>
    <w:rsid w:val="00AD5641"/>
    <w:rsid w:val="00AE1088"/>
    <w:rsid w:val="00AF1BA4"/>
    <w:rsid w:val="00B032D8"/>
    <w:rsid w:val="00B0599F"/>
    <w:rsid w:val="00B31F6D"/>
    <w:rsid w:val="00B32BE2"/>
    <w:rsid w:val="00B33B3C"/>
    <w:rsid w:val="00B55AD2"/>
    <w:rsid w:val="00B6382D"/>
    <w:rsid w:val="00BA5026"/>
    <w:rsid w:val="00BB40BF"/>
    <w:rsid w:val="00BB6947"/>
    <w:rsid w:val="00BC0CD1"/>
    <w:rsid w:val="00BD36EE"/>
    <w:rsid w:val="00BE1841"/>
    <w:rsid w:val="00BE719A"/>
    <w:rsid w:val="00BE720A"/>
    <w:rsid w:val="00BF0461"/>
    <w:rsid w:val="00BF4944"/>
    <w:rsid w:val="00BF56D4"/>
    <w:rsid w:val="00C003D3"/>
    <w:rsid w:val="00C04409"/>
    <w:rsid w:val="00C067E5"/>
    <w:rsid w:val="00C164CA"/>
    <w:rsid w:val="00C176CF"/>
    <w:rsid w:val="00C23FAB"/>
    <w:rsid w:val="00C24EE9"/>
    <w:rsid w:val="00C42BF8"/>
    <w:rsid w:val="00C460AE"/>
    <w:rsid w:val="00C50043"/>
    <w:rsid w:val="00C531CC"/>
    <w:rsid w:val="00C54E84"/>
    <w:rsid w:val="00C6480F"/>
    <w:rsid w:val="00C7573B"/>
    <w:rsid w:val="00C76CF3"/>
    <w:rsid w:val="00CB6FEA"/>
    <w:rsid w:val="00CE1506"/>
    <w:rsid w:val="00CE1E31"/>
    <w:rsid w:val="00CF0BB2"/>
    <w:rsid w:val="00D00EAA"/>
    <w:rsid w:val="00D04B91"/>
    <w:rsid w:val="00D13441"/>
    <w:rsid w:val="00D243A3"/>
    <w:rsid w:val="00D425AC"/>
    <w:rsid w:val="00D443C1"/>
    <w:rsid w:val="00D477C3"/>
    <w:rsid w:val="00D52EFE"/>
    <w:rsid w:val="00D606B6"/>
    <w:rsid w:val="00D63EF6"/>
    <w:rsid w:val="00D70DFB"/>
    <w:rsid w:val="00D73029"/>
    <w:rsid w:val="00D766DF"/>
    <w:rsid w:val="00DE2002"/>
    <w:rsid w:val="00DF7AE9"/>
    <w:rsid w:val="00E05704"/>
    <w:rsid w:val="00E24D66"/>
    <w:rsid w:val="00E37760"/>
    <w:rsid w:val="00E378FD"/>
    <w:rsid w:val="00E54292"/>
    <w:rsid w:val="00E74DC7"/>
    <w:rsid w:val="00E84ECA"/>
    <w:rsid w:val="00E85AF2"/>
    <w:rsid w:val="00E87699"/>
    <w:rsid w:val="00E947C6"/>
    <w:rsid w:val="00EA5FF8"/>
    <w:rsid w:val="00EB510C"/>
    <w:rsid w:val="00EC3DCA"/>
    <w:rsid w:val="00ED492F"/>
    <w:rsid w:val="00ED72A3"/>
    <w:rsid w:val="00EE3E36"/>
    <w:rsid w:val="00EF2E3A"/>
    <w:rsid w:val="00F047E2"/>
    <w:rsid w:val="00F078DC"/>
    <w:rsid w:val="00F13E86"/>
    <w:rsid w:val="00F17B00"/>
    <w:rsid w:val="00F37132"/>
    <w:rsid w:val="00F6731D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A2C1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3A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93A61"/>
  </w:style>
  <w:style w:type="paragraph" w:customStyle="1" w:styleId="OPCParaBase">
    <w:name w:val="OPCParaBase"/>
    <w:qFormat/>
    <w:rsid w:val="00793A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93A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93A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93A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93A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93A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93A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93A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93A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93A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93A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93A61"/>
  </w:style>
  <w:style w:type="paragraph" w:customStyle="1" w:styleId="Blocks">
    <w:name w:val="Blocks"/>
    <w:aliases w:val="bb"/>
    <w:basedOn w:val="OPCParaBase"/>
    <w:qFormat/>
    <w:rsid w:val="00793A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93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93A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93A61"/>
    <w:rPr>
      <w:i/>
    </w:rPr>
  </w:style>
  <w:style w:type="paragraph" w:customStyle="1" w:styleId="BoxList">
    <w:name w:val="BoxList"/>
    <w:aliases w:val="bl"/>
    <w:basedOn w:val="BoxText"/>
    <w:qFormat/>
    <w:rsid w:val="00793A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93A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93A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93A61"/>
    <w:pPr>
      <w:ind w:left="1985" w:hanging="851"/>
    </w:pPr>
  </w:style>
  <w:style w:type="character" w:customStyle="1" w:styleId="CharAmPartNo">
    <w:name w:val="CharAmPartNo"/>
    <w:basedOn w:val="OPCCharBase"/>
    <w:qFormat/>
    <w:rsid w:val="00793A61"/>
  </w:style>
  <w:style w:type="character" w:customStyle="1" w:styleId="CharAmPartText">
    <w:name w:val="CharAmPartText"/>
    <w:basedOn w:val="OPCCharBase"/>
    <w:qFormat/>
    <w:rsid w:val="00793A61"/>
  </w:style>
  <w:style w:type="character" w:customStyle="1" w:styleId="CharAmSchNo">
    <w:name w:val="CharAmSchNo"/>
    <w:basedOn w:val="OPCCharBase"/>
    <w:qFormat/>
    <w:rsid w:val="00793A61"/>
  </w:style>
  <w:style w:type="character" w:customStyle="1" w:styleId="CharAmSchText">
    <w:name w:val="CharAmSchText"/>
    <w:basedOn w:val="OPCCharBase"/>
    <w:qFormat/>
    <w:rsid w:val="00793A61"/>
  </w:style>
  <w:style w:type="character" w:customStyle="1" w:styleId="CharBoldItalic">
    <w:name w:val="CharBoldItalic"/>
    <w:basedOn w:val="OPCCharBase"/>
    <w:uiPriority w:val="1"/>
    <w:qFormat/>
    <w:rsid w:val="00793A61"/>
    <w:rPr>
      <w:b/>
      <w:i/>
    </w:rPr>
  </w:style>
  <w:style w:type="character" w:customStyle="1" w:styleId="CharChapNo">
    <w:name w:val="CharChapNo"/>
    <w:basedOn w:val="OPCCharBase"/>
    <w:uiPriority w:val="1"/>
    <w:qFormat/>
    <w:rsid w:val="00793A61"/>
  </w:style>
  <w:style w:type="character" w:customStyle="1" w:styleId="CharChapText">
    <w:name w:val="CharChapText"/>
    <w:basedOn w:val="OPCCharBase"/>
    <w:uiPriority w:val="1"/>
    <w:qFormat/>
    <w:rsid w:val="00793A61"/>
  </w:style>
  <w:style w:type="character" w:customStyle="1" w:styleId="CharDivNo">
    <w:name w:val="CharDivNo"/>
    <w:basedOn w:val="OPCCharBase"/>
    <w:uiPriority w:val="1"/>
    <w:qFormat/>
    <w:rsid w:val="00793A61"/>
  </w:style>
  <w:style w:type="character" w:customStyle="1" w:styleId="CharDivText">
    <w:name w:val="CharDivText"/>
    <w:basedOn w:val="OPCCharBase"/>
    <w:uiPriority w:val="1"/>
    <w:qFormat/>
    <w:rsid w:val="00793A61"/>
  </w:style>
  <w:style w:type="character" w:customStyle="1" w:styleId="CharItalic">
    <w:name w:val="CharItalic"/>
    <w:basedOn w:val="OPCCharBase"/>
    <w:uiPriority w:val="1"/>
    <w:qFormat/>
    <w:rsid w:val="00793A61"/>
    <w:rPr>
      <w:i/>
    </w:rPr>
  </w:style>
  <w:style w:type="character" w:customStyle="1" w:styleId="CharPartNo">
    <w:name w:val="CharPartNo"/>
    <w:basedOn w:val="OPCCharBase"/>
    <w:uiPriority w:val="1"/>
    <w:qFormat/>
    <w:rsid w:val="00793A61"/>
  </w:style>
  <w:style w:type="character" w:customStyle="1" w:styleId="CharPartText">
    <w:name w:val="CharPartText"/>
    <w:basedOn w:val="OPCCharBase"/>
    <w:uiPriority w:val="1"/>
    <w:qFormat/>
    <w:rsid w:val="00793A61"/>
  </w:style>
  <w:style w:type="character" w:customStyle="1" w:styleId="CharSectno">
    <w:name w:val="CharSectno"/>
    <w:basedOn w:val="OPCCharBase"/>
    <w:qFormat/>
    <w:rsid w:val="00793A61"/>
  </w:style>
  <w:style w:type="character" w:customStyle="1" w:styleId="CharSubdNo">
    <w:name w:val="CharSubdNo"/>
    <w:basedOn w:val="OPCCharBase"/>
    <w:uiPriority w:val="1"/>
    <w:qFormat/>
    <w:rsid w:val="00793A61"/>
  </w:style>
  <w:style w:type="character" w:customStyle="1" w:styleId="CharSubdText">
    <w:name w:val="CharSubdText"/>
    <w:basedOn w:val="OPCCharBase"/>
    <w:uiPriority w:val="1"/>
    <w:qFormat/>
    <w:rsid w:val="00793A61"/>
  </w:style>
  <w:style w:type="paragraph" w:customStyle="1" w:styleId="CTA--">
    <w:name w:val="CTA --"/>
    <w:basedOn w:val="OPCParaBase"/>
    <w:next w:val="Normal"/>
    <w:rsid w:val="00793A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93A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93A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93A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93A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93A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93A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93A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93A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93A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93A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93A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93A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93A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93A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93A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93A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93A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93A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93A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93A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93A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93A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93A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93A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93A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93A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93A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93A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93A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93A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93A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93A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93A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93A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93A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93A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93A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93A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93A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93A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93A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93A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93A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93A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93A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93A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93A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93A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93A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793A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93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93A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93A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93A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93A6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93A6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93A6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93A6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93A6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93A6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93A6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93A6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93A6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93A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93A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93A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93A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93A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93A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93A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93A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93A61"/>
    <w:rPr>
      <w:sz w:val="16"/>
    </w:rPr>
  </w:style>
  <w:style w:type="table" w:customStyle="1" w:styleId="CFlag">
    <w:name w:val="CFlag"/>
    <w:basedOn w:val="TableNormal"/>
    <w:uiPriority w:val="99"/>
    <w:rsid w:val="00793A6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93A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93A6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93A6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93A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93A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93A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93A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93A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93A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93A61"/>
    <w:pPr>
      <w:spacing w:before="120"/>
    </w:pPr>
  </w:style>
  <w:style w:type="paragraph" w:customStyle="1" w:styleId="TableTextEndNotes">
    <w:name w:val="TableTextEndNotes"/>
    <w:aliases w:val="Tten"/>
    <w:basedOn w:val="Normal"/>
    <w:rsid w:val="00793A6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93A6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93A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93A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93A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93A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93A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93A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93A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93A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93A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93A6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93A61"/>
  </w:style>
  <w:style w:type="character" w:customStyle="1" w:styleId="CharSubPartNoCASA">
    <w:name w:val="CharSubPartNo(CASA)"/>
    <w:basedOn w:val="OPCCharBase"/>
    <w:uiPriority w:val="1"/>
    <w:rsid w:val="00793A61"/>
  </w:style>
  <w:style w:type="paragraph" w:customStyle="1" w:styleId="ENoteTTIndentHeadingSub">
    <w:name w:val="ENoteTTIndentHeadingSub"/>
    <w:aliases w:val="enTTHis"/>
    <w:basedOn w:val="OPCParaBase"/>
    <w:rsid w:val="00793A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93A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93A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93A6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9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93A6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93A6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93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93A61"/>
    <w:rPr>
      <w:sz w:val="22"/>
    </w:rPr>
  </w:style>
  <w:style w:type="paragraph" w:customStyle="1" w:styleId="SOTextNote">
    <w:name w:val="SO TextNote"/>
    <w:aliases w:val="sont"/>
    <w:basedOn w:val="SOText"/>
    <w:qFormat/>
    <w:rsid w:val="00793A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93A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93A61"/>
    <w:rPr>
      <w:sz w:val="22"/>
    </w:rPr>
  </w:style>
  <w:style w:type="paragraph" w:customStyle="1" w:styleId="FileName">
    <w:name w:val="FileName"/>
    <w:basedOn w:val="Normal"/>
    <w:rsid w:val="00793A6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93A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93A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93A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93A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93A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93A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93A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93A6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93A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93A6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93A61"/>
  </w:style>
  <w:style w:type="character" w:customStyle="1" w:styleId="TabletextChar">
    <w:name w:val="Tabletext Char"/>
    <w:aliases w:val="tt Char"/>
    <w:basedOn w:val="DefaultParagraphFont"/>
    <w:link w:val="Tabletext"/>
    <w:rsid w:val="001D4FD8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12</Pages>
  <Words>1397</Words>
  <Characters>6794</Characters>
  <Application>Microsoft Office Word</Application>
  <DocSecurity>2</DocSecurity>
  <PresentationFormat/>
  <Lines>295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(Off Market Share Buy Backs) Bill 2022</vt:lpstr>
    </vt:vector>
  </TitlesOfParts>
  <Manager/>
  <Company/>
  <LinksUpToDate>false</LinksUpToDate>
  <CharactersWithSpaces>8028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(Off Market Share Buy Backs) Bill 2022</dc:title>
  <dc:subject/>
  <dc:creator/>
  <cp:keywords/>
  <dc:description/>
  <cp:lastModifiedBy/>
  <cp:revision>1</cp:revision>
  <cp:lastPrinted>2022-10-17T01:43:00Z</cp:lastPrinted>
  <dcterms:created xsi:type="dcterms:W3CDTF">2022-11-11T01:19:00Z</dcterms:created>
  <dcterms:modified xsi:type="dcterms:W3CDTF">2022-11-11T01:25:00Z</dcterms:modified>
  <cp:category/>
  <cp:contentStatus/>
  <dc:language/>
  <cp:version/>
</cp:coreProperties>
</file>