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0684" w14:textId="77777777" w:rsidR="00E24AA1" w:rsidRDefault="00E24AA1" w:rsidP="00E24AA1">
      <w:pPr>
        <w:pStyle w:val="Baseparagraphcentred"/>
        <w:pBdr>
          <w:bottom w:val="single" w:sz="4" w:space="1" w:color="auto"/>
        </w:pBdr>
      </w:pPr>
      <w:bookmarkStart w:id="0" w:name="BillName"/>
      <w:bookmarkStart w:id="1" w:name="_Toc78548463"/>
      <w:bookmarkStart w:id="2" w:name="_Toc78549734"/>
      <w:bookmarkStart w:id="3" w:name="_Toc78549779"/>
      <w:bookmarkStart w:id="4" w:name="_Toc80097481"/>
      <w:bookmarkStart w:id="5" w:name="_Toc80097775"/>
      <w:bookmarkStart w:id="6" w:name="_Hlk81640909"/>
      <w:bookmarkEnd w:id="0"/>
    </w:p>
    <w:p w14:paraId="70BBD615" w14:textId="1FCD81C7" w:rsidR="00E24AA1" w:rsidRPr="00E24AA1" w:rsidRDefault="00880305" w:rsidP="00E24AA1">
      <w:pPr>
        <w:pStyle w:val="BillName"/>
      </w:pPr>
      <w:r>
        <w:t>Treasury Laws Amendment (Measures for Consultation) Bill 2022: Income tax exemption and franking credit refund for certain subsidiaries of the Future Fund Board</w:t>
      </w:r>
    </w:p>
    <w:p w14:paraId="7110E58D" w14:textId="77777777" w:rsidR="00E24AA1" w:rsidRDefault="00E24AA1" w:rsidP="00E24AA1">
      <w:pPr>
        <w:pStyle w:val="Baseparagraphcentred"/>
        <w:pBdr>
          <w:top w:val="single" w:sz="4" w:space="1" w:color="auto"/>
        </w:pBdr>
      </w:pPr>
    </w:p>
    <w:p w14:paraId="3043513A" w14:textId="77777777" w:rsidR="00E24AA1" w:rsidRDefault="00E24AA1" w:rsidP="00E24AA1">
      <w:pPr>
        <w:pStyle w:val="Baseparagraphcentred"/>
      </w:pPr>
    </w:p>
    <w:p w14:paraId="218FF36A" w14:textId="77777777" w:rsidR="00E24AA1" w:rsidRDefault="00E24AA1" w:rsidP="00E24AA1">
      <w:pPr>
        <w:pStyle w:val="Baseparagraphcentred"/>
      </w:pPr>
    </w:p>
    <w:p w14:paraId="2A79FF14" w14:textId="77777777" w:rsidR="00E24AA1" w:rsidRDefault="00E24AA1" w:rsidP="00E24AA1">
      <w:pPr>
        <w:pStyle w:val="Baseparagraphcentred"/>
      </w:pPr>
    </w:p>
    <w:p w14:paraId="1860E7E7" w14:textId="77777777" w:rsidR="00F432F2" w:rsidRDefault="00F432F2" w:rsidP="00E24AA1">
      <w:pPr>
        <w:pStyle w:val="Baseparagraphcentred"/>
      </w:pPr>
      <w:r>
        <w:t>EXPOSURE DRAFT EXPLANATORY MATERIALS</w:t>
      </w:r>
    </w:p>
    <w:p w14:paraId="72D34EFB" w14:textId="1BD6BEC2" w:rsidR="00E24AA1" w:rsidRDefault="00E24AA1" w:rsidP="00E24AA1">
      <w:pPr>
        <w:pStyle w:val="Baseparagraphcentred"/>
      </w:pPr>
    </w:p>
    <w:p w14:paraId="2F89F8C8" w14:textId="77777777" w:rsidR="00E24AA1" w:rsidRDefault="00E24AA1" w:rsidP="00E24AA1">
      <w:pPr>
        <w:pStyle w:val="Baseparagraphcentred"/>
      </w:pPr>
    </w:p>
    <w:p w14:paraId="5B19E566" w14:textId="77777777" w:rsidR="00E24AA1" w:rsidRDefault="00E24AA1" w:rsidP="00E24AA1">
      <w:pPr>
        <w:pStyle w:val="ParaCentredNoSpacing"/>
      </w:pPr>
    </w:p>
    <w:p w14:paraId="0B82649B" w14:textId="77777777" w:rsidR="00E24AA1" w:rsidRPr="00967273" w:rsidRDefault="00E24AA1" w:rsidP="00E24AA1">
      <w:pPr>
        <w:pStyle w:val="Normalparatextnonumbers"/>
        <w:jc w:val="center"/>
        <w:rPr>
          <w:rFonts w:cs="Calibri"/>
          <w:color w:val="000000" w:themeColor="text1"/>
        </w:rPr>
      </w:pPr>
    </w:p>
    <w:p w14:paraId="3749BA4B" w14:textId="77777777" w:rsidR="00873094" w:rsidRDefault="00873094" w:rsidP="00873094">
      <w:pPr>
        <w:pStyle w:val="Normalparatextnonumbers"/>
      </w:pPr>
    </w:p>
    <w:p w14:paraId="227CA44B" w14:textId="77777777" w:rsidR="00E24AA1" w:rsidRPr="00020288" w:rsidRDefault="00E24AA1" w:rsidP="00873094">
      <w:pPr>
        <w:pStyle w:val="Normalparatextnonumbers"/>
      </w:pPr>
    </w:p>
    <w:p w14:paraId="22B78AF1" w14:textId="77777777" w:rsidR="00873094" w:rsidRPr="00020288" w:rsidRDefault="00873094" w:rsidP="00873094">
      <w:pPr>
        <w:pStyle w:val="TOC1"/>
        <w:sectPr w:rsidR="00873094" w:rsidRPr="00020288" w:rsidSect="00000BFC">
          <w:headerReference w:type="first" r:id="rId13"/>
          <w:footerReference w:type="first" r:id="rId14"/>
          <w:type w:val="oddPage"/>
          <w:pgSz w:w="9979" w:h="14175" w:code="1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7E373335" w14:textId="77777777" w:rsidR="00873094" w:rsidRPr="00020288" w:rsidRDefault="00873094" w:rsidP="00873094">
      <w:pPr>
        <w:pStyle w:val="Heading1"/>
      </w:pPr>
      <w:bookmarkStart w:id="7" w:name="_Toc78549733"/>
      <w:bookmarkStart w:id="8" w:name="_Toc78549778"/>
      <w:bookmarkStart w:id="9" w:name="_Toc80097483"/>
      <w:bookmarkStart w:id="10" w:name="_Toc80097777"/>
      <w:bookmarkStart w:id="11" w:name="_Toc80115276"/>
      <w:bookmarkStart w:id="12" w:name="_Toc80172451"/>
      <w:bookmarkStart w:id="13" w:name="_Toc80197115"/>
      <w:bookmarkStart w:id="14" w:name="_Toc81852682"/>
      <w:bookmarkStart w:id="15" w:name="_Toc81852727"/>
      <w:bookmarkStart w:id="16" w:name="_Toc82021619"/>
      <w:bookmarkStart w:id="17" w:name="_Toc82067318"/>
      <w:bookmarkStart w:id="18" w:name="_Toc82072959"/>
      <w:bookmarkStart w:id="19" w:name="_Toc82073275"/>
      <w:bookmarkStart w:id="20" w:name="_Toc82073912"/>
      <w:bookmarkStart w:id="21" w:name="_Toc82074016"/>
      <w:bookmarkStart w:id="22" w:name="_Toc120792426"/>
      <w:bookmarkEnd w:id="1"/>
      <w:bookmarkEnd w:id="2"/>
      <w:bookmarkEnd w:id="3"/>
      <w:bookmarkEnd w:id="4"/>
      <w:bookmarkEnd w:id="5"/>
      <w:r w:rsidRPr="00020288">
        <w:lastRenderedPageBreak/>
        <w:t>Glossary</w:t>
      </w:r>
      <w:bookmarkStart w:id="23" w:name="_Toc485286223"/>
      <w:bookmarkStart w:id="24" w:name="_Toc78193244"/>
      <w:bookmarkStart w:id="25" w:name="_Toc7819340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6B485DF" w14:textId="77777777" w:rsidR="00873094" w:rsidRPr="00020288" w:rsidRDefault="00873094" w:rsidP="00873094">
      <w:pPr>
        <w:pStyle w:val="Normalparatextnonumbers"/>
      </w:pPr>
      <w:r w:rsidRPr="00020288">
        <w:t>This Explanatory Memorand</w:t>
      </w:r>
      <w:r>
        <w:t>um</w:t>
      </w:r>
      <w:r w:rsidRPr="00020288">
        <w:t xml:space="preserve"> uses the following abbreviations and acronyms.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874"/>
      </w:tblGrid>
      <w:tr w:rsidR="00873094" w:rsidRPr="002E7A73" w14:paraId="0526E61E" w14:textId="77777777" w:rsidTr="002425D9">
        <w:tc>
          <w:tcPr>
            <w:tcW w:w="3776" w:type="dxa"/>
            <w:shd w:val="clear" w:color="auto" w:fill="auto"/>
          </w:tcPr>
          <w:p w14:paraId="76807B2C" w14:textId="77777777" w:rsidR="00873094" w:rsidRPr="002E7A73" w:rsidRDefault="00873094" w:rsidP="00B7393A">
            <w:pPr>
              <w:pStyle w:val="Tableheaderrowtext"/>
            </w:pPr>
            <w:bookmarkStart w:id="26" w:name="GlossaryTableStart"/>
            <w:bookmarkEnd w:id="26"/>
            <w:r w:rsidRPr="002E7A73">
              <w:t>Abbreviation</w:t>
            </w:r>
          </w:p>
        </w:tc>
        <w:tc>
          <w:tcPr>
            <w:tcW w:w="3874" w:type="dxa"/>
            <w:shd w:val="clear" w:color="auto" w:fill="auto"/>
          </w:tcPr>
          <w:p w14:paraId="3A024BE8" w14:textId="77777777" w:rsidR="00873094" w:rsidRPr="002E7A73" w:rsidRDefault="00873094" w:rsidP="00B7393A">
            <w:pPr>
              <w:pStyle w:val="Tableheaderrowtext"/>
            </w:pPr>
            <w:r w:rsidRPr="002E7A73">
              <w:t>Definition</w:t>
            </w:r>
          </w:p>
        </w:tc>
      </w:tr>
      <w:tr w:rsidR="00B13B89" w:rsidRPr="00020288" w14:paraId="4F5389B2" w14:textId="77777777" w:rsidTr="002425D9">
        <w:tc>
          <w:tcPr>
            <w:tcW w:w="3776" w:type="dxa"/>
          </w:tcPr>
          <w:p w14:paraId="0FEA5E7E" w14:textId="58E619D7" w:rsidR="00B13B89" w:rsidRDefault="00B13B89" w:rsidP="00B13B89">
            <w:pPr>
              <w:pStyle w:val="Normalparatextnonumbers"/>
            </w:pPr>
            <w:r>
              <w:t>Future Fund Board</w:t>
            </w:r>
          </w:p>
        </w:tc>
        <w:tc>
          <w:tcPr>
            <w:tcW w:w="3874" w:type="dxa"/>
          </w:tcPr>
          <w:p w14:paraId="2D37C37E" w14:textId="0E7A37CF" w:rsidR="00B13B89" w:rsidRDefault="00B13B89" w:rsidP="00B13B89">
            <w:pPr>
              <w:pStyle w:val="Normalparatextnonumbers"/>
              <w:rPr>
                <w:i/>
                <w:iCs/>
              </w:rPr>
            </w:pPr>
            <w:r>
              <w:t xml:space="preserve">Future Fund Board of Guardians </w:t>
            </w:r>
          </w:p>
        </w:tc>
      </w:tr>
      <w:tr w:rsidR="00B13B89" w:rsidRPr="00020288" w14:paraId="0D025D8A" w14:textId="77777777" w:rsidTr="002425D9">
        <w:tc>
          <w:tcPr>
            <w:tcW w:w="3776" w:type="dxa"/>
          </w:tcPr>
          <w:p w14:paraId="4056B06A" w14:textId="2933B0F3" w:rsidR="00B13B89" w:rsidRPr="00020288" w:rsidRDefault="00B13B89" w:rsidP="00B13B89">
            <w:pPr>
              <w:pStyle w:val="Normalparatextnonumbers"/>
            </w:pPr>
            <w:r>
              <w:t>ITAA 1997</w:t>
            </w:r>
          </w:p>
        </w:tc>
        <w:tc>
          <w:tcPr>
            <w:tcW w:w="3874" w:type="dxa"/>
          </w:tcPr>
          <w:p w14:paraId="58BAB018" w14:textId="3F182368" w:rsidR="00B13B89" w:rsidRPr="00020288" w:rsidRDefault="00B13B89" w:rsidP="00B13B89">
            <w:pPr>
              <w:pStyle w:val="Normalparatextnonumbers"/>
            </w:pPr>
            <w:r>
              <w:rPr>
                <w:i/>
                <w:iCs/>
              </w:rPr>
              <w:t>Income Tax Assessment Act 1997</w:t>
            </w:r>
          </w:p>
        </w:tc>
      </w:tr>
    </w:tbl>
    <w:p w14:paraId="06CC8227" w14:textId="77777777" w:rsidR="00873094" w:rsidRPr="00020288" w:rsidRDefault="00873094" w:rsidP="00873094"/>
    <w:p w14:paraId="50D374B1" w14:textId="77777777" w:rsidR="00873094" w:rsidRPr="00020288" w:rsidRDefault="00873094" w:rsidP="00873094"/>
    <w:p w14:paraId="5B3080D7" w14:textId="77777777" w:rsidR="00873094" w:rsidRPr="00020288" w:rsidRDefault="00873094" w:rsidP="00873094">
      <w:pPr>
        <w:pStyle w:val="Heading1"/>
        <w:sectPr w:rsidR="00873094" w:rsidRPr="00020288" w:rsidSect="00000BFC">
          <w:headerReference w:type="even" r:id="rId15"/>
          <w:headerReference w:type="default" r:id="rId16"/>
          <w:headerReference w:type="first" r:id="rId17"/>
          <w:footerReference w:type="first" r:id="rId18"/>
          <w:type w:val="oddPage"/>
          <w:pgSz w:w="9979" w:h="14175" w:code="9"/>
          <w:pgMar w:top="567" w:right="1134" w:bottom="567" w:left="1134" w:header="709" w:footer="709" w:gutter="0"/>
          <w:pgNumType w:fmt="lowerRoman"/>
          <w:cols w:space="708"/>
          <w:docGrid w:linePitch="360"/>
        </w:sectPr>
      </w:pPr>
      <w:bookmarkStart w:id="27" w:name="_Toc78548464"/>
      <w:bookmarkStart w:id="28" w:name="_Toc78549735"/>
      <w:bookmarkStart w:id="29" w:name="_Toc78549780"/>
      <w:bookmarkStart w:id="30" w:name="_Toc80097484"/>
      <w:bookmarkStart w:id="31" w:name="_Toc80097778"/>
      <w:bookmarkStart w:id="32" w:name="_Toc80115277"/>
      <w:bookmarkStart w:id="33" w:name="_Toc80172452"/>
      <w:bookmarkStart w:id="34" w:name="_Toc80197116"/>
      <w:bookmarkStart w:id="35" w:name="_Toc81852683"/>
      <w:bookmarkStart w:id="36" w:name="_Toc81852728"/>
    </w:p>
    <w:p w14:paraId="1F23E736" w14:textId="50A8BF8F" w:rsidR="00F34472" w:rsidRPr="004F7C15" w:rsidRDefault="00F34472" w:rsidP="00F34472">
      <w:pPr>
        <w:pStyle w:val="Chapterheading"/>
      </w:pPr>
      <w:bookmarkStart w:id="37" w:name="GeneralOutline"/>
      <w:bookmarkStart w:id="38" w:name="_Toc120792427"/>
      <w:bookmarkEnd w:id="23"/>
      <w:bookmarkEnd w:id="24"/>
      <w:bookmarkEnd w:id="2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lastRenderedPageBreak/>
        <w:t xml:space="preserve">Income tax exemption </w:t>
      </w:r>
      <w:r w:rsidR="009F0A8B">
        <w:t xml:space="preserve">and franking credit refund for certain </w:t>
      </w:r>
      <w:r>
        <w:t>subsidiaries of the Future Fund Board</w:t>
      </w:r>
      <w:bookmarkEnd w:id="38"/>
      <w:r w:rsidR="00A279E8">
        <w:t xml:space="preserve"> </w:t>
      </w:r>
    </w:p>
    <w:p w14:paraId="1C79EDD8" w14:textId="3685597E" w:rsidR="00873094" w:rsidRDefault="00DC21A7" w:rsidP="00DC21A7">
      <w:pPr>
        <w:pStyle w:val="TOCHeading"/>
      </w:pPr>
      <w:bookmarkStart w:id="39" w:name="Chapter1"/>
      <w:r>
        <w:t xml:space="preserve">Table of Contents: </w:t>
      </w:r>
    </w:p>
    <w:p w14:paraId="7A909217" w14:textId="4FCF3AA7" w:rsidR="00F432F2" w:rsidRDefault="00DC21A7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fldChar w:fldCharType="begin"/>
      </w:r>
      <w:r>
        <w:instrText xml:space="preserve"> TOC \o "1-3" \z  \B Chapter1</w:instrText>
      </w:r>
      <w:r>
        <w:fldChar w:fldCharType="separate"/>
      </w:r>
      <w:r w:rsidR="00F432F2">
        <w:t>Outline of chapter</w:t>
      </w:r>
      <w:r w:rsidR="00F432F2">
        <w:rPr>
          <w:webHidden/>
        </w:rPr>
        <w:tab/>
      </w:r>
      <w:r w:rsidR="00F432F2">
        <w:rPr>
          <w:webHidden/>
        </w:rPr>
        <w:fldChar w:fldCharType="begin"/>
      </w:r>
      <w:r w:rsidR="00F432F2">
        <w:rPr>
          <w:webHidden/>
        </w:rPr>
        <w:instrText xml:space="preserve"> PAGEREF _Toc120792428 \h </w:instrText>
      </w:r>
      <w:r w:rsidR="00F432F2">
        <w:rPr>
          <w:webHidden/>
        </w:rPr>
      </w:r>
      <w:r w:rsidR="00F432F2">
        <w:rPr>
          <w:webHidden/>
        </w:rPr>
        <w:fldChar w:fldCharType="separate"/>
      </w:r>
      <w:r w:rsidR="00A350DB">
        <w:rPr>
          <w:webHidden/>
        </w:rPr>
        <w:t>5</w:t>
      </w:r>
      <w:r w:rsidR="00F432F2">
        <w:rPr>
          <w:webHidden/>
        </w:rPr>
        <w:fldChar w:fldCharType="end"/>
      </w:r>
    </w:p>
    <w:p w14:paraId="174170CC" w14:textId="062A6593" w:rsidR="00F432F2" w:rsidRDefault="00F432F2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Context of amendments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_Toc120792429 \h </w:instrText>
      </w:r>
      <w:r>
        <w:rPr>
          <w:webHidden/>
        </w:rPr>
      </w:r>
      <w:r>
        <w:rPr>
          <w:webHidden/>
        </w:rPr>
        <w:fldChar w:fldCharType="separate"/>
      </w:r>
      <w:r w:rsidR="00A350DB">
        <w:rPr>
          <w:webHidden/>
        </w:rPr>
        <w:t>5</w:t>
      </w:r>
      <w:r>
        <w:rPr>
          <w:webHidden/>
        </w:rPr>
        <w:fldChar w:fldCharType="end"/>
      </w:r>
    </w:p>
    <w:p w14:paraId="44910013" w14:textId="1AEC8350" w:rsidR="00F432F2" w:rsidRDefault="00F432F2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Comparison of key features of new law and current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_Toc120792430 \h </w:instrText>
      </w:r>
      <w:r>
        <w:rPr>
          <w:webHidden/>
        </w:rPr>
      </w:r>
      <w:r>
        <w:rPr>
          <w:webHidden/>
        </w:rPr>
        <w:fldChar w:fldCharType="separate"/>
      </w:r>
      <w:r w:rsidR="00A350DB">
        <w:rPr>
          <w:webHidden/>
        </w:rPr>
        <w:t>6</w:t>
      </w:r>
      <w:r>
        <w:rPr>
          <w:webHidden/>
        </w:rPr>
        <w:fldChar w:fldCharType="end"/>
      </w:r>
    </w:p>
    <w:p w14:paraId="09BCBB10" w14:textId="1C8BF4D2" w:rsidR="00F432F2" w:rsidRDefault="00F432F2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Detailed explanation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_Toc120792431 \h </w:instrText>
      </w:r>
      <w:r>
        <w:rPr>
          <w:webHidden/>
        </w:rPr>
      </w:r>
      <w:r>
        <w:rPr>
          <w:webHidden/>
        </w:rPr>
        <w:fldChar w:fldCharType="separate"/>
      </w:r>
      <w:r w:rsidR="00A350DB">
        <w:rPr>
          <w:webHidden/>
        </w:rPr>
        <w:t>6</w:t>
      </w:r>
      <w:r>
        <w:rPr>
          <w:webHidden/>
        </w:rPr>
        <w:fldChar w:fldCharType="end"/>
      </w:r>
    </w:p>
    <w:p w14:paraId="28610658" w14:textId="55CBB3C4" w:rsidR="00F432F2" w:rsidRDefault="00F432F2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Commencement, application, and transitional provisions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_Toc120792432 \h </w:instrText>
      </w:r>
      <w:r>
        <w:rPr>
          <w:webHidden/>
        </w:rPr>
      </w:r>
      <w:r>
        <w:rPr>
          <w:webHidden/>
        </w:rPr>
        <w:fldChar w:fldCharType="separate"/>
      </w:r>
      <w:r w:rsidR="00A350DB">
        <w:rPr>
          <w:webHidden/>
        </w:rPr>
        <w:t>8</w:t>
      </w:r>
      <w:r>
        <w:rPr>
          <w:webHidden/>
        </w:rPr>
        <w:fldChar w:fldCharType="end"/>
      </w:r>
    </w:p>
    <w:p w14:paraId="0CA649BE" w14:textId="2D3D13EB" w:rsidR="00873094" w:rsidRPr="00020288" w:rsidRDefault="00DC21A7" w:rsidP="00873094">
      <w:r>
        <w:fldChar w:fldCharType="end"/>
      </w:r>
    </w:p>
    <w:p w14:paraId="448CB461" w14:textId="77777777" w:rsidR="00873094" w:rsidRPr="00020288" w:rsidRDefault="00873094" w:rsidP="005D0844">
      <w:pPr>
        <w:pStyle w:val="Heading2"/>
      </w:pPr>
      <w:bookmarkStart w:id="40" w:name="_Toc120792428"/>
      <w:r w:rsidRPr="00020288">
        <w:t xml:space="preserve">Outline </w:t>
      </w:r>
      <w:r w:rsidRPr="005D0844">
        <w:t>of</w:t>
      </w:r>
      <w:r w:rsidRPr="00020288">
        <w:t xml:space="preserve"> chapter</w:t>
      </w:r>
      <w:bookmarkEnd w:id="40"/>
    </w:p>
    <w:p w14:paraId="1EBD0E68" w14:textId="77777777" w:rsidR="008F199E" w:rsidRPr="008F199E" w:rsidRDefault="008F199E" w:rsidP="008F199E">
      <w:pPr>
        <w:pStyle w:val="Normalparatextwithnumbers"/>
      </w:pPr>
      <w:r w:rsidRPr="008F199E">
        <w:t xml:space="preserve">Schedule # to the Bill amends the ITAA 1997 to extend the income tax treatment that applies to the Future Fund Board to its 100% subsidiaries incorporated in Australia. That is, to exempt these subsidiaries from income tax and include them as entities eligible for a franking credit refund. </w:t>
      </w:r>
    </w:p>
    <w:p w14:paraId="41B72FFC" w14:textId="5E1C0324" w:rsidR="00873094" w:rsidRPr="00020288" w:rsidRDefault="00873094" w:rsidP="005D0844">
      <w:pPr>
        <w:pStyle w:val="Heading2"/>
      </w:pPr>
      <w:bookmarkStart w:id="41" w:name="_Toc120792429"/>
      <w:r w:rsidRPr="00020288">
        <w:t xml:space="preserve">Context of </w:t>
      </w:r>
      <w:r w:rsidRPr="005D0844">
        <w:t>amendments</w:t>
      </w:r>
      <w:bookmarkEnd w:id="41"/>
    </w:p>
    <w:p w14:paraId="0B97485E" w14:textId="711E9A8C" w:rsidR="000E7420" w:rsidRDefault="000E7420" w:rsidP="00043005">
      <w:pPr>
        <w:pStyle w:val="Normalparatextwithnumbers"/>
      </w:pPr>
      <w:r>
        <w:t xml:space="preserve">The Future Fund Board </w:t>
      </w:r>
      <w:r w:rsidRPr="003701B6">
        <w:t xml:space="preserve">is a body corporate </w:t>
      </w:r>
      <w:r>
        <w:t>responsible</w:t>
      </w:r>
      <w:r w:rsidRPr="003701B6">
        <w:t xml:space="preserve"> for managing the </w:t>
      </w:r>
      <w:r w:rsidR="00654FC1">
        <w:t>assets</w:t>
      </w:r>
      <w:r w:rsidRPr="003701B6">
        <w:t xml:space="preserve"> of the Australian Government investment funds.</w:t>
      </w:r>
      <w:r>
        <w:t xml:space="preserve"> The Board is exempt from income </w:t>
      </w:r>
      <w:r w:rsidR="008F7F19">
        <w:t>tax</w:t>
      </w:r>
      <w:r w:rsidR="00CE690A">
        <w:t xml:space="preserve"> and eligible for a franking credit refund. However, this tax treatment </w:t>
      </w:r>
      <w:r>
        <w:t xml:space="preserve">does not currently extend to its subsidiaries. </w:t>
      </w:r>
      <w:r w:rsidR="00CE690A">
        <w:t xml:space="preserve">As a result, </w:t>
      </w:r>
      <w:r>
        <w:t xml:space="preserve">its </w:t>
      </w:r>
      <w:r w:rsidR="00EC11FA">
        <w:t>100%</w:t>
      </w:r>
      <w:r>
        <w:t xml:space="preserve"> </w:t>
      </w:r>
      <w:r w:rsidRPr="0093070F">
        <w:t xml:space="preserve">subsidiaries </w:t>
      </w:r>
      <w:r w:rsidR="00EC11FA">
        <w:t xml:space="preserve">incorporated in Australia </w:t>
      </w:r>
      <w:r w:rsidRPr="0093070F">
        <w:t xml:space="preserve">pay company tax </w:t>
      </w:r>
      <w:r>
        <w:t>which is ultimately refunded to the</w:t>
      </w:r>
      <w:r w:rsidRPr="0093070F">
        <w:t xml:space="preserve"> Board</w:t>
      </w:r>
      <w:r w:rsidR="00F677D4">
        <w:t>.</w:t>
      </w:r>
    </w:p>
    <w:p w14:paraId="62E62683" w14:textId="150ED9A2" w:rsidR="008F7F19" w:rsidRDefault="008F7F19" w:rsidP="00043005">
      <w:pPr>
        <w:pStyle w:val="Normalparatextwithnumbers"/>
      </w:pPr>
      <w:r>
        <w:t>The current tax arrangements result in unnecessary compliance and administrative burdens</w:t>
      </w:r>
      <w:r w:rsidR="00654FC1">
        <w:t xml:space="preserve"> for the Future Fund Board and its subsidiaries</w:t>
      </w:r>
      <w:r>
        <w:t xml:space="preserve">. </w:t>
      </w:r>
      <w:r w:rsidR="0056387A">
        <w:t>Further, t</w:t>
      </w:r>
      <w:r>
        <w:t xml:space="preserve">he time delay between paying tax and receiving the refund results in an opportunity cost, as the funds are temporarily </w:t>
      </w:r>
      <w:r w:rsidR="00235DCE">
        <w:t>un</w:t>
      </w:r>
      <w:r>
        <w:t>available for investment.</w:t>
      </w:r>
    </w:p>
    <w:p w14:paraId="009E3D0C" w14:textId="2EFDFCFE" w:rsidR="008F7F19" w:rsidRDefault="008F7F19" w:rsidP="00043005">
      <w:pPr>
        <w:pStyle w:val="Normalparatextwithnumbers"/>
      </w:pPr>
      <w:r w:rsidRPr="008F7F19">
        <w:lastRenderedPageBreak/>
        <w:t>Th</w:t>
      </w:r>
      <w:r>
        <w:t xml:space="preserve">e amendments </w:t>
      </w:r>
      <w:r w:rsidR="00654FC1">
        <w:t>minimise</w:t>
      </w:r>
      <w:r w:rsidR="008E66D6">
        <w:t xml:space="preserve"> the </w:t>
      </w:r>
      <w:r w:rsidRPr="008F7F19">
        <w:t xml:space="preserve">unnecessary compliance and administrative burdens from the current </w:t>
      </w:r>
      <w:r w:rsidR="001E338A" w:rsidRPr="008F7F19">
        <w:t>arrangements and</w:t>
      </w:r>
      <w:r w:rsidRPr="008F7F19">
        <w:t xml:space="preserve"> enable the Future Fund Board to maximise available funds for investment.</w:t>
      </w:r>
    </w:p>
    <w:p w14:paraId="2BB8B329" w14:textId="271F4138" w:rsidR="00873094" w:rsidRPr="00020288" w:rsidRDefault="008E66D6" w:rsidP="000E0882">
      <w:pPr>
        <w:pStyle w:val="Normalparatextwithnumbers"/>
      </w:pPr>
      <w:r w:rsidRPr="008E66D6">
        <w:t xml:space="preserve">The </w:t>
      </w:r>
      <w:r w:rsidR="0056387A">
        <w:t xml:space="preserve">amendments </w:t>
      </w:r>
      <w:r w:rsidR="001E338A">
        <w:t>do</w:t>
      </w:r>
      <w:r w:rsidRPr="008E66D6">
        <w:t xml:space="preserve"> not change the net tax paid by </w:t>
      </w:r>
      <w:r w:rsidRPr="005B7C3A">
        <w:t xml:space="preserve">the Future Fund Board </w:t>
      </w:r>
      <w:r w:rsidR="00773070" w:rsidRPr="005B7C3A">
        <w:t xml:space="preserve">and its subsidiaries </w:t>
      </w:r>
      <w:r w:rsidRPr="005B7C3A">
        <w:t xml:space="preserve">or </w:t>
      </w:r>
      <w:r w:rsidR="00110CF9" w:rsidRPr="005B7C3A">
        <w:t xml:space="preserve">the </w:t>
      </w:r>
      <w:r w:rsidRPr="005B7C3A">
        <w:t>tax received by the Commonwealth over time.</w:t>
      </w:r>
    </w:p>
    <w:p w14:paraId="443DE87A" w14:textId="77777777" w:rsidR="00873094" w:rsidRPr="00020288" w:rsidRDefault="00873094" w:rsidP="00AF50CE">
      <w:pPr>
        <w:pStyle w:val="Heading2"/>
      </w:pPr>
      <w:bookmarkStart w:id="42" w:name="_Toc120792430"/>
      <w:r w:rsidRPr="00AF50CE">
        <w:t>Comparison</w:t>
      </w:r>
      <w:r w:rsidRPr="00020288">
        <w:t xml:space="preserve"> of key features of new law and current law</w:t>
      </w:r>
      <w:bookmarkEnd w:id="42"/>
    </w:p>
    <w:p w14:paraId="18D5236E" w14:textId="77777777" w:rsidR="00873094" w:rsidRPr="002D3B91" w:rsidRDefault="00873094" w:rsidP="00873094">
      <w:pPr>
        <w:pStyle w:val="TableHeading"/>
        <w:numPr>
          <w:ilvl w:val="4"/>
          <w:numId w:val="3"/>
        </w:numPr>
      </w:pPr>
      <w:r w:rsidRPr="002D3B91">
        <w:t>Comparison of new law and current law</w:t>
      </w:r>
    </w:p>
    <w:tbl>
      <w:tblPr>
        <w:tblStyle w:val="Treasurytable"/>
        <w:tblW w:w="0" w:type="auto"/>
        <w:tblLook w:val="01E0" w:firstRow="1" w:lastRow="1" w:firstColumn="1" w:lastColumn="1" w:noHBand="0" w:noVBand="0"/>
      </w:tblPr>
      <w:tblGrid>
        <w:gridCol w:w="3776"/>
        <w:gridCol w:w="3874"/>
      </w:tblGrid>
      <w:tr w:rsidR="00873094" w:rsidRPr="00020288" w14:paraId="59C99CD8" w14:textId="77777777" w:rsidTr="0024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3776" w:type="dxa"/>
          </w:tcPr>
          <w:p w14:paraId="43BCE7C9" w14:textId="77777777" w:rsidR="00873094" w:rsidRPr="00A61FE9" w:rsidRDefault="00873094" w:rsidP="00873094">
            <w:pPr>
              <w:pStyle w:val="Tableheaderrowtext"/>
              <w:numPr>
                <w:ilvl w:val="3"/>
                <w:numId w:val="2"/>
              </w:numPr>
              <w:ind w:left="1701" w:hanging="1701"/>
            </w:pPr>
            <w:r w:rsidRPr="00A61FE9">
              <w:t>New law</w:t>
            </w:r>
          </w:p>
        </w:tc>
        <w:tc>
          <w:tcPr>
            <w:tcW w:w="3874" w:type="dxa"/>
          </w:tcPr>
          <w:p w14:paraId="4114E608" w14:textId="77777777" w:rsidR="00873094" w:rsidRPr="00A61FE9" w:rsidRDefault="00873094" w:rsidP="00873094">
            <w:pPr>
              <w:pStyle w:val="Tableheaderrowtext"/>
              <w:numPr>
                <w:ilvl w:val="3"/>
                <w:numId w:val="2"/>
              </w:numPr>
              <w:ind w:left="1701" w:hanging="1701"/>
            </w:pPr>
            <w:r w:rsidRPr="00A61FE9">
              <w:t>Current law</w:t>
            </w:r>
          </w:p>
        </w:tc>
      </w:tr>
      <w:tr w:rsidR="00873094" w:rsidRPr="00020288" w14:paraId="73C83F01" w14:textId="77777777" w:rsidTr="002425D9">
        <w:tc>
          <w:tcPr>
            <w:tcW w:w="3776" w:type="dxa"/>
          </w:tcPr>
          <w:p w14:paraId="2692DF70" w14:textId="5C242106" w:rsidR="00382BA7" w:rsidRPr="0030452F" w:rsidRDefault="0030452F" w:rsidP="0030452F">
            <w:pPr>
              <w:pStyle w:val="Tabletext"/>
              <w:rPr>
                <w:highlight w:val="yellow"/>
              </w:rPr>
            </w:pPr>
            <w:r>
              <w:t xml:space="preserve">The Future Fund Board is exempt from income tax and is eligible for a franking credit refund. A 100% subsidiary of the Future Fund Board incorporated in Australia is also exempt from income tax and eligible for a franking credit refund, provided it meets certain special conditions prescribed in the law. </w:t>
            </w:r>
          </w:p>
        </w:tc>
        <w:tc>
          <w:tcPr>
            <w:tcW w:w="3874" w:type="dxa"/>
          </w:tcPr>
          <w:p w14:paraId="6B92A4C6" w14:textId="03F84D4E" w:rsidR="00382BA7" w:rsidRPr="00020288" w:rsidRDefault="00056B15" w:rsidP="00056B15">
            <w:pPr>
              <w:pStyle w:val="Tabletext"/>
            </w:pPr>
            <w:r>
              <w:t xml:space="preserve">The Future Fund Board is exempt from income tax and is eligible for a franking credit refund. This does not extend to </w:t>
            </w:r>
            <w:r w:rsidR="008D1A47">
              <w:t xml:space="preserve">its </w:t>
            </w:r>
            <w:r>
              <w:t xml:space="preserve">subsidiaries. </w:t>
            </w:r>
          </w:p>
        </w:tc>
      </w:tr>
    </w:tbl>
    <w:p w14:paraId="7BFD9DBA" w14:textId="77777777" w:rsidR="00873094" w:rsidRPr="00020288" w:rsidRDefault="00873094" w:rsidP="00873094">
      <w:pPr>
        <w:pStyle w:val="Heading2"/>
        <w:numPr>
          <w:ilvl w:val="1"/>
          <w:numId w:val="2"/>
        </w:numPr>
        <w:tabs>
          <w:tab w:val="num" w:pos="567"/>
        </w:tabs>
        <w:ind w:left="567" w:hanging="567"/>
      </w:pPr>
      <w:bookmarkStart w:id="43" w:name="_Toc120792431"/>
      <w:r w:rsidRPr="00020288">
        <w:t>Detailed explanation of new law</w:t>
      </w:r>
      <w:bookmarkEnd w:id="43"/>
    </w:p>
    <w:p w14:paraId="61506A2D" w14:textId="2B26C337" w:rsidR="00EC11FA" w:rsidRDefault="00EC11FA" w:rsidP="00EC11FA">
      <w:pPr>
        <w:pStyle w:val="Normalparatextwithnumbers"/>
        <w:numPr>
          <w:ilvl w:val="1"/>
          <w:numId w:val="3"/>
        </w:numPr>
      </w:pPr>
      <w:r>
        <w:t xml:space="preserve">The effect of Schedule # is that </w:t>
      </w:r>
      <w:r w:rsidR="00C40007">
        <w:t>100% subsidiaries of the Future Fund Board incorporated in</w:t>
      </w:r>
      <w:r>
        <w:t xml:space="preserve"> Australia</w:t>
      </w:r>
      <w:r w:rsidR="00C40007">
        <w:t xml:space="preserve"> </w:t>
      </w:r>
      <w:r>
        <w:t>receive equivalent income tax treatment to the Board</w:t>
      </w:r>
      <w:r w:rsidR="005F4AB9">
        <w:t>,</w:t>
      </w:r>
      <w:r>
        <w:t xml:space="preserve"> provided </w:t>
      </w:r>
      <w:r w:rsidR="00C40007">
        <w:t>they</w:t>
      </w:r>
      <w:r>
        <w:t xml:space="preserve"> comply with </w:t>
      </w:r>
      <w:r w:rsidR="00F04031">
        <w:t xml:space="preserve">the </w:t>
      </w:r>
      <w:r w:rsidR="00587748">
        <w:t xml:space="preserve">investment limitations </w:t>
      </w:r>
      <w:r w:rsidR="00F05BFE">
        <w:t xml:space="preserve">that apply to the Board. </w:t>
      </w:r>
      <w:r>
        <w:t xml:space="preserve"> </w:t>
      </w:r>
      <w:r w:rsidR="00D57389">
        <w:t xml:space="preserve"> </w:t>
      </w:r>
    </w:p>
    <w:p w14:paraId="17602AD9" w14:textId="7D133F84" w:rsidR="00F04031" w:rsidRDefault="00F04031" w:rsidP="00EC11FA">
      <w:pPr>
        <w:pStyle w:val="Normalparatextwithnumbers"/>
        <w:numPr>
          <w:ilvl w:val="1"/>
          <w:numId w:val="3"/>
        </w:numPr>
      </w:pPr>
      <w:r>
        <w:t xml:space="preserve">The amendments do not provide the Future Fund Board or its subsidiaries with a greater final tax benefit than </w:t>
      </w:r>
      <w:r w:rsidR="009D03B7">
        <w:t>they</w:t>
      </w:r>
      <w:r>
        <w:t xml:space="preserve"> receive under current arrangements. Instead, the amendments </w:t>
      </w:r>
      <w:r w:rsidR="00654FC1">
        <w:t xml:space="preserve">minimise </w:t>
      </w:r>
      <w:r>
        <w:t xml:space="preserve">unnecessary compliance and administrative burdens. </w:t>
      </w:r>
    </w:p>
    <w:p w14:paraId="7D5289B1" w14:textId="3ABEDAA7" w:rsidR="00EC11FA" w:rsidRDefault="00EC11FA" w:rsidP="00EC11FA">
      <w:pPr>
        <w:pStyle w:val="Heading5"/>
      </w:pPr>
      <w:r>
        <w:t>Subsidiaries covered by the</w:t>
      </w:r>
      <w:r w:rsidR="003308B7">
        <w:t>se</w:t>
      </w:r>
      <w:r>
        <w:t xml:space="preserve"> amendments</w:t>
      </w:r>
    </w:p>
    <w:p w14:paraId="124EEEA3" w14:textId="72F94FCE" w:rsidR="00BA4507" w:rsidRPr="00557A74" w:rsidRDefault="00BA7AC4" w:rsidP="00557A74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t xml:space="preserve">For a subsidiary of the Future Fund Board to be eligible for the income tax exemption and franking credit refund, they must be a 100% subsidiary and be incorporated under Australian law. </w:t>
      </w:r>
      <w:r w:rsidR="0079460A" w:rsidRPr="005545C5">
        <w:t>The subsidiary must also meet certain special conditions prescribed in the law.</w:t>
      </w:r>
      <w:r w:rsidR="00557A74">
        <w:br/>
      </w:r>
      <w:r w:rsidR="00557A74" w:rsidRPr="00557A74">
        <w:rPr>
          <w:rStyle w:val="References"/>
        </w:rPr>
        <w:t xml:space="preserve">[Schedule </w:t>
      </w:r>
      <w:r w:rsidR="00557A74">
        <w:rPr>
          <w:rStyle w:val="References"/>
        </w:rPr>
        <w:t>#</w:t>
      </w:r>
      <w:r w:rsidR="00557A74" w:rsidRPr="00557A74">
        <w:rPr>
          <w:rStyle w:val="References"/>
        </w:rPr>
        <w:t>, item</w:t>
      </w:r>
      <w:r w:rsidR="00557A74">
        <w:rPr>
          <w:rStyle w:val="References"/>
        </w:rPr>
        <w:t xml:space="preserve">s 1 and 2, sections 50-25 and 207-115 </w:t>
      </w:r>
      <w:r w:rsidR="00557A74" w:rsidRPr="00557A74">
        <w:rPr>
          <w:rStyle w:val="References"/>
        </w:rPr>
        <w:t xml:space="preserve">of </w:t>
      </w:r>
      <w:r w:rsidR="00557A74">
        <w:rPr>
          <w:rStyle w:val="References"/>
        </w:rPr>
        <w:t>the ITAA 1997</w:t>
      </w:r>
      <w:r w:rsidR="00557A74" w:rsidRPr="00557A74">
        <w:rPr>
          <w:rStyle w:val="References"/>
        </w:rPr>
        <w:t xml:space="preserve">] </w:t>
      </w:r>
    </w:p>
    <w:p w14:paraId="58405E3A" w14:textId="37C83B26" w:rsidR="002125AC" w:rsidRDefault="00BA7AC4" w:rsidP="00D57389">
      <w:pPr>
        <w:pStyle w:val="Normalparatextwithnumbers"/>
        <w:numPr>
          <w:ilvl w:val="1"/>
          <w:numId w:val="3"/>
        </w:numPr>
      </w:pPr>
      <w:r>
        <w:t xml:space="preserve">The term </w:t>
      </w:r>
      <w:r w:rsidRPr="00BA7AC4">
        <w:rPr>
          <w:i/>
          <w:iCs/>
        </w:rPr>
        <w:t>100% subsidiary</w:t>
      </w:r>
      <w:r>
        <w:rPr>
          <w:i/>
          <w:iCs/>
        </w:rPr>
        <w:t xml:space="preserve"> </w:t>
      </w:r>
      <w:r>
        <w:t>has the meaning given by section 975-505 of the ITAA 1997.</w:t>
      </w:r>
      <w:r w:rsidR="003E17EB">
        <w:t xml:space="preserve"> A subsidiary of the Future Fund Board will be considered a 100% subsidiary if all of its shares are beneficially owned by the Future Fund Board</w:t>
      </w:r>
      <w:r w:rsidR="00557A74">
        <w:t xml:space="preserve"> and/or one or more </w:t>
      </w:r>
      <w:r w:rsidR="00D060C3">
        <w:t xml:space="preserve">other </w:t>
      </w:r>
      <w:r w:rsidR="00557A74">
        <w:t xml:space="preserve">100% subsidiary of the Board. </w:t>
      </w:r>
    </w:p>
    <w:p w14:paraId="39F929E6" w14:textId="59D4D902" w:rsidR="00BA4507" w:rsidRDefault="00CA11B6" w:rsidP="00D57389">
      <w:pPr>
        <w:pStyle w:val="Normalparatextwithnumbers"/>
        <w:numPr>
          <w:ilvl w:val="1"/>
          <w:numId w:val="3"/>
        </w:numPr>
      </w:pPr>
      <w:r>
        <w:lastRenderedPageBreak/>
        <w:t xml:space="preserve">Subsidiaries incorporated outside of Australia </w:t>
      </w:r>
      <w:r w:rsidR="00F62EC0">
        <w:t>are</w:t>
      </w:r>
      <w:r>
        <w:t xml:space="preserve"> not eligible for the income tax exemption or franking credit refund. </w:t>
      </w:r>
    </w:p>
    <w:p w14:paraId="0766C001" w14:textId="4122EE5E" w:rsidR="009F0A8B" w:rsidRDefault="009F0A8B" w:rsidP="00D57389">
      <w:pPr>
        <w:pStyle w:val="Heading5"/>
      </w:pPr>
      <w:r>
        <w:t xml:space="preserve">Income tax exemption </w:t>
      </w:r>
      <w:r w:rsidR="00D43638">
        <w:t xml:space="preserve">and franking credit refund </w:t>
      </w:r>
    </w:p>
    <w:p w14:paraId="269F4C29" w14:textId="1DC930AE" w:rsidR="00350631" w:rsidRPr="009F0A8B" w:rsidRDefault="00253EBE" w:rsidP="00350631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t xml:space="preserve">Schedule # </w:t>
      </w:r>
      <w:r w:rsidR="00B66F88">
        <w:t xml:space="preserve">amends the ITAA 1997 to provide an income tax exemption to </w:t>
      </w:r>
      <w:r w:rsidR="007456AE">
        <w:t xml:space="preserve">100% subsidiaries of </w:t>
      </w:r>
      <w:r w:rsidR="006441E0">
        <w:t>the Future Fund Board</w:t>
      </w:r>
      <w:r w:rsidR="007456AE">
        <w:t xml:space="preserve"> incorporated in Australia</w:t>
      </w:r>
      <w:r w:rsidR="006441E0">
        <w:t xml:space="preserve">. </w:t>
      </w:r>
      <w:r w:rsidR="00350631">
        <w:br/>
      </w:r>
      <w:r w:rsidR="00350631" w:rsidRPr="00350631">
        <w:rPr>
          <w:rStyle w:val="References"/>
        </w:rPr>
        <w:t xml:space="preserve">[Schedule </w:t>
      </w:r>
      <w:r w:rsidR="00B91145">
        <w:rPr>
          <w:rStyle w:val="References"/>
        </w:rPr>
        <w:t>#</w:t>
      </w:r>
      <w:r w:rsidR="00350631" w:rsidRPr="00350631">
        <w:rPr>
          <w:rStyle w:val="References"/>
        </w:rPr>
        <w:t>, item</w:t>
      </w:r>
      <w:r w:rsidR="00B91145">
        <w:rPr>
          <w:rStyle w:val="References"/>
        </w:rPr>
        <w:t xml:space="preserve"> 1</w:t>
      </w:r>
      <w:r w:rsidR="00350631" w:rsidRPr="00350631">
        <w:rPr>
          <w:rStyle w:val="References"/>
        </w:rPr>
        <w:t xml:space="preserve">, </w:t>
      </w:r>
      <w:r w:rsidR="00B91145">
        <w:rPr>
          <w:rStyle w:val="References"/>
        </w:rPr>
        <w:t>section 50-25</w:t>
      </w:r>
      <w:r w:rsidR="00350631" w:rsidRPr="00350631">
        <w:rPr>
          <w:rStyle w:val="References"/>
        </w:rPr>
        <w:t xml:space="preserve"> of </w:t>
      </w:r>
      <w:r w:rsidR="00FA6E34">
        <w:rPr>
          <w:rStyle w:val="References"/>
        </w:rPr>
        <w:t>the ITAA 1997</w:t>
      </w:r>
      <w:r w:rsidR="00350631" w:rsidRPr="00350631">
        <w:rPr>
          <w:rStyle w:val="References"/>
        </w:rPr>
        <w:t xml:space="preserve">] </w:t>
      </w:r>
    </w:p>
    <w:p w14:paraId="63DBB188" w14:textId="6B417107" w:rsidR="00B66F88" w:rsidRPr="002125AC" w:rsidRDefault="00253EBE" w:rsidP="00B66F88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t>Schedule #</w:t>
      </w:r>
      <w:r w:rsidR="00B66F88">
        <w:t xml:space="preserve"> amends the ITAA 1997 to add </w:t>
      </w:r>
      <w:r w:rsidR="0067222C">
        <w:t>these</w:t>
      </w:r>
      <w:r w:rsidR="005F4AB9">
        <w:t xml:space="preserve"> subsidiaries</w:t>
      </w:r>
      <w:r w:rsidR="006441E0">
        <w:t xml:space="preserve"> </w:t>
      </w:r>
      <w:r w:rsidR="00B66F88">
        <w:t>as</w:t>
      </w:r>
      <w:r w:rsidR="0067222C">
        <w:t xml:space="preserve"> exempt en</w:t>
      </w:r>
      <w:r w:rsidR="00B66F88">
        <w:t>tities eligible for a franking credit refund.</w:t>
      </w:r>
      <w:r w:rsidR="00350631">
        <w:br/>
      </w:r>
      <w:r w:rsidR="00350631" w:rsidRPr="00350631">
        <w:rPr>
          <w:rStyle w:val="References"/>
        </w:rPr>
        <w:t xml:space="preserve">[Schedule </w:t>
      </w:r>
      <w:r w:rsidR="009516A5">
        <w:rPr>
          <w:rStyle w:val="References"/>
        </w:rPr>
        <w:t>#</w:t>
      </w:r>
      <w:r w:rsidR="00350631" w:rsidRPr="00350631">
        <w:rPr>
          <w:rStyle w:val="References"/>
        </w:rPr>
        <w:t>, item</w:t>
      </w:r>
      <w:r w:rsidR="00F677D4">
        <w:rPr>
          <w:rStyle w:val="References"/>
        </w:rPr>
        <w:t xml:space="preserve"> 2</w:t>
      </w:r>
      <w:r w:rsidR="00350631" w:rsidRPr="00350631">
        <w:rPr>
          <w:rStyle w:val="References"/>
        </w:rPr>
        <w:t xml:space="preserve">, </w:t>
      </w:r>
      <w:r w:rsidR="00F677D4">
        <w:rPr>
          <w:rStyle w:val="References"/>
        </w:rPr>
        <w:t>section 207-115</w:t>
      </w:r>
      <w:r w:rsidR="00350631" w:rsidRPr="00350631">
        <w:rPr>
          <w:rStyle w:val="References"/>
        </w:rPr>
        <w:t xml:space="preserve"> of </w:t>
      </w:r>
      <w:r w:rsidR="00FA6E34">
        <w:rPr>
          <w:rStyle w:val="References"/>
        </w:rPr>
        <w:t>the ITAA 1997</w:t>
      </w:r>
      <w:r w:rsidR="00350631" w:rsidRPr="00350631">
        <w:rPr>
          <w:rStyle w:val="References"/>
        </w:rPr>
        <w:t xml:space="preserve">] </w:t>
      </w:r>
    </w:p>
    <w:p w14:paraId="465093C3" w14:textId="2B0894D3" w:rsidR="00F677D4" w:rsidRDefault="00F677D4" w:rsidP="00B66F88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Under current arrangements, </w:t>
      </w:r>
      <w:r w:rsidR="00920B7C">
        <w:rPr>
          <w:rStyle w:val="References"/>
          <w:b w:val="0"/>
          <w:bCs w:val="0"/>
          <w:i w:val="0"/>
          <w:iCs w:val="0"/>
        </w:rPr>
        <w:t xml:space="preserve">income </w:t>
      </w:r>
      <w:r>
        <w:rPr>
          <w:rStyle w:val="References"/>
          <w:b w:val="0"/>
          <w:bCs w:val="0"/>
          <w:i w:val="0"/>
          <w:iCs w:val="0"/>
        </w:rPr>
        <w:t>tax paid by</w:t>
      </w:r>
      <w:r w:rsidR="009516A5">
        <w:rPr>
          <w:rStyle w:val="References"/>
          <w:b w:val="0"/>
          <w:bCs w:val="0"/>
          <w:i w:val="0"/>
          <w:iCs w:val="0"/>
        </w:rPr>
        <w:t xml:space="preserve"> 100% subsidiaries of the Future Fund Board incorporated in Australia </w:t>
      </w:r>
      <w:r>
        <w:rPr>
          <w:rStyle w:val="References"/>
          <w:b w:val="0"/>
          <w:bCs w:val="0"/>
          <w:i w:val="0"/>
          <w:iCs w:val="0"/>
        </w:rPr>
        <w:t xml:space="preserve">is refunded to </w:t>
      </w:r>
      <w:r w:rsidR="001C006A">
        <w:rPr>
          <w:rStyle w:val="References"/>
          <w:b w:val="0"/>
          <w:bCs w:val="0"/>
          <w:i w:val="0"/>
          <w:iCs w:val="0"/>
        </w:rPr>
        <w:t>the</w:t>
      </w:r>
      <w:r>
        <w:rPr>
          <w:rStyle w:val="References"/>
          <w:b w:val="0"/>
          <w:bCs w:val="0"/>
          <w:i w:val="0"/>
          <w:iCs w:val="0"/>
        </w:rPr>
        <w:t xml:space="preserve"> Board </w:t>
      </w:r>
      <w:r w:rsidRPr="00F677D4">
        <w:rPr>
          <w:rStyle w:val="References"/>
          <w:b w:val="0"/>
          <w:bCs w:val="0"/>
          <w:i w:val="0"/>
          <w:iCs w:val="0"/>
        </w:rPr>
        <w:t>via the franking credits attached to the dividends paid to the Board by thes</w:t>
      </w:r>
      <w:r>
        <w:rPr>
          <w:rStyle w:val="References"/>
          <w:b w:val="0"/>
          <w:bCs w:val="0"/>
          <w:i w:val="0"/>
          <w:iCs w:val="0"/>
        </w:rPr>
        <w:t>e subsidiaries</w:t>
      </w:r>
      <w:r w:rsidRPr="00F677D4">
        <w:rPr>
          <w:rStyle w:val="References"/>
          <w:b w:val="0"/>
          <w:bCs w:val="0"/>
          <w:i w:val="0"/>
          <w:iCs w:val="0"/>
        </w:rPr>
        <w:t>.</w:t>
      </w:r>
      <w:r w:rsidR="001C006A">
        <w:rPr>
          <w:rStyle w:val="References"/>
          <w:b w:val="0"/>
          <w:bCs w:val="0"/>
          <w:i w:val="0"/>
          <w:iCs w:val="0"/>
        </w:rPr>
        <w:t xml:space="preserve"> The amendments remove </w:t>
      </w:r>
      <w:r w:rsidR="00920B7C">
        <w:rPr>
          <w:rStyle w:val="References"/>
          <w:b w:val="0"/>
          <w:bCs w:val="0"/>
          <w:i w:val="0"/>
          <w:iCs w:val="0"/>
        </w:rPr>
        <w:t xml:space="preserve">the need for </w:t>
      </w:r>
      <w:r w:rsidR="00DB7DFC">
        <w:rPr>
          <w:rStyle w:val="References"/>
          <w:b w:val="0"/>
          <w:bCs w:val="0"/>
          <w:i w:val="0"/>
          <w:iCs w:val="0"/>
        </w:rPr>
        <w:t>th</w:t>
      </w:r>
      <w:r w:rsidR="001F6878">
        <w:rPr>
          <w:rStyle w:val="References"/>
          <w:b w:val="0"/>
          <w:bCs w:val="0"/>
          <w:i w:val="0"/>
          <w:iCs w:val="0"/>
        </w:rPr>
        <w:t>is</w:t>
      </w:r>
      <w:r w:rsidR="00DB7DFC">
        <w:rPr>
          <w:rStyle w:val="References"/>
          <w:b w:val="0"/>
          <w:bCs w:val="0"/>
          <w:i w:val="0"/>
          <w:iCs w:val="0"/>
        </w:rPr>
        <w:t xml:space="preserve"> process </w:t>
      </w:r>
      <w:r w:rsidR="00D060C3">
        <w:rPr>
          <w:rStyle w:val="References"/>
          <w:b w:val="0"/>
          <w:bCs w:val="0"/>
          <w:i w:val="0"/>
          <w:iCs w:val="0"/>
        </w:rPr>
        <w:t xml:space="preserve">as these subsidiaries </w:t>
      </w:r>
      <w:r w:rsidR="00920B7C">
        <w:rPr>
          <w:rStyle w:val="References"/>
          <w:b w:val="0"/>
          <w:bCs w:val="0"/>
          <w:i w:val="0"/>
          <w:iCs w:val="0"/>
        </w:rPr>
        <w:t>will no</w:t>
      </w:r>
      <w:r w:rsidR="003308B7">
        <w:rPr>
          <w:rStyle w:val="References"/>
          <w:b w:val="0"/>
          <w:bCs w:val="0"/>
          <w:i w:val="0"/>
          <w:iCs w:val="0"/>
        </w:rPr>
        <w:t xml:space="preserve"> longer</w:t>
      </w:r>
      <w:r w:rsidR="00920B7C">
        <w:rPr>
          <w:rStyle w:val="References"/>
          <w:b w:val="0"/>
          <w:bCs w:val="0"/>
          <w:i w:val="0"/>
          <w:iCs w:val="0"/>
        </w:rPr>
        <w:t xml:space="preserve"> pay income tax.</w:t>
      </w:r>
      <w:r w:rsidR="00D060C3">
        <w:rPr>
          <w:rStyle w:val="References"/>
          <w:b w:val="0"/>
          <w:bCs w:val="0"/>
          <w:i w:val="0"/>
          <w:iCs w:val="0"/>
        </w:rPr>
        <w:t xml:space="preserve"> </w:t>
      </w:r>
    </w:p>
    <w:p w14:paraId="0C31F2BB" w14:textId="702BFC90" w:rsidR="002125AC" w:rsidRPr="006B12D9" w:rsidRDefault="00DB7DFC" w:rsidP="006B12D9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The amendments ensure subsidiaries continue to get the benefit </w:t>
      </w:r>
      <w:r w:rsidR="00920B7C">
        <w:rPr>
          <w:rStyle w:val="References"/>
          <w:b w:val="0"/>
          <w:bCs w:val="0"/>
          <w:i w:val="0"/>
          <w:iCs w:val="0"/>
        </w:rPr>
        <w:t>of</w:t>
      </w:r>
      <w:r>
        <w:rPr>
          <w:rStyle w:val="References"/>
          <w:b w:val="0"/>
          <w:bCs w:val="0"/>
          <w:i w:val="0"/>
          <w:iCs w:val="0"/>
        </w:rPr>
        <w:t xml:space="preserve"> any franked distributions they receive from their investments </w:t>
      </w:r>
      <w:r w:rsidR="006B12D9">
        <w:rPr>
          <w:rStyle w:val="References"/>
          <w:b w:val="0"/>
          <w:bCs w:val="0"/>
          <w:i w:val="0"/>
          <w:iCs w:val="0"/>
        </w:rPr>
        <w:t xml:space="preserve">by including them as entities eligible for a franking credit refund. </w:t>
      </w:r>
      <w:r w:rsidR="002125AC" w:rsidRPr="006B12D9">
        <w:rPr>
          <w:rStyle w:val="References"/>
          <w:b w:val="0"/>
          <w:bCs w:val="0"/>
          <w:i w:val="0"/>
          <w:iCs w:val="0"/>
        </w:rPr>
        <w:t xml:space="preserve"> </w:t>
      </w:r>
    </w:p>
    <w:p w14:paraId="6F7B958D" w14:textId="3EFB9927" w:rsidR="009F0A8B" w:rsidRDefault="00B13B89" w:rsidP="00D57389">
      <w:pPr>
        <w:pStyle w:val="Heading5"/>
      </w:pPr>
      <w:r w:rsidRPr="00D57389">
        <w:t xml:space="preserve">Investment limitations </w:t>
      </w:r>
    </w:p>
    <w:p w14:paraId="4A6C06F5" w14:textId="215DC956" w:rsidR="00697EF9" w:rsidRDefault="00B66F88" w:rsidP="00697EF9">
      <w:pPr>
        <w:pStyle w:val="Normalparatextwithnumbers"/>
        <w:numPr>
          <w:ilvl w:val="1"/>
          <w:numId w:val="3"/>
        </w:numPr>
      </w:pPr>
      <w:r>
        <w:t>To be eligible for t</w:t>
      </w:r>
      <w:r w:rsidR="00697EF9">
        <w:t>he income tax exemption and franking credit refund, the subsidiaries must comply with the same investment limitations that apply to the Future Fund Board.</w:t>
      </w:r>
      <w:r w:rsidR="00596D52">
        <w:t xml:space="preserve"> This condition is intended to prevent </w:t>
      </w:r>
      <w:r w:rsidR="00506B57">
        <w:t xml:space="preserve">these </w:t>
      </w:r>
      <w:r w:rsidR="00596D52">
        <w:t xml:space="preserve">subsidiaries from engaging in activities unavailable to the Board. </w:t>
      </w:r>
      <w:r w:rsidR="00350631">
        <w:br/>
      </w:r>
      <w:r w:rsidR="00350631" w:rsidRPr="00350631">
        <w:rPr>
          <w:rStyle w:val="References"/>
        </w:rPr>
        <w:t xml:space="preserve">[Schedule </w:t>
      </w:r>
      <w:r w:rsidR="00697EF9">
        <w:rPr>
          <w:rStyle w:val="References"/>
        </w:rPr>
        <w:t>#</w:t>
      </w:r>
      <w:r w:rsidR="00350631" w:rsidRPr="00350631">
        <w:rPr>
          <w:rStyle w:val="References"/>
        </w:rPr>
        <w:t>, item</w:t>
      </w:r>
      <w:r w:rsidR="00697EF9">
        <w:rPr>
          <w:rStyle w:val="References"/>
        </w:rPr>
        <w:t xml:space="preserve"> 1</w:t>
      </w:r>
      <w:r w:rsidR="00350631" w:rsidRPr="00350631">
        <w:rPr>
          <w:rStyle w:val="References"/>
        </w:rPr>
        <w:t xml:space="preserve">, </w:t>
      </w:r>
      <w:r w:rsidR="00697EF9">
        <w:rPr>
          <w:rStyle w:val="References"/>
        </w:rPr>
        <w:t>section</w:t>
      </w:r>
      <w:r w:rsidR="002125AC">
        <w:rPr>
          <w:rStyle w:val="References"/>
        </w:rPr>
        <w:t>s</w:t>
      </w:r>
      <w:r w:rsidR="00697EF9">
        <w:rPr>
          <w:rStyle w:val="References"/>
        </w:rPr>
        <w:t xml:space="preserve"> 50-25</w:t>
      </w:r>
      <w:r w:rsidR="002125AC">
        <w:rPr>
          <w:rStyle w:val="References"/>
        </w:rPr>
        <w:t xml:space="preserve"> and 207-115</w:t>
      </w:r>
      <w:r w:rsidR="00697EF9">
        <w:rPr>
          <w:rStyle w:val="References"/>
        </w:rPr>
        <w:t xml:space="preserve"> </w:t>
      </w:r>
      <w:r w:rsidR="00350631" w:rsidRPr="00350631">
        <w:rPr>
          <w:rStyle w:val="References"/>
        </w:rPr>
        <w:t xml:space="preserve">of </w:t>
      </w:r>
      <w:r w:rsidR="00FA6E34">
        <w:rPr>
          <w:rStyle w:val="References"/>
        </w:rPr>
        <w:t>the ITAA 1997</w:t>
      </w:r>
      <w:r w:rsidR="00350631" w:rsidRPr="00350631">
        <w:rPr>
          <w:rStyle w:val="References"/>
        </w:rPr>
        <w:t xml:space="preserve">] </w:t>
      </w:r>
    </w:p>
    <w:p w14:paraId="5A5C56A0" w14:textId="21547E4A" w:rsidR="00B91145" w:rsidRDefault="002C26EB" w:rsidP="00B66F88">
      <w:pPr>
        <w:pStyle w:val="Normalparatextwithnumbers"/>
        <w:numPr>
          <w:ilvl w:val="1"/>
          <w:numId w:val="3"/>
        </w:numPr>
      </w:pPr>
      <w:r>
        <w:t>The Future Fund Board is subject to a number of investment limitations</w:t>
      </w:r>
      <w:r w:rsidR="005128C7">
        <w:t>.</w:t>
      </w:r>
      <w:r>
        <w:t xml:space="preserve"> An example of this is subsection 84C(1) of the </w:t>
      </w:r>
      <w:r w:rsidRPr="005128C7">
        <w:rPr>
          <w:i/>
          <w:iCs/>
        </w:rPr>
        <w:t>Future Fund Act 2006</w:t>
      </w:r>
      <w:r>
        <w:t xml:space="preserve"> that requires the Future Fund Board to take all reasonable steps to ensure that it does not hold a stake in a foreign listed company</w:t>
      </w:r>
      <w:r w:rsidR="0079460A">
        <w:t xml:space="preserve"> </w:t>
      </w:r>
      <w:r w:rsidR="0079460A" w:rsidRPr="005545C5">
        <w:t>of more than 20 per cent</w:t>
      </w:r>
      <w:r>
        <w:t xml:space="preserve">. </w:t>
      </w:r>
      <w:r w:rsidR="005128C7">
        <w:t xml:space="preserve">If a subsidiary did not comply with this requirement, </w:t>
      </w:r>
      <w:r w:rsidR="00932BCF">
        <w:t>it</w:t>
      </w:r>
      <w:r w:rsidR="005128C7">
        <w:t xml:space="preserve"> would not be able to access the income tax exemption or be eligible for a franking credit refund. </w:t>
      </w:r>
    </w:p>
    <w:p w14:paraId="364D8DC9" w14:textId="3A91A9B6" w:rsidR="00E041F4" w:rsidRDefault="006A062C" w:rsidP="00702D18">
      <w:pPr>
        <w:pStyle w:val="Normalparatextwithnumbers"/>
        <w:numPr>
          <w:ilvl w:val="1"/>
          <w:numId w:val="3"/>
        </w:numPr>
      </w:pPr>
      <w:r>
        <w:t xml:space="preserve">Investment limitations are also placed on the Future Fund Board by the investment mandates for each of the investment funds. Subsidiaries will need to comply with the investment mandate </w:t>
      </w:r>
      <w:r w:rsidR="00EA62A1">
        <w:t>for</w:t>
      </w:r>
      <w:r>
        <w:t xml:space="preserve"> the relevant fund they operate under. For example, </w:t>
      </w:r>
      <w:r w:rsidR="001A3AFD">
        <w:t xml:space="preserve">the </w:t>
      </w:r>
      <w:r w:rsidR="001A3AFD" w:rsidRPr="00866E0A">
        <w:rPr>
          <w:i/>
          <w:iCs/>
        </w:rPr>
        <w:t>Future Fund Investment Mandate Direction 2017</w:t>
      </w:r>
      <w:r w:rsidR="001A3AFD">
        <w:t xml:space="preserve"> will apply to s</w:t>
      </w:r>
      <w:r>
        <w:t>ubsidiar</w:t>
      </w:r>
      <w:r w:rsidR="001A3AFD">
        <w:t>ies</w:t>
      </w:r>
      <w:r>
        <w:t xml:space="preserve"> used for the purposes of the </w:t>
      </w:r>
      <w:r w:rsidR="001A3AFD">
        <w:t xml:space="preserve">Future Fund. </w:t>
      </w:r>
      <w:r>
        <w:t xml:space="preserve"> </w:t>
      </w:r>
    </w:p>
    <w:p w14:paraId="53526F07" w14:textId="77777777" w:rsidR="00873094" w:rsidRPr="00020288" w:rsidRDefault="00873094" w:rsidP="00AF50CE">
      <w:pPr>
        <w:pStyle w:val="Heading2"/>
      </w:pPr>
      <w:bookmarkStart w:id="44" w:name="_Toc120792432"/>
      <w:bookmarkStart w:id="45" w:name="_Toc78193246"/>
      <w:bookmarkStart w:id="46" w:name="_Toc78193403"/>
      <w:bookmarkStart w:id="47" w:name="_Toc78548476"/>
      <w:bookmarkStart w:id="48" w:name="_Toc78549747"/>
      <w:bookmarkStart w:id="49" w:name="_Toc78549791"/>
      <w:r w:rsidRPr="00020288">
        <w:lastRenderedPageBreak/>
        <w:t xml:space="preserve">Commencement, </w:t>
      </w:r>
      <w:r w:rsidRPr="00AF50CE">
        <w:t>application</w:t>
      </w:r>
      <w:r w:rsidRPr="00020288">
        <w:t>, and transitional provisions</w:t>
      </w:r>
      <w:bookmarkEnd w:id="44"/>
    </w:p>
    <w:p w14:paraId="1C7A363D" w14:textId="3FE9AA5C" w:rsidR="00873094" w:rsidRDefault="00C816AF" w:rsidP="00873094">
      <w:pPr>
        <w:pStyle w:val="Normalparatextwithnumbers"/>
        <w:numPr>
          <w:ilvl w:val="1"/>
          <w:numId w:val="3"/>
        </w:numPr>
      </w:pPr>
      <w:r>
        <w:t xml:space="preserve">The amendments commence on the </w:t>
      </w:r>
      <w:r w:rsidRPr="00645E4B">
        <w:t xml:space="preserve">first 1 January, 1 April, 1 July or 1 October </w:t>
      </w:r>
      <w:r>
        <w:t xml:space="preserve">to occur </w:t>
      </w:r>
      <w:r w:rsidRPr="00645E4B">
        <w:t>after</w:t>
      </w:r>
      <w:r>
        <w:t xml:space="preserve"> </w:t>
      </w:r>
      <w:r w:rsidRPr="00645E4B">
        <w:t>Royal Assent</w:t>
      </w:r>
      <w:r>
        <w:t>.</w:t>
      </w:r>
    </w:p>
    <w:p w14:paraId="5B427312" w14:textId="0942DCD2" w:rsidR="00B87FB9" w:rsidRPr="00B87FB9" w:rsidRDefault="00C816AF" w:rsidP="00B87FB9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t>The amendments apply</w:t>
      </w:r>
      <w:r w:rsidR="00F34472" w:rsidRPr="00F34472">
        <w:t xml:space="preserve"> to </w:t>
      </w:r>
      <w:r w:rsidR="000D3FA3">
        <w:t xml:space="preserve">assessments for </w:t>
      </w:r>
      <w:r w:rsidR="00F34472" w:rsidRPr="00F34472">
        <w:t>the first income year commencing on or after Royal Assent, and later income years.</w:t>
      </w:r>
      <w:r w:rsidR="00B87FB9">
        <w:br/>
      </w:r>
      <w:r w:rsidR="00B87FB9" w:rsidRPr="00B87FB9">
        <w:rPr>
          <w:rStyle w:val="References"/>
        </w:rPr>
        <w:t xml:space="preserve">[Schedule </w:t>
      </w:r>
      <w:r w:rsidR="00B87FB9">
        <w:rPr>
          <w:rStyle w:val="References"/>
        </w:rPr>
        <w:t>#</w:t>
      </w:r>
      <w:r w:rsidR="00B87FB9" w:rsidRPr="00B87FB9">
        <w:rPr>
          <w:rStyle w:val="References"/>
        </w:rPr>
        <w:t>, item</w:t>
      </w:r>
      <w:r w:rsidR="00B87FB9">
        <w:rPr>
          <w:rStyle w:val="References"/>
        </w:rPr>
        <w:t xml:space="preserve"> 3</w:t>
      </w:r>
      <w:r w:rsidR="00B87FB9" w:rsidRPr="00B87FB9">
        <w:rPr>
          <w:rStyle w:val="References"/>
        </w:rPr>
        <w:t xml:space="preserve">] </w:t>
      </w:r>
    </w:p>
    <w:p w14:paraId="56945C77" w14:textId="25E57C18" w:rsidR="00B77D03" w:rsidRDefault="00B87FB9" w:rsidP="00F76093">
      <w:pPr>
        <w:pStyle w:val="Normalparatextwithnumbers"/>
        <w:numPr>
          <w:ilvl w:val="0"/>
          <w:numId w:val="0"/>
        </w:numPr>
      </w:pPr>
      <w:r>
        <w:br/>
      </w:r>
      <w:r w:rsidRPr="00B87FB9">
        <w:rPr>
          <w:rStyle w:val="References"/>
        </w:rPr>
        <w:t xml:space="preserve"> </w:t>
      </w:r>
      <w:bookmarkEnd w:id="6"/>
      <w:bookmarkEnd w:id="39"/>
      <w:bookmarkEnd w:id="45"/>
      <w:bookmarkEnd w:id="46"/>
      <w:bookmarkEnd w:id="47"/>
      <w:bookmarkEnd w:id="48"/>
      <w:bookmarkEnd w:id="49"/>
    </w:p>
    <w:sectPr w:rsidR="00B77D03" w:rsidSect="00000BFC">
      <w:headerReference w:type="even" r:id="rId19"/>
      <w:headerReference w:type="default" r:id="rId20"/>
      <w:headerReference w:type="first" r:id="rId21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D6DA" w14:textId="77777777" w:rsidR="000D7A0F" w:rsidRDefault="000D7A0F">
      <w:pPr>
        <w:spacing w:before="0" w:after="0"/>
      </w:pPr>
      <w:r>
        <w:separator/>
      </w:r>
    </w:p>
  </w:endnote>
  <w:endnote w:type="continuationSeparator" w:id="0">
    <w:p w14:paraId="2C9C670B" w14:textId="77777777" w:rsidR="000D7A0F" w:rsidRDefault="000D7A0F">
      <w:pPr>
        <w:spacing w:before="0" w:after="0"/>
      </w:pPr>
      <w:r>
        <w:continuationSeparator/>
      </w:r>
    </w:p>
  </w:endnote>
  <w:endnote w:type="continuationNotice" w:id="1">
    <w:p w14:paraId="6C17BCF3" w14:textId="77777777" w:rsidR="000D7A0F" w:rsidRDefault="000D7A0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8A8D" w14:textId="77777777" w:rsidR="007A2DBD" w:rsidRDefault="007A2DBD" w:rsidP="002425D9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15F6" w14:textId="060A8B9D" w:rsidR="007A2DBD" w:rsidRPr="009916A9" w:rsidRDefault="007A2DBD" w:rsidP="00991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A6CD" w14:textId="77777777" w:rsidR="000D7A0F" w:rsidRDefault="000D7A0F">
      <w:pPr>
        <w:spacing w:before="0" w:after="0"/>
      </w:pPr>
      <w:r>
        <w:separator/>
      </w:r>
    </w:p>
  </w:footnote>
  <w:footnote w:type="continuationSeparator" w:id="0">
    <w:p w14:paraId="34D97249" w14:textId="77777777" w:rsidR="000D7A0F" w:rsidRDefault="000D7A0F">
      <w:pPr>
        <w:spacing w:before="0" w:after="0"/>
      </w:pPr>
      <w:r>
        <w:continuationSeparator/>
      </w:r>
    </w:p>
  </w:footnote>
  <w:footnote w:type="continuationNotice" w:id="1">
    <w:p w14:paraId="100A05D2" w14:textId="77777777" w:rsidR="000D7A0F" w:rsidRDefault="000D7A0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182601"/>
      <w:docPartObj>
        <w:docPartGallery w:val="Watermarks"/>
      </w:docPartObj>
    </w:sdtPr>
    <w:sdtEndPr/>
    <w:sdtContent>
      <w:p w14:paraId="45354C71" w14:textId="77777777" w:rsidR="007A2DBD" w:rsidRDefault="000D7A0F">
        <w:pPr>
          <w:pStyle w:val="Header"/>
        </w:pPr>
        <w:r>
          <w:rPr>
            <w:noProof/>
          </w:rPr>
          <w:pict w14:anchorId="520E6E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F10D" w14:textId="6799AC9F" w:rsidR="007A2DBD" w:rsidRPr="00816825" w:rsidRDefault="00A350DB" w:rsidP="002425D9">
    <w:pPr>
      <w:pStyle w:val="leftheader"/>
    </w:pPr>
    <w:fldSimple w:instr=" STYLEREF  &quot;Heading 1&quot;  \* MERGEFORMAT ">
      <w:r w:rsidR="00F34B16" w:rsidRPr="00F34B16">
        <w:rPr>
          <w:noProof/>
          <w:lang w:val="en-US"/>
        </w:rPr>
        <w:t>Glossary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BC14" w14:textId="77777777" w:rsidR="007A2DBD" w:rsidRPr="00091474" w:rsidRDefault="007A2DBD" w:rsidP="002425D9">
    <w:pPr>
      <w:pStyle w:val="right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5BE0" w14:textId="77777777" w:rsidR="007A2DBD" w:rsidRDefault="007A2D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430D" w14:textId="1E444661" w:rsidR="007A2DBD" w:rsidRPr="00F432F2" w:rsidRDefault="000D7A0F" w:rsidP="00F432F2">
    <w:pPr>
      <w:pStyle w:val="leftheader"/>
    </w:pPr>
    <w:r>
      <w:fldChar w:fldCharType="begin"/>
    </w:r>
    <w:r>
      <w:instrText xml:space="preserve"> STYLEREF "Chapter heading" \* MERGEFORMAT </w:instrText>
    </w:r>
    <w:r>
      <w:fldChar w:fldCharType="separate"/>
    </w:r>
    <w:r w:rsidR="00F34B16">
      <w:rPr>
        <w:noProof/>
      </w:rPr>
      <w:t>Income tax exemption and franking credit refund for certain subsidiaries of the Future Fund Board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B9A0" w14:textId="7C4FE5BC" w:rsidR="007A2DBD" w:rsidRPr="00A74B1A" w:rsidRDefault="00A350DB" w:rsidP="00A74B1A">
    <w:pPr>
      <w:pStyle w:val="rightheader"/>
    </w:pPr>
    <w:fldSimple w:instr=" STYLEREF &quot;Bill Name&quot; \* MERGEFORMAT ">
      <w:r w:rsidR="00F34B16">
        <w:rPr>
          <w:noProof/>
        </w:rPr>
        <w:t>Treasury Laws Amendment (Measures for Consultation) Bill 2022: Income tax exemption and franking credit refund for certain subsidiaries of the Future Fund Board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AEDC" w14:textId="77777777" w:rsidR="007A2DBD" w:rsidRDefault="007A2DBD" w:rsidP="00622763">
    <w:pPr>
      <w:pStyle w:val="right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A0"/>
    <w:multiLevelType w:val="multilevel"/>
    <w:tmpl w:val="4F888F1E"/>
    <w:lvl w:ilvl="0">
      <w:start w:val="1"/>
      <w:numFmt w:val="decimal"/>
      <w:pStyle w:val="AttachmentHeading"/>
      <w:lvlText w:val="Attachment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F02E0"/>
    <w:multiLevelType w:val="multilevel"/>
    <w:tmpl w:val="9190C16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229"/>
        </w:tabs>
        <w:ind w:left="1229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49"/>
        </w:tabs>
        <w:ind w:left="1749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9"/>
        </w:tabs>
        <w:ind w:left="2269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" w15:restartNumberingAfterBreak="0">
    <w:nsid w:val="10676E74"/>
    <w:multiLevelType w:val="hybridMultilevel"/>
    <w:tmpl w:val="5A7C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1E88"/>
    <w:multiLevelType w:val="hybridMultilevel"/>
    <w:tmpl w:val="1DE8CBA4"/>
    <w:lvl w:ilvl="0" w:tplc="D84EA11C">
      <w:start w:val="1"/>
      <w:numFmt w:val="bullet"/>
      <w:pStyle w:val="RISbullet2"/>
      <w:lvlText w:val="‒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9170CA0"/>
    <w:multiLevelType w:val="multilevel"/>
    <w:tmpl w:val="049421C8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D2B7E2A"/>
    <w:multiLevelType w:val="hybridMultilevel"/>
    <w:tmpl w:val="BBD8CBD2"/>
    <w:lvl w:ilvl="0" w:tplc="F154CDD8">
      <w:start w:val="1"/>
      <w:numFmt w:val="bullet"/>
      <w:pStyle w:val="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32D47"/>
    <w:multiLevelType w:val="hybridMultilevel"/>
    <w:tmpl w:val="6F7A201E"/>
    <w:lvl w:ilvl="0" w:tplc="6440602C">
      <w:start w:val="1"/>
      <w:numFmt w:val="bullet"/>
      <w:pStyle w:val="Exampledotpoint2"/>
      <w:lvlText w:val="‒"/>
      <w:lvlJc w:val="left"/>
      <w:pPr>
        <w:ind w:left="1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 w15:restartNumberingAfterBreak="0">
    <w:nsid w:val="5D393011"/>
    <w:multiLevelType w:val="hybridMultilevel"/>
    <w:tmpl w:val="11FA1D2A"/>
    <w:lvl w:ilvl="0" w:tplc="35E2AAE4">
      <w:start w:val="1"/>
      <w:numFmt w:val="bullet"/>
      <w:pStyle w:val="Example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293"/>
    <w:multiLevelType w:val="hybridMultilevel"/>
    <w:tmpl w:val="DACEC83A"/>
    <w:lvl w:ilvl="0" w:tplc="055A8A32">
      <w:start w:val="1"/>
      <w:numFmt w:val="bullet"/>
      <w:pStyle w:val="Tabledotpoin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60490B74"/>
    <w:multiLevelType w:val="hybridMultilevel"/>
    <w:tmpl w:val="EC7866F8"/>
    <w:lvl w:ilvl="0" w:tplc="A588DE40">
      <w:start w:val="1"/>
      <w:numFmt w:val="bullet"/>
      <w:pStyle w:val="Instructionalguidanc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97FDF"/>
    <w:multiLevelType w:val="hybridMultilevel"/>
    <w:tmpl w:val="543E5738"/>
    <w:lvl w:ilvl="0" w:tplc="0AFCCC26">
      <w:start w:val="1"/>
      <w:numFmt w:val="decimal"/>
      <w:pStyle w:val="Instructionalguidancenumbered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645C"/>
    <w:multiLevelType w:val="multilevel"/>
    <w:tmpl w:val="51D49B1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F255FB"/>
    <w:multiLevelType w:val="hybridMultilevel"/>
    <w:tmpl w:val="954AB974"/>
    <w:lvl w:ilvl="0" w:tplc="088E8732">
      <w:start w:val="1"/>
      <w:numFmt w:val="bullet"/>
      <w:pStyle w:val="Tabledotpoint2"/>
      <w:lvlText w:val="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891783"/>
    <w:multiLevelType w:val="hybridMultilevel"/>
    <w:tmpl w:val="0CCE9FEC"/>
    <w:lvl w:ilvl="0" w:tplc="0B52848A">
      <w:start w:val="1"/>
      <w:numFmt w:val="bullet"/>
      <w:pStyle w:val="Dotpoint2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11"/>
  </w:num>
  <w:num w:numId="14">
    <w:abstractNumId w:val="9"/>
  </w:num>
  <w:num w:numId="15">
    <w:abstractNumId w:val="10"/>
  </w:num>
  <w:num w:numId="16">
    <w:abstractNumId w:val="4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>
    <w:abstractNumId w:val="5"/>
  </w:num>
  <w:num w:numId="18">
    <w:abstractNumId w:val="3"/>
  </w:num>
  <w:num w:numId="19">
    <w:abstractNumId w:val="8"/>
  </w:num>
  <w:num w:numId="20">
    <w:abstractNumId w:val="12"/>
  </w:num>
  <w:num w:numId="21">
    <w:abstractNumId w:val="11"/>
  </w:num>
  <w:num w:numId="22">
    <w:abstractNumId w:val="2"/>
  </w:num>
  <w:num w:numId="23">
    <w:abstractNumId w:val="1"/>
  </w:num>
  <w:num w:numId="24">
    <w:abstractNumId w:val="11"/>
  </w:num>
  <w:num w:numId="25">
    <w:abstractNumId w:val="11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A8"/>
    <w:rsid w:val="00000BFC"/>
    <w:rsid w:val="00012184"/>
    <w:rsid w:val="00013603"/>
    <w:rsid w:val="00017B8A"/>
    <w:rsid w:val="00021DAA"/>
    <w:rsid w:val="0003311D"/>
    <w:rsid w:val="00040058"/>
    <w:rsid w:val="00043005"/>
    <w:rsid w:val="00047FF2"/>
    <w:rsid w:val="00053E2B"/>
    <w:rsid w:val="00056B15"/>
    <w:rsid w:val="0006757E"/>
    <w:rsid w:val="000702A1"/>
    <w:rsid w:val="0008311E"/>
    <w:rsid w:val="00083751"/>
    <w:rsid w:val="00086883"/>
    <w:rsid w:val="00087F47"/>
    <w:rsid w:val="00087FE9"/>
    <w:rsid w:val="00090A2C"/>
    <w:rsid w:val="000A2BF1"/>
    <w:rsid w:val="000A3230"/>
    <w:rsid w:val="000A33E9"/>
    <w:rsid w:val="000B02BC"/>
    <w:rsid w:val="000B6B3E"/>
    <w:rsid w:val="000B7D6E"/>
    <w:rsid w:val="000D3767"/>
    <w:rsid w:val="000D3FA3"/>
    <w:rsid w:val="000D4CC3"/>
    <w:rsid w:val="000D7A0F"/>
    <w:rsid w:val="000E0882"/>
    <w:rsid w:val="000E4D39"/>
    <w:rsid w:val="000E521B"/>
    <w:rsid w:val="000E7420"/>
    <w:rsid w:val="000F3C37"/>
    <w:rsid w:val="000F69B4"/>
    <w:rsid w:val="00105E85"/>
    <w:rsid w:val="00106FDC"/>
    <w:rsid w:val="00107086"/>
    <w:rsid w:val="00110CF9"/>
    <w:rsid w:val="00113964"/>
    <w:rsid w:val="00115509"/>
    <w:rsid w:val="001227A2"/>
    <w:rsid w:val="00141701"/>
    <w:rsid w:val="00157FCF"/>
    <w:rsid w:val="00163457"/>
    <w:rsid w:val="00170C78"/>
    <w:rsid w:val="001741A2"/>
    <w:rsid w:val="0018390F"/>
    <w:rsid w:val="00185E69"/>
    <w:rsid w:val="001955FB"/>
    <w:rsid w:val="00195D1C"/>
    <w:rsid w:val="001A3AFD"/>
    <w:rsid w:val="001B07FA"/>
    <w:rsid w:val="001B1306"/>
    <w:rsid w:val="001B3257"/>
    <w:rsid w:val="001C006A"/>
    <w:rsid w:val="001C485E"/>
    <w:rsid w:val="001C5CBF"/>
    <w:rsid w:val="001C67F3"/>
    <w:rsid w:val="001D2CCD"/>
    <w:rsid w:val="001D3212"/>
    <w:rsid w:val="001E01BF"/>
    <w:rsid w:val="001E132B"/>
    <w:rsid w:val="001E338A"/>
    <w:rsid w:val="001F02C0"/>
    <w:rsid w:val="001F0B7D"/>
    <w:rsid w:val="001F5177"/>
    <w:rsid w:val="001F6878"/>
    <w:rsid w:val="002125AC"/>
    <w:rsid w:val="00213674"/>
    <w:rsid w:val="00230C17"/>
    <w:rsid w:val="0023409D"/>
    <w:rsid w:val="002359C0"/>
    <w:rsid w:val="00235DCE"/>
    <w:rsid w:val="00241E55"/>
    <w:rsid w:val="002425D9"/>
    <w:rsid w:val="00242B2A"/>
    <w:rsid w:val="0024705D"/>
    <w:rsid w:val="002475C8"/>
    <w:rsid w:val="0024784F"/>
    <w:rsid w:val="00250844"/>
    <w:rsid w:val="00253EBE"/>
    <w:rsid w:val="0026043C"/>
    <w:rsid w:val="00260B8B"/>
    <w:rsid w:val="0026435E"/>
    <w:rsid w:val="002704BC"/>
    <w:rsid w:val="00274D5C"/>
    <w:rsid w:val="00276753"/>
    <w:rsid w:val="00280FA9"/>
    <w:rsid w:val="00281444"/>
    <w:rsid w:val="002872AB"/>
    <w:rsid w:val="002935AC"/>
    <w:rsid w:val="002957E3"/>
    <w:rsid w:val="00297081"/>
    <w:rsid w:val="002A11B0"/>
    <w:rsid w:val="002A2137"/>
    <w:rsid w:val="002A52E5"/>
    <w:rsid w:val="002B0B67"/>
    <w:rsid w:val="002B13DC"/>
    <w:rsid w:val="002B1D9E"/>
    <w:rsid w:val="002B623C"/>
    <w:rsid w:val="002B6E5D"/>
    <w:rsid w:val="002B6F60"/>
    <w:rsid w:val="002C26EB"/>
    <w:rsid w:val="002C78D6"/>
    <w:rsid w:val="002D080A"/>
    <w:rsid w:val="002E2B73"/>
    <w:rsid w:val="002E3378"/>
    <w:rsid w:val="002F1CB0"/>
    <w:rsid w:val="002F4B60"/>
    <w:rsid w:val="002F5302"/>
    <w:rsid w:val="002F7BD2"/>
    <w:rsid w:val="0030452F"/>
    <w:rsid w:val="00304DFB"/>
    <w:rsid w:val="00315D81"/>
    <w:rsid w:val="00320929"/>
    <w:rsid w:val="003308B7"/>
    <w:rsid w:val="00342A51"/>
    <w:rsid w:val="00346D8A"/>
    <w:rsid w:val="00350631"/>
    <w:rsid w:val="003510A8"/>
    <w:rsid w:val="00351274"/>
    <w:rsid w:val="00351D4D"/>
    <w:rsid w:val="003556BF"/>
    <w:rsid w:val="0036790F"/>
    <w:rsid w:val="003762A4"/>
    <w:rsid w:val="00382729"/>
    <w:rsid w:val="00382BA7"/>
    <w:rsid w:val="00387402"/>
    <w:rsid w:val="0039391C"/>
    <w:rsid w:val="00394623"/>
    <w:rsid w:val="003950C6"/>
    <w:rsid w:val="003971ED"/>
    <w:rsid w:val="003A0372"/>
    <w:rsid w:val="003A232C"/>
    <w:rsid w:val="003A6A16"/>
    <w:rsid w:val="003B1E4E"/>
    <w:rsid w:val="003B66EC"/>
    <w:rsid w:val="003C7D34"/>
    <w:rsid w:val="003E17EB"/>
    <w:rsid w:val="003F1AD7"/>
    <w:rsid w:val="003F26A7"/>
    <w:rsid w:val="00401763"/>
    <w:rsid w:val="00414017"/>
    <w:rsid w:val="00424B7A"/>
    <w:rsid w:val="00427EDF"/>
    <w:rsid w:val="00430A32"/>
    <w:rsid w:val="00435932"/>
    <w:rsid w:val="0044728D"/>
    <w:rsid w:val="004603EF"/>
    <w:rsid w:val="0047593B"/>
    <w:rsid w:val="00477C04"/>
    <w:rsid w:val="00485FD0"/>
    <w:rsid w:val="00492729"/>
    <w:rsid w:val="00496642"/>
    <w:rsid w:val="00496C21"/>
    <w:rsid w:val="004971E2"/>
    <w:rsid w:val="004A220F"/>
    <w:rsid w:val="004A321D"/>
    <w:rsid w:val="004B1C70"/>
    <w:rsid w:val="004B1F33"/>
    <w:rsid w:val="004E5A72"/>
    <w:rsid w:val="004E6611"/>
    <w:rsid w:val="004F23C3"/>
    <w:rsid w:val="004F7C15"/>
    <w:rsid w:val="00505347"/>
    <w:rsid w:val="005066F5"/>
    <w:rsid w:val="00506B57"/>
    <w:rsid w:val="005128C7"/>
    <w:rsid w:val="00513DD5"/>
    <w:rsid w:val="00517D6E"/>
    <w:rsid w:val="0053021B"/>
    <w:rsid w:val="00531C67"/>
    <w:rsid w:val="005356CB"/>
    <w:rsid w:val="00543430"/>
    <w:rsid w:val="005515C0"/>
    <w:rsid w:val="005545C5"/>
    <w:rsid w:val="00557A74"/>
    <w:rsid w:val="0056387A"/>
    <w:rsid w:val="0056675C"/>
    <w:rsid w:val="0057163B"/>
    <w:rsid w:val="00574708"/>
    <w:rsid w:val="00587748"/>
    <w:rsid w:val="00590AF7"/>
    <w:rsid w:val="0059200B"/>
    <w:rsid w:val="00596D52"/>
    <w:rsid w:val="005A3AA3"/>
    <w:rsid w:val="005A3F29"/>
    <w:rsid w:val="005B7C3A"/>
    <w:rsid w:val="005C2BD1"/>
    <w:rsid w:val="005C77BF"/>
    <w:rsid w:val="005D0844"/>
    <w:rsid w:val="005D169F"/>
    <w:rsid w:val="005D5F12"/>
    <w:rsid w:val="005D6EAC"/>
    <w:rsid w:val="005D7CF8"/>
    <w:rsid w:val="005E1542"/>
    <w:rsid w:val="005F4AB9"/>
    <w:rsid w:val="005F7CF7"/>
    <w:rsid w:val="006042C2"/>
    <w:rsid w:val="00607020"/>
    <w:rsid w:val="00607615"/>
    <w:rsid w:val="00614F71"/>
    <w:rsid w:val="006159A8"/>
    <w:rsid w:val="00622763"/>
    <w:rsid w:val="006235C8"/>
    <w:rsid w:val="006247D5"/>
    <w:rsid w:val="00624905"/>
    <w:rsid w:val="00630725"/>
    <w:rsid w:val="00634EE4"/>
    <w:rsid w:val="00641324"/>
    <w:rsid w:val="00642420"/>
    <w:rsid w:val="006441E0"/>
    <w:rsid w:val="006459D3"/>
    <w:rsid w:val="006479AC"/>
    <w:rsid w:val="0065255F"/>
    <w:rsid w:val="00654FC1"/>
    <w:rsid w:val="00655C13"/>
    <w:rsid w:val="00671DCE"/>
    <w:rsid w:val="0067222C"/>
    <w:rsid w:val="00683847"/>
    <w:rsid w:val="00685FEA"/>
    <w:rsid w:val="00693212"/>
    <w:rsid w:val="006934F9"/>
    <w:rsid w:val="00693B6E"/>
    <w:rsid w:val="00697EF9"/>
    <w:rsid w:val="006A062C"/>
    <w:rsid w:val="006A2BC6"/>
    <w:rsid w:val="006A3467"/>
    <w:rsid w:val="006B12D9"/>
    <w:rsid w:val="006B3CC2"/>
    <w:rsid w:val="006B4249"/>
    <w:rsid w:val="006B45F4"/>
    <w:rsid w:val="006C192F"/>
    <w:rsid w:val="006C40A4"/>
    <w:rsid w:val="006C67F6"/>
    <w:rsid w:val="006D0EC2"/>
    <w:rsid w:val="006E0237"/>
    <w:rsid w:val="006E2139"/>
    <w:rsid w:val="006E699E"/>
    <w:rsid w:val="006F0F1A"/>
    <w:rsid w:val="006F2B83"/>
    <w:rsid w:val="00702D18"/>
    <w:rsid w:val="007123AE"/>
    <w:rsid w:val="0071450D"/>
    <w:rsid w:val="007145E8"/>
    <w:rsid w:val="00717F32"/>
    <w:rsid w:val="00726017"/>
    <w:rsid w:val="007304B1"/>
    <w:rsid w:val="007316F6"/>
    <w:rsid w:val="00731BE4"/>
    <w:rsid w:val="0073326A"/>
    <w:rsid w:val="00734238"/>
    <w:rsid w:val="0073452A"/>
    <w:rsid w:val="007426A8"/>
    <w:rsid w:val="007456AE"/>
    <w:rsid w:val="007460E4"/>
    <w:rsid w:val="007479A1"/>
    <w:rsid w:val="00752137"/>
    <w:rsid w:val="00752190"/>
    <w:rsid w:val="0075785C"/>
    <w:rsid w:val="007604AA"/>
    <w:rsid w:val="00763484"/>
    <w:rsid w:val="00766AE2"/>
    <w:rsid w:val="00766B37"/>
    <w:rsid w:val="00771BFF"/>
    <w:rsid w:val="00773070"/>
    <w:rsid w:val="00777A92"/>
    <w:rsid w:val="007850A3"/>
    <w:rsid w:val="00787FBE"/>
    <w:rsid w:val="007912AF"/>
    <w:rsid w:val="0079460A"/>
    <w:rsid w:val="007A2DBD"/>
    <w:rsid w:val="007B1509"/>
    <w:rsid w:val="007B6304"/>
    <w:rsid w:val="007C1F94"/>
    <w:rsid w:val="007C6371"/>
    <w:rsid w:val="007D0737"/>
    <w:rsid w:val="007E1ED8"/>
    <w:rsid w:val="007E62B0"/>
    <w:rsid w:val="007F3B53"/>
    <w:rsid w:val="00806DC6"/>
    <w:rsid w:val="008111C7"/>
    <w:rsid w:val="008132B7"/>
    <w:rsid w:val="00815015"/>
    <w:rsid w:val="00815BB2"/>
    <w:rsid w:val="0082284C"/>
    <w:rsid w:val="00824E3A"/>
    <w:rsid w:val="00827E46"/>
    <w:rsid w:val="008343B1"/>
    <w:rsid w:val="00840882"/>
    <w:rsid w:val="00845768"/>
    <w:rsid w:val="00870071"/>
    <w:rsid w:val="00873094"/>
    <w:rsid w:val="008752C9"/>
    <w:rsid w:val="00880305"/>
    <w:rsid w:val="00883A1C"/>
    <w:rsid w:val="008907BB"/>
    <w:rsid w:val="008A5A27"/>
    <w:rsid w:val="008B69FC"/>
    <w:rsid w:val="008C5717"/>
    <w:rsid w:val="008C68BB"/>
    <w:rsid w:val="008D1A47"/>
    <w:rsid w:val="008D5058"/>
    <w:rsid w:val="008D6D43"/>
    <w:rsid w:val="008E3DC9"/>
    <w:rsid w:val="008E6179"/>
    <w:rsid w:val="008E66D6"/>
    <w:rsid w:val="008F199E"/>
    <w:rsid w:val="008F4BB9"/>
    <w:rsid w:val="008F7F19"/>
    <w:rsid w:val="00907EB9"/>
    <w:rsid w:val="00910DBF"/>
    <w:rsid w:val="009166C1"/>
    <w:rsid w:val="00920B7C"/>
    <w:rsid w:val="00923D64"/>
    <w:rsid w:val="009275EE"/>
    <w:rsid w:val="00932BCF"/>
    <w:rsid w:val="009338FB"/>
    <w:rsid w:val="00937F76"/>
    <w:rsid w:val="00945DEC"/>
    <w:rsid w:val="009516A5"/>
    <w:rsid w:val="00966650"/>
    <w:rsid w:val="009673E0"/>
    <w:rsid w:val="009724EC"/>
    <w:rsid w:val="009732E4"/>
    <w:rsid w:val="009747C3"/>
    <w:rsid w:val="009860B4"/>
    <w:rsid w:val="009916A9"/>
    <w:rsid w:val="00991941"/>
    <w:rsid w:val="009A1994"/>
    <w:rsid w:val="009A4DC7"/>
    <w:rsid w:val="009D03B7"/>
    <w:rsid w:val="009D095E"/>
    <w:rsid w:val="009D68C6"/>
    <w:rsid w:val="009F0A8B"/>
    <w:rsid w:val="009F3FA5"/>
    <w:rsid w:val="00A04BF2"/>
    <w:rsid w:val="00A07C8D"/>
    <w:rsid w:val="00A13BEA"/>
    <w:rsid w:val="00A14B48"/>
    <w:rsid w:val="00A26C75"/>
    <w:rsid w:val="00A279E8"/>
    <w:rsid w:val="00A350DB"/>
    <w:rsid w:val="00A36744"/>
    <w:rsid w:val="00A418F3"/>
    <w:rsid w:val="00A444AF"/>
    <w:rsid w:val="00A50270"/>
    <w:rsid w:val="00A55209"/>
    <w:rsid w:val="00A63A51"/>
    <w:rsid w:val="00A70F09"/>
    <w:rsid w:val="00A7111A"/>
    <w:rsid w:val="00A74B1A"/>
    <w:rsid w:val="00A77A65"/>
    <w:rsid w:val="00A855B9"/>
    <w:rsid w:val="00A85CDE"/>
    <w:rsid w:val="00A926D6"/>
    <w:rsid w:val="00A9588A"/>
    <w:rsid w:val="00AA2654"/>
    <w:rsid w:val="00AC3AD8"/>
    <w:rsid w:val="00AE66AC"/>
    <w:rsid w:val="00AF50CE"/>
    <w:rsid w:val="00AF7CC4"/>
    <w:rsid w:val="00B06C7A"/>
    <w:rsid w:val="00B07271"/>
    <w:rsid w:val="00B11EB4"/>
    <w:rsid w:val="00B13B89"/>
    <w:rsid w:val="00B13D8A"/>
    <w:rsid w:val="00B16870"/>
    <w:rsid w:val="00B255C5"/>
    <w:rsid w:val="00B30FAA"/>
    <w:rsid w:val="00B36649"/>
    <w:rsid w:val="00B4574F"/>
    <w:rsid w:val="00B579A7"/>
    <w:rsid w:val="00B61EF2"/>
    <w:rsid w:val="00B65CF9"/>
    <w:rsid w:val="00B66F88"/>
    <w:rsid w:val="00B736C6"/>
    <w:rsid w:val="00B7393A"/>
    <w:rsid w:val="00B77D03"/>
    <w:rsid w:val="00B8187E"/>
    <w:rsid w:val="00B87FB9"/>
    <w:rsid w:val="00B91145"/>
    <w:rsid w:val="00B96479"/>
    <w:rsid w:val="00BA2165"/>
    <w:rsid w:val="00BA4507"/>
    <w:rsid w:val="00BA54C2"/>
    <w:rsid w:val="00BA7AC4"/>
    <w:rsid w:val="00BC01E9"/>
    <w:rsid w:val="00BC2E4A"/>
    <w:rsid w:val="00BC3F1E"/>
    <w:rsid w:val="00BC6178"/>
    <w:rsid w:val="00BC70A8"/>
    <w:rsid w:val="00BD0751"/>
    <w:rsid w:val="00BD38FF"/>
    <w:rsid w:val="00BE5BC9"/>
    <w:rsid w:val="00BE76A0"/>
    <w:rsid w:val="00BF0690"/>
    <w:rsid w:val="00BF333B"/>
    <w:rsid w:val="00C11AFC"/>
    <w:rsid w:val="00C17DA2"/>
    <w:rsid w:val="00C20262"/>
    <w:rsid w:val="00C2087B"/>
    <w:rsid w:val="00C25143"/>
    <w:rsid w:val="00C2649F"/>
    <w:rsid w:val="00C266A0"/>
    <w:rsid w:val="00C40007"/>
    <w:rsid w:val="00C57052"/>
    <w:rsid w:val="00C816AF"/>
    <w:rsid w:val="00C93E28"/>
    <w:rsid w:val="00CA11B6"/>
    <w:rsid w:val="00CB3A76"/>
    <w:rsid w:val="00CB3CB6"/>
    <w:rsid w:val="00CB4F57"/>
    <w:rsid w:val="00CC0025"/>
    <w:rsid w:val="00CD00F3"/>
    <w:rsid w:val="00CD69E9"/>
    <w:rsid w:val="00CD7862"/>
    <w:rsid w:val="00CE2639"/>
    <w:rsid w:val="00CE5B6B"/>
    <w:rsid w:val="00CE690A"/>
    <w:rsid w:val="00CF04CD"/>
    <w:rsid w:val="00CF16E1"/>
    <w:rsid w:val="00CF6524"/>
    <w:rsid w:val="00D007DB"/>
    <w:rsid w:val="00D02601"/>
    <w:rsid w:val="00D04320"/>
    <w:rsid w:val="00D04933"/>
    <w:rsid w:val="00D05F15"/>
    <w:rsid w:val="00D060C3"/>
    <w:rsid w:val="00D155A1"/>
    <w:rsid w:val="00D21B7A"/>
    <w:rsid w:val="00D33AF3"/>
    <w:rsid w:val="00D34375"/>
    <w:rsid w:val="00D34E72"/>
    <w:rsid w:val="00D366DF"/>
    <w:rsid w:val="00D4083B"/>
    <w:rsid w:val="00D43638"/>
    <w:rsid w:val="00D535AD"/>
    <w:rsid w:val="00D57389"/>
    <w:rsid w:val="00D62D5A"/>
    <w:rsid w:val="00D7166A"/>
    <w:rsid w:val="00D71A86"/>
    <w:rsid w:val="00D750C3"/>
    <w:rsid w:val="00D85918"/>
    <w:rsid w:val="00D85956"/>
    <w:rsid w:val="00D85D04"/>
    <w:rsid w:val="00D86E5C"/>
    <w:rsid w:val="00D92594"/>
    <w:rsid w:val="00D92D54"/>
    <w:rsid w:val="00DA3496"/>
    <w:rsid w:val="00DA7AF0"/>
    <w:rsid w:val="00DB0A95"/>
    <w:rsid w:val="00DB7DFC"/>
    <w:rsid w:val="00DC21A7"/>
    <w:rsid w:val="00DD0573"/>
    <w:rsid w:val="00DD6655"/>
    <w:rsid w:val="00DD6CB7"/>
    <w:rsid w:val="00DE0683"/>
    <w:rsid w:val="00DE6EBD"/>
    <w:rsid w:val="00DF5D0C"/>
    <w:rsid w:val="00DF647C"/>
    <w:rsid w:val="00E020D6"/>
    <w:rsid w:val="00E041F4"/>
    <w:rsid w:val="00E1142A"/>
    <w:rsid w:val="00E129A0"/>
    <w:rsid w:val="00E17D90"/>
    <w:rsid w:val="00E2336E"/>
    <w:rsid w:val="00E24AA1"/>
    <w:rsid w:val="00E26B56"/>
    <w:rsid w:val="00E2786C"/>
    <w:rsid w:val="00E27D54"/>
    <w:rsid w:val="00E326A8"/>
    <w:rsid w:val="00E4044E"/>
    <w:rsid w:val="00E43967"/>
    <w:rsid w:val="00E50554"/>
    <w:rsid w:val="00E5333A"/>
    <w:rsid w:val="00E53AA1"/>
    <w:rsid w:val="00E57971"/>
    <w:rsid w:val="00E60AC2"/>
    <w:rsid w:val="00E70102"/>
    <w:rsid w:val="00E72862"/>
    <w:rsid w:val="00E7751B"/>
    <w:rsid w:val="00E809B7"/>
    <w:rsid w:val="00E8669D"/>
    <w:rsid w:val="00E92E7C"/>
    <w:rsid w:val="00E93DEB"/>
    <w:rsid w:val="00E95EB2"/>
    <w:rsid w:val="00EA0432"/>
    <w:rsid w:val="00EA2088"/>
    <w:rsid w:val="00EA2F20"/>
    <w:rsid w:val="00EA62A1"/>
    <w:rsid w:val="00EB594A"/>
    <w:rsid w:val="00EC11FA"/>
    <w:rsid w:val="00EC6D85"/>
    <w:rsid w:val="00ED108D"/>
    <w:rsid w:val="00ED26B8"/>
    <w:rsid w:val="00ED2FE6"/>
    <w:rsid w:val="00ED5E39"/>
    <w:rsid w:val="00EE6310"/>
    <w:rsid w:val="00EF0E5B"/>
    <w:rsid w:val="00EF6DB8"/>
    <w:rsid w:val="00F04031"/>
    <w:rsid w:val="00F04C67"/>
    <w:rsid w:val="00F05BFE"/>
    <w:rsid w:val="00F11FCD"/>
    <w:rsid w:val="00F16C15"/>
    <w:rsid w:val="00F209F8"/>
    <w:rsid w:val="00F20D96"/>
    <w:rsid w:val="00F22F58"/>
    <w:rsid w:val="00F254C2"/>
    <w:rsid w:val="00F30FD6"/>
    <w:rsid w:val="00F34472"/>
    <w:rsid w:val="00F34B16"/>
    <w:rsid w:val="00F35925"/>
    <w:rsid w:val="00F35C4E"/>
    <w:rsid w:val="00F426D8"/>
    <w:rsid w:val="00F432F2"/>
    <w:rsid w:val="00F4511C"/>
    <w:rsid w:val="00F554CF"/>
    <w:rsid w:val="00F62519"/>
    <w:rsid w:val="00F62EC0"/>
    <w:rsid w:val="00F677D4"/>
    <w:rsid w:val="00F71310"/>
    <w:rsid w:val="00F72AEE"/>
    <w:rsid w:val="00F72B70"/>
    <w:rsid w:val="00F76029"/>
    <w:rsid w:val="00F76093"/>
    <w:rsid w:val="00FA63A2"/>
    <w:rsid w:val="00FA6E34"/>
    <w:rsid w:val="00FB1417"/>
    <w:rsid w:val="00FB72EC"/>
    <w:rsid w:val="00FC7696"/>
    <w:rsid w:val="00FD0876"/>
    <w:rsid w:val="00FE2322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F4385"/>
  <w15:chartTrackingRefBased/>
  <w15:docId w15:val="{F976B309-C402-4838-85B1-BC789FB6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B7A"/>
    <w:pPr>
      <w:spacing w:before="120"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paratextnonumbers"/>
    <w:link w:val="Heading1Char"/>
    <w:qFormat/>
    <w:rsid w:val="00E24AA1"/>
    <w:pPr>
      <w:keepNext/>
      <w:keepLines/>
      <w:pBdr>
        <w:bottom w:val="single" w:sz="4" w:space="1" w:color="auto"/>
      </w:pBdr>
      <w:spacing w:after="480"/>
      <w:outlineLvl w:val="0"/>
    </w:pPr>
    <w:rPr>
      <w:rFonts w:ascii="Helvitica" w:eastAsiaTheme="majorEastAsia" w:hAnsi="Helvitica" w:cstheme="majorBidi"/>
      <w:b/>
      <w:i/>
      <w:sz w:val="40"/>
      <w:szCs w:val="32"/>
    </w:rPr>
  </w:style>
  <w:style w:type="paragraph" w:styleId="Heading2">
    <w:name w:val="heading 2"/>
    <w:basedOn w:val="Heading1"/>
    <w:next w:val="Normalparatextnonumbers"/>
    <w:link w:val="Heading2Char"/>
    <w:qFormat/>
    <w:rsid w:val="003F1AD7"/>
    <w:pPr>
      <w:pBdr>
        <w:bottom w:val="none" w:sz="0" w:space="0" w:color="auto"/>
      </w:pBdr>
      <w:spacing w:before="360" w:after="360"/>
      <w:outlineLvl w:val="1"/>
    </w:pPr>
    <w:rPr>
      <w:b w:val="0"/>
      <w:i w:val="0"/>
      <w:sz w:val="36"/>
      <w:szCs w:val="26"/>
    </w:rPr>
  </w:style>
  <w:style w:type="paragraph" w:styleId="Heading3">
    <w:name w:val="heading 3"/>
    <w:basedOn w:val="Normal"/>
    <w:next w:val="Normalparatextnonumbers"/>
    <w:link w:val="Heading3Char"/>
    <w:qFormat/>
    <w:rsid w:val="003F1AD7"/>
    <w:pPr>
      <w:keepNext/>
      <w:keepLines/>
      <w:spacing w:before="240" w:after="360"/>
      <w:outlineLvl w:val="2"/>
    </w:pPr>
    <w:rPr>
      <w:rFonts w:ascii="Helvitica" w:eastAsiaTheme="majorEastAsia" w:hAnsi="Helvitica" w:cstheme="majorBidi"/>
      <w:sz w:val="32"/>
      <w:szCs w:val="24"/>
    </w:rPr>
  </w:style>
  <w:style w:type="paragraph" w:styleId="Heading4">
    <w:name w:val="heading 4"/>
    <w:basedOn w:val="Normal"/>
    <w:next w:val="Normalparatextnonumbers"/>
    <w:link w:val="Heading4Char"/>
    <w:uiPriority w:val="9"/>
    <w:unhideWhenUsed/>
    <w:qFormat/>
    <w:rsid w:val="003F1AD7"/>
    <w:pPr>
      <w:keepNext/>
      <w:keepLines/>
      <w:numPr>
        <w:ilvl w:val="3"/>
        <w:numId w:val="21"/>
      </w:numPr>
      <w:spacing w:before="280" w:after="240"/>
      <w:outlineLvl w:val="3"/>
    </w:pPr>
    <w:rPr>
      <w:rFonts w:ascii="Helvetica" w:eastAsiaTheme="majorEastAsia" w:hAnsi="Helvetica" w:cstheme="majorBidi"/>
      <w:iCs/>
      <w:sz w:val="28"/>
    </w:rPr>
  </w:style>
  <w:style w:type="paragraph" w:styleId="Heading5">
    <w:name w:val="heading 5"/>
    <w:basedOn w:val="Normal"/>
    <w:next w:val="Normalparatextnonumbers"/>
    <w:link w:val="Heading5Char"/>
    <w:uiPriority w:val="9"/>
    <w:unhideWhenUsed/>
    <w:qFormat/>
    <w:rsid w:val="00F22F58"/>
    <w:pPr>
      <w:keepNext/>
      <w:keepLines/>
      <w:numPr>
        <w:ilvl w:val="4"/>
        <w:numId w:val="21"/>
      </w:numPr>
      <w:spacing w:before="240" w:after="240"/>
      <w:contextualSpacing/>
      <w:outlineLvl w:val="4"/>
    </w:pPr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137"/>
    <w:pPr>
      <w:keepNext/>
      <w:keepLines/>
      <w:spacing w:before="240"/>
      <w:outlineLvl w:val="5"/>
    </w:pPr>
    <w:rPr>
      <w:rFonts w:ascii="Helvitica" w:eastAsiaTheme="majorEastAsia" w:hAnsi="Helvitic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AA1"/>
    <w:rPr>
      <w:rFonts w:ascii="Helvitica" w:eastAsiaTheme="majorEastAsia" w:hAnsi="Helvitica" w:cstheme="majorBidi"/>
      <w:b/>
      <w:i/>
      <w:sz w:val="40"/>
      <w:szCs w:val="32"/>
    </w:rPr>
  </w:style>
  <w:style w:type="paragraph" w:customStyle="1" w:styleId="AttachmentHeading">
    <w:name w:val="AttachmentHeading"/>
    <w:basedOn w:val="Heading1"/>
    <w:next w:val="Normalparatextnonumbers"/>
    <w:uiPriority w:val="1"/>
    <w:rsid w:val="00777A92"/>
    <w:pPr>
      <w:numPr>
        <w:numId w:val="1"/>
      </w:numPr>
      <w:pBdr>
        <w:bottom w:val="single" w:sz="4" w:space="8" w:color="auto"/>
      </w:pBdr>
      <w:ind w:left="0" w:firstLine="0"/>
    </w:pPr>
  </w:style>
  <w:style w:type="paragraph" w:customStyle="1" w:styleId="Normalparatextnonumbers">
    <w:name w:val="Normal para text (no numbers)"/>
    <w:basedOn w:val="Normal"/>
    <w:link w:val="NormalparatextnonumbersChar"/>
    <w:qFormat/>
    <w:rsid w:val="00F22F58"/>
  </w:style>
  <w:style w:type="paragraph" w:customStyle="1" w:styleId="BillName">
    <w:name w:val="Bill Name"/>
    <w:basedOn w:val="Normalparatextnonumbers"/>
    <w:next w:val="Normalparatextnonumbers"/>
    <w:qFormat/>
    <w:rsid w:val="00DB0A95"/>
    <w:pPr>
      <w:spacing w:before="200" w:after="200"/>
      <w:jc w:val="center"/>
    </w:pPr>
    <w:rPr>
      <w:rFonts w:cs="Times New Roman"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3F1AD7"/>
    <w:rPr>
      <w:rFonts w:ascii="Helvetica" w:eastAsiaTheme="majorEastAsia" w:hAnsi="Helvetica" w:cstheme="majorBidi"/>
      <w:iCs/>
      <w:sz w:val="28"/>
    </w:rPr>
  </w:style>
  <w:style w:type="paragraph" w:customStyle="1" w:styleId="TableHeading">
    <w:name w:val="Table Heading"/>
    <w:basedOn w:val="Heading4"/>
    <w:next w:val="Normalparatextnonumbers"/>
    <w:uiPriority w:val="1"/>
    <w:rsid w:val="00492729"/>
    <w:pPr>
      <w:keepLines w:val="0"/>
      <w:numPr>
        <w:ilvl w:val="4"/>
        <w:numId w:val="6"/>
      </w:numPr>
      <w:spacing w:before="240" w:after="200"/>
      <w:ind w:left="0" w:firstLine="0"/>
    </w:pPr>
    <w:rPr>
      <w:rFonts w:eastAsia="Times New Roman" w:cs="Helvetica"/>
      <w:b/>
      <w:i/>
      <w:sz w:val="22"/>
    </w:rPr>
  </w:style>
  <w:style w:type="paragraph" w:styleId="Caption">
    <w:name w:val="caption"/>
    <w:basedOn w:val="TableHeading"/>
    <w:next w:val="Normal"/>
    <w:uiPriority w:val="35"/>
    <w:unhideWhenUsed/>
    <w:qFormat/>
    <w:rsid w:val="00BD0751"/>
    <w:pPr>
      <w:numPr>
        <w:ilvl w:val="0"/>
        <w:numId w:val="0"/>
      </w:numPr>
    </w:pPr>
    <w:rPr>
      <w:iCs w:val="0"/>
      <w:color w:val="44546A" w:themeColor="text2"/>
      <w:szCs w:val="18"/>
    </w:rPr>
  </w:style>
  <w:style w:type="paragraph" w:customStyle="1" w:styleId="Chapterheading">
    <w:name w:val="Chapter heading"/>
    <w:basedOn w:val="Heading1"/>
    <w:next w:val="Normalparatextnonumbers"/>
    <w:rsid w:val="00777A92"/>
    <w:pPr>
      <w:numPr>
        <w:numId w:val="6"/>
      </w:numPr>
      <w:pBdr>
        <w:bottom w:val="single" w:sz="4" w:space="8" w:color="auto"/>
      </w:pBdr>
      <w:spacing w:before="0"/>
    </w:pPr>
  </w:style>
  <w:style w:type="numbering" w:customStyle="1" w:styleId="Chapternumbering">
    <w:name w:val="Chapter numbering"/>
    <w:uiPriority w:val="99"/>
    <w:rsid w:val="005D0844"/>
    <w:pPr>
      <w:numPr>
        <w:numId w:val="6"/>
      </w:numPr>
    </w:pPr>
  </w:style>
  <w:style w:type="paragraph" w:customStyle="1" w:styleId="ChartandTableFootnoteAlpha">
    <w:name w:val="Chart and Table Footnote Alpha"/>
    <w:uiPriority w:val="1"/>
    <w:rsid w:val="00F22F58"/>
    <w:pPr>
      <w:tabs>
        <w:tab w:val="num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16"/>
      <w:lang w:eastAsia="en-AU"/>
    </w:rPr>
  </w:style>
  <w:style w:type="paragraph" w:customStyle="1" w:styleId="Dash">
    <w:name w:val="Dash"/>
    <w:basedOn w:val="Normal"/>
    <w:semiHidden/>
    <w:rsid w:val="00F22F58"/>
    <w:pPr>
      <w:numPr>
        <w:ilvl w:val="1"/>
        <w:numId w:val="23"/>
      </w:numPr>
      <w:tabs>
        <w:tab w:val="num" w:pos="532"/>
      </w:tabs>
      <w:spacing w:before="0" w:after="240" w:line="260" w:lineRule="exact"/>
    </w:pPr>
  </w:style>
  <w:style w:type="paragraph" w:customStyle="1" w:styleId="DiagramHeading">
    <w:name w:val="Diagram Heading"/>
    <w:basedOn w:val="TableHeading"/>
    <w:next w:val="Normalparatextnonumbers"/>
    <w:uiPriority w:val="1"/>
    <w:rsid w:val="00CB4F57"/>
    <w:pPr>
      <w:numPr>
        <w:ilvl w:val="2"/>
      </w:numPr>
      <w:ind w:left="0" w:firstLine="0"/>
    </w:pPr>
  </w:style>
  <w:style w:type="paragraph" w:customStyle="1" w:styleId="Dotpoint1">
    <w:name w:val="Dot point 1"/>
    <w:basedOn w:val="Normal"/>
    <w:link w:val="Dotpoint1Char"/>
    <w:uiPriority w:val="1"/>
    <w:qFormat/>
    <w:rsid w:val="000E521B"/>
    <w:pPr>
      <w:numPr>
        <w:numId w:val="17"/>
      </w:numPr>
      <w:ind w:left="1418" w:hanging="709"/>
    </w:pPr>
  </w:style>
  <w:style w:type="character" w:customStyle="1" w:styleId="Dotpoint1Char">
    <w:name w:val="Dot point 1 Char"/>
    <w:basedOn w:val="DefaultParagraphFont"/>
    <w:link w:val="Dotpoint1"/>
    <w:uiPriority w:val="1"/>
    <w:rsid w:val="000E521B"/>
    <w:rPr>
      <w:rFonts w:ascii="Times New Roman" w:hAnsi="Times New Roman"/>
    </w:rPr>
  </w:style>
  <w:style w:type="paragraph" w:customStyle="1" w:styleId="Dotpoint2">
    <w:name w:val="Dot point 2"/>
    <w:basedOn w:val="Dotpoint1"/>
    <w:uiPriority w:val="1"/>
    <w:rsid w:val="000E521B"/>
    <w:pPr>
      <w:numPr>
        <w:numId w:val="9"/>
      </w:numPr>
      <w:ind w:left="2127" w:hanging="709"/>
    </w:pPr>
  </w:style>
  <w:style w:type="paragraph" w:customStyle="1" w:styleId="Exampletext">
    <w:name w:val="Example text"/>
    <w:basedOn w:val="Normal"/>
    <w:uiPriority w:val="1"/>
    <w:qFormat/>
    <w:rsid w:val="00F22F58"/>
    <w:pPr>
      <w:spacing w:before="200" w:after="160"/>
      <w:ind w:left="1134" w:right="864"/>
    </w:pPr>
    <w:rPr>
      <w:iCs/>
      <w:color w:val="000000" w:themeColor="text1"/>
      <w:sz w:val="21"/>
    </w:rPr>
  </w:style>
  <w:style w:type="paragraph" w:customStyle="1" w:styleId="Exampledotpoint1">
    <w:name w:val="Example dot point 1"/>
    <w:basedOn w:val="Exampletext"/>
    <w:uiPriority w:val="1"/>
    <w:qFormat/>
    <w:rsid w:val="000E521B"/>
    <w:pPr>
      <w:numPr>
        <w:numId w:val="10"/>
      </w:numPr>
      <w:spacing w:before="120" w:after="120"/>
      <w:ind w:left="1843" w:right="862" w:hanging="709"/>
    </w:pPr>
  </w:style>
  <w:style w:type="paragraph" w:customStyle="1" w:styleId="Exampledotpoint2">
    <w:name w:val="Example dot point 2"/>
    <w:basedOn w:val="Exampledotpoint1"/>
    <w:uiPriority w:val="1"/>
    <w:rsid w:val="000E521B"/>
    <w:pPr>
      <w:numPr>
        <w:numId w:val="11"/>
      </w:numPr>
      <w:ind w:left="2552" w:hanging="709"/>
    </w:pPr>
  </w:style>
  <w:style w:type="paragraph" w:customStyle="1" w:styleId="ExampleHeading">
    <w:name w:val="Example Heading"/>
    <w:basedOn w:val="TableHeading"/>
    <w:next w:val="Exampletext"/>
    <w:uiPriority w:val="1"/>
    <w:rsid w:val="00492729"/>
    <w:pPr>
      <w:numPr>
        <w:ilvl w:val="3"/>
      </w:numPr>
      <w:ind w:left="0" w:firstLine="0"/>
    </w:pPr>
  </w:style>
  <w:style w:type="paragraph" w:customStyle="1" w:styleId="Exampleindent">
    <w:name w:val="Example indent"/>
    <w:basedOn w:val="Exampletext"/>
    <w:uiPriority w:val="1"/>
    <w:rsid w:val="00F22F58"/>
    <w:pPr>
      <w:ind w:left="1560"/>
    </w:pPr>
  </w:style>
  <w:style w:type="paragraph" w:customStyle="1" w:styleId="Baseparagraphcentred">
    <w:name w:val="Base paragraph centred"/>
    <w:basedOn w:val="Normal"/>
    <w:rsid w:val="00E24AA1"/>
    <w:pPr>
      <w:spacing w:before="200" w:after="200"/>
      <w:jc w:val="center"/>
    </w:pPr>
    <w:rPr>
      <w:rFonts w:eastAsia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semiHidden/>
    <w:rsid w:val="00F22F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22F58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3"/>
    <w:rsid w:val="00F22F58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F22F5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F22F58"/>
    <w:rPr>
      <w:rFonts w:ascii="Times New Roman" w:hAnsi="Times New Roman"/>
      <w:sz w:val="20"/>
      <w:szCs w:val="20"/>
    </w:rPr>
  </w:style>
  <w:style w:type="paragraph" w:customStyle="1" w:styleId="Glossarytabletext">
    <w:name w:val="Glossary table text"/>
    <w:basedOn w:val="Normal"/>
    <w:uiPriority w:val="2"/>
    <w:rsid w:val="002D080A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F22F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2F58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3F1AD7"/>
    <w:rPr>
      <w:rFonts w:ascii="Helvitica" w:eastAsiaTheme="majorEastAsia" w:hAnsi="Helvitica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F1AD7"/>
    <w:rPr>
      <w:rFonts w:ascii="Helvitica" w:eastAsiaTheme="majorEastAsia" w:hAnsi="Helvitica" w:cstheme="majorBidi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2F58"/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table" w:customStyle="1" w:styleId="InstructionTable">
    <w:name w:val="Instruction Table"/>
    <w:basedOn w:val="TableNormal"/>
    <w:uiPriority w:val="99"/>
    <w:rsid w:val="00F22F58"/>
    <w:pPr>
      <w:spacing w:after="0" w:line="240" w:lineRule="auto"/>
    </w:pPr>
    <w:tblPr>
      <w:tblBorders>
        <w:top w:val="single" w:sz="12" w:space="0" w:color="2F528F"/>
        <w:left w:val="single" w:sz="12" w:space="0" w:color="2F528F"/>
        <w:bottom w:val="single" w:sz="12" w:space="0" w:color="2F528F"/>
        <w:right w:val="single" w:sz="12" w:space="0" w:color="2F528F"/>
      </w:tblBorders>
    </w:tblPr>
    <w:tcPr>
      <w:shd w:val="clear" w:color="auto" w:fill="E7E6E6"/>
    </w:tcPr>
  </w:style>
  <w:style w:type="paragraph" w:customStyle="1" w:styleId="Instructionalguidance">
    <w:name w:val="Instructional guidance"/>
    <w:basedOn w:val="Normal"/>
    <w:link w:val="InstructionalguidanceChar"/>
    <w:uiPriority w:val="99"/>
    <w:rsid w:val="00090A2C"/>
    <w:rPr>
      <w:rFonts w:ascii="Calibri" w:hAnsi="Calibri"/>
      <w:color w:val="2F5496" w:themeColor="accent1" w:themeShade="BF"/>
    </w:rPr>
  </w:style>
  <w:style w:type="character" w:customStyle="1" w:styleId="InstructionalguidanceChar">
    <w:name w:val="Instructional guidance Char"/>
    <w:basedOn w:val="DefaultParagraphFont"/>
    <w:link w:val="Instructionalguidance"/>
    <w:uiPriority w:val="99"/>
    <w:rsid w:val="005515C0"/>
    <w:rPr>
      <w:rFonts w:ascii="Calibri" w:hAnsi="Calibri"/>
      <w:color w:val="2F5496" w:themeColor="accent1" w:themeShade="BF"/>
    </w:rPr>
  </w:style>
  <w:style w:type="paragraph" w:customStyle="1" w:styleId="Instructionalguidancebold">
    <w:name w:val="Instructional guidance bold"/>
    <w:basedOn w:val="Instructionalguidance"/>
    <w:next w:val="Instructionalguidance"/>
    <w:link w:val="InstructionalguidanceboldChar"/>
    <w:uiPriority w:val="99"/>
    <w:rsid w:val="00F22F58"/>
    <w:pPr>
      <w:keepNext/>
    </w:pPr>
    <w:rPr>
      <w:b/>
      <w:bCs/>
    </w:rPr>
  </w:style>
  <w:style w:type="character" w:customStyle="1" w:styleId="InstructionalguidanceboldChar">
    <w:name w:val="Instructional guidance bold Char"/>
    <w:basedOn w:val="InstructionalguidanceChar"/>
    <w:link w:val="Instructionalguidancebold"/>
    <w:uiPriority w:val="99"/>
    <w:rsid w:val="00F22F58"/>
    <w:rPr>
      <w:rFonts w:ascii="Calibri" w:hAnsi="Calibri"/>
      <w:b/>
      <w:bCs/>
      <w:color w:val="2F5496" w:themeColor="accent1" w:themeShade="BF"/>
    </w:rPr>
  </w:style>
  <w:style w:type="paragraph" w:customStyle="1" w:styleId="Instructionalguidancedotpoint">
    <w:name w:val="Instructional guidance dot point"/>
    <w:basedOn w:val="Instructionalguidance"/>
    <w:uiPriority w:val="99"/>
    <w:qFormat/>
    <w:rsid w:val="00F22F58"/>
    <w:pPr>
      <w:numPr>
        <w:numId w:val="14"/>
      </w:numPr>
    </w:pPr>
    <w:rPr>
      <w:rFonts w:eastAsia="Calibri"/>
      <w:lang w:eastAsia="en-GB"/>
    </w:rPr>
  </w:style>
  <w:style w:type="paragraph" w:customStyle="1" w:styleId="Instructionalguidancenumbered">
    <w:name w:val="Instructional guidance numbered"/>
    <w:basedOn w:val="Normal"/>
    <w:uiPriority w:val="99"/>
    <w:semiHidden/>
    <w:rsid w:val="00F22F58"/>
    <w:pPr>
      <w:numPr>
        <w:numId w:val="15"/>
      </w:numPr>
    </w:pPr>
    <w:rPr>
      <w:rFonts w:eastAsia="Calibri"/>
      <w:color w:val="2F5496" w:themeColor="accent1" w:themeShade="BF"/>
      <w:lang w:val="en-US" w:eastAsia="en-GB"/>
    </w:rPr>
  </w:style>
  <w:style w:type="character" w:customStyle="1" w:styleId="Instructuralguidancebold">
    <w:name w:val="Instructural guidance bold"/>
    <w:basedOn w:val="DefaultParagraphFont"/>
    <w:uiPriority w:val="99"/>
    <w:semiHidden/>
    <w:rsid w:val="00F22F58"/>
    <w:rPr>
      <w:rFonts w:ascii="Calibri" w:hAnsi="Calibri"/>
      <w:b/>
      <w:color w:val="2F528F"/>
      <w:sz w:val="22"/>
      <w:u w:color="2F528F"/>
    </w:rPr>
  </w:style>
  <w:style w:type="paragraph" w:customStyle="1" w:styleId="leftfooter">
    <w:name w:val="left footer"/>
    <w:basedOn w:val="Normal"/>
    <w:uiPriority w:val="1"/>
    <w:rsid w:val="00F22F58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uiPriority w:val="1"/>
    <w:rsid w:val="00D04933"/>
    <w:pPr>
      <w:pBdr>
        <w:bottom w:val="single" w:sz="4" w:space="1" w:color="auto"/>
      </w:pBdr>
    </w:pPr>
    <w:rPr>
      <w:i/>
      <w:sz w:val="20"/>
    </w:rPr>
  </w:style>
  <w:style w:type="paragraph" w:customStyle="1" w:styleId="Normalparatextwithnumbers">
    <w:name w:val="Normal para text (with numbers)"/>
    <w:basedOn w:val="Normalparatextnonumbers"/>
    <w:link w:val="NormalparatextwithnumbersChar"/>
    <w:qFormat/>
    <w:rsid w:val="005D0844"/>
    <w:pPr>
      <w:numPr>
        <w:ilvl w:val="1"/>
        <w:numId w:val="6"/>
      </w:numPr>
    </w:pPr>
  </w:style>
  <w:style w:type="paragraph" w:customStyle="1" w:styleId="PurposeheadingnoTOC">
    <w:name w:val="Purpose heading (no TOC)"/>
    <w:basedOn w:val="Normal"/>
    <w:next w:val="Normalparatextnonumbers"/>
    <w:rsid w:val="00F22F58"/>
    <w:pPr>
      <w:spacing w:before="480" w:after="480"/>
    </w:pPr>
    <w:rPr>
      <w:rFonts w:ascii="Helvitica" w:hAnsi="Helvitica"/>
      <w:sz w:val="48"/>
    </w:rPr>
  </w:style>
  <w:style w:type="paragraph" w:styleId="Quote">
    <w:name w:val="Quote"/>
    <w:basedOn w:val="Normal"/>
    <w:next w:val="Normal"/>
    <w:link w:val="QuoteChar"/>
    <w:uiPriority w:val="29"/>
    <w:semiHidden/>
    <w:rsid w:val="00F22F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1B7A"/>
    <w:rPr>
      <w:rFonts w:ascii="Times New Roman" w:hAnsi="Times New Roman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3"/>
    <w:rsid w:val="002D080A"/>
    <w:pPr>
      <w:spacing w:before="0" w:after="0"/>
    </w:pPr>
    <w:rPr>
      <w:sz w:val="20"/>
      <w:szCs w:val="20"/>
    </w:rPr>
  </w:style>
  <w:style w:type="character" w:customStyle="1" w:styleId="References">
    <w:name w:val="References"/>
    <w:basedOn w:val="DefaultParagraphFont"/>
    <w:uiPriority w:val="1"/>
    <w:rsid w:val="00F22F58"/>
    <w:rPr>
      <w:rFonts w:ascii="Times New Roman" w:hAnsi="Times New Roman"/>
      <w:b/>
      <w:bCs/>
      <w:i/>
      <w:iCs/>
      <w:sz w:val="22"/>
    </w:rPr>
  </w:style>
  <w:style w:type="paragraph" w:customStyle="1" w:styleId="rightfooter">
    <w:name w:val="right footer"/>
    <w:basedOn w:val="Normal"/>
    <w:uiPriority w:val="1"/>
    <w:rsid w:val="00F22F58"/>
    <w:pPr>
      <w:pBdr>
        <w:top w:val="single" w:sz="4" w:space="1" w:color="auto"/>
      </w:pBdr>
      <w:spacing w:before="60" w:after="60"/>
      <w:ind w:left="34"/>
      <w:jc w:val="right"/>
    </w:pPr>
    <w:rPr>
      <w:rFonts w:eastAsia="Times New Roman" w:cs="Times New Roman"/>
      <w:i/>
      <w:sz w:val="20"/>
      <w:szCs w:val="20"/>
      <w:lang w:eastAsia="en-AU"/>
    </w:rPr>
  </w:style>
  <w:style w:type="paragraph" w:customStyle="1" w:styleId="rightheader">
    <w:name w:val="right header"/>
    <w:basedOn w:val="Normal"/>
    <w:uiPriority w:val="1"/>
    <w:rsid w:val="00D04933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RISbullet">
    <w:name w:val="RIS bullet"/>
    <w:basedOn w:val="Dotpoint1"/>
    <w:uiPriority w:val="2"/>
    <w:rsid w:val="00F22F58"/>
    <w:pPr>
      <w:tabs>
        <w:tab w:val="left" w:pos="567"/>
      </w:tabs>
      <w:ind w:left="851" w:hanging="284"/>
    </w:pPr>
  </w:style>
  <w:style w:type="paragraph" w:customStyle="1" w:styleId="RISbullet2">
    <w:name w:val="RIS bullet 2"/>
    <w:basedOn w:val="RISbullet"/>
    <w:uiPriority w:val="2"/>
    <w:rsid w:val="00F22F58"/>
    <w:pPr>
      <w:numPr>
        <w:numId w:val="18"/>
      </w:numPr>
      <w:tabs>
        <w:tab w:val="clear" w:pos="567"/>
      </w:tabs>
    </w:pPr>
  </w:style>
  <w:style w:type="paragraph" w:customStyle="1" w:styleId="Tabledotpoint1">
    <w:name w:val="Table dot point 1"/>
    <w:basedOn w:val="Normalparatextnonumbers"/>
    <w:uiPriority w:val="1"/>
    <w:rsid w:val="000E521B"/>
    <w:pPr>
      <w:numPr>
        <w:numId w:val="19"/>
      </w:numPr>
      <w:ind w:left="425" w:hanging="425"/>
    </w:pPr>
    <w:rPr>
      <w:sz w:val="20"/>
    </w:rPr>
  </w:style>
  <w:style w:type="paragraph" w:customStyle="1" w:styleId="Tabledotpoint2">
    <w:name w:val="Table dot point 2"/>
    <w:basedOn w:val="Tabledotpoint1"/>
    <w:uiPriority w:val="1"/>
    <w:rsid w:val="000E521B"/>
    <w:pPr>
      <w:numPr>
        <w:numId w:val="20"/>
      </w:numPr>
      <w:ind w:left="850" w:hanging="425"/>
    </w:pPr>
  </w:style>
  <w:style w:type="paragraph" w:customStyle="1" w:styleId="Tableheaderrowtext">
    <w:name w:val="Table header row text"/>
    <w:basedOn w:val="Heading4"/>
    <w:uiPriority w:val="1"/>
    <w:rsid w:val="005D0844"/>
    <w:pPr>
      <w:keepLines w:val="0"/>
      <w:spacing w:before="120" w:after="120"/>
    </w:pPr>
    <w:rPr>
      <w:rFonts w:eastAsia="Times New Roman" w:cs="Helvetica"/>
      <w:b/>
      <w:i/>
      <w:sz w:val="22"/>
    </w:rPr>
  </w:style>
  <w:style w:type="paragraph" w:styleId="TOC1">
    <w:name w:val="toc 1"/>
    <w:basedOn w:val="Normal"/>
    <w:next w:val="TOC2"/>
    <w:uiPriority w:val="39"/>
    <w:rsid w:val="00170C78"/>
    <w:pPr>
      <w:tabs>
        <w:tab w:val="right" w:leader="dot" w:pos="7655"/>
      </w:tabs>
      <w:ind w:left="1758" w:hanging="1758"/>
    </w:pPr>
    <w:rPr>
      <w:rFonts w:ascii="Helvitica" w:hAnsi="Helvitica" w:cstheme="minorHAnsi"/>
      <w:bCs/>
      <w:sz w:val="24"/>
      <w:szCs w:val="20"/>
    </w:rPr>
  </w:style>
  <w:style w:type="paragraph" w:styleId="TOC2">
    <w:name w:val="toc 2"/>
    <w:basedOn w:val="Normal"/>
    <w:next w:val="Normal"/>
    <w:uiPriority w:val="39"/>
    <w:rsid w:val="00683847"/>
    <w:pPr>
      <w:tabs>
        <w:tab w:val="right" w:leader="dot" w:pos="7655"/>
      </w:tabs>
    </w:pPr>
    <w:rPr>
      <w:rFonts w:ascii="Helvetica" w:hAnsi="Helvetica"/>
      <w:noProof/>
      <w:sz w:val="24"/>
    </w:rPr>
  </w:style>
  <w:style w:type="paragraph" w:styleId="TOC3">
    <w:name w:val="toc 3"/>
    <w:basedOn w:val="Normal"/>
    <w:next w:val="Normal"/>
    <w:uiPriority w:val="39"/>
    <w:unhideWhenUsed/>
    <w:rsid w:val="00414017"/>
    <w:pPr>
      <w:tabs>
        <w:tab w:val="right" w:leader="dot" w:pos="7655"/>
      </w:tabs>
      <w:ind w:left="442"/>
    </w:pPr>
    <w:rPr>
      <w:rFonts w:ascii="Helvitica" w:hAnsi="Helvitica" w:cstheme="minorHAnsi"/>
      <w:iCs/>
      <w:sz w:val="24"/>
      <w:szCs w:val="20"/>
    </w:rPr>
  </w:style>
  <w:style w:type="paragraph" w:customStyle="1" w:styleId="Tabletext">
    <w:name w:val="Table text"/>
    <w:basedOn w:val="Normal"/>
    <w:uiPriority w:val="1"/>
    <w:rsid w:val="00F22F58"/>
    <w:pPr>
      <w:spacing w:before="60" w:after="60"/>
      <w:ind w:left="34"/>
    </w:pPr>
    <w:rPr>
      <w:rFonts w:eastAsia="Times New Roman" w:cs="Times New Roman"/>
      <w:sz w:val="20"/>
      <w:szCs w:val="20"/>
      <w:lang w:eastAsia="en-AU"/>
    </w:rPr>
  </w:style>
  <w:style w:type="paragraph" w:customStyle="1" w:styleId="TOCHeading">
    <w:name w:val="TOCHeading"/>
    <w:basedOn w:val="Normal"/>
    <w:next w:val="Normalparatextnonumbers"/>
    <w:qFormat/>
    <w:rsid w:val="00F22F58"/>
    <w:pPr>
      <w:spacing w:before="360" w:after="360"/>
    </w:pPr>
    <w:rPr>
      <w:rFonts w:ascii="Helvitica" w:hAnsi="Helvitica"/>
      <w:sz w:val="40"/>
    </w:rPr>
  </w:style>
  <w:style w:type="character" w:customStyle="1" w:styleId="EndnoteTextChar">
    <w:name w:val="Endnote Text Char"/>
    <w:basedOn w:val="DefaultParagraphFont"/>
    <w:link w:val="EndnoteText"/>
    <w:uiPriority w:val="3"/>
    <w:rsid w:val="002D080A"/>
    <w:rPr>
      <w:rFonts w:ascii="Times New Roman" w:hAnsi="Times New Roman"/>
      <w:sz w:val="20"/>
      <w:szCs w:val="20"/>
    </w:rPr>
  </w:style>
  <w:style w:type="paragraph" w:customStyle="1" w:styleId="Coverpageheading">
    <w:name w:val="Cover page heading"/>
    <w:basedOn w:val="Normalparatextnonumbers"/>
    <w:next w:val="Normalparatextnonumbers"/>
    <w:uiPriority w:val="1"/>
    <w:qFormat/>
    <w:rsid w:val="002D080A"/>
    <w:pPr>
      <w:spacing w:after="480"/>
      <w:jc w:val="center"/>
    </w:pPr>
    <w:rPr>
      <w:rFonts w:ascii="Helvitica" w:hAnsi="Helvitica"/>
      <w:sz w:val="36"/>
    </w:rPr>
  </w:style>
  <w:style w:type="paragraph" w:styleId="NoSpacing">
    <w:name w:val="No Spacing"/>
    <w:uiPriority w:val="3"/>
    <w:rsid w:val="002D080A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873094"/>
    <w:rPr>
      <w:color w:val="0563C1" w:themeColor="hyperlink"/>
      <w:u w:val="single"/>
    </w:rPr>
  </w:style>
  <w:style w:type="table" w:styleId="TableGrid">
    <w:name w:val="Table Grid"/>
    <w:basedOn w:val="TableNormal"/>
    <w:rsid w:val="00873094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easurytable">
    <w:name w:val="Treasury table"/>
    <w:basedOn w:val="TableNormal"/>
    <w:uiPriority w:val="99"/>
    <w:rsid w:val="0087309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280" w:beforeAutospacing="0" w:afterLines="0" w:after="240" w:afterAutospacing="0" w:line="240" w:lineRule="auto"/>
      </w:pPr>
      <w:rPr>
        <w:rFonts w:ascii="Helvetica" w:hAnsi="Helvetica"/>
        <w:sz w:val="28"/>
      </w:rPr>
      <w:tblPr/>
      <w:trPr>
        <w:cantSplit/>
        <w:tblHeader/>
      </w:trPr>
    </w:tblStylePr>
  </w:style>
  <w:style w:type="paragraph" w:customStyle="1" w:styleId="ParaCentredNoSpacing">
    <w:name w:val="ParaCentredNoSpacing"/>
    <w:basedOn w:val="Baseparagraphcentred"/>
    <w:qFormat/>
    <w:rsid w:val="00E24AA1"/>
    <w:pPr>
      <w:spacing w:before="0" w:after="0"/>
    </w:pPr>
  </w:style>
  <w:style w:type="paragraph" w:customStyle="1" w:styleId="Referenceafterdotpoint">
    <w:name w:val="Reference after dot point"/>
    <w:basedOn w:val="Normalparatextnonumbers"/>
    <w:next w:val="Dotpoint1"/>
    <w:rsid w:val="00DF5D0C"/>
    <w:pPr>
      <w:spacing w:before="0" w:after="0"/>
      <w:ind w:left="709"/>
    </w:pPr>
    <w:rPr>
      <w:b/>
      <w:i/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137"/>
    <w:rPr>
      <w:rFonts w:ascii="Helvitica" w:eastAsiaTheme="majorEastAsia" w:hAnsi="Helvitica" w:cstheme="majorBidi"/>
      <w:i/>
    </w:rPr>
  </w:style>
  <w:style w:type="paragraph" w:customStyle="1" w:styleId="Scheduleheading">
    <w:name w:val="Schedule heading"/>
    <w:basedOn w:val="Heading2"/>
    <w:next w:val="Normalparatextnonumbers"/>
    <w:link w:val="ScheduleheadingChar"/>
    <w:rsid w:val="003556BF"/>
  </w:style>
  <w:style w:type="character" w:customStyle="1" w:styleId="ScheduleheadingChar">
    <w:name w:val="Schedule heading Char"/>
    <w:basedOn w:val="Heading2Char"/>
    <w:link w:val="Scheduleheading"/>
    <w:rsid w:val="003556BF"/>
    <w:rPr>
      <w:rFonts w:ascii="Helvitica" w:eastAsiaTheme="majorEastAsia" w:hAnsi="Helvitica" w:cstheme="majorBidi"/>
      <w:sz w:val="3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2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2E4"/>
    <w:pPr>
      <w:spacing w:after="0" w:line="240" w:lineRule="auto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2F5302"/>
    <w:rPr>
      <w:color w:val="80808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07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07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07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07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07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07DB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semiHidden/>
    <w:unhideWhenUsed/>
    <w:rsid w:val="001D2C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C3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C37"/>
    <w:rPr>
      <w:rFonts w:ascii="Times New Roman" w:hAnsi="Times New Roman"/>
      <w:b/>
      <w:bCs/>
      <w:sz w:val="20"/>
      <w:szCs w:val="20"/>
    </w:rPr>
  </w:style>
  <w:style w:type="paragraph" w:customStyle="1" w:styleId="Bullet">
    <w:name w:val="Bullet"/>
    <w:basedOn w:val="Normal"/>
    <w:link w:val="BulletChar"/>
    <w:rsid w:val="00991941"/>
    <w:pPr>
      <w:numPr>
        <w:numId w:val="23"/>
      </w:numPr>
    </w:pPr>
  </w:style>
  <w:style w:type="character" w:customStyle="1" w:styleId="NormalparatextnonumbersChar">
    <w:name w:val="Normal para text (no numbers) Char"/>
    <w:basedOn w:val="DefaultParagraphFont"/>
    <w:link w:val="Normalparatextnonumbers"/>
    <w:rsid w:val="00991941"/>
    <w:rPr>
      <w:rFonts w:ascii="Times New Roman" w:hAnsi="Times New Roman"/>
    </w:rPr>
  </w:style>
  <w:style w:type="character" w:customStyle="1" w:styleId="NormalparatextwithnumbersChar">
    <w:name w:val="Normal para text (with numbers) Char"/>
    <w:basedOn w:val="NormalparatextnonumbersChar"/>
    <w:link w:val="Normalparatextwithnumbers"/>
    <w:rsid w:val="00991941"/>
    <w:rPr>
      <w:rFonts w:ascii="Times New Roman" w:hAnsi="Times New Roman"/>
    </w:rPr>
  </w:style>
  <w:style w:type="character" w:customStyle="1" w:styleId="BulletChar">
    <w:name w:val="Bullet Char"/>
    <w:basedOn w:val="NormalparatextwithnumbersChar"/>
    <w:link w:val="Bullet"/>
    <w:rsid w:val="00991941"/>
    <w:rPr>
      <w:rFonts w:ascii="Times New Roman" w:hAnsi="Times New Roman"/>
    </w:rPr>
  </w:style>
  <w:style w:type="paragraph" w:customStyle="1" w:styleId="DoubleDot">
    <w:name w:val="Double Dot"/>
    <w:basedOn w:val="Normal"/>
    <w:link w:val="DoubleDotChar"/>
    <w:rsid w:val="00991941"/>
    <w:pPr>
      <w:numPr>
        <w:ilvl w:val="2"/>
        <w:numId w:val="23"/>
      </w:numPr>
    </w:pPr>
  </w:style>
  <w:style w:type="character" w:customStyle="1" w:styleId="DoubleDotChar">
    <w:name w:val="Double Dot Char"/>
    <w:basedOn w:val="NormalparatextwithnumbersChar"/>
    <w:link w:val="DoubleDot"/>
    <w:rsid w:val="009919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_dlc_DocId xmlns="0f563589-9cf9-4143-b1eb-fb0534803d38">2022RG-136-83406</_dlc_DocId>
    <TaxCatchAll xmlns="0f563589-9cf9-4143-b1eb-fb0534803d38">
      <Value>1</Value>
    </TaxCatchAll>
    <_dlc_DocIdUrl xmlns="0f563589-9cf9-4143-b1eb-fb0534803d38">
      <Url>http://tweb/sites/rg/ldp/_layouts/15/DocIdRedir.aspx?ID=2022RG-136-83406</Url>
      <Description>2022RG-136-83406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1494" ma:contentTypeDescription="" ma:contentTypeScope="" ma:versionID="8cf2d4f0ede2065bbba20e82f978028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B7E0D-E4BB-4C42-AF48-BF023295B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365E2-A817-49FA-9295-CAB62986032D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0f563589-9cf9-4143-b1eb-fb0534803d38"/>
    <ds:schemaRef ds:uri="687b78b0-2ddd-4441-8a8b-c9638c2a193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7B6BCC8-8CF2-4E92-841A-C363C16B3C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E1B780-701A-4F03-9759-4405BF71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F917A-5910-49D6-ACB2-C89ED82D310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66923F5-2C3A-4884-9281-238330888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42</TotalTime>
  <Pages>8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materials - Treasury Laws Amendment (Measures for Consultation) Bill 2022: Income tax exemption and franking credit refund for certain subsidiaries of the Future Fund Board</vt:lpstr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materials - Treasury Laws Amendment (Measures for Consultation) Bill 2022: Income tax exemption and franking credit refund for certain subsidiaries of the Future Fund Board</dc:title>
  <dc:subject/>
  <dc:creator>Australian Government</dc:creator>
  <cp:keywords/>
  <dc:description/>
  <cp:lastModifiedBy>Smith, Matthew</cp:lastModifiedBy>
  <cp:revision>14</cp:revision>
  <cp:lastPrinted>2022-12-01T03:18:00Z</cp:lastPrinted>
  <dcterms:created xsi:type="dcterms:W3CDTF">2022-12-01T02:06:00Z</dcterms:created>
  <dcterms:modified xsi:type="dcterms:W3CDTF">2022-12-05T23:32:00Z</dcterms:modified>
</cp:coreProperties>
</file>