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AE4F3F" w:rsidTr="00AE4F3F">
        <w:tc>
          <w:tcPr>
            <w:tcW w:w="5000" w:type="pct"/>
            <w:shd w:val="clear" w:color="auto" w:fill="auto"/>
          </w:tcPr>
          <w:p w:rsidR="00AE4F3F" w:rsidRDefault="00AE4F3F" w:rsidP="00AE4F3F">
            <w:pPr>
              <w:jc w:val="center"/>
              <w:rPr>
                <w:b/>
                <w:sz w:val="26"/>
              </w:rPr>
            </w:pPr>
            <w:bookmarkStart w:id="0" w:name="_GoBack"/>
            <w:bookmarkEnd w:id="0"/>
            <w:r>
              <w:rPr>
                <w:b/>
                <w:sz w:val="26"/>
              </w:rPr>
              <w:t>EXPOSURE DRAFT (19/01/2023)</w:t>
            </w:r>
          </w:p>
          <w:p w:rsidR="00AE4F3F" w:rsidRPr="00AE4F3F" w:rsidRDefault="00AE4F3F" w:rsidP="00AE4F3F">
            <w:pPr>
              <w:rPr>
                <w:b/>
                <w:sz w:val="20"/>
              </w:rPr>
            </w:pPr>
          </w:p>
        </w:tc>
      </w:tr>
    </w:tbl>
    <w:p w:rsidR="00AE4F3F" w:rsidRDefault="00AE4F3F" w:rsidP="006269B0">
      <w:pPr>
        <w:rPr>
          <w:sz w:val="32"/>
          <w:szCs w:val="32"/>
        </w:rPr>
      </w:pPr>
    </w:p>
    <w:p w:rsidR="00664C63" w:rsidRPr="00932FA3" w:rsidRDefault="00664C63" w:rsidP="006269B0">
      <w:pPr>
        <w:rPr>
          <w:sz w:val="32"/>
          <w:szCs w:val="32"/>
        </w:rPr>
      </w:pPr>
      <w:r w:rsidRPr="00932FA3">
        <w:rPr>
          <w:sz w:val="32"/>
          <w:szCs w:val="32"/>
        </w:rPr>
        <w:t>Inserts for</w:t>
      </w:r>
    </w:p>
    <w:p w:rsidR="00664C63" w:rsidRDefault="004045EA" w:rsidP="006269B0">
      <w:pPr>
        <w:pStyle w:val="ShortT"/>
      </w:pPr>
      <w:r w:rsidRPr="004045EA">
        <w:t xml:space="preserve">Treasury Laws Amendment (Measures for </w:t>
      </w:r>
      <w:r w:rsidR="00524B45">
        <w:t>Consultation</w:t>
      </w:r>
      <w:r w:rsidRPr="004045EA">
        <w:t>) Bill 202</w:t>
      </w:r>
      <w:r w:rsidR="00A56D23">
        <w:t>3</w:t>
      </w:r>
      <w:r w:rsidR="00664C63">
        <w:t xml:space="preserve">: </w:t>
      </w:r>
      <w:r>
        <w:t>D</w:t>
      </w:r>
      <w:r w:rsidR="00C12840">
        <w:t xml:space="preserve">eductible </w:t>
      </w:r>
      <w:r>
        <w:t>G</w:t>
      </w:r>
      <w:r w:rsidR="00C12840">
        <w:t xml:space="preserve">ift </w:t>
      </w:r>
      <w:r>
        <w:t>R</w:t>
      </w:r>
      <w:r w:rsidR="00C12840">
        <w:t>ecipient</w:t>
      </w:r>
      <w:r>
        <w:t xml:space="preserve"> Register</w:t>
      </w:r>
      <w:r w:rsidR="00C12840">
        <w:t>s</w:t>
      </w:r>
      <w:r>
        <w:t xml:space="preserve"> Reform</w:t>
      </w:r>
    </w:p>
    <w:p w:rsidR="00664C63" w:rsidRDefault="00664C63" w:rsidP="006269B0">
      <w:pPr>
        <w:jc w:val="center"/>
      </w:pPr>
    </w:p>
    <w:p w:rsidR="00664C63" w:rsidRDefault="00664C63" w:rsidP="006269B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402376" w:rsidTr="00CD10CB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664C63" w:rsidRPr="00402376" w:rsidRDefault="00664C63" w:rsidP="006269B0">
            <w:pPr>
              <w:pStyle w:val="TableHeading"/>
            </w:pPr>
            <w:r w:rsidRPr="00402376">
              <w:t>Commencement information</w:t>
            </w:r>
          </w:p>
        </w:tc>
      </w:tr>
      <w:tr w:rsidR="00664C63" w:rsidRPr="00402376" w:rsidTr="00CD10CB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4C63" w:rsidRPr="00402376" w:rsidRDefault="00664C63" w:rsidP="006269B0">
            <w:pPr>
              <w:pStyle w:val="TableHeading"/>
            </w:pPr>
            <w:r w:rsidRPr="0040237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4C63" w:rsidRPr="00402376" w:rsidRDefault="00664C63" w:rsidP="006269B0">
            <w:pPr>
              <w:pStyle w:val="TableHeading"/>
            </w:pPr>
            <w:r w:rsidRPr="0040237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4C63" w:rsidRPr="00402376" w:rsidRDefault="00664C63" w:rsidP="006269B0">
            <w:pPr>
              <w:pStyle w:val="TableHeading"/>
            </w:pPr>
            <w:r w:rsidRPr="00402376">
              <w:t>Column 3</w:t>
            </w:r>
          </w:p>
        </w:tc>
      </w:tr>
      <w:tr w:rsidR="00664C63" w:rsidTr="00CD10CB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64C63" w:rsidRPr="00402376" w:rsidRDefault="00664C63" w:rsidP="006269B0">
            <w:pPr>
              <w:pStyle w:val="TableHeading"/>
            </w:pPr>
            <w:r w:rsidRPr="0040237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64C63" w:rsidRPr="00402376" w:rsidRDefault="00664C63" w:rsidP="006269B0">
            <w:pPr>
              <w:pStyle w:val="TableHeading"/>
            </w:pPr>
            <w:r w:rsidRPr="0040237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64C63" w:rsidRPr="00402376" w:rsidRDefault="00664C63" w:rsidP="006269B0">
            <w:pPr>
              <w:pStyle w:val="TableHeading"/>
            </w:pPr>
            <w:r w:rsidRPr="00402376">
              <w:t>Date/Details</w:t>
            </w:r>
          </w:p>
        </w:tc>
      </w:tr>
      <w:tr w:rsidR="00664C63" w:rsidTr="00CD10CB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64C63" w:rsidRDefault="00664C63" w:rsidP="006269B0">
            <w:pPr>
              <w:pStyle w:val="Tabletext"/>
            </w:pPr>
            <w:r>
              <w:t xml:space="preserve">1.  </w:t>
            </w:r>
            <w:r w:rsidR="00C06F39">
              <w:t>Schedule 1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C06B7" w:rsidRDefault="0086784D" w:rsidP="006269B0">
            <w:pPr>
              <w:pStyle w:val="Tabletext"/>
            </w:pPr>
            <w:r>
              <w:t xml:space="preserve">The first </w:t>
            </w:r>
            <w:r w:rsidR="00D6333D">
              <w:t>1 January</w:t>
            </w:r>
            <w:r>
              <w:t xml:space="preserve">, </w:t>
            </w:r>
            <w:r w:rsidR="00D6333D">
              <w:t>1 April</w:t>
            </w:r>
            <w:r>
              <w:t xml:space="preserve">, </w:t>
            </w:r>
            <w:r w:rsidR="00D6333D">
              <w:t>1 July</w:t>
            </w:r>
            <w:r>
              <w:t xml:space="preserve"> or </w:t>
            </w:r>
            <w:r w:rsidR="00D6333D">
              <w:t>1 October</w:t>
            </w:r>
            <w:r>
              <w:t xml:space="preserve"> to occur after the </w:t>
            </w:r>
            <w:r w:rsidR="001C06B7" w:rsidRPr="00B10FF6">
              <w:t xml:space="preserve">end of the period of </w:t>
            </w:r>
            <w:r w:rsidR="001C06B7">
              <w:t>6 months</w:t>
            </w:r>
            <w:r w:rsidR="001C06B7" w:rsidRPr="00B10FF6">
              <w:t xml:space="preserve"> beginning on the day this Act receives the Royal Assent</w:t>
            </w:r>
            <w:r w:rsidR="001C06B7">
              <w:t>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64C63" w:rsidRDefault="00664C63" w:rsidP="006269B0">
            <w:pPr>
              <w:pStyle w:val="Tabletext"/>
            </w:pPr>
          </w:p>
        </w:tc>
      </w:tr>
    </w:tbl>
    <w:p w:rsidR="009B6E10" w:rsidRDefault="00C06F39" w:rsidP="006269B0">
      <w:pPr>
        <w:pStyle w:val="ActHead6"/>
        <w:pageBreakBefore/>
      </w:pPr>
      <w:r w:rsidRPr="00AE4F3F">
        <w:rPr>
          <w:rStyle w:val="CharAmSchNo"/>
        </w:rPr>
        <w:lastRenderedPageBreak/>
        <w:t>Schedule 1</w:t>
      </w:r>
      <w:r w:rsidR="009B6E10">
        <w:t>—</w:t>
      </w:r>
      <w:r w:rsidR="009B6E10" w:rsidRPr="00AE4F3F">
        <w:rPr>
          <w:rStyle w:val="CharAmSchText"/>
        </w:rPr>
        <w:t xml:space="preserve">DGR </w:t>
      </w:r>
      <w:r w:rsidR="00A04654" w:rsidRPr="00AE4F3F">
        <w:rPr>
          <w:rStyle w:val="CharAmSchText"/>
        </w:rPr>
        <w:t>r</w:t>
      </w:r>
      <w:r w:rsidR="009B6E10" w:rsidRPr="00AE4F3F">
        <w:rPr>
          <w:rStyle w:val="CharAmSchText"/>
        </w:rPr>
        <w:t>egister</w:t>
      </w:r>
      <w:r w:rsidR="00A04654" w:rsidRPr="00AE4F3F">
        <w:rPr>
          <w:rStyle w:val="CharAmSchText"/>
        </w:rPr>
        <w:t>s reform</w:t>
      </w:r>
    </w:p>
    <w:p w:rsidR="009B6E10" w:rsidRDefault="007B165E" w:rsidP="006269B0">
      <w:pPr>
        <w:pStyle w:val="ActHead7"/>
      </w:pPr>
      <w:r w:rsidRPr="00AE4F3F">
        <w:rPr>
          <w:rStyle w:val="CharAmPartNo"/>
        </w:rPr>
        <w:t>Part 1</w:t>
      </w:r>
      <w:r w:rsidR="009B6E10">
        <w:t>—</w:t>
      </w:r>
      <w:r w:rsidR="009B6E10" w:rsidRPr="00AE4F3F">
        <w:rPr>
          <w:rStyle w:val="CharAmPartText"/>
        </w:rPr>
        <w:t>Environmental organisations</w:t>
      </w:r>
    </w:p>
    <w:p w:rsidR="009B6E10" w:rsidRPr="009B6E10" w:rsidRDefault="009B6E10" w:rsidP="006269B0">
      <w:pPr>
        <w:pStyle w:val="ActHead9"/>
      </w:pPr>
      <w:r>
        <w:t>Income Tax Assessment Act 1997</w:t>
      </w:r>
    </w:p>
    <w:p w:rsidR="00413CA7" w:rsidRDefault="00014241" w:rsidP="006269B0">
      <w:pPr>
        <w:pStyle w:val="ItemHead"/>
      </w:pPr>
      <w:r>
        <w:t>1</w:t>
      </w:r>
      <w:r w:rsidR="00413CA7">
        <w:t xml:space="preserve">  </w:t>
      </w:r>
      <w:r w:rsidR="007B165E">
        <w:t>Sub</w:t>
      </w:r>
      <w:r w:rsidR="00C06F39">
        <w:t>section 3</w:t>
      </w:r>
      <w:r w:rsidR="002F2F05">
        <w:t>0</w:t>
      </w:r>
      <w:r w:rsidR="006269B0">
        <w:noBreakHyphen/>
      </w:r>
      <w:r w:rsidR="002F2F05">
        <w:t>55(1) (table)</w:t>
      </w:r>
    </w:p>
    <w:p w:rsidR="002F2F05" w:rsidRDefault="002F2F05" w:rsidP="006269B0">
      <w:pPr>
        <w:pStyle w:val="Item"/>
      </w:pPr>
      <w:r>
        <w:t>Repeal the table, substitute:</w:t>
      </w:r>
    </w:p>
    <w:tbl>
      <w:tblPr>
        <w:tblW w:w="7230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56"/>
        <w:gridCol w:w="2534"/>
        <w:gridCol w:w="2170"/>
        <w:gridCol w:w="1770"/>
      </w:tblGrid>
      <w:tr w:rsidR="002F2F05" w:rsidRPr="008F2B0D" w:rsidTr="0044369B">
        <w:trPr>
          <w:tblHeader/>
        </w:trPr>
        <w:tc>
          <w:tcPr>
            <w:tcW w:w="7230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F2F05" w:rsidRPr="00B17842" w:rsidRDefault="002F2F05" w:rsidP="006269B0">
            <w:pPr>
              <w:pStyle w:val="TableHeading"/>
            </w:pPr>
            <w:r>
              <w:t>The environment</w:t>
            </w:r>
            <w:r w:rsidRPr="00B17842">
              <w:t>—General</w:t>
            </w:r>
          </w:p>
        </w:tc>
      </w:tr>
      <w:tr w:rsidR="002F2F05" w:rsidRPr="008F2B0D" w:rsidTr="0044369B">
        <w:trPr>
          <w:tblHeader/>
        </w:trPr>
        <w:tc>
          <w:tcPr>
            <w:tcW w:w="75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F2F05" w:rsidRPr="00B17842" w:rsidRDefault="002F2F05" w:rsidP="006269B0">
            <w:pPr>
              <w:pStyle w:val="Tabletext"/>
              <w:keepNext/>
              <w:keepLines/>
              <w:rPr>
                <w:b/>
              </w:rPr>
            </w:pPr>
            <w:r w:rsidRPr="00B17842">
              <w:rPr>
                <w:b/>
              </w:rPr>
              <w:t>Item</w:t>
            </w:r>
          </w:p>
        </w:tc>
        <w:tc>
          <w:tcPr>
            <w:tcW w:w="253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F2F05" w:rsidRPr="00B17842" w:rsidRDefault="002F2F05" w:rsidP="006269B0">
            <w:pPr>
              <w:pStyle w:val="Tabletext"/>
              <w:keepNext/>
              <w:keepLines/>
              <w:rPr>
                <w:b/>
              </w:rPr>
            </w:pPr>
            <w:r w:rsidRPr="00B17842">
              <w:rPr>
                <w:b/>
              </w:rPr>
              <w:t>Fund, authority or institution</w:t>
            </w:r>
          </w:p>
        </w:tc>
        <w:tc>
          <w:tcPr>
            <w:tcW w:w="21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F2F05" w:rsidRPr="00B17842" w:rsidRDefault="002F2F05" w:rsidP="006269B0">
            <w:pPr>
              <w:pStyle w:val="Tabletext"/>
              <w:keepNext/>
              <w:keepLines/>
              <w:rPr>
                <w:b/>
              </w:rPr>
            </w:pPr>
            <w:r w:rsidRPr="00B17842">
              <w:rPr>
                <w:b/>
              </w:rPr>
              <w:t>Special conditions—fund, authority or institution</w:t>
            </w:r>
          </w:p>
        </w:tc>
        <w:tc>
          <w:tcPr>
            <w:tcW w:w="17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F2F05" w:rsidRPr="00B17842" w:rsidRDefault="002F2F05" w:rsidP="006269B0">
            <w:pPr>
              <w:pStyle w:val="Tabletext"/>
              <w:keepNext/>
              <w:keepLines/>
              <w:rPr>
                <w:b/>
              </w:rPr>
            </w:pPr>
            <w:r w:rsidRPr="00B17842">
              <w:rPr>
                <w:b/>
              </w:rPr>
              <w:t>Special conditions—gift</w:t>
            </w:r>
          </w:p>
        </w:tc>
      </w:tr>
      <w:tr w:rsidR="002F2F05" w:rsidRPr="008F2B0D" w:rsidTr="0044369B">
        <w:tc>
          <w:tcPr>
            <w:tcW w:w="756" w:type="dxa"/>
            <w:tcBorders>
              <w:top w:val="single" w:sz="12" w:space="0" w:color="auto"/>
            </w:tcBorders>
            <w:shd w:val="clear" w:color="auto" w:fill="auto"/>
          </w:tcPr>
          <w:p w:rsidR="002F2F05" w:rsidRPr="00B17842" w:rsidRDefault="002F2F05" w:rsidP="006269B0">
            <w:pPr>
              <w:pStyle w:val="Tabletext"/>
            </w:pPr>
            <w:r>
              <w:t>6</w:t>
            </w:r>
            <w:r w:rsidRPr="00B17842">
              <w:t>.1.1</w:t>
            </w:r>
          </w:p>
        </w:tc>
        <w:tc>
          <w:tcPr>
            <w:tcW w:w="2534" w:type="dxa"/>
            <w:tcBorders>
              <w:top w:val="single" w:sz="12" w:space="0" w:color="auto"/>
            </w:tcBorders>
            <w:shd w:val="clear" w:color="auto" w:fill="auto"/>
          </w:tcPr>
          <w:p w:rsidR="002F2F05" w:rsidRDefault="002F2F05" w:rsidP="006269B0">
            <w:pPr>
              <w:pStyle w:val="Tabletext"/>
            </w:pPr>
            <w:r w:rsidRPr="00B17842">
              <w:t>a</w:t>
            </w:r>
            <w:r w:rsidR="00CC32F4">
              <w:t>n</w:t>
            </w:r>
            <w:r w:rsidRPr="00B17842">
              <w:t xml:space="preserve"> </w:t>
            </w:r>
            <w:r>
              <w:t xml:space="preserve">institution or </w:t>
            </w:r>
            <w:r w:rsidR="006269B0" w:rsidRPr="006269B0">
              <w:rPr>
                <w:position w:val="6"/>
                <w:sz w:val="16"/>
              </w:rPr>
              <w:t>*</w:t>
            </w:r>
            <w:r w:rsidR="004855F6">
              <w:t xml:space="preserve">Australian government agency </w:t>
            </w:r>
            <w:r>
              <w:t>whose principal purpose is:</w:t>
            </w:r>
          </w:p>
          <w:p w:rsidR="002F2F05" w:rsidRDefault="002F2F05" w:rsidP="006269B0">
            <w:pPr>
              <w:pStyle w:val="Tablea"/>
            </w:pPr>
            <w:r>
              <w:t>(a) the protection and enhancement of the natural environment or of a significant aspect of the natural environment; or</w:t>
            </w:r>
          </w:p>
          <w:p w:rsidR="002F2F05" w:rsidRPr="00BB757D" w:rsidRDefault="002F2F05" w:rsidP="006269B0">
            <w:pPr>
              <w:pStyle w:val="Tablea"/>
            </w:pPr>
            <w:r>
              <w:t>(b) the provision of information or education, or the carrying on of research, about the natural environment or a significant aspect of the natural environment</w:t>
            </w:r>
          </w:p>
        </w:tc>
        <w:tc>
          <w:tcPr>
            <w:tcW w:w="2170" w:type="dxa"/>
            <w:tcBorders>
              <w:top w:val="single" w:sz="12" w:space="0" w:color="auto"/>
            </w:tcBorders>
            <w:shd w:val="clear" w:color="auto" w:fill="auto"/>
          </w:tcPr>
          <w:p w:rsidR="00285D36" w:rsidRDefault="002F2F05" w:rsidP="006269B0">
            <w:pPr>
              <w:pStyle w:val="Tabletext"/>
            </w:pPr>
            <w:r>
              <w:t xml:space="preserve">the institution or </w:t>
            </w:r>
            <w:r w:rsidR="004855F6" w:rsidRPr="004855F6">
              <w:t>Australian government agency</w:t>
            </w:r>
            <w:r w:rsidR="00CD10CB">
              <w:t xml:space="preserve"> </w:t>
            </w:r>
            <w:r w:rsidR="00CD10CB" w:rsidRPr="00CD10CB">
              <w:t>must</w:t>
            </w:r>
            <w:r w:rsidR="00285D36">
              <w:t>:</w:t>
            </w:r>
          </w:p>
          <w:p w:rsidR="00285D36" w:rsidRDefault="00285D36" w:rsidP="006269B0">
            <w:pPr>
              <w:pStyle w:val="Tablea"/>
            </w:pPr>
            <w:r>
              <w:t xml:space="preserve">(a) if it is not an </w:t>
            </w:r>
            <w:r w:rsidRPr="004855F6">
              <w:t>Australian government agency</w:t>
            </w:r>
            <w:r>
              <w:t xml:space="preserve">—be a </w:t>
            </w:r>
            <w:r w:rsidR="006269B0" w:rsidRPr="006269B0">
              <w:rPr>
                <w:position w:val="6"/>
                <w:sz w:val="16"/>
              </w:rPr>
              <w:t>*</w:t>
            </w:r>
            <w:r>
              <w:t>registered charity; and</w:t>
            </w:r>
          </w:p>
          <w:p w:rsidR="00FF6220" w:rsidRDefault="00285D36" w:rsidP="006269B0">
            <w:pPr>
              <w:pStyle w:val="Tablea"/>
            </w:pPr>
            <w:r>
              <w:t xml:space="preserve">(b) </w:t>
            </w:r>
            <w:r w:rsidR="00CD10CB" w:rsidRPr="00CD10CB">
              <w:t xml:space="preserve">meet the requirements of </w:t>
            </w:r>
            <w:r w:rsidR="00C06F39">
              <w:t>section 3</w:t>
            </w:r>
            <w:r w:rsidR="00CD10CB" w:rsidRPr="00CD10CB">
              <w:t>0</w:t>
            </w:r>
            <w:r w:rsidR="006269B0">
              <w:noBreakHyphen/>
            </w:r>
            <w:r w:rsidR="00CD10CB" w:rsidRPr="00CD10CB">
              <w:t>130</w:t>
            </w:r>
            <w:r>
              <w:t>;</w:t>
            </w:r>
          </w:p>
          <w:p w:rsidR="002F2F05" w:rsidRPr="001E238A" w:rsidRDefault="00285D36" w:rsidP="006269B0">
            <w:pPr>
              <w:pStyle w:val="Tablea"/>
              <w:rPr>
                <w:i/>
              </w:rPr>
            </w:pPr>
            <w:r>
              <w:t xml:space="preserve">(c) </w:t>
            </w:r>
            <w:r w:rsidRPr="00706433">
              <w:t>have a policy of not acting as a mere conduit for the donation of money or property to other organisations, bodies or persons</w:t>
            </w:r>
          </w:p>
        </w:tc>
        <w:tc>
          <w:tcPr>
            <w:tcW w:w="1770" w:type="dxa"/>
            <w:tcBorders>
              <w:top w:val="single" w:sz="12" w:space="0" w:color="auto"/>
            </w:tcBorders>
            <w:shd w:val="clear" w:color="auto" w:fill="auto"/>
          </w:tcPr>
          <w:p w:rsidR="002F2F05" w:rsidRPr="00B17842" w:rsidRDefault="002F2F05" w:rsidP="006269B0">
            <w:pPr>
              <w:pStyle w:val="Tabletext"/>
            </w:pPr>
            <w:r w:rsidRPr="00B17842">
              <w:t xml:space="preserve">the gift must be </w:t>
            </w:r>
            <w:r w:rsidR="00DF1EE5">
              <w:t xml:space="preserve">received by the gift fund (mentioned in </w:t>
            </w:r>
            <w:r w:rsidR="00C06F39">
              <w:t>section 3</w:t>
            </w:r>
            <w:r w:rsidR="00DF1EE5">
              <w:t>0</w:t>
            </w:r>
            <w:r w:rsidR="006269B0">
              <w:noBreakHyphen/>
            </w:r>
            <w:r w:rsidR="00DF1EE5">
              <w:t xml:space="preserve">130) of the institution or </w:t>
            </w:r>
            <w:r w:rsidR="004855F6" w:rsidRPr="004855F6">
              <w:t>Australian government agency</w:t>
            </w:r>
          </w:p>
        </w:tc>
      </w:tr>
    </w:tbl>
    <w:p w:rsidR="00AB4429" w:rsidRDefault="00014241" w:rsidP="006269B0">
      <w:pPr>
        <w:pStyle w:val="ItemHead"/>
      </w:pPr>
      <w:r>
        <w:t>2</w:t>
      </w:r>
      <w:r w:rsidR="00AB4429">
        <w:t xml:space="preserve">  </w:t>
      </w:r>
      <w:r w:rsidR="007B165E">
        <w:t>Section 3</w:t>
      </w:r>
      <w:r w:rsidR="00AB4429">
        <w:t>0</w:t>
      </w:r>
      <w:r w:rsidR="006269B0">
        <w:noBreakHyphen/>
      </w:r>
      <w:r w:rsidR="00AB4429">
        <w:t>60</w:t>
      </w:r>
    </w:p>
    <w:p w:rsidR="00AB4429" w:rsidRDefault="00AB4429" w:rsidP="006269B0">
      <w:pPr>
        <w:pStyle w:val="Item"/>
      </w:pPr>
      <w:r>
        <w:t>Omit “gift:”, substitute “gift, the institution has a policy of not acting as a mere conduit for the donation of money or property to other entities.”.</w:t>
      </w:r>
    </w:p>
    <w:p w:rsidR="00AB4429" w:rsidRDefault="00014241" w:rsidP="006269B0">
      <w:pPr>
        <w:pStyle w:val="ItemHead"/>
      </w:pPr>
      <w:r>
        <w:t>3</w:t>
      </w:r>
      <w:r w:rsidR="00AB4429">
        <w:t xml:space="preserve">  Paragraphs 30</w:t>
      </w:r>
      <w:r w:rsidR="006269B0">
        <w:noBreakHyphen/>
      </w:r>
      <w:r w:rsidR="00AB4429">
        <w:t>60(a) and (b)</w:t>
      </w:r>
    </w:p>
    <w:p w:rsidR="00AB4429" w:rsidRDefault="00AB4429" w:rsidP="006269B0">
      <w:pPr>
        <w:pStyle w:val="Item"/>
      </w:pPr>
      <w:r>
        <w:t>Repeal the paragraphs.</w:t>
      </w:r>
    </w:p>
    <w:p w:rsidR="00B169C6" w:rsidRDefault="00014241" w:rsidP="006269B0">
      <w:pPr>
        <w:pStyle w:val="ItemHead"/>
      </w:pPr>
      <w:r>
        <w:t>4</w:t>
      </w:r>
      <w:r w:rsidR="00B169C6">
        <w:t xml:space="preserve">  </w:t>
      </w:r>
      <w:r w:rsidR="007B165E">
        <w:t>Subdivision 3</w:t>
      </w:r>
      <w:r w:rsidR="00B169C6">
        <w:t>0</w:t>
      </w:r>
      <w:r w:rsidR="006269B0">
        <w:noBreakHyphen/>
      </w:r>
      <w:r w:rsidR="00B169C6">
        <w:t>E</w:t>
      </w:r>
    </w:p>
    <w:p w:rsidR="00B169C6" w:rsidRDefault="00B169C6" w:rsidP="006269B0">
      <w:pPr>
        <w:pStyle w:val="Item"/>
      </w:pPr>
      <w:r>
        <w:t>Repeal the Subdivision.</w:t>
      </w:r>
    </w:p>
    <w:p w:rsidR="006C53A7" w:rsidRDefault="00014241" w:rsidP="006269B0">
      <w:pPr>
        <w:pStyle w:val="ItemHead"/>
      </w:pPr>
      <w:r>
        <w:t>5</w:t>
      </w:r>
      <w:r w:rsidR="006C53A7">
        <w:t xml:space="preserve">  </w:t>
      </w:r>
      <w:r w:rsidR="007B165E">
        <w:t>Sub</w:t>
      </w:r>
      <w:r w:rsidR="00C06F39">
        <w:t>section 3</w:t>
      </w:r>
      <w:r w:rsidR="006C53A7">
        <w:t>0</w:t>
      </w:r>
      <w:r w:rsidR="006269B0">
        <w:noBreakHyphen/>
      </w:r>
      <w:r w:rsidR="006C53A7">
        <w:t xml:space="preserve">315(2) (table </w:t>
      </w:r>
      <w:r w:rsidR="00A26921">
        <w:t>item 4</w:t>
      </w:r>
      <w:r w:rsidR="006C53A7">
        <w:t>8)</w:t>
      </w:r>
    </w:p>
    <w:p w:rsidR="006C53A7" w:rsidRDefault="006C53A7" w:rsidP="006269B0">
      <w:pPr>
        <w:pStyle w:val="Item"/>
      </w:pPr>
      <w:r>
        <w:t>Repeal the item.</w:t>
      </w:r>
    </w:p>
    <w:p w:rsidR="00B3797E" w:rsidRDefault="00014241" w:rsidP="006269B0">
      <w:pPr>
        <w:pStyle w:val="ItemHead"/>
      </w:pPr>
      <w:r>
        <w:t>6</w:t>
      </w:r>
      <w:r w:rsidR="00B3797E">
        <w:t xml:space="preserve">  </w:t>
      </w:r>
      <w:r w:rsidR="007B165E">
        <w:t>Section 9</w:t>
      </w:r>
      <w:r w:rsidR="00B3797E">
        <w:t>95</w:t>
      </w:r>
      <w:r w:rsidR="006269B0">
        <w:noBreakHyphen/>
      </w:r>
      <w:r w:rsidR="00B3797E">
        <w:t xml:space="preserve">1 (definition of </w:t>
      </w:r>
      <w:r w:rsidR="00B3797E" w:rsidRPr="00B3797E">
        <w:rPr>
          <w:i/>
        </w:rPr>
        <w:t>environmental organisation</w:t>
      </w:r>
      <w:r w:rsidR="00B3797E">
        <w:t>)</w:t>
      </w:r>
    </w:p>
    <w:p w:rsidR="00B3797E" w:rsidRDefault="00B3797E" w:rsidP="006269B0">
      <w:pPr>
        <w:pStyle w:val="Item"/>
      </w:pPr>
      <w:r>
        <w:t>Repeal the definition.</w:t>
      </w:r>
    </w:p>
    <w:p w:rsidR="00AF5311" w:rsidRDefault="00014241" w:rsidP="006269B0">
      <w:pPr>
        <w:pStyle w:val="Transitional"/>
      </w:pPr>
      <w:r>
        <w:t>7</w:t>
      </w:r>
      <w:r w:rsidR="00AF5311">
        <w:t xml:space="preserve">  Transitional</w:t>
      </w:r>
    </w:p>
    <w:p w:rsidR="00AC37B5" w:rsidRPr="00AC37B5" w:rsidRDefault="00AC37B5" w:rsidP="006269B0">
      <w:pPr>
        <w:pStyle w:val="SubitemHead"/>
      </w:pPr>
      <w:r>
        <w:t>Environmental organisations with DGR endorsement</w:t>
      </w:r>
    </w:p>
    <w:p w:rsidR="00134A8E" w:rsidRDefault="00AF5311" w:rsidP="006269B0">
      <w:pPr>
        <w:pStyle w:val="Subitem"/>
      </w:pPr>
      <w:r>
        <w:t>(1)</w:t>
      </w:r>
      <w:r>
        <w:tab/>
      </w:r>
      <w:r w:rsidR="0044369B">
        <w:t>Subitem (</w:t>
      </w:r>
      <w:r w:rsidR="00806F20">
        <w:t>2) applies if,</w:t>
      </w:r>
      <w:r>
        <w:t xml:space="preserve"> immediately before the commencement of this Part</w:t>
      </w:r>
      <w:r w:rsidR="00134A8E">
        <w:t>:</w:t>
      </w:r>
    </w:p>
    <w:p w:rsidR="00134A8E" w:rsidRDefault="00134A8E" w:rsidP="006269B0">
      <w:pPr>
        <w:pStyle w:val="paragraph"/>
      </w:pPr>
      <w:r>
        <w:tab/>
        <w:t>(a)</w:t>
      </w:r>
      <w:r>
        <w:tab/>
        <w:t xml:space="preserve">an entity </w:t>
      </w:r>
      <w:r w:rsidR="00AF5311">
        <w:t>and the public fund it maintains are on the register of environmental organisations</w:t>
      </w:r>
      <w:r w:rsidR="002420E8">
        <w:t xml:space="preserve"> mentioned in </w:t>
      </w:r>
      <w:r w:rsidR="00C06F39">
        <w:t>section 3</w:t>
      </w:r>
      <w:r w:rsidR="002420E8">
        <w:t>0</w:t>
      </w:r>
      <w:r w:rsidR="006269B0">
        <w:noBreakHyphen/>
      </w:r>
      <w:r w:rsidR="002420E8">
        <w:t>255</w:t>
      </w:r>
      <w:r w:rsidR="00C70D8A">
        <w:t xml:space="preserve"> </w:t>
      </w:r>
      <w:r w:rsidR="00C70D8A" w:rsidRPr="00C70D8A">
        <w:t xml:space="preserve">of the </w:t>
      </w:r>
      <w:r w:rsidR="00C70D8A" w:rsidRPr="00C70D8A">
        <w:rPr>
          <w:i/>
        </w:rPr>
        <w:t>Income Tax Assessment Act 1997</w:t>
      </w:r>
      <w:r>
        <w:t>; and</w:t>
      </w:r>
    </w:p>
    <w:p w:rsidR="003F711B" w:rsidRDefault="00134A8E" w:rsidP="006269B0">
      <w:pPr>
        <w:pStyle w:val="paragraph"/>
      </w:pPr>
      <w:r>
        <w:tab/>
        <w:t>(b)</w:t>
      </w:r>
      <w:r>
        <w:tab/>
        <w:t xml:space="preserve">the entity is endorsed as a deductible gift recipient </w:t>
      </w:r>
      <w:r w:rsidR="0084247A">
        <w:t xml:space="preserve">for the operation of a fund, authority or institution </w:t>
      </w:r>
      <w:r>
        <w:t xml:space="preserve">under </w:t>
      </w:r>
      <w:r w:rsidR="0044369B">
        <w:t>paragraph 3</w:t>
      </w:r>
      <w:r>
        <w:t>0</w:t>
      </w:r>
      <w:r w:rsidR="006269B0">
        <w:noBreakHyphen/>
      </w:r>
      <w:r>
        <w:t>120(b)</w:t>
      </w:r>
      <w:r w:rsidR="00C70D8A">
        <w:t xml:space="preserve"> of that Act</w:t>
      </w:r>
      <w:r>
        <w:t xml:space="preserve"> in respect of the operation of the public fund</w:t>
      </w:r>
      <w:r w:rsidR="003F711B">
        <w:t>; and</w:t>
      </w:r>
    </w:p>
    <w:p w:rsidR="00134A8E" w:rsidRDefault="003F711B" w:rsidP="006269B0">
      <w:pPr>
        <w:pStyle w:val="paragraph"/>
      </w:pPr>
      <w:r>
        <w:tab/>
        <w:t>(c)</w:t>
      </w:r>
      <w:r>
        <w:tab/>
        <w:t xml:space="preserve">the entity has rules </w:t>
      </w:r>
      <w:r w:rsidR="00104758">
        <w:t xml:space="preserve">(the </w:t>
      </w:r>
      <w:r w:rsidR="00104758">
        <w:rPr>
          <w:b/>
          <w:i/>
        </w:rPr>
        <w:t>winding up</w:t>
      </w:r>
      <w:r w:rsidR="00104758" w:rsidRPr="00104758">
        <w:rPr>
          <w:b/>
          <w:i/>
        </w:rPr>
        <w:t xml:space="preserve"> provisions</w:t>
      </w:r>
      <w:r w:rsidR="00104758">
        <w:t xml:space="preserve">) </w:t>
      </w:r>
      <w:r w:rsidRPr="003F711B">
        <w:t xml:space="preserve">providing that, if the public fund is wound up, any surplus assets of the </w:t>
      </w:r>
      <w:r>
        <w:t xml:space="preserve">public </w:t>
      </w:r>
      <w:r w:rsidRPr="003F711B">
        <w:t>fund are to be transferred to another fund that is on the register</w:t>
      </w:r>
      <w:r>
        <w:t xml:space="preserve">, as required by </w:t>
      </w:r>
      <w:r w:rsidR="0044369B">
        <w:t>subsection 3</w:t>
      </w:r>
      <w:r>
        <w:t>0</w:t>
      </w:r>
      <w:r w:rsidR="006269B0">
        <w:noBreakHyphen/>
      </w:r>
      <w:r>
        <w:t>270(3) of that Act</w:t>
      </w:r>
      <w:r w:rsidR="00325783">
        <w:t>.</w:t>
      </w:r>
    </w:p>
    <w:p w:rsidR="00AF5311" w:rsidRDefault="00806F20" w:rsidP="006269B0">
      <w:pPr>
        <w:pStyle w:val="Subitem"/>
      </w:pPr>
      <w:r>
        <w:t>(2)</w:t>
      </w:r>
      <w:r w:rsidR="00134A8E">
        <w:tab/>
      </w:r>
      <w:r>
        <w:t>O</w:t>
      </w:r>
      <w:r w:rsidR="00134A8E">
        <w:t xml:space="preserve">n and </w:t>
      </w:r>
      <w:r w:rsidR="00AF5311">
        <w:t>after the commencement</w:t>
      </w:r>
      <w:r>
        <w:t xml:space="preserve"> of this Part</w:t>
      </w:r>
      <w:r w:rsidR="00AF5311">
        <w:t>:</w:t>
      </w:r>
    </w:p>
    <w:p w:rsidR="00AF5311" w:rsidRDefault="00AF5311" w:rsidP="006269B0">
      <w:pPr>
        <w:pStyle w:val="paragraph"/>
      </w:pPr>
      <w:r>
        <w:tab/>
        <w:t>(</w:t>
      </w:r>
      <w:r w:rsidR="00806F20">
        <w:t>a</w:t>
      </w:r>
      <w:r>
        <w:t>)</w:t>
      </w:r>
      <w:r>
        <w:tab/>
      </w:r>
      <w:r w:rsidR="009D763E">
        <w:t xml:space="preserve">treat </w:t>
      </w:r>
      <w:r w:rsidR="00134A8E">
        <w:t xml:space="preserve">the entity </w:t>
      </w:r>
      <w:r w:rsidR="009D763E">
        <w:t xml:space="preserve">as </w:t>
      </w:r>
      <w:r w:rsidR="0084247A">
        <w:t>being</w:t>
      </w:r>
      <w:r w:rsidR="00134A8E">
        <w:t xml:space="preserve"> </w:t>
      </w:r>
      <w:r w:rsidR="00134A8E" w:rsidRPr="00134A8E">
        <w:t xml:space="preserve">endorsed as a deductible gift recipient under </w:t>
      </w:r>
      <w:r w:rsidR="0044369B">
        <w:t>paragraph 3</w:t>
      </w:r>
      <w:r w:rsidR="00134A8E" w:rsidRPr="00134A8E">
        <w:t>0</w:t>
      </w:r>
      <w:r w:rsidR="006269B0">
        <w:noBreakHyphen/>
      </w:r>
      <w:r w:rsidR="00134A8E" w:rsidRPr="00134A8E">
        <w:t>120(</w:t>
      </w:r>
      <w:r w:rsidR="00134A8E">
        <w:t>a</w:t>
      </w:r>
      <w:r w:rsidR="00134A8E" w:rsidRPr="00134A8E">
        <w:t>)</w:t>
      </w:r>
      <w:r w:rsidR="00806F20">
        <w:t xml:space="preserve"> </w:t>
      </w:r>
      <w:r w:rsidR="00C70D8A" w:rsidRPr="00C70D8A">
        <w:t xml:space="preserve">of the </w:t>
      </w:r>
      <w:r w:rsidR="00C70D8A" w:rsidRPr="00C70D8A">
        <w:rPr>
          <w:i/>
        </w:rPr>
        <w:t>Income Tax Assessment Act 1997</w:t>
      </w:r>
      <w:r w:rsidR="00C70D8A">
        <w:t xml:space="preserve"> </w:t>
      </w:r>
      <w:r w:rsidR="00806F20">
        <w:t xml:space="preserve">based on </w:t>
      </w:r>
      <w:r w:rsidR="00101C0C">
        <w:t>item 6</w:t>
      </w:r>
      <w:r w:rsidR="00806F20">
        <w:t xml:space="preserve">.1.1 of the table in </w:t>
      </w:r>
      <w:r w:rsidR="0044369B">
        <w:t>subsection 3</w:t>
      </w:r>
      <w:r w:rsidR="00806F20">
        <w:t>0</w:t>
      </w:r>
      <w:r w:rsidR="006269B0">
        <w:noBreakHyphen/>
      </w:r>
      <w:r w:rsidR="00806F20">
        <w:t>55(1)</w:t>
      </w:r>
      <w:r w:rsidR="00C70D8A">
        <w:t xml:space="preserve"> of that Act</w:t>
      </w:r>
      <w:r w:rsidR="00134A8E">
        <w:t>; and</w:t>
      </w:r>
    </w:p>
    <w:p w:rsidR="003F711B" w:rsidRDefault="00134A8E" w:rsidP="006269B0">
      <w:pPr>
        <w:pStyle w:val="paragraph"/>
      </w:pPr>
      <w:r>
        <w:tab/>
        <w:t>(</w:t>
      </w:r>
      <w:r w:rsidR="00806F20">
        <w:t>b</w:t>
      </w:r>
      <w:r>
        <w:t>)</w:t>
      </w:r>
      <w:r>
        <w:tab/>
      </w:r>
      <w:r w:rsidR="0084247A">
        <w:t xml:space="preserve">treat </w:t>
      </w:r>
      <w:r>
        <w:t xml:space="preserve">the public fund </w:t>
      </w:r>
      <w:r w:rsidR="0084247A">
        <w:t xml:space="preserve">as being </w:t>
      </w:r>
      <w:r>
        <w:t xml:space="preserve">the </w:t>
      </w:r>
      <w:r w:rsidR="00806F20">
        <w:t xml:space="preserve">entity’s </w:t>
      </w:r>
      <w:r>
        <w:t>gift fund</w:t>
      </w:r>
      <w:r w:rsidR="00806F20">
        <w:t xml:space="preserve"> mentioned in </w:t>
      </w:r>
      <w:r w:rsidR="00C06F39">
        <w:t>section 3</w:t>
      </w:r>
      <w:r w:rsidR="00806F20">
        <w:t>0</w:t>
      </w:r>
      <w:r w:rsidR="006269B0">
        <w:noBreakHyphen/>
      </w:r>
      <w:r w:rsidR="00806F20">
        <w:t>130</w:t>
      </w:r>
      <w:r w:rsidR="00C70D8A">
        <w:t xml:space="preserve"> of that Act</w:t>
      </w:r>
      <w:r w:rsidR="00325783">
        <w:t>, unless or until the entity establishes a replacement gift fund</w:t>
      </w:r>
      <w:r w:rsidR="003F711B">
        <w:t>; and</w:t>
      </w:r>
    </w:p>
    <w:p w:rsidR="00134A8E" w:rsidRDefault="003F711B" w:rsidP="006269B0">
      <w:pPr>
        <w:pStyle w:val="paragraph"/>
      </w:pPr>
      <w:r>
        <w:tab/>
        <w:t>(c)</w:t>
      </w:r>
      <w:r>
        <w:tab/>
        <w:t xml:space="preserve">treat the </w:t>
      </w:r>
      <w:r w:rsidR="00104758">
        <w:t>winding up provisions</w:t>
      </w:r>
      <w:r>
        <w:t xml:space="preserve"> </w:t>
      </w:r>
      <w:r w:rsidR="005A2D05">
        <w:t xml:space="preserve">as providing that, if the public fund is wound up, any surplus assets of the public fund are to be transferred </w:t>
      </w:r>
      <w:r>
        <w:t xml:space="preserve">to a fund, authority or institution gifts to which can be deducted under </w:t>
      </w:r>
      <w:r w:rsidR="00604F5B">
        <w:t>Division 3</w:t>
      </w:r>
      <w:r>
        <w:t>0 of that Act</w:t>
      </w:r>
      <w:r w:rsidR="005A2D05">
        <w:t xml:space="preserve">, unless or until the entity amends the </w:t>
      </w:r>
      <w:r w:rsidR="00104758">
        <w:t>winding up provisions</w:t>
      </w:r>
      <w:r w:rsidR="00806F20">
        <w:t>.</w:t>
      </w:r>
    </w:p>
    <w:p w:rsidR="00AC37B5" w:rsidRDefault="00AC37B5" w:rsidP="006269B0">
      <w:pPr>
        <w:pStyle w:val="SubitemHead"/>
      </w:pPr>
      <w:r>
        <w:t>Environmental organisations seeking DGR endorsement</w:t>
      </w:r>
    </w:p>
    <w:p w:rsidR="00AC37B5" w:rsidRDefault="00AC37B5" w:rsidP="006269B0">
      <w:pPr>
        <w:pStyle w:val="Subitem"/>
      </w:pPr>
      <w:r>
        <w:t>(3)</w:t>
      </w:r>
      <w:r>
        <w:tab/>
      </w:r>
      <w:r w:rsidR="0044369B">
        <w:t>Subitem (</w:t>
      </w:r>
      <w:r>
        <w:t>4) applies if, immediately before the commencement of this Part:</w:t>
      </w:r>
    </w:p>
    <w:p w:rsidR="00AC37B5" w:rsidRDefault="00AC37B5" w:rsidP="006269B0">
      <w:pPr>
        <w:pStyle w:val="paragraph"/>
      </w:pPr>
      <w:r>
        <w:tab/>
        <w:t>(a)</w:t>
      </w:r>
      <w:r>
        <w:tab/>
        <w:t xml:space="preserve">an entity and the public fund it maintains are on the register of environmental organisations mentioned in </w:t>
      </w:r>
      <w:r w:rsidR="00C06F39">
        <w:t>section 3</w:t>
      </w:r>
      <w:r>
        <w:t>0</w:t>
      </w:r>
      <w:r w:rsidR="006269B0">
        <w:noBreakHyphen/>
      </w:r>
      <w:r>
        <w:t>255</w:t>
      </w:r>
      <w:r w:rsidR="00C70D8A">
        <w:t xml:space="preserve"> </w:t>
      </w:r>
      <w:r w:rsidR="00C70D8A" w:rsidRPr="00C70D8A">
        <w:t xml:space="preserve">of the </w:t>
      </w:r>
      <w:r w:rsidR="00C70D8A" w:rsidRPr="00C70D8A">
        <w:rPr>
          <w:i/>
        </w:rPr>
        <w:t>Income Tax Assessment Act 1997</w:t>
      </w:r>
      <w:r>
        <w:t>; and</w:t>
      </w:r>
    </w:p>
    <w:p w:rsidR="00AC37B5" w:rsidRDefault="00AC37B5" w:rsidP="006269B0">
      <w:pPr>
        <w:pStyle w:val="paragraph"/>
      </w:pPr>
      <w:r>
        <w:tab/>
        <w:t>(b)</w:t>
      </w:r>
      <w:r>
        <w:tab/>
        <w:t xml:space="preserve">the entity has applied under </w:t>
      </w:r>
      <w:r w:rsidR="00C06F39">
        <w:t>subsection 4</w:t>
      </w:r>
      <w:r>
        <w:t>26</w:t>
      </w:r>
      <w:r w:rsidR="006269B0">
        <w:noBreakHyphen/>
      </w:r>
      <w:r>
        <w:t xml:space="preserve">15(1) in </w:t>
      </w:r>
      <w:r w:rsidR="00C06F39">
        <w:t>Schedule 1</w:t>
      </w:r>
      <w:r>
        <w:t xml:space="preserve"> to the </w:t>
      </w:r>
      <w:r w:rsidRPr="003B5A82">
        <w:rPr>
          <w:i/>
        </w:rPr>
        <w:t>Taxation Administration Act 1953</w:t>
      </w:r>
      <w:r>
        <w:rPr>
          <w:i/>
        </w:rPr>
        <w:t xml:space="preserve"> </w:t>
      </w:r>
      <w:r>
        <w:t xml:space="preserve">for endorsement as a deductible gift recipient for the operation of a fund, authority or institution under </w:t>
      </w:r>
      <w:r w:rsidR="0044369B">
        <w:t>paragraph 3</w:t>
      </w:r>
      <w:r>
        <w:t>0</w:t>
      </w:r>
      <w:r w:rsidR="006269B0">
        <w:noBreakHyphen/>
      </w:r>
      <w:r>
        <w:t xml:space="preserve">120(b) </w:t>
      </w:r>
      <w:r w:rsidR="002E12DB" w:rsidRPr="00C70D8A">
        <w:t xml:space="preserve">of the </w:t>
      </w:r>
      <w:r w:rsidR="002E12DB" w:rsidRPr="00C70D8A">
        <w:rPr>
          <w:i/>
        </w:rPr>
        <w:t>Income Tax Assessment Act 1997</w:t>
      </w:r>
      <w:r w:rsidR="002E12DB" w:rsidRPr="002E12DB">
        <w:t xml:space="preserve"> </w:t>
      </w:r>
      <w:r>
        <w:t>in respect of the operation of the public fund</w:t>
      </w:r>
      <w:r w:rsidR="00C70D8A">
        <w:t>; and</w:t>
      </w:r>
    </w:p>
    <w:p w:rsidR="00C70D8A" w:rsidRDefault="00C70D8A" w:rsidP="006269B0">
      <w:pPr>
        <w:pStyle w:val="paragraph"/>
      </w:pPr>
      <w:r>
        <w:tab/>
        <w:t>(c)</w:t>
      </w:r>
      <w:r>
        <w:tab/>
        <w:t xml:space="preserve">the Commissioner </w:t>
      </w:r>
      <w:r w:rsidRPr="00C70D8A">
        <w:t>has not given the applicant written notice that the Commissioner endorses or refuses to endorse the applicant</w:t>
      </w:r>
      <w:r>
        <w:t>.</w:t>
      </w:r>
    </w:p>
    <w:p w:rsidR="00AC37B5" w:rsidRDefault="00AC37B5" w:rsidP="006269B0">
      <w:pPr>
        <w:pStyle w:val="Subitem"/>
      </w:pPr>
      <w:r>
        <w:t>(4)</w:t>
      </w:r>
      <w:r>
        <w:tab/>
        <w:t>On and after the commencement of this Part:</w:t>
      </w:r>
    </w:p>
    <w:p w:rsidR="00AC37B5" w:rsidRDefault="00AC37B5" w:rsidP="006269B0">
      <w:pPr>
        <w:pStyle w:val="paragraph"/>
      </w:pPr>
      <w:r>
        <w:tab/>
        <w:t>(a)</w:t>
      </w:r>
      <w:r>
        <w:tab/>
        <w:t xml:space="preserve">treat the </w:t>
      </w:r>
      <w:r w:rsidR="00C70D8A">
        <w:t>application</w:t>
      </w:r>
      <w:r>
        <w:t xml:space="preserve"> as </w:t>
      </w:r>
      <w:r w:rsidR="00C70D8A">
        <w:t xml:space="preserve">an application for </w:t>
      </w:r>
      <w:r w:rsidRPr="00134A8E">
        <w:t>endors</w:t>
      </w:r>
      <w:r w:rsidR="00C70D8A">
        <w:t>ement</w:t>
      </w:r>
      <w:r w:rsidRPr="00134A8E">
        <w:t xml:space="preserve"> as a deductible gift recipient under </w:t>
      </w:r>
      <w:r w:rsidR="0044369B">
        <w:t>paragraph 3</w:t>
      </w:r>
      <w:r w:rsidRPr="00134A8E">
        <w:t>0</w:t>
      </w:r>
      <w:r w:rsidR="006269B0">
        <w:noBreakHyphen/>
      </w:r>
      <w:r w:rsidRPr="00134A8E">
        <w:t>120(</w:t>
      </w:r>
      <w:r>
        <w:t>a</w:t>
      </w:r>
      <w:r w:rsidRPr="00134A8E">
        <w:t>)</w:t>
      </w:r>
      <w:r>
        <w:t xml:space="preserve"> </w:t>
      </w:r>
      <w:r w:rsidR="002E12DB" w:rsidRPr="002E12DB">
        <w:t xml:space="preserve">of the </w:t>
      </w:r>
      <w:r w:rsidR="002E12DB" w:rsidRPr="002E12DB">
        <w:rPr>
          <w:i/>
        </w:rPr>
        <w:t>Income Tax Assessment Act 1997</w:t>
      </w:r>
      <w:r w:rsidR="002E12DB">
        <w:t xml:space="preserve"> </w:t>
      </w:r>
      <w:r>
        <w:t xml:space="preserve">based on </w:t>
      </w:r>
      <w:r w:rsidR="00101C0C">
        <w:t>item 6</w:t>
      </w:r>
      <w:r>
        <w:t xml:space="preserve">.1.1 of the table in </w:t>
      </w:r>
      <w:r w:rsidR="0044369B">
        <w:t>subsection 3</w:t>
      </w:r>
      <w:r>
        <w:t>0</w:t>
      </w:r>
      <w:r w:rsidR="006269B0">
        <w:noBreakHyphen/>
      </w:r>
      <w:r>
        <w:t>55(1)</w:t>
      </w:r>
      <w:r w:rsidR="002E12DB">
        <w:t xml:space="preserve"> of that Act</w:t>
      </w:r>
      <w:r>
        <w:t>; and</w:t>
      </w:r>
    </w:p>
    <w:p w:rsidR="00AC37B5" w:rsidRPr="00AF5311" w:rsidRDefault="00AC37B5" w:rsidP="006269B0">
      <w:pPr>
        <w:pStyle w:val="paragraph"/>
      </w:pPr>
      <w:r>
        <w:tab/>
        <w:t>(b)</w:t>
      </w:r>
      <w:r>
        <w:tab/>
        <w:t xml:space="preserve">treat the public fund as being the entity’s gift fund mentioned in </w:t>
      </w:r>
      <w:r w:rsidR="00C06F39">
        <w:t>section 3</w:t>
      </w:r>
      <w:r>
        <w:t>0</w:t>
      </w:r>
      <w:r w:rsidR="006269B0">
        <w:noBreakHyphen/>
      </w:r>
      <w:r>
        <w:t>130</w:t>
      </w:r>
      <w:r w:rsidR="002E12DB">
        <w:t xml:space="preserve"> of that Act</w:t>
      </w:r>
      <w:r>
        <w:t>, unless or until the entity establishes a replacement gift fund.</w:t>
      </w:r>
    </w:p>
    <w:p w:rsidR="00AC37B5" w:rsidRPr="00AC37B5" w:rsidRDefault="00AC37B5" w:rsidP="006269B0">
      <w:pPr>
        <w:pStyle w:val="SubitemHead"/>
      </w:pPr>
      <w:r>
        <w:t>Entities seeking entry on the register of environmental organisations</w:t>
      </w:r>
    </w:p>
    <w:p w:rsidR="008B5549" w:rsidRDefault="000A5016" w:rsidP="006269B0">
      <w:pPr>
        <w:pStyle w:val="Subitem"/>
      </w:pPr>
      <w:r>
        <w:t>(</w:t>
      </w:r>
      <w:r w:rsidR="00C70D8A">
        <w:t>5</w:t>
      </w:r>
      <w:r>
        <w:t>)</w:t>
      </w:r>
      <w:r>
        <w:tab/>
      </w:r>
      <w:r w:rsidR="0044369B">
        <w:t>Subitem (</w:t>
      </w:r>
      <w:r w:rsidR="00C70D8A">
        <w:t>6</w:t>
      </w:r>
      <w:r w:rsidR="008B5549">
        <w:t>) applies if, immediately before the commencement of this Part:</w:t>
      </w:r>
    </w:p>
    <w:p w:rsidR="000A5016" w:rsidRDefault="008B5549" w:rsidP="006269B0">
      <w:pPr>
        <w:pStyle w:val="paragraph"/>
      </w:pPr>
      <w:r>
        <w:tab/>
        <w:t>(a)</w:t>
      </w:r>
      <w:r>
        <w:tab/>
        <w:t xml:space="preserve">an entity has submitted a </w:t>
      </w:r>
      <w:r w:rsidR="00AC37B5">
        <w:t xml:space="preserve">request </w:t>
      </w:r>
      <w:r>
        <w:t xml:space="preserve">(however described) to the department administered by the Environment </w:t>
      </w:r>
      <w:r w:rsidR="00ED1F5B">
        <w:t>Minister</w:t>
      </w:r>
      <w:r>
        <w:t xml:space="preserve"> seeking to be entered on the register of environmental organisations mentioned in </w:t>
      </w:r>
      <w:r w:rsidR="00C06F39">
        <w:t>section 3</w:t>
      </w:r>
      <w:r>
        <w:t>0</w:t>
      </w:r>
      <w:r w:rsidR="006269B0">
        <w:noBreakHyphen/>
      </w:r>
      <w:r>
        <w:t>255</w:t>
      </w:r>
      <w:r w:rsidR="00ED1F5B">
        <w:t xml:space="preserve"> of</w:t>
      </w:r>
      <w:r>
        <w:t xml:space="preserve"> </w:t>
      </w:r>
      <w:r w:rsidR="002E12DB" w:rsidRPr="002E12DB">
        <w:t xml:space="preserve">the </w:t>
      </w:r>
      <w:r w:rsidR="002E12DB" w:rsidRPr="002E12DB">
        <w:rPr>
          <w:i/>
        </w:rPr>
        <w:t>Income Tax Assessment Act 1997</w:t>
      </w:r>
      <w:r>
        <w:t>; and</w:t>
      </w:r>
    </w:p>
    <w:p w:rsidR="008B5549" w:rsidRDefault="008B5549" w:rsidP="006269B0">
      <w:pPr>
        <w:pStyle w:val="paragraph"/>
      </w:pPr>
      <w:r>
        <w:tab/>
        <w:t>(b)</w:t>
      </w:r>
      <w:r>
        <w:tab/>
        <w:t xml:space="preserve">the entity has not been notified by the department of the outcome of the </w:t>
      </w:r>
      <w:r w:rsidR="00AC37B5">
        <w:t>request</w:t>
      </w:r>
      <w:r>
        <w:t>.</w:t>
      </w:r>
    </w:p>
    <w:p w:rsidR="008B5549" w:rsidRDefault="008B5549" w:rsidP="006269B0">
      <w:pPr>
        <w:pStyle w:val="Subitem"/>
      </w:pPr>
      <w:r>
        <w:t>(</w:t>
      </w:r>
      <w:r w:rsidR="00C70D8A">
        <w:t>6</w:t>
      </w:r>
      <w:r>
        <w:t>)</w:t>
      </w:r>
      <w:r>
        <w:tab/>
        <w:t>On and after the commencement of this Part:</w:t>
      </w:r>
    </w:p>
    <w:p w:rsidR="008B5549" w:rsidRDefault="008B5549" w:rsidP="006269B0">
      <w:pPr>
        <w:pStyle w:val="paragraph"/>
      </w:pPr>
      <w:r>
        <w:tab/>
        <w:t>(a)</w:t>
      </w:r>
      <w:r>
        <w:tab/>
        <w:t xml:space="preserve">treat the </w:t>
      </w:r>
      <w:r w:rsidR="00AC37B5">
        <w:t>request</w:t>
      </w:r>
      <w:r>
        <w:t xml:space="preserve"> as an application </w:t>
      </w:r>
      <w:r w:rsidR="000F571C">
        <w:t xml:space="preserve">under </w:t>
      </w:r>
      <w:r w:rsidR="00C06F39">
        <w:t>subsection 4</w:t>
      </w:r>
      <w:r w:rsidR="000F571C">
        <w:t>26</w:t>
      </w:r>
      <w:r w:rsidR="006269B0">
        <w:noBreakHyphen/>
      </w:r>
      <w:r w:rsidR="000F571C">
        <w:t xml:space="preserve">15(1) in </w:t>
      </w:r>
      <w:r w:rsidR="00C06F39">
        <w:t>Schedule 1</w:t>
      </w:r>
      <w:r w:rsidR="000F571C">
        <w:t xml:space="preserve"> to the </w:t>
      </w:r>
      <w:r w:rsidR="000F571C" w:rsidRPr="003B5A82">
        <w:rPr>
          <w:i/>
        </w:rPr>
        <w:t>Taxation Administration Act 1953</w:t>
      </w:r>
      <w:r w:rsidR="000F571C">
        <w:rPr>
          <w:i/>
        </w:rPr>
        <w:t xml:space="preserve"> </w:t>
      </w:r>
      <w:r w:rsidR="003B5A82">
        <w:t xml:space="preserve">by the entity for endorsement </w:t>
      </w:r>
      <w:r w:rsidR="000F571C">
        <w:t xml:space="preserve">as a deductible gift recipient under </w:t>
      </w:r>
      <w:r w:rsidR="0044369B">
        <w:t>paragraph 3</w:t>
      </w:r>
      <w:r w:rsidR="000F571C">
        <w:t>0</w:t>
      </w:r>
      <w:r w:rsidR="006269B0">
        <w:noBreakHyphen/>
      </w:r>
      <w:r w:rsidR="000F571C">
        <w:t xml:space="preserve">120(a) of the </w:t>
      </w:r>
      <w:r w:rsidR="000F571C" w:rsidRPr="000F571C">
        <w:rPr>
          <w:i/>
        </w:rPr>
        <w:t>Income Tax Assessment Act 1997</w:t>
      </w:r>
      <w:r w:rsidR="000F571C" w:rsidRPr="000F571C">
        <w:t xml:space="preserve"> based on </w:t>
      </w:r>
      <w:r w:rsidR="00101C0C">
        <w:t>item 6</w:t>
      </w:r>
      <w:r w:rsidR="000F571C" w:rsidRPr="000F571C">
        <w:t xml:space="preserve">.1.1 of the table in </w:t>
      </w:r>
      <w:r w:rsidR="0044369B">
        <w:t>subsection 3</w:t>
      </w:r>
      <w:r w:rsidR="000F571C" w:rsidRPr="000F571C">
        <w:t>0</w:t>
      </w:r>
      <w:r w:rsidR="006269B0">
        <w:noBreakHyphen/>
      </w:r>
      <w:r w:rsidR="000F571C" w:rsidRPr="000F571C">
        <w:t>55(1)</w:t>
      </w:r>
      <w:r w:rsidR="000F571C">
        <w:t xml:space="preserve"> of that Act</w:t>
      </w:r>
      <w:r w:rsidR="003B5A82">
        <w:t>; and</w:t>
      </w:r>
    </w:p>
    <w:p w:rsidR="000F571C" w:rsidRDefault="003B5A82" w:rsidP="006269B0">
      <w:pPr>
        <w:pStyle w:val="paragraph"/>
      </w:pPr>
      <w:r>
        <w:tab/>
        <w:t>(b)</w:t>
      </w:r>
      <w:r>
        <w:tab/>
        <w:t>treat the application</w:t>
      </w:r>
      <w:r w:rsidR="000F571C">
        <w:t>:</w:t>
      </w:r>
    </w:p>
    <w:p w:rsidR="000F571C" w:rsidRDefault="000F571C" w:rsidP="006269B0">
      <w:pPr>
        <w:pStyle w:val="paragraphsub"/>
      </w:pPr>
      <w:r>
        <w:tab/>
        <w:t>(i)</w:t>
      </w:r>
      <w:r>
        <w:tab/>
        <w:t>as having been made on the commencement of this Part; and</w:t>
      </w:r>
    </w:p>
    <w:p w:rsidR="003B5A82" w:rsidRDefault="000F571C" w:rsidP="006269B0">
      <w:pPr>
        <w:pStyle w:val="paragraphsub"/>
      </w:pPr>
      <w:r>
        <w:tab/>
        <w:t>(ii)</w:t>
      </w:r>
      <w:r>
        <w:tab/>
        <w:t xml:space="preserve">as </w:t>
      </w:r>
      <w:r w:rsidR="003B5A82">
        <w:t xml:space="preserve">meeting the requirements set out in </w:t>
      </w:r>
      <w:r w:rsidR="00C06F39">
        <w:t>subsection 4</w:t>
      </w:r>
      <w:r w:rsidR="003B5A82">
        <w:t>26</w:t>
      </w:r>
      <w:r w:rsidR="006269B0">
        <w:noBreakHyphen/>
      </w:r>
      <w:r w:rsidR="003B5A82">
        <w:t xml:space="preserve">15(2) in </w:t>
      </w:r>
      <w:r w:rsidR="00C06F39">
        <w:t>Schedule 1</w:t>
      </w:r>
      <w:r w:rsidR="003B5A82">
        <w:t xml:space="preserve"> to </w:t>
      </w:r>
      <w:r>
        <w:t xml:space="preserve">the </w:t>
      </w:r>
      <w:r w:rsidRPr="003B5A82">
        <w:rPr>
          <w:i/>
        </w:rPr>
        <w:t>Taxation Administration Act 1953</w:t>
      </w:r>
      <w:r w:rsidR="00D8463D">
        <w:t>.</w:t>
      </w:r>
    </w:p>
    <w:p w:rsidR="00B169C6" w:rsidRDefault="007B165E" w:rsidP="006269B0">
      <w:pPr>
        <w:pStyle w:val="ActHead7"/>
        <w:pageBreakBefore/>
      </w:pPr>
      <w:r w:rsidRPr="00AE4F3F">
        <w:rPr>
          <w:rStyle w:val="CharAmPartNo"/>
        </w:rPr>
        <w:t>Part 2</w:t>
      </w:r>
      <w:r w:rsidR="00B169C6">
        <w:t>—</w:t>
      </w:r>
      <w:r w:rsidR="00B169C6" w:rsidRPr="00AE4F3F">
        <w:rPr>
          <w:rStyle w:val="CharAmPartText"/>
        </w:rPr>
        <w:t>Harm prevention charities</w:t>
      </w:r>
    </w:p>
    <w:p w:rsidR="00FF6610" w:rsidRPr="009B6E10" w:rsidRDefault="00FF6610" w:rsidP="006269B0">
      <w:pPr>
        <w:pStyle w:val="ActHead9"/>
      </w:pPr>
      <w:r>
        <w:t>Income Tax Assessment Act 1997</w:t>
      </w:r>
    </w:p>
    <w:p w:rsidR="00B169C6" w:rsidRDefault="00014241" w:rsidP="006269B0">
      <w:pPr>
        <w:pStyle w:val="ItemHead"/>
      </w:pPr>
      <w:r>
        <w:t>8</w:t>
      </w:r>
      <w:r w:rsidR="00B169C6">
        <w:t xml:space="preserve">  </w:t>
      </w:r>
      <w:r w:rsidR="007B165E">
        <w:t>Sub</w:t>
      </w:r>
      <w:r w:rsidR="00C06F39">
        <w:t>section 3</w:t>
      </w:r>
      <w:r w:rsidR="00B169C6">
        <w:t>0</w:t>
      </w:r>
      <w:r w:rsidR="006269B0">
        <w:noBreakHyphen/>
      </w:r>
      <w:r w:rsidR="00B169C6">
        <w:t xml:space="preserve">45(1) (table </w:t>
      </w:r>
      <w:r w:rsidR="00A26921">
        <w:t>item 4</w:t>
      </w:r>
      <w:r w:rsidR="00B169C6">
        <w:t>.1.4)</w:t>
      </w:r>
    </w:p>
    <w:p w:rsidR="00B169C6" w:rsidRDefault="00B169C6" w:rsidP="006269B0">
      <w:pPr>
        <w:pStyle w:val="Item"/>
      </w:pPr>
      <w:r>
        <w:t>Repeal the item, substitute:</w:t>
      </w:r>
    </w:p>
    <w:tbl>
      <w:tblPr>
        <w:tblW w:w="7356" w:type="dxa"/>
        <w:tblInd w:w="-19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14"/>
        <w:gridCol w:w="2450"/>
        <w:gridCol w:w="2065"/>
        <w:gridCol w:w="2127"/>
      </w:tblGrid>
      <w:tr w:rsidR="00B169C6" w:rsidRPr="008F2B0D" w:rsidTr="001E238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B169C6" w:rsidRPr="00B17842" w:rsidRDefault="00B169C6" w:rsidP="006269B0">
            <w:pPr>
              <w:pStyle w:val="Tabletext"/>
            </w:pPr>
            <w:r w:rsidRPr="00B17842">
              <w:t>4.1.4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shd w:val="clear" w:color="auto" w:fill="auto"/>
          </w:tcPr>
          <w:p w:rsidR="00B169C6" w:rsidRPr="00B17842" w:rsidRDefault="008C2E9A" w:rsidP="006269B0">
            <w:pPr>
              <w:pStyle w:val="Tabletext"/>
            </w:pPr>
            <w:r>
              <w:t>a</w:t>
            </w:r>
            <w:r w:rsidR="00E929BC">
              <w:t>n</w:t>
            </w:r>
            <w:r>
              <w:t xml:space="preserve"> </w:t>
            </w:r>
            <w:r w:rsidR="00B169C6">
              <w:t xml:space="preserve">institution </w:t>
            </w:r>
            <w:r w:rsidRPr="008C2E9A">
              <w:t xml:space="preserve">whose principal </w:t>
            </w:r>
            <w:r w:rsidR="006C53A7">
              <w:t xml:space="preserve">activity is </w:t>
            </w:r>
            <w:r w:rsidR="006C53A7" w:rsidRPr="006C53A7">
              <w:t xml:space="preserve">the promotion of the prevention or the control of </w:t>
            </w:r>
            <w:r w:rsidR="006269B0" w:rsidRPr="006269B0">
              <w:rPr>
                <w:position w:val="6"/>
                <w:sz w:val="16"/>
              </w:rPr>
              <w:t>*</w:t>
            </w:r>
            <w:r w:rsidR="006C53A7" w:rsidRPr="006C53A7">
              <w:t>behaviour that is harmful or abusive to human beings</w:t>
            </w:r>
            <w:r w:rsidR="00992B87">
              <w:t xml:space="preserve"> in Australia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auto"/>
          </w:tcPr>
          <w:p w:rsidR="00B169C6" w:rsidRDefault="00B169C6" w:rsidP="006269B0">
            <w:pPr>
              <w:pStyle w:val="Tabletext"/>
            </w:pPr>
            <w:r w:rsidRPr="00B17842">
              <w:t xml:space="preserve">the </w:t>
            </w:r>
            <w:r w:rsidR="008C2E9A">
              <w:t>institution</w:t>
            </w:r>
            <w:r w:rsidR="00F5489D">
              <w:t xml:space="preserve"> must</w:t>
            </w:r>
            <w:r w:rsidR="00C70128">
              <w:t>:</w:t>
            </w:r>
          </w:p>
          <w:p w:rsidR="00C70128" w:rsidRDefault="00C70128" w:rsidP="006269B0">
            <w:pPr>
              <w:pStyle w:val="Tablea"/>
            </w:pPr>
            <w:r>
              <w:t xml:space="preserve">(a) be a </w:t>
            </w:r>
            <w:r w:rsidR="006269B0" w:rsidRPr="006269B0">
              <w:rPr>
                <w:position w:val="6"/>
                <w:sz w:val="16"/>
              </w:rPr>
              <w:t>*</w:t>
            </w:r>
            <w:r>
              <w:t>registered charity; and</w:t>
            </w:r>
          </w:p>
          <w:p w:rsidR="00F5489D" w:rsidRDefault="00F5489D" w:rsidP="006269B0">
            <w:pPr>
              <w:pStyle w:val="Tablea"/>
            </w:pPr>
            <w:r w:rsidRPr="00E929BC">
              <w:t>(</w:t>
            </w:r>
            <w:r>
              <w:t>b</w:t>
            </w:r>
            <w:r w:rsidRPr="00E929BC">
              <w:t xml:space="preserve">) meet the requirements of </w:t>
            </w:r>
            <w:r>
              <w:t>section 3</w:t>
            </w:r>
            <w:r w:rsidRPr="00E929BC">
              <w:t>0</w:t>
            </w:r>
            <w:r w:rsidR="006269B0">
              <w:noBreakHyphen/>
            </w:r>
            <w:r w:rsidRPr="00E929BC">
              <w:t>130</w:t>
            </w:r>
            <w:r>
              <w:t>; and</w:t>
            </w:r>
          </w:p>
          <w:p w:rsidR="00BA284C" w:rsidRDefault="00C70128" w:rsidP="006269B0">
            <w:pPr>
              <w:pStyle w:val="Tablea"/>
            </w:pPr>
            <w:r>
              <w:t>(</w:t>
            </w:r>
            <w:r w:rsidR="00F5489D">
              <w:t>c</w:t>
            </w:r>
            <w:r>
              <w:t xml:space="preserve">) </w:t>
            </w:r>
            <w:r w:rsidR="00BA284C">
              <w:t xml:space="preserve">be </w:t>
            </w:r>
            <w:r w:rsidR="00BA284C" w:rsidRPr="00BA284C">
              <w:t>endorsed as exempt from income tax under Subdivision 50</w:t>
            </w:r>
            <w:r w:rsidR="006269B0">
              <w:noBreakHyphen/>
            </w:r>
            <w:r w:rsidR="00BA284C" w:rsidRPr="00BA284C">
              <w:t>B</w:t>
            </w:r>
            <w:r w:rsidR="00BA284C">
              <w:t>; and</w:t>
            </w:r>
          </w:p>
          <w:p w:rsidR="008C2E9A" w:rsidRPr="00E929BC" w:rsidRDefault="00BA284C" w:rsidP="006269B0">
            <w:pPr>
              <w:pStyle w:val="Tablea"/>
            </w:pPr>
            <w:r>
              <w:t>(</w:t>
            </w:r>
            <w:r w:rsidR="00F5489D">
              <w:t>d</w:t>
            </w:r>
            <w:r>
              <w:t xml:space="preserve">) </w:t>
            </w:r>
            <w:r w:rsidR="00C70128" w:rsidRPr="00706433">
              <w:t>have a policy of not acting as a mere conduit for the donation of money or property to other organisations, bodies or persons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F1EE5" w:rsidRPr="00B17842" w:rsidRDefault="00B169C6" w:rsidP="006269B0">
            <w:pPr>
              <w:pStyle w:val="Tabletext"/>
            </w:pPr>
            <w:r w:rsidRPr="00B17842">
              <w:t>the gift must</w:t>
            </w:r>
            <w:r w:rsidR="00DF1EE5">
              <w:t xml:space="preserve"> be</w:t>
            </w:r>
            <w:r w:rsidR="0086784D">
              <w:t xml:space="preserve"> </w:t>
            </w:r>
            <w:r w:rsidR="00DF1EE5" w:rsidRPr="00DF1EE5">
              <w:t xml:space="preserve">received by the </w:t>
            </w:r>
            <w:r w:rsidR="00E929BC">
              <w:t xml:space="preserve">institution’s </w:t>
            </w:r>
            <w:r w:rsidR="00DF1EE5" w:rsidRPr="00DF1EE5">
              <w:t xml:space="preserve">gift fund (mentioned in </w:t>
            </w:r>
            <w:r w:rsidR="00C06F39">
              <w:t>section 3</w:t>
            </w:r>
            <w:r w:rsidR="00DF1EE5" w:rsidRPr="00DF1EE5">
              <w:t>0</w:t>
            </w:r>
            <w:r w:rsidR="006269B0">
              <w:noBreakHyphen/>
            </w:r>
            <w:r w:rsidR="00DF1EE5" w:rsidRPr="00DF1EE5">
              <w:t>130)</w:t>
            </w:r>
          </w:p>
        </w:tc>
      </w:tr>
    </w:tbl>
    <w:p w:rsidR="00B3797E" w:rsidRDefault="00014241" w:rsidP="006269B0">
      <w:pPr>
        <w:pStyle w:val="ItemHead"/>
      </w:pPr>
      <w:r>
        <w:t>9</w:t>
      </w:r>
      <w:r w:rsidR="00B3797E">
        <w:t xml:space="preserve">  </w:t>
      </w:r>
      <w:r w:rsidR="007B165E">
        <w:t>Subdivision 3</w:t>
      </w:r>
      <w:r w:rsidR="00B3797E">
        <w:t>0</w:t>
      </w:r>
      <w:r w:rsidR="006269B0">
        <w:noBreakHyphen/>
      </w:r>
      <w:r w:rsidR="00B3797E">
        <w:t>EA</w:t>
      </w:r>
    </w:p>
    <w:p w:rsidR="00B3797E" w:rsidRDefault="00B3797E" w:rsidP="006269B0">
      <w:pPr>
        <w:pStyle w:val="Item"/>
      </w:pPr>
      <w:r>
        <w:t>Repeal the Subdivision.</w:t>
      </w:r>
    </w:p>
    <w:p w:rsidR="00B3797E" w:rsidRDefault="00014241" w:rsidP="006269B0">
      <w:pPr>
        <w:pStyle w:val="ItemHead"/>
      </w:pPr>
      <w:r>
        <w:t>10</w:t>
      </w:r>
      <w:r w:rsidR="00B3797E">
        <w:t xml:space="preserve">  </w:t>
      </w:r>
      <w:r w:rsidR="007B165E">
        <w:t>Section 9</w:t>
      </w:r>
      <w:r w:rsidR="00B3797E">
        <w:t>95</w:t>
      </w:r>
      <w:r w:rsidR="006269B0">
        <w:noBreakHyphen/>
      </w:r>
      <w:r w:rsidR="00B3797E">
        <w:t xml:space="preserve">1 (definition of </w:t>
      </w:r>
      <w:r w:rsidR="00B3797E">
        <w:rPr>
          <w:i/>
        </w:rPr>
        <w:t>harm prevention charity</w:t>
      </w:r>
      <w:r w:rsidR="00B3797E">
        <w:t>)</w:t>
      </w:r>
    </w:p>
    <w:p w:rsidR="00B3797E" w:rsidRDefault="00B3797E" w:rsidP="006269B0">
      <w:pPr>
        <w:pStyle w:val="Item"/>
      </w:pPr>
      <w:r>
        <w:t>Repeal the definition.</w:t>
      </w:r>
    </w:p>
    <w:p w:rsidR="00501BAF" w:rsidRDefault="00014241" w:rsidP="006269B0">
      <w:pPr>
        <w:pStyle w:val="Transitional"/>
      </w:pPr>
      <w:r>
        <w:t>11</w:t>
      </w:r>
      <w:r w:rsidR="00501BAF">
        <w:t xml:space="preserve">  Transitional</w:t>
      </w:r>
    </w:p>
    <w:p w:rsidR="00501BAF" w:rsidRPr="00AC37B5" w:rsidRDefault="00501BAF" w:rsidP="006269B0">
      <w:pPr>
        <w:pStyle w:val="SubitemHead"/>
      </w:pPr>
      <w:r>
        <w:t>Harm prevention charities with DGR endorsement</w:t>
      </w:r>
    </w:p>
    <w:p w:rsidR="00501BAF" w:rsidRDefault="00501BAF" w:rsidP="006269B0">
      <w:pPr>
        <w:pStyle w:val="Subitem"/>
      </w:pPr>
      <w:r>
        <w:t>(1)</w:t>
      </w:r>
      <w:r>
        <w:tab/>
      </w:r>
      <w:r w:rsidR="0044369B">
        <w:t>Subitem (</w:t>
      </w:r>
      <w:r>
        <w:t>2) applies if, immediately before the commencement of this Part:</w:t>
      </w:r>
    </w:p>
    <w:p w:rsidR="00501BAF" w:rsidRDefault="00501BAF" w:rsidP="006269B0">
      <w:pPr>
        <w:pStyle w:val="paragraph"/>
      </w:pPr>
      <w:r>
        <w:tab/>
        <w:t>(a)</w:t>
      </w:r>
      <w:r>
        <w:tab/>
        <w:t>an entity and the public fund it maintains are on the register of harm prevention charities mentioned in section 30</w:t>
      </w:r>
      <w:r w:rsidR="006269B0">
        <w:noBreakHyphen/>
      </w:r>
      <w:r>
        <w:t xml:space="preserve">287 </w:t>
      </w:r>
      <w:r w:rsidRPr="00C70D8A">
        <w:t xml:space="preserve">of the </w:t>
      </w:r>
      <w:r w:rsidRPr="00C70D8A">
        <w:rPr>
          <w:i/>
        </w:rPr>
        <w:t>Income Tax Assessment Act 1997</w:t>
      </w:r>
      <w:r>
        <w:t>; and</w:t>
      </w:r>
    </w:p>
    <w:p w:rsidR="00501BAF" w:rsidRDefault="00501BAF" w:rsidP="006269B0">
      <w:pPr>
        <w:pStyle w:val="paragraph"/>
      </w:pPr>
      <w:r>
        <w:tab/>
        <w:t>(b)</w:t>
      </w:r>
      <w:r>
        <w:tab/>
        <w:t xml:space="preserve">the entity is endorsed as a deductible gift recipient for the operation of a fund, authority or institution under </w:t>
      </w:r>
      <w:r w:rsidR="0044369B">
        <w:t>paragraph 3</w:t>
      </w:r>
      <w:r>
        <w:t>0</w:t>
      </w:r>
      <w:r w:rsidR="006269B0">
        <w:noBreakHyphen/>
      </w:r>
      <w:r>
        <w:t>120(b) of that Act in respect of the operation of the public fund; and</w:t>
      </w:r>
    </w:p>
    <w:p w:rsidR="00501BAF" w:rsidRDefault="00501BAF" w:rsidP="006269B0">
      <w:pPr>
        <w:pStyle w:val="paragraph"/>
      </w:pPr>
      <w:r>
        <w:tab/>
        <w:t>(c)</w:t>
      </w:r>
      <w:r>
        <w:tab/>
        <w:t xml:space="preserve">the entity has rules (the </w:t>
      </w:r>
      <w:r>
        <w:rPr>
          <w:b/>
          <w:i/>
        </w:rPr>
        <w:t>winding up</w:t>
      </w:r>
      <w:r w:rsidRPr="00104758">
        <w:rPr>
          <w:b/>
          <w:i/>
        </w:rPr>
        <w:t xml:space="preserve"> provisions</w:t>
      </w:r>
      <w:r>
        <w:t xml:space="preserve">) </w:t>
      </w:r>
      <w:r w:rsidRPr="003F711B">
        <w:t xml:space="preserve">providing that, if the public fund is wound up, any surplus assets of the </w:t>
      </w:r>
      <w:r>
        <w:t xml:space="preserve">public </w:t>
      </w:r>
      <w:r w:rsidRPr="003F711B">
        <w:t>fund are to be transferred to another fund that is on the register</w:t>
      </w:r>
      <w:r>
        <w:t xml:space="preserve">, as required by </w:t>
      </w:r>
      <w:r w:rsidR="0044369B">
        <w:t>subsection 3</w:t>
      </w:r>
      <w:r>
        <w:t>0</w:t>
      </w:r>
      <w:r w:rsidR="006269B0">
        <w:noBreakHyphen/>
      </w:r>
      <w:r>
        <w:t>289A(2) of that Act.</w:t>
      </w:r>
    </w:p>
    <w:p w:rsidR="00501BAF" w:rsidRDefault="00501BAF" w:rsidP="006269B0">
      <w:pPr>
        <w:pStyle w:val="Subitem"/>
      </w:pPr>
      <w:r>
        <w:t>(2)</w:t>
      </w:r>
      <w:r>
        <w:tab/>
        <w:t>On and after the commencement of this Part:</w:t>
      </w:r>
    </w:p>
    <w:p w:rsidR="00501BAF" w:rsidRDefault="00501BAF" w:rsidP="006269B0">
      <w:pPr>
        <w:pStyle w:val="paragraph"/>
      </w:pPr>
      <w:r>
        <w:tab/>
        <w:t>(a)</w:t>
      </w:r>
      <w:r>
        <w:tab/>
        <w:t xml:space="preserve">treat the entity as being </w:t>
      </w:r>
      <w:r w:rsidRPr="00134A8E">
        <w:t xml:space="preserve">endorsed as a deductible gift recipient under </w:t>
      </w:r>
      <w:r w:rsidR="0044369B">
        <w:t>paragraph 3</w:t>
      </w:r>
      <w:r w:rsidRPr="00134A8E">
        <w:t>0</w:t>
      </w:r>
      <w:r w:rsidR="006269B0">
        <w:noBreakHyphen/>
      </w:r>
      <w:r w:rsidRPr="00134A8E">
        <w:t>120(</w:t>
      </w:r>
      <w:r>
        <w:t>a</w:t>
      </w:r>
      <w:r w:rsidRPr="00134A8E">
        <w:t>)</w:t>
      </w:r>
      <w:r>
        <w:t xml:space="preserve"> </w:t>
      </w:r>
      <w:r w:rsidRPr="00C70D8A">
        <w:t xml:space="preserve">of the </w:t>
      </w:r>
      <w:r w:rsidRPr="00C70D8A">
        <w:rPr>
          <w:i/>
        </w:rPr>
        <w:t>Income Tax Assessment Act 1997</w:t>
      </w:r>
      <w:r>
        <w:t xml:space="preserve"> based on </w:t>
      </w:r>
      <w:r w:rsidR="00A26921">
        <w:t>item 4</w:t>
      </w:r>
      <w:r>
        <w:t xml:space="preserve">.1.4 of the table in </w:t>
      </w:r>
      <w:r w:rsidR="0044369B">
        <w:t>subsection 3</w:t>
      </w:r>
      <w:r>
        <w:t>0</w:t>
      </w:r>
      <w:r w:rsidR="006269B0">
        <w:noBreakHyphen/>
      </w:r>
      <w:r>
        <w:t>45(1) of that Act; and</w:t>
      </w:r>
    </w:p>
    <w:p w:rsidR="00501BAF" w:rsidRDefault="00501BAF" w:rsidP="006269B0">
      <w:pPr>
        <w:pStyle w:val="paragraph"/>
      </w:pPr>
      <w:r>
        <w:tab/>
        <w:t>(b)</w:t>
      </w:r>
      <w:r>
        <w:tab/>
        <w:t>treat the public fund as being the entity’s gift fund mentioned in section 30</w:t>
      </w:r>
      <w:r w:rsidR="006269B0">
        <w:noBreakHyphen/>
      </w:r>
      <w:r>
        <w:t>130 of that Act, unless or until the entity establishes a replacement gift fund; and</w:t>
      </w:r>
    </w:p>
    <w:p w:rsidR="00501BAF" w:rsidRDefault="00501BAF" w:rsidP="006269B0">
      <w:pPr>
        <w:pStyle w:val="paragraph"/>
      </w:pPr>
      <w:r>
        <w:tab/>
        <w:t>(c)</w:t>
      </w:r>
      <w:r>
        <w:tab/>
        <w:t>treat the winding up provisions as providing that, if the public fund is wound up, any surplus assets of the public fund are to be transferred to a fund, authority or institution gifts to which can be deducted under Division 30 of that Act, unless or until the entity amends the winding up provisions.</w:t>
      </w:r>
    </w:p>
    <w:p w:rsidR="00501BAF" w:rsidRDefault="00501BAF" w:rsidP="006269B0">
      <w:pPr>
        <w:pStyle w:val="SubitemHead"/>
      </w:pPr>
      <w:r>
        <w:t>Harm prevention charities seeking DGR endorsement</w:t>
      </w:r>
    </w:p>
    <w:p w:rsidR="00501BAF" w:rsidRDefault="00501BAF" w:rsidP="006269B0">
      <w:pPr>
        <w:pStyle w:val="Subitem"/>
      </w:pPr>
      <w:r>
        <w:t>(3)</w:t>
      </w:r>
      <w:r>
        <w:tab/>
      </w:r>
      <w:r w:rsidR="0044369B">
        <w:t>Subitem (</w:t>
      </w:r>
      <w:r>
        <w:t>4) applies if, immediately before the commencement of this Part:</w:t>
      </w:r>
    </w:p>
    <w:p w:rsidR="00501BAF" w:rsidRDefault="00501BAF" w:rsidP="006269B0">
      <w:pPr>
        <w:pStyle w:val="paragraph"/>
      </w:pPr>
      <w:r>
        <w:tab/>
        <w:t>(a)</w:t>
      </w:r>
      <w:r>
        <w:tab/>
        <w:t>an entity and the public fund it maintains are on the register of harm prevention charities mentioned in section 30</w:t>
      </w:r>
      <w:r w:rsidR="006269B0">
        <w:noBreakHyphen/>
      </w:r>
      <w:r>
        <w:t xml:space="preserve">287 </w:t>
      </w:r>
      <w:r w:rsidRPr="00C70D8A">
        <w:t xml:space="preserve">of the </w:t>
      </w:r>
      <w:r w:rsidRPr="00C70D8A">
        <w:rPr>
          <w:i/>
        </w:rPr>
        <w:t>Income Tax Assessment Act 1997</w:t>
      </w:r>
      <w:r>
        <w:t>; and</w:t>
      </w:r>
    </w:p>
    <w:p w:rsidR="00501BAF" w:rsidRDefault="00501BAF" w:rsidP="006269B0">
      <w:pPr>
        <w:pStyle w:val="paragraph"/>
      </w:pPr>
      <w:r>
        <w:tab/>
        <w:t>(b)</w:t>
      </w:r>
      <w:r>
        <w:tab/>
        <w:t>the entity has applied under subsection 426</w:t>
      </w:r>
      <w:r w:rsidR="006269B0">
        <w:noBreakHyphen/>
      </w:r>
      <w:r>
        <w:t xml:space="preserve">15(1) in Schedule 1 to the </w:t>
      </w:r>
      <w:r w:rsidRPr="003B5A82">
        <w:rPr>
          <w:i/>
        </w:rPr>
        <w:t>Taxation Administration Act 1953</w:t>
      </w:r>
      <w:r>
        <w:rPr>
          <w:i/>
        </w:rPr>
        <w:t xml:space="preserve"> </w:t>
      </w:r>
      <w:r>
        <w:t xml:space="preserve">for endorsement as a deductible gift recipient for the operation of a fund, authority or institution under </w:t>
      </w:r>
      <w:r w:rsidR="0044369B">
        <w:t>paragraph 3</w:t>
      </w:r>
      <w:r>
        <w:t>0</w:t>
      </w:r>
      <w:r w:rsidR="006269B0">
        <w:noBreakHyphen/>
      </w:r>
      <w:r>
        <w:t xml:space="preserve">120(b) </w:t>
      </w:r>
      <w:r w:rsidRPr="00C70D8A">
        <w:t xml:space="preserve">of the </w:t>
      </w:r>
      <w:r w:rsidRPr="00C70D8A">
        <w:rPr>
          <w:i/>
        </w:rPr>
        <w:t>Income Tax Assessment Act 1997</w:t>
      </w:r>
      <w:r w:rsidRPr="002E12DB">
        <w:t xml:space="preserve"> </w:t>
      </w:r>
      <w:r>
        <w:t>in respect of the operation of the public fund; and</w:t>
      </w:r>
    </w:p>
    <w:p w:rsidR="00501BAF" w:rsidRDefault="00501BAF" w:rsidP="006269B0">
      <w:pPr>
        <w:pStyle w:val="paragraph"/>
      </w:pPr>
      <w:r>
        <w:tab/>
        <w:t>(c)</w:t>
      </w:r>
      <w:r>
        <w:tab/>
        <w:t xml:space="preserve">the Commissioner </w:t>
      </w:r>
      <w:r w:rsidRPr="00C70D8A">
        <w:t>has not given the applicant written notice that the Commissioner endorses or refuses to endorse the applicant</w:t>
      </w:r>
      <w:r>
        <w:t>.</w:t>
      </w:r>
    </w:p>
    <w:p w:rsidR="00501BAF" w:rsidRDefault="00501BAF" w:rsidP="006269B0">
      <w:pPr>
        <w:pStyle w:val="Subitem"/>
      </w:pPr>
      <w:r>
        <w:t>(4)</w:t>
      </w:r>
      <w:r>
        <w:tab/>
        <w:t>On and after the commencement of this Part:</w:t>
      </w:r>
    </w:p>
    <w:p w:rsidR="00501BAF" w:rsidRDefault="00501BAF" w:rsidP="006269B0">
      <w:pPr>
        <w:pStyle w:val="paragraph"/>
      </w:pPr>
      <w:r>
        <w:tab/>
        <w:t>(a)</w:t>
      </w:r>
      <w:r>
        <w:tab/>
        <w:t xml:space="preserve">treat the application as an application for </w:t>
      </w:r>
      <w:r w:rsidRPr="00134A8E">
        <w:t>endors</w:t>
      </w:r>
      <w:r>
        <w:t>ement</w:t>
      </w:r>
      <w:r w:rsidRPr="00134A8E">
        <w:t xml:space="preserve"> as a deductible gift recipient under </w:t>
      </w:r>
      <w:r w:rsidR="0044369B">
        <w:t>paragraph 3</w:t>
      </w:r>
      <w:r w:rsidRPr="00134A8E">
        <w:t>0</w:t>
      </w:r>
      <w:r w:rsidR="006269B0">
        <w:noBreakHyphen/>
      </w:r>
      <w:r w:rsidRPr="00134A8E">
        <w:t>120(</w:t>
      </w:r>
      <w:r>
        <w:t>a</w:t>
      </w:r>
      <w:r w:rsidRPr="00134A8E">
        <w:t>)</w:t>
      </w:r>
      <w:r>
        <w:t xml:space="preserve"> </w:t>
      </w:r>
      <w:r w:rsidRPr="002E12DB">
        <w:t xml:space="preserve">of the </w:t>
      </w:r>
      <w:r w:rsidRPr="002E12DB">
        <w:rPr>
          <w:i/>
        </w:rPr>
        <w:t>Income Tax Assessment Act 1997</w:t>
      </w:r>
      <w:r>
        <w:t xml:space="preserve"> based on </w:t>
      </w:r>
      <w:r w:rsidR="00A26921">
        <w:t>item 4</w:t>
      </w:r>
      <w:r>
        <w:t>.1.</w:t>
      </w:r>
      <w:r w:rsidR="00ED1F5B">
        <w:t>4</w:t>
      </w:r>
      <w:r>
        <w:t xml:space="preserve"> of the table in </w:t>
      </w:r>
      <w:r w:rsidR="0044369B">
        <w:t>subsection 3</w:t>
      </w:r>
      <w:r>
        <w:t>0</w:t>
      </w:r>
      <w:r w:rsidR="006269B0">
        <w:noBreakHyphen/>
      </w:r>
      <w:r w:rsidR="00ED1F5B">
        <w:t>4</w:t>
      </w:r>
      <w:r>
        <w:t>5(1) of that Act; and</w:t>
      </w:r>
    </w:p>
    <w:p w:rsidR="00501BAF" w:rsidRPr="00AF5311" w:rsidRDefault="00501BAF" w:rsidP="006269B0">
      <w:pPr>
        <w:pStyle w:val="paragraph"/>
      </w:pPr>
      <w:r>
        <w:tab/>
        <w:t>(b)</w:t>
      </w:r>
      <w:r>
        <w:tab/>
        <w:t>treat the public fund as being the entity’s gift fund mentioned in section 30</w:t>
      </w:r>
      <w:r w:rsidR="006269B0">
        <w:noBreakHyphen/>
      </w:r>
      <w:r>
        <w:t>130 of that Act, unless or until the entity establishes a replacement gift fund.</w:t>
      </w:r>
    </w:p>
    <w:p w:rsidR="00501BAF" w:rsidRPr="00AC37B5" w:rsidRDefault="00501BAF" w:rsidP="006269B0">
      <w:pPr>
        <w:pStyle w:val="SubitemHead"/>
      </w:pPr>
      <w:r>
        <w:t xml:space="preserve">Entities seeking entry on the register of </w:t>
      </w:r>
      <w:r w:rsidR="00A0466A">
        <w:t>harm prevention charities</w:t>
      </w:r>
    </w:p>
    <w:p w:rsidR="00501BAF" w:rsidRDefault="00501BAF" w:rsidP="006269B0">
      <w:pPr>
        <w:pStyle w:val="Subitem"/>
      </w:pPr>
      <w:r>
        <w:t>(5)</w:t>
      </w:r>
      <w:r>
        <w:tab/>
      </w:r>
      <w:r w:rsidR="0044369B">
        <w:t>Subitem (</w:t>
      </w:r>
      <w:r>
        <w:t>6) applies if, immediately before the commencement of this Part:</w:t>
      </w:r>
    </w:p>
    <w:p w:rsidR="00501BAF" w:rsidRDefault="00501BAF" w:rsidP="006269B0">
      <w:pPr>
        <w:pStyle w:val="paragraph"/>
      </w:pPr>
      <w:r>
        <w:tab/>
        <w:t>(a)</w:t>
      </w:r>
      <w:r>
        <w:tab/>
        <w:t xml:space="preserve">an entity has submitted a request (however described) to the department administered by the </w:t>
      </w:r>
      <w:r w:rsidR="00ED1F5B">
        <w:t>Families</w:t>
      </w:r>
      <w:r>
        <w:t xml:space="preserve"> </w:t>
      </w:r>
      <w:r w:rsidR="00ED1F5B">
        <w:t>Minister</w:t>
      </w:r>
      <w:r>
        <w:t xml:space="preserve"> seeking to be entered on the register of </w:t>
      </w:r>
      <w:r w:rsidR="00ED1F5B">
        <w:t xml:space="preserve">harm prevention charities </w:t>
      </w:r>
      <w:r>
        <w:t>mentioned in section 30</w:t>
      </w:r>
      <w:r w:rsidR="006269B0">
        <w:noBreakHyphen/>
      </w:r>
      <w:r w:rsidR="00ED1F5B">
        <w:t>287 of</w:t>
      </w:r>
      <w:r>
        <w:t xml:space="preserve"> </w:t>
      </w:r>
      <w:r w:rsidRPr="002E12DB">
        <w:t xml:space="preserve">the </w:t>
      </w:r>
      <w:r w:rsidRPr="002E12DB">
        <w:rPr>
          <w:i/>
        </w:rPr>
        <w:t>Income Tax Assessment Act 1997</w:t>
      </w:r>
      <w:r>
        <w:t>; and</w:t>
      </w:r>
    </w:p>
    <w:p w:rsidR="00501BAF" w:rsidRDefault="00501BAF" w:rsidP="006269B0">
      <w:pPr>
        <w:pStyle w:val="paragraph"/>
      </w:pPr>
      <w:r>
        <w:tab/>
        <w:t>(b)</w:t>
      </w:r>
      <w:r>
        <w:tab/>
        <w:t>the entity has not been notified by the department of the outcome of the request.</w:t>
      </w:r>
    </w:p>
    <w:p w:rsidR="00501BAF" w:rsidRDefault="00501BAF" w:rsidP="006269B0">
      <w:pPr>
        <w:pStyle w:val="Subitem"/>
      </w:pPr>
      <w:r>
        <w:t>(6)</w:t>
      </w:r>
      <w:r>
        <w:tab/>
        <w:t>On and after the commencement of this Part:</w:t>
      </w:r>
    </w:p>
    <w:p w:rsidR="00501BAF" w:rsidRDefault="00501BAF" w:rsidP="006269B0">
      <w:pPr>
        <w:pStyle w:val="paragraph"/>
      </w:pPr>
      <w:r>
        <w:tab/>
        <w:t>(a)</w:t>
      </w:r>
      <w:r>
        <w:tab/>
        <w:t>treat the request as an application under subsection 426</w:t>
      </w:r>
      <w:r w:rsidR="006269B0">
        <w:noBreakHyphen/>
      </w:r>
      <w:r>
        <w:t xml:space="preserve">15(1) in Schedule 1 to the </w:t>
      </w:r>
      <w:r w:rsidRPr="003B5A82">
        <w:rPr>
          <w:i/>
        </w:rPr>
        <w:t>Taxation Administration Act 1953</w:t>
      </w:r>
      <w:r>
        <w:rPr>
          <w:i/>
        </w:rPr>
        <w:t xml:space="preserve"> </w:t>
      </w:r>
      <w:r>
        <w:t xml:space="preserve">by the entity for endorsement as a deductible gift recipient under </w:t>
      </w:r>
      <w:r w:rsidR="0044369B">
        <w:t>paragraph 3</w:t>
      </w:r>
      <w:r>
        <w:t>0</w:t>
      </w:r>
      <w:r w:rsidR="006269B0">
        <w:noBreakHyphen/>
      </w:r>
      <w:r>
        <w:t xml:space="preserve">120(a) of the </w:t>
      </w:r>
      <w:r w:rsidRPr="000F571C">
        <w:rPr>
          <w:i/>
        </w:rPr>
        <w:t>Income Tax Assessment Act 1997</w:t>
      </w:r>
      <w:r w:rsidRPr="000F571C">
        <w:t xml:space="preserve"> based on </w:t>
      </w:r>
      <w:r w:rsidR="00A26921">
        <w:t>item 4</w:t>
      </w:r>
      <w:r w:rsidRPr="000F571C">
        <w:t>.1.</w:t>
      </w:r>
      <w:r w:rsidR="00ED1F5B">
        <w:t>4</w:t>
      </w:r>
      <w:r w:rsidRPr="000F571C">
        <w:t xml:space="preserve"> of the table in </w:t>
      </w:r>
      <w:r w:rsidR="0044369B">
        <w:t>subsection 3</w:t>
      </w:r>
      <w:r w:rsidRPr="000F571C">
        <w:t>0</w:t>
      </w:r>
      <w:r w:rsidR="006269B0">
        <w:noBreakHyphen/>
      </w:r>
      <w:r w:rsidR="00ED1F5B">
        <w:t>4</w:t>
      </w:r>
      <w:r w:rsidRPr="000F571C">
        <w:t>5(1)</w:t>
      </w:r>
      <w:r>
        <w:t xml:space="preserve"> of that Act; and</w:t>
      </w:r>
    </w:p>
    <w:p w:rsidR="00501BAF" w:rsidRDefault="00501BAF" w:rsidP="006269B0">
      <w:pPr>
        <w:pStyle w:val="paragraph"/>
      </w:pPr>
      <w:r>
        <w:tab/>
        <w:t>(b)</w:t>
      </w:r>
      <w:r>
        <w:tab/>
        <w:t>treat the application:</w:t>
      </w:r>
    </w:p>
    <w:p w:rsidR="00501BAF" w:rsidRDefault="00501BAF" w:rsidP="006269B0">
      <w:pPr>
        <w:pStyle w:val="paragraphsub"/>
      </w:pPr>
      <w:r>
        <w:tab/>
        <w:t>(i)</w:t>
      </w:r>
      <w:r>
        <w:tab/>
        <w:t>as having been made on the commencement of this Part; and</w:t>
      </w:r>
    </w:p>
    <w:p w:rsidR="00501BAF" w:rsidRPr="008B5549" w:rsidRDefault="00501BAF" w:rsidP="006269B0">
      <w:pPr>
        <w:pStyle w:val="paragraphsub"/>
      </w:pPr>
      <w:r>
        <w:tab/>
        <w:t>(ii)</w:t>
      </w:r>
      <w:r>
        <w:tab/>
        <w:t>as meeting the requirements set out in subsection 426</w:t>
      </w:r>
      <w:r w:rsidR="006269B0">
        <w:noBreakHyphen/>
      </w:r>
      <w:r>
        <w:t xml:space="preserve">15(2) in Schedule 1 to the </w:t>
      </w:r>
      <w:r w:rsidRPr="003B5A82">
        <w:rPr>
          <w:i/>
        </w:rPr>
        <w:t>Taxation Administration Act 1953</w:t>
      </w:r>
      <w:r>
        <w:t>.</w:t>
      </w:r>
    </w:p>
    <w:p w:rsidR="006C53A7" w:rsidRPr="00B3797E" w:rsidRDefault="007B165E" w:rsidP="006269B0">
      <w:pPr>
        <w:pStyle w:val="ActHead7"/>
        <w:pageBreakBefore/>
      </w:pPr>
      <w:r w:rsidRPr="00AE4F3F">
        <w:rPr>
          <w:rStyle w:val="CharAmPartNo"/>
        </w:rPr>
        <w:t>Part 3</w:t>
      </w:r>
      <w:r w:rsidR="00B3797E">
        <w:t>—</w:t>
      </w:r>
      <w:r w:rsidR="00B3797E" w:rsidRPr="00AE4F3F">
        <w:rPr>
          <w:rStyle w:val="CharAmPartText"/>
        </w:rPr>
        <w:t>Cultural organisations</w:t>
      </w:r>
    </w:p>
    <w:p w:rsidR="00FF6610" w:rsidRPr="009B6E10" w:rsidRDefault="00FF6610" w:rsidP="006269B0">
      <w:pPr>
        <w:pStyle w:val="ActHead9"/>
      </w:pPr>
      <w:r>
        <w:t>Income Tax Assessment Act 1997</w:t>
      </w:r>
    </w:p>
    <w:p w:rsidR="00F67AED" w:rsidRDefault="00014241" w:rsidP="006269B0">
      <w:pPr>
        <w:pStyle w:val="ItemHead"/>
      </w:pPr>
      <w:r>
        <w:t>12</w:t>
      </w:r>
      <w:r w:rsidR="00F67AED">
        <w:t xml:space="preserve">  </w:t>
      </w:r>
      <w:r w:rsidR="007B165E">
        <w:t>Sub</w:t>
      </w:r>
      <w:r w:rsidR="00C06F39">
        <w:t>section 3</w:t>
      </w:r>
      <w:r w:rsidR="00F67AED">
        <w:t>0</w:t>
      </w:r>
      <w:r w:rsidR="006269B0">
        <w:noBreakHyphen/>
      </w:r>
      <w:r w:rsidR="00F67AED">
        <w:t xml:space="preserve">100(1) (table </w:t>
      </w:r>
      <w:r w:rsidR="0044369B">
        <w:t>item 1</w:t>
      </w:r>
      <w:r w:rsidR="00F67AED">
        <w:t>2.1.1)</w:t>
      </w:r>
    </w:p>
    <w:p w:rsidR="00F67AED" w:rsidRDefault="00F67AED" w:rsidP="006269B0">
      <w:pPr>
        <w:pStyle w:val="Item"/>
      </w:pPr>
      <w:r>
        <w:t>Repeal the item, substitute:</w:t>
      </w:r>
    </w:p>
    <w:tbl>
      <w:tblPr>
        <w:tblW w:w="7230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1"/>
        <w:gridCol w:w="1893"/>
        <w:gridCol w:w="2926"/>
        <w:gridCol w:w="1560"/>
      </w:tblGrid>
      <w:tr w:rsidR="00F67AED" w:rsidRPr="008F2B0D" w:rsidTr="001E238A"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67AED" w:rsidRPr="00B17842" w:rsidRDefault="00F67AED" w:rsidP="006269B0">
            <w:pPr>
              <w:pStyle w:val="Tabletext"/>
            </w:pPr>
            <w:r w:rsidRPr="00B17842">
              <w:t>12.1.1</w:t>
            </w:r>
          </w:p>
        </w:tc>
        <w:tc>
          <w:tcPr>
            <w:tcW w:w="18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67AED" w:rsidRPr="00B17842" w:rsidRDefault="00BA284C" w:rsidP="006269B0">
            <w:pPr>
              <w:pStyle w:val="Tabletext"/>
            </w:pPr>
            <w:r w:rsidRPr="00BA284C">
              <w:t>a</w:t>
            </w:r>
            <w:r w:rsidR="00992B87">
              <w:t>n</w:t>
            </w:r>
            <w:r w:rsidRPr="00BA284C">
              <w:t xml:space="preserve"> institution or </w:t>
            </w:r>
            <w:r w:rsidR="006269B0" w:rsidRPr="006269B0">
              <w:rPr>
                <w:position w:val="6"/>
                <w:sz w:val="16"/>
              </w:rPr>
              <w:t>*</w:t>
            </w:r>
            <w:r w:rsidR="004855F6" w:rsidRPr="004855F6">
              <w:t>Australian government agency</w:t>
            </w:r>
            <w:r w:rsidRPr="00BA284C">
              <w:t xml:space="preserve"> whose principal purpose is</w:t>
            </w:r>
            <w:r>
              <w:t xml:space="preserve"> </w:t>
            </w:r>
            <w:r w:rsidR="00F67AED">
              <w:t xml:space="preserve">the promotion of </w:t>
            </w:r>
            <w:r w:rsidR="00F67AED" w:rsidRPr="00F67AED">
              <w:t xml:space="preserve">literature, music, a performing art, a visual art, a craft, design, film, video, television, radio, community arts, arts or languages of </w:t>
            </w:r>
            <w:r w:rsidR="006269B0" w:rsidRPr="006269B0">
              <w:rPr>
                <w:position w:val="6"/>
                <w:sz w:val="16"/>
              </w:rPr>
              <w:t>*</w:t>
            </w:r>
            <w:r w:rsidR="00F67AED" w:rsidRPr="00F67AED">
              <w:t>Indigenous persons or movable cultural heritage</w:t>
            </w:r>
          </w:p>
        </w:tc>
        <w:tc>
          <w:tcPr>
            <w:tcW w:w="29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67AED" w:rsidRDefault="00F67AED" w:rsidP="006269B0">
            <w:pPr>
              <w:pStyle w:val="Tabletext"/>
            </w:pPr>
            <w:r>
              <w:t xml:space="preserve">the </w:t>
            </w:r>
            <w:r w:rsidR="00BA284C">
              <w:t xml:space="preserve">institution or </w:t>
            </w:r>
            <w:r w:rsidR="004855F6" w:rsidRPr="004855F6">
              <w:t>Australian government agency</w:t>
            </w:r>
            <w:r w:rsidR="00F5489D">
              <w:t xml:space="preserve"> must</w:t>
            </w:r>
            <w:r>
              <w:t>:</w:t>
            </w:r>
          </w:p>
          <w:p w:rsidR="00285D36" w:rsidRDefault="00285D36" w:rsidP="006269B0">
            <w:pPr>
              <w:pStyle w:val="Tablea"/>
            </w:pPr>
            <w:r w:rsidRPr="00285D36">
              <w:t>(</w:t>
            </w:r>
            <w:r>
              <w:t>a</w:t>
            </w:r>
            <w:r w:rsidRPr="00285D36">
              <w:t xml:space="preserve">) if it is not an Australian government agency—be a </w:t>
            </w:r>
            <w:r w:rsidR="006269B0" w:rsidRPr="006269B0">
              <w:rPr>
                <w:position w:val="6"/>
                <w:sz w:val="16"/>
              </w:rPr>
              <w:t>*</w:t>
            </w:r>
            <w:r w:rsidRPr="00285D36">
              <w:t>registered charity</w:t>
            </w:r>
            <w:r>
              <w:t>; and</w:t>
            </w:r>
          </w:p>
          <w:p w:rsidR="00BA284C" w:rsidRPr="00992B87" w:rsidRDefault="00992B87" w:rsidP="006269B0">
            <w:pPr>
              <w:pStyle w:val="Tablea"/>
            </w:pPr>
            <w:r w:rsidRPr="00992B87">
              <w:t>(</w:t>
            </w:r>
            <w:r w:rsidR="00285D36">
              <w:t>b</w:t>
            </w:r>
            <w:r w:rsidRPr="00992B87">
              <w:t xml:space="preserve">) meet the requirements of </w:t>
            </w:r>
            <w:r w:rsidR="00C06F39">
              <w:t>section 3</w:t>
            </w:r>
            <w:r w:rsidRPr="00992B87">
              <w:t>0</w:t>
            </w:r>
            <w:r w:rsidR="006269B0">
              <w:noBreakHyphen/>
            </w:r>
            <w:r w:rsidRPr="00992B87">
              <w:t>130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67AED" w:rsidRPr="00B17842" w:rsidRDefault="00DF1EE5" w:rsidP="006269B0">
            <w:pPr>
              <w:pStyle w:val="Tabletext"/>
            </w:pPr>
            <w:r w:rsidRPr="00DF1EE5">
              <w:t xml:space="preserve">the gift must be received by the gift fund (mentioned in </w:t>
            </w:r>
            <w:r w:rsidR="00C06F39">
              <w:t>section 3</w:t>
            </w:r>
            <w:r w:rsidRPr="00DF1EE5">
              <w:t>0</w:t>
            </w:r>
            <w:r w:rsidR="006269B0">
              <w:noBreakHyphen/>
            </w:r>
            <w:r w:rsidRPr="00DF1EE5">
              <w:t xml:space="preserve">130) of the institution or </w:t>
            </w:r>
            <w:r w:rsidR="004855F6" w:rsidRPr="004855F6">
              <w:t>Australian government agency</w:t>
            </w:r>
          </w:p>
        </w:tc>
      </w:tr>
    </w:tbl>
    <w:p w:rsidR="00427743" w:rsidRDefault="00014241" w:rsidP="006269B0">
      <w:pPr>
        <w:pStyle w:val="ItemHead"/>
      </w:pPr>
      <w:r>
        <w:t>13</w:t>
      </w:r>
      <w:r w:rsidR="00427743">
        <w:t xml:space="preserve">  </w:t>
      </w:r>
      <w:r w:rsidR="007B165E">
        <w:t>Subdivision 3</w:t>
      </w:r>
      <w:r w:rsidR="00427743">
        <w:t>0</w:t>
      </w:r>
      <w:r w:rsidR="006269B0">
        <w:noBreakHyphen/>
      </w:r>
      <w:r w:rsidR="00427743">
        <w:t>F</w:t>
      </w:r>
    </w:p>
    <w:p w:rsidR="00427743" w:rsidRDefault="00427743" w:rsidP="006269B0">
      <w:pPr>
        <w:pStyle w:val="Item"/>
      </w:pPr>
      <w:r>
        <w:t>Repeal the Subdivision.</w:t>
      </w:r>
    </w:p>
    <w:p w:rsidR="00427743" w:rsidRDefault="00014241" w:rsidP="006269B0">
      <w:pPr>
        <w:pStyle w:val="ItemHead"/>
      </w:pPr>
      <w:r>
        <w:t>14</w:t>
      </w:r>
      <w:r w:rsidR="00427743">
        <w:t xml:space="preserve">  </w:t>
      </w:r>
      <w:r w:rsidR="007B165E">
        <w:t>Sub</w:t>
      </w:r>
      <w:r w:rsidR="00C06F39">
        <w:t>section 3</w:t>
      </w:r>
      <w:r w:rsidR="00427743">
        <w:t>0</w:t>
      </w:r>
      <w:r w:rsidR="006269B0">
        <w:noBreakHyphen/>
      </w:r>
      <w:r w:rsidR="00427743">
        <w:t xml:space="preserve">315(2) (table </w:t>
      </w:r>
      <w:r w:rsidR="00A26921">
        <w:t>item 4</w:t>
      </w:r>
      <w:r w:rsidR="00427743">
        <w:t>3)</w:t>
      </w:r>
    </w:p>
    <w:p w:rsidR="00427743" w:rsidRDefault="00427743" w:rsidP="006269B0">
      <w:pPr>
        <w:pStyle w:val="Item"/>
      </w:pPr>
      <w:r>
        <w:t>Repeal the item.</w:t>
      </w:r>
    </w:p>
    <w:p w:rsidR="00427743" w:rsidRDefault="00014241" w:rsidP="006269B0">
      <w:pPr>
        <w:pStyle w:val="ItemHead"/>
      </w:pPr>
      <w:r>
        <w:t>15</w:t>
      </w:r>
      <w:r w:rsidR="00427743">
        <w:t xml:space="preserve">  </w:t>
      </w:r>
      <w:r w:rsidR="007B165E">
        <w:t>Section 9</w:t>
      </w:r>
      <w:r w:rsidR="00427743">
        <w:t>95</w:t>
      </w:r>
      <w:r w:rsidR="006269B0">
        <w:noBreakHyphen/>
      </w:r>
      <w:r w:rsidR="00427743">
        <w:t xml:space="preserve">1 (definition of </w:t>
      </w:r>
      <w:r w:rsidR="00427743">
        <w:rPr>
          <w:i/>
        </w:rPr>
        <w:t>cultural organisation</w:t>
      </w:r>
      <w:r w:rsidR="00427743">
        <w:t>)</w:t>
      </w:r>
    </w:p>
    <w:p w:rsidR="00427743" w:rsidRDefault="00427743" w:rsidP="006269B0">
      <w:pPr>
        <w:pStyle w:val="Item"/>
      </w:pPr>
      <w:r>
        <w:t>Repeal the definition.</w:t>
      </w:r>
    </w:p>
    <w:p w:rsidR="00ED1F5B" w:rsidRDefault="00014241" w:rsidP="006269B0">
      <w:pPr>
        <w:pStyle w:val="Transitional"/>
      </w:pPr>
      <w:r>
        <w:t>16</w:t>
      </w:r>
      <w:r w:rsidR="00ED1F5B">
        <w:t xml:space="preserve">  Transitional</w:t>
      </w:r>
    </w:p>
    <w:p w:rsidR="00ED1F5B" w:rsidRPr="00AC37B5" w:rsidRDefault="00ED1F5B" w:rsidP="006269B0">
      <w:pPr>
        <w:pStyle w:val="SubitemHead"/>
      </w:pPr>
      <w:r>
        <w:t>Cultural organisations with DGR endorsement</w:t>
      </w:r>
    </w:p>
    <w:p w:rsidR="00ED1F5B" w:rsidRDefault="00ED1F5B" w:rsidP="006269B0">
      <w:pPr>
        <w:pStyle w:val="Subitem"/>
      </w:pPr>
      <w:r>
        <w:t>(1)</w:t>
      </w:r>
      <w:r>
        <w:tab/>
      </w:r>
      <w:r w:rsidR="0044369B">
        <w:t>Subitem (</w:t>
      </w:r>
      <w:r>
        <w:t>2) applies if, immediately before the commencement of this Part:</w:t>
      </w:r>
    </w:p>
    <w:p w:rsidR="00ED1F5B" w:rsidRDefault="00ED1F5B" w:rsidP="006269B0">
      <w:pPr>
        <w:pStyle w:val="paragraph"/>
      </w:pPr>
      <w:r>
        <w:tab/>
        <w:t>(a)</w:t>
      </w:r>
      <w:r>
        <w:tab/>
        <w:t>an entity and the public fund it maintains are on the register of cultural organisations mentioned in section 30</w:t>
      </w:r>
      <w:r w:rsidR="006269B0">
        <w:noBreakHyphen/>
      </w:r>
      <w:r>
        <w:t xml:space="preserve">295 </w:t>
      </w:r>
      <w:r w:rsidRPr="00C70D8A">
        <w:t xml:space="preserve">of the </w:t>
      </w:r>
      <w:r w:rsidRPr="00C70D8A">
        <w:rPr>
          <w:i/>
        </w:rPr>
        <w:t>Income Tax Assessment Act 1997</w:t>
      </w:r>
      <w:r>
        <w:t>; and</w:t>
      </w:r>
    </w:p>
    <w:p w:rsidR="00ED1F5B" w:rsidRDefault="00ED1F5B" w:rsidP="006269B0">
      <w:pPr>
        <w:pStyle w:val="paragraph"/>
      </w:pPr>
      <w:r>
        <w:tab/>
        <w:t>(b)</w:t>
      </w:r>
      <w:r>
        <w:tab/>
        <w:t xml:space="preserve">the entity is endorsed as a deductible gift recipient for the operation of a fund, authority or institution under </w:t>
      </w:r>
      <w:r w:rsidR="0044369B">
        <w:t>paragraph 3</w:t>
      </w:r>
      <w:r>
        <w:t>0</w:t>
      </w:r>
      <w:r w:rsidR="006269B0">
        <w:noBreakHyphen/>
      </w:r>
      <w:r>
        <w:t>120(b) of that Act in respect of the operation of the public fund.</w:t>
      </w:r>
    </w:p>
    <w:p w:rsidR="00ED1F5B" w:rsidRDefault="00ED1F5B" w:rsidP="006269B0">
      <w:pPr>
        <w:pStyle w:val="Subitem"/>
      </w:pPr>
      <w:r>
        <w:t>(2)</w:t>
      </w:r>
      <w:r>
        <w:tab/>
        <w:t>On and after the commencement of this Part:</w:t>
      </w:r>
    </w:p>
    <w:p w:rsidR="00ED1F5B" w:rsidRDefault="00ED1F5B" w:rsidP="006269B0">
      <w:pPr>
        <w:pStyle w:val="paragraph"/>
      </w:pPr>
      <w:r>
        <w:tab/>
        <w:t>(a)</w:t>
      </w:r>
      <w:r>
        <w:tab/>
        <w:t xml:space="preserve">treat the entity as being </w:t>
      </w:r>
      <w:r w:rsidRPr="00134A8E">
        <w:t xml:space="preserve">endorsed as a deductible gift recipient under </w:t>
      </w:r>
      <w:r w:rsidR="0044369B">
        <w:t>paragraph 3</w:t>
      </w:r>
      <w:r w:rsidRPr="00134A8E">
        <w:t>0</w:t>
      </w:r>
      <w:r w:rsidR="006269B0">
        <w:noBreakHyphen/>
      </w:r>
      <w:r w:rsidRPr="00134A8E">
        <w:t>120(</w:t>
      </w:r>
      <w:r>
        <w:t>a</w:t>
      </w:r>
      <w:r w:rsidRPr="00134A8E">
        <w:t>)</w:t>
      </w:r>
      <w:r>
        <w:t xml:space="preserve"> </w:t>
      </w:r>
      <w:r w:rsidRPr="00C70D8A">
        <w:t xml:space="preserve">of the </w:t>
      </w:r>
      <w:r w:rsidRPr="00C70D8A">
        <w:rPr>
          <w:i/>
        </w:rPr>
        <w:t>Income Tax Assessment Act 1997</w:t>
      </w:r>
      <w:r>
        <w:t xml:space="preserve"> based on </w:t>
      </w:r>
      <w:r w:rsidR="0044369B">
        <w:t>item 1</w:t>
      </w:r>
      <w:r w:rsidR="00A0466A">
        <w:t>2</w:t>
      </w:r>
      <w:r>
        <w:t xml:space="preserve">.1.1 of the table in </w:t>
      </w:r>
      <w:r w:rsidR="0044369B">
        <w:t>subsection 3</w:t>
      </w:r>
      <w:r>
        <w:t>0</w:t>
      </w:r>
      <w:r w:rsidR="006269B0">
        <w:noBreakHyphen/>
      </w:r>
      <w:r w:rsidR="00A0466A">
        <w:t>100</w:t>
      </w:r>
      <w:r>
        <w:t>(1) of that Act; and</w:t>
      </w:r>
    </w:p>
    <w:p w:rsidR="00ED1F5B" w:rsidRDefault="00ED1F5B" w:rsidP="006269B0">
      <w:pPr>
        <w:pStyle w:val="paragraph"/>
      </w:pPr>
      <w:r>
        <w:tab/>
        <w:t>(b)</w:t>
      </w:r>
      <w:r>
        <w:tab/>
        <w:t>treat the public fund as being the entity’s gift fund mentioned in section 30</w:t>
      </w:r>
      <w:r w:rsidR="006269B0">
        <w:noBreakHyphen/>
      </w:r>
      <w:r>
        <w:t>130 of that Act, unless or until the entity establishes a replacement gift fund.</w:t>
      </w:r>
    </w:p>
    <w:p w:rsidR="00ED1F5B" w:rsidRDefault="00A0466A" w:rsidP="006269B0">
      <w:pPr>
        <w:pStyle w:val="SubitemHead"/>
      </w:pPr>
      <w:r>
        <w:t>Cultural</w:t>
      </w:r>
      <w:r w:rsidR="00ED1F5B">
        <w:t xml:space="preserve"> organisations seeking DGR endorsement</w:t>
      </w:r>
    </w:p>
    <w:p w:rsidR="00ED1F5B" w:rsidRDefault="00ED1F5B" w:rsidP="006269B0">
      <w:pPr>
        <w:pStyle w:val="Subitem"/>
      </w:pPr>
      <w:r>
        <w:t>(3)</w:t>
      </w:r>
      <w:r>
        <w:tab/>
      </w:r>
      <w:r w:rsidR="0044369B">
        <w:t>Subitem (</w:t>
      </w:r>
      <w:r>
        <w:t>4) applies if, immediately before the commencement of this Part:</w:t>
      </w:r>
    </w:p>
    <w:p w:rsidR="00ED1F5B" w:rsidRDefault="00ED1F5B" w:rsidP="006269B0">
      <w:pPr>
        <w:pStyle w:val="paragraph"/>
      </w:pPr>
      <w:r>
        <w:tab/>
        <w:t>(a)</w:t>
      </w:r>
      <w:r>
        <w:tab/>
        <w:t xml:space="preserve">an entity and the public fund it maintains are on the register of </w:t>
      </w:r>
      <w:r w:rsidR="00A0466A">
        <w:t>cultural</w:t>
      </w:r>
      <w:r>
        <w:t xml:space="preserve"> organisations mentioned in section 30</w:t>
      </w:r>
      <w:r w:rsidR="006269B0">
        <w:noBreakHyphen/>
      </w:r>
      <w:r>
        <w:t>2</w:t>
      </w:r>
      <w:r w:rsidR="00A0466A">
        <w:t>9</w:t>
      </w:r>
      <w:r>
        <w:t xml:space="preserve">5 </w:t>
      </w:r>
      <w:r w:rsidRPr="00C70D8A">
        <w:t xml:space="preserve">of the </w:t>
      </w:r>
      <w:r w:rsidRPr="00C70D8A">
        <w:rPr>
          <w:i/>
        </w:rPr>
        <w:t>Income Tax Assessment Act 1997</w:t>
      </w:r>
      <w:r>
        <w:t>; and</w:t>
      </w:r>
    </w:p>
    <w:p w:rsidR="00ED1F5B" w:rsidRDefault="00ED1F5B" w:rsidP="006269B0">
      <w:pPr>
        <w:pStyle w:val="paragraph"/>
      </w:pPr>
      <w:r>
        <w:tab/>
        <w:t>(b)</w:t>
      </w:r>
      <w:r>
        <w:tab/>
        <w:t>the entity has applied under subsection 426</w:t>
      </w:r>
      <w:r w:rsidR="006269B0">
        <w:noBreakHyphen/>
      </w:r>
      <w:r>
        <w:t xml:space="preserve">15(1) in Schedule 1 to the </w:t>
      </w:r>
      <w:r w:rsidRPr="003B5A82">
        <w:rPr>
          <w:i/>
        </w:rPr>
        <w:t>Taxation Administration Act 1953</w:t>
      </w:r>
      <w:r>
        <w:rPr>
          <w:i/>
        </w:rPr>
        <w:t xml:space="preserve"> </w:t>
      </w:r>
      <w:r>
        <w:t xml:space="preserve">for endorsement as a deductible gift recipient for the operation of a fund, authority or institution under </w:t>
      </w:r>
      <w:r w:rsidR="0044369B">
        <w:t>paragraph 3</w:t>
      </w:r>
      <w:r>
        <w:t>0</w:t>
      </w:r>
      <w:r w:rsidR="006269B0">
        <w:noBreakHyphen/>
      </w:r>
      <w:r>
        <w:t xml:space="preserve">120(b) </w:t>
      </w:r>
      <w:r w:rsidRPr="00C70D8A">
        <w:t xml:space="preserve">of the </w:t>
      </w:r>
      <w:r w:rsidRPr="00C70D8A">
        <w:rPr>
          <w:i/>
        </w:rPr>
        <w:t>Income Tax Assessment Act 1997</w:t>
      </w:r>
      <w:r w:rsidRPr="002E12DB">
        <w:t xml:space="preserve"> </w:t>
      </w:r>
      <w:r>
        <w:t>in respect of the operation of the public fund; and</w:t>
      </w:r>
    </w:p>
    <w:p w:rsidR="00ED1F5B" w:rsidRDefault="00ED1F5B" w:rsidP="006269B0">
      <w:pPr>
        <w:pStyle w:val="paragraph"/>
      </w:pPr>
      <w:r>
        <w:tab/>
        <w:t>(c)</w:t>
      </w:r>
      <w:r>
        <w:tab/>
        <w:t xml:space="preserve">the Commissioner </w:t>
      </w:r>
      <w:r w:rsidRPr="00C70D8A">
        <w:t>has not given the applicant written notice that the Commissioner endorses or refuses to endorse the applicant</w:t>
      </w:r>
      <w:r>
        <w:t>.</w:t>
      </w:r>
    </w:p>
    <w:p w:rsidR="00ED1F5B" w:rsidRDefault="00ED1F5B" w:rsidP="006269B0">
      <w:pPr>
        <w:pStyle w:val="Subitem"/>
      </w:pPr>
      <w:r>
        <w:t>(4)</w:t>
      </w:r>
      <w:r>
        <w:tab/>
        <w:t>On and after the commencement of this Part:</w:t>
      </w:r>
    </w:p>
    <w:p w:rsidR="00ED1F5B" w:rsidRDefault="00ED1F5B" w:rsidP="006269B0">
      <w:pPr>
        <w:pStyle w:val="paragraph"/>
      </w:pPr>
      <w:r>
        <w:tab/>
        <w:t>(a)</w:t>
      </w:r>
      <w:r>
        <w:tab/>
        <w:t xml:space="preserve">treat the application as an application for </w:t>
      </w:r>
      <w:r w:rsidRPr="00134A8E">
        <w:t>endors</w:t>
      </w:r>
      <w:r>
        <w:t>ement</w:t>
      </w:r>
      <w:r w:rsidRPr="00134A8E">
        <w:t xml:space="preserve"> as a deductible gift recipient under </w:t>
      </w:r>
      <w:r w:rsidR="0044369B">
        <w:t>paragraph 3</w:t>
      </w:r>
      <w:r w:rsidRPr="00134A8E">
        <w:t>0</w:t>
      </w:r>
      <w:r w:rsidR="006269B0">
        <w:noBreakHyphen/>
      </w:r>
      <w:r w:rsidRPr="00134A8E">
        <w:t>120(</w:t>
      </w:r>
      <w:r>
        <w:t>a</w:t>
      </w:r>
      <w:r w:rsidRPr="00134A8E">
        <w:t>)</w:t>
      </w:r>
      <w:r>
        <w:t xml:space="preserve"> </w:t>
      </w:r>
      <w:r w:rsidRPr="002E12DB">
        <w:t xml:space="preserve">of the </w:t>
      </w:r>
      <w:r w:rsidRPr="002E12DB">
        <w:rPr>
          <w:i/>
        </w:rPr>
        <w:t>Income Tax Assessment Act 1997</w:t>
      </w:r>
      <w:r>
        <w:t xml:space="preserve"> based on </w:t>
      </w:r>
      <w:r w:rsidR="0044369B">
        <w:t>item 1</w:t>
      </w:r>
      <w:r w:rsidR="00A0466A">
        <w:t>2</w:t>
      </w:r>
      <w:r>
        <w:t xml:space="preserve">.1.1 of the table in </w:t>
      </w:r>
      <w:r w:rsidR="0044369B">
        <w:t>subsection 3</w:t>
      </w:r>
      <w:r>
        <w:t>0</w:t>
      </w:r>
      <w:r w:rsidR="006269B0">
        <w:noBreakHyphen/>
      </w:r>
      <w:r w:rsidR="00A0466A">
        <w:t>100</w:t>
      </w:r>
      <w:r>
        <w:t>(1) of that Act; and</w:t>
      </w:r>
    </w:p>
    <w:p w:rsidR="00ED1F5B" w:rsidRPr="00AF5311" w:rsidRDefault="00ED1F5B" w:rsidP="006269B0">
      <w:pPr>
        <w:pStyle w:val="paragraph"/>
      </w:pPr>
      <w:r>
        <w:tab/>
        <w:t>(b)</w:t>
      </w:r>
      <w:r>
        <w:tab/>
        <w:t>treat the public fund as being the entity’s gift fund mentioned in section 30</w:t>
      </w:r>
      <w:r w:rsidR="006269B0">
        <w:noBreakHyphen/>
      </w:r>
      <w:r>
        <w:t>130 of that Act, unless or until the entity establishes a replacement gift fund.</w:t>
      </w:r>
    </w:p>
    <w:p w:rsidR="00ED1F5B" w:rsidRPr="00AC37B5" w:rsidRDefault="00ED1F5B" w:rsidP="006269B0">
      <w:pPr>
        <w:pStyle w:val="SubitemHead"/>
      </w:pPr>
      <w:r>
        <w:t xml:space="preserve">Entities seeking entry on the register of </w:t>
      </w:r>
      <w:r w:rsidR="00A0466A">
        <w:t>cultural</w:t>
      </w:r>
      <w:r>
        <w:t xml:space="preserve"> organisations</w:t>
      </w:r>
    </w:p>
    <w:p w:rsidR="00ED1F5B" w:rsidRDefault="00ED1F5B" w:rsidP="006269B0">
      <w:pPr>
        <w:pStyle w:val="Subitem"/>
      </w:pPr>
      <w:r>
        <w:t>(5)</w:t>
      </w:r>
      <w:r>
        <w:tab/>
      </w:r>
      <w:r w:rsidR="0044369B">
        <w:t>Subitem (</w:t>
      </w:r>
      <w:r>
        <w:t>6) applies if, immediately before the commencement of this Part:</w:t>
      </w:r>
    </w:p>
    <w:p w:rsidR="00ED1F5B" w:rsidRDefault="00ED1F5B" w:rsidP="006269B0">
      <w:pPr>
        <w:pStyle w:val="paragraph"/>
      </w:pPr>
      <w:r>
        <w:tab/>
        <w:t>(a)</w:t>
      </w:r>
      <w:r>
        <w:tab/>
        <w:t xml:space="preserve">an entity has submitted a request (however described) to the department administered by the </w:t>
      </w:r>
      <w:r w:rsidR="00A0466A">
        <w:t>Arts</w:t>
      </w:r>
      <w:r>
        <w:t xml:space="preserve"> Minister seeking to be entered on the register of </w:t>
      </w:r>
      <w:r w:rsidR="00A0466A">
        <w:t>cultural</w:t>
      </w:r>
      <w:r>
        <w:t xml:space="preserve"> organisations mentioned in section 30</w:t>
      </w:r>
      <w:r w:rsidR="006269B0">
        <w:noBreakHyphen/>
      </w:r>
      <w:r>
        <w:t>2</w:t>
      </w:r>
      <w:r w:rsidR="00A0466A">
        <w:t>9</w:t>
      </w:r>
      <w:r>
        <w:t xml:space="preserve">5 of </w:t>
      </w:r>
      <w:r w:rsidRPr="002E12DB">
        <w:t xml:space="preserve">the </w:t>
      </w:r>
      <w:r w:rsidRPr="002E12DB">
        <w:rPr>
          <w:i/>
        </w:rPr>
        <w:t>Income Tax Assessment Act 1997</w:t>
      </w:r>
      <w:r>
        <w:t>; and</w:t>
      </w:r>
    </w:p>
    <w:p w:rsidR="00ED1F5B" w:rsidRDefault="00ED1F5B" w:rsidP="006269B0">
      <w:pPr>
        <w:pStyle w:val="paragraph"/>
      </w:pPr>
      <w:r>
        <w:tab/>
        <w:t>(b)</w:t>
      </w:r>
      <w:r>
        <w:tab/>
        <w:t>the entity has not been notified by the department of the outcome of the request.</w:t>
      </w:r>
    </w:p>
    <w:p w:rsidR="00ED1F5B" w:rsidRDefault="00ED1F5B" w:rsidP="006269B0">
      <w:pPr>
        <w:pStyle w:val="Subitem"/>
      </w:pPr>
      <w:r>
        <w:t>(6)</w:t>
      </w:r>
      <w:r>
        <w:tab/>
        <w:t>On and after the commencement of this Part:</w:t>
      </w:r>
    </w:p>
    <w:p w:rsidR="00ED1F5B" w:rsidRDefault="00ED1F5B" w:rsidP="006269B0">
      <w:pPr>
        <w:pStyle w:val="paragraph"/>
      </w:pPr>
      <w:r>
        <w:tab/>
        <w:t>(a)</w:t>
      </w:r>
      <w:r>
        <w:tab/>
        <w:t>treat the request as an application under subsection 426</w:t>
      </w:r>
      <w:r w:rsidR="006269B0">
        <w:noBreakHyphen/>
      </w:r>
      <w:r>
        <w:t xml:space="preserve">15(1) in Schedule 1 to the </w:t>
      </w:r>
      <w:r w:rsidRPr="003B5A82">
        <w:rPr>
          <w:i/>
        </w:rPr>
        <w:t>Taxation Administration Act 1953</w:t>
      </w:r>
      <w:r>
        <w:rPr>
          <w:i/>
        </w:rPr>
        <w:t xml:space="preserve"> </w:t>
      </w:r>
      <w:r>
        <w:t xml:space="preserve">by the entity for endorsement as a deductible gift recipient under </w:t>
      </w:r>
      <w:r w:rsidR="0044369B">
        <w:t>paragraph 3</w:t>
      </w:r>
      <w:r>
        <w:t>0</w:t>
      </w:r>
      <w:r w:rsidR="006269B0">
        <w:noBreakHyphen/>
      </w:r>
      <w:r>
        <w:t xml:space="preserve">120(a) of the </w:t>
      </w:r>
      <w:r w:rsidRPr="000F571C">
        <w:rPr>
          <w:i/>
        </w:rPr>
        <w:t>Income Tax Assessment Act 1997</w:t>
      </w:r>
      <w:r w:rsidRPr="000F571C">
        <w:t xml:space="preserve"> based on </w:t>
      </w:r>
      <w:r w:rsidR="0044369B">
        <w:t>item 1</w:t>
      </w:r>
      <w:r w:rsidR="00A0466A">
        <w:t>2</w:t>
      </w:r>
      <w:r w:rsidRPr="000F571C">
        <w:t xml:space="preserve">.1.1 of the table in </w:t>
      </w:r>
      <w:r w:rsidR="0044369B">
        <w:t>subsection 3</w:t>
      </w:r>
      <w:r w:rsidRPr="000F571C">
        <w:t>0</w:t>
      </w:r>
      <w:r w:rsidR="006269B0">
        <w:noBreakHyphen/>
      </w:r>
      <w:r w:rsidR="00A0466A">
        <w:t>100</w:t>
      </w:r>
      <w:r w:rsidRPr="000F571C">
        <w:t>(1)</w:t>
      </w:r>
      <w:r>
        <w:t xml:space="preserve"> of that Act; and</w:t>
      </w:r>
    </w:p>
    <w:p w:rsidR="00ED1F5B" w:rsidRDefault="00ED1F5B" w:rsidP="006269B0">
      <w:pPr>
        <w:pStyle w:val="paragraph"/>
      </w:pPr>
      <w:r>
        <w:tab/>
        <w:t>(b)</w:t>
      </w:r>
      <w:r>
        <w:tab/>
        <w:t>treat the application:</w:t>
      </w:r>
    </w:p>
    <w:p w:rsidR="00ED1F5B" w:rsidRDefault="00ED1F5B" w:rsidP="006269B0">
      <w:pPr>
        <w:pStyle w:val="paragraphsub"/>
      </w:pPr>
      <w:r>
        <w:tab/>
        <w:t>(i)</w:t>
      </w:r>
      <w:r>
        <w:tab/>
        <w:t>as having been made on the commencement of this Part; and</w:t>
      </w:r>
    </w:p>
    <w:p w:rsidR="00ED1F5B" w:rsidRPr="008B5549" w:rsidRDefault="00ED1F5B" w:rsidP="006269B0">
      <w:pPr>
        <w:pStyle w:val="paragraphsub"/>
      </w:pPr>
      <w:r>
        <w:tab/>
        <w:t>(ii)</w:t>
      </w:r>
      <w:r>
        <w:tab/>
        <w:t>as meeting the requirements set out in subsection 426</w:t>
      </w:r>
      <w:r w:rsidR="006269B0">
        <w:noBreakHyphen/>
      </w:r>
      <w:r>
        <w:t xml:space="preserve">15(2) in Schedule 1 to the </w:t>
      </w:r>
      <w:r w:rsidRPr="003B5A82">
        <w:rPr>
          <w:i/>
        </w:rPr>
        <w:t>Taxation Administration Act 1953</w:t>
      </w:r>
      <w:r>
        <w:t>.</w:t>
      </w:r>
    </w:p>
    <w:p w:rsidR="00374832" w:rsidRDefault="007B165E" w:rsidP="006269B0">
      <w:pPr>
        <w:pStyle w:val="ActHead7"/>
        <w:pageBreakBefore/>
      </w:pPr>
      <w:r w:rsidRPr="00AE4F3F">
        <w:rPr>
          <w:rStyle w:val="CharAmPartNo"/>
        </w:rPr>
        <w:t>Part 4</w:t>
      </w:r>
      <w:r w:rsidR="00374832">
        <w:t>—</w:t>
      </w:r>
      <w:r w:rsidR="00374832" w:rsidRPr="00AE4F3F">
        <w:rPr>
          <w:rStyle w:val="CharAmPartText"/>
        </w:rPr>
        <w:t>Overseas aid</w:t>
      </w:r>
    </w:p>
    <w:p w:rsidR="00FF6610" w:rsidRPr="009B6E10" w:rsidRDefault="00FF6610" w:rsidP="006269B0">
      <w:pPr>
        <w:pStyle w:val="ActHead9"/>
      </w:pPr>
      <w:r>
        <w:t>Income Tax Assessment Act 1997</w:t>
      </w:r>
    </w:p>
    <w:p w:rsidR="00D40093" w:rsidRDefault="00014241" w:rsidP="006269B0">
      <w:pPr>
        <w:pStyle w:val="ItemHead"/>
      </w:pPr>
      <w:r>
        <w:t>17</w:t>
      </w:r>
      <w:r w:rsidR="00D40093">
        <w:t xml:space="preserve">  </w:t>
      </w:r>
      <w:r w:rsidR="007B165E">
        <w:t>Sub</w:t>
      </w:r>
      <w:r w:rsidR="00C06F39">
        <w:t>section 3</w:t>
      </w:r>
      <w:r w:rsidR="00D40093">
        <w:t>0</w:t>
      </w:r>
      <w:r w:rsidR="006269B0">
        <w:noBreakHyphen/>
      </w:r>
      <w:r w:rsidR="00D40093">
        <w:t xml:space="preserve">80(1) (table </w:t>
      </w:r>
      <w:r w:rsidR="007B165E">
        <w:t>item 9</w:t>
      </w:r>
      <w:r w:rsidR="00D40093">
        <w:t>.1.1)</w:t>
      </w:r>
    </w:p>
    <w:p w:rsidR="00D40093" w:rsidRDefault="00D40093" w:rsidP="006269B0">
      <w:pPr>
        <w:pStyle w:val="Item"/>
      </w:pPr>
      <w:r>
        <w:t>Repeal the item, substitute:</w:t>
      </w:r>
    </w:p>
    <w:tbl>
      <w:tblPr>
        <w:tblW w:w="7328" w:type="dxa"/>
        <w:tblInd w:w="9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0"/>
        <w:gridCol w:w="2576"/>
        <w:gridCol w:w="2170"/>
        <w:gridCol w:w="1882"/>
      </w:tblGrid>
      <w:tr w:rsidR="00D40093" w:rsidRPr="008F2B0D" w:rsidTr="00754BC9">
        <w:trPr>
          <w:cantSplit/>
        </w:trPr>
        <w:tc>
          <w:tcPr>
            <w:tcW w:w="7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D40093" w:rsidRPr="00B17842" w:rsidRDefault="00D40093" w:rsidP="006269B0">
            <w:pPr>
              <w:pStyle w:val="Tabletext"/>
            </w:pPr>
            <w:r w:rsidRPr="00B17842">
              <w:t>9.1.1</w:t>
            </w:r>
          </w:p>
        </w:tc>
        <w:tc>
          <w:tcPr>
            <w:tcW w:w="25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D40093" w:rsidRDefault="00D40093" w:rsidP="006269B0">
            <w:pPr>
              <w:pStyle w:val="Tabletext"/>
            </w:pPr>
            <w:r w:rsidRPr="00D40093">
              <w:t>a</w:t>
            </w:r>
            <w:r w:rsidR="00992B87">
              <w:t>n</w:t>
            </w:r>
            <w:r w:rsidRPr="00D40093">
              <w:t xml:space="preserve"> institution or </w:t>
            </w:r>
            <w:r w:rsidR="006269B0" w:rsidRPr="006269B0">
              <w:rPr>
                <w:position w:val="6"/>
                <w:sz w:val="16"/>
              </w:rPr>
              <w:t>*</w:t>
            </w:r>
            <w:r w:rsidR="004855F6" w:rsidRPr="004855F6">
              <w:t>Australian government agency</w:t>
            </w:r>
            <w:r w:rsidRPr="00D40093">
              <w:t xml:space="preserve"> whose principal purpose is delivering</w:t>
            </w:r>
            <w:r>
              <w:t xml:space="preserve"> </w:t>
            </w:r>
            <w:r w:rsidRPr="00D40093">
              <w:t>development or humanitarian assistance activities</w:t>
            </w:r>
            <w:r>
              <w:t xml:space="preserve"> (or both):</w:t>
            </w:r>
          </w:p>
          <w:p w:rsidR="00D40093" w:rsidRDefault="00D40093" w:rsidP="006269B0">
            <w:pPr>
              <w:pStyle w:val="Tablea"/>
            </w:pPr>
            <w:r>
              <w:t>(a)</w:t>
            </w:r>
            <w:r w:rsidRPr="00D40093">
              <w:t xml:space="preserve"> in </w:t>
            </w:r>
            <w:r>
              <w:t xml:space="preserve">a </w:t>
            </w:r>
            <w:r w:rsidRPr="00D40093">
              <w:t>countr</w:t>
            </w:r>
            <w:r>
              <w:t xml:space="preserve">y covered by </w:t>
            </w:r>
            <w:r w:rsidR="00C06F39">
              <w:t>section 3</w:t>
            </w:r>
            <w:r>
              <w:t>0</w:t>
            </w:r>
            <w:r w:rsidR="006269B0">
              <w:noBreakHyphen/>
            </w:r>
            <w:r>
              <w:t>85; and</w:t>
            </w:r>
          </w:p>
          <w:p w:rsidR="00D40093" w:rsidRPr="00B17842" w:rsidRDefault="00D40093" w:rsidP="006269B0">
            <w:pPr>
              <w:pStyle w:val="Tablea"/>
            </w:pPr>
            <w:r>
              <w:t xml:space="preserve">(b) </w:t>
            </w:r>
            <w:r w:rsidRPr="00D40093">
              <w:t>in partnership with organisations</w:t>
            </w:r>
            <w:r>
              <w:t xml:space="preserve"> in the country, based on principles of </w:t>
            </w:r>
            <w:r w:rsidRPr="00D40093">
              <w:t>cooperation, mutual respect and shared accountability</w:t>
            </w:r>
          </w:p>
        </w:tc>
        <w:tc>
          <w:tcPr>
            <w:tcW w:w="21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17D31" w:rsidRDefault="00717D31" w:rsidP="006269B0">
            <w:pPr>
              <w:pStyle w:val="Tabletext"/>
            </w:pPr>
            <w:r>
              <w:t xml:space="preserve">the institution or </w:t>
            </w:r>
            <w:r w:rsidR="004855F6" w:rsidRPr="004855F6">
              <w:t>Australian government agency</w:t>
            </w:r>
            <w:r w:rsidR="00F5489D">
              <w:t xml:space="preserve"> must</w:t>
            </w:r>
            <w:r>
              <w:t>:</w:t>
            </w:r>
          </w:p>
          <w:p w:rsidR="00285D36" w:rsidRDefault="00717D31" w:rsidP="006269B0">
            <w:pPr>
              <w:pStyle w:val="Tablea"/>
            </w:pPr>
            <w:r w:rsidRPr="00F67AED">
              <w:t>(</w:t>
            </w:r>
            <w:r w:rsidR="00285D36">
              <w:t>a</w:t>
            </w:r>
            <w:r w:rsidRPr="00F67AED">
              <w:t>)</w:t>
            </w:r>
            <w:r>
              <w:t xml:space="preserve"> if </w:t>
            </w:r>
            <w:r w:rsidR="002E12DB">
              <w:t xml:space="preserve">it is </w:t>
            </w:r>
            <w:r>
              <w:t>not a</w:t>
            </w:r>
            <w:r w:rsidR="00311440">
              <w:t>n</w:t>
            </w:r>
            <w:r>
              <w:t xml:space="preserve"> </w:t>
            </w:r>
            <w:r w:rsidR="00311440" w:rsidRPr="00311440">
              <w:t>Australian government agency</w:t>
            </w:r>
            <w:r>
              <w:t>—</w:t>
            </w:r>
            <w:r w:rsidR="00D40093" w:rsidRPr="00B17842">
              <w:t xml:space="preserve">be a </w:t>
            </w:r>
            <w:r w:rsidR="006269B0" w:rsidRPr="006269B0">
              <w:rPr>
                <w:position w:val="6"/>
                <w:sz w:val="16"/>
              </w:rPr>
              <w:t>*</w:t>
            </w:r>
            <w:r w:rsidR="00D40093" w:rsidRPr="00B17842">
              <w:t>registered charity</w:t>
            </w:r>
            <w:r w:rsidR="00285D36">
              <w:t>; and</w:t>
            </w:r>
          </w:p>
          <w:p w:rsidR="00D40093" w:rsidRPr="00B17842" w:rsidRDefault="00285D36" w:rsidP="006269B0">
            <w:pPr>
              <w:pStyle w:val="Tablea"/>
            </w:pPr>
            <w:r>
              <w:t>(b</w:t>
            </w:r>
            <w:r w:rsidRPr="00992B87">
              <w:t xml:space="preserve">) meet the requirements of </w:t>
            </w:r>
            <w:r>
              <w:t>section 3</w:t>
            </w:r>
            <w:r w:rsidRPr="00992B87">
              <w:t>0</w:t>
            </w:r>
            <w:r w:rsidR="006269B0">
              <w:noBreakHyphen/>
            </w:r>
            <w:r w:rsidRPr="00992B87">
              <w:t>130</w:t>
            </w:r>
          </w:p>
        </w:tc>
        <w:tc>
          <w:tcPr>
            <w:tcW w:w="18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D40093" w:rsidRPr="00B17842" w:rsidRDefault="00717D31" w:rsidP="006269B0">
            <w:pPr>
              <w:pStyle w:val="Tabletext"/>
            </w:pPr>
            <w:r w:rsidRPr="00717D31">
              <w:t xml:space="preserve">the gift must be received by the gift fund (mentioned in </w:t>
            </w:r>
            <w:r w:rsidR="00C06F39">
              <w:t>section 3</w:t>
            </w:r>
            <w:r w:rsidRPr="00717D31">
              <w:t>0</w:t>
            </w:r>
            <w:r w:rsidR="006269B0">
              <w:noBreakHyphen/>
            </w:r>
            <w:r w:rsidRPr="00717D31">
              <w:t xml:space="preserve">130) of the institution or </w:t>
            </w:r>
            <w:r w:rsidR="004855F6" w:rsidRPr="004855F6">
              <w:t>Australian government agency</w:t>
            </w:r>
          </w:p>
        </w:tc>
      </w:tr>
    </w:tbl>
    <w:p w:rsidR="001B721F" w:rsidRDefault="00014241" w:rsidP="006269B0">
      <w:pPr>
        <w:pStyle w:val="ItemHead"/>
      </w:pPr>
      <w:r>
        <w:t>18</w:t>
      </w:r>
      <w:r w:rsidR="00E57553">
        <w:t xml:space="preserve">  </w:t>
      </w:r>
      <w:r w:rsidR="007B165E">
        <w:t>Section 3</w:t>
      </w:r>
      <w:r w:rsidR="00E57553">
        <w:t>0</w:t>
      </w:r>
      <w:r w:rsidR="006269B0">
        <w:noBreakHyphen/>
      </w:r>
      <w:r w:rsidR="00E57553">
        <w:t>85</w:t>
      </w:r>
    </w:p>
    <w:p w:rsidR="00E57553" w:rsidRDefault="00E57553" w:rsidP="006269B0">
      <w:pPr>
        <w:pStyle w:val="Item"/>
      </w:pPr>
      <w:r>
        <w:t>Repeal the section, substitute:</w:t>
      </w:r>
    </w:p>
    <w:p w:rsidR="00E57553" w:rsidRDefault="00E57553" w:rsidP="006269B0">
      <w:pPr>
        <w:pStyle w:val="ActHead5"/>
      </w:pPr>
      <w:r w:rsidRPr="00AE4F3F">
        <w:rPr>
          <w:rStyle w:val="CharSectno"/>
        </w:rPr>
        <w:t>30</w:t>
      </w:r>
      <w:r w:rsidR="006269B0" w:rsidRPr="00AE4F3F">
        <w:rPr>
          <w:rStyle w:val="CharSectno"/>
        </w:rPr>
        <w:noBreakHyphen/>
      </w:r>
      <w:r w:rsidRPr="00AE4F3F">
        <w:rPr>
          <w:rStyle w:val="CharSectno"/>
        </w:rPr>
        <w:t>85</w:t>
      </w:r>
      <w:r>
        <w:t xml:space="preserve">  Developing country relief funds</w:t>
      </w:r>
    </w:p>
    <w:p w:rsidR="00E57553" w:rsidRDefault="00E57553" w:rsidP="006269B0">
      <w:pPr>
        <w:pStyle w:val="subsection"/>
      </w:pPr>
      <w:r>
        <w:tab/>
        <w:t>(1)</w:t>
      </w:r>
      <w:r>
        <w:tab/>
        <w:t xml:space="preserve">For the purposes of </w:t>
      </w:r>
      <w:r w:rsidR="007B165E">
        <w:t>item 9</w:t>
      </w:r>
      <w:r>
        <w:t xml:space="preserve">.1.1 of the table in </w:t>
      </w:r>
      <w:r w:rsidR="0044369B">
        <w:t>subsection 3</w:t>
      </w:r>
      <w:r>
        <w:t>0</w:t>
      </w:r>
      <w:r w:rsidR="006269B0">
        <w:noBreakHyphen/>
      </w:r>
      <w:r>
        <w:t>80(1), a country is covered by this section if:</w:t>
      </w:r>
    </w:p>
    <w:p w:rsidR="00E57553" w:rsidRDefault="00E57553" w:rsidP="006269B0">
      <w:pPr>
        <w:pStyle w:val="paragraph"/>
      </w:pPr>
      <w:r>
        <w:tab/>
        <w:t>(a)</w:t>
      </w:r>
      <w:r>
        <w:tab/>
        <w:t>it is included in the list of official development assistance recipients published from time to time by the Organisation for Economic Co</w:t>
      </w:r>
      <w:r w:rsidR="006269B0">
        <w:noBreakHyphen/>
      </w:r>
      <w:r>
        <w:t>operation and Development’s Development Assistance Committee; or</w:t>
      </w:r>
    </w:p>
    <w:p w:rsidR="00E57553" w:rsidRDefault="00E57553" w:rsidP="006269B0">
      <w:pPr>
        <w:pStyle w:val="paragraph"/>
      </w:pPr>
      <w:r>
        <w:tab/>
        <w:t>(b)</w:t>
      </w:r>
      <w:r>
        <w:tab/>
        <w:t xml:space="preserve">it is </w:t>
      </w:r>
      <w:r w:rsidR="00E1317C">
        <w:t xml:space="preserve">specified in a declaration </w:t>
      </w:r>
      <w:r>
        <w:t xml:space="preserve">under </w:t>
      </w:r>
      <w:r w:rsidR="007B165E">
        <w:t>subsection (</w:t>
      </w:r>
      <w:r>
        <w:t>2).</w:t>
      </w:r>
    </w:p>
    <w:p w:rsidR="00E57553" w:rsidRDefault="00E57553" w:rsidP="006269B0">
      <w:pPr>
        <w:pStyle w:val="subsection"/>
      </w:pPr>
      <w:r>
        <w:tab/>
        <w:t>(2)</w:t>
      </w:r>
      <w:r>
        <w:tab/>
        <w:t xml:space="preserve">For the purposes of </w:t>
      </w:r>
      <w:r w:rsidR="007B165E">
        <w:t>paragraph (</w:t>
      </w:r>
      <w:r>
        <w:t xml:space="preserve">1)(b), </w:t>
      </w:r>
      <w:r w:rsidRPr="00E57553">
        <w:t xml:space="preserve">the </w:t>
      </w:r>
      <w:r w:rsidR="006269B0" w:rsidRPr="006269B0">
        <w:rPr>
          <w:position w:val="6"/>
          <w:sz w:val="16"/>
        </w:rPr>
        <w:t>*</w:t>
      </w:r>
      <w:r w:rsidRPr="00E57553">
        <w:t xml:space="preserve">Foreign Affairs Minister </w:t>
      </w:r>
      <w:r>
        <w:t xml:space="preserve">may, by </w:t>
      </w:r>
      <w:r w:rsidR="004160E3">
        <w:t>legislative</w:t>
      </w:r>
      <w:r>
        <w:t xml:space="preserve"> instrument, </w:t>
      </w:r>
      <w:r w:rsidR="00E1317C">
        <w:t xml:space="preserve">make a </w:t>
      </w:r>
      <w:r>
        <w:t>declar</w:t>
      </w:r>
      <w:r w:rsidR="00E1317C">
        <w:t>ation specifying</w:t>
      </w:r>
      <w:r>
        <w:t xml:space="preserve"> a country </w:t>
      </w:r>
      <w:r w:rsidRPr="00E57553">
        <w:t>a</w:t>
      </w:r>
      <w:r w:rsidR="00E1317C">
        <w:t>s a</w:t>
      </w:r>
      <w:r w:rsidRPr="00E57553">
        <w:t xml:space="preserve"> developing country</w:t>
      </w:r>
      <w:r>
        <w:t>.</w:t>
      </w:r>
    </w:p>
    <w:p w:rsidR="00645FF6" w:rsidRDefault="00014241" w:rsidP="006269B0">
      <w:pPr>
        <w:pStyle w:val="ItemHead"/>
      </w:pPr>
      <w:r>
        <w:t>19</w:t>
      </w:r>
      <w:r w:rsidR="00645FF6">
        <w:t xml:space="preserve">  </w:t>
      </w:r>
      <w:r w:rsidR="007B165E">
        <w:t>Subsection 2</w:t>
      </w:r>
      <w:r w:rsidR="00645FF6">
        <w:t>07</w:t>
      </w:r>
      <w:r w:rsidR="006269B0">
        <w:noBreakHyphen/>
      </w:r>
      <w:r w:rsidR="00645FF6">
        <w:t>115(5)</w:t>
      </w:r>
    </w:p>
    <w:p w:rsidR="00645FF6" w:rsidRDefault="00645FF6" w:rsidP="006269B0">
      <w:pPr>
        <w:pStyle w:val="Item"/>
      </w:pPr>
      <w:r>
        <w:t>Repeal the subsection.</w:t>
      </w:r>
    </w:p>
    <w:p w:rsidR="00754BC9" w:rsidRDefault="00014241" w:rsidP="006269B0">
      <w:pPr>
        <w:pStyle w:val="Transitional"/>
      </w:pPr>
      <w:r>
        <w:t>20</w:t>
      </w:r>
      <w:r w:rsidR="00754BC9">
        <w:t xml:space="preserve">  Transitional</w:t>
      </w:r>
    </w:p>
    <w:p w:rsidR="00D4636E" w:rsidRDefault="00D4636E" w:rsidP="006269B0">
      <w:pPr>
        <w:pStyle w:val="SubitemHead"/>
      </w:pPr>
      <w:r>
        <w:t>Declared developing countries</w:t>
      </w:r>
    </w:p>
    <w:p w:rsidR="00D4636E" w:rsidRDefault="00D4636E" w:rsidP="006269B0">
      <w:pPr>
        <w:pStyle w:val="Subitem"/>
      </w:pPr>
      <w:r>
        <w:t>(1)</w:t>
      </w:r>
      <w:r>
        <w:tab/>
      </w:r>
      <w:r w:rsidR="0044369B">
        <w:t>Subitem (</w:t>
      </w:r>
      <w:r>
        <w:t xml:space="preserve">2) applies if, immediately </w:t>
      </w:r>
      <w:r w:rsidRPr="00D4636E">
        <w:t>before the commencement of this Part</w:t>
      </w:r>
      <w:r>
        <w:t>:</w:t>
      </w:r>
    </w:p>
    <w:p w:rsidR="00D4636E" w:rsidRDefault="00D4636E" w:rsidP="006269B0">
      <w:pPr>
        <w:pStyle w:val="paragraph"/>
      </w:pPr>
      <w:r>
        <w:tab/>
        <w:t>(a)</w:t>
      </w:r>
      <w:r>
        <w:tab/>
        <w:t xml:space="preserve">a country </w:t>
      </w:r>
      <w:r w:rsidR="007B0F57">
        <w:t xml:space="preserve">is </w:t>
      </w:r>
      <w:r>
        <w:t xml:space="preserve">declared by the Foreign Affairs Minister to be a developing country under </w:t>
      </w:r>
      <w:r w:rsidR="0044369B">
        <w:t>subparagraph 3</w:t>
      </w:r>
      <w:r>
        <w:t>0</w:t>
      </w:r>
      <w:r w:rsidR="006269B0">
        <w:noBreakHyphen/>
      </w:r>
      <w:r>
        <w:t xml:space="preserve">85(2)(b)(ii) of </w:t>
      </w:r>
      <w:r w:rsidRPr="00C70D8A">
        <w:t xml:space="preserve">the </w:t>
      </w:r>
      <w:r w:rsidRPr="00C70D8A">
        <w:rPr>
          <w:i/>
        </w:rPr>
        <w:t>Income Tax Assessment Act 1997</w:t>
      </w:r>
      <w:r>
        <w:t>; and</w:t>
      </w:r>
    </w:p>
    <w:p w:rsidR="00D4636E" w:rsidRDefault="00D4636E" w:rsidP="006269B0">
      <w:pPr>
        <w:pStyle w:val="paragraph"/>
      </w:pPr>
      <w:r>
        <w:tab/>
        <w:t>(b)</w:t>
      </w:r>
      <w:r>
        <w:tab/>
        <w:t>that declaration is in force.</w:t>
      </w:r>
    </w:p>
    <w:p w:rsidR="00D4636E" w:rsidRDefault="00D4636E" w:rsidP="006269B0">
      <w:pPr>
        <w:pStyle w:val="Subitem"/>
      </w:pPr>
      <w:r>
        <w:t>(2)</w:t>
      </w:r>
      <w:r>
        <w:tab/>
        <w:t xml:space="preserve">On and after the commencement of this Part, treat the country as </w:t>
      </w:r>
      <w:r w:rsidR="007B0F57">
        <w:t>being</w:t>
      </w:r>
      <w:r>
        <w:t xml:space="preserve"> specified as a developing country in</w:t>
      </w:r>
      <w:r w:rsidR="007B0F57">
        <w:t xml:space="preserve"> a declaration made under </w:t>
      </w:r>
      <w:r w:rsidR="0044369B">
        <w:t>subsection 3</w:t>
      </w:r>
      <w:r w:rsidR="007B0F57">
        <w:t>0</w:t>
      </w:r>
      <w:r w:rsidR="006269B0">
        <w:noBreakHyphen/>
      </w:r>
      <w:r w:rsidR="007B0F57">
        <w:t>85(2) of that Act (as amended by this Part), unless or until the Foreign Affairs Minister makes a declaration under that subsection.</w:t>
      </w:r>
    </w:p>
    <w:p w:rsidR="009560C6" w:rsidRPr="00AC37B5" w:rsidRDefault="004639F4" w:rsidP="006269B0">
      <w:pPr>
        <w:pStyle w:val="SubitemHead"/>
      </w:pPr>
      <w:r>
        <w:t xml:space="preserve">Approved organisations </w:t>
      </w:r>
      <w:r w:rsidR="009560C6">
        <w:t>with DGR endorsement</w:t>
      </w:r>
    </w:p>
    <w:p w:rsidR="009560C6" w:rsidRDefault="009560C6" w:rsidP="006269B0">
      <w:pPr>
        <w:pStyle w:val="Subitem"/>
      </w:pPr>
      <w:r>
        <w:t>(</w:t>
      </w:r>
      <w:r w:rsidR="007B0F57">
        <w:t>3</w:t>
      </w:r>
      <w:r>
        <w:t>)</w:t>
      </w:r>
      <w:r>
        <w:tab/>
      </w:r>
      <w:r w:rsidR="0044369B">
        <w:t>Subitem (</w:t>
      </w:r>
      <w:r w:rsidR="007B0F57">
        <w:t>4</w:t>
      </w:r>
      <w:r>
        <w:t>) applies if, immediately before the commencement of this Part:</w:t>
      </w:r>
    </w:p>
    <w:p w:rsidR="009560C6" w:rsidRDefault="009560C6" w:rsidP="006269B0">
      <w:pPr>
        <w:pStyle w:val="paragraph"/>
      </w:pPr>
      <w:r>
        <w:tab/>
        <w:t>(a)</w:t>
      </w:r>
      <w:r>
        <w:tab/>
      </w:r>
      <w:r w:rsidR="004639F4">
        <w:t xml:space="preserve">a public fund </w:t>
      </w:r>
      <w:r w:rsidR="007B0F57">
        <w:t>is</w:t>
      </w:r>
      <w:r w:rsidR="004639F4">
        <w:t xml:space="preserve"> declared to be a developing country relief fund under </w:t>
      </w:r>
      <w:r w:rsidR="0044369B">
        <w:t>subsection 3</w:t>
      </w:r>
      <w:r w:rsidR="004639F4">
        <w:t>0</w:t>
      </w:r>
      <w:r w:rsidR="006269B0">
        <w:noBreakHyphen/>
      </w:r>
      <w:r w:rsidR="004639F4">
        <w:t xml:space="preserve">85(2) </w:t>
      </w:r>
      <w:r w:rsidR="004639F4" w:rsidRPr="00C70D8A">
        <w:t xml:space="preserve">of the </w:t>
      </w:r>
      <w:r w:rsidR="004639F4" w:rsidRPr="00C70D8A">
        <w:rPr>
          <w:i/>
        </w:rPr>
        <w:t>Income Tax Assessment Act 1997</w:t>
      </w:r>
      <w:r w:rsidR="004639F4">
        <w:t>, and that declaration is in force</w:t>
      </w:r>
      <w:r>
        <w:t>; and</w:t>
      </w:r>
    </w:p>
    <w:p w:rsidR="004639F4" w:rsidRDefault="004639F4" w:rsidP="006269B0">
      <w:pPr>
        <w:pStyle w:val="paragraph"/>
      </w:pPr>
      <w:r>
        <w:tab/>
        <w:t>(b)</w:t>
      </w:r>
      <w:r>
        <w:tab/>
        <w:t xml:space="preserve">the public fund has been established by an organisation </w:t>
      </w:r>
      <w:r w:rsidRPr="004639F4">
        <w:t>declared by the Foreign Affairs Minister to be an approved organisation</w:t>
      </w:r>
      <w:r w:rsidR="00B45538">
        <w:t xml:space="preserve"> under </w:t>
      </w:r>
      <w:r w:rsidR="0044369B">
        <w:t>paragraph 3</w:t>
      </w:r>
      <w:r w:rsidR="00B45538">
        <w:t>0</w:t>
      </w:r>
      <w:r w:rsidR="006269B0">
        <w:noBreakHyphen/>
      </w:r>
      <w:r w:rsidR="00B45538">
        <w:t>85(2)(a) of that Act</w:t>
      </w:r>
      <w:r>
        <w:t>, and that declaration is in force; and</w:t>
      </w:r>
    </w:p>
    <w:p w:rsidR="009560C6" w:rsidRDefault="009560C6" w:rsidP="006269B0">
      <w:pPr>
        <w:pStyle w:val="paragraph"/>
      </w:pPr>
      <w:r>
        <w:tab/>
        <w:t>(</w:t>
      </w:r>
      <w:r w:rsidR="004639F4">
        <w:t>c</w:t>
      </w:r>
      <w:r>
        <w:t>)</w:t>
      </w:r>
      <w:r>
        <w:tab/>
        <w:t xml:space="preserve">the </w:t>
      </w:r>
      <w:r w:rsidR="004639F4">
        <w:t>organisation</w:t>
      </w:r>
      <w:r>
        <w:t xml:space="preserve"> is endorsed as a deductible gift recipient for the operation of a fund, authority or institution under </w:t>
      </w:r>
      <w:r w:rsidR="0044369B">
        <w:t>paragraph 3</w:t>
      </w:r>
      <w:r>
        <w:t>0</w:t>
      </w:r>
      <w:r w:rsidR="006269B0">
        <w:noBreakHyphen/>
      </w:r>
      <w:r>
        <w:t>120(b) of that Act in respect of the operation of the public fund</w:t>
      </w:r>
      <w:r w:rsidR="00B45538">
        <w:t>.</w:t>
      </w:r>
    </w:p>
    <w:p w:rsidR="009560C6" w:rsidRDefault="009560C6" w:rsidP="006269B0">
      <w:pPr>
        <w:pStyle w:val="Subitem"/>
      </w:pPr>
      <w:r>
        <w:t>(</w:t>
      </w:r>
      <w:r w:rsidR="007B0F57">
        <w:t>4</w:t>
      </w:r>
      <w:r>
        <w:t>)</w:t>
      </w:r>
      <w:r>
        <w:tab/>
        <w:t>On and after the commencement of this Part:</w:t>
      </w:r>
    </w:p>
    <w:p w:rsidR="009560C6" w:rsidRDefault="009560C6" w:rsidP="006269B0">
      <w:pPr>
        <w:pStyle w:val="paragraph"/>
      </w:pPr>
      <w:r>
        <w:tab/>
        <w:t>(a)</w:t>
      </w:r>
      <w:r>
        <w:tab/>
        <w:t xml:space="preserve">treat the entity as being </w:t>
      </w:r>
      <w:r w:rsidRPr="00134A8E">
        <w:t xml:space="preserve">endorsed as a deductible gift recipient under </w:t>
      </w:r>
      <w:r w:rsidR="0044369B">
        <w:t>paragraph 3</w:t>
      </w:r>
      <w:r w:rsidRPr="00134A8E">
        <w:t>0</w:t>
      </w:r>
      <w:r w:rsidR="006269B0">
        <w:noBreakHyphen/>
      </w:r>
      <w:r w:rsidRPr="00134A8E">
        <w:t>120(</w:t>
      </w:r>
      <w:r>
        <w:t>a</w:t>
      </w:r>
      <w:r w:rsidRPr="00134A8E">
        <w:t>)</w:t>
      </w:r>
      <w:r>
        <w:t xml:space="preserve"> </w:t>
      </w:r>
      <w:r w:rsidRPr="00C70D8A">
        <w:t xml:space="preserve">of the </w:t>
      </w:r>
      <w:r w:rsidRPr="00C70D8A">
        <w:rPr>
          <w:i/>
        </w:rPr>
        <w:t>Income Tax Assessment Act 1997</w:t>
      </w:r>
      <w:r>
        <w:t xml:space="preserve"> based on item </w:t>
      </w:r>
      <w:r w:rsidR="00B45538">
        <w:t>9</w:t>
      </w:r>
      <w:r>
        <w:t xml:space="preserve">.1.1 of the table in </w:t>
      </w:r>
      <w:r w:rsidR="0044369B">
        <w:t>subsection 3</w:t>
      </w:r>
      <w:r>
        <w:t>0</w:t>
      </w:r>
      <w:r w:rsidR="006269B0">
        <w:noBreakHyphen/>
      </w:r>
      <w:r w:rsidR="00B45538">
        <w:t>80</w:t>
      </w:r>
      <w:r>
        <w:t>(1) of that Act; and</w:t>
      </w:r>
    </w:p>
    <w:p w:rsidR="009560C6" w:rsidRDefault="009560C6" w:rsidP="006269B0">
      <w:pPr>
        <w:pStyle w:val="paragraph"/>
      </w:pPr>
      <w:r>
        <w:tab/>
        <w:t>(b)</w:t>
      </w:r>
      <w:r>
        <w:tab/>
        <w:t>treat the public fund as being the entity’s gift fund mentioned in section 30</w:t>
      </w:r>
      <w:r w:rsidR="006269B0">
        <w:noBreakHyphen/>
      </w:r>
      <w:r>
        <w:t>130 of that Act, unless or until the entity establishes a replacement gift fund</w:t>
      </w:r>
      <w:r w:rsidR="00B45538">
        <w:t>.</w:t>
      </w:r>
    </w:p>
    <w:p w:rsidR="009560C6" w:rsidRDefault="00B45538" w:rsidP="006269B0">
      <w:pPr>
        <w:pStyle w:val="SubitemHead"/>
      </w:pPr>
      <w:r>
        <w:t>Approved</w:t>
      </w:r>
      <w:r w:rsidR="009560C6">
        <w:t xml:space="preserve"> organisations seeking DGR endorsement</w:t>
      </w:r>
    </w:p>
    <w:p w:rsidR="009560C6" w:rsidRDefault="009560C6" w:rsidP="006269B0">
      <w:pPr>
        <w:pStyle w:val="Subitem"/>
      </w:pPr>
      <w:r>
        <w:t>(</w:t>
      </w:r>
      <w:r w:rsidR="007B0F57">
        <w:t>5</w:t>
      </w:r>
      <w:r>
        <w:t>)</w:t>
      </w:r>
      <w:r>
        <w:tab/>
      </w:r>
      <w:r w:rsidR="0044369B">
        <w:t>Subitem (</w:t>
      </w:r>
      <w:r w:rsidR="007B0F57">
        <w:t>6</w:t>
      </w:r>
      <w:r>
        <w:t>) applies if, immediately before the commencement of this Part:</w:t>
      </w:r>
    </w:p>
    <w:p w:rsidR="00B45538" w:rsidRDefault="00B45538" w:rsidP="006269B0">
      <w:pPr>
        <w:pStyle w:val="paragraph"/>
      </w:pPr>
      <w:r>
        <w:tab/>
        <w:t>(a)</w:t>
      </w:r>
      <w:r>
        <w:tab/>
        <w:t xml:space="preserve">a public fund </w:t>
      </w:r>
      <w:r w:rsidR="007B0F57">
        <w:t xml:space="preserve">is </w:t>
      </w:r>
      <w:r>
        <w:t xml:space="preserve">declared to be a developing country relief fund under </w:t>
      </w:r>
      <w:r w:rsidR="0044369B">
        <w:t>subsection 3</w:t>
      </w:r>
      <w:r>
        <w:t>0</w:t>
      </w:r>
      <w:r w:rsidR="006269B0">
        <w:noBreakHyphen/>
      </w:r>
      <w:r>
        <w:t xml:space="preserve">85(2) </w:t>
      </w:r>
      <w:r w:rsidRPr="00C70D8A">
        <w:t xml:space="preserve">of the </w:t>
      </w:r>
      <w:r w:rsidRPr="00C70D8A">
        <w:rPr>
          <w:i/>
        </w:rPr>
        <w:t>Income Tax Assessment Act 1997</w:t>
      </w:r>
      <w:r>
        <w:t>, and that declaration is in force; and</w:t>
      </w:r>
    </w:p>
    <w:p w:rsidR="00B45538" w:rsidRDefault="00B45538" w:rsidP="006269B0">
      <w:pPr>
        <w:pStyle w:val="paragraph"/>
      </w:pPr>
      <w:r>
        <w:tab/>
        <w:t>(b)</w:t>
      </w:r>
      <w:r>
        <w:tab/>
        <w:t xml:space="preserve">the public fund has been established by an organisation </w:t>
      </w:r>
      <w:r w:rsidRPr="004639F4">
        <w:t>declared by the Foreign Affairs Minister to be an approved organisation</w:t>
      </w:r>
      <w:r>
        <w:t xml:space="preserve"> under </w:t>
      </w:r>
      <w:r w:rsidR="0044369B">
        <w:t>paragraph 3</w:t>
      </w:r>
      <w:r>
        <w:t>0</w:t>
      </w:r>
      <w:r w:rsidR="006269B0">
        <w:noBreakHyphen/>
      </w:r>
      <w:r>
        <w:t>85(2)(a) of that Act, and that declaration is in force; and</w:t>
      </w:r>
    </w:p>
    <w:p w:rsidR="009560C6" w:rsidRDefault="009560C6" w:rsidP="006269B0">
      <w:pPr>
        <w:pStyle w:val="paragraph"/>
      </w:pPr>
      <w:r>
        <w:tab/>
        <w:t>(</w:t>
      </w:r>
      <w:r w:rsidR="00B45538">
        <w:t>c</w:t>
      </w:r>
      <w:r>
        <w:t>)</w:t>
      </w:r>
      <w:r>
        <w:tab/>
        <w:t xml:space="preserve">the </w:t>
      </w:r>
      <w:r w:rsidR="007B0F57">
        <w:t>organisation</w:t>
      </w:r>
      <w:r>
        <w:t xml:space="preserve"> has applied under subsection 426</w:t>
      </w:r>
      <w:r w:rsidR="006269B0">
        <w:noBreakHyphen/>
      </w:r>
      <w:r>
        <w:t xml:space="preserve">15(1) in Schedule 1 to the </w:t>
      </w:r>
      <w:r w:rsidRPr="003B5A82">
        <w:rPr>
          <w:i/>
        </w:rPr>
        <w:t>Taxation Administration Act 1953</w:t>
      </w:r>
      <w:r>
        <w:rPr>
          <w:i/>
        </w:rPr>
        <w:t xml:space="preserve"> </w:t>
      </w:r>
      <w:r>
        <w:t xml:space="preserve">for endorsement as a deductible gift recipient for the operation of a fund, authority or institution under </w:t>
      </w:r>
      <w:r w:rsidR="0044369B">
        <w:t>paragraph 3</w:t>
      </w:r>
      <w:r>
        <w:t>0</w:t>
      </w:r>
      <w:r w:rsidR="006269B0">
        <w:noBreakHyphen/>
      </w:r>
      <w:r>
        <w:t xml:space="preserve">120(b) </w:t>
      </w:r>
      <w:r w:rsidRPr="00C70D8A">
        <w:t xml:space="preserve">of the </w:t>
      </w:r>
      <w:r w:rsidRPr="00C70D8A">
        <w:rPr>
          <w:i/>
        </w:rPr>
        <w:t>Income Tax Assessment Act 1997</w:t>
      </w:r>
      <w:r w:rsidRPr="002E12DB">
        <w:t xml:space="preserve"> </w:t>
      </w:r>
      <w:r>
        <w:t>in respect of the operation of the public fund; and</w:t>
      </w:r>
    </w:p>
    <w:p w:rsidR="009560C6" w:rsidRDefault="009560C6" w:rsidP="006269B0">
      <w:pPr>
        <w:pStyle w:val="paragraph"/>
      </w:pPr>
      <w:r>
        <w:tab/>
        <w:t>(</w:t>
      </w:r>
      <w:r w:rsidR="00B45538">
        <w:t>d</w:t>
      </w:r>
      <w:r>
        <w:t>)</w:t>
      </w:r>
      <w:r>
        <w:tab/>
        <w:t xml:space="preserve">the Commissioner </w:t>
      </w:r>
      <w:r w:rsidRPr="00C70D8A">
        <w:t>has not given the applicant written notice that the Commissioner endorses or refuses to endorse the applicant</w:t>
      </w:r>
      <w:r>
        <w:t>.</w:t>
      </w:r>
    </w:p>
    <w:p w:rsidR="009560C6" w:rsidRDefault="009560C6" w:rsidP="006269B0">
      <w:pPr>
        <w:pStyle w:val="Subitem"/>
      </w:pPr>
      <w:r>
        <w:t>(</w:t>
      </w:r>
      <w:r w:rsidR="007B0F57">
        <w:t>6</w:t>
      </w:r>
      <w:r>
        <w:t>)</w:t>
      </w:r>
      <w:r>
        <w:tab/>
        <w:t>On and after the commencement of this Part:</w:t>
      </w:r>
    </w:p>
    <w:p w:rsidR="009560C6" w:rsidRDefault="009560C6" w:rsidP="006269B0">
      <w:pPr>
        <w:pStyle w:val="paragraph"/>
      </w:pPr>
      <w:r>
        <w:tab/>
        <w:t>(a)</w:t>
      </w:r>
      <w:r>
        <w:tab/>
        <w:t xml:space="preserve">treat the application as an application for </w:t>
      </w:r>
      <w:r w:rsidRPr="00134A8E">
        <w:t>endors</w:t>
      </w:r>
      <w:r>
        <w:t>ement</w:t>
      </w:r>
      <w:r w:rsidRPr="00134A8E">
        <w:t xml:space="preserve"> as a deductible gift recipient under </w:t>
      </w:r>
      <w:r w:rsidR="0044369B">
        <w:t>paragraph 3</w:t>
      </w:r>
      <w:r w:rsidRPr="00134A8E">
        <w:t>0</w:t>
      </w:r>
      <w:r w:rsidR="006269B0">
        <w:noBreakHyphen/>
      </w:r>
      <w:r w:rsidRPr="00134A8E">
        <w:t>120(</w:t>
      </w:r>
      <w:r>
        <w:t>a</w:t>
      </w:r>
      <w:r w:rsidRPr="00134A8E">
        <w:t>)</w:t>
      </w:r>
      <w:r>
        <w:t xml:space="preserve"> </w:t>
      </w:r>
      <w:r w:rsidRPr="002E12DB">
        <w:t xml:space="preserve">of the </w:t>
      </w:r>
      <w:r w:rsidRPr="002E12DB">
        <w:rPr>
          <w:i/>
        </w:rPr>
        <w:t>Income Tax Assessment Act 1997</w:t>
      </w:r>
      <w:r>
        <w:t xml:space="preserve"> based on item </w:t>
      </w:r>
      <w:r w:rsidR="00B45538">
        <w:t>9</w:t>
      </w:r>
      <w:r>
        <w:t xml:space="preserve">.1.1 of the table in </w:t>
      </w:r>
      <w:r w:rsidR="0044369B">
        <w:t>subsection 3</w:t>
      </w:r>
      <w:r>
        <w:t>0</w:t>
      </w:r>
      <w:r w:rsidR="006269B0">
        <w:noBreakHyphen/>
      </w:r>
      <w:r w:rsidR="00B45538">
        <w:t>80</w:t>
      </w:r>
      <w:r>
        <w:t>(1) of that Act; and</w:t>
      </w:r>
    </w:p>
    <w:p w:rsidR="009560C6" w:rsidRPr="00AF5311" w:rsidRDefault="009560C6" w:rsidP="006269B0">
      <w:pPr>
        <w:pStyle w:val="paragraph"/>
      </w:pPr>
      <w:r>
        <w:tab/>
        <w:t>(b)</w:t>
      </w:r>
      <w:r>
        <w:tab/>
        <w:t>treat the public fund as being the entity’s gift fund mentioned in section 30</w:t>
      </w:r>
      <w:r w:rsidR="006269B0">
        <w:noBreakHyphen/>
      </w:r>
      <w:r>
        <w:t>130 of that Act, unless or until the entity establishes a replacement gift fund.</w:t>
      </w:r>
    </w:p>
    <w:p w:rsidR="000F6ECC" w:rsidRPr="00AC37B5" w:rsidRDefault="000F6ECC" w:rsidP="006269B0">
      <w:pPr>
        <w:pStyle w:val="SubitemHead"/>
      </w:pPr>
      <w:r>
        <w:t>Approved organisations seeking declaration of a developing country relief fund</w:t>
      </w:r>
    </w:p>
    <w:p w:rsidR="000F6ECC" w:rsidRDefault="000F6ECC" w:rsidP="006269B0">
      <w:pPr>
        <w:pStyle w:val="Subitem"/>
      </w:pPr>
      <w:r>
        <w:t>(</w:t>
      </w:r>
      <w:r w:rsidR="007B0F57">
        <w:t>7</w:t>
      </w:r>
      <w:r>
        <w:t>)</w:t>
      </w:r>
      <w:r>
        <w:tab/>
      </w:r>
      <w:r w:rsidR="0044369B">
        <w:t>Subitem (</w:t>
      </w:r>
      <w:r w:rsidR="007B0F57">
        <w:t>8</w:t>
      </w:r>
      <w:r>
        <w:t>) applies if, immediately before the commencement of this Part:</w:t>
      </w:r>
    </w:p>
    <w:p w:rsidR="000F6ECC" w:rsidRDefault="000F6ECC" w:rsidP="006269B0">
      <w:pPr>
        <w:pStyle w:val="paragraph"/>
      </w:pPr>
      <w:r>
        <w:tab/>
        <w:t>(a)</w:t>
      </w:r>
      <w:r>
        <w:tab/>
        <w:t xml:space="preserve">an organisation </w:t>
      </w:r>
      <w:r w:rsidR="007B0F57">
        <w:t xml:space="preserve">is </w:t>
      </w:r>
      <w:r w:rsidRPr="004639F4">
        <w:t>declared by the Foreign Affairs Minister to be an approved organisation</w:t>
      </w:r>
      <w:r>
        <w:t xml:space="preserve"> under </w:t>
      </w:r>
      <w:r w:rsidR="0044369B">
        <w:t>paragraph 3</w:t>
      </w:r>
      <w:r>
        <w:t>0</w:t>
      </w:r>
      <w:r w:rsidR="006269B0">
        <w:noBreakHyphen/>
      </w:r>
      <w:r>
        <w:t xml:space="preserve">85(2)(a) of </w:t>
      </w:r>
      <w:r w:rsidRPr="002E12DB">
        <w:t xml:space="preserve">the </w:t>
      </w:r>
      <w:r w:rsidRPr="002E12DB">
        <w:rPr>
          <w:i/>
        </w:rPr>
        <w:t>Income Tax Assessment Act 1997</w:t>
      </w:r>
      <w:r>
        <w:t>, and that declaration is in force; and</w:t>
      </w:r>
    </w:p>
    <w:p w:rsidR="000F6ECC" w:rsidRDefault="000F6ECC" w:rsidP="006269B0">
      <w:pPr>
        <w:pStyle w:val="paragraph"/>
      </w:pPr>
      <w:r>
        <w:tab/>
        <w:t>(b)</w:t>
      </w:r>
      <w:r>
        <w:tab/>
        <w:t xml:space="preserve">the organisation has submitted a request (however described) to the Commissioner for a public fund it has established to be declared to be a developing country relief fund under </w:t>
      </w:r>
      <w:r w:rsidR="0044369B">
        <w:t>subsection 3</w:t>
      </w:r>
      <w:r>
        <w:t>0</w:t>
      </w:r>
      <w:r w:rsidR="006269B0">
        <w:noBreakHyphen/>
      </w:r>
      <w:r>
        <w:t>85(2) of that Act; and</w:t>
      </w:r>
    </w:p>
    <w:p w:rsidR="000F6ECC" w:rsidRDefault="000F6ECC" w:rsidP="006269B0">
      <w:pPr>
        <w:pStyle w:val="paragraph"/>
      </w:pPr>
      <w:r>
        <w:tab/>
        <w:t>(c)</w:t>
      </w:r>
      <w:r>
        <w:tab/>
        <w:t>the organisation has not been notified by the department of the outcome of the request.</w:t>
      </w:r>
    </w:p>
    <w:p w:rsidR="000F6ECC" w:rsidRDefault="000F6ECC" w:rsidP="006269B0">
      <w:pPr>
        <w:pStyle w:val="Subitem"/>
      </w:pPr>
      <w:r>
        <w:t>(</w:t>
      </w:r>
      <w:r w:rsidR="007B0F57">
        <w:t>8</w:t>
      </w:r>
      <w:r>
        <w:t>)</w:t>
      </w:r>
      <w:r>
        <w:tab/>
        <w:t>On and after the commencement of this Part:</w:t>
      </w:r>
    </w:p>
    <w:p w:rsidR="000F6ECC" w:rsidRDefault="000F6ECC" w:rsidP="006269B0">
      <w:pPr>
        <w:pStyle w:val="paragraph"/>
      </w:pPr>
      <w:r>
        <w:tab/>
        <w:t>(a)</w:t>
      </w:r>
      <w:r>
        <w:tab/>
        <w:t>treat the request as an application under subsection 426</w:t>
      </w:r>
      <w:r w:rsidR="006269B0">
        <w:noBreakHyphen/>
      </w:r>
      <w:r>
        <w:t xml:space="preserve">15(1) in Schedule 1 to the </w:t>
      </w:r>
      <w:r w:rsidRPr="003B5A82">
        <w:rPr>
          <w:i/>
        </w:rPr>
        <w:t>Taxation Administration Act 1953</w:t>
      </w:r>
      <w:r>
        <w:rPr>
          <w:i/>
        </w:rPr>
        <w:t xml:space="preserve"> </w:t>
      </w:r>
      <w:r>
        <w:t xml:space="preserve">by the entity for endorsement as a deductible gift recipient under </w:t>
      </w:r>
      <w:r w:rsidR="0044369B">
        <w:t>paragraph 3</w:t>
      </w:r>
      <w:r>
        <w:t>0</w:t>
      </w:r>
      <w:r w:rsidR="006269B0">
        <w:noBreakHyphen/>
      </w:r>
      <w:r>
        <w:t xml:space="preserve">120(a) of the </w:t>
      </w:r>
      <w:r w:rsidRPr="000F571C">
        <w:rPr>
          <w:i/>
        </w:rPr>
        <w:t>Income Tax Assessment Act 1997</w:t>
      </w:r>
      <w:r w:rsidRPr="000F571C">
        <w:t xml:space="preserve"> based on </w:t>
      </w:r>
      <w:r>
        <w:t>item 9</w:t>
      </w:r>
      <w:r w:rsidRPr="000F571C">
        <w:t xml:space="preserve">.1.1 of the table in </w:t>
      </w:r>
      <w:r w:rsidR="0044369B">
        <w:t>subsection 3</w:t>
      </w:r>
      <w:r w:rsidRPr="000F571C">
        <w:t>0</w:t>
      </w:r>
      <w:r w:rsidR="006269B0">
        <w:noBreakHyphen/>
      </w:r>
      <w:r>
        <w:t>80</w:t>
      </w:r>
      <w:r w:rsidRPr="000F571C">
        <w:t>(1)</w:t>
      </w:r>
      <w:r>
        <w:t xml:space="preserve"> of that Act; and</w:t>
      </w:r>
    </w:p>
    <w:p w:rsidR="000F6ECC" w:rsidRDefault="000F6ECC" w:rsidP="006269B0">
      <w:pPr>
        <w:pStyle w:val="paragraph"/>
      </w:pPr>
      <w:r>
        <w:tab/>
        <w:t>(b)</w:t>
      </w:r>
      <w:r>
        <w:tab/>
        <w:t>treat the application:</w:t>
      </w:r>
    </w:p>
    <w:p w:rsidR="000F6ECC" w:rsidRDefault="000F6ECC" w:rsidP="006269B0">
      <w:pPr>
        <w:pStyle w:val="paragraphsub"/>
      </w:pPr>
      <w:r>
        <w:tab/>
        <w:t>(i)</w:t>
      </w:r>
      <w:r>
        <w:tab/>
        <w:t>as having been made on the commencement of this Part; and</w:t>
      </w:r>
    </w:p>
    <w:p w:rsidR="000F6ECC" w:rsidRDefault="000F6ECC" w:rsidP="006269B0">
      <w:pPr>
        <w:pStyle w:val="paragraphsub"/>
      </w:pPr>
      <w:r>
        <w:tab/>
        <w:t>(ii)</w:t>
      </w:r>
      <w:r>
        <w:tab/>
        <w:t>as meeting the requirements set out in subsection 426</w:t>
      </w:r>
      <w:r w:rsidR="006269B0">
        <w:noBreakHyphen/>
      </w:r>
      <w:r>
        <w:t xml:space="preserve">15(2) in Schedule 1 to the </w:t>
      </w:r>
      <w:r w:rsidRPr="003B5A82">
        <w:rPr>
          <w:i/>
        </w:rPr>
        <w:t>Taxation Administration Act 1953</w:t>
      </w:r>
      <w:r>
        <w:t>.</w:t>
      </w:r>
    </w:p>
    <w:p w:rsidR="009560C6" w:rsidRPr="00AC37B5" w:rsidRDefault="000F6ECC" w:rsidP="006269B0">
      <w:pPr>
        <w:pStyle w:val="SubitemHead"/>
      </w:pPr>
      <w:r>
        <w:t>O</w:t>
      </w:r>
      <w:r w:rsidR="00B45538">
        <w:t>rganisation</w:t>
      </w:r>
      <w:r>
        <w:t>s seeking to be approved organisations</w:t>
      </w:r>
    </w:p>
    <w:p w:rsidR="009560C6" w:rsidRDefault="009560C6" w:rsidP="006269B0">
      <w:pPr>
        <w:pStyle w:val="Subitem"/>
      </w:pPr>
      <w:r>
        <w:t>(</w:t>
      </w:r>
      <w:r w:rsidR="007B0F57">
        <w:t>9</w:t>
      </w:r>
      <w:r>
        <w:t>)</w:t>
      </w:r>
      <w:r>
        <w:tab/>
      </w:r>
      <w:r w:rsidR="0044369B">
        <w:t>Subitem (</w:t>
      </w:r>
      <w:r w:rsidR="007B0F57">
        <w:t>10</w:t>
      </w:r>
      <w:r>
        <w:t>) applies if, immediately before the commencement of this Part:</w:t>
      </w:r>
    </w:p>
    <w:p w:rsidR="009560C6" w:rsidRDefault="009560C6" w:rsidP="006269B0">
      <w:pPr>
        <w:pStyle w:val="paragraph"/>
      </w:pPr>
      <w:r>
        <w:tab/>
        <w:t>(a)</w:t>
      </w:r>
      <w:r>
        <w:tab/>
        <w:t xml:space="preserve">an entity has submitted a request (however described) to the department administered by the </w:t>
      </w:r>
      <w:r w:rsidR="00D4636E">
        <w:t xml:space="preserve">Foreign Affairs </w:t>
      </w:r>
      <w:r>
        <w:t xml:space="preserve">Minister seeking to be </w:t>
      </w:r>
      <w:r w:rsidR="00D4636E">
        <w:t xml:space="preserve">declared as an approved organisation under </w:t>
      </w:r>
      <w:r w:rsidR="0044369B">
        <w:t>paragraph 3</w:t>
      </w:r>
      <w:r>
        <w:t>0</w:t>
      </w:r>
      <w:r w:rsidR="006269B0">
        <w:noBreakHyphen/>
      </w:r>
      <w:r w:rsidR="00D4636E">
        <w:t>8</w:t>
      </w:r>
      <w:r>
        <w:t>5</w:t>
      </w:r>
      <w:r w:rsidR="00D4636E">
        <w:t>(2)(a)</w:t>
      </w:r>
      <w:r>
        <w:t xml:space="preserve"> of </w:t>
      </w:r>
      <w:r w:rsidRPr="002E12DB">
        <w:t xml:space="preserve">the </w:t>
      </w:r>
      <w:r w:rsidRPr="002E12DB">
        <w:rPr>
          <w:i/>
        </w:rPr>
        <w:t>Income Tax Assessment Act 1997</w:t>
      </w:r>
      <w:r>
        <w:t>; and</w:t>
      </w:r>
    </w:p>
    <w:p w:rsidR="009560C6" w:rsidRDefault="009560C6" w:rsidP="006269B0">
      <w:pPr>
        <w:pStyle w:val="paragraph"/>
      </w:pPr>
      <w:r>
        <w:tab/>
        <w:t>(b)</w:t>
      </w:r>
      <w:r>
        <w:tab/>
        <w:t>the entity has not been notified by the department of the outcome of the request.</w:t>
      </w:r>
    </w:p>
    <w:p w:rsidR="009560C6" w:rsidRDefault="009560C6" w:rsidP="006269B0">
      <w:pPr>
        <w:pStyle w:val="Subitem"/>
      </w:pPr>
      <w:r>
        <w:t>(</w:t>
      </w:r>
      <w:r w:rsidR="007B0F57">
        <w:t>10</w:t>
      </w:r>
      <w:r>
        <w:t>)</w:t>
      </w:r>
      <w:r>
        <w:tab/>
        <w:t>On and after the commencement of this Part:</w:t>
      </w:r>
    </w:p>
    <w:p w:rsidR="009560C6" w:rsidRDefault="009560C6" w:rsidP="006269B0">
      <w:pPr>
        <w:pStyle w:val="paragraph"/>
      </w:pPr>
      <w:r>
        <w:tab/>
        <w:t>(a)</w:t>
      </w:r>
      <w:r>
        <w:tab/>
        <w:t>treat the request as an application under subsection 426</w:t>
      </w:r>
      <w:r w:rsidR="006269B0">
        <w:noBreakHyphen/>
      </w:r>
      <w:r>
        <w:t xml:space="preserve">15(1) in Schedule 1 to the </w:t>
      </w:r>
      <w:r w:rsidRPr="003B5A82">
        <w:rPr>
          <w:i/>
        </w:rPr>
        <w:t>Taxation Administration Act 1953</w:t>
      </w:r>
      <w:r>
        <w:rPr>
          <w:i/>
        </w:rPr>
        <w:t xml:space="preserve"> </w:t>
      </w:r>
      <w:r>
        <w:t xml:space="preserve">by the entity for endorsement as a deductible gift recipient under </w:t>
      </w:r>
      <w:r w:rsidR="0044369B">
        <w:t>paragraph 3</w:t>
      </w:r>
      <w:r>
        <w:t>0</w:t>
      </w:r>
      <w:r w:rsidR="006269B0">
        <w:noBreakHyphen/>
      </w:r>
      <w:r>
        <w:t xml:space="preserve">120(a) of the </w:t>
      </w:r>
      <w:r w:rsidRPr="000F571C">
        <w:rPr>
          <w:i/>
        </w:rPr>
        <w:t>Income Tax Assessment Act 1997</w:t>
      </w:r>
      <w:r w:rsidRPr="000F571C">
        <w:t xml:space="preserve"> based on </w:t>
      </w:r>
      <w:r>
        <w:t>item </w:t>
      </w:r>
      <w:r w:rsidR="00D4636E">
        <w:t>9</w:t>
      </w:r>
      <w:r w:rsidRPr="000F571C">
        <w:t xml:space="preserve">.1.1 of the table in </w:t>
      </w:r>
      <w:r w:rsidR="0044369B">
        <w:t>subsection 3</w:t>
      </w:r>
      <w:r w:rsidRPr="000F571C">
        <w:t>0</w:t>
      </w:r>
      <w:r w:rsidR="006269B0">
        <w:noBreakHyphen/>
      </w:r>
      <w:r w:rsidR="00D4636E">
        <w:t>80</w:t>
      </w:r>
      <w:r w:rsidRPr="000F571C">
        <w:t>(1)</w:t>
      </w:r>
      <w:r>
        <w:t xml:space="preserve"> of that Act; and</w:t>
      </w:r>
    </w:p>
    <w:p w:rsidR="009560C6" w:rsidRDefault="009560C6" w:rsidP="006269B0">
      <w:pPr>
        <w:pStyle w:val="paragraph"/>
      </w:pPr>
      <w:r>
        <w:tab/>
        <w:t>(b)</w:t>
      </w:r>
      <w:r>
        <w:tab/>
        <w:t>treat the application:</w:t>
      </w:r>
    </w:p>
    <w:p w:rsidR="009560C6" w:rsidRDefault="009560C6" w:rsidP="006269B0">
      <w:pPr>
        <w:pStyle w:val="paragraphsub"/>
      </w:pPr>
      <w:r>
        <w:tab/>
        <w:t>(i)</w:t>
      </w:r>
      <w:r>
        <w:tab/>
        <w:t>as having been made on the commencement of this Part; and</w:t>
      </w:r>
    </w:p>
    <w:p w:rsidR="009560C6" w:rsidRPr="008B5549" w:rsidRDefault="009560C6" w:rsidP="006269B0">
      <w:pPr>
        <w:pStyle w:val="paragraphsub"/>
      </w:pPr>
      <w:r>
        <w:tab/>
        <w:t>(ii)</w:t>
      </w:r>
      <w:r>
        <w:tab/>
        <w:t>as meeting the requirements set out in subsection 426</w:t>
      </w:r>
      <w:r w:rsidR="006269B0">
        <w:noBreakHyphen/>
      </w:r>
      <w:r>
        <w:t xml:space="preserve">15(2) in Schedule 1 to the </w:t>
      </w:r>
      <w:r w:rsidRPr="003B5A82">
        <w:rPr>
          <w:i/>
        </w:rPr>
        <w:t>Taxation Administration Act 1953</w:t>
      </w:r>
      <w:r>
        <w:t>.</w:t>
      </w:r>
    </w:p>
    <w:p w:rsidR="006C53A7" w:rsidRDefault="007B165E" w:rsidP="006269B0">
      <w:pPr>
        <w:pStyle w:val="ActHead7"/>
        <w:pageBreakBefore/>
      </w:pPr>
      <w:r w:rsidRPr="00AE4F3F">
        <w:rPr>
          <w:rStyle w:val="CharAmPartNo"/>
        </w:rPr>
        <w:t>Part 5</w:t>
      </w:r>
      <w:r w:rsidR="006C53A7">
        <w:t>—</w:t>
      </w:r>
      <w:r w:rsidR="00AC17FF" w:rsidRPr="00AE4F3F">
        <w:rPr>
          <w:rStyle w:val="CharAmPartText"/>
        </w:rPr>
        <w:t>Miscellaneous</w:t>
      </w:r>
    </w:p>
    <w:p w:rsidR="006C53A7" w:rsidRPr="009B6E10" w:rsidRDefault="006C53A7" w:rsidP="006269B0">
      <w:pPr>
        <w:pStyle w:val="ActHead9"/>
      </w:pPr>
      <w:r>
        <w:t>Income Tax Assessment Act 1997</w:t>
      </w:r>
    </w:p>
    <w:p w:rsidR="006C53A7" w:rsidRDefault="00014241" w:rsidP="006269B0">
      <w:pPr>
        <w:pStyle w:val="ItemHead"/>
      </w:pPr>
      <w:r>
        <w:t>21</w:t>
      </w:r>
      <w:r w:rsidR="006C53A7">
        <w:t xml:space="preserve">  </w:t>
      </w:r>
      <w:r w:rsidR="007B165E">
        <w:t>Sub</w:t>
      </w:r>
      <w:r w:rsidR="00C06F39">
        <w:t>section 3</w:t>
      </w:r>
      <w:r w:rsidR="006C53A7">
        <w:t>0</w:t>
      </w:r>
      <w:r w:rsidR="006269B0">
        <w:noBreakHyphen/>
      </w:r>
      <w:r w:rsidR="006C53A7">
        <w:t>5(5)</w:t>
      </w:r>
    </w:p>
    <w:p w:rsidR="006C53A7" w:rsidRDefault="006C53A7" w:rsidP="006269B0">
      <w:pPr>
        <w:pStyle w:val="Item"/>
      </w:pPr>
      <w:r>
        <w:t>Repeal the subsection.</w:t>
      </w:r>
    </w:p>
    <w:sectPr w:rsidR="006C53A7" w:rsidSect="006269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69B" w:rsidRDefault="0044369B" w:rsidP="00664C63">
      <w:pPr>
        <w:spacing w:line="240" w:lineRule="auto"/>
      </w:pPr>
      <w:r>
        <w:separator/>
      </w:r>
    </w:p>
  </w:endnote>
  <w:endnote w:type="continuationSeparator" w:id="0">
    <w:p w:rsidR="0044369B" w:rsidRDefault="0044369B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69B" w:rsidRPr="00BB4623" w:rsidRDefault="0044369B" w:rsidP="006269B0">
    <w:pPr>
      <w:pBdr>
        <w:top w:val="single" w:sz="6" w:space="1" w:color="auto"/>
      </w:pBdr>
      <w:spacing w:before="120"/>
      <w:jc w:val="right"/>
      <w:rPr>
        <w:sz w:val="18"/>
      </w:rPr>
    </w:pPr>
  </w:p>
  <w:p w:rsidR="0044369B" w:rsidRPr="00BB4623" w:rsidRDefault="0044369B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:rsidR="0044369B" w:rsidRPr="00BB4623" w:rsidRDefault="0044369B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69B" w:rsidRDefault="0044369B" w:rsidP="006269B0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44369B" w:rsidRPr="00B3608C" w:rsidTr="001E238A">
      <w:trPr>
        <w:trHeight w:val="280"/>
      </w:trPr>
      <w:tc>
        <w:tcPr>
          <w:tcW w:w="7087" w:type="dxa"/>
        </w:tcPr>
        <w:p w:rsidR="0044369B" w:rsidRPr="00B3608C" w:rsidRDefault="0044369B" w:rsidP="001E238A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44369B" w:rsidRPr="00B3608C" w:rsidTr="001E238A">
      <w:tc>
        <w:tcPr>
          <w:tcW w:w="7087" w:type="dxa"/>
        </w:tcPr>
        <w:p w:rsidR="0044369B" w:rsidRPr="00B3608C" w:rsidRDefault="0044369B" w:rsidP="001E238A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:rsidR="0044369B" w:rsidRPr="00BB4623" w:rsidRDefault="0044369B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4369B" w:rsidRPr="00324EB0" w:rsidRDefault="0044369B" w:rsidP="001E238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21C7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69B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69B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21C7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21C7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21C7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21C7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" stroked="f" strokeweight=".5pt">
              <v:textbox>
                <w:txbxContent>
                  <w:p w:rsidR="0044369B" w:rsidRPr="00324EB0" w:rsidRDefault="0044369B" w:rsidP="001E238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21C7D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69B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69B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21C7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21C7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21C7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21C7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69B" w:rsidRPr="00BB4623" w:rsidRDefault="0044369B" w:rsidP="006269B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69B" w:rsidRDefault="0044369B" w:rsidP="00664C63">
      <w:pPr>
        <w:spacing w:line="240" w:lineRule="auto"/>
      </w:pPr>
      <w:r>
        <w:separator/>
      </w:r>
    </w:p>
  </w:footnote>
  <w:footnote w:type="continuationSeparator" w:id="0">
    <w:p w:rsidR="0044369B" w:rsidRDefault="0044369B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69B" w:rsidRPr="00BB4623" w:rsidRDefault="0044369B" w:rsidP="00664C63">
    <w:pPr>
      <w:rPr>
        <w:sz w:val="24"/>
      </w:rPr>
    </w:pPr>
  </w:p>
  <w:p w:rsidR="0044369B" w:rsidRPr="00BB4623" w:rsidRDefault="0044369B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69B" w:rsidRPr="00BB4623" w:rsidRDefault="0044369B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4369B" w:rsidRPr="00324EB0" w:rsidRDefault="0044369B" w:rsidP="001E238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21C7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69B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69B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21C7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21C7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21C7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C529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" stroked="f" strokeweight=".5pt">
              <v:textbox>
                <w:txbxContent>
                  <w:p w:rsidR="0044369B" w:rsidRPr="00324EB0" w:rsidRDefault="0044369B" w:rsidP="001E238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21C7D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69B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69B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21C7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21C7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21C7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C529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:rsidR="0044369B" w:rsidRPr="00BB4623" w:rsidRDefault="0044369B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69B" w:rsidRPr="00BB4623" w:rsidRDefault="0044369B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40"/>
  <w:removePersonalInformation/>
  <w:doNotDisplayPageBoundaries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045EA"/>
    <w:rsid w:val="000136AF"/>
    <w:rsid w:val="00014241"/>
    <w:rsid w:val="00014B9A"/>
    <w:rsid w:val="000347A1"/>
    <w:rsid w:val="00055D20"/>
    <w:rsid w:val="000614BF"/>
    <w:rsid w:val="00073C5A"/>
    <w:rsid w:val="00087033"/>
    <w:rsid w:val="000A5016"/>
    <w:rsid w:val="000C6C30"/>
    <w:rsid w:val="000C74F9"/>
    <w:rsid w:val="000D05EF"/>
    <w:rsid w:val="000D3899"/>
    <w:rsid w:val="000F21C1"/>
    <w:rsid w:val="000F266F"/>
    <w:rsid w:val="000F4126"/>
    <w:rsid w:val="000F571C"/>
    <w:rsid w:val="000F6ECC"/>
    <w:rsid w:val="001016D1"/>
    <w:rsid w:val="00101C0C"/>
    <w:rsid w:val="0010240E"/>
    <w:rsid w:val="00104758"/>
    <w:rsid w:val="0010745C"/>
    <w:rsid w:val="0011206D"/>
    <w:rsid w:val="00134A8E"/>
    <w:rsid w:val="001556D1"/>
    <w:rsid w:val="00166C2F"/>
    <w:rsid w:val="0017739F"/>
    <w:rsid w:val="00182C9A"/>
    <w:rsid w:val="0018435F"/>
    <w:rsid w:val="001939E1"/>
    <w:rsid w:val="00195382"/>
    <w:rsid w:val="001B0F61"/>
    <w:rsid w:val="001B721F"/>
    <w:rsid w:val="001C06B7"/>
    <w:rsid w:val="001C69C4"/>
    <w:rsid w:val="001E238A"/>
    <w:rsid w:val="001E3590"/>
    <w:rsid w:val="001E7407"/>
    <w:rsid w:val="001F3665"/>
    <w:rsid w:val="001F3CBF"/>
    <w:rsid w:val="002025CC"/>
    <w:rsid w:val="0021250A"/>
    <w:rsid w:val="00223AA8"/>
    <w:rsid w:val="002277A0"/>
    <w:rsid w:val="00240749"/>
    <w:rsid w:val="002420E8"/>
    <w:rsid w:val="00253E1F"/>
    <w:rsid w:val="00273B8F"/>
    <w:rsid w:val="00285D36"/>
    <w:rsid w:val="00292F3E"/>
    <w:rsid w:val="00296415"/>
    <w:rsid w:val="00297ECB"/>
    <w:rsid w:val="002B1D6F"/>
    <w:rsid w:val="002C085A"/>
    <w:rsid w:val="002C2ED5"/>
    <w:rsid w:val="002C74A3"/>
    <w:rsid w:val="002D043A"/>
    <w:rsid w:val="002E12DB"/>
    <w:rsid w:val="002E4E2C"/>
    <w:rsid w:val="002F08B3"/>
    <w:rsid w:val="002F2F05"/>
    <w:rsid w:val="003057DD"/>
    <w:rsid w:val="00311440"/>
    <w:rsid w:val="00313C6F"/>
    <w:rsid w:val="00325783"/>
    <w:rsid w:val="0033411C"/>
    <w:rsid w:val="00334771"/>
    <w:rsid w:val="003415D3"/>
    <w:rsid w:val="00352B0F"/>
    <w:rsid w:val="00366D11"/>
    <w:rsid w:val="00367280"/>
    <w:rsid w:val="00374832"/>
    <w:rsid w:val="003B0F1E"/>
    <w:rsid w:val="003B5A82"/>
    <w:rsid w:val="003D0317"/>
    <w:rsid w:val="003D0BFE"/>
    <w:rsid w:val="003D2D96"/>
    <w:rsid w:val="003D3B4B"/>
    <w:rsid w:val="003D5700"/>
    <w:rsid w:val="003E7D26"/>
    <w:rsid w:val="003F60D2"/>
    <w:rsid w:val="003F711B"/>
    <w:rsid w:val="00402376"/>
    <w:rsid w:val="004043EE"/>
    <w:rsid w:val="004045EA"/>
    <w:rsid w:val="0040616D"/>
    <w:rsid w:val="004067C0"/>
    <w:rsid w:val="004116CD"/>
    <w:rsid w:val="00413CA7"/>
    <w:rsid w:val="004160E3"/>
    <w:rsid w:val="004168B4"/>
    <w:rsid w:val="00424CA9"/>
    <w:rsid w:val="00427743"/>
    <w:rsid w:val="00427D10"/>
    <w:rsid w:val="0044291A"/>
    <w:rsid w:val="0044369B"/>
    <w:rsid w:val="004639F4"/>
    <w:rsid w:val="00467D06"/>
    <w:rsid w:val="004855F6"/>
    <w:rsid w:val="004959AA"/>
    <w:rsid w:val="00496F97"/>
    <w:rsid w:val="004E3680"/>
    <w:rsid w:val="004E7DD5"/>
    <w:rsid w:val="00501BAF"/>
    <w:rsid w:val="005104CE"/>
    <w:rsid w:val="00516B8D"/>
    <w:rsid w:val="00524B45"/>
    <w:rsid w:val="0053055F"/>
    <w:rsid w:val="00537FBC"/>
    <w:rsid w:val="00543850"/>
    <w:rsid w:val="0058172F"/>
    <w:rsid w:val="00584052"/>
    <w:rsid w:val="00584811"/>
    <w:rsid w:val="00593AA6"/>
    <w:rsid w:val="00594161"/>
    <w:rsid w:val="00594749"/>
    <w:rsid w:val="005A2D05"/>
    <w:rsid w:val="005A6F34"/>
    <w:rsid w:val="005B0B6F"/>
    <w:rsid w:val="005B3E81"/>
    <w:rsid w:val="005B4067"/>
    <w:rsid w:val="005C3F41"/>
    <w:rsid w:val="005C5800"/>
    <w:rsid w:val="005D4DEA"/>
    <w:rsid w:val="00600219"/>
    <w:rsid w:val="00604F5B"/>
    <w:rsid w:val="00611C2E"/>
    <w:rsid w:val="006269B0"/>
    <w:rsid w:val="006444FB"/>
    <w:rsid w:val="00645FF6"/>
    <w:rsid w:val="0065106B"/>
    <w:rsid w:val="006527A6"/>
    <w:rsid w:val="00664C63"/>
    <w:rsid w:val="006716C9"/>
    <w:rsid w:val="00677CC2"/>
    <w:rsid w:val="00681A4A"/>
    <w:rsid w:val="00691F34"/>
    <w:rsid w:val="0069207B"/>
    <w:rsid w:val="006B096E"/>
    <w:rsid w:val="006B51F1"/>
    <w:rsid w:val="006C53A7"/>
    <w:rsid w:val="006C7F8C"/>
    <w:rsid w:val="006D3764"/>
    <w:rsid w:val="006E4AB2"/>
    <w:rsid w:val="00700B2C"/>
    <w:rsid w:val="00704752"/>
    <w:rsid w:val="00706433"/>
    <w:rsid w:val="00713084"/>
    <w:rsid w:val="007173B8"/>
    <w:rsid w:val="00717D31"/>
    <w:rsid w:val="00731E00"/>
    <w:rsid w:val="00732A85"/>
    <w:rsid w:val="007440B7"/>
    <w:rsid w:val="0075226A"/>
    <w:rsid w:val="00754BC9"/>
    <w:rsid w:val="007627F4"/>
    <w:rsid w:val="007715C9"/>
    <w:rsid w:val="00774EDD"/>
    <w:rsid w:val="007757EC"/>
    <w:rsid w:val="007845BF"/>
    <w:rsid w:val="007900A5"/>
    <w:rsid w:val="00795FCE"/>
    <w:rsid w:val="007A659A"/>
    <w:rsid w:val="007B081F"/>
    <w:rsid w:val="007B0F57"/>
    <w:rsid w:val="007B165E"/>
    <w:rsid w:val="007C5335"/>
    <w:rsid w:val="007E4CC8"/>
    <w:rsid w:val="00806F20"/>
    <w:rsid w:val="00821C7D"/>
    <w:rsid w:val="00830815"/>
    <w:rsid w:val="00837C47"/>
    <w:rsid w:val="0084247A"/>
    <w:rsid w:val="00856A31"/>
    <w:rsid w:val="00857064"/>
    <w:rsid w:val="00864318"/>
    <w:rsid w:val="0086784D"/>
    <w:rsid w:val="0087233F"/>
    <w:rsid w:val="008754D0"/>
    <w:rsid w:val="00883892"/>
    <w:rsid w:val="00886FF2"/>
    <w:rsid w:val="008A2238"/>
    <w:rsid w:val="008A6470"/>
    <w:rsid w:val="008B0C17"/>
    <w:rsid w:val="008B5549"/>
    <w:rsid w:val="008B63E4"/>
    <w:rsid w:val="008C2E9A"/>
    <w:rsid w:val="008C7CBE"/>
    <w:rsid w:val="008D05EA"/>
    <w:rsid w:val="008D0EE0"/>
    <w:rsid w:val="008E05CA"/>
    <w:rsid w:val="00912007"/>
    <w:rsid w:val="00931D06"/>
    <w:rsid w:val="00932377"/>
    <w:rsid w:val="00932FA3"/>
    <w:rsid w:val="00935DE1"/>
    <w:rsid w:val="0095602D"/>
    <w:rsid w:val="009560C6"/>
    <w:rsid w:val="009620C2"/>
    <w:rsid w:val="009620D3"/>
    <w:rsid w:val="00992B87"/>
    <w:rsid w:val="009B6E10"/>
    <w:rsid w:val="009D117F"/>
    <w:rsid w:val="009D763E"/>
    <w:rsid w:val="00A04654"/>
    <w:rsid w:val="00A0466A"/>
    <w:rsid w:val="00A05AA7"/>
    <w:rsid w:val="00A120DD"/>
    <w:rsid w:val="00A231E2"/>
    <w:rsid w:val="00A25627"/>
    <w:rsid w:val="00A26921"/>
    <w:rsid w:val="00A415B9"/>
    <w:rsid w:val="00A56D23"/>
    <w:rsid w:val="00A64912"/>
    <w:rsid w:val="00A70A74"/>
    <w:rsid w:val="00A71F27"/>
    <w:rsid w:val="00AA5445"/>
    <w:rsid w:val="00AB18F7"/>
    <w:rsid w:val="00AB22B0"/>
    <w:rsid w:val="00AB4429"/>
    <w:rsid w:val="00AB5A90"/>
    <w:rsid w:val="00AC17FF"/>
    <w:rsid w:val="00AC37B5"/>
    <w:rsid w:val="00AD27B3"/>
    <w:rsid w:val="00AD5641"/>
    <w:rsid w:val="00AE4F3F"/>
    <w:rsid w:val="00AE59F7"/>
    <w:rsid w:val="00AE7BD7"/>
    <w:rsid w:val="00AF5311"/>
    <w:rsid w:val="00B05DED"/>
    <w:rsid w:val="00B169C6"/>
    <w:rsid w:val="00B26413"/>
    <w:rsid w:val="00B30BBF"/>
    <w:rsid w:val="00B33B3C"/>
    <w:rsid w:val="00B340B6"/>
    <w:rsid w:val="00B3608C"/>
    <w:rsid w:val="00B372A6"/>
    <w:rsid w:val="00B3797E"/>
    <w:rsid w:val="00B429C2"/>
    <w:rsid w:val="00B45538"/>
    <w:rsid w:val="00B61C25"/>
    <w:rsid w:val="00B70E56"/>
    <w:rsid w:val="00BA284C"/>
    <w:rsid w:val="00BB0BDD"/>
    <w:rsid w:val="00BB6ADB"/>
    <w:rsid w:val="00BB757D"/>
    <w:rsid w:val="00BC30F2"/>
    <w:rsid w:val="00BD1655"/>
    <w:rsid w:val="00BE719A"/>
    <w:rsid w:val="00BE720A"/>
    <w:rsid w:val="00C06F39"/>
    <w:rsid w:val="00C12840"/>
    <w:rsid w:val="00C42BF8"/>
    <w:rsid w:val="00C50043"/>
    <w:rsid w:val="00C53114"/>
    <w:rsid w:val="00C70128"/>
    <w:rsid w:val="00C70D8A"/>
    <w:rsid w:val="00C723B9"/>
    <w:rsid w:val="00C7573B"/>
    <w:rsid w:val="00C77D10"/>
    <w:rsid w:val="00CA6563"/>
    <w:rsid w:val="00CB0EA8"/>
    <w:rsid w:val="00CC32F4"/>
    <w:rsid w:val="00CC529B"/>
    <w:rsid w:val="00CC7A09"/>
    <w:rsid w:val="00CD10CB"/>
    <w:rsid w:val="00CF0BB2"/>
    <w:rsid w:val="00CF4975"/>
    <w:rsid w:val="00D01D3C"/>
    <w:rsid w:val="00D13441"/>
    <w:rsid w:val="00D149E4"/>
    <w:rsid w:val="00D3213F"/>
    <w:rsid w:val="00D374CE"/>
    <w:rsid w:val="00D40093"/>
    <w:rsid w:val="00D40252"/>
    <w:rsid w:val="00D4636E"/>
    <w:rsid w:val="00D467B9"/>
    <w:rsid w:val="00D46871"/>
    <w:rsid w:val="00D6321A"/>
    <w:rsid w:val="00D6333D"/>
    <w:rsid w:val="00D67311"/>
    <w:rsid w:val="00D70DFB"/>
    <w:rsid w:val="00D711F5"/>
    <w:rsid w:val="00D7186F"/>
    <w:rsid w:val="00D71DC3"/>
    <w:rsid w:val="00D766DF"/>
    <w:rsid w:val="00D8463D"/>
    <w:rsid w:val="00D918CB"/>
    <w:rsid w:val="00D9284D"/>
    <w:rsid w:val="00DB2EC2"/>
    <w:rsid w:val="00DD0BFB"/>
    <w:rsid w:val="00DD314D"/>
    <w:rsid w:val="00DF1EE5"/>
    <w:rsid w:val="00E00196"/>
    <w:rsid w:val="00E05704"/>
    <w:rsid w:val="00E1317C"/>
    <w:rsid w:val="00E1363F"/>
    <w:rsid w:val="00E54CAB"/>
    <w:rsid w:val="00E57553"/>
    <w:rsid w:val="00E74DC7"/>
    <w:rsid w:val="00E84070"/>
    <w:rsid w:val="00E85CB9"/>
    <w:rsid w:val="00E929BC"/>
    <w:rsid w:val="00E94998"/>
    <w:rsid w:val="00EC7DD7"/>
    <w:rsid w:val="00ED1A6C"/>
    <w:rsid w:val="00ED1F5B"/>
    <w:rsid w:val="00ED28EF"/>
    <w:rsid w:val="00EE25A8"/>
    <w:rsid w:val="00EE6DCC"/>
    <w:rsid w:val="00EE7BC7"/>
    <w:rsid w:val="00EF2E3A"/>
    <w:rsid w:val="00F0132A"/>
    <w:rsid w:val="00F078DC"/>
    <w:rsid w:val="00F5076A"/>
    <w:rsid w:val="00F5489D"/>
    <w:rsid w:val="00F62247"/>
    <w:rsid w:val="00F67AED"/>
    <w:rsid w:val="00F71234"/>
    <w:rsid w:val="00F8103A"/>
    <w:rsid w:val="00FA1BC2"/>
    <w:rsid w:val="00FA3991"/>
    <w:rsid w:val="00FA4FC0"/>
    <w:rsid w:val="00FC104F"/>
    <w:rsid w:val="00FF0CED"/>
    <w:rsid w:val="00FF2E89"/>
    <w:rsid w:val="00FF6220"/>
    <w:rsid w:val="00FF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269B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78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8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8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8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84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84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84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84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84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269B0"/>
  </w:style>
  <w:style w:type="paragraph" w:customStyle="1" w:styleId="OPCParaBase">
    <w:name w:val="OPCParaBase"/>
    <w:qFormat/>
    <w:rsid w:val="006269B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269B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269B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269B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269B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269B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269B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269B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269B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269B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269B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269B0"/>
  </w:style>
  <w:style w:type="paragraph" w:customStyle="1" w:styleId="Blocks">
    <w:name w:val="Blocks"/>
    <w:aliases w:val="bb"/>
    <w:basedOn w:val="OPCParaBase"/>
    <w:qFormat/>
    <w:rsid w:val="006269B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269B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269B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269B0"/>
    <w:rPr>
      <w:i/>
    </w:rPr>
  </w:style>
  <w:style w:type="paragraph" w:customStyle="1" w:styleId="BoxList">
    <w:name w:val="BoxList"/>
    <w:aliases w:val="bl"/>
    <w:basedOn w:val="BoxText"/>
    <w:qFormat/>
    <w:rsid w:val="006269B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269B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269B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269B0"/>
    <w:pPr>
      <w:ind w:left="1985" w:hanging="851"/>
    </w:pPr>
  </w:style>
  <w:style w:type="character" w:customStyle="1" w:styleId="CharAmPartNo">
    <w:name w:val="CharAmPartNo"/>
    <w:basedOn w:val="OPCCharBase"/>
    <w:qFormat/>
    <w:rsid w:val="006269B0"/>
  </w:style>
  <w:style w:type="character" w:customStyle="1" w:styleId="CharAmPartText">
    <w:name w:val="CharAmPartText"/>
    <w:basedOn w:val="OPCCharBase"/>
    <w:qFormat/>
    <w:rsid w:val="006269B0"/>
  </w:style>
  <w:style w:type="character" w:customStyle="1" w:styleId="CharAmSchNo">
    <w:name w:val="CharAmSchNo"/>
    <w:basedOn w:val="OPCCharBase"/>
    <w:qFormat/>
    <w:rsid w:val="006269B0"/>
  </w:style>
  <w:style w:type="character" w:customStyle="1" w:styleId="CharAmSchText">
    <w:name w:val="CharAmSchText"/>
    <w:basedOn w:val="OPCCharBase"/>
    <w:qFormat/>
    <w:rsid w:val="006269B0"/>
  </w:style>
  <w:style w:type="character" w:customStyle="1" w:styleId="CharBoldItalic">
    <w:name w:val="CharBoldItalic"/>
    <w:basedOn w:val="OPCCharBase"/>
    <w:uiPriority w:val="1"/>
    <w:qFormat/>
    <w:rsid w:val="006269B0"/>
    <w:rPr>
      <w:b/>
      <w:i/>
    </w:rPr>
  </w:style>
  <w:style w:type="character" w:customStyle="1" w:styleId="CharChapNo">
    <w:name w:val="CharChapNo"/>
    <w:basedOn w:val="OPCCharBase"/>
    <w:uiPriority w:val="1"/>
    <w:qFormat/>
    <w:rsid w:val="006269B0"/>
  </w:style>
  <w:style w:type="character" w:customStyle="1" w:styleId="CharChapText">
    <w:name w:val="CharChapText"/>
    <w:basedOn w:val="OPCCharBase"/>
    <w:uiPriority w:val="1"/>
    <w:qFormat/>
    <w:rsid w:val="006269B0"/>
  </w:style>
  <w:style w:type="character" w:customStyle="1" w:styleId="CharDivNo">
    <w:name w:val="CharDivNo"/>
    <w:basedOn w:val="OPCCharBase"/>
    <w:uiPriority w:val="1"/>
    <w:qFormat/>
    <w:rsid w:val="006269B0"/>
  </w:style>
  <w:style w:type="character" w:customStyle="1" w:styleId="CharDivText">
    <w:name w:val="CharDivText"/>
    <w:basedOn w:val="OPCCharBase"/>
    <w:uiPriority w:val="1"/>
    <w:qFormat/>
    <w:rsid w:val="006269B0"/>
  </w:style>
  <w:style w:type="character" w:customStyle="1" w:styleId="CharItalic">
    <w:name w:val="CharItalic"/>
    <w:basedOn w:val="OPCCharBase"/>
    <w:uiPriority w:val="1"/>
    <w:qFormat/>
    <w:rsid w:val="006269B0"/>
    <w:rPr>
      <w:i/>
    </w:rPr>
  </w:style>
  <w:style w:type="character" w:customStyle="1" w:styleId="CharPartNo">
    <w:name w:val="CharPartNo"/>
    <w:basedOn w:val="OPCCharBase"/>
    <w:uiPriority w:val="1"/>
    <w:qFormat/>
    <w:rsid w:val="006269B0"/>
  </w:style>
  <w:style w:type="character" w:customStyle="1" w:styleId="CharPartText">
    <w:name w:val="CharPartText"/>
    <w:basedOn w:val="OPCCharBase"/>
    <w:uiPriority w:val="1"/>
    <w:qFormat/>
    <w:rsid w:val="006269B0"/>
  </w:style>
  <w:style w:type="character" w:customStyle="1" w:styleId="CharSectno">
    <w:name w:val="CharSectno"/>
    <w:basedOn w:val="OPCCharBase"/>
    <w:qFormat/>
    <w:rsid w:val="006269B0"/>
  </w:style>
  <w:style w:type="character" w:customStyle="1" w:styleId="CharSubdNo">
    <w:name w:val="CharSubdNo"/>
    <w:basedOn w:val="OPCCharBase"/>
    <w:uiPriority w:val="1"/>
    <w:qFormat/>
    <w:rsid w:val="006269B0"/>
  </w:style>
  <w:style w:type="character" w:customStyle="1" w:styleId="CharSubdText">
    <w:name w:val="CharSubdText"/>
    <w:basedOn w:val="OPCCharBase"/>
    <w:uiPriority w:val="1"/>
    <w:qFormat/>
    <w:rsid w:val="006269B0"/>
  </w:style>
  <w:style w:type="paragraph" w:customStyle="1" w:styleId="CTA--">
    <w:name w:val="CTA --"/>
    <w:basedOn w:val="OPCParaBase"/>
    <w:next w:val="Normal"/>
    <w:rsid w:val="006269B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269B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269B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269B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269B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269B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269B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269B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269B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269B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269B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269B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269B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269B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6269B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269B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269B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269B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269B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269B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269B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269B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269B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269B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269B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269B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269B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269B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269B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269B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269B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269B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269B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269B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269B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269B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269B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269B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269B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269B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269B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269B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269B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269B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269B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269B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269B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269B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269B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269B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6269B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269B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269B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269B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269B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269B0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269B0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269B0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269B0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6269B0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6269B0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269B0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269B0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6269B0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269B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269B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269B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269B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269B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269B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269B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269B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269B0"/>
    <w:rPr>
      <w:sz w:val="16"/>
    </w:rPr>
  </w:style>
  <w:style w:type="table" w:customStyle="1" w:styleId="CFlag">
    <w:name w:val="CFlag"/>
    <w:basedOn w:val="TableNormal"/>
    <w:uiPriority w:val="99"/>
    <w:rsid w:val="006269B0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6269B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269B0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269B0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6269B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6269B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269B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269B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269B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269B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269B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269B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269B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269B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269B0"/>
  </w:style>
  <w:style w:type="character" w:customStyle="1" w:styleId="CharSubPartNoCASA">
    <w:name w:val="CharSubPartNo(CASA)"/>
    <w:basedOn w:val="OPCCharBase"/>
    <w:uiPriority w:val="1"/>
    <w:rsid w:val="006269B0"/>
  </w:style>
  <w:style w:type="paragraph" w:customStyle="1" w:styleId="ENoteTTIndentHeadingSub">
    <w:name w:val="ENoteTTIndentHeadingSub"/>
    <w:aliases w:val="enTTHis"/>
    <w:basedOn w:val="OPCParaBase"/>
    <w:rsid w:val="006269B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269B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269B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269B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6269B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269B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269B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269B0"/>
    <w:rPr>
      <w:sz w:val="22"/>
    </w:rPr>
  </w:style>
  <w:style w:type="paragraph" w:customStyle="1" w:styleId="SOTextNote">
    <w:name w:val="SO TextNote"/>
    <w:aliases w:val="sont"/>
    <w:basedOn w:val="SOText"/>
    <w:qFormat/>
    <w:rsid w:val="006269B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269B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269B0"/>
    <w:rPr>
      <w:sz w:val="22"/>
    </w:rPr>
  </w:style>
  <w:style w:type="paragraph" w:customStyle="1" w:styleId="FileName">
    <w:name w:val="FileName"/>
    <w:basedOn w:val="Normal"/>
    <w:rsid w:val="006269B0"/>
  </w:style>
  <w:style w:type="paragraph" w:customStyle="1" w:styleId="TableHeading">
    <w:name w:val="TableHeading"/>
    <w:aliases w:val="th"/>
    <w:basedOn w:val="OPCParaBase"/>
    <w:next w:val="Tabletext"/>
    <w:rsid w:val="006269B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269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269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269B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269B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269B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269B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269B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269B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269B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269B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269B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6269B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269B0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6269B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269B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6269B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269B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269B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269B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269B0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626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6269B0"/>
  </w:style>
  <w:style w:type="character" w:customStyle="1" w:styleId="TabletextChar">
    <w:name w:val="Tabletext Char"/>
    <w:aliases w:val="tt Char"/>
    <w:basedOn w:val="DefaultParagraphFont"/>
    <w:link w:val="Tabletext"/>
    <w:rsid w:val="00BB757D"/>
    <w:rPr>
      <w:rFonts w:eastAsia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678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8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8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84D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84D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84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84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8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8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19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71FCEF99DE29FA4F97AF911AE05004EA" ma:contentTypeVersion="52674" ma:contentTypeDescription="" ma:contentTypeScope="" ma:versionID="dedfbebec8a1aa6ed15b7b3598864181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4="http://schemas.microsoft.com/sharepoint/v4" targetNamespace="http://schemas.microsoft.com/office/2006/metadata/properties" ma:root="true" ma:fieldsID="e9a05f2b41ebea460164615b2eefe37e" ns1:_="" ns2:_="" ns3:_="" ns4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59;#TSY RA-9278 - Destroy 30 years after action completed|c086dcfc-5e12-4afb-9fc8-394791410cc9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563589-9cf9-4143-b1eb-fb0534803d38">
      <Value>59</Value>
    </TaxCatchAll>
    <_dlc_DocId xmlns="0f563589-9cf9-4143-b1eb-fb0534803d38">2023RG-286-10445</_dlc_DocId>
    <_dlc_DocIdUrl xmlns="0f563589-9cf9-4143-b1eb-fb0534803d38">
      <Url>http://tweb/sites/rg/iitd/nfp/_layouts/15/DocIdRedir.aspx?ID=2023RG-286-10445</Url>
      <Description>2023RG-286-10445</Description>
    </_dlc_DocIdUrl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RA-9278 - Destroy 30 years after action completed</TermName>
          <TermId xmlns="http://schemas.microsoft.com/office/infopath/2007/PartnerControls">c086dcfc-5e12-4afb-9fc8-394791410cc9</TermId>
        </TermInfo>
      </Terms>
    </lb508a4dc5e84436a0fe496b536466aa>
    <IconOverlay xmlns="http://schemas.microsoft.com/sharepoint/v4" xsi:nil="true"/>
  </documentManagement>
</p:properties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371A2947-C3A0-4390-A882-75D2B67165E8}"/>
</file>

<file path=customXml/itemProps2.xml><?xml version="1.0" encoding="utf-8"?>
<ds:datastoreItem xmlns:ds="http://schemas.openxmlformats.org/officeDocument/2006/customXml" ds:itemID="{DCFAC530-FB0A-4F47-95DE-C3E066A67B69}"/>
</file>

<file path=customXml/itemProps3.xml><?xml version="1.0" encoding="utf-8"?>
<ds:datastoreItem xmlns:ds="http://schemas.openxmlformats.org/officeDocument/2006/customXml" ds:itemID="{D26BCBB9-3953-4CEC-B5B0-518636A43244}"/>
</file>

<file path=customXml/itemProps4.xml><?xml version="1.0" encoding="utf-8"?>
<ds:datastoreItem xmlns:ds="http://schemas.openxmlformats.org/officeDocument/2006/customXml" ds:itemID="{C771BE9A-67A3-4D13-8CC7-50FD12B39346}"/>
</file>

<file path=customXml/itemProps5.xml><?xml version="1.0" encoding="utf-8"?>
<ds:datastoreItem xmlns:ds="http://schemas.openxmlformats.org/officeDocument/2006/customXml" ds:itemID="{A3B2C974-8EB2-4855-8B2E-EE65B8C775D9}"/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2</Pages>
  <Words>3440</Words>
  <Characters>17789</Characters>
  <Application>Microsoft Office Word</Application>
  <DocSecurity>6</DocSecurity>
  <PresentationFormat/>
  <Lines>558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Treasury Laws Amendment (Measures for Consultation) Bill 2022: Deductible Gift Recipient Registers Reform</vt:lpstr>
    </vt:vector>
  </TitlesOfParts>
  <Manager/>
  <Company/>
  <LinksUpToDate>false</LinksUpToDate>
  <CharactersWithSpaces>21100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2023 Draft</dc:title>
  <dc:subject/>
  <dc:creator/>
  <cp:keywords/>
  <dc:description/>
  <cp:lastModifiedBy/>
  <cp:revision>1</cp:revision>
  <cp:lastPrinted>2014-02-19T03:48:00Z</cp:lastPrinted>
  <dcterms:created xsi:type="dcterms:W3CDTF">2023-01-18T22:05:00Z</dcterms:created>
  <dcterms:modified xsi:type="dcterms:W3CDTF">2023-01-18T22:05:00Z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INS</vt:lpwstr>
  </property>
  <property fmtid="{D5CDD505-2E9C-101B-9397-08002B2CF9AE}" pid="3" name="DLM">
    <vt:lpwstr> </vt:lpwstr>
  </property>
  <property fmtid="{D5CDD505-2E9C-101B-9397-08002B2CF9AE}" pid="4" name="Classification">
    <vt:lpwstr>EXPOSURE DRAFT</vt:lpwstr>
  </property>
  <property fmtid="{D5CDD505-2E9C-101B-9397-08002B2CF9AE}" pid="5" name="ShortT">
    <vt:lpwstr>Treasury Laws Amendment (Measures for Consultation) Bill 2023: Deductible Gift Recipient Registers Reform</vt:lpwstr>
  </property>
  <property fmtid="{D5CDD505-2E9C-101B-9397-08002B2CF9AE}" pid="6" name="Actno">
    <vt:lpwstr/>
  </property>
  <property fmtid="{D5CDD505-2E9C-101B-9397-08002B2CF9AE}" pid="7" name="ID">
    <vt:lpwstr>OPC8244</vt:lpwstr>
  </property>
  <property fmtid="{D5CDD505-2E9C-101B-9397-08002B2CF9AE}" pid="8" name="DoNotAsk">
    <vt:lpwstr>0</vt:lpwstr>
  </property>
  <property fmtid="{D5CDD505-2E9C-101B-9397-08002B2CF9AE}" pid="9" name="ChangedTitle">
    <vt:lpwstr/>
  </property>
  <property fmtid="{D5CDD505-2E9C-101B-9397-08002B2CF9AE}" pid="10" name="TrimID">
    <vt:lpwstr>PC:D23/512</vt:lpwstr>
  </property>
  <property fmtid="{D5CDD505-2E9C-101B-9397-08002B2CF9AE}" pid="11" name="ContentTypeId">
    <vt:lpwstr>0x01010036BB8DE7EC542E42A8B2E98CC20CB6970071FCEF99DE29FA4F97AF911AE05004EA</vt:lpwstr>
  </property>
  <property fmtid="{D5CDD505-2E9C-101B-9397-08002B2CF9AE}" pid="12" name="eActivity">
    <vt:lpwstr>28;#Legislative measures|0d31ce10-0017-4a46-8d2d-ba60058cb6a2</vt:lpwstr>
  </property>
  <property fmtid="{D5CDD505-2E9C-101B-9397-08002B2CF9AE}" pid="13" name="k8424359e03846678cc4a99dd97e9705">
    <vt:lpwstr>Treasury Enterprise Terms|69519368-d55f-4403-adc0-7b3d464d5501</vt:lpwstr>
  </property>
  <property fmtid="{D5CDD505-2E9C-101B-9397-08002B2CF9AE}" pid="14" name="eTopic">
    <vt:lpwstr>87;#Charities|bd0015b9-3540-424a-b9f7-6d1c7eed6dfa</vt:lpwstr>
  </property>
  <property fmtid="{D5CDD505-2E9C-101B-9397-08002B2CF9AE}" pid="15" name="eTheme">
    <vt:lpwstr>1;#Law Design|318dd2d2-18da-4b8e-a458-14db2c1af95f</vt:lpwstr>
  </property>
  <property fmtid="{D5CDD505-2E9C-101B-9397-08002B2CF9AE}" pid="16" name="_dlc_DocIdItemGuid">
    <vt:lpwstr>41662e04-97ee-4e3c-9fc8-6d548b801f0a</vt:lpwstr>
  </property>
  <property fmtid="{D5CDD505-2E9C-101B-9397-08002B2CF9AE}" pid="17" name="TSYStatus">
    <vt:lpwstr/>
  </property>
  <property fmtid="{D5CDD505-2E9C-101B-9397-08002B2CF9AE}" pid="18" name="eDocumentType">
    <vt:lpwstr>68;#Legislation|bc5c492f-641e-4b74-8651-322acd553d0f</vt:lpwstr>
  </property>
  <property fmtid="{D5CDD505-2E9C-101B-9397-08002B2CF9AE}" pid="19" name="LMDivision">
    <vt:lpwstr>3;#Treasury Enterprise Terms|69519368-d55f-4403-adc0-7b3d464d5501</vt:lpwstr>
  </property>
  <property fmtid="{D5CDD505-2E9C-101B-9397-08002B2CF9AE}" pid="20" name="TSYRecordClass">
    <vt:lpwstr>59;#TSY RA-9278 - Destroy 30 years after action completed|c086dcfc-5e12-4afb-9fc8-394791410cc9</vt:lpwstr>
  </property>
</Properties>
</file>