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A7657" w14:textId="23C66E91"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w:t>
      </w:r>
      <w:r w:rsidR="00B85128">
        <w:t>3</w:t>
      </w:r>
    </w:p>
    <w:p w14:paraId="115ABFE0" w14:textId="77777777" w:rsidR="00E24AA1" w:rsidRDefault="00E24AA1" w:rsidP="00E24AA1">
      <w:pPr>
        <w:pStyle w:val="Baseparagraphcentred"/>
      </w:pPr>
    </w:p>
    <w:p w14:paraId="617FA6CD" w14:textId="77777777" w:rsidR="00E24AA1" w:rsidRDefault="00E24AA1" w:rsidP="00E24AA1">
      <w:pPr>
        <w:pStyle w:val="Baseparagraphcentred"/>
      </w:pPr>
      <w:r>
        <w:t>THE PARLIAMENT OF THE COMMONWEALTH OF AUSTRALIA</w:t>
      </w:r>
    </w:p>
    <w:p w14:paraId="792EE9AD" w14:textId="77777777" w:rsidR="00E24AA1" w:rsidRDefault="00E24AA1" w:rsidP="00E24AA1">
      <w:pPr>
        <w:pStyle w:val="Baseparagraphcentred"/>
      </w:pPr>
    </w:p>
    <w:p w14:paraId="17C77E92" w14:textId="77777777" w:rsidR="00E24AA1" w:rsidRDefault="00E24AA1" w:rsidP="00E24AA1">
      <w:pPr>
        <w:pStyle w:val="Baseparagraphcentred"/>
      </w:pPr>
    </w:p>
    <w:p w14:paraId="5B4F7018" w14:textId="77777777" w:rsidR="00E24AA1" w:rsidRDefault="00E24AA1" w:rsidP="00E24AA1">
      <w:pPr>
        <w:pStyle w:val="Baseparagraphcentred"/>
      </w:pPr>
    </w:p>
    <w:p w14:paraId="118C2662" w14:textId="11D1E95B" w:rsidR="00E24AA1" w:rsidRDefault="002F5302" w:rsidP="00E24AA1">
      <w:pPr>
        <w:pStyle w:val="Baseparagraphcentred"/>
      </w:pPr>
      <w:r>
        <w:t>HOUSE OF REPRESEN</w:t>
      </w:r>
      <w:r w:rsidR="003510A8">
        <w:t>T</w:t>
      </w:r>
      <w:r>
        <w:t>ATIVES</w:t>
      </w:r>
    </w:p>
    <w:p w14:paraId="48A93306" w14:textId="77777777" w:rsidR="00E24AA1" w:rsidRDefault="00E24AA1" w:rsidP="00E24AA1">
      <w:pPr>
        <w:pStyle w:val="Baseparagraphcentred"/>
      </w:pPr>
    </w:p>
    <w:p w14:paraId="1E175A94" w14:textId="77777777" w:rsidR="00E24AA1" w:rsidRDefault="00E24AA1" w:rsidP="00E24AA1">
      <w:pPr>
        <w:pStyle w:val="Baseparagraphcentred"/>
      </w:pPr>
    </w:p>
    <w:p w14:paraId="00FA9ABD" w14:textId="77777777" w:rsidR="00E24AA1" w:rsidRDefault="00E24AA1" w:rsidP="00E24AA1">
      <w:pPr>
        <w:pStyle w:val="Baseparagraphcentred"/>
        <w:pBdr>
          <w:bottom w:val="single" w:sz="4" w:space="1" w:color="auto"/>
        </w:pBdr>
      </w:pPr>
    </w:p>
    <w:p w14:paraId="290EF644" w14:textId="0E8C8785" w:rsidR="00E24AA1" w:rsidRPr="00E24AA1" w:rsidRDefault="008117FC" w:rsidP="00E24AA1">
      <w:pPr>
        <w:pStyle w:val="BillName"/>
      </w:pPr>
      <w:bookmarkStart w:id="6" w:name="BillName"/>
      <w:bookmarkEnd w:id="6"/>
      <w:r>
        <w:t>Treasury Laws Amendment (Measures for Consultation) Bill 202</w:t>
      </w:r>
      <w:r w:rsidR="001C4D01">
        <w:t>3</w:t>
      </w:r>
      <w:r w:rsidR="00326479">
        <w:t>: Deductible Gift Recipient Registers Reform</w:t>
      </w:r>
    </w:p>
    <w:p w14:paraId="3E0A4B9F" w14:textId="77777777" w:rsidR="00E24AA1" w:rsidRDefault="00E24AA1" w:rsidP="00E24AA1">
      <w:pPr>
        <w:pStyle w:val="Baseparagraphcentred"/>
        <w:pBdr>
          <w:top w:val="single" w:sz="4" w:space="1" w:color="auto"/>
        </w:pBdr>
      </w:pPr>
    </w:p>
    <w:p w14:paraId="2C03EB97" w14:textId="77777777" w:rsidR="00E24AA1" w:rsidRDefault="00E24AA1" w:rsidP="00E24AA1">
      <w:pPr>
        <w:pStyle w:val="Baseparagraphcentred"/>
      </w:pPr>
    </w:p>
    <w:p w14:paraId="2D71D354" w14:textId="77777777" w:rsidR="00E24AA1" w:rsidRDefault="00E24AA1" w:rsidP="00E24AA1">
      <w:pPr>
        <w:pStyle w:val="Baseparagraphcentred"/>
      </w:pPr>
    </w:p>
    <w:p w14:paraId="02C4FE55" w14:textId="77777777" w:rsidR="00E24AA1" w:rsidRDefault="00E24AA1" w:rsidP="00E24AA1">
      <w:pPr>
        <w:pStyle w:val="Baseparagraphcentred"/>
      </w:pPr>
    </w:p>
    <w:p w14:paraId="3702D4D9" w14:textId="77777777" w:rsidR="00A13E81" w:rsidRDefault="00A13E81" w:rsidP="00E24AA1">
      <w:pPr>
        <w:pStyle w:val="Baseparagraphcentred"/>
      </w:pPr>
      <w:r>
        <w:t>EXPOSURE DRAFT EXPLANATORY MATERIALS</w:t>
      </w:r>
    </w:p>
    <w:p w14:paraId="58D8EAD8" w14:textId="7F673FAD" w:rsidR="00E24AA1" w:rsidRDefault="00E24AA1" w:rsidP="00E24AA1">
      <w:pPr>
        <w:pStyle w:val="Baseparagraphcentred"/>
      </w:pPr>
    </w:p>
    <w:p w14:paraId="14B63BA9" w14:textId="77777777" w:rsidR="00E24AA1" w:rsidRDefault="00E24AA1" w:rsidP="00E24AA1">
      <w:pPr>
        <w:pStyle w:val="Baseparagraphcentred"/>
      </w:pPr>
    </w:p>
    <w:p w14:paraId="2E1B780B" w14:textId="77777777" w:rsidR="00E24AA1" w:rsidRDefault="00E24AA1" w:rsidP="00E24AA1">
      <w:pPr>
        <w:pStyle w:val="ParaCentredNoSpacing"/>
      </w:pPr>
    </w:p>
    <w:p w14:paraId="6ED919EE" w14:textId="77777777" w:rsidR="00E24AA1" w:rsidRPr="00967273" w:rsidRDefault="00E24AA1" w:rsidP="00E24AA1">
      <w:pPr>
        <w:pStyle w:val="Normalparatextnonumbers"/>
        <w:jc w:val="center"/>
        <w:rPr>
          <w:rFonts w:cs="Calibri"/>
          <w:color w:val="000000" w:themeColor="text1"/>
        </w:rPr>
      </w:pPr>
    </w:p>
    <w:p w14:paraId="2B3ED6FD" w14:textId="77777777" w:rsidR="00873094" w:rsidRDefault="00873094" w:rsidP="00873094">
      <w:pPr>
        <w:pStyle w:val="Normalparatextnonumbers"/>
      </w:pPr>
    </w:p>
    <w:p w14:paraId="24CA6833" w14:textId="77777777" w:rsidR="00E24AA1" w:rsidRPr="00020288" w:rsidRDefault="00E24AA1" w:rsidP="00873094">
      <w:pPr>
        <w:pStyle w:val="Normalparatextnonumbers"/>
      </w:pPr>
    </w:p>
    <w:p w14:paraId="040C4087" w14:textId="77777777" w:rsidR="00873094" w:rsidRPr="00020288" w:rsidRDefault="00873094" w:rsidP="00873094">
      <w:pPr>
        <w:pStyle w:val="TOC1"/>
        <w:sectPr w:rsidR="00873094" w:rsidRPr="00020288" w:rsidSect="00000BFC">
          <w:headerReference w:type="first" r:id="rId13"/>
          <w:footerReference w:type="first" r:id="rId14"/>
          <w:type w:val="oddPage"/>
          <w:pgSz w:w="9979" w:h="14175" w:code="138"/>
          <w:pgMar w:top="567" w:right="1134" w:bottom="567" w:left="1134" w:header="709" w:footer="709" w:gutter="0"/>
          <w:cols w:space="708"/>
          <w:titlePg/>
          <w:docGrid w:linePitch="360"/>
        </w:sectPr>
      </w:pPr>
    </w:p>
    <w:p w14:paraId="65141FE8"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26C89442" w14:textId="13203C9A" w:rsidR="00A13E81" w:rsidRDefault="00873094" w:rsidP="00A13E81">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A13E81">
        <w:rPr>
          <w:noProof/>
        </w:rPr>
        <w:t>Glossary</w:t>
      </w:r>
      <w:r w:rsidR="00A13E81">
        <w:rPr>
          <w:noProof/>
        </w:rPr>
        <w:tab/>
      </w:r>
      <w:r w:rsidR="00A13E81">
        <w:rPr>
          <w:noProof/>
        </w:rPr>
        <w:fldChar w:fldCharType="begin"/>
      </w:r>
      <w:r w:rsidR="00A13E81">
        <w:rPr>
          <w:noProof/>
        </w:rPr>
        <w:instrText xml:space="preserve"> PAGEREF _Toc121323255 \h </w:instrText>
      </w:r>
      <w:r w:rsidR="00A13E81">
        <w:rPr>
          <w:noProof/>
        </w:rPr>
      </w:r>
      <w:r w:rsidR="00A13E81">
        <w:rPr>
          <w:noProof/>
        </w:rPr>
        <w:fldChar w:fldCharType="separate"/>
      </w:r>
      <w:r w:rsidR="00DE3BB2">
        <w:rPr>
          <w:noProof/>
        </w:rPr>
        <w:t>iii</w:t>
      </w:r>
      <w:r w:rsidR="00A13E81">
        <w:rPr>
          <w:noProof/>
        </w:rPr>
        <w:fldChar w:fldCharType="end"/>
      </w:r>
    </w:p>
    <w:p w14:paraId="77EC6ABC" w14:textId="7B28EDE7" w:rsidR="00A13E81" w:rsidRDefault="00A13E81" w:rsidP="00A13E81">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9003B3">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Changes to administration of Deductible Gift Recipient status</w:t>
      </w:r>
      <w:r>
        <w:rPr>
          <w:noProof/>
        </w:rPr>
        <w:tab/>
      </w:r>
      <w:r>
        <w:rPr>
          <w:noProof/>
        </w:rPr>
        <w:fldChar w:fldCharType="begin"/>
      </w:r>
      <w:r>
        <w:rPr>
          <w:noProof/>
        </w:rPr>
        <w:instrText xml:space="preserve"> PAGEREF _Toc121323256 \h </w:instrText>
      </w:r>
      <w:r>
        <w:rPr>
          <w:noProof/>
        </w:rPr>
      </w:r>
      <w:r>
        <w:rPr>
          <w:noProof/>
        </w:rPr>
        <w:fldChar w:fldCharType="separate"/>
      </w:r>
      <w:r w:rsidR="00DE3BB2">
        <w:rPr>
          <w:noProof/>
        </w:rPr>
        <w:t>5</w:t>
      </w:r>
      <w:r>
        <w:rPr>
          <w:noProof/>
        </w:rPr>
        <w:fldChar w:fldCharType="end"/>
      </w:r>
    </w:p>
    <w:p w14:paraId="41825150" w14:textId="43C7A86E" w:rsidR="00873094" w:rsidRPr="00020288" w:rsidRDefault="00873094" w:rsidP="00BC2E4A">
      <w:pPr>
        <w:pStyle w:val="TOC1"/>
      </w:pPr>
      <w:r w:rsidRPr="00BC2E4A">
        <w:fldChar w:fldCharType="end"/>
      </w:r>
    </w:p>
    <w:p w14:paraId="7D84772D" w14:textId="77777777" w:rsidR="00873094" w:rsidRPr="00020288" w:rsidRDefault="00873094" w:rsidP="00873094"/>
    <w:p w14:paraId="5DDCE1DF" w14:textId="77777777" w:rsidR="00873094" w:rsidRPr="00020288" w:rsidRDefault="00873094" w:rsidP="00873094"/>
    <w:p w14:paraId="7DD210D5" w14:textId="77777777" w:rsidR="00873094" w:rsidRPr="00020288" w:rsidRDefault="00873094" w:rsidP="00873094">
      <w:pPr>
        <w:sectPr w:rsidR="00873094" w:rsidRPr="00020288" w:rsidSect="00000BFC">
          <w:headerReference w:type="even" r:id="rId15"/>
          <w:headerReference w:type="default" r:id="rId16"/>
          <w:headerReference w:type="first" r:id="rId17"/>
          <w:footerReference w:type="first" r:id="rId18"/>
          <w:type w:val="oddPage"/>
          <w:pgSz w:w="9979" w:h="14175" w:code="9"/>
          <w:pgMar w:top="567" w:right="1134" w:bottom="567" w:left="1134" w:header="709" w:footer="709" w:gutter="0"/>
          <w:pgNumType w:start="1"/>
          <w:cols w:space="708"/>
          <w:titlePg/>
          <w:docGrid w:linePitch="360"/>
        </w:sectPr>
      </w:pPr>
    </w:p>
    <w:p w14:paraId="7EDCC000" w14:textId="77777777" w:rsidR="00873094" w:rsidRPr="00020288" w:rsidRDefault="00873094" w:rsidP="00873094">
      <w:pPr>
        <w:pStyle w:val="Heading1"/>
        <w:rPr>
          <w:rFonts w:hint="eastAsia"/>
        </w:rPr>
      </w:pPr>
      <w:bookmarkStart w:id="19" w:name="_Toc82021619"/>
      <w:bookmarkStart w:id="20" w:name="_Toc82067318"/>
      <w:bookmarkStart w:id="21" w:name="_Toc82072959"/>
      <w:bookmarkStart w:id="22" w:name="_Toc82073275"/>
      <w:bookmarkStart w:id="23" w:name="_Toc82073912"/>
      <w:bookmarkStart w:id="24" w:name="_Toc82074016"/>
      <w:bookmarkStart w:id="25" w:name="_Toc121323255"/>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5BEAD51"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3315F348" w14:textId="77777777" w:rsidTr="33614EA0">
        <w:tc>
          <w:tcPr>
            <w:tcW w:w="3776" w:type="dxa"/>
            <w:shd w:val="clear" w:color="auto" w:fill="auto"/>
          </w:tcPr>
          <w:p w14:paraId="2F0BFD3B"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79FE7D32" w14:textId="77777777" w:rsidR="00873094" w:rsidRPr="002E7A73" w:rsidRDefault="00873094" w:rsidP="00B7393A">
            <w:pPr>
              <w:pStyle w:val="Tableheaderrowtext"/>
            </w:pPr>
            <w:r w:rsidRPr="002E7A73">
              <w:t>Definition</w:t>
            </w:r>
          </w:p>
        </w:tc>
      </w:tr>
      <w:tr w:rsidR="000B262A" w:rsidRPr="00020288" w14:paraId="419076F0" w14:textId="77777777" w:rsidTr="33614EA0">
        <w:tc>
          <w:tcPr>
            <w:tcW w:w="3776" w:type="dxa"/>
          </w:tcPr>
          <w:p w14:paraId="1A469092" w14:textId="279AF259" w:rsidR="000B262A" w:rsidRDefault="000B262A" w:rsidP="002425D9">
            <w:pPr>
              <w:pStyle w:val="Normalparatextnonumbers"/>
            </w:pPr>
            <w:r>
              <w:t>ATO</w:t>
            </w:r>
          </w:p>
        </w:tc>
        <w:tc>
          <w:tcPr>
            <w:tcW w:w="3874" w:type="dxa"/>
          </w:tcPr>
          <w:p w14:paraId="2024DF1F" w14:textId="0E331B4E" w:rsidR="000B262A" w:rsidRDefault="000B262A" w:rsidP="002425D9">
            <w:pPr>
              <w:pStyle w:val="Normalparatextnonumbers"/>
            </w:pPr>
            <w:r>
              <w:t>Australian Taxation Office</w:t>
            </w:r>
          </w:p>
        </w:tc>
      </w:tr>
      <w:tr w:rsidR="00873094" w:rsidRPr="00020288" w14:paraId="75C8D49B" w14:textId="77777777" w:rsidTr="33614EA0">
        <w:tc>
          <w:tcPr>
            <w:tcW w:w="3776" w:type="dxa"/>
          </w:tcPr>
          <w:p w14:paraId="6C22DE68" w14:textId="7F066C91" w:rsidR="00873094" w:rsidRPr="00020288" w:rsidRDefault="009933AF" w:rsidP="002425D9">
            <w:pPr>
              <w:pStyle w:val="Normalparatextnonumbers"/>
            </w:pPr>
            <w:r>
              <w:t>DGR</w:t>
            </w:r>
          </w:p>
        </w:tc>
        <w:tc>
          <w:tcPr>
            <w:tcW w:w="3874" w:type="dxa"/>
          </w:tcPr>
          <w:p w14:paraId="10BB200A" w14:textId="12F3EE18" w:rsidR="00873094" w:rsidRPr="00020288" w:rsidRDefault="009933AF" w:rsidP="002425D9">
            <w:pPr>
              <w:pStyle w:val="Normalparatextnonumbers"/>
            </w:pPr>
            <w:r>
              <w:t>Deductible Gift Recipient</w:t>
            </w:r>
          </w:p>
        </w:tc>
      </w:tr>
      <w:tr w:rsidR="005C0497" w:rsidRPr="00020288" w14:paraId="7879B68B" w14:textId="77777777" w:rsidTr="33614EA0">
        <w:tc>
          <w:tcPr>
            <w:tcW w:w="3776" w:type="dxa"/>
          </w:tcPr>
          <w:p w14:paraId="7C3AA055" w14:textId="39BA2DC2" w:rsidR="005C0497" w:rsidRDefault="005C0497" w:rsidP="002425D9">
            <w:pPr>
              <w:pStyle w:val="Normalparatextnonumbers"/>
            </w:pPr>
            <w:r>
              <w:t>ITA</w:t>
            </w:r>
            <w:r w:rsidR="002B1A71">
              <w:t>A</w:t>
            </w:r>
            <w:r>
              <w:t xml:space="preserve"> </w:t>
            </w:r>
            <w:r w:rsidR="0051147A">
              <w:t>1997</w:t>
            </w:r>
          </w:p>
        </w:tc>
        <w:tc>
          <w:tcPr>
            <w:tcW w:w="3874" w:type="dxa"/>
          </w:tcPr>
          <w:p w14:paraId="7025E2C6" w14:textId="7A2DEACB" w:rsidR="005C0497" w:rsidRPr="006F45CB" w:rsidRDefault="002B1A71" w:rsidP="002425D9">
            <w:pPr>
              <w:pStyle w:val="Normalparatextnonumbers"/>
              <w:rPr>
                <w:i/>
                <w:iCs/>
              </w:rPr>
            </w:pPr>
            <w:r w:rsidRPr="006F45CB">
              <w:rPr>
                <w:i/>
                <w:iCs/>
              </w:rPr>
              <w:t>Income Tax Assessment Act 1997</w:t>
            </w:r>
          </w:p>
        </w:tc>
      </w:tr>
      <w:tr w:rsidR="00873094" w:rsidRPr="00020288" w14:paraId="1A173EF2" w14:textId="77777777" w:rsidTr="33614EA0">
        <w:tc>
          <w:tcPr>
            <w:tcW w:w="3776" w:type="dxa"/>
          </w:tcPr>
          <w:p w14:paraId="34912842" w14:textId="7C7667CD" w:rsidR="00873094" w:rsidRPr="00020288" w:rsidRDefault="00BB7800" w:rsidP="002425D9">
            <w:pPr>
              <w:pStyle w:val="Normalparatextnonumbers"/>
            </w:pPr>
            <w:r>
              <w:t>OA</w:t>
            </w:r>
            <w:r w:rsidR="00900172">
              <w:t>GD</w:t>
            </w:r>
            <w:r>
              <w:t>S</w:t>
            </w:r>
          </w:p>
        </w:tc>
        <w:tc>
          <w:tcPr>
            <w:tcW w:w="3874" w:type="dxa"/>
          </w:tcPr>
          <w:p w14:paraId="3FC23FD2" w14:textId="65791A62" w:rsidR="00873094" w:rsidRPr="00020288" w:rsidRDefault="00BB7800" w:rsidP="002425D9">
            <w:pPr>
              <w:pStyle w:val="Normalparatextnonumbers"/>
            </w:pPr>
            <w:r>
              <w:t xml:space="preserve">Overseas Aid </w:t>
            </w:r>
            <w:r w:rsidR="00900172">
              <w:t>Gift Deductibility</w:t>
            </w:r>
            <w:r>
              <w:t xml:space="preserve"> Scheme</w:t>
            </w:r>
          </w:p>
        </w:tc>
      </w:tr>
    </w:tbl>
    <w:p w14:paraId="71FD0E07" w14:textId="77777777" w:rsidR="00873094" w:rsidRPr="00020288" w:rsidRDefault="00873094" w:rsidP="00873094"/>
    <w:p w14:paraId="0718641A" w14:textId="77777777" w:rsidR="00873094" w:rsidRPr="00020288" w:rsidRDefault="00873094" w:rsidP="00873094"/>
    <w:p w14:paraId="4DC4E906" w14:textId="77777777" w:rsidR="00873094" w:rsidRPr="00020288" w:rsidRDefault="00873094" w:rsidP="00873094">
      <w:pPr>
        <w:pStyle w:val="Heading1"/>
        <w:rPr>
          <w:rFonts w:hint="eastAsia"/>
        </w:rPr>
        <w:sectPr w:rsidR="00873094" w:rsidRPr="00020288" w:rsidSect="00000BFC">
          <w:headerReference w:type="even" r:id="rId19"/>
          <w:headerReference w:type="default" r:id="rId20"/>
          <w:headerReference w:type="first" r:id="rId21"/>
          <w:footerReference w:type="first" r:id="rId22"/>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7D441A9E" w14:textId="2585DC2D" w:rsidR="00873094" w:rsidRPr="0073326A" w:rsidRDefault="00807762" w:rsidP="00777A92">
      <w:pPr>
        <w:pStyle w:val="Chapterheading"/>
        <w:rPr>
          <w:rFonts w:hint="eastAsia"/>
        </w:rPr>
      </w:pPr>
      <w:bookmarkStart w:id="40" w:name="GeneralOutline"/>
      <w:bookmarkStart w:id="41" w:name="_Toc121323256"/>
      <w:bookmarkEnd w:id="26"/>
      <w:bookmarkEnd w:id="27"/>
      <w:bookmarkEnd w:id="28"/>
      <w:bookmarkEnd w:id="30"/>
      <w:bookmarkEnd w:id="31"/>
      <w:bookmarkEnd w:id="32"/>
      <w:bookmarkEnd w:id="33"/>
      <w:bookmarkEnd w:id="34"/>
      <w:bookmarkEnd w:id="35"/>
      <w:bookmarkEnd w:id="36"/>
      <w:bookmarkEnd w:id="37"/>
      <w:bookmarkEnd w:id="38"/>
      <w:bookmarkEnd w:id="39"/>
      <w:bookmarkEnd w:id="40"/>
      <w:r>
        <w:lastRenderedPageBreak/>
        <w:t>Changes to administration of Deductible Gift Recipient status</w:t>
      </w:r>
      <w:bookmarkEnd w:id="41"/>
    </w:p>
    <w:p w14:paraId="38BE1F27" w14:textId="133679F0" w:rsidR="00873094" w:rsidRDefault="0069446A" w:rsidP="0069446A">
      <w:pPr>
        <w:pStyle w:val="TOCHeading"/>
      </w:pPr>
      <w:bookmarkStart w:id="42" w:name="Chapter1"/>
      <w:r>
        <w:t xml:space="preserve">Table of Contents: </w:t>
      </w:r>
    </w:p>
    <w:p w14:paraId="453C8AD7" w14:textId="576D0FDA" w:rsidR="0069446A" w:rsidRDefault="0069446A">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t>Outline of chapter</w:t>
      </w:r>
      <w:r>
        <w:rPr>
          <w:webHidden/>
        </w:rPr>
        <w:tab/>
      </w:r>
      <w:r>
        <w:rPr>
          <w:webHidden/>
        </w:rPr>
        <w:fldChar w:fldCharType="begin"/>
      </w:r>
      <w:r>
        <w:rPr>
          <w:webHidden/>
        </w:rPr>
        <w:instrText xml:space="preserve"> PAGEREF _Toc121323539 \h </w:instrText>
      </w:r>
      <w:r>
        <w:rPr>
          <w:webHidden/>
        </w:rPr>
      </w:r>
      <w:r>
        <w:rPr>
          <w:webHidden/>
        </w:rPr>
        <w:fldChar w:fldCharType="separate"/>
      </w:r>
      <w:r w:rsidR="00DE3BB2">
        <w:rPr>
          <w:webHidden/>
        </w:rPr>
        <w:t>5</w:t>
      </w:r>
      <w:r>
        <w:rPr>
          <w:webHidden/>
        </w:rPr>
        <w:fldChar w:fldCharType="end"/>
      </w:r>
    </w:p>
    <w:p w14:paraId="3EA73718" w14:textId="5E7C53CE" w:rsidR="0069446A" w:rsidRDefault="0069446A">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_Toc121323540 \h </w:instrText>
      </w:r>
      <w:r>
        <w:rPr>
          <w:webHidden/>
        </w:rPr>
      </w:r>
      <w:r>
        <w:rPr>
          <w:webHidden/>
        </w:rPr>
        <w:fldChar w:fldCharType="separate"/>
      </w:r>
      <w:r w:rsidR="00DE3BB2">
        <w:rPr>
          <w:webHidden/>
        </w:rPr>
        <w:t>5</w:t>
      </w:r>
      <w:r>
        <w:rPr>
          <w:webHidden/>
        </w:rPr>
        <w:fldChar w:fldCharType="end"/>
      </w:r>
    </w:p>
    <w:p w14:paraId="2FF95728" w14:textId="180EEDF7" w:rsidR="0069446A" w:rsidRDefault="0069446A">
      <w:pPr>
        <w:pStyle w:val="TOC2"/>
        <w:rPr>
          <w:rFonts w:asciiTheme="minorHAnsi" w:eastAsiaTheme="minorEastAsia" w:hAnsiTheme="minorHAnsi"/>
          <w:sz w:val="22"/>
          <w:lang w:eastAsia="en-AU"/>
        </w:rPr>
      </w:pPr>
      <w:r>
        <w:t>Comparison of key features of new law and current law</w:t>
      </w:r>
      <w:r>
        <w:rPr>
          <w:webHidden/>
        </w:rPr>
        <w:tab/>
      </w:r>
      <w:r>
        <w:rPr>
          <w:webHidden/>
        </w:rPr>
        <w:fldChar w:fldCharType="begin"/>
      </w:r>
      <w:r>
        <w:rPr>
          <w:webHidden/>
        </w:rPr>
        <w:instrText xml:space="preserve"> PAGEREF _Toc121323541 \h </w:instrText>
      </w:r>
      <w:r>
        <w:rPr>
          <w:webHidden/>
        </w:rPr>
      </w:r>
      <w:r>
        <w:rPr>
          <w:webHidden/>
        </w:rPr>
        <w:fldChar w:fldCharType="separate"/>
      </w:r>
      <w:r w:rsidR="00DE3BB2">
        <w:rPr>
          <w:webHidden/>
        </w:rPr>
        <w:t>6</w:t>
      </w:r>
      <w:r>
        <w:rPr>
          <w:webHidden/>
        </w:rPr>
        <w:fldChar w:fldCharType="end"/>
      </w:r>
    </w:p>
    <w:p w14:paraId="0B915F4B" w14:textId="42B570B4" w:rsidR="0069446A" w:rsidRDefault="0069446A">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_Toc121323542 \h </w:instrText>
      </w:r>
      <w:r>
        <w:rPr>
          <w:webHidden/>
        </w:rPr>
      </w:r>
      <w:r>
        <w:rPr>
          <w:webHidden/>
        </w:rPr>
        <w:fldChar w:fldCharType="separate"/>
      </w:r>
      <w:r w:rsidDel="00DE3BB2">
        <w:rPr>
          <w:webHidden/>
        </w:rPr>
        <w:t>6</w:t>
      </w:r>
      <w:r>
        <w:rPr>
          <w:webHidden/>
        </w:rPr>
        <w:fldChar w:fldCharType="end"/>
      </w:r>
    </w:p>
    <w:p w14:paraId="630177D7" w14:textId="1FF81E2D" w:rsidR="0069446A" w:rsidRDefault="0069446A">
      <w:pPr>
        <w:pStyle w:val="TOC3"/>
        <w:rPr>
          <w:rFonts w:asciiTheme="minorHAnsi" w:eastAsiaTheme="minorEastAsia" w:hAnsiTheme="minorHAnsi" w:cstheme="minorBidi"/>
          <w:iCs w:val="0"/>
          <w:noProof/>
          <w:sz w:val="22"/>
          <w:szCs w:val="22"/>
          <w:lang w:eastAsia="en-AU"/>
        </w:rPr>
      </w:pPr>
      <w:r>
        <w:rPr>
          <w:noProof/>
        </w:rPr>
        <w:t>Environmental Organisations</w:t>
      </w:r>
      <w:r>
        <w:rPr>
          <w:noProof/>
          <w:webHidden/>
        </w:rPr>
        <w:tab/>
      </w:r>
      <w:r>
        <w:rPr>
          <w:noProof/>
          <w:webHidden/>
        </w:rPr>
        <w:fldChar w:fldCharType="begin"/>
      </w:r>
      <w:r>
        <w:rPr>
          <w:noProof/>
          <w:webHidden/>
        </w:rPr>
        <w:instrText xml:space="preserve"> PAGEREF _Toc121323543 \h </w:instrText>
      </w:r>
      <w:r>
        <w:rPr>
          <w:noProof/>
          <w:webHidden/>
        </w:rPr>
      </w:r>
      <w:r>
        <w:rPr>
          <w:noProof/>
          <w:webHidden/>
        </w:rPr>
        <w:fldChar w:fldCharType="separate"/>
      </w:r>
      <w:r w:rsidR="00DE3BB2">
        <w:rPr>
          <w:noProof/>
          <w:webHidden/>
        </w:rPr>
        <w:t>7</w:t>
      </w:r>
      <w:r>
        <w:rPr>
          <w:noProof/>
          <w:webHidden/>
        </w:rPr>
        <w:fldChar w:fldCharType="end"/>
      </w:r>
    </w:p>
    <w:p w14:paraId="4A5F6AC4" w14:textId="21AD4059" w:rsidR="0069446A" w:rsidRDefault="0069446A">
      <w:pPr>
        <w:pStyle w:val="TOC3"/>
        <w:rPr>
          <w:rFonts w:asciiTheme="minorHAnsi" w:eastAsiaTheme="minorEastAsia" w:hAnsiTheme="minorHAnsi" w:cstheme="minorBidi"/>
          <w:iCs w:val="0"/>
          <w:noProof/>
          <w:sz w:val="22"/>
          <w:szCs w:val="22"/>
          <w:lang w:eastAsia="en-AU"/>
        </w:rPr>
      </w:pPr>
      <w:r>
        <w:rPr>
          <w:noProof/>
        </w:rPr>
        <w:t>Harm Prevention Charities</w:t>
      </w:r>
      <w:r>
        <w:rPr>
          <w:noProof/>
          <w:webHidden/>
        </w:rPr>
        <w:tab/>
      </w:r>
      <w:r>
        <w:rPr>
          <w:noProof/>
          <w:webHidden/>
        </w:rPr>
        <w:fldChar w:fldCharType="begin"/>
      </w:r>
      <w:r>
        <w:rPr>
          <w:noProof/>
          <w:webHidden/>
        </w:rPr>
        <w:instrText xml:space="preserve"> PAGEREF _Toc121323544 \h </w:instrText>
      </w:r>
      <w:r>
        <w:rPr>
          <w:noProof/>
          <w:webHidden/>
        </w:rPr>
      </w:r>
      <w:r>
        <w:rPr>
          <w:noProof/>
          <w:webHidden/>
        </w:rPr>
        <w:fldChar w:fldCharType="separate"/>
      </w:r>
      <w:r w:rsidR="00DE3BB2">
        <w:rPr>
          <w:noProof/>
          <w:webHidden/>
        </w:rPr>
        <w:t>8</w:t>
      </w:r>
      <w:r>
        <w:rPr>
          <w:noProof/>
          <w:webHidden/>
        </w:rPr>
        <w:fldChar w:fldCharType="end"/>
      </w:r>
    </w:p>
    <w:p w14:paraId="498FBE1D" w14:textId="5F372C85" w:rsidR="0069446A" w:rsidRDefault="0069446A">
      <w:pPr>
        <w:pStyle w:val="TOC3"/>
        <w:rPr>
          <w:rFonts w:asciiTheme="minorHAnsi" w:eastAsiaTheme="minorEastAsia" w:hAnsiTheme="minorHAnsi" w:cstheme="minorBidi"/>
          <w:iCs w:val="0"/>
          <w:noProof/>
          <w:sz w:val="22"/>
          <w:szCs w:val="22"/>
          <w:lang w:eastAsia="en-AU"/>
        </w:rPr>
      </w:pPr>
      <w:r>
        <w:rPr>
          <w:noProof/>
        </w:rPr>
        <w:t>Cultural Organisations</w:t>
      </w:r>
      <w:r>
        <w:rPr>
          <w:noProof/>
          <w:webHidden/>
        </w:rPr>
        <w:tab/>
      </w:r>
      <w:r>
        <w:rPr>
          <w:noProof/>
          <w:webHidden/>
        </w:rPr>
        <w:fldChar w:fldCharType="begin"/>
      </w:r>
      <w:r>
        <w:rPr>
          <w:noProof/>
          <w:webHidden/>
        </w:rPr>
        <w:instrText xml:space="preserve"> PAGEREF _Toc121323545 \h </w:instrText>
      </w:r>
      <w:r>
        <w:rPr>
          <w:noProof/>
          <w:webHidden/>
        </w:rPr>
      </w:r>
      <w:r>
        <w:rPr>
          <w:noProof/>
          <w:webHidden/>
        </w:rPr>
        <w:fldChar w:fldCharType="separate"/>
      </w:r>
      <w:r w:rsidR="00DE3BB2">
        <w:rPr>
          <w:noProof/>
          <w:webHidden/>
        </w:rPr>
        <w:t>9</w:t>
      </w:r>
      <w:r>
        <w:rPr>
          <w:noProof/>
          <w:webHidden/>
        </w:rPr>
        <w:fldChar w:fldCharType="end"/>
      </w:r>
    </w:p>
    <w:p w14:paraId="2A7D415E" w14:textId="6D3331D1" w:rsidR="0069446A" w:rsidRDefault="0069446A">
      <w:pPr>
        <w:pStyle w:val="TOC3"/>
        <w:rPr>
          <w:rFonts w:asciiTheme="minorHAnsi" w:eastAsiaTheme="minorEastAsia" w:hAnsiTheme="minorHAnsi" w:cstheme="minorBidi"/>
          <w:iCs w:val="0"/>
          <w:noProof/>
          <w:sz w:val="22"/>
          <w:szCs w:val="22"/>
          <w:lang w:eastAsia="en-AU"/>
        </w:rPr>
      </w:pPr>
      <w:r>
        <w:rPr>
          <w:noProof/>
        </w:rPr>
        <w:t>Overseas Aid</w:t>
      </w:r>
      <w:r>
        <w:rPr>
          <w:noProof/>
          <w:webHidden/>
        </w:rPr>
        <w:tab/>
      </w:r>
      <w:r>
        <w:rPr>
          <w:noProof/>
          <w:webHidden/>
        </w:rPr>
        <w:fldChar w:fldCharType="begin"/>
      </w:r>
      <w:r>
        <w:rPr>
          <w:noProof/>
          <w:webHidden/>
        </w:rPr>
        <w:instrText xml:space="preserve"> PAGEREF _Toc121323546 \h </w:instrText>
      </w:r>
      <w:r>
        <w:rPr>
          <w:noProof/>
          <w:webHidden/>
        </w:rPr>
      </w:r>
      <w:r>
        <w:rPr>
          <w:noProof/>
          <w:webHidden/>
        </w:rPr>
        <w:fldChar w:fldCharType="separate"/>
      </w:r>
      <w:r w:rsidR="00DE3BB2">
        <w:rPr>
          <w:noProof/>
          <w:webHidden/>
        </w:rPr>
        <w:t>9</w:t>
      </w:r>
      <w:r>
        <w:rPr>
          <w:noProof/>
          <w:webHidden/>
        </w:rPr>
        <w:fldChar w:fldCharType="end"/>
      </w:r>
    </w:p>
    <w:p w14:paraId="22417D08" w14:textId="2DB6ED23" w:rsidR="0069446A" w:rsidRDefault="0069446A">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_Toc121323547 \h </w:instrText>
      </w:r>
      <w:r>
        <w:rPr>
          <w:webHidden/>
        </w:rPr>
      </w:r>
      <w:r>
        <w:rPr>
          <w:webHidden/>
        </w:rPr>
        <w:fldChar w:fldCharType="separate"/>
      </w:r>
      <w:r w:rsidR="00DE3BB2">
        <w:rPr>
          <w:webHidden/>
        </w:rPr>
        <w:t>10</w:t>
      </w:r>
      <w:r>
        <w:rPr>
          <w:webHidden/>
        </w:rPr>
        <w:fldChar w:fldCharType="end"/>
      </w:r>
    </w:p>
    <w:p w14:paraId="70BDE977" w14:textId="085EC4EB" w:rsidR="00873094" w:rsidRPr="00020288" w:rsidRDefault="0069446A" w:rsidP="00873094">
      <w:r>
        <w:fldChar w:fldCharType="end"/>
      </w:r>
    </w:p>
    <w:p w14:paraId="51FC282C" w14:textId="77777777" w:rsidR="00873094" w:rsidRPr="00020288" w:rsidRDefault="00873094" w:rsidP="005D0844">
      <w:pPr>
        <w:pStyle w:val="Heading2"/>
        <w:rPr>
          <w:rFonts w:hint="eastAsia"/>
        </w:rPr>
      </w:pPr>
      <w:bookmarkStart w:id="43" w:name="_Toc121323539"/>
      <w:r w:rsidRPr="00020288">
        <w:t xml:space="preserve">Outline </w:t>
      </w:r>
      <w:r w:rsidRPr="005D0844">
        <w:t>of</w:t>
      </w:r>
      <w:r w:rsidRPr="00020288">
        <w:t xml:space="preserve"> chapter</w:t>
      </w:r>
      <w:bookmarkEnd w:id="43"/>
    </w:p>
    <w:p w14:paraId="519E07E9" w14:textId="3063F0EC" w:rsidR="00873094" w:rsidRPr="000E521B" w:rsidRDefault="00337BD9" w:rsidP="000E521B">
      <w:pPr>
        <w:pStyle w:val="Normalparatextwithnumbers"/>
      </w:pPr>
      <w:r>
        <w:t>This measure transfers administration of the four unique DGR categories</w:t>
      </w:r>
      <w:r w:rsidR="00CE2B65">
        <w:t xml:space="preserve"> to the Commissioner of Taxation. These unique DGR categories are currently</w:t>
      </w:r>
      <w:r>
        <w:t xml:space="preserve"> administered by other government agencies.</w:t>
      </w:r>
      <w:r w:rsidR="00F74EE3">
        <w:t xml:space="preserve"> </w:t>
      </w:r>
      <w:r w:rsidR="006F6EAE">
        <w:t xml:space="preserve"> </w:t>
      </w:r>
      <w:r w:rsidR="00CE2B65">
        <w:t>This change is intended to make all DGR categories consistent in administration, reduce red tape imposed on endorsed organisations</w:t>
      </w:r>
      <w:r w:rsidR="00283C49">
        <w:t>,</w:t>
      </w:r>
      <w:r w:rsidR="00CE2B65">
        <w:t xml:space="preserve"> and simplify the application process for organisations seeking DGR status</w:t>
      </w:r>
      <w:r w:rsidR="00283C49">
        <w:t>.</w:t>
      </w:r>
    </w:p>
    <w:p w14:paraId="2000C656" w14:textId="77777777" w:rsidR="00873094" w:rsidRPr="00020288" w:rsidRDefault="00873094" w:rsidP="005D0844">
      <w:pPr>
        <w:pStyle w:val="Heading2"/>
        <w:rPr>
          <w:rFonts w:hint="eastAsia"/>
        </w:rPr>
      </w:pPr>
      <w:bookmarkStart w:id="44" w:name="_Toc121323540"/>
      <w:r w:rsidRPr="00020288">
        <w:t xml:space="preserve">Context of </w:t>
      </w:r>
      <w:r w:rsidRPr="005D0844">
        <w:t>amendments</w:t>
      </w:r>
      <w:bookmarkEnd w:id="44"/>
    </w:p>
    <w:p w14:paraId="68730697" w14:textId="77777777" w:rsidR="00A90DE5" w:rsidRDefault="00666080" w:rsidP="00807762">
      <w:pPr>
        <w:pStyle w:val="Normalparatextwithnumbers"/>
      </w:pPr>
      <w:r>
        <w:t xml:space="preserve">Australia’s taxation system provides for donations to some organisations to be deductible from income tax. These organisations are referred to as DGRs. </w:t>
      </w:r>
      <w:r w:rsidR="003D69AD" w:rsidRPr="003D69AD">
        <w:t>DGR status allows an entity to receive tax deductible gifts and contributions from the public. Donors can claim an income tax deduction for donations of $2 or more to an organisation that has DGR status.</w:t>
      </w:r>
      <w:r w:rsidR="003D69AD">
        <w:t xml:space="preserve"> </w:t>
      </w:r>
    </w:p>
    <w:p w14:paraId="5F92C292" w14:textId="4BB91008" w:rsidR="008B1838" w:rsidRDefault="008B1838" w:rsidP="00807762">
      <w:pPr>
        <w:pStyle w:val="Normalparatextwithnumbers"/>
      </w:pPr>
      <w:r w:rsidRPr="008B1838">
        <w:lastRenderedPageBreak/>
        <w:t>Each of the general categories has clear, administrable eligibility criteria that organisations must meet to be endorsed as a DGR. The criteria mostly relate to the purposes that organisations must hold and sometimes, the activities that they can engage in. This is to ensure that DGR status is restricted to organisations that provide a broad public benefit.</w:t>
      </w:r>
    </w:p>
    <w:p w14:paraId="7380DB7B" w14:textId="236642F4" w:rsidR="00666080" w:rsidRDefault="00807762" w:rsidP="00807762">
      <w:pPr>
        <w:pStyle w:val="Normalparatextwithnumbers"/>
      </w:pPr>
      <w:r>
        <w:t>T</w:t>
      </w:r>
      <w:r w:rsidR="00666080">
        <w:t xml:space="preserve">here are 52 categories of </w:t>
      </w:r>
      <w:proofErr w:type="gramStart"/>
      <w:r w:rsidR="00666080">
        <w:t>DGR</w:t>
      </w:r>
      <w:proofErr w:type="gramEnd"/>
      <w:r w:rsidR="00666080">
        <w:t xml:space="preserve"> and organisations must meet certain criteria to achieve endorsement as a DGR for the purposes of the Act</w:t>
      </w:r>
      <w:r>
        <w:t xml:space="preserve">. </w:t>
      </w:r>
      <w:r w:rsidR="00666080">
        <w:t xml:space="preserve">The ATO is responsible for the </w:t>
      </w:r>
      <w:r w:rsidR="0007563A">
        <w:t xml:space="preserve">endorsement of all </w:t>
      </w:r>
      <w:r w:rsidR="00666080">
        <w:t>52 categories of DGRs</w:t>
      </w:r>
      <w:r w:rsidR="0007563A">
        <w:t>.</w:t>
      </w:r>
    </w:p>
    <w:p w14:paraId="3170E888" w14:textId="3DDC2AA1" w:rsidR="00666080" w:rsidRDefault="00807762" w:rsidP="00666080">
      <w:pPr>
        <w:pStyle w:val="Normalparatextwithnumbers"/>
      </w:pPr>
      <w:r>
        <w:t>F</w:t>
      </w:r>
      <w:r w:rsidR="00666080">
        <w:t>our DGR categories are currently administered by government entities other than the ATO</w:t>
      </w:r>
      <w:r w:rsidR="009F03CD">
        <w:t>, all other DGR categories are administer</w:t>
      </w:r>
      <w:r w:rsidR="007D7B4B">
        <w:t>ed</w:t>
      </w:r>
      <w:r w:rsidR="009F03CD">
        <w:t xml:space="preserve"> by the ATO</w:t>
      </w:r>
      <w:r w:rsidR="00666080">
        <w:t xml:space="preserve">. Those departments are responsible for assessing and advising their Minister on the eligibility of organisations. The Minister, and the relevant Treasury Minister, direct the departmental Secretary to add the eligible organisation to the register. The four specific DGR categories administered outside of the ATO are: </w:t>
      </w:r>
    </w:p>
    <w:p w14:paraId="53958425" w14:textId="39D6773D" w:rsidR="00666080" w:rsidRDefault="00666080" w:rsidP="00666080">
      <w:pPr>
        <w:pStyle w:val="Dotpoint1"/>
      </w:pPr>
      <w:r>
        <w:t>Environmental Organisations — administered by the Department of Climate Change, Energy, the Environment and Water</w:t>
      </w:r>
      <w:r w:rsidR="00807762">
        <w:t>.</w:t>
      </w:r>
      <w:r>
        <w:t xml:space="preserve"> </w:t>
      </w:r>
    </w:p>
    <w:p w14:paraId="29FB5802" w14:textId="1956395F" w:rsidR="00666080" w:rsidRDefault="00666080" w:rsidP="00666080">
      <w:pPr>
        <w:pStyle w:val="Dotpoint1"/>
      </w:pPr>
      <w:r>
        <w:t>Harm Prevention Charities — administered by the Department of Social Service</w:t>
      </w:r>
      <w:r w:rsidR="00807762">
        <w:t>s.</w:t>
      </w:r>
      <w:r>
        <w:t xml:space="preserve"> </w:t>
      </w:r>
    </w:p>
    <w:p w14:paraId="2A6C1307" w14:textId="25233FEB" w:rsidR="00666080" w:rsidRDefault="00666080" w:rsidP="00666080">
      <w:pPr>
        <w:pStyle w:val="Dotpoint1"/>
      </w:pPr>
      <w:r>
        <w:t xml:space="preserve">Cultural Organisations — administered by the Office for the Arts in the Department of Infrastructure, Transport, Regional Development, </w:t>
      </w:r>
      <w:proofErr w:type="gramStart"/>
      <w:r>
        <w:t>Communications</w:t>
      </w:r>
      <w:proofErr w:type="gramEnd"/>
      <w:r>
        <w:t xml:space="preserve"> and the Arts</w:t>
      </w:r>
      <w:r w:rsidR="00807762">
        <w:t>.</w:t>
      </w:r>
      <w:r>
        <w:t xml:space="preserve"> </w:t>
      </w:r>
    </w:p>
    <w:p w14:paraId="0F22C644" w14:textId="681828CA" w:rsidR="00666080" w:rsidRDefault="00666080" w:rsidP="00666080">
      <w:pPr>
        <w:pStyle w:val="Dotpoint1"/>
      </w:pPr>
      <w:r>
        <w:t>Overseas Aid Organisations — administered by the Department of Foreign Affairs and Trade</w:t>
      </w:r>
      <w:r w:rsidR="00807762">
        <w:t>.</w:t>
      </w:r>
    </w:p>
    <w:p w14:paraId="166B67EF" w14:textId="2DF75D02" w:rsidR="00666080" w:rsidRPr="00020288" w:rsidRDefault="00666080" w:rsidP="00807762">
      <w:pPr>
        <w:pStyle w:val="Normalparatextwithnumbers"/>
      </w:pPr>
      <w:r>
        <w:t xml:space="preserve">Applications for an organisation to be endorsed as a DGR in the </w:t>
      </w:r>
      <w:r w:rsidR="00B35E44">
        <w:t xml:space="preserve">above </w:t>
      </w:r>
      <w:r>
        <w:t xml:space="preserve">categories are typically significantly slower than applications in other DGR categories. </w:t>
      </w:r>
      <w:r w:rsidR="00115576">
        <w:t xml:space="preserve">It currently </w:t>
      </w:r>
      <w:r w:rsidR="00115576" w:rsidRPr="005A6565">
        <w:t>takes</w:t>
      </w:r>
      <w:r w:rsidR="00115576">
        <w:t xml:space="preserve"> up to two years to approve DGR status for an entity seeking addition to one of the registers. This reform will </w:t>
      </w:r>
      <w:bookmarkStart w:id="45" w:name="_Hlk108692525"/>
      <w:r w:rsidR="00115576">
        <w:t xml:space="preserve">streamline the application and reporting requirements and reduce DGR approvals from up to two years to around one </w:t>
      </w:r>
      <w:bookmarkEnd w:id="45"/>
      <w:r w:rsidR="00115576">
        <w:t>month.</w:t>
      </w:r>
    </w:p>
    <w:p w14:paraId="79BAE874" w14:textId="77777777" w:rsidR="00873094" w:rsidRPr="00020288" w:rsidRDefault="00873094" w:rsidP="00AF50CE">
      <w:pPr>
        <w:pStyle w:val="Heading2"/>
        <w:rPr>
          <w:rFonts w:hint="eastAsia"/>
        </w:rPr>
      </w:pPr>
      <w:bookmarkStart w:id="46" w:name="_Toc121323541"/>
      <w:r w:rsidRPr="00AF50CE">
        <w:t>Comparison</w:t>
      </w:r>
      <w:r w:rsidRPr="00020288">
        <w:t xml:space="preserve"> of key features of new law and current law</w:t>
      </w:r>
      <w:bookmarkEnd w:id="46"/>
    </w:p>
    <w:p w14:paraId="4F983568"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0895E27A" w14:textId="77777777" w:rsidTr="002425D9">
        <w:trPr>
          <w:cnfStyle w:val="100000000000" w:firstRow="1" w:lastRow="0" w:firstColumn="0" w:lastColumn="0" w:oddVBand="0" w:evenVBand="0" w:oddHBand="0" w:evenHBand="0" w:firstRowFirstColumn="0" w:firstRowLastColumn="0" w:lastRowFirstColumn="0" w:lastRowLastColumn="0"/>
        </w:trPr>
        <w:tc>
          <w:tcPr>
            <w:tcW w:w="3776" w:type="dxa"/>
          </w:tcPr>
          <w:p w14:paraId="1D45C29B"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18477666" w14:textId="77777777" w:rsidR="00873094" w:rsidRPr="00A61FE9" w:rsidRDefault="00873094" w:rsidP="00873094">
            <w:pPr>
              <w:pStyle w:val="Tableheaderrowtext"/>
              <w:numPr>
                <w:ilvl w:val="3"/>
                <w:numId w:val="2"/>
              </w:numPr>
              <w:ind w:left="1701" w:hanging="1701"/>
            </w:pPr>
            <w:r w:rsidRPr="00A61FE9">
              <w:t>Current law</w:t>
            </w:r>
          </w:p>
        </w:tc>
      </w:tr>
      <w:tr w:rsidR="00873094" w:rsidRPr="00020288" w14:paraId="6F85F5D2" w14:textId="77777777" w:rsidTr="002425D9">
        <w:tc>
          <w:tcPr>
            <w:tcW w:w="3776" w:type="dxa"/>
          </w:tcPr>
          <w:p w14:paraId="791E175E" w14:textId="653EFEEA" w:rsidR="00873094" w:rsidRPr="00020288" w:rsidRDefault="00A97E9C" w:rsidP="002425D9">
            <w:pPr>
              <w:pStyle w:val="Tabletext"/>
            </w:pPr>
            <w:r>
              <w:t>Environmental organisations</w:t>
            </w:r>
            <w:r w:rsidR="001B1FAA">
              <w:t>, harm prevention charities, cultural organisations and overseas aid organisations</w:t>
            </w:r>
            <w:r>
              <w:t xml:space="preserve"> apply to the ATO to be endorsed as a DGR. </w:t>
            </w:r>
          </w:p>
        </w:tc>
        <w:tc>
          <w:tcPr>
            <w:tcW w:w="3874" w:type="dxa"/>
          </w:tcPr>
          <w:p w14:paraId="12736212" w14:textId="7ABC69E0" w:rsidR="00873094" w:rsidRPr="00020288" w:rsidRDefault="001F2192" w:rsidP="002425D9">
            <w:pPr>
              <w:pStyle w:val="Tabletext"/>
            </w:pPr>
            <w:r>
              <w:t xml:space="preserve">Environmental </w:t>
            </w:r>
            <w:r w:rsidR="0035339F">
              <w:t>organisations</w:t>
            </w:r>
            <w:r w:rsidR="00D31EDC">
              <w:t>, harm prevention charities, and cultural organisations</w:t>
            </w:r>
            <w:r w:rsidR="0035339F">
              <w:t xml:space="preserve"> seeking DGR status apply to </w:t>
            </w:r>
            <w:r w:rsidR="00D31EDC">
              <w:t xml:space="preserve">the Government department responsible for that area of policy for admission to a </w:t>
            </w:r>
            <w:r w:rsidR="00D31EDC">
              <w:lastRenderedPageBreak/>
              <w:t xml:space="preserve">register. </w:t>
            </w:r>
            <w:r w:rsidR="00A32A5C">
              <w:t xml:space="preserve">The relevant Minister decides whether to direct the Departmental Secretary to add the organisation to the DGR register. </w:t>
            </w:r>
            <w:r w:rsidR="001B1FAA">
              <w:t xml:space="preserve">Overseas aid organisations apply to the Department of Foreign Affairs and Trade </w:t>
            </w:r>
            <w:r w:rsidR="00797FBC">
              <w:t xml:space="preserve">to be </w:t>
            </w:r>
            <w:r w:rsidR="004E5261">
              <w:t xml:space="preserve">declared an ‘approved organisation’ by the </w:t>
            </w:r>
            <w:r w:rsidR="00805F25">
              <w:t xml:space="preserve">Minister. </w:t>
            </w:r>
          </w:p>
        </w:tc>
      </w:tr>
      <w:tr w:rsidR="00780851" w:rsidRPr="00020288" w14:paraId="3AC72A06" w14:textId="77777777" w:rsidTr="002425D9">
        <w:tc>
          <w:tcPr>
            <w:tcW w:w="3776" w:type="dxa"/>
          </w:tcPr>
          <w:p w14:paraId="08C1BAFF" w14:textId="3319F9CB" w:rsidR="00780851" w:rsidRDefault="00780851" w:rsidP="002425D9">
            <w:pPr>
              <w:pStyle w:val="Tabletext"/>
            </w:pPr>
            <w:r>
              <w:lastRenderedPageBreak/>
              <w:t xml:space="preserve">Overseas aid organisations must satisfy the principal purpose test outlined in the legislation, that substantially replicates aspects of the criterion currently assessed by DFAT. </w:t>
            </w:r>
          </w:p>
        </w:tc>
        <w:tc>
          <w:tcPr>
            <w:tcW w:w="3874" w:type="dxa"/>
          </w:tcPr>
          <w:p w14:paraId="0B2F9080" w14:textId="2936B588" w:rsidR="00780851" w:rsidRDefault="00780851" w:rsidP="002425D9">
            <w:pPr>
              <w:pStyle w:val="Tabletext"/>
            </w:pPr>
            <w:r>
              <w:t xml:space="preserve">Overseas aid organisations </w:t>
            </w:r>
            <w:r w:rsidR="009C305B">
              <w:t>must be</w:t>
            </w:r>
            <w:r>
              <w:t xml:space="preserve"> assessed by DFAT as satisfying certain criterion </w:t>
            </w:r>
            <w:r w:rsidR="009C305B">
              <w:t>to</w:t>
            </w:r>
            <w:r>
              <w:t xml:space="preserve"> become a</w:t>
            </w:r>
            <w:r w:rsidR="00761CCE">
              <w:t>n approved organisation</w:t>
            </w:r>
            <w:r>
              <w:t>.</w:t>
            </w:r>
          </w:p>
        </w:tc>
      </w:tr>
    </w:tbl>
    <w:p w14:paraId="1A941738" w14:textId="77777777" w:rsidR="00873094" w:rsidRPr="00020288" w:rsidRDefault="00873094" w:rsidP="00873094">
      <w:pPr>
        <w:pStyle w:val="Heading2"/>
        <w:numPr>
          <w:ilvl w:val="1"/>
          <w:numId w:val="2"/>
        </w:numPr>
        <w:tabs>
          <w:tab w:val="num" w:pos="567"/>
        </w:tabs>
        <w:ind w:left="567" w:hanging="567"/>
        <w:rPr>
          <w:rFonts w:hint="eastAsia"/>
        </w:rPr>
      </w:pPr>
      <w:bookmarkStart w:id="47" w:name="_Toc121323542"/>
      <w:r w:rsidRPr="00020288">
        <w:t>Detailed explanation of new law</w:t>
      </w:r>
      <w:bookmarkEnd w:id="47"/>
    </w:p>
    <w:p w14:paraId="2A56B615" w14:textId="0EF8738C" w:rsidR="000E0D27" w:rsidRDefault="00E44453" w:rsidP="00873094">
      <w:pPr>
        <w:pStyle w:val="Normalparatextwithnumbers"/>
        <w:numPr>
          <w:ilvl w:val="1"/>
          <w:numId w:val="3"/>
        </w:numPr>
      </w:pPr>
      <w:r>
        <w:t xml:space="preserve">The </w:t>
      </w:r>
      <w:r w:rsidR="00090C7D">
        <w:t>amendments</w:t>
      </w:r>
      <w:r>
        <w:t xml:space="preserve"> transfer </w:t>
      </w:r>
      <w:r w:rsidR="00DB2C5B">
        <w:t xml:space="preserve">practical </w:t>
      </w:r>
      <w:r>
        <w:t xml:space="preserve">responsibility for </w:t>
      </w:r>
      <w:r w:rsidR="00DB2C5B">
        <w:t>assessing</w:t>
      </w:r>
      <w:r w:rsidR="00090C7D">
        <w:t xml:space="preserve"> </w:t>
      </w:r>
      <w:r>
        <w:t xml:space="preserve">DGRs from </w:t>
      </w:r>
      <w:r w:rsidR="00090C7D">
        <w:t>Ministers (assisted by the relevant department)</w:t>
      </w:r>
      <w:r>
        <w:t xml:space="preserve"> to the ATO</w:t>
      </w:r>
      <w:r w:rsidR="00090C7D">
        <w:t>. The amendments</w:t>
      </w:r>
      <w:r>
        <w:t xml:space="preserve"> </w:t>
      </w:r>
      <w:r w:rsidR="002F4EAF">
        <w:t xml:space="preserve">repeal the powers of the Minister and departments that facilitate the </w:t>
      </w:r>
      <w:r w:rsidR="00F578D9">
        <w:t>ministerial approval and registration process</w:t>
      </w:r>
      <w:r w:rsidR="002F4EAF">
        <w:t xml:space="preserve"> to facilitate</w:t>
      </w:r>
      <w:r>
        <w:t xml:space="preserve"> th</w:t>
      </w:r>
      <w:r w:rsidR="000E0D27">
        <w:t>e</w:t>
      </w:r>
      <w:r>
        <w:t xml:space="preserve"> transfer of responsibility</w:t>
      </w:r>
      <w:r w:rsidR="000E0D27">
        <w:t xml:space="preserve"> to the ATO</w:t>
      </w:r>
      <w:r>
        <w:t xml:space="preserve">. </w:t>
      </w:r>
    </w:p>
    <w:p w14:paraId="3E4B8AF2" w14:textId="6C75728F" w:rsidR="00873094" w:rsidRDefault="006031C8" w:rsidP="00873094">
      <w:pPr>
        <w:pStyle w:val="Normalparatextwithnumbers"/>
        <w:numPr>
          <w:ilvl w:val="1"/>
          <w:numId w:val="3"/>
        </w:numPr>
      </w:pPr>
      <w:r>
        <w:t xml:space="preserve">In general, the amendments preserve the existing rules </w:t>
      </w:r>
      <w:r w:rsidR="00E44453">
        <w:t xml:space="preserve">as they affect </w:t>
      </w:r>
      <w:r>
        <w:t>entities seeking endorsement as a DGR</w:t>
      </w:r>
      <w:r w:rsidR="000E0D27">
        <w:t xml:space="preserve"> – the changes predominantly affect how the Government administers the DGR </w:t>
      </w:r>
      <w:r w:rsidR="002B3597">
        <w:t>categories</w:t>
      </w:r>
      <w:r w:rsidR="000E0D27">
        <w:t xml:space="preserve">. </w:t>
      </w:r>
    </w:p>
    <w:p w14:paraId="446C620E" w14:textId="4A84D137" w:rsidR="004C0061" w:rsidRDefault="007E11DD" w:rsidP="004C0061">
      <w:pPr>
        <w:pStyle w:val="Normalparatextwithnumbers"/>
        <w:numPr>
          <w:ilvl w:val="1"/>
          <w:numId w:val="3"/>
        </w:numPr>
      </w:pPr>
      <w:r>
        <w:t>P</w:t>
      </w:r>
      <w:r w:rsidR="004C0061">
        <w:t xml:space="preserve">rovisions relating to </w:t>
      </w:r>
      <w:r w:rsidR="00075B5C">
        <w:t>maintenance of departmental</w:t>
      </w:r>
      <w:r w:rsidR="004C0061">
        <w:t xml:space="preserve"> registers have been repealed. The current law requires that certain departments maintain registers of deductible gift recipients. These amendments abolish these registers and the obligations of departmental secretaries to maintain registers.</w:t>
      </w:r>
    </w:p>
    <w:p w14:paraId="247730CE" w14:textId="4BA3D537" w:rsidR="004C0061" w:rsidRDefault="004C0061" w:rsidP="004C0061">
      <w:pPr>
        <w:pStyle w:val="Heading3"/>
        <w:rPr>
          <w:rFonts w:hint="eastAsia"/>
        </w:rPr>
      </w:pPr>
      <w:bookmarkStart w:id="48" w:name="_Toc121323543"/>
      <w:r>
        <w:t>Environmental Organisations</w:t>
      </w:r>
      <w:bookmarkEnd w:id="48"/>
    </w:p>
    <w:p w14:paraId="56F5DBD0" w14:textId="58060A14" w:rsidR="00B33EC2" w:rsidRDefault="00B33EC2" w:rsidP="00B33EC2">
      <w:pPr>
        <w:pStyle w:val="Heading5"/>
      </w:pPr>
      <w:r>
        <w:t>Continuing Obligations</w:t>
      </w:r>
    </w:p>
    <w:p w14:paraId="439205C6" w14:textId="67E1A7F9" w:rsidR="00EF093A" w:rsidRDefault="00EF093A" w:rsidP="00AB1C04">
      <w:pPr>
        <w:pStyle w:val="Normalparatextwithnumbers"/>
        <w:numPr>
          <w:ilvl w:val="1"/>
          <w:numId w:val="3"/>
        </w:numPr>
      </w:pPr>
      <w:r w:rsidRPr="00EF093A">
        <w:t xml:space="preserve">Environmental organisations eligible for endorsement as DGRs </w:t>
      </w:r>
      <w:r w:rsidR="005C0DD3">
        <w:t>remain organisations with</w:t>
      </w:r>
      <w:r w:rsidRPr="00EF093A">
        <w:t xml:space="preserve"> a principal purpose of the protection and enhancement of the natural environment or of a significant aspect of the natural environment; or the provision of information or education, or the carrying on of research, about the natural environment or a significant aspect of the natural environment.</w:t>
      </w:r>
      <w:r>
        <w:t xml:space="preserve"> </w:t>
      </w:r>
    </w:p>
    <w:p w14:paraId="2973A301" w14:textId="31F2A8D4" w:rsidR="00974F3C" w:rsidRPr="006F45CB" w:rsidRDefault="004D0151" w:rsidP="006F45CB">
      <w:pPr>
        <w:pStyle w:val="Normalparatextwithnumbers"/>
        <w:numPr>
          <w:ilvl w:val="0"/>
          <w:numId w:val="0"/>
        </w:numPr>
        <w:ind w:left="709"/>
        <w:rPr>
          <w:rStyle w:val="References"/>
        </w:rPr>
      </w:pPr>
      <w:r>
        <w:rPr>
          <w:rStyle w:val="References"/>
        </w:rPr>
        <w:t>[</w:t>
      </w:r>
      <w:r w:rsidR="00EA7E2A">
        <w:rPr>
          <w:rStyle w:val="References"/>
        </w:rPr>
        <w:t>Schedule 1, item 1</w:t>
      </w:r>
      <w:r w:rsidR="00BB6473">
        <w:rPr>
          <w:rStyle w:val="References"/>
        </w:rPr>
        <w:t>, subsection 30-55(1)</w:t>
      </w:r>
      <w:r w:rsidR="00E30D82">
        <w:rPr>
          <w:rStyle w:val="References"/>
        </w:rPr>
        <w:t xml:space="preserve"> (table</w:t>
      </w:r>
      <w:r w:rsidR="00052622">
        <w:rPr>
          <w:rStyle w:val="References"/>
        </w:rPr>
        <w:t xml:space="preserve"> item 6.1.1</w:t>
      </w:r>
      <w:r w:rsidR="00E30D82">
        <w:rPr>
          <w:rStyle w:val="References"/>
        </w:rPr>
        <w:t>)</w:t>
      </w:r>
      <w:r w:rsidR="000E7A6A">
        <w:rPr>
          <w:rStyle w:val="References"/>
        </w:rPr>
        <w:t xml:space="preserve"> of the ITA</w:t>
      </w:r>
      <w:r w:rsidR="002B1A71">
        <w:rPr>
          <w:rStyle w:val="References"/>
        </w:rPr>
        <w:t>A</w:t>
      </w:r>
      <w:r w:rsidR="0081237A">
        <w:rPr>
          <w:rStyle w:val="References"/>
        </w:rPr>
        <w:t xml:space="preserve"> </w:t>
      </w:r>
      <w:r w:rsidR="005C0497">
        <w:rPr>
          <w:rStyle w:val="References"/>
        </w:rPr>
        <w:t>1997</w:t>
      </w:r>
      <w:r w:rsidR="004B7FAC">
        <w:rPr>
          <w:rStyle w:val="References"/>
        </w:rPr>
        <w:t>]</w:t>
      </w:r>
    </w:p>
    <w:p w14:paraId="4A21BB3E" w14:textId="77777777" w:rsidR="00AC157F" w:rsidRDefault="00B33EC2" w:rsidP="00D76E2C">
      <w:pPr>
        <w:pStyle w:val="Normalparatextwithnumbers"/>
      </w:pPr>
      <w:r>
        <w:t>Eligible environmental organisations</w:t>
      </w:r>
      <w:r w:rsidR="00D76E2C">
        <w:t xml:space="preserve"> </w:t>
      </w:r>
      <w:r>
        <w:t>must</w:t>
      </w:r>
      <w:r w:rsidR="00AC157F">
        <w:t>:</w:t>
      </w:r>
      <w:r w:rsidR="00D76E2C">
        <w:t xml:space="preserve"> </w:t>
      </w:r>
    </w:p>
    <w:p w14:paraId="242646E7" w14:textId="4D38DD17" w:rsidR="00872E16" w:rsidRDefault="00D76E2C" w:rsidP="006F45CB">
      <w:pPr>
        <w:pStyle w:val="Dotpoint1"/>
      </w:pPr>
      <w:bookmarkStart w:id="49" w:name="_Hlk121405368"/>
      <w:r>
        <w:t>be</w:t>
      </w:r>
      <w:r w:rsidRPr="00D76E2C">
        <w:t xml:space="preserve"> a registered charity or a</w:t>
      </w:r>
      <w:r w:rsidR="00306920">
        <w:t>n</w:t>
      </w:r>
      <w:r w:rsidRPr="00D76E2C">
        <w:t xml:space="preserve"> </w:t>
      </w:r>
      <w:r w:rsidR="007611D2">
        <w:t xml:space="preserve">Australian Government </w:t>
      </w:r>
      <w:proofErr w:type="gramStart"/>
      <w:r w:rsidR="007611D2">
        <w:t>Agency</w:t>
      </w:r>
      <w:r w:rsidR="00872E16">
        <w:t>;</w:t>
      </w:r>
      <w:bookmarkEnd w:id="49"/>
      <w:proofErr w:type="gramEnd"/>
    </w:p>
    <w:p w14:paraId="1E5EB4F5" w14:textId="5E860943" w:rsidR="00872E16" w:rsidRDefault="00B33EC2" w:rsidP="00872E16">
      <w:pPr>
        <w:pStyle w:val="Dotpoint1"/>
      </w:pPr>
      <w:bookmarkStart w:id="50" w:name="_Hlk121313285"/>
      <w:r>
        <w:lastRenderedPageBreak/>
        <w:t>have a</w:t>
      </w:r>
      <w:r w:rsidR="00D76E2C" w:rsidRPr="00D76E2C">
        <w:t xml:space="preserve"> policy of not acting as a mere conduit for the donation of money or property to other organisations, </w:t>
      </w:r>
      <w:proofErr w:type="gramStart"/>
      <w:r w:rsidR="00D76E2C" w:rsidRPr="00D76E2C">
        <w:t>bodies</w:t>
      </w:r>
      <w:proofErr w:type="gramEnd"/>
      <w:r w:rsidR="00D76E2C" w:rsidRPr="00D76E2C">
        <w:t xml:space="preserve"> or persons</w:t>
      </w:r>
      <w:r w:rsidR="00872E16">
        <w:t>;</w:t>
      </w:r>
      <w:r>
        <w:t xml:space="preserve"> </w:t>
      </w:r>
      <w:r w:rsidR="004A2179">
        <w:t>and</w:t>
      </w:r>
    </w:p>
    <w:p w14:paraId="0FFB71CD" w14:textId="7EACC99E" w:rsidR="00823B9E" w:rsidRPr="006F45CB" w:rsidRDefault="00823B9E" w:rsidP="003B621F">
      <w:pPr>
        <w:pStyle w:val="Dotpoint1"/>
        <w:numPr>
          <w:ilvl w:val="0"/>
          <w:numId w:val="0"/>
        </w:numPr>
        <w:ind w:left="709"/>
        <w:rPr>
          <w:rStyle w:val="References"/>
        </w:rPr>
      </w:pPr>
      <w:r>
        <w:rPr>
          <w:rStyle w:val="References"/>
        </w:rPr>
        <w:t xml:space="preserve">[Schedule 1, item </w:t>
      </w:r>
      <w:r w:rsidR="00731CEB">
        <w:rPr>
          <w:rStyle w:val="References"/>
        </w:rPr>
        <w:t>2 and 3, section 30-60 of the ITAA 1997]</w:t>
      </w:r>
    </w:p>
    <w:p w14:paraId="580F9B64" w14:textId="18D509FA" w:rsidR="00872E16" w:rsidRDefault="00D76E2C" w:rsidP="006F45CB">
      <w:pPr>
        <w:pStyle w:val="Dotpoint1"/>
      </w:pPr>
      <w:r w:rsidRPr="00D76E2C">
        <w:t xml:space="preserve">not pay any of </w:t>
      </w:r>
      <w:r w:rsidR="00C46C01">
        <w:t>their</w:t>
      </w:r>
      <w:r w:rsidRPr="00D76E2C">
        <w:t xml:space="preserve"> profits or financial surplus, or give any of its property, to </w:t>
      </w:r>
      <w:r w:rsidR="00C46C01">
        <w:t>their</w:t>
      </w:r>
      <w:r w:rsidRPr="00D76E2C">
        <w:t xml:space="preserve"> members, beneficiaries, </w:t>
      </w:r>
      <w:proofErr w:type="gramStart"/>
      <w:r w:rsidRPr="00D76E2C">
        <w:t>controllers</w:t>
      </w:r>
      <w:proofErr w:type="gramEnd"/>
      <w:r w:rsidRPr="00D76E2C">
        <w:t xml:space="preserve"> or owners</w:t>
      </w:r>
      <w:r w:rsidR="004E1241">
        <w:t xml:space="preserve"> under existing law. </w:t>
      </w:r>
    </w:p>
    <w:bookmarkEnd w:id="50"/>
    <w:p w14:paraId="0D48BE21" w14:textId="2A3950BA" w:rsidR="00B33EC2" w:rsidRDefault="00B33EC2" w:rsidP="00B33EC2">
      <w:pPr>
        <w:pStyle w:val="Heading5"/>
      </w:pPr>
      <w:r>
        <w:t>Changed Requirements</w:t>
      </w:r>
    </w:p>
    <w:p w14:paraId="54E7D559" w14:textId="4A8026DD" w:rsidR="004A2179" w:rsidRDefault="00264C56" w:rsidP="00B33EC2">
      <w:pPr>
        <w:pStyle w:val="Normalparatextwithnumbers"/>
      </w:pPr>
      <w:r>
        <w:t xml:space="preserve">All endorsed environmental organisations must </w:t>
      </w:r>
      <w:r w:rsidRPr="004A2179">
        <w:t xml:space="preserve">maintain a gift fund, and gifts must be received by the </w:t>
      </w:r>
      <w:r>
        <w:t>charity</w:t>
      </w:r>
      <w:r w:rsidRPr="004A2179">
        <w:t>’s gift fund.</w:t>
      </w:r>
      <w:r>
        <w:t xml:space="preserve"> </w:t>
      </w:r>
      <w:r w:rsidR="00685249">
        <w:t>Organisations are currently endorsed for the operation of a public fund. Following the transition, the public fund will satisfy the requirement of a gift fund.</w:t>
      </w:r>
      <w:r>
        <w:t xml:space="preserve"> </w:t>
      </w:r>
      <w:r w:rsidR="007D7B4B">
        <w:t xml:space="preserve">This is a departure from existing requirements for organisations endorsed with DGR status under section 30-120(a) of the ITAA 97. </w:t>
      </w:r>
      <w:r w:rsidR="005955A5">
        <w:t xml:space="preserve">This </w:t>
      </w:r>
      <w:r w:rsidR="00685249">
        <w:t>may</w:t>
      </w:r>
      <w:r w:rsidR="005955A5">
        <w:t xml:space="preserve"> </w:t>
      </w:r>
      <w:r w:rsidR="00EB0A85">
        <w:t>a</w:t>
      </w:r>
      <w:r w:rsidR="005955A5">
        <w:t xml:space="preserve">ffect </w:t>
      </w:r>
      <w:r w:rsidR="00685249">
        <w:t>a small number of</w:t>
      </w:r>
      <w:r w:rsidR="005955A5">
        <w:t xml:space="preserve"> environmental organisations currently endorsed under </w:t>
      </w:r>
      <w:r w:rsidR="00F02190">
        <w:t>section 30-120(a) of the ITAA 1997.</w:t>
      </w:r>
    </w:p>
    <w:p w14:paraId="62FC4130" w14:textId="4E3D8C5A" w:rsidR="007603AB" w:rsidRPr="006F45CB" w:rsidRDefault="007603AB" w:rsidP="006F45CB">
      <w:pPr>
        <w:pStyle w:val="Normalparatextwithnumbers"/>
        <w:numPr>
          <w:ilvl w:val="0"/>
          <w:numId w:val="0"/>
        </w:numPr>
        <w:ind w:left="709"/>
        <w:rPr>
          <w:rStyle w:val="References"/>
        </w:rPr>
      </w:pPr>
      <w:r w:rsidRPr="007603AB">
        <w:rPr>
          <w:rStyle w:val="References"/>
        </w:rPr>
        <w:t>[Schedule 1, item 1, subsection 30-55(1) (table</w:t>
      </w:r>
      <w:r w:rsidR="00052622">
        <w:rPr>
          <w:rStyle w:val="References"/>
        </w:rPr>
        <w:t xml:space="preserve"> item 6.1.1</w:t>
      </w:r>
      <w:r w:rsidRPr="007603AB">
        <w:rPr>
          <w:rStyle w:val="References"/>
        </w:rPr>
        <w:t>) of the ITAA 1997]</w:t>
      </w:r>
    </w:p>
    <w:p w14:paraId="0EDBA070" w14:textId="0457B515" w:rsidR="00A90DCE" w:rsidRDefault="00A90DCE" w:rsidP="00B33EC2">
      <w:pPr>
        <w:pStyle w:val="Normalparatextwithnumbers"/>
      </w:pPr>
      <w:r>
        <w:t xml:space="preserve">The Environment Secretary </w:t>
      </w:r>
      <w:r w:rsidR="009064CE">
        <w:t>no longer needs to</w:t>
      </w:r>
      <w:r>
        <w:t xml:space="preserve"> keep a register of environmental organisations, and those organisations’ eligibility as a DGR no longer depends on being on that register. </w:t>
      </w:r>
    </w:p>
    <w:p w14:paraId="73DAB3FA" w14:textId="6C33A927" w:rsidR="00B33EC2" w:rsidRDefault="00075B5C" w:rsidP="00B33EC2">
      <w:pPr>
        <w:pStyle w:val="Normalparatextwithnumbers"/>
      </w:pPr>
      <w:r>
        <w:t xml:space="preserve">Statistical information about gifts made during an income year </w:t>
      </w:r>
      <w:r w:rsidR="009064CE">
        <w:t>no longer need to</w:t>
      </w:r>
      <w:r>
        <w:t xml:space="preserve"> be provided to the Environment Secretary. The </w:t>
      </w:r>
      <w:r w:rsidR="00BD1105">
        <w:t xml:space="preserve">ACNC and </w:t>
      </w:r>
      <w:r>
        <w:t>ATO receive th</w:t>
      </w:r>
      <w:r w:rsidR="00BD1105">
        <w:t>e necessary</w:t>
      </w:r>
      <w:r>
        <w:t xml:space="preserve"> information via other mechanisms</w:t>
      </w:r>
      <w:r w:rsidR="002B7A9B">
        <w:t xml:space="preserve"> like the </w:t>
      </w:r>
      <w:r w:rsidR="001428F6">
        <w:t>entity’s charity registration</w:t>
      </w:r>
      <w:r w:rsidR="004D28D1">
        <w:t>. T</w:t>
      </w:r>
      <w:r>
        <w:t xml:space="preserve">he Environment Secretary will no longer have need for this information as they will no longer be responsible for maintaining a register of </w:t>
      </w:r>
      <w:r w:rsidR="00F43A47">
        <w:t>e</w:t>
      </w:r>
      <w:r>
        <w:t xml:space="preserve">nvironmental </w:t>
      </w:r>
      <w:r w:rsidR="00F43A47">
        <w:t>o</w:t>
      </w:r>
      <w:r>
        <w:t xml:space="preserve">rganisations. </w:t>
      </w:r>
    </w:p>
    <w:p w14:paraId="65D1D27B" w14:textId="0813457C" w:rsidR="00D035D5" w:rsidRPr="006F45CB" w:rsidRDefault="00D035D5" w:rsidP="006F45CB">
      <w:pPr>
        <w:pStyle w:val="Normalparatextwithnumbers"/>
        <w:numPr>
          <w:ilvl w:val="0"/>
          <w:numId w:val="0"/>
        </w:numPr>
        <w:ind w:left="709"/>
        <w:rPr>
          <w:rStyle w:val="References"/>
        </w:rPr>
      </w:pPr>
      <w:r w:rsidRPr="00D035D5">
        <w:rPr>
          <w:rStyle w:val="References"/>
        </w:rPr>
        <w:t xml:space="preserve">[Schedule </w:t>
      </w:r>
      <w:r>
        <w:rPr>
          <w:rStyle w:val="References"/>
        </w:rPr>
        <w:t>1</w:t>
      </w:r>
      <w:r w:rsidRPr="00D035D5">
        <w:rPr>
          <w:rStyle w:val="References"/>
        </w:rPr>
        <w:t xml:space="preserve">, item </w:t>
      </w:r>
      <w:r>
        <w:rPr>
          <w:rStyle w:val="References"/>
        </w:rPr>
        <w:t>4</w:t>
      </w:r>
      <w:r w:rsidRPr="00D035D5">
        <w:rPr>
          <w:rStyle w:val="References"/>
        </w:rPr>
        <w:t>, sub</w:t>
      </w:r>
      <w:r w:rsidR="00AD63F6">
        <w:rPr>
          <w:rStyle w:val="References"/>
        </w:rPr>
        <w:t>division 30-E</w:t>
      </w:r>
      <w:r w:rsidRPr="00D035D5">
        <w:rPr>
          <w:rStyle w:val="References"/>
        </w:rPr>
        <w:t xml:space="preserve"> of the ITAA 1997]</w:t>
      </w:r>
    </w:p>
    <w:p w14:paraId="14F044EA" w14:textId="535E1920" w:rsidR="00A90DCE" w:rsidRDefault="00A90DCE" w:rsidP="00B33EC2">
      <w:pPr>
        <w:pStyle w:val="Normalparatextwithnumbers"/>
      </w:pPr>
      <w:r>
        <w:t xml:space="preserve">New environmental organisations must </w:t>
      </w:r>
      <w:r w:rsidR="00D04E1F">
        <w:t xml:space="preserve">have </w:t>
      </w:r>
      <w:proofErr w:type="gramStart"/>
      <w:r w:rsidR="00D04E1F">
        <w:t>winding</w:t>
      </w:r>
      <w:proofErr w:type="gramEnd"/>
      <w:r w:rsidR="00D04E1F">
        <w:t xml:space="preserve"> up provisions providing that when their public fund is wound up, surplus assets are transferred to another DGR. Current requirements provide that funds must be transferred to another organisation on the register. Organisations can choose to have a more limiting provision that allows for surplus assets to be transferred to a specific kind of DGR</w:t>
      </w:r>
      <w:r w:rsidR="00A47F47">
        <w:t xml:space="preserve">, but the legislation no longer requires transition to another entity on the register. </w:t>
      </w:r>
    </w:p>
    <w:p w14:paraId="12A48CD8" w14:textId="28B9A374" w:rsidR="004C0061" w:rsidRDefault="004C0061" w:rsidP="004C0061">
      <w:pPr>
        <w:pStyle w:val="Heading3"/>
        <w:rPr>
          <w:rFonts w:hint="eastAsia"/>
        </w:rPr>
      </w:pPr>
      <w:bookmarkStart w:id="51" w:name="_Toc121323544"/>
      <w:r>
        <w:t>Harm Prevention Charities</w:t>
      </w:r>
      <w:bookmarkEnd w:id="51"/>
    </w:p>
    <w:p w14:paraId="4197C1D0" w14:textId="636ACC53" w:rsidR="009B2DDF" w:rsidRDefault="009B2DDF" w:rsidP="009B2DDF">
      <w:pPr>
        <w:pStyle w:val="Heading5"/>
      </w:pPr>
      <w:r>
        <w:t>Continuing Obligations</w:t>
      </w:r>
    </w:p>
    <w:p w14:paraId="54B2FD94" w14:textId="14ED34FB" w:rsidR="00F43A47" w:rsidRPr="00013D56" w:rsidRDefault="00013D56" w:rsidP="00F43A47">
      <w:pPr>
        <w:pStyle w:val="Normalparatextwithnumbers"/>
      </w:pPr>
      <w:r w:rsidRPr="00013D56">
        <w:t xml:space="preserve">Harm prevention charities eligible for endorsement as DGRs </w:t>
      </w:r>
      <w:r>
        <w:t>remain those with</w:t>
      </w:r>
      <w:r w:rsidRPr="00013D56">
        <w:t xml:space="preserve"> a principal activity being the promotion of the prevention or the control of behaviour that is harmful or abusive to human beings in Australia.</w:t>
      </w:r>
      <w:r w:rsidR="00F56323">
        <w:t xml:space="preserve"> This </w:t>
      </w:r>
      <w:r w:rsidR="00F56323">
        <w:lastRenderedPageBreak/>
        <w:t xml:space="preserve">continues to mean that harm prevention charities in Australia must have its purposes and beneficiaries in Australia, and not another country. </w:t>
      </w:r>
    </w:p>
    <w:p w14:paraId="1622E225" w14:textId="32ED3833" w:rsidR="00D806A6" w:rsidRPr="00013D56" w:rsidRDefault="00D806A6" w:rsidP="00F43A47">
      <w:pPr>
        <w:pStyle w:val="Normalparatextwithnumbers"/>
      </w:pPr>
      <w:r>
        <w:t xml:space="preserve">Eligible harm prevention charities must: </w:t>
      </w:r>
    </w:p>
    <w:p w14:paraId="6B57F275" w14:textId="507E6B94" w:rsidR="00013D56" w:rsidRDefault="00F204A1" w:rsidP="006F45CB">
      <w:pPr>
        <w:pStyle w:val="Dotpoint1"/>
      </w:pPr>
      <w:r>
        <w:t xml:space="preserve">be a registered charity that is exempt from income </w:t>
      </w:r>
      <w:proofErr w:type="gramStart"/>
      <w:r>
        <w:t>tax</w:t>
      </w:r>
      <w:r w:rsidR="00D806A6">
        <w:t>;</w:t>
      </w:r>
      <w:proofErr w:type="gramEnd"/>
    </w:p>
    <w:p w14:paraId="4980B88B" w14:textId="0521088A" w:rsidR="00F9197A" w:rsidRDefault="00F204A1" w:rsidP="00D806A6">
      <w:pPr>
        <w:pStyle w:val="Dotpoint1"/>
      </w:pPr>
      <w:r w:rsidRPr="00F204A1">
        <w:t xml:space="preserve">have a policy of not acting as a mere conduit for the donation of money or property to other organisations, </w:t>
      </w:r>
      <w:proofErr w:type="gramStart"/>
      <w:r w:rsidRPr="00F204A1">
        <w:t>bodies</w:t>
      </w:r>
      <w:proofErr w:type="gramEnd"/>
      <w:r w:rsidRPr="00F204A1">
        <w:t xml:space="preserve"> or persons</w:t>
      </w:r>
      <w:r w:rsidR="00F9197A">
        <w:t>;</w:t>
      </w:r>
      <w:r w:rsidRPr="00F204A1">
        <w:t xml:space="preserve"> </w:t>
      </w:r>
      <w:r w:rsidR="00BA27EB">
        <w:t>and</w:t>
      </w:r>
    </w:p>
    <w:p w14:paraId="346CAEC1" w14:textId="4C161084" w:rsidR="00C53C12" w:rsidRPr="006F45CB" w:rsidRDefault="00C53C12" w:rsidP="001B2EDB">
      <w:pPr>
        <w:pStyle w:val="Dotpoint1"/>
        <w:numPr>
          <w:ilvl w:val="0"/>
          <w:numId w:val="0"/>
        </w:numPr>
        <w:ind w:left="709"/>
        <w:rPr>
          <w:rStyle w:val="References"/>
        </w:rPr>
      </w:pPr>
      <w:r w:rsidRPr="008179CE">
        <w:rPr>
          <w:rStyle w:val="References"/>
        </w:rPr>
        <w:t xml:space="preserve">[Schedule 1, item </w:t>
      </w:r>
      <w:r>
        <w:rPr>
          <w:rStyle w:val="References"/>
        </w:rPr>
        <w:t>8</w:t>
      </w:r>
      <w:r w:rsidRPr="008179CE">
        <w:rPr>
          <w:rStyle w:val="References"/>
        </w:rPr>
        <w:t>, subsection 30-</w:t>
      </w:r>
      <w:r>
        <w:rPr>
          <w:rStyle w:val="References"/>
        </w:rPr>
        <w:t>4</w:t>
      </w:r>
      <w:r w:rsidRPr="008179CE">
        <w:rPr>
          <w:rStyle w:val="References"/>
        </w:rPr>
        <w:t>5(1) (table</w:t>
      </w:r>
      <w:r>
        <w:rPr>
          <w:rStyle w:val="References"/>
        </w:rPr>
        <w:t xml:space="preserve"> item 4.1.4</w:t>
      </w:r>
      <w:r w:rsidRPr="008179CE">
        <w:rPr>
          <w:rStyle w:val="References"/>
        </w:rPr>
        <w:t>) of the ITAA 1997]</w:t>
      </w:r>
    </w:p>
    <w:p w14:paraId="33AA72E7" w14:textId="1E24C322" w:rsidR="00F204A1" w:rsidRDefault="00F204A1" w:rsidP="00D806A6">
      <w:pPr>
        <w:pStyle w:val="Dotpoint1"/>
      </w:pPr>
      <w:r w:rsidRPr="00F204A1">
        <w:t xml:space="preserve">must not pay any of </w:t>
      </w:r>
      <w:r w:rsidR="00B0136B">
        <w:t>their</w:t>
      </w:r>
      <w:r w:rsidRPr="00F204A1">
        <w:t xml:space="preserve"> profits or financial surplus, or give any of its property, to </w:t>
      </w:r>
      <w:r w:rsidR="00C46C01">
        <w:t>their</w:t>
      </w:r>
      <w:r w:rsidRPr="00F204A1">
        <w:t xml:space="preserve"> members, beneficiaries, </w:t>
      </w:r>
      <w:proofErr w:type="gramStart"/>
      <w:r w:rsidRPr="00F204A1">
        <w:t>controllers</w:t>
      </w:r>
      <w:proofErr w:type="gramEnd"/>
      <w:r w:rsidRPr="00F204A1">
        <w:t xml:space="preserve"> or owners</w:t>
      </w:r>
      <w:r w:rsidR="00C53C12">
        <w:t xml:space="preserve"> under existing law.</w:t>
      </w:r>
    </w:p>
    <w:p w14:paraId="480E5EC1" w14:textId="78A89D35" w:rsidR="00F56323" w:rsidRDefault="00F56323" w:rsidP="00F56323">
      <w:pPr>
        <w:pStyle w:val="Heading5"/>
      </w:pPr>
      <w:r>
        <w:t>Changing Requirements</w:t>
      </w:r>
    </w:p>
    <w:p w14:paraId="249484DD" w14:textId="6E0FA094" w:rsidR="00BA27EB" w:rsidRDefault="00BA27EB">
      <w:pPr>
        <w:pStyle w:val="Normalparatextwithnumbers"/>
      </w:pPr>
      <w:r>
        <w:t xml:space="preserve">All harm prevention charities must maintain a gift fund, and gifts must be received by the charity’s gift fund. </w:t>
      </w:r>
      <w:r w:rsidR="00264C56">
        <w:t xml:space="preserve">Charities are currently endorsed for the operation of a public fund. Following the transition, the public fund will satisfy the requirement of a gift fund. </w:t>
      </w:r>
      <w:r w:rsidR="007D7B4B">
        <w:t xml:space="preserve">This is a departure from existing requirements for organisations endorsed with DGR status under section 30-120(a) of the ITAA </w:t>
      </w:r>
      <w:r w:rsidR="554B456A">
        <w:t>19</w:t>
      </w:r>
      <w:r w:rsidR="007D7B4B">
        <w:t xml:space="preserve">97. </w:t>
      </w:r>
      <w:r>
        <w:t xml:space="preserve">This </w:t>
      </w:r>
      <w:r w:rsidR="00685249">
        <w:t>may</w:t>
      </w:r>
      <w:r>
        <w:t xml:space="preserve"> </w:t>
      </w:r>
      <w:r w:rsidR="00EB0A85">
        <w:t>a</w:t>
      </w:r>
      <w:r>
        <w:t xml:space="preserve">ffect </w:t>
      </w:r>
      <w:r w:rsidR="00685249">
        <w:t>a small number of</w:t>
      </w:r>
      <w:r>
        <w:t xml:space="preserve"> harm prevention charities currently endorsed under section 30-120(a) of the ITAA 1997.</w:t>
      </w:r>
    </w:p>
    <w:p w14:paraId="77A3FEA6" w14:textId="07A00D0A" w:rsidR="00F56323" w:rsidRDefault="00F56323" w:rsidP="00F56323">
      <w:pPr>
        <w:pStyle w:val="Normalparatextwithnumbers"/>
      </w:pPr>
      <w:r>
        <w:t xml:space="preserve">The </w:t>
      </w:r>
      <w:r w:rsidR="00F43A47">
        <w:t xml:space="preserve">Families Secretary </w:t>
      </w:r>
      <w:r w:rsidR="00D6270C">
        <w:t>no longer need</w:t>
      </w:r>
      <w:r w:rsidR="007D7B4B">
        <w:t>s</w:t>
      </w:r>
      <w:r w:rsidR="00D6270C">
        <w:t xml:space="preserve"> to</w:t>
      </w:r>
      <w:r w:rsidR="00F43A47">
        <w:t xml:space="preserve"> keep a register of harm prevention charities, and those charities</w:t>
      </w:r>
      <w:r w:rsidR="007D7B4B">
        <w:t>’</w:t>
      </w:r>
      <w:r w:rsidR="00F43A47">
        <w:t xml:space="preserve"> eligibility as a DGR no longer depends on being on that register.  </w:t>
      </w:r>
    </w:p>
    <w:p w14:paraId="342E8565" w14:textId="333F60D7" w:rsidR="00F43A47" w:rsidRDefault="00F43A47" w:rsidP="00F43A47">
      <w:pPr>
        <w:pStyle w:val="Normalparatextwithnumbers"/>
      </w:pPr>
      <w:r>
        <w:t xml:space="preserve">Statistical information about gifts made during an income year </w:t>
      </w:r>
      <w:r w:rsidR="00D6270C">
        <w:t>no longer need to</w:t>
      </w:r>
      <w:r>
        <w:t xml:space="preserve"> be provided to the Families Secretary. </w:t>
      </w:r>
      <w:r w:rsidR="00AB5ED4">
        <w:t>The ACNC and ATO receive the necessary information via other mechanisms like the entity’s charity registration. T</w:t>
      </w:r>
      <w:r>
        <w:t xml:space="preserve">he Families Secretary will no longer have need for this information as they will no longer be responsible for maintaining a register of harm prevention </w:t>
      </w:r>
      <w:r w:rsidR="00223DFD">
        <w:t>charities</w:t>
      </w:r>
      <w:r>
        <w:t xml:space="preserve">. </w:t>
      </w:r>
    </w:p>
    <w:p w14:paraId="735F56C7" w14:textId="51CB6028" w:rsidR="0095635B" w:rsidRPr="006F45CB" w:rsidRDefault="0095635B" w:rsidP="006F45CB">
      <w:pPr>
        <w:pStyle w:val="Normalparatextwithnumbers"/>
        <w:numPr>
          <w:ilvl w:val="0"/>
          <w:numId w:val="0"/>
        </w:numPr>
        <w:ind w:left="709"/>
        <w:rPr>
          <w:rStyle w:val="References"/>
        </w:rPr>
      </w:pPr>
      <w:r w:rsidRPr="0095635B">
        <w:rPr>
          <w:rStyle w:val="References"/>
        </w:rPr>
        <w:t xml:space="preserve">[Schedule 1, item </w:t>
      </w:r>
      <w:r>
        <w:rPr>
          <w:rStyle w:val="References"/>
        </w:rPr>
        <w:t>9</w:t>
      </w:r>
      <w:r w:rsidRPr="0095635B">
        <w:rPr>
          <w:rStyle w:val="References"/>
        </w:rPr>
        <w:t>, subdivision 30-E</w:t>
      </w:r>
      <w:r>
        <w:rPr>
          <w:rStyle w:val="References"/>
        </w:rPr>
        <w:t>A</w:t>
      </w:r>
      <w:r w:rsidRPr="0095635B">
        <w:rPr>
          <w:rStyle w:val="References"/>
        </w:rPr>
        <w:t xml:space="preserve"> of the ITAA 1997]</w:t>
      </w:r>
    </w:p>
    <w:p w14:paraId="49DE466A" w14:textId="6AA0D18F" w:rsidR="00F43A47" w:rsidRDefault="00A47F47" w:rsidP="00A47F47">
      <w:pPr>
        <w:pStyle w:val="Normalparatextwithnumbers"/>
      </w:pPr>
      <w:r>
        <w:t xml:space="preserve">New harm prevention charities must have </w:t>
      </w:r>
      <w:proofErr w:type="gramStart"/>
      <w:r>
        <w:t>winding</w:t>
      </w:r>
      <w:proofErr w:type="gramEnd"/>
      <w:r>
        <w:t xml:space="preserve"> up provisions providing that when their public fund is wound up, surplus assets are transferred to another DGR. Current requirements provide that funds must be transferred to another charity on the register. Organisations can choose to have a more limiting provision that allows for surplus assets to be transferred to a specific kind of DGR, but the legislation no longer requires transition to another entity on the register. </w:t>
      </w:r>
    </w:p>
    <w:p w14:paraId="59A45FEA" w14:textId="51CD5BC7" w:rsidR="004C0061" w:rsidRDefault="004C0061" w:rsidP="004C0061">
      <w:pPr>
        <w:pStyle w:val="Heading3"/>
        <w:rPr>
          <w:rFonts w:hint="eastAsia"/>
        </w:rPr>
      </w:pPr>
      <w:bookmarkStart w:id="52" w:name="_Toc121323545"/>
      <w:r>
        <w:lastRenderedPageBreak/>
        <w:t>Cultural Organisations</w:t>
      </w:r>
      <w:bookmarkEnd w:id="52"/>
    </w:p>
    <w:p w14:paraId="4E46C925" w14:textId="23B560A4" w:rsidR="00C04FEE" w:rsidRPr="00C04FEE" w:rsidRDefault="00C04FEE" w:rsidP="00C04FEE">
      <w:pPr>
        <w:pStyle w:val="Heading5"/>
      </w:pPr>
      <w:r>
        <w:t>Continuing Obligations</w:t>
      </w:r>
    </w:p>
    <w:p w14:paraId="2AEC635E" w14:textId="648CE5C4" w:rsidR="00013D56" w:rsidRPr="00013D56" w:rsidRDefault="00013D56" w:rsidP="00013D56">
      <w:pPr>
        <w:pStyle w:val="Normalparatextwithnumbers"/>
      </w:pPr>
      <w:r w:rsidRPr="00013D56">
        <w:t xml:space="preserve">Cultural organisations eligible for endorsement as DGRs </w:t>
      </w:r>
      <w:r>
        <w:t xml:space="preserve">remain those with </w:t>
      </w:r>
      <w:r w:rsidRPr="00013D56">
        <w:t>a principal purpose of the promotion of literature, music, a performing art, a visual art, a craft, design, film, video, television, radio, community arts, arts or languages of Indigenous persons or movable cultural heritage.</w:t>
      </w:r>
    </w:p>
    <w:p w14:paraId="457E90AC" w14:textId="77777777" w:rsidR="00FB1F8B" w:rsidRDefault="00F56323" w:rsidP="00611CA4">
      <w:pPr>
        <w:pStyle w:val="Normalparatextwithnumbers"/>
      </w:pPr>
      <w:r w:rsidRPr="00F204A1">
        <w:t xml:space="preserve">Eligible </w:t>
      </w:r>
      <w:r w:rsidR="002F1DC3">
        <w:t>cultural organisations</w:t>
      </w:r>
      <w:r w:rsidRPr="00F204A1">
        <w:t xml:space="preserve"> must</w:t>
      </w:r>
      <w:r w:rsidR="00FB1F8B">
        <w:t>:</w:t>
      </w:r>
    </w:p>
    <w:p w14:paraId="16034E33" w14:textId="6D4495C7" w:rsidR="00C46C01" w:rsidRDefault="00C46C01" w:rsidP="00C46C01">
      <w:pPr>
        <w:pStyle w:val="Dotpoint1"/>
      </w:pPr>
      <w:r w:rsidRPr="00C46C01">
        <w:t>be a registered charity or an Australian Government Agency;</w:t>
      </w:r>
      <w:r w:rsidR="00EB0A85">
        <w:t xml:space="preserve"> and</w:t>
      </w:r>
    </w:p>
    <w:p w14:paraId="453A6D20" w14:textId="77777777" w:rsidR="000025F4" w:rsidRDefault="000025F4" w:rsidP="000025F4">
      <w:pPr>
        <w:pStyle w:val="Dotpoint1"/>
      </w:pPr>
      <w:r>
        <w:t>must maintain a gift fund, and g</w:t>
      </w:r>
      <w:r w:rsidRPr="00D76E2C">
        <w:t>ifts must be received by the organisation’s gift fund</w:t>
      </w:r>
      <w:r>
        <w:t>.</w:t>
      </w:r>
    </w:p>
    <w:p w14:paraId="54A199C7" w14:textId="1CF02F7E" w:rsidR="000025F4" w:rsidRDefault="000025F4" w:rsidP="005D4377">
      <w:pPr>
        <w:pStyle w:val="Dotpoint1"/>
        <w:numPr>
          <w:ilvl w:val="0"/>
          <w:numId w:val="0"/>
        </w:numPr>
        <w:ind w:left="709"/>
      </w:pPr>
      <w:r w:rsidRPr="00A94A6B">
        <w:rPr>
          <w:rStyle w:val="References"/>
        </w:rPr>
        <w:t xml:space="preserve">[Schedule 1, item </w:t>
      </w:r>
      <w:r>
        <w:rPr>
          <w:rStyle w:val="References"/>
        </w:rPr>
        <w:t>12</w:t>
      </w:r>
      <w:r w:rsidRPr="00A94A6B">
        <w:rPr>
          <w:rStyle w:val="References"/>
        </w:rPr>
        <w:t>, subsection 30-</w:t>
      </w:r>
      <w:r>
        <w:rPr>
          <w:rStyle w:val="References"/>
        </w:rPr>
        <w:t>100</w:t>
      </w:r>
      <w:r w:rsidRPr="00A94A6B">
        <w:rPr>
          <w:rStyle w:val="References"/>
        </w:rPr>
        <w:t xml:space="preserve">(1) (table item </w:t>
      </w:r>
      <w:r>
        <w:rPr>
          <w:rStyle w:val="References"/>
        </w:rPr>
        <w:t>12</w:t>
      </w:r>
      <w:r w:rsidRPr="00A94A6B">
        <w:rPr>
          <w:rStyle w:val="References"/>
        </w:rPr>
        <w:t>.1.1) of the ITAA</w:t>
      </w:r>
      <w:r>
        <w:rPr>
          <w:rStyle w:val="References"/>
        </w:rPr>
        <w:t> </w:t>
      </w:r>
      <w:r w:rsidRPr="00A94A6B">
        <w:rPr>
          <w:rStyle w:val="References"/>
        </w:rPr>
        <w:t>1997]</w:t>
      </w:r>
    </w:p>
    <w:p w14:paraId="5F01406B" w14:textId="455AC279" w:rsidR="00C46C01" w:rsidRDefault="00C46C01" w:rsidP="001B2EDB">
      <w:pPr>
        <w:pStyle w:val="Dotpoint1"/>
      </w:pPr>
      <w:r w:rsidRPr="00C46C01">
        <w:t xml:space="preserve">not pay any of </w:t>
      </w:r>
      <w:r w:rsidR="00525635">
        <w:t>their</w:t>
      </w:r>
      <w:r w:rsidRPr="00C46C01">
        <w:t xml:space="preserve"> profits or financial surplus, or give any of its property, to </w:t>
      </w:r>
      <w:r w:rsidR="00525635">
        <w:t>their</w:t>
      </w:r>
      <w:r w:rsidRPr="00C46C01">
        <w:t xml:space="preserve"> members, beneficiaries, </w:t>
      </w:r>
      <w:proofErr w:type="gramStart"/>
      <w:r w:rsidRPr="00C46C01">
        <w:t>controllers</w:t>
      </w:r>
      <w:proofErr w:type="gramEnd"/>
      <w:r w:rsidRPr="00C46C01">
        <w:t xml:space="preserve"> or owners</w:t>
      </w:r>
      <w:r w:rsidR="00264C56">
        <w:t>, as under existing law</w:t>
      </w:r>
      <w:r w:rsidR="00EB0A85" w:rsidDel="00264C56">
        <w:t>.</w:t>
      </w:r>
    </w:p>
    <w:p w14:paraId="21197506" w14:textId="54C7FF61" w:rsidR="00C04FEE" w:rsidRDefault="00C04FEE" w:rsidP="00C04FEE">
      <w:pPr>
        <w:pStyle w:val="Heading5"/>
      </w:pPr>
      <w:r>
        <w:t>Changing Requirements</w:t>
      </w:r>
    </w:p>
    <w:p w14:paraId="6B00FD84" w14:textId="4488C909" w:rsidR="00EB0A85" w:rsidRDefault="00EB0A85">
      <w:pPr>
        <w:pStyle w:val="Normalparatextwithnumbers"/>
      </w:pPr>
      <w:r>
        <w:t xml:space="preserve">All cultural organisations must </w:t>
      </w:r>
      <w:r w:rsidRPr="004A2179">
        <w:t>maintain a gift fund, and gifts must be received by the organisation’s gift fund.</w:t>
      </w:r>
      <w:r>
        <w:t xml:space="preserve"> </w:t>
      </w:r>
      <w:r w:rsidR="00264C56">
        <w:t xml:space="preserve">Organisations are currently endorsed for the operation of a public fund. Following the transition, the public fund will satisfy the requirement of a gift fund. </w:t>
      </w:r>
      <w:r w:rsidR="007D7B4B">
        <w:t xml:space="preserve">This is a departure from existing requirements for organisations endorsed with DGR status under section 30-120(a) of the ITAA 97. </w:t>
      </w:r>
      <w:r>
        <w:t xml:space="preserve">This </w:t>
      </w:r>
      <w:r w:rsidR="00264C56">
        <w:t>may</w:t>
      </w:r>
      <w:r>
        <w:t xml:space="preserve"> affect </w:t>
      </w:r>
      <w:r w:rsidR="00264C56">
        <w:t>a small number of</w:t>
      </w:r>
      <w:r w:rsidR="00CC4BDD">
        <w:t xml:space="preserve"> </w:t>
      </w:r>
      <w:r>
        <w:t>cultural organisations currently endorsed under section 30-120(a) of the ITAA 1997.</w:t>
      </w:r>
    </w:p>
    <w:p w14:paraId="436179B6" w14:textId="32B8D36A" w:rsidR="007611D2" w:rsidRDefault="007611D2" w:rsidP="007611D2">
      <w:pPr>
        <w:pStyle w:val="Normalparatextwithnumbers"/>
      </w:pPr>
      <w:r>
        <w:t xml:space="preserve">The Arts Secretary </w:t>
      </w:r>
      <w:r w:rsidR="00DA7D40">
        <w:t>no longer needs to</w:t>
      </w:r>
      <w:r>
        <w:t xml:space="preserve"> keep a register of cultural organisations, and those organisations</w:t>
      </w:r>
      <w:r w:rsidR="00A41E82">
        <w:t>’</w:t>
      </w:r>
      <w:r>
        <w:t xml:space="preserve"> eligibility as a DGR no longer depends on being on that register.</w:t>
      </w:r>
    </w:p>
    <w:p w14:paraId="0D872691" w14:textId="1796E3B3" w:rsidR="007611D2" w:rsidRDefault="007611D2" w:rsidP="007611D2">
      <w:pPr>
        <w:pStyle w:val="Normalparatextwithnumbers"/>
      </w:pPr>
      <w:r>
        <w:t xml:space="preserve">Statistical information about gifts made during an income year </w:t>
      </w:r>
      <w:r w:rsidR="009046A9">
        <w:t>no longer need to</w:t>
      </w:r>
      <w:r>
        <w:t xml:space="preserve"> be provided to the </w:t>
      </w:r>
      <w:r w:rsidR="00223DFD">
        <w:t>Arts Secretary</w:t>
      </w:r>
      <w:r>
        <w:t xml:space="preserve">. </w:t>
      </w:r>
      <w:r w:rsidR="00AB5ED4">
        <w:t>The ACNC and ATO receive the necessary information via other mechanisms like the entity’s charity registration. T</w:t>
      </w:r>
      <w:r>
        <w:t xml:space="preserve">he </w:t>
      </w:r>
      <w:r w:rsidR="00223DFD">
        <w:t>Arts</w:t>
      </w:r>
      <w:r>
        <w:t xml:space="preserve"> Secretary will no longer have need for this information as they will no longer be responsible for maintaining a register of harm prevention organisations. </w:t>
      </w:r>
    </w:p>
    <w:p w14:paraId="677703E8" w14:textId="02CA47BE" w:rsidR="00792F75" w:rsidRPr="006F45CB" w:rsidRDefault="00222A7F" w:rsidP="006F45CB">
      <w:pPr>
        <w:pStyle w:val="Normalparatextwithnumbers"/>
        <w:numPr>
          <w:ilvl w:val="0"/>
          <w:numId w:val="0"/>
        </w:numPr>
        <w:ind w:left="709"/>
        <w:rPr>
          <w:rStyle w:val="References"/>
        </w:rPr>
      </w:pPr>
      <w:r w:rsidRPr="00222A7F">
        <w:rPr>
          <w:rStyle w:val="References"/>
        </w:rPr>
        <w:t xml:space="preserve">[Schedule 1, item </w:t>
      </w:r>
      <w:r w:rsidR="00A20F21">
        <w:rPr>
          <w:rStyle w:val="References"/>
        </w:rPr>
        <w:t>13</w:t>
      </w:r>
      <w:r w:rsidRPr="00222A7F">
        <w:rPr>
          <w:rStyle w:val="References"/>
        </w:rPr>
        <w:t>, subdivision 30-</w:t>
      </w:r>
      <w:r w:rsidR="00A20F21">
        <w:rPr>
          <w:rStyle w:val="References"/>
        </w:rPr>
        <w:t>F</w:t>
      </w:r>
      <w:r w:rsidRPr="00222A7F">
        <w:rPr>
          <w:rStyle w:val="References"/>
        </w:rPr>
        <w:t xml:space="preserve"> of the ITAA 1997]</w:t>
      </w:r>
    </w:p>
    <w:p w14:paraId="5C66A5F3" w14:textId="4DA27D3F" w:rsidR="004C0061" w:rsidRDefault="004C0061" w:rsidP="004C0061">
      <w:pPr>
        <w:pStyle w:val="Heading3"/>
        <w:rPr>
          <w:rFonts w:hint="eastAsia"/>
        </w:rPr>
      </w:pPr>
      <w:bookmarkStart w:id="53" w:name="_Toc121323546"/>
      <w:r>
        <w:t>Overseas Aid</w:t>
      </w:r>
      <w:bookmarkEnd w:id="53"/>
    </w:p>
    <w:p w14:paraId="242000B1" w14:textId="397B3604" w:rsidR="00C12896" w:rsidRDefault="00013D56" w:rsidP="00FB377D">
      <w:pPr>
        <w:pStyle w:val="Normalparatextwithnumbers"/>
      </w:pPr>
      <w:r>
        <w:t xml:space="preserve">The </w:t>
      </w:r>
      <w:r w:rsidR="00D933CF">
        <w:t>DGR scheme relating to overseas aid</w:t>
      </w:r>
      <w:r w:rsidR="00643EDA">
        <w:t xml:space="preserve"> gift funds</w:t>
      </w:r>
      <w:r>
        <w:t xml:space="preserve"> has the most significant changes from the previous legislative scheme. The previous criteria </w:t>
      </w:r>
      <w:r w:rsidR="00BE3B0F">
        <w:t>for overseas aid organisations seeking DGR endorsement were</w:t>
      </w:r>
      <w:r>
        <w:t xml:space="preserve"> predominantly </w:t>
      </w:r>
      <w:r w:rsidR="00BE3B0F">
        <w:lastRenderedPageBreak/>
        <w:t xml:space="preserve">contained in </w:t>
      </w:r>
      <w:r>
        <w:t xml:space="preserve">guidance material published by the Department of Foreign Affairs and Trade. </w:t>
      </w:r>
      <w:r w:rsidR="00C12896">
        <w:t>The criteria from that guidance that have been preserved, based on those that can be assessed by the ATO, are contained in primary law in this Bill</w:t>
      </w:r>
      <w:r w:rsidR="00FE3DF8">
        <w:t>.</w:t>
      </w:r>
    </w:p>
    <w:p w14:paraId="72D50A45" w14:textId="4888FE46" w:rsidR="00013D56" w:rsidRPr="00013D56" w:rsidRDefault="00013D56" w:rsidP="00013D56">
      <w:pPr>
        <w:pStyle w:val="Normalparatextwithnumbers"/>
      </w:pPr>
      <w:r w:rsidRPr="00013D56">
        <w:t xml:space="preserve">Overseas aid organisations eligible for endorsement as DGRs must have a principal purpose of delivering development or humanitarian assistance activities (or both) in developing </w:t>
      </w:r>
      <w:proofErr w:type="gramStart"/>
      <w:r w:rsidRPr="00013D56">
        <w:t>countries, and</w:t>
      </w:r>
      <w:proofErr w:type="gramEnd"/>
      <w:r w:rsidRPr="00013D56">
        <w:t xml:space="preserve"> must deliver those activities in partnership with organisations in the country, based on principles of cooperation, mutual respect and shared accountability.</w:t>
      </w:r>
      <w:r w:rsidR="006165F8">
        <w:t xml:space="preserve"> These requirements are </w:t>
      </w:r>
      <w:r w:rsidR="00FD3710">
        <w:t>analogous</w:t>
      </w:r>
      <w:r w:rsidR="006165F8">
        <w:t xml:space="preserve"> to </w:t>
      </w:r>
      <w:r w:rsidR="00FD3710">
        <w:t xml:space="preserve">aspects of the criterion that DFAT currently uses to assess overseas aid </w:t>
      </w:r>
      <w:proofErr w:type="gramStart"/>
      <w:r w:rsidR="00FD3710">
        <w:t>organisations, but</w:t>
      </w:r>
      <w:proofErr w:type="gramEnd"/>
      <w:r w:rsidR="00FD3710">
        <w:t xml:space="preserve"> expressed in the language of principal purpose.</w:t>
      </w:r>
      <w:r w:rsidR="006165F8">
        <w:t xml:space="preserve"> </w:t>
      </w:r>
    </w:p>
    <w:p w14:paraId="43F5FA67" w14:textId="32E6F42F" w:rsidR="00A270AA" w:rsidRDefault="00A270AA" w:rsidP="00A270AA">
      <w:pPr>
        <w:pStyle w:val="Normalparatextwithnumbers"/>
      </w:pPr>
      <w:r>
        <w:t>Eligible overseas aid organisations must be</w:t>
      </w:r>
      <w:r w:rsidRPr="00D76E2C">
        <w:t xml:space="preserve"> a registered charity or a</w:t>
      </w:r>
      <w:r w:rsidR="00326A60">
        <w:t>n</w:t>
      </w:r>
      <w:r w:rsidRPr="00D76E2C">
        <w:t xml:space="preserve"> </w:t>
      </w:r>
      <w:r>
        <w:t>Australian Government Agency.</w:t>
      </w:r>
    </w:p>
    <w:p w14:paraId="7D55FCA4" w14:textId="3E9C449C" w:rsidR="008C1253" w:rsidRPr="006F45CB" w:rsidRDefault="008C1253" w:rsidP="006F45CB">
      <w:pPr>
        <w:pStyle w:val="Normalparatextwithnumbers"/>
        <w:numPr>
          <w:ilvl w:val="0"/>
          <w:numId w:val="0"/>
        </w:numPr>
        <w:ind w:left="709"/>
        <w:rPr>
          <w:rStyle w:val="References"/>
        </w:rPr>
      </w:pPr>
      <w:r w:rsidRPr="008C1253">
        <w:rPr>
          <w:rStyle w:val="References"/>
        </w:rPr>
        <w:t>[Schedule 1, item 17, subsection 30-80(1) (table item 9.1.1) of the ITAA 1997]</w:t>
      </w:r>
    </w:p>
    <w:p w14:paraId="3EA7AF3E" w14:textId="645F131E" w:rsidR="00F861A6" w:rsidRDefault="00EA555D" w:rsidP="00013D56">
      <w:pPr>
        <w:pStyle w:val="Normalparatextwithnumbers"/>
      </w:pPr>
      <w:r>
        <w:t xml:space="preserve">The meaning of developing country </w:t>
      </w:r>
      <w:r w:rsidR="00F861A6">
        <w:t>for the principal purpose test will mean inclusion in the list of official development assistance recipients published from time to time by the Organisation for Economic Co-operation and Development’s Development Assistance Committee</w:t>
      </w:r>
      <w:r w:rsidR="000D619C">
        <w:t xml:space="preserve">, or as declared by the Foreign </w:t>
      </w:r>
      <w:r w:rsidR="002138F0">
        <w:t xml:space="preserve">Affairs </w:t>
      </w:r>
      <w:r w:rsidR="000D619C">
        <w:t>Minister</w:t>
      </w:r>
    </w:p>
    <w:p w14:paraId="3395E1D8" w14:textId="6CC35425" w:rsidR="008C1253" w:rsidRPr="006F45CB" w:rsidRDefault="008C1253" w:rsidP="006F45CB">
      <w:pPr>
        <w:pStyle w:val="Normalparatextwithnumbers"/>
        <w:numPr>
          <w:ilvl w:val="0"/>
          <w:numId w:val="0"/>
        </w:numPr>
        <w:ind w:left="709"/>
        <w:rPr>
          <w:rStyle w:val="References"/>
        </w:rPr>
      </w:pPr>
      <w:r w:rsidRPr="006F45CB">
        <w:rPr>
          <w:rStyle w:val="References"/>
        </w:rPr>
        <w:t>[Schedule 1, item 1</w:t>
      </w:r>
      <w:r>
        <w:rPr>
          <w:rStyle w:val="References"/>
        </w:rPr>
        <w:t>8</w:t>
      </w:r>
      <w:r w:rsidRPr="006F45CB">
        <w:rPr>
          <w:rStyle w:val="References"/>
        </w:rPr>
        <w:t>, subsection 30-8</w:t>
      </w:r>
      <w:r>
        <w:rPr>
          <w:rStyle w:val="References"/>
        </w:rPr>
        <w:t>5</w:t>
      </w:r>
      <w:r w:rsidRPr="006F45CB">
        <w:rPr>
          <w:rStyle w:val="References"/>
        </w:rPr>
        <w:t xml:space="preserve"> of the ITAA 1997]</w:t>
      </w:r>
    </w:p>
    <w:p w14:paraId="6DABB692" w14:textId="5949A18B" w:rsidR="00013D56" w:rsidRDefault="00EA555D" w:rsidP="00013D56">
      <w:pPr>
        <w:pStyle w:val="Normalparatextwithnumbers"/>
      </w:pPr>
      <w:r>
        <w:t>Minister</w:t>
      </w:r>
      <w:r w:rsidR="001E60BF">
        <w:t>s</w:t>
      </w:r>
      <w:r>
        <w:t xml:space="preserve"> will no longer, by legislative instrument, declare government entities to be developing country relief funds. </w:t>
      </w:r>
      <w:r w:rsidR="00F861A6">
        <w:t>However,</w:t>
      </w:r>
      <w:r>
        <w:t xml:space="preserve"> the </w:t>
      </w:r>
      <w:r w:rsidR="001E60BF">
        <w:t xml:space="preserve">Foreign </w:t>
      </w:r>
      <w:r w:rsidR="00B60A25">
        <w:t xml:space="preserve">Affairs </w:t>
      </w:r>
      <w:r>
        <w:t xml:space="preserve">Minister will, by legislative instrument, </w:t>
      </w:r>
      <w:r w:rsidR="000D619C">
        <w:t xml:space="preserve">continue to </w:t>
      </w:r>
      <w:r w:rsidR="00F861A6">
        <w:t xml:space="preserve">have the power to declare a country to be a developing country. </w:t>
      </w:r>
    </w:p>
    <w:p w14:paraId="2267CDA7" w14:textId="09B2F67E" w:rsidR="00E07E91" w:rsidRDefault="00E07E91" w:rsidP="00E07E91">
      <w:pPr>
        <w:pStyle w:val="Normalparatextwithnumbers"/>
        <w:numPr>
          <w:ilvl w:val="0"/>
          <w:numId w:val="0"/>
        </w:numPr>
        <w:ind w:left="709"/>
        <w:rPr>
          <w:rStyle w:val="References"/>
        </w:rPr>
      </w:pPr>
      <w:r w:rsidRPr="00E07E91">
        <w:rPr>
          <w:rStyle w:val="References"/>
        </w:rPr>
        <w:t>[Schedule 1, item 1</w:t>
      </w:r>
      <w:r w:rsidR="000A556D">
        <w:rPr>
          <w:rStyle w:val="References"/>
        </w:rPr>
        <w:t>9</w:t>
      </w:r>
      <w:r w:rsidRPr="00E07E91">
        <w:rPr>
          <w:rStyle w:val="References"/>
        </w:rPr>
        <w:t xml:space="preserve">, subsection </w:t>
      </w:r>
      <w:r w:rsidR="000A556D">
        <w:rPr>
          <w:rStyle w:val="References"/>
        </w:rPr>
        <w:t>2</w:t>
      </w:r>
      <w:r w:rsidRPr="00E07E91">
        <w:rPr>
          <w:rStyle w:val="References"/>
        </w:rPr>
        <w:t>0</w:t>
      </w:r>
      <w:r w:rsidR="000A556D">
        <w:rPr>
          <w:rStyle w:val="References"/>
        </w:rPr>
        <w:t>7</w:t>
      </w:r>
      <w:r w:rsidRPr="00E07E91">
        <w:rPr>
          <w:rStyle w:val="References"/>
        </w:rPr>
        <w:t>-</w:t>
      </w:r>
      <w:r w:rsidR="000A556D">
        <w:rPr>
          <w:rStyle w:val="References"/>
        </w:rPr>
        <w:t>115</w:t>
      </w:r>
      <w:r w:rsidR="00C84FF1">
        <w:rPr>
          <w:rStyle w:val="References"/>
        </w:rPr>
        <w:t>(5</w:t>
      </w:r>
      <w:r w:rsidRPr="00E07E91">
        <w:rPr>
          <w:rStyle w:val="References"/>
        </w:rPr>
        <w:t>) of the ITAA</w:t>
      </w:r>
      <w:r w:rsidR="001152BA">
        <w:rPr>
          <w:rStyle w:val="References"/>
        </w:rPr>
        <w:t> </w:t>
      </w:r>
      <w:r w:rsidRPr="00E07E91">
        <w:rPr>
          <w:rStyle w:val="References"/>
        </w:rPr>
        <w:t>1997]</w:t>
      </w:r>
    </w:p>
    <w:p w14:paraId="379E6FC8" w14:textId="7CA3FFE3" w:rsidR="00812916" w:rsidRPr="00812916" w:rsidRDefault="00812916" w:rsidP="00812916">
      <w:pPr>
        <w:pStyle w:val="Heading2"/>
        <w:rPr>
          <w:rFonts w:hint="eastAsia"/>
        </w:rPr>
      </w:pPr>
      <w:bookmarkStart w:id="54" w:name="_Toc121323547"/>
      <w:bookmarkStart w:id="55" w:name="_Toc78193246"/>
      <w:bookmarkStart w:id="56" w:name="_Toc78193403"/>
      <w:bookmarkStart w:id="57" w:name="_Toc78548476"/>
      <w:bookmarkStart w:id="58" w:name="_Toc78549747"/>
      <w:bookmarkStart w:id="59" w:name="_Toc78549791"/>
      <w:r w:rsidRPr="00812916">
        <w:t>Consequential amendments</w:t>
      </w:r>
    </w:p>
    <w:p w14:paraId="54332B1D" w14:textId="194EF6CA" w:rsidR="00812916" w:rsidRPr="00812916" w:rsidRDefault="00812916" w:rsidP="00812916">
      <w:pPr>
        <w:numPr>
          <w:ilvl w:val="1"/>
          <w:numId w:val="6"/>
        </w:numPr>
      </w:pPr>
      <w:r w:rsidRPr="00812916">
        <w:t xml:space="preserve">The </w:t>
      </w:r>
      <w:r w:rsidR="00AB2A0C">
        <w:t>Schedule</w:t>
      </w:r>
      <w:r w:rsidRPr="00812916">
        <w:t xml:space="preserve"> also makes a minor consequential amendment</w:t>
      </w:r>
      <w:r w:rsidR="00DC68A7">
        <w:t>s</w:t>
      </w:r>
      <w:r w:rsidRPr="00812916">
        <w:t xml:space="preserve"> to the </w:t>
      </w:r>
      <w:r w:rsidR="00AB2A0C">
        <w:t>ITAA</w:t>
      </w:r>
      <w:r w:rsidR="00625E5F">
        <w:t> </w:t>
      </w:r>
      <w:r w:rsidR="00AB2A0C">
        <w:t>1997</w:t>
      </w:r>
      <w:r w:rsidRPr="00812916">
        <w:t xml:space="preserve">. </w:t>
      </w:r>
      <w:r w:rsidR="00625E5F">
        <w:t>The amendments</w:t>
      </w:r>
      <w:r w:rsidRPr="00812916">
        <w:t xml:space="preserve"> </w:t>
      </w:r>
      <w:r w:rsidR="00625E5F">
        <w:t>remove guidance sections that are no longer required</w:t>
      </w:r>
      <w:r w:rsidRPr="00812916">
        <w:t xml:space="preserve">. </w:t>
      </w:r>
      <w:r w:rsidR="00BC37DD">
        <w:t xml:space="preserve">These amendments also repeal definitions </w:t>
      </w:r>
      <w:r w:rsidR="00DA1733">
        <w:t>that are no longer required.</w:t>
      </w:r>
      <w:r w:rsidRPr="00812916">
        <w:t xml:space="preserve"> </w:t>
      </w:r>
      <w:r w:rsidRPr="00812916">
        <w:br/>
      </w:r>
      <w:r w:rsidRPr="00812916">
        <w:rPr>
          <w:b/>
          <w:bCs/>
          <w:i/>
          <w:iCs/>
        </w:rPr>
        <w:t>[Schedule 1, item</w:t>
      </w:r>
      <w:r w:rsidR="00DA1733">
        <w:rPr>
          <w:b/>
          <w:bCs/>
          <w:i/>
          <w:iCs/>
        </w:rPr>
        <w:t>s</w:t>
      </w:r>
      <w:r w:rsidRPr="00812916">
        <w:rPr>
          <w:b/>
          <w:bCs/>
          <w:i/>
          <w:iCs/>
        </w:rPr>
        <w:t xml:space="preserve"> </w:t>
      </w:r>
      <w:r w:rsidR="00DA1733">
        <w:rPr>
          <w:b/>
          <w:bCs/>
          <w:i/>
          <w:iCs/>
        </w:rPr>
        <w:t>5</w:t>
      </w:r>
      <w:r w:rsidRPr="00812916">
        <w:rPr>
          <w:b/>
          <w:bCs/>
          <w:i/>
          <w:iCs/>
        </w:rPr>
        <w:t>,</w:t>
      </w:r>
      <w:r w:rsidR="00DA1733">
        <w:rPr>
          <w:b/>
          <w:bCs/>
          <w:i/>
          <w:iCs/>
        </w:rPr>
        <w:t xml:space="preserve"> 6, 10, 14, 15 and 21 </w:t>
      </w:r>
      <w:r w:rsidRPr="00812916">
        <w:rPr>
          <w:b/>
          <w:bCs/>
          <w:i/>
          <w:iCs/>
        </w:rPr>
        <w:t xml:space="preserve">of </w:t>
      </w:r>
      <w:r w:rsidR="00DA1733">
        <w:rPr>
          <w:b/>
          <w:bCs/>
          <w:i/>
          <w:iCs/>
        </w:rPr>
        <w:t>the I</w:t>
      </w:r>
      <w:r w:rsidRPr="00812916">
        <w:rPr>
          <w:b/>
          <w:bCs/>
          <w:i/>
          <w:iCs/>
        </w:rPr>
        <w:t>TAA 19</w:t>
      </w:r>
      <w:r w:rsidR="00DA1733">
        <w:rPr>
          <w:b/>
          <w:bCs/>
          <w:i/>
          <w:iCs/>
        </w:rPr>
        <w:t>97</w:t>
      </w:r>
      <w:r w:rsidRPr="00812916">
        <w:rPr>
          <w:b/>
          <w:bCs/>
          <w:i/>
          <w:iCs/>
        </w:rPr>
        <w:t xml:space="preserve">] </w:t>
      </w:r>
    </w:p>
    <w:p w14:paraId="04B533F9" w14:textId="791CD111" w:rsidR="00873094" w:rsidRPr="00020288" w:rsidRDefault="00AB2A0C" w:rsidP="00AF50CE">
      <w:pPr>
        <w:pStyle w:val="Heading2"/>
        <w:rPr>
          <w:rFonts w:hint="eastAsia"/>
        </w:rPr>
      </w:pPr>
      <w:r>
        <w:t>Com</w:t>
      </w:r>
      <w:r w:rsidR="00873094" w:rsidRPr="00020288">
        <w:t xml:space="preserve">mencement, </w:t>
      </w:r>
      <w:r w:rsidR="00873094" w:rsidRPr="00AF50CE">
        <w:t>application</w:t>
      </w:r>
      <w:r w:rsidR="00873094" w:rsidRPr="00020288">
        <w:t>, and transitional provisions</w:t>
      </w:r>
      <w:bookmarkEnd w:id="54"/>
    </w:p>
    <w:p w14:paraId="485B6940" w14:textId="23B36851" w:rsidR="00AB4F82" w:rsidRDefault="00994B86">
      <w:pPr>
        <w:pStyle w:val="Normalparatextwithnumbers"/>
      </w:pPr>
      <w:r w:rsidRPr="00994B86">
        <w:t xml:space="preserve">The amendments </w:t>
      </w:r>
      <w:r w:rsidR="002A052D">
        <w:t>will</w:t>
      </w:r>
      <w:r w:rsidRPr="00994B86">
        <w:t xml:space="preserve"> commence on the first 1 January, 1 April, 1 </w:t>
      </w:r>
      <w:proofErr w:type="gramStart"/>
      <w:r w:rsidRPr="00994B86">
        <w:t>July</w:t>
      </w:r>
      <w:proofErr w:type="gramEnd"/>
      <w:r w:rsidRPr="00994B86">
        <w:t xml:space="preserve"> or 1 October after the date of Royal Assent (as per general tax measures).</w:t>
      </w:r>
      <w:bookmarkStart w:id="60" w:name="_Hlk83390738"/>
      <w:bookmarkEnd w:id="42"/>
      <w:r w:rsidR="009F20C5">
        <w:t xml:space="preserve"> The measures will apply</w:t>
      </w:r>
      <w:r w:rsidR="00E11E52">
        <w:t xml:space="preserve"> six</w:t>
      </w:r>
      <w:r w:rsidR="009F20C5">
        <w:t xml:space="preserve"> months after registration to facilitate </w:t>
      </w:r>
      <w:r w:rsidR="00B90EF0">
        <w:t xml:space="preserve">the machinery of government changes necessary </w:t>
      </w:r>
      <w:r w:rsidR="00272668">
        <w:t xml:space="preserve">to administer the changes. </w:t>
      </w:r>
    </w:p>
    <w:p w14:paraId="53F4362E" w14:textId="15921A6C" w:rsidR="009C305B" w:rsidRDefault="009C305B" w:rsidP="009C305B">
      <w:pPr>
        <w:pStyle w:val="Normalparatextwithnumbers"/>
      </w:pPr>
      <w:r>
        <w:lastRenderedPageBreak/>
        <w:t xml:space="preserve">Transitional provisions will apply to ensure that the ATO can assess applications currently under consideration for entry onto a register for endorsement as a DGR. </w:t>
      </w:r>
      <w:r w:rsidR="00E22CD5">
        <w:t xml:space="preserve">Current DGRs will continue to be </w:t>
      </w:r>
      <w:r w:rsidR="0059343E">
        <w:t>endorsed</w:t>
      </w:r>
      <w:r w:rsidR="00E22CD5">
        <w:t xml:space="preserve"> </w:t>
      </w:r>
      <w:r w:rsidR="0067015D">
        <w:t>so long as they meet the existing eligibility criteria</w:t>
      </w:r>
      <w:r w:rsidR="0059343E">
        <w:t xml:space="preserve">. </w:t>
      </w:r>
    </w:p>
    <w:p w14:paraId="566065F0" w14:textId="28B17741" w:rsidR="00AD63F6" w:rsidRPr="006F45CB" w:rsidRDefault="00D14862" w:rsidP="006F45CB">
      <w:pPr>
        <w:pStyle w:val="Normalparatextwithnumbers"/>
        <w:numPr>
          <w:ilvl w:val="0"/>
          <w:numId w:val="0"/>
        </w:numPr>
        <w:ind w:left="709"/>
        <w:rPr>
          <w:rStyle w:val="References"/>
        </w:rPr>
      </w:pPr>
      <w:r w:rsidRPr="00D14862">
        <w:rPr>
          <w:rStyle w:val="References"/>
        </w:rPr>
        <w:t xml:space="preserve">[Schedule 1, item </w:t>
      </w:r>
      <w:r>
        <w:rPr>
          <w:rStyle w:val="References"/>
        </w:rPr>
        <w:t>7</w:t>
      </w:r>
      <w:r w:rsidRPr="00D14862">
        <w:rPr>
          <w:rStyle w:val="References"/>
        </w:rPr>
        <w:t>,</w:t>
      </w:r>
      <w:r w:rsidR="009358DB">
        <w:rPr>
          <w:rStyle w:val="References"/>
        </w:rPr>
        <w:t xml:space="preserve"> 11, 16 and </w:t>
      </w:r>
      <w:r w:rsidR="00F028E0">
        <w:rPr>
          <w:rStyle w:val="References"/>
        </w:rPr>
        <w:t>20</w:t>
      </w:r>
      <w:r w:rsidRPr="00D14862">
        <w:rPr>
          <w:rStyle w:val="References"/>
        </w:rPr>
        <w:t>]</w:t>
      </w:r>
    </w:p>
    <w:p w14:paraId="6ABEC783" w14:textId="62D8AB2F" w:rsidR="009C305B" w:rsidRDefault="009C305B" w:rsidP="009C305B">
      <w:pPr>
        <w:pStyle w:val="Normalparatextwithnumbers"/>
      </w:pPr>
      <w:r>
        <w:t xml:space="preserve">Environmental organisations who are DGRs are required to include provisions in their constitution requiring that, if the organisation or its public fund is wound up, funds will be distributed to another environmental organisation on the register of environmental organisations. These provisions will not be administrable, as the register will cease to exist as a result of this legislation. Transitional provisions provide that, if the public fund is wound up, funds may be transferred to another DGR. </w:t>
      </w:r>
    </w:p>
    <w:p w14:paraId="24AE97BF" w14:textId="22AAC4D0" w:rsidR="00785210" w:rsidRPr="006F45CB" w:rsidRDefault="00785210" w:rsidP="006F45CB">
      <w:pPr>
        <w:pStyle w:val="Normalparatextwithnumbers"/>
        <w:numPr>
          <w:ilvl w:val="0"/>
          <w:numId w:val="0"/>
        </w:numPr>
        <w:ind w:left="709"/>
        <w:rPr>
          <w:rStyle w:val="References"/>
        </w:rPr>
      </w:pPr>
      <w:r w:rsidRPr="006F45CB">
        <w:rPr>
          <w:rStyle w:val="References"/>
        </w:rPr>
        <w:t>[Schedule 1, item 7]</w:t>
      </w:r>
    </w:p>
    <w:bookmarkEnd w:id="5"/>
    <w:bookmarkEnd w:id="55"/>
    <w:bookmarkEnd w:id="56"/>
    <w:bookmarkEnd w:id="57"/>
    <w:bookmarkEnd w:id="58"/>
    <w:bookmarkEnd w:id="59"/>
    <w:bookmarkEnd w:id="60"/>
    <w:p w14:paraId="31080621" w14:textId="1933EF8E" w:rsidR="009C305B" w:rsidRDefault="009C305B" w:rsidP="006F45CB">
      <w:pPr>
        <w:pStyle w:val="Normalparatextwithnumbers"/>
        <w:keepNext/>
        <w:keepLines/>
      </w:pPr>
      <w:r>
        <w:t xml:space="preserve">Harm prevention charities who are DGRs are required to include provisions in their constitution requiring that, if the organisation or its public fund is wound up, funds will be distributed to another harm prevention charity on the register of harm prevention charities. These provisions will not be administrable, as the register will cease to exist as a result of this legislation. Transitional provisions provide that, if the public fund is wound up, funds may be transferred to another DGR. </w:t>
      </w:r>
    </w:p>
    <w:p w14:paraId="06D272EF" w14:textId="375E9C8A" w:rsidR="00FF481A" w:rsidRPr="006F45CB" w:rsidRDefault="00FF481A" w:rsidP="006F45CB">
      <w:pPr>
        <w:pStyle w:val="Normalparatextwithnumbers"/>
        <w:numPr>
          <w:ilvl w:val="0"/>
          <w:numId w:val="0"/>
        </w:numPr>
        <w:ind w:left="709"/>
        <w:rPr>
          <w:rStyle w:val="References"/>
        </w:rPr>
      </w:pPr>
      <w:bookmarkStart w:id="61" w:name="_Hlk121493069"/>
      <w:r w:rsidRPr="00FF481A">
        <w:rPr>
          <w:rStyle w:val="References"/>
        </w:rPr>
        <w:t xml:space="preserve">[Schedule 1, item </w:t>
      </w:r>
      <w:r>
        <w:rPr>
          <w:rStyle w:val="References"/>
        </w:rPr>
        <w:t>11</w:t>
      </w:r>
      <w:r w:rsidRPr="00FF481A">
        <w:rPr>
          <w:rStyle w:val="References"/>
        </w:rPr>
        <w:t>]</w:t>
      </w:r>
    </w:p>
    <w:bookmarkEnd w:id="61"/>
    <w:p w14:paraId="72D26C82" w14:textId="51A24559" w:rsidR="007F7A6F" w:rsidRDefault="009C305B" w:rsidP="006F45CB">
      <w:pPr>
        <w:pStyle w:val="Normalparatextwithnumbers"/>
        <w:keepNext/>
        <w:keepLines/>
      </w:pPr>
      <w:r>
        <w:t>Countries currently specified to be a developing country under a declaration by the Foreign</w:t>
      </w:r>
      <w:r w:rsidR="002138F0">
        <w:t xml:space="preserve"> Affairs</w:t>
      </w:r>
      <w:r>
        <w:t xml:space="preserve"> Minister will be treated as developing countries until the Foreign </w:t>
      </w:r>
      <w:r w:rsidR="002138F0">
        <w:t xml:space="preserve">Affairs </w:t>
      </w:r>
      <w:r>
        <w:t xml:space="preserve">Minister makes a new legislative instrument declaring countries to be a developing country. </w:t>
      </w:r>
    </w:p>
    <w:p w14:paraId="287F14C4" w14:textId="791D62E7" w:rsidR="00D43375" w:rsidRPr="006F45CB" w:rsidRDefault="00D43375" w:rsidP="006F45CB">
      <w:pPr>
        <w:pStyle w:val="Normalparatextwithnumbers"/>
        <w:keepNext/>
        <w:keepLines/>
        <w:numPr>
          <w:ilvl w:val="0"/>
          <w:numId w:val="0"/>
        </w:numPr>
        <w:ind w:left="709"/>
        <w:rPr>
          <w:rStyle w:val="References"/>
        </w:rPr>
      </w:pPr>
      <w:r w:rsidRPr="00D43375">
        <w:rPr>
          <w:rStyle w:val="References"/>
        </w:rPr>
        <w:t xml:space="preserve">[Schedule 1, item </w:t>
      </w:r>
      <w:r w:rsidR="00B71506">
        <w:rPr>
          <w:rStyle w:val="References"/>
        </w:rPr>
        <w:t>20</w:t>
      </w:r>
      <w:r w:rsidRPr="00D43375">
        <w:rPr>
          <w:rStyle w:val="References"/>
        </w:rPr>
        <w:t>]</w:t>
      </w:r>
    </w:p>
    <w:sectPr w:rsidR="00D43375" w:rsidRPr="006F45CB" w:rsidSect="00000BFC">
      <w:headerReference w:type="first" r:id="rId23"/>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E533B" w14:textId="77777777" w:rsidR="007E3BE6" w:rsidRDefault="007E3BE6">
      <w:pPr>
        <w:spacing w:before="0" w:after="0"/>
      </w:pPr>
      <w:r>
        <w:separator/>
      </w:r>
    </w:p>
  </w:endnote>
  <w:endnote w:type="continuationSeparator" w:id="0">
    <w:p w14:paraId="19C53301" w14:textId="77777777" w:rsidR="007E3BE6" w:rsidRDefault="007E3BE6">
      <w:pPr>
        <w:spacing w:before="0" w:after="0"/>
      </w:pPr>
      <w:r>
        <w:continuationSeparator/>
      </w:r>
    </w:p>
  </w:endnote>
  <w:endnote w:type="continuationNotice" w:id="1">
    <w:p w14:paraId="38E86E7E" w14:textId="77777777" w:rsidR="007E3BE6" w:rsidRDefault="007E3B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E4F8"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D81A"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3A4E" w14:textId="77777777" w:rsidR="007A2DBD" w:rsidRPr="00091474" w:rsidRDefault="007A2DBD" w:rsidP="00A13E81">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BE681" w14:textId="77777777" w:rsidR="007E3BE6" w:rsidRDefault="007E3BE6">
      <w:pPr>
        <w:spacing w:before="0" w:after="0"/>
      </w:pPr>
      <w:r>
        <w:separator/>
      </w:r>
    </w:p>
  </w:footnote>
  <w:footnote w:type="continuationSeparator" w:id="0">
    <w:p w14:paraId="070E9B9C" w14:textId="77777777" w:rsidR="007E3BE6" w:rsidRDefault="007E3BE6">
      <w:pPr>
        <w:spacing w:before="0" w:after="0"/>
      </w:pPr>
      <w:r>
        <w:continuationSeparator/>
      </w:r>
    </w:p>
  </w:footnote>
  <w:footnote w:type="continuationNotice" w:id="1">
    <w:p w14:paraId="49997FA6" w14:textId="77777777" w:rsidR="007E3BE6" w:rsidRDefault="007E3BE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0096" w14:textId="77777777" w:rsidR="007A2DBD" w:rsidRDefault="00000000">
    <w:pPr>
      <w:pStyle w:val="Header"/>
    </w:pPr>
    <w:r>
      <w:rPr>
        <w:noProof/>
      </w:rPr>
      <w:pict w14:anchorId="3669C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2E8E"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E4DF" w14:textId="77777777"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DE3BB2">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C404E"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9CF3" w14:textId="24830DE4" w:rsidR="007A2DBD" w:rsidRPr="00A13E81" w:rsidRDefault="00000000" w:rsidP="00A13E81">
    <w:pPr>
      <w:pStyle w:val="leftheader"/>
    </w:pPr>
    <w:fldSimple w:instr="STYLEREF &quot;Chapter heading&quot; \* MERGEFORMAT">
      <w:r w:rsidR="006E6DD7">
        <w:rPr>
          <w:noProof/>
        </w:rPr>
        <w:t>Changes to administration of Deductible Gift Recipient status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E410" w14:textId="1B19CCA9" w:rsidR="007A2DBD" w:rsidRPr="00A13E81" w:rsidRDefault="00000000" w:rsidP="00A13E81">
    <w:pPr>
      <w:pStyle w:val="rightheader"/>
    </w:pPr>
    <w:fldSimple w:instr="STYLEREF &quot;Bill Name&quot; \* MERGEFORMAT">
      <w:r w:rsidR="006E6DD7">
        <w:rPr>
          <w:noProof/>
        </w:rPr>
        <w:t>Treasury Laws Amendment (Measures for Consultation) Bill 2023: Deductible Gift Recipient Registers Reform</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E6B5"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92D6" w14:textId="77777777" w:rsidR="00A13E81" w:rsidRDefault="00A13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9A845290"/>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6"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8"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CB15B1"/>
    <w:multiLevelType w:val="multilevel"/>
    <w:tmpl w:val="F2D2F816"/>
    <w:name w:val="StandardBulletedList"/>
    <w:lvl w:ilvl="0">
      <w:start w:val="1"/>
      <w:numFmt w:val="bullet"/>
      <w:pStyle w:val="Bullet"/>
      <w:lvlText w:val="•"/>
      <w:lvlJc w:val="left"/>
      <w:pPr>
        <w:tabs>
          <w:tab w:val="num" w:pos="1040"/>
        </w:tabs>
        <w:ind w:left="1040" w:hanging="520"/>
      </w:pPr>
      <w:rPr>
        <w:rFonts w:ascii="Times New Roman" w:hAnsi="Times New Roman" w:cs="Times New Roman"/>
      </w:rPr>
    </w:lvl>
    <w:lvl w:ilvl="1">
      <w:start w:val="1"/>
      <w:numFmt w:val="bullet"/>
      <w:pStyle w:val="Dash"/>
      <w:lvlText w:val="–"/>
      <w:lvlJc w:val="left"/>
      <w:pPr>
        <w:tabs>
          <w:tab w:val="num" w:pos="1560"/>
        </w:tabs>
        <w:ind w:left="1560" w:hanging="520"/>
      </w:pPr>
      <w:rPr>
        <w:rFonts w:ascii="Times New Roman" w:hAnsi="Times New Roman" w:cs="Times New Roman"/>
      </w:rPr>
    </w:lvl>
    <w:lvl w:ilvl="2">
      <w:start w:val="1"/>
      <w:numFmt w:val="bullet"/>
      <w:pStyle w:val="DoubleDo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11"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934219">
    <w:abstractNumId w:val="0"/>
  </w:num>
  <w:num w:numId="2" w16cid:durableId="535702619">
    <w:abstractNumId w:val="11"/>
  </w:num>
  <w:num w:numId="3" w16cid:durableId="207561855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437680613">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204983844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1966429726">
    <w:abstractNumId w:val="3"/>
  </w:num>
  <w:num w:numId="7" w16cid:durableId="116185387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313560627">
    <w:abstractNumId w:val="4"/>
  </w:num>
  <w:num w:numId="9" w16cid:durableId="769930526">
    <w:abstractNumId w:val="13"/>
  </w:num>
  <w:num w:numId="10" w16cid:durableId="1782146871">
    <w:abstractNumId w:val="6"/>
  </w:num>
  <w:num w:numId="11" w16cid:durableId="537201858">
    <w:abstractNumId w:val="5"/>
  </w:num>
  <w:num w:numId="12" w16cid:durableId="2061008389">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574387406">
    <w:abstractNumId w:val="11"/>
  </w:num>
  <w:num w:numId="14" w16cid:durableId="1297831581">
    <w:abstractNumId w:val="8"/>
  </w:num>
  <w:num w:numId="15" w16cid:durableId="1181090434">
    <w:abstractNumId w:val="9"/>
  </w:num>
  <w:num w:numId="16" w16cid:durableId="124414865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242839951">
    <w:abstractNumId w:val="4"/>
  </w:num>
  <w:num w:numId="18" w16cid:durableId="212733818">
    <w:abstractNumId w:val="2"/>
  </w:num>
  <w:num w:numId="19" w16cid:durableId="2050378218">
    <w:abstractNumId w:val="7"/>
  </w:num>
  <w:num w:numId="20" w16cid:durableId="1461344915">
    <w:abstractNumId w:val="12"/>
  </w:num>
  <w:num w:numId="21" w16cid:durableId="169413341">
    <w:abstractNumId w:val="11"/>
  </w:num>
  <w:num w:numId="22" w16cid:durableId="1358582819">
    <w:abstractNumId w:val="1"/>
  </w:num>
  <w:num w:numId="23" w16cid:durableId="150566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80"/>
    <w:rsid w:val="00000BFC"/>
    <w:rsid w:val="000010AC"/>
    <w:rsid w:val="000025F4"/>
    <w:rsid w:val="0000665E"/>
    <w:rsid w:val="00013D56"/>
    <w:rsid w:val="00017B8A"/>
    <w:rsid w:val="000218BF"/>
    <w:rsid w:val="00021DAA"/>
    <w:rsid w:val="00022C1C"/>
    <w:rsid w:val="00023F11"/>
    <w:rsid w:val="000358E5"/>
    <w:rsid w:val="00040058"/>
    <w:rsid w:val="000452A5"/>
    <w:rsid w:val="00047FF2"/>
    <w:rsid w:val="00052622"/>
    <w:rsid w:val="000677BF"/>
    <w:rsid w:val="00071CB8"/>
    <w:rsid w:val="00075423"/>
    <w:rsid w:val="0007563A"/>
    <w:rsid w:val="00075B5C"/>
    <w:rsid w:val="00084432"/>
    <w:rsid w:val="0008650F"/>
    <w:rsid w:val="00087F47"/>
    <w:rsid w:val="00087FE9"/>
    <w:rsid w:val="00090A2C"/>
    <w:rsid w:val="00090C7D"/>
    <w:rsid w:val="00091A48"/>
    <w:rsid w:val="000A3230"/>
    <w:rsid w:val="000A556D"/>
    <w:rsid w:val="000A6717"/>
    <w:rsid w:val="000B262A"/>
    <w:rsid w:val="000B390B"/>
    <w:rsid w:val="000B3B63"/>
    <w:rsid w:val="000B6B3E"/>
    <w:rsid w:val="000B7D6E"/>
    <w:rsid w:val="000C0A34"/>
    <w:rsid w:val="000C28EA"/>
    <w:rsid w:val="000D4CC3"/>
    <w:rsid w:val="000D619C"/>
    <w:rsid w:val="000E0898"/>
    <w:rsid w:val="000E0D27"/>
    <w:rsid w:val="000E305F"/>
    <w:rsid w:val="000E4D39"/>
    <w:rsid w:val="000E521B"/>
    <w:rsid w:val="000E7A6A"/>
    <w:rsid w:val="000F4CC3"/>
    <w:rsid w:val="0010130D"/>
    <w:rsid w:val="00105E85"/>
    <w:rsid w:val="00106FDC"/>
    <w:rsid w:val="001152BA"/>
    <w:rsid w:val="001152E0"/>
    <w:rsid w:val="00115509"/>
    <w:rsid w:val="00115576"/>
    <w:rsid w:val="00121B03"/>
    <w:rsid w:val="001227A2"/>
    <w:rsid w:val="00123886"/>
    <w:rsid w:val="00130F18"/>
    <w:rsid w:val="0013420D"/>
    <w:rsid w:val="00136DA3"/>
    <w:rsid w:val="00141701"/>
    <w:rsid w:val="001428F6"/>
    <w:rsid w:val="00157FCF"/>
    <w:rsid w:val="00163457"/>
    <w:rsid w:val="0016365E"/>
    <w:rsid w:val="00170C78"/>
    <w:rsid w:val="001741A2"/>
    <w:rsid w:val="00177EDA"/>
    <w:rsid w:val="001914B2"/>
    <w:rsid w:val="00195D1C"/>
    <w:rsid w:val="00196777"/>
    <w:rsid w:val="00196A98"/>
    <w:rsid w:val="001A52ED"/>
    <w:rsid w:val="001B07FA"/>
    <w:rsid w:val="001B1306"/>
    <w:rsid w:val="001B1FAA"/>
    <w:rsid w:val="001B2EDB"/>
    <w:rsid w:val="001B4BD9"/>
    <w:rsid w:val="001C4D01"/>
    <w:rsid w:val="001C5CBF"/>
    <w:rsid w:val="001C5F2A"/>
    <w:rsid w:val="001C6108"/>
    <w:rsid w:val="001D077C"/>
    <w:rsid w:val="001E01BF"/>
    <w:rsid w:val="001E5E69"/>
    <w:rsid w:val="001E60BF"/>
    <w:rsid w:val="001F2192"/>
    <w:rsid w:val="001F3DAF"/>
    <w:rsid w:val="001F41EC"/>
    <w:rsid w:val="001F4922"/>
    <w:rsid w:val="001F71EC"/>
    <w:rsid w:val="00201783"/>
    <w:rsid w:val="0020346B"/>
    <w:rsid w:val="00206462"/>
    <w:rsid w:val="00207E4C"/>
    <w:rsid w:val="0021253D"/>
    <w:rsid w:val="002138F0"/>
    <w:rsid w:val="002205DF"/>
    <w:rsid w:val="00222A7F"/>
    <w:rsid w:val="00223DFD"/>
    <w:rsid w:val="00230601"/>
    <w:rsid w:val="00230C17"/>
    <w:rsid w:val="0023409D"/>
    <w:rsid w:val="0023493C"/>
    <w:rsid w:val="00235437"/>
    <w:rsid w:val="00235BFB"/>
    <w:rsid w:val="002425D9"/>
    <w:rsid w:val="00242B2A"/>
    <w:rsid w:val="00242D6B"/>
    <w:rsid w:val="00243803"/>
    <w:rsid w:val="00246315"/>
    <w:rsid w:val="0024784F"/>
    <w:rsid w:val="00247FFD"/>
    <w:rsid w:val="00250844"/>
    <w:rsid w:val="00256FDA"/>
    <w:rsid w:val="00260B8B"/>
    <w:rsid w:val="0026183C"/>
    <w:rsid w:val="00264616"/>
    <w:rsid w:val="00264C56"/>
    <w:rsid w:val="0026752A"/>
    <w:rsid w:val="002704BC"/>
    <w:rsid w:val="00272668"/>
    <w:rsid w:val="00274D5C"/>
    <w:rsid w:val="00276753"/>
    <w:rsid w:val="00280FA9"/>
    <w:rsid w:val="002817CA"/>
    <w:rsid w:val="00283C49"/>
    <w:rsid w:val="002872AB"/>
    <w:rsid w:val="002877B2"/>
    <w:rsid w:val="002935AC"/>
    <w:rsid w:val="00297081"/>
    <w:rsid w:val="002A052D"/>
    <w:rsid w:val="002A2137"/>
    <w:rsid w:val="002A2283"/>
    <w:rsid w:val="002A2822"/>
    <w:rsid w:val="002A52E5"/>
    <w:rsid w:val="002B0B67"/>
    <w:rsid w:val="002B13DC"/>
    <w:rsid w:val="002B1A71"/>
    <w:rsid w:val="002B1D9E"/>
    <w:rsid w:val="002B3597"/>
    <w:rsid w:val="002B4795"/>
    <w:rsid w:val="002B623C"/>
    <w:rsid w:val="002B6F60"/>
    <w:rsid w:val="002B7A9B"/>
    <w:rsid w:val="002C1D14"/>
    <w:rsid w:val="002C30C6"/>
    <w:rsid w:val="002C78D6"/>
    <w:rsid w:val="002D080A"/>
    <w:rsid w:val="002D66CB"/>
    <w:rsid w:val="002D6F95"/>
    <w:rsid w:val="002D7940"/>
    <w:rsid w:val="002E2C81"/>
    <w:rsid w:val="002F0323"/>
    <w:rsid w:val="002F101A"/>
    <w:rsid w:val="002F1CB0"/>
    <w:rsid w:val="002F1DC3"/>
    <w:rsid w:val="002F4B60"/>
    <w:rsid w:val="002F4EAF"/>
    <w:rsid w:val="002F5302"/>
    <w:rsid w:val="00302873"/>
    <w:rsid w:val="0030324A"/>
    <w:rsid w:val="00306920"/>
    <w:rsid w:val="00315D81"/>
    <w:rsid w:val="00317595"/>
    <w:rsid w:val="00326479"/>
    <w:rsid w:val="00326A60"/>
    <w:rsid w:val="00327D20"/>
    <w:rsid w:val="003321E8"/>
    <w:rsid w:val="00337BD9"/>
    <w:rsid w:val="003419ED"/>
    <w:rsid w:val="003510A8"/>
    <w:rsid w:val="00351274"/>
    <w:rsid w:val="00351D4D"/>
    <w:rsid w:val="0035339F"/>
    <w:rsid w:val="003556BF"/>
    <w:rsid w:val="00355B70"/>
    <w:rsid w:val="003617E4"/>
    <w:rsid w:val="00362460"/>
    <w:rsid w:val="00364D4E"/>
    <w:rsid w:val="00365994"/>
    <w:rsid w:val="0036790F"/>
    <w:rsid w:val="00371D77"/>
    <w:rsid w:val="00372243"/>
    <w:rsid w:val="003804E5"/>
    <w:rsid w:val="00380E02"/>
    <w:rsid w:val="003846B2"/>
    <w:rsid w:val="00384B9A"/>
    <w:rsid w:val="003852DC"/>
    <w:rsid w:val="00386EBD"/>
    <w:rsid w:val="003872EF"/>
    <w:rsid w:val="00387402"/>
    <w:rsid w:val="0039391C"/>
    <w:rsid w:val="003971ED"/>
    <w:rsid w:val="00397807"/>
    <w:rsid w:val="003A0372"/>
    <w:rsid w:val="003A0DD8"/>
    <w:rsid w:val="003B621F"/>
    <w:rsid w:val="003B77B7"/>
    <w:rsid w:val="003C210E"/>
    <w:rsid w:val="003D5B1B"/>
    <w:rsid w:val="003D69AD"/>
    <w:rsid w:val="003D75A0"/>
    <w:rsid w:val="003E6354"/>
    <w:rsid w:val="003E7443"/>
    <w:rsid w:val="003F1AD7"/>
    <w:rsid w:val="003F6970"/>
    <w:rsid w:val="00403B9B"/>
    <w:rsid w:val="004049BE"/>
    <w:rsid w:val="00410A8B"/>
    <w:rsid w:val="00414017"/>
    <w:rsid w:val="00416B3D"/>
    <w:rsid w:val="004222EC"/>
    <w:rsid w:val="004245A2"/>
    <w:rsid w:val="00427EDF"/>
    <w:rsid w:val="00430A32"/>
    <w:rsid w:val="0045032E"/>
    <w:rsid w:val="00454579"/>
    <w:rsid w:val="004603EF"/>
    <w:rsid w:val="00472690"/>
    <w:rsid w:val="0047443F"/>
    <w:rsid w:val="0047593B"/>
    <w:rsid w:val="00477C04"/>
    <w:rsid w:val="00485FD0"/>
    <w:rsid w:val="0048781B"/>
    <w:rsid w:val="00492729"/>
    <w:rsid w:val="00494E39"/>
    <w:rsid w:val="00495025"/>
    <w:rsid w:val="00496642"/>
    <w:rsid w:val="00496C21"/>
    <w:rsid w:val="004971E2"/>
    <w:rsid w:val="004A2179"/>
    <w:rsid w:val="004A601C"/>
    <w:rsid w:val="004A774C"/>
    <w:rsid w:val="004B1C70"/>
    <w:rsid w:val="004B1F33"/>
    <w:rsid w:val="004B5D17"/>
    <w:rsid w:val="004B7FAC"/>
    <w:rsid w:val="004C0061"/>
    <w:rsid w:val="004C0B45"/>
    <w:rsid w:val="004C383E"/>
    <w:rsid w:val="004D0151"/>
    <w:rsid w:val="004D28D1"/>
    <w:rsid w:val="004D6E54"/>
    <w:rsid w:val="004E1241"/>
    <w:rsid w:val="004E4E7B"/>
    <w:rsid w:val="004E5261"/>
    <w:rsid w:val="004F23C3"/>
    <w:rsid w:val="004F3400"/>
    <w:rsid w:val="004F7C15"/>
    <w:rsid w:val="00502C8D"/>
    <w:rsid w:val="00505347"/>
    <w:rsid w:val="005066F5"/>
    <w:rsid w:val="00506C32"/>
    <w:rsid w:val="0051147A"/>
    <w:rsid w:val="00517D6E"/>
    <w:rsid w:val="00525635"/>
    <w:rsid w:val="00531C67"/>
    <w:rsid w:val="0053361F"/>
    <w:rsid w:val="005356CB"/>
    <w:rsid w:val="00537445"/>
    <w:rsid w:val="005402CC"/>
    <w:rsid w:val="005461FA"/>
    <w:rsid w:val="00547815"/>
    <w:rsid w:val="005515C0"/>
    <w:rsid w:val="005530F2"/>
    <w:rsid w:val="00554120"/>
    <w:rsid w:val="005544D8"/>
    <w:rsid w:val="005608DE"/>
    <w:rsid w:val="0056675C"/>
    <w:rsid w:val="0057163B"/>
    <w:rsid w:val="0059200B"/>
    <w:rsid w:val="0059343E"/>
    <w:rsid w:val="005955A5"/>
    <w:rsid w:val="005A05BC"/>
    <w:rsid w:val="005A3AA3"/>
    <w:rsid w:val="005B024C"/>
    <w:rsid w:val="005B333D"/>
    <w:rsid w:val="005B614C"/>
    <w:rsid w:val="005C0497"/>
    <w:rsid w:val="005C0DD3"/>
    <w:rsid w:val="005C18A4"/>
    <w:rsid w:val="005C2BD1"/>
    <w:rsid w:val="005C488D"/>
    <w:rsid w:val="005D0844"/>
    <w:rsid w:val="005D169F"/>
    <w:rsid w:val="005D28E2"/>
    <w:rsid w:val="005D2FEE"/>
    <w:rsid w:val="005D3267"/>
    <w:rsid w:val="005D4377"/>
    <w:rsid w:val="005D5F12"/>
    <w:rsid w:val="005E1542"/>
    <w:rsid w:val="005E324B"/>
    <w:rsid w:val="006004D2"/>
    <w:rsid w:val="006031C8"/>
    <w:rsid w:val="006039E0"/>
    <w:rsid w:val="006042C2"/>
    <w:rsid w:val="00611CA4"/>
    <w:rsid w:val="006143DB"/>
    <w:rsid w:val="006147C2"/>
    <w:rsid w:val="006165F8"/>
    <w:rsid w:val="006221C8"/>
    <w:rsid w:val="00622505"/>
    <w:rsid w:val="00622763"/>
    <w:rsid w:val="006235C8"/>
    <w:rsid w:val="00624905"/>
    <w:rsid w:val="00625E5F"/>
    <w:rsid w:val="00630725"/>
    <w:rsid w:val="00637D32"/>
    <w:rsid w:val="00642420"/>
    <w:rsid w:val="006438BE"/>
    <w:rsid w:val="00643EDA"/>
    <w:rsid w:val="006479AC"/>
    <w:rsid w:val="00653317"/>
    <w:rsid w:val="00666080"/>
    <w:rsid w:val="00666636"/>
    <w:rsid w:val="0067015D"/>
    <w:rsid w:val="00670DD7"/>
    <w:rsid w:val="00683847"/>
    <w:rsid w:val="00685249"/>
    <w:rsid w:val="0068776A"/>
    <w:rsid w:val="00687B68"/>
    <w:rsid w:val="0069446A"/>
    <w:rsid w:val="00694793"/>
    <w:rsid w:val="006951B5"/>
    <w:rsid w:val="006A2BC6"/>
    <w:rsid w:val="006A6BAA"/>
    <w:rsid w:val="006B713A"/>
    <w:rsid w:val="006C192F"/>
    <w:rsid w:val="006C40A4"/>
    <w:rsid w:val="006C41CC"/>
    <w:rsid w:val="006C4A72"/>
    <w:rsid w:val="006C67F6"/>
    <w:rsid w:val="006C6FE1"/>
    <w:rsid w:val="006D2E74"/>
    <w:rsid w:val="006D53DD"/>
    <w:rsid w:val="006E0237"/>
    <w:rsid w:val="006E349A"/>
    <w:rsid w:val="006E5876"/>
    <w:rsid w:val="006E6705"/>
    <w:rsid w:val="006E699E"/>
    <w:rsid w:val="006E6DD7"/>
    <w:rsid w:val="006F0D0D"/>
    <w:rsid w:val="006F45CB"/>
    <w:rsid w:val="006F6EAE"/>
    <w:rsid w:val="006F71BE"/>
    <w:rsid w:val="007005D0"/>
    <w:rsid w:val="00700ADA"/>
    <w:rsid w:val="007145E8"/>
    <w:rsid w:val="00714B41"/>
    <w:rsid w:val="007316F6"/>
    <w:rsid w:val="00731BE4"/>
    <w:rsid w:val="00731CEB"/>
    <w:rsid w:val="0073326A"/>
    <w:rsid w:val="007336F4"/>
    <w:rsid w:val="00734238"/>
    <w:rsid w:val="00734B12"/>
    <w:rsid w:val="007426A8"/>
    <w:rsid w:val="007461AA"/>
    <w:rsid w:val="00747060"/>
    <w:rsid w:val="007479A1"/>
    <w:rsid w:val="00752137"/>
    <w:rsid w:val="00752190"/>
    <w:rsid w:val="007603AB"/>
    <w:rsid w:val="007611D2"/>
    <w:rsid w:val="00761CCE"/>
    <w:rsid w:val="00763484"/>
    <w:rsid w:val="00765B99"/>
    <w:rsid w:val="00766AE2"/>
    <w:rsid w:val="00766B37"/>
    <w:rsid w:val="007670DE"/>
    <w:rsid w:val="0077355A"/>
    <w:rsid w:val="00776176"/>
    <w:rsid w:val="007763D9"/>
    <w:rsid w:val="00777A92"/>
    <w:rsid w:val="00780851"/>
    <w:rsid w:val="007850A3"/>
    <w:rsid w:val="00785210"/>
    <w:rsid w:val="007859E8"/>
    <w:rsid w:val="00792F0B"/>
    <w:rsid w:val="00792F75"/>
    <w:rsid w:val="007952D2"/>
    <w:rsid w:val="00796D22"/>
    <w:rsid w:val="00797FBC"/>
    <w:rsid w:val="007A0B7B"/>
    <w:rsid w:val="007A2DBD"/>
    <w:rsid w:val="007A591B"/>
    <w:rsid w:val="007A6796"/>
    <w:rsid w:val="007B1509"/>
    <w:rsid w:val="007B4ECB"/>
    <w:rsid w:val="007B6304"/>
    <w:rsid w:val="007B679C"/>
    <w:rsid w:val="007C1F94"/>
    <w:rsid w:val="007C5DA2"/>
    <w:rsid w:val="007C6371"/>
    <w:rsid w:val="007C6B18"/>
    <w:rsid w:val="007C7F87"/>
    <w:rsid w:val="007D0737"/>
    <w:rsid w:val="007D7B4B"/>
    <w:rsid w:val="007E11DD"/>
    <w:rsid w:val="007E1ED8"/>
    <w:rsid w:val="007E2EE9"/>
    <w:rsid w:val="007E3BE6"/>
    <w:rsid w:val="007E62B0"/>
    <w:rsid w:val="007E6960"/>
    <w:rsid w:val="007F3B53"/>
    <w:rsid w:val="007F7A6F"/>
    <w:rsid w:val="00805F25"/>
    <w:rsid w:val="00806DC6"/>
    <w:rsid w:val="00807762"/>
    <w:rsid w:val="008111C7"/>
    <w:rsid w:val="00811790"/>
    <w:rsid w:val="008117FC"/>
    <w:rsid w:val="0081237A"/>
    <w:rsid w:val="00812916"/>
    <w:rsid w:val="008132B7"/>
    <w:rsid w:val="00813B59"/>
    <w:rsid w:val="00815187"/>
    <w:rsid w:val="008160C3"/>
    <w:rsid w:val="008175E7"/>
    <w:rsid w:val="008179CE"/>
    <w:rsid w:val="0082284C"/>
    <w:rsid w:val="00823B9E"/>
    <w:rsid w:val="00827C48"/>
    <w:rsid w:val="00832DC8"/>
    <w:rsid w:val="00835946"/>
    <w:rsid w:val="00840882"/>
    <w:rsid w:val="00843902"/>
    <w:rsid w:val="00857324"/>
    <w:rsid w:val="00867836"/>
    <w:rsid w:val="00870071"/>
    <w:rsid w:val="00872E16"/>
    <w:rsid w:val="00873094"/>
    <w:rsid w:val="00873B94"/>
    <w:rsid w:val="0087681A"/>
    <w:rsid w:val="00883A1C"/>
    <w:rsid w:val="008866EF"/>
    <w:rsid w:val="00896A8F"/>
    <w:rsid w:val="00896C20"/>
    <w:rsid w:val="008A5A27"/>
    <w:rsid w:val="008B16AB"/>
    <w:rsid w:val="008B1838"/>
    <w:rsid w:val="008B5B62"/>
    <w:rsid w:val="008C1253"/>
    <w:rsid w:val="008C5717"/>
    <w:rsid w:val="008D6F86"/>
    <w:rsid w:val="008D70E1"/>
    <w:rsid w:val="008E0FFE"/>
    <w:rsid w:val="008E3DC9"/>
    <w:rsid w:val="008E6DE1"/>
    <w:rsid w:val="008F3150"/>
    <w:rsid w:val="008F4208"/>
    <w:rsid w:val="00900172"/>
    <w:rsid w:val="009046A9"/>
    <w:rsid w:val="00904A39"/>
    <w:rsid w:val="00905AF4"/>
    <w:rsid w:val="009064CE"/>
    <w:rsid w:val="00907EB9"/>
    <w:rsid w:val="00914728"/>
    <w:rsid w:val="009155A4"/>
    <w:rsid w:val="00916AE0"/>
    <w:rsid w:val="009275EE"/>
    <w:rsid w:val="00934723"/>
    <w:rsid w:val="009358DB"/>
    <w:rsid w:val="0093625E"/>
    <w:rsid w:val="009447C5"/>
    <w:rsid w:val="00944E51"/>
    <w:rsid w:val="009453E2"/>
    <w:rsid w:val="00945DEC"/>
    <w:rsid w:val="0094630D"/>
    <w:rsid w:val="0095635B"/>
    <w:rsid w:val="00957B94"/>
    <w:rsid w:val="00966650"/>
    <w:rsid w:val="009673E0"/>
    <w:rsid w:val="009713E9"/>
    <w:rsid w:val="009732E4"/>
    <w:rsid w:val="00973E3C"/>
    <w:rsid w:val="009747C3"/>
    <w:rsid w:val="00974F3C"/>
    <w:rsid w:val="00975BF6"/>
    <w:rsid w:val="00983EC5"/>
    <w:rsid w:val="00984196"/>
    <w:rsid w:val="00985BC0"/>
    <w:rsid w:val="009933AF"/>
    <w:rsid w:val="00994B86"/>
    <w:rsid w:val="009A06BD"/>
    <w:rsid w:val="009A117E"/>
    <w:rsid w:val="009A1994"/>
    <w:rsid w:val="009B2DDF"/>
    <w:rsid w:val="009C305B"/>
    <w:rsid w:val="009C33DC"/>
    <w:rsid w:val="009C5A2F"/>
    <w:rsid w:val="009C66ED"/>
    <w:rsid w:val="009C6FA1"/>
    <w:rsid w:val="009C71FD"/>
    <w:rsid w:val="009C7B54"/>
    <w:rsid w:val="009D095E"/>
    <w:rsid w:val="009D13AA"/>
    <w:rsid w:val="009D3FD4"/>
    <w:rsid w:val="009D7B23"/>
    <w:rsid w:val="009D7CEE"/>
    <w:rsid w:val="009F03CD"/>
    <w:rsid w:val="009F20C5"/>
    <w:rsid w:val="009F24A7"/>
    <w:rsid w:val="009F3404"/>
    <w:rsid w:val="009F3FA5"/>
    <w:rsid w:val="009F6838"/>
    <w:rsid w:val="00A04459"/>
    <w:rsid w:val="00A04A00"/>
    <w:rsid w:val="00A04BF2"/>
    <w:rsid w:val="00A07C8D"/>
    <w:rsid w:val="00A13BEA"/>
    <w:rsid w:val="00A13E81"/>
    <w:rsid w:val="00A14B48"/>
    <w:rsid w:val="00A175A0"/>
    <w:rsid w:val="00A20F21"/>
    <w:rsid w:val="00A2661C"/>
    <w:rsid w:val="00A269E8"/>
    <w:rsid w:val="00A26C75"/>
    <w:rsid w:val="00A270AA"/>
    <w:rsid w:val="00A32A5C"/>
    <w:rsid w:val="00A36ABC"/>
    <w:rsid w:val="00A37910"/>
    <w:rsid w:val="00A4020A"/>
    <w:rsid w:val="00A40560"/>
    <w:rsid w:val="00A40BE4"/>
    <w:rsid w:val="00A41A59"/>
    <w:rsid w:val="00A41E82"/>
    <w:rsid w:val="00A444AF"/>
    <w:rsid w:val="00A4734C"/>
    <w:rsid w:val="00A47F47"/>
    <w:rsid w:val="00A50270"/>
    <w:rsid w:val="00A63A04"/>
    <w:rsid w:val="00A63A51"/>
    <w:rsid w:val="00A70F09"/>
    <w:rsid w:val="00A7111A"/>
    <w:rsid w:val="00A74B1A"/>
    <w:rsid w:val="00A755FE"/>
    <w:rsid w:val="00A81A0A"/>
    <w:rsid w:val="00A85523"/>
    <w:rsid w:val="00A855B9"/>
    <w:rsid w:val="00A85CDE"/>
    <w:rsid w:val="00A875F8"/>
    <w:rsid w:val="00A90DCE"/>
    <w:rsid w:val="00A90DE5"/>
    <w:rsid w:val="00A94A6B"/>
    <w:rsid w:val="00A9588A"/>
    <w:rsid w:val="00A966C3"/>
    <w:rsid w:val="00A97E9C"/>
    <w:rsid w:val="00AA029E"/>
    <w:rsid w:val="00AA1996"/>
    <w:rsid w:val="00AA2654"/>
    <w:rsid w:val="00AB1C04"/>
    <w:rsid w:val="00AB2A0C"/>
    <w:rsid w:val="00AB2FA7"/>
    <w:rsid w:val="00AB4F82"/>
    <w:rsid w:val="00AB5ED4"/>
    <w:rsid w:val="00AC157F"/>
    <w:rsid w:val="00AC217D"/>
    <w:rsid w:val="00AC326C"/>
    <w:rsid w:val="00AC3AD8"/>
    <w:rsid w:val="00AD1A77"/>
    <w:rsid w:val="00AD2226"/>
    <w:rsid w:val="00AD3176"/>
    <w:rsid w:val="00AD43D9"/>
    <w:rsid w:val="00AD63F6"/>
    <w:rsid w:val="00AD7EC5"/>
    <w:rsid w:val="00AE2B7F"/>
    <w:rsid w:val="00AE66AC"/>
    <w:rsid w:val="00AE7566"/>
    <w:rsid w:val="00AE7A39"/>
    <w:rsid w:val="00AF50CE"/>
    <w:rsid w:val="00AF7CC4"/>
    <w:rsid w:val="00B0136B"/>
    <w:rsid w:val="00B03A82"/>
    <w:rsid w:val="00B050A9"/>
    <w:rsid w:val="00B06C7A"/>
    <w:rsid w:val="00B07271"/>
    <w:rsid w:val="00B12644"/>
    <w:rsid w:val="00B22F7D"/>
    <w:rsid w:val="00B233BE"/>
    <w:rsid w:val="00B255C5"/>
    <w:rsid w:val="00B33EC2"/>
    <w:rsid w:val="00B34BB8"/>
    <w:rsid w:val="00B35E44"/>
    <w:rsid w:val="00B36649"/>
    <w:rsid w:val="00B444D5"/>
    <w:rsid w:val="00B45AC4"/>
    <w:rsid w:val="00B5466C"/>
    <w:rsid w:val="00B555EA"/>
    <w:rsid w:val="00B56225"/>
    <w:rsid w:val="00B60A25"/>
    <w:rsid w:val="00B61EF2"/>
    <w:rsid w:val="00B6338C"/>
    <w:rsid w:val="00B65CF9"/>
    <w:rsid w:val="00B7112E"/>
    <w:rsid w:val="00B71506"/>
    <w:rsid w:val="00B719EE"/>
    <w:rsid w:val="00B72284"/>
    <w:rsid w:val="00B7393A"/>
    <w:rsid w:val="00B75ACA"/>
    <w:rsid w:val="00B77D03"/>
    <w:rsid w:val="00B81463"/>
    <w:rsid w:val="00B8187E"/>
    <w:rsid w:val="00B85128"/>
    <w:rsid w:val="00B90EF0"/>
    <w:rsid w:val="00B92050"/>
    <w:rsid w:val="00B96479"/>
    <w:rsid w:val="00BA27EB"/>
    <w:rsid w:val="00BA3E67"/>
    <w:rsid w:val="00BA54C2"/>
    <w:rsid w:val="00BB1F8F"/>
    <w:rsid w:val="00BB2978"/>
    <w:rsid w:val="00BB6473"/>
    <w:rsid w:val="00BB6BCA"/>
    <w:rsid w:val="00BB7800"/>
    <w:rsid w:val="00BC27D2"/>
    <w:rsid w:val="00BC2E4A"/>
    <w:rsid w:val="00BC37DD"/>
    <w:rsid w:val="00BC3F1E"/>
    <w:rsid w:val="00BD0751"/>
    <w:rsid w:val="00BD1105"/>
    <w:rsid w:val="00BD1507"/>
    <w:rsid w:val="00BD38FF"/>
    <w:rsid w:val="00BD622B"/>
    <w:rsid w:val="00BE3B0F"/>
    <w:rsid w:val="00BE4136"/>
    <w:rsid w:val="00BE5BC9"/>
    <w:rsid w:val="00BE6381"/>
    <w:rsid w:val="00BF544D"/>
    <w:rsid w:val="00C04FEE"/>
    <w:rsid w:val="00C0562B"/>
    <w:rsid w:val="00C12896"/>
    <w:rsid w:val="00C2087B"/>
    <w:rsid w:val="00C24C2B"/>
    <w:rsid w:val="00C256C0"/>
    <w:rsid w:val="00C2649F"/>
    <w:rsid w:val="00C3048E"/>
    <w:rsid w:val="00C414BD"/>
    <w:rsid w:val="00C46C01"/>
    <w:rsid w:val="00C53C12"/>
    <w:rsid w:val="00C57052"/>
    <w:rsid w:val="00C66410"/>
    <w:rsid w:val="00C71A27"/>
    <w:rsid w:val="00C81BEA"/>
    <w:rsid w:val="00C84FF1"/>
    <w:rsid w:val="00C8544A"/>
    <w:rsid w:val="00C85DBA"/>
    <w:rsid w:val="00C93E28"/>
    <w:rsid w:val="00C954A7"/>
    <w:rsid w:val="00C97947"/>
    <w:rsid w:val="00CA235A"/>
    <w:rsid w:val="00CA594C"/>
    <w:rsid w:val="00CB3CB6"/>
    <w:rsid w:val="00CB4F57"/>
    <w:rsid w:val="00CC0025"/>
    <w:rsid w:val="00CC47AA"/>
    <w:rsid w:val="00CC4BDD"/>
    <w:rsid w:val="00CD564E"/>
    <w:rsid w:val="00CE1DC0"/>
    <w:rsid w:val="00CE2639"/>
    <w:rsid w:val="00CE2B65"/>
    <w:rsid w:val="00CE5B6B"/>
    <w:rsid w:val="00CF04CD"/>
    <w:rsid w:val="00CF16E1"/>
    <w:rsid w:val="00CF5558"/>
    <w:rsid w:val="00CF6524"/>
    <w:rsid w:val="00CF6768"/>
    <w:rsid w:val="00D02601"/>
    <w:rsid w:val="00D035D5"/>
    <w:rsid w:val="00D036B5"/>
    <w:rsid w:val="00D04320"/>
    <w:rsid w:val="00D04933"/>
    <w:rsid w:val="00D049C9"/>
    <w:rsid w:val="00D04E1F"/>
    <w:rsid w:val="00D0672F"/>
    <w:rsid w:val="00D07F15"/>
    <w:rsid w:val="00D14862"/>
    <w:rsid w:val="00D21B7A"/>
    <w:rsid w:val="00D2730F"/>
    <w:rsid w:val="00D279E9"/>
    <w:rsid w:val="00D31EDC"/>
    <w:rsid w:val="00D33AF3"/>
    <w:rsid w:val="00D34E72"/>
    <w:rsid w:val="00D366DF"/>
    <w:rsid w:val="00D4083B"/>
    <w:rsid w:val="00D41284"/>
    <w:rsid w:val="00D415B0"/>
    <w:rsid w:val="00D43375"/>
    <w:rsid w:val="00D46BB8"/>
    <w:rsid w:val="00D6270C"/>
    <w:rsid w:val="00D62D5A"/>
    <w:rsid w:val="00D668D3"/>
    <w:rsid w:val="00D70DD4"/>
    <w:rsid w:val="00D7166A"/>
    <w:rsid w:val="00D71A86"/>
    <w:rsid w:val="00D734BA"/>
    <w:rsid w:val="00D750C3"/>
    <w:rsid w:val="00D76E2C"/>
    <w:rsid w:val="00D806A6"/>
    <w:rsid w:val="00D84721"/>
    <w:rsid w:val="00D85918"/>
    <w:rsid w:val="00D85956"/>
    <w:rsid w:val="00D85D04"/>
    <w:rsid w:val="00D876EE"/>
    <w:rsid w:val="00D92D54"/>
    <w:rsid w:val="00D93069"/>
    <w:rsid w:val="00D933CF"/>
    <w:rsid w:val="00DA1733"/>
    <w:rsid w:val="00DA3496"/>
    <w:rsid w:val="00DA6ED2"/>
    <w:rsid w:val="00DA7372"/>
    <w:rsid w:val="00DA7D40"/>
    <w:rsid w:val="00DB0A95"/>
    <w:rsid w:val="00DB2C5B"/>
    <w:rsid w:val="00DC68A7"/>
    <w:rsid w:val="00DD0308"/>
    <w:rsid w:val="00DD204C"/>
    <w:rsid w:val="00DD3F5B"/>
    <w:rsid w:val="00DD5901"/>
    <w:rsid w:val="00DD6655"/>
    <w:rsid w:val="00DD6CB7"/>
    <w:rsid w:val="00DE3BB2"/>
    <w:rsid w:val="00DE6EBD"/>
    <w:rsid w:val="00DF097F"/>
    <w:rsid w:val="00DF32EE"/>
    <w:rsid w:val="00DF5D0C"/>
    <w:rsid w:val="00DF647C"/>
    <w:rsid w:val="00E020D6"/>
    <w:rsid w:val="00E07B60"/>
    <w:rsid w:val="00E07E91"/>
    <w:rsid w:val="00E1142A"/>
    <w:rsid w:val="00E11E52"/>
    <w:rsid w:val="00E140A2"/>
    <w:rsid w:val="00E14698"/>
    <w:rsid w:val="00E17744"/>
    <w:rsid w:val="00E17D90"/>
    <w:rsid w:val="00E22CD5"/>
    <w:rsid w:val="00E2336E"/>
    <w:rsid w:val="00E24AA1"/>
    <w:rsid w:val="00E253BE"/>
    <w:rsid w:val="00E26A6F"/>
    <w:rsid w:val="00E26B56"/>
    <w:rsid w:val="00E27D54"/>
    <w:rsid w:val="00E30D82"/>
    <w:rsid w:val="00E326A8"/>
    <w:rsid w:val="00E3474E"/>
    <w:rsid w:val="00E36815"/>
    <w:rsid w:val="00E44453"/>
    <w:rsid w:val="00E50554"/>
    <w:rsid w:val="00E543FF"/>
    <w:rsid w:val="00E54694"/>
    <w:rsid w:val="00E55946"/>
    <w:rsid w:val="00E57971"/>
    <w:rsid w:val="00E65B77"/>
    <w:rsid w:val="00E72862"/>
    <w:rsid w:val="00E7751B"/>
    <w:rsid w:val="00E81C20"/>
    <w:rsid w:val="00E90352"/>
    <w:rsid w:val="00E91EFC"/>
    <w:rsid w:val="00E92E7C"/>
    <w:rsid w:val="00E93DEB"/>
    <w:rsid w:val="00E95807"/>
    <w:rsid w:val="00E95EB2"/>
    <w:rsid w:val="00EA188F"/>
    <w:rsid w:val="00EA555D"/>
    <w:rsid w:val="00EA7ADB"/>
    <w:rsid w:val="00EA7E2A"/>
    <w:rsid w:val="00EB0A85"/>
    <w:rsid w:val="00EB564C"/>
    <w:rsid w:val="00EB75CD"/>
    <w:rsid w:val="00EC7F15"/>
    <w:rsid w:val="00ED0DC4"/>
    <w:rsid w:val="00ED2FE6"/>
    <w:rsid w:val="00ED5E39"/>
    <w:rsid w:val="00EF093A"/>
    <w:rsid w:val="00EF0E5B"/>
    <w:rsid w:val="00EF6DB8"/>
    <w:rsid w:val="00F02190"/>
    <w:rsid w:val="00F028E0"/>
    <w:rsid w:val="00F04811"/>
    <w:rsid w:val="00F04C67"/>
    <w:rsid w:val="00F16C15"/>
    <w:rsid w:val="00F204A1"/>
    <w:rsid w:val="00F209F8"/>
    <w:rsid w:val="00F22F58"/>
    <w:rsid w:val="00F254C2"/>
    <w:rsid w:val="00F327E7"/>
    <w:rsid w:val="00F34439"/>
    <w:rsid w:val="00F36645"/>
    <w:rsid w:val="00F426D8"/>
    <w:rsid w:val="00F43A47"/>
    <w:rsid w:val="00F44B98"/>
    <w:rsid w:val="00F44D30"/>
    <w:rsid w:val="00F46E57"/>
    <w:rsid w:val="00F554CF"/>
    <w:rsid w:val="00F56323"/>
    <w:rsid w:val="00F569D0"/>
    <w:rsid w:val="00F57757"/>
    <w:rsid w:val="00F578D9"/>
    <w:rsid w:val="00F62519"/>
    <w:rsid w:val="00F6361F"/>
    <w:rsid w:val="00F65BDB"/>
    <w:rsid w:val="00F66AB5"/>
    <w:rsid w:val="00F71310"/>
    <w:rsid w:val="00F72AEE"/>
    <w:rsid w:val="00F74EE3"/>
    <w:rsid w:val="00F76029"/>
    <w:rsid w:val="00F861A6"/>
    <w:rsid w:val="00F90D6A"/>
    <w:rsid w:val="00F9197A"/>
    <w:rsid w:val="00F91E1F"/>
    <w:rsid w:val="00F977F2"/>
    <w:rsid w:val="00FA18BE"/>
    <w:rsid w:val="00FA56C5"/>
    <w:rsid w:val="00FB1F8B"/>
    <w:rsid w:val="00FB377D"/>
    <w:rsid w:val="00FD3710"/>
    <w:rsid w:val="00FD54CE"/>
    <w:rsid w:val="00FE2322"/>
    <w:rsid w:val="00FE3DF8"/>
    <w:rsid w:val="00FF481A"/>
    <w:rsid w:val="33614EA0"/>
    <w:rsid w:val="487B790F"/>
    <w:rsid w:val="554B456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933E1"/>
  <w15:chartTrackingRefBased/>
  <w15:docId w15:val="{FEBA3BB4-E9D9-49FF-B5F2-3B179408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qFormat/>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3"/>
      </w:numPr>
      <w:tabs>
        <w:tab w:val="num" w:pos="532"/>
      </w:tabs>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paragraph" w:customStyle="1" w:styleId="Bullet">
    <w:name w:val="Bullet"/>
    <w:basedOn w:val="Normal"/>
    <w:link w:val="BulletChar"/>
    <w:rsid w:val="00666080"/>
    <w:pPr>
      <w:numPr>
        <w:numId w:val="23"/>
      </w:numPr>
    </w:pPr>
  </w:style>
  <w:style w:type="character" w:customStyle="1" w:styleId="NormalparatextnonumbersChar">
    <w:name w:val="Normal para text (no numbers) Char"/>
    <w:basedOn w:val="DefaultParagraphFont"/>
    <w:link w:val="Normalparatextnonumbers"/>
    <w:rsid w:val="00666080"/>
    <w:rPr>
      <w:rFonts w:ascii="Times New Roman" w:hAnsi="Times New Roman"/>
    </w:rPr>
  </w:style>
  <w:style w:type="character" w:customStyle="1" w:styleId="NormalparatextwithnumbersChar">
    <w:name w:val="Normal para text (with numbers) Char"/>
    <w:basedOn w:val="NormalparatextnonumbersChar"/>
    <w:link w:val="Normalparatextwithnumbers"/>
    <w:rsid w:val="00666080"/>
    <w:rPr>
      <w:rFonts w:ascii="Times New Roman" w:hAnsi="Times New Roman"/>
    </w:rPr>
  </w:style>
  <w:style w:type="character" w:customStyle="1" w:styleId="BulletChar">
    <w:name w:val="Bullet Char"/>
    <w:basedOn w:val="NormalparatextwithnumbersChar"/>
    <w:link w:val="Bullet"/>
    <w:rsid w:val="00666080"/>
    <w:rPr>
      <w:rFonts w:ascii="Times New Roman" w:hAnsi="Times New Roman"/>
    </w:rPr>
  </w:style>
  <w:style w:type="paragraph" w:customStyle="1" w:styleId="DoubleDot">
    <w:name w:val="Double Dot"/>
    <w:basedOn w:val="Normal"/>
    <w:link w:val="DoubleDotChar"/>
    <w:rsid w:val="00666080"/>
    <w:pPr>
      <w:numPr>
        <w:ilvl w:val="2"/>
        <w:numId w:val="23"/>
      </w:numPr>
    </w:pPr>
  </w:style>
  <w:style w:type="character" w:customStyle="1" w:styleId="DoubleDotChar">
    <w:name w:val="Double Dot Char"/>
    <w:basedOn w:val="NormalparatextwithnumbersChar"/>
    <w:link w:val="DoubleDot"/>
    <w:rsid w:val="00666080"/>
    <w:rPr>
      <w:rFonts w:ascii="Times New Roman" w:hAnsi="Times New Roman"/>
    </w:rPr>
  </w:style>
  <w:style w:type="paragraph" w:styleId="TOC4">
    <w:name w:val="toc 4"/>
    <w:basedOn w:val="Normal"/>
    <w:next w:val="Normal"/>
    <w:autoRedefine/>
    <w:uiPriority w:val="39"/>
    <w:semiHidden/>
    <w:unhideWhenUsed/>
    <w:rsid w:val="0069446A"/>
    <w:pPr>
      <w:spacing w:after="100"/>
      <w:ind w:left="660"/>
    </w:pPr>
  </w:style>
  <w:style w:type="paragraph" w:styleId="TOC5">
    <w:name w:val="toc 5"/>
    <w:basedOn w:val="Normal"/>
    <w:next w:val="Normal"/>
    <w:autoRedefine/>
    <w:uiPriority w:val="39"/>
    <w:semiHidden/>
    <w:unhideWhenUsed/>
    <w:rsid w:val="0069446A"/>
    <w:pPr>
      <w:spacing w:after="100"/>
      <w:ind w:left="880"/>
    </w:pPr>
  </w:style>
  <w:style w:type="paragraph" w:styleId="TOC6">
    <w:name w:val="toc 6"/>
    <w:basedOn w:val="Normal"/>
    <w:next w:val="Normal"/>
    <w:autoRedefine/>
    <w:uiPriority w:val="39"/>
    <w:semiHidden/>
    <w:unhideWhenUsed/>
    <w:rsid w:val="0069446A"/>
    <w:pPr>
      <w:spacing w:after="100"/>
      <w:ind w:left="1100"/>
    </w:pPr>
  </w:style>
  <w:style w:type="paragraph" w:styleId="TOC7">
    <w:name w:val="toc 7"/>
    <w:basedOn w:val="Normal"/>
    <w:next w:val="Normal"/>
    <w:autoRedefine/>
    <w:uiPriority w:val="39"/>
    <w:semiHidden/>
    <w:unhideWhenUsed/>
    <w:rsid w:val="0069446A"/>
    <w:pPr>
      <w:spacing w:after="100"/>
      <w:ind w:left="1320"/>
    </w:pPr>
  </w:style>
  <w:style w:type="paragraph" w:styleId="TOC8">
    <w:name w:val="toc 8"/>
    <w:basedOn w:val="Normal"/>
    <w:next w:val="Normal"/>
    <w:autoRedefine/>
    <w:uiPriority w:val="39"/>
    <w:semiHidden/>
    <w:unhideWhenUsed/>
    <w:rsid w:val="0069446A"/>
    <w:pPr>
      <w:spacing w:after="100"/>
      <w:ind w:left="1540"/>
    </w:pPr>
  </w:style>
  <w:style w:type="paragraph" w:styleId="TOC9">
    <w:name w:val="toc 9"/>
    <w:basedOn w:val="Normal"/>
    <w:next w:val="Normal"/>
    <w:autoRedefine/>
    <w:uiPriority w:val="39"/>
    <w:semiHidden/>
    <w:unhideWhenUsed/>
    <w:rsid w:val="0069446A"/>
    <w:pPr>
      <w:spacing w:after="100"/>
      <w:ind w:left="1760"/>
    </w:pPr>
  </w:style>
  <w:style w:type="character" w:styleId="CommentReference">
    <w:name w:val="annotation reference"/>
    <w:basedOn w:val="DefaultParagraphFont"/>
    <w:uiPriority w:val="99"/>
    <w:semiHidden/>
    <w:unhideWhenUsed/>
    <w:rsid w:val="00E253BE"/>
    <w:rPr>
      <w:sz w:val="16"/>
      <w:szCs w:val="16"/>
    </w:rPr>
  </w:style>
  <w:style w:type="paragraph" w:styleId="CommentText">
    <w:name w:val="annotation text"/>
    <w:basedOn w:val="Normal"/>
    <w:link w:val="CommentTextChar"/>
    <w:uiPriority w:val="99"/>
    <w:semiHidden/>
    <w:unhideWhenUsed/>
    <w:rsid w:val="00E253BE"/>
    <w:rPr>
      <w:sz w:val="20"/>
      <w:szCs w:val="20"/>
    </w:rPr>
  </w:style>
  <w:style w:type="character" w:customStyle="1" w:styleId="CommentTextChar">
    <w:name w:val="Comment Text Char"/>
    <w:basedOn w:val="DefaultParagraphFont"/>
    <w:link w:val="CommentText"/>
    <w:uiPriority w:val="99"/>
    <w:semiHidden/>
    <w:rsid w:val="00E253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253BE"/>
    <w:rPr>
      <w:b/>
      <w:bCs/>
    </w:rPr>
  </w:style>
  <w:style w:type="character" w:customStyle="1" w:styleId="CommentSubjectChar">
    <w:name w:val="Comment Subject Char"/>
    <w:basedOn w:val="CommentTextChar"/>
    <w:link w:val="CommentSubject"/>
    <w:uiPriority w:val="99"/>
    <w:semiHidden/>
    <w:rsid w:val="00E253B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1164">
      <w:bodyDiv w:val="1"/>
      <w:marLeft w:val="0"/>
      <w:marRight w:val="0"/>
      <w:marTop w:val="0"/>
      <w:marBottom w:val="0"/>
      <w:divBdr>
        <w:top w:val="none" w:sz="0" w:space="0" w:color="auto"/>
        <w:left w:val="none" w:sz="0" w:space="0" w:color="auto"/>
        <w:bottom w:val="none" w:sz="0" w:space="0" w:color="auto"/>
        <w:right w:val="none" w:sz="0" w:space="0" w:color="auto"/>
      </w:divBdr>
      <w:divsChild>
        <w:div w:id="274794133">
          <w:marLeft w:val="0"/>
          <w:marRight w:val="0"/>
          <w:marTop w:val="0"/>
          <w:marBottom w:val="0"/>
          <w:divBdr>
            <w:top w:val="none" w:sz="0" w:space="0" w:color="auto"/>
            <w:left w:val="none" w:sz="0" w:space="0" w:color="auto"/>
            <w:bottom w:val="none" w:sz="0" w:space="0" w:color="auto"/>
            <w:right w:val="none" w:sz="0" w:space="0" w:color="auto"/>
          </w:divBdr>
        </w:div>
        <w:div w:id="354694355">
          <w:marLeft w:val="0"/>
          <w:marRight w:val="0"/>
          <w:marTop w:val="0"/>
          <w:marBottom w:val="0"/>
          <w:divBdr>
            <w:top w:val="none" w:sz="0" w:space="0" w:color="auto"/>
            <w:left w:val="none" w:sz="0" w:space="0" w:color="auto"/>
            <w:bottom w:val="none" w:sz="0" w:space="0" w:color="auto"/>
            <w:right w:val="none" w:sz="0" w:space="0" w:color="auto"/>
          </w:divBdr>
        </w:div>
        <w:div w:id="707530807">
          <w:marLeft w:val="0"/>
          <w:marRight w:val="0"/>
          <w:marTop w:val="0"/>
          <w:marBottom w:val="0"/>
          <w:divBdr>
            <w:top w:val="none" w:sz="0" w:space="0" w:color="auto"/>
            <w:left w:val="none" w:sz="0" w:space="0" w:color="auto"/>
            <w:bottom w:val="none" w:sz="0" w:space="0" w:color="auto"/>
            <w:right w:val="none" w:sz="0" w:space="0" w:color="auto"/>
          </w:divBdr>
        </w:div>
      </w:divsChild>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 w:id="2066029257">
      <w:bodyDiv w:val="1"/>
      <w:marLeft w:val="0"/>
      <w:marRight w:val="0"/>
      <w:marTop w:val="0"/>
      <w:marBottom w:val="0"/>
      <w:divBdr>
        <w:top w:val="none" w:sz="0" w:space="0" w:color="auto"/>
        <w:left w:val="none" w:sz="0" w:space="0" w:color="auto"/>
        <w:bottom w:val="none" w:sz="0" w:space="0" w:color="auto"/>
        <w:right w:val="none" w:sz="0" w:space="0" w:color="auto"/>
      </w:divBdr>
      <w:divsChild>
        <w:div w:id="330912093">
          <w:marLeft w:val="0"/>
          <w:marRight w:val="0"/>
          <w:marTop w:val="0"/>
          <w:marBottom w:val="0"/>
          <w:divBdr>
            <w:top w:val="none" w:sz="0" w:space="0" w:color="auto"/>
            <w:left w:val="none" w:sz="0" w:space="0" w:color="auto"/>
            <w:bottom w:val="none" w:sz="0" w:space="0" w:color="auto"/>
            <w:right w:val="none" w:sz="0" w:space="0" w:color="auto"/>
          </w:divBdr>
        </w:div>
        <w:div w:id="1166364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8.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_dlc_DocId xmlns="0f563589-9cf9-4143-b1eb-fb0534803d38">2023RG-286-10444</_dlc_DocId>
    <TaxCatchAll xmlns="0f563589-9cf9-4143-b1eb-fb0534803d38">
      <Value>59</Value>
    </TaxCatchAll>
    <_dlc_DocIdUrl xmlns="0f563589-9cf9-4143-b1eb-fb0534803d38">
      <Url>http://tweb/sites/rg/iitd/nfp/_layouts/15/DocIdRedir.aspx?ID=2023RG-286-10444</Url>
      <Description>2023RG-286-10444</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71FCEF99DE29FA4F97AF911AE05004EA" ma:contentTypeVersion="52674" ma:contentTypeDescription="" ma:contentTypeScope="" ma:versionID="dedfbebec8a1aa6ed15b7b3598864181">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targetNamespace="http://schemas.microsoft.com/office/2006/metadata/properties" ma:root="true" ma:fieldsID="e9a05f2b41ebea460164615b2eefe37e" ns1:_="" ns2:_="" ns3:_="" ns4: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2.xml><?xml version="1.0" encoding="utf-8"?>
<ds:datastoreItem xmlns:ds="http://schemas.openxmlformats.org/officeDocument/2006/customXml" ds:itemID="{7727B266-A3FD-4DC8-BEF6-04CFA8C17C27}">
  <ds:schemaRefs>
    <ds:schemaRef ds:uri="office.server.policy"/>
  </ds:schemaRefs>
</ds:datastoreItem>
</file>

<file path=customXml/itemProps3.xml><?xml version="1.0" encoding="utf-8"?>
<ds:datastoreItem xmlns:ds="http://schemas.openxmlformats.org/officeDocument/2006/customXml" ds:itemID="{6AB365E2-A817-49FA-9295-CAB62986032D}">
  <ds:schemaRefs>
    <ds:schemaRef ds:uri="http://schemas.microsoft.com/office/2006/metadata/properties"/>
    <ds:schemaRef ds:uri="http://schemas.microsoft.com/office/infopath/2007/PartnerControls"/>
    <ds:schemaRef ds:uri="0f563589-9cf9-4143-b1eb-fb0534803d38"/>
    <ds:schemaRef ds:uri="9f7bc583-7cbe-45b9-a2bd-8bbb6543b37e"/>
    <ds:schemaRef ds:uri="http://schemas.microsoft.com/sharepoint/v4"/>
  </ds:schemaRefs>
</ds:datastoreItem>
</file>

<file path=customXml/itemProps4.xml><?xml version="1.0" encoding="utf-8"?>
<ds:datastoreItem xmlns:ds="http://schemas.openxmlformats.org/officeDocument/2006/customXml" ds:itemID="{551D15BA-C63F-4451-9BC6-99918581BEF4}">
  <ds:schemaRefs>
    <ds:schemaRef ds:uri="http://schemas.microsoft.com/sharepoint/events"/>
  </ds:schemaRefs>
</ds:datastoreItem>
</file>

<file path=customXml/itemProps5.xml><?xml version="1.0" encoding="utf-8"?>
<ds:datastoreItem xmlns:ds="http://schemas.openxmlformats.org/officeDocument/2006/customXml" ds:itemID="{B6044320-3F01-45B6-A84C-64D078495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2</TotalTime>
  <Pages>1</Pages>
  <Words>2580</Words>
  <Characters>14708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Treasury Explanatory Memoranda - Treasury Laws Amendment (Measures for Consultation) Bill 2022: Deductible Gift Recipient Registers Reform</vt:lpstr>
    </vt:vector>
  </TitlesOfParts>
  <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Explanatory Memoranda - Treasury Laws Amendment (Measures for Consultation) Bill 2023: Deductible Gift Recipient Registers Reform</dc:title>
  <dc:subject/>
  <dc:creator>Australian Government</dc:creator>
  <cp:keywords/>
  <dc:description/>
  <cp:lastModifiedBy>Thompson, Lynette</cp:lastModifiedBy>
  <cp:revision>6</cp:revision>
  <cp:lastPrinted>2022-12-08T18:06:00Z</cp:lastPrinted>
  <dcterms:created xsi:type="dcterms:W3CDTF">2023-01-18T22:35:00Z</dcterms:created>
  <dcterms:modified xsi:type="dcterms:W3CDTF">2023-01-19T02:09:00Z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Type">
    <vt:lpwstr>EM</vt:lpwstr>
  </property>
  <property fmtid="{D5CDD505-2E9C-101B-9397-08002B2CF9AE}" pid="3" name="ContentTypeId">
    <vt:lpwstr>0x01010036BB8DE7EC542E42A8B2E98CC20CB6970071FCEF99DE29FA4F97AF911AE05004EA</vt:lpwstr>
  </property>
  <property fmtid="{D5CDD505-2E9C-101B-9397-08002B2CF9AE}" pid="4" name="TSYRecordClass">
    <vt:lpwstr>59;#TSY RA-9278 - Destroy 30 years after action completed|c086dcfc-5e12-4afb-9fc8-394791410cc9</vt:lpwstr>
  </property>
  <property fmtid="{D5CDD505-2E9C-101B-9397-08002B2CF9AE}" pid="5" name="TSYTopic">
    <vt:lpwstr/>
  </property>
  <property fmtid="{D5CDD505-2E9C-101B-9397-08002B2CF9AE}" pid="6" name="Version">
    <vt:lpwstr>p</vt:lpwstr>
  </property>
  <property fmtid="{D5CDD505-2E9C-101B-9397-08002B2CF9AE}" pid="7" name="eActivity">
    <vt:lpwstr>28;#Legislative measures|0d31ce10-0017-4a46-8d2d-ba60058cb6a2</vt:lpwstr>
  </property>
  <property fmtid="{D5CDD505-2E9C-101B-9397-08002B2CF9AE}" pid="8" name="eDocumentType">
    <vt:lpwstr>50;#Explanatory Memorandum|faf76e06-3cdb-48f5-b70e-ae5aeebaff66</vt:lpwstr>
  </property>
  <property fmtid="{D5CDD505-2E9C-101B-9397-08002B2CF9AE}" pid="9" name="TSYStatus">
    <vt:lpwstr/>
  </property>
  <property fmtid="{D5CDD505-2E9C-101B-9397-08002B2CF9AE}" pid="10" name="k8424359e03846678cc4a99dd97e9705">
    <vt:lpwstr>Treasury Enterprise Terms|69519368-d55f-4403-adc0-7b3d464d5501</vt:lpwstr>
  </property>
  <property fmtid="{D5CDD505-2E9C-101B-9397-08002B2CF9AE}" pid="11" name="eTopic">
    <vt:lpwstr>87;#Charities|bd0015b9-3540-424a-b9f7-6d1c7eed6dfa</vt:lpwstr>
  </property>
  <property fmtid="{D5CDD505-2E9C-101B-9397-08002B2CF9AE}" pid="12" name="eTheme">
    <vt:lpwstr>1;#Law Design|318dd2d2-18da-4b8e-a458-14db2c1af95f</vt:lpwstr>
  </property>
  <property fmtid="{D5CDD505-2E9C-101B-9397-08002B2CF9AE}" pid="13" name="LMDivision">
    <vt:lpwstr>3;#Treasury Enterprise Terms|69519368-d55f-4403-adc0-7b3d464d5501</vt:lpwstr>
  </property>
  <property fmtid="{D5CDD505-2E9C-101B-9397-08002B2CF9AE}" pid="14" name="_docset_NoMedatataSyncRequired">
    <vt:lpwstr>False</vt:lpwstr>
  </property>
  <property fmtid="{D5CDD505-2E9C-101B-9397-08002B2CF9AE}" pid="15" name="_dlc_DocIdItemGuid">
    <vt:lpwstr>3e151980-a1a1-4ade-ad83-7cd7dfada171</vt:lpwstr>
  </property>
</Properties>
</file>