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9E86" w14:textId="77777777" w:rsidR="00153F86" w:rsidRPr="00153F86" w:rsidRDefault="00153F86" w:rsidP="00F91AE4">
      <w:pPr>
        <w:spacing w:after="3840"/>
      </w:pPr>
    </w:p>
    <w:p w14:paraId="398AE434" w14:textId="7911583D" w:rsidR="001C7E53" w:rsidRPr="001C7E53" w:rsidRDefault="5E842E3C" w:rsidP="00F91AE4">
      <w:pPr>
        <w:pStyle w:val="Title"/>
        <w:rPr>
          <w:color w:val="2C384A" w:themeColor="accent1"/>
        </w:rPr>
      </w:pPr>
      <w:r w:rsidRPr="001C7E53">
        <w:rPr>
          <w:color w:val="2C384A" w:themeColor="accent1"/>
        </w:rPr>
        <w:t xml:space="preserve">Did </w:t>
      </w:r>
      <w:r w:rsidR="3B3AC9E8" w:rsidRPr="001C7E53">
        <w:rPr>
          <w:color w:val="2C384A" w:themeColor="accent1"/>
        </w:rPr>
        <w:t>l</w:t>
      </w:r>
      <w:r w:rsidRPr="001C7E53">
        <w:rPr>
          <w:color w:val="2C384A" w:themeColor="accent1"/>
        </w:rPr>
        <w:t xml:space="preserve">abour </w:t>
      </w:r>
      <w:r w:rsidR="41FD0908" w:rsidRPr="001C7E53">
        <w:rPr>
          <w:color w:val="2C384A" w:themeColor="accent1"/>
        </w:rPr>
        <w:t>m</w:t>
      </w:r>
      <w:r w:rsidRPr="001C7E53">
        <w:rPr>
          <w:color w:val="2C384A" w:themeColor="accent1"/>
        </w:rPr>
        <w:t xml:space="preserve">arket </w:t>
      </w:r>
      <w:r w:rsidR="15D04756" w:rsidRPr="001C7E53">
        <w:rPr>
          <w:color w:val="2C384A" w:themeColor="accent1"/>
        </w:rPr>
        <w:t>c</w:t>
      </w:r>
      <w:r w:rsidRPr="001C7E53">
        <w:rPr>
          <w:color w:val="2C384A" w:themeColor="accent1"/>
        </w:rPr>
        <w:t xml:space="preserve">oncentration </w:t>
      </w:r>
      <w:r w:rsidR="61F56299" w:rsidRPr="001C7E53">
        <w:rPr>
          <w:color w:val="2C384A" w:themeColor="accent1"/>
        </w:rPr>
        <w:t>l</w:t>
      </w:r>
      <w:r w:rsidRPr="001C7E53">
        <w:rPr>
          <w:color w:val="2C384A" w:themeColor="accent1"/>
        </w:rPr>
        <w:t xml:space="preserve">ower </w:t>
      </w:r>
      <w:r w:rsidR="76EAAA28" w:rsidRPr="001C7E53">
        <w:rPr>
          <w:color w:val="2C384A" w:themeColor="accent1"/>
        </w:rPr>
        <w:t>w</w:t>
      </w:r>
      <w:r w:rsidRPr="001C7E53">
        <w:rPr>
          <w:color w:val="2C384A" w:themeColor="accent1"/>
        </w:rPr>
        <w:t xml:space="preserve">ages </w:t>
      </w:r>
      <w:r w:rsidR="1C7930CA" w:rsidRPr="001C7E53">
        <w:rPr>
          <w:color w:val="2C384A" w:themeColor="accent1"/>
        </w:rPr>
        <w:t>g</w:t>
      </w:r>
      <w:r w:rsidRPr="001C7E53">
        <w:rPr>
          <w:color w:val="2C384A" w:themeColor="accent1"/>
        </w:rPr>
        <w:t xml:space="preserve">rowth </w:t>
      </w:r>
      <w:r w:rsidR="0AFE1AB0" w:rsidRPr="001C7E53">
        <w:rPr>
          <w:color w:val="2C384A" w:themeColor="accent1"/>
        </w:rPr>
        <w:t>p</w:t>
      </w:r>
      <w:r w:rsidRPr="001C7E53">
        <w:rPr>
          <w:color w:val="2C384A" w:themeColor="accent1"/>
        </w:rPr>
        <w:t>re</w:t>
      </w:r>
      <w:r w:rsidR="0018466E">
        <w:rPr>
          <w:color w:val="2C384A" w:themeColor="accent1"/>
        </w:rPr>
        <w:noBreakHyphen/>
      </w:r>
      <w:r w:rsidRPr="001C7E53">
        <w:rPr>
          <w:color w:val="2C384A" w:themeColor="accent1"/>
        </w:rPr>
        <w:t>COVID?</w:t>
      </w:r>
    </w:p>
    <w:p w14:paraId="5ACDF750" w14:textId="47CA01F4" w:rsidR="00F012EA" w:rsidRDefault="300DD349" w:rsidP="00F91AE4">
      <w:pPr>
        <w:pStyle w:val="AuthorName"/>
        <w:rPr>
          <w:szCs w:val="24"/>
        </w:rPr>
      </w:pPr>
      <w:r w:rsidRPr="477F28C1">
        <w:t>Jonathan Hambur</w:t>
      </w:r>
      <w:r w:rsidR="00F012EA" w:rsidRPr="00AB0792">
        <w:rPr>
          <w:rStyle w:val="FootnoteReference"/>
        </w:rPr>
        <w:footnoteReference w:id="2"/>
      </w:r>
    </w:p>
    <w:p w14:paraId="2A95A396" w14:textId="4392842F" w:rsidR="00F012EA" w:rsidRPr="00AB0792" w:rsidRDefault="62D7E2A9" w:rsidP="00F91AE4">
      <w:pPr>
        <w:pStyle w:val="Subtitle"/>
      </w:pPr>
      <w:r w:rsidRPr="00AB0792">
        <w:t>Treasury Working Paper</w:t>
      </w:r>
    </w:p>
    <w:p w14:paraId="49B17E12" w14:textId="71AB5A47" w:rsidR="00F012EA" w:rsidRPr="00F8009C" w:rsidRDefault="00561AD3" w:rsidP="00F91AE4">
      <w:pPr>
        <w:pStyle w:val="Subtitle"/>
        <w:rPr>
          <w:szCs w:val="36"/>
        </w:rPr>
      </w:pPr>
      <w:r w:rsidRPr="00F322F7">
        <w:rPr>
          <w:szCs w:val="36"/>
        </w:rPr>
        <w:t>202</w:t>
      </w:r>
      <w:r>
        <w:rPr>
          <w:szCs w:val="36"/>
        </w:rPr>
        <w:t>3</w:t>
      </w:r>
      <w:r w:rsidR="0018466E">
        <w:rPr>
          <w:szCs w:val="36"/>
        </w:rPr>
        <w:noBreakHyphen/>
      </w:r>
      <w:r>
        <w:rPr>
          <w:szCs w:val="36"/>
        </w:rPr>
        <w:t>01</w:t>
      </w:r>
    </w:p>
    <w:p w14:paraId="393E4471" w14:textId="2DFE4D34" w:rsidR="00F012EA" w:rsidRPr="0018497C" w:rsidRDefault="00F012EA" w:rsidP="00F91AE4">
      <w:pPr>
        <w:pStyle w:val="SeriesNumber"/>
        <w:spacing w:after="120"/>
        <w:rPr>
          <w:sz w:val="24"/>
          <w:szCs w:val="24"/>
        </w:rPr>
      </w:pPr>
      <w:r w:rsidRPr="0018497C">
        <w:rPr>
          <w:sz w:val="24"/>
          <w:szCs w:val="24"/>
        </w:rPr>
        <w:t xml:space="preserve">Date created: </w:t>
      </w:r>
      <w:r w:rsidR="00BB3D3E">
        <w:rPr>
          <w:sz w:val="24"/>
          <w:szCs w:val="24"/>
        </w:rPr>
        <w:t>March 2023</w:t>
      </w:r>
    </w:p>
    <w:p w14:paraId="06CAE860" w14:textId="5ECAED21" w:rsidR="000464B6" w:rsidRPr="001C7E53" w:rsidRDefault="000464B6" w:rsidP="00F91AE4">
      <w:pPr>
        <w:pStyle w:val="SeriesNumber"/>
        <w:spacing w:after="120"/>
        <w:rPr>
          <w:sz w:val="24"/>
          <w:szCs w:val="24"/>
        </w:rPr>
        <w:sectPr w:rsidR="000464B6" w:rsidRPr="001C7E53" w:rsidSect="00B7535E">
          <w:headerReference w:type="default" r:id="rId12"/>
          <w:footerReference w:type="even" r:id="rId13"/>
          <w:footerReference w:type="default" r:id="rId14"/>
          <w:headerReference w:type="first" r:id="rId15"/>
          <w:pgSz w:w="11906" w:h="16838" w:code="9"/>
          <w:pgMar w:top="1843" w:right="1418" w:bottom="1418" w:left="1418" w:header="709" w:footer="709" w:gutter="0"/>
          <w:cols w:space="708"/>
          <w:titlePg/>
          <w:docGrid w:linePitch="360"/>
        </w:sectPr>
      </w:pPr>
      <w:bookmarkStart w:id="0" w:name="_Hlk97273649"/>
      <w:bookmarkEnd w:id="0"/>
    </w:p>
    <w:p w14:paraId="4C48C109" w14:textId="3323D36C" w:rsidR="001C7E53" w:rsidRDefault="001C7E53" w:rsidP="00F91AE4">
      <w:r w:rsidRPr="00661BF0">
        <w:lastRenderedPageBreak/>
        <w:t xml:space="preserve">© Commonwealth of Australia </w:t>
      </w:r>
      <w:r w:rsidRPr="00732E4F">
        <w:t>20</w:t>
      </w:r>
      <w:r>
        <w:t>2</w:t>
      </w:r>
      <w:r w:rsidR="00D970C8">
        <w:t>3</w:t>
      </w:r>
    </w:p>
    <w:p w14:paraId="1E2265EA" w14:textId="43F2F21D" w:rsidR="001C7E53" w:rsidRPr="00464A16" w:rsidRDefault="001C7E53" w:rsidP="00F91AE4">
      <w:r w:rsidRPr="00464A16">
        <w:t>ISBN</w:t>
      </w:r>
      <w:r w:rsidRPr="00793BDB">
        <w:t xml:space="preserve"> </w:t>
      </w:r>
      <w:r w:rsidR="002A76BA" w:rsidRPr="002A76BA">
        <w:t>978</w:t>
      </w:r>
      <w:r w:rsidR="0018466E">
        <w:noBreakHyphen/>
      </w:r>
      <w:r w:rsidR="002A76BA" w:rsidRPr="002A76BA">
        <w:t>1</w:t>
      </w:r>
      <w:r w:rsidR="0018466E">
        <w:noBreakHyphen/>
      </w:r>
      <w:r w:rsidR="002A76BA" w:rsidRPr="002A76BA">
        <w:t>925832</w:t>
      </w:r>
      <w:r w:rsidR="0018466E">
        <w:noBreakHyphen/>
      </w:r>
      <w:r w:rsidR="002A76BA" w:rsidRPr="002A76BA">
        <w:t>54</w:t>
      </w:r>
      <w:r w:rsidR="0018466E">
        <w:noBreakHyphen/>
      </w:r>
      <w:r w:rsidR="002A76BA" w:rsidRPr="002A76BA">
        <w:t>9</w:t>
      </w:r>
    </w:p>
    <w:p w14:paraId="28AC8E36" w14:textId="77777777" w:rsidR="001C7E53" w:rsidRPr="00086F82" w:rsidRDefault="001C7E53" w:rsidP="00F91AE4">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6"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7"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7ED87D0A" w14:textId="77777777" w:rsidR="001C7E53" w:rsidRDefault="001C7E53" w:rsidP="00F91AE4">
      <w:pPr>
        <w:tabs>
          <w:tab w:val="left" w:pos="1650"/>
        </w:tabs>
        <w:spacing w:before="100" w:beforeAutospacing="1" w:after="100" w:afterAutospacing="1"/>
        <w:rPr>
          <w:rFonts w:cstheme="minorBidi"/>
          <w:sz w:val="24"/>
          <w:szCs w:val="24"/>
        </w:rPr>
      </w:pPr>
      <w:r w:rsidRPr="00E56DFB">
        <w:rPr>
          <w:rFonts w:cstheme="minorHAnsi"/>
          <w:noProof/>
          <w:sz w:val="24"/>
          <w:szCs w:val="24"/>
        </w:rPr>
        <w:drawing>
          <wp:inline distT="0" distB="0" distL="0" distR="0" wp14:anchorId="49A72EF6" wp14:editId="2DC16378">
            <wp:extent cx="809625" cy="285750"/>
            <wp:effectExtent l="19050" t="0" r="9525" b="0"/>
            <wp:docPr id="3" name="Picture 3"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2E7CA03" w14:textId="2D03083A" w:rsidR="001C7E53" w:rsidRPr="00024D78" w:rsidRDefault="001C7E53" w:rsidP="00D53792">
      <w:pPr>
        <w:spacing w:after="40"/>
        <w:rPr>
          <w:b/>
          <w:bCs/>
        </w:rPr>
      </w:pPr>
      <w:r w:rsidRPr="00024D78">
        <w:rPr>
          <w:b/>
          <w:bCs/>
        </w:rPr>
        <w:t xml:space="preserve">Treasury material used </w:t>
      </w:r>
      <w:r w:rsidR="0018466E">
        <w:rPr>
          <w:b/>
          <w:bCs/>
        </w:rPr>
        <w:t>‘</w:t>
      </w:r>
      <w:r w:rsidRPr="00024D78">
        <w:rPr>
          <w:b/>
          <w:bCs/>
        </w:rPr>
        <w:t>as supplied</w:t>
      </w:r>
      <w:r w:rsidR="0018466E">
        <w:rPr>
          <w:b/>
          <w:bCs/>
        </w:rPr>
        <w:t>’</w:t>
      </w:r>
    </w:p>
    <w:p w14:paraId="513D9C92" w14:textId="77777777" w:rsidR="001C7E53" w:rsidRPr="00476F09" w:rsidRDefault="001C7E53" w:rsidP="00F91AE4">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3AC71D1" w14:textId="77777777" w:rsidR="001C7E53" w:rsidRPr="00A13A11" w:rsidRDefault="001C7E53" w:rsidP="00F91AE4">
      <w:pPr>
        <w:ind w:firstLine="720"/>
      </w:pPr>
      <w:r w:rsidRPr="002F1BC2">
        <w:rPr>
          <w:i/>
        </w:rPr>
        <w:t xml:space="preserve">Source: The </w:t>
      </w:r>
      <w:r w:rsidRPr="002F1BC2">
        <w:rPr>
          <w:i/>
          <w:iCs/>
        </w:rPr>
        <w:t>Australian Government the Treasury</w:t>
      </w:r>
    </w:p>
    <w:p w14:paraId="295A086D" w14:textId="77777777" w:rsidR="003E17BF" w:rsidRPr="006627B4" w:rsidRDefault="003E17BF" w:rsidP="00F91AE4">
      <w:pPr>
        <w:tabs>
          <w:tab w:val="left" w:pos="1650"/>
        </w:tabs>
      </w:pPr>
      <w:r w:rsidRPr="006627B4">
        <w:t>Use of Treasury material under a</w:t>
      </w:r>
      <w:r w:rsidRPr="00476F09">
        <w:rPr>
          <w:rFonts w:cstheme="minorHAnsi"/>
          <w:sz w:val="24"/>
          <w:szCs w:val="24"/>
        </w:rPr>
        <w:t xml:space="preserve"> </w:t>
      </w:r>
      <w:hyperlink r:id="rId19"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49974487" w14:textId="77777777" w:rsidR="001C7E53" w:rsidRPr="00024D78" w:rsidRDefault="001C7E53" w:rsidP="00D53792">
      <w:pPr>
        <w:spacing w:after="40"/>
        <w:rPr>
          <w:b/>
          <w:bCs/>
        </w:rPr>
      </w:pPr>
      <w:r w:rsidRPr="00024D78">
        <w:rPr>
          <w:b/>
          <w:bCs/>
        </w:rPr>
        <w:t>Derivative material</w:t>
      </w:r>
    </w:p>
    <w:p w14:paraId="4B2CD492" w14:textId="77777777" w:rsidR="001C7E53" w:rsidRPr="006627B4" w:rsidRDefault="001C7E53" w:rsidP="00F91AE4">
      <w:r w:rsidRPr="006627B4">
        <w:t xml:space="preserve">If you have modified or transformed Treasury material, or derived new material from those of the Treasury in any way, then Treasury prefers the following attribution: </w:t>
      </w:r>
    </w:p>
    <w:p w14:paraId="11E3C39A" w14:textId="77777777" w:rsidR="001C7E53" w:rsidRPr="006627B4" w:rsidRDefault="001C7E53" w:rsidP="00F91AE4">
      <w:pPr>
        <w:ind w:firstLine="720"/>
      </w:pPr>
      <w:r w:rsidRPr="002F1BC2">
        <w:rPr>
          <w:i/>
        </w:rPr>
        <w:t>Based on The Australian Government the Treasury data</w:t>
      </w:r>
    </w:p>
    <w:p w14:paraId="69D3A743" w14:textId="77777777" w:rsidR="001C7E53" w:rsidRPr="006627B4" w:rsidRDefault="001C7E53" w:rsidP="00F91AE4">
      <w:pPr>
        <w:spacing w:after="40"/>
        <w:rPr>
          <w:b/>
        </w:rPr>
      </w:pPr>
      <w:r w:rsidRPr="006627B4">
        <w:rPr>
          <w:b/>
        </w:rPr>
        <w:t>Use of the Coat of Arms</w:t>
      </w:r>
    </w:p>
    <w:p w14:paraId="77C497A5" w14:textId="2E456778" w:rsidR="001C7E53" w:rsidRPr="006627B4" w:rsidRDefault="001C7E53" w:rsidP="00F91AE4">
      <w:r w:rsidRPr="00A40BA2">
        <w:t>The terms under which the Coat of Arms can be used are set out on the Departme</w:t>
      </w:r>
      <w:r>
        <w:t>nt of the Prime </w:t>
      </w:r>
      <w:r w:rsidRPr="00A40BA2">
        <w:t xml:space="preserve">Minister and Cabinet website (see </w:t>
      </w:r>
      <w:hyperlink r:id="rId20" w:history="1">
        <w:r w:rsidRPr="005A283B">
          <w:rPr>
            <w:rStyle w:val="Hyperlink"/>
          </w:rPr>
          <w:t>www.pmc.gov.au/government/commonwealth</w:t>
        </w:r>
        <w:r w:rsidR="0018466E">
          <w:rPr>
            <w:rStyle w:val="Hyperlink"/>
          </w:rPr>
          <w:noBreakHyphen/>
        </w:r>
        <w:r w:rsidRPr="005A283B">
          <w:rPr>
            <w:rStyle w:val="Hyperlink"/>
          </w:rPr>
          <w:t>coat</w:t>
        </w:r>
        <w:r w:rsidR="0018466E">
          <w:rPr>
            <w:rStyle w:val="Hyperlink"/>
          </w:rPr>
          <w:noBreakHyphen/>
        </w:r>
        <w:r w:rsidRPr="005A283B">
          <w:rPr>
            <w:rStyle w:val="Hyperlink"/>
          </w:rPr>
          <w:t>arms</w:t>
        </w:r>
      </w:hyperlink>
      <w:r w:rsidRPr="00A40BA2">
        <w:t>).</w:t>
      </w:r>
    </w:p>
    <w:p w14:paraId="4BFA7AC5" w14:textId="77777777" w:rsidR="001C7E53" w:rsidRPr="006627B4" w:rsidRDefault="001C7E53" w:rsidP="00F91AE4">
      <w:pPr>
        <w:spacing w:after="40"/>
        <w:rPr>
          <w:b/>
        </w:rPr>
      </w:pPr>
      <w:r>
        <w:rPr>
          <w:b/>
        </w:rPr>
        <w:t>Other u</w:t>
      </w:r>
      <w:r w:rsidRPr="006627B4">
        <w:rPr>
          <w:b/>
        </w:rPr>
        <w:t>ses</w:t>
      </w:r>
    </w:p>
    <w:p w14:paraId="6344ABB6" w14:textId="77777777" w:rsidR="001C7E53" w:rsidRPr="006627B4" w:rsidRDefault="001C7E53" w:rsidP="00F91AE4">
      <w:r>
        <w:t>E</w:t>
      </w:r>
      <w:r w:rsidRPr="006627B4">
        <w:t>nquiries regarding this licence and any other use of this document are welcome at:</w:t>
      </w:r>
    </w:p>
    <w:p w14:paraId="780A0C8F" w14:textId="5D15D809" w:rsidR="001C7E53" w:rsidRPr="006627B4" w:rsidRDefault="001C7E53" w:rsidP="00F91AE4">
      <w:pPr>
        <w:spacing w:after="0"/>
        <w:ind w:left="720"/>
      </w:pPr>
      <w:r w:rsidRPr="006627B4">
        <w:t>Manager</w:t>
      </w:r>
      <w:r w:rsidR="000060FB">
        <w:br/>
      </w:r>
      <w:r>
        <w:t>Media Unit</w:t>
      </w:r>
      <w:r w:rsidR="000060FB">
        <w:br/>
      </w:r>
      <w:r w:rsidRPr="006627B4">
        <w:t>The Treasury</w:t>
      </w:r>
      <w:r w:rsidR="000060FB">
        <w:br/>
      </w:r>
      <w:r w:rsidRPr="006627B4">
        <w:t xml:space="preserve">Langton Crescent </w:t>
      </w:r>
      <w:r>
        <w:br/>
      </w:r>
      <w:r w:rsidRPr="006627B4">
        <w:t>Parkes ACT 2600</w:t>
      </w:r>
    </w:p>
    <w:p w14:paraId="3490B566" w14:textId="77777777" w:rsidR="001C7E53" w:rsidRDefault="001C7E53" w:rsidP="00F91AE4">
      <w:pPr>
        <w:spacing w:after="0"/>
        <w:ind w:left="720"/>
        <w:rPr>
          <w:rStyle w:val="Hyperlink"/>
        </w:rPr>
      </w:pPr>
      <w:r w:rsidRPr="006627B4">
        <w:t xml:space="preserve">Email: </w:t>
      </w:r>
      <w:hyperlink r:id="rId21" w:history="1">
        <w:r>
          <w:rPr>
            <w:rStyle w:val="Hyperlink"/>
          </w:rPr>
          <w:t>media@treasury.gov.au</w:t>
        </w:r>
      </w:hyperlink>
      <w:r w:rsidRPr="002F1BC2">
        <w:rPr>
          <w:rStyle w:val="Hyperlink"/>
        </w:rPr>
        <w:t xml:space="preserve"> </w:t>
      </w:r>
    </w:p>
    <w:p w14:paraId="2E8BCFD0" w14:textId="77777777" w:rsidR="001C7E53" w:rsidRPr="000464B6" w:rsidRDefault="001C7E53" w:rsidP="00F91AE4"/>
    <w:p w14:paraId="44B03C86" w14:textId="77777777" w:rsidR="001C7E53" w:rsidRDefault="001C7E53" w:rsidP="00F91AE4">
      <w:pPr>
        <w:spacing w:after="0"/>
        <w:ind w:left="720"/>
        <w:rPr>
          <w:rStyle w:val="Hyperlink"/>
        </w:rPr>
        <w:sectPr w:rsidR="001C7E53" w:rsidSect="000F6538">
          <w:headerReference w:type="first" r:id="rId22"/>
          <w:footerReference w:type="first" r:id="rId23"/>
          <w:pgSz w:w="11906" w:h="16838" w:code="9"/>
          <w:pgMar w:top="1843" w:right="1418" w:bottom="1418" w:left="1418" w:header="567" w:footer="567" w:gutter="0"/>
          <w:cols w:space="708"/>
          <w:titlePg/>
          <w:docGrid w:linePitch="360"/>
        </w:sectPr>
      </w:pPr>
    </w:p>
    <w:p w14:paraId="380EB1FA" w14:textId="6C90F2FB" w:rsidR="001C7E53" w:rsidRDefault="5E842E3C" w:rsidP="00F91AE4">
      <w:pPr>
        <w:pStyle w:val="SingleParagraph"/>
      </w:pPr>
      <w:r>
        <w:lastRenderedPageBreak/>
        <w:t xml:space="preserve">Did </w:t>
      </w:r>
      <w:r w:rsidR="28D25EB3">
        <w:t>l</w:t>
      </w:r>
      <w:r>
        <w:t xml:space="preserve">abour </w:t>
      </w:r>
      <w:r w:rsidR="57C301B6">
        <w:t>m</w:t>
      </w:r>
      <w:r>
        <w:t xml:space="preserve">arket </w:t>
      </w:r>
      <w:r w:rsidR="32EE85DD">
        <w:t>c</w:t>
      </w:r>
      <w:r>
        <w:t xml:space="preserve">oncentration </w:t>
      </w:r>
      <w:r w:rsidR="114FBB01">
        <w:t>l</w:t>
      </w:r>
      <w:r>
        <w:t xml:space="preserve">ower </w:t>
      </w:r>
      <w:r w:rsidR="525F76B5">
        <w:t>w</w:t>
      </w:r>
      <w:r>
        <w:t xml:space="preserve">ages </w:t>
      </w:r>
      <w:r w:rsidR="0227FD23">
        <w:t>g</w:t>
      </w:r>
      <w:r>
        <w:t xml:space="preserve">rowth </w:t>
      </w:r>
      <w:r w:rsidR="287E3290">
        <w:t>p</w:t>
      </w:r>
      <w:r>
        <w:t>re</w:t>
      </w:r>
      <w:r w:rsidR="0018466E">
        <w:noBreakHyphen/>
      </w:r>
      <w:r>
        <w:t>COVID?</w:t>
      </w:r>
    </w:p>
    <w:p w14:paraId="26CEA0BC" w14:textId="77777777" w:rsidR="001C7E53" w:rsidRDefault="001C7E53" w:rsidP="00F91AE4">
      <w:pPr>
        <w:pStyle w:val="SingleParagraph"/>
      </w:pPr>
      <w:r>
        <w:rPr>
          <w:szCs w:val="24"/>
        </w:rPr>
        <w:t>Jonathan Hambur</w:t>
      </w:r>
    </w:p>
    <w:p w14:paraId="5FF908C3" w14:textId="7FCA304C" w:rsidR="001C7E53" w:rsidRPr="00F322F7" w:rsidRDefault="001C7E53" w:rsidP="00F91AE4">
      <w:pPr>
        <w:pStyle w:val="SingleParagraph"/>
      </w:pPr>
      <w:r w:rsidRPr="00F322F7">
        <w:t>202</w:t>
      </w:r>
      <w:r w:rsidR="00561AD3">
        <w:t>3</w:t>
      </w:r>
      <w:r w:rsidR="0018466E">
        <w:noBreakHyphen/>
      </w:r>
      <w:r w:rsidR="00561AD3">
        <w:t>01</w:t>
      </w:r>
    </w:p>
    <w:p w14:paraId="6FD21114" w14:textId="2CF000A0" w:rsidR="001C7E53" w:rsidRDefault="00B31FEE" w:rsidP="00F91AE4">
      <w:pPr>
        <w:pStyle w:val="SingleParagraph"/>
      </w:pPr>
      <w:r>
        <w:t>1 March 2023</w:t>
      </w:r>
    </w:p>
    <w:p w14:paraId="68E63036" w14:textId="77777777" w:rsidR="001C7E53" w:rsidRPr="00930A21" w:rsidRDefault="001C7E53" w:rsidP="00F91AE4">
      <w:pPr>
        <w:pStyle w:val="Heading1"/>
      </w:pPr>
      <w:r w:rsidRPr="00930A21">
        <w:t>Abstract</w:t>
      </w:r>
    </w:p>
    <w:p w14:paraId="61D482DF" w14:textId="03F6FE63" w:rsidR="001C7E53" w:rsidRDefault="0787A995" w:rsidP="00755F69">
      <w:pPr>
        <w:pStyle w:val="Abstract"/>
      </w:pPr>
      <w:r>
        <w:t>W</w:t>
      </w:r>
      <w:r w:rsidR="01211331">
        <w:t xml:space="preserve">ages growth in Australia was lower than expected </w:t>
      </w:r>
      <w:r w:rsidR="42D80F4A">
        <w:t>prior to COVID</w:t>
      </w:r>
      <w:r w:rsidR="41854EEB">
        <w:t>-19</w:t>
      </w:r>
      <w:r w:rsidR="42D80F4A">
        <w:t xml:space="preserve"> </w:t>
      </w:r>
      <w:r w:rsidR="01211331">
        <w:t>based on historical</w:t>
      </w:r>
      <w:r w:rsidR="18CD70DE">
        <w:t xml:space="preserve"> </w:t>
      </w:r>
      <w:r w:rsidR="732316D3">
        <w:t>determinants</w:t>
      </w:r>
      <w:r w:rsidR="01211331">
        <w:t xml:space="preserve">. One </w:t>
      </w:r>
      <w:r w:rsidR="6653751A">
        <w:t xml:space="preserve">possible </w:t>
      </w:r>
      <w:r w:rsidR="01211331">
        <w:t xml:space="preserve">explanation for this is that employment had become more concentrated </w:t>
      </w:r>
      <w:r w:rsidR="5F7F65F6">
        <w:t xml:space="preserve">among </w:t>
      </w:r>
      <w:r w:rsidR="01211331">
        <w:t>a small number of large employers</w:t>
      </w:r>
      <w:r w:rsidR="001943EE">
        <w:t xml:space="preserve">. This </w:t>
      </w:r>
      <w:r w:rsidR="01211331">
        <w:t>reduc</w:t>
      </w:r>
      <w:r w:rsidR="001943EE">
        <w:t>ed</w:t>
      </w:r>
      <w:r w:rsidR="01211331">
        <w:t xml:space="preserve"> outside options for workers and lower</w:t>
      </w:r>
      <w:r w:rsidR="001943EE">
        <w:t>ed</w:t>
      </w:r>
      <w:r w:rsidR="01211331">
        <w:t xml:space="preserve"> their bargaining power and wages.</w:t>
      </w:r>
    </w:p>
    <w:p w14:paraId="30AD9D7F" w14:textId="00F7AB43" w:rsidR="001C7E53" w:rsidRDefault="01211331" w:rsidP="00755F69">
      <w:pPr>
        <w:pStyle w:val="Abstract"/>
      </w:pPr>
      <w:r>
        <w:t>This paper examines concentration in Australian labour markets and its impacts on wages using a</w:t>
      </w:r>
      <w:r w:rsidRPr="008D05F4">
        <w:t xml:space="preserve"> large and representative database derived from administrative tax data. </w:t>
      </w:r>
      <w:r w:rsidR="06820D21" w:rsidRPr="008D05F4">
        <w:t>L</w:t>
      </w:r>
      <w:r w:rsidRPr="008D05F4">
        <w:t>abour markets</w:t>
      </w:r>
      <w:r w:rsidR="3BE04961">
        <w:t xml:space="preserve"> </w:t>
      </w:r>
      <w:r w:rsidRPr="008D05F4">
        <w:t>have not</w:t>
      </w:r>
      <w:r w:rsidR="09F007D6">
        <w:t>, on average,</w:t>
      </w:r>
      <w:r w:rsidRPr="008D05F4">
        <w:t xml:space="preserve"> become more concentrated over time. </w:t>
      </w:r>
      <w:r w:rsidR="003C0F0F" w:rsidRPr="008D05F4">
        <w:t xml:space="preserve">However, </w:t>
      </w:r>
      <w:r w:rsidR="003C0F0F">
        <w:t>the</w:t>
      </w:r>
      <w:r>
        <w:t xml:space="preserve"> impact of any given level of concentration has </w:t>
      </w:r>
      <w:r w:rsidR="4A715314">
        <w:t>increased since the 2010</w:t>
      </w:r>
      <w:r w:rsidR="0EA8FDFA">
        <w:t>s</w:t>
      </w:r>
      <w:r>
        <w:t xml:space="preserve">. </w:t>
      </w:r>
      <w:r w:rsidR="63BF4320">
        <w:t>This may help explain surprisingly low wages growth pre</w:t>
      </w:r>
      <w:r w:rsidR="005070AA">
        <w:noBreakHyphen/>
      </w:r>
      <w:r w:rsidR="63BF4320">
        <w:t>COVID</w:t>
      </w:r>
      <w:r>
        <w:t>, despite labour market concentration having remained constant</w:t>
      </w:r>
      <w:r w:rsidR="2A085939">
        <w:t>.</w:t>
      </w:r>
      <w:r w:rsidR="001D3817">
        <w:t xml:space="preserve"> </w:t>
      </w:r>
      <w:r w:rsidR="6BBB0E40">
        <w:t>S</w:t>
      </w:r>
      <w:r w:rsidR="0EA8FDFA">
        <w:t>imple</w:t>
      </w:r>
      <w:r>
        <w:t xml:space="preserve"> back</w:t>
      </w:r>
      <w:r w:rsidR="005070AA">
        <w:noBreakHyphen/>
      </w:r>
      <w:r>
        <w:t>of</w:t>
      </w:r>
      <w:r w:rsidR="005070AA">
        <w:noBreakHyphen/>
      </w:r>
      <w:r>
        <w:t>the</w:t>
      </w:r>
      <w:r w:rsidR="005070AA">
        <w:noBreakHyphen/>
      </w:r>
      <w:r>
        <w:t>envelope estimates suggest that the greater impact of concentration may have lowered</w:t>
      </w:r>
      <w:r w:rsidRPr="008D05F4">
        <w:t xml:space="preserve"> wages by </w:t>
      </w:r>
      <w:r>
        <w:t>a little under</w:t>
      </w:r>
      <w:r w:rsidRPr="008D05F4">
        <w:t xml:space="preserve"> 1</w:t>
      </w:r>
      <w:r w:rsidR="32E5E43B">
        <w:t> </w:t>
      </w:r>
      <w:r w:rsidRPr="008D05F4">
        <w:t>per</w:t>
      </w:r>
      <w:r w:rsidR="32E5E43B">
        <w:t> </w:t>
      </w:r>
      <w:r w:rsidRPr="008D05F4">
        <w:t xml:space="preserve">cent </w:t>
      </w:r>
      <w:r>
        <w:t xml:space="preserve">on average </w:t>
      </w:r>
      <w:r w:rsidRPr="008D05F4">
        <w:t>between 2011</w:t>
      </w:r>
      <w:r>
        <w:t xml:space="preserve"> </w:t>
      </w:r>
      <w:r w:rsidRPr="008D05F4">
        <w:t>and 2015.</w:t>
      </w:r>
    </w:p>
    <w:p w14:paraId="0F7FEDFA" w14:textId="6572F83A" w:rsidR="001C7E53" w:rsidRDefault="01211331" w:rsidP="00755F69">
      <w:pPr>
        <w:pStyle w:val="Abstract"/>
      </w:pPr>
      <w:r>
        <w:t xml:space="preserve">Declining firm entry and dynamism appear to have contributed to the increased impact of concentration, and lower wages growth, by lowering competition for labour </w:t>
      </w:r>
      <w:r w:rsidR="367F7F9F">
        <w:t xml:space="preserve">among </w:t>
      </w:r>
      <w:r>
        <w:t xml:space="preserve">incumbent firms. Declining union coverage and occupational mobility may also </w:t>
      </w:r>
      <w:r w:rsidR="55E9877B">
        <w:t xml:space="preserve">have </w:t>
      </w:r>
      <w:r>
        <w:t xml:space="preserve">played </w:t>
      </w:r>
      <w:r w:rsidR="75D46C10">
        <w:t xml:space="preserve">a </w:t>
      </w:r>
      <w:r>
        <w:t xml:space="preserve">role, but </w:t>
      </w:r>
      <w:r w:rsidR="0056534E">
        <w:t>declining firm entry appears to have been the main driver</w:t>
      </w:r>
      <w:r>
        <w:t>.</w:t>
      </w:r>
    </w:p>
    <w:p w14:paraId="39D94552" w14:textId="77777777" w:rsidR="001C7E53" w:rsidRPr="00C43D76" w:rsidRDefault="01211331" w:rsidP="00F91AE4">
      <w:pPr>
        <w:pStyle w:val="SingleParagraph"/>
      </w:pPr>
      <w:r>
        <w:t xml:space="preserve">JEL Classification Numbers: C23, C55, D22, D43, E24, J30 </w:t>
      </w:r>
    </w:p>
    <w:p w14:paraId="5F4528CA" w14:textId="77777777" w:rsidR="001C7E53" w:rsidRDefault="01211331" w:rsidP="00F91AE4">
      <w:pPr>
        <w:pStyle w:val="SingleParagraph"/>
      </w:pPr>
      <w:r>
        <w:t>Keywords: wages, market power, labour markets, concentration</w:t>
      </w:r>
    </w:p>
    <w:p w14:paraId="7B3AAA97" w14:textId="77777777" w:rsidR="001C7E53" w:rsidRDefault="001C7E53" w:rsidP="00F91AE4">
      <w:pPr>
        <w:pStyle w:val="SingleParagraph"/>
      </w:pPr>
    </w:p>
    <w:p w14:paraId="14AF6190" w14:textId="77777777" w:rsidR="001C7E53" w:rsidRDefault="001C7E53" w:rsidP="00F91AE4">
      <w:pPr>
        <w:pStyle w:val="SingleParagraph"/>
      </w:pPr>
      <w:r>
        <w:t>Jonathan Hambur</w:t>
      </w:r>
    </w:p>
    <w:p w14:paraId="273E8AC9" w14:textId="77777777" w:rsidR="001C7E53" w:rsidRPr="00F022A1" w:rsidRDefault="001C7E53" w:rsidP="00F91AE4">
      <w:pPr>
        <w:pStyle w:val="SingleParagraph"/>
      </w:pPr>
      <w:r w:rsidRPr="00F022A1">
        <w:t>Macroeconomic Group</w:t>
      </w:r>
    </w:p>
    <w:p w14:paraId="255F00B6" w14:textId="77777777" w:rsidR="001C7E53" w:rsidRPr="00F022A1" w:rsidRDefault="001C7E53" w:rsidP="00F91AE4">
      <w:pPr>
        <w:pStyle w:val="SingleParagraph"/>
      </w:pPr>
      <w:r w:rsidRPr="00F022A1">
        <w:t>The Treasury</w:t>
      </w:r>
    </w:p>
    <w:p w14:paraId="48AB08BA" w14:textId="77777777" w:rsidR="001C7E53" w:rsidRPr="00F022A1" w:rsidRDefault="001C7E53" w:rsidP="00F91AE4">
      <w:pPr>
        <w:pStyle w:val="SingleParagraph"/>
      </w:pPr>
      <w:r w:rsidRPr="00F022A1">
        <w:t>Langton Crescent</w:t>
      </w:r>
    </w:p>
    <w:p w14:paraId="647AB3C4" w14:textId="7E0217A8" w:rsidR="001C7E53" w:rsidRDefault="001C7E53" w:rsidP="00F91AE4">
      <w:pPr>
        <w:pStyle w:val="SingleParagraph"/>
      </w:pPr>
      <w:r w:rsidRPr="00F022A1">
        <w:t>Parkes ACT  2600</w:t>
      </w:r>
    </w:p>
    <w:p w14:paraId="524F4B21" w14:textId="77777777" w:rsidR="001C7E53" w:rsidRDefault="001C7E53" w:rsidP="00F91AE4">
      <w:pPr>
        <w:pStyle w:val="SingleParagraph"/>
      </w:pPr>
    </w:p>
    <w:p w14:paraId="47022487" w14:textId="77777777" w:rsidR="001C7E53" w:rsidRDefault="001C7E53" w:rsidP="00F91AE4"/>
    <w:p w14:paraId="38402C54" w14:textId="77777777" w:rsidR="001C7E53" w:rsidRDefault="001C7E53" w:rsidP="00F91AE4">
      <w:pPr>
        <w:sectPr w:rsidR="001C7E53" w:rsidSect="000F6538">
          <w:footerReference w:type="first" r:id="rId24"/>
          <w:pgSz w:w="11906" w:h="16838" w:code="9"/>
          <w:pgMar w:top="1843" w:right="1418" w:bottom="1418" w:left="1418" w:header="567" w:footer="567" w:gutter="0"/>
          <w:cols w:space="708"/>
          <w:titlePg/>
          <w:docGrid w:linePitch="360"/>
        </w:sectPr>
      </w:pPr>
    </w:p>
    <w:p w14:paraId="10F171D4" w14:textId="77777777" w:rsidR="001C7E53" w:rsidRPr="00A57848" w:rsidRDefault="001C7E53" w:rsidP="00F91AE4">
      <w:pPr>
        <w:pStyle w:val="Heading2"/>
        <w:numPr>
          <w:ilvl w:val="0"/>
          <w:numId w:val="25"/>
        </w:numPr>
        <w:tabs>
          <w:tab w:val="clear" w:pos="3402"/>
        </w:tabs>
        <w:ind w:left="397" w:hanging="397"/>
      </w:pPr>
      <w:r w:rsidRPr="00A57848">
        <w:lastRenderedPageBreak/>
        <w:t>Introduction</w:t>
      </w:r>
    </w:p>
    <w:p w14:paraId="19A8874B" w14:textId="4DEE7549" w:rsidR="001C7E53" w:rsidRDefault="0AA5D989" w:rsidP="007A0EDD">
      <w:r>
        <w:t>W</w:t>
      </w:r>
      <w:r w:rsidR="001C7E53">
        <w:t>age</w:t>
      </w:r>
      <w:r w:rsidR="00A257B1">
        <w:t>s</w:t>
      </w:r>
      <w:r w:rsidR="001C7E53">
        <w:t xml:space="preserve"> growth was slow in Australia, and many other advanced </w:t>
      </w:r>
      <w:r w:rsidR="5E842E3C">
        <w:t xml:space="preserve">economies, </w:t>
      </w:r>
      <w:r w:rsidR="5070C867">
        <w:t>a</w:t>
      </w:r>
      <w:r w:rsidR="2BABF86C">
        <w:t>cross a variety of measures</w:t>
      </w:r>
      <w:r w:rsidR="001C7E53">
        <w:t xml:space="preserve"> in the years leading up to COVID</w:t>
      </w:r>
      <w:r w:rsidR="4A77E4C6">
        <w:t>-</w:t>
      </w:r>
      <w:r w:rsidR="001C7E53">
        <w:t>19 (</w:t>
      </w:r>
      <w:r w:rsidR="001C7E53" w:rsidRPr="00E24818">
        <w:t xml:space="preserve">Australian </w:t>
      </w:r>
      <w:r w:rsidR="001C7E53" w:rsidRPr="007976C4">
        <w:t>Treasury 2017; Arsov and Evans 2018)</w:t>
      </w:r>
      <w:r w:rsidR="001C7E53">
        <w:t>. Much of the weakness could be explained by standard determinants</w:t>
      </w:r>
      <w:r w:rsidR="004A0E8F">
        <w:t>. For example, Cassidy (2019) uses one of the RBA’s standard models of wage</w:t>
      </w:r>
      <w:r w:rsidR="00A257B1">
        <w:t>s</w:t>
      </w:r>
      <w:r w:rsidR="004A0E8F">
        <w:t xml:space="preserve"> growth </w:t>
      </w:r>
      <w:r w:rsidR="6054BA5C">
        <w:t xml:space="preserve">to </w:t>
      </w:r>
      <w:r w:rsidR="004A0E8F">
        <w:t>show that most of the decline in wages growth</w:t>
      </w:r>
      <w:r w:rsidR="00507C9E">
        <w:t xml:space="preserve"> can be explained by higher labour market spare capacity, and lower inflation and inflation expectations</w:t>
      </w:r>
      <w:r w:rsidR="345F6635">
        <w:t>.</w:t>
      </w:r>
      <w:r w:rsidR="00507C9E">
        <w:t xml:space="preserve"> Still,</w:t>
      </w:r>
      <w:r w:rsidR="001C7E53" w:rsidRPr="007976C4">
        <w:t xml:space="preserve"> wages growth remained moderately lower than expected</w:t>
      </w:r>
      <w:r w:rsidR="7BA415A3">
        <w:t xml:space="preserve"> even when allowing for these factors</w:t>
      </w:r>
      <w:r w:rsidR="72E8E4D6">
        <w:t>.</w:t>
      </w:r>
      <w:r w:rsidR="001C7E53">
        <w:t xml:space="preserve"> </w:t>
      </w:r>
      <w:r w:rsidR="1589EB63">
        <w:t>This caused</w:t>
      </w:r>
      <w:r w:rsidR="001C7E53">
        <w:t xml:space="preserve"> increasing speculation </w:t>
      </w:r>
      <w:r w:rsidR="6949BCF3">
        <w:t xml:space="preserve">among </w:t>
      </w:r>
      <w:r w:rsidR="001C7E53">
        <w:t xml:space="preserve">academics and policymakers </w:t>
      </w:r>
      <w:r w:rsidR="5F09491D">
        <w:t>about</w:t>
      </w:r>
      <w:r w:rsidR="001C7E53">
        <w:t xml:space="preserve"> whether</w:t>
      </w:r>
      <w:r w:rsidR="001C7E53" w:rsidRPr="007976C4">
        <w:t xml:space="preserve"> deeper structural factors </w:t>
      </w:r>
      <w:r w:rsidR="001C7E53">
        <w:t>were</w:t>
      </w:r>
      <w:r w:rsidR="001C7E53" w:rsidRPr="007976C4">
        <w:t xml:space="preserve"> weighing on wages growth</w:t>
      </w:r>
      <w:r w:rsidR="001C7E53">
        <w:t xml:space="preserve"> </w:t>
      </w:r>
      <w:r w:rsidR="5E842E3C">
        <w:t>(</w:t>
      </w:r>
      <w:r w:rsidR="001C7E53" w:rsidRPr="00E24818">
        <w:t>Lowe 2018; Australian Treasury 2017; Andrews et al 20</w:t>
      </w:r>
      <w:r w:rsidR="00BA74C2">
        <w:t>19</w:t>
      </w:r>
      <w:r w:rsidR="001C7E53">
        <w:t>;</w:t>
      </w:r>
      <w:r w:rsidR="001C7E53" w:rsidRPr="00E24818">
        <w:t xml:space="preserve"> OECD</w:t>
      </w:r>
      <w:r w:rsidR="00BA74C2">
        <w:t xml:space="preserve"> </w:t>
      </w:r>
      <w:r w:rsidR="001C7E53" w:rsidRPr="00E24818">
        <w:t>2020).</w:t>
      </w:r>
    </w:p>
    <w:p w14:paraId="715B0157" w14:textId="30C2D93D" w:rsidR="001C7E53" w:rsidRDefault="001C7E53" w:rsidP="007A0EDD">
      <w:r>
        <w:t xml:space="preserve">The impetus to understand weak wages growth is clear. Wages growth plays a crucial role in inflation dynamics, in determining government revenue, and in the welfare of individuals. </w:t>
      </w:r>
      <w:r w:rsidR="7BCD4772">
        <w:t>Knowing</w:t>
      </w:r>
      <w:r>
        <w:t xml:space="preserve"> whether and what structural factors </w:t>
      </w:r>
      <w:r w:rsidR="6EA60222">
        <w:t xml:space="preserve">are </w:t>
      </w:r>
      <w:r>
        <w:t>weighing on wages is crucial to understanding future wage</w:t>
      </w:r>
      <w:r w:rsidR="00A257B1">
        <w:t>s</w:t>
      </w:r>
      <w:r>
        <w:t xml:space="preserve"> growth outcomes</w:t>
      </w:r>
      <w:r w:rsidR="3F76463C">
        <w:t xml:space="preserve">. It is also important in </w:t>
      </w:r>
      <w:r>
        <w:t>creating policy to counter the structural factors. To the extent that these structural factors remain, they could continue to weigh on wages in the post</w:t>
      </w:r>
      <w:r w:rsidR="0018466E">
        <w:noBreakHyphen/>
      </w:r>
      <w:r>
        <w:t>COVID period.</w:t>
      </w:r>
    </w:p>
    <w:p w14:paraId="4B4F502E" w14:textId="07B67363" w:rsidR="001C7E53" w:rsidRDefault="001C7E53" w:rsidP="007A0EDD">
      <w:r>
        <w:t xml:space="preserve">One explanation that has received attention in recent years is the possibility of decreasing competition and increasing concentration </w:t>
      </w:r>
      <w:r w:rsidR="35ED4E24">
        <w:t xml:space="preserve">among </w:t>
      </w:r>
      <w:r w:rsidRPr="00963943">
        <w:t>employers (OECD 2020). All else</w:t>
      </w:r>
      <w:r>
        <w:t xml:space="preserve"> equal, where there are fewer employers competing for workers, workers have fewer outside options to leverage in wage negotiations. As such, employers tend to have more power to set lower wages</w:t>
      </w:r>
      <w:r w:rsidR="18256A16">
        <w:t>. T</w:t>
      </w:r>
      <w:r>
        <w:t xml:space="preserve">his is </w:t>
      </w:r>
      <w:r w:rsidR="00BA74C2">
        <w:t>referred to as monopsony power.</w:t>
      </w:r>
    </w:p>
    <w:p w14:paraId="3CC3CC01" w14:textId="6F006B55" w:rsidR="001C7E53" w:rsidRDefault="001C7E53" w:rsidP="007A0EDD">
      <w:r>
        <w:t xml:space="preserve">The focus on employer concentration and </w:t>
      </w:r>
      <w:r w:rsidR="4CA7AE94">
        <w:t xml:space="preserve">labour </w:t>
      </w:r>
      <w:r>
        <w:t xml:space="preserve">market power as a potential explanation for low wages growth is unsurprising given the documented increase in concentration in product markets (Hambur </w:t>
      </w:r>
      <w:r w:rsidR="00BA74C2">
        <w:t>forthcoming</w:t>
      </w:r>
      <w:r>
        <w:t xml:space="preserve">; De Loecker at al 2020). </w:t>
      </w:r>
      <w:r w:rsidR="7663CEE2">
        <w:t>I</w:t>
      </w:r>
      <w:r>
        <w:t>ncreases in employer concentration could help explain other economic phenomena witnessed over the past decade, such as declines in measures of job</w:t>
      </w:r>
      <w:r w:rsidR="5D8621CA">
        <w:t xml:space="preserve"> </w:t>
      </w:r>
      <w:r>
        <w:t xml:space="preserve">switching in Australia (Deutscher 2019) and overseas </w:t>
      </w:r>
      <w:r w:rsidRPr="00AC3780">
        <w:t>(</w:t>
      </w:r>
      <w:r w:rsidRPr="00AC3780">
        <w:rPr>
          <w:rFonts w:cs="Arial"/>
          <w:shd w:val="clear" w:color="auto" w:fill="FFFFFF"/>
        </w:rPr>
        <w:t>Moscarini and Postel</w:t>
      </w:r>
      <w:r w:rsidR="00111D91">
        <w:rPr>
          <w:rFonts w:cs="Arial"/>
          <w:shd w:val="clear" w:color="auto" w:fill="FFFFFF"/>
        </w:rPr>
        <w:t>-</w:t>
      </w:r>
      <w:r w:rsidRPr="00AC3780">
        <w:rPr>
          <w:rFonts w:cs="Arial"/>
          <w:shd w:val="clear" w:color="auto" w:fill="FFFFFF"/>
        </w:rPr>
        <w:t>Vinay 2017</w:t>
      </w:r>
      <w:r w:rsidRPr="00AC3780">
        <w:t>).</w:t>
      </w:r>
      <w:r>
        <w:t xml:space="preserve"> </w:t>
      </w:r>
      <w:r w:rsidR="15E16085">
        <w:t xml:space="preserve">There is likely to be less job switching </w:t>
      </w:r>
      <w:r w:rsidR="2ACA2568">
        <w:t>when</w:t>
      </w:r>
      <w:r>
        <w:t xml:space="preserve"> there are fewer employers to switch between.</w:t>
      </w:r>
    </w:p>
    <w:p w14:paraId="3E760D4B" w14:textId="2513FB21" w:rsidR="001C7E53" w:rsidRDefault="001C7E53" w:rsidP="007A0EDD">
      <w:r>
        <w:t xml:space="preserve">While numerous papers have documented </w:t>
      </w:r>
      <w:r w:rsidR="51B16491">
        <w:t xml:space="preserve">the impact of </w:t>
      </w:r>
      <w:r>
        <w:t xml:space="preserve">employer concentration on wages overseas, there has </w:t>
      </w:r>
      <w:r w:rsidR="2DFB0F7A">
        <w:t xml:space="preserve">to date </w:t>
      </w:r>
      <w:r>
        <w:t xml:space="preserve">been no work for Australia. Accordingly, in this paper I </w:t>
      </w:r>
      <w:r w:rsidR="5E842E3C">
        <w:t>provid</w:t>
      </w:r>
      <w:r w:rsidR="004E3783">
        <w:t>e</w:t>
      </w:r>
      <w:r>
        <w:t xml:space="preserve"> the first Australian evidence using a comprehensive de</w:t>
      </w:r>
      <w:r w:rsidR="0018466E">
        <w:noBreakHyphen/>
      </w:r>
      <w:r>
        <w:t xml:space="preserve">identified </w:t>
      </w:r>
      <w:r w:rsidR="1B9D92CA">
        <w:t>L</w:t>
      </w:r>
      <w:r w:rsidR="5E842E3C">
        <w:t xml:space="preserve">inked </w:t>
      </w:r>
      <w:r w:rsidR="0B9C24EB">
        <w:t>E</w:t>
      </w:r>
      <w:r w:rsidR="5E842E3C">
        <w:t>mployer</w:t>
      </w:r>
      <w:r w:rsidR="2DC8F1B2">
        <w:t>-</w:t>
      </w:r>
      <w:r w:rsidR="59D22B81">
        <w:t>E</w:t>
      </w:r>
      <w:r>
        <w:t xml:space="preserve">mployee </w:t>
      </w:r>
      <w:r w:rsidR="4D9DFF49">
        <w:t>D</w:t>
      </w:r>
      <w:r>
        <w:t>ataset (LEED) based on administrative tax data.</w:t>
      </w:r>
    </w:p>
    <w:p w14:paraId="51E8C24C" w14:textId="5EEF3C36" w:rsidR="001C7E53" w:rsidRDefault="001C7E53" w:rsidP="007A0EDD">
      <w:r>
        <w:t xml:space="preserve">First, I document the degree of concentration in Australian labour markets and how this changed </w:t>
      </w:r>
      <w:r w:rsidR="3738CD7F">
        <w:t>between</w:t>
      </w:r>
      <w:r>
        <w:t xml:space="preserve"> 2005 </w:t>
      </w:r>
      <w:r w:rsidR="6B5F7518">
        <w:t xml:space="preserve">and </w:t>
      </w:r>
      <w:r>
        <w:t xml:space="preserve">2016. I find that Australian labour markets are slightly less concentrated than overseas markets, </w:t>
      </w:r>
      <w:r w:rsidR="586A8D08">
        <w:t>al</w:t>
      </w:r>
      <w:r w:rsidR="5E842E3C">
        <w:t>though</w:t>
      </w:r>
      <w:r>
        <w:t xml:space="preserve"> there is a great deal of variation</w:t>
      </w:r>
      <w:r w:rsidR="6994B80A">
        <w:t>.</w:t>
      </w:r>
      <w:r>
        <w:t xml:space="preserve"> </w:t>
      </w:r>
      <w:r w:rsidR="00A85CCF">
        <w:t>For example, m</w:t>
      </w:r>
      <w:r>
        <w:t>ore remote markets tend to be more concentrated. Overall, concentration has been broadly unchanged since the mid</w:t>
      </w:r>
      <w:r w:rsidR="0018466E">
        <w:noBreakHyphen/>
      </w:r>
      <w:r>
        <w:t>2000s.</w:t>
      </w:r>
      <w:r w:rsidR="293EB663">
        <w:t xml:space="preserve"> </w:t>
      </w:r>
    </w:p>
    <w:p w14:paraId="6972C575" w14:textId="73D562AA" w:rsidR="001C7E53" w:rsidRDefault="001C7E53" w:rsidP="007A0EDD">
      <w:r>
        <w:t xml:space="preserve">I then examine the relationship between concentration and wages. I find that wages tend to be lower in more concentrated markets (all else equal), consistent with economic theory. But even within markets there is a </w:t>
      </w:r>
      <w:r w:rsidR="0BB97260">
        <w:t>lot</w:t>
      </w:r>
      <w:r>
        <w:t xml:space="preserve"> of variation</w:t>
      </w:r>
      <w:r w:rsidR="259BEA53">
        <w:t>.</w:t>
      </w:r>
      <w:r w:rsidR="5E842E3C">
        <w:t xml:space="preserve"> </w:t>
      </w:r>
      <w:r w:rsidR="7F7439DC">
        <w:t>L</w:t>
      </w:r>
      <w:r>
        <w:t>arger firms tend to exert more market power and</w:t>
      </w:r>
      <w:r w:rsidR="45407A3A">
        <w:t>,</w:t>
      </w:r>
      <w:r>
        <w:t xml:space="preserve"> therefore</w:t>
      </w:r>
      <w:r w:rsidR="4238A62E">
        <w:t>,</w:t>
      </w:r>
      <w:r>
        <w:t xml:space="preserve"> set lower wages (after accounting for differences in productivity). This suggests that models of oligopsony may be more appropriate than models of monopsony, consistent with recent papers such as Berger et al (2021).</w:t>
      </w:r>
    </w:p>
    <w:p w14:paraId="730E1043" w14:textId="40C790F1" w:rsidR="001C7E53" w:rsidRDefault="001C7E53" w:rsidP="007A0EDD">
      <w:r>
        <w:t>Further, the impact of concentration on wages appears to have increased over time. For any given level of concentration, its impact on wages has more than doubled compared to the mid</w:t>
      </w:r>
      <w:r w:rsidR="0018466E">
        <w:noBreakHyphen/>
      </w:r>
      <w:r>
        <w:t>2000s. So</w:t>
      </w:r>
      <w:r w:rsidR="4C9AC27C">
        <w:t>,</w:t>
      </w:r>
      <w:r>
        <w:t xml:space="preserve"> </w:t>
      </w:r>
      <w:r>
        <w:lastRenderedPageBreak/>
        <w:t xml:space="preserve">despite concentration </w:t>
      </w:r>
      <w:r w:rsidR="5E842E3C">
        <w:t>remain</w:t>
      </w:r>
      <w:r w:rsidR="16FE6E18">
        <w:t>ing</w:t>
      </w:r>
      <w:r>
        <w:t xml:space="preserve"> broadly unchanged over the period, </w:t>
      </w:r>
      <w:r w:rsidR="3A48D2E1">
        <w:t xml:space="preserve">it </w:t>
      </w:r>
      <w:r>
        <w:t>may still have weighed on wages growth pre</w:t>
      </w:r>
      <w:r w:rsidR="0018466E">
        <w:noBreakHyphen/>
      </w:r>
      <w:r>
        <w:t>COVID. Simple back</w:t>
      </w:r>
      <w:r w:rsidR="0018466E">
        <w:noBreakHyphen/>
      </w:r>
      <w:r>
        <w:t>of</w:t>
      </w:r>
      <w:r w:rsidR="719D372E">
        <w:t>-</w:t>
      </w:r>
      <w:r>
        <w:t>the</w:t>
      </w:r>
      <w:r w:rsidR="0018466E">
        <w:noBreakHyphen/>
      </w:r>
      <w:r>
        <w:t>envelope partial equilibrium estimates suggest wages were a little under 1 per cent lower on average from 2011</w:t>
      </w:r>
      <w:r w:rsidR="604C794C">
        <w:t xml:space="preserve"> to </w:t>
      </w:r>
      <w:r>
        <w:t>2015 than they would have been had the impact of concentration not increased.</w:t>
      </w:r>
    </w:p>
    <w:p w14:paraId="7D92D6B8" w14:textId="3F360318" w:rsidR="001C7E53" w:rsidRDefault="001C7E53" w:rsidP="007A0EDD">
      <w:r>
        <w:t xml:space="preserve">Finally, I examine several potential explanations for the increased impact of given levels of concentration. The results suggest declining firm dynamism and entry rates over the 2010s played an important role </w:t>
      </w:r>
      <w:r w:rsidR="276BF9CA">
        <w:t xml:space="preserve">as </w:t>
      </w:r>
      <w:r w:rsidR="00E413A6">
        <w:t>incumbents</w:t>
      </w:r>
      <w:r w:rsidR="276BF9CA">
        <w:t xml:space="preserve"> faced less competition </w:t>
      </w:r>
      <w:r w:rsidR="2DD2902E">
        <w:t>from new firms</w:t>
      </w:r>
      <w:r>
        <w:t xml:space="preserve"> for workers. In turn, this potentially weighed on aggregate </w:t>
      </w:r>
      <w:r w:rsidR="5E842E3C">
        <w:t>wages</w:t>
      </w:r>
      <w:r>
        <w:t xml:space="preserve"> growth.</w:t>
      </w:r>
    </w:p>
    <w:p w14:paraId="05443EC4" w14:textId="665162FA" w:rsidR="001C7E53" w:rsidRDefault="7235E07A" w:rsidP="007A0EDD">
      <w:r>
        <w:t>D</w:t>
      </w:r>
      <w:r w:rsidR="5E842E3C">
        <w:t>eclines</w:t>
      </w:r>
      <w:r w:rsidR="001C7E53">
        <w:t xml:space="preserve"> in union membership may have also contributed to the increased impact of concentration</w:t>
      </w:r>
      <w:r w:rsidR="12F89BBD">
        <w:t xml:space="preserve"> by</w:t>
      </w:r>
      <w:r w:rsidR="001C7E53">
        <w:t xml:space="preserve"> </w:t>
      </w:r>
      <w:r w:rsidR="003E3952">
        <w:t xml:space="preserve">weakening </w:t>
      </w:r>
      <w:r w:rsidR="001C7E53">
        <w:t>offsetting worker bargaining power</w:t>
      </w:r>
      <w:r w:rsidR="003E3952">
        <w:t xml:space="preserve"> as </w:t>
      </w:r>
      <w:r w:rsidR="00507C9E">
        <w:t xml:space="preserve">higher levels of union membership </w:t>
      </w:r>
      <w:r w:rsidR="003E3952">
        <w:t>appear</w:t>
      </w:r>
      <w:r w:rsidR="605F5C34">
        <w:t xml:space="preserve"> </w:t>
      </w:r>
      <w:r w:rsidR="00507C9E">
        <w:t>to provide some offset to employer concentration. However, declining firm entry rates appear to have played a more significant rol</w:t>
      </w:r>
      <w:r w:rsidR="0080105F">
        <w:t>e in making employer concentration more impactful.</w:t>
      </w:r>
    </w:p>
    <w:p w14:paraId="2628AAAA" w14:textId="77777777" w:rsidR="001C7E53" w:rsidRDefault="001C7E53" w:rsidP="007A0EDD">
      <w:r w:rsidRPr="00530AFA">
        <w:t xml:space="preserve">Finally, evidence suggests that declining occupational mobility may also have weighed on worker wages by limiting their ability to leverage job opportunities outside their current occupation. However, the interaction between declining occupational mobility and the impact of </w:t>
      </w:r>
      <w:r>
        <w:t>concentration o</w:t>
      </w:r>
      <w:r w:rsidRPr="00530AFA">
        <w:t>n</w:t>
      </w:r>
      <w:r>
        <w:t xml:space="preserve"> wages</w:t>
      </w:r>
      <w:r w:rsidRPr="00530AFA">
        <w:t xml:space="preserve"> is less clear.</w:t>
      </w:r>
    </w:p>
    <w:p w14:paraId="0127FDD9" w14:textId="0EBDE233" w:rsidR="001C7E53" w:rsidRDefault="74DB11F5" w:rsidP="007A0EDD">
      <w:r>
        <w:t>These</w:t>
      </w:r>
      <w:r w:rsidR="001C7E53">
        <w:t xml:space="preserve"> results highlight the dual channels through which declining firm dynamism and competitive pressures can weigh on wages growth: indirectly through its impact on productivity (Andrews and Hansell 2021; Andrews et al 202</w:t>
      </w:r>
      <w:r w:rsidR="00BA74C2">
        <w:t>2</w:t>
      </w:r>
      <w:r w:rsidR="00F41510">
        <w:t>; Hambur forthcoming</w:t>
      </w:r>
      <w:r w:rsidR="001C7E53">
        <w:t xml:space="preserve">); and more directly by impacting worker bargaining power. These results motivate an ongoing focus on potential obstacles to firm entry, growth and dynamism, </w:t>
      </w:r>
      <w:r w:rsidR="4C8213CE">
        <w:t>and how that affects</w:t>
      </w:r>
      <w:r w:rsidR="001C7E53">
        <w:t xml:space="preserve"> wage and growth outcomes. They also suggest that wages growth could remain lower than expected if dynamism remains subdued.</w:t>
      </w:r>
    </w:p>
    <w:p w14:paraId="7642293F" w14:textId="4AA6B397" w:rsidR="001C7E53" w:rsidRDefault="001C7E53" w:rsidP="007A0EDD">
      <w:r>
        <w:t>The next section of the paper provides an overview of the international literature on labour market concentration, monopsony and wages. Section 3 discusses the data used in the analysis. Section 4 documents labour market concentration in Australia, and how it has changed over time. Section 5 examines the relationship between wages and labour market concentration, while section 6 examines explanations for the increasing impact of concentration. Section 7 concludes.</w:t>
      </w:r>
    </w:p>
    <w:p w14:paraId="633557A9" w14:textId="77777777" w:rsidR="001C7E53" w:rsidRDefault="001C7E53" w:rsidP="00F91AE4">
      <w:pPr>
        <w:pStyle w:val="Heading2"/>
        <w:numPr>
          <w:ilvl w:val="0"/>
          <w:numId w:val="25"/>
        </w:numPr>
        <w:tabs>
          <w:tab w:val="clear" w:pos="3402"/>
        </w:tabs>
        <w:ind w:left="397" w:hanging="397"/>
      </w:pPr>
      <w:r w:rsidRPr="006738B3">
        <w:t>Literature</w:t>
      </w:r>
    </w:p>
    <w:p w14:paraId="1070EADB" w14:textId="36E41F49" w:rsidR="001C7E53" w:rsidRDefault="001C7E53" w:rsidP="008C628B">
      <w:r>
        <w:t>Labour market, or monopsony, power is defined as the ability of a firm to influence the wage that it will pay.</w:t>
      </w:r>
      <w:r>
        <w:rPr>
          <w:rStyle w:val="FootnoteReference"/>
        </w:rPr>
        <w:footnoteReference w:id="3"/>
      </w:r>
      <w:r>
        <w:t xml:space="preserve"> If a firm has no monopsony power (the labour market is perfectly competitive), if it sets a wage below the market rate it will not be able to attract workers. </w:t>
      </w:r>
      <w:r w:rsidR="000D2BB1">
        <w:t>A</w:t>
      </w:r>
      <w:r>
        <w:t xml:space="preserve"> firm </w:t>
      </w:r>
      <w:r w:rsidR="000D2BB1">
        <w:t xml:space="preserve">with </w:t>
      </w:r>
      <w:r>
        <w:t xml:space="preserve">some market power may be able to set a lower wage </w:t>
      </w:r>
      <w:r w:rsidR="000D2BB1">
        <w:t>and</w:t>
      </w:r>
      <w:r w:rsidR="003C01D7">
        <w:t xml:space="preserve"> </w:t>
      </w:r>
      <w:r>
        <w:t xml:space="preserve">still attract some staff. </w:t>
      </w:r>
      <w:r w:rsidR="000D2BB1">
        <w:t>This</w:t>
      </w:r>
      <w:r>
        <w:t xml:space="preserve"> market power could </w:t>
      </w:r>
      <w:r w:rsidR="000D2BB1">
        <w:t>be</w:t>
      </w:r>
      <w:r>
        <w:t xml:space="preserve"> due to </w:t>
      </w:r>
      <w:r w:rsidR="000D2BB1">
        <w:t>the</w:t>
      </w:r>
      <w:r w:rsidR="005F34EA">
        <w:t xml:space="preserve"> </w:t>
      </w:r>
      <w:r>
        <w:t>costs</w:t>
      </w:r>
      <w:r w:rsidR="000D2BB1">
        <w:t xml:space="preserve"> </w:t>
      </w:r>
      <w:r w:rsidR="00D90C9B">
        <w:t xml:space="preserve">for </w:t>
      </w:r>
      <w:r>
        <w:t xml:space="preserve">workers </w:t>
      </w:r>
      <w:r w:rsidR="000D2BB1">
        <w:t xml:space="preserve">of </w:t>
      </w:r>
      <w:r>
        <w:t>finding a new job</w:t>
      </w:r>
      <w:r w:rsidR="00251C5B">
        <w:t>, a lack of</w:t>
      </w:r>
      <w:r>
        <w:t xml:space="preserve"> other firms </w:t>
      </w:r>
      <w:r w:rsidR="00D90C9B">
        <w:t>offering work</w:t>
      </w:r>
      <w:r>
        <w:t xml:space="preserve">, or </w:t>
      </w:r>
      <w:r w:rsidR="00EB5FF9">
        <w:t>that available employers</w:t>
      </w:r>
      <w:r>
        <w:t xml:space="preserve"> aren</w:t>
      </w:r>
      <w:r w:rsidR="0018466E">
        <w:t>’</w:t>
      </w:r>
      <w:r>
        <w:t>t perfectly substitutable</w:t>
      </w:r>
      <w:r w:rsidR="00FA4C65">
        <w:t xml:space="preserve"> such as</w:t>
      </w:r>
      <w:r>
        <w:t xml:space="preserve"> in terms of working conditions or culture.</w:t>
      </w:r>
    </w:p>
    <w:p w14:paraId="56EE7BB8" w14:textId="388B3AB3" w:rsidR="001C7E53" w:rsidRDefault="001C7E53" w:rsidP="008C628B">
      <w:r>
        <w:t xml:space="preserve">There is a large literature examining </w:t>
      </w:r>
      <w:r w:rsidR="00D06BC7">
        <w:t xml:space="preserve">the implications of </w:t>
      </w:r>
      <w:r>
        <w:t xml:space="preserve">monopsony power </w:t>
      </w:r>
      <w:r w:rsidR="00FA4C65">
        <w:t>for</w:t>
      </w:r>
      <w:r>
        <w:t xml:space="preserve"> wages, employment, and policymaking with respect to, for example, minimum wages. The topic has received a lot of focus in recent years in response to slow wages growth, and evidence of increasing inequality and declining </w:t>
      </w:r>
      <w:r>
        <w:lastRenderedPageBreak/>
        <w:t>labour shares in some advanced economies.</w:t>
      </w:r>
      <w:r>
        <w:rPr>
          <w:rStyle w:val="FootnoteReference"/>
        </w:rPr>
        <w:footnoteReference w:id="4"/>
      </w:r>
      <w:r>
        <w:t xml:space="preserve"> </w:t>
      </w:r>
      <w:r w:rsidR="00E71659">
        <w:t xml:space="preserve">Of </w:t>
      </w:r>
      <w:r>
        <w:t xml:space="preserve">particular </w:t>
      </w:r>
      <w:r w:rsidR="00E71659">
        <w:t>interest</w:t>
      </w:r>
      <w:r>
        <w:t xml:space="preserve"> </w:t>
      </w:r>
      <w:r w:rsidR="00097F48">
        <w:t xml:space="preserve">to </w:t>
      </w:r>
      <w:r>
        <w:t xml:space="preserve">academics and policymakers </w:t>
      </w:r>
      <w:r w:rsidR="00097F48">
        <w:t>is</w:t>
      </w:r>
      <w:r>
        <w:t xml:space="preserve"> the role of concentration in labour markets (OECD 2020). This is perhaps unsurprising given the coincident increase in, and focus on, concentration in product markets (De Loecker et al 2020</w:t>
      </w:r>
      <w:r w:rsidR="00F41510">
        <w:t>; Hambur forthcoming</w:t>
      </w:r>
      <w:r>
        <w:t>).</w:t>
      </w:r>
    </w:p>
    <w:p w14:paraId="160D2979" w14:textId="2E0DE0E7" w:rsidR="001C7E53" w:rsidRDefault="001C7E53" w:rsidP="008C628B">
      <w:pPr>
        <w:rPr>
          <w:rFonts w:eastAsiaTheme="minorEastAsia"/>
          <w:lang w:val="en-US"/>
        </w:rPr>
      </w:pPr>
      <w:r>
        <w:t>In thinking about the impact of concentration on monopsony power, search</w:t>
      </w:r>
      <w:r w:rsidR="0018466E">
        <w:noBreakHyphen/>
      </w:r>
      <w:r>
        <w:t>and</w:t>
      </w:r>
      <w:r w:rsidR="0018466E">
        <w:noBreakHyphen/>
      </w:r>
      <w:r>
        <w:t>match type models are useful for intuition. In these models, workers have to search for job offers to gain or change jobs, while firms make job offers and search for workers. When a worker and a firm match, the wage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i,t</m:t>
            </m:r>
          </m:sub>
        </m:sSub>
        <m:r>
          <w:rPr>
            <w:rFonts w:ascii="Cambria Math" w:hAnsi="Cambria Math"/>
            <w:lang w:val="en-US"/>
          </w:rPr>
          <m:t>)</m:t>
        </m:r>
      </m:oMath>
      <w:r>
        <w:rPr>
          <w:rFonts w:eastAsiaTheme="minorEastAsia"/>
          <w:lang w:val="en-US"/>
        </w:rPr>
        <w:t xml:space="preserve"> is set to split the </w:t>
      </w:r>
      <w:r w:rsidR="0018466E">
        <w:rPr>
          <w:rFonts w:eastAsiaTheme="minorEastAsia"/>
          <w:lang w:val="en-US"/>
        </w:rPr>
        <w:t>‘</w:t>
      </w:r>
      <w:r>
        <w:rPr>
          <w:rFonts w:eastAsiaTheme="minorEastAsia"/>
          <w:lang w:val="en-US"/>
        </w:rPr>
        <w:t>surplus</w:t>
      </w:r>
      <w:r w:rsidR="0018466E">
        <w:rPr>
          <w:rFonts w:eastAsiaTheme="minorEastAsia"/>
          <w:lang w:val="en-US"/>
        </w:rPr>
        <w:t>’</w:t>
      </w:r>
      <w:r>
        <w:rPr>
          <w:rFonts w:eastAsiaTheme="minorEastAsia"/>
          <w:lang w:val="en-US"/>
        </w:rPr>
        <w:t xml:space="preserve"> created by the job. This surplus is the difference between the revenue generated by the job </w:t>
      </w:r>
      <w:r>
        <w:rPr>
          <w:lang w:val="en-US"/>
        </w:rPr>
        <w:t>(</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i,t</m:t>
            </m:r>
          </m:sub>
        </m:sSub>
        <m:r>
          <w:rPr>
            <w:rFonts w:ascii="Cambria Math" w:hAnsi="Cambria Math"/>
            <w:lang w:val="en-US"/>
          </w:rPr>
          <m:t>)</m:t>
        </m:r>
      </m:oMath>
      <w:r>
        <w:rPr>
          <w:rFonts w:eastAsiaTheme="minorEastAsia"/>
          <w:lang w:val="en-US"/>
        </w:rPr>
        <w:t>, and the worker</w:t>
      </w:r>
      <w:r w:rsidR="0018466E">
        <w:rPr>
          <w:rFonts w:eastAsiaTheme="minorEastAsia"/>
          <w:lang w:val="en-US"/>
        </w:rPr>
        <w:t>’</w:t>
      </w:r>
      <w:r>
        <w:rPr>
          <w:rFonts w:eastAsiaTheme="minorEastAsia"/>
          <w:lang w:val="en-US"/>
        </w:rPr>
        <w:t>s outside options (</w:t>
      </w:r>
      <m:oMath>
        <m:sSub>
          <m:sSubPr>
            <m:ctrlPr>
              <w:rPr>
                <w:rFonts w:ascii="Cambria Math" w:hAnsi="Cambria Math"/>
                <w:i/>
                <w:lang w:val="en-US"/>
              </w:rPr>
            </m:ctrlPr>
          </m:sSubPr>
          <m:e>
            <m:r>
              <w:rPr>
                <w:rFonts w:ascii="Cambria Math" w:hAnsi="Cambria Math"/>
                <w:lang w:val="en-US"/>
              </w:rPr>
              <m:t>oo</m:t>
            </m:r>
          </m:e>
          <m:sub>
            <m:r>
              <w:rPr>
                <w:rFonts w:ascii="Cambria Math" w:hAnsi="Cambria Math"/>
                <w:lang w:val="en-US"/>
              </w:rPr>
              <m:t>i,t</m:t>
            </m:r>
          </m:sub>
        </m:sSub>
      </m:oMath>
      <w:r>
        <w:rPr>
          <w:rFonts w:eastAsiaTheme="minorEastAsia"/>
          <w:lang w:val="en-US"/>
        </w:rPr>
        <w:t>), which includes unemployment (and associated benefit payments) and the chance finding other jobs.</w:t>
      </w:r>
    </w:p>
    <w:p w14:paraId="11FCC274" w14:textId="4758BDFB" w:rsidR="001C7E53" w:rsidRDefault="00000000" w:rsidP="008C628B">
      <m:oMathPara>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i,t</m:t>
              </m:r>
            </m:sub>
          </m:sSub>
          <m:r>
            <w:rPr>
              <w:rFonts w:ascii="Cambria Math" w:hAnsi="Cambria Math"/>
              <w:lang w:val="en-US"/>
            </w:rPr>
            <m:t>=β(</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i,t</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1-β(</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m:t>
                  </m:r>
                </m:sub>
              </m:sSub>
              <m:r>
                <w:rPr>
                  <w:rFonts w:ascii="Cambria Math" w:hAnsi="Cambria Math"/>
                  <w:lang w:val="en-US"/>
                </w:rPr>
                <m:t>)</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oo</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Concentration</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m:t>
              </m:r>
            </m:sub>
          </m:sSub>
          <m:r>
            <w:rPr>
              <w:rFonts w:ascii="Cambria Math" w:hAnsi="Cambria Math"/>
              <w:lang w:val="en-US"/>
            </w:rPr>
            <m:t>)</m:t>
          </m:r>
        </m:oMath>
      </m:oMathPara>
    </w:p>
    <w:p w14:paraId="28BC9829" w14:textId="0BCAE1F9" w:rsidR="001C7E53" w:rsidRDefault="001C7E53" w:rsidP="008C628B">
      <w:pPr>
        <w:rPr>
          <w:lang w:val="en-US"/>
        </w:rPr>
      </w:pPr>
      <w:r>
        <w:rPr>
          <w:lang w:val="en-US"/>
        </w:rPr>
        <w:t xml:space="preserve">As discussed in </w:t>
      </w:r>
      <w:r w:rsidRPr="000959D3">
        <w:rPr>
          <w:lang w:val="en-US"/>
        </w:rPr>
        <w:t>Jarosch</w:t>
      </w:r>
      <w:r>
        <w:rPr>
          <w:lang w:val="en-US"/>
        </w:rPr>
        <w:t xml:space="preserve"> et al</w:t>
      </w:r>
      <w:r w:rsidRPr="000959D3">
        <w:rPr>
          <w:lang w:val="en-US"/>
        </w:rPr>
        <w:t xml:space="preserve"> </w:t>
      </w:r>
      <w:r>
        <w:rPr>
          <w:lang w:val="en-US"/>
        </w:rPr>
        <w:t xml:space="preserve">(2019) and </w:t>
      </w:r>
      <w:r w:rsidRPr="000959D3">
        <w:rPr>
          <w:lang w:val="en-US"/>
        </w:rPr>
        <w:t xml:space="preserve">Schubert et al </w:t>
      </w:r>
      <w:r>
        <w:rPr>
          <w:lang w:val="en-US"/>
        </w:rPr>
        <w:t>(</w:t>
      </w:r>
      <w:r w:rsidRPr="000959D3">
        <w:rPr>
          <w:lang w:val="en-US"/>
        </w:rPr>
        <w:t>2021</w:t>
      </w:r>
      <w:r>
        <w:rPr>
          <w:lang w:val="en-US"/>
        </w:rPr>
        <w:t xml:space="preserve">), if there </w:t>
      </w:r>
      <w:r w:rsidR="001744DC">
        <w:rPr>
          <w:lang w:val="en-US"/>
        </w:rPr>
        <w:t xml:space="preserve">is </w:t>
      </w:r>
      <w:r>
        <w:rPr>
          <w:lang w:val="en-US"/>
        </w:rPr>
        <w:t xml:space="preserve">only a small number of potential </w:t>
      </w:r>
      <w:r w:rsidR="001744DC">
        <w:rPr>
          <w:lang w:val="en-US"/>
        </w:rPr>
        <w:t xml:space="preserve">alternative </w:t>
      </w:r>
      <w:r>
        <w:rPr>
          <w:lang w:val="en-US"/>
        </w:rPr>
        <w:t>employers the chances of getting an offer from one of them will be lower. This will lower the value of workers</w:t>
      </w:r>
      <w:r w:rsidR="0018466E">
        <w:rPr>
          <w:lang w:val="en-US"/>
        </w:rPr>
        <w:t>’</w:t>
      </w:r>
      <w:r>
        <w:rPr>
          <w:lang w:val="en-US"/>
        </w:rPr>
        <w:t xml:space="preserve"> outside options and</w:t>
      </w:r>
      <w:r w:rsidR="001744DC">
        <w:rPr>
          <w:lang w:val="en-US"/>
        </w:rPr>
        <w:t>,</w:t>
      </w:r>
      <w:r>
        <w:rPr>
          <w:lang w:val="en-US"/>
        </w:rPr>
        <w:t xml:space="preserve"> therefore</w:t>
      </w:r>
      <w:r w:rsidR="001744DC">
        <w:rPr>
          <w:lang w:val="en-US"/>
        </w:rPr>
        <w:t>,</w:t>
      </w:r>
      <w:r>
        <w:rPr>
          <w:lang w:val="en-US"/>
        </w:rPr>
        <w:t xml:space="preserve"> their ability to bargain for a higher wage.</w:t>
      </w:r>
      <w:r>
        <w:rPr>
          <w:rStyle w:val="FootnoteReference"/>
          <w:lang w:val="en-US"/>
        </w:rPr>
        <w:footnoteReference w:id="5"/>
      </w:r>
    </w:p>
    <w:p w14:paraId="66262353" w14:textId="66B75622" w:rsidR="001C7E53" w:rsidRDefault="001C7E53" w:rsidP="008C628B">
      <w:r>
        <w:t xml:space="preserve">Numerous papers have demonstrated this link empirically. They find that </w:t>
      </w:r>
      <w:r w:rsidRPr="008046A3">
        <w:t>increases in labour market concentration are associated with lower wages</w:t>
      </w:r>
      <w:r>
        <w:t xml:space="preserve">, all else equal. This has been documented for </w:t>
      </w:r>
      <w:r w:rsidRPr="008046A3">
        <w:t>the US (</w:t>
      </w:r>
      <w:r w:rsidR="00BA74C2">
        <w:t xml:space="preserve">Lipsius 2018; </w:t>
      </w:r>
      <w:r w:rsidRPr="008046A3">
        <w:t>Benmel</w:t>
      </w:r>
      <w:r>
        <w:t>e</w:t>
      </w:r>
      <w:r w:rsidRPr="008046A3">
        <w:t xml:space="preserve">ch et al </w:t>
      </w:r>
      <w:r>
        <w:t>202</w:t>
      </w:r>
      <w:r w:rsidR="00BA74C2">
        <w:t>2</w:t>
      </w:r>
      <w:r>
        <w:t>),</w:t>
      </w:r>
      <w:r w:rsidRPr="008046A3">
        <w:t xml:space="preserve"> </w:t>
      </w:r>
      <w:r>
        <w:t>UK</w:t>
      </w:r>
      <w:r w:rsidRPr="008046A3">
        <w:t xml:space="preserve"> (Abel et al 2018)</w:t>
      </w:r>
      <w:r>
        <w:t>, Austria (</w:t>
      </w:r>
      <w:r w:rsidRPr="000959D3">
        <w:rPr>
          <w:lang w:val="en-US"/>
        </w:rPr>
        <w:t>Jarosch</w:t>
      </w:r>
      <w:r>
        <w:rPr>
          <w:lang w:val="en-US"/>
        </w:rPr>
        <w:t xml:space="preserve"> </w:t>
      </w:r>
      <w:r w:rsidR="00BA74C2">
        <w:rPr>
          <w:lang w:val="en-US"/>
        </w:rPr>
        <w:t xml:space="preserve">et al </w:t>
      </w:r>
      <w:r>
        <w:t>2019) and in cross</w:t>
      </w:r>
      <w:r w:rsidR="0018466E">
        <w:noBreakHyphen/>
      </w:r>
      <w:r>
        <w:t>country analysis (OECD 2021). These papers have varied in the data used to construct measures concentration, creating concentration metrics using employment</w:t>
      </w:r>
      <w:r w:rsidRPr="008046A3">
        <w:t xml:space="preserve"> </w:t>
      </w:r>
      <w:r>
        <w:t xml:space="preserve">stocks </w:t>
      </w:r>
      <w:r w:rsidRPr="008046A3">
        <w:t xml:space="preserve">(Rinz 2018), </w:t>
      </w:r>
      <w:r>
        <w:t>job advertisements</w:t>
      </w:r>
      <w:r w:rsidRPr="008046A3">
        <w:t xml:space="preserve"> (Azar et al </w:t>
      </w:r>
      <w:r>
        <w:t>2020</w:t>
      </w:r>
      <w:r w:rsidRPr="008046A3">
        <w:t xml:space="preserve">) and new hires (Marinescu et al </w:t>
      </w:r>
      <w:r>
        <w:t>2021</w:t>
      </w:r>
      <w:r w:rsidR="00BA74C2">
        <w:t>).</w:t>
      </w:r>
    </w:p>
    <w:p w14:paraId="60261D76" w14:textId="72C86DEA" w:rsidR="001C7E53" w:rsidRDefault="001C7E53" w:rsidP="008C628B">
      <w:r>
        <w:t xml:space="preserve">Nevertheless, evidence </w:t>
      </w:r>
      <w:r w:rsidR="00C634C5">
        <w:t xml:space="preserve">is mixed </w:t>
      </w:r>
      <w:r w:rsidR="00A832C8">
        <w:t>on</w:t>
      </w:r>
      <w:r w:rsidR="00C634C5">
        <w:t xml:space="preserve"> </w:t>
      </w:r>
      <w:r>
        <w:t xml:space="preserve">whether </w:t>
      </w:r>
      <w:r w:rsidR="00A832C8">
        <w:t xml:space="preserve">there has been an increase in </w:t>
      </w:r>
      <w:r>
        <w:t>labour market concentration. In fact, both Benmelech et al (202</w:t>
      </w:r>
      <w:r w:rsidR="00BA74C2">
        <w:t>2</w:t>
      </w:r>
      <w:r>
        <w:t>) and Rinz (2018) find that local labour market concentration rates have been stable to</w:t>
      </w:r>
      <w:r w:rsidR="00BA74C2">
        <w:t xml:space="preserve"> declining in the US over time.</w:t>
      </w:r>
    </w:p>
    <w:p w14:paraId="314530CD" w14:textId="67F13B09" w:rsidR="001C7E53" w:rsidRDefault="001C7E53" w:rsidP="008C628B">
      <w:pPr>
        <w:rPr>
          <w:rFonts w:eastAsiaTheme="minorEastAsia"/>
          <w:lang w:val="en-US"/>
        </w:rPr>
      </w:pPr>
      <w:r>
        <w:t>While this might suggest that labour market concentration is unlikely to explain weaker wage</w:t>
      </w:r>
      <w:r w:rsidR="00A257B1">
        <w:t>s</w:t>
      </w:r>
      <w:r>
        <w:t xml:space="preserve"> growth, it is also possible that the impact of concentration could vary over time due </w:t>
      </w:r>
      <w:r w:rsidR="002C21A1">
        <w:t xml:space="preserve">to </w:t>
      </w:r>
      <w:r>
        <w:t>other factors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m:t>
            </m:r>
          </m:sub>
        </m:sSub>
      </m:oMath>
      <w:r>
        <w:rPr>
          <w:rFonts w:eastAsiaTheme="minorEastAsia"/>
          <w:lang w:val="en-US"/>
        </w:rPr>
        <w:t xml:space="preserve">). For example, in </w:t>
      </w:r>
      <w:r w:rsidRPr="000959D3">
        <w:rPr>
          <w:lang w:val="en-US"/>
        </w:rPr>
        <w:t xml:space="preserve">Schubert et al </w:t>
      </w:r>
      <w:r>
        <w:rPr>
          <w:lang w:val="en-US"/>
        </w:rPr>
        <w:t>(</w:t>
      </w:r>
      <w:r w:rsidRPr="000959D3">
        <w:rPr>
          <w:lang w:val="en-US"/>
        </w:rPr>
        <w:t>2021</w:t>
      </w:r>
      <w:r>
        <w:rPr>
          <w:lang w:val="en-US"/>
        </w:rPr>
        <w:t>) concentration has a smaller absolute impact where worker</w:t>
      </w:r>
      <w:r w:rsidR="0018466E">
        <w:rPr>
          <w:lang w:val="en-US"/>
        </w:rPr>
        <w:t>’</w:t>
      </w:r>
      <w:r>
        <w:rPr>
          <w:lang w:val="en-US"/>
        </w:rPr>
        <w:t>s bargaining power</w:t>
      </w:r>
      <m:oMath>
        <m:r>
          <w:rPr>
            <w:rFonts w:ascii="Cambria Math" w:hAnsi="Cambria Math"/>
            <w:lang w:val="en-US"/>
          </w:rPr>
          <m:t xml:space="preserve"> β(</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m:t>
            </m:r>
          </m:sub>
        </m:sSub>
        <m:r>
          <w:rPr>
            <w:rFonts w:ascii="Cambria Math" w:hAnsi="Cambria Math"/>
            <w:lang w:val="en-US"/>
          </w:rPr>
          <m:t>)</m:t>
        </m:r>
      </m:oMath>
      <w:r w:rsidR="00BA74C2">
        <w:rPr>
          <w:lang w:val="en-US"/>
        </w:rPr>
        <w:t xml:space="preserve"> is higher.</w:t>
      </w:r>
    </w:p>
    <w:p w14:paraId="466E08C1" w14:textId="7059796D" w:rsidR="001C7E53" w:rsidRDefault="001C7E53" w:rsidP="008C628B">
      <w:r>
        <w:t>Empirically, Benmelech et al (202</w:t>
      </w:r>
      <w:r w:rsidR="00BA74C2">
        <w:t>2</w:t>
      </w:r>
      <w:r>
        <w:t xml:space="preserve">) find that concentration weighed more heavily on wages in the US </w:t>
      </w:r>
      <w:r w:rsidR="00941A56">
        <w:t>from</w:t>
      </w:r>
      <w:r>
        <w:t xml:space="preserve"> 2008 to 2016, compared to earlier periods. They link this to declining union membership and</w:t>
      </w:r>
      <w:r w:rsidR="00941A56">
        <w:t xml:space="preserve">, </w:t>
      </w:r>
      <w:r>
        <w:t>therefore</w:t>
      </w:r>
      <w:r w:rsidR="00941A56">
        <w:t>,</w:t>
      </w:r>
      <w:r>
        <w:t xml:space="preserve"> lower offsetting collective worker power</w:t>
      </w:r>
      <w:r w:rsidR="00941A56">
        <w:t xml:space="preserve">. They find </w:t>
      </w:r>
      <w:r>
        <w:t xml:space="preserve">that the impact of concentration on wages was smaller (in absolute terms) where union enrolment rates were higher. Abel et al (2018) find similar results for collective bargaining. Finally, Schubert et al (2021) </w:t>
      </w:r>
      <w:r w:rsidR="00941A56">
        <w:t>find</w:t>
      </w:r>
      <w:r>
        <w:t xml:space="preserve"> that employer concentration is less impactful in industries or occupations with greater occupational mobility</w:t>
      </w:r>
      <w:r w:rsidR="00B07B2F">
        <w:t xml:space="preserve"> because</w:t>
      </w:r>
      <w:r>
        <w:t xml:space="preserve"> workers can more easily change occupations, </w:t>
      </w:r>
      <w:r w:rsidR="007D61F4">
        <w:t xml:space="preserve">increasing </w:t>
      </w:r>
      <w:r>
        <w:t>their set of outside options.</w:t>
      </w:r>
    </w:p>
    <w:p w14:paraId="0652BD9E" w14:textId="7B62288C" w:rsidR="001C7E53" w:rsidRDefault="001C7E53" w:rsidP="008C628B">
      <w:r>
        <w:t xml:space="preserve">There has also been an increasing focus on heterogeneity </w:t>
      </w:r>
      <w:r w:rsidR="007D61F4">
        <w:t xml:space="preserve">among </w:t>
      </w:r>
      <w:r>
        <w:t xml:space="preserve">firms within markets. </w:t>
      </w:r>
      <w:r w:rsidRPr="008046A3">
        <w:t xml:space="preserve">While early papers focused on </w:t>
      </w:r>
      <w:r>
        <w:t>monopsonistic models</w:t>
      </w:r>
      <w:r w:rsidRPr="008046A3">
        <w:t>, Berger et al (</w:t>
      </w:r>
      <w:r>
        <w:t>2021</w:t>
      </w:r>
      <w:r w:rsidRPr="008046A3">
        <w:t xml:space="preserve">) recently extended the focus to </w:t>
      </w:r>
      <w:r>
        <w:t>oligopsonistic</w:t>
      </w:r>
      <w:r w:rsidRPr="008046A3">
        <w:t xml:space="preserve"> models, highlighting the potential for differing labour supply elasticities</w:t>
      </w:r>
      <w:r w:rsidR="007D61F4">
        <w:t xml:space="preserve"> </w:t>
      </w:r>
      <w:r w:rsidRPr="008046A3">
        <w:t>and</w:t>
      </w:r>
      <w:r w:rsidR="007D61F4">
        <w:t>,</w:t>
      </w:r>
      <w:r w:rsidRPr="008046A3">
        <w:t xml:space="preserve"> therefore</w:t>
      </w:r>
      <w:r w:rsidR="007D61F4">
        <w:t>,</w:t>
      </w:r>
      <w:r w:rsidRPr="008046A3">
        <w:t xml:space="preserve"> wage</w:t>
      </w:r>
      <w:r>
        <w:t>s</w:t>
      </w:r>
      <w:r w:rsidRPr="008046A3">
        <w:t xml:space="preserve"> </w:t>
      </w:r>
      <w:r>
        <w:t xml:space="preserve">(or wage </w:t>
      </w:r>
      <w:r w:rsidRPr="008046A3">
        <w:t>markdowns</w:t>
      </w:r>
      <w:r>
        <w:t>)</w:t>
      </w:r>
      <w:r w:rsidR="007D61F4">
        <w:t xml:space="preserve"> among </w:t>
      </w:r>
      <w:r w:rsidRPr="008046A3">
        <w:t>firms with different market shares.</w:t>
      </w:r>
      <w:r>
        <w:t xml:space="preserve"> Benmelech et al (202</w:t>
      </w:r>
      <w:r w:rsidR="00BA74C2">
        <w:t>2</w:t>
      </w:r>
      <w:r>
        <w:t xml:space="preserve">) and </w:t>
      </w:r>
      <w:r>
        <w:lastRenderedPageBreak/>
        <w:t>Jarosch et al (2019) outline models with similar results.</w:t>
      </w:r>
      <w:r w:rsidRPr="008046A3">
        <w:t xml:space="preserve"> An important implication is that the entire distribution of market shares may be important </w:t>
      </w:r>
      <w:r>
        <w:t xml:space="preserve">in considering the effect on wages, </w:t>
      </w:r>
      <w:r w:rsidRPr="008046A3">
        <w:t>and that aggregate</w:t>
      </w:r>
      <w:r>
        <w:t xml:space="preserve"> concentration metrics could mask relevant changes.</w:t>
      </w:r>
    </w:p>
    <w:p w14:paraId="2F410049" w14:textId="2DC6EECD" w:rsidR="001C7E53" w:rsidRDefault="00BA74C2" w:rsidP="0002555E">
      <w:pPr>
        <w:pStyle w:val="Heading2"/>
        <w:numPr>
          <w:ilvl w:val="0"/>
          <w:numId w:val="25"/>
        </w:numPr>
        <w:tabs>
          <w:tab w:val="clear" w:pos="3402"/>
        </w:tabs>
        <w:spacing w:line="240" w:lineRule="auto"/>
        <w:ind w:left="397" w:hanging="397"/>
      </w:pPr>
      <w:r>
        <w:t>Data</w:t>
      </w:r>
    </w:p>
    <w:p w14:paraId="6BB4B899" w14:textId="26E81328" w:rsidR="001C7E53" w:rsidRDefault="001C7E53" w:rsidP="00136229">
      <w:r>
        <w:t xml:space="preserve">For the analysis, I use the LEED discussed in Appendix A </w:t>
      </w:r>
      <w:r w:rsidR="0002555E">
        <w:t xml:space="preserve">of </w:t>
      </w:r>
      <w:r>
        <w:t>Andrews et al (2019). This dataset links the near universe of employees and their wages to employers (via annual Pay</w:t>
      </w:r>
      <w:r w:rsidR="0018466E">
        <w:noBreakHyphen/>
      </w:r>
      <w:r>
        <w:t>As</w:t>
      </w:r>
      <w:r w:rsidR="0018466E">
        <w:noBreakHyphen/>
      </w:r>
      <w:r>
        <w:t>You</w:t>
      </w:r>
      <w:r w:rsidR="0018466E">
        <w:noBreakHyphen/>
      </w:r>
      <w:r>
        <w:t>Go PAYG statements)</w:t>
      </w:r>
      <w:r w:rsidR="002C4256">
        <w:t xml:space="preserve">. It also contains </w:t>
      </w:r>
      <w:r>
        <w:t>demographic information (</w:t>
      </w:r>
      <w:r w:rsidR="002C4256">
        <w:t>for example,</w:t>
      </w:r>
      <w:r>
        <w:t xml:space="preserve"> location) and information </w:t>
      </w:r>
      <w:r w:rsidR="00354455">
        <w:t xml:space="preserve">about </w:t>
      </w:r>
      <w:r>
        <w:t>the firm such as industry, revenue, expenses and employment. The dataset is highly representative</w:t>
      </w:r>
      <w:r w:rsidR="00D53FA9">
        <w:t xml:space="preserve"> </w:t>
      </w:r>
      <w:r>
        <w:t>and the number of workers covered in each industry lines up well with ABS employment releases (see Appendix A).</w:t>
      </w:r>
    </w:p>
    <w:p w14:paraId="0F1ABBBF" w14:textId="5C882B17" w:rsidR="001C7E53" w:rsidRDefault="001C7E53" w:rsidP="00136229">
      <w:r>
        <w:t>I focus on the period 2005</w:t>
      </w:r>
      <w:r w:rsidR="00D53FA9">
        <w:rPr>
          <w:rFonts w:ascii="Courier New" w:hAnsi="Courier New" w:cs="Courier New"/>
        </w:rPr>
        <w:t>-</w:t>
      </w:r>
      <w:r>
        <w:t>2016 due to the availability of job</w:t>
      </w:r>
      <w:r w:rsidR="0018466E">
        <w:noBreakHyphen/>
      </w:r>
      <w:r>
        <w:t xml:space="preserve">level location data. I focus on the market sector, removing the </w:t>
      </w:r>
      <w:r w:rsidR="00D53FA9">
        <w:t>p</w:t>
      </w:r>
      <w:r>
        <w:t xml:space="preserve">ublic </w:t>
      </w:r>
      <w:r w:rsidR="00D53FA9">
        <w:t>a</w:t>
      </w:r>
      <w:r>
        <w:t xml:space="preserve">dministration, </w:t>
      </w:r>
      <w:r w:rsidR="00D53FA9">
        <w:t>h</w:t>
      </w:r>
      <w:r>
        <w:t xml:space="preserve">ealth and </w:t>
      </w:r>
      <w:r w:rsidR="00D53FA9">
        <w:t>e</w:t>
      </w:r>
      <w:r>
        <w:t>ducation industries.</w:t>
      </w:r>
    </w:p>
    <w:p w14:paraId="0FA15319" w14:textId="3424582D" w:rsidR="001C7E53" w:rsidRDefault="001C7E53" w:rsidP="00136229">
      <w:r>
        <w:t xml:space="preserve">The literature tends to focus on concentration within </w:t>
      </w:r>
      <w:r w:rsidR="0018466E">
        <w:t>‘</w:t>
      </w:r>
      <w:r>
        <w:t>local</w:t>
      </w:r>
      <w:r w:rsidR="0018466E">
        <w:t>’</w:t>
      </w:r>
      <w:r>
        <w:t xml:space="preserve"> labour markets. These are defined as the intersection of a location and an industry or occupation. Accounting for location is important given it can be hard or costly for workers to move between areas. Similarly, many jobs have occupation</w:t>
      </w:r>
      <w:r w:rsidR="0018466E">
        <w:noBreakHyphen/>
      </w:r>
      <w:r>
        <w:t xml:space="preserve"> or industry</w:t>
      </w:r>
      <w:r w:rsidR="0018466E">
        <w:noBreakHyphen/>
      </w:r>
      <w:r>
        <w:t>specific skills</w:t>
      </w:r>
      <w:r w:rsidR="00FF1BF9">
        <w:t xml:space="preserve"> that </w:t>
      </w:r>
      <w:r>
        <w:t>prevent</w:t>
      </w:r>
      <w:r w:rsidR="00FF1BF9">
        <w:t xml:space="preserve"> </w:t>
      </w:r>
      <w:r>
        <w:t>workers moving easily between occupations or industries.</w:t>
      </w:r>
    </w:p>
    <w:p w14:paraId="3AFDAF36" w14:textId="51C3A9D1" w:rsidR="001C7E53" w:rsidRDefault="001C7E53" w:rsidP="00136229">
      <w:r>
        <w:t xml:space="preserve">For locations, I use working zones constructed in </w:t>
      </w:r>
      <w:r w:rsidR="00BA74C2">
        <w:t>BITRE</w:t>
      </w:r>
      <w:r>
        <w:t xml:space="preserve"> (2016). These are constructed using Census data on the home and work locations of workers and are designed to capture local areas within which people tend to both work and live. This makes them an ideal location definition. The results are robust to using alternate geographies such as SA4, or SA4 and Greater Capital City regions (Appendix A and B).</w:t>
      </w:r>
    </w:p>
    <w:p w14:paraId="31378F3F" w14:textId="34F419CD" w:rsidR="001C7E53" w:rsidRDefault="001C7E53" w:rsidP="00136229">
      <w:r>
        <w:t>For industry, I use ANZSIC 2006 3</w:t>
      </w:r>
      <w:r w:rsidR="0018466E">
        <w:noBreakHyphen/>
      </w:r>
      <w:r>
        <w:t>digit industries. I use industry rather than occupation data as it is available on a job</w:t>
      </w:r>
      <w:r w:rsidR="0018466E">
        <w:noBreakHyphen/>
      </w:r>
      <w:r>
        <w:t>level</w:t>
      </w:r>
      <w:r w:rsidR="004A6939">
        <w:t>. O</w:t>
      </w:r>
      <w:r>
        <w:t>ccupation data are only reported annually on an individual level. Moreover, other analysis has shown that people may be slow to update their occupations in their tax reporting. The results of the analysis are robust to using occupation data, as well as less granular ANZSIC categories (Appendix A and B), consistent with findings in other papers (Handwerker and Dey 20</w:t>
      </w:r>
      <w:r w:rsidR="00BA74C2">
        <w:t>22</w:t>
      </w:r>
      <w:r>
        <w:t>). However, given the lower quality of the occupation data, these results are not the focus of the paper.</w:t>
      </w:r>
      <w:r w:rsidRPr="00123C55">
        <w:rPr>
          <w:rStyle w:val="FootnoteReference"/>
        </w:rPr>
        <w:t xml:space="preserve"> </w:t>
      </w:r>
      <w:r>
        <w:rPr>
          <w:rStyle w:val="FootnoteReference"/>
        </w:rPr>
        <w:footnoteReference w:id="6"/>
      </w:r>
    </w:p>
    <w:p w14:paraId="3B7F3B8E" w14:textId="6F23BC8E" w:rsidR="001C7E53" w:rsidRDefault="001C7E53" w:rsidP="00136229">
      <w:r>
        <w:t xml:space="preserve">Based on these definitions, I have around 190 industries, 290 working zones, and </w:t>
      </w:r>
      <w:r w:rsidR="00224E7C">
        <w:t xml:space="preserve">about </w:t>
      </w:r>
      <w:r>
        <w:t>25,000</w:t>
      </w:r>
      <w:r w:rsidR="00BA74C2">
        <w:t xml:space="preserve"> local labour markets per year.</w:t>
      </w:r>
    </w:p>
    <w:p w14:paraId="1B1C7DFF" w14:textId="7434E978" w:rsidR="001C7E53" w:rsidRDefault="001C7E53" w:rsidP="00136229">
      <w:r>
        <w:t>My unit of observation is a plant. This is the intersection of a firm and a locality.</w:t>
      </w:r>
      <w:r>
        <w:rPr>
          <w:rStyle w:val="FootnoteReference"/>
        </w:rPr>
        <w:footnoteReference w:id="7"/>
      </w:r>
      <w:r>
        <w:t xml:space="preserve"> So, if a large chain has stores in two different working zones, these will be considered two different plants. This is a key advantage of the LEED. Most firm</w:t>
      </w:r>
      <w:r w:rsidR="0018466E">
        <w:noBreakHyphen/>
      </w:r>
      <w:r>
        <w:t>level datasets will only record one location for a firm. However, based on this dataset I find that around half of all plants belong to multi</w:t>
      </w:r>
      <w:r w:rsidR="0018466E">
        <w:noBreakHyphen/>
      </w:r>
      <w:r>
        <w:t xml:space="preserve">plant firms – </w:t>
      </w:r>
      <w:r w:rsidR="00853E58">
        <w:t>that is</w:t>
      </w:r>
      <w:r>
        <w:t xml:space="preserve"> firms with workers and operations in multiple locations. And with the LEED, I can accurately allocate the workers to these different locations.</w:t>
      </w:r>
    </w:p>
    <w:p w14:paraId="2F91B7B7" w14:textId="77777777" w:rsidR="00A1085F" w:rsidRDefault="00A1085F" w:rsidP="00811A90">
      <w:pPr>
        <w:jc w:val="both"/>
      </w:pPr>
      <w:r>
        <w:br w:type="page"/>
      </w:r>
    </w:p>
    <w:p w14:paraId="2F1A5716" w14:textId="1DE75086" w:rsidR="001C7E53" w:rsidRDefault="001C7E53" w:rsidP="00811A90">
      <w:pPr>
        <w:jc w:val="both"/>
      </w:pPr>
      <w:r>
        <w:lastRenderedPageBreak/>
        <w:t>My measure of concentration is the Herfindahl</w:t>
      </w:r>
      <w:r w:rsidR="0018466E">
        <w:noBreakHyphen/>
      </w:r>
      <w:r>
        <w:t xml:space="preserve">Hirschman Index (HHI), defined as: </w:t>
      </w:r>
    </w:p>
    <w:p w14:paraId="208BAA5B" w14:textId="77777777" w:rsidR="001C7E53" w:rsidRDefault="00000000" w:rsidP="00811A90">
      <w:pPr>
        <w:jc w:val="center"/>
      </w:pPr>
      <m:oMath>
        <m:sSub>
          <m:sSubPr>
            <m:ctrlPr>
              <w:rPr>
                <w:rFonts w:ascii="Cambria Math" w:hAnsi="Cambria Math"/>
                <w:i/>
                <w:iCs/>
              </w:rPr>
            </m:ctrlPr>
          </m:sSubPr>
          <m:e>
            <m:r>
              <w:rPr>
                <w:rFonts w:ascii="Cambria Math" w:hAnsi="Cambria Math"/>
              </w:rPr>
              <m:t>HHI</m:t>
            </m:r>
          </m:e>
          <m:sub>
            <m:r>
              <w:rPr>
                <w:rFonts w:ascii="Cambria Math" w:hAnsi="Cambria Math"/>
              </w:rPr>
              <m:t>market,t</m:t>
            </m:r>
          </m:sub>
        </m:sSub>
        <m:r>
          <w:rPr>
            <w:rFonts w:ascii="Cambria Math" w:hAnsi="Cambria Math"/>
          </w:rPr>
          <m:t>=</m:t>
        </m:r>
        <m:nary>
          <m:naryPr>
            <m:chr m:val="∑"/>
            <m:supHide m:val="1"/>
            <m:ctrlPr>
              <w:rPr>
                <w:rFonts w:ascii="Cambria Math" w:hAnsi="Cambria Math"/>
                <w:i/>
                <w:iCs/>
              </w:rPr>
            </m:ctrlPr>
          </m:naryPr>
          <m:sub>
            <m:r>
              <w:rPr>
                <w:rFonts w:ascii="Cambria Math" w:hAnsi="Cambria Math"/>
              </w:rPr>
              <m:t>plant ∈Market</m:t>
            </m:r>
          </m:sub>
          <m:sup/>
          <m:e>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sSub>
                          <m:sSubPr>
                            <m:ctrlPr>
                              <w:rPr>
                                <w:rFonts w:ascii="Cambria Math" w:hAnsi="Cambria Math"/>
                                <w:i/>
                                <w:iCs/>
                              </w:rPr>
                            </m:ctrlPr>
                          </m:sSubPr>
                          <m:e>
                            <m:r>
                              <w:rPr>
                                <w:rFonts w:ascii="Cambria Math" w:hAnsi="Cambria Math"/>
                              </w:rPr>
                              <m:t>Plant headcount or wagebill </m:t>
                            </m:r>
                          </m:e>
                          <m:sub>
                            <m:r>
                              <w:rPr>
                                <w:rFonts w:ascii="Cambria Math" w:hAnsi="Cambria Math"/>
                              </w:rPr>
                              <m:t>plant,t</m:t>
                            </m:r>
                          </m:sub>
                        </m:sSub>
                      </m:num>
                      <m:den>
                        <m:sSub>
                          <m:sSubPr>
                            <m:ctrlPr>
                              <w:rPr>
                                <w:rFonts w:ascii="Cambria Math" w:hAnsi="Cambria Math"/>
                                <w:i/>
                                <w:iCs/>
                              </w:rPr>
                            </m:ctrlPr>
                          </m:sSubPr>
                          <m:e>
                            <m:r>
                              <w:rPr>
                                <w:rFonts w:ascii="Cambria Math" w:hAnsi="Cambria Math"/>
                              </w:rPr>
                              <m:t>Market headcount or wagebill </m:t>
                            </m:r>
                          </m:e>
                          <m:sub>
                            <m:r>
                              <w:rPr>
                                <w:rFonts w:ascii="Cambria Math" w:hAnsi="Cambria Math"/>
                              </w:rPr>
                              <m:t>t</m:t>
                            </m:r>
                          </m:sub>
                        </m:sSub>
                      </m:den>
                    </m:f>
                  </m:e>
                </m:d>
              </m:e>
              <m:sup>
                <m:r>
                  <w:rPr>
                    <w:rFonts w:ascii="Cambria Math" w:hAnsi="Cambria Math"/>
                  </w:rPr>
                  <m:t>2</m:t>
                </m:r>
              </m:sup>
            </m:sSup>
          </m:e>
        </m:nary>
      </m:oMath>
      <w:r w:rsidR="001C7E53">
        <w:t xml:space="preserve"> </w:t>
      </w:r>
    </w:p>
    <w:p w14:paraId="291323DA" w14:textId="77777777" w:rsidR="001C7E53" w:rsidRDefault="001C7E53" w:rsidP="00136229">
      <w:r>
        <w:t>This is a standard measure of concentration used in the literature. The HHI is bounded from 0 to 1. Low levels of the HHI indicate low levels of concentration (lots of small firms). High levels of the HHI indicate a highly concentrated market, with an HHI of 1 showing that there is only one employer.</w:t>
      </w:r>
    </w:p>
    <w:p w14:paraId="5E531DE9" w14:textId="42AD404A" w:rsidR="001C7E53" w:rsidRDefault="001C7E53" w:rsidP="00136229">
      <w:r>
        <w:t xml:space="preserve">Most papers focus on </w:t>
      </w:r>
      <w:r w:rsidR="005D3707">
        <w:t xml:space="preserve">an </w:t>
      </w:r>
      <w:r>
        <w:t>employment</w:t>
      </w:r>
      <w:r w:rsidR="0018466E">
        <w:noBreakHyphen/>
      </w:r>
      <w:r>
        <w:t>based measure of concentration. However, Berger et al (2021) argue that wage</w:t>
      </w:r>
      <w:r w:rsidR="0018466E">
        <w:noBreakHyphen/>
      </w:r>
      <w:r>
        <w:t>based measures are more relevant. For example, wage</w:t>
      </w:r>
      <w:r w:rsidR="0018466E">
        <w:noBreakHyphen/>
      </w:r>
      <w:r>
        <w:t>based measures are likely to be less impacted by part</w:t>
      </w:r>
      <w:r w:rsidR="0018466E">
        <w:noBreakHyphen/>
      </w:r>
      <w:r>
        <w:t>time workers or worker turnover. As such, I analyse both employee</w:t>
      </w:r>
      <w:r w:rsidR="0018466E">
        <w:noBreakHyphen/>
      </w:r>
      <w:r>
        <w:t xml:space="preserve"> and wage</w:t>
      </w:r>
      <w:r w:rsidR="0018466E">
        <w:noBreakHyphen/>
      </w:r>
      <w:r>
        <w:t xml:space="preserve">based concentration measures, but mainly focus on </w:t>
      </w:r>
      <w:r w:rsidR="00136229">
        <w:t xml:space="preserve">an </w:t>
      </w:r>
      <w:r>
        <w:t>employment</w:t>
      </w:r>
      <w:r w:rsidR="0018466E">
        <w:noBreakHyphen/>
      </w:r>
      <w:r>
        <w:t>based measure for comparability to the literature (see Appendix A and B for wage</w:t>
      </w:r>
      <w:r w:rsidR="0018466E">
        <w:noBreakHyphen/>
      </w:r>
      <w:r>
        <w:t>based concentration results). Results are robust to this choice.</w:t>
      </w:r>
    </w:p>
    <w:p w14:paraId="35AF6AEE" w14:textId="1AD4B28D" w:rsidR="001C7E53" w:rsidRDefault="001C7E53" w:rsidP="00136229">
      <w:r>
        <w:t>As discussed below, in the regression analysis I control for productivity. Unfortunately, this can only be modelled at the firm</w:t>
      </w:r>
      <w:r w:rsidR="00893693">
        <w:t xml:space="preserve"> level</w:t>
      </w:r>
      <w:r>
        <w:t>, rather than plant</w:t>
      </w:r>
      <w:r w:rsidR="00D50CDE">
        <w:t xml:space="preserve"> </w:t>
      </w:r>
      <w:r>
        <w:t>level. For these regressions I focus on companies and exclude 2016 due to data constraints. I measure productivity as the ratio of value</w:t>
      </w:r>
      <w:r w:rsidR="0018466E">
        <w:noBreakHyphen/>
      </w:r>
      <w:r>
        <w:t>added to employees. Value</w:t>
      </w:r>
      <w:r w:rsidR="0018466E">
        <w:noBreakHyphen/>
      </w:r>
      <w:r>
        <w:t>added is defined as income less all expenses other than depreciation, interest expenses and wage expenses, which are not subtracted.</w:t>
      </w:r>
    </w:p>
    <w:p w14:paraId="25A60CE5" w14:textId="77777777" w:rsidR="001C7E53" w:rsidRDefault="001C7E53" w:rsidP="00136229">
      <w:r>
        <w:t>In these regressions, wages are measured as total wages in the local market, or plant, divided by the number of workers.</w:t>
      </w:r>
    </w:p>
    <w:p w14:paraId="6E497E43" w14:textId="182D9886" w:rsidR="001C7E53" w:rsidRDefault="001C7E53" w:rsidP="00F91AE4">
      <w:pPr>
        <w:pStyle w:val="Heading2"/>
        <w:numPr>
          <w:ilvl w:val="0"/>
          <w:numId w:val="25"/>
        </w:numPr>
        <w:tabs>
          <w:tab w:val="clear" w:pos="3402"/>
        </w:tabs>
        <w:ind w:left="397" w:hanging="397"/>
      </w:pPr>
      <w:r>
        <w:t xml:space="preserve">How </w:t>
      </w:r>
      <w:r w:rsidR="00BA28D1">
        <w:t>c</w:t>
      </w:r>
      <w:r>
        <w:t xml:space="preserve">oncentrated are Australian </w:t>
      </w:r>
      <w:r w:rsidR="00BA28D1">
        <w:t>m</w:t>
      </w:r>
      <w:r>
        <w:t>arkets?</w:t>
      </w:r>
    </w:p>
    <w:p w14:paraId="147DBEB6" w14:textId="72EA354E" w:rsidR="001C7E53" w:rsidRDefault="001C7E53" w:rsidP="00136229">
      <w:r>
        <w:t xml:space="preserve">Table 1 provides summary statistics on the degree of concentration in Australian local labour markets. Assessing whether labour markets are highly concentrated is difficult given the lack of clear guidance on what constitutes a </w:t>
      </w:r>
      <w:r w:rsidR="0018466E">
        <w:t>‘</w:t>
      </w:r>
      <w:r>
        <w:t>concentrated</w:t>
      </w:r>
      <w:r w:rsidR="0018466E">
        <w:t>’</w:t>
      </w:r>
      <w:r>
        <w:t xml:space="preserve"> market. One benchmark that can be applied is whether the HHI is above 0.25. This benchmark is used by some </w:t>
      </w:r>
      <w:r w:rsidRPr="000959D3">
        <w:t xml:space="preserve">competition regulators in product markets (US Department of Justice </w:t>
      </w:r>
      <w:r w:rsidR="00BA74C2">
        <w:t xml:space="preserve">and Federal Trade Commission </w:t>
      </w:r>
      <w:r w:rsidRPr="000959D3">
        <w:t xml:space="preserve">2010), though whether it is appropriate for labour markets </w:t>
      </w:r>
      <w:r>
        <w:t>is</w:t>
      </w:r>
      <w:r w:rsidRPr="000959D3">
        <w:t xml:space="preserve"> unclear. On this metric around 58</w:t>
      </w:r>
      <w:r w:rsidR="00BA74C2">
        <w:t xml:space="preserve"> </w:t>
      </w:r>
      <w:r w:rsidRPr="000959D3">
        <w:t>per</w:t>
      </w:r>
      <w:r w:rsidR="00BA74C2">
        <w:t xml:space="preserve"> </w:t>
      </w:r>
      <w:r w:rsidRPr="000959D3">
        <w:t>cent of markets are concentrated. H</w:t>
      </w:r>
      <w:r>
        <w:t>owever, these market account for only around 14 per cent of workers, as smaller markets are, unsurprisingly, more concentrated.</w:t>
      </w:r>
    </w:p>
    <w:p w14:paraId="370A1506" w14:textId="74C29733" w:rsidR="001C7E53" w:rsidRDefault="00136229" w:rsidP="00136229">
      <w:r>
        <w:t>Another way to assess the level of concentration in Australian markets is to compare</w:t>
      </w:r>
      <w:r w:rsidR="001C7E53">
        <w:t xml:space="preserve"> them to other countries, </w:t>
      </w:r>
      <w:r w:rsidR="00386EC8">
        <w:t>al</w:t>
      </w:r>
      <w:r w:rsidR="001C7E53">
        <w:t xml:space="preserve">though </w:t>
      </w:r>
      <w:r w:rsidR="00386EC8">
        <w:t>this</w:t>
      </w:r>
      <w:r w:rsidR="001C7E53">
        <w:t xml:space="preserve"> can be difficult due to different industry and locality definitions. Still, on this basis Australian markets appear less concentrated than those in Europe. In the sample of European countries examined in OECD (2021)</w:t>
      </w:r>
      <w:r w:rsidR="00742485">
        <w:t>,</w:t>
      </w:r>
      <w:r w:rsidR="001C7E53">
        <w:t xml:space="preserve"> markets with an HHI above 0.25 account for around 20 per cent </w:t>
      </w:r>
      <w:r w:rsidR="00742485">
        <w:t>employment</w:t>
      </w:r>
      <w:r w:rsidR="001C7E53">
        <w:t xml:space="preserve">, on average. Australian markets similarly appear less concentrated than US markets, based on evidence from Rinz (2018) (Figure 1), </w:t>
      </w:r>
      <w:r w:rsidR="00EB7D5A">
        <w:t>al</w:t>
      </w:r>
      <w:r w:rsidR="001C7E53">
        <w:t xml:space="preserve">though </w:t>
      </w:r>
      <w:r w:rsidR="00EB7D5A">
        <w:t xml:space="preserve">they </w:t>
      </w:r>
      <w:r w:rsidR="001C7E53">
        <w:t>are potentially more concentrated than UK markets (Abel et al 2018).</w:t>
      </w:r>
    </w:p>
    <w:p w14:paraId="18D556E8" w14:textId="6BDAD0A8" w:rsidR="001C7E53" w:rsidRDefault="001C7E53" w:rsidP="00136229">
      <w:r>
        <w:t xml:space="preserve">These average levels hide a great deal of heterogeneity, as shown in Table 1. Part of this heterogeneity reflects difference across industries. As in the US, industries such as mining, manufacturing, transport and utilities, and retail trade tend to be more concentrated. In contrast, services, including </w:t>
      </w:r>
      <w:r>
        <w:lastRenderedPageBreak/>
        <w:t>accommodation and hospitality, tend to be less concentrated</w:t>
      </w:r>
      <w:r w:rsidR="00B569FE">
        <w:t>.</w:t>
      </w:r>
      <w:r>
        <w:t xml:space="preserve"> </w:t>
      </w:r>
      <w:r w:rsidR="00B569FE">
        <w:t>T</w:t>
      </w:r>
      <w:r>
        <w:t>his could</w:t>
      </w:r>
      <w:r w:rsidR="00B569FE">
        <w:t>,</w:t>
      </w:r>
      <w:r>
        <w:t xml:space="preserve"> in part</w:t>
      </w:r>
      <w:r w:rsidR="00B569FE">
        <w:t>,</w:t>
      </w:r>
      <w:r>
        <w:t xml:space="preserve"> reflect the fact that industry classifications tend to be less detailed in the services sector.</w:t>
      </w:r>
      <w:r>
        <w:rPr>
          <w:rStyle w:val="FootnoteReference"/>
        </w:rPr>
        <w:footnoteReference w:id="8"/>
      </w:r>
    </w:p>
    <w:p w14:paraId="32979390" w14:textId="041510C3" w:rsidR="001C7E53" w:rsidRDefault="001C7E53" w:rsidP="00F91AE4">
      <w:pPr>
        <w:pStyle w:val="TableMainHeading"/>
        <w:rPr>
          <w:noProof/>
        </w:rPr>
      </w:pPr>
      <w:r>
        <w:rPr>
          <w:noProof/>
        </w:rPr>
        <w:t>Table 1</w:t>
      </w:r>
      <w:r w:rsidR="006B62FB">
        <w:rPr>
          <w:noProof/>
        </w:rPr>
        <w:t>:</w:t>
      </w:r>
      <w:r w:rsidRPr="00504D8F">
        <w:rPr>
          <w:noProof/>
        </w:rPr>
        <w:t xml:space="preserve"> </w:t>
      </w:r>
      <w:r>
        <w:rPr>
          <w:noProof/>
        </w:rPr>
        <w:t xml:space="preserve">Summary statistics on concentration </w:t>
      </w:r>
    </w:p>
    <w:tbl>
      <w:tblPr>
        <w:tblW w:w="5000" w:type="pct"/>
        <w:tblCellMar>
          <w:left w:w="0" w:type="dxa"/>
          <w:right w:w="28" w:type="dxa"/>
        </w:tblCellMar>
        <w:tblLook w:val="04A0" w:firstRow="1" w:lastRow="0" w:firstColumn="1" w:lastColumn="0" w:noHBand="0" w:noVBand="1"/>
      </w:tblPr>
      <w:tblGrid>
        <w:gridCol w:w="2648"/>
        <w:gridCol w:w="3211"/>
        <w:gridCol w:w="3211"/>
      </w:tblGrid>
      <w:tr w:rsidR="001C7E53" w:rsidRPr="004852E2" w14:paraId="73253CE1" w14:textId="77777777" w:rsidTr="00D53792">
        <w:trPr>
          <w:trHeight w:val="290"/>
        </w:trPr>
        <w:tc>
          <w:tcPr>
            <w:tcW w:w="2646" w:type="dxa"/>
            <w:tcBorders>
              <w:top w:val="single" w:sz="4" w:space="0" w:color="auto"/>
              <w:left w:val="nil"/>
              <w:bottom w:val="single" w:sz="4" w:space="0" w:color="auto"/>
              <w:right w:val="nil"/>
            </w:tcBorders>
            <w:shd w:val="clear" w:color="auto" w:fill="auto"/>
            <w:noWrap/>
            <w:vAlign w:val="bottom"/>
            <w:hideMark/>
          </w:tcPr>
          <w:p w14:paraId="7C04BD52" w14:textId="77777777" w:rsidR="001C7E53" w:rsidRPr="004852E2" w:rsidRDefault="001C7E53" w:rsidP="00F91AE4">
            <w:pPr>
              <w:spacing w:after="0"/>
              <w:rPr>
                <w:rFonts w:cs="Calibri"/>
                <w:color w:val="000000"/>
                <w:sz w:val="20"/>
              </w:rPr>
            </w:pPr>
            <w:r w:rsidRPr="004852E2">
              <w:rPr>
                <w:rFonts w:cs="Calibri"/>
                <w:color w:val="000000"/>
                <w:sz w:val="20"/>
              </w:rPr>
              <w:t> </w:t>
            </w:r>
          </w:p>
        </w:tc>
        <w:tc>
          <w:tcPr>
            <w:tcW w:w="3212" w:type="dxa"/>
            <w:tcBorders>
              <w:top w:val="single" w:sz="4" w:space="0" w:color="auto"/>
              <w:left w:val="nil"/>
              <w:bottom w:val="single" w:sz="4" w:space="0" w:color="auto"/>
              <w:right w:val="nil"/>
            </w:tcBorders>
            <w:shd w:val="clear" w:color="auto" w:fill="auto"/>
            <w:noWrap/>
            <w:vAlign w:val="center"/>
            <w:hideMark/>
          </w:tcPr>
          <w:p w14:paraId="5CDFF3F7" w14:textId="77777777" w:rsidR="001C7E53" w:rsidRPr="004852E2" w:rsidRDefault="001C7E53" w:rsidP="000F659B">
            <w:pPr>
              <w:pStyle w:val="TableColumnHeadingCentred"/>
            </w:pPr>
            <w:r w:rsidRPr="004852E2">
              <w:t>Unweighted</w:t>
            </w:r>
          </w:p>
        </w:tc>
        <w:tc>
          <w:tcPr>
            <w:tcW w:w="3212" w:type="dxa"/>
            <w:tcBorders>
              <w:top w:val="single" w:sz="4" w:space="0" w:color="auto"/>
              <w:left w:val="nil"/>
              <w:bottom w:val="single" w:sz="4" w:space="0" w:color="auto"/>
              <w:right w:val="nil"/>
            </w:tcBorders>
            <w:shd w:val="clear" w:color="auto" w:fill="auto"/>
            <w:noWrap/>
            <w:vAlign w:val="center"/>
            <w:hideMark/>
          </w:tcPr>
          <w:p w14:paraId="169F2A44" w14:textId="77777777" w:rsidR="001C7E53" w:rsidRPr="004852E2" w:rsidRDefault="001C7E53" w:rsidP="000F659B">
            <w:pPr>
              <w:pStyle w:val="TableColumnHeadingCentred"/>
            </w:pPr>
            <w:r w:rsidRPr="004852E2">
              <w:t>Weighted</w:t>
            </w:r>
          </w:p>
        </w:tc>
      </w:tr>
      <w:tr w:rsidR="001C7E53" w:rsidRPr="004852E2" w14:paraId="6F1185B7" w14:textId="77777777" w:rsidTr="00D53792">
        <w:trPr>
          <w:trHeight w:val="454"/>
        </w:trPr>
        <w:tc>
          <w:tcPr>
            <w:tcW w:w="2646" w:type="dxa"/>
            <w:tcBorders>
              <w:top w:val="nil"/>
              <w:left w:val="nil"/>
              <w:bottom w:val="nil"/>
              <w:right w:val="nil"/>
            </w:tcBorders>
            <w:shd w:val="clear" w:color="auto" w:fill="auto"/>
            <w:noWrap/>
            <w:vAlign w:val="bottom"/>
            <w:hideMark/>
          </w:tcPr>
          <w:p w14:paraId="5E594728" w14:textId="77777777" w:rsidR="001C7E53" w:rsidRPr="004852E2" w:rsidRDefault="001C7E53" w:rsidP="000E00B5">
            <w:pPr>
              <w:pStyle w:val="TableTextLeft"/>
            </w:pPr>
            <w:r w:rsidRPr="004852E2">
              <w:t>25th percentile</w:t>
            </w:r>
          </w:p>
        </w:tc>
        <w:tc>
          <w:tcPr>
            <w:tcW w:w="3212" w:type="dxa"/>
            <w:tcBorders>
              <w:top w:val="nil"/>
              <w:left w:val="nil"/>
              <w:bottom w:val="nil"/>
              <w:right w:val="nil"/>
            </w:tcBorders>
            <w:shd w:val="clear" w:color="auto" w:fill="auto"/>
            <w:noWrap/>
            <w:vAlign w:val="bottom"/>
            <w:hideMark/>
          </w:tcPr>
          <w:p w14:paraId="220BAE29" w14:textId="77777777" w:rsidR="001C7E53" w:rsidRPr="004852E2" w:rsidRDefault="001C7E53" w:rsidP="000E00B5">
            <w:pPr>
              <w:pStyle w:val="TableTextCentered"/>
            </w:pPr>
            <w:r w:rsidRPr="004852E2">
              <w:t>0.153</w:t>
            </w:r>
          </w:p>
        </w:tc>
        <w:tc>
          <w:tcPr>
            <w:tcW w:w="3212" w:type="dxa"/>
            <w:tcBorders>
              <w:top w:val="nil"/>
              <w:left w:val="nil"/>
              <w:bottom w:val="nil"/>
              <w:right w:val="nil"/>
            </w:tcBorders>
            <w:shd w:val="clear" w:color="auto" w:fill="auto"/>
            <w:noWrap/>
            <w:vAlign w:val="bottom"/>
            <w:hideMark/>
          </w:tcPr>
          <w:p w14:paraId="35253290" w14:textId="77777777" w:rsidR="001C7E53" w:rsidRPr="004852E2" w:rsidRDefault="001C7E53" w:rsidP="000E00B5">
            <w:pPr>
              <w:pStyle w:val="TableTextCentered"/>
            </w:pPr>
            <w:r w:rsidRPr="004852E2">
              <w:t>0.011</w:t>
            </w:r>
          </w:p>
        </w:tc>
      </w:tr>
      <w:tr w:rsidR="001C7E53" w:rsidRPr="004852E2" w14:paraId="55C68AAF" w14:textId="77777777" w:rsidTr="00D53792">
        <w:trPr>
          <w:trHeight w:val="454"/>
        </w:trPr>
        <w:tc>
          <w:tcPr>
            <w:tcW w:w="2646" w:type="dxa"/>
            <w:tcBorders>
              <w:top w:val="nil"/>
              <w:left w:val="nil"/>
              <w:bottom w:val="nil"/>
              <w:right w:val="nil"/>
            </w:tcBorders>
            <w:shd w:val="clear" w:color="auto" w:fill="auto"/>
            <w:noWrap/>
            <w:vAlign w:val="bottom"/>
            <w:hideMark/>
          </w:tcPr>
          <w:p w14:paraId="5BA02A20" w14:textId="77777777" w:rsidR="001C7E53" w:rsidRPr="004852E2" w:rsidRDefault="001C7E53" w:rsidP="000E00B5">
            <w:pPr>
              <w:pStyle w:val="TableTextLeft"/>
            </w:pPr>
            <w:r w:rsidRPr="004852E2">
              <w:t>Median</w:t>
            </w:r>
          </w:p>
        </w:tc>
        <w:tc>
          <w:tcPr>
            <w:tcW w:w="3212" w:type="dxa"/>
            <w:tcBorders>
              <w:top w:val="nil"/>
              <w:left w:val="nil"/>
              <w:bottom w:val="nil"/>
              <w:right w:val="nil"/>
            </w:tcBorders>
            <w:shd w:val="clear" w:color="auto" w:fill="auto"/>
            <w:noWrap/>
            <w:vAlign w:val="bottom"/>
            <w:hideMark/>
          </w:tcPr>
          <w:p w14:paraId="2A7CEE0F" w14:textId="77777777" w:rsidR="001C7E53" w:rsidRPr="004852E2" w:rsidRDefault="001C7E53" w:rsidP="000E00B5">
            <w:pPr>
              <w:pStyle w:val="TableTextCentered"/>
            </w:pPr>
            <w:r w:rsidRPr="004852E2">
              <w:t>0.298</w:t>
            </w:r>
          </w:p>
        </w:tc>
        <w:tc>
          <w:tcPr>
            <w:tcW w:w="3212" w:type="dxa"/>
            <w:tcBorders>
              <w:top w:val="nil"/>
              <w:left w:val="nil"/>
              <w:bottom w:val="nil"/>
              <w:right w:val="nil"/>
            </w:tcBorders>
            <w:shd w:val="clear" w:color="auto" w:fill="auto"/>
            <w:noWrap/>
            <w:vAlign w:val="bottom"/>
            <w:hideMark/>
          </w:tcPr>
          <w:p w14:paraId="15C58686" w14:textId="77777777" w:rsidR="001C7E53" w:rsidRPr="004852E2" w:rsidRDefault="001C7E53" w:rsidP="000E00B5">
            <w:pPr>
              <w:pStyle w:val="TableTextCentered"/>
            </w:pPr>
            <w:r w:rsidRPr="004852E2">
              <w:t>0.031</w:t>
            </w:r>
          </w:p>
        </w:tc>
      </w:tr>
      <w:tr w:rsidR="001C7E53" w:rsidRPr="004852E2" w14:paraId="25390CDF" w14:textId="77777777" w:rsidTr="00D53792">
        <w:trPr>
          <w:trHeight w:val="454"/>
        </w:trPr>
        <w:tc>
          <w:tcPr>
            <w:tcW w:w="2646" w:type="dxa"/>
            <w:tcBorders>
              <w:top w:val="nil"/>
              <w:left w:val="nil"/>
              <w:bottom w:val="nil"/>
              <w:right w:val="nil"/>
            </w:tcBorders>
            <w:shd w:val="clear" w:color="auto" w:fill="auto"/>
            <w:noWrap/>
            <w:vAlign w:val="bottom"/>
            <w:hideMark/>
          </w:tcPr>
          <w:p w14:paraId="74754BB0" w14:textId="77777777" w:rsidR="001C7E53" w:rsidRPr="004852E2" w:rsidRDefault="001C7E53" w:rsidP="000E00B5">
            <w:pPr>
              <w:pStyle w:val="TableTextLeft"/>
            </w:pPr>
            <w:r w:rsidRPr="004852E2">
              <w:t>Mean</w:t>
            </w:r>
          </w:p>
        </w:tc>
        <w:tc>
          <w:tcPr>
            <w:tcW w:w="3212" w:type="dxa"/>
            <w:tcBorders>
              <w:top w:val="nil"/>
              <w:left w:val="nil"/>
              <w:bottom w:val="nil"/>
              <w:right w:val="nil"/>
            </w:tcBorders>
            <w:shd w:val="clear" w:color="auto" w:fill="auto"/>
            <w:noWrap/>
            <w:vAlign w:val="bottom"/>
            <w:hideMark/>
          </w:tcPr>
          <w:p w14:paraId="52E5A80E" w14:textId="77777777" w:rsidR="001C7E53" w:rsidRPr="004852E2" w:rsidRDefault="001C7E53" w:rsidP="000E00B5">
            <w:pPr>
              <w:pStyle w:val="TableTextCentered"/>
            </w:pPr>
            <w:r w:rsidRPr="004852E2">
              <w:t>0.346</w:t>
            </w:r>
          </w:p>
        </w:tc>
        <w:tc>
          <w:tcPr>
            <w:tcW w:w="3212" w:type="dxa"/>
            <w:tcBorders>
              <w:top w:val="nil"/>
              <w:left w:val="nil"/>
              <w:bottom w:val="nil"/>
              <w:right w:val="nil"/>
            </w:tcBorders>
            <w:shd w:val="clear" w:color="auto" w:fill="auto"/>
            <w:noWrap/>
            <w:vAlign w:val="bottom"/>
            <w:hideMark/>
          </w:tcPr>
          <w:p w14:paraId="4F6D0A82" w14:textId="77777777" w:rsidR="001C7E53" w:rsidRPr="004852E2" w:rsidRDefault="001C7E53" w:rsidP="000E00B5">
            <w:pPr>
              <w:pStyle w:val="TableTextCentered"/>
            </w:pPr>
            <w:r w:rsidRPr="004852E2">
              <w:t>0.103</w:t>
            </w:r>
          </w:p>
        </w:tc>
      </w:tr>
      <w:tr w:rsidR="001C7E53" w:rsidRPr="004852E2" w14:paraId="229CC81E" w14:textId="77777777" w:rsidTr="00D53792">
        <w:trPr>
          <w:trHeight w:val="454"/>
        </w:trPr>
        <w:tc>
          <w:tcPr>
            <w:tcW w:w="2646" w:type="dxa"/>
            <w:tcBorders>
              <w:top w:val="nil"/>
              <w:left w:val="nil"/>
              <w:bottom w:val="nil"/>
              <w:right w:val="nil"/>
            </w:tcBorders>
            <w:shd w:val="clear" w:color="auto" w:fill="auto"/>
            <w:noWrap/>
            <w:vAlign w:val="bottom"/>
            <w:hideMark/>
          </w:tcPr>
          <w:p w14:paraId="102F214C" w14:textId="77777777" w:rsidR="001C7E53" w:rsidRPr="004852E2" w:rsidRDefault="001C7E53" w:rsidP="000E00B5">
            <w:pPr>
              <w:pStyle w:val="TableTextLeft"/>
            </w:pPr>
            <w:r w:rsidRPr="004852E2">
              <w:t>75th percentile</w:t>
            </w:r>
          </w:p>
        </w:tc>
        <w:tc>
          <w:tcPr>
            <w:tcW w:w="3212" w:type="dxa"/>
            <w:tcBorders>
              <w:top w:val="nil"/>
              <w:left w:val="nil"/>
              <w:bottom w:val="nil"/>
              <w:right w:val="nil"/>
            </w:tcBorders>
            <w:shd w:val="clear" w:color="auto" w:fill="auto"/>
            <w:noWrap/>
            <w:vAlign w:val="bottom"/>
            <w:hideMark/>
          </w:tcPr>
          <w:p w14:paraId="7B1D1F2C" w14:textId="77777777" w:rsidR="001C7E53" w:rsidRPr="004852E2" w:rsidRDefault="001C7E53" w:rsidP="000E00B5">
            <w:pPr>
              <w:pStyle w:val="TableTextCentered"/>
            </w:pPr>
            <w:r w:rsidRPr="004852E2">
              <w:t>0.5</w:t>
            </w:r>
            <w:r>
              <w:t>00</w:t>
            </w:r>
          </w:p>
        </w:tc>
        <w:tc>
          <w:tcPr>
            <w:tcW w:w="3212" w:type="dxa"/>
            <w:tcBorders>
              <w:top w:val="nil"/>
              <w:left w:val="nil"/>
              <w:bottom w:val="nil"/>
              <w:right w:val="nil"/>
            </w:tcBorders>
            <w:shd w:val="clear" w:color="auto" w:fill="auto"/>
            <w:noWrap/>
            <w:vAlign w:val="bottom"/>
            <w:hideMark/>
          </w:tcPr>
          <w:p w14:paraId="2741CE87" w14:textId="77777777" w:rsidR="001C7E53" w:rsidRPr="004852E2" w:rsidRDefault="001C7E53" w:rsidP="000E00B5">
            <w:pPr>
              <w:pStyle w:val="TableTextCentered"/>
            </w:pPr>
            <w:r w:rsidRPr="004852E2">
              <w:t>0.133</w:t>
            </w:r>
          </w:p>
        </w:tc>
      </w:tr>
      <w:tr w:rsidR="001C7E53" w:rsidRPr="004852E2" w14:paraId="4AC358F9" w14:textId="77777777" w:rsidTr="00D53792">
        <w:trPr>
          <w:trHeight w:val="454"/>
        </w:trPr>
        <w:tc>
          <w:tcPr>
            <w:tcW w:w="2646" w:type="dxa"/>
            <w:tcBorders>
              <w:top w:val="nil"/>
              <w:left w:val="nil"/>
              <w:right w:val="nil"/>
            </w:tcBorders>
            <w:shd w:val="clear" w:color="auto" w:fill="auto"/>
            <w:noWrap/>
            <w:vAlign w:val="bottom"/>
            <w:hideMark/>
          </w:tcPr>
          <w:p w14:paraId="3A857ADE" w14:textId="77777777" w:rsidR="001C7E53" w:rsidRPr="004852E2" w:rsidRDefault="001C7E53" w:rsidP="000E00B5">
            <w:pPr>
              <w:pStyle w:val="TableTextLeft"/>
            </w:pPr>
            <w:r w:rsidRPr="004852E2">
              <w:t>Share with HHI</w:t>
            </w:r>
          </w:p>
        </w:tc>
        <w:tc>
          <w:tcPr>
            <w:tcW w:w="3212" w:type="dxa"/>
            <w:tcBorders>
              <w:top w:val="nil"/>
              <w:left w:val="nil"/>
              <w:right w:val="nil"/>
            </w:tcBorders>
            <w:shd w:val="clear" w:color="auto" w:fill="auto"/>
            <w:noWrap/>
            <w:vAlign w:val="bottom"/>
            <w:hideMark/>
          </w:tcPr>
          <w:p w14:paraId="2DC7572A" w14:textId="77777777" w:rsidR="001C7E53" w:rsidRPr="004852E2" w:rsidRDefault="001C7E53" w:rsidP="000E00B5">
            <w:pPr>
              <w:pStyle w:val="TableTextCentered"/>
            </w:pPr>
            <w:r>
              <w:t>58%</w:t>
            </w:r>
          </w:p>
        </w:tc>
        <w:tc>
          <w:tcPr>
            <w:tcW w:w="3212" w:type="dxa"/>
            <w:tcBorders>
              <w:top w:val="nil"/>
              <w:left w:val="nil"/>
              <w:right w:val="nil"/>
            </w:tcBorders>
            <w:shd w:val="clear" w:color="auto" w:fill="auto"/>
            <w:noWrap/>
            <w:vAlign w:val="bottom"/>
            <w:hideMark/>
          </w:tcPr>
          <w:p w14:paraId="5367A8CB" w14:textId="77777777" w:rsidR="001C7E53" w:rsidRPr="004852E2" w:rsidRDefault="001C7E53" w:rsidP="000E00B5">
            <w:pPr>
              <w:pStyle w:val="TableTextCentered"/>
            </w:pPr>
            <w:r>
              <w:t>14%</w:t>
            </w:r>
          </w:p>
        </w:tc>
      </w:tr>
      <w:tr w:rsidR="001C7E53" w:rsidRPr="004852E2" w14:paraId="3B3DE03F" w14:textId="77777777" w:rsidTr="00D53792">
        <w:trPr>
          <w:trHeight w:val="454"/>
        </w:trPr>
        <w:tc>
          <w:tcPr>
            <w:tcW w:w="2646" w:type="dxa"/>
            <w:tcBorders>
              <w:top w:val="nil"/>
              <w:left w:val="nil"/>
              <w:bottom w:val="single" w:sz="4" w:space="0" w:color="auto"/>
              <w:right w:val="nil"/>
            </w:tcBorders>
            <w:shd w:val="clear" w:color="auto" w:fill="auto"/>
            <w:noWrap/>
            <w:vAlign w:val="bottom"/>
            <w:hideMark/>
          </w:tcPr>
          <w:p w14:paraId="43393182" w14:textId="77777777" w:rsidR="001C7E53" w:rsidRPr="004852E2" w:rsidRDefault="001C7E53" w:rsidP="00F91AE4">
            <w:pPr>
              <w:pStyle w:val="TableTextLeft"/>
            </w:pPr>
            <w:r w:rsidRPr="004852E2">
              <w:t>above 0.25</w:t>
            </w:r>
          </w:p>
        </w:tc>
        <w:tc>
          <w:tcPr>
            <w:tcW w:w="3212" w:type="dxa"/>
            <w:tcBorders>
              <w:top w:val="nil"/>
              <w:left w:val="nil"/>
              <w:bottom w:val="single" w:sz="4" w:space="0" w:color="auto"/>
              <w:right w:val="nil"/>
            </w:tcBorders>
            <w:shd w:val="clear" w:color="auto" w:fill="auto"/>
            <w:noWrap/>
            <w:vAlign w:val="center"/>
            <w:hideMark/>
          </w:tcPr>
          <w:p w14:paraId="042D1508" w14:textId="77777777" w:rsidR="001C7E53" w:rsidRPr="004852E2" w:rsidRDefault="001C7E53" w:rsidP="000F659B">
            <w:pPr>
              <w:pStyle w:val="TableTextCentered"/>
              <w:rPr>
                <w:rFonts w:cs="Calibri"/>
                <w:sz w:val="20"/>
              </w:rPr>
            </w:pPr>
          </w:p>
        </w:tc>
        <w:tc>
          <w:tcPr>
            <w:tcW w:w="3212" w:type="dxa"/>
            <w:tcBorders>
              <w:top w:val="nil"/>
              <w:left w:val="nil"/>
              <w:bottom w:val="single" w:sz="4" w:space="0" w:color="auto"/>
              <w:right w:val="nil"/>
            </w:tcBorders>
            <w:shd w:val="clear" w:color="auto" w:fill="auto"/>
            <w:noWrap/>
            <w:vAlign w:val="center"/>
            <w:hideMark/>
          </w:tcPr>
          <w:p w14:paraId="508C8E5A" w14:textId="77777777" w:rsidR="001C7E53" w:rsidRPr="004852E2" w:rsidRDefault="001C7E53" w:rsidP="000F659B">
            <w:pPr>
              <w:pStyle w:val="TableTextCentered"/>
              <w:rPr>
                <w:rFonts w:ascii="Times New Roman" w:hAnsi="Times New Roman"/>
                <w:sz w:val="20"/>
              </w:rPr>
            </w:pPr>
          </w:p>
        </w:tc>
      </w:tr>
    </w:tbl>
    <w:p w14:paraId="132F9360" w14:textId="7183A1DD" w:rsidR="001C7E53" w:rsidRDefault="001C7E53" w:rsidP="002864DA">
      <w:pPr>
        <w:pStyle w:val="ChartorTableNote"/>
        <w:jc w:val="left"/>
      </w:pPr>
      <w:r w:rsidRPr="000D6392">
        <w:rPr>
          <w:rFonts w:eastAsiaTheme="minorHAnsi"/>
          <w:lang w:eastAsia="en-US"/>
        </w:rPr>
        <w:t>Note: Reports summary statistics for local labour markets. Average taken for each market across time</w:t>
      </w:r>
      <w:r w:rsidR="006D1604">
        <w:rPr>
          <w:rFonts w:eastAsiaTheme="minorHAnsi"/>
          <w:lang w:eastAsia="en-US"/>
        </w:rPr>
        <w:t xml:space="preserve">. </w:t>
      </w:r>
    </w:p>
    <w:p w14:paraId="1B5C16A3" w14:textId="77777777" w:rsidR="006B62FB" w:rsidRPr="006B62FB" w:rsidRDefault="006B62FB" w:rsidP="00F91AE4"/>
    <w:tbl>
      <w:tblPr>
        <w:tblStyle w:val="TableGrid"/>
        <w:tblW w:w="0" w:type="auto"/>
        <w:tblCellMar>
          <w:left w:w="0" w:type="dxa"/>
          <w:right w:w="0" w:type="dxa"/>
        </w:tblCellMar>
        <w:tblLook w:val="04A0" w:firstRow="1" w:lastRow="0" w:firstColumn="1" w:lastColumn="0" w:noHBand="0" w:noVBand="1"/>
      </w:tblPr>
      <w:tblGrid>
        <w:gridCol w:w="4531"/>
        <w:gridCol w:w="4539"/>
      </w:tblGrid>
      <w:tr w:rsidR="001C7E53" w14:paraId="5BFFAF2E" w14:textId="77777777" w:rsidTr="00D53792">
        <w:tc>
          <w:tcPr>
            <w:tcW w:w="4508" w:type="dxa"/>
            <w:shd w:val="clear" w:color="auto" w:fill="auto"/>
          </w:tcPr>
          <w:p w14:paraId="23358106" w14:textId="06CB782C" w:rsidR="001C7E53" w:rsidRPr="00265FBA" w:rsidRDefault="001C7E53" w:rsidP="002B361B">
            <w:pPr>
              <w:pStyle w:val="ChartMainHeading"/>
            </w:pPr>
            <w:r w:rsidRPr="00265FBA">
              <w:t xml:space="preserve">Figure 1: </w:t>
            </w:r>
            <w:r>
              <w:t>Employment</w:t>
            </w:r>
            <w:r w:rsidR="0018466E">
              <w:noBreakHyphen/>
            </w:r>
            <w:r>
              <w:t xml:space="preserve">weighted </w:t>
            </w:r>
            <w:r w:rsidR="00A16267">
              <w:t>a</w:t>
            </w:r>
            <w:r>
              <w:t xml:space="preserve">verage HHI by </w:t>
            </w:r>
            <w:r w:rsidR="00A16267">
              <w:t>s</w:t>
            </w:r>
            <w:r>
              <w:t xml:space="preserve">ector, 2012 </w:t>
            </w:r>
          </w:p>
        </w:tc>
        <w:tc>
          <w:tcPr>
            <w:tcW w:w="4508" w:type="dxa"/>
            <w:shd w:val="clear" w:color="auto" w:fill="auto"/>
          </w:tcPr>
          <w:p w14:paraId="56A39107" w14:textId="0719F468" w:rsidR="001C7E53" w:rsidRDefault="001C7E53" w:rsidP="002B361B">
            <w:pPr>
              <w:pStyle w:val="ChartMainHeading"/>
            </w:pPr>
            <w:r w:rsidRPr="00265FBA">
              <w:t xml:space="preserve">Figure </w:t>
            </w:r>
            <w:r>
              <w:t>2</w:t>
            </w:r>
            <w:r w:rsidRPr="00265FBA">
              <w:t xml:space="preserve">: Unweighted </w:t>
            </w:r>
            <w:r w:rsidR="00A16267">
              <w:t>a</w:t>
            </w:r>
            <w:r w:rsidRPr="00265FBA">
              <w:t>verage</w:t>
            </w:r>
            <w:r>
              <w:t xml:space="preserve"> </w:t>
            </w:r>
            <w:r w:rsidR="00A16267">
              <w:t>e</w:t>
            </w:r>
            <w:r>
              <w:t>mployment</w:t>
            </w:r>
            <w:r w:rsidRPr="00265FBA">
              <w:t xml:space="preserve"> HHI for 2005</w:t>
            </w:r>
            <w:r w:rsidR="0018466E">
              <w:noBreakHyphen/>
            </w:r>
            <w:r w:rsidRPr="00265FBA">
              <w:t xml:space="preserve">2016, by </w:t>
            </w:r>
            <w:r w:rsidR="00A16267">
              <w:t>r</w:t>
            </w:r>
            <w:r>
              <w:t>emoteness</w:t>
            </w:r>
          </w:p>
        </w:tc>
      </w:tr>
      <w:tr w:rsidR="001C7E53" w14:paraId="26ADE7BE" w14:textId="77777777" w:rsidTr="00D53792">
        <w:tc>
          <w:tcPr>
            <w:tcW w:w="4508" w:type="dxa"/>
            <w:shd w:val="clear" w:color="auto" w:fill="auto"/>
          </w:tcPr>
          <w:p w14:paraId="7AF0584A" w14:textId="545FB7EB" w:rsidR="001C7E53" w:rsidRDefault="00053CE8" w:rsidP="009138DA">
            <w:pPr>
              <w:pStyle w:val="ChartGraphic"/>
            </w:pPr>
            <w:r>
              <w:rPr>
                <w:noProof/>
              </w:rPr>
              <w:drawing>
                <wp:inline distT="0" distB="0" distL="0" distR="0" wp14:anchorId="481DFE31" wp14:editId="4E4E8A97">
                  <wp:extent cx="2877820" cy="2877820"/>
                  <wp:effectExtent l="0" t="0" r="0" b="0"/>
                  <wp:docPr id="7" name="Picture 7" descr="This chart shows bars for the employment weighted average HHI concentration by broad industry, for Australian and the United States. Across all sectors other than mining and retail trade, Australian markets are slightly less concentrated than US markets. Highly concentrated sectors include Manufacturing, Mining, Transport &amp; Utilities. Less concentrated include Construction  an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chart shows bars for the employment weighted average HHI concentration by broad industry, for Australian and the United States. Across all sectors other than mining and retail trade, Australian markets are slightly less concentrated than US markets. Highly concentrated sectors include Manufacturing, Mining, Transport &amp; Utilities. Less concentrated include Construction  and Servic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7820" cy="2877820"/>
                          </a:xfrm>
                          <a:prstGeom prst="rect">
                            <a:avLst/>
                          </a:prstGeom>
                          <a:noFill/>
                        </pic:spPr>
                      </pic:pic>
                    </a:graphicData>
                  </a:graphic>
                </wp:inline>
              </w:drawing>
            </w:r>
          </w:p>
        </w:tc>
        <w:tc>
          <w:tcPr>
            <w:tcW w:w="4508" w:type="dxa"/>
            <w:shd w:val="clear" w:color="auto" w:fill="auto"/>
          </w:tcPr>
          <w:p w14:paraId="71781441" w14:textId="3EB12F76" w:rsidR="001C7E53" w:rsidRDefault="00E53ABF" w:rsidP="009138DA">
            <w:pPr>
              <w:pStyle w:val="ChartGraphic"/>
            </w:pPr>
            <w:r>
              <w:rPr>
                <w:noProof/>
              </w:rPr>
              <w:drawing>
                <wp:inline distT="0" distB="0" distL="0" distR="0" wp14:anchorId="681112E0" wp14:editId="7F713CE3">
                  <wp:extent cx="2883535" cy="2883535"/>
                  <wp:effectExtent l="0" t="0" r="0" b="0"/>
                  <wp:docPr id="4" name="Picture 4" descr="This chart shows the average HHI in Australia by regional remoteness. It shows that major cities and less remote areas are less concentrated, while more remote areas are more concen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chart shows the average HHI in Australia by regional remoteness. It shows that major cities and less remote areas are less concentrated, while more remote areas are more concent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r>
    </w:tbl>
    <w:p w14:paraId="78A02DAD" w14:textId="52C80B60" w:rsidR="001C7E53" w:rsidRDefault="001C7E53" w:rsidP="002864DA">
      <w:pPr>
        <w:pStyle w:val="ChartorTableNote"/>
        <w:jc w:val="left"/>
      </w:pPr>
      <w:r>
        <w:t>Note: Figure 1, services include Accommodation and Hospitality, Information, Media and Technology, Professional Services, Administrative Services, Arts &amp; Recreation, and Other Services. Interpretation of the results for mining might be affected by fly</w:t>
      </w:r>
      <w:r w:rsidR="0018466E">
        <w:noBreakHyphen/>
      </w:r>
      <w:r>
        <w:t>in</w:t>
      </w:r>
      <w:r w:rsidR="0018466E">
        <w:noBreakHyphen/>
      </w:r>
      <w:r>
        <w:t>fly</w:t>
      </w:r>
      <w:r w:rsidR="0018466E">
        <w:noBreakHyphen/>
      </w:r>
      <w:r>
        <w:t>out work. Figure 2 remoteness based on ABS remoteness structures.</w:t>
      </w:r>
    </w:p>
    <w:p w14:paraId="340534E4" w14:textId="59B1B58E" w:rsidR="001C7E53" w:rsidRDefault="001C7E53" w:rsidP="002864DA">
      <w:pPr>
        <w:pStyle w:val="ChartorTableNote"/>
        <w:jc w:val="left"/>
      </w:pPr>
      <w:r>
        <w:t>Source: Author</w:t>
      </w:r>
      <w:r w:rsidR="0018466E">
        <w:t>’</w:t>
      </w:r>
      <w:r>
        <w:t>s calculations, Rinz (2018)</w:t>
      </w:r>
    </w:p>
    <w:p w14:paraId="46CAF029" w14:textId="77777777" w:rsidR="001C7E53" w:rsidRDefault="001C7E53" w:rsidP="002864DA">
      <w:r>
        <w:lastRenderedPageBreak/>
        <w:t>Much of the variation also reflects geographic differences. As shown in Figure 2, markets in major cities tend to be less concentrated. Unsurprisingly, regional and rural areas tend to have more concentrated labour markets</w:t>
      </w:r>
    </w:p>
    <w:p w14:paraId="726C2CDC" w14:textId="6347429A" w:rsidR="001C7E53" w:rsidRDefault="001C7E53" w:rsidP="002864DA">
      <w:r>
        <w:t xml:space="preserve">Overall, local labour market concentration has not changed in Australia over the sample. </w:t>
      </w:r>
      <w:r w:rsidRPr="006926F5">
        <w:t>Figure 3</w:t>
      </w:r>
      <w:r>
        <w:t xml:space="preserve"> plots the average level of concentration. Using an employment</w:t>
      </w:r>
      <w:r w:rsidR="0018466E">
        <w:noBreakHyphen/>
      </w:r>
      <w:r>
        <w:t xml:space="preserve">weighted average of the individual labour markets shows some decline over the period. However, this reflects a compositional shift with workers moving to urban centres, which tend to be less concentrated. The unweighted average has been broadly unchanged (Figure 3), while the distribution has been similarly stable (Figure 4). Taken together, this shows that concentration has been broadly unchanged over the period. </w:t>
      </w:r>
    </w:p>
    <w:tbl>
      <w:tblPr>
        <w:tblStyle w:val="TableGrid"/>
        <w:tblW w:w="0" w:type="auto"/>
        <w:tblCellMar>
          <w:left w:w="0" w:type="dxa"/>
          <w:right w:w="0" w:type="dxa"/>
        </w:tblCellMar>
        <w:tblLook w:val="04A0" w:firstRow="1" w:lastRow="0" w:firstColumn="1" w:lastColumn="0" w:noHBand="0" w:noVBand="1"/>
      </w:tblPr>
      <w:tblGrid>
        <w:gridCol w:w="4535"/>
        <w:gridCol w:w="4535"/>
      </w:tblGrid>
      <w:tr w:rsidR="001C7E53" w14:paraId="19501014" w14:textId="77777777" w:rsidTr="00D53792">
        <w:tc>
          <w:tcPr>
            <w:tcW w:w="4508" w:type="dxa"/>
            <w:shd w:val="clear" w:color="auto" w:fill="auto"/>
          </w:tcPr>
          <w:p w14:paraId="3B01D734" w14:textId="7BCD68AD" w:rsidR="001C7E53" w:rsidRPr="00265FBA" w:rsidRDefault="001C7E53" w:rsidP="002B361B">
            <w:pPr>
              <w:pStyle w:val="ChartMainHeading"/>
            </w:pPr>
            <w:r w:rsidRPr="00265FBA">
              <w:t xml:space="preserve">Figure </w:t>
            </w:r>
            <w:r>
              <w:t>3</w:t>
            </w:r>
            <w:r w:rsidRPr="00265FBA">
              <w:t xml:space="preserve">: </w:t>
            </w:r>
            <w:r>
              <w:t xml:space="preserve">Average </w:t>
            </w:r>
            <w:r w:rsidR="00F57AAF">
              <w:t>e</w:t>
            </w:r>
            <w:r>
              <w:t>mployment HHI over</w:t>
            </w:r>
            <w:r w:rsidR="00CC13EF">
              <w:t> </w:t>
            </w:r>
            <w:r>
              <w:t>time</w:t>
            </w:r>
          </w:p>
        </w:tc>
        <w:tc>
          <w:tcPr>
            <w:tcW w:w="4508" w:type="dxa"/>
            <w:shd w:val="clear" w:color="auto" w:fill="auto"/>
          </w:tcPr>
          <w:p w14:paraId="50A9B34A" w14:textId="5A8EAE93" w:rsidR="001C7E53" w:rsidRDefault="001C7E53" w:rsidP="002B361B">
            <w:pPr>
              <w:pStyle w:val="ChartMainHeading"/>
            </w:pPr>
            <w:r w:rsidRPr="00265FBA">
              <w:t xml:space="preserve">Figure </w:t>
            </w:r>
            <w:r>
              <w:t>4</w:t>
            </w:r>
            <w:r w:rsidRPr="00265FBA">
              <w:t xml:space="preserve">: </w:t>
            </w:r>
            <w:r>
              <w:t xml:space="preserve">Employment HHI vs </w:t>
            </w:r>
            <w:r w:rsidR="00F57AAF">
              <w:t>w</w:t>
            </w:r>
            <w:r>
              <w:t xml:space="preserve">ages </w:t>
            </w:r>
            <w:r w:rsidR="00F57AAF">
              <w:t>g</w:t>
            </w:r>
            <w:r>
              <w:t xml:space="preserve">rowth for </w:t>
            </w:r>
            <w:r w:rsidR="00F57AAF">
              <w:t>l</w:t>
            </w:r>
            <w:r>
              <w:t xml:space="preserve">ocal </w:t>
            </w:r>
            <w:r w:rsidR="00F57AAF">
              <w:t>l</w:t>
            </w:r>
            <w:r>
              <w:t xml:space="preserve">abour </w:t>
            </w:r>
            <w:r w:rsidR="00F57AAF">
              <w:t>m</w:t>
            </w:r>
            <w:r>
              <w:t>arket, changes 2005</w:t>
            </w:r>
            <w:r w:rsidR="00F57AAF">
              <w:rPr>
                <w:rFonts w:ascii="Courier New" w:hAnsi="Courier New" w:cs="Courier New"/>
              </w:rPr>
              <w:t>-</w:t>
            </w:r>
            <w:r>
              <w:t>2016</w:t>
            </w:r>
          </w:p>
        </w:tc>
      </w:tr>
      <w:tr w:rsidR="001C7E53" w14:paraId="57A26C1D" w14:textId="77777777" w:rsidTr="00D53792">
        <w:tc>
          <w:tcPr>
            <w:tcW w:w="4508" w:type="dxa"/>
            <w:shd w:val="clear" w:color="auto" w:fill="auto"/>
          </w:tcPr>
          <w:p w14:paraId="2F857BD9" w14:textId="385E341F" w:rsidR="001C7E53" w:rsidRDefault="00E53ABF" w:rsidP="002B361B">
            <w:pPr>
              <w:pStyle w:val="ChartGraphic"/>
            </w:pPr>
            <w:r>
              <w:rPr>
                <w:noProof/>
              </w:rPr>
              <w:drawing>
                <wp:inline distT="0" distB="0" distL="0" distR="0" wp14:anchorId="2F7A64B0" wp14:editId="35B5A7E2">
                  <wp:extent cx="2883535" cy="2883535"/>
                  <wp:effectExtent l="0" t="0" r="0" b="0"/>
                  <wp:docPr id="6" name="Picture 6" descr="This chart shows the average HHI across markets over time, using unweighted averages of markets, and employment-weighted averages. The formers is higher, but has been fairly stable. The latter is lower, but has trended slightly down over the period 2005-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chart shows the average HHI across markets over time, using unweighted averages of markets, and employment-weighted averages. The formers is higher, but has been fairly stable. The latter is lower, but has trended slightly down over the period 2005-20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c>
          <w:tcPr>
            <w:tcW w:w="4508" w:type="dxa"/>
            <w:shd w:val="clear" w:color="auto" w:fill="auto"/>
          </w:tcPr>
          <w:p w14:paraId="2EED1098" w14:textId="147C42CD" w:rsidR="001C7E53" w:rsidRDefault="00E53ABF" w:rsidP="002B361B">
            <w:pPr>
              <w:pStyle w:val="ChartGraphic"/>
            </w:pPr>
            <w:r>
              <w:rPr>
                <w:noProof/>
              </w:rPr>
              <w:drawing>
                <wp:inline distT="0" distB="0" distL="0" distR="0" wp14:anchorId="0DD6A2AB" wp14:editId="4740EC04">
                  <wp:extent cx="2883535" cy="2883535"/>
                  <wp:effectExtent l="0" t="0" r="0" b="0"/>
                  <wp:docPr id="14" name="Picture 14" descr="This chart shows the distribution of the HHI across markets over time from 2005-2016. It shows that there is a large difference between the most and least concentrated markets. It also shows that all points I the distribution are broadly constant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chart shows the distribution of the HHI across markets over time from 2005-2016. It shows that there is a large difference between the most and least concentrated markets. It also shows that all points I the distribution are broadly constant over tim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r>
    </w:tbl>
    <w:p w14:paraId="0D1A66A9" w14:textId="35264667" w:rsidR="001C7E53" w:rsidRDefault="001C7E53" w:rsidP="002864DA">
      <w:pPr>
        <w:pStyle w:val="ChartorTableNote"/>
        <w:jc w:val="left"/>
      </w:pPr>
      <w:r>
        <w:t>Source: Author</w:t>
      </w:r>
      <w:r w:rsidR="0018466E">
        <w:t>’</w:t>
      </w:r>
      <w:r>
        <w:t>s calculations</w:t>
      </w:r>
    </w:p>
    <w:p w14:paraId="48E117DE" w14:textId="32A64215" w:rsidR="001C7E53" w:rsidRDefault="001C7E53" w:rsidP="00F91AE4">
      <w:pPr>
        <w:pStyle w:val="Heading2"/>
        <w:numPr>
          <w:ilvl w:val="0"/>
          <w:numId w:val="25"/>
        </w:numPr>
        <w:tabs>
          <w:tab w:val="clear" w:pos="3402"/>
        </w:tabs>
        <w:ind w:left="397" w:hanging="397"/>
      </w:pPr>
      <w:r>
        <w:t xml:space="preserve">Wages and </w:t>
      </w:r>
      <w:r w:rsidR="00C7644C">
        <w:t>c</w:t>
      </w:r>
      <w:r>
        <w:t>oncentration</w:t>
      </w:r>
    </w:p>
    <w:p w14:paraId="7E5D7B82" w14:textId="4C9B1669" w:rsidR="001C7E53" w:rsidRDefault="001C7E53" w:rsidP="002864DA">
      <w:r>
        <w:t>While there is no evidence of a general increase in concentration in Australian labour markets, the relationship between concentration and wages is still relevant. Given such a relationship should exist in theory, its presence would indicate that the measure of concentration has some economic signal, and so would be worth tracking.</w:t>
      </w:r>
    </w:p>
    <w:p w14:paraId="63581E97" w14:textId="61D6AC2C" w:rsidR="001C7E53" w:rsidRDefault="004D3821" w:rsidP="002864DA">
      <w:r>
        <w:t>As</w:t>
      </w:r>
      <w:r w:rsidR="001C7E53">
        <w:t xml:space="preserve"> noted earlier</w:t>
      </w:r>
      <w:r>
        <w:t>,</w:t>
      </w:r>
      <w:r w:rsidR="001C7E53">
        <w:t xml:space="preserve"> other factors could be important in mitigating or amplifying the effect of labour market concentration on wages. As such, we might need to take account of these additional factors in considering whether labour market concentration has weighed on wages in recent years, rather than just examining aggregate concentration levels.</w:t>
      </w:r>
    </w:p>
    <w:p w14:paraId="469A6424" w14:textId="137D7E60" w:rsidR="001C7E53" w:rsidRDefault="001C7E53" w:rsidP="002864DA">
      <w:r>
        <w:t xml:space="preserve">To provide some initial evidence on the relationship between concentration and wages, Figure </w:t>
      </w:r>
      <w:r w:rsidR="00BA74C2">
        <w:t>5</w:t>
      </w:r>
      <w:r>
        <w:t xml:space="preserve"> plots changes in the HHI index over the sample for labour markets against their average annual real wage</w:t>
      </w:r>
      <w:r w:rsidR="00A257B1">
        <w:t>s</w:t>
      </w:r>
      <w:r>
        <w:t xml:space="preserve"> growth. Real wage</w:t>
      </w:r>
      <w:r w:rsidR="00A257B1">
        <w:t>s</w:t>
      </w:r>
      <w:r>
        <w:t xml:space="preserve"> growth has tended to be higher in local labour markets where the HHI has </w:t>
      </w:r>
      <w:r>
        <w:lastRenderedPageBreak/>
        <w:t>declined, providing some initial evidence that local labour market concentration is associated with lower wages.</w:t>
      </w:r>
    </w:p>
    <w:p w14:paraId="2E438020" w14:textId="39C1BE9B" w:rsidR="00DB58AC" w:rsidRDefault="00DB58AC" w:rsidP="001D0062">
      <w:pPr>
        <w:pStyle w:val="ChartMainHeading"/>
      </w:pPr>
      <w:r w:rsidRPr="00265FBA">
        <w:t xml:space="preserve">Figure </w:t>
      </w:r>
      <w:r>
        <w:t>5</w:t>
      </w:r>
      <w:r w:rsidRPr="00265FBA">
        <w:t xml:space="preserve">: </w:t>
      </w:r>
      <w:r>
        <w:t xml:space="preserve">Employment HHI vs wages growth for local labour market, </w:t>
      </w:r>
      <w:r>
        <w:br/>
        <w:t>changes 2005</w:t>
      </w:r>
      <w:r>
        <w:noBreakHyphen/>
        <w:t>2016</w:t>
      </w:r>
    </w:p>
    <w:p w14:paraId="5FBAC535" w14:textId="1E51516D" w:rsidR="00DB58AC" w:rsidRDefault="00DB58AC" w:rsidP="001D0062">
      <w:pPr>
        <w:pStyle w:val="ChartGraphic"/>
      </w:pPr>
      <w:r w:rsidRPr="00EF3D38">
        <w:rPr>
          <w:noProof/>
        </w:rPr>
        <w:drawing>
          <wp:inline distT="0" distB="0" distL="0" distR="0" wp14:anchorId="30AD7C12" wp14:editId="0A7D7E3B">
            <wp:extent cx="3977353" cy="2990850"/>
            <wp:effectExtent l="0" t="0" r="4445" b="0"/>
            <wp:docPr id="8" name="Picture 8" descr="This chart is a scatter plot of changes in the HHI index, versus average annual wage growth, with a line of best fit. It shows a strong negative relationship, with wages growth tending to be higher in markets where HHI has f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This chart is a scatter plot of changes in the HHI index, versus average annual wage growth, with a line of best fit. It shows a strong negative relationship, with wages growth tending to be higher in markets where HHI has fallen."/>
                    <pic:cNvPicPr>
                      <a:picLocks noChangeAspect="1"/>
                    </pic:cNvPicPr>
                  </pic:nvPicPr>
                  <pic:blipFill>
                    <a:blip r:embed="rId29"/>
                    <a:stretch>
                      <a:fillRect/>
                    </a:stretch>
                  </pic:blipFill>
                  <pic:spPr>
                    <a:xfrm>
                      <a:off x="0" y="0"/>
                      <a:ext cx="4020445" cy="3023254"/>
                    </a:xfrm>
                    <a:prstGeom prst="rect">
                      <a:avLst/>
                    </a:prstGeom>
                  </pic:spPr>
                </pic:pic>
              </a:graphicData>
            </a:graphic>
          </wp:inline>
        </w:drawing>
      </w:r>
    </w:p>
    <w:p w14:paraId="06A63792" w14:textId="5B9B2B6B" w:rsidR="001C7E53" w:rsidRDefault="001C7E53" w:rsidP="00F91AE4">
      <w:pPr>
        <w:pStyle w:val="ChartorTableNote"/>
        <w:jc w:val="left"/>
      </w:pPr>
      <w:r w:rsidRPr="00BC4583">
        <w:t xml:space="preserve">Note: </w:t>
      </w:r>
      <w:r>
        <w:t>P</w:t>
      </w:r>
      <w:r w:rsidRPr="00BC4583">
        <w:t>lots changes in HHI in local labour markets against the average growth in their real wages over the sample. Dots are average for buckets of firms, line is line of best fit.</w:t>
      </w:r>
      <w:r>
        <w:t xml:space="preserve"> </w:t>
      </w:r>
      <w:r>
        <w:br/>
        <w:t>Source: Author</w:t>
      </w:r>
      <w:r w:rsidR="0018466E">
        <w:t>’</w:t>
      </w:r>
      <w:r>
        <w:t>s calculations</w:t>
      </w:r>
    </w:p>
    <w:p w14:paraId="31AE809B" w14:textId="77777777" w:rsidR="001C7E53" w:rsidRDefault="001C7E53" w:rsidP="00F91AE4">
      <w:pPr>
        <w:pStyle w:val="Heading3"/>
      </w:pPr>
      <w:r>
        <w:t>5.1. Model specification and identification</w:t>
      </w:r>
    </w:p>
    <w:p w14:paraId="0E88865D" w14:textId="52DDEB47" w:rsidR="001C7E53" w:rsidRDefault="001C7E53" w:rsidP="008F2011">
      <w:r>
        <w:t>To test this more formally, I now turn to a regression framework. In specifying the regression, it is important to</w:t>
      </w:r>
      <w:r w:rsidR="00BA74C2">
        <w:t xml:space="preserve"> think about how wages are set.</w:t>
      </w:r>
    </w:p>
    <w:p w14:paraId="26975F46" w14:textId="0BC49C12" w:rsidR="001C7E53" w:rsidRDefault="001C7E53" w:rsidP="008F2011">
      <w:r>
        <w:t>As discussed in Manning (202</w:t>
      </w:r>
      <w:r w:rsidR="00BA74C2">
        <w:t>1</w:t>
      </w:r>
      <w:r>
        <w:t>), in many models of labour market power the firm optimally sets its wages some fraction below its marginal revenue product of labour (MRPL, closely linked to productivity). The extent of this markdown will be a function of the firm</w:t>
      </w:r>
      <w:r w:rsidR="00C70952">
        <w:t>’</w:t>
      </w:r>
      <w:r>
        <w:t xml:space="preserve">s market power (the elasticity of its labour supply curve </w:t>
      </w:r>
      <m:oMath>
        <m:r>
          <w:rPr>
            <w:rFonts w:ascii="Cambria Math" w:hAnsi="Cambria Math"/>
          </w:rPr>
          <m:t>1/</m:t>
        </m:r>
        <m:sSub>
          <m:sSubPr>
            <m:ctrlPr>
              <w:rPr>
                <w:rFonts w:ascii="Cambria Math" w:hAnsi="Cambria Math"/>
                <w:i/>
              </w:rPr>
            </m:ctrlPr>
          </m:sSubPr>
          <m:e>
            <m:r>
              <w:rPr>
                <w:rFonts w:ascii="Cambria Math" w:hAnsi="Cambria Math"/>
              </w:rPr>
              <m:t>ε</m:t>
            </m:r>
          </m:e>
          <m:sub>
            <m:r>
              <w:rPr>
                <w:rFonts w:ascii="Cambria Math" w:hAnsi="Cambria Math"/>
              </w:rPr>
              <m:t>i,t</m:t>
            </m:r>
          </m:sub>
        </m:sSub>
      </m:oMath>
      <w:r>
        <w:t>). As such, these models predict that the wage (for the market or firm) can be written as:</w:t>
      </w:r>
      <w:r w:rsidRPr="00906DF1">
        <w:rPr>
          <w:rStyle w:val="FootnoteReference"/>
        </w:rPr>
        <w:t xml:space="preserve"> </w:t>
      </w:r>
      <w:r>
        <w:rPr>
          <w:rStyle w:val="FootnoteReference"/>
        </w:rPr>
        <w:footnoteReference w:id="9"/>
      </w:r>
    </w:p>
    <w:p w14:paraId="182ED0D5" w14:textId="77777777" w:rsidR="001C7E53" w:rsidRPr="00FD13CA" w:rsidRDefault="00000000" w:rsidP="008F2011">
      <w:pPr>
        <w:rPr>
          <w:rFonts w:eastAsiaTheme="minorEastAsia"/>
        </w:rPr>
      </w:pPr>
      <m:oMathPara>
        <m:oMath>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MRPL</m:t>
              </m:r>
            </m:e>
            <m:sub>
              <m:r>
                <w:rPr>
                  <w:rFonts w:ascii="Cambria Math" w:hAnsi="Cambria Math"/>
                </w:rPr>
                <m:t>i</m:t>
              </m:r>
              <m:r>
                <m:rPr>
                  <m:sty m:val="p"/>
                </m:rPr>
                <w:rPr>
                  <w:rFonts w:ascii="Cambria Math" w:hAnsi="Cambria Math"/>
                </w:rPr>
                <m:t>,</m:t>
              </m:r>
              <m:r>
                <w:rPr>
                  <w:rFonts w:ascii="Cambria Math" w:hAnsi="Cambria Math"/>
                </w:rPr>
                <m:t>t</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+1</m:t>
                  </m:r>
                </m:den>
              </m:f>
            </m:e>
          </m:d>
        </m:oMath>
      </m:oMathPara>
    </w:p>
    <w:p w14:paraId="570E2B08" w14:textId="77777777" w:rsidR="001C7E53" w:rsidRPr="00FD13CA" w:rsidRDefault="001C7E53" w:rsidP="008F2011">
      <w:pPr>
        <w:rPr>
          <w:rFonts w:eastAsiaTheme="minorEastAsia"/>
        </w:rPr>
      </w:pPr>
      <m:oMathPara>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ln⁡</m:t>
              </m:r>
              <m:r>
                <w:rPr>
                  <w:rFonts w:ascii="Cambria Math" w:hAnsi="Cambria Math"/>
                </w:rPr>
                <m:t>(MRPL</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+1</m:t>
                  </m:r>
                </m:e>
              </m:d>
            </m:e>
          </m:func>
        </m:oMath>
      </m:oMathPara>
    </w:p>
    <w:p w14:paraId="5595BFD3" w14:textId="0AF06B1B" w:rsidR="001C7E53" w:rsidRDefault="001C7E53" w:rsidP="008F2011">
      <w:r>
        <w:t>In our case, the market power is summarised by the measure of concentration. The degree of market power could be market</w:t>
      </w:r>
      <w:r w:rsidR="00C70952">
        <w:t xml:space="preserve"> </w:t>
      </w:r>
      <w:r>
        <w:t>specific, or firm</w:t>
      </w:r>
      <w:r w:rsidR="00C70952">
        <w:t xml:space="preserve"> </w:t>
      </w:r>
      <w:r>
        <w:t>sp</w:t>
      </w:r>
      <w:r w:rsidR="00BA74C2">
        <w:t>ecific, depending on the model.</w:t>
      </w:r>
    </w:p>
    <w:p w14:paraId="4EB7D54B" w14:textId="77777777" w:rsidR="00DB3BC5" w:rsidRDefault="00DB3BC5" w:rsidP="008F2011">
      <w:r>
        <w:br w:type="page"/>
      </w:r>
    </w:p>
    <w:p w14:paraId="6CECED66" w14:textId="432AE096" w:rsidR="001C7E53" w:rsidRDefault="001C7E53" w:rsidP="008F2011">
      <w:r>
        <w:lastRenderedPageBreak/>
        <w:t>This set</w:t>
      </w:r>
      <w:r w:rsidR="0018466E">
        <w:noBreakHyphen/>
      </w:r>
      <w:r>
        <w:t>up leads to our first two models:</w:t>
      </w:r>
    </w:p>
    <w:p w14:paraId="585C4389" w14:textId="2BAD22C5" w:rsidR="001C7E53" w:rsidRPr="002E594D" w:rsidRDefault="001C7E53" w:rsidP="00F91AE4">
      <w:pPr>
        <w:pStyle w:val="Bullet"/>
      </w:pPr>
      <w:r w:rsidRPr="00704DAD">
        <w:rPr>
          <w:b/>
          <w:bCs/>
        </w:rPr>
        <w:t>Monopsonistic competition</w:t>
      </w:r>
      <w:r w:rsidRPr="00704DAD">
        <w:t xml:space="preserve">: </w:t>
      </w:r>
      <w:r>
        <w:t>Wages are s</w:t>
      </w:r>
      <w:r w:rsidRPr="00704DAD">
        <w:t xml:space="preserve">et as markdown on </w:t>
      </w:r>
      <w:r>
        <w:t xml:space="preserve">the </w:t>
      </w:r>
      <w:r w:rsidRPr="002E594D">
        <w:t>MRPL, with this markdown being the same for all firms and being related to the market concentration</w:t>
      </w:r>
      <w:r>
        <w:t>. This is the standard regression framework used in most papers</w:t>
      </w:r>
      <w:r w:rsidRPr="002E594D">
        <w:t xml:space="preserve"> (</w:t>
      </w:r>
      <w:r>
        <w:t>Rinz</w:t>
      </w:r>
      <w:r w:rsidRPr="002E594D">
        <w:t xml:space="preserve"> 2018</w:t>
      </w:r>
      <w:r>
        <w:t xml:space="preserve">; Azar </w:t>
      </w:r>
      <w:r w:rsidR="00BA74C2">
        <w:t xml:space="preserve">et al </w:t>
      </w:r>
      <w:r>
        <w:t>2020</w:t>
      </w:r>
      <w:r w:rsidRPr="002E594D">
        <w:t>)</w:t>
      </w:r>
    </w:p>
    <w:p w14:paraId="6697C4BF" w14:textId="77777777" w:rsidR="001C7E53" w:rsidRPr="002E594D" w:rsidRDefault="001C7E53" w:rsidP="00F91AE4">
      <m:oMathPara>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m:rPr>
                  <m:sty m:val="p"/>
                </m:rPr>
                <w:rPr>
                  <w:rFonts w:ascii="Cambria Math" w:hAnsi="Cambria Math"/>
                </w:rPr>
                <m:t>ln⁡</m:t>
              </m:r>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6763B564" w14:textId="28448C82" w:rsidR="001C7E53" w:rsidRPr="002E594D" w:rsidRDefault="001C7E53" w:rsidP="00F91AE4">
      <w:pPr>
        <w:pStyle w:val="Bullet"/>
      </w:pPr>
      <w:r w:rsidRPr="002E594D">
        <w:rPr>
          <w:b/>
          <w:bCs/>
        </w:rPr>
        <w:t>Oligopsony</w:t>
      </w:r>
      <w:r w:rsidRPr="002E594D">
        <w:t xml:space="preserve">: </w:t>
      </w:r>
      <w:r>
        <w:t>As a simple extension, we can allow the degree of market power to vary with plant size (</w:t>
      </w:r>
      <m:oMath>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(N))</m:t>
        </m:r>
      </m:oMath>
      <w:r>
        <w:rPr>
          <w:rFonts w:eastAsiaTheme="minorEastAsia"/>
        </w:rPr>
        <w:t>. In this case</w:t>
      </w:r>
      <w:r>
        <w:t xml:space="preserve"> </w:t>
      </w:r>
      <w:r w:rsidRPr="002E594D">
        <w:t xml:space="preserve">the markdown </w:t>
      </w:r>
      <w:r>
        <w:t>differs</w:t>
      </w:r>
      <w:r w:rsidRPr="002E594D">
        <w:t xml:space="preserve"> based on the </w:t>
      </w:r>
      <w:r>
        <w:t>plant</w:t>
      </w:r>
      <w:r w:rsidR="0018466E">
        <w:t>’</w:t>
      </w:r>
      <w:r>
        <w:t>s</w:t>
      </w:r>
      <w:r w:rsidRPr="002E594D">
        <w:t xml:space="preserve"> power, which is related to its market share</w:t>
      </w:r>
      <w:r>
        <w:t xml:space="preserve">. This oligopsonistic framework is more in line with recent papers such as </w:t>
      </w:r>
      <w:r w:rsidRPr="002E594D">
        <w:t xml:space="preserve">Berger et al </w:t>
      </w:r>
      <w:r>
        <w:t>(2021).</w:t>
      </w:r>
    </w:p>
    <w:p w14:paraId="7732ADA5" w14:textId="77777777" w:rsidR="001C7E53" w:rsidRPr="002E594D" w:rsidRDefault="001C7E53" w:rsidP="00F91AE4">
      <m:oMathPara>
        <m:oMath>
          <m:r>
            <m:rPr>
              <m:sty m:val="p"/>
            </m:rPr>
            <w:rPr>
              <w:rFonts w:ascii="Cambria Math" w:eastAsiaTheme="minorEastAsia" w:hAnsi="Cambria Math"/>
            </w:rPr>
            <m:t>ln⁡</m:t>
          </m:r>
          <m:r>
            <w:rPr>
              <w:rFonts w:ascii="Cambria Math" w:eastAsiaTheme="minorEastAsia"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m:rPr>
                  <m:sty m:val="p"/>
                </m:rPr>
                <w:rPr>
                  <w:rFonts w:ascii="Cambria Math" w:hAnsi="Cambria Math"/>
                </w:rPr>
                <m:t>ln⁡</m:t>
              </m:r>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m:t>
              </m:r>
              <m:r>
                <w:rPr>
                  <w:rFonts w:ascii="Cambria Math" w:hAnsi="Cambria Math"/>
                </w:rPr>
                <m:t>Firm</m:t>
              </m:r>
              <m:r>
                <m:rPr>
                  <m:sty m:val="p"/>
                </m:rPr>
                <w:rPr>
                  <w:rFonts w:ascii="Cambria Math" w:hAnsi="Cambria Math"/>
                </w:rPr>
                <m:t> </m:t>
              </m:r>
              <m:r>
                <w:rPr>
                  <w:rFonts w:ascii="Cambria Math" w:hAnsi="Cambria Math"/>
                </w:rPr>
                <m:t>Market</m:t>
              </m:r>
              <m:r>
                <m:rPr>
                  <m:sty m:val="p"/>
                </m:rPr>
                <w:rPr>
                  <w:rFonts w:ascii="Cambria Math" w:hAnsi="Cambria Math"/>
                </w:rPr>
                <m:t> </m:t>
              </m:r>
              <m:r>
                <w:rPr>
                  <w:rFonts w:ascii="Cambria Math" w:hAnsi="Cambria Math"/>
                </w:rPr>
                <m:t>Share</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6E3C777E" w14:textId="77777777" w:rsidR="001C7E53" w:rsidRDefault="001C7E53" w:rsidP="0018053E">
      <w:pPr>
        <w:rPr>
          <w:rFonts w:eastAsiaTheme="minorEastAsia"/>
        </w:rPr>
      </w:pPr>
      <w:r>
        <w:rPr>
          <w:rFonts w:eastAsiaTheme="minorEastAsia"/>
        </w:rPr>
        <w:t xml:space="preserve">In each case, the coefficient of interest is </w:t>
      </w:r>
      <m:oMath>
        <m:r>
          <w:rPr>
            <w:rFonts w:ascii="Cambria Math" w:hAnsi="Cambria Math"/>
          </w:rPr>
          <m:t>β</m:t>
        </m:r>
      </m:oMath>
      <w:r>
        <w:rPr>
          <w:rFonts w:eastAsiaTheme="minorEastAsia"/>
        </w:rPr>
        <w:t>.</w:t>
      </w:r>
    </w:p>
    <w:p w14:paraId="20C113FD" w14:textId="297BBCEC" w:rsidR="001C7E53" w:rsidRDefault="001C7E53" w:rsidP="0018053E">
      <w:pPr>
        <w:rPr>
          <w:rFonts w:eastAsiaTheme="minorEastAsia"/>
        </w:rPr>
      </w:pPr>
      <w:r>
        <w:t xml:space="preserve">For both models </w:t>
      </w:r>
      <m:oMath>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oMath>
      <w:r>
        <w:rPr>
          <w:rFonts w:eastAsiaTheme="minorEastAsia"/>
        </w:rPr>
        <w:t xml:space="preserve"> contains several controls, including industry</w:t>
      </w:r>
      <w:r w:rsidR="00252441">
        <w:rPr>
          <w:rFonts w:eastAsiaTheme="minorEastAsia"/>
        </w:rPr>
        <w:t>-</w:t>
      </w:r>
      <w:r>
        <w:rPr>
          <w:rFonts w:eastAsiaTheme="minorEastAsia"/>
        </w:rPr>
        <w:t>by</w:t>
      </w:r>
      <w:r w:rsidR="00252441">
        <w:rPr>
          <w:rFonts w:eastAsiaTheme="minorEastAsia"/>
        </w:rPr>
        <w:t>-</w:t>
      </w:r>
      <w:r>
        <w:rPr>
          <w:rFonts w:eastAsiaTheme="minorEastAsia"/>
        </w:rPr>
        <w:t>time and location</w:t>
      </w:r>
      <w:r w:rsidR="00252441">
        <w:rPr>
          <w:rFonts w:eastAsiaTheme="minorEastAsia"/>
        </w:rPr>
        <w:t>-</w:t>
      </w:r>
      <w:r>
        <w:rPr>
          <w:rFonts w:eastAsiaTheme="minorEastAsia"/>
        </w:rPr>
        <w:t>by</w:t>
      </w:r>
      <w:r w:rsidR="00252441">
        <w:rPr>
          <w:rFonts w:eastAsiaTheme="minorEastAsia"/>
        </w:rPr>
        <w:t>-</w:t>
      </w:r>
      <w:r>
        <w:rPr>
          <w:rFonts w:eastAsiaTheme="minorEastAsia"/>
        </w:rPr>
        <w:t>time effects, and market size. These controls help us to strip out factors affecting all firms or markets, such as local or industry demand, and focus on changes in concentration that reflect changes in market power for the market or firm.</w:t>
      </w:r>
      <w:r>
        <w:t xml:space="preserve"> Potential examples of such changes include</w:t>
      </w:r>
      <w:r w:rsidR="00252441">
        <w:t>:</w:t>
      </w:r>
      <w:r>
        <w:t xml:space="preserve"> an exogenous change in the number of competitors (</w:t>
      </w:r>
      <w:r w:rsidR="00232E21">
        <w:t xml:space="preserve">such as </w:t>
      </w:r>
      <w:r>
        <w:t>due to M&amp;A); technological changes in the ease of finding jobs; and changes in workers</w:t>
      </w:r>
      <w:r w:rsidR="0018466E">
        <w:t>’</w:t>
      </w:r>
      <w:r>
        <w:t xml:space="preserve"> views of the substitutability of different employers, such as differences in cultures.</w:t>
      </w:r>
    </w:p>
    <w:p w14:paraId="2A288416" w14:textId="119DEE72" w:rsidR="001C7E53" w:rsidRDefault="001C7E53" w:rsidP="0018053E">
      <w:pPr>
        <w:rPr>
          <w:rFonts w:eastAsiaTheme="minorEastAsia"/>
          <w:iCs/>
        </w:rPr>
      </w:pPr>
      <w:r>
        <w:rPr>
          <w:rFonts w:eastAsiaTheme="minorEastAsia"/>
          <w:iCs/>
        </w:rPr>
        <w:t>Some papers use instruments to help identify exogenous changes in market power/supply elasticity. The key concern is that some shocks can affect wages both by impacting the MRPL, as well by changing the concentration and labour supply elasticity and</w:t>
      </w:r>
      <w:r w:rsidR="003049DF">
        <w:rPr>
          <w:rFonts w:eastAsiaTheme="minorEastAsia"/>
          <w:iCs/>
        </w:rPr>
        <w:t>,</w:t>
      </w:r>
      <w:r>
        <w:rPr>
          <w:rFonts w:eastAsiaTheme="minorEastAsia"/>
          <w:iCs/>
        </w:rPr>
        <w:t xml:space="preserve"> therefore</w:t>
      </w:r>
      <w:r w:rsidR="003049DF">
        <w:rPr>
          <w:rFonts w:eastAsiaTheme="minorEastAsia"/>
          <w:iCs/>
        </w:rPr>
        <w:t>,</w:t>
      </w:r>
      <w:r>
        <w:rPr>
          <w:rFonts w:eastAsiaTheme="minorEastAsia"/>
          <w:iCs/>
        </w:rPr>
        <w:t xml:space="preserve"> markdown. If no measure of productivity is included both effects will be attributed to concentrat</w:t>
      </w:r>
      <w:r w:rsidR="00BA74C2">
        <w:rPr>
          <w:rFonts w:eastAsiaTheme="minorEastAsia"/>
          <w:iCs/>
        </w:rPr>
        <w:t>ion.</w:t>
      </w:r>
    </w:p>
    <w:p w14:paraId="6F601C27" w14:textId="4AA93F88" w:rsidR="001C7E53" w:rsidRDefault="003049DF" w:rsidP="0018053E">
      <w:pPr>
        <w:rPr>
          <w:rFonts w:eastAsiaTheme="minorEastAsia"/>
          <w:iCs/>
        </w:rPr>
      </w:pPr>
      <w:r>
        <w:rPr>
          <w:rFonts w:eastAsiaTheme="minorEastAsia"/>
          <w:iCs/>
        </w:rPr>
        <w:t xml:space="preserve">This concern is lessened somewhat because </w:t>
      </w:r>
      <w:r w:rsidR="001C7E53">
        <w:rPr>
          <w:rFonts w:eastAsiaTheme="minorEastAsia"/>
          <w:iCs/>
        </w:rPr>
        <w:t>I include a measure of productivity. Still, as productivity measurement is imperfect</w:t>
      </w:r>
      <w:r w:rsidR="00C61FBD">
        <w:rPr>
          <w:rFonts w:eastAsiaTheme="minorEastAsia"/>
          <w:iCs/>
        </w:rPr>
        <w:t>,</w:t>
      </w:r>
      <w:r w:rsidR="001C7E53">
        <w:rPr>
          <w:rFonts w:eastAsiaTheme="minorEastAsia"/>
          <w:iCs/>
        </w:rPr>
        <w:t xml:space="preserve"> I also estimate a version of the monopsony model where I use an instrument for concentration. Specifically, I use the average of the (inverse of the) number of plants in the industry in other locations, with each location being weighted by its share of industry employment. This approach is used in a number of papers (</w:t>
      </w:r>
      <w:r w:rsidR="00893527">
        <w:rPr>
          <w:rFonts w:eastAsiaTheme="minorEastAsia"/>
          <w:iCs/>
        </w:rPr>
        <w:t xml:space="preserve">such as </w:t>
      </w:r>
      <w:r w:rsidR="001C7E53">
        <w:rPr>
          <w:rFonts w:eastAsiaTheme="minorEastAsia"/>
          <w:iCs/>
        </w:rPr>
        <w:t>Azar et al 2020). The use of the number of firms, rather than the HHI, should lessen the impact of shocks to individual firms, while focusing on national changes allows us to abstract from local shocks. That said, this approach makes it difficult to include industry by time effects, and so is not the preferred specification.</w:t>
      </w:r>
      <w:r w:rsidR="001C7E53">
        <w:rPr>
          <w:rStyle w:val="FootnoteReference"/>
          <w:rFonts w:eastAsiaTheme="minorEastAsia"/>
          <w:iCs/>
        </w:rPr>
        <w:footnoteReference w:id="10"/>
      </w:r>
    </w:p>
    <w:p w14:paraId="5524EE0A" w14:textId="7D41600F" w:rsidR="001C7E53" w:rsidRDefault="00B10CFA" w:rsidP="0018053E">
      <w:r>
        <w:rPr>
          <w:rFonts w:eastAsiaTheme="minorEastAsia"/>
          <w:iCs/>
        </w:rPr>
        <w:t>Several</w:t>
      </w:r>
      <w:r w:rsidR="001C7E53">
        <w:rPr>
          <w:rFonts w:eastAsiaTheme="minorEastAsia"/>
          <w:iCs/>
        </w:rPr>
        <w:t xml:space="preserve"> recent models have also argued that the degree of market concentration can affect the pass</w:t>
      </w:r>
      <w:r w:rsidR="0018466E">
        <w:rPr>
          <w:rFonts w:eastAsiaTheme="minorEastAsia"/>
          <w:iCs/>
        </w:rPr>
        <w:noBreakHyphen/>
      </w:r>
      <w:r w:rsidR="00DB3BC5">
        <w:rPr>
          <w:rFonts w:eastAsiaTheme="minorEastAsia"/>
          <w:iCs/>
        </w:rPr>
        <w:t>t</w:t>
      </w:r>
      <w:r w:rsidR="001C7E53">
        <w:rPr>
          <w:rFonts w:eastAsiaTheme="minorEastAsia"/>
          <w:iCs/>
        </w:rPr>
        <w:t>hrough of firm</w:t>
      </w:r>
      <w:r w:rsidR="0018466E">
        <w:rPr>
          <w:rFonts w:eastAsiaTheme="minorEastAsia"/>
          <w:iCs/>
        </w:rPr>
        <w:noBreakHyphen/>
      </w:r>
      <w:r w:rsidR="001C7E53">
        <w:rPr>
          <w:rFonts w:eastAsiaTheme="minorEastAsia"/>
          <w:iCs/>
        </w:rPr>
        <w:t xml:space="preserve">level productivity shocks onto wages. In oligopolistic models such as </w:t>
      </w:r>
      <w:r w:rsidR="001C7E53">
        <w:t>by Berger et al (2021) and Benmelech et al (202</w:t>
      </w:r>
      <w:r w:rsidR="00BA74C2">
        <w:t>2</w:t>
      </w:r>
      <w:r w:rsidR="001C7E53">
        <w:t>), increases in productivity, which make the firm larger, move it onto a steeper part of the labour supply curve. As such the markdown increases, leading wages to increase by less than productivity, meaning the pass</w:t>
      </w:r>
      <w:r w:rsidR="0018466E">
        <w:noBreakHyphen/>
      </w:r>
      <w:r w:rsidR="001C7E53">
        <w:t>through to wages is incomplete. Moreover, the degree of pass</w:t>
      </w:r>
      <w:r w:rsidR="0018466E">
        <w:noBreakHyphen/>
      </w:r>
      <w:r w:rsidR="001C7E53">
        <w:t>through tends to decline as firms become larger, and as such pass</w:t>
      </w:r>
      <w:r w:rsidR="0018466E">
        <w:noBreakHyphen/>
      </w:r>
      <w:r w:rsidR="001C7E53">
        <w:t xml:space="preserve">through becomes a </w:t>
      </w:r>
      <w:r w:rsidR="001C7E53">
        <w:lastRenderedPageBreak/>
        <w:t>function of firms</w:t>
      </w:r>
      <w:r w:rsidR="0018466E">
        <w:t>’</w:t>
      </w:r>
      <w:r w:rsidR="001C7E53">
        <w:t xml:space="preserve"> market shares. Such a specification also naturally comes out of some search</w:t>
      </w:r>
      <w:r w:rsidR="0018466E">
        <w:noBreakHyphen/>
      </w:r>
      <w:r w:rsidR="001C7E53">
        <w:t>and</w:t>
      </w:r>
      <w:r w:rsidR="0018466E">
        <w:noBreakHyphen/>
      </w:r>
      <w:r w:rsidR="001C7E53">
        <w:t>match based models of the labour market (Jarosch et al 2019)</w:t>
      </w:r>
      <w:r w:rsidR="00DB3BC5">
        <w:t>.</w:t>
      </w:r>
    </w:p>
    <w:p w14:paraId="04CCE8CD" w14:textId="1EE73DCF" w:rsidR="001C7E53" w:rsidRDefault="001C7E53" w:rsidP="0018053E">
      <w:r>
        <w:t>Examining the impact on pass</w:t>
      </w:r>
      <w:r w:rsidR="0018466E">
        <w:noBreakHyphen/>
      </w:r>
      <w:r>
        <w:t>through is interesting, given evidence of declining productivity pass</w:t>
      </w:r>
      <w:r w:rsidR="0018466E">
        <w:noBreakHyphen/>
      </w:r>
      <w:r>
        <w:t>through in Andrews et al (2019). As such, I also use a third rent</w:t>
      </w:r>
      <w:r w:rsidR="0018466E">
        <w:noBreakHyphen/>
      </w:r>
      <w:r>
        <w:t>sharing specification:</w:t>
      </w:r>
    </w:p>
    <w:p w14:paraId="440BBAEB" w14:textId="1274A965" w:rsidR="001C7E53" w:rsidRPr="002E594D" w:rsidRDefault="001C7E53" w:rsidP="00F91AE4">
      <w:pPr>
        <w:pStyle w:val="Bullet"/>
      </w:pPr>
      <w:r w:rsidRPr="002E594D">
        <w:rPr>
          <w:b/>
          <w:bCs/>
        </w:rPr>
        <w:t>Rent sharing</w:t>
      </w:r>
      <w:r w:rsidRPr="002E594D">
        <w:t xml:space="preserve">: </w:t>
      </w:r>
      <w:r>
        <w:t>The pass</w:t>
      </w:r>
      <w:r w:rsidR="0018466E">
        <w:noBreakHyphen/>
      </w:r>
      <w:r>
        <w:t>through of productivity is a function of the labour market power</w:t>
      </w:r>
      <w:r w:rsidR="006A7499">
        <w:t xml:space="preserve"> </w:t>
      </w:r>
      <w:r>
        <w:t>and</w:t>
      </w:r>
      <w:r w:rsidR="006A7499">
        <w:t>,</w:t>
      </w:r>
      <w:r>
        <w:t xml:space="preserve"> therefore</w:t>
      </w:r>
      <w:r w:rsidR="006A7499">
        <w:t>,</w:t>
      </w:r>
      <w:r>
        <w:t xml:space="preserve"> concentration. This could be plant</w:t>
      </w:r>
      <w:r w:rsidR="0018466E">
        <w:noBreakHyphen/>
      </w:r>
      <w:r>
        <w:t>level or market</w:t>
      </w:r>
      <w:r w:rsidR="0018466E">
        <w:noBreakHyphen/>
      </w:r>
      <w:r>
        <w:t>level concentration</w:t>
      </w:r>
      <w:r w:rsidRPr="002E594D">
        <w:t>:</w:t>
      </w:r>
    </w:p>
    <w:p w14:paraId="110E96ED" w14:textId="77777777" w:rsidR="001C7E53" w:rsidRPr="00704DAD" w:rsidRDefault="00000000" w:rsidP="00F91AE4">
      <m:oMathPara>
        <m:oMath>
          <m:sSub>
            <m:sSubPr>
              <m:ctrlPr>
                <w:rPr>
                  <w:rFonts w:ascii="Cambria Math" w:hAnsi="Cambria Math"/>
                </w:rPr>
              </m:ctrlPr>
            </m:sSubPr>
            <m:e>
              <m:r>
                <m:rPr>
                  <m:sty m:val="p"/>
                </m:rPr>
                <w:rPr>
                  <w:rFonts w:ascii="Cambria Math" w:hAnsi="Cambria Math"/>
                </w:rPr>
                <m:t>ln⁡</m:t>
              </m:r>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*ln⁡(</m:t>
          </m:r>
          <m:sSub>
            <m:sSubPr>
              <m:ctrlPr>
                <w:rPr>
                  <w:rFonts w:ascii="Cambria Math" w:hAnsi="Cambria Math"/>
                </w:rPr>
              </m:ctrlPr>
            </m:sSubPr>
            <m:e>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ln⁡</m:t>
              </m:r>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77C0B57F" w14:textId="6EFF1516" w:rsidR="001C7E53" w:rsidRDefault="001C7E53" w:rsidP="00123948">
      <w:pPr>
        <w:rPr>
          <w:rFonts w:eastAsiaTheme="minorEastAsia"/>
        </w:rPr>
      </w:pPr>
      <w:r>
        <w:t xml:space="preserve"> </w:t>
      </w:r>
      <m:oMath>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oMath>
      <w:r>
        <w:rPr>
          <w:rFonts w:eastAsiaTheme="minorEastAsia"/>
        </w:rPr>
        <w:t xml:space="preserve"> contains similar controls. </w:t>
      </w:r>
      <w:r w:rsidR="004066FA">
        <w:rPr>
          <w:rFonts w:eastAsiaTheme="minorEastAsia"/>
        </w:rPr>
        <w:t>I</w:t>
      </w:r>
      <w:r>
        <w:rPr>
          <w:rFonts w:eastAsiaTheme="minorEastAsia"/>
        </w:rPr>
        <w:t xml:space="preserve">n this case we can also include local market by time fixed effects, given the focus is not on the interaction between </w:t>
      </w:r>
      <w:r w:rsidR="00BA74C2">
        <w:rPr>
          <w:rFonts w:eastAsiaTheme="minorEastAsia"/>
        </w:rPr>
        <w:t>concentration and productivity.</w:t>
      </w:r>
    </w:p>
    <w:p w14:paraId="36FFBA34" w14:textId="22A278B0" w:rsidR="001C7E53" w:rsidRDefault="001C7E53" w:rsidP="00F91AE4">
      <w:pPr>
        <w:pStyle w:val="Heading3"/>
      </w:pPr>
      <w:r>
        <w:t xml:space="preserve">5.2. Baseline </w:t>
      </w:r>
      <w:r w:rsidR="009D5845">
        <w:t>r</w:t>
      </w:r>
      <w:r>
        <w:t>esults</w:t>
      </w:r>
    </w:p>
    <w:p w14:paraId="0B973A7B" w14:textId="46C4B2D3" w:rsidR="001C7E53" w:rsidRDefault="001C7E53" w:rsidP="00123948">
      <w:pPr>
        <w:rPr>
          <w:rFonts w:eastAsiaTheme="minorEastAsia"/>
          <w:iCs/>
        </w:rPr>
      </w:pPr>
      <w:r>
        <w:rPr>
          <w:rFonts w:eastAsiaTheme="minorEastAsia"/>
          <w:iCs/>
        </w:rPr>
        <w:t>Table 2 shows the results from the monopsony model. Running the model at the local labour market level (</w:t>
      </w:r>
      <w:r w:rsidRPr="00685766">
        <w:rPr>
          <w:rFonts w:cs="Calibri"/>
          <w:i/>
          <w:color w:val="000000"/>
        </w:rPr>
        <w:t>Local Labour Market model</w:t>
      </w:r>
      <w:r>
        <w:rPr>
          <w:rFonts w:eastAsiaTheme="minorEastAsia"/>
          <w:iCs/>
        </w:rPr>
        <w:t>), we can see that increases in concentration are associated with lower wages, consistent with expectations. The coefficient is larger using the instrumental variable. This suggests that changes in the local HHI driven by national</w:t>
      </w:r>
      <w:r w:rsidR="0018466E">
        <w:rPr>
          <w:rFonts w:eastAsiaTheme="minorEastAsia"/>
          <w:iCs/>
        </w:rPr>
        <w:noBreakHyphen/>
      </w:r>
      <w:r>
        <w:rPr>
          <w:rFonts w:eastAsiaTheme="minorEastAsia"/>
          <w:iCs/>
        </w:rPr>
        <w:t>level variation in concentration have a larger impact on wages and provide additional support to the baseline findings.</w:t>
      </w:r>
    </w:p>
    <w:p w14:paraId="7B6B4A41" w14:textId="784F272C" w:rsidR="003E2966" w:rsidRDefault="003E2966" w:rsidP="00F91AE4">
      <w:pPr>
        <w:pStyle w:val="TableMainHeading"/>
        <w:rPr>
          <w:rFonts w:eastAsiaTheme="minorEastAsia"/>
          <w:iCs/>
        </w:rPr>
      </w:pPr>
      <w:r w:rsidRPr="00714EC3">
        <w:t xml:space="preserve">Table 2: Monopsony and </w:t>
      </w:r>
      <w:r w:rsidR="00BB6698">
        <w:t>o</w:t>
      </w:r>
      <w:r w:rsidRPr="00714EC3">
        <w:t>lig</w:t>
      </w:r>
      <w:r>
        <w:t>o</w:t>
      </w:r>
      <w:r w:rsidRPr="00714EC3">
        <w:t xml:space="preserve">psony </w:t>
      </w:r>
      <w:r w:rsidR="00BB6698">
        <w:t>m</w:t>
      </w:r>
      <w:r w:rsidRPr="00714EC3">
        <w:t>odels</w:t>
      </w:r>
      <w:r w:rsidR="006D1604">
        <w:t xml:space="preserve"> – </w:t>
      </w:r>
      <w:r w:rsidR="00460F7D">
        <w:t>H</w:t>
      </w:r>
      <w:r>
        <w:t>eadcount</w:t>
      </w:r>
    </w:p>
    <w:tbl>
      <w:tblPr>
        <w:tblW w:w="9500" w:type="dxa"/>
        <w:tblLook w:val="04A0" w:firstRow="1" w:lastRow="0" w:firstColumn="1" w:lastColumn="0" w:noHBand="0" w:noVBand="1"/>
      </w:tblPr>
      <w:tblGrid>
        <w:gridCol w:w="1600"/>
        <w:gridCol w:w="1580"/>
        <w:gridCol w:w="1580"/>
        <w:gridCol w:w="1580"/>
        <w:gridCol w:w="1580"/>
        <w:gridCol w:w="1580"/>
      </w:tblGrid>
      <w:tr w:rsidR="001C7E53" w:rsidRPr="00714EC3" w14:paraId="2743D83B" w14:textId="77777777" w:rsidTr="001D0062">
        <w:trPr>
          <w:trHeight w:val="283"/>
        </w:trPr>
        <w:tc>
          <w:tcPr>
            <w:tcW w:w="1600" w:type="dxa"/>
            <w:tcBorders>
              <w:top w:val="single" w:sz="4" w:space="0" w:color="auto"/>
              <w:left w:val="nil"/>
              <w:bottom w:val="single" w:sz="8" w:space="0" w:color="auto"/>
              <w:right w:val="nil"/>
            </w:tcBorders>
            <w:shd w:val="clear" w:color="auto" w:fill="auto"/>
            <w:noWrap/>
            <w:vAlign w:val="center"/>
            <w:hideMark/>
          </w:tcPr>
          <w:p w14:paraId="37EC0F64"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c>
          <w:tcPr>
            <w:tcW w:w="3160" w:type="dxa"/>
            <w:gridSpan w:val="2"/>
            <w:tcBorders>
              <w:top w:val="single" w:sz="8" w:space="0" w:color="auto"/>
              <w:left w:val="nil"/>
              <w:bottom w:val="single" w:sz="8" w:space="0" w:color="auto"/>
              <w:right w:val="nil"/>
            </w:tcBorders>
            <w:shd w:val="clear" w:color="auto" w:fill="auto"/>
            <w:noWrap/>
            <w:vAlign w:val="center"/>
            <w:hideMark/>
          </w:tcPr>
          <w:p w14:paraId="76174AD0" w14:textId="77777777" w:rsidR="001C7E53" w:rsidRPr="00714EC3" w:rsidRDefault="001C7E53" w:rsidP="00460F7D">
            <w:pPr>
              <w:pStyle w:val="TableColumnHeadingCentred"/>
            </w:pPr>
            <w:r w:rsidRPr="00714EC3">
              <w:t>Local Labour Market model</w:t>
            </w:r>
          </w:p>
        </w:tc>
        <w:tc>
          <w:tcPr>
            <w:tcW w:w="4740" w:type="dxa"/>
            <w:gridSpan w:val="3"/>
            <w:tcBorders>
              <w:top w:val="single" w:sz="8" w:space="0" w:color="auto"/>
              <w:left w:val="nil"/>
              <w:bottom w:val="single" w:sz="8" w:space="0" w:color="auto"/>
              <w:right w:val="nil"/>
            </w:tcBorders>
            <w:shd w:val="clear" w:color="auto" w:fill="auto"/>
            <w:noWrap/>
            <w:vAlign w:val="center"/>
            <w:hideMark/>
          </w:tcPr>
          <w:p w14:paraId="769E0572" w14:textId="71145B74" w:rsidR="001C7E53" w:rsidRPr="00714EC3" w:rsidRDefault="001C7E53" w:rsidP="00460F7D">
            <w:pPr>
              <w:pStyle w:val="TableColumnHeadingCentred"/>
            </w:pPr>
            <w:r>
              <w:t>Plant</w:t>
            </w:r>
            <w:r w:rsidR="0018466E">
              <w:noBreakHyphen/>
            </w:r>
            <w:r w:rsidRPr="00714EC3">
              <w:t>level model</w:t>
            </w:r>
          </w:p>
        </w:tc>
      </w:tr>
      <w:tr w:rsidR="001C7E53" w:rsidRPr="00714EC3" w14:paraId="604477E4" w14:textId="77777777" w:rsidTr="001D0062">
        <w:trPr>
          <w:trHeight w:val="283"/>
        </w:trPr>
        <w:tc>
          <w:tcPr>
            <w:tcW w:w="1600" w:type="dxa"/>
            <w:tcBorders>
              <w:top w:val="nil"/>
              <w:left w:val="nil"/>
              <w:bottom w:val="single" w:sz="8" w:space="0" w:color="auto"/>
              <w:right w:val="nil"/>
            </w:tcBorders>
            <w:shd w:val="clear" w:color="auto" w:fill="auto"/>
            <w:noWrap/>
            <w:vAlign w:val="center"/>
            <w:hideMark/>
          </w:tcPr>
          <w:p w14:paraId="70CB25F9" w14:textId="77777777" w:rsidR="001C7E53" w:rsidRPr="00714EC3" w:rsidRDefault="001C7E53" w:rsidP="00F91AE4">
            <w:pPr>
              <w:spacing w:after="0"/>
              <w:rPr>
                <w:rFonts w:cs="Calibri"/>
                <w:i/>
                <w:iCs/>
                <w:color w:val="000000"/>
                <w:sz w:val="20"/>
              </w:rPr>
            </w:pPr>
            <w:r w:rsidRPr="00714EC3">
              <w:rPr>
                <w:rFonts w:cs="Calibri"/>
                <w:i/>
                <w:iCs/>
                <w:color w:val="000000"/>
                <w:sz w:val="20"/>
              </w:rPr>
              <w:t> </w:t>
            </w:r>
          </w:p>
        </w:tc>
        <w:tc>
          <w:tcPr>
            <w:tcW w:w="1580" w:type="dxa"/>
            <w:tcBorders>
              <w:top w:val="nil"/>
              <w:left w:val="nil"/>
              <w:bottom w:val="single" w:sz="8" w:space="0" w:color="auto"/>
              <w:right w:val="nil"/>
            </w:tcBorders>
            <w:shd w:val="clear" w:color="auto" w:fill="auto"/>
            <w:vAlign w:val="center"/>
            <w:hideMark/>
          </w:tcPr>
          <w:p w14:paraId="3C7CB9CB" w14:textId="77777777" w:rsidR="001C7E53" w:rsidRPr="00714EC3" w:rsidRDefault="001C7E53" w:rsidP="00460F7D">
            <w:pPr>
              <w:pStyle w:val="TableColumnHeadingCentred"/>
            </w:pPr>
            <w:r w:rsidRPr="00714EC3">
              <w:t>Monopsony</w:t>
            </w:r>
          </w:p>
        </w:tc>
        <w:tc>
          <w:tcPr>
            <w:tcW w:w="1580" w:type="dxa"/>
            <w:tcBorders>
              <w:top w:val="nil"/>
              <w:left w:val="nil"/>
              <w:bottom w:val="single" w:sz="8" w:space="0" w:color="auto"/>
              <w:right w:val="nil"/>
            </w:tcBorders>
            <w:shd w:val="clear" w:color="auto" w:fill="auto"/>
            <w:vAlign w:val="center"/>
            <w:hideMark/>
          </w:tcPr>
          <w:p w14:paraId="17F06FCC" w14:textId="0C8BCCA0" w:rsidR="001C7E53" w:rsidRPr="00714EC3" w:rsidRDefault="001C7E53" w:rsidP="00460F7D">
            <w:pPr>
              <w:pStyle w:val="TableColumnHeadingCentred"/>
            </w:pPr>
            <w:r w:rsidRPr="00714EC3">
              <w:t>Monopsony</w:t>
            </w:r>
            <w:r w:rsidR="006D1604">
              <w:t xml:space="preserve"> – </w:t>
            </w:r>
            <w:r w:rsidRPr="00714EC3">
              <w:t>IV</w:t>
            </w:r>
          </w:p>
        </w:tc>
        <w:tc>
          <w:tcPr>
            <w:tcW w:w="1580" w:type="dxa"/>
            <w:tcBorders>
              <w:top w:val="nil"/>
              <w:left w:val="nil"/>
              <w:bottom w:val="single" w:sz="8" w:space="0" w:color="auto"/>
              <w:right w:val="nil"/>
            </w:tcBorders>
            <w:shd w:val="clear" w:color="auto" w:fill="auto"/>
            <w:vAlign w:val="center"/>
            <w:hideMark/>
          </w:tcPr>
          <w:p w14:paraId="7DFDB0C9" w14:textId="77777777" w:rsidR="001C7E53" w:rsidRPr="00714EC3" w:rsidRDefault="001C7E53" w:rsidP="00460F7D">
            <w:pPr>
              <w:pStyle w:val="TableColumnHeadingCentred"/>
            </w:pPr>
            <w:r w:rsidRPr="00714EC3">
              <w:t>Monopsony</w:t>
            </w:r>
          </w:p>
        </w:tc>
        <w:tc>
          <w:tcPr>
            <w:tcW w:w="1580" w:type="dxa"/>
            <w:tcBorders>
              <w:top w:val="nil"/>
              <w:left w:val="nil"/>
              <w:bottom w:val="single" w:sz="8" w:space="0" w:color="auto"/>
              <w:right w:val="nil"/>
            </w:tcBorders>
            <w:shd w:val="clear" w:color="auto" w:fill="auto"/>
            <w:vAlign w:val="center"/>
            <w:hideMark/>
          </w:tcPr>
          <w:p w14:paraId="0873FA65" w14:textId="2EFF2E0A" w:rsidR="001C7E53" w:rsidRPr="00714EC3" w:rsidRDefault="001C7E53" w:rsidP="00460F7D">
            <w:pPr>
              <w:pStyle w:val="TableColumnHeadingCentred"/>
            </w:pPr>
            <w:r w:rsidRPr="00714EC3">
              <w:t>Monopsony</w:t>
            </w:r>
            <w:r w:rsidR="006D1604">
              <w:t xml:space="preserve"> – </w:t>
            </w:r>
            <w:r w:rsidRPr="00714EC3">
              <w:t>IV</w:t>
            </w:r>
          </w:p>
        </w:tc>
        <w:tc>
          <w:tcPr>
            <w:tcW w:w="1580" w:type="dxa"/>
            <w:tcBorders>
              <w:top w:val="nil"/>
              <w:left w:val="nil"/>
              <w:bottom w:val="single" w:sz="8" w:space="0" w:color="auto"/>
              <w:right w:val="nil"/>
            </w:tcBorders>
            <w:shd w:val="clear" w:color="auto" w:fill="auto"/>
            <w:noWrap/>
            <w:vAlign w:val="center"/>
            <w:hideMark/>
          </w:tcPr>
          <w:p w14:paraId="6459B368" w14:textId="77777777" w:rsidR="001C7E53" w:rsidRPr="00714EC3" w:rsidRDefault="001C7E53" w:rsidP="00460F7D">
            <w:pPr>
              <w:pStyle w:val="TableColumnHeadingCentred"/>
            </w:pPr>
            <w:r w:rsidRPr="00714EC3">
              <w:t>Oligopsony</w:t>
            </w:r>
          </w:p>
        </w:tc>
      </w:tr>
      <w:tr w:rsidR="00734E59" w:rsidRPr="00714EC3" w14:paraId="5364389A" w14:textId="77777777" w:rsidTr="006D45AD">
        <w:trPr>
          <w:trHeight w:val="283"/>
        </w:trPr>
        <w:tc>
          <w:tcPr>
            <w:tcW w:w="1600" w:type="dxa"/>
            <w:tcBorders>
              <w:top w:val="nil"/>
              <w:left w:val="nil"/>
              <w:bottom w:val="nil"/>
              <w:right w:val="nil"/>
            </w:tcBorders>
            <w:shd w:val="clear" w:color="auto" w:fill="auto"/>
            <w:noWrap/>
            <w:vAlign w:val="center"/>
          </w:tcPr>
          <w:p w14:paraId="66E07AED" w14:textId="77777777" w:rsidR="00734E59" w:rsidRPr="00714EC3" w:rsidRDefault="00734E59" w:rsidP="00F91AE4">
            <w:pPr>
              <w:pStyle w:val="TableTextLeft"/>
            </w:pPr>
          </w:p>
        </w:tc>
        <w:tc>
          <w:tcPr>
            <w:tcW w:w="1580" w:type="dxa"/>
            <w:tcBorders>
              <w:top w:val="nil"/>
              <w:left w:val="nil"/>
              <w:bottom w:val="nil"/>
              <w:right w:val="nil"/>
            </w:tcBorders>
            <w:shd w:val="clear" w:color="auto" w:fill="auto"/>
            <w:noWrap/>
            <w:vAlign w:val="center"/>
          </w:tcPr>
          <w:p w14:paraId="4CD8BE06" w14:textId="77777777" w:rsidR="00734E59" w:rsidRPr="00714EC3" w:rsidRDefault="00734E59" w:rsidP="00460F7D">
            <w:pPr>
              <w:pStyle w:val="TableTextCentered"/>
            </w:pPr>
          </w:p>
        </w:tc>
        <w:tc>
          <w:tcPr>
            <w:tcW w:w="1580" w:type="dxa"/>
            <w:tcBorders>
              <w:top w:val="nil"/>
              <w:left w:val="nil"/>
              <w:bottom w:val="nil"/>
              <w:right w:val="nil"/>
            </w:tcBorders>
            <w:shd w:val="clear" w:color="auto" w:fill="auto"/>
            <w:noWrap/>
            <w:vAlign w:val="center"/>
          </w:tcPr>
          <w:p w14:paraId="31FEC38C" w14:textId="77777777" w:rsidR="00734E59" w:rsidRPr="00714EC3" w:rsidRDefault="00734E59" w:rsidP="00460F7D">
            <w:pPr>
              <w:pStyle w:val="TableTextCentered"/>
            </w:pPr>
          </w:p>
        </w:tc>
        <w:tc>
          <w:tcPr>
            <w:tcW w:w="1580" w:type="dxa"/>
            <w:tcBorders>
              <w:top w:val="nil"/>
              <w:left w:val="nil"/>
              <w:bottom w:val="nil"/>
              <w:right w:val="nil"/>
            </w:tcBorders>
            <w:shd w:val="clear" w:color="auto" w:fill="auto"/>
            <w:noWrap/>
            <w:vAlign w:val="center"/>
          </w:tcPr>
          <w:p w14:paraId="15A0A3C2" w14:textId="77777777" w:rsidR="00734E59" w:rsidRPr="00714EC3" w:rsidRDefault="00734E59" w:rsidP="00460F7D">
            <w:pPr>
              <w:pStyle w:val="TableTextCentered"/>
            </w:pPr>
          </w:p>
        </w:tc>
        <w:tc>
          <w:tcPr>
            <w:tcW w:w="1580" w:type="dxa"/>
            <w:tcBorders>
              <w:top w:val="nil"/>
              <w:left w:val="nil"/>
              <w:bottom w:val="nil"/>
              <w:right w:val="nil"/>
            </w:tcBorders>
            <w:shd w:val="clear" w:color="auto" w:fill="auto"/>
            <w:noWrap/>
            <w:vAlign w:val="center"/>
          </w:tcPr>
          <w:p w14:paraId="4EB71168" w14:textId="77777777" w:rsidR="00734E59" w:rsidRPr="00714EC3" w:rsidRDefault="00734E59" w:rsidP="00460F7D">
            <w:pPr>
              <w:pStyle w:val="TableTextCentered"/>
            </w:pPr>
          </w:p>
        </w:tc>
        <w:tc>
          <w:tcPr>
            <w:tcW w:w="1580" w:type="dxa"/>
            <w:tcBorders>
              <w:top w:val="nil"/>
              <w:left w:val="nil"/>
              <w:bottom w:val="nil"/>
              <w:right w:val="nil"/>
            </w:tcBorders>
            <w:shd w:val="clear" w:color="auto" w:fill="auto"/>
            <w:noWrap/>
            <w:vAlign w:val="center"/>
          </w:tcPr>
          <w:p w14:paraId="6023AB01" w14:textId="77777777" w:rsidR="00734E59" w:rsidRPr="00714EC3" w:rsidRDefault="00734E59" w:rsidP="00460F7D">
            <w:pPr>
              <w:pStyle w:val="TableTextCentered"/>
            </w:pPr>
          </w:p>
        </w:tc>
      </w:tr>
      <w:tr w:rsidR="001C7E53" w:rsidRPr="00714EC3" w14:paraId="7E7388F5" w14:textId="77777777" w:rsidTr="001D0062">
        <w:trPr>
          <w:trHeight w:val="283"/>
        </w:trPr>
        <w:tc>
          <w:tcPr>
            <w:tcW w:w="1600" w:type="dxa"/>
            <w:tcBorders>
              <w:top w:val="nil"/>
              <w:left w:val="nil"/>
              <w:bottom w:val="nil"/>
              <w:right w:val="nil"/>
            </w:tcBorders>
            <w:shd w:val="clear" w:color="auto" w:fill="auto"/>
            <w:noWrap/>
            <w:vAlign w:val="center"/>
            <w:hideMark/>
          </w:tcPr>
          <w:p w14:paraId="59A1C8FB" w14:textId="77777777" w:rsidR="001C7E53" w:rsidRPr="00714EC3" w:rsidRDefault="001C7E53" w:rsidP="00F91AE4">
            <w:pPr>
              <w:pStyle w:val="TableTextLeft"/>
            </w:pPr>
            <w:r w:rsidRPr="00714EC3">
              <w:t>Productivity</w:t>
            </w:r>
          </w:p>
        </w:tc>
        <w:tc>
          <w:tcPr>
            <w:tcW w:w="1580" w:type="dxa"/>
            <w:tcBorders>
              <w:top w:val="nil"/>
              <w:left w:val="nil"/>
              <w:bottom w:val="nil"/>
              <w:right w:val="nil"/>
            </w:tcBorders>
            <w:shd w:val="clear" w:color="auto" w:fill="auto"/>
            <w:noWrap/>
            <w:vAlign w:val="center"/>
            <w:hideMark/>
          </w:tcPr>
          <w:p w14:paraId="2EA83C65" w14:textId="77777777" w:rsidR="001C7E53" w:rsidRPr="00714EC3" w:rsidRDefault="001C7E53" w:rsidP="00460F7D">
            <w:pPr>
              <w:pStyle w:val="TableTextCentered"/>
            </w:pPr>
            <w:r w:rsidRPr="00714EC3">
              <w:t>0.077***</w:t>
            </w:r>
          </w:p>
        </w:tc>
        <w:tc>
          <w:tcPr>
            <w:tcW w:w="1580" w:type="dxa"/>
            <w:tcBorders>
              <w:top w:val="nil"/>
              <w:left w:val="nil"/>
              <w:bottom w:val="nil"/>
              <w:right w:val="nil"/>
            </w:tcBorders>
            <w:shd w:val="clear" w:color="auto" w:fill="auto"/>
            <w:noWrap/>
            <w:vAlign w:val="center"/>
            <w:hideMark/>
          </w:tcPr>
          <w:p w14:paraId="0721C829" w14:textId="77777777" w:rsidR="001C7E53" w:rsidRPr="00714EC3" w:rsidRDefault="001C7E53" w:rsidP="00460F7D">
            <w:pPr>
              <w:pStyle w:val="TableTextCentered"/>
            </w:pPr>
            <w:r w:rsidRPr="00714EC3">
              <w:t>0.070***</w:t>
            </w:r>
          </w:p>
        </w:tc>
        <w:tc>
          <w:tcPr>
            <w:tcW w:w="1580" w:type="dxa"/>
            <w:tcBorders>
              <w:top w:val="nil"/>
              <w:left w:val="nil"/>
              <w:bottom w:val="nil"/>
              <w:right w:val="nil"/>
            </w:tcBorders>
            <w:shd w:val="clear" w:color="auto" w:fill="auto"/>
            <w:noWrap/>
            <w:vAlign w:val="center"/>
            <w:hideMark/>
          </w:tcPr>
          <w:p w14:paraId="36087BBA" w14:textId="77777777" w:rsidR="001C7E53" w:rsidRPr="00714EC3" w:rsidRDefault="001C7E53" w:rsidP="00460F7D">
            <w:pPr>
              <w:pStyle w:val="TableTextCentered"/>
            </w:pPr>
            <w:r w:rsidRPr="00714EC3">
              <w:t>0.153***</w:t>
            </w:r>
          </w:p>
        </w:tc>
        <w:tc>
          <w:tcPr>
            <w:tcW w:w="1580" w:type="dxa"/>
            <w:tcBorders>
              <w:top w:val="nil"/>
              <w:left w:val="nil"/>
              <w:bottom w:val="nil"/>
              <w:right w:val="nil"/>
            </w:tcBorders>
            <w:shd w:val="clear" w:color="auto" w:fill="auto"/>
            <w:noWrap/>
            <w:vAlign w:val="center"/>
            <w:hideMark/>
          </w:tcPr>
          <w:p w14:paraId="7E7F5633" w14:textId="77777777" w:rsidR="001C7E53" w:rsidRPr="00714EC3" w:rsidRDefault="001C7E53" w:rsidP="00460F7D">
            <w:pPr>
              <w:pStyle w:val="TableTextCentered"/>
            </w:pPr>
            <w:r w:rsidRPr="00714EC3">
              <w:t>0.153***</w:t>
            </w:r>
          </w:p>
        </w:tc>
        <w:tc>
          <w:tcPr>
            <w:tcW w:w="1580" w:type="dxa"/>
            <w:tcBorders>
              <w:top w:val="nil"/>
              <w:left w:val="nil"/>
              <w:bottom w:val="nil"/>
              <w:right w:val="nil"/>
            </w:tcBorders>
            <w:shd w:val="clear" w:color="auto" w:fill="auto"/>
            <w:noWrap/>
            <w:vAlign w:val="center"/>
            <w:hideMark/>
          </w:tcPr>
          <w:p w14:paraId="761AD53D" w14:textId="77777777" w:rsidR="001C7E53" w:rsidRPr="00714EC3" w:rsidRDefault="001C7E53" w:rsidP="00460F7D">
            <w:pPr>
              <w:pStyle w:val="TableTextCentered"/>
            </w:pPr>
            <w:r w:rsidRPr="00714EC3">
              <w:t>0.158***</w:t>
            </w:r>
          </w:p>
        </w:tc>
      </w:tr>
      <w:tr w:rsidR="001C7E53" w:rsidRPr="00714EC3" w14:paraId="497D4068" w14:textId="77777777" w:rsidTr="001D0062">
        <w:trPr>
          <w:trHeight w:val="283"/>
        </w:trPr>
        <w:tc>
          <w:tcPr>
            <w:tcW w:w="1600" w:type="dxa"/>
            <w:tcBorders>
              <w:top w:val="nil"/>
              <w:left w:val="nil"/>
              <w:bottom w:val="nil"/>
              <w:right w:val="nil"/>
            </w:tcBorders>
            <w:shd w:val="clear" w:color="auto" w:fill="auto"/>
            <w:noWrap/>
            <w:hideMark/>
          </w:tcPr>
          <w:p w14:paraId="315A0C53" w14:textId="77777777" w:rsidR="001C7E53" w:rsidRPr="00714EC3" w:rsidRDefault="001C7E53" w:rsidP="00F91AE4">
            <w:pPr>
              <w:pStyle w:val="TableTextLeft"/>
            </w:pPr>
          </w:p>
        </w:tc>
        <w:tc>
          <w:tcPr>
            <w:tcW w:w="1580" w:type="dxa"/>
            <w:tcBorders>
              <w:top w:val="nil"/>
              <w:left w:val="nil"/>
              <w:bottom w:val="nil"/>
              <w:right w:val="nil"/>
            </w:tcBorders>
            <w:shd w:val="clear" w:color="auto" w:fill="auto"/>
            <w:noWrap/>
            <w:vAlign w:val="center"/>
            <w:hideMark/>
          </w:tcPr>
          <w:p w14:paraId="6697A697" w14:textId="77777777" w:rsidR="001C7E53" w:rsidRPr="00714EC3" w:rsidRDefault="001C7E53" w:rsidP="00460F7D">
            <w:pPr>
              <w:pStyle w:val="TableTextCentered"/>
            </w:pPr>
            <w:r>
              <w:t>(</w:t>
            </w:r>
            <w:r w:rsidRPr="00714EC3">
              <w:t>0.001</w:t>
            </w:r>
            <w:r>
              <w:t>)</w:t>
            </w:r>
          </w:p>
        </w:tc>
        <w:tc>
          <w:tcPr>
            <w:tcW w:w="1580" w:type="dxa"/>
            <w:tcBorders>
              <w:top w:val="nil"/>
              <w:left w:val="nil"/>
              <w:bottom w:val="nil"/>
              <w:right w:val="nil"/>
            </w:tcBorders>
            <w:shd w:val="clear" w:color="auto" w:fill="auto"/>
            <w:noWrap/>
            <w:vAlign w:val="center"/>
            <w:hideMark/>
          </w:tcPr>
          <w:p w14:paraId="62DED1E9" w14:textId="77777777" w:rsidR="001C7E53" w:rsidRPr="00714EC3" w:rsidRDefault="001C7E53" w:rsidP="00460F7D">
            <w:pPr>
              <w:pStyle w:val="TableTextCentered"/>
            </w:pPr>
            <w:r>
              <w:t>(</w:t>
            </w:r>
            <w:r w:rsidRPr="00714EC3">
              <w:t>0.002</w:t>
            </w:r>
            <w:r>
              <w:t>)</w:t>
            </w:r>
          </w:p>
        </w:tc>
        <w:tc>
          <w:tcPr>
            <w:tcW w:w="1580" w:type="dxa"/>
            <w:tcBorders>
              <w:top w:val="nil"/>
              <w:left w:val="nil"/>
              <w:bottom w:val="nil"/>
              <w:right w:val="nil"/>
            </w:tcBorders>
            <w:shd w:val="clear" w:color="auto" w:fill="auto"/>
            <w:noWrap/>
            <w:vAlign w:val="center"/>
            <w:hideMark/>
          </w:tcPr>
          <w:p w14:paraId="1927B66E" w14:textId="77777777" w:rsidR="001C7E53" w:rsidRPr="00714EC3" w:rsidRDefault="001C7E53" w:rsidP="00460F7D">
            <w:pPr>
              <w:pStyle w:val="TableTextCentered"/>
            </w:pPr>
            <w:r>
              <w:t>(</w:t>
            </w:r>
            <w:r w:rsidRPr="00714EC3">
              <w:t>0.004</w:t>
            </w:r>
            <w:r>
              <w:t>)</w:t>
            </w:r>
          </w:p>
        </w:tc>
        <w:tc>
          <w:tcPr>
            <w:tcW w:w="1580" w:type="dxa"/>
            <w:tcBorders>
              <w:top w:val="nil"/>
              <w:left w:val="nil"/>
              <w:bottom w:val="nil"/>
              <w:right w:val="nil"/>
            </w:tcBorders>
            <w:shd w:val="clear" w:color="auto" w:fill="auto"/>
            <w:noWrap/>
            <w:vAlign w:val="center"/>
            <w:hideMark/>
          </w:tcPr>
          <w:p w14:paraId="238E6B2F" w14:textId="77777777" w:rsidR="001C7E53" w:rsidRPr="00714EC3" w:rsidRDefault="001C7E53" w:rsidP="00460F7D">
            <w:pPr>
              <w:pStyle w:val="TableTextCentered"/>
            </w:pPr>
            <w:r>
              <w:t>(</w:t>
            </w:r>
            <w:r w:rsidRPr="00714EC3">
              <w:t>0.001</w:t>
            </w:r>
            <w:r>
              <w:t>)</w:t>
            </w:r>
          </w:p>
        </w:tc>
        <w:tc>
          <w:tcPr>
            <w:tcW w:w="1580" w:type="dxa"/>
            <w:tcBorders>
              <w:top w:val="nil"/>
              <w:left w:val="nil"/>
              <w:bottom w:val="nil"/>
              <w:right w:val="nil"/>
            </w:tcBorders>
            <w:shd w:val="clear" w:color="auto" w:fill="auto"/>
            <w:noWrap/>
            <w:vAlign w:val="center"/>
            <w:hideMark/>
          </w:tcPr>
          <w:p w14:paraId="29B2C005" w14:textId="77777777" w:rsidR="001C7E53" w:rsidRPr="00714EC3" w:rsidRDefault="001C7E53" w:rsidP="00460F7D">
            <w:pPr>
              <w:pStyle w:val="TableTextCentered"/>
            </w:pPr>
            <w:r w:rsidRPr="00714EC3">
              <w:t>(0.004)</w:t>
            </w:r>
          </w:p>
        </w:tc>
      </w:tr>
      <w:tr w:rsidR="006D45AD" w:rsidRPr="00714EC3" w14:paraId="091E08C2" w14:textId="77777777" w:rsidTr="001D0062">
        <w:trPr>
          <w:trHeight w:val="283"/>
        </w:trPr>
        <w:tc>
          <w:tcPr>
            <w:tcW w:w="1600" w:type="dxa"/>
            <w:tcBorders>
              <w:top w:val="nil"/>
              <w:left w:val="nil"/>
              <w:bottom w:val="nil"/>
              <w:right w:val="nil"/>
            </w:tcBorders>
            <w:shd w:val="clear" w:color="auto" w:fill="auto"/>
            <w:vAlign w:val="center"/>
          </w:tcPr>
          <w:p w14:paraId="3385B2CB" w14:textId="77777777" w:rsidR="006D45AD" w:rsidRPr="00714EC3" w:rsidRDefault="006D45AD" w:rsidP="00F91AE4">
            <w:pPr>
              <w:pStyle w:val="TableTextLeft"/>
            </w:pPr>
          </w:p>
        </w:tc>
        <w:tc>
          <w:tcPr>
            <w:tcW w:w="1580" w:type="dxa"/>
            <w:tcBorders>
              <w:top w:val="nil"/>
              <w:left w:val="nil"/>
              <w:bottom w:val="nil"/>
              <w:right w:val="nil"/>
            </w:tcBorders>
            <w:shd w:val="clear" w:color="auto" w:fill="auto"/>
            <w:noWrap/>
            <w:vAlign w:val="center"/>
          </w:tcPr>
          <w:p w14:paraId="2B28D942" w14:textId="77777777" w:rsidR="006D45AD" w:rsidRDefault="006D45AD" w:rsidP="00460F7D">
            <w:pPr>
              <w:pStyle w:val="TableTextCentered"/>
            </w:pPr>
          </w:p>
        </w:tc>
        <w:tc>
          <w:tcPr>
            <w:tcW w:w="1580" w:type="dxa"/>
            <w:tcBorders>
              <w:top w:val="nil"/>
              <w:left w:val="nil"/>
              <w:bottom w:val="nil"/>
              <w:right w:val="nil"/>
            </w:tcBorders>
            <w:shd w:val="clear" w:color="auto" w:fill="auto"/>
            <w:noWrap/>
            <w:vAlign w:val="center"/>
          </w:tcPr>
          <w:p w14:paraId="592385B4" w14:textId="77777777" w:rsidR="006D45AD" w:rsidRDefault="006D45AD" w:rsidP="00460F7D">
            <w:pPr>
              <w:pStyle w:val="TableTextCentered"/>
            </w:pPr>
          </w:p>
        </w:tc>
        <w:tc>
          <w:tcPr>
            <w:tcW w:w="1580" w:type="dxa"/>
            <w:tcBorders>
              <w:top w:val="nil"/>
              <w:left w:val="nil"/>
              <w:bottom w:val="nil"/>
              <w:right w:val="nil"/>
            </w:tcBorders>
            <w:shd w:val="clear" w:color="auto" w:fill="auto"/>
            <w:noWrap/>
            <w:vAlign w:val="center"/>
          </w:tcPr>
          <w:p w14:paraId="42CD243B" w14:textId="77777777" w:rsidR="006D45AD" w:rsidRDefault="006D45AD" w:rsidP="00460F7D">
            <w:pPr>
              <w:pStyle w:val="TableTextCentered"/>
            </w:pPr>
          </w:p>
        </w:tc>
        <w:tc>
          <w:tcPr>
            <w:tcW w:w="1580" w:type="dxa"/>
            <w:tcBorders>
              <w:top w:val="nil"/>
              <w:left w:val="nil"/>
              <w:bottom w:val="nil"/>
              <w:right w:val="nil"/>
            </w:tcBorders>
            <w:shd w:val="clear" w:color="auto" w:fill="auto"/>
            <w:noWrap/>
            <w:vAlign w:val="center"/>
          </w:tcPr>
          <w:p w14:paraId="52F3BD1B" w14:textId="77777777" w:rsidR="006D45AD" w:rsidRDefault="006D45AD" w:rsidP="00460F7D">
            <w:pPr>
              <w:pStyle w:val="TableTextCentered"/>
            </w:pPr>
          </w:p>
        </w:tc>
        <w:tc>
          <w:tcPr>
            <w:tcW w:w="1580" w:type="dxa"/>
            <w:tcBorders>
              <w:top w:val="nil"/>
              <w:left w:val="nil"/>
              <w:bottom w:val="nil"/>
              <w:right w:val="nil"/>
            </w:tcBorders>
            <w:shd w:val="clear" w:color="auto" w:fill="auto"/>
            <w:noWrap/>
            <w:vAlign w:val="bottom"/>
          </w:tcPr>
          <w:p w14:paraId="6BAA8E32" w14:textId="77777777" w:rsidR="006D45AD" w:rsidRPr="00714EC3" w:rsidRDefault="006D45AD" w:rsidP="00460F7D">
            <w:pPr>
              <w:pStyle w:val="TableTextCentered"/>
            </w:pPr>
          </w:p>
        </w:tc>
      </w:tr>
      <w:tr w:rsidR="001C7E53" w:rsidRPr="00714EC3" w14:paraId="7EEA46DA" w14:textId="77777777" w:rsidTr="001D0062">
        <w:trPr>
          <w:trHeight w:val="283"/>
        </w:trPr>
        <w:tc>
          <w:tcPr>
            <w:tcW w:w="1600" w:type="dxa"/>
            <w:vMerge w:val="restart"/>
            <w:tcBorders>
              <w:top w:val="nil"/>
              <w:left w:val="nil"/>
              <w:bottom w:val="nil"/>
              <w:right w:val="nil"/>
            </w:tcBorders>
            <w:shd w:val="clear" w:color="auto" w:fill="auto"/>
            <w:vAlign w:val="center"/>
            <w:hideMark/>
          </w:tcPr>
          <w:p w14:paraId="5AA36536" w14:textId="2989B86C" w:rsidR="001C7E53" w:rsidRPr="00714EC3" w:rsidRDefault="001C7E53" w:rsidP="00F91AE4">
            <w:pPr>
              <w:pStyle w:val="TableTextLeft"/>
            </w:pPr>
            <w:r w:rsidRPr="00714EC3">
              <w:t>Concentration</w:t>
            </w:r>
            <w:r w:rsidR="006D1604">
              <w:t xml:space="preserve"> – </w:t>
            </w:r>
            <w:r>
              <w:t>HHI</w:t>
            </w:r>
          </w:p>
        </w:tc>
        <w:tc>
          <w:tcPr>
            <w:tcW w:w="1580" w:type="dxa"/>
            <w:tcBorders>
              <w:top w:val="nil"/>
              <w:left w:val="nil"/>
              <w:bottom w:val="nil"/>
              <w:right w:val="nil"/>
            </w:tcBorders>
            <w:shd w:val="clear" w:color="auto" w:fill="auto"/>
            <w:noWrap/>
            <w:vAlign w:val="center"/>
            <w:hideMark/>
          </w:tcPr>
          <w:p w14:paraId="496EAFA5" w14:textId="2DA065B8" w:rsidR="001C7E53" w:rsidRPr="00714EC3" w:rsidRDefault="0018466E" w:rsidP="00460F7D">
            <w:pPr>
              <w:pStyle w:val="TableTextCentered"/>
            </w:pPr>
            <w:r>
              <w:noBreakHyphen/>
            </w:r>
            <w:r w:rsidR="001C7E53" w:rsidRPr="00714EC3">
              <w:t>0.122***</w:t>
            </w:r>
          </w:p>
        </w:tc>
        <w:tc>
          <w:tcPr>
            <w:tcW w:w="1580" w:type="dxa"/>
            <w:tcBorders>
              <w:top w:val="nil"/>
              <w:left w:val="nil"/>
              <w:bottom w:val="nil"/>
              <w:right w:val="nil"/>
            </w:tcBorders>
            <w:shd w:val="clear" w:color="auto" w:fill="auto"/>
            <w:noWrap/>
            <w:vAlign w:val="center"/>
            <w:hideMark/>
          </w:tcPr>
          <w:p w14:paraId="36551D6A" w14:textId="0EEED050" w:rsidR="001C7E53" w:rsidRPr="00714EC3" w:rsidRDefault="0018466E" w:rsidP="00460F7D">
            <w:pPr>
              <w:pStyle w:val="TableTextCentered"/>
            </w:pPr>
            <w:r>
              <w:noBreakHyphen/>
            </w:r>
            <w:r w:rsidR="001C7E53" w:rsidRPr="00714EC3">
              <w:t>0.542**</w:t>
            </w:r>
          </w:p>
        </w:tc>
        <w:tc>
          <w:tcPr>
            <w:tcW w:w="1580" w:type="dxa"/>
            <w:tcBorders>
              <w:top w:val="nil"/>
              <w:left w:val="nil"/>
              <w:bottom w:val="nil"/>
              <w:right w:val="nil"/>
            </w:tcBorders>
            <w:shd w:val="clear" w:color="auto" w:fill="auto"/>
            <w:noWrap/>
            <w:vAlign w:val="center"/>
            <w:hideMark/>
          </w:tcPr>
          <w:p w14:paraId="7A56487E" w14:textId="58056BE3" w:rsidR="001C7E53" w:rsidRPr="00714EC3" w:rsidRDefault="0018466E" w:rsidP="00460F7D">
            <w:pPr>
              <w:pStyle w:val="TableTextCentered"/>
            </w:pPr>
            <w:r>
              <w:noBreakHyphen/>
            </w:r>
            <w:r w:rsidR="001C7E53" w:rsidRPr="00714EC3">
              <w:t>0.005</w:t>
            </w:r>
          </w:p>
        </w:tc>
        <w:tc>
          <w:tcPr>
            <w:tcW w:w="1580" w:type="dxa"/>
            <w:tcBorders>
              <w:top w:val="nil"/>
              <w:left w:val="nil"/>
              <w:bottom w:val="nil"/>
              <w:right w:val="nil"/>
            </w:tcBorders>
            <w:shd w:val="clear" w:color="auto" w:fill="auto"/>
            <w:noWrap/>
            <w:vAlign w:val="center"/>
            <w:hideMark/>
          </w:tcPr>
          <w:p w14:paraId="5B27F392" w14:textId="63E28D85" w:rsidR="001C7E53" w:rsidRPr="00714EC3" w:rsidRDefault="0018466E" w:rsidP="00460F7D">
            <w:pPr>
              <w:pStyle w:val="TableTextCentered"/>
            </w:pPr>
            <w:r>
              <w:noBreakHyphen/>
            </w:r>
            <w:r w:rsidR="001C7E53" w:rsidRPr="00714EC3">
              <w:t>0.021**</w:t>
            </w:r>
          </w:p>
        </w:tc>
        <w:tc>
          <w:tcPr>
            <w:tcW w:w="1580" w:type="dxa"/>
            <w:tcBorders>
              <w:top w:val="nil"/>
              <w:left w:val="nil"/>
              <w:bottom w:val="nil"/>
              <w:right w:val="nil"/>
            </w:tcBorders>
            <w:shd w:val="clear" w:color="auto" w:fill="auto"/>
            <w:noWrap/>
            <w:vAlign w:val="bottom"/>
            <w:hideMark/>
          </w:tcPr>
          <w:p w14:paraId="26B8142A" w14:textId="77777777" w:rsidR="001C7E53" w:rsidRPr="00714EC3" w:rsidRDefault="001C7E53" w:rsidP="00460F7D">
            <w:pPr>
              <w:pStyle w:val="TableTextCentered"/>
            </w:pPr>
          </w:p>
        </w:tc>
      </w:tr>
      <w:tr w:rsidR="001C7E53" w:rsidRPr="00714EC3" w14:paraId="7724EC05" w14:textId="77777777" w:rsidTr="001D0062">
        <w:trPr>
          <w:trHeight w:val="283"/>
        </w:trPr>
        <w:tc>
          <w:tcPr>
            <w:tcW w:w="1600" w:type="dxa"/>
            <w:vMerge/>
            <w:tcBorders>
              <w:top w:val="nil"/>
              <w:left w:val="nil"/>
              <w:bottom w:val="nil"/>
              <w:right w:val="nil"/>
            </w:tcBorders>
            <w:vAlign w:val="center"/>
            <w:hideMark/>
          </w:tcPr>
          <w:p w14:paraId="7CAD10DA" w14:textId="77777777" w:rsidR="001C7E53" w:rsidRPr="00714EC3" w:rsidRDefault="001C7E53" w:rsidP="00F91AE4">
            <w:pPr>
              <w:pStyle w:val="TableTextLeft"/>
            </w:pPr>
          </w:p>
        </w:tc>
        <w:tc>
          <w:tcPr>
            <w:tcW w:w="1580" w:type="dxa"/>
            <w:tcBorders>
              <w:top w:val="nil"/>
              <w:left w:val="nil"/>
              <w:bottom w:val="nil"/>
              <w:right w:val="nil"/>
            </w:tcBorders>
            <w:shd w:val="clear" w:color="auto" w:fill="auto"/>
            <w:noWrap/>
            <w:vAlign w:val="center"/>
            <w:hideMark/>
          </w:tcPr>
          <w:p w14:paraId="166C7E8C" w14:textId="77777777" w:rsidR="001C7E53" w:rsidRPr="00714EC3" w:rsidRDefault="001C7E53" w:rsidP="00460F7D">
            <w:pPr>
              <w:pStyle w:val="TableTextCentered"/>
            </w:pPr>
            <w:r>
              <w:t>(</w:t>
            </w:r>
            <w:r w:rsidRPr="00714EC3">
              <w:t>0.008</w:t>
            </w:r>
            <w:r>
              <w:t>)</w:t>
            </w:r>
          </w:p>
        </w:tc>
        <w:tc>
          <w:tcPr>
            <w:tcW w:w="1580" w:type="dxa"/>
            <w:tcBorders>
              <w:top w:val="nil"/>
              <w:left w:val="nil"/>
              <w:bottom w:val="nil"/>
              <w:right w:val="nil"/>
            </w:tcBorders>
            <w:shd w:val="clear" w:color="auto" w:fill="auto"/>
            <w:noWrap/>
            <w:vAlign w:val="center"/>
            <w:hideMark/>
          </w:tcPr>
          <w:p w14:paraId="5B3F845E" w14:textId="77777777" w:rsidR="001C7E53" w:rsidRPr="00714EC3" w:rsidRDefault="001C7E53" w:rsidP="00460F7D">
            <w:pPr>
              <w:pStyle w:val="TableTextCentered"/>
            </w:pPr>
            <w:r>
              <w:t>(</w:t>
            </w:r>
            <w:r w:rsidRPr="00714EC3">
              <w:t>0.253</w:t>
            </w:r>
            <w:r>
              <w:t>)</w:t>
            </w:r>
          </w:p>
        </w:tc>
        <w:tc>
          <w:tcPr>
            <w:tcW w:w="1580" w:type="dxa"/>
            <w:tcBorders>
              <w:top w:val="nil"/>
              <w:left w:val="nil"/>
              <w:bottom w:val="nil"/>
              <w:right w:val="nil"/>
            </w:tcBorders>
            <w:shd w:val="clear" w:color="auto" w:fill="auto"/>
            <w:noWrap/>
            <w:vAlign w:val="center"/>
            <w:hideMark/>
          </w:tcPr>
          <w:p w14:paraId="2EC5FD3D" w14:textId="77777777" w:rsidR="001C7E53" w:rsidRPr="00714EC3" w:rsidRDefault="001C7E53" w:rsidP="00460F7D">
            <w:pPr>
              <w:pStyle w:val="TableTextCentered"/>
            </w:pPr>
            <w:r>
              <w:t>(</w:t>
            </w:r>
            <w:r w:rsidRPr="00714EC3">
              <w:t>0.011</w:t>
            </w:r>
            <w:r>
              <w:t>)</w:t>
            </w:r>
          </w:p>
        </w:tc>
        <w:tc>
          <w:tcPr>
            <w:tcW w:w="1580" w:type="dxa"/>
            <w:tcBorders>
              <w:top w:val="nil"/>
              <w:left w:val="nil"/>
              <w:bottom w:val="nil"/>
              <w:right w:val="nil"/>
            </w:tcBorders>
            <w:shd w:val="clear" w:color="auto" w:fill="auto"/>
            <w:noWrap/>
            <w:vAlign w:val="center"/>
            <w:hideMark/>
          </w:tcPr>
          <w:p w14:paraId="7C90E6FF" w14:textId="77777777" w:rsidR="001C7E53" w:rsidRPr="00714EC3" w:rsidRDefault="001C7E53" w:rsidP="00460F7D">
            <w:pPr>
              <w:pStyle w:val="TableTextCentered"/>
            </w:pPr>
            <w:r>
              <w:t>(</w:t>
            </w:r>
            <w:r w:rsidRPr="00714EC3">
              <w:t>0.009</w:t>
            </w:r>
            <w:r>
              <w:t>)</w:t>
            </w:r>
          </w:p>
        </w:tc>
        <w:tc>
          <w:tcPr>
            <w:tcW w:w="1580" w:type="dxa"/>
            <w:tcBorders>
              <w:top w:val="nil"/>
              <w:left w:val="nil"/>
              <w:bottom w:val="nil"/>
              <w:right w:val="nil"/>
            </w:tcBorders>
            <w:shd w:val="clear" w:color="auto" w:fill="auto"/>
            <w:noWrap/>
            <w:vAlign w:val="bottom"/>
            <w:hideMark/>
          </w:tcPr>
          <w:p w14:paraId="5DFABCAC" w14:textId="77777777" w:rsidR="001C7E53" w:rsidRPr="00714EC3" w:rsidRDefault="001C7E53" w:rsidP="00460F7D">
            <w:pPr>
              <w:pStyle w:val="TableTextCentered"/>
            </w:pPr>
          </w:p>
        </w:tc>
      </w:tr>
      <w:tr w:rsidR="006D45AD" w:rsidRPr="00714EC3" w14:paraId="5E8B1B52" w14:textId="77777777" w:rsidTr="001D0062">
        <w:trPr>
          <w:trHeight w:val="283"/>
        </w:trPr>
        <w:tc>
          <w:tcPr>
            <w:tcW w:w="1600" w:type="dxa"/>
            <w:tcBorders>
              <w:top w:val="nil"/>
              <w:left w:val="nil"/>
              <w:bottom w:val="nil"/>
              <w:right w:val="nil"/>
            </w:tcBorders>
            <w:shd w:val="clear" w:color="auto" w:fill="auto"/>
            <w:vAlign w:val="center"/>
          </w:tcPr>
          <w:p w14:paraId="2F6EBB14" w14:textId="77777777" w:rsidR="006D45AD" w:rsidRPr="00714EC3" w:rsidRDefault="006D45AD" w:rsidP="00F91AE4">
            <w:pPr>
              <w:pStyle w:val="TableTextLeft"/>
            </w:pPr>
          </w:p>
        </w:tc>
        <w:tc>
          <w:tcPr>
            <w:tcW w:w="1580" w:type="dxa"/>
            <w:tcBorders>
              <w:top w:val="nil"/>
              <w:left w:val="nil"/>
              <w:bottom w:val="nil"/>
              <w:right w:val="nil"/>
            </w:tcBorders>
            <w:shd w:val="clear" w:color="auto" w:fill="auto"/>
            <w:noWrap/>
            <w:vAlign w:val="center"/>
          </w:tcPr>
          <w:p w14:paraId="460BCBDA" w14:textId="77777777" w:rsidR="006D45AD" w:rsidRPr="00714EC3" w:rsidRDefault="006D45AD" w:rsidP="00460F7D">
            <w:pPr>
              <w:pStyle w:val="TableTextCentered"/>
            </w:pPr>
          </w:p>
        </w:tc>
        <w:tc>
          <w:tcPr>
            <w:tcW w:w="1580" w:type="dxa"/>
            <w:tcBorders>
              <w:top w:val="nil"/>
              <w:left w:val="nil"/>
              <w:bottom w:val="nil"/>
              <w:right w:val="nil"/>
            </w:tcBorders>
            <w:shd w:val="clear" w:color="auto" w:fill="auto"/>
            <w:noWrap/>
            <w:vAlign w:val="center"/>
          </w:tcPr>
          <w:p w14:paraId="4D983F03" w14:textId="77777777" w:rsidR="006D45AD" w:rsidRPr="00714EC3" w:rsidRDefault="006D45AD"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tcPr>
          <w:p w14:paraId="64B6479B" w14:textId="77777777" w:rsidR="006D45AD" w:rsidRPr="00714EC3" w:rsidRDefault="006D45AD"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tcPr>
          <w:p w14:paraId="3FE5E644" w14:textId="77777777" w:rsidR="006D45AD" w:rsidRPr="00714EC3" w:rsidRDefault="006D45AD"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tcPr>
          <w:p w14:paraId="71BF9A30" w14:textId="77777777" w:rsidR="006D45AD" w:rsidRDefault="006D45AD" w:rsidP="00460F7D">
            <w:pPr>
              <w:pStyle w:val="TableTextCentered"/>
            </w:pPr>
          </w:p>
        </w:tc>
      </w:tr>
      <w:tr w:rsidR="001C7E53" w:rsidRPr="00714EC3" w14:paraId="0D08B146" w14:textId="77777777" w:rsidTr="001D0062">
        <w:trPr>
          <w:trHeight w:val="283"/>
        </w:trPr>
        <w:tc>
          <w:tcPr>
            <w:tcW w:w="1600" w:type="dxa"/>
            <w:vMerge w:val="restart"/>
            <w:tcBorders>
              <w:top w:val="nil"/>
              <w:left w:val="nil"/>
              <w:bottom w:val="nil"/>
              <w:right w:val="nil"/>
            </w:tcBorders>
            <w:shd w:val="clear" w:color="auto" w:fill="auto"/>
            <w:vAlign w:val="center"/>
            <w:hideMark/>
          </w:tcPr>
          <w:p w14:paraId="4E3A55BE" w14:textId="77777777" w:rsidR="001C7E53" w:rsidRPr="00714EC3" w:rsidRDefault="001C7E53" w:rsidP="00F91AE4">
            <w:pPr>
              <w:pStyle w:val="TableTextLeft"/>
            </w:pPr>
            <w:r w:rsidRPr="00714EC3">
              <w:t xml:space="preserve">Concentration </w:t>
            </w:r>
            <w:r>
              <w:t>–</w:t>
            </w:r>
            <w:r w:rsidRPr="00714EC3">
              <w:t xml:space="preserve"> </w:t>
            </w:r>
            <w:r>
              <w:t>plant market share</w:t>
            </w:r>
          </w:p>
        </w:tc>
        <w:tc>
          <w:tcPr>
            <w:tcW w:w="1580" w:type="dxa"/>
            <w:tcBorders>
              <w:top w:val="nil"/>
              <w:left w:val="nil"/>
              <w:bottom w:val="nil"/>
              <w:right w:val="nil"/>
            </w:tcBorders>
            <w:shd w:val="clear" w:color="auto" w:fill="auto"/>
            <w:noWrap/>
            <w:vAlign w:val="center"/>
            <w:hideMark/>
          </w:tcPr>
          <w:p w14:paraId="2EF82926" w14:textId="77777777" w:rsidR="001C7E53" w:rsidRPr="00714EC3" w:rsidRDefault="001C7E53" w:rsidP="00460F7D">
            <w:pPr>
              <w:pStyle w:val="TableTextCentered"/>
            </w:pPr>
          </w:p>
        </w:tc>
        <w:tc>
          <w:tcPr>
            <w:tcW w:w="1580" w:type="dxa"/>
            <w:tcBorders>
              <w:top w:val="nil"/>
              <w:left w:val="nil"/>
              <w:bottom w:val="nil"/>
              <w:right w:val="nil"/>
            </w:tcBorders>
            <w:shd w:val="clear" w:color="auto" w:fill="auto"/>
            <w:noWrap/>
            <w:vAlign w:val="center"/>
            <w:hideMark/>
          </w:tcPr>
          <w:p w14:paraId="014F6974"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5E8D4807"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6D1119EB"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441C4ED2" w14:textId="387F4C5B" w:rsidR="001C7E53" w:rsidRPr="00714EC3" w:rsidRDefault="0018466E" w:rsidP="00460F7D">
            <w:pPr>
              <w:pStyle w:val="TableTextCentered"/>
            </w:pPr>
            <w:r>
              <w:noBreakHyphen/>
            </w:r>
            <w:r w:rsidR="001C7E53" w:rsidRPr="00714EC3">
              <w:t>0.103***</w:t>
            </w:r>
          </w:p>
        </w:tc>
      </w:tr>
      <w:tr w:rsidR="001C7E53" w:rsidRPr="00714EC3" w14:paraId="36808FCF" w14:textId="77777777" w:rsidTr="001D0062">
        <w:trPr>
          <w:trHeight w:val="283"/>
        </w:trPr>
        <w:tc>
          <w:tcPr>
            <w:tcW w:w="1600" w:type="dxa"/>
            <w:vMerge/>
            <w:tcBorders>
              <w:top w:val="nil"/>
              <w:left w:val="nil"/>
              <w:bottom w:val="nil"/>
              <w:right w:val="nil"/>
            </w:tcBorders>
            <w:vAlign w:val="center"/>
            <w:hideMark/>
          </w:tcPr>
          <w:p w14:paraId="21857BE2" w14:textId="77777777" w:rsidR="001C7E53" w:rsidRPr="00714EC3" w:rsidRDefault="001C7E53" w:rsidP="00F91AE4">
            <w:pPr>
              <w:spacing w:after="0"/>
              <w:rPr>
                <w:rFonts w:cs="Calibri"/>
                <w:color w:val="000000"/>
                <w:sz w:val="20"/>
              </w:rPr>
            </w:pPr>
          </w:p>
        </w:tc>
        <w:tc>
          <w:tcPr>
            <w:tcW w:w="1580" w:type="dxa"/>
            <w:tcBorders>
              <w:top w:val="nil"/>
              <w:left w:val="nil"/>
              <w:bottom w:val="nil"/>
              <w:right w:val="nil"/>
            </w:tcBorders>
            <w:shd w:val="clear" w:color="auto" w:fill="auto"/>
            <w:noWrap/>
            <w:vAlign w:val="center"/>
            <w:hideMark/>
          </w:tcPr>
          <w:p w14:paraId="18EE6273" w14:textId="77777777" w:rsidR="001C7E53" w:rsidRPr="00714EC3" w:rsidRDefault="001C7E53" w:rsidP="00460F7D">
            <w:pPr>
              <w:pStyle w:val="TableTextCentered"/>
            </w:pPr>
          </w:p>
        </w:tc>
        <w:tc>
          <w:tcPr>
            <w:tcW w:w="1580" w:type="dxa"/>
            <w:tcBorders>
              <w:top w:val="nil"/>
              <w:left w:val="nil"/>
              <w:bottom w:val="nil"/>
              <w:right w:val="nil"/>
            </w:tcBorders>
            <w:shd w:val="clear" w:color="auto" w:fill="auto"/>
            <w:noWrap/>
            <w:vAlign w:val="center"/>
            <w:hideMark/>
          </w:tcPr>
          <w:p w14:paraId="0C4384FC"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15517BA9"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7201BA23" w14:textId="77777777" w:rsidR="001C7E53" w:rsidRPr="00714EC3" w:rsidRDefault="001C7E53" w:rsidP="00460F7D">
            <w:pPr>
              <w:pStyle w:val="TableTextCentered"/>
              <w:rPr>
                <w:rFonts w:ascii="Times New Roman" w:hAnsi="Times New Roman"/>
              </w:rPr>
            </w:pPr>
          </w:p>
        </w:tc>
        <w:tc>
          <w:tcPr>
            <w:tcW w:w="1580" w:type="dxa"/>
            <w:tcBorders>
              <w:top w:val="nil"/>
              <w:left w:val="nil"/>
              <w:bottom w:val="nil"/>
              <w:right w:val="nil"/>
            </w:tcBorders>
            <w:shd w:val="clear" w:color="auto" w:fill="auto"/>
            <w:noWrap/>
            <w:vAlign w:val="center"/>
            <w:hideMark/>
          </w:tcPr>
          <w:p w14:paraId="474ED650" w14:textId="77777777" w:rsidR="001C7E53" w:rsidRPr="00714EC3" w:rsidRDefault="001C7E53" w:rsidP="00460F7D">
            <w:pPr>
              <w:pStyle w:val="TableTextCentered"/>
            </w:pPr>
            <w:r w:rsidRPr="00714EC3">
              <w:t>(0.027)</w:t>
            </w:r>
          </w:p>
        </w:tc>
      </w:tr>
      <w:tr w:rsidR="001C7E53" w:rsidRPr="00714EC3" w14:paraId="304BAB17" w14:textId="77777777" w:rsidTr="001D0062">
        <w:trPr>
          <w:trHeight w:val="283"/>
        </w:trPr>
        <w:tc>
          <w:tcPr>
            <w:tcW w:w="1600" w:type="dxa"/>
            <w:tcBorders>
              <w:top w:val="nil"/>
              <w:left w:val="nil"/>
              <w:bottom w:val="nil"/>
              <w:right w:val="nil"/>
            </w:tcBorders>
            <w:shd w:val="clear" w:color="auto" w:fill="auto"/>
            <w:noWrap/>
            <w:vAlign w:val="center"/>
            <w:hideMark/>
          </w:tcPr>
          <w:p w14:paraId="50E07B11" w14:textId="77777777" w:rsidR="001C7E53" w:rsidRPr="00714EC3" w:rsidRDefault="001C7E53" w:rsidP="00F91AE4">
            <w:pPr>
              <w:pStyle w:val="TableTextLeft"/>
            </w:pPr>
            <w:r w:rsidRPr="00714EC3">
              <w:t>R</w:t>
            </w:r>
            <w:r w:rsidRPr="00714EC3">
              <w:rPr>
                <w:vertAlign w:val="superscript"/>
              </w:rPr>
              <w:t>2</w:t>
            </w:r>
          </w:p>
        </w:tc>
        <w:tc>
          <w:tcPr>
            <w:tcW w:w="1580" w:type="dxa"/>
            <w:tcBorders>
              <w:top w:val="nil"/>
              <w:left w:val="nil"/>
              <w:bottom w:val="nil"/>
              <w:right w:val="nil"/>
            </w:tcBorders>
            <w:shd w:val="clear" w:color="auto" w:fill="auto"/>
            <w:noWrap/>
            <w:vAlign w:val="center"/>
            <w:hideMark/>
          </w:tcPr>
          <w:p w14:paraId="4EDE171D" w14:textId="77777777" w:rsidR="001C7E53" w:rsidRPr="00714EC3" w:rsidRDefault="001C7E53" w:rsidP="00460F7D">
            <w:pPr>
              <w:pStyle w:val="TableTextCentered"/>
            </w:pPr>
            <w:r w:rsidRPr="00714EC3">
              <w:t>0.67</w:t>
            </w:r>
          </w:p>
        </w:tc>
        <w:tc>
          <w:tcPr>
            <w:tcW w:w="1580" w:type="dxa"/>
            <w:tcBorders>
              <w:top w:val="nil"/>
              <w:left w:val="nil"/>
              <w:bottom w:val="nil"/>
              <w:right w:val="nil"/>
            </w:tcBorders>
            <w:shd w:val="clear" w:color="auto" w:fill="auto"/>
            <w:noWrap/>
            <w:vAlign w:val="center"/>
            <w:hideMark/>
          </w:tcPr>
          <w:p w14:paraId="39298881" w14:textId="77777777" w:rsidR="001C7E53" w:rsidRPr="00714EC3" w:rsidRDefault="001C7E53" w:rsidP="00460F7D">
            <w:pPr>
              <w:pStyle w:val="TableTextCentered"/>
            </w:pPr>
            <w:r w:rsidRPr="00714EC3">
              <w:t>0.009</w:t>
            </w:r>
          </w:p>
        </w:tc>
        <w:tc>
          <w:tcPr>
            <w:tcW w:w="1580" w:type="dxa"/>
            <w:tcBorders>
              <w:top w:val="nil"/>
              <w:left w:val="nil"/>
              <w:bottom w:val="nil"/>
              <w:right w:val="nil"/>
            </w:tcBorders>
            <w:shd w:val="clear" w:color="auto" w:fill="auto"/>
            <w:noWrap/>
            <w:vAlign w:val="center"/>
            <w:hideMark/>
          </w:tcPr>
          <w:p w14:paraId="096695F5" w14:textId="77777777" w:rsidR="001C7E53" w:rsidRPr="00714EC3" w:rsidRDefault="001C7E53" w:rsidP="00460F7D">
            <w:pPr>
              <w:pStyle w:val="TableTextCentered"/>
            </w:pPr>
            <w:r w:rsidRPr="00714EC3">
              <w:t>0.781 </w:t>
            </w:r>
          </w:p>
        </w:tc>
        <w:tc>
          <w:tcPr>
            <w:tcW w:w="1580" w:type="dxa"/>
            <w:tcBorders>
              <w:top w:val="nil"/>
              <w:left w:val="nil"/>
              <w:bottom w:val="nil"/>
              <w:right w:val="nil"/>
            </w:tcBorders>
            <w:shd w:val="clear" w:color="auto" w:fill="auto"/>
            <w:noWrap/>
            <w:vAlign w:val="center"/>
            <w:hideMark/>
          </w:tcPr>
          <w:p w14:paraId="3F938A5B" w14:textId="77777777" w:rsidR="001C7E53" w:rsidRPr="00714EC3" w:rsidRDefault="001C7E53" w:rsidP="00460F7D">
            <w:pPr>
              <w:pStyle w:val="TableTextCentered"/>
            </w:pPr>
            <w:r w:rsidRPr="00714EC3">
              <w:t>0.042</w:t>
            </w:r>
          </w:p>
        </w:tc>
        <w:tc>
          <w:tcPr>
            <w:tcW w:w="1580" w:type="dxa"/>
            <w:tcBorders>
              <w:top w:val="nil"/>
              <w:left w:val="nil"/>
              <w:bottom w:val="nil"/>
              <w:right w:val="nil"/>
            </w:tcBorders>
            <w:shd w:val="clear" w:color="auto" w:fill="auto"/>
            <w:noWrap/>
            <w:vAlign w:val="center"/>
            <w:hideMark/>
          </w:tcPr>
          <w:p w14:paraId="1A2FA14C" w14:textId="77777777" w:rsidR="001C7E53" w:rsidRPr="00714EC3" w:rsidRDefault="001C7E53" w:rsidP="00460F7D">
            <w:pPr>
              <w:pStyle w:val="TableTextCentered"/>
            </w:pPr>
            <w:r w:rsidRPr="00714EC3">
              <w:t>0.801</w:t>
            </w:r>
            <w:r w:rsidRPr="00714EC3">
              <w:rPr>
                <w:sz w:val="16"/>
                <w:szCs w:val="16"/>
              </w:rPr>
              <w:t> </w:t>
            </w:r>
          </w:p>
        </w:tc>
      </w:tr>
      <w:tr w:rsidR="001C7E53" w:rsidRPr="00714EC3" w14:paraId="37A27C9B" w14:textId="77777777" w:rsidTr="001D0062">
        <w:trPr>
          <w:trHeight w:val="283"/>
        </w:trPr>
        <w:tc>
          <w:tcPr>
            <w:tcW w:w="1600" w:type="dxa"/>
            <w:tcBorders>
              <w:top w:val="nil"/>
              <w:left w:val="nil"/>
              <w:bottom w:val="nil"/>
              <w:right w:val="nil"/>
            </w:tcBorders>
            <w:shd w:val="clear" w:color="auto" w:fill="auto"/>
            <w:noWrap/>
            <w:vAlign w:val="center"/>
            <w:hideMark/>
          </w:tcPr>
          <w:p w14:paraId="61EF59F6" w14:textId="77777777" w:rsidR="001C7E53" w:rsidRPr="00714EC3" w:rsidRDefault="001C7E53" w:rsidP="00F91AE4">
            <w:pPr>
              <w:pStyle w:val="TableTextLeft"/>
            </w:pPr>
            <w:r w:rsidRPr="00714EC3">
              <w:t>N</w:t>
            </w:r>
          </w:p>
        </w:tc>
        <w:tc>
          <w:tcPr>
            <w:tcW w:w="1580" w:type="dxa"/>
            <w:tcBorders>
              <w:top w:val="nil"/>
              <w:left w:val="nil"/>
              <w:bottom w:val="nil"/>
              <w:right w:val="nil"/>
            </w:tcBorders>
            <w:shd w:val="clear" w:color="auto" w:fill="auto"/>
            <w:noWrap/>
            <w:vAlign w:val="center"/>
            <w:hideMark/>
          </w:tcPr>
          <w:p w14:paraId="365B0C95" w14:textId="77777777" w:rsidR="001C7E53" w:rsidRPr="00714EC3" w:rsidRDefault="001C7E53" w:rsidP="00460F7D">
            <w:pPr>
              <w:pStyle w:val="TableTextCentered"/>
            </w:pPr>
            <w:r w:rsidRPr="00714EC3">
              <w:t>302,000</w:t>
            </w:r>
          </w:p>
        </w:tc>
        <w:tc>
          <w:tcPr>
            <w:tcW w:w="1580" w:type="dxa"/>
            <w:tcBorders>
              <w:top w:val="nil"/>
              <w:left w:val="nil"/>
              <w:bottom w:val="nil"/>
              <w:right w:val="nil"/>
            </w:tcBorders>
            <w:shd w:val="clear" w:color="auto" w:fill="auto"/>
            <w:noWrap/>
            <w:vAlign w:val="center"/>
            <w:hideMark/>
          </w:tcPr>
          <w:p w14:paraId="5DFE7E47" w14:textId="77777777" w:rsidR="001C7E53" w:rsidRPr="00714EC3" w:rsidRDefault="001C7E53" w:rsidP="00460F7D">
            <w:pPr>
              <w:pStyle w:val="TableTextCentered"/>
            </w:pPr>
            <w:r w:rsidRPr="00714EC3">
              <w:t>302,000</w:t>
            </w:r>
          </w:p>
        </w:tc>
        <w:tc>
          <w:tcPr>
            <w:tcW w:w="1580" w:type="dxa"/>
            <w:tcBorders>
              <w:top w:val="nil"/>
              <w:left w:val="nil"/>
              <w:bottom w:val="nil"/>
              <w:right w:val="nil"/>
            </w:tcBorders>
            <w:shd w:val="clear" w:color="auto" w:fill="auto"/>
            <w:noWrap/>
            <w:vAlign w:val="center"/>
            <w:hideMark/>
          </w:tcPr>
          <w:p w14:paraId="073F54F2" w14:textId="77777777" w:rsidR="001C7E53" w:rsidRPr="00714EC3" w:rsidRDefault="001C7E53" w:rsidP="00460F7D">
            <w:pPr>
              <w:pStyle w:val="TableTextCentered"/>
            </w:pPr>
            <w:r w:rsidRPr="00714EC3">
              <w:t>3,660,000 </w:t>
            </w:r>
          </w:p>
        </w:tc>
        <w:tc>
          <w:tcPr>
            <w:tcW w:w="1580" w:type="dxa"/>
            <w:tcBorders>
              <w:top w:val="nil"/>
              <w:left w:val="nil"/>
              <w:bottom w:val="nil"/>
              <w:right w:val="nil"/>
            </w:tcBorders>
            <w:shd w:val="clear" w:color="auto" w:fill="auto"/>
            <w:noWrap/>
            <w:vAlign w:val="center"/>
            <w:hideMark/>
          </w:tcPr>
          <w:p w14:paraId="23AA71A7" w14:textId="77777777" w:rsidR="001C7E53" w:rsidRPr="00714EC3" w:rsidRDefault="001C7E53" w:rsidP="00460F7D">
            <w:pPr>
              <w:pStyle w:val="TableTextCentered"/>
            </w:pPr>
            <w:r w:rsidRPr="00714EC3">
              <w:t>3,660,000</w:t>
            </w:r>
          </w:p>
        </w:tc>
        <w:tc>
          <w:tcPr>
            <w:tcW w:w="1580" w:type="dxa"/>
            <w:tcBorders>
              <w:top w:val="nil"/>
              <w:left w:val="nil"/>
              <w:bottom w:val="nil"/>
              <w:right w:val="nil"/>
            </w:tcBorders>
            <w:shd w:val="clear" w:color="auto" w:fill="auto"/>
            <w:noWrap/>
            <w:vAlign w:val="center"/>
            <w:hideMark/>
          </w:tcPr>
          <w:p w14:paraId="5CD6CDD0" w14:textId="77777777" w:rsidR="001C7E53" w:rsidRPr="00714EC3" w:rsidRDefault="001C7E53" w:rsidP="00460F7D">
            <w:pPr>
              <w:pStyle w:val="TableTextCentered"/>
            </w:pPr>
            <w:r w:rsidRPr="00714EC3">
              <w:t>3,560,000</w:t>
            </w:r>
          </w:p>
        </w:tc>
      </w:tr>
      <w:tr w:rsidR="001C7E53" w:rsidRPr="00714EC3" w14:paraId="423B4646" w14:textId="77777777" w:rsidTr="001D0062">
        <w:trPr>
          <w:trHeight w:val="283"/>
        </w:trPr>
        <w:tc>
          <w:tcPr>
            <w:tcW w:w="1600" w:type="dxa"/>
            <w:tcBorders>
              <w:top w:val="nil"/>
              <w:left w:val="nil"/>
              <w:bottom w:val="single" w:sz="8" w:space="0" w:color="auto"/>
              <w:right w:val="nil"/>
            </w:tcBorders>
            <w:shd w:val="clear" w:color="auto" w:fill="auto"/>
            <w:noWrap/>
            <w:vAlign w:val="center"/>
            <w:hideMark/>
          </w:tcPr>
          <w:p w14:paraId="6F930A31" w14:textId="77777777" w:rsidR="001C7E53" w:rsidRPr="00714EC3" w:rsidRDefault="001C7E53" w:rsidP="00F91AE4">
            <w:pPr>
              <w:pStyle w:val="TableColumnHeadingLeft"/>
            </w:pPr>
            <w:r w:rsidRPr="00714EC3">
              <w:t>Fixed effects</w:t>
            </w:r>
          </w:p>
        </w:tc>
        <w:tc>
          <w:tcPr>
            <w:tcW w:w="1580" w:type="dxa"/>
            <w:tcBorders>
              <w:top w:val="nil"/>
              <w:left w:val="nil"/>
              <w:bottom w:val="single" w:sz="8" w:space="0" w:color="auto"/>
              <w:right w:val="nil"/>
            </w:tcBorders>
            <w:shd w:val="clear" w:color="auto" w:fill="auto"/>
            <w:noWrap/>
            <w:vAlign w:val="center"/>
            <w:hideMark/>
          </w:tcPr>
          <w:p w14:paraId="76FAE95E"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c>
          <w:tcPr>
            <w:tcW w:w="1580" w:type="dxa"/>
            <w:tcBorders>
              <w:top w:val="nil"/>
              <w:left w:val="nil"/>
              <w:bottom w:val="single" w:sz="8" w:space="0" w:color="auto"/>
              <w:right w:val="nil"/>
            </w:tcBorders>
            <w:shd w:val="clear" w:color="auto" w:fill="auto"/>
            <w:noWrap/>
            <w:vAlign w:val="center"/>
            <w:hideMark/>
          </w:tcPr>
          <w:p w14:paraId="12D7A6D3"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c>
          <w:tcPr>
            <w:tcW w:w="1580" w:type="dxa"/>
            <w:tcBorders>
              <w:top w:val="nil"/>
              <w:left w:val="nil"/>
              <w:bottom w:val="single" w:sz="8" w:space="0" w:color="auto"/>
              <w:right w:val="nil"/>
            </w:tcBorders>
            <w:shd w:val="clear" w:color="auto" w:fill="auto"/>
            <w:noWrap/>
            <w:vAlign w:val="center"/>
            <w:hideMark/>
          </w:tcPr>
          <w:p w14:paraId="7627A0E0"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c>
          <w:tcPr>
            <w:tcW w:w="1580" w:type="dxa"/>
            <w:tcBorders>
              <w:top w:val="nil"/>
              <w:left w:val="nil"/>
              <w:bottom w:val="single" w:sz="8" w:space="0" w:color="auto"/>
              <w:right w:val="nil"/>
            </w:tcBorders>
            <w:shd w:val="clear" w:color="auto" w:fill="auto"/>
            <w:noWrap/>
            <w:vAlign w:val="center"/>
            <w:hideMark/>
          </w:tcPr>
          <w:p w14:paraId="6953A25D"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c>
          <w:tcPr>
            <w:tcW w:w="1580" w:type="dxa"/>
            <w:tcBorders>
              <w:top w:val="nil"/>
              <w:left w:val="nil"/>
              <w:bottom w:val="single" w:sz="8" w:space="0" w:color="auto"/>
              <w:right w:val="nil"/>
            </w:tcBorders>
            <w:shd w:val="clear" w:color="auto" w:fill="auto"/>
            <w:noWrap/>
            <w:vAlign w:val="center"/>
            <w:hideMark/>
          </w:tcPr>
          <w:p w14:paraId="4888C6B1" w14:textId="77777777" w:rsidR="001C7E53" w:rsidRPr="00714EC3" w:rsidRDefault="001C7E53" w:rsidP="00460F7D">
            <w:pPr>
              <w:spacing w:after="0"/>
              <w:jc w:val="center"/>
              <w:rPr>
                <w:rFonts w:cs="Calibri"/>
                <w:color w:val="000000"/>
                <w:sz w:val="20"/>
              </w:rPr>
            </w:pPr>
            <w:r w:rsidRPr="00714EC3">
              <w:rPr>
                <w:rFonts w:cs="Calibri"/>
                <w:color w:val="000000"/>
                <w:sz w:val="20"/>
              </w:rPr>
              <w:t> </w:t>
            </w:r>
          </w:p>
        </w:tc>
      </w:tr>
      <w:tr w:rsidR="001C7E53" w:rsidRPr="00714EC3" w14:paraId="227CC56F" w14:textId="77777777" w:rsidTr="001D0062">
        <w:trPr>
          <w:trHeight w:val="283"/>
        </w:trPr>
        <w:tc>
          <w:tcPr>
            <w:tcW w:w="1600" w:type="dxa"/>
            <w:tcBorders>
              <w:top w:val="nil"/>
              <w:left w:val="nil"/>
              <w:bottom w:val="nil"/>
              <w:right w:val="nil"/>
            </w:tcBorders>
            <w:shd w:val="clear" w:color="auto" w:fill="auto"/>
            <w:noWrap/>
            <w:vAlign w:val="center"/>
            <w:hideMark/>
          </w:tcPr>
          <w:p w14:paraId="7703BA53" w14:textId="77777777" w:rsidR="001C7E53" w:rsidRPr="00714EC3" w:rsidRDefault="001C7E53" w:rsidP="00F91AE4">
            <w:pPr>
              <w:pStyle w:val="TableTextLeft"/>
            </w:pPr>
            <w:r w:rsidRPr="00714EC3">
              <w:t>Local market</w:t>
            </w:r>
          </w:p>
        </w:tc>
        <w:tc>
          <w:tcPr>
            <w:tcW w:w="1580" w:type="dxa"/>
            <w:tcBorders>
              <w:top w:val="nil"/>
              <w:left w:val="nil"/>
              <w:bottom w:val="nil"/>
              <w:right w:val="nil"/>
            </w:tcBorders>
            <w:shd w:val="clear" w:color="auto" w:fill="auto"/>
            <w:noWrap/>
            <w:vAlign w:val="center"/>
            <w:hideMark/>
          </w:tcPr>
          <w:p w14:paraId="65100C9E"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33C0FD04"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0DB74059"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4A2C4B28"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204C198C" w14:textId="77777777" w:rsidR="001C7E53" w:rsidRPr="00714EC3" w:rsidRDefault="001C7E53" w:rsidP="00460F7D">
            <w:pPr>
              <w:pStyle w:val="TableTextCentered"/>
            </w:pPr>
            <w:r w:rsidRPr="00714EC3">
              <w:t>N</w:t>
            </w:r>
          </w:p>
        </w:tc>
      </w:tr>
      <w:tr w:rsidR="001C7E53" w:rsidRPr="00714EC3" w14:paraId="3D3FF0BB" w14:textId="77777777" w:rsidTr="001D0062">
        <w:trPr>
          <w:trHeight w:val="283"/>
        </w:trPr>
        <w:tc>
          <w:tcPr>
            <w:tcW w:w="1600" w:type="dxa"/>
            <w:tcBorders>
              <w:top w:val="nil"/>
              <w:left w:val="nil"/>
              <w:bottom w:val="nil"/>
              <w:right w:val="nil"/>
            </w:tcBorders>
            <w:shd w:val="clear" w:color="auto" w:fill="auto"/>
            <w:noWrap/>
            <w:vAlign w:val="center"/>
            <w:hideMark/>
          </w:tcPr>
          <w:p w14:paraId="27AF084B" w14:textId="77777777" w:rsidR="001C7E53" w:rsidRPr="00714EC3" w:rsidRDefault="001C7E53" w:rsidP="00F91AE4">
            <w:pPr>
              <w:pStyle w:val="TableTextLeft"/>
            </w:pPr>
            <w:r w:rsidRPr="00714EC3">
              <w:t>Time*Industry</w:t>
            </w:r>
          </w:p>
        </w:tc>
        <w:tc>
          <w:tcPr>
            <w:tcW w:w="1580" w:type="dxa"/>
            <w:tcBorders>
              <w:top w:val="nil"/>
              <w:left w:val="nil"/>
              <w:bottom w:val="nil"/>
              <w:right w:val="nil"/>
            </w:tcBorders>
            <w:shd w:val="clear" w:color="auto" w:fill="auto"/>
            <w:noWrap/>
            <w:vAlign w:val="center"/>
            <w:hideMark/>
          </w:tcPr>
          <w:p w14:paraId="00DDFE57"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5F7301F5" w14:textId="77777777" w:rsidR="001C7E53" w:rsidRPr="00714EC3" w:rsidRDefault="001C7E53" w:rsidP="00460F7D">
            <w:pPr>
              <w:pStyle w:val="TableTextCentered"/>
            </w:pPr>
            <w:r w:rsidRPr="00714EC3">
              <w:t>N</w:t>
            </w:r>
          </w:p>
        </w:tc>
        <w:tc>
          <w:tcPr>
            <w:tcW w:w="1580" w:type="dxa"/>
            <w:tcBorders>
              <w:top w:val="nil"/>
              <w:left w:val="nil"/>
              <w:bottom w:val="nil"/>
              <w:right w:val="nil"/>
            </w:tcBorders>
            <w:shd w:val="clear" w:color="auto" w:fill="auto"/>
            <w:noWrap/>
            <w:vAlign w:val="center"/>
            <w:hideMark/>
          </w:tcPr>
          <w:p w14:paraId="5A1EF03E"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6FF35077" w14:textId="77777777" w:rsidR="001C7E53" w:rsidRPr="00714EC3" w:rsidRDefault="001C7E53" w:rsidP="00460F7D">
            <w:pPr>
              <w:pStyle w:val="TableTextCentered"/>
            </w:pPr>
            <w:r>
              <w:t>N</w:t>
            </w:r>
          </w:p>
        </w:tc>
        <w:tc>
          <w:tcPr>
            <w:tcW w:w="1580" w:type="dxa"/>
            <w:tcBorders>
              <w:top w:val="nil"/>
              <w:left w:val="nil"/>
              <w:bottom w:val="nil"/>
              <w:right w:val="nil"/>
            </w:tcBorders>
            <w:shd w:val="clear" w:color="auto" w:fill="auto"/>
            <w:noWrap/>
            <w:vAlign w:val="center"/>
            <w:hideMark/>
          </w:tcPr>
          <w:p w14:paraId="6462CC2E" w14:textId="77777777" w:rsidR="001C7E53" w:rsidRPr="00714EC3" w:rsidRDefault="001C7E53" w:rsidP="00460F7D">
            <w:pPr>
              <w:pStyle w:val="TableTextCentered"/>
            </w:pPr>
            <w:r w:rsidRPr="00714EC3">
              <w:t>N</w:t>
            </w:r>
          </w:p>
        </w:tc>
      </w:tr>
      <w:tr w:rsidR="001C7E53" w:rsidRPr="00714EC3" w14:paraId="2884F91A" w14:textId="77777777" w:rsidTr="001D0062">
        <w:trPr>
          <w:trHeight w:val="283"/>
        </w:trPr>
        <w:tc>
          <w:tcPr>
            <w:tcW w:w="1600" w:type="dxa"/>
            <w:tcBorders>
              <w:top w:val="nil"/>
              <w:left w:val="nil"/>
              <w:bottom w:val="nil"/>
              <w:right w:val="nil"/>
            </w:tcBorders>
            <w:shd w:val="clear" w:color="auto" w:fill="auto"/>
            <w:noWrap/>
            <w:vAlign w:val="center"/>
            <w:hideMark/>
          </w:tcPr>
          <w:p w14:paraId="5902FE9D" w14:textId="77777777" w:rsidR="001C7E53" w:rsidRPr="00714EC3" w:rsidRDefault="001C7E53" w:rsidP="00F91AE4">
            <w:pPr>
              <w:pStyle w:val="TableTextLeft"/>
            </w:pPr>
            <w:r w:rsidRPr="00714EC3">
              <w:t>Time*Location</w:t>
            </w:r>
          </w:p>
        </w:tc>
        <w:tc>
          <w:tcPr>
            <w:tcW w:w="1580" w:type="dxa"/>
            <w:tcBorders>
              <w:top w:val="nil"/>
              <w:left w:val="nil"/>
              <w:bottom w:val="nil"/>
              <w:right w:val="nil"/>
            </w:tcBorders>
            <w:shd w:val="clear" w:color="auto" w:fill="auto"/>
            <w:noWrap/>
            <w:vAlign w:val="center"/>
            <w:hideMark/>
          </w:tcPr>
          <w:p w14:paraId="62EEAE37"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799E645F"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4C7D7C09" w14:textId="77777777" w:rsidR="001C7E53" w:rsidRPr="00714EC3" w:rsidRDefault="001C7E53" w:rsidP="00460F7D">
            <w:pPr>
              <w:pStyle w:val="TableTextCentered"/>
            </w:pPr>
            <w:r w:rsidRPr="00714EC3">
              <w:t>Y</w:t>
            </w:r>
          </w:p>
        </w:tc>
        <w:tc>
          <w:tcPr>
            <w:tcW w:w="1580" w:type="dxa"/>
            <w:tcBorders>
              <w:top w:val="nil"/>
              <w:left w:val="nil"/>
              <w:bottom w:val="nil"/>
              <w:right w:val="nil"/>
            </w:tcBorders>
            <w:shd w:val="clear" w:color="auto" w:fill="auto"/>
            <w:noWrap/>
            <w:vAlign w:val="center"/>
            <w:hideMark/>
          </w:tcPr>
          <w:p w14:paraId="050C31ED" w14:textId="77777777" w:rsidR="001C7E53" w:rsidRPr="00714EC3" w:rsidRDefault="001C7E53" w:rsidP="00460F7D">
            <w:pPr>
              <w:pStyle w:val="TableTextCentered"/>
            </w:pPr>
            <w:r>
              <w:t>Y</w:t>
            </w:r>
          </w:p>
        </w:tc>
        <w:tc>
          <w:tcPr>
            <w:tcW w:w="1580" w:type="dxa"/>
            <w:tcBorders>
              <w:top w:val="nil"/>
              <w:left w:val="nil"/>
              <w:bottom w:val="nil"/>
              <w:right w:val="nil"/>
            </w:tcBorders>
            <w:shd w:val="clear" w:color="auto" w:fill="auto"/>
            <w:noWrap/>
            <w:vAlign w:val="center"/>
            <w:hideMark/>
          </w:tcPr>
          <w:p w14:paraId="3FE3FD9B" w14:textId="77777777" w:rsidR="001C7E53" w:rsidRPr="00714EC3" w:rsidRDefault="001C7E53" w:rsidP="00460F7D">
            <w:pPr>
              <w:pStyle w:val="TableTextCentered"/>
            </w:pPr>
            <w:r w:rsidRPr="00714EC3">
              <w:t>N</w:t>
            </w:r>
          </w:p>
        </w:tc>
      </w:tr>
      <w:tr w:rsidR="001C7E53" w:rsidRPr="00714EC3" w14:paraId="0AA931C1" w14:textId="77777777" w:rsidTr="001D0062">
        <w:trPr>
          <w:trHeight w:val="283"/>
        </w:trPr>
        <w:tc>
          <w:tcPr>
            <w:tcW w:w="1600" w:type="dxa"/>
            <w:tcBorders>
              <w:top w:val="nil"/>
              <w:left w:val="nil"/>
              <w:bottom w:val="nil"/>
              <w:right w:val="nil"/>
            </w:tcBorders>
            <w:shd w:val="clear" w:color="auto" w:fill="auto"/>
            <w:noWrap/>
            <w:vAlign w:val="center"/>
            <w:hideMark/>
          </w:tcPr>
          <w:p w14:paraId="10553377" w14:textId="77777777" w:rsidR="001C7E53" w:rsidRPr="00714EC3" w:rsidRDefault="001C7E53" w:rsidP="00F91AE4">
            <w:pPr>
              <w:pStyle w:val="TableTextLeft"/>
            </w:pPr>
            <w:r w:rsidRPr="00714EC3">
              <w:t>Time*Market</w:t>
            </w:r>
          </w:p>
        </w:tc>
        <w:tc>
          <w:tcPr>
            <w:tcW w:w="1580" w:type="dxa"/>
            <w:tcBorders>
              <w:top w:val="nil"/>
              <w:left w:val="nil"/>
              <w:bottom w:val="nil"/>
              <w:right w:val="nil"/>
            </w:tcBorders>
            <w:shd w:val="clear" w:color="auto" w:fill="auto"/>
            <w:noWrap/>
            <w:vAlign w:val="center"/>
            <w:hideMark/>
          </w:tcPr>
          <w:p w14:paraId="2FA4079E" w14:textId="77777777" w:rsidR="001C7E53" w:rsidRPr="00714EC3" w:rsidRDefault="001C7E53" w:rsidP="00460F7D">
            <w:pPr>
              <w:pStyle w:val="TableTextCentered"/>
            </w:pPr>
            <w:r w:rsidRPr="00714EC3">
              <w:t>N</w:t>
            </w:r>
          </w:p>
        </w:tc>
        <w:tc>
          <w:tcPr>
            <w:tcW w:w="1580" w:type="dxa"/>
            <w:tcBorders>
              <w:top w:val="nil"/>
              <w:left w:val="nil"/>
              <w:bottom w:val="nil"/>
              <w:right w:val="nil"/>
            </w:tcBorders>
            <w:shd w:val="clear" w:color="auto" w:fill="auto"/>
            <w:noWrap/>
            <w:vAlign w:val="center"/>
            <w:hideMark/>
          </w:tcPr>
          <w:p w14:paraId="42C4F265" w14:textId="77777777" w:rsidR="001C7E53" w:rsidRPr="00714EC3" w:rsidRDefault="001C7E53" w:rsidP="00460F7D">
            <w:pPr>
              <w:pStyle w:val="TableTextCentered"/>
            </w:pPr>
            <w:r w:rsidRPr="00714EC3">
              <w:t>N</w:t>
            </w:r>
          </w:p>
        </w:tc>
        <w:tc>
          <w:tcPr>
            <w:tcW w:w="1580" w:type="dxa"/>
            <w:tcBorders>
              <w:top w:val="nil"/>
              <w:left w:val="nil"/>
              <w:bottom w:val="nil"/>
              <w:right w:val="nil"/>
            </w:tcBorders>
            <w:shd w:val="clear" w:color="auto" w:fill="auto"/>
            <w:noWrap/>
            <w:vAlign w:val="center"/>
            <w:hideMark/>
          </w:tcPr>
          <w:p w14:paraId="1893D6CC" w14:textId="77777777" w:rsidR="001C7E53" w:rsidRPr="00714EC3" w:rsidRDefault="001C7E53" w:rsidP="00460F7D">
            <w:pPr>
              <w:pStyle w:val="TableTextCentered"/>
            </w:pPr>
            <w:r w:rsidRPr="00714EC3">
              <w:t>N</w:t>
            </w:r>
          </w:p>
        </w:tc>
        <w:tc>
          <w:tcPr>
            <w:tcW w:w="1580" w:type="dxa"/>
            <w:tcBorders>
              <w:top w:val="nil"/>
              <w:left w:val="nil"/>
              <w:bottom w:val="nil"/>
              <w:right w:val="nil"/>
            </w:tcBorders>
            <w:shd w:val="clear" w:color="auto" w:fill="auto"/>
            <w:noWrap/>
            <w:vAlign w:val="center"/>
            <w:hideMark/>
          </w:tcPr>
          <w:p w14:paraId="7AA41C3C" w14:textId="77777777" w:rsidR="001C7E53" w:rsidRPr="00714EC3" w:rsidRDefault="001C7E53" w:rsidP="00460F7D">
            <w:pPr>
              <w:pStyle w:val="TableTextCentered"/>
            </w:pPr>
            <w:r w:rsidRPr="00714EC3">
              <w:t>N</w:t>
            </w:r>
          </w:p>
        </w:tc>
        <w:tc>
          <w:tcPr>
            <w:tcW w:w="1580" w:type="dxa"/>
            <w:tcBorders>
              <w:top w:val="nil"/>
              <w:left w:val="nil"/>
              <w:bottom w:val="nil"/>
              <w:right w:val="nil"/>
            </w:tcBorders>
            <w:shd w:val="clear" w:color="auto" w:fill="auto"/>
            <w:noWrap/>
            <w:vAlign w:val="center"/>
            <w:hideMark/>
          </w:tcPr>
          <w:p w14:paraId="04DC189F" w14:textId="77777777" w:rsidR="001C7E53" w:rsidRPr="00714EC3" w:rsidRDefault="001C7E53" w:rsidP="00460F7D">
            <w:pPr>
              <w:pStyle w:val="TableTextCentered"/>
            </w:pPr>
            <w:r w:rsidRPr="00714EC3">
              <w:t>Y</w:t>
            </w:r>
          </w:p>
        </w:tc>
      </w:tr>
      <w:tr w:rsidR="001C7E53" w:rsidRPr="00714EC3" w14:paraId="7F171B24" w14:textId="77777777" w:rsidTr="001D0062">
        <w:trPr>
          <w:trHeight w:val="283"/>
        </w:trPr>
        <w:tc>
          <w:tcPr>
            <w:tcW w:w="1600" w:type="dxa"/>
            <w:tcBorders>
              <w:top w:val="nil"/>
              <w:left w:val="nil"/>
              <w:bottom w:val="single" w:sz="8" w:space="0" w:color="auto"/>
              <w:right w:val="nil"/>
            </w:tcBorders>
            <w:shd w:val="clear" w:color="auto" w:fill="auto"/>
            <w:noWrap/>
            <w:vAlign w:val="center"/>
            <w:hideMark/>
          </w:tcPr>
          <w:p w14:paraId="17E6701D" w14:textId="77777777" w:rsidR="001C7E53" w:rsidRPr="00714EC3" w:rsidRDefault="001C7E53" w:rsidP="00F91AE4">
            <w:pPr>
              <w:pStyle w:val="TableTextLeft"/>
            </w:pPr>
            <w:r w:rsidRPr="00714EC3">
              <w:t>Plant</w:t>
            </w:r>
          </w:p>
        </w:tc>
        <w:tc>
          <w:tcPr>
            <w:tcW w:w="1580" w:type="dxa"/>
            <w:tcBorders>
              <w:top w:val="nil"/>
              <w:left w:val="nil"/>
              <w:bottom w:val="single" w:sz="8" w:space="0" w:color="auto"/>
              <w:right w:val="nil"/>
            </w:tcBorders>
            <w:shd w:val="clear" w:color="auto" w:fill="auto"/>
            <w:noWrap/>
            <w:vAlign w:val="center"/>
            <w:hideMark/>
          </w:tcPr>
          <w:p w14:paraId="7E67C872" w14:textId="77777777" w:rsidR="001C7E53" w:rsidRPr="00714EC3" w:rsidRDefault="001C7E53" w:rsidP="00460F7D">
            <w:pPr>
              <w:pStyle w:val="TableTextCentered"/>
            </w:pPr>
            <w:r w:rsidRPr="00714EC3">
              <w:t>N</w:t>
            </w:r>
          </w:p>
        </w:tc>
        <w:tc>
          <w:tcPr>
            <w:tcW w:w="1580" w:type="dxa"/>
            <w:tcBorders>
              <w:top w:val="nil"/>
              <w:left w:val="nil"/>
              <w:bottom w:val="single" w:sz="8" w:space="0" w:color="auto"/>
              <w:right w:val="nil"/>
            </w:tcBorders>
            <w:shd w:val="clear" w:color="auto" w:fill="auto"/>
            <w:noWrap/>
            <w:vAlign w:val="center"/>
            <w:hideMark/>
          </w:tcPr>
          <w:p w14:paraId="6E81BB4B" w14:textId="77777777" w:rsidR="001C7E53" w:rsidRPr="00714EC3" w:rsidRDefault="001C7E53" w:rsidP="00460F7D">
            <w:pPr>
              <w:pStyle w:val="TableTextCentered"/>
            </w:pPr>
            <w:r w:rsidRPr="00714EC3">
              <w:t>N</w:t>
            </w:r>
          </w:p>
        </w:tc>
        <w:tc>
          <w:tcPr>
            <w:tcW w:w="1580" w:type="dxa"/>
            <w:tcBorders>
              <w:top w:val="nil"/>
              <w:left w:val="nil"/>
              <w:bottom w:val="single" w:sz="8" w:space="0" w:color="auto"/>
              <w:right w:val="nil"/>
            </w:tcBorders>
            <w:shd w:val="clear" w:color="auto" w:fill="auto"/>
            <w:noWrap/>
            <w:vAlign w:val="center"/>
            <w:hideMark/>
          </w:tcPr>
          <w:p w14:paraId="01FB0C15" w14:textId="77777777" w:rsidR="001C7E53" w:rsidRPr="00714EC3" w:rsidRDefault="001C7E53" w:rsidP="00460F7D">
            <w:pPr>
              <w:pStyle w:val="TableTextCentered"/>
            </w:pPr>
            <w:r w:rsidRPr="00714EC3">
              <w:t>Y</w:t>
            </w:r>
          </w:p>
        </w:tc>
        <w:tc>
          <w:tcPr>
            <w:tcW w:w="1580" w:type="dxa"/>
            <w:tcBorders>
              <w:top w:val="nil"/>
              <w:left w:val="nil"/>
              <w:bottom w:val="single" w:sz="8" w:space="0" w:color="auto"/>
              <w:right w:val="nil"/>
            </w:tcBorders>
            <w:shd w:val="clear" w:color="auto" w:fill="auto"/>
            <w:noWrap/>
            <w:vAlign w:val="center"/>
            <w:hideMark/>
          </w:tcPr>
          <w:p w14:paraId="170B4165" w14:textId="77777777" w:rsidR="001C7E53" w:rsidRPr="00714EC3" w:rsidRDefault="001C7E53" w:rsidP="00460F7D">
            <w:pPr>
              <w:pStyle w:val="TableTextCentered"/>
            </w:pPr>
            <w:r w:rsidRPr="00714EC3">
              <w:t>Y</w:t>
            </w:r>
          </w:p>
        </w:tc>
        <w:tc>
          <w:tcPr>
            <w:tcW w:w="1580" w:type="dxa"/>
            <w:tcBorders>
              <w:top w:val="nil"/>
              <w:left w:val="nil"/>
              <w:bottom w:val="single" w:sz="8" w:space="0" w:color="auto"/>
              <w:right w:val="nil"/>
            </w:tcBorders>
            <w:shd w:val="clear" w:color="auto" w:fill="auto"/>
            <w:noWrap/>
            <w:vAlign w:val="center"/>
            <w:hideMark/>
          </w:tcPr>
          <w:p w14:paraId="25D88946" w14:textId="77777777" w:rsidR="001C7E53" w:rsidRPr="00714EC3" w:rsidRDefault="001C7E53" w:rsidP="00460F7D">
            <w:pPr>
              <w:pStyle w:val="TableTextCentered"/>
            </w:pPr>
            <w:r w:rsidRPr="00714EC3">
              <w:t>Y</w:t>
            </w:r>
          </w:p>
        </w:tc>
      </w:tr>
    </w:tbl>
    <w:p w14:paraId="347936AE" w14:textId="6B9014E2" w:rsidR="001C7E53" w:rsidRDefault="001C7E53" w:rsidP="00123948">
      <w:pPr>
        <w:pStyle w:val="ChartorTableNote"/>
        <w:jc w:val="left"/>
      </w:pPr>
      <w:r w:rsidRPr="00AF44C3">
        <w:t xml:space="preserve">Note:  </w:t>
      </w:r>
      <w:r>
        <w:t>All models contain controls for market size (number of workers in the market), and plant</w:t>
      </w:r>
      <w:r w:rsidR="0018466E">
        <w:noBreakHyphen/>
      </w:r>
      <w:r>
        <w:t>level models account for number of plants in the parent firm.</w:t>
      </w:r>
    </w:p>
    <w:p w14:paraId="55F1FADD" w14:textId="77777777" w:rsidR="00DB3BC5" w:rsidRDefault="00DB3BC5" w:rsidP="00123948">
      <w:pPr>
        <w:rPr>
          <w:rFonts w:eastAsiaTheme="minorEastAsia"/>
          <w:iCs/>
        </w:rPr>
      </w:pPr>
      <w:r>
        <w:rPr>
          <w:rFonts w:eastAsiaTheme="minorEastAsia"/>
          <w:iCs/>
        </w:rPr>
        <w:br w:type="page"/>
      </w:r>
    </w:p>
    <w:p w14:paraId="29337BC4" w14:textId="3F29C881" w:rsidR="001C7E53" w:rsidRDefault="001C7E53" w:rsidP="00123948">
      <w:r>
        <w:rPr>
          <w:rFonts w:eastAsiaTheme="minorEastAsia"/>
          <w:iCs/>
        </w:rPr>
        <w:lastRenderedPageBreak/>
        <w:t>The relationship is weaker if we regress plant</w:t>
      </w:r>
      <w:r w:rsidR="0018466E">
        <w:rPr>
          <w:rFonts w:eastAsiaTheme="minorEastAsia"/>
          <w:iCs/>
        </w:rPr>
        <w:noBreakHyphen/>
      </w:r>
      <w:r>
        <w:rPr>
          <w:rFonts w:eastAsiaTheme="minorEastAsia"/>
          <w:iCs/>
        </w:rPr>
        <w:t>level wages on local labour market concentration (</w:t>
      </w:r>
      <w:r>
        <w:rPr>
          <w:rFonts w:cs="Calibri"/>
          <w:i/>
          <w:color w:val="000000"/>
        </w:rPr>
        <w:t>Plant</w:t>
      </w:r>
      <w:r w:rsidR="0018466E">
        <w:rPr>
          <w:rFonts w:cs="Calibri"/>
          <w:i/>
          <w:color w:val="000000"/>
        </w:rPr>
        <w:noBreakHyphen/>
      </w:r>
      <w:r w:rsidRPr="00685766">
        <w:rPr>
          <w:rFonts w:cs="Calibri"/>
          <w:i/>
          <w:color w:val="000000"/>
        </w:rPr>
        <w:t>level</w:t>
      </w:r>
      <w:r>
        <w:rPr>
          <w:rFonts w:cs="Calibri"/>
          <w:i/>
          <w:color w:val="000000"/>
        </w:rPr>
        <w:t xml:space="preserve"> monopsony models</w:t>
      </w:r>
      <w:r>
        <w:rPr>
          <w:rFonts w:eastAsiaTheme="minorEastAsia"/>
          <w:iCs/>
        </w:rPr>
        <w:t>). This may reflect the fact that the model has difficulty accounting for plant</w:t>
      </w:r>
      <w:r w:rsidR="0018466E">
        <w:rPr>
          <w:rFonts w:eastAsiaTheme="minorEastAsia"/>
          <w:iCs/>
        </w:rPr>
        <w:noBreakHyphen/>
      </w:r>
      <w:r>
        <w:rPr>
          <w:rFonts w:eastAsiaTheme="minorEastAsia"/>
          <w:iCs/>
        </w:rPr>
        <w:t>level variation in wages (and markdowns) using the market</w:t>
      </w:r>
      <w:r w:rsidR="0018466E">
        <w:rPr>
          <w:rFonts w:eastAsiaTheme="minorEastAsia"/>
          <w:iCs/>
        </w:rPr>
        <w:noBreakHyphen/>
      </w:r>
      <w:r>
        <w:rPr>
          <w:rFonts w:eastAsiaTheme="minorEastAsia"/>
          <w:iCs/>
        </w:rPr>
        <w:t xml:space="preserve">level concentration metric. </w:t>
      </w:r>
      <w:r>
        <w:t>This suggests that the monopsony model might not be ideally suited to explaining firm</w:t>
      </w:r>
      <w:r w:rsidR="0018466E">
        <w:noBreakHyphen/>
      </w:r>
      <w:r w:rsidR="00BA74C2">
        <w:t>level wages.</w:t>
      </w:r>
    </w:p>
    <w:p w14:paraId="371FDDC7" w14:textId="4BA810E8" w:rsidR="001C7E53" w:rsidRDefault="001C7E53" w:rsidP="00123948">
      <w:r>
        <w:t>The final column shows the results from the oligopsonistic model, where the concentration metric is the plant</w:t>
      </w:r>
      <w:r w:rsidR="0018466E">
        <w:t>’</w:t>
      </w:r>
      <w:r>
        <w:t>s share of employment in the local labour market. We see a significant negative relationship, consistent with firms setting a larger markdown and</w:t>
      </w:r>
      <w:r w:rsidR="0066335F">
        <w:t>,</w:t>
      </w:r>
      <w:r>
        <w:t xml:space="preserve"> therefore</w:t>
      </w:r>
      <w:r w:rsidR="0066335F">
        <w:t>,</w:t>
      </w:r>
      <w:r>
        <w:t xml:space="preserve"> lower wage, as they gain market share. This is the case even after accounting for market</w:t>
      </w:r>
      <w:r w:rsidR="0018466E">
        <w:noBreakHyphen/>
      </w:r>
      <w:r>
        <w:t>level concentration, which will be captured in the fixed effect structure. So even within markets there is a great deal of variation in market power and markdowns.</w:t>
      </w:r>
    </w:p>
    <w:p w14:paraId="5C8BF162" w14:textId="532C6A2A" w:rsidR="001C7E53" w:rsidRDefault="001C7E53" w:rsidP="00123948">
      <w:r w:rsidRPr="00454844">
        <w:t>Finall</w:t>
      </w:r>
      <w:r>
        <w:t>y, Table 3 shows the results from the rent</w:t>
      </w:r>
      <w:r w:rsidR="0018466E">
        <w:noBreakHyphen/>
      </w:r>
      <w:r>
        <w:t>sharing model. In all cases, pass</w:t>
      </w:r>
      <w:r w:rsidR="0018466E">
        <w:noBreakHyphen/>
      </w:r>
      <w:r>
        <w:t>through from productivity to wages declines when concentration rises. Of particular interest, Column 3 shows the results when accounting both for market</w:t>
      </w:r>
      <w:r w:rsidR="0018466E">
        <w:noBreakHyphen/>
      </w:r>
      <w:r>
        <w:t xml:space="preserve"> and firm</w:t>
      </w:r>
      <w:r w:rsidR="0018466E">
        <w:noBreakHyphen/>
      </w:r>
      <w:r>
        <w:t>level concentration. It shows that in more concentrated markets pass</w:t>
      </w:r>
      <w:r w:rsidR="0018466E">
        <w:noBreakHyphen/>
      </w:r>
      <w:r>
        <w:t>through tends to be lower. But even within these markets there is variation, with larger firms having even lower pass</w:t>
      </w:r>
      <w:r w:rsidR="0018466E">
        <w:noBreakHyphen/>
      </w:r>
      <w:r>
        <w:t>through.</w:t>
      </w:r>
    </w:p>
    <w:p w14:paraId="6CB20B48" w14:textId="0452CCAD" w:rsidR="009F7B32" w:rsidRDefault="009F7B32" w:rsidP="00F91AE4">
      <w:pPr>
        <w:pStyle w:val="TableMainHeading"/>
      </w:pPr>
      <w:r w:rsidRPr="00714EC3">
        <w:t xml:space="preserve">Table </w:t>
      </w:r>
      <w:r>
        <w:t>3</w:t>
      </w:r>
      <w:r w:rsidRPr="00714EC3">
        <w:t>: Rent</w:t>
      </w:r>
      <w:r w:rsidR="0018466E">
        <w:noBreakHyphen/>
      </w:r>
      <w:r w:rsidRPr="00714EC3">
        <w:t xml:space="preserve">sharing </w:t>
      </w:r>
      <w:r w:rsidR="00BB6698">
        <w:t>m</w:t>
      </w:r>
      <w:r w:rsidRPr="00714EC3">
        <w:t>odel</w:t>
      </w:r>
      <w:r w:rsidR="006D1604">
        <w:t xml:space="preserve"> – </w:t>
      </w:r>
      <w:r w:rsidRPr="00714EC3">
        <w:t>Headcount</w:t>
      </w:r>
    </w:p>
    <w:tbl>
      <w:tblPr>
        <w:tblW w:w="5000" w:type="pct"/>
        <w:tblLook w:val="04A0" w:firstRow="1" w:lastRow="0" w:firstColumn="1" w:lastColumn="0" w:noHBand="0" w:noVBand="1"/>
      </w:tblPr>
      <w:tblGrid>
        <w:gridCol w:w="3842"/>
        <w:gridCol w:w="1673"/>
        <w:gridCol w:w="1733"/>
        <w:gridCol w:w="1822"/>
      </w:tblGrid>
      <w:tr w:rsidR="001C7E53" w:rsidRPr="00714EC3" w14:paraId="5F2EAC30" w14:textId="77777777" w:rsidTr="001D0062">
        <w:trPr>
          <w:trHeight w:val="283"/>
        </w:trPr>
        <w:tc>
          <w:tcPr>
            <w:tcW w:w="3842" w:type="dxa"/>
            <w:tcBorders>
              <w:top w:val="single" w:sz="4" w:space="0" w:color="auto"/>
              <w:left w:val="nil"/>
              <w:bottom w:val="single" w:sz="8" w:space="0" w:color="auto"/>
              <w:right w:val="nil"/>
            </w:tcBorders>
            <w:shd w:val="clear" w:color="auto" w:fill="auto"/>
            <w:noWrap/>
            <w:vAlign w:val="bottom"/>
            <w:hideMark/>
          </w:tcPr>
          <w:p w14:paraId="7A89EB33" w14:textId="77777777" w:rsidR="001C7E53" w:rsidRPr="00714EC3" w:rsidRDefault="001C7E53" w:rsidP="00F91AE4">
            <w:pPr>
              <w:spacing w:after="0"/>
              <w:rPr>
                <w:rFonts w:ascii="Arial" w:hAnsi="Arial" w:cs="Arial"/>
                <w:color w:val="000000"/>
              </w:rPr>
            </w:pPr>
            <w:r w:rsidRPr="00714EC3">
              <w:rPr>
                <w:rFonts w:ascii="Arial" w:hAnsi="Arial" w:cs="Arial"/>
                <w:color w:val="000000"/>
              </w:rPr>
              <w:t> </w:t>
            </w:r>
          </w:p>
        </w:tc>
        <w:tc>
          <w:tcPr>
            <w:tcW w:w="1673" w:type="dxa"/>
            <w:tcBorders>
              <w:top w:val="single" w:sz="4" w:space="0" w:color="auto"/>
              <w:left w:val="nil"/>
              <w:bottom w:val="single" w:sz="8" w:space="0" w:color="auto"/>
              <w:right w:val="nil"/>
            </w:tcBorders>
            <w:shd w:val="clear" w:color="auto" w:fill="auto"/>
            <w:noWrap/>
            <w:vAlign w:val="center"/>
            <w:hideMark/>
          </w:tcPr>
          <w:p w14:paraId="1810ECE1" w14:textId="77777777" w:rsidR="001C7E53" w:rsidRPr="00714EC3" w:rsidRDefault="001C7E53" w:rsidP="00460F7D">
            <w:pPr>
              <w:pStyle w:val="TableColumnHeadingCentred"/>
            </w:pPr>
            <w:r w:rsidRPr="00714EC3">
              <w:t>HHI</w:t>
            </w:r>
          </w:p>
        </w:tc>
        <w:tc>
          <w:tcPr>
            <w:tcW w:w="1733" w:type="dxa"/>
            <w:tcBorders>
              <w:top w:val="single" w:sz="4" w:space="0" w:color="auto"/>
              <w:left w:val="nil"/>
              <w:bottom w:val="single" w:sz="8" w:space="0" w:color="auto"/>
              <w:right w:val="nil"/>
            </w:tcBorders>
            <w:shd w:val="clear" w:color="auto" w:fill="auto"/>
            <w:noWrap/>
            <w:vAlign w:val="center"/>
            <w:hideMark/>
          </w:tcPr>
          <w:p w14:paraId="5C5C3633" w14:textId="77777777" w:rsidR="001C7E53" w:rsidRPr="00714EC3" w:rsidRDefault="001C7E53" w:rsidP="00460F7D">
            <w:pPr>
              <w:pStyle w:val="TableColumnHeadingCentred"/>
            </w:pPr>
            <w:r w:rsidRPr="00714EC3">
              <w:t>Firm Share</w:t>
            </w:r>
          </w:p>
        </w:tc>
        <w:tc>
          <w:tcPr>
            <w:tcW w:w="1822" w:type="dxa"/>
            <w:tcBorders>
              <w:top w:val="single" w:sz="4" w:space="0" w:color="auto"/>
              <w:left w:val="nil"/>
              <w:bottom w:val="single" w:sz="8" w:space="0" w:color="auto"/>
              <w:right w:val="nil"/>
            </w:tcBorders>
            <w:shd w:val="clear" w:color="auto" w:fill="auto"/>
            <w:vAlign w:val="center"/>
            <w:hideMark/>
          </w:tcPr>
          <w:p w14:paraId="589820C9" w14:textId="77777777" w:rsidR="001C7E53" w:rsidRPr="00714EC3" w:rsidRDefault="001C7E53" w:rsidP="00460F7D">
            <w:pPr>
              <w:pStyle w:val="TableColumnHeadingCentred"/>
            </w:pPr>
            <w:r w:rsidRPr="00714EC3">
              <w:t>Both</w:t>
            </w:r>
          </w:p>
        </w:tc>
      </w:tr>
      <w:tr w:rsidR="00734E59" w:rsidRPr="00714EC3" w14:paraId="7AB7D547" w14:textId="77777777" w:rsidTr="001D0062">
        <w:trPr>
          <w:trHeight w:val="283"/>
        </w:trPr>
        <w:tc>
          <w:tcPr>
            <w:tcW w:w="3842" w:type="dxa"/>
            <w:tcBorders>
              <w:top w:val="nil"/>
              <w:left w:val="nil"/>
              <w:bottom w:val="nil"/>
              <w:right w:val="nil"/>
            </w:tcBorders>
            <w:shd w:val="clear" w:color="auto" w:fill="auto"/>
            <w:noWrap/>
            <w:vAlign w:val="center"/>
          </w:tcPr>
          <w:p w14:paraId="4D0CAF6F" w14:textId="77777777" w:rsidR="00734E59" w:rsidRPr="00464E5A" w:rsidRDefault="00734E59" w:rsidP="00F91AE4">
            <w:pPr>
              <w:pStyle w:val="TableTextLeft"/>
            </w:pPr>
          </w:p>
        </w:tc>
        <w:tc>
          <w:tcPr>
            <w:tcW w:w="1673" w:type="dxa"/>
            <w:tcBorders>
              <w:top w:val="nil"/>
              <w:left w:val="nil"/>
              <w:bottom w:val="nil"/>
              <w:right w:val="nil"/>
            </w:tcBorders>
            <w:shd w:val="clear" w:color="auto" w:fill="auto"/>
            <w:noWrap/>
            <w:vAlign w:val="center"/>
          </w:tcPr>
          <w:p w14:paraId="7AB31454" w14:textId="77777777" w:rsidR="00734E59" w:rsidRPr="00714EC3" w:rsidRDefault="00734E59" w:rsidP="00460F7D">
            <w:pPr>
              <w:pStyle w:val="TableTextCentered"/>
            </w:pPr>
          </w:p>
        </w:tc>
        <w:tc>
          <w:tcPr>
            <w:tcW w:w="1733" w:type="dxa"/>
            <w:tcBorders>
              <w:top w:val="nil"/>
              <w:left w:val="nil"/>
              <w:bottom w:val="nil"/>
              <w:right w:val="nil"/>
            </w:tcBorders>
            <w:shd w:val="clear" w:color="auto" w:fill="auto"/>
            <w:noWrap/>
            <w:vAlign w:val="center"/>
          </w:tcPr>
          <w:p w14:paraId="431FE702" w14:textId="77777777" w:rsidR="00734E59" w:rsidRPr="00714EC3" w:rsidRDefault="00734E59" w:rsidP="00460F7D">
            <w:pPr>
              <w:pStyle w:val="TableTextCentered"/>
            </w:pPr>
          </w:p>
        </w:tc>
        <w:tc>
          <w:tcPr>
            <w:tcW w:w="1822" w:type="dxa"/>
            <w:tcBorders>
              <w:top w:val="nil"/>
              <w:left w:val="nil"/>
              <w:bottom w:val="nil"/>
              <w:right w:val="nil"/>
            </w:tcBorders>
            <w:shd w:val="clear" w:color="auto" w:fill="auto"/>
            <w:vAlign w:val="center"/>
          </w:tcPr>
          <w:p w14:paraId="39EE0162" w14:textId="77777777" w:rsidR="00734E59" w:rsidRPr="00714EC3" w:rsidRDefault="00734E59" w:rsidP="00460F7D">
            <w:pPr>
              <w:pStyle w:val="TableTextCentered"/>
            </w:pPr>
          </w:p>
        </w:tc>
      </w:tr>
      <w:tr w:rsidR="001C7E53" w:rsidRPr="00714EC3" w14:paraId="1F366DCC" w14:textId="77777777" w:rsidTr="001D0062">
        <w:trPr>
          <w:trHeight w:val="283"/>
        </w:trPr>
        <w:tc>
          <w:tcPr>
            <w:tcW w:w="3842" w:type="dxa"/>
            <w:tcBorders>
              <w:top w:val="nil"/>
              <w:left w:val="nil"/>
              <w:bottom w:val="nil"/>
              <w:right w:val="nil"/>
            </w:tcBorders>
            <w:shd w:val="clear" w:color="auto" w:fill="auto"/>
            <w:noWrap/>
            <w:vAlign w:val="center"/>
            <w:hideMark/>
          </w:tcPr>
          <w:p w14:paraId="75553182" w14:textId="77777777" w:rsidR="001C7E53" w:rsidRPr="00464E5A" w:rsidRDefault="001C7E53" w:rsidP="00F91AE4">
            <w:pPr>
              <w:pStyle w:val="TableTextLeft"/>
            </w:pPr>
            <w:r w:rsidRPr="00464E5A">
              <w:t>Productivity</w:t>
            </w:r>
          </w:p>
        </w:tc>
        <w:tc>
          <w:tcPr>
            <w:tcW w:w="1673" w:type="dxa"/>
            <w:tcBorders>
              <w:top w:val="nil"/>
              <w:left w:val="nil"/>
              <w:bottom w:val="nil"/>
              <w:right w:val="nil"/>
            </w:tcBorders>
            <w:shd w:val="clear" w:color="auto" w:fill="auto"/>
            <w:noWrap/>
            <w:vAlign w:val="center"/>
            <w:hideMark/>
          </w:tcPr>
          <w:p w14:paraId="605941D5" w14:textId="77777777" w:rsidR="001C7E53" w:rsidRPr="00714EC3" w:rsidRDefault="001C7E53" w:rsidP="00460F7D">
            <w:pPr>
              <w:pStyle w:val="TableTextCentered"/>
            </w:pPr>
            <w:r w:rsidRPr="00714EC3">
              <w:t>0.170***</w:t>
            </w:r>
          </w:p>
        </w:tc>
        <w:tc>
          <w:tcPr>
            <w:tcW w:w="1733" w:type="dxa"/>
            <w:tcBorders>
              <w:top w:val="nil"/>
              <w:left w:val="nil"/>
              <w:bottom w:val="nil"/>
              <w:right w:val="nil"/>
            </w:tcBorders>
            <w:shd w:val="clear" w:color="auto" w:fill="auto"/>
            <w:noWrap/>
            <w:vAlign w:val="center"/>
            <w:hideMark/>
          </w:tcPr>
          <w:p w14:paraId="5B3F8116" w14:textId="77777777" w:rsidR="001C7E53" w:rsidRPr="00714EC3" w:rsidRDefault="001C7E53" w:rsidP="00460F7D">
            <w:pPr>
              <w:pStyle w:val="TableTextCentered"/>
            </w:pPr>
            <w:r w:rsidRPr="00714EC3">
              <w:t>0.161***</w:t>
            </w:r>
          </w:p>
        </w:tc>
        <w:tc>
          <w:tcPr>
            <w:tcW w:w="1822" w:type="dxa"/>
            <w:tcBorders>
              <w:top w:val="nil"/>
              <w:left w:val="nil"/>
              <w:bottom w:val="nil"/>
              <w:right w:val="nil"/>
            </w:tcBorders>
            <w:shd w:val="clear" w:color="auto" w:fill="auto"/>
            <w:vAlign w:val="center"/>
            <w:hideMark/>
          </w:tcPr>
          <w:p w14:paraId="2E481ABC" w14:textId="77777777" w:rsidR="001C7E53" w:rsidRPr="00714EC3" w:rsidRDefault="001C7E53" w:rsidP="00460F7D">
            <w:pPr>
              <w:pStyle w:val="TableTextCentered"/>
            </w:pPr>
            <w:r w:rsidRPr="00714EC3">
              <w:t>0.170***</w:t>
            </w:r>
          </w:p>
        </w:tc>
      </w:tr>
      <w:tr w:rsidR="001C7E53" w:rsidRPr="00714EC3" w14:paraId="46B2900F" w14:textId="77777777" w:rsidTr="001D0062">
        <w:trPr>
          <w:trHeight w:val="283"/>
        </w:trPr>
        <w:tc>
          <w:tcPr>
            <w:tcW w:w="3842" w:type="dxa"/>
            <w:tcBorders>
              <w:top w:val="nil"/>
              <w:left w:val="nil"/>
              <w:bottom w:val="nil"/>
              <w:right w:val="nil"/>
            </w:tcBorders>
            <w:shd w:val="clear" w:color="auto" w:fill="auto"/>
            <w:noWrap/>
            <w:vAlign w:val="bottom"/>
            <w:hideMark/>
          </w:tcPr>
          <w:p w14:paraId="061EFA3D" w14:textId="77777777" w:rsidR="001C7E53" w:rsidRPr="00464E5A" w:rsidRDefault="001C7E53" w:rsidP="00F91AE4">
            <w:pPr>
              <w:pStyle w:val="TableTextLeft"/>
            </w:pPr>
          </w:p>
        </w:tc>
        <w:tc>
          <w:tcPr>
            <w:tcW w:w="1673" w:type="dxa"/>
            <w:tcBorders>
              <w:top w:val="nil"/>
              <w:left w:val="nil"/>
              <w:bottom w:val="nil"/>
              <w:right w:val="nil"/>
            </w:tcBorders>
            <w:shd w:val="clear" w:color="auto" w:fill="auto"/>
            <w:noWrap/>
            <w:vAlign w:val="center"/>
            <w:hideMark/>
          </w:tcPr>
          <w:p w14:paraId="6D72A271" w14:textId="77777777" w:rsidR="001C7E53" w:rsidRPr="00714EC3" w:rsidRDefault="001C7E53" w:rsidP="00460F7D">
            <w:pPr>
              <w:pStyle w:val="TableTextCentered"/>
            </w:pPr>
            <w:r>
              <w:t>(</w:t>
            </w:r>
            <w:r w:rsidRPr="00714EC3">
              <w:t>0.005</w:t>
            </w:r>
            <w:r>
              <w:t>)</w:t>
            </w:r>
          </w:p>
        </w:tc>
        <w:tc>
          <w:tcPr>
            <w:tcW w:w="1733" w:type="dxa"/>
            <w:tcBorders>
              <w:top w:val="nil"/>
              <w:left w:val="nil"/>
              <w:bottom w:val="nil"/>
              <w:right w:val="nil"/>
            </w:tcBorders>
            <w:shd w:val="clear" w:color="auto" w:fill="auto"/>
            <w:noWrap/>
            <w:vAlign w:val="center"/>
            <w:hideMark/>
          </w:tcPr>
          <w:p w14:paraId="61CEB04D" w14:textId="77777777" w:rsidR="001C7E53" w:rsidRPr="00714EC3" w:rsidRDefault="001C7E53" w:rsidP="00460F7D">
            <w:pPr>
              <w:pStyle w:val="TableTextCentered"/>
            </w:pPr>
            <w:r>
              <w:t>(</w:t>
            </w:r>
            <w:r w:rsidRPr="00714EC3">
              <w:t>0.004</w:t>
            </w:r>
            <w:r>
              <w:t>)</w:t>
            </w:r>
          </w:p>
        </w:tc>
        <w:tc>
          <w:tcPr>
            <w:tcW w:w="1822" w:type="dxa"/>
            <w:tcBorders>
              <w:top w:val="nil"/>
              <w:left w:val="nil"/>
              <w:bottom w:val="nil"/>
              <w:right w:val="nil"/>
            </w:tcBorders>
            <w:shd w:val="clear" w:color="auto" w:fill="auto"/>
            <w:vAlign w:val="center"/>
            <w:hideMark/>
          </w:tcPr>
          <w:p w14:paraId="514E5F80" w14:textId="77777777" w:rsidR="001C7E53" w:rsidRPr="00714EC3" w:rsidRDefault="001C7E53" w:rsidP="00460F7D">
            <w:pPr>
              <w:pStyle w:val="TableTextCentered"/>
            </w:pPr>
            <w:r>
              <w:t>(</w:t>
            </w:r>
            <w:r w:rsidRPr="00714EC3">
              <w:t>0.004</w:t>
            </w:r>
            <w:r>
              <w:t>)</w:t>
            </w:r>
          </w:p>
        </w:tc>
      </w:tr>
      <w:tr w:rsidR="00734E59" w:rsidRPr="00714EC3" w14:paraId="1C00E276" w14:textId="77777777" w:rsidTr="001D0062">
        <w:trPr>
          <w:trHeight w:val="283"/>
        </w:trPr>
        <w:tc>
          <w:tcPr>
            <w:tcW w:w="3842" w:type="dxa"/>
            <w:tcBorders>
              <w:top w:val="nil"/>
              <w:left w:val="nil"/>
              <w:bottom w:val="nil"/>
              <w:right w:val="nil"/>
            </w:tcBorders>
            <w:shd w:val="clear" w:color="auto" w:fill="auto"/>
            <w:vAlign w:val="center"/>
          </w:tcPr>
          <w:p w14:paraId="1BF37431" w14:textId="77777777" w:rsidR="00734E59" w:rsidRPr="00464E5A" w:rsidRDefault="00734E59" w:rsidP="00F91AE4">
            <w:pPr>
              <w:pStyle w:val="TableTextLeft"/>
            </w:pPr>
          </w:p>
        </w:tc>
        <w:tc>
          <w:tcPr>
            <w:tcW w:w="1673" w:type="dxa"/>
            <w:tcBorders>
              <w:top w:val="nil"/>
              <w:left w:val="nil"/>
              <w:bottom w:val="nil"/>
              <w:right w:val="nil"/>
            </w:tcBorders>
            <w:shd w:val="clear" w:color="auto" w:fill="auto"/>
            <w:noWrap/>
            <w:vAlign w:val="center"/>
          </w:tcPr>
          <w:p w14:paraId="65BD3C03" w14:textId="77777777" w:rsidR="00734E59" w:rsidRDefault="00734E59" w:rsidP="00460F7D">
            <w:pPr>
              <w:pStyle w:val="TableTextCentered"/>
            </w:pPr>
          </w:p>
        </w:tc>
        <w:tc>
          <w:tcPr>
            <w:tcW w:w="1733" w:type="dxa"/>
            <w:tcBorders>
              <w:top w:val="nil"/>
              <w:left w:val="nil"/>
              <w:bottom w:val="nil"/>
              <w:right w:val="nil"/>
            </w:tcBorders>
            <w:shd w:val="clear" w:color="auto" w:fill="auto"/>
            <w:noWrap/>
            <w:vAlign w:val="center"/>
          </w:tcPr>
          <w:p w14:paraId="27B4327B" w14:textId="77777777" w:rsidR="00734E59" w:rsidRPr="00714EC3" w:rsidRDefault="00734E59" w:rsidP="00460F7D">
            <w:pPr>
              <w:pStyle w:val="TableTextCentered"/>
            </w:pPr>
          </w:p>
        </w:tc>
        <w:tc>
          <w:tcPr>
            <w:tcW w:w="1822" w:type="dxa"/>
            <w:tcBorders>
              <w:top w:val="nil"/>
              <w:left w:val="nil"/>
              <w:bottom w:val="nil"/>
              <w:right w:val="nil"/>
            </w:tcBorders>
            <w:shd w:val="clear" w:color="auto" w:fill="auto"/>
            <w:vAlign w:val="center"/>
          </w:tcPr>
          <w:p w14:paraId="47016808" w14:textId="77777777" w:rsidR="00734E59" w:rsidRDefault="00734E59" w:rsidP="00460F7D">
            <w:pPr>
              <w:pStyle w:val="TableTextCentered"/>
            </w:pPr>
          </w:p>
        </w:tc>
      </w:tr>
      <w:tr w:rsidR="001C7E53" w:rsidRPr="00714EC3" w14:paraId="2BE7F0F8" w14:textId="77777777" w:rsidTr="001D0062">
        <w:trPr>
          <w:trHeight w:val="283"/>
        </w:trPr>
        <w:tc>
          <w:tcPr>
            <w:tcW w:w="3842" w:type="dxa"/>
            <w:vMerge w:val="restart"/>
            <w:tcBorders>
              <w:top w:val="nil"/>
              <w:left w:val="nil"/>
              <w:bottom w:val="nil"/>
              <w:right w:val="nil"/>
            </w:tcBorders>
            <w:shd w:val="clear" w:color="auto" w:fill="auto"/>
            <w:vAlign w:val="center"/>
            <w:hideMark/>
          </w:tcPr>
          <w:p w14:paraId="1510E73D" w14:textId="77777777" w:rsidR="001C7E53" w:rsidRPr="00464E5A" w:rsidRDefault="001C7E53" w:rsidP="00F91AE4">
            <w:pPr>
              <w:pStyle w:val="TableTextLeft"/>
            </w:pPr>
            <w:r w:rsidRPr="00464E5A">
              <w:t>Local Concentration (HHI)* Productivity</w:t>
            </w:r>
          </w:p>
        </w:tc>
        <w:tc>
          <w:tcPr>
            <w:tcW w:w="1673" w:type="dxa"/>
            <w:tcBorders>
              <w:top w:val="nil"/>
              <w:left w:val="nil"/>
              <w:bottom w:val="nil"/>
              <w:right w:val="nil"/>
            </w:tcBorders>
            <w:shd w:val="clear" w:color="auto" w:fill="auto"/>
            <w:noWrap/>
            <w:vAlign w:val="center"/>
            <w:hideMark/>
          </w:tcPr>
          <w:p w14:paraId="4483BCCB" w14:textId="3177DFA1" w:rsidR="001C7E53" w:rsidRPr="00714EC3" w:rsidRDefault="0018466E" w:rsidP="00460F7D">
            <w:pPr>
              <w:pStyle w:val="TableTextCentered"/>
            </w:pPr>
            <w:r>
              <w:noBreakHyphen/>
            </w:r>
            <w:r w:rsidR="001C7E53" w:rsidRPr="00714EC3">
              <w:t>0.194***</w:t>
            </w:r>
          </w:p>
        </w:tc>
        <w:tc>
          <w:tcPr>
            <w:tcW w:w="1733" w:type="dxa"/>
            <w:tcBorders>
              <w:top w:val="nil"/>
              <w:left w:val="nil"/>
              <w:bottom w:val="nil"/>
              <w:right w:val="nil"/>
            </w:tcBorders>
            <w:shd w:val="clear" w:color="auto" w:fill="auto"/>
            <w:noWrap/>
            <w:vAlign w:val="center"/>
            <w:hideMark/>
          </w:tcPr>
          <w:p w14:paraId="0CEE82FA" w14:textId="77777777" w:rsidR="001C7E53" w:rsidRPr="00714EC3" w:rsidRDefault="001C7E53" w:rsidP="00460F7D">
            <w:pPr>
              <w:pStyle w:val="TableTextCentered"/>
            </w:pPr>
          </w:p>
        </w:tc>
        <w:tc>
          <w:tcPr>
            <w:tcW w:w="1822" w:type="dxa"/>
            <w:tcBorders>
              <w:top w:val="nil"/>
              <w:left w:val="nil"/>
              <w:bottom w:val="nil"/>
              <w:right w:val="nil"/>
            </w:tcBorders>
            <w:shd w:val="clear" w:color="auto" w:fill="auto"/>
            <w:vAlign w:val="center"/>
            <w:hideMark/>
          </w:tcPr>
          <w:p w14:paraId="35237262" w14:textId="27F02488" w:rsidR="001C7E53" w:rsidRPr="00714EC3" w:rsidRDefault="0018466E" w:rsidP="00460F7D">
            <w:pPr>
              <w:pStyle w:val="TableTextCentered"/>
            </w:pPr>
            <w:r>
              <w:noBreakHyphen/>
            </w:r>
            <w:r w:rsidR="001C7E53" w:rsidRPr="00714EC3">
              <w:t>0.174***</w:t>
            </w:r>
          </w:p>
        </w:tc>
      </w:tr>
      <w:tr w:rsidR="001C7E53" w:rsidRPr="00714EC3" w14:paraId="2C7EB0DB" w14:textId="77777777" w:rsidTr="001D0062">
        <w:trPr>
          <w:trHeight w:val="283"/>
        </w:trPr>
        <w:tc>
          <w:tcPr>
            <w:tcW w:w="3842" w:type="dxa"/>
            <w:vMerge/>
            <w:tcBorders>
              <w:top w:val="nil"/>
              <w:left w:val="nil"/>
              <w:bottom w:val="nil"/>
              <w:right w:val="nil"/>
            </w:tcBorders>
            <w:vAlign w:val="center"/>
            <w:hideMark/>
          </w:tcPr>
          <w:p w14:paraId="7C142BFD" w14:textId="77777777" w:rsidR="001C7E53" w:rsidRPr="00464E5A" w:rsidRDefault="001C7E53" w:rsidP="00F91AE4">
            <w:pPr>
              <w:pStyle w:val="TableTextLeft"/>
            </w:pPr>
          </w:p>
        </w:tc>
        <w:tc>
          <w:tcPr>
            <w:tcW w:w="1673" w:type="dxa"/>
            <w:tcBorders>
              <w:top w:val="nil"/>
              <w:left w:val="nil"/>
              <w:bottom w:val="nil"/>
              <w:right w:val="nil"/>
            </w:tcBorders>
            <w:shd w:val="clear" w:color="auto" w:fill="auto"/>
            <w:noWrap/>
            <w:vAlign w:val="center"/>
            <w:hideMark/>
          </w:tcPr>
          <w:p w14:paraId="2CE87735" w14:textId="77777777" w:rsidR="001C7E53" w:rsidRPr="00714EC3" w:rsidRDefault="001C7E53" w:rsidP="00460F7D">
            <w:pPr>
              <w:pStyle w:val="TableTextCentered"/>
            </w:pPr>
            <w:r>
              <w:t>(</w:t>
            </w:r>
            <w:r w:rsidRPr="00714EC3">
              <w:t>0.016</w:t>
            </w:r>
            <w:r>
              <w:t>)</w:t>
            </w:r>
          </w:p>
        </w:tc>
        <w:tc>
          <w:tcPr>
            <w:tcW w:w="1733" w:type="dxa"/>
            <w:tcBorders>
              <w:top w:val="nil"/>
              <w:left w:val="nil"/>
              <w:bottom w:val="nil"/>
              <w:right w:val="nil"/>
            </w:tcBorders>
            <w:shd w:val="clear" w:color="auto" w:fill="auto"/>
            <w:noWrap/>
            <w:vAlign w:val="center"/>
            <w:hideMark/>
          </w:tcPr>
          <w:p w14:paraId="6D31EE1D" w14:textId="77777777" w:rsidR="001C7E53" w:rsidRPr="00714EC3" w:rsidRDefault="001C7E53" w:rsidP="00460F7D">
            <w:pPr>
              <w:pStyle w:val="TableTextCentered"/>
            </w:pPr>
          </w:p>
        </w:tc>
        <w:tc>
          <w:tcPr>
            <w:tcW w:w="1822" w:type="dxa"/>
            <w:tcBorders>
              <w:top w:val="nil"/>
              <w:left w:val="nil"/>
              <w:bottom w:val="nil"/>
              <w:right w:val="nil"/>
            </w:tcBorders>
            <w:shd w:val="clear" w:color="auto" w:fill="auto"/>
            <w:vAlign w:val="center"/>
            <w:hideMark/>
          </w:tcPr>
          <w:p w14:paraId="2F88C1C7" w14:textId="77777777" w:rsidR="001C7E53" w:rsidRPr="00714EC3" w:rsidRDefault="001C7E53" w:rsidP="00460F7D">
            <w:pPr>
              <w:pStyle w:val="TableTextCentered"/>
            </w:pPr>
            <w:r>
              <w:t>(</w:t>
            </w:r>
            <w:r w:rsidRPr="00714EC3">
              <w:t>0.017</w:t>
            </w:r>
            <w:r>
              <w:t>)</w:t>
            </w:r>
          </w:p>
        </w:tc>
      </w:tr>
      <w:tr w:rsidR="00734E59" w:rsidRPr="00714EC3" w14:paraId="0E7ED80B" w14:textId="77777777" w:rsidTr="001D0062">
        <w:trPr>
          <w:trHeight w:val="283"/>
        </w:trPr>
        <w:tc>
          <w:tcPr>
            <w:tcW w:w="3842" w:type="dxa"/>
            <w:tcBorders>
              <w:top w:val="nil"/>
              <w:left w:val="nil"/>
              <w:bottom w:val="nil"/>
              <w:right w:val="nil"/>
            </w:tcBorders>
            <w:shd w:val="clear" w:color="auto" w:fill="auto"/>
            <w:vAlign w:val="center"/>
          </w:tcPr>
          <w:p w14:paraId="460B5A86" w14:textId="77777777" w:rsidR="00734E59" w:rsidRPr="00464E5A" w:rsidRDefault="00734E59" w:rsidP="00F91AE4">
            <w:pPr>
              <w:pStyle w:val="TableTextLeft"/>
            </w:pPr>
          </w:p>
        </w:tc>
        <w:tc>
          <w:tcPr>
            <w:tcW w:w="1673" w:type="dxa"/>
            <w:tcBorders>
              <w:top w:val="nil"/>
              <w:left w:val="nil"/>
              <w:bottom w:val="nil"/>
              <w:right w:val="nil"/>
            </w:tcBorders>
            <w:shd w:val="clear" w:color="auto" w:fill="auto"/>
            <w:noWrap/>
            <w:vAlign w:val="center"/>
          </w:tcPr>
          <w:p w14:paraId="3C9CA71D" w14:textId="77777777" w:rsidR="00734E59" w:rsidRPr="00714EC3" w:rsidRDefault="00734E59" w:rsidP="00460F7D">
            <w:pPr>
              <w:pStyle w:val="TableTextCentered"/>
            </w:pPr>
          </w:p>
        </w:tc>
        <w:tc>
          <w:tcPr>
            <w:tcW w:w="1733" w:type="dxa"/>
            <w:tcBorders>
              <w:top w:val="nil"/>
              <w:left w:val="nil"/>
              <w:bottom w:val="nil"/>
              <w:right w:val="nil"/>
            </w:tcBorders>
            <w:shd w:val="clear" w:color="auto" w:fill="auto"/>
            <w:noWrap/>
            <w:vAlign w:val="center"/>
          </w:tcPr>
          <w:p w14:paraId="60C3D49B" w14:textId="77777777" w:rsidR="00734E59" w:rsidRDefault="00734E59" w:rsidP="00460F7D">
            <w:pPr>
              <w:pStyle w:val="TableTextCentered"/>
            </w:pPr>
          </w:p>
        </w:tc>
        <w:tc>
          <w:tcPr>
            <w:tcW w:w="1822" w:type="dxa"/>
            <w:tcBorders>
              <w:top w:val="nil"/>
              <w:left w:val="nil"/>
              <w:bottom w:val="nil"/>
              <w:right w:val="nil"/>
            </w:tcBorders>
            <w:shd w:val="clear" w:color="auto" w:fill="auto"/>
            <w:vAlign w:val="center"/>
          </w:tcPr>
          <w:p w14:paraId="53C02CAD" w14:textId="77777777" w:rsidR="00734E59" w:rsidRDefault="00734E59" w:rsidP="00460F7D">
            <w:pPr>
              <w:pStyle w:val="TableTextCentered"/>
            </w:pPr>
          </w:p>
        </w:tc>
      </w:tr>
      <w:tr w:rsidR="001C7E53" w:rsidRPr="00714EC3" w14:paraId="61C98411" w14:textId="77777777" w:rsidTr="001D0062">
        <w:trPr>
          <w:trHeight w:val="283"/>
        </w:trPr>
        <w:tc>
          <w:tcPr>
            <w:tcW w:w="3842" w:type="dxa"/>
            <w:vMerge w:val="restart"/>
            <w:tcBorders>
              <w:top w:val="nil"/>
              <w:left w:val="nil"/>
              <w:bottom w:val="nil"/>
              <w:right w:val="nil"/>
            </w:tcBorders>
            <w:shd w:val="clear" w:color="auto" w:fill="auto"/>
            <w:vAlign w:val="center"/>
            <w:hideMark/>
          </w:tcPr>
          <w:p w14:paraId="5809FA77" w14:textId="77777777" w:rsidR="001C7E53" w:rsidRPr="00464E5A" w:rsidRDefault="001C7E53" w:rsidP="00F91AE4">
            <w:pPr>
              <w:pStyle w:val="TableTextLeft"/>
            </w:pPr>
            <w:r w:rsidRPr="00464E5A">
              <w:t>Plant Concentration (plant share)* Productivity</w:t>
            </w:r>
          </w:p>
        </w:tc>
        <w:tc>
          <w:tcPr>
            <w:tcW w:w="1673" w:type="dxa"/>
            <w:tcBorders>
              <w:top w:val="nil"/>
              <w:left w:val="nil"/>
              <w:bottom w:val="nil"/>
              <w:right w:val="nil"/>
            </w:tcBorders>
            <w:shd w:val="clear" w:color="auto" w:fill="auto"/>
            <w:noWrap/>
            <w:vAlign w:val="center"/>
            <w:hideMark/>
          </w:tcPr>
          <w:p w14:paraId="11DA99E0" w14:textId="77777777" w:rsidR="001C7E53" w:rsidRPr="00714EC3" w:rsidRDefault="001C7E53" w:rsidP="00460F7D">
            <w:pPr>
              <w:pStyle w:val="TableTextCentered"/>
            </w:pPr>
          </w:p>
        </w:tc>
        <w:tc>
          <w:tcPr>
            <w:tcW w:w="1733" w:type="dxa"/>
            <w:tcBorders>
              <w:top w:val="nil"/>
              <w:left w:val="nil"/>
              <w:bottom w:val="nil"/>
              <w:right w:val="nil"/>
            </w:tcBorders>
            <w:shd w:val="clear" w:color="auto" w:fill="auto"/>
            <w:noWrap/>
            <w:vAlign w:val="center"/>
            <w:hideMark/>
          </w:tcPr>
          <w:p w14:paraId="0A4DD668" w14:textId="64F16DBE" w:rsidR="001C7E53" w:rsidRPr="00714EC3" w:rsidRDefault="0018466E" w:rsidP="00460F7D">
            <w:pPr>
              <w:pStyle w:val="TableTextCentered"/>
            </w:pPr>
            <w:r>
              <w:noBreakHyphen/>
            </w:r>
            <w:r w:rsidR="001C7E53" w:rsidRPr="00714EC3">
              <w:t>0.163***</w:t>
            </w:r>
          </w:p>
        </w:tc>
        <w:tc>
          <w:tcPr>
            <w:tcW w:w="1822" w:type="dxa"/>
            <w:tcBorders>
              <w:top w:val="nil"/>
              <w:left w:val="nil"/>
              <w:bottom w:val="nil"/>
              <w:right w:val="nil"/>
            </w:tcBorders>
            <w:shd w:val="clear" w:color="auto" w:fill="auto"/>
            <w:vAlign w:val="center"/>
            <w:hideMark/>
          </w:tcPr>
          <w:p w14:paraId="672717D0" w14:textId="6DD469E9" w:rsidR="001C7E53" w:rsidRPr="00714EC3" w:rsidRDefault="0018466E" w:rsidP="00460F7D">
            <w:pPr>
              <w:pStyle w:val="TableTextCentered"/>
            </w:pPr>
            <w:r>
              <w:noBreakHyphen/>
            </w:r>
            <w:r w:rsidR="001C7E53" w:rsidRPr="00714EC3">
              <w:t>0.074***</w:t>
            </w:r>
          </w:p>
        </w:tc>
      </w:tr>
      <w:tr w:rsidR="001C7E53" w:rsidRPr="00714EC3" w14:paraId="12BC3FE7" w14:textId="77777777" w:rsidTr="001D0062">
        <w:trPr>
          <w:trHeight w:val="283"/>
        </w:trPr>
        <w:tc>
          <w:tcPr>
            <w:tcW w:w="3842" w:type="dxa"/>
            <w:vMerge/>
            <w:tcBorders>
              <w:top w:val="nil"/>
              <w:left w:val="nil"/>
              <w:bottom w:val="nil"/>
              <w:right w:val="nil"/>
            </w:tcBorders>
            <w:vAlign w:val="center"/>
            <w:hideMark/>
          </w:tcPr>
          <w:p w14:paraId="0ADC6389" w14:textId="77777777" w:rsidR="001C7E53" w:rsidRPr="00714EC3" w:rsidRDefault="001C7E53" w:rsidP="00F91AE4">
            <w:pPr>
              <w:pStyle w:val="TableTextLeft"/>
            </w:pPr>
          </w:p>
        </w:tc>
        <w:tc>
          <w:tcPr>
            <w:tcW w:w="1673" w:type="dxa"/>
            <w:tcBorders>
              <w:top w:val="nil"/>
              <w:left w:val="nil"/>
              <w:bottom w:val="nil"/>
              <w:right w:val="nil"/>
            </w:tcBorders>
            <w:shd w:val="clear" w:color="auto" w:fill="auto"/>
            <w:noWrap/>
            <w:vAlign w:val="center"/>
            <w:hideMark/>
          </w:tcPr>
          <w:p w14:paraId="43E32CB3" w14:textId="77777777" w:rsidR="001C7E53" w:rsidRPr="00714EC3" w:rsidRDefault="001C7E53" w:rsidP="00460F7D">
            <w:pPr>
              <w:pStyle w:val="TableTextCentered"/>
            </w:pPr>
          </w:p>
        </w:tc>
        <w:tc>
          <w:tcPr>
            <w:tcW w:w="1733" w:type="dxa"/>
            <w:tcBorders>
              <w:top w:val="nil"/>
              <w:left w:val="nil"/>
              <w:bottom w:val="nil"/>
              <w:right w:val="nil"/>
            </w:tcBorders>
            <w:shd w:val="clear" w:color="auto" w:fill="auto"/>
            <w:noWrap/>
            <w:vAlign w:val="center"/>
            <w:hideMark/>
          </w:tcPr>
          <w:p w14:paraId="7D36B620" w14:textId="77777777" w:rsidR="001C7E53" w:rsidRPr="00714EC3" w:rsidRDefault="001C7E53" w:rsidP="00460F7D">
            <w:pPr>
              <w:pStyle w:val="TableTextCentered"/>
            </w:pPr>
            <w:r>
              <w:t>(</w:t>
            </w:r>
            <w:r w:rsidRPr="00714EC3">
              <w:t>0.011</w:t>
            </w:r>
            <w:r>
              <w:t>)</w:t>
            </w:r>
          </w:p>
        </w:tc>
        <w:tc>
          <w:tcPr>
            <w:tcW w:w="1822" w:type="dxa"/>
            <w:tcBorders>
              <w:top w:val="nil"/>
              <w:left w:val="nil"/>
              <w:bottom w:val="nil"/>
              <w:right w:val="nil"/>
            </w:tcBorders>
            <w:shd w:val="clear" w:color="auto" w:fill="auto"/>
            <w:vAlign w:val="center"/>
            <w:hideMark/>
          </w:tcPr>
          <w:p w14:paraId="36F5E76E" w14:textId="77777777" w:rsidR="001C7E53" w:rsidRPr="00714EC3" w:rsidRDefault="001C7E53" w:rsidP="00460F7D">
            <w:pPr>
              <w:pStyle w:val="TableTextCentered"/>
            </w:pPr>
            <w:r>
              <w:t>(</w:t>
            </w:r>
            <w:r w:rsidRPr="00714EC3">
              <w:t>0.01</w:t>
            </w:r>
            <w:r>
              <w:t>)</w:t>
            </w:r>
          </w:p>
        </w:tc>
      </w:tr>
      <w:tr w:rsidR="001C7E53" w:rsidRPr="00714EC3" w14:paraId="6BAC49D8" w14:textId="77777777" w:rsidTr="001D0062">
        <w:trPr>
          <w:trHeight w:val="283"/>
        </w:trPr>
        <w:tc>
          <w:tcPr>
            <w:tcW w:w="3842" w:type="dxa"/>
            <w:tcBorders>
              <w:top w:val="nil"/>
              <w:left w:val="nil"/>
              <w:bottom w:val="nil"/>
              <w:right w:val="nil"/>
            </w:tcBorders>
            <w:shd w:val="clear" w:color="auto" w:fill="auto"/>
            <w:noWrap/>
            <w:vAlign w:val="center"/>
            <w:hideMark/>
          </w:tcPr>
          <w:p w14:paraId="3663EA6A" w14:textId="77777777" w:rsidR="001C7E53" w:rsidRPr="00714EC3" w:rsidRDefault="001C7E53" w:rsidP="00F91AE4">
            <w:pPr>
              <w:pStyle w:val="TableTextLeft"/>
            </w:pPr>
            <w:r w:rsidRPr="00714EC3">
              <w:t>R</w:t>
            </w:r>
            <w:r w:rsidRPr="00714EC3">
              <w:rPr>
                <w:vertAlign w:val="superscript"/>
              </w:rPr>
              <w:t>2</w:t>
            </w:r>
          </w:p>
        </w:tc>
        <w:tc>
          <w:tcPr>
            <w:tcW w:w="1673" w:type="dxa"/>
            <w:tcBorders>
              <w:top w:val="nil"/>
              <w:left w:val="nil"/>
              <w:bottom w:val="nil"/>
              <w:right w:val="nil"/>
            </w:tcBorders>
            <w:shd w:val="clear" w:color="auto" w:fill="auto"/>
            <w:noWrap/>
            <w:vAlign w:val="center"/>
            <w:hideMark/>
          </w:tcPr>
          <w:p w14:paraId="3224A625" w14:textId="77777777" w:rsidR="001C7E53" w:rsidRPr="00714EC3" w:rsidRDefault="001C7E53" w:rsidP="00460F7D">
            <w:pPr>
              <w:pStyle w:val="TableTextCentered"/>
            </w:pPr>
            <w:r w:rsidRPr="00714EC3">
              <w:t>0.797</w:t>
            </w:r>
          </w:p>
        </w:tc>
        <w:tc>
          <w:tcPr>
            <w:tcW w:w="1733" w:type="dxa"/>
            <w:tcBorders>
              <w:top w:val="nil"/>
              <w:left w:val="nil"/>
              <w:bottom w:val="nil"/>
              <w:right w:val="nil"/>
            </w:tcBorders>
            <w:shd w:val="clear" w:color="auto" w:fill="auto"/>
            <w:noWrap/>
            <w:vAlign w:val="center"/>
            <w:hideMark/>
          </w:tcPr>
          <w:p w14:paraId="4306B7C7" w14:textId="77777777" w:rsidR="001C7E53" w:rsidRPr="00714EC3" w:rsidRDefault="001C7E53" w:rsidP="00460F7D">
            <w:pPr>
              <w:pStyle w:val="TableTextCentered"/>
            </w:pPr>
            <w:r w:rsidRPr="00714EC3">
              <w:t>0.796</w:t>
            </w:r>
          </w:p>
        </w:tc>
        <w:tc>
          <w:tcPr>
            <w:tcW w:w="1822" w:type="dxa"/>
            <w:tcBorders>
              <w:top w:val="nil"/>
              <w:left w:val="nil"/>
              <w:bottom w:val="nil"/>
              <w:right w:val="nil"/>
            </w:tcBorders>
            <w:shd w:val="clear" w:color="auto" w:fill="auto"/>
            <w:vAlign w:val="center"/>
            <w:hideMark/>
          </w:tcPr>
          <w:p w14:paraId="73C51B11" w14:textId="77777777" w:rsidR="001C7E53" w:rsidRPr="00714EC3" w:rsidRDefault="001C7E53" w:rsidP="00460F7D">
            <w:pPr>
              <w:pStyle w:val="TableTextCentered"/>
            </w:pPr>
            <w:r w:rsidRPr="00714EC3">
              <w:t>0.797</w:t>
            </w:r>
          </w:p>
        </w:tc>
      </w:tr>
      <w:tr w:rsidR="001C7E53" w:rsidRPr="00714EC3" w14:paraId="3869C945" w14:textId="77777777" w:rsidTr="001D0062">
        <w:trPr>
          <w:trHeight w:val="283"/>
        </w:trPr>
        <w:tc>
          <w:tcPr>
            <w:tcW w:w="3842" w:type="dxa"/>
            <w:tcBorders>
              <w:top w:val="nil"/>
              <w:left w:val="nil"/>
              <w:bottom w:val="nil"/>
              <w:right w:val="nil"/>
            </w:tcBorders>
            <w:shd w:val="clear" w:color="auto" w:fill="auto"/>
            <w:noWrap/>
            <w:vAlign w:val="center"/>
            <w:hideMark/>
          </w:tcPr>
          <w:p w14:paraId="4B99C83F" w14:textId="77777777" w:rsidR="001C7E53" w:rsidRPr="00714EC3" w:rsidRDefault="001C7E53" w:rsidP="00F91AE4">
            <w:pPr>
              <w:pStyle w:val="TableTextLeft"/>
            </w:pPr>
            <w:r w:rsidRPr="00714EC3">
              <w:t>N</w:t>
            </w:r>
          </w:p>
        </w:tc>
        <w:tc>
          <w:tcPr>
            <w:tcW w:w="1673" w:type="dxa"/>
            <w:tcBorders>
              <w:top w:val="nil"/>
              <w:left w:val="nil"/>
              <w:bottom w:val="nil"/>
              <w:right w:val="nil"/>
            </w:tcBorders>
            <w:shd w:val="clear" w:color="auto" w:fill="auto"/>
            <w:noWrap/>
            <w:vAlign w:val="center"/>
            <w:hideMark/>
          </w:tcPr>
          <w:p w14:paraId="65A3FE90" w14:textId="77777777" w:rsidR="001C7E53" w:rsidRPr="00714EC3" w:rsidRDefault="001C7E53" w:rsidP="00460F7D">
            <w:pPr>
              <w:pStyle w:val="TableTextCentered"/>
            </w:pPr>
            <w:r w:rsidRPr="00714EC3">
              <w:t>3,560,000</w:t>
            </w:r>
          </w:p>
        </w:tc>
        <w:tc>
          <w:tcPr>
            <w:tcW w:w="1733" w:type="dxa"/>
            <w:tcBorders>
              <w:top w:val="nil"/>
              <w:left w:val="nil"/>
              <w:bottom w:val="nil"/>
              <w:right w:val="nil"/>
            </w:tcBorders>
            <w:shd w:val="clear" w:color="auto" w:fill="auto"/>
            <w:noWrap/>
            <w:vAlign w:val="center"/>
            <w:hideMark/>
          </w:tcPr>
          <w:p w14:paraId="5F69C6CF" w14:textId="77777777" w:rsidR="001C7E53" w:rsidRPr="00714EC3" w:rsidRDefault="001C7E53" w:rsidP="00460F7D">
            <w:pPr>
              <w:pStyle w:val="TableTextCentered"/>
            </w:pPr>
            <w:r w:rsidRPr="00714EC3">
              <w:t>3,560,000</w:t>
            </w:r>
          </w:p>
        </w:tc>
        <w:tc>
          <w:tcPr>
            <w:tcW w:w="1822" w:type="dxa"/>
            <w:tcBorders>
              <w:top w:val="nil"/>
              <w:left w:val="nil"/>
              <w:bottom w:val="nil"/>
              <w:right w:val="nil"/>
            </w:tcBorders>
            <w:shd w:val="clear" w:color="auto" w:fill="auto"/>
            <w:vAlign w:val="center"/>
            <w:hideMark/>
          </w:tcPr>
          <w:p w14:paraId="77FCCDA2" w14:textId="77777777" w:rsidR="001C7E53" w:rsidRPr="00714EC3" w:rsidRDefault="001C7E53" w:rsidP="00460F7D">
            <w:pPr>
              <w:pStyle w:val="TableTextCentered"/>
            </w:pPr>
            <w:r w:rsidRPr="00714EC3">
              <w:t>3,560,000</w:t>
            </w:r>
          </w:p>
        </w:tc>
      </w:tr>
      <w:tr w:rsidR="001C7E53" w:rsidRPr="00714EC3" w14:paraId="2E34DE32" w14:textId="77777777" w:rsidTr="001D0062">
        <w:trPr>
          <w:trHeight w:val="283"/>
        </w:trPr>
        <w:tc>
          <w:tcPr>
            <w:tcW w:w="3842" w:type="dxa"/>
            <w:tcBorders>
              <w:top w:val="nil"/>
              <w:left w:val="nil"/>
              <w:bottom w:val="single" w:sz="8" w:space="0" w:color="auto"/>
              <w:right w:val="nil"/>
            </w:tcBorders>
            <w:shd w:val="clear" w:color="auto" w:fill="auto"/>
            <w:noWrap/>
            <w:vAlign w:val="center"/>
            <w:hideMark/>
          </w:tcPr>
          <w:p w14:paraId="4D5B3B00" w14:textId="77777777" w:rsidR="001C7E53" w:rsidRPr="00714EC3" w:rsidRDefault="001C7E53" w:rsidP="00F91AE4">
            <w:pPr>
              <w:pStyle w:val="TableColumnHeadingLeft"/>
            </w:pPr>
            <w:r w:rsidRPr="00714EC3">
              <w:t>Fixed effects</w:t>
            </w:r>
          </w:p>
        </w:tc>
        <w:tc>
          <w:tcPr>
            <w:tcW w:w="1673" w:type="dxa"/>
            <w:tcBorders>
              <w:top w:val="nil"/>
              <w:left w:val="nil"/>
              <w:bottom w:val="single" w:sz="8" w:space="0" w:color="auto"/>
              <w:right w:val="nil"/>
            </w:tcBorders>
            <w:shd w:val="clear" w:color="auto" w:fill="auto"/>
            <w:noWrap/>
            <w:vAlign w:val="center"/>
            <w:hideMark/>
          </w:tcPr>
          <w:p w14:paraId="3FF34E29" w14:textId="77777777" w:rsidR="001C7E53" w:rsidRPr="00714EC3" w:rsidRDefault="001C7E53" w:rsidP="00460F7D">
            <w:pPr>
              <w:pStyle w:val="TableTextCentered"/>
            </w:pPr>
            <w:r w:rsidRPr="00714EC3">
              <w:t> </w:t>
            </w:r>
          </w:p>
        </w:tc>
        <w:tc>
          <w:tcPr>
            <w:tcW w:w="1733" w:type="dxa"/>
            <w:tcBorders>
              <w:top w:val="nil"/>
              <w:left w:val="nil"/>
              <w:bottom w:val="single" w:sz="8" w:space="0" w:color="auto"/>
              <w:right w:val="nil"/>
            </w:tcBorders>
            <w:shd w:val="clear" w:color="auto" w:fill="auto"/>
            <w:noWrap/>
            <w:vAlign w:val="center"/>
            <w:hideMark/>
          </w:tcPr>
          <w:p w14:paraId="740A4898" w14:textId="77777777" w:rsidR="001C7E53" w:rsidRPr="00714EC3" w:rsidRDefault="001C7E53" w:rsidP="00460F7D">
            <w:pPr>
              <w:pStyle w:val="TableTextCentered"/>
            </w:pPr>
            <w:r w:rsidRPr="00714EC3">
              <w:t> </w:t>
            </w:r>
          </w:p>
        </w:tc>
        <w:tc>
          <w:tcPr>
            <w:tcW w:w="1822" w:type="dxa"/>
            <w:tcBorders>
              <w:top w:val="nil"/>
              <w:left w:val="nil"/>
              <w:bottom w:val="single" w:sz="8" w:space="0" w:color="auto"/>
              <w:right w:val="nil"/>
            </w:tcBorders>
            <w:shd w:val="clear" w:color="auto" w:fill="auto"/>
            <w:noWrap/>
            <w:vAlign w:val="center"/>
            <w:hideMark/>
          </w:tcPr>
          <w:p w14:paraId="498FD6EB" w14:textId="77777777" w:rsidR="001C7E53" w:rsidRPr="00714EC3" w:rsidRDefault="001C7E53" w:rsidP="00460F7D">
            <w:pPr>
              <w:pStyle w:val="TableTextCentered"/>
            </w:pPr>
            <w:r w:rsidRPr="00714EC3">
              <w:t> </w:t>
            </w:r>
          </w:p>
        </w:tc>
      </w:tr>
      <w:tr w:rsidR="001C7E53" w:rsidRPr="00714EC3" w14:paraId="0903B74A" w14:textId="77777777" w:rsidTr="001D0062">
        <w:trPr>
          <w:trHeight w:val="283"/>
        </w:trPr>
        <w:tc>
          <w:tcPr>
            <w:tcW w:w="3842" w:type="dxa"/>
            <w:tcBorders>
              <w:top w:val="nil"/>
              <w:left w:val="nil"/>
              <w:bottom w:val="nil"/>
              <w:right w:val="nil"/>
            </w:tcBorders>
            <w:shd w:val="clear" w:color="auto" w:fill="auto"/>
            <w:noWrap/>
            <w:vAlign w:val="center"/>
            <w:hideMark/>
          </w:tcPr>
          <w:p w14:paraId="3D3D026D" w14:textId="77777777" w:rsidR="001C7E53" w:rsidRPr="00714EC3" w:rsidRDefault="001C7E53" w:rsidP="00F91AE4">
            <w:pPr>
              <w:pStyle w:val="TableTextLeft"/>
            </w:pPr>
            <w:r w:rsidRPr="00714EC3">
              <w:t>Time*Market</w:t>
            </w:r>
          </w:p>
        </w:tc>
        <w:tc>
          <w:tcPr>
            <w:tcW w:w="1673" w:type="dxa"/>
            <w:tcBorders>
              <w:top w:val="nil"/>
              <w:left w:val="nil"/>
              <w:bottom w:val="nil"/>
              <w:right w:val="nil"/>
            </w:tcBorders>
            <w:shd w:val="clear" w:color="auto" w:fill="auto"/>
            <w:noWrap/>
            <w:vAlign w:val="center"/>
            <w:hideMark/>
          </w:tcPr>
          <w:p w14:paraId="6892D667" w14:textId="77777777" w:rsidR="001C7E53" w:rsidRPr="00714EC3" w:rsidRDefault="001C7E53" w:rsidP="00460F7D">
            <w:pPr>
              <w:pStyle w:val="TableTextCentered"/>
            </w:pPr>
            <w:r w:rsidRPr="00714EC3">
              <w:t>Y</w:t>
            </w:r>
          </w:p>
        </w:tc>
        <w:tc>
          <w:tcPr>
            <w:tcW w:w="1733" w:type="dxa"/>
            <w:tcBorders>
              <w:top w:val="nil"/>
              <w:left w:val="nil"/>
              <w:bottom w:val="nil"/>
              <w:right w:val="nil"/>
            </w:tcBorders>
            <w:shd w:val="clear" w:color="auto" w:fill="auto"/>
            <w:noWrap/>
            <w:vAlign w:val="center"/>
            <w:hideMark/>
          </w:tcPr>
          <w:p w14:paraId="64382035" w14:textId="77777777" w:rsidR="001C7E53" w:rsidRPr="00714EC3" w:rsidRDefault="001C7E53" w:rsidP="00460F7D">
            <w:pPr>
              <w:pStyle w:val="TableTextCentered"/>
            </w:pPr>
            <w:r w:rsidRPr="00714EC3">
              <w:t>Y</w:t>
            </w:r>
          </w:p>
        </w:tc>
        <w:tc>
          <w:tcPr>
            <w:tcW w:w="1822" w:type="dxa"/>
            <w:tcBorders>
              <w:top w:val="nil"/>
              <w:left w:val="nil"/>
              <w:bottom w:val="nil"/>
              <w:right w:val="nil"/>
            </w:tcBorders>
            <w:shd w:val="clear" w:color="auto" w:fill="auto"/>
            <w:noWrap/>
            <w:vAlign w:val="center"/>
            <w:hideMark/>
          </w:tcPr>
          <w:p w14:paraId="58387595" w14:textId="77777777" w:rsidR="001C7E53" w:rsidRPr="00714EC3" w:rsidRDefault="001C7E53" w:rsidP="00460F7D">
            <w:pPr>
              <w:pStyle w:val="TableTextCentered"/>
            </w:pPr>
            <w:r w:rsidRPr="00714EC3">
              <w:t>Y</w:t>
            </w:r>
          </w:p>
        </w:tc>
      </w:tr>
      <w:tr w:rsidR="001C7E53" w:rsidRPr="00714EC3" w14:paraId="332A1337" w14:textId="77777777" w:rsidTr="001D0062">
        <w:trPr>
          <w:trHeight w:val="283"/>
        </w:trPr>
        <w:tc>
          <w:tcPr>
            <w:tcW w:w="3842" w:type="dxa"/>
            <w:tcBorders>
              <w:top w:val="nil"/>
              <w:left w:val="nil"/>
              <w:bottom w:val="single" w:sz="8" w:space="0" w:color="auto"/>
              <w:right w:val="nil"/>
            </w:tcBorders>
            <w:shd w:val="clear" w:color="auto" w:fill="auto"/>
            <w:noWrap/>
            <w:vAlign w:val="center"/>
            <w:hideMark/>
          </w:tcPr>
          <w:p w14:paraId="6E9B4368" w14:textId="77777777" w:rsidR="001C7E53" w:rsidRPr="00714EC3" w:rsidRDefault="001C7E53" w:rsidP="00F91AE4">
            <w:pPr>
              <w:pStyle w:val="TableTextLeft"/>
            </w:pPr>
            <w:r w:rsidRPr="00714EC3">
              <w:t>Plant</w:t>
            </w:r>
          </w:p>
        </w:tc>
        <w:tc>
          <w:tcPr>
            <w:tcW w:w="1673" w:type="dxa"/>
            <w:tcBorders>
              <w:top w:val="nil"/>
              <w:left w:val="nil"/>
              <w:bottom w:val="single" w:sz="8" w:space="0" w:color="auto"/>
              <w:right w:val="nil"/>
            </w:tcBorders>
            <w:shd w:val="clear" w:color="auto" w:fill="auto"/>
            <w:noWrap/>
            <w:vAlign w:val="center"/>
            <w:hideMark/>
          </w:tcPr>
          <w:p w14:paraId="5575EF75" w14:textId="77777777" w:rsidR="001C7E53" w:rsidRPr="00714EC3" w:rsidRDefault="001C7E53" w:rsidP="00460F7D">
            <w:pPr>
              <w:pStyle w:val="TableTextCentered"/>
            </w:pPr>
            <w:r w:rsidRPr="00714EC3">
              <w:t>Y</w:t>
            </w:r>
          </w:p>
        </w:tc>
        <w:tc>
          <w:tcPr>
            <w:tcW w:w="1733" w:type="dxa"/>
            <w:tcBorders>
              <w:top w:val="nil"/>
              <w:left w:val="nil"/>
              <w:bottom w:val="single" w:sz="8" w:space="0" w:color="auto"/>
              <w:right w:val="nil"/>
            </w:tcBorders>
            <w:shd w:val="clear" w:color="auto" w:fill="auto"/>
            <w:noWrap/>
            <w:vAlign w:val="center"/>
            <w:hideMark/>
          </w:tcPr>
          <w:p w14:paraId="28702CF4" w14:textId="77777777" w:rsidR="001C7E53" w:rsidRPr="00714EC3" w:rsidRDefault="001C7E53" w:rsidP="00460F7D">
            <w:pPr>
              <w:pStyle w:val="TableTextCentered"/>
            </w:pPr>
            <w:r w:rsidRPr="00714EC3">
              <w:t>Y</w:t>
            </w:r>
          </w:p>
        </w:tc>
        <w:tc>
          <w:tcPr>
            <w:tcW w:w="1822" w:type="dxa"/>
            <w:tcBorders>
              <w:top w:val="nil"/>
              <w:left w:val="nil"/>
              <w:bottom w:val="single" w:sz="8" w:space="0" w:color="auto"/>
              <w:right w:val="nil"/>
            </w:tcBorders>
            <w:shd w:val="clear" w:color="auto" w:fill="auto"/>
            <w:noWrap/>
            <w:vAlign w:val="center"/>
            <w:hideMark/>
          </w:tcPr>
          <w:p w14:paraId="7279511F" w14:textId="77777777" w:rsidR="001C7E53" w:rsidRPr="00714EC3" w:rsidRDefault="001C7E53" w:rsidP="00460F7D">
            <w:pPr>
              <w:pStyle w:val="TableTextCentered"/>
            </w:pPr>
            <w:r w:rsidRPr="00714EC3">
              <w:t>Y</w:t>
            </w:r>
          </w:p>
        </w:tc>
      </w:tr>
    </w:tbl>
    <w:p w14:paraId="702FEFAE" w14:textId="4A5F445F" w:rsidR="001C7E53" w:rsidRDefault="001C7E53" w:rsidP="00FD645B">
      <w:pPr>
        <w:pStyle w:val="ChartorTableNote"/>
        <w:jc w:val="left"/>
      </w:pPr>
      <w:r w:rsidRPr="00252FAB">
        <w:t>Note: All regressions include a set of common controls covering firm characteristics (number of plants in the firm)</w:t>
      </w:r>
      <w:r>
        <w:t xml:space="preserve"> and</w:t>
      </w:r>
      <w:r w:rsidRPr="00252FAB">
        <w:t xml:space="preserve"> market characteristics (number of workers in the market</w:t>
      </w:r>
      <w:r>
        <w:t>)</w:t>
      </w:r>
      <w:r w:rsidR="006D1604">
        <w:t xml:space="preserve">. </w:t>
      </w:r>
      <w:r w:rsidRPr="00252FAB">
        <w:t>Errors clustered at the local market level.</w:t>
      </w:r>
    </w:p>
    <w:p w14:paraId="7A0AEA15" w14:textId="2DF5DB67" w:rsidR="001C7E53" w:rsidRDefault="001C7E53" w:rsidP="00FD645B">
      <w:r>
        <w:t>Figure 6 provides a sense of the magnitude of these results. Focusing first on the regressions using market concentration, wages are on average 4½ per cent lower in a highly concentrated industry (75</w:t>
      </w:r>
      <w:r w:rsidRPr="00223322">
        <w:rPr>
          <w:vertAlign w:val="superscript"/>
        </w:rPr>
        <w:t>th</w:t>
      </w:r>
      <w:r w:rsidR="00CC13EF">
        <w:t> </w:t>
      </w:r>
      <w:r>
        <w:t>percentile HHI of 0.5), compared to a low concentration industry (25</w:t>
      </w:r>
      <w:r w:rsidRPr="00223322">
        <w:rPr>
          <w:vertAlign w:val="superscript"/>
        </w:rPr>
        <w:t>th</w:t>
      </w:r>
      <w:r>
        <w:t xml:space="preserve"> percentile HHI 0.15). Equally, the degree of rent</w:t>
      </w:r>
      <w:r w:rsidR="0018466E">
        <w:noBreakHyphen/>
      </w:r>
      <w:r>
        <w:t>sharing (the share of productivity changes passed on to wages) is around 1¾</w:t>
      </w:r>
      <w:r w:rsidR="00CC13EF">
        <w:t> </w:t>
      </w:r>
      <w:r>
        <w:t>percentage points lower in a high concentration industry. But gaps don</w:t>
      </w:r>
      <w:r w:rsidR="0018466E">
        <w:t>’</w:t>
      </w:r>
      <w:r>
        <w:t xml:space="preserve">t just exist across markets. Even within markets there is a great deal of difference between high and low market share firms. High market share firms pay wages that are 2 per cent lower (once accounting for differences in productivity and other factors), and the share of productivity passed on to wages for large firms is around 1½ </w:t>
      </w:r>
      <w:r w:rsidR="00695C85">
        <w:t>percentage points</w:t>
      </w:r>
      <w:r>
        <w:t xml:space="preserve"> lower.</w:t>
      </w:r>
    </w:p>
    <w:p w14:paraId="33019B47" w14:textId="7F929D3D" w:rsidR="00511F7B" w:rsidRDefault="00511F7B" w:rsidP="00511F7B">
      <w:pPr>
        <w:pStyle w:val="ChartMainHeading"/>
      </w:pPr>
      <w:r w:rsidRPr="00C0265F">
        <w:lastRenderedPageBreak/>
        <w:t xml:space="preserve">Figure </w:t>
      </w:r>
      <w:r>
        <w:t>6</w:t>
      </w:r>
      <w:r w:rsidRPr="00C0265F">
        <w:t xml:space="preserve">: Difference in </w:t>
      </w:r>
      <w:r>
        <w:t>a</w:t>
      </w:r>
      <w:r w:rsidRPr="00C0265F">
        <w:t xml:space="preserve">verage </w:t>
      </w:r>
      <w:r>
        <w:t>w</w:t>
      </w:r>
      <w:r w:rsidRPr="00C0265F">
        <w:t xml:space="preserve">ages </w:t>
      </w:r>
      <w:r>
        <w:t>and rent</w:t>
      </w:r>
      <w:r>
        <w:noBreakHyphen/>
        <w:t>sharing between high and low concentration firms and markets</w:t>
      </w:r>
    </w:p>
    <w:p w14:paraId="5845E1DF" w14:textId="67FBEA16" w:rsidR="00511F7B" w:rsidRPr="001D0062" w:rsidRDefault="0039037A" w:rsidP="001D0062">
      <w:pPr>
        <w:pStyle w:val="ChartGraphic"/>
      </w:pPr>
      <w:r w:rsidRPr="0039037A">
        <w:rPr>
          <w:noProof/>
        </w:rPr>
        <w:drawing>
          <wp:inline distT="0" distB="0" distL="0" distR="0" wp14:anchorId="310CCF20" wp14:editId="4518FF2F">
            <wp:extent cx="5759450" cy="2438400"/>
            <wp:effectExtent l="0" t="0" r="0" b="0"/>
            <wp:docPr id="16" name="Picture 16" descr="This chart shows bars capturing differences in wages across high and low concentration markets, high and low market share firms, and differences in the rent-sharing (passthrough of productivity to wages), between those same groups. In less concentrated markets wages are, all else equal 4 per cent higher, and 2 per cent higher for small market share firms. Rent-sharing is around 1-2 percentage points higher for less concentrated markets, and lower market share firms. The estimated error bands are fairly t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chart shows bars capturing differences in wages across high and low concentration markets, high and low market share firms, and differences in the rent-sharing (passthrough of productivity to wages), between those same groups. In less concentrated markets wages are, all else equal 4 per cent higher, and 2 per cent higher for small market share firms. Rent-sharing is around 1-2 percentage points higher for less concentrated markets, and lower market share firms. The estimated error bands are fairly tigh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2438400"/>
                    </a:xfrm>
                    <a:prstGeom prst="rect">
                      <a:avLst/>
                    </a:prstGeom>
                    <a:noFill/>
                    <a:ln>
                      <a:noFill/>
                    </a:ln>
                  </pic:spPr>
                </pic:pic>
              </a:graphicData>
            </a:graphic>
          </wp:inline>
        </w:drawing>
      </w:r>
    </w:p>
    <w:p w14:paraId="3F943BC2" w14:textId="372574E1" w:rsidR="001C7E53" w:rsidRDefault="001C7E53" w:rsidP="00F91AE4">
      <w:r w:rsidRPr="00C17960">
        <w:rPr>
          <w:sz w:val="18"/>
        </w:rPr>
        <w:t>Note: Low and high concentration markets are the 25</w:t>
      </w:r>
      <w:r w:rsidRPr="00C17960">
        <w:rPr>
          <w:sz w:val="18"/>
          <w:vertAlign w:val="superscript"/>
        </w:rPr>
        <w:t>th</w:t>
      </w:r>
      <w:r w:rsidRPr="00C17960">
        <w:rPr>
          <w:sz w:val="18"/>
        </w:rPr>
        <w:t xml:space="preserve"> and 75</w:t>
      </w:r>
      <w:r w:rsidRPr="00C17960">
        <w:rPr>
          <w:sz w:val="18"/>
          <w:vertAlign w:val="superscript"/>
        </w:rPr>
        <w:t>th</w:t>
      </w:r>
      <w:r w:rsidRPr="00C17960">
        <w:rPr>
          <w:sz w:val="18"/>
        </w:rPr>
        <w:t xml:space="preserve"> percentile, respectively</w:t>
      </w:r>
      <w:r>
        <w:rPr>
          <w:sz w:val="18"/>
        </w:rPr>
        <w:t>, and these differ across market versus firm specification due to differing firm counts per market</w:t>
      </w:r>
      <w:r w:rsidRPr="00C17960">
        <w:rPr>
          <w:sz w:val="18"/>
        </w:rPr>
        <w:t>. Low market share is zero, high market share is 20 per cent of market (95</w:t>
      </w:r>
      <w:r w:rsidRPr="00C17960">
        <w:rPr>
          <w:sz w:val="18"/>
          <w:vertAlign w:val="superscript"/>
        </w:rPr>
        <w:t>th</w:t>
      </w:r>
      <w:r w:rsidRPr="00C17960">
        <w:rPr>
          <w:sz w:val="18"/>
        </w:rPr>
        <w:t xml:space="preserve"> percentile). Results from headcount models, either</w:t>
      </w:r>
      <w:r>
        <w:rPr>
          <w:sz w:val="18"/>
        </w:rPr>
        <w:t xml:space="preserve"> market</w:t>
      </w:r>
      <w:r w:rsidR="0018466E">
        <w:rPr>
          <w:sz w:val="18"/>
        </w:rPr>
        <w:noBreakHyphen/>
      </w:r>
      <w:r>
        <w:rPr>
          <w:sz w:val="18"/>
        </w:rPr>
        <w:t>level or firm</w:t>
      </w:r>
      <w:r w:rsidR="0018466E">
        <w:rPr>
          <w:sz w:val="18"/>
        </w:rPr>
        <w:noBreakHyphen/>
      </w:r>
      <w:r>
        <w:rPr>
          <w:sz w:val="18"/>
        </w:rPr>
        <w:t>level, as indicated</w:t>
      </w:r>
      <w:r w:rsidRPr="00FE6BFC">
        <w:rPr>
          <w:sz w:val="18"/>
        </w:rPr>
        <w:t>.</w:t>
      </w:r>
      <w:r>
        <w:rPr>
          <w:sz w:val="18"/>
        </w:rPr>
        <w:t xml:space="preserve"> Red dashes show two standard deviation range of estimates.</w:t>
      </w:r>
      <w:r>
        <w:rPr>
          <w:sz w:val="18"/>
        </w:rPr>
        <w:br/>
        <w:t>Source: Author</w:t>
      </w:r>
      <w:r w:rsidR="0018466E">
        <w:rPr>
          <w:sz w:val="18"/>
        </w:rPr>
        <w:t>’</w:t>
      </w:r>
      <w:r>
        <w:rPr>
          <w:sz w:val="18"/>
        </w:rPr>
        <w:t>s calculations</w:t>
      </w:r>
    </w:p>
    <w:p w14:paraId="34C54789" w14:textId="215F79EE" w:rsidR="001C7E53" w:rsidRDefault="001C7E53" w:rsidP="00FD645B">
      <w:r w:rsidRPr="00A44B2E">
        <w:t>This latter finding highlights the importance of firm</w:t>
      </w:r>
      <w:r w:rsidR="00F5429E">
        <w:t xml:space="preserve"> </w:t>
      </w:r>
      <w:r w:rsidRPr="00A44B2E">
        <w:t xml:space="preserve">heterogeneity when considering local labour market power. It also suggests that aggregate concentration measures may not be </w:t>
      </w:r>
      <w:r>
        <w:t>sufficient</w:t>
      </w:r>
      <w:r w:rsidRPr="00A44B2E">
        <w:t xml:space="preserve"> to consider chang</w:t>
      </w:r>
      <w:r>
        <w:t>es in local labour market power. Instead, we may need to consider the full distribution of market shares, and how they have changed, to properly understand changes in market power and implications for wages.</w:t>
      </w:r>
    </w:p>
    <w:p w14:paraId="0F56263E" w14:textId="77777777" w:rsidR="001C7E53" w:rsidRDefault="001C7E53" w:rsidP="00F91AE4">
      <w:pPr>
        <w:pStyle w:val="Heading3"/>
      </w:pPr>
      <w:r>
        <w:t>5.3. Subsample results</w:t>
      </w:r>
    </w:p>
    <w:p w14:paraId="7705D955" w14:textId="68CC147D" w:rsidR="001C7E53" w:rsidRDefault="001C7E53" w:rsidP="00FD645B">
      <w:pPr>
        <w:spacing w:after="200" w:line="276" w:lineRule="auto"/>
      </w:pPr>
      <w:r>
        <w:t>As noted above, the degree of labour market concentration has been unchanged over the sample. At first blush, this would suggest that concentration cannot explain low wages growth pre</w:t>
      </w:r>
      <w:r w:rsidR="0018466E">
        <w:noBreakHyphen/>
      </w:r>
      <w:r>
        <w:t>COVID. However, papers such as Benmelech et al (202</w:t>
      </w:r>
      <w:r w:rsidR="00BA74C2">
        <w:t>2</w:t>
      </w:r>
      <w:r>
        <w:t>) have found evidence that the impact of given levels of concentration can change over time.</w:t>
      </w:r>
    </w:p>
    <w:p w14:paraId="366F96A7" w14:textId="5A862EA1" w:rsidR="001C7E53" w:rsidRDefault="001C7E53" w:rsidP="00FD645B">
      <w:pPr>
        <w:spacing w:after="200" w:line="276" w:lineRule="auto"/>
      </w:pPr>
      <w:r>
        <w:t>To examine this, I run the baseline market</w:t>
      </w:r>
      <w:r w:rsidR="0018466E">
        <w:noBreakHyphen/>
      </w:r>
      <w:r>
        <w:t>level regression, but allowing all coefficients to vary across three financial year sub</w:t>
      </w:r>
      <w:r w:rsidR="0018466E">
        <w:noBreakHyphen/>
      </w:r>
      <w:r>
        <w:t>samples: 2005</w:t>
      </w:r>
      <w:r w:rsidR="0018466E">
        <w:noBreakHyphen/>
      </w:r>
      <w:r>
        <w:t>2007; 2008</w:t>
      </w:r>
      <w:r w:rsidR="0018466E">
        <w:noBreakHyphen/>
      </w:r>
      <w:r>
        <w:t>2010 (GFC); 2011</w:t>
      </w:r>
      <w:r w:rsidR="0018466E">
        <w:noBreakHyphen/>
      </w:r>
      <w:r>
        <w:t>2015 (post</w:t>
      </w:r>
      <w:r w:rsidR="0018466E">
        <w:noBreakHyphen/>
      </w:r>
      <w:r>
        <w:t>GFC). This will allow me to consider whether the impacts of HHI on wages have increased, even if concentration has remained unchanged.</w:t>
      </w:r>
      <w:r>
        <w:rPr>
          <w:rStyle w:val="FootnoteReference"/>
        </w:rPr>
        <w:footnoteReference w:id="11"/>
      </w:r>
    </w:p>
    <w:p w14:paraId="71F35969" w14:textId="378A340F" w:rsidR="001C7E53" w:rsidRDefault="001C7E53" w:rsidP="00FD645B">
      <w:pPr>
        <w:spacing w:after="200" w:line="276" w:lineRule="auto"/>
      </w:pPr>
      <w:r>
        <w:lastRenderedPageBreak/>
        <w:t xml:space="preserve">Table </w:t>
      </w:r>
      <w:r w:rsidR="00564C76">
        <w:t>4</w:t>
      </w:r>
      <w:r>
        <w:t xml:space="preserve"> shows the results of the sub</w:t>
      </w:r>
      <w:r w:rsidR="0018466E">
        <w:noBreakHyphen/>
      </w:r>
      <w:r>
        <w:t>sample regression. The impact of concentration more than doubled from the early period to the 2011</w:t>
      </w:r>
      <w:r w:rsidR="00481B0D">
        <w:rPr>
          <w:rFonts w:ascii="Courier New" w:hAnsi="Courier New" w:cs="Courier New"/>
        </w:rPr>
        <w:t>-</w:t>
      </w:r>
      <w:r>
        <w:t>2015 period.</w:t>
      </w:r>
      <w:r>
        <w:rPr>
          <w:rStyle w:val="FootnoteReference"/>
        </w:rPr>
        <w:footnoteReference w:id="12"/>
      </w:r>
    </w:p>
    <w:p w14:paraId="11046B30" w14:textId="17A877F7" w:rsidR="00464E5A" w:rsidRDefault="00464E5A" w:rsidP="00F91AE4">
      <w:pPr>
        <w:pStyle w:val="TableMainHeading"/>
      </w:pPr>
      <w:r w:rsidRPr="00483D1F">
        <w:t xml:space="preserve">Table </w:t>
      </w:r>
      <w:r w:rsidR="00564C76">
        <w:t>4</w:t>
      </w:r>
      <w:r w:rsidRPr="00483D1F">
        <w:t>: Sub</w:t>
      </w:r>
      <w:r w:rsidR="0018466E">
        <w:noBreakHyphen/>
      </w:r>
      <w:r w:rsidRPr="00483D1F">
        <w:t>sample model</w:t>
      </w:r>
    </w:p>
    <w:tbl>
      <w:tblPr>
        <w:tblW w:w="5000" w:type="pct"/>
        <w:jc w:val="center"/>
        <w:tblLook w:val="04A0" w:firstRow="1" w:lastRow="0" w:firstColumn="1" w:lastColumn="0" w:noHBand="0" w:noVBand="1"/>
      </w:tblPr>
      <w:tblGrid>
        <w:gridCol w:w="2739"/>
        <w:gridCol w:w="1409"/>
        <w:gridCol w:w="76"/>
        <w:gridCol w:w="1872"/>
        <w:gridCol w:w="1501"/>
        <w:gridCol w:w="1473"/>
      </w:tblGrid>
      <w:tr w:rsidR="001C7E53" w:rsidRPr="00483D1F" w14:paraId="06855A3E" w14:textId="77777777" w:rsidTr="001D0062">
        <w:trPr>
          <w:trHeight w:val="283"/>
          <w:jc w:val="center"/>
        </w:trPr>
        <w:tc>
          <w:tcPr>
            <w:tcW w:w="2739" w:type="dxa"/>
            <w:tcBorders>
              <w:top w:val="single" w:sz="4" w:space="0" w:color="auto"/>
              <w:left w:val="nil"/>
              <w:bottom w:val="single" w:sz="8" w:space="0" w:color="auto"/>
              <w:right w:val="nil"/>
            </w:tcBorders>
            <w:shd w:val="clear" w:color="auto" w:fill="auto"/>
            <w:noWrap/>
            <w:vAlign w:val="center"/>
            <w:hideMark/>
          </w:tcPr>
          <w:p w14:paraId="4EAA1618" w14:textId="77777777" w:rsidR="001C7E53" w:rsidRPr="00483D1F" w:rsidRDefault="001C7E53" w:rsidP="00F91AE4">
            <w:pPr>
              <w:spacing w:after="0"/>
              <w:rPr>
                <w:rFonts w:cs="Calibri"/>
                <w:color w:val="000000"/>
                <w:sz w:val="20"/>
              </w:rPr>
            </w:pPr>
            <w:r w:rsidRPr="00483D1F">
              <w:rPr>
                <w:rFonts w:cs="Calibri"/>
                <w:color w:val="000000"/>
                <w:sz w:val="20"/>
              </w:rPr>
              <w:t> </w:t>
            </w:r>
          </w:p>
        </w:tc>
        <w:tc>
          <w:tcPr>
            <w:tcW w:w="1409" w:type="dxa"/>
            <w:tcBorders>
              <w:top w:val="single" w:sz="4" w:space="0" w:color="auto"/>
              <w:left w:val="nil"/>
              <w:bottom w:val="single" w:sz="8" w:space="0" w:color="auto"/>
              <w:right w:val="nil"/>
            </w:tcBorders>
            <w:shd w:val="clear" w:color="auto" w:fill="auto"/>
            <w:noWrap/>
            <w:vAlign w:val="center"/>
            <w:hideMark/>
          </w:tcPr>
          <w:p w14:paraId="6E1E6385" w14:textId="77777777" w:rsidR="001C7E53" w:rsidRPr="00483D1F" w:rsidRDefault="001C7E53" w:rsidP="00901C18">
            <w:pPr>
              <w:pStyle w:val="TableColumnHeadingCentred"/>
            </w:pPr>
            <w:r w:rsidRPr="00483D1F">
              <w:t>Baseline</w:t>
            </w:r>
          </w:p>
        </w:tc>
        <w:tc>
          <w:tcPr>
            <w:tcW w:w="1948" w:type="dxa"/>
            <w:gridSpan w:val="2"/>
            <w:tcBorders>
              <w:top w:val="single" w:sz="4" w:space="0" w:color="auto"/>
              <w:left w:val="nil"/>
              <w:bottom w:val="single" w:sz="8" w:space="0" w:color="auto"/>
              <w:right w:val="nil"/>
            </w:tcBorders>
            <w:shd w:val="clear" w:color="auto" w:fill="auto"/>
            <w:noWrap/>
            <w:vAlign w:val="center"/>
            <w:hideMark/>
          </w:tcPr>
          <w:p w14:paraId="1EDCC620" w14:textId="539D9D6E" w:rsidR="001C7E53" w:rsidRPr="00483D1F" w:rsidRDefault="001C7E53" w:rsidP="00901C18">
            <w:pPr>
              <w:pStyle w:val="TableColumnHeadingCentred"/>
            </w:pPr>
            <w:r w:rsidRPr="00483D1F">
              <w:t>Sub</w:t>
            </w:r>
            <w:r w:rsidR="0018466E">
              <w:noBreakHyphen/>
            </w:r>
            <w:r w:rsidRPr="00483D1F">
              <w:t>sample</w:t>
            </w:r>
          </w:p>
        </w:tc>
        <w:tc>
          <w:tcPr>
            <w:tcW w:w="1535" w:type="dxa"/>
            <w:tcBorders>
              <w:top w:val="single" w:sz="4" w:space="0" w:color="auto"/>
              <w:left w:val="nil"/>
              <w:bottom w:val="single" w:sz="8" w:space="0" w:color="auto"/>
              <w:right w:val="nil"/>
            </w:tcBorders>
          </w:tcPr>
          <w:p w14:paraId="16A9872E" w14:textId="77777777" w:rsidR="001C7E53" w:rsidRPr="00483D1F" w:rsidRDefault="001C7E53" w:rsidP="00901C18">
            <w:pPr>
              <w:pStyle w:val="TableColumnHeadingCentred"/>
            </w:pPr>
            <w:r>
              <w:t>National Unemployment</w:t>
            </w:r>
          </w:p>
        </w:tc>
        <w:tc>
          <w:tcPr>
            <w:tcW w:w="1439" w:type="dxa"/>
            <w:tcBorders>
              <w:top w:val="single" w:sz="4" w:space="0" w:color="auto"/>
              <w:left w:val="nil"/>
              <w:bottom w:val="single" w:sz="8" w:space="0" w:color="auto"/>
              <w:right w:val="nil"/>
            </w:tcBorders>
          </w:tcPr>
          <w:p w14:paraId="00B3A31E" w14:textId="77777777" w:rsidR="001C7E53" w:rsidRPr="00483D1F" w:rsidRDefault="001C7E53" w:rsidP="00901C18">
            <w:pPr>
              <w:pStyle w:val="TableColumnHeadingCentred"/>
            </w:pPr>
            <w:r>
              <w:t>State Unemployment</w:t>
            </w:r>
          </w:p>
        </w:tc>
      </w:tr>
      <w:tr w:rsidR="006D45AD" w:rsidRPr="00483D1F" w14:paraId="0A16F0CA" w14:textId="77777777" w:rsidTr="001D0062">
        <w:trPr>
          <w:trHeight w:val="283"/>
          <w:jc w:val="center"/>
        </w:trPr>
        <w:tc>
          <w:tcPr>
            <w:tcW w:w="2739" w:type="dxa"/>
            <w:tcBorders>
              <w:top w:val="nil"/>
              <w:left w:val="nil"/>
              <w:bottom w:val="nil"/>
              <w:right w:val="nil"/>
            </w:tcBorders>
            <w:shd w:val="clear" w:color="auto" w:fill="auto"/>
            <w:noWrap/>
            <w:vAlign w:val="center"/>
          </w:tcPr>
          <w:p w14:paraId="24210F68" w14:textId="77777777" w:rsidR="006D45AD" w:rsidRPr="00483D1F" w:rsidRDefault="006D45AD" w:rsidP="0051158F">
            <w:pPr>
              <w:pStyle w:val="TableTextLeft"/>
            </w:pPr>
          </w:p>
        </w:tc>
        <w:tc>
          <w:tcPr>
            <w:tcW w:w="1409" w:type="dxa"/>
            <w:tcBorders>
              <w:top w:val="nil"/>
              <w:left w:val="nil"/>
              <w:bottom w:val="nil"/>
              <w:right w:val="nil"/>
            </w:tcBorders>
            <w:shd w:val="clear" w:color="auto" w:fill="auto"/>
            <w:noWrap/>
            <w:vAlign w:val="center"/>
          </w:tcPr>
          <w:p w14:paraId="2358C94C" w14:textId="77777777" w:rsidR="006D45AD" w:rsidRDefault="006D45AD" w:rsidP="0051158F">
            <w:pPr>
              <w:pStyle w:val="TableTextCentered"/>
            </w:pPr>
          </w:p>
        </w:tc>
        <w:tc>
          <w:tcPr>
            <w:tcW w:w="1948" w:type="dxa"/>
            <w:gridSpan w:val="2"/>
            <w:tcBorders>
              <w:top w:val="nil"/>
              <w:left w:val="nil"/>
              <w:bottom w:val="nil"/>
              <w:right w:val="nil"/>
            </w:tcBorders>
            <w:shd w:val="clear" w:color="auto" w:fill="auto"/>
            <w:noWrap/>
            <w:vAlign w:val="center"/>
          </w:tcPr>
          <w:p w14:paraId="202F2B26" w14:textId="77777777" w:rsidR="006D45AD" w:rsidRDefault="006D45AD" w:rsidP="0051158F">
            <w:pPr>
              <w:pStyle w:val="TableTextCentered"/>
            </w:pPr>
          </w:p>
        </w:tc>
        <w:tc>
          <w:tcPr>
            <w:tcW w:w="1535" w:type="dxa"/>
            <w:tcBorders>
              <w:top w:val="nil"/>
              <w:left w:val="nil"/>
              <w:bottom w:val="nil"/>
              <w:right w:val="nil"/>
            </w:tcBorders>
            <w:vAlign w:val="center"/>
          </w:tcPr>
          <w:p w14:paraId="4C970FAB" w14:textId="77777777" w:rsidR="006D45AD" w:rsidRDefault="006D45AD" w:rsidP="0051158F">
            <w:pPr>
              <w:pStyle w:val="TableTextCentered"/>
            </w:pPr>
          </w:p>
        </w:tc>
        <w:tc>
          <w:tcPr>
            <w:tcW w:w="1439" w:type="dxa"/>
            <w:tcBorders>
              <w:top w:val="nil"/>
              <w:left w:val="nil"/>
              <w:bottom w:val="nil"/>
              <w:right w:val="nil"/>
            </w:tcBorders>
            <w:vAlign w:val="center"/>
          </w:tcPr>
          <w:p w14:paraId="5A40FC2B" w14:textId="77777777" w:rsidR="006D45AD" w:rsidRDefault="006D45AD" w:rsidP="0051158F">
            <w:pPr>
              <w:pStyle w:val="TableTextCentered"/>
            </w:pPr>
          </w:p>
        </w:tc>
      </w:tr>
      <w:tr w:rsidR="001C7E53" w:rsidRPr="00483D1F" w14:paraId="16C73861" w14:textId="77777777" w:rsidTr="001D0062">
        <w:trPr>
          <w:trHeight w:val="283"/>
          <w:jc w:val="center"/>
        </w:trPr>
        <w:tc>
          <w:tcPr>
            <w:tcW w:w="2739" w:type="dxa"/>
            <w:tcBorders>
              <w:top w:val="nil"/>
              <w:left w:val="nil"/>
              <w:bottom w:val="nil"/>
              <w:right w:val="nil"/>
            </w:tcBorders>
            <w:shd w:val="clear" w:color="auto" w:fill="auto"/>
            <w:noWrap/>
            <w:vAlign w:val="center"/>
            <w:hideMark/>
          </w:tcPr>
          <w:p w14:paraId="09D0F8D4" w14:textId="77777777" w:rsidR="001C7E53" w:rsidRPr="00483D1F" w:rsidRDefault="001C7E53" w:rsidP="0051158F">
            <w:pPr>
              <w:pStyle w:val="TableTextLeft"/>
            </w:pPr>
            <w:r w:rsidRPr="00483D1F">
              <w:t>Concentration</w:t>
            </w:r>
          </w:p>
        </w:tc>
        <w:tc>
          <w:tcPr>
            <w:tcW w:w="1409" w:type="dxa"/>
            <w:tcBorders>
              <w:top w:val="nil"/>
              <w:left w:val="nil"/>
              <w:bottom w:val="nil"/>
              <w:right w:val="nil"/>
            </w:tcBorders>
            <w:shd w:val="clear" w:color="auto" w:fill="auto"/>
            <w:noWrap/>
            <w:vAlign w:val="center"/>
            <w:hideMark/>
          </w:tcPr>
          <w:p w14:paraId="30E68C99" w14:textId="77B5BDA6" w:rsidR="001C7E53" w:rsidRPr="00483D1F" w:rsidRDefault="0018466E" w:rsidP="0051158F">
            <w:pPr>
              <w:pStyle w:val="TableTextCentered"/>
            </w:pPr>
            <w:r>
              <w:noBreakHyphen/>
            </w:r>
            <w:r w:rsidR="001C7E53" w:rsidRPr="00483D1F">
              <w:t>0.122***</w:t>
            </w:r>
          </w:p>
        </w:tc>
        <w:tc>
          <w:tcPr>
            <w:tcW w:w="1948" w:type="dxa"/>
            <w:gridSpan w:val="2"/>
            <w:tcBorders>
              <w:top w:val="nil"/>
              <w:left w:val="nil"/>
              <w:bottom w:val="nil"/>
              <w:right w:val="nil"/>
            </w:tcBorders>
            <w:shd w:val="clear" w:color="auto" w:fill="auto"/>
            <w:noWrap/>
            <w:vAlign w:val="center"/>
            <w:hideMark/>
          </w:tcPr>
          <w:p w14:paraId="17AC8A2C" w14:textId="42380A9A" w:rsidR="001C7E53" w:rsidRPr="00483D1F" w:rsidRDefault="0018466E" w:rsidP="0051158F">
            <w:pPr>
              <w:pStyle w:val="TableTextCentered"/>
            </w:pPr>
            <w:r>
              <w:noBreakHyphen/>
            </w:r>
            <w:r w:rsidR="001C7E53" w:rsidRPr="00483D1F">
              <w:t>0.067***</w:t>
            </w:r>
          </w:p>
        </w:tc>
        <w:tc>
          <w:tcPr>
            <w:tcW w:w="1535" w:type="dxa"/>
            <w:tcBorders>
              <w:top w:val="nil"/>
              <w:left w:val="nil"/>
              <w:bottom w:val="nil"/>
              <w:right w:val="nil"/>
            </w:tcBorders>
            <w:vAlign w:val="center"/>
          </w:tcPr>
          <w:p w14:paraId="513D837D" w14:textId="1CF0A46A" w:rsidR="001C7E53" w:rsidRPr="00483D1F" w:rsidRDefault="0018466E" w:rsidP="0051158F">
            <w:pPr>
              <w:pStyle w:val="TableTextCentered"/>
            </w:pPr>
            <w:r>
              <w:noBreakHyphen/>
            </w:r>
            <w:r w:rsidR="001C7E53">
              <w:t>0.123</w:t>
            </w:r>
            <w:r w:rsidR="001C7E53" w:rsidRPr="00483D1F">
              <w:t>***</w:t>
            </w:r>
          </w:p>
        </w:tc>
        <w:tc>
          <w:tcPr>
            <w:tcW w:w="1439" w:type="dxa"/>
            <w:tcBorders>
              <w:top w:val="nil"/>
              <w:left w:val="nil"/>
              <w:bottom w:val="nil"/>
              <w:right w:val="nil"/>
            </w:tcBorders>
            <w:vAlign w:val="center"/>
          </w:tcPr>
          <w:p w14:paraId="3FEA3384" w14:textId="71AEAF18" w:rsidR="001C7E53" w:rsidRPr="00483D1F" w:rsidRDefault="0018466E" w:rsidP="0051158F">
            <w:pPr>
              <w:pStyle w:val="TableTextCentered"/>
            </w:pPr>
            <w:r>
              <w:noBreakHyphen/>
            </w:r>
            <w:r w:rsidR="001C7E53" w:rsidRPr="00483D1F">
              <w:t>0.122***</w:t>
            </w:r>
          </w:p>
        </w:tc>
      </w:tr>
      <w:tr w:rsidR="001C7E53" w:rsidRPr="00483D1F" w14:paraId="300A6467" w14:textId="77777777" w:rsidTr="001D0062">
        <w:trPr>
          <w:trHeight w:val="283"/>
          <w:jc w:val="center"/>
        </w:trPr>
        <w:tc>
          <w:tcPr>
            <w:tcW w:w="2739" w:type="dxa"/>
            <w:tcBorders>
              <w:top w:val="nil"/>
              <w:left w:val="nil"/>
              <w:bottom w:val="nil"/>
              <w:right w:val="nil"/>
            </w:tcBorders>
            <w:shd w:val="clear" w:color="auto" w:fill="auto"/>
            <w:noWrap/>
            <w:vAlign w:val="center"/>
            <w:hideMark/>
          </w:tcPr>
          <w:p w14:paraId="73CAAA84" w14:textId="77777777" w:rsidR="001C7E53" w:rsidRPr="00483D1F" w:rsidRDefault="001C7E53" w:rsidP="0051158F">
            <w:pPr>
              <w:pStyle w:val="TableTextLeft"/>
            </w:pPr>
          </w:p>
        </w:tc>
        <w:tc>
          <w:tcPr>
            <w:tcW w:w="1409" w:type="dxa"/>
            <w:tcBorders>
              <w:top w:val="nil"/>
              <w:left w:val="nil"/>
              <w:bottom w:val="nil"/>
              <w:right w:val="nil"/>
            </w:tcBorders>
            <w:shd w:val="clear" w:color="auto" w:fill="auto"/>
            <w:noWrap/>
            <w:vAlign w:val="center"/>
            <w:hideMark/>
          </w:tcPr>
          <w:p w14:paraId="40FC7C85" w14:textId="77777777" w:rsidR="001C7E53" w:rsidRPr="00483D1F" w:rsidRDefault="001C7E53" w:rsidP="0051158F">
            <w:pPr>
              <w:pStyle w:val="TableTextCentered"/>
            </w:pPr>
            <w:r w:rsidRPr="00483D1F">
              <w:t>(0.008)</w:t>
            </w:r>
          </w:p>
        </w:tc>
        <w:tc>
          <w:tcPr>
            <w:tcW w:w="1948" w:type="dxa"/>
            <w:gridSpan w:val="2"/>
            <w:tcBorders>
              <w:top w:val="nil"/>
              <w:left w:val="nil"/>
              <w:bottom w:val="nil"/>
              <w:right w:val="nil"/>
            </w:tcBorders>
            <w:shd w:val="clear" w:color="auto" w:fill="auto"/>
            <w:noWrap/>
            <w:vAlign w:val="center"/>
            <w:hideMark/>
          </w:tcPr>
          <w:p w14:paraId="3141C9D1" w14:textId="77777777" w:rsidR="001C7E53" w:rsidRPr="00483D1F" w:rsidRDefault="001C7E53" w:rsidP="0051158F">
            <w:pPr>
              <w:pStyle w:val="TableTextCentered"/>
            </w:pPr>
            <w:r w:rsidRPr="00483D1F">
              <w:t>(0.020)</w:t>
            </w:r>
          </w:p>
        </w:tc>
        <w:tc>
          <w:tcPr>
            <w:tcW w:w="1535" w:type="dxa"/>
            <w:tcBorders>
              <w:top w:val="nil"/>
              <w:left w:val="nil"/>
              <w:bottom w:val="nil"/>
              <w:right w:val="nil"/>
            </w:tcBorders>
            <w:vAlign w:val="center"/>
          </w:tcPr>
          <w:p w14:paraId="43E8260D" w14:textId="77777777" w:rsidR="001C7E53" w:rsidRPr="00483D1F" w:rsidRDefault="001C7E53" w:rsidP="0051158F">
            <w:pPr>
              <w:pStyle w:val="TableTextCentered"/>
            </w:pPr>
            <w:r>
              <w:t>(0.015</w:t>
            </w:r>
            <w:r w:rsidRPr="00483D1F">
              <w:t>)</w:t>
            </w:r>
          </w:p>
        </w:tc>
        <w:tc>
          <w:tcPr>
            <w:tcW w:w="1439" w:type="dxa"/>
            <w:tcBorders>
              <w:top w:val="nil"/>
              <w:left w:val="nil"/>
              <w:bottom w:val="nil"/>
              <w:right w:val="nil"/>
            </w:tcBorders>
            <w:vAlign w:val="center"/>
          </w:tcPr>
          <w:p w14:paraId="3C08935E" w14:textId="77777777" w:rsidR="001C7E53" w:rsidRPr="00483D1F" w:rsidRDefault="001C7E53" w:rsidP="0051158F">
            <w:pPr>
              <w:pStyle w:val="TableTextCentered"/>
            </w:pPr>
            <w:r>
              <w:t>(0.015</w:t>
            </w:r>
            <w:r w:rsidRPr="00483D1F">
              <w:t>)</w:t>
            </w:r>
          </w:p>
        </w:tc>
      </w:tr>
      <w:tr w:rsidR="006D45AD" w:rsidRPr="00483D1F" w14:paraId="5154D077" w14:textId="77777777" w:rsidTr="001D0062">
        <w:trPr>
          <w:trHeight w:val="283"/>
          <w:jc w:val="center"/>
        </w:trPr>
        <w:tc>
          <w:tcPr>
            <w:tcW w:w="2739" w:type="dxa"/>
            <w:tcBorders>
              <w:top w:val="nil"/>
              <w:left w:val="nil"/>
              <w:bottom w:val="nil"/>
              <w:right w:val="nil"/>
            </w:tcBorders>
            <w:shd w:val="clear" w:color="auto" w:fill="auto"/>
            <w:vAlign w:val="center"/>
          </w:tcPr>
          <w:p w14:paraId="53066458" w14:textId="77777777" w:rsidR="006D45AD" w:rsidRPr="00483D1F" w:rsidRDefault="006D45AD" w:rsidP="0051158F">
            <w:pPr>
              <w:pStyle w:val="TableTextLeft"/>
            </w:pPr>
          </w:p>
        </w:tc>
        <w:tc>
          <w:tcPr>
            <w:tcW w:w="1409" w:type="dxa"/>
            <w:tcBorders>
              <w:top w:val="nil"/>
              <w:left w:val="nil"/>
              <w:bottom w:val="nil"/>
              <w:right w:val="nil"/>
            </w:tcBorders>
            <w:shd w:val="clear" w:color="auto" w:fill="auto"/>
            <w:noWrap/>
            <w:vAlign w:val="center"/>
          </w:tcPr>
          <w:p w14:paraId="3744623B" w14:textId="77777777" w:rsidR="006D45AD" w:rsidRPr="00483D1F" w:rsidRDefault="006D45AD" w:rsidP="0051158F">
            <w:pPr>
              <w:pStyle w:val="TableTextCentered"/>
            </w:pPr>
          </w:p>
        </w:tc>
        <w:tc>
          <w:tcPr>
            <w:tcW w:w="1948" w:type="dxa"/>
            <w:gridSpan w:val="2"/>
            <w:tcBorders>
              <w:top w:val="nil"/>
              <w:left w:val="nil"/>
              <w:bottom w:val="nil"/>
              <w:right w:val="nil"/>
            </w:tcBorders>
            <w:shd w:val="clear" w:color="auto" w:fill="auto"/>
            <w:noWrap/>
            <w:vAlign w:val="center"/>
          </w:tcPr>
          <w:p w14:paraId="5579383D" w14:textId="77777777" w:rsidR="006D45AD" w:rsidRDefault="006D45AD" w:rsidP="0051158F">
            <w:pPr>
              <w:pStyle w:val="TableTextCentered"/>
            </w:pPr>
          </w:p>
        </w:tc>
        <w:tc>
          <w:tcPr>
            <w:tcW w:w="1535" w:type="dxa"/>
            <w:tcBorders>
              <w:top w:val="nil"/>
              <w:left w:val="nil"/>
              <w:bottom w:val="nil"/>
              <w:right w:val="nil"/>
            </w:tcBorders>
            <w:vAlign w:val="center"/>
          </w:tcPr>
          <w:p w14:paraId="266F6EF4" w14:textId="77777777" w:rsidR="006D45AD" w:rsidRPr="00483D1F" w:rsidRDefault="006D45AD" w:rsidP="0051158F">
            <w:pPr>
              <w:pStyle w:val="TableTextCentered"/>
            </w:pPr>
          </w:p>
        </w:tc>
        <w:tc>
          <w:tcPr>
            <w:tcW w:w="1439" w:type="dxa"/>
            <w:tcBorders>
              <w:top w:val="nil"/>
              <w:left w:val="nil"/>
              <w:bottom w:val="nil"/>
              <w:right w:val="nil"/>
            </w:tcBorders>
            <w:vAlign w:val="center"/>
          </w:tcPr>
          <w:p w14:paraId="1C00449C" w14:textId="77777777" w:rsidR="006D45AD" w:rsidRPr="00483D1F" w:rsidRDefault="006D45AD" w:rsidP="0051158F">
            <w:pPr>
              <w:pStyle w:val="TableTextCentered"/>
            </w:pPr>
          </w:p>
        </w:tc>
      </w:tr>
      <w:tr w:rsidR="001C7E53" w:rsidRPr="00483D1F" w14:paraId="3BEF4165" w14:textId="77777777" w:rsidTr="001D0062">
        <w:trPr>
          <w:trHeight w:val="283"/>
          <w:jc w:val="center"/>
        </w:trPr>
        <w:tc>
          <w:tcPr>
            <w:tcW w:w="2739" w:type="dxa"/>
            <w:vMerge w:val="restart"/>
            <w:tcBorders>
              <w:top w:val="nil"/>
              <w:left w:val="nil"/>
              <w:bottom w:val="nil"/>
              <w:right w:val="nil"/>
            </w:tcBorders>
            <w:shd w:val="clear" w:color="auto" w:fill="auto"/>
            <w:vAlign w:val="center"/>
            <w:hideMark/>
          </w:tcPr>
          <w:p w14:paraId="291FFF76" w14:textId="77777777" w:rsidR="001C7E53" w:rsidRPr="00483D1F" w:rsidRDefault="001C7E53" w:rsidP="0051158F">
            <w:pPr>
              <w:pStyle w:val="TableTextLeft"/>
            </w:pPr>
            <w:r w:rsidRPr="00483D1F">
              <w:t>Concentration * GFC</w:t>
            </w:r>
          </w:p>
        </w:tc>
        <w:tc>
          <w:tcPr>
            <w:tcW w:w="1409" w:type="dxa"/>
            <w:tcBorders>
              <w:top w:val="nil"/>
              <w:left w:val="nil"/>
              <w:bottom w:val="nil"/>
              <w:right w:val="nil"/>
            </w:tcBorders>
            <w:shd w:val="clear" w:color="auto" w:fill="auto"/>
            <w:noWrap/>
            <w:vAlign w:val="center"/>
            <w:hideMark/>
          </w:tcPr>
          <w:p w14:paraId="4B981B72" w14:textId="77777777" w:rsidR="001C7E53" w:rsidRPr="00483D1F" w:rsidRDefault="001C7E53" w:rsidP="0051158F">
            <w:pPr>
              <w:pStyle w:val="TableTextCentered"/>
            </w:pPr>
          </w:p>
        </w:tc>
        <w:tc>
          <w:tcPr>
            <w:tcW w:w="1948" w:type="dxa"/>
            <w:gridSpan w:val="2"/>
            <w:tcBorders>
              <w:top w:val="nil"/>
              <w:left w:val="nil"/>
              <w:bottom w:val="nil"/>
              <w:right w:val="nil"/>
            </w:tcBorders>
            <w:shd w:val="clear" w:color="auto" w:fill="auto"/>
            <w:noWrap/>
            <w:vAlign w:val="center"/>
            <w:hideMark/>
          </w:tcPr>
          <w:p w14:paraId="2561CC7E" w14:textId="2FB1DF09" w:rsidR="001C7E53" w:rsidRPr="00483D1F" w:rsidRDefault="0018466E" w:rsidP="0051158F">
            <w:pPr>
              <w:pStyle w:val="TableTextCentered"/>
            </w:pPr>
            <w:r>
              <w:noBreakHyphen/>
            </w:r>
            <w:r w:rsidR="001C7E53" w:rsidRPr="00483D1F">
              <w:t>0.076***</w:t>
            </w:r>
          </w:p>
        </w:tc>
        <w:tc>
          <w:tcPr>
            <w:tcW w:w="1535" w:type="dxa"/>
            <w:tcBorders>
              <w:top w:val="nil"/>
              <w:left w:val="nil"/>
              <w:bottom w:val="nil"/>
              <w:right w:val="nil"/>
            </w:tcBorders>
            <w:vAlign w:val="center"/>
          </w:tcPr>
          <w:p w14:paraId="33EEBCB7" w14:textId="77777777" w:rsidR="001C7E53" w:rsidRPr="00483D1F" w:rsidRDefault="001C7E53" w:rsidP="0051158F">
            <w:pPr>
              <w:pStyle w:val="TableTextCentered"/>
            </w:pPr>
          </w:p>
        </w:tc>
        <w:tc>
          <w:tcPr>
            <w:tcW w:w="1439" w:type="dxa"/>
            <w:tcBorders>
              <w:top w:val="nil"/>
              <w:left w:val="nil"/>
              <w:bottom w:val="nil"/>
              <w:right w:val="nil"/>
            </w:tcBorders>
            <w:vAlign w:val="center"/>
          </w:tcPr>
          <w:p w14:paraId="68CA8222" w14:textId="77777777" w:rsidR="001C7E53" w:rsidRPr="00483D1F" w:rsidRDefault="001C7E53" w:rsidP="0051158F">
            <w:pPr>
              <w:pStyle w:val="TableTextCentered"/>
            </w:pPr>
          </w:p>
        </w:tc>
      </w:tr>
      <w:tr w:rsidR="001C7E53" w:rsidRPr="00483D1F" w14:paraId="6B7B94BD" w14:textId="77777777" w:rsidTr="001D0062">
        <w:trPr>
          <w:trHeight w:val="283"/>
          <w:jc w:val="center"/>
        </w:trPr>
        <w:tc>
          <w:tcPr>
            <w:tcW w:w="2739" w:type="dxa"/>
            <w:vMerge/>
            <w:tcBorders>
              <w:top w:val="nil"/>
              <w:left w:val="nil"/>
              <w:bottom w:val="nil"/>
              <w:right w:val="nil"/>
            </w:tcBorders>
            <w:vAlign w:val="center"/>
            <w:hideMark/>
          </w:tcPr>
          <w:p w14:paraId="64ACA0DF" w14:textId="77777777" w:rsidR="001C7E53" w:rsidRPr="00483D1F" w:rsidRDefault="001C7E53" w:rsidP="0051158F">
            <w:pPr>
              <w:pStyle w:val="TableTextLeft"/>
            </w:pPr>
          </w:p>
        </w:tc>
        <w:tc>
          <w:tcPr>
            <w:tcW w:w="1409" w:type="dxa"/>
            <w:tcBorders>
              <w:top w:val="nil"/>
              <w:left w:val="nil"/>
              <w:bottom w:val="nil"/>
              <w:right w:val="nil"/>
            </w:tcBorders>
            <w:shd w:val="clear" w:color="auto" w:fill="auto"/>
            <w:noWrap/>
            <w:vAlign w:val="center"/>
            <w:hideMark/>
          </w:tcPr>
          <w:p w14:paraId="4DA47B67" w14:textId="77777777" w:rsidR="001C7E53" w:rsidRPr="00483D1F" w:rsidRDefault="001C7E53" w:rsidP="0051158F">
            <w:pPr>
              <w:pStyle w:val="TableTextCentered"/>
            </w:pPr>
          </w:p>
        </w:tc>
        <w:tc>
          <w:tcPr>
            <w:tcW w:w="1948" w:type="dxa"/>
            <w:gridSpan w:val="2"/>
            <w:tcBorders>
              <w:top w:val="nil"/>
              <w:left w:val="nil"/>
              <w:bottom w:val="nil"/>
              <w:right w:val="nil"/>
            </w:tcBorders>
            <w:shd w:val="clear" w:color="auto" w:fill="auto"/>
            <w:noWrap/>
            <w:vAlign w:val="center"/>
            <w:hideMark/>
          </w:tcPr>
          <w:p w14:paraId="3A1F09F1" w14:textId="77777777" w:rsidR="001C7E53" w:rsidRPr="00483D1F" w:rsidRDefault="001C7E53" w:rsidP="0051158F">
            <w:pPr>
              <w:pStyle w:val="TableTextCentered"/>
            </w:pPr>
            <w:r w:rsidRPr="00483D1F">
              <w:t>(0.021)</w:t>
            </w:r>
          </w:p>
        </w:tc>
        <w:tc>
          <w:tcPr>
            <w:tcW w:w="1535" w:type="dxa"/>
            <w:tcBorders>
              <w:top w:val="nil"/>
              <w:left w:val="nil"/>
              <w:bottom w:val="nil"/>
              <w:right w:val="nil"/>
            </w:tcBorders>
            <w:vAlign w:val="center"/>
          </w:tcPr>
          <w:p w14:paraId="53CD2F20" w14:textId="77777777" w:rsidR="001C7E53" w:rsidRPr="00483D1F" w:rsidRDefault="001C7E53" w:rsidP="0051158F">
            <w:pPr>
              <w:pStyle w:val="TableTextCentered"/>
            </w:pPr>
          </w:p>
        </w:tc>
        <w:tc>
          <w:tcPr>
            <w:tcW w:w="1439" w:type="dxa"/>
            <w:tcBorders>
              <w:top w:val="nil"/>
              <w:left w:val="nil"/>
              <w:bottom w:val="nil"/>
              <w:right w:val="nil"/>
            </w:tcBorders>
            <w:vAlign w:val="center"/>
          </w:tcPr>
          <w:p w14:paraId="0195D0E5" w14:textId="77777777" w:rsidR="001C7E53" w:rsidRPr="00483D1F" w:rsidRDefault="001C7E53" w:rsidP="0051158F">
            <w:pPr>
              <w:pStyle w:val="TableTextCentered"/>
            </w:pPr>
          </w:p>
        </w:tc>
      </w:tr>
      <w:tr w:rsidR="006D45AD" w:rsidRPr="00483D1F" w14:paraId="574C4CCE" w14:textId="77777777" w:rsidTr="001D0062">
        <w:trPr>
          <w:trHeight w:val="283"/>
          <w:jc w:val="center"/>
        </w:trPr>
        <w:tc>
          <w:tcPr>
            <w:tcW w:w="2739" w:type="dxa"/>
            <w:tcBorders>
              <w:top w:val="nil"/>
              <w:left w:val="nil"/>
              <w:bottom w:val="nil"/>
              <w:right w:val="nil"/>
            </w:tcBorders>
            <w:shd w:val="clear" w:color="auto" w:fill="auto"/>
            <w:vAlign w:val="center"/>
          </w:tcPr>
          <w:p w14:paraId="3B202C78" w14:textId="77777777" w:rsidR="006D45AD" w:rsidRPr="00483D1F" w:rsidRDefault="006D45AD" w:rsidP="0051158F">
            <w:pPr>
              <w:pStyle w:val="TableTextLeft"/>
            </w:pPr>
          </w:p>
        </w:tc>
        <w:tc>
          <w:tcPr>
            <w:tcW w:w="1409" w:type="dxa"/>
            <w:tcBorders>
              <w:top w:val="nil"/>
              <w:left w:val="nil"/>
              <w:bottom w:val="nil"/>
              <w:right w:val="nil"/>
            </w:tcBorders>
            <w:shd w:val="clear" w:color="auto" w:fill="auto"/>
            <w:noWrap/>
            <w:vAlign w:val="center"/>
          </w:tcPr>
          <w:p w14:paraId="5C56D328" w14:textId="77777777" w:rsidR="006D45AD" w:rsidRPr="00483D1F" w:rsidRDefault="006D45AD" w:rsidP="0051158F">
            <w:pPr>
              <w:pStyle w:val="TableTextCentered"/>
            </w:pPr>
          </w:p>
        </w:tc>
        <w:tc>
          <w:tcPr>
            <w:tcW w:w="1948" w:type="dxa"/>
            <w:gridSpan w:val="2"/>
            <w:tcBorders>
              <w:top w:val="nil"/>
              <w:left w:val="nil"/>
              <w:bottom w:val="nil"/>
              <w:right w:val="nil"/>
            </w:tcBorders>
            <w:shd w:val="clear" w:color="auto" w:fill="auto"/>
            <w:noWrap/>
            <w:vAlign w:val="center"/>
          </w:tcPr>
          <w:p w14:paraId="09EF7E06" w14:textId="77777777" w:rsidR="006D45AD" w:rsidRDefault="006D45AD" w:rsidP="0051158F">
            <w:pPr>
              <w:pStyle w:val="TableTextCentered"/>
            </w:pPr>
          </w:p>
        </w:tc>
        <w:tc>
          <w:tcPr>
            <w:tcW w:w="1535" w:type="dxa"/>
            <w:tcBorders>
              <w:top w:val="nil"/>
              <w:left w:val="nil"/>
              <w:bottom w:val="nil"/>
              <w:right w:val="nil"/>
            </w:tcBorders>
            <w:vAlign w:val="center"/>
          </w:tcPr>
          <w:p w14:paraId="43C27383" w14:textId="77777777" w:rsidR="006D45AD" w:rsidRPr="00483D1F" w:rsidRDefault="006D45AD" w:rsidP="0051158F">
            <w:pPr>
              <w:pStyle w:val="TableTextCentered"/>
            </w:pPr>
          </w:p>
        </w:tc>
        <w:tc>
          <w:tcPr>
            <w:tcW w:w="1439" w:type="dxa"/>
            <w:tcBorders>
              <w:top w:val="nil"/>
              <w:left w:val="nil"/>
              <w:bottom w:val="nil"/>
              <w:right w:val="nil"/>
            </w:tcBorders>
            <w:vAlign w:val="center"/>
          </w:tcPr>
          <w:p w14:paraId="15D63F6F" w14:textId="77777777" w:rsidR="006D45AD" w:rsidRPr="00483D1F" w:rsidRDefault="006D45AD" w:rsidP="0051158F">
            <w:pPr>
              <w:pStyle w:val="TableTextCentered"/>
            </w:pPr>
          </w:p>
        </w:tc>
      </w:tr>
      <w:tr w:rsidR="001C7E53" w:rsidRPr="00483D1F" w14:paraId="0FF05D80" w14:textId="77777777" w:rsidTr="001D0062">
        <w:trPr>
          <w:trHeight w:val="283"/>
          <w:jc w:val="center"/>
        </w:trPr>
        <w:tc>
          <w:tcPr>
            <w:tcW w:w="2739" w:type="dxa"/>
            <w:vMerge w:val="restart"/>
            <w:tcBorders>
              <w:top w:val="nil"/>
              <w:left w:val="nil"/>
              <w:bottom w:val="nil"/>
              <w:right w:val="nil"/>
            </w:tcBorders>
            <w:shd w:val="clear" w:color="auto" w:fill="auto"/>
            <w:vAlign w:val="center"/>
            <w:hideMark/>
          </w:tcPr>
          <w:p w14:paraId="11C2B3E3" w14:textId="77777777" w:rsidR="001C7E53" w:rsidRPr="00483D1F" w:rsidRDefault="001C7E53" w:rsidP="0051158F">
            <w:pPr>
              <w:pStyle w:val="TableTextLeft"/>
            </w:pPr>
            <w:r w:rsidRPr="00483D1F">
              <w:t>Concentration * Post GFC</w:t>
            </w:r>
          </w:p>
        </w:tc>
        <w:tc>
          <w:tcPr>
            <w:tcW w:w="1409" w:type="dxa"/>
            <w:tcBorders>
              <w:top w:val="nil"/>
              <w:left w:val="nil"/>
              <w:bottom w:val="nil"/>
              <w:right w:val="nil"/>
            </w:tcBorders>
            <w:shd w:val="clear" w:color="auto" w:fill="auto"/>
            <w:noWrap/>
            <w:vAlign w:val="center"/>
            <w:hideMark/>
          </w:tcPr>
          <w:p w14:paraId="757BBE90" w14:textId="77777777" w:rsidR="001C7E53" w:rsidRPr="00483D1F" w:rsidRDefault="001C7E53" w:rsidP="0051158F">
            <w:pPr>
              <w:pStyle w:val="TableTextCentered"/>
            </w:pPr>
          </w:p>
        </w:tc>
        <w:tc>
          <w:tcPr>
            <w:tcW w:w="1948" w:type="dxa"/>
            <w:gridSpan w:val="2"/>
            <w:tcBorders>
              <w:top w:val="nil"/>
              <w:left w:val="nil"/>
              <w:bottom w:val="nil"/>
              <w:right w:val="nil"/>
            </w:tcBorders>
            <w:shd w:val="clear" w:color="auto" w:fill="auto"/>
            <w:noWrap/>
            <w:vAlign w:val="center"/>
            <w:hideMark/>
          </w:tcPr>
          <w:p w14:paraId="274A95DF" w14:textId="2FA0C726" w:rsidR="001C7E53" w:rsidRPr="00483D1F" w:rsidRDefault="0018466E" w:rsidP="0051158F">
            <w:pPr>
              <w:pStyle w:val="TableTextCentered"/>
            </w:pPr>
            <w:r>
              <w:noBreakHyphen/>
            </w:r>
            <w:r w:rsidR="001C7E53" w:rsidRPr="00483D1F">
              <w:t>0.079***</w:t>
            </w:r>
          </w:p>
        </w:tc>
        <w:tc>
          <w:tcPr>
            <w:tcW w:w="1535" w:type="dxa"/>
            <w:tcBorders>
              <w:top w:val="nil"/>
              <w:left w:val="nil"/>
              <w:bottom w:val="nil"/>
              <w:right w:val="nil"/>
            </w:tcBorders>
            <w:vAlign w:val="center"/>
          </w:tcPr>
          <w:p w14:paraId="736453B7" w14:textId="77777777" w:rsidR="001C7E53" w:rsidRPr="00483D1F" w:rsidRDefault="001C7E53" w:rsidP="0051158F">
            <w:pPr>
              <w:pStyle w:val="TableTextCentered"/>
            </w:pPr>
          </w:p>
        </w:tc>
        <w:tc>
          <w:tcPr>
            <w:tcW w:w="1439" w:type="dxa"/>
            <w:tcBorders>
              <w:top w:val="nil"/>
              <w:left w:val="nil"/>
              <w:bottom w:val="nil"/>
              <w:right w:val="nil"/>
            </w:tcBorders>
            <w:vAlign w:val="center"/>
          </w:tcPr>
          <w:p w14:paraId="6AEC8D29" w14:textId="77777777" w:rsidR="001C7E53" w:rsidRPr="00483D1F" w:rsidRDefault="001C7E53" w:rsidP="0051158F">
            <w:pPr>
              <w:pStyle w:val="TableTextCentered"/>
            </w:pPr>
          </w:p>
        </w:tc>
      </w:tr>
      <w:tr w:rsidR="001C7E53" w:rsidRPr="00483D1F" w14:paraId="457DCA5C" w14:textId="77777777" w:rsidTr="001D0062">
        <w:trPr>
          <w:trHeight w:val="283"/>
          <w:jc w:val="center"/>
        </w:trPr>
        <w:tc>
          <w:tcPr>
            <w:tcW w:w="2739" w:type="dxa"/>
            <w:vMerge/>
            <w:tcBorders>
              <w:top w:val="nil"/>
              <w:left w:val="nil"/>
              <w:bottom w:val="nil"/>
              <w:right w:val="nil"/>
            </w:tcBorders>
            <w:vAlign w:val="center"/>
            <w:hideMark/>
          </w:tcPr>
          <w:p w14:paraId="133FB7DE" w14:textId="77777777" w:rsidR="001C7E53" w:rsidRPr="00483D1F" w:rsidRDefault="001C7E53" w:rsidP="0051158F">
            <w:pPr>
              <w:pStyle w:val="TableTextLeft"/>
            </w:pPr>
          </w:p>
        </w:tc>
        <w:tc>
          <w:tcPr>
            <w:tcW w:w="1409" w:type="dxa"/>
            <w:tcBorders>
              <w:top w:val="nil"/>
              <w:left w:val="nil"/>
              <w:bottom w:val="nil"/>
              <w:right w:val="nil"/>
            </w:tcBorders>
            <w:shd w:val="clear" w:color="auto" w:fill="auto"/>
            <w:noWrap/>
            <w:vAlign w:val="center"/>
            <w:hideMark/>
          </w:tcPr>
          <w:p w14:paraId="0E7D7440" w14:textId="77777777" w:rsidR="001C7E53" w:rsidRPr="00483D1F" w:rsidRDefault="001C7E53" w:rsidP="0051158F">
            <w:pPr>
              <w:pStyle w:val="TableTextCentered"/>
            </w:pPr>
          </w:p>
        </w:tc>
        <w:tc>
          <w:tcPr>
            <w:tcW w:w="1948" w:type="dxa"/>
            <w:gridSpan w:val="2"/>
            <w:tcBorders>
              <w:top w:val="nil"/>
              <w:left w:val="nil"/>
              <w:bottom w:val="nil"/>
              <w:right w:val="nil"/>
            </w:tcBorders>
            <w:shd w:val="clear" w:color="auto" w:fill="auto"/>
            <w:noWrap/>
            <w:vAlign w:val="center"/>
            <w:hideMark/>
          </w:tcPr>
          <w:p w14:paraId="7DE1825A" w14:textId="77777777" w:rsidR="001C7E53" w:rsidRPr="00483D1F" w:rsidRDefault="001C7E53" w:rsidP="0051158F">
            <w:pPr>
              <w:pStyle w:val="TableTextCentered"/>
            </w:pPr>
            <w:r w:rsidRPr="00483D1F">
              <w:t>(0.022)</w:t>
            </w:r>
          </w:p>
        </w:tc>
        <w:tc>
          <w:tcPr>
            <w:tcW w:w="1535" w:type="dxa"/>
            <w:tcBorders>
              <w:top w:val="nil"/>
              <w:left w:val="nil"/>
              <w:bottom w:val="nil"/>
              <w:right w:val="nil"/>
            </w:tcBorders>
            <w:vAlign w:val="center"/>
          </w:tcPr>
          <w:p w14:paraId="4F52C55C" w14:textId="77777777" w:rsidR="001C7E53" w:rsidRPr="00483D1F" w:rsidRDefault="001C7E53" w:rsidP="0051158F">
            <w:pPr>
              <w:pStyle w:val="TableTextCentered"/>
            </w:pPr>
          </w:p>
        </w:tc>
        <w:tc>
          <w:tcPr>
            <w:tcW w:w="1439" w:type="dxa"/>
            <w:tcBorders>
              <w:top w:val="nil"/>
              <w:left w:val="nil"/>
              <w:bottom w:val="nil"/>
              <w:right w:val="nil"/>
            </w:tcBorders>
            <w:vAlign w:val="center"/>
          </w:tcPr>
          <w:p w14:paraId="356A2E45" w14:textId="77777777" w:rsidR="001C7E53" w:rsidRPr="00483D1F" w:rsidRDefault="001C7E53" w:rsidP="0051158F">
            <w:pPr>
              <w:pStyle w:val="TableTextCentered"/>
            </w:pPr>
          </w:p>
        </w:tc>
      </w:tr>
      <w:tr w:rsidR="00D26695" w:rsidRPr="00483D1F" w14:paraId="14144D80" w14:textId="77777777" w:rsidTr="001E4F62">
        <w:trPr>
          <w:trHeight w:val="283"/>
          <w:jc w:val="center"/>
        </w:trPr>
        <w:tc>
          <w:tcPr>
            <w:tcW w:w="2739" w:type="dxa"/>
            <w:tcBorders>
              <w:top w:val="nil"/>
              <w:left w:val="nil"/>
              <w:right w:val="nil"/>
            </w:tcBorders>
            <w:shd w:val="clear" w:color="auto" w:fill="auto"/>
            <w:noWrap/>
            <w:vAlign w:val="center"/>
          </w:tcPr>
          <w:p w14:paraId="6F237AEA" w14:textId="77777777" w:rsidR="00D26695" w:rsidRPr="00483D1F" w:rsidRDefault="00D26695" w:rsidP="0051158F">
            <w:pPr>
              <w:pStyle w:val="TableTextLeft"/>
            </w:pPr>
          </w:p>
        </w:tc>
        <w:tc>
          <w:tcPr>
            <w:tcW w:w="1409" w:type="dxa"/>
            <w:tcBorders>
              <w:top w:val="nil"/>
              <w:left w:val="nil"/>
              <w:right w:val="nil"/>
            </w:tcBorders>
            <w:shd w:val="clear" w:color="auto" w:fill="auto"/>
            <w:noWrap/>
            <w:vAlign w:val="center"/>
          </w:tcPr>
          <w:p w14:paraId="3F2F5B0B" w14:textId="77777777" w:rsidR="00D26695" w:rsidRPr="00483D1F" w:rsidRDefault="00D26695" w:rsidP="0051158F">
            <w:pPr>
              <w:pStyle w:val="TableTextCentered"/>
            </w:pPr>
          </w:p>
        </w:tc>
        <w:tc>
          <w:tcPr>
            <w:tcW w:w="1948" w:type="dxa"/>
            <w:gridSpan w:val="2"/>
            <w:tcBorders>
              <w:top w:val="nil"/>
              <w:left w:val="nil"/>
              <w:right w:val="nil"/>
            </w:tcBorders>
            <w:shd w:val="clear" w:color="auto" w:fill="auto"/>
            <w:noWrap/>
            <w:vAlign w:val="center"/>
          </w:tcPr>
          <w:p w14:paraId="5A2D0955" w14:textId="77777777" w:rsidR="00D26695" w:rsidRPr="00483D1F" w:rsidRDefault="00D26695" w:rsidP="0051158F">
            <w:pPr>
              <w:pStyle w:val="TableTextCentered"/>
            </w:pPr>
          </w:p>
        </w:tc>
        <w:tc>
          <w:tcPr>
            <w:tcW w:w="1535" w:type="dxa"/>
            <w:tcBorders>
              <w:top w:val="nil"/>
              <w:left w:val="nil"/>
              <w:right w:val="nil"/>
            </w:tcBorders>
            <w:vAlign w:val="center"/>
          </w:tcPr>
          <w:p w14:paraId="0CCBF4F9" w14:textId="77777777" w:rsidR="00D26695" w:rsidRDefault="00D26695" w:rsidP="0051158F">
            <w:pPr>
              <w:pStyle w:val="TableTextCentered"/>
            </w:pPr>
          </w:p>
        </w:tc>
        <w:tc>
          <w:tcPr>
            <w:tcW w:w="1439" w:type="dxa"/>
            <w:tcBorders>
              <w:top w:val="nil"/>
              <w:left w:val="nil"/>
              <w:right w:val="nil"/>
            </w:tcBorders>
            <w:vAlign w:val="center"/>
          </w:tcPr>
          <w:p w14:paraId="0781A7F0" w14:textId="77777777" w:rsidR="00D26695" w:rsidRDefault="00D26695" w:rsidP="0051158F">
            <w:pPr>
              <w:pStyle w:val="TableTextCentered"/>
            </w:pPr>
          </w:p>
        </w:tc>
      </w:tr>
      <w:tr w:rsidR="00D26695" w:rsidRPr="00483D1F" w14:paraId="6E6873E5" w14:textId="77777777" w:rsidTr="001E4F62">
        <w:trPr>
          <w:trHeight w:val="283"/>
          <w:jc w:val="center"/>
        </w:trPr>
        <w:tc>
          <w:tcPr>
            <w:tcW w:w="2739" w:type="dxa"/>
            <w:vMerge w:val="restart"/>
            <w:tcBorders>
              <w:top w:val="nil"/>
              <w:left w:val="nil"/>
              <w:bottom w:val="single" w:sz="4" w:space="0" w:color="auto"/>
              <w:right w:val="nil"/>
            </w:tcBorders>
            <w:shd w:val="clear" w:color="auto" w:fill="auto"/>
            <w:noWrap/>
            <w:vAlign w:val="center"/>
          </w:tcPr>
          <w:p w14:paraId="418A82D3" w14:textId="77777777" w:rsidR="00D26695" w:rsidRPr="00483D1F" w:rsidRDefault="00D26695" w:rsidP="0051158F">
            <w:pPr>
              <w:pStyle w:val="TableTextLeft"/>
            </w:pPr>
            <w:r w:rsidRPr="00483D1F">
              <w:t xml:space="preserve">Concentration * </w:t>
            </w:r>
            <w:r>
              <w:t>Unemployment</w:t>
            </w:r>
          </w:p>
        </w:tc>
        <w:tc>
          <w:tcPr>
            <w:tcW w:w="1409" w:type="dxa"/>
            <w:tcBorders>
              <w:top w:val="nil"/>
              <w:left w:val="nil"/>
              <w:right w:val="nil"/>
            </w:tcBorders>
            <w:shd w:val="clear" w:color="auto" w:fill="auto"/>
            <w:noWrap/>
            <w:vAlign w:val="center"/>
          </w:tcPr>
          <w:p w14:paraId="79C9C0B9" w14:textId="77777777" w:rsidR="00D26695" w:rsidRPr="00483D1F" w:rsidRDefault="00D26695" w:rsidP="0051158F">
            <w:pPr>
              <w:pStyle w:val="TableTextCentered"/>
            </w:pPr>
          </w:p>
        </w:tc>
        <w:tc>
          <w:tcPr>
            <w:tcW w:w="1948" w:type="dxa"/>
            <w:gridSpan w:val="2"/>
            <w:tcBorders>
              <w:top w:val="nil"/>
              <w:left w:val="nil"/>
              <w:right w:val="nil"/>
            </w:tcBorders>
            <w:shd w:val="clear" w:color="auto" w:fill="auto"/>
            <w:noWrap/>
            <w:vAlign w:val="center"/>
          </w:tcPr>
          <w:p w14:paraId="430DAE96" w14:textId="77777777" w:rsidR="00D26695" w:rsidRPr="00483D1F" w:rsidRDefault="00D26695" w:rsidP="0051158F">
            <w:pPr>
              <w:pStyle w:val="TableTextCentered"/>
            </w:pPr>
          </w:p>
        </w:tc>
        <w:tc>
          <w:tcPr>
            <w:tcW w:w="1535" w:type="dxa"/>
            <w:tcBorders>
              <w:top w:val="nil"/>
              <w:left w:val="nil"/>
              <w:right w:val="nil"/>
            </w:tcBorders>
            <w:vAlign w:val="center"/>
          </w:tcPr>
          <w:p w14:paraId="7EEF91AC" w14:textId="3F2D51D5" w:rsidR="00D26695" w:rsidRPr="00483D1F" w:rsidRDefault="00D26695" w:rsidP="0051158F">
            <w:pPr>
              <w:pStyle w:val="TableTextCentered"/>
            </w:pPr>
            <w:r>
              <w:noBreakHyphen/>
              <w:t>0.359</w:t>
            </w:r>
          </w:p>
        </w:tc>
        <w:tc>
          <w:tcPr>
            <w:tcW w:w="1439" w:type="dxa"/>
            <w:tcBorders>
              <w:top w:val="nil"/>
              <w:left w:val="nil"/>
              <w:right w:val="nil"/>
            </w:tcBorders>
            <w:vAlign w:val="center"/>
          </w:tcPr>
          <w:p w14:paraId="47B463E0" w14:textId="203FE5C4" w:rsidR="00D26695" w:rsidRPr="00483D1F" w:rsidRDefault="00D26695" w:rsidP="0051158F">
            <w:pPr>
              <w:pStyle w:val="TableTextCentered"/>
            </w:pPr>
            <w:r>
              <w:noBreakHyphen/>
              <w:t>0.035</w:t>
            </w:r>
          </w:p>
        </w:tc>
      </w:tr>
      <w:tr w:rsidR="00D26695" w:rsidRPr="00483D1F" w14:paraId="2A7B499D" w14:textId="77777777" w:rsidTr="001E4F62">
        <w:trPr>
          <w:trHeight w:val="283"/>
          <w:jc w:val="center"/>
        </w:trPr>
        <w:tc>
          <w:tcPr>
            <w:tcW w:w="2739" w:type="dxa"/>
            <w:vMerge/>
            <w:tcBorders>
              <w:top w:val="single" w:sz="4" w:space="0" w:color="auto"/>
              <w:left w:val="nil"/>
              <w:bottom w:val="single" w:sz="4" w:space="0" w:color="auto"/>
              <w:right w:val="nil"/>
            </w:tcBorders>
            <w:shd w:val="clear" w:color="auto" w:fill="auto"/>
            <w:noWrap/>
            <w:vAlign w:val="center"/>
          </w:tcPr>
          <w:p w14:paraId="38330B22" w14:textId="77777777" w:rsidR="00D26695" w:rsidRPr="00483D1F" w:rsidRDefault="00D26695" w:rsidP="00F91AE4">
            <w:pPr>
              <w:spacing w:after="0"/>
              <w:rPr>
                <w:rFonts w:cs="Calibri"/>
                <w:color w:val="000000"/>
                <w:sz w:val="20"/>
              </w:rPr>
            </w:pPr>
          </w:p>
        </w:tc>
        <w:tc>
          <w:tcPr>
            <w:tcW w:w="1409" w:type="dxa"/>
            <w:tcBorders>
              <w:left w:val="nil"/>
              <w:right w:val="nil"/>
            </w:tcBorders>
            <w:shd w:val="clear" w:color="auto" w:fill="auto"/>
            <w:noWrap/>
            <w:vAlign w:val="center"/>
          </w:tcPr>
          <w:p w14:paraId="193EE368" w14:textId="77777777" w:rsidR="00D26695" w:rsidRPr="00483D1F" w:rsidRDefault="00D26695" w:rsidP="0051158F">
            <w:pPr>
              <w:pStyle w:val="TableTextCentered"/>
            </w:pPr>
          </w:p>
        </w:tc>
        <w:tc>
          <w:tcPr>
            <w:tcW w:w="1948" w:type="dxa"/>
            <w:gridSpan w:val="2"/>
            <w:tcBorders>
              <w:left w:val="nil"/>
              <w:right w:val="nil"/>
            </w:tcBorders>
            <w:shd w:val="clear" w:color="auto" w:fill="auto"/>
            <w:noWrap/>
            <w:vAlign w:val="center"/>
          </w:tcPr>
          <w:p w14:paraId="395F9440" w14:textId="77777777" w:rsidR="00D26695" w:rsidRPr="00483D1F" w:rsidRDefault="00D26695" w:rsidP="0051158F">
            <w:pPr>
              <w:pStyle w:val="TableTextCentered"/>
            </w:pPr>
          </w:p>
        </w:tc>
        <w:tc>
          <w:tcPr>
            <w:tcW w:w="1535" w:type="dxa"/>
            <w:tcBorders>
              <w:left w:val="nil"/>
              <w:right w:val="nil"/>
            </w:tcBorders>
            <w:vAlign w:val="center"/>
          </w:tcPr>
          <w:p w14:paraId="22C722CF" w14:textId="77777777" w:rsidR="00D26695" w:rsidRPr="00483D1F" w:rsidRDefault="00D26695" w:rsidP="0051158F">
            <w:pPr>
              <w:pStyle w:val="TableTextCentered"/>
            </w:pPr>
            <w:r>
              <w:t>(1.557)</w:t>
            </w:r>
          </w:p>
        </w:tc>
        <w:tc>
          <w:tcPr>
            <w:tcW w:w="1439" w:type="dxa"/>
            <w:tcBorders>
              <w:left w:val="nil"/>
              <w:right w:val="nil"/>
            </w:tcBorders>
            <w:vAlign w:val="center"/>
          </w:tcPr>
          <w:p w14:paraId="4C8F2495" w14:textId="77777777" w:rsidR="00D26695" w:rsidRDefault="00D26695" w:rsidP="0051158F">
            <w:pPr>
              <w:pStyle w:val="TableTextCentered"/>
            </w:pPr>
            <w:r>
              <w:t>(1.106)</w:t>
            </w:r>
          </w:p>
        </w:tc>
      </w:tr>
      <w:tr w:rsidR="001C7E53" w:rsidRPr="00483D1F" w14:paraId="2DEDBD67" w14:textId="77777777" w:rsidTr="001E4F62">
        <w:trPr>
          <w:trHeight w:val="283"/>
          <w:jc w:val="center"/>
        </w:trPr>
        <w:tc>
          <w:tcPr>
            <w:tcW w:w="2739" w:type="dxa"/>
            <w:tcBorders>
              <w:top w:val="single" w:sz="4" w:space="0" w:color="auto"/>
              <w:left w:val="nil"/>
              <w:bottom w:val="nil"/>
              <w:right w:val="nil"/>
            </w:tcBorders>
            <w:shd w:val="clear" w:color="auto" w:fill="auto"/>
            <w:noWrap/>
            <w:vAlign w:val="center"/>
            <w:hideMark/>
          </w:tcPr>
          <w:p w14:paraId="6CB44355" w14:textId="77777777" w:rsidR="001C7E53" w:rsidRPr="00483D1F" w:rsidRDefault="001C7E53" w:rsidP="001E4F62">
            <w:pPr>
              <w:pStyle w:val="TableTextCentered"/>
              <w:jc w:val="left"/>
            </w:pPr>
            <w:r w:rsidRPr="00483D1F">
              <w:t>R</w:t>
            </w:r>
            <w:r w:rsidRPr="00483D1F">
              <w:rPr>
                <w:vertAlign w:val="superscript"/>
              </w:rPr>
              <w:t>2</w:t>
            </w:r>
          </w:p>
        </w:tc>
        <w:tc>
          <w:tcPr>
            <w:tcW w:w="1409" w:type="dxa"/>
            <w:tcBorders>
              <w:top w:val="single" w:sz="8" w:space="0" w:color="auto"/>
              <w:left w:val="nil"/>
              <w:bottom w:val="nil"/>
              <w:right w:val="nil"/>
            </w:tcBorders>
            <w:shd w:val="clear" w:color="auto" w:fill="auto"/>
            <w:noWrap/>
            <w:vAlign w:val="center"/>
            <w:hideMark/>
          </w:tcPr>
          <w:p w14:paraId="5A88180D" w14:textId="77777777" w:rsidR="001C7E53" w:rsidRPr="00483D1F" w:rsidRDefault="001C7E53" w:rsidP="0051158F">
            <w:pPr>
              <w:pStyle w:val="TableTextCentered"/>
            </w:pPr>
            <w:r w:rsidRPr="00483D1F">
              <w:t>0.67</w:t>
            </w:r>
          </w:p>
        </w:tc>
        <w:tc>
          <w:tcPr>
            <w:tcW w:w="1948" w:type="dxa"/>
            <w:gridSpan w:val="2"/>
            <w:tcBorders>
              <w:top w:val="single" w:sz="8" w:space="0" w:color="auto"/>
              <w:left w:val="nil"/>
              <w:bottom w:val="nil"/>
              <w:right w:val="nil"/>
            </w:tcBorders>
            <w:shd w:val="clear" w:color="auto" w:fill="auto"/>
            <w:noWrap/>
            <w:vAlign w:val="center"/>
            <w:hideMark/>
          </w:tcPr>
          <w:p w14:paraId="320F9473" w14:textId="77777777" w:rsidR="001C7E53" w:rsidRPr="00483D1F" w:rsidRDefault="001C7E53" w:rsidP="0051158F">
            <w:pPr>
              <w:pStyle w:val="TableTextCentered"/>
            </w:pPr>
            <w:r w:rsidRPr="00483D1F">
              <w:t>0.67</w:t>
            </w:r>
          </w:p>
        </w:tc>
        <w:tc>
          <w:tcPr>
            <w:tcW w:w="1535" w:type="dxa"/>
            <w:tcBorders>
              <w:top w:val="single" w:sz="8" w:space="0" w:color="auto"/>
              <w:left w:val="nil"/>
              <w:bottom w:val="nil"/>
              <w:right w:val="nil"/>
            </w:tcBorders>
            <w:vAlign w:val="center"/>
          </w:tcPr>
          <w:p w14:paraId="1ABEBE92" w14:textId="77777777" w:rsidR="001C7E53" w:rsidRPr="00483D1F" w:rsidRDefault="001C7E53" w:rsidP="0051158F">
            <w:pPr>
              <w:pStyle w:val="TableTextCentered"/>
            </w:pPr>
            <w:r>
              <w:t>0.67</w:t>
            </w:r>
          </w:p>
        </w:tc>
        <w:tc>
          <w:tcPr>
            <w:tcW w:w="1439" w:type="dxa"/>
            <w:tcBorders>
              <w:top w:val="single" w:sz="8" w:space="0" w:color="auto"/>
              <w:left w:val="nil"/>
              <w:bottom w:val="nil"/>
              <w:right w:val="nil"/>
            </w:tcBorders>
            <w:vAlign w:val="center"/>
          </w:tcPr>
          <w:p w14:paraId="22A1A2C2" w14:textId="77777777" w:rsidR="001C7E53" w:rsidRPr="00483D1F" w:rsidRDefault="001C7E53" w:rsidP="0051158F">
            <w:pPr>
              <w:pStyle w:val="TableTextCentered"/>
            </w:pPr>
            <w:r>
              <w:t>0.67</w:t>
            </w:r>
          </w:p>
        </w:tc>
      </w:tr>
      <w:tr w:rsidR="001C7E53" w:rsidRPr="00483D1F" w14:paraId="369CE3C7" w14:textId="77777777" w:rsidTr="001D0062">
        <w:trPr>
          <w:trHeight w:val="283"/>
          <w:jc w:val="center"/>
        </w:trPr>
        <w:tc>
          <w:tcPr>
            <w:tcW w:w="2739" w:type="dxa"/>
            <w:tcBorders>
              <w:top w:val="nil"/>
              <w:left w:val="nil"/>
              <w:bottom w:val="nil"/>
              <w:right w:val="nil"/>
            </w:tcBorders>
            <w:shd w:val="clear" w:color="auto" w:fill="auto"/>
            <w:noWrap/>
            <w:vAlign w:val="center"/>
            <w:hideMark/>
          </w:tcPr>
          <w:p w14:paraId="1487D27E" w14:textId="77777777" w:rsidR="001C7E53" w:rsidRPr="00483D1F" w:rsidRDefault="001C7E53" w:rsidP="00F91AE4">
            <w:pPr>
              <w:pStyle w:val="TableTextLeft"/>
            </w:pPr>
            <w:r w:rsidRPr="00483D1F">
              <w:t>N</w:t>
            </w:r>
          </w:p>
        </w:tc>
        <w:tc>
          <w:tcPr>
            <w:tcW w:w="1409" w:type="dxa"/>
            <w:tcBorders>
              <w:top w:val="nil"/>
              <w:left w:val="nil"/>
              <w:bottom w:val="nil"/>
              <w:right w:val="nil"/>
            </w:tcBorders>
            <w:shd w:val="clear" w:color="auto" w:fill="auto"/>
            <w:noWrap/>
            <w:vAlign w:val="center"/>
            <w:hideMark/>
          </w:tcPr>
          <w:p w14:paraId="39A2D67C" w14:textId="77777777" w:rsidR="001C7E53" w:rsidRPr="00483D1F" w:rsidRDefault="001C7E53" w:rsidP="0051158F">
            <w:pPr>
              <w:pStyle w:val="TableTextCentered"/>
            </w:pPr>
            <w:r w:rsidRPr="00483D1F">
              <w:t>302,000</w:t>
            </w:r>
          </w:p>
        </w:tc>
        <w:tc>
          <w:tcPr>
            <w:tcW w:w="1948" w:type="dxa"/>
            <w:gridSpan w:val="2"/>
            <w:tcBorders>
              <w:top w:val="nil"/>
              <w:left w:val="nil"/>
              <w:bottom w:val="nil"/>
              <w:right w:val="nil"/>
            </w:tcBorders>
            <w:shd w:val="clear" w:color="auto" w:fill="auto"/>
            <w:noWrap/>
            <w:vAlign w:val="center"/>
            <w:hideMark/>
          </w:tcPr>
          <w:p w14:paraId="370B1B0E" w14:textId="77777777" w:rsidR="001C7E53" w:rsidRPr="00483D1F" w:rsidRDefault="001C7E53" w:rsidP="0051158F">
            <w:pPr>
              <w:pStyle w:val="TableTextCentered"/>
            </w:pPr>
            <w:r w:rsidRPr="00483D1F">
              <w:t>302</w:t>
            </w:r>
            <w:r w:rsidRPr="00483D1F">
              <w:rPr>
                <w:sz w:val="16"/>
                <w:szCs w:val="16"/>
              </w:rPr>
              <w:t> </w:t>
            </w:r>
            <w:r w:rsidRPr="00483D1F">
              <w:t>,000</w:t>
            </w:r>
          </w:p>
        </w:tc>
        <w:tc>
          <w:tcPr>
            <w:tcW w:w="1535" w:type="dxa"/>
            <w:tcBorders>
              <w:top w:val="nil"/>
              <w:left w:val="nil"/>
              <w:bottom w:val="nil"/>
              <w:right w:val="nil"/>
            </w:tcBorders>
            <w:vAlign w:val="center"/>
          </w:tcPr>
          <w:p w14:paraId="4019B0EB" w14:textId="77777777" w:rsidR="001C7E53" w:rsidRPr="00483D1F" w:rsidRDefault="001C7E53" w:rsidP="0051158F">
            <w:pPr>
              <w:pStyle w:val="TableTextCentered"/>
            </w:pPr>
            <w:r w:rsidRPr="00483D1F">
              <w:t>302</w:t>
            </w:r>
            <w:r w:rsidRPr="00483D1F">
              <w:rPr>
                <w:sz w:val="16"/>
                <w:szCs w:val="16"/>
              </w:rPr>
              <w:t> </w:t>
            </w:r>
            <w:r w:rsidRPr="00483D1F">
              <w:t>,000</w:t>
            </w:r>
          </w:p>
        </w:tc>
        <w:tc>
          <w:tcPr>
            <w:tcW w:w="1439" w:type="dxa"/>
            <w:tcBorders>
              <w:top w:val="nil"/>
              <w:left w:val="nil"/>
              <w:bottom w:val="nil"/>
              <w:right w:val="nil"/>
            </w:tcBorders>
            <w:vAlign w:val="center"/>
          </w:tcPr>
          <w:p w14:paraId="34A4F021" w14:textId="77777777" w:rsidR="001C7E53" w:rsidRPr="00483D1F" w:rsidRDefault="001C7E53" w:rsidP="0051158F">
            <w:pPr>
              <w:pStyle w:val="TableTextCentered"/>
            </w:pPr>
            <w:r w:rsidRPr="00483D1F">
              <w:t>302</w:t>
            </w:r>
            <w:r w:rsidRPr="00483D1F">
              <w:rPr>
                <w:sz w:val="16"/>
                <w:szCs w:val="16"/>
              </w:rPr>
              <w:t> </w:t>
            </w:r>
            <w:r w:rsidRPr="00483D1F">
              <w:t>,000</w:t>
            </w:r>
          </w:p>
        </w:tc>
      </w:tr>
      <w:tr w:rsidR="00D26695" w:rsidRPr="00483D1F" w14:paraId="6777DFB9" w14:textId="77777777" w:rsidTr="001D0062">
        <w:trPr>
          <w:trHeight w:val="283"/>
          <w:jc w:val="center"/>
        </w:trPr>
        <w:tc>
          <w:tcPr>
            <w:tcW w:w="2739" w:type="dxa"/>
            <w:tcBorders>
              <w:top w:val="nil"/>
              <w:left w:val="nil"/>
              <w:bottom w:val="single" w:sz="4" w:space="0" w:color="auto"/>
              <w:right w:val="nil"/>
            </w:tcBorders>
            <w:shd w:val="clear" w:color="auto" w:fill="auto"/>
            <w:noWrap/>
            <w:vAlign w:val="center"/>
            <w:hideMark/>
          </w:tcPr>
          <w:p w14:paraId="3BDB0F34" w14:textId="77777777" w:rsidR="00D26695" w:rsidRPr="00483D1F" w:rsidRDefault="00D26695" w:rsidP="00F91AE4">
            <w:pPr>
              <w:pStyle w:val="TableColumnHeadingLeft"/>
            </w:pPr>
            <w:r w:rsidRPr="00483D1F">
              <w:t>Fixed effects</w:t>
            </w:r>
          </w:p>
        </w:tc>
        <w:tc>
          <w:tcPr>
            <w:tcW w:w="1409" w:type="dxa"/>
            <w:tcBorders>
              <w:top w:val="nil"/>
              <w:left w:val="nil"/>
              <w:bottom w:val="single" w:sz="4" w:space="0" w:color="auto"/>
              <w:right w:val="nil"/>
            </w:tcBorders>
            <w:shd w:val="clear" w:color="auto" w:fill="auto"/>
            <w:noWrap/>
            <w:vAlign w:val="center"/>
            <w:hideMark/>
          </w:tcPr>
          <w:p w14:paraId="5DE3036C" w14:textId="01764C6F" w:rsidR="00D26695" w:rsidRPr="00483D1F" w:rsidRDefault="00D26695" w:rsidP="0051158F">
            <w:pPr>
              <w:pStyle w:val="TableTextCentered"/>
            </w:pPr>
          </w:p>
        </w:tc>
        <w:tc>
          <w:tcPr>
            <w:tcW w:w="1948" w:type="dxa"/>
            <w:gridSpan w:val="2"/>
            <w:tcBorders>
              <w:top w:val="nil"/>
              <w:left w:val="nil"/>
              <w:bottom w:val="single" w:sz="4" w:space="0" w:color="auto"/>
              <w:right w:val="nil"/>
            </w:tcBorders>
            <w:shd w:val="clear" w:color="auto" w:fill="auto"/>
            <w:noWrap/>
            <w:vAlign w:val="center"/>
            <w:hideMark/>
          </w:tcPr>
          <w:p w14:paraId="6B7EE34D" w14:textId="61B2AD0E" w:rsidR="00D26695" w:rsidRPr="00483D1F" w:rsidRDefault="00D26695" w:rsidP="0051158F">
            <w:pPr>
              <w:pStyle w:val="TableTextCentered"/>
            </w:pPr>
          </w:p>
        </w:tc>
        <w:tc>
          <w:tcPr>
            <w:tcW w:w="1535" w:type="dxa"/>
            <w:tcBorders>
              <w:top w:val="nil"/>
              <w:left w:val="nil"/>
              <w:bottom w:val="single" w:sz="4" w:space="0" w:color="auto"/>
              <w:right w:val="nil"/>
            </w:tcBorders>
            <w:vAlign w:val="center"/>
          </w:tcPr>
          <w:p w14:paraId="7DE2EE5D" w14:textId="77777777" w:rsidR="00D26695" w:rsidRPr="00483D1F" w:rsidRDefault="00D26695" w:rsidP="0051158F">
            <w:pPr>
              <w:pStyle w:val="TableTextCentered"/>
            </w:pPr>
          </w:p>
        </w:tc>
        <w:tc>
          <w:tcPr>
            <w:tcW w:w="1439" w:type="dxa"/>
            <w:tcBorders>
              <w:top w:val="nil"/>
              <w:left w:val="nil"/>
              <w:bottom w:val="single" w:sz="4" w:space="0" w:color="auto"/>
              <w:right w:val="nil"/>
            </w:tcBorders>
            <w:vAlign w:val="center"/>
          </w:tcPr>
          <w:p w14:paraId="05DF6D7C" w14:textId="77777777" w:rsidR="00D26695" w:rsidRPr="00483D1F" w:rsidRDefault="00D26695" w:rsidP="0051158F">
            <w:pPr>
              <w:pStyle w:val="TableTextCentered"/>
            </w:pPr>
          </w:p>
        </w:tc>
      </w:tr>
      <w:tr w:rsidR="001C7E53" w:rsidRPr="00483D1F" w14:paraId="19BD3AD4" w14:textId="77777777" w:rsidTr="001D0062">
        <w:trPr>
          <w:trHeight w:val="283"/>
          <w:jc w:val="center"/>
        </w:trPr>
        <w:tc>
          <w:tcPr>
            <w:tcW w:w="2739" w:type="dxa"/>
            <w:tcBorders>
              <w:top w:val="nil"/>
              <w:left w:val="nil"/>
              <w:bottom w:val="nil"/>
              <w:right w:val="nil"/>
            </w:tcBorders>
            <w:shd w:val="clear" w:color="auto" w:fill="auto"/>
            <w:noWrap/>
            <w:vAlign w:val="center"/>
            <w:hideMark/>
          </w:tcPr>
          <w:p w14:paraId="7CCEA674" w14:textId="77777777" w:rsidR="001C7E53" w:rsidRPr="00483D1F" w:rsidRDefault="001C7E53" w:rsidP="00F91AE4">
            <w:pPr>
              <w:pStyle w:val="TableTextLeft"/>
            </w:pPr>
            <w:r w:rsidRPr="00483D1F">
              <w:t>Local market</w:t>
            </w:r>
          </w:p>
        </w:tc>
        <w:tc>
          <w:tcPr>
            <w:tcW w:w="1485" w:type="dxa"/>
            <w:gridSpan w:val="2"/>
            <w:tcBorders>
              <w:top w:val="single" w:sz="4" w:space="0" w:color="auto"/>
              <w:left w:val="nil"/>
              <w:bottom w:val="nil"/>
              <w:right w:val="nil"/>
            </w:tcBorders>
            <w:shd w:val="clear" w:color="auto" w:fill="auto"/>
            <w:noWrap/>
            <w:vAlign w:val="center"/>
            <w:hideMark/>
          </w:tcPr>
          <w:p w14:paraId="1ED49FB6" w14:textId="77777777" w:rsidR="001C7E53" w:rsidRPr="00483D1F" w:rsidRDefault="001C7E53" w:rsidP="0051158F">
            <w:pPr>
              <w:pStyle w:val="TableTextCentered"/>
            </w:pPr>
            <w:r w:rsidRPr="00483D1F">
              <w:t>Y</w:t>
            </w:r>
          </w:p>
        </w:tc>
        <w:tc>
          <w:tcPr>
            <w:tcW w:w="1872" w:type="dxa"/>
            <w:tcBorders>
              <w:top w:val="single" w:sz="4" w:space="0" w:color="auto"/>
              <w:left w:val="nil"/>
              <w:bottom w:val="nil"/>
              <w:right w:val="nil"/>
            </w:tcBorders>
            <w:shd w:val="clear" w:color="auto" w:fill="auto"/>
            <w:noWrap/>
            <w:vAlign w:val="center"/>
            <w:hideMark/>
          </w:tcPr>
          <w:p w14:paraId="5DFFCE6D" w14:textId="77777777" w:rsidR="001C7E53" w:rsidRPr="00483D1F" w:rsidRDefault="001C7E53" w:rsidP="0051158F">
            <w:pPr>
              <w:pStyle w:val="TableTextCentered"/>
            </w:pPr>
            <w:r w:rsidRPr="00483D1F">
              <w:t>Y</w:t>
            </w:r>
          </w:p>
        </w:tc>
        <w:tc>
          <w:tcPr>
            <w:tcW w:w="1535" w:type="dxa"/>
            <w:tcBorders>
              <w:top w:val="single" w:sz="4" w:space="0" w:color="auto"/>
              <w:left w:val="nil"/>
              <w:bottom w:val="nil"/>
              <w:right w:val="nil"/>
            </w:tcBorders>
            <w:vAlign w:val="center"/>
          </w:tcPr>
          <w:p w14:paraId="399F061D" w14:textId="77777777" w:rsidR="001C7E53" w:rsidRPr="00483D1F" w:rsidRDefault="001C7E53" w:rsidP="0051158F">
            <w:pPr>
              <w:pStyle w:val="TableTextCentered"/>
            </w:pPr>
            <w:r w:rsidRPr="00483D1F">
              <w:t>Y</w:t>
            </w:r>
          </w:p>
        </w:tc>
        <w:tc>
          <w:tcPr>
            <w:tcW w:w="1439" w:type="dxa"/>
            <w:tcBorders>
              <w:top w:val="single" w:sz="4" w:space="0" w:color="auto"/>
              <w:left w:val="nil"/>
              <w:bottom w:val="nil"/>
              <w:right w:val="nil"/>
            </w:tcBorders>
            <w:vAlign w:val="center"/>
          </w:tcPr>
          <w:p w14:paraId="24BA4A33" w14:textId="77777777" w:rsidR="001C7E53" w:rsidRPr="00483D1F" w:rsidRDefault="001C7E53" w:rsidP="0051158F">
            <w:pPr>
              <w:pStyle w:val="TableTextCentered"/>
            </w:pPr>
            <w:r w:rsidRPr="00483D1F">
              <w:t>Y</w:t>
            </w:r>
          </w:p>
        </w:tc>
      </w:tr>
      <w:tr w:rsidR="001C7E53" w:rsidRPr="00483D1F" w14:paraId="26D7C40B" w14:textId="77777777" w:rsidTr="001D0062">
        <w:trPr>
          <w:trHeight w:val="283"/>
          <w:jc w:val="center"/>
        </w:trPr>
        <w:tc>
          <w:tcPr>
            <w:tcW w:w="2739" w:type="dxa"/>
            <w:tcBorders>
              <w:top w:val="nil"/>
              <w:left w:val="nil"/>
              <w:bottom w:val="nil"/>
              <w:right w:val="nil"/>
            </w:tcBorders>
            <w:shd w:val="clear" w:color="auto" w:fill="auto"/>
            <w:noWrap/>
            <w:vAlign w:val="center"/>
            <w:hideMark/>
          </w:tcPr>
          <w:p w14:paraId="0B86A89E" w14:textId="77777777" w:rsidR="001C7E53" w:rsidRPr="00483D1F" w:rsidRDefault="001C7E53" w:rsidP="00F91AE4">
            <w:pPr>
              <w:pStyle w:val="TableTextLeft"/>
            </w:pPr>
            <w:r w:rsidRPr="00483D1F">
              <w:t>Time*Industry</w:t>
            </w:r>
          </w:p>
        </w:tc>
        <w:tc>
          <w:tcPr>
            <w:tcW w:w="1485" w:type="dxa"/>
            <w:gridSpan w:val="2"/>
            <w:tcBorders>
              <w:top w:val="nil"/>
              <w:left w:val="nil"/>
              <w:bottom w:val="nil"/>
              <w:right w:val="nil"/>
            </w:tcBorders>
            <w:shd w:val="clear" w:color="auto" w:fill="auto"/>
            <w:noWrap/>
            <w:vAlign w:val="center"/>
            <w:hideMark/>
          </w:tcPr>
          <w:p w14:paraId="47FF6175" w14:textId="77777777" w:rsidR="001C7E53" w:rsidRPr="00483D1F" w:rsidRDefault="001C7E53" w:rsidP="0051158F">
            <w:pPr>
              <w:pStyle w:val="TableTextCentered"/>
            </w:pPr>
            <w:r w:rsidRPr="00483D1F">
              <w:t>Y</w:t>
            </w:r>
          </w:p>
        </w:tc>
        <w:tc>
          <w:tcPr>
            <w:tcW w:w="1872" w:type="dxa"/>
            <w:tcBorders>
              <w:top w:val="nil"/>
              <w:left w:val="nil"/>
              <w:bottom w:val="nil"/>
              <w:right w:val="nil"/>
            </w:tcBorders>
            <w:shd w:val="clear" w:color="auto" w:fill="auto"/>
            <w:noWrap/>
            <w:vAlign w:val="center"/>
            <w:hideMark/>
          </w:tcPr>
          <w:p w14:paraId="2B4A97DA" w14:textId="77777777" w:rsidR="001C7E53" w:rsidRPr="00483D1F" w:rsidRDefault="001C7E53" w:rsidP="0051158F">
            <w:pPr>
              <w:pStyle w:val="TableTextCentered"/>
            </w:pPr>
            <w:r w:rsidRPr="00483D1F">
              <w:t>Y</w:t>
            </w:r>
          </w:p>
        </w:tc>
        <w:tc>
          <w:tcPr>
            <w:tcW w:w="1535" w:type="dxa"/>
            <w:tcBorders>
              <w:top w:val="nil"/>
              <w:left w:val="nil"/>
              <w:bottom w:val="nil"/>
              <w:right w:val="nil"/>
            </w:tcBorders>
            <w:vAlign w:val="center"/>
          </w:tcPr>
          <w:p w14:paraId="67B05192" w14:textId="77777777" w:rsidR="001C7E53" w:rsidRPr="00483D1F" w:rsidRDefault="001C7E53" w:rsidP="0051158F">
            <w:pPr>
              <w:pStyle w:val="TableTextCentered"/>
            </w:pPr>
            <w:r w:rsidRPr="00483D1F">
              <w:t>Y</w:t>
            </w:r>
          </w:p>
        </w:tc>
        <w:tc>
          <w:tcPr>
            <w:tcW w:w="1439" w:type="dxa"/>
            <w:tcBorders>
              <w:top w:val="nil"/>
              <w:left w:val="nil"/>
              <w:bottom w:val="nil"/>
              <w:right w:val="nil"/>
            </w:tcBorders>
            <w:vAlign w:val="center"/>
          </w:tcPr>
          <w:p w14:paraId="723643E6" w14:textId="77777777" w:rsidR="001C7E53" w:rsidRPr="00483D1F" w:rsidRDefault="001C7E53" w:rsidP="0051158F">
            <w:pPr>
              <w:pStyle w:val="TableTextCentered"/>
            </w:pPr>
            <w:r w:rsidRPr="00483D1F">
              <w:t>Y</w:t>
            </w:r>
          </w:p>
        </w:tc>
      </w:tr>
      <w:tr w:rsidR="001C7E53" w:rsidRPr="00483D1F" w14:paraId="1116831B" w14:textId="77777777" w:rsidTr="001D0062">
        <w:trPr>
          <w:trHeight w:val="283"/>
          <w:jc w:val="center"/>
        </w:trPr>
        <w:tc>
          <w:tcPr>
            <w:tcW w:w="2739" w:type="dxa"/>
            <w:tcBorders>
              <w:top w:val="nil"/>
              <w:left w:val="nil"/>
              <w:bottom w:val="single" w:sz="4" w:space="0" w:color="auto"/>
              <w:right w:val="nil"/>
            </w:tcBorders>
            <w:shd w:val="clear" w:color="auto" w:fill="auto"/>
            <w:noWrap/>
            <w:vAlign w:val="center"/>
            <w:hideMark/>
          </w:tcPr>
          <w:p w14:paraId="3E88ACA4" w14:textId="77777777" w:rsidR="001C7E53" w:rsidRPr="00483D1F" w:rsidRDefault="001C7E53" w:rsidP="00F91AE4">
            <w:pPr>
              <w:pStyle w:val="TableTextLeft"/>
            </w:pPr>
            <w:r w:rsidRPr="00483D1F">
              <w:t>Time*Location</w:t>
            </w:r>
          </w:p>
        </w:tc>
        <w:tc>
          <w:tcPr>
            <w:tcW w:w="1485" w:type="dxa"/>
            <w:gridSpan w:val="2"/>
            <w:tcBorders>
              <w:top w:val="nil"/>
              <w:left w:val="nil"/>
              <w:bottom w:val="single" w:sz="4" w:space="0" w:color="auto"/>
              <w:right w:val="nil"/>
            </w:tcBorders>
            <w:shd w:val="clear" w:color="auto" w:fill="auto"/>
            <w:noWrap/>
            <w:vAlign w:val="center"/>
            <w:hideMark/>
          </w:tcPr>
          <w:p w14:paraId="1C53F6D5" w14:textId="77777777" w:rsidR="001C7E53" w:rsidRPr="00483D1F" w:rsidRDefault="001C7E53" w:rsidP="0051158F">
            <w:pPr>
              <w:pStyle w:val="TableTextCentered"/>
            </w:pPr>
            <w:r w:rsidRPr="00483D1F">
              <w:t>Y</w:t>
            </w:r>
          </w:p>
        </w:tc>
        <w:tc>
          <w:tcPr>
            <w:tcW w:w="1872" w:type="dxa"/>
            <w:tcBorders>
              <w:top w:val="nil"/>
              <w:left w:val="nil"/>
              <w:bottom w:val="single" w:sz="4" w:space="0" w:color="auto"/>
              <w:right w:val="nil"/>
            </w:tcBorders>
            <w:shd w:val="clear" w:color="auto" w:fill="auto"/>
            <w:noWrap/>
            <w:vAlign w:val="center"/>
            <w:hideMark/>
          </w:tcPr>
          <w:p w14:paraId="5C310864" w14:textId="77777777" w:rsidR="001C7E53" w:rsidRPr="00483D1F" w:rsidRDefault="001C7E53" w:rsidP="0051158F">
            <w:pPr>
              <w:pStyle w:val="TableTextCentered"/>
            </w:pPr>
            <w:r w:rsidRPr="00483D1F">
              <w:t>Y</w:t>
            </w:r>
          </w:p>
        </w:tc>
        <w:tc>
          <w:tcPr>
            <w:tcW w:w="1535" w:type="dxa"/>
            <w:tcBorders>
              <w:top w:val="nil"/>
              <w:left w:val="nil"/>
              <w:bottom w:val="single" w:sz="4" w:space="0" w:color="auto"/>
              <w:right w:val="nil"/>
            </w:tcBorders>
            <w:vAlign w:val="center"/>
          </w:tcPr>
          <w:p w14:paraId="601BDB50" w14:textId="77777777" w:rsidR="001C7E53" w:rsidRPr="00483D1F" w:rsidRDefault="001C7E53" w:rsidP="0051158F">
            <w:pPr>
              <w:pStyle w:val="TableTextCentered"/>
            </w:pPr>
            <w:r w:rsidRPr="00483D1F">
              <w:t>Y</w:t>
            </w:r>
          </w:p>
        </w:tc>
        <w:tc>
          <w:tcPr>
            <w:tcW w:w="1439" w:type="dxa"/>
            <w:tcBorders>
              <w:top w:val="nil"/>
              <w:left w:val="nil"/>
              <w:bottom w:val="single" w:sz="4" w:space="0" w:color="auto"/>
              <w:right w:val="nil"/>
            </w:tcBorders>
            <w:vAlign w:val="center"/>
          </w:tcPr>
          <w:p w14:paraId="27B976FD" w14:textId="77777777" w:rsidR="001C7E53" w:rsidRPr="00483D1F" w:rsidRDefault="001C7E53" w:rsidP="0051158F">
            <w:pPr>
              <w:pStyle w:val="TableTextCentered"/>
            </w:pPr>
            <w:r w:rsidRPr="00483D1F">
              <w:t>Y</w:t>
            </w:r>
          </w:p>
        </w:tc>
      </w:tr>
    </w:tbl>
    <w:p w14:paraId="27B06951" w14:textId="1FBEB364" w:rsidR="001C7E53" w:rsidRPr="00597288" w:rsidRDefault="001C7E53" w:rsidP="00FD645B">
      <w:pPr>
        <w:pStyle w:val="ChartorTableNote"/>
        <w:jc w:val="left"/>
      </w:pPr>
      <w:r w:rsidRPr="009F062D">
        <w:t xml:space="preserve">Note: All regressions include a set of common controls covering market characteristics (number of workers in the market). </w:t>
      </w:r>
      <w:r>
        <w:t>For GFC models, a</w:t>
      </w:r>
      <w:r w:rsidRPr="009F062D">
        <w:t>ll controls other than firm FE are interacted with period dummies. Pre</w:t>
      </w:r>
      <w:r w:rsidR="0018466E">
        <w:noBreakHyphen/>
      </w:r>
      <w:r w:rsidRPr="009F062D">
        <w:t>GFC is 2005</w:t>
      </w:r>
      <w:r w:rsidR="0018466E">
        <w:noBreakHyphen/>
      </w:r>
      <w:r w:rsidRPr="009F062D">
        <w:t>200</w:t>
      </w:r>
      <w:r>
        <w:t>7</w:t>
      </w:r>
      <w:r w:rsidRPr="009F062D">
        <w:t>. GFC is 200</w:t>
      </w:r>
      <w:r>
        <w:t>8</w:t>
      </w:r>
      <w:r w:rsidR="0018466E">
        <w:noBreakHyphen/>
      </w:r>
      <w:r w:rsidRPr="009F062D">
        <w:t xml:space="preserve">2010. Post GFC is 2011 to 2015. </w:t>
      </w:r>
      <w:r>
        <w:t xml:space="preserve">For unemployment models, interacting unemployment with productivity does not change the results. </w:t>
      </w:r>
      <w:r w:rsidRPr="009F062D">
        <w:t>Errors clustered at the local market level.</w:t>
      </w:r>
    </w:p>
    <w:p w14:paraId="35C51F58" w14:textId="66321FF3" w:rsidR="001C7E53" w:rsidRDefault="001C7E53" w:rsidP="00FD645B">
      <w:pPr>
        <w:spacing w:after="200" w:line="276" w:lineRule="auto"/>
      </w:pPr>
      <w:r>
        <w:t>One potential explanation could be softer labour markets. In many search</w:t>
      </w:r>
      <w:r w:rsidR="0018466E">
        <w:noBreakHyphen/>
      </w:r>
      <w:r>
        <w:t>and</w:t>
      </w:r>
      <w:r w:rsidR="0018466E">
        <w:noBreakHyphen/>
      </w:r>
      <w:r>
        <w:t>match models a tighter labour market leads to greater bargaining power for work</w:t>
      </w:r>
      <w:r w:rsidR="00991274">
        <w:t>er</w:t>
      </w:r>
      <w:r>
        <w:t>s given the greater chance of finding another job, which could lower the impact of concentration. However, this does not appear to be the case, as there is no significant evidence that the impacts of concentration on wages are stronger when the labour market is weaker, as measured by the national or state</w:t>
      </w:r>
      <w:r w:rsidR="0018466E">
        <w:noBreakHyphen/>
      </w:r>
      <w:r>
        <w:t>level unemployment rate (Columns</w:t>
      </w:r>
      <w:r w:rsidR="0051158F">
        <w:t> </w:t>
      </w:r>
      <w:r>
        <w:t>3 and</w:t>
      </w:r>
      <w:r w:rsidR="00056A00">
        <w:t> </w:t>
      </w:r>
      <w:r>
        <w:t>4).</w:t>
      </w:r>
    </w:p>
    <w:p w14:paraId="6650416B" w14:textId="172F261E" w:rsidR="001C7E53" w:rsidRDefault="001C7E53" w:rsidP="00FD645B">
      <w:pPr>
        <w:spacing w:after="200" w:line="276" w:lineRule="auto"/>
      </w:pPr>
      <w:r>
        <w:t>To put the sub</w:t>
      </w:r>
      <w:r w:rsidR="0018466E">
        <w:noBreakHyphen/>
      </w:r>
      <w:r>
        <w:t xml:space="preserve">sample result in perspective, Figure 7 shows the estimated wage gap between a high and low concentration markets </w:t>
      </w:r>
      <w:r w:rsidR="00991274">
        <w:t xml:space="preserve">for </w:t>
      </w:r>
      <w:r>
        <w:t>the early and recent periods. This gap is around to 2 per cent in the early period, but 5 per cent in the more recent period.</w:t>
      </w:r>
    </w:p>
    <w:p w14:paraId="4E03F30F" w14:textId="2A83A07D" w:rsidR="0005458F" w:rsidRDefault="0005458F" w:rsidP="0005458F">
      <w:pPr>
        <w:pStyle w:val="ChartMainHeading"/>
      </w:pPr>
      <w:r w:rsidRPr="00C0265F">
        <w:lastRenderedPageBreak/>
        <w:t xml:space="preserve">Figure </w:t>
      </w:r>
      <w:r>
        <w:t>7</w:t>
      </w:r>
      <w:r w:rsidRPr="00C0265F">
        <w:t xml:space="preserve">:  Difference in </w:t>
      </w:r>
      <w:r>
        <w:t>a</w:t>
      </w:r>
      <w:r w:rsidRPr="00C0265F">
        <w:t xml:space="preserve">verage </w:t>
      </w:r>
      <w:r>
        <w:t>w</w:t>
      </w:r>
      <w:r w:rsidRPr="00C0265F">
        <w:t xml:space="preserve">ages </w:t>
      </w:r>
      <w:r>
        <w:t xml:space="preserve">between high and low concentration firms </w:t>
      </w:r>
      <w:r>
        <w:br/>
        <w:t>and markets across time</w:t>
      </w:r>
    </w:p>
    <w:p w14:paraId="262E1801" w14:textId="594B0100" w:rsidR="0005458F" w:rsidRPr="0005458F" w:rsidRDefault="00C106A7" w:rsidP="001D0062">
      <w:pPr>
        <w:pStyle w:val="ChartGraphic"/>
      </w:pPr>
      <w:r w:rsidRPr="00C106A7">
        <w:rPr>
          <w:noProof/>
        </w:rPr>
        <w:drawing>
          <wp:inline distT="0" distB="0" distL="0" distR="0" wp14:anchorId="4033D437" wp14:editId="3E3641D7">
            <wp:extent cx="5581650" cy="2438400"/>
            <wp:effectExtent l="0" t="0" r="0" b="0"/>
            <wp:docPr id="13" name="Picture 13" descr="This chart shows bars capturing differences in wages across high and low concentration markets across two different periods. The gap in wages is only around 2 per cent in the early sample 2005-2007, but larger at around 5 per cent in the latter period 2011-2015. The error bands are fairly tight around these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chart shows bars capturing differences in wages across high and low concentration markets across two different periods. The gap in wages is only around 2 per cent in the early sample 2005-2007, but larger at around 5 per cent in the latter period 2011-2015. The error bands are fairly tight around these estimat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1650" cy="2438400"/>
                    </a:xfrm>
                    <a:prstGeom prst="rect">
                      <a:avLst/>
                    </a:prstGeom>
                    <a:noFill/>
                    <a:ln>
                      <a:noFill/>
                    </a:ln>
                  </pic:spPr>
                </pic:pic>
              </a:graphicData>
            </a:graphic>
          </wp:inline>
        </w:drawing>
      </w:r>
    </w:p>
    <w:p w14:paraId="55155ADD" w14:textId="620DFF31" w:rsidR="001C7E53" w:rsidRDefault="001C7E53" w:rsidP="00F91AE4">
      <w:pPr>
        <w:pStyle w:val="ChartorTableNote"/>
        <w:jc w:val="left"/>
      </w:pPr>
      <w:r w:rsidRPr="00CD11A8">
        <w:t>Note: Low and high concentration markets are the 25th and 75</w:t>
      </w:r>
      <w:r w:rsidRPr="00CD11A8">
        <w:rPr>
          <w:vertAlign w:val="superscript"/>
        </w:rPr>
        <w:t>th</w:t>
      </w:r>
      <w:r w:rsidRPr="00CD11A8">
        <w:t xml:space="preserve"> percentile, respectively. Results from headcount models estimated at the market level shown over sub</w:t>
      </w:r>
      <w:r w:rsidR="0018466E">
        <w:noBreakHyphen/>
      </w:r>
      <w:r w:rsidRPr="00CD11A8">
        <w:t>samples</w:t>
      </w:r>
      <w:r>
        <w:t xml:space="preserve"> in Table 5. Dashes show two standard deviation confidence interval. Interval for post period simply based on standard error of interaction term.</w:t>
      </w:r>
      <w:r>
        <w:br/>
        <w:t>Source: Author</w:t>
      </w:r>
      <w:r w:rsidR="0018466E">
        <w:t>’</w:t>
      </w:r>
      <w:r>
        <w:t>s calculations</w:t>
      </w:r>
    </w:p>
    <w:p w14:paraId="2F4BA122" w14:textId="05A9696D" w:rsidR="001C7E53" w:rsidRDefault="001C7E53" w:rsidP="00991274">
      <w:pPr>
        <w:spacing w:after="200" w:line="276" w:lineRule="auto"/>
      </w:pPr>
      <w:r>
        <w:t>To get a sense of the macroeconomic impacts I use a simple back of the envelope calculation. The national employment</w:t>
      </w:r>
      <w:r w:rsidR="0018466E">
        <w:noBreakHyphen/>
      </w:r>
      <w:r>
        <w:t>weighted average HHI is around 0.1. Multiplying this by the change in the HHI coefficient between periods (0.80) suggests that nationally wages were around 0.80 per cent lower than they would have been on average from 2011</w:t>
      </w:r>
      <w:r w:rsidR="0018466E">
        <w:noBreakHyphen/>
      </w:r>
      <w:r>
        <w:t xml:space="preserve">2015, compared to the case whether the coefficient did not change. Given estimates put the </w:t>
      </w:r>
      <w:r w:rsidR="0018466E">
        <w:t>‘</w:t>
      </w:r>
      <w:r>
        <w:t>unexplained</w:t>
      </w:r>
      <w:r w:rsidR="0018466E">
        <w:t>’</w:t>
      </w:r>
      <w:r>
        <w:t xml:space="preserve"> weakness in wages growth at around 0.25 per cent per year (Cassidy 2019), this suggests that the increasing impact of concentration can account for a large portion of the weakness in wages growth pre</w:t>
      </w:r>
      <w:r w:rsidR="0018466E">
        <w:noBreakHyphen/>
      </w:r>
      <w:r w:rsidR="00BA74C2">
        <w:t>COVID.</w:t>
      </w:r>
    </w:p>
    <w:p w14:paraId="03716ED2" w14:textId="77777777" w:rsidR="001C7E53" w:rsidRDefault="001C7E53" w:rsidP="00991274">
      <w:pPr>
        <w:spacing w:after="200" w:line="276" w:lineRule="auto"/>
      </w:pPr>
      <w:r>
        <w:t>Obviously, the calculation is very simple and does not account for heterogeneity in outcomes or general equilibrium mechanisms. As such it should not be interpreted precisely. But it does suggest that the increasing impact of concentration has had a substantial effect on aggregate wages.</w:t>
      </w:r>
    </w:p>
    <w:p w14:paraId="31B51D1F" w14:textId="77777777" w:rsidR="001C7E53" w:rsidRDefault="001C7E53" w:rsidP="00F91AE4">
      <w:pPr>
        <w:pStyle w:val="Heading2"/>
        <w:numPr>
          <w:ilvl w:val="0"/>
          <w:numId w:val="25"/>
        </w:numPr>
        <w:tabs>
          <w:tab w:val="clear" w:pos="3402"/>
        </w:tabs>
        <w:ind w:left="397" w:hanging="397"/>
      </w:pPr>
      <w:r>
        <w:t>Why has the impact of concentration increased?</w:t>
      </w:r>
    </w:p>
    <w:p w14:paraId="0C2AF5E6" w14:textId="77777777" w:rsidR="001C7E53" w:rsidRDefault="001C7E53" w:rsidP="00991274">
      <w:r>
        <w:t>A key question from a policy standpoint is, why has the impact of concentration increased? Understanding this is crucial in identifying what, if any, polices could and should be implemented to offset the apparent increase in market power.</w:t>
      </w:r>
    </w:p>
    <w:p w14:paraId="6EBF6A8B" w14:textId="77777777" w:rsidR="0097631A" w:rsidRDefault="0097631A" w:rsidP="00991274">
      <w:r>
        <w:br w:type="page"/>
      </w:r>
    </w:p>
    <w:p w14:paraId="67281E8B" w14:textId="4DA2846F" w:rsidR="001C7E53" w:rsidRDefault="001C7E53" w:rsidP="00991274">
      <w:r>
        <w:lastRenderedPageBreak/>
        <w:t>I examine three potential explanations motivated by the existing literature on firm dynamism and labour market concentration:</w:t>
      </w:r>
    </w:p>
    <w:p w14:paraId="092897DC" w14:textId="77777777" w:rsidR="001C7E53" w:rsidRPr="0097631A" w:rsidRDefault="001C7E53" w:rsidP="00F91AE4">
      <w:pPr>
        <w:pStyle w:val="Bullet"/>
      </w:pPr>
      <w:r w:rsidRPr="0097631A">
        <w:t>Declining industry or occupational mobility</w:t>
      </w:r>
    </w:p>
    <w:p w14:paraId="755692D5" w14:textId="77777777" w:rsidR="001C7E53" w:rsidRPr="0097631A" w:rsidRDefault="001C7E53" w:rsidP="00F91AE4">
      <w:pPr>
        <w:pStyle w:val="Bullet"/>
      </w:pPr>
      <w:r w:rsidRPr="0097631A">
        <w:t>Declining firm dynamism and entry</w:t>
      </w:r>
    </w:p>
    <w:p w14:paraId="154BF343" w14:textId="77777777" w:rsidR="001C7E53" w:rsidRPr="0097631A" w:rsidRDefault="001C7E53" w:rsidP="00F91AE4">
      <w:pPr>
        <w:pStyle w:val="Bullet"/>
      </w:pPr>
      <w:r w:rsidRPr="0097631A">
        <w:t>Declining union membership</w:t>
      </w:r>
    </w:p>
    <w:p w14:paraId="1DC00AD0" w14:textId="77777777" w:rsidR="001C7E53" w:rsidRDefault="001C7E53" w:rsidP="00F91AE4">
      <w:pPr>
        <w:pStyle w:val="Heading3"/>
      </w:pPr>
      <w:r>
        <w:t>6.1. Declining occupational mobility</w:t>
      </w:r>
    </w:p>
    <w:p w14:paraId="6B6B8D40" w14:textId="75805B3E" w:rsidR="001C7E53" w:rsidRDefault="001C7E53" w:rsidP="00991274">
      <w:r>
        <w:t>One explanation I examine is declining occupational or industry mobility. Much of the work on labour market concentration assumes that workers cannot move between local labour markets due to geographic or skill barriers. However, in practice workers can move between geographies, industries or occupations, even if it is costly or difficult. If it becomes easier to move between these markets, and so the set of potential outside options becomes larger, the effect of concentration within the market might become smaller.</w:t>
      </w:r>
    </w:p>
    <w:p w14:paraId="1816B93A" w14:textId="5080357C" w:rsidR="001C7E53" w:rsidRDefault="001C7E53" w:rsidP="00991274">
      <w:r>
        <w:t xml:space="preserve">For example, in </w:t>
      </w:r>
      <w:r w:rsidR="00176014">
        <w:t xml:space="preserve">the </w:t>
      </w:r>
      <w:r>
        <w:t>Berger et al (2021) model they allow for differentiation in supply of labour across, as well as within industries. When differentiation across industries declines, consistent with easier mobility across industries, the impact of differentiation and concentration within industries is lessened.</w:t>
      </w:r>
    </w:p>
    <w:p w14:paraId="3ACCABFB" w14:textId="50D089A1" w:rsidR="001C7E53" w:rsidRDefault="001C7E53" w:rsidP="00991274">
      <w:r>
        <w:t xml:space="preserve">Schubert et al (2021) focus on this issue empirically. They derive a model where workers can potentially move to other industries in their locality. They show that in this case wages will be impacted by the </w:t>
      </w:r>
      <w:r w:rsidR="0018466E">
        <w:t>‘</w:t>
      </w:r>
      <w:r>
        <w:t>outside options</w:t>
      </w:r>
      <w:r w:rsidR="0018466E">
        <w:t>’</w:t>
      </w:r>
      <w:r>
        <w:t xml:space="preserve"> that other occupations in their locality represent. Failing to include these outside options can bias the estimated impact of the HHI on wages. Similarly, they show that the impact of labour market concentration on wages tends to be smaller in industries with more cross</w:t>
      </w:r>
      <w:r w:rsidR="0018466E">
        <w:noBreakHyphen/>
      </w:r>
      <w:r>
        <w:t>industry mobility, and the outside</w:t>
      </w:r>
      <w:r w:rsidR="00BA74C2">
        <w:t xml:space="preserve"> options become more important.</w:t>
      </w:r>
    </w:p>
    <w:p w14:paraId="58EE81B7" w14:textId="41AE83E3" w:rsidR="001C7E53" w:rsidRDefault="001C7E53" w:rsidP="00991274">
      <w:r>
        <w:t>Declining occupational mobility and increasing frictions in moving between industries and occupations may be relevant in the Australian case. For example, Figure 8 shows that a moderate portion of the decline in job</w:t>
      </w:r>
      <w:r w:rsidR="0018466E">
        <w:noBreakHyphen/>
      </w:r>
      <w:r>
        <w:t>to</w:t>
      </w:r>
      <w:r w:rsidR="0018466E">
        <w:noBreakHyphen/>
      </w:r>
      <w:r>
        <w:t>job switching (as defined in Deutscher 2019) reflects fewer people changing occupations. This might suggest increasing frictions between labour markets.</w:t>
      </w:r>
    </w:p>
    <w:p w14:paraId="50F338E6" w14:textId="3562D0D1" w:rsidR="001C7E53" w:rsidRDefault="001C7E53" w:rsidP="00991274">
      <w:pPr>
        <w:pStyle w:val="ChartMainHeading"/>
        <w:jc w:val="left"/>
      </w:pPr>
      <w:r>
        <w:lastRenderedPageBreak/>
        <w:t>Figure 8: Job</w:t>
      </w:r>
      <w:r w:rsidR="0018466E">
        <w:noBreakHyphen/>
      </w:r>
      <w:r>
        <w:t>to</w:t>
      </w:r>
      <w:r w:rsidR="0018466E">
        <w:noBreakHyphen/>
      </w:r>
      <w:r>
        <w:t>job switching by type</w:t>
      </w:r>
    </w:p>
    <w:p w14:paraId="1DDAAD38" w14:textId="18C9BA42" w:rsidR="001C7E53" w:rsidRDefault="007B1925" w:rsidP="00991274">
      <w:pPr>
        <w:pStyle w:val="ChartGraphic"/>
        <w:jc w:val="left"/>
      </w:pPr>
      <w:r>
        <w:rPr>
          <w:noProof/>
        </w:rPr>
        <w:drawing>
          <wp:inline distT="0" distB="0" distL="0" distR="0" wp14:anchorId="15018B05" wp14:editId="29018DF6">
            <wp:extent cx="5584190" cy="2524125"/>
            <wp:effectExtent l="0" t="0" r="0" b="9525"/>
            <wp:docPr id="17" name="Picture 17" descr="This chart shows the rate of job switching over time, and decomposes it in the portion where the person stays in the same location and occupation (averages 11 per cent), switches occupation (averages around 5 per cent), or switches location (averages around 1 per cent). The overall rate of switching declined from around 16 per cent in the 2000s, to around 14 per cent in the 2010s. Much of the decline reflects less people switching occupations, which fell from around 5 to 3 per cent. Location switching fell slightly too from 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chart shows the rate of job switching over time, and decomposes it in the portion where the person stays in the same location and occupation (averages 11 per cent), switches occupation (averages around 5 per cent), or switches location (averages around 1 per cent). The overall rate of switching declined from around 16 per cent in the 2000s, to around 14 per cent in the 2010s. Much of the decline reflects less people switching occupations, which fell from around 5 to 3 per cent. Location switching fell slightly too from 2013.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84190" cy="2524125"/>
                    </a:xfrm>
                    <a:prstGeom prst="rect">
                      <a:avLst/>
                    </a:prstGeom>
                    <a:noFill/>
                  </pic:spPr>
                </pic:pic>
              </a:graphicData>
            </a:graphic>
          </wp:inline>
        </w:drawing>
      </w:r>
    </w:p>
    <w:p w14:paraId="6933F2C4" w14:textId="429B6E47" w:rsidR="001C7E53" w:rsidRDefault="001C7E53" w:rsidP="00F91AE4">
      <w:pPr>
        <w:pStyle w:val="ChartorTableNote"/>
        <w:jc w:val="left"/>
      </w:pPr>
      <w:r>
        <w:t>Note: Job</w:t>
      </w:r>
      <w:r w:rsidR="0018466E">
        <w:noBreakHyphen/>
      </w:r>
      <w:r>
        <w:t>to</w:t>
      </w:r>
      <w:r w:rsidR="0018466E">
        <w:noBreakHyphen/>
      </w:r>
      <w:r>
        <w:t>job switching as defined in Deutscher (2019). Location defined as SA4 or greater capital city area. Occupation is 2</w:t>
      </w:r>
      <w:r w:rsidR="0018466E">
        <w:noBreakHyphen/>
      </w:r>
      <w:r>
        <w:t>digit ANZSCO.</w:t>
      </w:r>
      <w:r>
        <w:br/>
        <w:t>Source: Author</w:t>
      </w:r>
      <w:r w:rsidR="0018466E">
        <w:t>’</w:t>
      </w:r>
      <w:r>
        <w:t>s calculation</w:t>
      </w:r>
    </w:p>
    <w:p w14:paraId="08F5369A" w14:textId="15200435" w:rsidR="001C7E53" w:rsidRDefault="001C7E53" w:rsidP="00176014">
      <w:r>
        <w:t>To consider this, I include the measure of outside options suggested by Schubert et al (2021) and examine the impact on the coefficient on the HHI in the full sample, and in the sub</w:t>
      </w:r>
      <w:r w:rsidR="0018466E">
        <w:noBreakHyphen/>
      </w:r>
      <w:r w:rsidR="00BA74C2">
        <w:t>sample regressions.</w:t>
      </w:r>
    </w:p>
    <w:p w14:paraId="423C6CEA" w14:textId="2D3E5FA1" w:rsidR="001C7E53" w:rsidRDefault="001C7E53" w:rsidP="00176014">
      <w:r>
        <w:t>The outside</w:t>
      </w:r>
      <w:r w:rsidR="0018466E">
        <w:noBreakHyphen/>
      </w:r>
      <w:r>
        <w:t xml:space="preserve">option variable is constructed as a weighted average of the wages for firms in all other industries in the local area. The weights are a function of two factors: the share of employment for each of these industries in the local area (excluding the base industry), to capture how </w:t>
      </w:r>
      <w:r w:rsidR="0018466E">
        <w:t>‘</w:t>
      </w:r>
      <w:r>
        <w:t>important</w:t>
      </w:r>
      <w:r w:rsidR="0018466E">
        <w:t>’</w:t>
      </w:r>
      <w:r>
        <w:t xml:space="preserve"> each industry is in the local area; and the national rate of switching between the base and the other industry (measured as a share of job</w:t>
      </w:r>
      <w:r w:rsidR="0018466E">
        <w:noBreakHyphen/>
      </w:r>
      <w:r>
        <w:t>switchers only), to capture the ease with which people can move from the base industry to the alternative industry.</w:t>
      </w:r>
      <w:r>
        <w:rPr>
          <w:rStyle w:val="FootnoteReference"/>
        </w:rPr>
        <w:footnoteReference w:id="13"/>
      </w:r>
    </w:p>
    <w:p w14:paraId="232B24FA" w14:textId="2A268BFE" w:rsidR="001C7E53" w:rsidRDefault="001C7E53" w:rsidP="00176014">
      <w:r>
        <w:t xml:space="preserve">The results of the regression are contained in Table </w:t>
      </w:r>
      <w:r w:rsidR="00564C76">
        <w:t>5</w:t>
      </w:r>
      <w:r>
        <w:t>. Focusing on Column 2, we can see that having strong outside options leads to higher wages. Moreover, the effect of concentration within a market is lower in this regression, suggesting that failing to account for these options can cause us to overstate the effects of the HHI.</w:t>
      </w:r>
    </w:p>
    <w:p w14:paraId="493647BD" w14:textId="2A717469" w:rsidR="001C7E53" w:rsidRDefault="001C7E53" w:rsidP="00176014">
      <w:r>
        <w:t>Focusing on the sub</w:t>
      </w:r>
      <w:r w:rsidR="0018466E">
        <w:noBreakHyphen/>
      </w:r>
      <w:r>
        <w:t>sample in Column 3, we see outside options becoming less impactful over time. This is consistent with what we might expect to see if it became harder to move between industries. This suggests that declining occupational mobility may have weighed on wages growth by limiting workers</w:t>
      </w:r>
      <w:r w:rsidR="0018466E">
        <w:t>’</w:t>
      </w:r>
      <w:r>
        <w:t xml:space="preserve"> ability to leverage options outside their industries in wage negotiations, which would be consistent </w:t>
      </w:r>
      <w:r w:rsidR="00176014">
        <w:t xml:space="preserve">the findings in </w:t>
      </w:r>
      <w:r>
        <w:t xml:space="preserve">Deutscher (2019) that areas with less job switching </w:t>
      </w:r>
      <w:r w:rsidR="00BA74C2">
        <w:t>tend to see lower wages growth.</w:t>
      </w:r>
    </w:p>
    <w:p w14:paraId="4DFB88C2" w14:textId="77777777" w:rsidR="00975BCA" w:rsidRDefault="00975BCA" w:rsidP="00F91AE4">
      <w:pPr>
        <w:spacing w:before="0" w:after="200" w:line="276" w:lineRule="auto"/>
        <w:rPr>
          <w:rFonts w:ascii="Calibri" w:hAnsi="Calibri" w:cs="Arial"/>
          <w:color w:val="4D7861" w:themeColor="accent2"/>
          <w:kern w:val="32"/>
          <w:sz w:val="26"/>
          <w:szCs w:val="26"/>
        </w:rPr>
      </w:pPr>
      <w:r>
        <w:br w:type="page"/>
      </w:r>
    </w:p>
    <w:p w14:paraId="0385DD8D" w14:textId="13CBFAAD" w:rsidR="008B6724" w:rsidRDefault="008B6724" w:rsidP="00F91AE4">
      <w:pPr>
        <w:pStyle w:val="TableMainHeading"/>
      </w:pPr>
      <w:r>
        <w:lastRenderedPageBreak/>
        <w:t xml:space="preserve">Table </w:t>
      </w:r>
      <w:r w:rsidR="00564C76">
        <w:t>5</w:t>
      </w:r>
      <w:r w:rsidRPr="005002CA">
        <w:t>: Outside option specification</w:t>
      </w:r>
    </w:p>
    <w:tbl>
      <w:tblPr>
        <w:tblW w:w="5000" w:type="pct"/>
        <w:tblLook w:val="04A0" w:firstRow="1" w:lastRow="0" w:firstColumn="1" w:lastColumn="0" w:noHBand="0" w:noVBand="1"/>
      </w:tblPr>
      <w:tblGrid>
        <w:gridCol w:w="3357"/>
        <w:gridCol w:w="1623"/>
        <w:gridCol w:w="1623"/>
        <w:gridCol w:w="2467"/>
      </w:tblGrid>
      <w:tr w:rsidR="001C7E53" w:rsidRPr="005002CA" w14:paraId="5C53D9F3" w14:textId="77777777" w:rsidTr="001D0062">
        <w:trPr>
          <w:trHeight w:val="283"/>
        </w:trPr>
        <w:tc>
          <w:tcPr>
            <w:tcW w:w="2183" w:type="dxa"/>
            <w:tcBorders>
              <w:left w:val="nil"/>
              <w:bottom w:val="single" w:sz="4" w:space="0" w:color="auto"/>
              <w:right w:val="nil"/>
            </w:tcBorders>
            <w:shd w:val="clear" w:color="auto" w:fill="auto"/>
            <w:noWrap/>
            <w:vAlign w:val="bottom"/>
            <w:hideMark/>
          </w:tcPr>
          <w:p w14:paraId="2D1B4CA2" w14:textId="77777777" w:rsidR="001C7E53" w:rsidRPr="005002CA" w:rsidRDefault="001C7E53" w:rsidP="00F91AE4">
            <w:pPr>
              <w:spacing w:after="0"/>
              <w:rPr>
                <w:rFonts w:cs="Calibri"/>
                <w:color w:val="000000"/>
                <w:sz w:val="20"/>
              </w:rPr>
            </w:pPr>
            <w:r w:rsidRPr="005002CA">
              <w:rPr>
                <w:rFonts w:cs="Calibri"/>
                <w:color w:val="000000"/>
                <w:sz w:val="20"/>
              </w:rPr>
              <w:t> </w:t>
            </w:r>
          </w:p>
        </w:tc>
        <w:tc>
          <w:tcPr>
            <w:tcW w:w="1056" w:type="dxa"/>
            <w:tcBorders>
              <w:left w:val="nil"/>
              <w:bottom w:val="single" w:sz="4" w:space="0" w:color="auto"/>
              <w:right w:val="nil"/>
            </w:tcBorders>
            <w:shd w:val="clear" w:color="auto" w:fill="auto"/>
            <w:noWrap/>
            <w:vAlign w:val="center"/>
            <w:hideMark/>
          </w:tcPr>
          <w:p w14:paraId="0B57BF3E" w14:textId="77777777" w:rsidR="001C7E53" w:rsidRPr="005002CA" w:rsidRDefault="001C7E53" w:rsidP="00A11622">
            <w:pPr>
              <w:pStyle w:val="TableColumnHeadingCentred"/>
            </w:pPr>
            <w:r w:rsidRPr="005002CA">
              <w:t>Baseline</w:t>
            </w:r>
          </w:p>
        </w:tc>
        <w:tc>
          <w:tcPr>
            <w:tcW w:w="1056" w:type="dxa"/>
            <w:tcBorders>
              <w:left w:val="nil"/>
              <w:bottom w:val="single" w:sz="4" w:space="0" w:color="auto"/>
              <w:right w:val="nil"/>
            </w:tcBorders>
            <w:shd w:val="clear" w:color="auto" w:fill="auto"/>
            <w:noWrap/>
            <w:vAlign w:val="center"/>
            <w:hideMark/>
          </w:tcPr>
          <w:p w14:paraId="40505F93" w14:textId="77777777" w:rsidR="001C7E53" w:rsidRPr="005002CA" w:rsidRDefault="001C7E53" w:rsidP="00A11622">
            <w:pPr>
              <w:pStyle w:val="TableColumnHeadingCentred"/>
            </w:pPr>
            <w:r w:rsidRPr="005002CA">
              <w:t>With OO</w:t>
            </w:r>
          </w:p>
        </w:tc>
        <w:tc>
          <w:tcPr>
            <w:tcW w:w="1605" w:type="dxa"/>
            <w:tcBorders>
              <w:left w:val="nil"/>
              <w:bottom w:val="single" w:sz="4" w:space="0" w:color="auto"/>
              <w:right w:val="nil"/>
            </w:tcBorders>
            <w:shd w:val="clear" w:color="auto" w:fill="auto"/>
            <w:noWrap/>
            <w:vAlign w:val="center"/>
            <w:hideMark/>
          </w:tcPr>
          <w:p w14:paraId="666F7121" w14:textId="1F2D1135" w:rsidR="001C7E53" w:rsidRPr="005002CA" w:rsidRDefault="001C7E53" w:rsidP="00A11622">
            <w:pPr>
              <w:pStyle w:val="TableColumnHeadingCentred"/>
            </w:pPr>
            <w:r w:rsidRPr="005002CA">
              <w:t>Sub</w:t>
            </w:r>
            <w:r w:rsidR="0018466E">
              <w:noBreakHyphen/>
            </w:r>
            <w:r w:rsidRPr="005002CA">
              <w:t>sample OO</w:t>
            </w:r>
          </w:p>
        </w:tc>
      </w:tr>
      <w:tr w:rsidR="001C7E53" w:rsidRPr="005002CA" w14:paraId="5C4D4D04" w14:textId="77777777" w:rsidTr="001D0062">
        <w:trPr>
          <w:trHeight w:val="283"/>
        </w:trPr>
        <w:tc>
          <w:tcPr>
            <w:tcW w:w="2183" w:type="dxa"/>
            <w:tcBorders>
              <w:top w:val="nil"/>
              <w:left w:val="nil"/>
              <w:bottom w:val="nil"/>
              <w:right w:val="nil"/>
            </w:tcBorders>
            <w:shd w:val="clear" w:color="auto" w:fill="auto"/>
            <w:noWrap/>
            <w:vAlign w:val="bottom"/>
            <w:hideMark/>
          </w:tcPr>
          <w:p w14:paraId="17DD2CC0" w14:textId="77777777" w:rsidR="001C7E53" w:rsidRPr="005002CA" w:rsidRDefault="001C7E53" w:rsidP="00A11622">
            <w:pPr>
              <w:spacing w:after="0"/>
              <w:jc w:val="center"/>
              <w:rPr>
                <w:rFonts w:cs="Calibri"/>
                <w:color w:val="000000"/>
                <w:sz w:val="20"/>
              </w:rPr>
            </w:pPr>
          </w:p>
        </w:tc>
        <w:tc>
          <w:tcPr>
            <w:tcW w:w="1056" w:type="dxa"/>
            <w:tcBorders>
              <w:top w:val="single" w:sz="4" w:space="0" w:color="auto"/>
              <w:left w:val="nil"/>
              <w:bottom w:val="nil"/>
              <w:right w:val="nil"/>
            </w:tcBorders>
            <w:shd w:val="clear" w:color="auto" w:fill="auto"/>
            <w:noWrap/>
            <w:vAlign w:val="center"/>
            <w:hideMark/>
          </w:tcPr>
          <w:p w14:paraId="1B0A83B1"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c>
          <w:tcPr>
            <w:tcW w:w="1056" w:type="dxa"/>
            <w:tcBorders>
              <w:top w:val="single" w:sz="4" w:space="0" w:color="auto"/>
              <w:left w:val="nil"/>
              <w:bottom w:val="nil"/>
              <w:right w:val="nil"/>
            </w:tcBorders>
            <w:shd w:val="clear" w:color="auto" w:fill="auto"/>
            <w:noWrap/>
            <w:vAlign w:val="center"/>
            <w:hideMark/>
          </w:tcPr>
          <w:p w14:paraId="7D6ACAC7"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c>
          <w:tcPr>
            <w:tcW w:w="1605" w:type="dxa"/>
            <w:tcBorders>
              <w:top w:val="single" w:sz="4" w:space="0" w:color="auto"/>
              <w:left w:val="nil"/>
              <w:bottom w:val="nil"/>
              <w:right w:val="nil"/>
            </w:tcBorders>
            <w:shd w:val="clear" w:color="auto" w:fill="auto"/>
            <w:noWrap/>
            <w:vAlign w:val="center"/>
            <w:hideMark/>
          </w:tcPr>
          <w:p w14:paraId="04F23E51"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r>
      <w:tr w:rsidR="001C7E53" w:rsidRPr="005002CA" w14:paraId="788732B1" w14:textId="77777777" w:rsidTr="001D0062">
        <w:trPr>
          <w:trHeight w:val="283"/>
        </w:trPr>
        <w:tc>
          <w:tcPr>
            <w:tcW w:w="2183" w:type="dxa"/>
            <w:tcBorders>
              <w:top w:val="nil"/>
              <w:left w:val="nil"/>
              <w:bottom w:val="nil"/>
              <w:right w:val="nil"/>
            </w:tcBorders>
            <w:shd w:val="clear" w:color="auto" w:fill="auto"/>
            <w:noWrap/>
            <w:vAlign w:val="bottom"/>
            <w:hideMark/>
          </w:tcPr>
          <w:p w14:paraId="1C907702" w14:textId="77777777" w:rsidR="001C7E53" w:rsidRPr="005002CA" w:rsidRDefault="001C7E53" w:rsidP="00F91AE4">
            <w:pPr>
              <w:pStyle w:val="TableTextLeft"/>
            </w:pPr>
            <w:r w:rsidRPr="005002CA">
              <w:t>Concentration</w:t>
            </w:r>
          </w:p>
        </w:tc>
        <w:tc>
          <w:tcPr>
            <w:tcW w:w="1056" w:type="dxa"/>
            <w:tcBorders>
              <w:top w:val="nil"/>
              <w:left w:val="nil"/>
              <w:bottom w:val="nil"/>
              <w:right w:val="nil"/>
            </w:tcBorders>
            <w:shd w:val="clear" w:color="auto" w:fill="auto"/>
            <w:noWrap/>
            <w:vAlign w:val="center"/>
            <w:hideMark/>
          </w:tcPr>
          <w:p w14:paraId="6D32586C" w14:textId="72B0306E" w:rsidR="001C7E53" w:rsidRPr="005002CA" w:rsidRDefault="0018466E" w:rsidP="00A11622">
            <w:pPr>
              <w:pStyle w:val="TableTextCentered"/>
            </w:pPr>
            <w:r>
              <w:noBreakHyphen/>
            </w:r>
            <w:r w:rsidR="001C7E53" w:rsidRPr="005002CA">
              <w:t>0.122***</w:t>
            </w:r>
          </w:p>
        </w:tc>
        <w:tc>
          <w:tcPr>
            <w:tcW w:w="1056" w:type="dxa"/>
            <w:tcBorders>
              <w:top w:val="nil"/>
              <w:left w:val="nil"/>
              <w:bottom w:val="nil"/>
              <w:right w:val="nil"/>
            </w:tcBorders>
            <w:shd w:val="clear" w:color="auto" w:fill="auto"/>
            <w:noWrap/>
            <w:vAlign w:val="center"/>
            <w:hideMark/>
          </w:tcPr>
          <w:p w14:paraId="3F771920" w14:textId="408A4BF6" w:rsidR="001C7E53" w:rsidRPr="005002CA" w:rsidRDefault="0018466E" w:rsidP="00A11622">
            <w:pPr>
              <w:pStyle w:val="TableTextCentered"/>
            </w:pPr>
            <w:r>
              <w:noBreakHyphen/>
            </w:r>
            <w:r w:rsidR="001C7E53" w:rsidRPr="005002CA">
              <w:t>0.104***</w:t>
            </w:r>
          </w:p>
        </w:tc>
        <w:tc>
          <w:tcPr>
            <w:tcW w:w="1605" w:type="dxa"/>
            <w:tcBorders>
              <w:top w:val="nil"/>
              <w:left w:val="nil"/>
              <w:bottom w:val="nil"/>
              <w:right w:val="nil"/>
            </w:tcBorders>
            <w:shd w:val="clear" w:color="auto" w:fill="auto"/>
            <w:noWrap/>
            <w:vAlign w:val="center"/>
            <w:hideMark/>
          </w:tcPr>
          <w:p w14:paraId="570BBE0F" w14:textId="155C824B" w:rsidR="001C7E53" w:rsidRPr="005002CA" w:rsidRDefault="0018466E" w:rsidP="00A11622">
            <w:pPr>
              <w:pStyle w:val="TableTextCentered"/>
            </w:pPr>
            <w:r>
              <w:noBreakHyphen/>
            </w:r>
            <w:r w:rsidR="001C7E53" w:rsidRPr="005002CA">
              <w:t>0.047**</w:t>
            </w:r>
          </w:p>
        </w:tc>
      </w:tr>
      <w:tr w:rsidR="001C7E53" w:rsidRPr="005002CA" w14:paraId="6CC2AF5F" w14:textId="77777777" w:rsidTr="001D0062">
        <w:trPr>
          <w:trHeight w:val="283"/>
        </w:trPr>
        <w:tc>
          <w:tcPr>
            <w:tcW w:w="2183" w:type="dxa"/>
            <w:tcBorders>
              <w:top w:val="nil"/>
              <w:left w:val="nil"/>
              <w:bottom w:val="nil"/>
              <w:right w:val="nil"/>
            </w:tcBorders>
            <w:shd w:val="clear" w:color="auto" w:fill="auto"/>
            <w:noWrap/>
            <w:vAlign w:val="bottom"/>
            <w:hideMark/>
          </w:tcPr>
          <w:p w14:paraId="75B0AA0E"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1578E1BC" w14:textId="77777777" w:rsidR="001C7E53" w:rsidRPr="005002CA" w:rsidRDefault="001C7E53" w:rsidP="00A11622">
            <w:pPr>
              <w:pStyle w:val="TableTextCentered"/>
            </w:pPr>
            <w:r w:rsidRPr="005002CA">
              <w:t>(0.008)</w:t>
            </w:r>
          </w:p>
        </w:tc>
        <w:tc>
          <w:tcPr>
            <w:tcW w:w="1056" w:type="dxa"/>
            <w:tcBorders>
              <w:top w:val="nil"/>
              <w:left w:val="nil"/>
              <w:bottom w:val="nil"/>
              <w:right w:val="nil"/>
            </w:tcBorders>
            <w:shd w:val="clear" w:color="auto" w:fill="auto"/>
            <w:noWrap/>
            <w:vAlign w:val="center"/>
            <w:hideMark/>
          </w:tcPr>
          <w:p w14:paraId="5978AC82" w14:textId="77777777" w:rsidR="001C7E53" w:rsidRPr="005002CA" w:rsidRDefault="001C7E53" w:rsidP="00A11622">
            <w:pPr>
              <w:pStyle w:val="TableTextCentered"/>
            </w:pPr>
            <w:r w:rsidRPr="005002CA">
              <w:t>(0.014)</w:t>
            </w:r>
          </w:p>
        </w:tc>
        <w:tc>
          <w:tcPr>
            <w:tcW w:w="1605" w:type="dxa"/>
            <w:tcBorders>
              <w:top w:val="nil"/>
              <w:left w:val="nil"/>
              <w:bottom w:val="nil"/>
              <w:right w:val="nil"/>
            </w:tcBorders>
            <w:shd w:val="clear" w:color="auto" w:fill="auto"/>
            <w:noWrap/>
            <w:vAlign w:val="center"/>
            <w:hideMark/>
          </w:tcPr>
          <w:p w14:paraId="057ECE72" w14:textId="77777777" w:rsidR="001C7E53" w:rsidRPr="005002CA" w:rsidRDefault="001C7E53" w:rsidP="00A11622">
            <w:pPr>
              <w:pStyle w:val="TableTextCentered"/>
            </w:pPr>
            <w:r w:rsidRPr="005002CA">
              <w:t>(0.020)</w:t>
            </w:r>
          </w:p>
        </w:tc>
      </w:tr>
      <w:tr w:rsidR="001C7E53" w:rsidRPr="005002CA" w14:paraId="1BAA9DFC" w14:textId="77777777" w:rsidTr="001D0062">
        <w:trPr>
          <w:trHeight w:val="283"/>
        </w:trPr>
        <w:tc>
          <w:tcPr>
            <w:tcW w:w="2183" w:type="dxa"/>
            <w:tcBorders>
              <w:top w:val="nil"/>
              <w:left w:val="nil"/>
              <w:bottom w:val="nil"/>
              <w:right w:val="nil"/>
            </w:tcBorders>
            <w:shd w:val="clear" w:color="auto" w:fill="auto"/>
            <w:noWrap/>
            <w:vAlign w:val="bottom"/>
            <w:hideMark/>
          </w:tcPr>
          <w:p w14:paraId="03CEC60D"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2E90A1FD"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7DA32266"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center"/>
            <w:hideMark/>
          </w:tcPr>
          <w:p w14:paraId="766BABCC" w14:textId="77777777" w:rsidR="001C7E53" w:rsidRPr="005002CA" w:rsidRDefault="001C7E53" w:rsidP="00A11622">
            <w:pPr>
              <w:pStyle w:val="TableTextCentered"/>
              <w:rPr>
                <w:rFonts w:ascii="Times New Roman" w:hAnsi="Times New Roman"/>
              </w:rPr>
            </w:pPr>
          </w:p>
        </w:tc>
      </w:tr>
      <w:tr w:rsidR="001C7E53" w:rsidRPr="005002CA" w14:paraId="388A4593" w14:textId="77777777" w:rsidTr="001D0062">
        <w:trPr>
          <w:trHeight w:val="283"/>
        </w:trPr>
        <w:tc>
          <w:tcPr>
            <w:tcW w:w="2183" w:type="dxa"/>
            <w:tcBorders>
              <w:top w:val="nil"/>
              <w:left w:val="nil"/>
              <w:bottom w:val="nil"/>
              <w:right w:val="nil"/>
            </w:tcBorders>
            <w:shd w:val="clear" w:color="auto" w:fill="auto"/>
            <w:noWrap/>
            <w:vAlign w:val="bottom"/>
            <w:hideMark/>
          </w:tcPr>
          <w:p w14:paraId="7B7B7D2C" w14:textId="77777777" w:rsidR="001C7E53" w:rsidRPr="005002CA" w:rsidRDefault="001C7E53" w:rsidP="00F91AE4">
            <w:pPr>
              <w:pStyle w:val="TableTextLeft"/>
            </w:pPr>
            <w:r w:rsidRPr="005002CA">
              <w:t>Outside option</w:t>
            </w:r>
          </w:p>
        </w:tc>
        <w:tc>
          <w:tcPr>
            <w:tcW w:w="1056" w:type="dxa"/>
            <w:tcBorders>
              <w:top w:val="nil"/>
              <w:left w:val="nil"/>
              <w:bottom w:val="nil"/>
              <w:right w:val="nil"/>
            </w:tcBorders>
            <w:shd w:val="clear" w:color="auto" w:fill="auto"/>
            <w:noWrap/>
            <w:vAlign w:val="center"/>
            <w:hideMark/>
          </w:tcPr>
          <w:p w14:paraId="4B7DFCC4"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bottom"/>
            <w:hideMark/>
          </w:tcPr>
          <w:p w14:paraId="3B56C7BD" w14:textId="77777777" w:rsidR="001C7E53" w:rsidRPr="005002CA" w:rsidRDefault="001C7E53" w:rsidP="00A11622">
            <w:pPr>
              <w:pStyle w:val="TableTextCentered"/>
            </w:pPr>
            <w:r w:rsidRPr="005002CA">
              <w:t>0.040***</w:t>
            </w:r>
          </w:p>
        </w:tc>
        <w:tc>
          <w:tcPr>
            <w:tcW w:w="1605" w:type="dxa"/>
            <w:tcBorders>
              <w:top w:val="nil"/>
              <w:left w:val="nil"/>
              <w:bottom w:val="nil"/>
              <w:right w:val="nil"/>
            </w:tcBorders>
            <w:shd w:val="clear" w:color="auto" w:fill="auto"/>
            <w:noWrap/>
            <w:vAlign w:val="center"/>
            <w:hideMark/>
          </w:tcPr>
          <w:p w14:paraId="0B398404" w14:textId="77777777" w:rsidR="001C7E53" w:rsidRPr="005002CA" w:rsidRDefault="001C7E53" w:rsidP="00A11622">
            <w:pPr>
              <w:pStyle w:val="TableTextCentered"/>
            </w:pPr>
            <w:r w:rsidRPr="005002CA">
              <w:t>0.050***</w:t>
            </w:r>
          </w:p>
        </w:tc>
      </w:tr>
      <w:tr w:rsidR="001C7E53" w:rsidRPr="005002CA" w14:paraId="55910D9D" w14:textId="77777777" w:rsidTr="001D0062">
        <w:trPr>
          <w:trHeight w:val="283"/>
        </w:trPr>
        <w:tc>
          <w:tcPr>
            <w:tcW w:w="2183" w:type="dxa"/>
            <w:tcBorders>
              <w:top w:val="nil"/>
              <w:left w:val="nil"/>
              <w:bottom w:val="nil"/>
              <w:right w:val="nil"/>
            </w:tcBorders>
            <w:shd w:val="clear" w:color="auto" w:fill="auto"/>
            <w:noWrap/>
            <w:vAlign w:val="bottom"/>
            <w:hideMark/>
          </w:tcPr>
          <w:p w14:paraId="2B9BF41E"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18F0E2F7"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bottom"/>
            <w:hideMark/>
          </w:tcPr>
          <w:p w14:paraId="6C3FDCD1" w14:textId="77777777" w:rsidR="001C7E53" w:rsidRPr="005002CA" w:rsidRDefault="001C7E53" w:rsidP="00A11622">
            <w:pPr>
              <w:pStyle w:val="TableTextCentered"/>
            </w:pPr>
            <w:r w:rsidRPr="005002CA">
              <w:t>(0.004)</w:t>
            </w:r>
          </w:p>
        </w:tc>
        <w:tc>
          <w:tcPr>
            <w:tcW w:w="1605" w:type="dxa"/>
            <w:tcBorders>
              <w:top w:val="nil"/>
              <w:left w:val="nil"/>
              <w:bottom w:val="nil"/>
              <w:right w:val="nil"/>
            </w:tcBorders>
            <w:shd w:val="clear" w:color="auto" w:fill="auto"/>
            <w:noWrap/>
            <w:vAlign w:val="bottom"/>
            <w:hideMark/>
          </w:tcPr>
          <w:p w14:paraId="69073BE1" w14:textId="77777777" w:rsidR="001C7E53" w:rsidRPr="005002CA" w:rsidRDefault="001C7E53" w:rsidP="00A11622">
            <w:pPr>
              <w:pStyle w:val="TableTextCentered"/>
            </w:pPr>
            <w:r w:rsidRPr="005002CA">
              <w:t>(0.004)</w:t>
            </w:r>
          </w:p>
        </w:tc>
      </w:tr>
      <w:tr w:rsidR="001C7E53" w:rsidRPr="005002CA" w14:paraId="3F1FA7D1" w14:textId="77777777" w:rsidTr="001D0062">
        <w:trPr>
          <w:trHeight w:val="283"/>
        </w:trPr>
        <w:tc>
          <w:tcPr>
            <w:tcW w:w="2183" w:type="dxa"/>
            <w:vMerge w:val="restart"/>
            <w:tcBorders>
              <w:top w:val="nil"/>
              <w:left w:val="nil"/>
              <w:bottom w:val="nil"/>
              <w:right w:val="nil"/>
            </w:tcBorders>
            <w:shd w:val="clear" w:color="auto" w:fill="auto"/>
            <w:vAlign w:val="bottom"/>
            <w:hideMark/>
          </w:tcPr>
          <w:p w14:paraId="38C428EF" w14:textId="77777777" w:rsidR="001C7E53" w:rsidRPr="005002CA" w:rsidRDefault="001C7E53" w:rsidP="00F91AE4">
            <w:pPr>
              <w:pStyle w:val="TableTextLeft"/>
            </w:pPr>
            <w:r w:rsidRPr="005002CA">
              <w:t>Concentration * GFC</w:t>
            </w:r>
          </w:p>
        </w:tc>
        <w:tc>
          <w:tcPr>
            <w:tcW w:w="1056" w:type="dxa"/>
            <w:tcBorders>
              <w:top w:val="nil"/>
              <w:left w:val="nil"/>
              <w:bottom w:val="nil"/>
              <w:right w:val="nil"/>
            </w:tcBorders>
            <w:shd w:val="clear" w:color="auto" w:fill="auto"/>
            <w:noWrap/>
            <w:vAlign w:val="center"/>
            <w:hideMark/>
          </w:tcPr>
          <w:p w14:paraId="58633E0D"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725061C5"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center"/>
            <w:hideMark/>
          </w:tcPr>
          <w:p w14:paraId="10C3B5BC" w14:textId="77777777" w:rsidR="001C7E53" w:rsidRPr="005002CA" w:rsidRDefault="001C7E53" w:rsidP="00A11622">
            <w:pPr>
              <w:pStyle w:val="TableTextCentered"/>
              <w:rPr>
                <w:rFonts w:ascii="Times New Roman" w:hAnsi="Times New Roman"/>
              </w:rPr>
            </w:pPr>
          </w:p>
        </w:tc>
      </w:tr>
      <w:tr w:rsidR="001C7E53" w:rsidRPr="005002CA" w14:paraId="29D5C584" w14:textId="77777777" w:rsidTr="001D0062">
        <w:trPr>
          <w:trHeight w:val="283"/>
        </w:trPr>
        <w:tc>
          <w:tcPr>
            <w:tcW w:w="2183" w:type="dxa"/>
            <w:vMerge/>
            <w:tcBorders>
              <w:top w:val="nil"/>
              <w:left w:val="nil"/>
              <w:bottom w:val="nil"/>
              <w:right w:val="nil"/>
            </w:tcBorders>
            <w:vAlign w:val="center"/>
            <w:hideMark/>
          </w:tcPr>
          <w:p w14:paraId="3C75D172"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0EF0D80F"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489D8287"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5DA54F08" w14:textId="14219E53" w:rsidR="001C7E53" w:rsidRPr="005002CA" w:rsidRDefault="0018466E" w:rsidP="00A11622">
            <w:pPr>
              <w:pStyle w:val="TableTextCentered"/>
            </w:pPr>
            <w:r>
              <w:noBreakHyphen/>
            </w:r>
            <w:r w:rsidR="001C7E53" w:rsidRPr="005002CA">
              <w:t>0.076***</w:t>
            </w:r>
          </w:p>
        </w:tc>
      </w:tr>
      <w:tr w:rsidR="001C7E53" w:rsidRPr="005002CA" w14:paraId="2AA5BC7F" w14:textId="77777777" w:rsidTr="001D0062">
        <w:trPr>
          <w:trHeight w:val="283"/>
        </w:trPr>
        <w:tc>
          <w:tcPr>
            <w:tcW w:w="2183" w:type="dxa"/>
            <w:tcBorders>
              <w:top w:val="nil"/>
              <w:left w:val="nil"/>
              <w:bottom w:val="nil"/>
              <w:right w:val="nil"/>
            </w:tcBorders>
            <w:shd w:val="clear" w:color="auto" w:fill="auto"/>
            <w:noWrap/>
            <w:vAlign w:val="bottom"/>
            <w:hideMark/>
          </w:tcPr>
          <w:p w14:paraId="09072A1B"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72E6F66B"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218851F2"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05BC7A1F" w14:textId="77777777" w:rsidR="001C7E53" w:rsidRPr="005002CA" w:rsidRDefault="001C7E53" w:rsidP="00A11622">
            <w:pPr>
              <w:pStyle w:val="TableTextCentered"/>
            </w:pPr>
            <w:r w:rsidRPr="005002CA">
              <w:t>(0.021)</w:t>
            </w:r>
          </w:p>
        </w:tc>
      </w:tr>
      <w:tr w:rsidR="001C7E53" w:rsidRPr="005002CA" w14:paraId="123FC2CF" w14:textId="77777777" w:rsidTr="001D0062">
        <w:trPr>
          <w:trHeight w:val="283"/>
        </w:trPr>
        <w:tc>
          <w:tcPr>
            <w:tcW w:w="2183" w:type="dxa"/>
            <w:tcBorders>
              <w:top w:val="nil"/>
              <w:left w:val="nil"/>
              <w:bottom w:val="nil"/>
              <w:right w:val="nil"/>
            </w:tcBorders>
            <w:shd w:val="clear" w:color="auto" w:fill="auto"/>
            <w:noWrap/>
            <w:vAlign w:val="bottom"/>
            <w:hideMark/>
          </w:tcPr>
          <w:p w14:paraId="333D27AF"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4C282C5B"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3C3A7959"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center"/>
            <w:hideMark/>
          </w:tcPr>
          <w:p w14:paraId="2A4E2074" w14:textId="77777777" w:rsidR="001C7E53" w:rsidRPr="005002CA" w:rsidRDefault="001C7E53" w:rsidP="00A11622">
            <w:pPr>
              <w:pStyle w:val="TableTextCentered"/>
              <w:rPr>
                <w:rFonts w:ascii="Times New Roman" w:hAnsi="Times New Roman"/>
              </w:rPr>
            </w:pPr>
          </w:p>
        </w:tc>
      </w:tr>
      <w:tr w:rsidR="001C7E53" w:rsidRPr="005002CA" w14:paraId="61691FCF" w14:textId="77777777" w:rsidTr="001D0062">
        <w:trPr>
          <w:trHeight w:val="283"/>
        </w:trPr>
        <w:tc>
          <w:tcPr>
            <w:tcW w:w="2183" w:type="dxa"/>
            <w:vMerge w:val="restart"/>
            <w:tcBorders>
              <w:top w:val="nil"/>
              <w:left w:val="nil"/>
              <w:bottom w:val="nil"/>
              <w:right w:val="nil"/>
            </w:tcBorders>
            <w:shd w:val="clear" w:color="auto" w:fill="auto"/>
            <w:vAlign w:val="bottom"/>
            <w:hideMark/>
          </w:tcPr>
          <w:p w14:paraId="3321294F" w14:textId="77777777" w:rsidR="001C7E53" w:rsidRPr="005002CA" w:rsidRDefault="001C7E53" w:rsidP="00F91AE4">
            <w:pPr>
              <w:pStyle w:val="TableTextLeft"/>
            </w:pPr>
            <w:r w:rsidRPr="005002CA">
              <w:t>Concentration * Post GFC</w:t>
            </w:r>
          </w:p>
        </w:tc>
        <w:tc>
          <w:tcPr>
            <w:tcW w:w="1056" w:type="dxa"/>
            <w:tcBorders>
              <w:top w:val="nil"/>
              <w:left w:val="nil"/>
              <w:bottom w:val="nil"/>
              <w:right w:val="nil"/>
            </w:tcBorders>
            <w:shd w:val="clear" w:color="auto" w:fill="auto"/>
            <w:noWrap/>
            <w:vAlign w:val="center"/>
            <w:hideMark/>
          </w:tcPr>
          <w:p w14:paraId="1A3A98B0"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55005B5F"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09BE37A3" w14:textId="32556236" w:rsidR="001C7E53" w:rsidRPr="005002CA" w:rsidRDefault="0018466E" w:rsidP="00A11622">
            <w:pPr>
              <w:pStyle w:val="TableTextCentered"/>
            </w:pPr>
            <w:r>
              <w:noBreakHyphen/>
            </w:r>
            <w:r w:rsidR="001C7E53" w:rsidRPr="005002CA">
              <w:t>0.083***</w:t>
            </w:r>
          </w:p>
        </w:tc>
      </w:tr>
      <w:tr w:rsidR="001C7E53" w:rsidRPr="005002CA" w14:paraId="0D46F3BA" w14:textId="77777777" w:rsidTr="001D0062">
        <w:trPr>
          <w:trHeight w:val="283"/>
        </w:trPr>
        <w:tc>
          <w:tcPr>
            <w:tcW w:w="2183" w:type="dxa"/>
            <w:vMerge/>
            <w:tcBorders>
              <w:top w:val="nil"/>
              <w:left w:val="nil"/>
              <w:bottom w:val="nil"/>
              <w:right w:val="nil"/>
            </w:tcBorders>
            <w:vAlign w:val="center"/>
            <w:hideMark/>
          </w:tcPr>
          <w:p w14:paraId="18F63FDD"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39FCB7D5"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2F254936"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4476667F" w14:textId="77777777" w:rsidR="001C7E53" w:rsidRPr="005002CA" w:rsidRDefault="001C7E53" w:rsidP="00A11622">
            <w:pPr>
              <w:pStyle w:val="TableTextCentered"/>
            </w:pPr>
            <w:r w:rsidRPr="005002CA">
              <w:t>(0.021)</w:t>
            </w:r>
          </w:p>
        </w:tc>
      </w:tr>
      <w:tr w:rsidR="001C7E53" w:rsidRPr="005002CA" w14:paraId="686F32A9" w14:textId="77777777" w:rsidTr="001D0062">
        <w:trPr>
          <w:trHeight w:val="283"/>
        </w:trPr>
        <w:tc>
          <w:tcPr>
            <w:tcW w:w="2183" w:type="dxa"/>
            <w:tcBorders>
              <w:top w:val="nil"/>
              <w:left w:val="nil"/>
              <w:bottom w:val="nil"/>
              <w:right w:val="nil"/>
            </w:tcBorders>
            <w:shd w:val="clear" w:color="auto" w:fill="auto"/>
            <w:noWrap/>
            <w:vAlign w:val="bottom"/>
            <w:hideMark/>
          </w:tcPr>
          <w:p w14:paraId="7600D506"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18F938B3"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2C00E5B3"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center"/>
            <w:hideMark/>
          </w:tcPr>
          <w:p w14:paraId="3978C01F" w14:textId="77777777" w:rsidR="001C7E53" w:rsidRPr="005002CA" w:rsidRDefault="001C7E53" w:rsidP="00A11622">
            <w:pPr>
              <w:pStyle w:val="TableTextCentered"/>
              <w:rPr>
                <w:rFonts w:ascii="Times New Roman" w:hAnsi="Times New Roman"/>
              </w:rPr>
            </w:pPr>
          </w:p>
        </w:tc>
      </w:tr>
      <w:tr w:rsidR="001C7E53" w:rsidRPr="005002CA" w14:paraId="4A0D159B" w14:textId="77777777" w:rsidTr="001D0062">
        <w:trPr>
          <w:trHeight w:val="283"/>
        </w:trPr>
        <w:tc>
          <w:tcPr>
            <w:tcW w:w="2183" w:type="dxa"/>
            <w:vMerge w:val="restart"/>
            <w:tcBorders>
              <w:top w:val="nil"/>
              <w:left w:val="nil"/>
              <w:bottom w:val="nil"/>
              <w:right w:val="nil"/>
            </w:tcBorders>
            <w:shd w:val="clear" w:color="auto" w:fill="auto"/>
            <w:vAlign w:val="bottom"/>
            <w:hideMark/>
          </w:tcPr>
          <w:p w14:paraId="0CF76F97" w14:textId="77777777" w:rsidR="001C7E53" w:rsidRPr="005002CA" w:rsidRDefault="001C7E53" w:rsidP="00F91AE4">
            <w:pPr>
              <w:pStyle w:val="TableTextLeft"/>
            </w:pPr>
            <w:r w:rsidRPr="005002CA">
              <w:t>Outside option * GFC</w:t>
            </w:r>
          </w:p>
        </w:tc>
        <w:tc>
          <w:tcPr>
            <w:tcW w:w="1056" w:type="dxa"/>
            <w:tcBorders>
              <w:top w:val="nil"/>
              <w:left w:val="nil"/>
              <w:bottom w:val="nil"/>
              <w:right w:val="nil"/>
            </w:tcBorders>
            <w:shd w:val="clear" w:color="auto" w:fill="auto"/>
            <w:noWrap/>
            <w:vAlign w:val="center"/>
            <w:hideMark/>
          </w:tcPr>
          <w:p w14:paraId="0B80A071"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6097C572"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397EA1AC" w14:textId="37827498" w:rsidR="001C7E53" w:rsidRPr="005002CA" w:rsidRDefault="0018466E" w:rsidP="00A11622">
            <w:pPr>
              <w:pStyle w:val="TableTextCentered"/>
            </w:pPr>
            <w:r>
              <w:noBreakHyphen/>
            </w:r>
            <w:r w:rsidR="001C7E53" w:rsidRPr="005002CA">
              <w:t>0.010***</w:t>
            </w:r>
          </w:p>
        </w:tc>
      </w:tr>
      <w:tr w:rsidR="001C7E53" w:rsidRPr="005002CA" w14:paraId="49DAF743" w14:textId="77777777" w:rsidTr="001D0062">
        <w:trPr>
          <w:trHeight w:val="283"/>
        </w:trPr>
        <w:tc>
          <w:tcPr>
            <w:tcW w:w="2183" w:type="dxa"/>
            <w:vMerge/>
            <w:tcBorders>
              <w:top w:val="nil"/>
              <w:left w:val="nil"/>
              <w:bottom w:val="nil"/>
              <w:right w:val="nil"/>
            </w:tcBorders>
            <w:vAlign w:val="center"/>
            <w:hideMark/>
          </w:tcPr>
          <w:p w14:paraId="7302B824"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4A5F3F4E"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430C617C"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4D04BD32" w14:textId="77777777" w:rsidR="001C7E53" w:rsidRPr="005002CA" w:rsidRDefault="001C7E53" w:rsidP="00A11622">
            <w:pPr>
              <w:pStyle w:val="TableTextCentered"/>
            </w:pPr>
            <w:r w:rsidRPr="005002CA">
              <w:t>(0.004)</w:t>
            </w:r>
          </w:p>
        </w:tc>
      </w:tr>
      <w:tr w:rsidR="001C7E53" w:rsidRPr="005002CA" w14:paraId="2BDF0EFC" w14:textId="77777777" w:rsidTr="001D0062">
        <w:trPr>
          <w:trHeight w:val="283"/>
        </w:trPr>
        <w:tc>
          <w:tcPr>
            <w:tcW w:w="2183" w:type="dxa"/>
            <w:tcBorders>
              <w:top w:val="nil"/>
              <w:left w:val="nil"/>
              <w:bottom w:val="nil"/>
              <w:right w:val="nil"/>
            </w:tcBorders>
            <w:shd w:val="clear" w:color="auto" w:fill="auto"/>
            <w:noWrap/>
            <w:vAlign w:val="bottom"/>
            <w:hideMark/>
          </w:tcPr>
          <w:p w14:paraId="704CA5D8" w14:textId="77777777" w:rsidR="001C7E53" w:rsidRPr="005002CA" w:rsidRDefault="001C7E53" w:rsidP="00F91AE4">
            <w:pPr>
              <w:pStyle w:val="TableTextLeft"/>
            </w:pPr>
          </w:p>
        </w:tc>
        <w:tc>
          <w:tcPr>
            <w:tcW w:w="1056" w:type="dxa"/>
            <w:tcBorders>
              <w:top w:val="nil"/>
              <w:left w:val="nil"/>
              <w:bottom w:val="nil"/>
              <w:right w:val="nil"/>
            </w:tcBorders>
            <w:shd w:val="clear" w:color="auto" w:fill="auto"/>
            <w:noWrap/>
            <w:vAlign w:val="center"/>
            <w:hideMark/>
          </w:tcPr>
          <w:p w14:paraId="47834DDF" w14:textId="77777777" w:rsidR="001C7E53" w:rsidRPr="005002CA" w:rsidRDefault="001C7E53" w:rsidP="00A11622">
            <w:pPr>
              <w:pStyle w:val="TableTextCentered"/>
              <w:rPr>
                <w:rFonts w:ascii="Times New Roman" w:hAnsi="Times New Roman"/>
              </w:rPr>
            </w:pPr>
          </w:p>
        </w:tc>
        <w:tc>
          <w:tcPr>
            <w:tcW w:w="1056" w:type="dxa"/>
            <w:tcBorders>
              <w:top w:val="nil"/>
              <w:left w:val="nil"/>
              <w:bottom w:val="nil"/>
              <w:right w:val="nil"/>
            </w:tcBorders>
            <w:shd w:val="clear" w:color="auto" w:fill="auto"/>
            <w:noWrap/>
            <w:vAlign w:val="center"/>
            <w:hideMark/>
          </w:tcPr>
          <w:p w14:paraId="134F4E57"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647D096A" w14:textId="77777777" w:rsidR="001C7E53" w:rsidRPr="005002CA" w:rsidRDefault="001C7E53" w:rsidP="00A11622">
            <w:pPr>
              <w:pStyle w:val="TableTextCentered"/>
              <w:rPr>
                <w:rFonts w:ascii="Times New Roman" w:hAnsi="Times New Roman"/>
              </w:rPr>
            </w:pPr>
          </w:p>
        </w:tc>
      </w:tr>
      <w:tr w:rsidR="001C7E53" w:rsidRPr="005002CA" w14:paraId="3BFF215F" w14:textId="77777777" w:rsidTr="001D0062">
        <w:trPr>
          <w:trHeight w:val="283"/>
        </w:trPr>
        <w:tc>
          <w:tcPr>
            <w:tcW w:w="2183" w:type="dxa"/>
            <w:vMerge w:val="restart"/>
            <w:tcBorders>
              <w:top w:val="nil"/>
              <w:left w:val="nil"/>
              <w:bottom w:val="nil"/>
              <w:right w:val="nil"/>
            </w:tcBorders>
            <w:shd w:val="clear" w:color="auto" w:fill="auto"/>
            <w:vAlign w:val="bottom"/>
            <w:hideMark/>
          </w:tcPr>
          <w:p w14:paraId="274EAD78" w14:textId="77777777" w:rsidR="001C7E53" w:rsidRPr="005002CA" w:rsidRDefault="001C7E53" w:rsidP="00F91AE4">
            <w:pPr>
              <w:pStyle w:val="TableTextLeft"/>
            </w:pPr>
            <w:r w:rsidRPr="005002CA">
              <w:t>Outside option * Post GFC</w:t>
            </w:r>
          </w:p>
        </w:tc>
        <w:tc>
          <w:tcPr>
            <w:tcW w:w="1056" w:type="dxa"/>
            <w:tcBorders>
              <w:top w:val="nil"/>
              <w:left w:val="nil"/>
              <w:bottom w:val="nil"/>
              <w:right w:val="nil"/>
            </w:tcBorders>
            <w:shd w:val="clear" w:color="auto" w:fill="auto"/>
            <w:noWrap/>
            <w:vAlign w:val="center"/>
            <w:hideMark/>
          </w:tcPr>
          <w:p w14:paraId="106198DB" w14:textId="77777777" w:rsidR="001C7E53" w:rsidRPr="005002CA" w:rsidRDefault="001C7E53" w:rsidP="00A11622">
            <w:pPr>
              <w:pStyle w:val="TableTextCentered"/>
            </w:pPr>
          </w:p>
        </w:tc>
        <w:tc>
          <w:tcPr>
            <w:tcW w:w="1056" w:type="dxa"/>
            <w:tcBorders>
              <w:top w:val="nil"/>
              <w:left w:val="nil"/>
              <w:bottom w:val="nil"/>
              <w:right w:val="nil"/>
            </w:tcBorders>
            <w:shd w:val="clear" w:color="auto" w:fill="auto"/>
            <w:noWrap/>
            <w:vAlign w:val="center"/>
            <w:hideMark/>
          </w:tcPr>
          <w:p w14:paraId="0B31CF3F" w14:textId="77777777" w:rsidR="001C7E53" w:rsidRPr="005002CA" w:rsidRDefault="001C7E53" w:rsidP="00A11622">
            <w:pPr>
              <w:pStyle w:val="TableTextCentered"/>
              <w:rPr>
                <w:rFonts w:ascii="Times New Roman" w:hAnsi="Times New Roman"/>
              </w:rPr>
            </w:pPr>
          </w:p>
        </w:tc>
        <w:tc>
          <w:tcPr>
            <w:tcW w:w="1605" w:type="dxa"/>
            <w:tcBorders>
              <w:top w:val="nil"/>
              <w:left w:val="nil"/>
              <w:bottom w:val="nil"/>
              <w:right w:val="nil"/>
            </w:tcBorders>
            <w:shd w:val="clear" w:color="auto" w:fill="auto"/>
            <w:noWrap/>
            <w:vAlign w:val="bottom"/>
            <w:hideMark/>
          </w:tcPr>
          <w:p w14:paraId="10E85485" w14:textId="3098F1E6" w:rsidR="001C7E53" w:rsidRPr="005002CA" w:rsidRDefault="0018466E" w:rsidP="00A11622">
            <w:pPr>
              <w:pStyle w:val="TableTextCentered"/>
            </w:pPr>
            <w:r>
              <w:noBreakHyphen/>
            </w:r>
            <w:r w:rsidR="001C7E53" w:rsidRPr="005002CA">
              <w:t>0.020***</w:t>
            </w:r>
          </w:p>
        </w:tc>
      </w:tr>
      <w:tr w:rsidR="001C7E53" w:rsidRPr="005002CA" w14:paraId="53BB9A75" w14:textId="77777777" w:rsidTr="001D0062">
        <w:trPr>
          <w:trHeight w:val="283"/>
        </w:trPr>
        <w:tc>
          <w:tcPr>
            <w:tcW w:w="2183" w:type="dxa"/>
            <w:vMerge/>
            <w:tcBorders>
              <w:top w:val="nil"/>
              <w:left w:val="nil"/>
              <w:bottom w:val="nil"/>
              <w:right w:val="nil"/>
            </w:tcBorders>
            <w:vAlign w:val="center"/>
            <w:hideMark/>
          </w:tcPr>
          <w:p w14:paraId="45B0160C" w14:textId="77777777" w:rsidR="001C7E53" w:rsidRPr="005002CA" w:rsidRDefault="001C7E53" w:rsidP="00F91AE4">
            <w:pPr>
              <w:spacing w:after="0"/>
              <w:rPr>
                <w:rFonts w:cs="Calibri"/>
                <w:color w:val="000000"/>
                <w:sz w:val="20"/>
              </w:rPr>
            </w:pPr>
          </w:p>
        </w:tc>
        <w:tc>
          <w:tcPr>
            <w:tcW w:w="1056" w:type="dxa"/>
            <w:tcBorders>
              <w:top w:val="nil"/>
              <w:left w:val="nil"/>
              <w:bottom w:val="nil"/>
              <w:right w:val="nil"/>
            </w:tcBorders>
            <w:shd w:val="clear" w:color="auto" w:fill="auto"/>
            <w:noWrap/>
            <w:vAlign w:val="center"/>
            <w:hideMark/>
          </w:tcPr>
          <w:p w14:paraId="0F4AB0B7" w14:textId="77777777" w:rsidR="001C7E53" w:rsidRPr="005002CA" w:rsidRDefault="001C7E53" w:rsidP="00A11622">
            <w:pPr>
              <w:spacing w:after="0"/>
              <w:jc w:val="center"/>
              <w:rPr>
                <w:rFonts w:cs="Calibri"/>
                <w:color w:val="000000"/>
                <w:sz w:val="20"/>
              </w:rPr>
            </w:pPr>
          </w:p>
        </w:tc>
        <w:tc>
          <w:tcPr>
            <w:tcW w:w="1056" w:type="dxa"/>
            <w:tcBorders>
              <w:top w:val="nil"/>
              <w:left w:val="nil"/>
              <w:bottom w:val="nil"/>
              <w:right w:val="nil"/>
            </w:tcBorders>
            <w:shd w:val="clear" w:color="auto" w:fill="auto"/>
            <w:noWrap/>
            <w:vAlign w:val="center"/>
            <w:hideMark/>
          </w:tcPr>
          <w:p w14:paraId="3F6A149A" w14:textId="77777777" w:rsidR="001C7E53" w:rsidRPr="005002CA" w:rsidRDefault="001C7E53" w:rsidP="00A11622">
            <w:pPr>
              <w:spacing w:after="0"/>
              <w:jc w:val="center"/>
              <w:rPr>
                <w:rFonts w:ascii="Times New Roman" w:hAnsi="Times New Roman"/>
                <w:sz w:val="20"/>
              </w:rPr>
            </w:pPr>
          </w:p>
        </w:tc>
        <w:tc>
          <w:tcPr>
            <w:tcW w:w="1605" w:type="dxa"/>
            <w:tcBorders>
              <w:top w:val="nil"/>
              <w:left w:val="nil"/>
              <w:bottom w:val="nil"/>
              <w:right w:val="nil"/>
            </w:tcBorders>
            <w:shd w:val="clear" w:color="auto" w:fill="auto"/>
            <w:noWrap/>
            <w:vAlign w:val="bottom"/>
            <w:hideMark/>
          </w:tcPr>
          <w:p w14:paraId="63A533A8" w14:textId="77777777" w:rsidR="001C7E53" w:rsidRPr="005002CA" w:rsidRDefault="001C7E53" w:rsidP="00A11622">
            <w:pPr>
              <w:pStyle w:val="TableTextCentered"/>
            </w:pPr>
            <w:r w:rsidRPr="005002CA">
              <w:t>(0.004)</w:t>
            </w:r>
          </w:p>
        </w:tc>
      </w:tr>
      <w:tr w:rsidR="001C7E53" w:rsidRPr="005002CA" w14:paraId="2DDBF8BD" w14:textId="77777777" w:rsidTr="001D0062">
        <w:trPr>
          <w:trHeight w:val="283"/>
        </w:trPr>
        <w:tc>
          <w:tcPr>
            <w:tcW w:w="2183" w:type="dxa"/>
            <w:tcBorders>
              <w:top w:val="nil"/>
              <w:left w:val="nil"/>
              <w:bottom w:val="single" w:sz="4" w:space="0" w:color="auto"/>
              <w:right w:val="nil"/>
            </w:tcBorders>
            <w:shd w:val="clear" w:color="auto" w:fill="auto"/>
            <w:noWrap/>
            <w:vAlign w:val="bottom"/>
            <w:hideMark/>
          </w:tcPr>
          <w:p w14:paraId="5F215FF5" w14:textId="77777777" w:rsidR="001C7E53" w:rsidRPr="005002CA" w:rsidRDefault="001C7E53" w:rsidP="00F91AE4">
            <w:pPr>
              <w:spacing w:after="0"/>
              <w:rPr>
                <w:rFonts w:cs="Calibri"/>
                <w:color w:val="000000"/>
                <w:sz w:val="20"/>
              </w:rPr>
            </w:pPr>
            <w:r w:rsidRPr="005002CA">
              <w:rPr>
                <w:rFonts w:cs="Calibri"/>
                <w:color w:val="000000"/>
                <w:sz w:val="20"/>
              </w:rPr>
              <w:t> </w:t>
            </w:r>
          </w:p>
        </w:tc>
        <w:tc>
          <w:tcPr>
            <w:tcW w:w="1056" w:type="dxa"/>
            <w:tcBorders>
              <w:top w:val="nil"/>
              <w:left w:val="nil"/>
              <w:bottom w:val="single" w:sz="4" w:space="0" w:color="auto"/>
              <w:right w:val="nil"/>
            </w:tcBorders>
            <w:shd w:val="clear" w:color="auto" w:fill="auto"/>
            <w:noWrap/>
            <w:vAlign w:val="center"/>
            <w:hideMark/>
          </w:tcPr>
          <w:p w14:paraId="1E6B1199"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c>
          <w:tcPr>
            <w:tcW w:w="1056" w:type="dxa"/>
            <w:tcBorders>
              <w:top w:val="nil"/>
              <w:left w:val="nil"/>
              <w:bottom w:val="single" w:sz="4" w:space="0" w:color="auto"/>
              <w:right w:val="nil"/>
            </w:tcBorders>
            <w:shd w:val="clear" w:color="auto" w:fill="auto"/>
            <w:noWrap/>
            <w:vAlign w:val="center"/>
            <w:hideMark/>
          </w:tcPr>
          <w:p w14:paraId="0C8EDB06"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c>
          <w:tcPr>
            <w:tcW w:w="1605" w:type="dxa"/>
            <w:tcBorders>
              <w:top w:val="nil"/>
              <w:left w:val="nil"/>
              <w:bottom w:val="single" w:sz="4" w:space="0" w:color="auto"/>
              <w:right w:val="nil"/>
            </w:tcBorders>
            <w:shd w:val="clear" w:color="auto" w:fill="auto"/>
            <w:noWrap/>
            <w:vAlign w:val="center"/>
            <w:hideMark/>
          </w:tcPr>
          <w:p w14:paraId="5F7530BF" w14:textId="77777777" w:rsidR="001C7E53" w:rsidRPr="005002CA" w:rsidRDefault="001C7E53" w:rsidP="00A11622">
            <w:pPr>
              <w:spacing w:after="0"/>
              <w:jc w:val="center"/>
              <w:rPr>
                <w:rFonts w:cs="Calibri"/>
                <w:color w:val="000000"/>
                <w:sz w:val="20"/>
              </w:rPr>
            </w:pPr>
            <w:r w:rsidRPr="005002CA">
              <w:rPr>
                <w:rFonts w:cs="Calibri"/>
                <w:color w:val="000000"/>
                <w:sz w:val="20"/>
              </w:rPr>
              <w:t> </w:t>
            </w:r>
          </w:p>
        </w:tc>
      </w:tr>
      <w:tr w:rsidR="001C7E53" w:rsidRPr="005002CA" w14:paraId="1B55A857" w14:textId="77777777" w:rsidTr="001D0062">
        <w:trPr>
          <w:trHeight w:val="283"/>
        </w:trPr>
        <w:tc>
          <w:tcPr>
            <w:tcW w:w="2183" w:type="dxa"/>
            <w:tcBorders>
              <w:top w:val="nil"/>
              <w:left w:val="nil"/>
              <w:bottom w:val="nil"/>
              <w:right w:val="nil"/>
            </w:tcBorders>
            <w:shd w:val="clear" w:color="auto" w:fill="auto"/>
            <w:noWrap/>
            <w:vAlign w:val="center"/>
            <w:hideMark/>
          </w:tcPr>
          <w:p w14:paraId="6AE22CF8" w14:textId="77777777" w:rsidR="001C7E53" w:rsidRPr="005002CA" w:rsidRDefault="001C7E53" w:rsidP="00F91AE4">
            <w:pPr>
              <w:pStyle w:val="TableTextLeft"/>
            </w:pPr>
            <w:r w:rsidRPr="005002CA">
              <w:t>R</w:t>
            </w:r>
            <w:r w:rsidRPr="005002CA">
              <w:rPr>
                <w:vertAlign w:val="superscript"/>
              </w:rPr>
              <w:t>2</w:t>
            </w:r>
          </w:p>
        </w:tc>
        <w:tc>
          <w:tcPr>
            <w:tcW w:w="1056" w:type="dxa"/>
            <w:tcBorders>
              <w:top w:val="single" w:sz="4" w:space="0" w:color="auto"/>
              <w:left w:val="nil"/>
              <w:bottom w:val="nil"/>
              <w:right w:val="nil"/>
            </w:tcBorders>
            <w:shd w:val="clear" w:color="auto" w:fill="auto"/>
            <w:noWrap/>
            <w:vAlign w:val="center"/>
            <w:hideMark/>
          </w:tcPr>
          <w:p w14:paraId="01E41CC9" w14:textId="77777777" w:rsidR="001C7E53" w:rsidRPr="005002CA" w:rsidRDefault="001C7E53" w:rsidP="00A11622">
            <w:pPr>
              <w:pStyle w:val="TableTextCentered"/>
            </w:pPr>
            <w:r w:rsidRPr="005002CA">
              <w:t>0.670</w:t>
            </w:r>
          </w:p>
        </w:tc>
        <w:tc>
          <w:tcPr>
            <w:tcW w:w="1056" w:type="dxa"/>
            <w:tcBorders>
              <w:top w:val="single" w:sz="4" w:space="0" w:color="auto"/>
              <w:left w:val="nil"/>
              <w:bottom w:val="nil"/>
              <w:right w:val="nil"/>
            </w:tcBorders>
            <w:shd w:val="clear" w:color="auto" w:fill="auto"/>
            <w:noWrap/>
            <w:vAlign w:val="center"/>
            <w:hideMark/>
          </w:tcPr>
          <w:p w14:paraId="2730F3B5" w14:textId="77777777" w:rsidR="001C7E53" w:rsidRPr="005002CA" w:rsidRDefault="001C7E53" w:rsidP="00A11622">
            <w:pPr>
              <w:pStyle w:val="TableTextCentered"/>
            </w:pPr>
            <w:r w:rsidRPr="005002CA">
              <w:t>0.671</w:t>
            </w:r>
          </w:p>
        </w:tc>
        <w:tc>
          <w:tcPr>
            <w:tcW w:w="1605" w:type="dxa"/>
            <w:tcBorders>
              <w:top w:val="single" w:sz="4" w:space="0" w:color="auto"/>
              <w:left w:val="nil"/>
              <w:bottom w:val="nil"/>
              <w:right w:val="nil"/>
            </w:tcBorders>
            <w:shd w:val="clear" w:color="auto" w:fill="auto"/>
            <w:noWrap/>
            <w:vAlign w:val="center"/>
            <w:hideMark/>
          </w:tcPr>
          <w:p w14:paraId="1C023270" w14:textId="77777777" w:rsidR="001C7E53" w:rsidRPr="005002CA" w:rsidRDefault="001C7E53" w:rsidP="00A11622">
            <w:pPr>
              <w:pStyle w:val="TableTextCentered"/>
            </w:pPr>
            <w:r w:rsidRPr="005002CA">
              <w:t>0.671</w:t>
            </w:r>
          </w:p>
        </w:tc>
      </w:tr>
      <w:tr w:rsidR="001C7E53" w:rsidRPr="005002CA" w14:paraId="5FCF362C" w14:textId="77777777" w:rsidTr="001D0062">
        <w:trPr>
          <w:trHeight w:val="283"/>
        </w:trPr>
        <w:tc>
          <w:tcPr>
            <w:tcW w:w="2183" w:type="dxa"/>
            <w:tcBorders>
              <w:top w:val="nil"/>
              <w:left w:val="nil"/>
              <w:bottom w:val="nil"/>
              <w:right w:val="nil"/>
            </w:tcBorders>
            <w:shd w:val="clear" w:color="auto" w:fill="auto"/>
            <w:noWrap/>
            <w:vAlign w:val="bottom"/>
            <w:hideMark/>
          </w:tcPr>
          <w:p w14:paraId="4027C72E" w14:textId="77777777" w:rsidR="001C7E53" w:rsidRPr="005002CA" w:rsidRDefault="001C7E53" w:rsidP="00F91AE4">
            <w:pPr>
              <w:pStyle w:val="TableTextLeft"/>
            </w:pPr>
            <w:r w:rsidRPr="005002CA">
              <w:t>N</w:t>
            </w:r>
          </w:p>
        </w:tc>
        <w:tc>
          <w:tcPr>
            <w:tcW w:w="1056" w:type="dxa"/>
            <w:tcBorders>
              <w:top w:val="nil"/>
              <w:left w:val="nil"/>
              <w:bottom w:val="nil"/>
              <w:right w:val="nil"/>
            </w:tcBorders>
            <w:shd w:val="clear" w:color="auto" w:fill="auto"/>
            <w:noWrap/>
            <w:vAlign w:val="center"/>
            <w:hideMark/>
          </w:tcPr>
          <w:p w14:paraId="511104AE" w14:textId="77777777" w:rsidR="001C7E53" w:rsidRPr="005002CA" w:rsidRDefault="001C7E53" w:rsidP="00A11622">
            <w:pPr>
              <w:pStyle w:val="TableTextCentered"/>
            </w:pPr>
            <w:r w:rsidRPr="005002CA">
              <w:t>302,000</w:t>
            </w:r>
          </w:p>
        </w:tc>
        <w:tc>
          <w:tcPr>
            <w:tcW w:w="1056" w:type="dxa"/>
            <w:tcBorders>
              <w:top w:val="nil"/>
              <w:left w:val="nil"/>
              <w:bottom w:val="nil"/>
              <w:right w:val="nil"/>
            </w:tcBorders>
            <w:shd w:val="clear" w:color="auto" w:fill="auto"/>
            <w:noWrap/>
            <w:vAlign w:val="center"/>
            <w:hideMark/>
          </w:tcPr>
          <w:p w14:paraId="14ED604E" w14:textId="77777777" w:rsidR="001C7E53" w:rsidRPr="005002CA" w:rsidRDefault="001C7E53" w:rsidP="00A11622">
            <w:pPr>
              <w:pStyle w:val="TableTextCentered"/>
            </w:pPr>
            <w:r w:rsidRPr="005002CA">
              <w:t>302,000</w:t>
            </w:r>
          </w:p>
        </w:tc>
        <w:tc>
          <w:tcPr>
            <w:tcW w:w="1605" w:type="dxa"/>
            <w:tcBorders>
              <w:top w:val="nil"/>
              <w:left w:val="nil"/>
              <w:bottom w:val="nil"/>
              <w:right w:val="nil"/>
            </w:tcBorders>
            <w:shd w:val="clear" w:color="auto" w:fill="auto"/>
            <w:noWrap/>
            <w:vAlign w:val="center"/>
            <w:hideMark/>
          </w:tcPr>
          <w:p w14:paraId="719442AF" w14:textId="77777777" w:rsidR="001C7E53" w:rsidRPr="005002CA" w:rsidRDefault="001C7E53" w:rsidP="00A11622">
            <w:pPr>
              <w:pStyle w:val="TableTextCentered"/>
            </w:pPr>
            <w:r w:rsidRPr="005002CA">
              <w:t>302,000</w:t>
            </w:r>
          </w:p>
        </w:tc>
      </w:tr>
      <w:tr w:rsidR="001C7E53" w:rsidRPr="005002CA" w14:paraId="05E03C9D" w14:textId="77777777" w:rsidTr="001D0062">
        <w:trPr>
          <w:trHeight w:val="283"/>
        </w:trPr>
        <w:tc>
          <w:tcPr>
            <w:tcW w:w="2183" w:type="dxa"/>
            <w:tcBorders>
              <w:top w:val="nil"/>
              <w:left w:val="nil"/>
              <w:bottom w:val="single" w:sz="4" w:space="0" w:color="auto"/>
              <w:right w:val="nil"/>
            </w:tcBorders>
            <w:shd w:val="clear" w:color="auto" w:fill="auto"/>
            <w:noWrap/>
            <w:vAlign w:val="center"/>
            <w:hideMark/>
          </w:tcPr>
          <w:p w14:paraId="2B5E26E7" w14:textId="77777777" w:rsidR="001C7E53" w:rsidRPr="005002CA" w:rsidRDefault="001C7E53" w:rsidP="00F91AE4">
            <w:pPr>
              <w:pStyle w:val="TableColumnHeadingLeft"/>
            </w:pPr>
            <w:r w:rsidRPr="005002CA">
              <w:t>Fixed effects</w:t>
            </w:r>
          </w:p>
        </w:tc>
        <w:tc>
          <w:tcPr>
            <w:tcW w:w="1056" w:type="dxa"/>
            <w:tcBorders>
              <w:top w:val="nil"/>
              <w:left w:val="nil"/>
              <w:bottom w:val="single" w:sz="4" w:space="0" w:color="auto"/>
              <w:right w:val="nil"/>
            </w:tcBorders>
            <w:shd w:val="clear" w:color="auto" w:fill="auto"/>
            <w:noWrap/>
            <w:vAlign w:val="center"/>
            <w:hideMark/>
          </w:tcPr>
          <w:p w14:paraId="56073B7E" w14:textId="77777777" w:rsidR="001C7E53" w:rsidRPr="005002CA" w:rsidRDefault="001C7E53" w:rsidP="00A11622">
            <w:pPr>
              <w:pStyle w:val="TableTextCentered"/>
            </w:pPr>
            <w:r w:rsidRPr="005002CA">
              <w:t> </w:t>
            </w:r>
          </w:p>
        </w:tc>
        <w:tc>
          <w:tcPr>
            <w:tcW w:w="1056" w:type="dxa"/>
            <w:tcBorders>
              <w:top w:val="nil"/>
              <w:left w:val="nil"/>
              <w:bottom w:val="single" w:sz="4" w:space="0" w:color="auto"/>
              <w:right w:val="nil"/>
            </w:tcBorders>
            <w:shd w:val="clear" w:color="auto" w:fill="auto"/>
            <w:noWrap/>
            <w:vAlign w:val="center"/>
            <w:hideMark/>
          </w:tcPr>
          <w:p w14:paraId="6E8226DD" w14:textId="77777777" w:rsidR="001C7E53" w:rsidRPr="005002CA" w:rsidRDefault="001C7E53" w:rsidP="00A11622">
            <w:pPr>
              <w:pStyle w:val="TableTextCentered"/>
            </w:pPr>
            <w:r w:rsidRPr="005002CA">
              <w:t> </w:t>
            </w:r>
          </w:p>
        </w:tc>
        <w:tc>
          <w:tcPr>
            <w:tcW w:w="1605" w:type="dxa"/>
            <w:tcBorders>
              <w:top w:val="nil"/>
              <w:left w:val="nil"/>
              <w:bottom w:val="single" w:sz="4" w:space="0" w:color="auto"/>
              <w:right w:val="nil"/>
            </w:tcBorders>
            <w:shd w:val="clear" w:color="auto" w:fill="auto"/>
            <w:noWrap/>
            <w:vAlign w:val="center"/>
            <w:hideMark/>
          </w:tcPr>
          <w:p w14:paraId="1219E12D" w14:textId="77777777" w:rsidR="001C7E53" w:rsidRPr="005002CA" w:rsidRDefault="001C7E53" w:rsidP="00A11622">
            <w:pPr>
              <w:pStyle w:val="TableTextCentered"/>
            </w:pPr>
            <w:r w:rsidRPr="005002CA">
              <w:t> </w:t>
            </w:r>
          </w:p>
        </w:tc>
      </w:tr>
      <w:tr w:rsidR="001C7E53" w:rsidRPr="005002CA" w14:paraId="60345934" w14:textId="77777777" w:rsidTr="001D0062">
        <w:trPr>
          <w:trHeight w:val="283"/>
        </w:trPr>
        <w:tc>
          <w:tcPr>
            <w:tcW w:w="2183" w:type="dxa"/>
            <w:tcBorders>
              <w:top w:val="nil"/>
              <w:left w:val="nil"/>
              <w:bottom w:val="nil"/>
              <w:right w:val="nil"/>
            </w:tcBorders>
            <w:shd w:val="clear" w:color="auto" w:fill="auto"/>
            <w:noWrap/>
            <w:vAlign w:val="center"/>
            <w:hideMark/>
          </w:tcPr>
          <w:p w14:paraId="06820E88" w14:textId="77777777" w:rsidR="001C7E53" w:rsidRPr="005002CA" w:rsidRDefault="001C7E53" w:rsidP="00F91AE4">
            <w:pPr>
              <w:pStyle w:val="TableTextLeft"/>
            </w:pPr>
            <w:r w:rsidRPr="005002CA">
              <w:t>Local market</w:t>
            </w:r>
          </w:p>
        </w:tc>
        <w:tc>
          <w:tcPr>
            <w:tcW w:w="1056" w:type="dxa"/>
            <w:tcBorders>
              <w:top w:val="nil"/>
              <w:left w:val="nil"/>
              <w:bottom w:val="nil"/>
              <w:right w:val="nil"/>
            </w:tcBorders>
            <w:shd w:val="clear" w:color="auto" w:fill="auto"/>
            <w:noWrap/>
            <w:vAlign w:val="center"/>
            <w:hideMark/>
          </w:tcPr>
          <w:p w14:paraId="4674336C" w14:textId="77777777" w:rsidR="001C7E53" w:rsidRPr="005002CA" w:rsidRDefault="001C7E53" w:rsidP="00A11622">
            <w:pPr>
              <w:pStyle w:val="TableTextCentered"/>
            </w:pPr>
            <w:r w:rsidRPr="005002CA">
              <w:t>Y</w:t>
            </w:r>
          </w:p>
        </w:tc>
        <w:tc>
          <w:tcPr>
            <w:tcW w:w="1056" w:type="dxa"/>
            <w:tcBorders>
              <w:top w:val="nil"/>
              <w:left w:val="nil"/>
              <w:bottom w:val="nil"/>
              <w:right w:val="nil"/>
            </w:tcBorders>
            <w:shd w:val="clear" w:color="auto" w:fill="auto"/>
            <w:noWrap/>
            <w:vAlign w:val="center"/>
            <w:hideMark/>
          </w:tcPr>
          <w:p w14:paraId="72E5A307" w14:textId="77777777" w:rsidR="001C7E53" w:rsidRPr="005002CA" w:rsidRDefault="001C7E53" w:rsidP="00A11622">
            <w:pPr>
              <w:pStyle w:val="TableTextCentered"/>
            </w:pPr>
            <w:r w:rsidRPr="005002CA">
              <w:t>Y</w:t>
            </w:r>
          </w:p>
        </w:tc>
        <w:tc>
          <w:tcPr>
            <w:tcW w:w="1605" w:type="dxa"/>
            <w:tcBorders>
              <w:top w:val="nil"/>
              <w:left w:val="nil"/>
              <w:bottom w:val="nil"/>
              <w:right w:val="nil"/>
            </w:tcBorders>
            <w:shd w:val="clear" w:color="auto" w:fill="auto"/>
            <w:noWrap/>
            <w:vAlign w:val="center"/>
            <w:hideMark/>
          </w:tcPr>
          <w:p w14:paraId="6EAC39DA" w14:textId="77777777" w:rsidR="001C7E53" w:rsidRPr="005002CA" w:rsidRDefault="001C7E53" w:rsidP="00A11622">
            <w:pPr>
              <w:pStyle w:val="TableTextCentered"/>
            </w:pPr>
            <w:r w:rsidRPr="005002CA">
              <w:t>Y</w:t>
            </w:r>
          </w:p>
        </w:tc>
      </w:tr>
      <w:tr w:rsidR="001C7E53" w:rsidRPr="005002CA" w14:paraId="303FDBC9" w14:textId="77777777" w:rsidTr="001D0062">
        <w:trPr>
          <w:trHeight w:val="283"/>
        </w:trPr>
        <w:tc>
          <w:tcPr>
            <w:tcW w:w="2183" w:type="dxa"/>
            <w:tcBorders>
              <w:top w:val="nil"/>
              <w:left w:val="nil"/>
              <w:bottom w:val="nil"/>
              <w:right w:val="nil"/>
            </w:tcBorders>
            <w:shd w:val="clear" w:color="auto" w:fill="auto"/>
            <w:noWrap/>
            <w:vAlign w:val="center"/>
            <w:hideMark/>
          </w:tcPr>
          <w:p w14:paraId="534F0737" w14:textId="77777777" w:rsidR="001C7E53" w:rsidRPr="005002CA" w:rsidRDefault="001C7E53" w:rsidP="00F91AE4">
            <w:pPr>
              <w:pStyle w:val="TableTextLeft"/>
            </w:pPr>
            <w:r w:rsidRPr="005002CA">
              <w:t>Time*Industry</w:t>
            </w:r>
          </w:p>
        </w:tc>
        <w:tc>
          <w:tcPr>
            <w:tcW w:w="1056" w:type="dxa"/>
            <w:tcBorders>
              <w:top w:val="nil"/>
              <w:left w:val="nil"/>
              <w:bottom w:val="nil"/>
              <w:right w:val="nil"/>
            </w:tcBorders>
            <w:shd w:val="clear" w:color="auto" w:fill="auto"/>
            <w:noWrap/>
            <w:vAlign w:val="center"/>
            <w:hideMark/>
          </w:tcPr>
          <w:p w14:paraId="19D4B554" w14:textId="77777777" w:rsidR="001C7E53" w:rsidRPr="005002CA" w:rsidRDefault="001C7E53" w:rsidP="00A11622">
            <w:pPr>
              <w:pStyle w:val="TableTextCentered"/>
            </w:pPr>
            <w:r w:rsidRPr="005002CA">
              <w:t>Y</w:t>
            </w:r>
          </w:p>
        </w:tc>
        <w:tc>
          <w:tcPr>
            <w:tcW w:w="1056" w:type="dxa"/>
            <w:tcBorders>
              <w:top w:val="nil"/>
              <w:left w:val="nil"/>
              <w:bottom w:val="nil"/>
              <w:right w:val="nil"/>
            </w:tcBorders>
            <w:shd w:val="clear" w:color="auto" w:fill="auto"/>
            <w:noWrap/>
            <w:vAlign w:val="center"/>
            <w:hideMark/>
          </w:tcPr>
          <w:p w14:paraId="103D2405" w14:textId="77777777" w:rsidR="001C7E53" w:rsidRPr="005002CA" w:rsidRDefault="001C7E53" w:rsidP="00A11622">
            <w:pPr>
              <w:pStyle w:val="TableTextCentered"/>
            </w:pPr>
            <w:r w:rsidRPr="005002CA">
              <w:t>Y</w:t>
            </w:r>
          </w:p>
        </w:tc>
        <w:tc>
          <w:tcPr>
            <w:tcW w:w="1605" w:type="dxa"/>
            <w:tcBorders>
              <w:top w:val="nil"/>
              <w:left w:val="nil"/>
              <w:bottom w:val="nil"/>
              <w:right w:val="nil"/>
            </w:tcBorders>
            <w:shd w:val="clear" w:color="auto" w:fill="auto"/>
            <w:noWrap/>
            <w:vAlign w:val="center"/>
            <w:hideMark/>
          </w:tcPr>
          <w:p w14:paraId="149B98C1" w14:textId="77777777" w:rsidR="001C7E53" w:rsidRPr="005002CA" w:rsidRDefault="001C7E53" w:rsidP="00A11622">
            <w:pPr>
              <w:pStyle w:val="TableTextCentered"/>
            </w:pPr>
            <w:r w:rsidRPr="005002CA">
              <w:t>Y</w:t>
            </w:r>
          </w:p>
        </w:tc>
      </w:tr>
      <w:tr w:rsidR="001C7E53" w:rsidRPr="005002CA" w14:paraId="20CA128F" w14:textId="77777777" w:rsidTr="001D0062">
        <w:trPr>
          <w:trHeight w:val="283"/>
        </w:trPr>
        <w:tc>
          <w:tcPr>
            <w:tcW w:w="2183" w:type="dxa"/>
            <w:tcBorders>
              <w:top w:val="nil"/>
              <w:left w:val="nil"/>
              <w:bottom w:val="single" w:sz="4" w:space="0" w:color="auto"/>
              <w:right w:val="nil"/>
            </w:tcBorders>
            <w:shd w:val="clear" w:color="auto" w:fill="auto"/>
            <w:noWrap/>
            <w:vAlign w:val="center"/>
            <w:hideMark/>
          </w:tcPr>
          <w:p w14:paraId="1CDF864A" w14:textId="77777777" w:rsidR="001C7E53" w:rsidRPr="005002CA" w:rsidRDefault="001C7E53" w:rsidP="00F91AE4">
            <w:pPr>
              <w:pStyle w:val="TableTextLeft"/>
            </w:pPr>
            <w:r w:rsidRPr="005002CA">
              <w:t>Time*Location</w:t>
            </w:r>
          </w:p>
        </w:tc>
        <w:tc>
          <w:tcPr>
            <w:tcW w:w="1056" w:type="dxa"/>
            <w:tcBorders>
              <w:top w:val="nil"/>
              <w:left w:val="nil"/>
              <w:bottom w:val="single" w:sz="4" w:space="0" w:color="auto"/>
              <w:right w:val="nil"/>
            </w:tcBorders>
            <w:shd w:val="clear" w:color="auto" w:fill="auto"/>
            <w:noWrap/>
            <w:vAlign w:val="center"/>
            <w:hideMark/>
          </w:tcPr>
          <w:p w14:paraId="462F774F" w14:textId="77777777" w:rsidR="001C7E53" w:rsidRPr="005002CA" w:rsidRDefault="001C7E53" w:rsidP="00A11622">
            <w:pPr>
              <w:pStyle w:val="TableTextCentered"/>
            </w:pPr>
            <w:r w:rsidRPr="005002CA">
              <w:t>Y</w:t>
            </w:r>
          </w:p>
        </w:tc>
        <w:tc>
          <w:tcPr>
            <w:tcW w:w="1056" w:type="dxa"/>
            <w:tcBorders>
              <w:top w:val="nil"/>
              <w:left w:val="nil"/>
              <w:bottom w:val="single" w:sz="4" w:space="0" w:color="auto"/>
              <w:right w:val="nil"/>
            </w:tcBorders>
            <w:shd w:val="clear" w:color="auto" w:fill="auto"/>
            <w:noWrap/>
            <w:vAlign w:val="center"/>
            <w:hideMark/>
          </w:tcPr>
          <w:p w14:paraId="2600F4E8" w14:textId="77777777" w:rsidR="001C7E53" w:rsidRPr="005002CA" w:rsidRDefault="001C7E53" w:rsidP="00A11622">
            <w:pPr>
              <w:pStyle w:val="TableTextCentered"/>
            </w:pPr>
            <w:r w:rsidRPr="005002CA">
              <w:t>Y</w:t>
            </w:r>
          </w:p>
        </w:tc>
        <w:tc>
          <w:tcPr>
            <w:tcW w:w="1605" w:type="dxa"/>
            <w:tcBorders>
              <w:top w:val="nil"/>
              <w:left w:val="nil"/>
              <w:bottom w:val="single" w:sz="4" w:space="0" w:color="auto"/>
              <w:right w:val="nil"/>
            </w:tcBorders>
            <w:shd w:val="clear" w:color="auto" w:fill="auto"/>
            <w:noWrap/>
            <w:vAlign w:val="center"/>
            <w:hideMark/>
          </w:tcPr>
          <w:p w14:paraId="0DC02EA4" w14:textId="77777777" w:rsidR="001C7E53" w:rsidRPr="005002CA" w:rsidRDefault="001C7E53" w:rsidP="00A11622">
            <w:pPr>
              <w:pStyle w:val="TableTextCentered"/>
            </w:pPr>
            <w:r w:rsidRPr="005002CA">
              <w:t>Y</w:t>
            </w:r>
          </w:p>
        </w:tc>
      </w:tr>
    </w:tbl>
    <w:p w14:paraId="0336CEA5" w14:textId="6F3AF59A" w:rsidR="001C7E53" w:rsidRDefault="001C7E53" w:rsidP="00176014">
      <w:pPr>
        <w:pStyle w:val="ChartorTableNote"/>
        <w:jc w:val="left"/>
      </w:pPr>
      <w:r w:rsidRPr="004372BE">
        <w:t>Note: All regressions include a set of common controls covering market characteristics (number of workers in the market</w:t>
      </w:r>
      <w:r>
        <w:t>)</w:t>
      </w:r>
      <w:r w:rsidRPr="004372BE">
        <w:t>. All controls other than firm FE are interacted with period dummies. Pre</w:t>
      </w:r>
      <w:r w:rsidR="0018466E">
        <w:noBreakHyphen/>
      </w:r>
      <w:r w:rsidRPr="004372BE">
        <w:t>GFC is 2005</w:t>
      </w:r>
      <w:r w:rsidR="00734E59">
        <w:t>–</w:t>
      </w:r>
      <w:r w:rsidRPr="004372BE">
        <w:t>200</w:t>
      </w:r>
      <w:r>
        <w:t>7</w:t>
      </w:r>
      <w:r w:rsidRPr="004372BE">
        <w:t>. GFC is 200</w:t>
      </w:r>
      <w:r>
        <w:t>8</w:t>
      </w:r>
      <w:r w:rsidR="00734E59">
        <w:t>–</w:t>
      </w:r>
      <w:r w:rsidRPr="004372BE">
        <w:t>2010. Post GFC is 2011 to 2015. Errors clustered at the local market level.</w:t>
      </w:r>
    </w:p>
    <w:p w14:paraId="68A2497C" w14:textId="77777777" w:rsidR="001C7E53" w:rsidRDefault="001C7E53" w:rsidP="00176014">
      <w:pPr>
        <w:rPr>
          <w:rFonts w:eastAsiaTheme="minorEastAsia"/>
        </w:rPr>
      </w:pPr>
      <w:r>
        <w:rPr>
          <w:rFonts w:eastAsiaTheme="minorEastAsia"/>
        </w:rPr>
        <w:t>Still, this regression provides no evidence that changes in the importance of outside options and occupational mobility have increased the impact of concentration. The coefficient on the HHI declines by a similar amount over the sample as in the model without outside options, so changes in the importance of the omitted outside options variable was not driving the decline.</w:t>
      </w:r>
    </w:p>
    <w:p w14:paraId="34EA0712" w14:textId="16B488D1" w:rsidR="001C7E53" w:rsidRDefault="001C7E53" w:rsidP="00176014">
      <w:r>
        <w:rPr>
          <w:rFonts w:eastAsiaTheme="minorEastAsia"/>
        </w:rPr>
        <w:t>To test more directly the impact of declining occupational mobility on the role of concentration</w:t>
      </w:r>
      <w:r>
        <w:t>, I extend the baseline market</w:t>
      </w:r>
      <w:r w:rsidR="0018466E">
        <w:noBreakHyphen/>
      </w:r>
      <w:r>
        <w:t>level monopsony model to incorporate industry switching rates. Specifically:</w:t>
      </w:r>
    </w:p>
    <w:p w14:paraId="111E1309" w14:textId="77777777" w:rsidR="001C7E53" w:rsidRPr="002E594D" w:rsidRDefault="001C7E53" w:rsidP="00F91AE4">
      <m:oMathPara>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*ln⁡(</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*ln⁡(</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Switch</m:t>
              </m:r>
            </m:e>
            <m:sub>
              <m:r>
                <w:rPr>
                  <w:rFonts w:ascii="Cambria Math" w:hAnsi="Cambria Math"/>
                </w:rPr>
                <m:t>ind</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θ</m:t>
          </m:r>
          <m:sSub>
            <m:sSubPr>
              <m:ctrlPr>
                <w:rPr>
                  <w:rFonts w:ascii="Cambria Math" w:hAnsi="Cambria Math"/>
                </w:rPr>
              </m:ctrlPr>
            </m:sSubPr>
            <m:e>
              <m:r>
                <m:rPr>
                  <m:sty m:val="p"/>
                </m:rPr>
                <w:rPr>
                  <w:rFonts w:ascii="Cambria Math" w:hAnsi="Cambria Math"/>
                </w:rPr>
                <m:t>*ln⁡(</m:t>
              </m:r>
              <m:r>
                <w:rPr>
                  <w:rFonts w:ascii="Cambria Math" w:hAnsi="Cambria Math"/>
                </w:rPr>
                <m:t>OO</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ρ</m:t>
          </m:r>
          <m:sSub>
            <m:sSubPr>
              <m:ctrlPr>
                <w:rPr>
                  <w:rFonts w:ascii="Cambria Math" w:hAnsi="Cambria Math"/>
                </w:rPr>
              </m:ctrlPr>
            </m:sSubPr>
            <m:e>
              <m:r>
                <m:rPr>
                  <m:sty m:val="p"/>
                </m:rPr>
                <w:rPr>
                  <w:rFonts w:ascii="Cambria Math" w:hAnsi="Cambria Math"/>
                </w:rPr>
                <m:t>*ln⁡(</m:t>
              </m:r>
              <m:r>
                <w:rPr>
                  <w:rFonts w:ascii="Cambria Math" w:hAnsi="Cambria Math"/>
                </w:rPr>
                <m:t>OO</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Switch</m:t>
              </m:r>
            </m:e>
            <m:sub>
              <m:r>
                <w:rPr>
                  <w:rFonts w:ascii="Cambria Math" w:hAnsi="Cambria Math"/>
                </w:rPr>
                <m:t>ind</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49CCFD69" w14:textId="6E7E8CB9" w:rsidR="001C7E53" w:rsidRDefault="00000000" w:rsidP="00176014">
      <w:pPr>
        <w:rPr>
          <w:rFonts w:eastAsiaTheme="minorEastAsia"/>
        </w:rPr>
      </w:pPr>
      <m:oMath>
        <m:sSub>
          <m:sSubPr>
            <m:ctrlPr>
              <w:rPr>
                <w:rFonts w:ascii="Cambria Math" w:hAnsi="Cambria Math"/>
              </w:rPr>
            </m:ctrlPr>
          </m:sSubPr>
          <m:e>
            <m:r>
              <w:rPr>
                <w:rFonts w:ascii="Cambria Math" w:hAnsi="Cambria Math"/>
              </w:rPr>
              <m:t>Switch</m:t>
            </m:r>
          </m:e>
          <m:sub>
            <m:r>
              <w:rPr>
                <w:rFonts w:ascii="Cambria Math" w:hAnsi="Cambria Math"/>
              </w:rPr>
              <m:t>ind</m:t>
            </m:r>
            <m:r>
              <m:rPr>
                <m:sty m:val="p"/>
              </m:rPr>
              <w:rPr>
                <w:rFonts w:ascii="Cambria Math" w:hAnsi="Cambria Math"/>
              </w:rPr>
              <m:t>,</m:t>
            </m:r>
            <m:r>
              <w:rPr>
                <w:rFonts w:ascii="Cambria Math" w:hAnsi="Cambria Math"/>
              </w:rPr>
              <m:t>t</m:t>
            </m:r>
          </m:sub>
        </m:sSub>
      </m:oMath>
      <w:r w:rsidR="001C7E53">
        <w:rPr>
          <w:rFonts w:eastAsiaTheme="minorEastAsia"/>
        </w:rPr>
        <w:t xml:space="preserve"> is the national rate of industry switching in the relevant ANZSIC 3</w:t>
      </w:r>
      <w:r w:rsidR="0018466E">
        <w:rPr>
          <w:rFonts w:eastAsiaTheme="minorEastAsia"/>
        </w:rPr>
        <w:noBreakHyphen/>
      </w:r>
      <w:r w:rsidR="001C7E53">
        <w:rPr>
          <w:rFonts w:eastAsiaTheme="minorEastAsia"/>
        </w:rPr>
        <w:t>digit industry. This is either expressed as a share of all job switchers (</w:t>
      </w:r>
      <w:r w:rsidR="001C7E53" w:rsidRPr="00DB7EDD">
        <w:rPr>
          <w:rFonts w:eastAsiaTheme="minorEastAsia"/>
          <w:i/>
          <w:iCs/>
        </w:rPr>
        <w:t>leave share</w:t>
      </w:r>
      <w:r w:rsidR="001C7E53">
        <w:rPr>
          <w:rFonts w:eastAsiaTheme="minorEastAsia"/>
        </w:rPr>
        <w:t>), or as a share of all job switchers and stayers (</w:t>
      </w:r>
      <w:r w:rsidR="001C7E53">
        <w:rPr>
          <w:rFonts w:eastAsiaTheme="minorEastAsia"/>
          <w:i/>
          <w:iCs/>
        </w:rPr>
        <w:t>leave rate)</w:t>
      </w:r>
      <w:r w:rsidR="001C7E53">
        <w:rPr>
          <w:rFonts w:eastAsiaTheme="minorEastAsia"/>
        </w:rPr>
        <w:t xml:space="preserve"> with both defined as in Deutscher (2019) and focusing on worker</w:t>
      </w:r>
      <w:r w:rsidR="0018466E">
        <w:rPr>
          <w:rFonts w:eastAsiaTheme="minorEastAsia"/>
        </w:rPr>
        <w:t>’</w:t>
      </w:r>
      <w:r w:rsidR="00BA74C2">
        <w:rPr>
          <w:rFonts w:eastAsiaTheme="minorEastAsia"/>
        </w:rPr>
        <w:t>s main jobs.</w:t>
      </w:r>
    </w:p>
    <w:p w14:paraId="58228760" w14:textId="77777777" w:rsidR="001C7E53" w:rsidRDefault="001C7E53" w:rsidP="00176014">
      <w:pPr>
        <w:rPr>
          <w:rFonts w:eastAsiaTheme="minorEastAsia"/>
        </w:rPr>
      </w:pPr>
      <w:r>
        <w:rPr>
          <w:rFonts w:eastAsiaTheme="minorEastAsia"/>
        </w:rPr>
        <w:lastRenderedPageBreak/>
        <w:t>I focus on the national, rather than local rate of switching, to avoid endogeneity between local conditions and switching rates. It also helps to limit noise introduced by very small markets, where rates can be very volatile. Switch rates are demeaned for each industry. As such we are focusing on changes in switching rates and abstracting from structural differences across industries that might affect switching, concentration and wages.</w:t>
      </w:r>
    </w:p>
    <w:p w14:paraId="5C55BB5F" w14:textId="58454525" w:rsidR="00975BCA" w:rsidRPr="00975BCA" w:rsidRDefault="001C7E53" w:rsidP="00176014">
      <w:pPr>
        <w:rPr>
          <w:rFonts w:eastAsiaTheme="minorEastAsia"/>
        </w:rPr>
      </w:pPr>
      <w:r>
        <w:rPr>
          <w:rFonts w:eastAsiaTheme="minorEastAsia"/>
        </w:rPr>
        <w:t xml:space="preserve">The coefficients of interest in this case are </w:t>
      </w:r>
      <m:oMath>
        <m:r>
          <w:rPr>
            <w:rFonts w:ascii="Cambria Math" w:hAnsi="Cambria Math"/>
          </w:rPr>
          <m:t>δ</m:t>
        </m:r>
      </m:oMath>
      <w:r>
        <w:rPr>
          <w:rFonts w:eastAsiaTheme="minorEastAsia"/>
        </w:rPr>
        <w:t xml:space="preserve"> and </w:t>
      </w:r>
      <m:oMath>
        <m:r>
          <w:rPr>
            <w:rFonts w:ascii="Cambria Math" w:hAnsi="Cambria Math"/>
          </w:rPr>
          <m:t>ρ</m:t>
        </m:r>
      </m:oMath>
      <w:r>
        <w:rPr>
          <w:rFonts w:eastAsiaTheme="minorEastAsia"/>
        </w:rPr>
        <w:t xml:space="preserve">. If concentration amongst incumbents is less impactful in industries with more occupational switching, the coefficient </w:t>
      </w:r>
      <m:oMath>
        <m:r>
          <w:rPr>
            <w:rFonts w:ascii="Cambria Math" w:hAnsi="Cambria Math"/>
          </w:rPr>
          <m:t>δ</m:t>
        </m:r>
      </m:oMath>
      <w:r>
        <w:rPr>
          <w:rFonts w:eastAsiaTheme="minorEastAsia"/>
        </w:rPr>
        <w:t xml:space="preserve"> would be positive. Similarly, if outside options are more important where switching is more prevalent </w:t>
      </w:r>
      <m:oMath>
        <m:r>
          <w:rPr>
            <w:rFonts w:ascii="Cambria Math" w:hAnsi="Cambria Math"/>
          </w:rPr>
          <m:t>ρ</m:t>
        </m:r>
      </m:oMath>
      <w:r w:rsidR="00BA74C2">
        <w:rPr>
          <w:rFonts w:eastAsiaTheme="minorEastAsia"/>
        </w:rPr>
        <w:t xml:space="preserve"> would be positive.</w:t>
      </w:r>
    </w:p>
    <w:p w14:paraId="697CA07C" w14:textId="580E41AD" w:rsidR="001C7E53" w:rsidRDefault="008B6724" w:rsidP="00F91AE4">
      <w:pPr>
        <w:pStyle w:val="TableMainHeading"/>
        <w:rPr>
          <w:rFonts w:eastAsiaTheme="minorEastAsia"/>
        </w:rPr>
      </w:pPr>
      <w:r w:rsidRPr="00143B8D">
        <w:t xml:space="preserve">Table </w:t>
      </w:r>
      <w:r w:rsidR="00564C76">
        <w:t>6</w:t>
      </w:r>
      <w:r w:rsidRPr="00143B8D">
        <w:t>: Leave share, concentration and wages specification</w:t>
      </w:r>
    </w:p>
    <w:tbl>
      <w:tblPr>
        <w:tblW w:w="9055" w:type="dxa"/>
        <w:tblLook w:val="04A0" w:firstRow="1" w:lastRow="0" w:firstColumn="1" w:lastColumn="0" w:noHBand="0" w:noVBand="1"/>
      </w:tblPr>
      <w:tblGrid>
        <w:gridCol w:w="2694"/>
        <w:gridCol w:w="1984"/>
        <w:gridCol w:w="1690"/>
        <w:gridCol w:w="266"/>
        <w:gridCol w:w="454"/>
        <w:gridCol w:w="418"/>
        <w:gridCol w:w="262"/>
        <w:gridCol w:w="810"/>
        <w:gridCol w:w="477"/>
      </w:tblGrid>
      <w:tr w:rsidR="001C7E53" w:rsidRPr="00143B8D" w14:paraId="36FD2236" w14:textId="77777777" w:rsidTr="001D0062">
        <w:trPr>
          <w:trHeight w:val="283"/>
        </w:trPr>
        <w:tc>
          <w:tcPr>
            <w:tcW w:w="2694" w:type="dxa"/>
            <w:tcBorders>
              <w:left w:val="nil"/>
              <w:bottom w:val="single" w:sz="4" w:space="0" w:color="auto"/>
              <w:right w:val="nil"/>
            </w:tcBorders>
            <w:shd w:val="clear" w:color="auto" w:fill="auto"/>
            <w:noWrap/>
            <w:vAlign w:val="bottom"/>
            <w:hideMark/>
          </w:tcPr>
          <w:p w14:paraId="4291D9E6" w14:textId="77777777" w:rsidR="001C7E53" w:rsidRPr="00143B8D" w:rsidRDefault="001C7E53" w:rsidP="00F91AE4">
            <w:pPr>
              <w:spacing w:after="0"/>
              <w:rPr>
                <w:rFonts w:cs="Calibri"/>
                <w:color w:val="000000"/>
                <w:sz w:val="20"/>
              </w:rPr>
            </w:pPr>
            <w:r w:rsidRPr="00143B8D">
              <w:rPr>
                <w:rFonts w:cs="Calibri"/>
                <w:color w:val="000000"/>
                <w:sz w:val="20"/>
              </w:rPr>
              <w:t> </w:t>
            </w:r>
          </w:p>
        </w:tc>
        <w:tc>
          <w:tcPr>
            <w:tcW w:w="1984" w:type="dxa"/>
            <w:tcBorders>
              <w:left w:val="nil"/>
              <w:bottom w:val="single" w:sz="4" w:space="0" w:color="auto"/>
              <w:right w:val="nil"/>
            </w:tcBorders>
            <w:shd w:val="clear" w:color="auto" w:fill="auto"/>
            <w:noWrap/>
            <w:vAlign w:val="center"/>
            <w:hideMark/>
          </w:tcPr>
          <w:p w14:paraId="70612006" w14:textId="77777777" w:rsidR="001C7E53" w:rsidRPr="00143B8D" w:rsidRDefault="001C7E53" w:rsidP="008B7436">
            <w:pPr>
              <w:pStyle w:val="TableColumnHeadingCentred"/>
              <w:jc w:val="left"/>
            </w:pPr>
            <w:r w:rsidRPr="00143B8D">
              <w:t>OO model</w:t>
            </w:r>
          </w:p>
        </w:tc>
        <w:tc>
          <w:tcPr>
            <w:tcW w:w="2410" w:type="dxa"/>
            <w:gridSpan w:val="3"/>
            <w:tcBorders>
              <w:left w:val="nil"/>
              <w:bottom w:val="single" w:sz="4" w:space="0" w:color="auto"/>
              <w:right w:val="nil"/>
            </w:tcBorders>
            <w:shd w:val="clear" w:color="auto" w:fill="auto"/>
            <w:vAlign w:val="center"/>
            <w:hideMark/>
          </w:tcPr>
          <w:p w14:paraId="59166D5B" w14:textId="77777777" w:rsidR="001C7E53" w:rsidRPr="00143B8D" w:rsidRDefault="001C7E53" w:rsidP="008B7436">
            <w:pPr>
              <w:pStyle w:val="TableColumnHeadingCentred"/>
              <w:jc w:val="left"/>
            </w:pPr>
            <w:r w:rsidRPr="00143B8D">
              <w:t>OO model with leave share</w:t>
            </w:r>
          </w:p>
        </w:tc>
        <w:tc>
          <w:tcPr>
            <w:tcW w:w="1967" w:type="dxa"/>
            <w:gridSpan w:val="4"/>
            <w:tcBorders>
              <w:left w:val="nil"/>
              <w:bottom w:val="single" w:sz="4" w:space="0" w:color="auto"/>
              <w:right w:val="nil"/>
            </w:tcBorders>
            <w:shd w:val="clear" w:color="auto" w:fill="auto"/>
            <w:vAlign w:val="center"/>
            <w:hideMark/>
          </w:tcPr>
          <w:p w14:paraId="4C6E1A8B" w14:textId="77777777" w:rsidR="001C7E53" w:rsidRPr="00143B8D" w:rsidRDefault="001C7E53" w:rsidP="008B7436">
            <w:pPr>
              <w:pStyle w:val="TableColumnHeadingCentred"/>
              <w:jc w:val="left"/>
            </w:pPr>
            <w:r w:rsidRPr="00143B8D">
              <w:t>OO model with leave rate</w:t>
            </w:r>
          </w:p>
        </w:tc>
      </w:tr>
      <w:tr w:rsidR="001C7E53" w:rsidRPr="00143B8D" w14:paraId="0BE57528" w14:textId="77777777" w:rsidTr="001D0062">
        <w:trPr>
          <w:trHeight w:val="283"/>
        </w:trPr>
        <w:tc>
          <w:tcPr>
            <w:tcW w:w="2694" w:type="dxa"/>
            <w:tcBorders>
              <w:top w:val="nil"/>
              <w:left w:val="nil"/>
              <w:bottom w:val="nil"/>
              <w:right w:val="nil"/>
            </w:tcBorders>
            <w:shd w:val="clear" w:color="auto" w:fill="auto"/>
            <w:noWrap/>
            <w:vAlign w:val="bottom"/>
            <w:hideMark/>
          </w:tcPr>
          <w:p w14:paraId="281631AF" w14:textId="77777777" w:rsidR="001C7E53" w:rsidRPr="00143B8D" w:rsidRDefault="001C7E53" w:rsidP="008B7436">
            <w:pPr>
              <w:spacing w:after="0"/>
              <w:rPr>
                <w:rFonts w:cs="Calibri"/>
                <w:color w:val="000000"/>
                <w:sz w:val="20"/>
              </w:rPr>
            </w:pPr>
          </w:p>
        </w:tc>
        <w:tc>
          <w:tcPr>
            <w:tcW w:w="1984" w:type="dxa"/>
            <w:tcBorders>
              <w:top w:val="single" w:sz="4" w:space="0" w:color="auto"/>
              <w:left w:val="nil"/>
              <w:bottom w:val="nil"/>
              <w:right w:val="nil"/>
            </w:tcBorders>
            <w:shd w:val="clear" w:color="auto" w:fill="auto"/>
            <w:noWrap/>
            <w:vAlign w:val="center"/>
            <w:hideMark/>
          </w:tcPr>
          <w:p w14:paraId="767CC5A9" w14:textId="77777777" w:rsidR="001C7E53" w:rsidRPr="00143B8D" w:rsidRDefault="001C7E53" w:rsidP="008B7436">
            <w:pPr>
              <w:pStyle w:val="TableTextCentered"/>
              <w:jc w:val="left"/>
            </w:pPr>
            <w:r w:rsidRPr="00143B8D">
              <w:t> </w:t>
            </w:r>
          </w:p>
        </w:tc>
        <w:tc>
          <w:tcPr>
            <w:tcW w:w="2410" w:type="dxa"/>
            <w:gridSpan w:val="3"/>
            <w:tcBorders>
              <w:top w:val="single" w:sz="4" w:space="0" w:color="auto"/>
              <w:left w:val="nil"/>
              <w:bottom w:val="nil"/>
              <w:right w:val="nil"/>
            </w:tcBorders>
            <w:shd w:val="clear" w:color="auto" w:fill="auto"/>
            <w:noWrap/>
            <w:vAlign w:val="center"/>
            <w:hideMark/>
          </w:tcPr>
          <w:p w14:paraId="2BB7E25A" w14:textId="77777777" w:rsidR="001C7E53" w:rsidRPr="00143B8D" w:rsidRDefault="001C7E53" w:rsidP="008B7436">
            <w:pPr>
              <w:pStyle w:val="TableTextCentered"/>
              <w:jc w:val="left"/>
            </w:pPr>
            <w:r w:rsidRPr="00143B8D">
              <w:t> </w:t>
            </w:r>
          </w:p>
        </w:tc>
        <w:tc>
          <w:tcPr>
            <w:tcW w:w="1967" w:type="dxa"/>
            <w:gridSpan w:val="4"/>
            <w:tcBorders>
              <w:top w:val="single" w:sz="4" w:space="0" w:color="auto"/>
              <w:left w:val="nil"/>
              <w:bottom w:val="nil"/>
              <w:right w:val="nil"/>
            </w:tcBorders>
            <w:shd w:val="clear" w:color="auto" w:fill="auto"/>
            <w:noWrap/>
            <w:vAlign w:val="center"/>
            <w:hideMark/>
          </w:tcPr>
          <w:p w14:paraId="48735735" w14:textId="77777777" w:rsidR="001C7E53" w:rsidRPr="00143B8D" w:rsidRDefault="001C7E53" w:rsidP="008B7436">
            <w:pPr>
              <w:pStyle w:val="TableTextCentered"/>
              <w:jc w:val="left"/>
            </w:pPr>
            <w:r w:rsidRPr="00143B8D">
              <w:t> </w:t>
            </w:r>
          </w:p>
        </w:tc>
      </w:tr>
      <w:tr w:rsidR="001C7E53" w:rsidRPr="00143B8D" w14:paraId="08DC7534" w14:textId="77777777" w:rsidTr="001D0062">
        <w:trPr>
          <w:trHeight w:val="283"/>
        </w:trPr>
        <w:tc>
          <w:tcPr>
            <w:tcW w:w="2694" w:type="dxa"/>
            <w:tcBorders>
              <w:top w:val="nil"/>
              <w:left w:val="nil"/>
              <w:bottom w:val="nil"/>
              <w:right w:val="nil"/>
            </w:tcBorders>
            <w:shd w:val="clear" w:color="auto" w:fill="auto"/>
            <w:noWrap/>
            <w:vAlign w:val="bottom"/>
            <w:hideMark/>
          </w:tcPr>
          <w:p w14:paraId="7CCC3E65" w14:textId="77777777" w:rsidR="001C7E53" w:rsidRPr="00143B8D" w:rsidRDefault="001C7E53" w:rsidP="00F91AE4">
            <w:pPr>
              <w:pStyle w:val="TableTextLeft"/>
            </w:pPr>
            <w:r w:rsidRPr="00143B8D">
              <w:t>Concentration</w:t>
            </w:r>
          </w:p>
        </w:tc>
        <w:tc>
          <w:tcPr>
            <w:tcW w:w="1984" w:type="dxa"/>
            <w:tcBorders>
              <w:top w:val="nil"/>
              <w:left w:val="nil"/>
              <w:bottom w:val="nil"/>
              <w:right w:val="nil"/>
            </w:tcBorders>
            <w:shd w:val="clear" w:color="auto" w:fill="auto"/>
            <w:noWrap/>
            <w:vAlign w:val="center"/>
            <w:hideMark/>
          </w:tcPr>
          <w:p w14:paraId="428291BE" w14:textId="40C6FF21" w:rsidR="001C7E53" w:rsidRPr="00143B8D" w:rsidRDefault="0018466E" w:rsidP="008B7436">
            <w:pPr>
              <w:pStyle w:val="TableTextCentered"/>
              <w:jc w:val="left"/>
            </w:pPr>
            <w:r>
              <w:noBreakHyphen/>
            </w:r>
            <w:r w:rsidR="001C7E53" w:rsidRPr="00143B8D">
              <w:t>0.104***</w:t>
            </w:r>
          </w:p>
        </w:tc>
        <w:tc>
          <w:tcPr>
            <w:tcW w:w="2410" w:type="dxa"/>
            <w:gridSpan w:val="3"/>
            <w:tcBorders>
              <w:top w:val="nil"/>
              <w:left w:val="nil"/>
              <w:bottom w:val="nil"/>
              <w:right w:val="nil"/>
            </w:tcBorders>
            <w:shd w:val="clear" w:color="auto" w:fill="auto"/>
            <w:noWrap/>
            <w:vAlign w:val="center"/>
            <w:hideMark/>
          </w:tcPr>
          <w:p w14:paraId="261DF2FA" w14:textId="1AFEDB6F" w:rsidR="001C7E53" w:rsidRPr="00143B8D" w:rsidRDefault="0018466E" w:rsidP="008B7436">
            <w:pPr>
              <w:pStyle w:val="TableTextCentered"/>
              <w:jc w:val="left"/>
            </w:pPr>
            <w:r>
              <w:noBreakHyphen/>
            </w:r>
            <w:r w:rsidR="001C7E53" w:rsidRPr="00143B8D">
              <w:t>0.104***</w:t>
            </w:r>
          </w:p>
        </w:tc>
        <w:tc>
          <w:tcPr>
            <w:tcW w:w="1967" w:type="dxa"/>
            <w:gridSpan w:val="4"/>
            <w:tcBorders>
              <w:top w:val="nil"/>
              <w:left w:val="nil"/>
              <w:bottom w:val="nil"/>
              <w:right w:val="nil"/>
            </w:tcBorders>
            <w:shd w:val="clear" w:color="auto" w:fill="auto"/>
            <w:noWrap/>
            <w:vAlign w:val="center"/>
            <w:hideMark/>
          </w:tcPr>
          <w:p w14:paraId="65FF2933" w14:textId="0F934EA1" w:rsidR="001C7E53" w:rsidRPr="00143B8D" w:rsidRDefault="0018466E" w:rsidP="008B7436">
            <w:pPr>
              <w:pStyle w:val="TableTextCentered"/>
              <w:jc w:val="left"/>
            </w:pPr>
            <w:r>
              <w:noBreakHyphen/>
            </w:r>
            <w:r w:rsidR="001C7E53" w:rsidRPr="00143B8D">
              <w:t>0.104***</w:t>
            </w:r>
          </w:p>
        </w:tc>
      </w:tr>
      <w:tr w:rsidR="001C7E53" w:rsidRPr="00143B8D" w14:paraId="2158EE81" w14:textId="77777777" w:rsidTr="001D0062">
        <w:trPr>
          <w:trHeight w:val="283"/>
        </w:trPr>
        <w:tc>
          <w:tcPr>
            <w:tcW w:w="2694" w:type="dxa"/>
            <w:tcBorders>
              <w:top w:val="nil"/>
              <w:left w:val="nil"/>
              <w:bottom w:val="nil"/>
              <w:right w:val="nil"/>
            </w:tcBorders>
            <w:shd w:val="clear" w:color="auto" w:fill="auto"/>
            <w:noWrap/>
            <w:vAlign w:val="bottom"/>
            <w:hideMark/>
          </w:tcPr>
          <w:p w14:paraId="0C89000B"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7ED369A7" w14:textId="77777777" w:rsidR="001C7E53" w:rsidRPr="00143B8D" w:rsidRDefault="001C7E53" w:rsidP="008B7436">
            <w:pPr>
              <w:pStyle w:val="TableTextCentered"/>
              <w:jc w:val="left"/>
            </w:pPr>
            <w:r w:rsidRPr="00143B8D">
              <w:t>(0.014)</w:t>
            </w:r>
          </w:p>
        </w:tc>
        <w:tc>
          <w:tcPr>
            <w:tcW w:w="2410" w:type="dxa"/>
            <w:gridSpan w:val="3"/>
            <w:tcBorders>
              <w:top w:val="nil"/>
              <w:left w:val="nil"/>
              <w:bottom w:val="nil"/>
              <w:right w:val="nil"/>
            </w:tcBorders>
            <w:shd w:val="clear" w:color="auto" w:fill="auto"/>
            <w:noWrap/>
            <w:vAlign w:val="center"/>
            <w:hideMark/>
          </w:tcPr>
          <w:p w14:paraId="0F892CB3" w14:textId="77777777" w:rsidR="001C7E53" w:rsidRPr="00143B8D" w:rsidRDefault="001C7E53" w:rsidP="008B7436">
            <w:pPr>
              <w:pStyle w:val="TableTextCentered"/>
              <w:jc w:val="left"/>
            </w:pPr>
            <w:r w:rsidRPr="00143B8D">
              <w:t>(0.014)</w:t>
            </w:r>
          </w:p>
        </w:tc>
        <w:tc>
          <w:tcPr>
            <w:tcW w:w="1967" w:type="dxa"/>
            <w:gridSpan w:val="4"/>
            <w:tcBorders>
              <w:top w:val="nil"/>
              <w:left w:val="nil"/>
              <w:bottom w:val="nil"/>
              <w:right w:val="nil"/>
            </w:tcBorders>
            <w:shd w:val="clear" w:color="auto" w:fill="auto"/>
            <w:noWrap/>
            <w:vAlign w:val="center"/>
            <w:hideMark/>
          </w:tcPr>
          <w:p w14:paraId="1C847A6A" w14:textId="1CB273F0" w:rsidR="001C7E53" w:rsidRPr="00143B8D" w:rsidRDefault="0018466E" w:rsidP="008B7436">
            <w:pPr>
              <w:pStyle w:val="TableTextCentered"/>
              <w:jc w:val="left"/>
            </w:pPr>
            <w:r>
              <w:noBreakHyphen/>
            </w:r>
            <w:r w:rsidR="001C7E53" w:rsidRPr="00143B8D">
              <w:t>0.011</w:t>
            </w:r>
          </w:p>
        </w:tc>
      </w:tr>
      <w:tr w:rsidR="001C7E53" w:rsidRPr="00143B8D" w14:paraId="4B108629" w14:textId="77777777" w:rsidTr="001D0062">
        <w:trPr>
          <w:trHeight w:val="283"/>
        </w:trPr>
        <w:tc>
          <w:tcPr>
            <w:tcW w:w="2694" w:type="dxa"/>
            <w:tcBorders>
              <w:top w:val="nil"/>
              <w:left w:val="nil"/>
              <w:bottom w:val="nil"/>
              <w:right w:val="nil"/>
            </w:tcBorders>
            <w:shd w:val="clear" w:color="auto" w:fill="auto"/>
            <w:noWrap/>
            <w:vAlign w:val="bottom"/>
            <w:hideMark/>
          </w:tcPr>
          <w:p w14:paraId="6BC294F7"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22D9BA39"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15C9E52A"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center"/>
            <w:hideMark/>
          </w:tcPr>
          <w:p w14:paraId="7D694888" w14:textId="77777777" w:rsidR="001C7E53" w:rsidRPr="00143B8D" w:rsidRDefault="001C7E53" w:rsidP="008B7436">
            <w:pPr>
              <w:pStyle w:val="TableTextCentered"/>
              <w:jc w:val="left"/>
            </w:pPr>
          </w:p>
        </w:tc>
      </w:tr>
      <w:tr w:rsidR="001C7E53" w:rsidRPr="00143B8D" w14:paraId="2902BC1A" w14:textId="77777777" w:rsidTr="001D0062">
        <w:trPr>
          <w:trHeight w:val="283"/>
        </w:trPr>
        <w:tc>
          <w:tcPr>
            <w:tcW w:w="2694" w:type="dxa"/>
            <w:tcBorders>
              <w:top w:val="nil"/>
              <w:left w:val="nil"/>
              <w:bottom w:val="nil"/>
              <w:right w:val="nil"/>
            </w:tcBorders>
            <w:shd w:val="clear" w:color="auto" w:fill="auto"/>
            <w:noWrap/>
            <w:vAlign w:val="bottom"/>
            <w:hideMark/>
          </w:tcPr>
          <w:p w14:paraId="53F7BD5E" w14:textId="77777777" w:rsidR="001C7E53" w:rsidRPr="00143B8D" w:rsidRDefault="001C7E53" w:rsidP="00F91AE4">
            <w:pPr>
              <w:pStyle w:val="TableTextLeft"/>
            </w:pPr>
            <w:r w:rsidRPr="00143B8D">
              <w:t>Outside option</w:t>
            </w:r>
          </w:p>
        </w:tc>
        <w:tc>
          <w:tcPr>
            <w:tcW w:w="1984" w:type="dxa"/>
            <w:tcBorders>
              <w:top w:val="nil"/>
              <w:left w:val="nil"/>
              <w:bottom w:val="nil"/>
              <w:right w:val="nil"/>
            </w:tcBorders>
            <w:shd w:val="clear" w:color="auto" w:fill="auto"/>
            <w:noWrap/>
            <w:vAlign w:val="bottom"/>
            <w:hideMark/>
          </w:tcPr>
          <w:p w14:paraId="62289D42" w14:textId="77777777" w:rsidR="001C7E53" w:rsidRPr="00143B8D" w:rsidRDefault="001C7E53" w:rsidP="008B7436">
            <w:pPr>
              <w:pStyle w:val="TableTextCentered"/>
              <w:jc w:val="left"/>
            </w:pPr>
            <w:r w:rsidRPr="00143B8D">
              <w:t>0.040***</w:t>
            </w:r>
          </w:p>
        </w:tc>
        <w:tc>
          <w:tcPr>
            <w:tcW w:w="2410" w:type="dxa"/>
            <w:gridSpan w:val="3"/>
            <w:tcBorders>
              <w:top w:val="nil"/>
              <w:left w:val="nil"/>
              <w:bottom w:val="nil"/>
              <w:right w:val="nil"/>
            </w:tcBorders>
            <w:shd w:val="clear" w:color="auto" w:fill="auto"/>
            <w:noWrap/>
            <w:vAlign w:val="bottom"/>
            <w:hideMark/>
          </w:tcPr>
          <w:p w14:paraId="4B25CC36" w14:textId="77777777" w:rsidR="001C7E53" w:rsidRPr="00143B8D" w:rsidRDefault="001C7E53" w:rsidP="008B7436">
            <w:pPr>
              <w:pStyle w:val="TableTextCentered"/>
              <w:jc w:val="left"/>
            </w:pPr>
            <w:r w:rsidRPr="00143B8D">
              <w:t>0.039***</w:t>
            </w:r>
          </w:p>
        </w:tc>
        <w:tc>
          <w:tcPr>
            <w:tcW w:w="1967" w:type="dxa"/>
            <w:gridSpan w:val="4"/>
            <w:tcBorders>
              <w:top w:val="nil"/>
              <w:left w:val="nil"/>
              <w:bottom w:val="nil"/>
              <w:right w:val="nil"/>
            </w:tcBorders>
            <w:shd w:val="clear" w:color="auto" w:fill="auto"/>
            <w:noWrap/>
            <w:vAlign w:val="bottom"/>
            <w:hideMark/>
          </w:tcPr>
          <w:p w14:paraId="0418084A" w14:textId="77777777" w:rsidR="001C7E53" w:rsidRPr="00143B8D" w:rsidRDefault="001C7E53" w:rsidP="008B7436">
            <w:pPr>
              <w:pStyle w:val="TableTextCentered"/>
              <w:jc w:val="left"/>
            </w:pPr>
            <w:r w:rsidRPr="00143B8D">
              <w:t>0.040***</w:t>
            </w:r>
          </w:p>
        </w:tc>
      </w:tr>
      <w:tr w:rsidR="001C7E53" w:rsidRPr="00143B8D" w14:paraId="2A4C9E04" w14:textId="77777777" w:rsidTr="001D0062">
        <w:trPr>
          <w:trHeight w:val="283"/>
        </w:trPr>
        <w:tc>
          <w:tcPr>
            <w:tcW w:w="2694" w:type="dxa"/>
            <w:tcBorders>
              <w:top w:val="nil"/>
              <w:left w:val="nil"/>
              <w:bottom w:val="nil"/>
              <w:right w:val="nil"/>
            </w:tcBorders>
            <w:shd w:val="clear" w:color="auto" w:fill="auto"/>
            <w:noWrap/>
            <w:vAlign w:val="bottom"/>
            <w:hideMark/>
          </w:tcPr>
          <w:p w14:paraId="68F6F447"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bottom"/>
            <w:hideMark/>
          </w:tcPr>
          <w:p w14:paraId="650648E4" w14:textId="77777777" w:rsidR="001C7E53" w:rsidRPr="00143B8D" w:rsidRDefault="001C7E53" w:rsidP="008B7436">
            <w:pPr>
              <w:pStyle w:val="TableTextCentered"/>
              <w:jc w:val="left"/>
            </w:pPr>
            <w:r w:rsidRPr="00143B8D">
              <w:t>(0.004)</w:t>
            </w:r>
          </w:p>
        </w:tc>
        <w:tc>
          <w:tcPr>
            <w:tcW w:w="2410" w:type="dxa"/>
            <w:gridSpan w:val="3"/>
            <w:tcBorders>
              <w:top w:val="nil"/>
              <w:left w:val="nil"/>
              <w:bottom w:val="nil"/>
              <w:right w:val="nil"/>
            </w:tcBorders>
            <w:shd w:val="clear" w:color="auto" w:fill="auto"/>
            <w:noWrap/>
            <w:vAlign w:val="bottom"/>
            <w:hideMark/>
          </w:tcPr>
          <w:p w14:paraId="3D2751C2" w14:textId="77777777" w:rsidR="001C7E53" w:rsidRPr="00143B8D" w:rsidRDefault="001C7E53" w:rsidP="008B7436">
            <w:pPr>
              <w:pStyle w:val="TableTextCentered"/>
              <w:jc w:val="left"/>
            </w:pPr>
            <w:r w:rsidRPr="00143B8D">
              <w:t>(0.004)</w:t>
            </w:r>
          </w:p>
        </w:tc>
        <w:tc>
          <w:tcPr>
            <w:tcW w:w="1967" w:type="dxa"/>
            <w:gridSpan w:val="4"/>
            <w:tcBorders>
              <w:top w:val="nil"/>
              <w:left w:val="nil"/>
              <w:bottom w:val="nil"/>
              <w:right w:val="nil"/>
            </w:tcBorders>
            <w:shd w:val="clear" w:color="auto" w:fill="auto"/>
            <w:noWrap/>
            <w:vAlign w:val="bottom"/>
            <w:hideMark/>
          </w:tcPr>
          <w:p w14:paraId="28784DC7" w14:textId="77777777" w:rsidR="001C7E53" w:rsidRPr="00143B8D" w:rsidRDefault="001C7E53" w:rsidP="008B7436">
            <w:pPr>
              <w:pStyle w:val="TableTextCentered"/>
              <w:jc w:val="left"/>
            </w:pPr>
            <w:r w:rsidRPr="00143B8D">
              <w:t>(0.004)</w:t>
            </w:r>
          </w:p>
        </w:tc>
      </w:tr>
      <w:tr w:rsidR="001C7E53" w:rsidRPr="00143B8D" w14:paraId="50BEF95E" w14:textId="77777777" w:rsidTr="001D0062">
        <w:trPr>
          <w:trHeight w:val="283"/>
        </w:trPr>
        <w:tc>
          <w:tcPr>
            <w:tcW w:w="2694" w:type="dxa"/>
            <w:tcBorders>
              <w:top w:val="nil"/>
              <w:left w:val="nil"/>
              <w:bottom w:val="nil"/>
              <w:right w:val="nil"/>
            </w:tcBorders>
            <w:shd w:val="clear" w:color="auto" w:fill="auto"/>
            <w:noWrap/>
            <w:vAlign w:val="bottom"/>
            <w:hideMark/>
          </w:tcPr>
          <w:p w14:paraId="5856C74F"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142902F6"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04634201"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center"/>
            <w:hideMark/>
          </w:tcPr>
          <w:p w14:paraId="6EE7E166" w14:textId="77777777" w:rsidR="001C7E53" w:rsidRPr="00143B8D" w:rsidRDefault="001C7E53" w:rsidP="008B7436">
            <w:pPr>
              <w:pStyle w:val="TableTextCentered"/>
              <w:jc w:val="left"/>
            </w:pPr>
          </w:p>
        </w:tc>
      </w:tr>
      <w:tr w:rsidR="001C7E53" w:rsidRPr="00143B8D" w14:paraId="4B951B91" w14:textId="77777777" w:rsidTr="001D0062">
        <w:trPr>
          <w:trHeight w:val="283"/>
        </w:trPr>
        <w:tc>
          <w:tcPr>
            <w:tcW w:w="2694" w:type="dxa"/>
            <w:tcBorders>
              <w:top w:val="nil"/>
              <w:left w:val="nil"/>
              <w:bottom w:val="nil"/>
              <w:right w:val="nil"/>
            </w:tcBorders>
            <w:shd w:val="clear" w:color="auto" w:fill="auto"/>
            <w:noWrap/>
            <w:vAlign w:val="bottom"/>
            <w:hideMark/>
          </w:tcPr>
          <w:p w14:paraId="497179F8" w14:textId="77777777" w:rsidR="001C7E53" w:rsidRPr="00143B8D" w:rsidRDefault="001C7E53" w:rsidP="00F91AE4">
            <w:pPr>
              <w:pStyle w:val="TableTextLeft"/>
            </w:pPr>
            <w:r w:rsidRPr="00143B8D">
              <w:t>Concentration * Leave share</w:t>
            </w:r>
          </w:p>
        </w:tc>
        <w:tc>
          <w:tcPr>
            <w:tcW w:w="1984" w:type="dxa"/>
            <w:tcBorders>
              <w:top w:val="nil"/>
              <w:left w:val="nil"/>
              <w:bottom w:val="nil"/>
              <w:right w:val="nil"/>
            </w:tcBorders>
            <w:shd w:val="clear" w:color="auto" w:fill="auto"/>
            <w:noWrap/>
            <w:vAlign w:val="center"/>
            <w:hideMark/>
          </w:tcPr>
          <w:p w14:paraId="2160EB5F"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bottom"/>
            <w:hideMark/>
          </w:tcPr>
          <w:p w14:paraId="1E3271E8" w14:textId="4C9FAF90" w:rsidR="001C7E53" w:rsidRPr="00143B8D" w:rsidRDefault="0018466E" w:rsidP="008B7436">
            <w:pPr>
              <w:pStyle w:val="TableTextCentered"/>
              <w:jc w:val="left"/>
            </w:pPr>
            <w:r>
              <w:noBreakHyphen/>
            </w:r>
            <w:r w:rsidR="001C7E53" w:rsidRPr="00143B8D">
              <w:t>0.288*</w:t>
            </w:r>
          </w:p>
        </w:tc>
        <w:tc>
          <w:tcPr>
            <w:tcW w:w="1967" w:type="dxa"/>
            <w:gridSpan w:val="4"/>
            <w:tcBorders>
              <w:top w:val="nil"/>
              <w:left w:val="nil"/>
              <w:bottom w:val="nil"/>
              <w:right w:val="nil"/>
            </w:tcBorders>
            <w:shd w:val="clear" w:color="auto" w:fill="auto"/>
            <w:noWrap/>
            <w:vAlign w:val="center"/>
            <w:hideMark/>
          </w:tcPr>
          <w:p w14:paraId="10489552" w14:textId="77777777" w:rsidR="001C7E53" w:rsidRPr="00143B8D" w:rsidRDefault="001C7E53" w:rsidP="008B7436">
            <w:pPr>
              <w:pStyle w:val="TableTextCentered"/>
              <w:jc w:val="left"/>
            </w:pPr>
          </w:p>
        </w:tc>
      </w:tr>
      <w:tr w:rsidR="001C7E53" w:rsidRPr="00143B8D" w14:paraId="00798168" w14:textId="77777777" w:rsidTr="001D0062">
        <w:trPr>
          <w:trHeight w:val="283"/>
        </w:trPr>
        <w:tc>
          <w:tcPr>
            <w:tcW w:w="2694" w:type="dxa"/>
            <w:tcBorders>
              <w:top w:val="nil"/>
              <w:left w:val="nil"/>
              <w:bottom w:val="nil"/>
              <w:right w:val="nil"/>
            </w:tcBorders>
            <w:shd w:val="clear" w:color="auto" w:fill="auto"/>
            <w:noWrap/>
            <w:vAlign w:val="bottom"/>
            <w:hideMark/>
          </w:tcPr>
          <w:p w14:paraId="324F6D08" w14:textId="77777777" w:rsidR="001C7E53" w:rsidRPr="00143B8D" w:rsidRDefault="001C7E53" w:rsidP="00F91AE4">
            <w:pPr>
              <w:pStyle w:val="TableTextLeft"/>
              <w:rPr>
                <w:rFonts w:ascii="Times New Roman" w:hAnsi="Times New Roman"/>
              </w:rPr>
            </w:pPr>
          </w:p>
        </w:tc>
        <w:tc>
          <w:tcPr>
            <w:tcW w:w="1984" w:type="dxa"/>
            <w:tcBorders>
              <w:top w:val="nil"/>
              <w:left w:val="nil"/>
              <w:bottom w:val="nil"/>
              <w:right w:val="nil"/>
            </w:tcBorders>
            <w:shd w:val="clear" w:color="auto" w:fill="auto"/>
            <w:noWrap/>
            <w:vAlign w:val="center"/>
            <w:hideMark/>
          </w:tcPr>
          <w:p w14:paraId="2C16A034"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bottom"/>
            <w:hideMark/>
          </w:tcPr>
          <w:p w14:paraId="7B0CABA0" w14:textId="77777777" w:rsidR="001C7E53" w:rsidRPr="00143B8D" w:rsidRDefault="001C7E53" w:rsidP="008B7436">
            <w:pPr>
              <w:pStyle w:val="TableTextCentered"/>
              <w:jc w:val="left"/>
            </w:pPr>
            <w:r w:rsidRPr="00143B8D">
              <w:t>(0.151)</w:t>
            </w:r>
          </w:p>
        </w:tc>
        <w:tc>
          <w:tcPr>
            <w:tcW w:w="1967" w:type="dxa"/>
            <w:gridSpan w:val="4"/>
            <w:tcBorders>
              <w:top w:val="nil"/>
              <w:left w:val="nil"/>
              <w:bottom w:val="nil"/>
              <w:right w:val="nil"/>
            </w:tcBorders>
            <w:shd w:val="clear" w:color="auto" w:fill="auto"/>
            <w:noWrap/>
            <w:vAlign w:val="center"/>
            <w:hideMark/>
          </w:tcPr>
          <w:p w14:paraId="302116EE" w14:textId="77777777" w:rsidR="001C7E53" w:rsidRPr="00143B8D" w:rsidRDefault="001C7E53" w:rsidP="008B7436">
            <w:pPr>
              <w:pStyle w:val="TableTextCentered"/>
              <w:jc w:val="left"/>
            </w:pPr>
          </w:p>
        </w:tc>
      </w:tr>
      <w:tr w:rsidR="001C7E53" w:rsidRPr="00143B8D" w14:paraId="2A2D288E" w14:textId="77777777" w:rsidTr="001D0062">
        <w:trPr>
          <w:trHeight w:val="283"/>
        </w:trPr>
        <w:tc>
          <w:tcPr>
            <w:tcW w:w="2694" w:type="dxa"/>
            <w:tcBorders>
              <w:top w:val="nil"/>
              <w:left w:val="nil"/>
              <w:bottom w:val="nil"/>
              <w:right w:val="nil"/>
            </w:tcBorders>
            <w:shd w:val="clear" w:color="auto" w:fill="auto"/>
            <w:noWrap/>
            <w:vAlign w:val="bottom"/>
            <w:hideMark/>
          </w:tcPr>
          <w:p w14:paraId="50661732" w14:textId="77777777" w:rsidR="001C7E53" w:rsidRPr="00143B8D" w:rsidRDefault="001C7E53" w:rsidP="00F91AE4">
            <w:pPr>
              <w:pStyle w:val="TableTextLeft"/>
              <w:rPr>
                <w:rFonts w:ascii="Times New Roman" w:hAnsi="Times New Roman"/>
              </w:rPr>
            </w:pPr>
          </w:p>
        </w:tc>
        <w:tc>
          <w:tcPr>
            <w:tcW w:w="1984" w:type="dxa"/>
            <w:tcBorders>
              <w:top w:val="nil"/>
              <w:left w:val="nil"/>
              <w:bottom w:val="nil"/>
              <w:right w:val="nil"/>
            </w:tcBorders>
            <w:shd w:val="clear" w:color="auto" w:fill="auto"/>
            <w:noWrap/>
            <w:vAlign w:val="center"/>
            <w:hideMark/>
          </w:tcPr>
          <w:p w14:paraId="7794BDA4"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203C3823"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center"/>
            <w:hideMark/>
          </w:tcPr>
          <w:p w14:paraId="41425E6C" w14:textId="77777777" w:rsidR="001C7E53" w:rsidRPr="00143B8D" w:rsidRDefault="001C7E53" w:rsidP="008B7436">
            <w:pPr>
              <w:pStyle w:val="TableTextCentered"/>
              <w:jc w:val="left"/>
            </w:pPr>
          </w:p>
        </w:tc>
      </w:tr>
      <w:tr w:rsidR="001C7E53" w:rsidRPr="00143B8D" w14:paraId="4EEBC0BC" w14:textId="77777777" w:rsidTr="001D0062">
        <w:trPr>
          <w:trHeight w:val="283"/>
        </w:trPr>
        <w:tc>
          <w:tcPr>
            <w:tcW w:w="2694" w:type="dxa"/>
            <w:tcBorders>
              <w:top w:val="nil"/>
              <w:left w:val="nil"/>
              <w:bottom w:val="nil"/>
              <w:right w:val="nil"/>
            </w:tcBorders>
            <w:shd w:val="clear" w:color="auto" w:fill="auto"/>
            <w:noWrap/>
            <w:vAlign w:val="bottom"/>
            <w:hideMark/>
          </w:tcPr>
          <w:p w14:paraId="2179A8D4" w14:textId="77777777" w:rsidR="001C7E53" w:rsidRPr="00143B8D" w:rsidRDefault="001C7E53" w:rsidP="00F91AE4">
            <w:pPr>
              <w:pStyle w:val="TableTextLeft"/>
            </w:pPr>
            <w:r w:rsidRPr="00143B8D">
              <w:t>Outside option * Leave share</w:t>
            </w:r>
          </w:p>
        </w:tc>
        <w:tc>
          <w:tcPr>
            <w:tcW w:w="1984" w:type="dxa"/>
            <w:tcBorders>
              <w:top w:val="nil"/>
              <w:left w:val="nil"/>
              <w:bottom w:val="nil"/>
              <w:right w:val="nil"/>
            </w:tcBorders>
            <w:shd w:val="clear" w:color="auto" w:fill="auto"/>
            <w:noWrap/>
            <w:vAlign w:val="center"/>
            <w:hideMark/>
          </w:tcPr>
          <w:p w14:paraId="534E8D4E"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078FBD56" w14:textId="77777777" w:rsidR="001C7E53" w:rsidRPr="00143B8D" w:rsidRDefault="001C7E53" w:rsidP="008B7436">
            <w:pPr>
              <w:pStyle w:val="TableTextCentered"/>
              <w:jc w:val="left"/>
            </w:pPr>
            <w:r w:rsidRPr="00143B8D">
              <w:t>0.086***</w:t>
            </w:r>
          </w:p>
        </w:tc>
        <w:tc>
          <w:tcPr>
            <w:tcW w:w="1967" w:type="dxa"/>
            <w:gridSpan w:val="4"/>
            <w:tcBorders>
              <w:top w:val="nil"/>
              <w:left w:val="nil"/>
              <w:bottom w:val="nil"/>
              <w:right w:val="nil"/>
            </w:tcBorders>
            <w:shd w:val="clear" w:color="auto" w:fill="auto"/>
            <w:noWrap/>
            <w:vAlign w:val="center"/>
            <w:hideMark/>
          </w:tcPr>
          <w:p w14:paraId="305F311C" w14:textId="77777777" w:rsidR="001C7E53" w:rsidRPr="00143B8D" w:rsidRDefault="001C7E53" w:rsidP="008B7436">
            <w:pPr>
              <w:pStyle w:val="TableTextCentered"/>
              <w:jc w:val="left"/>
            </w:pPr>
          </w:p>
        </w:tc>
      </w:tr>
      <w:tr w:rsidR="001C7E53" w:rsidRPr="00143B8D" w14:paraId="42AF632C" w14:textId="77777777" w:rsidTr="001D0062">
        <w:trPr>
          <w:trHeight w:val="283"/>
        </w:trPr>
        <w:tc>
          <w:tcPr>
            <w:tcW w:w="2694" w:type="dxa"/>
            <w:tcBorders>
              <w:top w:val="nil"/>
              <w:left w:val="nil"/>
              <w:bottom w:val="nil"/>
              <w:right w:val="nil"/>
            </w:tcBorders>
            <w:shd w:val="clear" w:color="auto" w:fill="auto"/>
            <w:noWrap/>
            <w:vAlign w:val="bottom"/>
            <w:hideMark/>
          </w:tcPr>
          <w:p w14:paraId="454DC3AA" w14:textId="77777777" w:rsidR="001C7E53" w:rsidRPr="00143B8D" w:rsidRDefault="001C7E53" w:rsidP="00F91AE4">
            <w:pPr>
              <w:pStyle w:val="TableTextLeft"/>
              <w:rPr>
                <w:rFonts w:ascii="Times New Roman" w:hAnsi="Times New Roman"/>
              </w:rPr>
            </w:pPr>
          </w:p>
        </w:tc>
        <w:tc>
          <w:tcPr>
            <w:tcW w:w="1984" w:type="dxa"/>
            <w:tcBorders>
              <w:top w:val="nil"/>
              <w:left w:val="nil"/>
              <w:bottom w:val="nil"/>
              <w:right w:val="nil"/>
            </w:tcBorders>
            <w:shd w:val="clear" w:color="auto" w:fill="auto"/>
            <w:noWrap/>
            <w:vAlign w:val="center"/>
            <w:hideMark/>
          </w:tcPr>
          <w:p w14:paraId="535822A7"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77364EF6" w14:textId="77777777" w:rsidR="001C7E53" w:rsidRPr="00143B8D" w:rsidRDefault="001C7E53" w:rsidP="008B7436">
            <w:pPr>
              <w:pStyle w:val="TableTextCentered"/>
              <w:jc w:val="left"/>
            </w:pPr>
            <w:r w:rsidRPr="00143B8D">
              <w:t>(0.032)</w:t>
            </w:r>
          </w:p>
        </w:tc>
        <w:tc>
          <w:tcPr>
            <w:tcW w:w="1967" w:type="dxa"/>
            <w:gridSpan w:val="4"/>
            <w:tcBorders>
              <w:top w:val="nil"/>
              <w:left w:val="nil"/>
              <w:bottom w:val="nil"/>
              <w:right w:val="nil"/>
            </w:tcBorders>
            <w:shd w:val="clear" w:color="auto" w:fill="auto"/>
            <w:noWrap/>
            <w:vAlign w:val="center"/>
            <w:hideMark/>
          </w:tcPr>
          <w:p w14:paraId="79801B97" w14:textId="77777777" w:rsidR="001C7E53" w:rsidRPr="00143B8D" w:rsidRDefault="001C7E53" w:rsidP="008B7436">
            <w:pPr>
              <w:pStyle w:val="TableTextCentered"/>
              <w:jc w:val="left"/>
            </w:pPr>
          </w:p>
        </w:tc>
      </w:tr>
      <w:tr w:rsidR="001C7E53" w:rsidRPr="00143B8D" w14:paraId="7C41520C" w14:textId="77777777" w:rsidTr="001D0062">
        <w:trPr>
          <w:trHeight w:val="283"/>
        </w:trPr>
        <w:tc>
          <w:tcPr>
            <w:tcW w:w="2694" w:type="dxa"/>
            <w:tcBorders>
              <w:top w:val="nil"/>
              <w:left w:val="nil"/>
              <w:bottom w:val="nil"/>
              <w:right w:val="nil"/>
            </w:tcBorders>
            <w:shd w:val="clear" w:color="auto" w:fill="auto"/>
            <w:noWrap/>
            <w:vAlign w:val="bottom"/>
            <w:hideMark/>
          </w:tcPr>
          <w:p w14:paraId="5D7C5770" w14:textId="77777777" w:rsidR="001C7E53" w:rsidRPr="00143B8D" w:rsidRDefault="001C7E53" w:rsidP="00F91AE4">
            <w:pPr>
              <w:pStyle w:val="TableTextLeft"/>
              <w:rPr>
                <w:rFonts w:ascii="Times New Roman" w:hAnsi="Times New Roman"/>
              </w:rPr>
            </w:pPr>
          </w:p>
        </w:tc>
        <w:tc>
          <w:tcPr>
            <w:tcW w:w="1984" w:type="dxa"/>
            <w:tcBorders>
              <w:top w:val="nil"/>
              <w:left w:val="nil"/>
              <w:bottom w:val="nil"/>
              <w:right w:val="nil"/>
            </w:tcBorders>
            <w:shd w:val="clear" w:color="auto" w:fill="auto"/>
            <w:noWrap/>
            <w:vAlign w:val="center"/>
            <w:hideMark/>
          </w:tcPr>
          <w:p w14:paraId="06335655"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7A83AAE8" w14:textId="77777777" w:rsidR="001C7E53" w:rsidRPr="00143B8D" w:rsidRDefault="001C7E53" w:rsidP="008B7436">
            <w:pPr>
              <w:pStyle w:val="TableTextCentered"/>
              <w:jc w:val="left"/>
            </w:pPr>
          </w:p>
        </w:tc>
        <w:tc>
          <w:tcPr>
            <w:tcW w:w="1490" w:type="dxa"/>
            <w:gridSpan w:val="3"/>
            <w:tcBorders>
              <w:top w:val="nil"/>
              <w:left w:val="nil"/>
              <w:bottom w:val="nil"/>
              <w:right w:val="nil"/>
            </w:tcBorders>
            <w:shd w:val="clear" w:color="auto" w:fill="auto"/>
            <w:noWrap/>
            <w:vAlign w:val="center"/>
            <w:hideMark/>
          </w:tcPr>
          <w:p w14:paraId="284070AE" w14:textId="77777777" w:rsidR="001C7E53" w:rsidRPr="00143B8D" w:rsidRDefault="001C7E53" w:rsidP="008B7436">
            <w:pPr>
              <w:pStyle w:val="TableTextCentered"/>
              <w:jc w:val="left"/>
            </w:pPr>
          </w:p>
        </w:tc>
        <w:tc>
          <w:tcPr>
            <w:tcW w:w="477" w:type="dxa"/>
            <w:tcBorders>
              <w:top w:val="nil"/>
              <w:left w:val="nil"/>
              <w:bottom w:val="nil"/>
              <w:right w:val="nil"/>
            </w:tcBorders>
            <w:shd w:val="clear" w:color="auto" w:fill="auto"/>
            <w:noWrap/>
            <w:vAlign w:val="center"/>
            <w:hideMark/>
          </w:tcPr>
          <w:p w14:paraId="4B2F9A5A" w14:textId="77777777" w:rsidR="001C7E53" w:rsidRPr="00143B8D" w:rsidRDefault="001C7E53" w:rsidP="008B7436">
            <w:pPr>
              <w:pStyle w:val="TableTextCentered"/>
              <w:jc w:val="left"/>
            </w:pPr>
          </w:p>
        </w:tc>
      </w:tr>
      <w:tr w:rsidR="001C7E53" w:rsidRPr="00143B8D" w14:paraId="497CA30C" w14:textId="77777777" w:rsidTr="001D0062">
        <w:trPr>
          <w:trHeight w:val="283"/>
        </w:trPr>
        <w:tc>
          <w:tcPr>
            <w:tcW w:w="2694" w:type="dxa"/>
            <w:tcBorders>
              <w:top w:val="nil"/>
              <w:left w:val="nil"/>
              <w:bottom w:val="nil"/>
              <w:right w:val="nil"/>
            </w:tcBorders>
            <w:shd w:val="clear" w:color="auto" w:fill="auto"/>
            <w:noWrap/>
            <w:vAlign w:val="bottom"/>
            <w:hideMark/>
          </w:tcPr>
          <w:p w14:paraId="70F59104" w14:textId="77777777" w:rsidR="001C7E53" w:rsidRPr="00143B8D" w:rsidRDefault="001C7E53" w:rsidP="00F91AE4">
            <w:pPr>
              <w:pStyle w:val="TableTextLeft"/>
            </w:pPr>
            <w:r w:rsidRPr="00143B8D">
              <w:t>Concentration * Leave rate</w:t>
            </w:r>
          </w:p>
        </w:tc>
        <w:tc>
          <w:tcPr>
            <w:tcW w:w="1984" w:type="dxa"/>
            <w:tcBorders>
              <w:top w:val="nil"/>
              <w:left w:val="nil"/>
              <w:bottom w:val="nil"/>
              <w:right w:val="nil"/>
            </w:tcBorders>
            <w:shd w:val="clear" w:color="auto" w:fill="auto"/>
            <w:noWrap/>
            <w:vAlign w:val="center"/>
            <w:hideMark/>
          </w:tcPr>
          <w:p w14:paraId="17C92DA2"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1BE857FA"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bottom"/>
            <w:hideMark/>
          </w:tcPr>
          <w:p w14:paraId="3B83C72B" w14:textId="77777777" w:rsidR="001C7E53" w:rsidRPr="00143B8D" w:rsidRDefault="001C7E53" w:rsidP="008B7436">
            <w:pPr>
              <w:pStyle w:val="TableTextCentered"/>
              <w:jc w:val="left"/>
            </w:pPr>
            <w:r w:rsidRPr="00143B8D">
              <w:t>0.035</w:t>
            </w:r>
          </w:p>
        </w:tc>
      </w:tr>
      <w:tr w:rsidR="001C7E53" w:rsidRPr="00143B8D" w14:paraId="2181D088" w14:textId="77777777" w:rsidTr="001D0062">
        <w:trPr>
          <w:trHeight w:val="283"/>
        </w:trPr>
        <w:tc>
          <w:tcPr>
            <w:tcW w:w="2694" w:type="dxa"/>
            <w:tcBorders>
              <w:top w:val="nil"/>
              <w:left w:val="nil"/>
              <w:bottom w:val="nil"/>
              <w:right w:val="nil"/>
            </w:tcBorders>
            <w:shd w:val="clear" w:color="auto" w:fill="auto"/>
            <w:noWrap/>
            <w:vAlign w:val="bottom"/>
            <w:hideMark/>
          </w:tcPr>
          <w:p w14:paraId="4D87E8D0"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71FB4B27"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507EFDF8"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bottom"/>
            <w:hideMark/>
          </w:tcPr>
          <w:p w14:paraId="32E1F507" w14:textId="77777777" w:rsidR="001C7E53" w:rsidRPr="00143B8D" w:rsidRDefault="001C7E53" w:rsidP="008B7436">
            <w:pPr>
              <w:pStyle w:val="TableTextCentered"/>
              <w:jc w:val="left"/>
            </w:pPr>
            <w:r w:rsidRPr="00143B8D">
              <w:t>(0.324)</w:t>
            </w:r>
          </w:p>
        </w:tc>
      </w:tr>
      <w:tr w:rsidR="001C7E53" w:rsidRPr="00143B8D" w14:paraId="2D516C45" w14:textId="77777777" w:rsidTr="001D0062">
        <w:trPr>
          <w:trHeight w:val="283"/>
        </w:trPr>
        <w:tc>
          <w:tcPr>
            <w:tcW w:w="2694" w:type="dxa"/>
            <w:tcBorders>
              <w:top w:val="nil"/>
              <w:left w:val="nil"/>
              <w:bottom w:val="nil"/>
              <w:right w:val="nil"/>
            </w:tcBorders>
            <w:shd w:val="clear" w:color="auto" w:fill="auto"/>
            <w:noWrap/>
            <w:vAlign w:val="bottom"/>
            <w:hideMark/>
          </w:tcPr>
          <w:p w14:paraId="0C29B3B9"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36E06A2B"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5A55C2AB"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bottom"/>
            <w:hideMark/>
          </w:tcPr>
          <w:p w14:paraId="271A0C2A" w14:textId="77777777" w:rsidR="001C7E53" w:rsidRPr="00143B8D" w:rsidRDefault="001C7E53" w:rsidP="008B7436">
            <w:pPr>
              <w:pStyle w:val="TableTextCentered"/>
              <w:jc w:val="left"/>
            </w:pPr>
          </w:p>
        </w:tc>
      </w:tr>
      <w:tr w:rsidR="001C7E53" w:rsidRPr="00143B8D" w14:paraId="25902D29" w14:textId="77777777" w:rsidTr="001D0062">
        <w:trPr>
          <w:trHeight w:val="283"/>
        </w:trPr>
        <w:tc>
          <w:tcPr>
            <w:tcW w:w="2694" w:type="dxa"/>
            <w:tcBorders>
              <w:top w:val="nil"/>
              <w:left w:val="nil"/>
              <w:bottom w:val="nil"/>
              <w:right w:val="nil"/>
            </w:tcBorders>
            <w:shd w:val="clear" w:color="auto" w:fill="auto"/>
            <w:noWrap/>
            <w:vAlign w:val="bottom"/>
            <w:hideMark/>
          </w:tcPr>
          <w:p w14:paraId="27B351B5" w14:textId="77777777" w:rsidR="001C7E53" w:rsidRPr="00143B8D" w:rsidRDefault="001C7E53" w:rsidP="00F91AE4">
            <w:pPr>
              <w:pStyle w:val="TableTextLeft"/>
            </w:pPr>
            <w:r w:rsidRPr="00143B8D">
              <w:t>Outside option * Leave rate</w:t>
            </w:r>
          </w:p>
        </w:tc>
        <w:tc>
          <w:tcPr>
            <w:tcW w:w="1984" w:type="dxa"/>
            <w:tcBorders>
              <w:top w:val="nil"/>
              <w:left w:val="nil"/>
              <w:bottom w:val="nil"/>
              <w:right w:val="nil"/>
            </w:tcBorders>
            <w:shd w:val="clear" w:color="auto" w:fill="auto"/>
            <w:noWrap/>
            <w:vAlign w:val="center"/>
            <w:hideMark/>
          </w:tcPr>
          <w:p w14:paraId="255260E6"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center"/>
            <w:hideMark/>
          </w:tcPr>
          <w:p w14:paraId="645C30B8"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bottom"/>
            <w:hideMark/>
          </w:tcPr>
          <w:p w14:paraId="3FC5E287" w14:textId="77777777" w:rsidR="001C7E53" w:rsidRPr="00143B8D" w:rsidRDefault="001C7E53" w:rsidP="008B7436">
            <w:pPr>
              <w:pStyle w:val="TableTextCentered"/>
              <w:jc w:val="left"/>
            </w:pPr>
            <w:r w:rsidRPr="00143B8D">
              <w:t>0.228***</w:t>
            </w:r>
          </w:p>
        </w:tc>
      </w:tr>
      <w:tr w:rsidR="001C7E53" w:rsidRPr="00143B8D" w14:paraId="44B15162" w14:textId="77777777" w:rsidTr="001D0062">
        <w:trPr>
          <w:trHeight w:val="283"/>
        </w:trPr>
        <w:tc>
          <w:tcPr>
            <w:tcW w:w="2694" w:type="dxa"/>
            <w:tcBorders>
              <w:top w:val="nil"/>
              <w:left w:val="nil"/>
              <w:bottom w:val="nil"/>
              <w:right w:val="nil"/>
            </w:tcBorders>
            <w:shd w:val="clear" w:color="auto" w:fill="auto"/>
            <w:noWrap/>
            <w:vAlign w:val="bottom"/>
            <w:hideMark/>
          </w:tcPr>
          <w:p w14:paraId="272148C0" w14:textId="77777777" w:rsidR="001C7E53" w:rsidRPr="00143B8D" w:rsidRDefault="001C7E53" w:rsidP="00F91AE4">
            <w:pPr>
              <w:pStyle w:val="TableTextLeft"/>
            </w:pPr>
          </w:p>
        </w:tc>
        <w:tc>
          <w:tcPr>
            <w:tcW w:w="1984" w:type="dxa"/>
            <w:tcBorders>
              <w:top w:val="nil"/>
              <w:left w:val="nil"/>
              <w:bottom w:val="nil"/>
              <w:right w:val="nil"/>
            </w:tcBorders>
            <w:shd w:val="clear" w:color="auto" w:fill="auto"/>
            <w:noWrap/>
            <w:vAlign w:val="center"/>
            <w:hideMark/>
          </w:tcPr>
          <w:p w14:paraId="42F0B2D6" w14:textId="77777777" w:rsidR="001C7E53" w:rsidRPr="00143B8D" w:rsidRDefault="001C7E53" w:rsidP="008B7436">
            <w:pPr>
              <w:pStyle w:val="TableTextCentered"/>
              <w:jc w:val="left"/>
            </w:pPr>
          </w:p>
        </w:tc>
        <w:tc>
          <w:tcPr>
            <w:tcW w:w="2410" w:type="dxa"/>
            <w:gridSpan w:val="3"/>
            <w:tcBorders>
              <w:top w:val="nil"/>
              <w:left w:val="nil"/>
              <w:bottom w:val="nil"/>
              <w:right w:val="nil"/>
            </w:tcBorders>
            <w:shd w:val="clear" w:color="auto" w:fill="auto"/>
            <w:noWrap/>
            <w:vAlign w:val="bottom"/>
            <w:hideMark/>
          </w:tcPr>
          <w:p w14:paraId="2709815A" w14:textId="77777777" w:rsidR="001C7E53" w:rsidRPr="00143B8D" w:rsidRDefault="001C7E53" w:rsidP="008B7436">
            <w:pPr>
              <w:pStyle w:val="TableTextCentered"/>
              <w:jc w:val="left"/>
            </w:pPr>
          </w:p>
        </w:tc>
        <w:tc>
          <w:tcPr>
            <w:tcW w:w="1967" w:type="dxa"/>
            <w:gridSpan w:val="4"/>
            <w:tcBorders>
              <w:top w:val="nil"/>
              <w:left w:val="nil"/>
              <w:bottom w:val="nil"/>
              <w:right w:val="nil"/>
            </w:tcBorders>
            <w:shd w:val="clear" w:color="auto" w:fill="auto"/>
            <w:noWrap/>
            <w:vAlign w:val="bottom"/>
            <w:hideMark/>
          </w:tcPr>
          <w:p w14:paraId="32B429B8" w14:textId="77777777" w:rsidR="001C7E53" w:rsidRPr="00143B8D" w:rsidRDefault="001C7E53" w:rsidP="008B7436">
            <w:pPr>
              <w:pStyle w:val="TableTextCentered"/>
              <w:jc w:val="left"/>
            </w:pPr>
            <w:r w:rsidRPr="00143B8D">
              <w:t>(0.066)</w:t>
            </w:r>
          </w:p>
        </w:tc>
      </w:tr>
      <w:tr w:rsidR="001C7E53" w:rsidRPr="00143B8D" w14:paraId="7FDA0C63" w14:textId="77777777" w:rsidTr="001D0062">
        <w:trPr>
          <w:trHeight w:val="283"/>
        </w:trPr>
        <w:tc>
          <w:tcPr>
            <w:tcW w:w="2694" w:type="dxa"/>
            <w:tcBorders>
              <w:top w:val="nil"/>
              <w:left w:val="nil"/>
              <w:bottom w:val="single" w:sz="4" w:space="0" w:color="auto"/>
              <w:right w:val="nil"/>
            </w:tcBorders>
            <w:shd w:val="clear" w:color="auto" w:fill="auto"/>
            <w:noWrap/>
            <w:vAlign w:val="bottom"/>
            <w:hideMark/>
          </w:tcPr>
          <w:p w14:paraId="618BF8C3" w14:textId="77777777" w:rsidR="001C7E53" w:rsidRPr="00143B8D" w:rsidRDefault="001C7E53" w:rsidP="00F91AE4">
            <w:pPr>
              <w:pStyle w:val="TableTextLeft"/>
            </w:pPr>
            <w:r w:rsidRPr="00143B8D">
              <w:t> </w:t>
            </w:r>
          </w:p>
        </w:tc>
        <w:tc>
          <w:tcPr>
            <w:tcW w:w="1984" w:type="dxa"/>
            <w:tcBorders>
              <w:top w:val="nil"/>
              <w:left w:val="nil"/>
              <w:bottom w:val="single" w:sz="4" w:space="0" w:color="auto"/>
              <w:right w:val="nil"/>
            </w:tcBorders>
            <w:shd w:val="clear" w:color="auto" w:fill="auto"/>
            <w:noWrap/>
            <w:vAlign w:val="center"/>
            <w:hideMark/>
          </w:tcPr>
          <w:p w14:paraId="51D33AB6" w14:textId="77777777" w:rsidR="001C7E53" w:rsidRPr="00143B8D" w:rsidRDefault="001C7E53" w:rsidP="008B7436">
            <w:pPr>
              <w:pStyle w:val="TableTextCentered"/>
              <w:jc w:val="left"/>
            </w:pPr>
            <w:r w:rsidRPr="00143B8D">
              <w:t> </w:t>
            </w:r>
          </w:p>
        </w:tc>
        <w:tc>
          <w:tcPr>
            <w:tcW w:w="2410" w:type="dxa"/>
            <w:gridSpan w:val="3"/>
            <w:tcBorders>
              <w:top w:val="nil"/>
              <w:left w:val="nil"/>
              <w:bottom w:val="single" w:sz="4" w:space="0" w:color="auto"/>
              <w:right w:val="nil"/>
            </w:tcBorders>
            <w:shd w:val="clear" w:color="auto" w:fill="auto"/>
            <w:noWrap/>
            <w:vAlign w:val="center"/>
            <w:hideMark/>
          </w:tcPr>
          <w:p w14:paraId="2F804B35" w14:textId="77777777" w:rsidR="001C7E53" w:rsidRPr="00143B8D" w:rsidRDefault="001C7E53" w:rsidP="008B7436">
            <w:pPr>
              <w:pStyle w:val="TableTextCentered"/>
              <w:jc w:val="left"/>
            </w:pPr>
            <w:r w:rsidRPr="00143B8D">
              <w:t> </w:t>
            </w:r>
          </w:p>
        </w:tc>
        <w:tc>
          <w:tcPr>
            <w:tcW w:w="1967" w:type="dxa"/>
            <w:gridSpan w:val="4"/>
            <w:tcBorders>
              <w:top w:val="nil"/>
              <w:left w:val="nil"/>
              <w:bottom w:val="single" w:sz="4" w:space="0" w:color="auto"/>
              <w:right w:val="nil"/>
            </w:tcBorders>
            <w:shd w:val="clear" w:color="auto" w:fill="auto"/>
            <w:noWrap/>
            <w:vAlign w:val="center"/>
            <w:hideMark/>
          </w:tcPr>
          <w:p w14:paraId="67D20A17" w14:textId="77777777" w:rsidR="001C7E53" w:rsidRPr="00143B8D" w:rsidRDefault="001C7E53" w:rsidP="008B7436">
            <w:pPr>
              <w:pStyle w:val="TableTextCentered"/>
              <w:jc w:val="left"/>
            </w:pPr>
            <w:r w:rsidRPr="00143B8D">
              <w:t> </w:t>
            </w:r>
          </w:p>
        </w:tc>
      </w:tr>
      <w:tr w:rsidR="001C7E53" w:rsidRPr="00143B8D" w14:paraId="47943EAF" w14:textId="77777777" w:rsidTr="001D0062">
        <w:trPr>
          <w:trHeight w:val="283"/>
        </w:trPr>
        <w:tc>
          <w:tcPr>
            <w:tcW w:w="2694" w:type="dxa"/>
            <w:tcBorders>
              <w:top w:val="nil"/>
              <w:left w:val="nil"/>
              <w:bottom w:val="nil"/>
              <w:right w:val="nil"/>
            </w:tcBorders>
            <w:shd w:val="clear" w:color="auto" w:fill="auto"/>
            <w:noWrap/>
            <w:vAlign w:val="center"/>
            <w:hideMark/>
          </w:tcPr>
          <w:p w14:paraId="6B1A31B7" w14:textId="77777777" w:rsidR="001C7E53" w:rsidRPr="00143B8D" w:rsidRDefault="001C7E53" w:rsidP="00F91AE4">
            <w:pPr>
              <w:pStyle w:val="TableTextLeft"/>
            </w:pPr>
            <w:r w:rsidRPr="00143B8D">
              <w:t>R</w:t>
            </w:r>
            <w:r w:rsidRPr="00143B8D">
              <w:rPr>
                <w:vertAlign w:val="superscript"/>
              </w:rPr>
              <w:t>2</w:t>
            </w:r>
          </w:p>
        </w:tc>
        <w:tc>
          <w:tcPr>
            <w:tcW w:w="1984" w:type="dxa"/>
            <w:tcBorders>
              <w:top w:val="single" w:sz="4" w:space="0" w:color="auto"/>
              <w:left w:val="nil"/>
              <w:bottom w:val="nil"/>
              <w:right w:val="nil"/>
            </w:tcBorders>
            <w:shd w:val="clear" w:color="auto" w:fill="auto"/>
            <w:noWrap/>
            <w:vAlign w:val="center"/>
            <w:hideMark/>
          </w:tcPr>
          <w:p w14:paraId="66F22E24" w14:textId="77777777" w:rsidR="001C7E53" w:rsidRPr="00143B8D" w:rsidRDefault="001C7E53" w:rsidP="008B7436">
            <w:pPr>
              <w:pStyle w:val="TableTextCentered"/>
              <w:jc w:val="left"/>
            </w:pPr>
            <w:r w:rsidRPr="00143B8D">
              <w:t>0.671</w:t>
            </w:r>
          </w:p>
        </w:tc>
        <w:tc>
          <w:tcPr>
            <w:tcW w:w="2410" w:type="dxa"/>
            <w:gridSpan w:val="3"/>
            <w:tcBorders>
              <w:top w:val="single" w:sz="4" w:space="0" w:color="auto"/>
              <w:left w:val="nil"/>
              <w:bottom w:val="nil"/>
              <w:right w:val="nil"/>
            </w:tcBorders>
            <w:shd w:val="clear" w:color="auto" w:fill="auto"/>
            <w:noWrap/>
            <w:vAlign w:val="center"/>
            <w:hideMark/>
          </w:tcPr>
          <w:p w14:paraId="73E1143C" w14:textId="77777777" w:rsidR="001C7E53" w:rsidRPr="00143B8D" w:rsidRDefault="001C7E53" w:rsidP="008B7436">
            <w:pPr>
              <w:pStyle w:val="TableTextCentered"/>
              <w:jc w:val="left"/>
            </w:pPr>
            <w:r w:rsidRPr="00143B8D">
              <w:t>0.671</w:t>
            </w:r>
          </w:p>
        </w:tc>
        <w:tc>
          <w:tcPr>
            <w:tcW w:w="1967" w:type="dxa"/>
            <w:gridSpan w:val="4"/>
            <w:tcBorders>
              <w:top w:val="single" w:sz="4" w:space="0" w:color="auto"/>
              <w:left w:val="nil"/>
              <w:bottom w:val="nil"/>
              <w:right w:val="nil"/>
            </w:tcBorders>
            <w:shd w:val="clear" w:color="auto" w:fill="auto"/>
            <w:noWrap/>
            <w:vAlign w:val="center"/>
            <w:hideMark/>
          </w:tcPr>
          <w:p w14:paraId="1CD236FD" w14:textId="77777777" w:rsidR="001C7E53" w:rsidRPr="00143B8D" w:rsidRDefault="001C7E53" w:rsidP="008B7436">
            <w:pPr>
              <w:pStyle w:val="TableTextCentered"/>
              <w:jc w:val="left"/>
            </w:pPr>
            <w:r w:rsidRPr="00143B8D">
              <w:t>0.671</w:t>
            </w:r>
          </w:p>
        </w:tc>
      </w:tr>
      <w:tr w:rsidR="001C7E53" w:rsidRPr="00143B8D" w14:paraId="6F11238A" w14:textId="77777777" w:rsidTr="001D0062">
        <w:trPr>
          <w:trHeight w:val="283"/>
        </w:trPr>
        <w:tc>
          <w:tcPr>
            <w:tcW w:w="2694" w:type="dxa"/>
            <w:tcBorders>
              <w:top w:val="nil"/>
              <w:left w:val="nil"/>
              <w:bottom w:val="nil"/>
              <w:right w:val="nil"/>
            </w:tcBorders>
            <w:shd w:val="clear" w:color="auto" w:fill="auto"/>
            <w:noWrap/>
            <w:vAlign w:val="bottom"/>
            <w:hideMark/>
          </w:tcPr>
          <w:p w14:paraId="1D3590F3" w14:textId="77777777" w:rsidR="001C7E53" w:rsidRPr="00143B8D" w:rsidRDefault="001C7E53" w:rsidP="00F91AE4">
            <w:pPr>
              <w:pStyle w:val="TableTextLeft"/>
            </w:pPr>
            <w:r w:rsidRPr="00143B8D">
              <w:t>N</w:t>
            </w:r>
          </w:p>
        </w:tc>
        <w:tc>
          <w:tcPr>
            <w:tcW w:w="1984" w:type="dxa"/>
            <w:tcBorders>
              <w:top w:val="nil"/>
              <w:left w:val="nil"/>
              <w:bottom w:val="nil"/>
              <w:right w:val="nil"/>
            </w:tcBorders>
            <w:shd w:val="clear" w:color="auto" w:fill="auto"/>
            <w:noWrap/>
            <w:vAlign w:val="center"/>
            <w:hideMark/>
          </w:tcPr>
          <w:p w14:paraId="2B0677CC" w14:textId="77777777" w:rsidR="001C7E53" w:rsidRPr="00143B8D" w:rsidRDefault="001C7E53" w:rsidP="008B7436">
            <w:pPr>
              <w:pStyle w:val="TableTextCentered"/>
              <w:jc w:val="left"/>
            </w:pPr>
            <w:r w:rsidRPr="00143B8D">
              <w:t>302,000</w:t>
            </w:r>
          </w:p>
        </w:tc>
        <w:tc>
          <w:tcPr>
            <w:tcW w:w="2410" w:type="dxa"/>
            <w:gridSpan w:val="3"/>
            <w:tcBorders>
              <w:top w:val="nil"/>
              <w:left w:val="nil"/>
              <w:bottom w:val="nil"/>
              <w:right w:val="nil"/>
            </w:tcBorders>
            <w:shd w:val="clear" w:color="auto" w:fill="auto"/>
            <w:noWrap/>
            <w:vAlign w:val="center"/>
            <w:hideMark/>
          </w:tcPr>
          <w:p w14:paraId="322E8575" w14:textId="77777777" w:rsidR="001C7E53" w:rsidRPr="00143B8D" w:rsidRDefault="001C7E53" w:rsidP="008B7436">
            <w:pPr>
              <w:pStyle w:val="TableTextCentered"/>
              <w:jc w:val="left"/>
            </w:pPr>
            <w:r w:rsidRPr="00143B8D">
              <w:t>299,000</w:t>
            </w:r>
          </w:p>
        </w:tc>
        <w:tc>
          <w:tcPr>
            <w:tcW w:w="1967" w:type="dxa"/>
            <w:gridSpan w:val="4"/>
            <w:tcBorders>
              <w:top w:val="nil"/>
              <w:left w:val="nil"/>
              <w:bottom w:val="nil"/>
              <w:right w:val="nil"/>
            </w:tcBorders>
            <w:shd w:val="clear" w:color="auto" w:fill="auto"/>
            <w:noWrap/>
            <w:vAlign w:val="center"/>
            <w:hideMark/>
          </w:tcPr>
          <w:p w14:paraId="3DC2A3C2" w14:textId="77777777" w:rsidR="001C7E53" w:rsidRPr="00143B8D" w:rsidRDefault="001C7E53" w:rsidP="008B7436">
            <w:pPr>
              <w:pStyle w:val="TableTextCentered"/>
              <w:jc w:val="left"/>
            </w:pPr>
            <w:r w:rsidRPr="00143B8D">
              <w:t>302,000</w:t>
            </w:r>
          </w:p>
        </w:tc>
      </w:tr>
      <w:tr w:rsidR="001C7E53" w:rsidRPr="00143B8D" w14:paraId="605906D2" w14:textId="77777777" w:rsidTr="001D0062">
        <w:trPr>
          <w:trHeight w:val="283"/>
        </w:trPr>
        <w:tc>
          <w:tcPr>
            <w:tcW w:w="2694" w:type="dxa"/>
            <w:tcBorders>
              <w:top w:val="nil"/>
              <w:left w:val="nil"/>
              <w:bottom w:val="single" w:sz="4" w:space="0" w:color="auto"/>
              <w:right w:val="nil"/>
            </w:tcBorders>
            <w:shd w:val="clear" w:color="auto" w:fill="auto"/>
            <w:noWrap/>
            <w:vAlign w:val="center"/>
            <w:hideMark/>
          </w:tcPr>
          <w:p w14:paraId="7F8D4BB5" w14:textId="77777777" w:rsidR="001C7E53" w:rsidRPr="00143B8D" w:rsidRDefault="001C7E53" w:rsidP="00F91AE4">
            <w:pPr>
              <w:pStyle w:val="TableColumnHeadingLeft"/>
            </w:pPr>
            <w:r w:rsidRPr="00143B8D">
              <w:t>Fixed effects</w:t>
            </w:r>
          </w:p>
        </w:tc>
        <w:tc>
          <w:tcPr>
            <w:tcW w:w="3674" w:type="dxa"/>
            <w:gridSpan w:val="2"/>
            <w:tcBorders>
              <w:top w:val="nil"/>
              <w:left w:val="nil"/>
              <w:bottom w:val="single" w:sz="4" w:space="0" w:color="auto"/>
              <w:right w:val="nil"/>
            </w:tcBorders>
            <w:shd w:val="clear" w:color="auto" w:fill="auto"/>
            <w:noWrap/>
            <w:vAlign w:val="center"/>
            <w:hideMark/>
          </w:tcPr>
          <w:p w14:paraId="6A9E5237" w14:textId="77777777" w:rsidR="001C7E53" w:rsidRPr="00143B8D" w:rsidRDefault="001C7E53" w:rsidP="008B7436">
            <w:pPr>
              <w:pStyle w:val="TableTextCentered"/>
              <w:jc w:val="left"/>
            </w:pPr>
            <w:r w:rsidRPr="00143B8D">
              <w:t> </w:t>
            </w:r>
          </w:p>
        </w:tc>
        <w:tc>
          <w:tcPr>
            <w:tcW w:w="266" w:type="dxa"/>
            <w:tcBorders>
              <w:top w:val="nil"/>
              <w:left w:val="nil"/>
              <w:bottom w:val="single" w:sz="4" w:space="0" w:color="auto"/>
              <w:right w:val="nil"/>
            </w:tcBorders>
            <w:shd w:val="clear" w:color="auto" w:fill="auto"/>
            <w:noWrap/>
            <w:vAlign w:val="bottom"/>
            <w:hideMark/>
          </w:tcPr>
          <w:p w14:paraId="56C504BC" w14:textId="77777777" w:rsidR="001C7E53" w:rsidRPr="00143B8D" w:rsidRDefault="001C7E53" w:rsidP="008B7436">
            <w:pPr>
              <w:pStyle w:val="TableTextCentered"/>
              <w:jc w:val="left"/>
            </w:pPr>
            <w:r w:rsidRPr="00143B8D">
              <w:t> </w:t>
            </w:r>
          </w:p>
        </w:tc>
        <w:tc>
          <w:tcPr>
            <w:tcW w:w="872" w:type="dxa"/>
            <w:gridSpan w:val="2"/>
            <w:tcBorders>
              <w:top w:val="nil"/>
              <w:left w:val="nil"/>
              <w:bottom w:val="single" w:sz="4" w:space="0" w:color="auto"/>
              <w:right w:val="nil"/>
            </w:tcBorders>
            <w:shd w:val="clear" w:color="auto" w:fill="auto"/>
            <w:noWrap/>
            <w:vAlign w:val="center"/>
            <w:hideMark/>
          </w:tcPr>
          <w:p w14:paraId="5F538AB2" w14:textId="77777777" w:rsidR="001C7E53" w:rsidRPr="00143B8D" w:rsidRDefault="001C7E53" w:rsidP="008B7436">
            <w:pPr>
              <w:pStyle w:val="TableTextCentered"/>
              <w:jc w:val="left"/>
            </w:pPr>
            <w:r w:rsidRPr="00143B8D">
              <w:t> </w:t>
            </w:r>
          </w:p>
        </w:tc>
        <w:tc>
          <w:tcPr>
            <w:tcW w:w="262" w:type="dxa"/>
            <w:tcBorders>
              <w:top w:val="nil"/>
              <w:left w:val="nil"/>
              <w:bottom w:val="single" w:sz="4" w:space="0" w:color="auto"/>
              <w:right w:val="nil"/>
            </w:tcBorders>
            <w:shd w:val="clear" w:color="auto" w:fill="auto"/>
            <w:noWrap/>
            <w:vAlign w:val="center"/>
            <w:hideMark/>
          </w:tcPr>
          <w:p w14:paraId="22FCA5CF" w14:textId="77777777" w:rsidR="001C7E53" w:rsidRPr="00143B8D" w:rsidRDefault="001C7E53" w:rsidP="008B7436">
            <w:pPr>
              <w:pStyle w:val="TableTextCentered"/>
              <w:jc w:val="left"/>
            </w:pPr>
            <w:r w:rsidRPr="00143B8D">
              <w:t> </w:t>
            </w:r>
          </w:p>
        </w:tc>
        <w:tc>
          <w:tcPr>
            <w:tcW w:w="810" w:type="dxa"/>
            <w:tcBorders>
              <w:top w:val="nil"/>
              <w:left w:val="nil"/>
              <w:bottom w:val="single" w:sz="4" w:space="0" w:color="auto"/>
              <w:right w:val="nil"/>
            </w:tcBorders>
            <w:shd w:val="clear" w:color="auto" w:fill="auto"/>
            <w:noWrap/>
            <w:vAlign w:val="center"/>
            <w:hideMark/>
          </w:tcPr>
          <w:p w14:paraId="5171B331" w14:textId="77777777" w:rsidR="001C7E53" w:rsidRPr="00143B8D" w:rsidRDefault="001C7E53" w:rsidP="008B7436">
            <w:pPr>
              <w:pStyle w:val="TableTextCentered"/>
              <w:jc w:val="left"/>
            </w:pPr>
            <w:r w:rsidRPr="00143B8D">
              <w:t> </w:t>
            </w:r>
          </w:p>
        </w:tc>
        <w:tc>
          <w:tcPr>
            <w:tcW w:w="477" w:type="dxa"/>
            <w:tcBorders>
              <w:top w:val="nil"/>
              <w:left w:val="nil"/>
              <w:bottom w:val="single" w:sz="4" w:space="0" w:color="auto"/>
              <w:right w:val="nil"/>
            </w:tcBorders>
            <w:shd w:val="clear" w:color="auto" w:fill="auto"/>
            <w:noWrap/>
            <w:vAlign w:val="center"/>
            <w:hideMark/>
          </w:tcPr>
          <w:p w14:paraId="11F43319" w14:textId="77777777" w:rsidR="001C7E53" w:rsidRPr="00143B8D" w:rsidRDefault="001C7E53" w:rsidP="008B7436">
            <w:pPr>
              <w:pStyle w:val="TableTextCentered"/>
              <w:jc w:val="left"/>
            </w:pPr>
            <w:r w:rsidRPr="00143B8D">
              <w:t> </w:t>
            </w:r>
          </w:p>
        </w:tc>
      </w:tr>
      <w:tr w:rsidR="001C7E53" w:rsidRPr="00143B8D" w14:paraId="63E644D4" w14:textId="77777777" w:rsidTr="001D0062">
        <w:trPr>
          <w:trHeight w:val="283"/>
        </w:trPr>
        <w:tc>
          <w:tcPr>
            <w:tcW w:w="2694" w:type="dxa"/>
            <w:tcBorders>
              <w:top w:val="nil"/>
              <w:left w:val="nil"/>
              <w:bottom w:val="nil"/>
              <w:right w:val="nil"/>
            </w:tcBorders>
            <w:shd w:val="clear" w:color="auto" w:fill="auto"/>
            <w:noWrap/>
            <w:vAlign w:val="center"/>
            <w:hideMark/>
          </w:tcPr>
          <w:p w14:paraId="52677DBB" w14:textId="77777777" w:rsidR="001C7E53" w:rsidRPr="00143B8D" w:rsidRDefault="001C7E53" w:rsidP="00F91AE4">
            <w:pPr>
              <w:pStyle w:val="TableTextLeft"/>
            </w:pPr>
            <w:r w:rsidRPr="00143B8D">
              <w:t>Local market</w:t>
            </w:r>
          </w:p>
        </w:tc>
        <w:tc>
          <w:tcPr>
            <w:tcW w:w="1984" w:type="dxa"/>
            <w:tcBorders>
              <w:top w:val="nil"/>
              <w:left w:val="nil"/>
              <w:bottom w:val="nil"/>
              <w:right w:val="nil"/>
            </w:tcBorders>
            <w:shd w:val="clear" w:color="auto" w:fill="auto"/>
            <w:noWrap/>
            <w:vAlign w:val="bottom"/>
            <w:hideMark/>
          </w:tcPr>
          <w:p w14:paraId="674F47CC" w14:textId="77777777" w:rsidR="001C7E53" w:rsidRPr="00143B8D" w:rsidRDefault="001C7E53" w:rsidP="008B7436">
            <w:pPr>
              <w:pStyle w:val="TableTextCentered"/>
              <w:jc w:val="left"/>
            </w:pPr>
            <w:r w:rsidRPr="00143B8D">
              <w:t>Y</w:t>
            </w:r>
          </w:p>
        </w:tc>
        <w:tc>
          <w:tcPr>
            <w:tcW w:w="2410" w:type="dxa"/>
            <w:gridSpan w:val="3"/>
            <w:tcBorders>
              <w:top w:val="nil"/>
              <w:left w:val="nil"/>
              <w:bottom w:val="nil"/>
              <w:right w:val="nil"/>
            </w:tcBorders>
            <w:shd w:val="clear" w:color="auto" w:fill="auto"/>
            <w:noWrap/>
            <w:vAlign w:val="bottom"/>
            <w:hideMark/>
          </w:tcPr>
          <w:p w14:paraId="67824748" w14:textId="77777777" w:rsidR="001C7E53" w:rsidRPr="00143B8D" w:rsidRDefault="001C7E53" w:rsidP="008B7436">
            <w:pPr>
              <w:pStyle w:val="TableTextCentered"/>
              <w:jc w:val="left"/>
            </w:pPr>
            <w:r w:rsidRPr="00143B8D">
              <w:t>Y</w:t>
            </w:r>
          </w:p>
        </w:tc>
        <w:tc>
          <w:tcPr>
            <w:tcW w:w="1967" w:type="dxa"/>
            <w:gridSpan w:val="4"/>
            <w:tcBorders>
              <w:top w:val="nil"/>
              <w:left w:val="nil"/>
              <w:bottom w:val="nil"/>
              <w:right w:val="nil"/>
            </w:tcBorders>
            <w:shd w:val="clear" w:color="auto" w:fill="auto"/>
            <w:noWrap/>
            <w:vAlign w:val="bottom"/>
            <w:hideMark/>
          </w:tcPr>
          <w:p w14:paraId="0BF57DC2" w14:textId="77777777" w:rsidR="001C7E53" w:rsidRPr="00143B8D" w:rsidRDefault="001C7E53" w:rsidP="008B7436">
            <w:pPr>
              <w:pStyle w:val="TableTextCentered"/>
              <w:jc w:val="left"/>
            </w:pPr>
            <w:r w:rsidRPr="00143B8D">
              <w:t>Y</w:t>
            </w:r>
          </w:p>
        </w:tc>
      </w:tr>
      <w:tr w:rsidR="001C7E53" w:rsidRPr="00143B8D" w14:paraId="566CED93" w14:textId="77777777" w:rsidTr="001D0062">
        <w:trPr>
          <w:trHeight w:val="283"/>
        </w:trPr>
        <w:tc>
          <w:tcPr>
            <w:tcW w:w="2694" w:type="dxa"/>
            <w:tcBorders>
              <w:top w:val="nil"/>
              <w:left w:val="nil"/>
              <w:bottom w:val="nil"/>
              <w:right w:val="nil"/>
            </w:tcBorders>
            <w:shd w:val="clear" w:color="auto" w:fill="auto"/>
            <w:noWrap/>
            <w:vAlign w:val="center"/>
            <w:hideMark/>
          </w:tcPr>
          <w:p w14:paraId="13EB728D" w14:textId="77777777" w:rsidR="001C7E53" w:rsidRPr="00143B8D" w:rsidRDefault="001C7E53" w:rsidP="00F91AE4">
            <w:pPr>
              <w:pStyle w:val="TableTextLeft"/>
            </w:pPr>
            <w:r w:rsidRPr="00143B8D">
              <w:t>Time*Industry</w:t>
            </w:r>
          </w:p>
        </w:tc>
        <w:tc>
          <w:tcPr>
            <w:tcW w:w="1984" w:type="dxa"/>
            <w:tcBorders>
              <w:top w:val="nil"/>
              <w:left w:val="nil"/>
              <w:bottom w:val="nil"/>
              <w:right w:val="nil"/>
            </w:tcBorders>
            <w:shd w:val="clear" w:color="auto" w:fill="auto"/>
            <w:noWrap/>
            <w:vAlign w:val="bottom"/>
            <w:hideMark/>
          </w:tcPr>
          <w:p w14:paraId="4A965686" w14:textId="77777777" w:rsidR="001C7E53" w:rsidRPr="00143B8D" w:rsidRDefault="001C7E53" w:rsidP="008B7436">
            <w:pPr>
              <w:pStyle w:val="TableTextCentered"/>
              <w:jc w:val="left"/>
            </w:pPr>
            <w:r w:rsidRPr="00143B8D">
              <w:t>Y</w:t>
            </w:r>
          </w:p>
        </w:tc>
        <w:tc>
          <w:tcPr>
            <w:tcW w:w="2410" w:type="dxa"/>
            <w:gridSpan w:val="3"/>
            <w:tcBorders>
              <w:top w:val="nil"/>
              <w:left w:val="nil"/>
              <w:bottom w:val="nil"/>
              <w:right w:val="nil"/>
            </w:tcBorders>
            <w:shd w:val="clear" w:color="auto" w:fill="auto"/>
            <w:noWrap/>
            <w:vAlign w:val="bottom"/>
            <w:hideMark/>
          </w:tcPr>
          <w:p w14:paraId="04824194" w14:textId="77777777" w:rsidR="001C7E53" w:rsidRPr="00143B8D" w:rsidRDefault="001C7E53" w:rsidP="008B7436">
            <w:pPr>
              <w:pStyle w:val="TableTextCentered"/>
              <w:jc w:val="left"/>
            </w:pPr>
            <w:r w:rsidRPr="00143B8D">
              <w:t>Y</w:t>
            </w:r>
          </w:p>
        </w:tc>
        <w:tc>
          <w:tcPr>
            <w:tcW w:w="1967" w:type="dxa"/>
            <w:gridSpan w:val="4"/>
            <w:tcBorders>
              <w:top w:val="nil"/>
              <w:left w:val="nil"/>
              <w:bottom w:val="nil"/>
              <w:right w:val="nil"/>
            </w:tcBorders>
            <w:shd w:val="clear" w:color="auto" w:fill="auto"/>
            <w:noWrap/>
            <w:vAlign w:val="bottom"/>
            <w:hideMark/>
          </w:tcPr>
          <w:p w14:paraId="141A77A7" w14:textId="77777777" w:rsidR="001C7E53" w:rsidRPr="00143B8D" w:rsidRDefault="001C7E53" w:rsidP="008B7436">
            <w:pPr>
              <w:pStyle w:val="TableTextCentered"/>
              <w:jc w:val="left"/>
            </w:pPr>
            <w:r w:rsidRPr="00143B8D">
              <w:t>Y</w:t>
            </w:r>
          </w:p>
        </w:tc>
      </w:tr>
      <w:tr w:rsidR="001C7E53" w:rsidRPr="00143B8D" w14:paraId="580FAEB5" w14:textId="77777777" w:rsidTr="001D0062">
        <w:trPr>
          <w:trHeight w:val="283"/>
        </w:trPr>
        <w:tc>
          <w:tcPr>
            <w:tcW w:w="2694" w:type="dxa"/>
            <w:tcBorders>
              <w:top w:val="nil"/>
              <w:left w:val="nil"/>
              <w:bottom w:val="single" w:sz="4" w:space="0" w:color="auto"/>
              <w:right w:val="nil"/>
            </w:tcBorders>
            <w:shd w:val="clear" w:color="auto" w:fill="auto"/>
            <w:noWrap/>
            <w:vAlign w:val="center"/>
            <w:hideMark/>
          </w:tcPr>
          <w:p w14:paraId="2BE30B2D" w14:textId="77777777" w:rsidR="001C7E53" w:rsidRPr="00143B8D" w:rsidRDefault="001C7E53" w:rsidP="00F91AE4">
            <w:pPr>
              <w:pStyle w:val="TableTextLeft"/>
            </w:pPr>
            <w:r w:rsidRPr="00143B8D">
              <w:t>Time*Location</w:t>
            </w:r>
          </w:p>
        </w:tc>
        <w:tc>
          <w:tcPr>
            <w:tcW w:w="1984" w:type="dxa"/>
            <w:tcBorders>
              <w:top w:val="nil"/>
              <w:left w:val="nil"/>
              <w:bottom w:val="single" w:sz="4" w:space="0" w:color="auto"/>
              <w:right w:val="nil"/>
            </w:tcBorders>
            <w:shd w:val="clear" w:color="auto" w:fill="auto"/>
            <w:noWrap/>
            <w:vAlign w:val="bottom"/>
            <w:hideMark/>
          </w:tcPr>
          <w:p w14:paraId="403090F8" w14:textId="77777777" w:rsidR="001C7E53" w:rsidRPr="00143B8D" w:rsidRDefault="001C7E53" w:rsidP="008B7436">
            <w:pPr>
              <w:pStyle w:val="TableTextCentered"/>
              <w:jc w:val="left"/>
            </w:pPr>
            <w:r w:rsidRPr="00143B8D">
              <w:t>Y</w:t>
            </w:r>
          </w:p>
        </w:tc>
        <w:tc>
          <w:tcPr>
            <w:tcW w:w="2410" w:type="dxa"/>
            <w:gridSpan w:val="3"/>
            <w:tcBorders>
              <w:top w:val="nil"/>
              <w:left w:val="nil"/>
              <w:bottom w:val="single" w:sz="4" w:space="0" w:color="auto"/>
              <w:right w:val="nil"/>
            </w:tcBorders>
            <w:shd w:val="clear" w:color="auto" w:fill="auto"/>
            <w:noWrap/>
            <w:vAlign w:val="bottom"/>
            <w:hideMark/>
          </w:tcPr>
          <w:p w14:paraId="223648D8" w14:textId="77777777" w:rsidR="001C7E53" w:rsidRPr="00143B8D" w:rsidRDefault="001C7E53" w:rsidP="008B7436">
            <w:pPr>
              <w:pStyle w:val="TableTextCentered"/>
              <w:jc w:val="left"/>
            </w:pPr>
            <w:r w:rsidRPr="00143B8D">
              <w:t>Y</w:t>
            </w:r>
          </w:p>
        </w:tc>
        <w:tc>
          <w:tcPr>
            <w:tcW w:w="1967" w:type="dxa"/>
            <w:gridSpan w:val="4"/>
            <w:tcBorders>
              <w:top w:val="nil"/>
              <w:left w:val="nil"/>
              <w:bottom w:val="single" w:sz="4" w:space="0" w:color="auto"/>
              <w:right w:val="nil"/>
            </w:tcBorders>
            <w:shd w:val="clear" w:color="auto" w:fill="auto"/>
            <w:noWrap/>
            <w:vAlign w:val="bottom"/>
            <w:hideMark/>
          </w:tcPr>
          <w:p w14:paraId="17955CA4" w14:textId="77777777" w:rsidR="001C7E53" w:rsidRPr="00143B8D" w:rsidRDefault="001C7E53" w:rsidP="008B7436">
            <w:pPr>
              <w:pStyle w:val="TableTextCentered"/>
              <w:jc w:val="left"/>
            </w:pPr>
            <w:r w:rsidRPr="00143B8D">
              <w:t>Y</w:t>
            </w:r>
          </w:p>
        </w:tc>
      </w:tr>
    </w:tbl>
    <w:p w14:paraId="6CAE3942" w14:textId="04CCC136" w:rsidR="001C7E53" w:rsidRDefault="001C7E53" w:rsidP="00176014">
      <w:pPr>
        <w:pStyle w:val="ChartorTableNote"/>
        <w:jc w:val="left"/>
      </w:pPr>
      <w:r w:rsidRPr="004372BE">
        <w:t>Note: All regressions include a set of common controls covering market characteristics (number of workers in the market</w:t>
      </w:r>
      <w:r>
        <w:t>)</w:t>
      </w:r>
      <w:r w:rsidRPr="004372BE">
        <w:t xml:space="preserve">. </w:t>
      </w:r>
      <w:r>
        <w:t>Leave share captures share of job leavers that change industry. Leave rate captures share of total workers in the industry (leavers and stayers) that change industry.</w:t>
      </w:r>
      <w:r w:rsidRPr="004372BE">
        <w:t xml:space="preserve"> Errors clustered at the local market level.</w:t>
      </w:r>
    </w:p>
    <w:p w14:paraId="72D77B34" w14:textId="185AC25E" w:rsidR="001C7E53" w:rsidRDefault="001C7E53" w:rsidP="00176014">
      <w:pPr>
        <w:rPr>
          <w:rFonts w:eastAsiaTheme="minorEastAsia"/>
        </w:rPr>
      </w:pPr>
      <w:r>
        <w:rPr>
          <w:rFonts w:eastAsiaTheme="minorEastAsia"/>
        </w:rPr>
        <w:t xml:space="preserve">Using both the leave share and rate, we see no evidence that concentration is less impactful where there is more occupational switching (Table </w:t>
      </w:r>
      <w:r w:rsidR="00564C76">
        <w:rPr>
          <w:rFonts w:eastAsiaTheme="minorEastAsia"/>
        </w:rPr>
        <w:t>6</w:t>
      </w:r>
      <w:r>
        <w:rPr>
          <w:rFonts w:eastAsiaTheme="minorEastAsia"/>
        </w:rPr>
        <w:t>). However, there is some evidence that outside options are more important in industri</w:t>
      </w:r>
      <w:r w:rsidR="00BA74C2">
        <w:rPr>
          <w:rFonts w:eastAsiaTheme="minorEastAsia"/>
        </w:rPr>
        <w:t>es with higher switching rates.</w:t>
      </w:r>
    </w:p>
    <w:p w14:paraId="4F9E7F30" w14:textId="172717AE" w:rsidR="001C7E53" w:rsidRDefault="001C7E53" w:rsidP="00F91AE4">
      <w:pPr>
        <w:rPr>
          <w:rFonts w:eastAsiaTheme="minorEastAsia"/>
        </w:rPr>
      </w:pPr>
      <w:r>
        <w:rPr>
          <w:rFonts w:eastAsiaTheme="minorEastAsia"/>
        </w:rPr>
        <w:lastRenderedPageBreak/>
        <w:t>Taken together, these results provide some evidence that decreasing occupation and industry mobility may have weighed on wages pre</w:t>
      </w:r>
      <w:r w:rsidR="0018466E">
        <w:rPr>
          <w:rFonts w:eastAsiaTheme="minorEastAsia"/>
        </w:rPr>
        <w:noBreakHyphen/>
      </w:r>
      <w:r>
        <w:rPr>
          <w:rFonts w:eastAsiaTheme="minorEastAsia"/>
        </w:rPr>
        <w:t>COVID by limiting the role of outside options. However, the direct evidence with respect to its role in increasing the impact of concentration is limited</w:t>
      </w:r>
      <w:r w:rsidR="009A60AC">
        <w:rPr>
          <w:rFonts w:eastAsiaTheme="minorEastAsia"/>
        </w:rPr>
        <w:t>.</w:t>
      </w:r>
    </w:p>
    <w:p w14:paraId="0E8233AD" w14:textId="77777777" w:rsidR="001C7E53" w:rsidRDefault="001C7E53" w:rsidP="00F91AE4">
      <w:pPr>
        <w:pStyle w:val="Heading3"/>
      </w:pPr>
      <w:r>
        <w:t>6.2. Declining firm dynamism</w:t>
      </w:r>
    </w:p>
    <w:p w14:paraId="34052228" w14:textId="30216319" w:rsidR="001C7E53" w:rsidRDefault="001C7E53" w:rsidP="00176014">
      <w:r>
        <w:t>The role of firm entry and dynamism in labour market dynamism has been considered in some recent papers (Bilal et al 2019). In these papers, firms enter and attract staff away from incumbent firms, meaning that declines in firm entry can be associated with lower job</w:t>
      </w:r>
      <w:r w:rsidR="0018466E">
        <w:noBreakHyphen/>
      </w:r>
      <w:r>
        <w:t>to</w:t>
      </w:r>
      <w:r w:rsidR="0018466E">
        <w:noBreakHyphen/>
      </w:r>
      <w:r>
        <w:t>job switching and few outside options for workers.</w:t>
      </w:r>
    </w:p>
    <w:p w14:paraId="43FC15BF" w14:textId="6C169110" w:rsidR="001C7E53" w:rsidRDefault="001C7E53" w:rsidP="00176014">
      <w:r>
        <w:t>Such dynamics are evident in Australia. Much of the decline in job</w:t>
      </w:r>
      <w:r w:rsidR="0018466E">
        <w:noBreakHyphen/>
      </w:r>
      <w:r>
        <w:t>to</w:t>
      </w:r>
      <w:r w:rsidR="0018466E">
        <w:noBreakHyphen/>
      </w:r>
      <w:r>
        <w:t xml:space="preserve">job switching, as defined in Deutscher (2019), has reflected less workers switching from established mature firms to young firms. And this has coincided with declines </w:t>
      </w:r>
      <w:r w:rsidR="009A60AC">
        <w:t>in firm entry rates (Figure 9).</w:t>
      </w:r>
    </w:p>
    <w:p w14:paraId="38DB2996" w14:textId="77777777" w:rsidR="001C7E53" w:rsidRDefault="001C7E53" w:rsidP="00176014">
      <w:r>
        <w:t>These patterns are also evident within local areas. Figure 10 shows that there is a strong positive correlation between firm entry rates in a local area and the rate of job</w:t>
      </w:r>
      <w:r w:rsidR="0018466E">
        <w:noBreakHyphen/>
      </w:r>
      <w:r>
        <w:t>to</w:t>
      </w:r>
      <w:r w:rsidR="0018466E">
        <w:noBreakHyphen/>
      </w:r>
      <w:r>
        <w:t>job switching</w:t>
      </w:r>
      <w:r w:rsidR="006D1604">
        <w:t xml:space="preserve">. </w:t>
      </w:r>
      <w:r>
        <w:t>This is the case even controlling for time</w:t>
      </w:r>
      <w:r w:rsidR="0018466E">
        <w:noBreakHyphen/>
      </w:r>
      <w:r>
        <w:t>invariant differences across geographies and the overall business cycle. Moreover, this relationship is only evident when focusing on switching between mature and young firms. There is no relationship between firm entry and mobility of workers between mature incumbent firms, indicating that the relationship is not simply driven by local e</w:t>
      </w:r>
      <w:r w:rsidR="009A60AC">
        <w:t>conomic conditions (Appendix A).</w:t>
      </w:r>
    </w:p>
    <w:tbl>
      <w:tblPr>
        <w:tblStyle w:val="TableGrid"/>
        <w:tblW w:w="0" w:type="auto"/>
        <w:tblLook w:val="04A0" w:firstRow="1" w:lastRow="0" w:firstColumn="1" w:lastColumn="0" w:noHBand="0" w:noVBand="1"/>
      </w:tblPr>
      <w:tblGrid>
        <w:gridCol w:w="4673"/>
        <w:gridCol w:w="4397"/>
      </w:tblGrid>
      <w:tr w:rsidR="001C7E53" w14:paraId="18DC484E" w14:textId="77777777" w:rsidTr="007B1925">
        <w:tc>
          <w:tcPr>
            <w:tcW w:w="4751" w:type="dxa"/>
            <w:shd w:val="clear" w:color="auto" w:fill="auto"/>
          </w:tcPr>
          <w:p w14:paraId="4AD73A3B" w14:textId="7A9BE485" w:rsidR="001C7E53" w:rsidRDefault="001C7E53" w:rsidP="00F26FFA">
            <w:pPr>
              <w:pStyle w:val="ChartMainHeading"/>
            </w:pPr>
            <w:r>
              <w:t xml:space="preserve">Figure 9: Firm </w:t>
            </w:r>
            <w:r w:rsidR="002200F9">
              <w:t>e</w:t>
            </w:r>
            <w:r>
              <w:t xml:space="preserve">ntry </w:t>
            </w:r>
            <w:r w:rsidR="002200F9">
              <w:t>r</w:t>
            </w:r>
            <w:r>
              <w:t xml:space="preserve">ates and </w:t>
            </w:r>
            <w:r w:rsidR="002200F9">
              <w:t>r</w:t>
            </w:r>
            <w:r>
              <w:t xml:space="preserve">ate of </w:t>
            </w:r>
            <w:r w:rsidR="002200F9">
              <w:t>j</w:t>
            </w:r>
            <w:r>
              <w:t>ob</w:t>
            </w:r>
            <w:r w:rsidR="0018466E">
              <w:noBreakHyphen/>
            </w:r>
            <w:r>
              <w:t xml:space="preserve">switching from </w:t>
            </w:r>
            <w:r w:rsidR="002200F9">
              <w:t>o</w:t>
            </w:r>
            <w:r>
              <w:t xml:space="preserve">ld to </w:t>
            </w:r>
            <w:r w:rsidR="002200F9">
              <w:t>y</w:t>
            </w:r>
            <w:r>
              <w:t xml:space="preserve">oung </w:t>
            </w:r>
            <w:r w:rsidR="002200F9">
              <w:t>f</w:t>
            </w:r>
            <w:r>
              <w:t>irms</w:t>
            </w:r>
          </w:p>
        </w:tc>
        <w:tc>
          <w:tcPr>
            <w:tcW w:w="4476" w:type="dxa"/>
            <w:shd w:val="clear" w:color="auto" w:fill="auto"/>
          </w:tcPr>
          <w:p w14:paraId="3DE1C200" w14:textId="2E108B03" w:rsidR="001C7E53" w:rsidRDefault="001C7E53" w:rsidP="00F26FFA">
            <w:pPr>
              <w:pStyle w:val="ChartMainHeading"/>
            </w:pPr>
            <w:r>
              <w:t xml:space="preserve">Figure 10: Entry </w:t>
            </w:r>
            <w:r w:rsidR="002200F9">
              <w:t>r</w:t>
            </w:r>
            <w:r>
              <w:t xml:space="preserve">ate vs </w:t>
            </w:r>
            <w:r w:rsidR="002200F9">
              <w:t>j</w:t>
            </w:r>
            <w:r>
              <w:t>ob</w:t>
            </w:r>
            <w:r w:rsidR="0018466E">
              <w:noBreakHyphen/>
            </w:r>
            <w:r>
              <w:t>to</w:t>
            </w:r>
            <w:r w:rsidR="0018466E">
              <w:noBreakHyphen/>
            </w:r>
            <w:r>
              <w:t xml:space="preserve">job </w:t>
            </w:r>
            <w:r w:rsidR="002200F9">
              <w:t>s</w:t>
            </w:r>
            <w:r>
              <w:t xml:space="preserve">witching by SA4 </w:t>
            </w:r>
            <w:r w:rsidRPr="00FE6BFC">
              <w:t>for 200</w:t>
            </w:r>
            <w:r>
              <w:t>2</w:t>
            </w:r>
            <w:r w:rsidR="002200F9">
              <w:rPr>
                <w:rFonts w:ascii="Courier New" w:hAnsi="Courier New" w:cs="Courier New"/>
              </w:rPr>
              <w:t>-</w:t>
            </w:r>
            <w:r w:rsidRPr="00FE6BFC">
              <w:t>2016</w:t>
            </w:r>
          </w:p>
        </w:tc>
      </w:tr>
      <w:tr w:rsidR="001C7E53" w14:paraId="26479793" w14:textId="77777777" w:rsidTr="007B1925">
        <w:tc>
          <w:tcPr>
            <w:tcW w:w="4751" w:type="dxa"/>
            <w:shd w:val="clear" w:color="auto" w:fill="auto"/>
          </w:tcPr>
          <w:p w14:paraId="55CE84B1" w14:textId="6A1DABE5" w:rsidR="001C7E53" w:rsidRDefault="001C7E53" w:rsidP="008B7436">
            <w:pPr>
              <w:pStyle w:val="ChartGraphic"/>
            </w:pPr>
            <w:r w:rsidRPr="009D76DB">
              <w:rPr>
                <w:rStyle w:val="CommentReference"/>
                <w:rFonts w:eastAsiaTheme="minorHAnsi"/>
                <w:b/>
              </w:rPr>
              <w:t xml:space="preserve"> </w:t>
            </w:r>
            <w:r w:rsidR="007B1925">
              <w:rPr>
                <w:rStyle w:val="CommentReference"/>
                <w:rFonts w:eastAsiaTheme="minorHAnsi"/>
                <w:b/>
                <w:noProof/>
              </w:rPr>
              <w:drawing>
                <wp:inline distT="0" distB="0" distL="0" distR="0" wp14:anchorId="1B40533D" wp14:editId="57CCED68">
                  <wp:extent cx="2883535" cy="2883535"/>
                  <wp:effectExtent l="0" t="0" r="0" b="0"/>
                  <wp:docPr id="18" name="Picture 18" descr="This chart shows bars for the average rate of job switching, and the rates of switching between firms of different ages. It splits these into bars for the period 2005-2008 and 2012-2016. The total switching rate fell from around 16 per cent to 14 per cent. Switching from young to mature, and young to young firms fell very slightly, after being around 2 per cent in the early period. Switching from mature to mature fell slightly from around 9 per cent. And switching from mature to young firms fell more substantially from around 4 to 2 per cent. Over the same period, firm entry rates fell from around 14 per cent to 11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chart shows bars for the average rate of job switching, and the rates of switching between firms of different ages. It splits these into bars for the period 2005-2008 and 2012-2016. The total switching rate fell from around 16 per cent to 14 per cent. Switching from young to mature, and young to young firms fell very slightly, after being around 2 per cent in the early period. Switching from mature to mature fell slightly from around 9 per cent. And switching from mature to young firms fell more substantially from around 4 to 2 per cent. Over the same period, firm entry rates fell from around 14 per cent to 11 per cent.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c>
          <w:tcPr>
            <w:tcW w:w="4476" w:type="dxa"/>
            <w:shd w:val="clear" w:color="auto" w:fill="auto"/>
          </w:tcPr>
          <w:p w14:paraId="6EC56885" w14:textId="77777777" w:rsidR="001C7E53" w:rsidRPr="0051158F" w:rsidRDefault="001C7E53" w:rsidP="0051158F">
            <w:pPr>
              <w:pStyle w:val="ChartGraphic"/>
            </w:pPr>
            <w:r w:rsidRPr="002372D9">
              <w:rPr>
                <w:noProof/>
              </w:rPr>
              <w:drawing>
                <wp:inline distT="0" distB="0" distL="0" distR="0" wp14:anchorId="021282C4" wp14:editId="7E2F9631">
                  <wp:extent cx="2700000" cy="1962962"/>
                  <wp:effectExtent l="0" t="0" r="5715" b="0"/>
                  <wp:docPr id="10" name="Picture 10" descr="This chart is a scatter plot of entry rates for areas, against job switching rates in the area. There is a strong positive relationship, with switching rates increasing as entry rates 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This chart is a scatter plot of entry rates for areas, against job switching rates in the area. There is a strong positive relationship, with switching rates increasing as entry rates increase."/>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00000" cy="1962962"/>
                          </a:xfrm>
                          <a:prstGeom prst="rect">
                            <a:avLst/>
                          </a:prstGeom>
                        </pic:spPr>
                      </pic:pic>
                    </a:graphicData>
                  </a:graphic>
                </wp:inline>
              </w:drawing>
            </w:r>
          </w:p>
        </w:tc>
      </w:tr>
    </w:tbl>
    <w:p w14:paraId="238EB38D" w14:textId="1A0C4D2B" w:rsidR="001C7E53" w:rsidRDefault="001C7E53" w:rsidP="00176014">
      <w:pPr>
        <w:pStyle w:val="ChartorTableNote"/>
        <w:jc w:val="left"/>
      </w:pPr>
      <w:r>
        <w:t xml:space="preserve">Note: Figure </w:t>
      </w:r>
      <w:r w:rsidR="00451F4C">
        <w:t>9</w:t>
      </w:r>
      <w:r>
        <w:t xml:space="preserve"> young firms are 0</w:t>
      </w:r>
      <w:r w:rsidR="0018466E">
        <w:noBreakHyphen/>
      </w:r>
      <w:r>
        <w:t xml:space="preserve">5, mature firms are older than 5 years. Figure </w:t>
      </w:r>
      <w:r w:rsidR="00451F4C">
        <w:t>10</w:t>
      </w:r>
      <w:r>
        <w:t xml:space="preserve"> plots entry rates for SA4s or greater capital city areas versus the job</w:t>
      </w:r>
      <w:r w:rsidR="0018466E">
        <w:noBreakHyphen/>
      </w:r>
      <w:r>
        <w:t>to</w:t>
      </w:r>
      <w:r w:rsidR="0018466E">
        <w:noBreakHyphen/>
      </w:r>
      <w:r>
        <w:t xml:space="preserve">job switching rate. This is shown having residualised with respect to time effects, area effects, and the employment share of young firms. Approximately 780 SA4*year combinations based on 120 million workers. </w:t>
      </w:r>
      <w:r>
        <w:br/>
        <w:t>Source: Author</w:t>
      </w:r>
      <w:r w:rsidR="0018466E">
        <w:t>’</w:t>
      </w:r>
      <w:r>
        <w:t>s calculations</w:t>
      </w:r>
    </w:p>
    <w:p w14:paraId="348AF733" w14:textId="7C2CFB03" w:rsidR="001C7E53" w:rsidRDefault="001C7E53" w:rsidP="00176014">
      <w:r>
        <w:t xml:space="preserve">Taken together, these results suggest that firm entry represents an additional source of competition for labour for incumbents. Entrants could broaden the set of outside option for workers, and so raise </w:t>
      </w:r>
      <w:r>
        <w:lastRenderedPageBreak/>
        <w:t xml:space="preserve">their bargaining power. As such, declining firm entry and dynamism could make concentration </w:t>
      </w:r>
      <w:r w:rsidR="00644FFF">
        <w:t xml:space="preserve">among </w:t>
      </w:r>
      <w:r>
        <w:t>incumbents more impactful.</w:t>
      </w:r>
    </w:p>
    <w:p w14:paraId="523A243C" w14:textId="0976492C" w:rsidR="001C7E53" w:rsidRDefault="001C7E53" w:rsidP="00176014">
      <w:r>
        <w:t>To examine the role of declining firm entry, I extend the baseline market</w:t>
      </w:r>
      <w:r w:rsidR="0018466E">
        <w:noBreakHyphen/>
      </w:r>
      <w:r>
        <w:t>level monopsony model to incorporate firm entry rates. Specifically:</w:t>
      </w:r>
    </w:p>
    <w:p w14:paraId="1B8D014B" w14:textId="77777777" w:rsidR="001C7E53" w:rsidRPr="002E594D" w:rsidRDefault="001C7E53" w:rsidP="00F91AE4">
      <m:oMathPara>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*ln⁡(</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*ln⁡(</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Entry</m:t>
              </m:r>
            </m:e>
            <m:sub>
              <m:r>
                <w:rPr>
                  <w:rFonts w:ascii="Cambria Math" w:hAnsi="Cambria Math"/>
                </w:rPr>
                <m:t>ind</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0B775884" w14:textId="2B4241A7" w:rsidR="001C7E53" w:rsidRDefault="00000000" w:rsidP="00176014">
      <w:pPr>
        <w:rPr>
          <w:rFonts w:eastAsiaTheme="minorEastAsia"/>
        </w:rPr>
      </w:pPr>
      <m:oMath>
        <m:sSub>
          <m:sSubPr>
            <m:ctrlPr>
              <w:rPr>
                <w:rFonts w:ascii="Cambria Math" w:hAnsi="Cambria Math"/>
              </w:rPr>
            </m:ctrlPr>
          </m:sSubPr>
          <m:e>
            <m:r>
              <w:rPr>
                <w:rFonts w:ascii="Cambria Math" w:hAnsi="Cambria Math"/>
              </w:rPr>
              <m:t>Entry</m:t>
            </m:r>
          </m:e>
          <m:sub>
            <m:r>
              <w:rPr>
                <w:rFonts w:ascii="Cambria Math" w:hAnsi="Cambria Math"/>
              </w:rPr>
              <m:t>ind</m:t>
            </m:r>
            <m:r>
              <m:rPr>
                <m:sty m:val="p"/>
              </m:rPr>
              <w:rPr>
                <w:rFonts w:ascii="Cambria Math" w:hAnsi="Cambria Math"/>
              </w:rPr>
              <m:t>,</m:t>
            </m:r>
            <m:r>
              <w:rPr>
                <w:rFonts w:ascii="Cambria Math" w:hAnsi="Cambria Math"/>
              </w:rPr>
              <m:t>t</m:t>
            </m:r>
          </m:sub>
        </m:sSub>
      </m:oMath>
      <w:r w:rsidR="001C7E53">
        <w:rPr>
          <w:rFonts w:eastAsiaTheme="minorEastAsia"/>
        </w:rPr>
        <w:t xml:space="preserve"> is the national rate of entry in the relevant ANZSIC 3</w:t>
      </w:r>
      <w:r w:rsidR="0018466E">
        <w:rPr>
          <w:rFonts w:eastAsiaTheme="minorEastAsia"/>
        </w:rPr>
        <w:noBreakHyphen/>
      </w:r>
      <w:r w:rsidR="001C7E53">
        <w:rPr>
          <w:rFonts w:eastAsiaTheme="minorEastAsia"/>
        </w:rPr>
        <w:t>digit industry. I again focus on the national, rather than local rate of entry and use demeaned en</w:t>
      </w:r>
      <w:r w:rsidR="009A60AC">
        <w:rPr>
          <w:rFonts w:eastAsiaTheme="minorEastAsia"/>
        </w:rPr>
        <w:t>try rates.</w:t>
      </w:r>
    </w:p>
    <w:p w14:paraId="7C8B7141" w14:textId="59D85D4F" w:rsidR="001C7E53" w:rsidRDefault="001C7E53" w:rsidP="00176014">
      <w:pPr>
        <w:rPr>
          <w:rFonts w:eastAsiaTheme="minorEastAsia"/>
        </w:rPr>
      </w:pPr>
      <w:r>
        <w:rPr>
          <w:rFonts w:eastAsiaTheme="minorEastAsia"/>
        </w:rPr>
        <w:t xml:space="preserve">The coefficient of interest in this case is </w:t>
      </w:r>
      <m:oMath>
        <m:r>
          <w:rPr>
            <w:rFonts w:ascii="Cambria Math" w:hAnsi="Cambria Math"/>
          </w:rPr>
          <m:t>δ</m:t>
        </m:r>
      </m:oMath>
      <w:r>
        <w:rPr>
          <w:rFonts w:eastAsiaTheme="minorEastAsia"/>
        </w:rPr>
        <w:t xml:space="preserve">. If concentration </w:t>
      </w:r>
      <w:r w:rsidR="004903EB">
        <w:rPr>
          <w:rFonts w:eastAsiaTheme="minorEastAsia"/>
        </w:rPr>
        <w:t xml:space="preserve">among </w:t>
      </w:r>
      <w:r>
        <w:rPr>
          <w:rFonts w:eastAsiaTheme="minorEastAsia"/>
        </w:rPr>
        <w:t>incumbents is less impactful in industries with rising entry, the coefficient would be positive.</w:t>
      </w:r>
    </w:p>
    <w:p w14:paraId="0C84B863" w14:textId="797AE0B6" w:rsidR="001C7E53" w:rsidRDefault="001C7E53" w:rsidP="00176014">
      <w:pPr>
        <w:rPr>
          <w:rFonts w:eastAsiaTheme="minorEastAsia"/>
        </w:rPr>
      </w:pPr>
      <w:r>
        <w:rPr>
          <w:rFonts w:eastAsiaTheme="minorEastAsia"/>
        </w:rPr>
        <w:t xml:space="preserve">Table </w:t>
      </w:r>
      <w:r w:rsidR="00564C76">
        <w:rPr>
          <w:rFonts w:eastAsiaTheme="minorEastAsia"/>
        </w:rPr>
        <w:t>7</w:t>
      </w:r>
      <w:r>
        <w:rPr>
          <w:rFonts w:eastAsiaTheme="minorEastAsia"/>
        </w:rPr>
        <w:t xml:space="preserve"> shows the results of the regression with entry rates constructed using the entries of firms, and entries of plants (recording a firm opening a plant in a new locality as an entry). The results consistently show that, where industry entry rates are higher, local labour market concentration is less impactful.</w:t>
      </w:r>
      <w:r>
        <w:rPr>
          <w:rStyle w:val="FootnoteReference"/>
          <w:rFonts w:eastAsiaTheme="minorEastAsia"/>
        </w:rPr>
        <w:footnoteReference w:id="14"/>
      </w:r>
      <w:r>
        <w:rPr>
          <w:rFonts w:eastAsiaTheme="minorEastAsia"/>
        </w:rPr>
        <w:t xml:space="preserve"> That is, having a high level of firm entry seems to provide an additional source of competition, lessening the market power associated with concentration </w:t>
      </w:r>
      <w:r w:rsidR="004903EB">
        <w:rPr>
          <w:rFonts w:eastAsiaTheme="minorEastAsia"/>
        </w:rPr>
        <w:t xml:space="preserve">among </w:t>
      </w:r>
      <w:r>
        <w:rPr>
          <w:rFonts w:eastAsiaTheme="minorEastAsia"/>
        </w:rPr>
        <w:t>incumbents.</w:t>
      </w:r>
    </w:p>
    <w:p w14:paraId="1DBC36D9" w14:textId="6436AA34" w:rsidR="00747A5F" w:rsidRDefault="00747A5F" w:rsidP="00F91AE4">
      <w:pPr>
        <w:pStyle w:val="TableMainHeading"/>
        <w:rPr>
          <w:rFonts w:eastAsiaTheme="minorEastAsia"/>
        </w:rPr>
      </w:pPr>
      <w:r w:rsidRPr="00565D2F">
        <w:t xml:space="preserve">Table </w:t>
      </w:r>
      <w:r w:rsidR="00564C76">
        <w:t>7</w:t>
      </w:r>
      <w:r w:rsidRPr="00565D2F">
        <w:t>: Firm entry, concentration and wages specification</w:t>
      </w:r>
    </w:p>
    <w:tbl>
      <w:tblPr>
        <w:tblW w:w="5000" w:type="pct"/>
        <w:tblCellMar>
          <w:left w:w="0" w:type="dxa"/>
        </w:tblCellMar>
        <w:tblLook w:val="04A0" w:firstRow="1" w:lastRow="0" w:firstColumn="1" w:lastColumn="0" w:noHBand="0" w:noVBand="1"/>
      </w:tblPr>
      <w:tblGrid>
        <w:gridCol w:w="2263"/>
        <w:gridCol w:w="1291"/>
        <w:gridCol w:w="2796"/>
        <w:gridCol w:w="2720"/>
      </w:tblGrid>
      <w:tr w:rsidR="001C7E53" w:rsidRPr="00565D2F" w14:paraId="16EFE4A0" w14:textId="77777777" w:rsidTr="001D0062">
        <w:trPr>
          <w:trHeight w:val="283"/>
        </w:trPr>
        <w:tc>
          <w:tcPr>
            <w:tcW w:w="2069" w:type="dxa"/>
            <w:tcBorders>
              <w:top w:val="nil"/>
              <w:left w:val="nil"/>
              <w:bottom w:val="single" w:sz="8" w:space="0" w:color="auto"/>
              <w:right w:val="nil"/>
            </w:tcBorders>
            <w:shd w:val="clear" w:color="auto" w:fill="auto"/>
            <w:noWrap/>
            <w:vAlign w:val="center"/>
            <w:hideMark/>
          </w:tcPr>
          <w:p w14:paraId="0C6CD1B2" w14:textId="77777777" w:rsidR="001C7E53" w:rsidRPr="00565D2F" w:rsidRDefault="001C7E53" w:rsidP="00F91AE4">
            <w:pPr>
              <w:spacing w:after="0"/>
              <w:rPr>
                <w:rFonts w:cs="Calibri"/>
                <w:color w:val="000000"/>
                <w:sz w:val="20"/>
              </w:rPr>
            </w:pPr>
            <w:r w:rsidRPr="00565D2F">
              <w:rPr>
                <w:rFonts w:cs="Calibri"/>
                <w:color w:val="000000"/>
                <w:sz w:val="20"/>
              </w:rPr>
              <w:t> </w:t>
            </w:r>
          </w:p>
        </w:tc>
        <w:tc>
          <w:tcPr>
            <w:tcW w:w="1177" w:type="dxa"/>
            <w:tcBorders>
              <w:top w:val="nil"/>
              <w:left w:val="nil"/>
              <w:bottom w:val="single" w:sz="8" w:space="0" w:color="auto"/>
              <w:right w:val="nil"/>
            </w:tcBorders>
            <w:shd w:val="clear" w:color="auto" w:fill="auto"/>
            <w:noWrap/>
            <w:vAlign w:val="center"/>
            <w:hideMark/>
          </w:tcPr>
          <w:p w14:paraId="45B555C2" w14:textId="77777777" w:rsidR="001C7E53" w:rsidRPr="00565D2F" w:rsidRDefault="001C7E53" w:rsidP="004150AB">
            <w:pPr>
              <w:pStyle w:val="TableColumnHeadingCentred"/>
            </w:pPr>
            <w:r w:rsidRPr="00565D2F">
              <w:t>Baseline</w:t>
            </w:r>
          </w:p>
        </w:tc>
        <w:tc>
          <w:tcPr>
            <w:tcW w:w="2558" w:type="dxa"/>
            <w:tcBorders>
              <w:top w:val="nil"/>
              <w:left w:val="nil"/>
              <w:bottom w:val="single" w:sz="8" w:space="0" w:color="auto"/>
              <w:right w:val="nil"/>
            </w:tcBorders>
            <w:shd w:val="clear" w:color="auto" w:fill="auto"/>
            <w:noWrap/>
            <w:vAlign w:val="center"/>
            <w:hideMark/>
          </w:tcPr>
          <w:p w14:paraId="58A7C0E0" w14:textId="646E9B07" w:rsidR="001C7E53" w:rsidRPr="00565D2F" w:rsidRDefault="001C7E53" w:rsidP="004150AB">
            <w:pPr>
              <w:pStyle w:val="TableColumnHeadingCentred"/>
            </w:pPr>
            <w:r w:rsidRPr="00565D2F">
              <w:t>Plant</w:t>
            </w:r>
            <w:r w:rsidR="0018466E">
              <w:noBreakHyphen/>
            </w:r>
            <w:r w:rsidRPr="00565D2F">
              <w:t>based entry rate</w:t>
            </w:r>
          </w:p>
        </w:tc>
        <w:tc>
          <w:tcPr>
            <w:tcW w:w="2488" w:type="dxa"/>
            <w:tcBorders>
              <w:top w:val="nil"/>
              <w:left w:val="nil"/>
              <w:bottom w:val="single" w:sz="8" w:space="0" w:color="auto"/>
              <w:right w:val="nil"/>
            </w:tcBorders>
            <w:shd w:val="clear" w:color="auto" w:fill="auto"/>
            <w:noWrap/>
            <w:vAlign w:val="center"/>
            <w:hideMark/>
          </w:tcPr>
          <w:p w14:paraId="369F4391" w14:textId="29FFA657" w:rsidR="001C7E53" w:rsidRPr="00565D2F" w:rsidRDefault="001C7E53" w:rsidP="004150AB">
            <w:pPr>
              <w:pStyle w:val="TableColumnHeadingCentred"/>
            </w:pPr>
            <w:r w:rsidRPr="00565D2F">
              <w:t>Firm</w:t>
            </w:r>
            <w:r w:rsidR="0018466E">
              <w:noBreakHyphen/>
            </w:r>
            <w:r w:rsidRPr="00565D2F">
              <w:t>based entry rate</w:t>
            </w:r>
          </w:p>
        </w:tc>
      </w:tr>
      <w:tr w:rsidR="001C7E53" w:rsidRPr="00565D2F" w14:paraId="12A84B85" w14:textId="77777777" w:rsidTr="001D0062">
        <w:trPr>
          <w:trHeight w:val="283"/>
        </w:trPr>
        <w:tc>
          <w:tcPr>
            <w:tcW w:w="2069" w:type="dxa"/>
            <w:tcBorders>
              <w:top w:val="nil"/>
              <w:left w:val="nil"/>
              <w:bottom w:val="nil"/>
              <w:right w:val="nil"/>
            </w:tcBorders>
            <w:shd w:val="clear" w:color="auto" w:fill="auto"/>
            <w:noWrap/>
            <w:vAlign w:val="bottom"/>
            <w:hideMark/>
          </w:tcPr>
          <w:p w14:paraId="0C228487" w14:textId="77777777" w:rsidR="001C7E53" w:rsidRPr="00565D2F" w:rsidRDefault="001C7E53" w:rsidP="001D0062">
            <w:pPr>
              <w:pStyle w:val="Tabletextleft0"/>
            </w:pPr>
          </w:p>
        </w:tc>
        <w:tc>
          <w:tcPr>
            <w:tcW w:w="1177" w:type="dxa"/>
            <w:tcBorders>
              <w:top w:val="nil"/>
              <w:left w:val="nil"/>
              <w:bottom w:val="nil"/>
              <w:right w:val="nil"/>
            </w:tcBorders>
            <w:shd w:val="clear" w:color="auto" w:fill="auto"/>
            <w:noWrap/>
            <w:vAlign w:val="bottom"/>
            <w:hideMark/>
          </w:tcPr>
          <w:p w14:paraId="2342DD93" w14:textId="77777777" w:rsidR="001C7E53" w:rsidRPr="00565D2F" w:rsidRDefault="001C7E53" w:rsidP="001D0062">
            <w:pPr>
              <w:pStyle w:val="Tabletextleft0"/>
              <w:rPr>
                <w:rFonts w:ascii="Times New Roman" w:hAnsi="Times New Roman"/>
              </w:rPr>
            </w:pPr>
          </w:p>
        </w:tc>
        <w:tc>
          <w:tcPr>
            <w:tcW w:w="5046" w:type="dxa"/>
            <w:gridSpan w:val="2"/>
            <w:tcBorders>
              <w:top w:val="single" w:sz="8" w:space="0" w:color="auto"/>
              <w:left w:val="nil"/>
              <w:bottom w:val="nil"/>
              <w:right w:val="nil"/>
            </w:tcBorders>
            <w:shd w:val="clear" w:color="auto" w:fill="auto"/>
            <w:noWrap/>
            <w:vAlign w:val="center"/>
            <w:hideMark/>
          </w:tcPr>
          <w:p w14:paraId="573B2286" w14:textId="77777777" w:rsidR="001C7E53" w:rsidRPr="00565D2F" w:rsidRDefault="001C7E53" w:rsidP="001D0062">
            <w:pPr>
              <w:pStyle w:val="Tabletextleft0"/>
              <w:rPr>
                <w:rFonts w:ascii="Arial" w:hAnsi="Arial" w:cs="Arial"/>
              </w:rPr>
            </w:pPr>
            <w:r w:rsidRPr="00565D2F">
              <w:rPr>
                <w:rFonts w:ascii="Arial" w:hAnsi="Arial" w:cs="Arial"/>
              </w:rPr>
              <w:t> </w:t>
            </w:r>
          </w:p>
        </w:tc>
      </w:tr>
      <w:tr w:rsidR="001C7E53" w:rsidRPr="00565D2F" w14:paraId="17C93865" w14:textId="77777777" w:rsidTr="001D0062">
        <w:trPr>
          <w:trHeight w:val="283"/>
        </w:trPr>
        <w:tc>
          <w:tcPr>
            <w:tcW w:w="2069" w:type="dxa"/>
            <w:tcBorders>
              <w:top w:val="nil"/>
              <w:left w:val="nil"/>
              <w:bottom w:val="nil"/>
              <w:right w:val="nil"/>
            </w:tcBorders>
            <w:shd w:val="clear" w:color="auto" w:fill="auto"/>
            <w:noWrap/>
            <w:vAlign w:val="center"/>
            <w:hideMark/>
          </w:tcPr>
          <w:p w14:paraId="5D65E2D0" w14:textId="77777777" w:rsidR="001C7E53" w:rsidRPr="00565D2F" w:rsidRDefault="001C7E53" w:rsidP="00F91AE4">
            <w:pPr>
              <w:pStyle w:val="TableTextLeft"/>
            </w:pPr>
            <w:r w:rsidRPr="00565D2F">
              <w:t>Concentration</w:t>
            </w:r>
            <w:r>
              <w:t xml:space="preserve"> (HHI)</w:t>
            </w:r>
          </w:p>
        </w:tc>
        <w:tc>
          <w:tcPr>
            <w:tcW w:w="1177" w:type="dxa"/>
            <w:tcBorders>
              <w:top w:val="nil"/>
              <w:left w:val="nil"/>
              <w:bottom w:val="nil"/>
              <w:right w:val="nil"/>
            </w:tcBorders>
            <w:shd w:val="clear" w:color="auto" w:fill="auto"/>
            <w:noWrap/>
            <w:vAlign w:val="center"/>
            <w:hideMark/>
          </w:tcPr>
          <w:p w14:paraId="28BB39EE" w14:textId="5B429950" w:rsidR="001C7E53" w:rsidRPr="00565D2F" w:rsidRDefault="0018466E" w:rsidP="004150AB">
            <w:pPr>
              <w:pStyle w:val="TableTextCentered"/>
            </w:pPr>
            <w:r>
              <w:noBreakHyphen/>
            </w:r>
            <w:r w:rsidR="001C7E53" w:rsidRPr="00565D2F">
              <w:t>0.122***</w:t>
            </w:r>
          </w:p>
        </w:tc>
        <w:tc>
          <w:tcPr>
            <w:tcW w:w="2558" w:type="dxa"/>
            <w:tcBorders>
              <w:top w:val="nil"/>
              <w:left w:val="nil"/>
              <w:bottom w:val="nil"/>
              <w:right w:val="nil"/>
            </w:tcBorders>
            <w:shd w:val="clear" w:color="auto" w:fill="auto"/>
            <w:noWrap/>
            <w:vAlign w:val="center"/>
            <w:hideMark/>
          </w:tcPr>
          <w:p w14:paraId="31AA164F" w14:textId="1F7CC8F5" w:rsidR="001C7E53" w:rsidRPr="00565D2F" w:rsidRDefault="0018466E" w:rsidP="004150AB">
            <w:pPr>
              <w:pStyle w:val="TableTextCentered"/>
            </w:pPr>
            <w:r>
              <w:noBreakHyphen/>
            </w:r>
            <w:r w:rsidR="001C7E53" w:rsidRPr="00565D2F">
              <w:t>0.110***</w:t>
            </w:r>
          </w:p>
        </w:tc>
        <w:tc>
          <w:tcPr>
            <w:tcW w:w="2488" w:type="dxa"/>
            <w:tcBorders>
              <w:top w:val="nil"/>
              <w:left w:val="nil"/>
              <w:bottom w:val="nil"/>
              <w:right w:val="nil"/>
            </w:tcBorders>
            <w:shd w:val="clear" w:color="auto" w:fill="auto"/>
            <w:noWrap/>
            <w:vAlign w:val="center"/>
            <w:hideMark/>
          </w:tcPr>
          <w:p w14:paraId="6526AD0A" w14:textId="669FFA1D" w:rsidR="001C7E53" w:rsidRPr="00565D2F" w:rsidRDefault="0018466E" w:rsidP="004150AB">
            <w:pPr>
              <w:pStyle w:val="TableTextCentered"/>
            </w:pPr>
            <w:r>
              <w:noBreakHyphen/>
            </w:r>
            <w:r w:rsidR="001C7E53" w:rsidRPr="00565D2F">
              <w:t>0.111***</w:t>
            </w:r>
          </w:p>
        </w:tc>
      </w:tr>
      <w:tr w:rsidR="001C7E53" w:rsidRPr="00565D2F" w14:paraId="027D30A3" w14:textId="77777777" w:rsidTr="001D0062">
        <w:trPr>
          <w:trHeight w:val="283"/>
        </w:trPr>
        <w:tc>
          <w:tcPr>
            <w:tcW w:w="2069" w:type="dxa"/>
            <w:tcBorders>
              <w:top w:val="nil"/>
              <w:left w:val="nil"/>
              <w:bottom w:val="nil"/>
              <w:right w:val="nil"/>
            </w:tcBorders>
            <w:shd w:val="clear" w:color="auto" w:fill="auto"/>
            <w:noWrap/>
            <w:vAlign w:val="bottom"/>
            <w:hideMark/>
          </w:tcPr>
          <w:p w14:paraId="1D85336A" w14:textId="77777777" w:rsidR="001C7E53" w:rsidRPr="00565D2F" w:rsidRDefault="001C7E53" w:rsidP="00F91AE4">
            <w:pPr>
              <w:pStyle w:val="TableTextLeft"/>
            </w:pPr>
          </w:p>
        </w:tc>
        <w:tc>
          <w:tcPr>
            <w:tcW w:w="1177" w:type="dxa"/>
            <w:tcBorders>
              <w:top w:val="nil"/>
              <w:left w:val="nil"/>
              <w:bottom w:val="nil"/>
              <w:right w:val="nil"/>
            </w:tcBorders>
            <w:shd w:val="clear" w:color="auto" w:fill="auto"/>
            <w:noWrap/>
            <w:vAlign w:val="center"/>
            <w:hideMark/>
          </w:tcPr>
          <w:p w14:paraId="1A12303E" w14:textId="77777777" w:rsidR="001C7E53" w:rsidRPr="00565D2F" w:rsidRDefault="001C7E53" w:rsidP="004150AB">
            <w:pPr>
              <w:pStyle w:val="TableTextCentered"/>
            </w:pPr>
            <w:r>
              <w:t>(</w:t>
            </w:r>
            <w:r w:rsidRPr="00565D2F">
              <w:t>0.008</w:t>
            </w:r>
            <w:r>
              <w:t>)</w:t>
            </w:r>
          </w:p>
        </w:tc>
        <w:tc>
          <w:tcPr>
            <w:tcW w:w="2558" w:type="dxa"/>
            <w:tcBorders>
              <w:top w:val="nil"/>
              <w:left w:val="nil"/>
              <w:bottom w:val="nil"/>
              <w:right w:val="nil"/>
            </w:tcBorders>
            <w:shd w:val="clear" w:color="auto" w:fill="auto"/>
            <w:noWrap/>
            <w:vAlign w:val="center"/>
            <w:hideMark/>
          </w:tcPr>
          <w:p w14:paraId="46D17FFB" w14:textId="77777777" w:rsidR="001C7E53" w:rsidRPr="00565D2F" w:rsidRDefault="001C7E53" w:rsidP="004150AB">
            <w:pPr>
              <w:pStyle w:val="TableTextCentered"/>
            </w:pPr>
            <w:r>
              <w:t>(</w:t>
            </w:r>
            <w:r w:rsidRPr="00565D2F">
              <w:t>0.016</w:t>
            </w:r>
            <w:r>
              <w:t>)</w:t>
            </w:r>
          </w:p>
        </w:tc>
        <w:tc>
          <w:tcPr>
            <w:tcW w:w="2488" w:type="dxa"/>
            <w:tcBorders>
              <w:top w:val="nil"/>
              <w:left w:val="nil"/>
              <w:bottom w:val="nil"/>
              <w:right w:val="nil"/>
            </w:tcBorders>
            <w:shd w:val="clear" w:color="auto" w:fill="auto"/>
            <w:noWrap/>
            <w:vAlign w:val="center"/>
            <w:hideMark/>
          </w:tcPr>
          <w:p w14:paraId="6E27A8A2" w14:textId="77777777" w:rsidR="001C7E53" w:rsidRPr="00565D2F" w:rsidRDefault="001C7E53" w:rsidP="004150AB">
            <w:pPr>
              <w:pStyle w:val="TableTextCentered"/>
            </w:pPr>
            <w:r>
              <w:t>(</w:t>
            </w:r>
            <w:r w:rsidRPr="00565D2F">
              <w:t>0.015</w:t>
            </w:r>
            <w:r>
              <w:t>)</w:t>
            </w:r>
          </w:p>
        </w:tc>
      </w:tr>
      <w:tr w:rsidR="001C7E53" w:rsidRPr="00565D2F" w14:paraId="4FD9B3D0" w14:textId="77777777" w:rsidTr="001D0062">
        <w:trPr>
          <w:trHeight w:val="283"/>
        </w:trPr>
        <w:tc>
          <w:tcPr>
            <w:tcW w:w="2069" w:type="dxa"/>
            <w:tcBorders>
              <w:top w:val="nil"/>
              <w:left w:val="nil"/>
              <w:bottom w:val="nil"/>
              <w:right w:val="nil"/>
            </w:tcBorders>
            <w:shd w:val="clear" w:color="auto" w:fill="auto"/>
            <w:noWrap/>
            <w:vAlign w:val="bottom"/>
            <w:hideMark/>
          </w:tcPr>
          <w:p w14:paraId="17BF9257" w14:textId="77777777" w:rsidR="001C7E53" w:rsidRPr="00565D2F" w:rsidRDefault="001C7E53" w:rsidP="00F91AE4">
            <w:pPr>
              <w:pStyle w:val="TableTextLeft"/>
            </w:pPr>
          </w:p>
        </w:tc>
        <w:tc>
          <w:tcPr>
            <w:tcW w:w="1177" w:type="dxa"/>
            <w:tcBorders>
              <w:top w:val="nil"/>
              <w:left w:val="nil"/>
              <w:bottom w:val="nil"/>
              <w:right w:val="nil"/>
            </w:tcBorders>
            <w:shd w:val="clear" w:color="auto" w:fill="auto"/>
            <w:noWrap/>
            <w:vAlign w:val="center"/>
            <w:hideMark/>
          </w:tcPr>
          <w:p w14:paraId="2B5DE522" w14:textId="77777777" w:rsidR="001C7E53" w:rsidRPr="00565D2F" w:rsidRDefault="001C7E53" w:rsidP="004150AB">
            <w:pPr>
              <w:pStyle w:val="TableTextCentered"/>
              <w:rPr>
                <w:rFonts w:ascii="Times New Roman" w:hAnsi="Times New Roman"/>
              </w:rPr>
            </w:pPr>
          </w:p>
        </w:tc>
        <w:tc>
          <w:tcPr>
            <w:tcW w:w="5046" w:type="dxa"/>
            <w:gridSpan w:val="2"/>
            <w:tcBorders>
              <w:top w:val="nil"/>
              <w:left w:val="nil"/>
              <w:bottom w:val="nil"/>
              <w:right w:val="nil"/>
            </w:tcBorders>
            <w:shd w:val="clear" w:color="auto" w:fill="auto"/>
            <w:noWrap/>
            <w:vAlign w:val="center"/>
            <w:hideMark/>
          </w:tcPr>
          <w:p w14:paraId="4C2C0572" w14:textId="77777777" w:rsidR="001C7E53" w:rsidRPr="00565D2F" w:rsidRDefault="001C7E53" w:rsidP="004150AB">
            <w:pPr>
              <w:pStyle w:val="TableTextCentered"/>
              <w:rPr>
                <w:rFonts w:ascii="Times New Roman" w:hAnsi="Times New Roman"/>
              </w:rPr>
            </w:pPr>
          </w:p>
        </w:tc>
      </w:tr>
      <w:tr w:rsidR="001C7E53" w:rsidRPr="00565D2F" w14:paraId="5C4A9479" w14:textId="77777777" w:rsidTr="001D0062">
        <w:trPr>
          <w:trHeight w:val="283"/>
        </w:trPr>
        <w:tc>
          <w:tcPr>
            <w:tcW w:w="2069" w:type="dxa"/>
            <w:vMerge w:val="restart"/>
            <w:tcBorders>
              <w:top w:val="nil"/>
              <w:left w:val="nil"/>
              <w:bottom w:val="nil"/>
              <w:right w:val="nil"/>
            </w:tcBorders>
            <w:shd w:val="clear" w:color="auto" w:fill="auto"/>
            <w:vAlign w:val="center"/>
            <w:hideMark/>
          </w:tcPr>
          <w:p w14:paraId="6DD424C0" w14:textId="77777777" w:rsidR="001C7E53" w:rsidRPr="00565D2F" w:rsidRDefault="001C7E53" w:rsidP="00F91AE4">
            <w:pPr>
              <w:pStyle w:val="TableTextLeft"/>
            </w:pPr>
            <w:r w:rsidRPr="00565D2F">
              <w:t>Concentration</w:t>
            </w:r>
            <w:r>
              <w:t xml:space="preserve"> (HHI)</w:t>
            </w:r>
            <w:r w:rsidRPr="00565D2F">
              <w:t xml:space="preserve"> * Entry Rate</w:t>
            </w:r>
          </w:p>
        </w:tc>
        <w:tc>
          <w:tcPr>
            <w:tcW w:w="1177" w:type="dxa"/>
            <w:tcBorders>
              <w:top w:val="nil"/>
              <w:left w:val="nil"/>
              <w:bottom w:val="nil"/>
              <w:right w:val="nil"/>
            </w:tcBorders>
            <w:shd w:val="clear" w:color="auto" w:fill="auto"/>
            <w:noWrap/>
            <w:vAlign w:val="bottom"/>
            <w:hideMark/>
          </w:tcPr>
          <w:p w14:paraId="7E92D30E" w14:textId="77777777" w:rsidR="001C7E53" w:rsidRPr="00565D2F" w:rsidRDefault="001C7E53" w:rsidP="004150AB">
            <w:pPr>
              <w:pStyle w:val="TableTextCentered"/>
            </w:pPr>
          </w:p>
        </w:tc>
        <w:tc>
          <w:tcPr>
            <w:tcW w:w="2558" w:type="dxa"/>
            <w:tcBorders>
              <w:top w:val="nil"/>
              <w:left w:val="nil"/>
              <w:bottom w:val="nil"/>
              <w:right w:val="nil"/>
            </w:tcBorders>
            <w:shd w:val="clear" w:color="auto" w:fill="auto"/>
            <w:noWrap/>
            <w:vAlign w:val="center"/>
            <w:hideMark/>
          </w:tcPr>
          <w:p w14:paraId="61B7C349" w14:textId="77777777" w:rsidR="001C7E53" w:rsidRPr="00565D2F" w:rsidRDefault="001C7E53" w:rsidP="004150AB">
            <w:pPr>
              <w:pStyle w:val="TableTextCentered"/>
            </w:pPr>
            <w:r w:rsidRPr="00565D2F">
              <w:t>0.540***</w:t>
            </w:r>
          </w:p>
        </w:tc>
        <w:tc>
          <w:tcPr>
            <w:tcW w:w="2488" w:type="dxa"/>
            <w:tcBorders>
              <w:top w:val="nil"/>
              <w:left w:val="nil"/>
              <w:bottom w:val="nil"/>
              <w:right w:val="nil"/>
            </w:tcBorders>
            <w:shd w:val="clear" w:color="auto" w:fill="auto"/>
            <w:noWrap/>
            <w:vAlign w:val="center"/>
            <w:hideMark/>
          </w:tcPr>
          <w:p w14:paraId="61CBA374" w14:textId="77777777" w:rsidR="001C7E53" w:rsidRPr="00565D2F" w:rsidRDefault="001C7E53" w:rsidP="004150AB">
            <w:pPr>
              <w:pStyle w:val="TableTextCentered"/>
            </w:pPr>
            <w:r w:rsidRPr="00565D2F">
              <w:t>0.800***</w:t>
            </w:r>
          </w:p>
        </w:tc>
      </w:tr>
      <w:tr w:rsidR="001C7E53" w:rsidRPr="00565D2F" w14:paraId="46E19CEC" w14:textId="77777777" w:rsidTr="001D0062">
        <w:trPr>
          <w:trHeight w:val="283"/>
        </w:trPr>
        <w:tc>
          <w:tcPr>
            <w:tcW w:w="2069" w:type="dxa"/>
            <w:vMerge/>
            <w:tcBorders>
              <w:top w:val="nil"/>
              <w:left w:val="nil"/>
              <w:bottom w:val="nil"/>
              <w:right w:val="nil"/>
            </w:tcBorders>
            <w:vAlign w:val="center"/>
            <w:hideMark/>
          </w:tcPr>
          <w:p w14:paraId="342EBF0C" w14:textId="77777777" w:rsidR="001C7E53" w:rsidRPr="00565D2F" w:rsidRDefault="001C7E53" w:rsidP="00F91AE4">
            <w:pPr>
              <w:pStyle w:val="TableTextLeft"/>
            </w:pPr>
          </w:p>
        </w:tc>
        <w:tc>
          <w:tcPr>
            <w:tcW w:w="1177" w:type="dxa"/>
            <w:tcBorders>
              <w:top w:val="nil"/>
              <w:left w:val="nil"/>
              <w:bottom w:val="nil"/>
              <w:right w:val="nil"/>
            </w:tcBorders>
            <w:shd w:val="clear" w:color="auto" w:fill="auto"/>
            <w:noWrap/>
            <w:vAlign w:val="bottom"/>
            <w:hideMark/>
          </w:tcPr>
          <w:p w14:paraId="00640814" w14:textId="77777777" w:rsidR="001C7E53" w:rsidRPr="00565D2F" w:rsidRDefault="001C7E53" w:rsidP="004150AB">
            <w:pPr>
              <w:pStyle w:val="TableTextCentered"/>
            </w:pPr>
          </w:p>
        </w:tc>
        <w:tc>
          <w:tcPr>
            <w:tcW w:w="2558" w:type="dxa"/>
            <w:tcBorders>
              <w:top w:val="nil"/>
              <w:left w:val="nil"/>
              <w:bottom w:val="nil"/>
              <w:right w:val="nil"/>
            </w:tcBorders>
            <w:shd w:val="clear" w:color="auto" w:fill="auto"/>
            <w:noWrap/>
            <w:vAlign w:val="center"/>
            <w:hideMark/>
          </w:tcPr>
          <w:p w14:paraId="18969D24" w14:textId="77777777" w:rsidR="001C7E53" w:rsidRPr="00565D2F" w:rsidRDefault="001C7E53" w:rsidP="004150AB">
            <w:pPr>
              <w:pStyle w:val="TableTextCentered"/>
            </w:pPr>
            <w:r>
              <w:t>(</w:t>
            </w:r>
            <w:r w:rsidRPr="00565D2F">
              <w:t>0.204</w:t>
            </w:r>
            <w:r>
              <w:t>)</w:t>
            </w:r>
          </w:p>
        </w:tc>
        <w:tc>
          <w:tcPr>
            <w:tcW w:w="2488" w:type="dxa"/>
            <w:tcBorders>
              <w:top w:val="nil"/>
              <w:left w:val="nil"/>
              <w:bottom w:val="nil"/>
              <w:right w:val="nil"/>
            </w:tcBorders>
            <w:shd w:val="clear" w:color="auto" w:fill="auto"/>
            <w:noWrap/>
            <w:vAlign w:val="center"/>
            <w:hideMark/>
          </w:tcPr>
          <w:p w14:paraId="6517388E" w14:textId="77777777" w:rsidR="001C7E53" w:rsidRPr="00565D2F" w:rsidRDefault="001C7E53" w:rsidP="004150AB">
            <w:pPr>
              <w:pStyle w:val="TableTextCentered"/>
            </w:pPr>
            <w:r>
              <w:t>(</w:t>
            </w:r>
            <w:r w:rsidRPr="00565D2F">
              <w:t>0.228</w:t>
            </w:r>
            <w:r>
              <w:t>)</w:t>
            </w:r>
          </w:p>
        </w:tc>
      </w:tr>
      <w:tr w:rsidR="001C7E53" w:rsidRPr="00565D2F" w14:paraId="775CEECC" w14:textId="77777777" w:rsidTr="001D0062">
        <w:trPr>
          <w:trHeight w:val="283"/>
        </w:trPr>
        <w:tc>
          <w:tcPr>
            <w:tcW w:w="2069" w:type="dxa"/>
            <w:tcBorders>
              <w:top w:val="nil"/>
              <w:left w:val="nil"/>
              <w:bottom w:val="single" w:sz="8" w:space="0" w:color="auto"/>
              <w:right w:val="nil"/>
            </w:tcBorders>
            <w:shd w:val="clear" w:color="auto" w:fill="auto"/>
            <w:noWrap/>
            <w:vAlign w:val="center"/>
            <w:hideMark/>
          </w:tcPr>
          <w:p w14:paraId="584DE705" w14:textId="77777777" w:rsidR="001C7E53" w:rsidRPr="00565D2F" w:rsidRDefault="001C7E53" w:rsidP="00F91AE4">
            <w:pPr>
              <w:pStyle w:val="TableTextLeft"/>
            </w:pPr>
            <w:r w:rsidRPr="00565D2F">
              <w:t> </w:t>
            </w:r>
          </w:p>
        </w:tc>
        <w:tc>
          <w:tcPr>
            <w:tcW w:w="1177" w:type="dxa"/>
            <w:tcBorders>
              <w:top w:val="nil"/>
              <w:left w:val="nil"/>
              <w:bottom w:val="single" w:sz="8" w:space="0" w:color="auto"/>
              <w:right w:val="nil"/>
            </w:tcBorders>
            <w:shd w:val="clear" w:color="auto" w:fill="auto"/>
            <w:noWrap/>
            <w:vAlign w:val="center"/>
            <w:hideMark/>
          </w:tcPr>
          <w:p w14:paraId="3FA48A20" w14:textId="77777777" w:rsidR="001C7E53" w:rsidRPr="00565D2F" w:rsidRDefault="001C7E53" w:rsidP="004150AB">
            <w:pPr>
              <w:pStyle w:val="TableTextCentered"/>
            </w:pPr>
            <w:r w:rsidRPr="00565D2F">
              <w:t> </w:t>
            </w:r>
          </w:p>
        </w:tc>
        <w:tc>
          <w:tcPr>
            <w:tcW w:w="5046" w:type="dxa"/>
            <w:gridSpan w:val="2"/>
            <w:tcBorders>
              <w:top w:val="nil"/>
              <w:left w:val="nil"/>
              <w:bottom w:val="single" w:sz="8" w:space="0" w:color="auto"/>
              <w:right w:val="nil"/>
            </w:tcBorders>
            <w:shd w:val="clear" w:color="auto" w:fill="auto"/>
            <w:noWrap/>
            <w:vAlign w:val="center"/>
            <w:hideMark/>
          </w:tcPr>
          <w:p w14:paraId="2653C944" w14:textId="77777777" w:rsidR="001C7E53" w:rsidRPr="00565D2F" w:rsidRDefault="001C7E53" w:rsidP="004150AB">
            <w:pPr>
              <w:pStyle w:val="TableTextCentered"/>
            </w:pPr>
            <w:r w:rsidRPr="00565D2F">
              <w:t> </w:t>
            </w:r>
          </w:p>
        </w:tc>
      </w:tr>
      <w:tr w:rsidR="001C7E53" w:rsidRPr="00565D2F" w14:paraId="7E2386C6" w14:textId="77777777" w:rsidTr="001D0062">
        <w:trPr>
          <w:trHeight w:val="283"/>
        </w:trPr>
        <w:tc>
          <w:tcPr>
            <w:tcW w:w="2069" w:type="dxa"/>
            <w:tcBorders>
              <w:top w:val="nil"/>
              <w:left w:val="nil"/>
              <w:bottom w:val="nil"/>
              <w:right w:val="nil"/>
            </w:tcBorders>
            <w:shd w:val="clear" w:color="auto" w:fill="auto"/>
            <w:noWrap/>
            <w:vAlign w:val="center"/>
            <w:hideMark/>
          </w:tcPr>
          <w:p w14:paraId="4341F1AF" w14:textId="77777777" w:rsidR="001C7E53" w:rsidRPr="00565D2F" w:rsidRDefault="001C7E53" w:rsidP="00F91AE4">
            <w:pPr>
              <w:pStyle w:val="TableTextLeft"/>
            </w:pPr>
            <w:r w:rsidRPr="00565D2F">
              <w:t>R</w:t>
            </w:r>
            <w:r w:rsidRPr="00565D2F">
              <w:rPr>
                <w:vertAlign w:val="superscript"/>
              </w:rPr>
              <w:t>2</w:t>
            </w:r>
          </w:p>
        </w:tc>
        <w:tc>
          <w:tcPr>
            <w:tcW w:w="1177" w:type="dxa"/>
            <w:tcBorders>
              <w:top w:val="nil"/>
              <w:left w:val="nil"/>
              <w:bottom w:val="nil"/>
              <w:right w:val="nil"/>
            </w:tcBorders>
            <w:shd w:val="clear" w:color="auto" w:fill="auto"/>
            <w:noWrap/>
            <w:vAlign w:val="center"/>
            <w:hideMark/>
          </w:tcPr>
          <w:p w14:paraId="53E19DDD" w14:textId="77777777" w:rsidR="001C7E53" w:rsidRPr="00565D2F" w:rsidRDefault="001C7E53" w:rsidP="004150AB">
            <w:pPr>
              <w:pStyle w:val="TableTextCentered"/>
            </w:pPr>
            <w:r w:rsidRPr="00565D2F">
              <w:t>0.67</w:t>
            </w:r>
          </w:p>
        </w:tc>
        <w:tc>
          <w:tcPr>
            <w:tcW w:w="2558" w:type="dxa"/>
            <w:tcBorders>
              <w:top w:val="nil"/>
              <w:left w:val="nil"/>
              <w:bottom w:val="nil"/>
              <w:right w:val="nil"/>
            </w:tcBorders>
            <w:shd w:val="clear" w:color="auto" w:fill="auto"/>
            <w:noWrap/>
            <w:vAlign w:val="center"/>
            <w:hideMark/>
          </w:tcPr>
          <w:p w14:paraId="11721894" w14:textId="77777777" w:rsidR="001C7E53" w:rsidRPr="00565D2F" w:rsidRDefault="001C7E53" w:rsidP="004150AB">
            <w:pPr>
              <w:pStyle w:val="TableTextCentered"/>
            </w:pPr>
            <w:r w:rsidRPr="00565D2F">
              <w:t>0.683</w:t>
            </w:r>
          </w:p>
        </w:tc>
        <w:tc>
          <w:tcPr>
            <w:tcW w:w="2488" w:type="dxa"/>
            <w:tcBorders>
              <w:top w:val="nil"/>
              <w:left w:val="nil"/>
              <w:bottom w:val="nil"/>
              <w:right w:val="nil"/>
            </w:tcBorders>
            <w:shd w:val="clear" w:color="auto" w:fill="auto"/>
            <w:noWrap/>
            <w:vAlign w:val="center"/>
            <w:hideMark/>
          </w:tcPr>
          <w:p w14:paraId="6125B1D1" w14:textId="77777777" w:rsidR="001C7E53" w:rsidRPr="00565D2F" w:rsidRDefault="001C7E53" w:rsidP="004150AB">
            <w:pPr>
              <w:pStyle w:val="TableTextCentered"/>
            </w:pPr>
            <w:r w:rsidRPr="00565D2F">
              <w:t>0.686</w:t>
            </w:r>
          </w:p>
        </w:tc>
      </w:tr>
      <w:tr w:rsidR="001C7E53" w:rsidRPr="00565D2F" w14:paraId="7019E22A" w14:textId="77777777" w:rsidTr="001D0062">
        <w:trPr>
          <w:trHeight w:val="283"/>
        </w:trPr>
        <w:tc>
          <w:tcPr>
            <w:tcW w:w="2069" w:type="dxa"/>
            <w:tcBorders>
              <w:top w:val="nil"/>
              <w:left w:val="nil"/>
              <w:bottom w:val="nil"/>
              <w:right w:val="nil"/>
            </w:tcBorders>
            <w:shd w:val="clear" w:color="auto" w:fill="auto"/>
            <w:noWrap/>
            <w:vAlign w:val="center"/>
            <w:hideMark/>
          </w:tcPr>
          <w:p w14:paraId="33F650B1" w14:textId="77777777" w:rsidR="001C7E53" w:rsidRPr="00565D2F" w:rsidRDefault="001C7E53" w:rsidP="00F91AE4">
            <w:pPr>
              <w:pStyle w:val="TableTextLeft"/>
            </w:pPr>
            <w:r w:rsidRPr="00565D2F">
              <w:t>N</w:t>
            </w:r>
          </w:p>
        </w:tc>
        <w:tc>
          <w:tcPr>
            <w:tcW w:w="1177" w:type="dxa"/>
            <w:tcBorders>
              <w:top w:val="nil"/>
              <w:left w:val="nil"/>
              <w:bottom w:val="nil"/>
              <w:right w:val="nil"/>
            </w:tcBorders>
            <w:shd w:val="clear" w:color="auto" w:fill="auto"/>
            <w:noWrap/>
            <w:vAlign w:val="center"/>
            <w:hideMark/>
          </w:tcPr>
          <w:p w14:paraId="0B826C66" w14:textId="77777777" w:rsidR="001C7E53" w:rsidRPr="00565D2F" w:rsidRDefault="001C7E53" w:rsidP="004150AB">
            <w:pPr>
              <w:pStyle w:val="TableTextCentered"/>
            </w:pPr>
            <w:r w:rsidRPr="00565D2F">
              <w:t>302,000</w:t>
            </w:r>
          </w:p>
        </w:tc>
        <w:tc>
          <w:tcPr>
            <w:tcW w:w="2558" w:type="dxa"/>
            <w:tcBorders>
              <w:top w:val="nil"/>
              <w:left w:val="nil"/>
              <w:bottom w:val="nil"/>
              <w:right w:val="nil"/>
            </w:tcBorders>
            <w:shd w:val="clear" w:color="auto" w:fill="auto"/>
            <w:noWrap/>
            <w:vAlign w:val="center"/>
            <w:hideMark/>
          </w:tcPr>
          <w:p w14:paraId="25852D38" w14:textId="77777777" w:rsidR="001C7E53" w:rsidRPr="00565D2F" w:rsidRDefault="001C7E53" w:rsidP="004150AB">
            <w:pPr>
              <w:pStyle w:val="TableTextCentered"/>
            </w:pPr>
            <w:r w:rsidRPr="00565D2F">
              <w:t>274,000</w:t>
            </w:r>
          </w:p>
        </w:tc>
        <w:tc>
          <w:tcPr>
            <w:tcW w:w="2488" w:type="dxa"/>
            <w:tcBorders>
              <w:top w:val="nil"/>
              <w:left w:val="nil"/>
              <w:bottom w:val="nil"/>
              <w:right w:val="nil"/>
            </w:tcBorders>
            <w:shd w:val="clear" w:color="auto" w:fill="auto"/>
            <w:noWrap/>
            <w:vAlign w:val="center"/>
            <w:hideMark/>
          </w:tcPr>
          <w:p w14:paraId="01247E9C" w14:textId="77777777" w:rsidR="001C7E53" w:rsidRPr="00565D2F" w:rsidRDefault="001C7E53" w:rsidP="004150AB">
            <w:pPr>
              <w:pStyle w:val="TableTextCentered"/>
            </w:pPr>
            <w:r w:rsidRPr="00565D2F">
              <w:t>274,000</w:t>
            </w:r>
          </w:p>
        </w:tc>
      </w:tr>
      <w:tr w:rsidR="001C7E53" w:rsidRPr="00565D2F" w14:paraId="4F45589A" w14:textId="77777777" w:rsidTr="001D0062">
        <w:trPr>
          <w:trHeight w:val="283"/>
        </w:trPr>
        <w:tc>
          <w:tcPr>
            <w:tcW w:w="2069" w:type="dxa"/>
            <w:tcBorders>
              <w:top w:val="nil"/>
              <w:left w:val="nil"/>
              <w:bottom w:val="single" w:sz="8" w:space="0" w:color="auto"/>
              <w:right w:val="nil"/>
            </w:tcBorders>
            <w:shd w:val="clear" w:color="auto" w:fill="auto"/>
            <w:noWrap/>
            <w:vAlign w:val="center"/>
            <w:hideMark/>
          </w:tcPr>
          <w:p w14:paraId="2C0647A4" w14:textId="77777777" w:rsidR="001C7E53" w:rsidRPr="00565D2F" w:rsidRDefault="001C7E53" w:rsidP="00F91AE4">
            <w:pPr>
              <w:pStyle w:val="TableColumnHeadingLeft"/>
            </w:pPr>
            <w:r w:rsidRPr="00565D2F">
              <w:t>Fixed effects</w:t>
            </w:r>
          </w:p>
        </w:tc>
        <w:tc>
          <w:tcPr>
            <w:tcW w:w="1177" w:type="dxa"/>
            <w:tcBorders>
              <w:top w:val="nil"/>
              <w:left w:val="nil"/>
              <w:bottom w:val="single" w:sz="8" w:space="0" w:color="auto"/>
              <w:right w:val="nil"/>
            </w:tcBorders>
            <w:shd w:val="clear" w:color="auto" w:fill="auto"/>
            <w:noWrap/>
            <w:vAlign w:val="center"/>
            <w:hideMark/>
          </w:tcPr>
          <w:p w14:paraId="07F730A1" w14:textId="77777777" w:rsidR="001C7E53" w:rsidRPr="00565D2F" w:rsidRDefault="001C7E53" w:rsidP="004150AB">
            <w:pPr>
              <w:pStyle w:val="TableTextCentered"/>
            </w:pPr>
            <w:r w:rsidRPr="00565D2F">
              <w:t> </w:t>
            </w:r>
          </w:p>
        </w:tc>
        <w:tc>
          <w:tcPr>
            <w:tcW w:w="2558" w:type="dxa"/>
            <w:tcBorders>
              <w:top w:val="nil"/>
              <w:left w:val="nil"/>
              <w:bottom w:val="single" w:sz="8" w:space="0" w:color="auto"/>
              <w:right w:val="nil"/>
            </w:tcBorders>
            <w:shd w:val="clear" w:color="auto" w:fill="auto"/>
            <w:noWrap/>
            <w:vAlign w:val="center"/>
            <w:hideMark/>
          </w:tcPr>
          <w:p w14:paraId="31113FFE" w14:textId="77777777" w:rsidR="001C7E53" w:rsidRPr="00565D2F" w:rsidRDefault="001C7E53" w:rsidP="004150AB">
            <w:pPr>
              <w:pStyle w:val="TableTextCentered"/>
            </w:pPr>
            <w:r w:rsidRPr="00565D2F">
              <w:t> </w:t>
            </w:r>
          </w:p>
        </w:tc>
        <w:tc>
          <w:tcPr>
            <w:tcW w:w="2488" w:type="dxa"/>
            <w:tcBorders>
              <w:top w:val="nil"/>
              <w:left w:val="nil"/>
              <w:bottom w:val="single" w:sz="8" w:space="0" w:color="auto"/>
              <w:right w:val="nil"/>
            </w:tcBorders>
            <w:shd w:val="clear" w:color="auto" w:fill="auto"/>
            <w:noWrap/>
            <w:vAlign w:val="center"/>
            <w:hideMark/>
          </w:tcPr>
          <w:p w14:paraId="7DD0D341" w14:textId="77777777" w:rsidR="001C7E53" w:rsidRPr="00565D2F" w:rsidRDefault="001C7E53" w:rsidP="004150AB">
            <w:pPr>
              <w:pStyle w:val="TableTextCentered"/>
            </w:pPr>
            <w:r w:rsidRPr="00565D2F">
              <w:t> </w:t>
            </w:r>
          </w:p>
        </w:tc>
      </w:tr>
      <w:tr w:rsidR="001C7E53" w:rsidRPr="00565D2F" w14:paraId="34952CBE" w14:textId="77777777" w:rsidTr="001D0062">
        <w:trPr>
          <w:trHeight w:val="283"/>
        </w:trPr>
        <w:tc>
          <w:tcPr>
            <w:tcW w:w="2069" w:type="dxa"/>
            <w:tcBorders>
              <w:top w:val="nil"/>
              <w:left w:val="nil"/>
              <w:bottom w:val="nil"/>
              <w:right w:val="nil"/>
            </w:tcBorders>
            <w:shd w:val="clear" w:color="auto" w:fill="auto"/>
            <w:noWrap/>
            <w:vAlign w:val="center"/>
            <w:hideMark/>
          </w:tcPr>
          <w:p w14:paraId="3264ECAE" w14:textId="77777777" w:rsidR="001C7E53" w:rsidRPr="00565D2F" w:rsidRDefault="001C7E53" w:rsidP="00F91AE4">
            <w:pPr>
              <w:pStyle w:val="TableTextLeft"/>
            </w:pPr>
            <w:r w:rsidRPr="00565D2F">
              <w:t>Local market</w:t>
            </w:r>
          </w:p>
        </w:tc>
        <w:tc>
          <w:tcPr>
            <w:tcW w:w="1177" w:type="dxa"/>
            <w:tcBorders>
              <w:top w:val="single" w:sz="4" w:space="0" w:color="auto"/>
              <w:left w:val="nil"/>
              <w:bottom w:val="nil"/>
              <w:right w:val="nil"/>
            </w:tcBorders>
            <w:shd w:val="clear" w:color="auto" w:fill="auto"/>
            <w:noWrap/>
            <w:vAlign w:val="bottom"/>
            <w:hideMark/>
          </w:tcPr>
          <w:p w14:paraId="64D895CB" w14:textId="77777777" w:rsidR="001C7E53" w:rsidRPr="00565D2F" w:rsidRDefault="001C7E53" w:rsidP="004150AB">
            <w:pPr>
              <w:pStyle w:val="TableTextCentered"/>
            </w:pPr>
            <w:r w:rsidRPr="00565D2F">
              <w:t>Y</w:t>
            </w:r>
          </w:p>
        </w:tc>
        <w:tc>
          <w:tcPr>
            <w:tcW w:w="2558" w:type="dxa"/>
            <w:tcBorders>
              <w:top w:val="single" w:sz="4" w:space="0" w:color="auto"/>
              <w:left w:val="nil"/>
              <w:bottom w:val="nil"/>
              <w:right w:val="nil"/>
            </w:tcBorders>
            <w:shd w:val="clear" w:color="auto" w:fill="auto"/>
            <w:noWrap/>
            <w:vAlign w:val="bottom"/>
            <w:hideMark/>
          </w:tcPr>
          <w:p w14:paraId="63F76AA1" w14:textId="77777777" w:rsidR="001C7E53" w:rsidRPr="00565D2F" w:rsidRDefault="001C7E53" w:rsidP="004150AB">
            <w:pPr>
              <w:pStyle w:val="TableTextCentered"/>
            </w:pPr>
            <w:r w:rsidRPr="00565D2F">
              <w:t>Y</w:t>
            </w:r>
          </w:p>
        </w:tc>
        <w:tc>
          <w:tcPr>
            <w:tcW w:w="2488" w:type="dxa"/>
            <w:tcBorders>
              <w:top w:val="single" w:sz="4" w:space="0" w:color="auto"/>
              <w:left w:val="nil"/>
              <w:bottom w:val="nil"/>
              <w:right w:val="nil"/>
            </w:tcBorders>
            <w:shd w:val="clear" w:color="auto" w:fill="auto"/>
            <w:noWrap/>
            <w:vAlign w:val="bottom"/>
            <w:hideMark/>
          </w:tcPr>
          <w:p w14:paraId="25C2932F" w14:textId="77777777" w:rsidR="001C7E53" w:rsidRPr="00565D2F" w:rsidRDefault="001C7E53" w:rsidP="004150AB">
            <w:pPr>
              <w:pStyle w:val="TableTextCentered"/>
            </w:pPr>
            <w:r w:rsidRPr="00565D2F">
              <w:t>Y</w:t>
            </w:r>
          </w:p>
        </w:tc>
      </w:tr>
      <w:tr w:rsidR="001C7E53" w:rsidRPr="00565D2F" w14:paraId="0C325B90" w14:textId="77777777" w:rsidTr="001D0062">
        <w:trPr>
          <w:trHeight w:val="283"/>
        </w:trPr>
        <w:tc>
          <w:tcPr>
            <w:tcW w:w="2069" w:type="dxa"/>
            <w:tcBorders>
              <w:top w:val="nil"/>
              <w:left w:val="nil"/>
              <w:bottom w:val="nil"/>
              <w:right w:val="nil"/>
            </w:tcBorders>
            <w:shd w:val="clear" w:color="auto" w:fill="auto"/>
            <w:noWrap/>
            <w:vAlign w:val="center"/>
            <w:hideMark/>
          </w:tcPr>
          <w:p w14:paraId="59E2577A" w14:textId="77777777" w:rsidR="001C7E53" w:rsidRPr="00565D2F" w:rsidRDefault="001C7E53" w:rsidP="00F91AE4">
            <w:pPr>
              <w:pStyle w:val="TableTextLeft"/>
            </w:pPr>
            <w:r w:rsidRPr="00565D2F">
              <w:t>Time*Industry</w:t>
            </w:r>
          </w:p>
        </w:tc>
        <w:tc>
          <w:tcPr>
            <w:tcW w:w="1177" w:type="dxa"/>
            <w:tcBorders>
              <w:top w:val="nil"/>
              <w:left w:val="nil"/>
              <w:bottom w:val="nil"/>
              <w:right w:val="nil"/>
            </w:tcBorders>
            <w:shd w:val="clear" w:color="auto" w:fill="auto"/>
            <w:noWrap/>
            <w:vAlign w:val="bottom"/>
            <w:hideMark/>
          </w:tcPr>
          <w:p w14:paraId="5B42D715" w14:textId="77777777" w:rsidR="001C7E53" w:rsidRPr="00565D2F" w:rsidRDefault="001C7E53" w:rsidP="004150AB">
            <w:pPr>
              <w:pStyle w:val="TableTextCentered"/>
            </w:pPr>
            <w:r w:rsidRPr="00565D2F">
              <w:t>Y</w:t>
            </w:r>
          </w:p>
        </w:tc>
        <w:tc>
          <w:tcPr>
            <w:tcW w:w="2558" w:type="dxa"/>
            <w:tcBorders>
              <w:top w:val="nil"/>
              <w:left w:val="nil"/>
              <w:bottom w:val="nil"/>
              <w:right w:val="nil"/>
            </w:tcBorders>
            <w:shd w:val="clear" w:color="auto" w:fill="auto"/>
            <w:noWrap/>
            <w:vAlign w:val="bottom"/>
            <w:hideMark/>
          </w:tcPr>
          <w:p w14:paraId="2E4232D2" w14:textId="77777777" w:rsidR="001C7E53" w:rsidRPr="00565D2F" w:rsidRDefault="001C7E53" w:rsidP="004150AB">
            <w:pPr>
              <w:pStyle w:val="TableTextCentered"/>
            </w:pPr>
            <w:r w:rsidRPr="00565D2F">
              <w:t>Y</w:t>
            </w:r>
          </w:p>
        </w:tc>
        <w:tc>
          <w:tcPr>
            <w:tcW w:w="2488" w:type="dxa"/>
            <w:tcBorders>
              <w:top w:val="nil"/>
              <w:left w:val="nil"/>
              <w:bottom w:val="nil"/>
              <w:right w:val="nil"/>
            </w:tcBorders>
            <w:shd w:val="clear" w:color="auto" w:fill="auto"/>
            <w:noWrap/>
            <w:vAlign w:val="bottom"/>
            <w:hideMark/>
          </w:tcPr>
          <w:p w14:paraId="3CA4753C" w14:textId="77777777" w:rsidR="001C7E53" w:rsidRPr="00565D2F" w:rsidRDefault="001C7E53" w:rsidP="004150AB">
            <w:pPr>
              <w:pStyle w:val="TableTextCentered"/>
            </w:pPr>
            <w:r w:rsidRPr="00565D2F">
              <w:t>Y</w:t>
            </w:r>
          </w:p>
        </w:tc>
      </w:tr>
      <w:tr w:rsidR="001C7E53" w:rsidRPr="00565D2F" w14:paraId="4DE0618E" w14:textId="77777777" w:rsidTr="001D0062">
        <w:trPr>
          <w:trHeight w:val="283"/>
        </w:trPr>
        <w:tc>
          <w:tcPr>
            <w:tcW w:w="2069" w:type="dxa"/>
            <w:tcBorders>
              <w:top w:val="nil"/>
              <w:left w:val="nil"/>
              <w:bottom w:val="single" w:sz="4" w:space="0" w:color="auto"/>
              <w:right w:val="nil"/>
            </w:tcBorders>
            <w:shd w:val="clear" w:color="auto" w:fill="auto"/>
            <w:noWrap/>
            <w:vAlign w:val="center"/>
            <w:hideMark/>
          </w:tcPr>
          <w:p w14:paraId="02EF51D9" w14:textId="77777777" w:rsidR="001C7E53" w:rsidRPr="00565D2F" w:rsidRDefault="001C7E53" w:rsidP="00F91AE4">
            <w:pPr>
              <w:pStyle w:val="TableTextLeft"/>
            </w:pPr>
            <w:r w:rsidRPr="00565D2F">
              <w:t>Time*Location</w:t>
            </w:r>
          </w:p>
        </w:tc>
        <w:tc>
          <w:tcPr>
            <w:tcW w:w="1177" w:type="dxa"/>
            <w:tcBorders>
              <w:top w:val="nil"/>
              <w:left w:val="nil"/>
              <w:bottom w:val="single" w:sz="4" w:space="0" w:color="auto"/>
              <w:right w:val="nil"/>
            </w:tcBorders>
            <w:shd w:val="clear" w:color="auto" w:fill="auto"/>
            <w:noWrap/>
            <w:vAlign w:val="bottom"/>
            <w:hideMark/>
          </w:tcPr>
          <w:p w14:paraId="32239D97" w14:textId="77777777" w:rsidR="001C7E53" w:rsidRPr="00565D2F" w:rsidRDefault="001C7E53" w:rsidP="004150AB">
            <w:pPr>
              <w:pStyle w:val="TableTextCentered"/>
            </w:pPr>
            <w:r w:rsidRPr="00565D2F">
              <w:t>Y</w:t>
            </w:r>
          </w:p>
        </w:tc>
        <w:tc>
          <w:tcPr>
            <w:tcW w:w="2558" w:type="dxa"/>
            <w:tcBorders>
              <w:top w:val="nil"/>
              <w:left w:val="nil"/>
              <w:bottom w:val="single" w:sz="4" w:space="0" w:color="auto"/>
              <w:right w:val="nil"/>
            </w:tcBorders>
            <w:shd w:val="clear" w:color="auto" w:fill="auto"/>
            <w:noWrap/>
            <w:vAlign w:val="bottom"/>
            <w:hideMark/>
          </w:tcPr>
          <w:p w14:paraId="1B6186B2" w14:textId="77777777" w:rsidR="001C7E53" w:rsidRPr="00565D2F" w:rsidRDefault="001C7E53" w:rsidP="004150AB">
            <w:pPr>
              <w:pStyle w:val="TableTextCentered"/>
            </w:pPr>
            <w:r w:rsidRPr="00565D2F">
              <w:t>Y</w:t>
            </w:r>
          </w:p>
        </w:tc>
        <w:tc>
          <w:tcPr>
            <w:tcW w:w="2488" w:type="dxa"/>
            <w:tcBorders>
              <w:top w:val="nil"/>
              <w:left w:val="nil"/>
              <w:bottom w:val="single" w:sz="4" w:space="0" w:color="auto"/>
              <w:right w:val="nil"/>
            </w:tcBorders>
            <w:shd w:val="clear" w:color="auto" w:fill="auto"/>
            <w:noWrap/>
            <w:vAlign w:val="bottom"/>
            <w:hideMark/>
          </w:tcPr>
          <w:p w14:paraId="0779272B" w14:textId="77777777" w:rsidR="001C7E53" w:rsidRPr="00565D2F" w:rsidRDefault="001C7E53" w:rsidP="004150AB">
            <w:pPr>
              <w:pStyle w:val="TableTextCentered"/>
            </w:pPr>
            <w:r w:rsidRPr="00565D2F">
              <w:t>Y</w:t>
            </w:r>
          </w:p>
        </w:tc>
      </w:tr>
    </w:tbl>
    <w:p w14:paraId="340B629F" w14:textId="77777777" w:rsidR="001C7E53" w:rsidRDefault="001C7E53" w:rsidP="003E506A">
      <w:pPr>
        <w:pStyle w:val="ChartorTableNote"/>
        <w:jc w:val="left"/>
      </w:pPr>
      <w:r w:rsidRPr="007F1C1C">
        <w:t>Note: All regressions include a set of common controls covering market characteristics (number of workers in the market. Errors clustered at the local market level.</w:t>
      </w:r>
    </w:p>
    <w:p w14:paraId="33D34607" w14:textId="31FCCFED" w:rsidR="001C7E53" w:rsidRDefault="001C7E53" w:rsidP="003E506A">
      <w:pPr>
        <w:jc w:val="both"/>
        <w:rPr>
          <w:rFonts w:cs="Calibri"/>
          <w:color w:val="000000"/>
        </w:rPr>
      </w:pPr>
      <w:r>
        <w:rPr>
          <w:rFonts w:cs="Calibri"/>
          <w:color w:val="000000"/>
        </w:rPr>
        <w:t>To provide a sense of the macro importance of declining entry rates I do a similar calculation as for the sub</w:t>
      </w:r>
      <w:r w:rsidR="0018466E">
        <w:rPr>
          <w:rFonts w:cs="Calibri"/>
          <w:color w:val="000000"/>
        </w:rPr>
        <w:noBreakHyphen/>
      </w:r>
      <w:r>
        <w:rPr>
          <w:rFonts w:cs="Calibri"/>
          <w:color w:val="000000"/>
        </w:rPr>
        <w:t>sample regressions. On average there was around a 5 percentage point decline in the entry rate of plants and firms across the sample. Applying this to the coefficients from Columns 2 and 3 of Table 6 and using the employment</w:t>
      </w:r>
      <w:r w:rsidR="0018466E">
        <w:rPr>
          <w:rFonts w:cs="Calibri"/>
          <w:color w:val="000000"/>
        </w:rPr>
        <w:noBreakHyphen/>
      </w:r>
      <w:r>
        <w:rPr>
          <w:rFonts w:cs="Calibri"/>
          <w:color w:val="000000"/>
        </w:rPr>
        <w:t>weighted average HHI (0.1), this suggests that wages would have been around 0.25</w:t>
      </w:r>
      <w:r w:rsidR="00975BCA">
        <w:rPr>
          <w:rFonts w:cs="Calibri"/>
          <w:color w:val="000000"/>
        </w:rPr>
        <w:softHyphen/>
      </w:r>
      <w:r>
        <w:rPr>
          <w:rFonts w:cs="Calibri"/>
          <w:color w:val="000000"/>
        </w:rPr>
        <w:t>0.50 per cent higher in 2015</w:t>
      </w:r>
      <w:r w:rsidR="009A60AC">
        <w:rPr>
          <w:rFonts w:cs="Calibri"/>
          <w:color w:val="000000"/>
        </w:rPr>
        <w:t>, had entry rates not declined.</w:t>
      </w:r>
    </w:p>
    <w:p w14:paraId="4B325355" w14:textId="45B8119C" w:rsidR="001C7E53" w:rsidRPr="00DE74B8" w:rsidRDefault="001C7E53" w:rsidP="00897264">
      <w:pPr>
        <w:rPr>
          <w:rFonts w:cs="Calibri"/>
          <w:color w:val="000000"/>
        </w:rPr>
      </w:pPr>
      <w:r>
        <w:rPr>
          <w:rFonts w:cs="Calibri"/>
          <w:color w:val="000000"/>
        </w:rPr>
        <w:t xml:space="preserve">Again, the estimate should not be interpreted too precisely as it is a simple, partial equilibrium estimate. But these results do suggest that declining firm entry and dynamism had a substantial </w:t>
      </w:r>
      <w:r>
        <w:rPr>
          <w:rFonts w:cs="Calibri"/>
          <w:color w:val="000000"/>
        </w:rPr>
        <w:lastRenderedPageBreak/>
        <w:t>negative impact on workers</w:t>
      </w:r>
      <w:r w:rsidR="00E8327F">
        <w:rPr>
          <w:rFonts w:cs="Calibri"/>
          <w:color w:val="000000"/>
        </w:rPr>
        <w:t>’</w:t>
      </w:r>
      <w:r>
        <w:rPr>
          <w:rFonts w:cs="Calibri"/>
          <w:color w:val="000000"/>
        </w:rPr>
        <w:t xml:space="preserve"> wages by lowering their bargaining power and increasing the power of incumbent firms.</w:t>
      </w:r>
    </w:p>
    <w:p w14:paraId="64B3C715" w14:textId="77777777" w:rsidR="001C7E53" w:rsidRDefault="001C7E53" w:rsidP="00F91AE4">
      <w:pPr>
        <w:pStyle w:val="Heading3"/>
      </w:pPr>
      <w:r>
        <w:t>6.3. Declining union membership</w:t>
      </w:r>
    </w:p>
    <w:p w14:paraId="5FE95D59" w14:textId="20AB7092" w:rsidR="001C7E53" w:rsidRDefault="001C7E53" w:rsidP="00897264">
      <w:pPr>
        <w:rPr>
          <w:lang w:val="en-US"/>
        </w:rPr>
      </w:pPr>
      <w:r>
        <w:rPr>
          <w:lang w:val="en-US"/>
        </w:rPr>
        <w:t>Benmelech et al (202</w:t>
      </w:r>
      <w:r w:rsidR="009A60AC">
        <w:rPr>
          <w:lang w:val="en-US"/>
        </w:rPr>
        <w:t>2</w:t>
      </w:r>
      <w:r>
        <w:rPr>
          <w:lang w:val="en-US"/>
        </w:rPr>
        <w:t>) argue that declining union membership rates could account for the increased impact of concentration on wages in the US. They argue that unions provide an offset to monopsony power. With lower union membership there is less of an offset, and so concentration could be more impactful.</w:t>
      </w:r>
    </w:p>
    <w:p w14:paraId="5333AFE1" w14:textId="5969A829" w:rsidR="00B53E48" w:rsidRDefault="00B53E48" w:rsidP="00897264">
      <w:pPr>
        <w:rPr>
          <w:rFonts w:eastAsiaTheme="minorEastAsia"/>
        </w:rPr>
      </w:pPr>
      <w:r>
        <w:rPr>
          <w:rFonts w:eastAsiaTheme="minorEastAsia"/>
        </w:rPr>
        <w:t>Union membership</w:t>
      </w:r>
      <w:r w:rsidR="00334344">
        <w:rPr>
          <w:rFonts w:eastAsiaTheme="minorEastAsia"/>
        </w:rPr>
        <w:t xml:space="preserve"> rates</w:t>
      </w:r>
      <w:r>
        <w:rPr>
          <w:rFonts w:eastAsiaTheme="minorEastAsia"/>
        </w:rPr>
        <w:t xml:space="preserve"> in Australia ha</w:t>
      </w:r>
      <w:r w:rsidR="00334344">
        <w:rPr>
          <w:rFonts w:eastAsiaTheme="minorEastAsia"/>
        </w:rPr>
        <w:t>ve</w:t>
      </w:r>
      <w:r>
        <w:rPr>
          <w:rFonts w:eastAsiaTheme="minorEastAsia"/>
        </w:rPr>
        <w:t xml:space="preserve"> been declining for decades. And while</w:t>
      </w:r>
      <w:r w:rsidR="001C7E53">
        <w:rPr>
          <w:rFonts w:eastAsiaTheme="minorEastAsia"/>
        </w:rPr>
        <w:t xml:space="preserve"> Bishop and Chan (2019) found no evidence that declining union membership led to lower wage outcomes in Enterprise Bargaining agreements in Australia</w:t>
      </w:r>
      <w:r>
        <w:rPr>
          <w:rFonts w:eastAsiaTheme="minorEastAsia"/>
        </w:rPr>
        <w:t xml:space="preserve"> –</w:t>
      </w:r>
      <w:r w:rsidR="001C7E53">
        <w:rPr>
          <w:rFonts w:eastAsiaTheme="minorEastAsia"/>
        </w:rPr>
        <w:t xml:space="preserve"> as the share of agreements with union </w:t>
      </w:r>
      <w:r w:rsidR="009A60AC">
        <w:rPr>
          <w:rFonts w:eastAsiaTheme="minorEastAsia"/>
        </w:rPr>
        <w:t>involvement remained unchanged</w:t>
      </w:r>
      <w:r>
        <w:rPr>
          <w:rFonts w:eastAsiaTheme="minorEastAsia"/>
        </w:rPr>
        <w:t xml:space="preserve"> –</w:t>
      </w:r>
      <w:r w:rsidR="001C7E53">
        <w:rPr>
          <w:rFonts w:eastAsiaTheme="minorEastAsia"/>
        </w:rPr>
        <w:t xml:space="preserve"> it is still worth examining the interaction between union coverage, labour market concentration and wages</w:t>
      </w:r>
      <w:r>
        <w:rPr>
          <w:rFonts w:eastAsiaTheme="minorEastAsia"/>
        </w:rPr>
        <w:t>.</w:t>
      </w:r>
    </w:p>
    <w:p w14:paraId="54D2D98A" w14:textId="23140C97" w:rsidR="001C7E53" w:rsidRDefault="001C7E53" w:rsidP="00897264">
      <w:pPr>
        <w:rPr>
          <w:lang w:val="en-US"/>
        </w:rPr>
      </w:pPr>
      <w:r>
        <w:rPr>
          <w:rFonts w:eastAsiaTheme="minorEastAsia"/>
        </w:rPr>
        <w:t xml:space="preserve"> To do so</w:t>
      </w:r>
      <w:r>
        <w:rPr>
          <w:lang w:val="en-US"/>
        </w:rPr>
        <w:t xml:space="preserve">, I run a similar specification to the above, and to that </w:t>
      </w:r>
      <w:r w:rsidR="009A60AC">
        <w:rPr>
          <w:lang w:val="en-US"/>
        </w:rPr>
        <w:t>used in Benmelech et al (2022):</w:t>
      </w:r>
    </w:p>
    <w:p w14:paraId="37F0630B" w14:textId="77777777" w:rsidR="001C7E53" w:rsidRPr="002E594D" w:rsidRDefault="00000000" w:rsidP="00F91AE4">
      <m:oMathPara>
        <m:oMath>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γ</m:t>
          </m:r>
          <m:r>
            <m:rPr>
              <m:sty m:val="p"/>
            </m:rPr>
            <w:rPr>
              <w:rFonts w:ascii="Cambria Math" w:hAnsi="Cambria Math"/>
            </w:rPr>
            <m:t>*</m:t>
          </m:r>
          <m:sSub>
            <m:sSubPr>
              <m:ctrlPr>
                <w:rPr>
                  <w:rFonts w:ascii="Cambria Math" w:hAnsi="Cambria Math"/>
                </w:rPr>
              </m:ctrlPr>
            </m:sSubPr>
            <m:e>
              <m:r>
                <w:rPr>
                  <w:rFonts w:ascii="Cambria Math" w:hAnsi="Cambria Math"/>
                </w:rPr>
                <m:t>Prod</m:t>
              </m:r>
            </m:e>
            <m:sub>
              <m:r>
                <w:rPr>
                  <w:rFonts w:ascii="Cambria Math" w:hAnsi="Cambria Math"/>
                </w:rPr>
                <m:t>i</m:t>
              </m:r>
              <m:r>
                <m:rPr>
                  <m:sty m:val="p"/>
                </m:rPr>
                <w:rPr>
                  <w:rFonts w:ascii="Cambria Math" w:hAnsi="Cambria Math"/>
                </w:rPr>
                <m:t>,</m:t>
              </m:r>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β</m:t>
          </m:r>
          <m:sSub>
            <m:sSubPr>
              <m:ctrlPr>
                <w:rPr>
                  <w:rFonts w:ascii="Cambria Math" w:hAnsi="Cambria Math"/>
                </w:rPr>
              </m:ctrlPr>
            </m:sSubPr>
            <m:e>
              <m:r>
                <m:rPr>
                  <m:sty m:val="p"/>
                </m:rPr>
                <w:rPr>
                  <w:rFonts w:ascii="Cambria Math" w:hAnsi="Cambria Math"/>
                </w:rPr>
                <m:t>*</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m:t>
              </m:r>
              <m:r>
                <w:rPr>
                  <w:rFonts w:ascii="Cambria Math" w:hAnsi="Cambria Math"/>
                </w:rPr>
                <m:t>Concen</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Union share</m:t>
              </m:r>
            </m:e>
            <m:sub>
              <m:r>
                <w:rPr>
                  <w:rFonts w:ascii="Cambria Math" w:hAnsi="Cambria Math"/>
                </w:rPr>
                <m:t>div,t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r>
                <m:rPr>
                  <m:sty m:val="p"/>
                </m:rPr>
                <w:rPr>
                  <w:rFonts w:ascii="Cambria Math" w:hAnsi="Cambria Math"/>
                </w:rPr>
                <m:t>,</m:t>
              </m:r>
              <m:r>
                <w:rPr>
                  <w:rFonts w:ascii="Cambria Math" w:hAnsi="Cambria Math"/>
                </w:rPr>
                <m:t>t</m:t>
              </m:r>
            </m:sub>
          </m:sSub>
        </m:oMath>
      </m:oMathPara>
    </w:p>
    <w:p w14:paraId="1C1463A8" w14:textId="2A088E30" w:rsidR="001C7E53" w:rsidRDefault="00000000" w:rsidP="00897264">
      <w:pPr>
        <w:rPr>
          <w:rFonts w:eastAsiaTheme="minorEastAsia"/>
        </w:rPr>
      </w:pPr>
      <m:oMath>
        <m:sSub>
          <m:sSubPr>
            <m:ctrlPr>
              <w:rPr>
                <w:rFonts w:ascii="Cambria Math" w:hAnsi="Cambria Math"/>
              </w:rPr>
            </m:ctrlPr>
          </m:sSubPr>
          <m:e>
            <m:r>
              <w:rPr>
                <w:rFonts w:ascii="Cambria Math" w:hAnsi="Cambria Math"/>
              </w:rPr>
              <m:t>Union share</m:t>
            </m:r>
          </m:e>
          <m:sub>
            <m:r>
              <w:rPr>
                <w:rFonts w:ascii="Cambria Math" w:hAnsi="Cambria Math"/>
              </w:rPr>
              <m:t>div,t</m:t>
            </m:r>
          </m:sub>
        </m:sSub>
      </m:oMath>
      <w:r w:rsidR="001C7E53">
        <w:rPr>
          <w:rFonts w:eastAsiaTheme="minorEastAsia"/>
        </w:rPr>
        <w:t xml:space="preserve"> is the share of employees in each ANZSIC division that are part of a union. This is taken from the ABS Employee Earning, Benefit and Trade Union Membership release for 2006</w:t>
      </w:r>
      <w:r w:rsidR="00631104">
        <w:rPr>
          <w:rFonts w:ascii="Courier New" w:eastAsiaTheme="minorEastAsia" w:hAnsi="Courier New" w:cs="Courier New"/>
        </w:rPr>
        <w:t>-</w:t>
      </w:r>
      <w:r w:rsidR="001C7E53">
        <w:rPr>
          <w:rFonts w:eastAsiaTheme="minorEastAsia"/>
        </w:rPr>
        <w:t>2013. Unfortunately, more granular industry</w:t>
      </w:r>
      <w:r w:rsidR="0018466E">
        <w:rPr>
          <w:rFonts w:eastAsiaTheme="minorEastAsia"/>
        </w:rPr>
        <w:noBreakHyphen/>
      </w:r>
      <w:r w:rsidR="001C7E53">
        <w:rPr>
          <w:rFonts w:eastAsiaTheme="minorEastAsia"/>
        </w:rPr>
        <w:t>level data were not available. Again, rates were demeaned to focus on changes in union membership, rather than the levels.</w:t>
      </w:r>
    </w:p>
    <w:p w14:paraId="553FE285" w14:textId="5676EDCE" w:rsidR="001C7E53" w:rsidRDefault="001C7E53" w:rsidP="00897264">
      <w:pPr>
        <w:rPr>
          <w:rFonts w:eastAsiaTheme="minorEastAsia"/>
        </w:rPr>
      </w:pPr>
      <w:r>
        <w:rPr>
          <w:rFonts w:eastAsiaTheme="minorEastAsia"/>
        </w:rPr>
        <w:t xml:space="preserve">Table </w:t>
      </w:r>
      <w:r w:rsidR="00564C76">
        <w:rPr>
          <w:rFonts w:eastAsiaTheme="minorEastAsia"/>
        </w:rPr>
        <w:t>8</w:t>
      </w:r>
      <w:r>
        <w:rPr>
          <w:rFonts w:eastAsiaTheme="minorEastAsia"/>
        </w:rPr>
        <w:t xml:space="preserve"> shows the results. There is a significant positive coefficient on </w:t>
      </w:r>
      <m:oMath>
        <m:r>
          <w:rPr>
            <w:rFonts w:ascii="Cambria Math" w:hAnsi="Cambria Math"/>
          </w:rPr>
          <m:t>δ</m:t>
        </m:r>
      </m:oMath>
      <w:r>
        <w:rPr>
          <w:rFonts w:eastAsiaTheme="minorEastAsia"/>
        </w:rPr>
        <w:t>, indicating that the impact of market concentration on wages is smaller (in absolute terms) when union membership rates are higher. This does suggest that declining unionisation rates may explain part of the increased impact of concentration on wages. However</w:t>
      </w:r>
      <w:r w:rsidR="005103E7">
        <w:rPr>
          <w:rFonts w:eastAsiaTheme="minorEastAsia"/>
        </w:rPr>
        <w:t xml:space="preserve">, declining </w:t>
      </w:r>
      <w:r>
        <w:rPr>
          <w:rFonts w:eastAsiaTheme="minorEastAsia"/>
        </w:rPr>
        <w:t xml:space="preserve">entry rates </w:t>
      </w:r>
      <w:r w:rsidR="005103E7">
        <w:rPr>
          <w:rFonts w:eastAsiaTheme="minorEastAsia"/>
        </w:rPr>
        <w:t>appear to be the more important factor, particularly once we try to account for both entry and union coverage</w:t>
      </w:r>
      <w:r w:rsidR="009A60AC">
        <w:rPr>
          <w:rFonts w:eastAsiaTheme="minorEastAsia"/>
        </w:rPr>
        <w:t xml:space="preserve"> (Column 3).</w:t>
      </w:r>
    </w:p>
    <w:p w14:paraId="67C1D7F5" w14:textId="77777777" w:rsidR="003712D4" w:rsidRDefault="001C7E53" w:rsidP="00897264">
      <w:pPr>
        <w:rPr>
          <w:rFonts w:eastAsiaTheme="minorEastAsia"/>
        </w:rPr>
      </w:pPr>
      <w:r>
        <w:rPr>
          <w:rFonts w:eastAsiaTheme="minorEastAsia"/>
        </w:rPr>
        <w:t>More generally, it is important to keep in mind that these models only capture one mechanism through which union coverage can affect wages. They do not account for any other effects changes in union membership rates could have on the economy, in terms of productivity, employment or output, and do not speak more broadly to the net benefits or costs of lower union membership. They simply indicate that, in the presence of monopsony power stemming from concentrated labour markets, collective worker bargaining can play an offset, and that this offset may have declined over time.</w:t>
      </w:r>
    </w:p>
    <w:p w14:paraId="0EE1F4E4" w14:textId="459E5F7B" w:rsidR="00871B7E" w:rsidRDefault="00871B7E" w:rsidP="00897264">
      <w:pPr>
        <w:rPr>
          <w:rFonts w:eastAsiaTheme="minorEastAsia"/>
        </w:rPr>
      </w:pPr>
      <w:r>
        <w:rPr>
          <w:rFonts w:eastAsiaTheme="minorEastAsia"/>
        </w:rPr>
        <w:br w:type="page"/>
      </w:r>
    </w:p>
    <w:p w14:paraId="606421B8" w14:textId="08052F47" w:rsidR="005659D5" w:rsidRDefault="005659D5" w:rsidP="00F91AE4">
      <w:pPr>
        <w:pStyle w:val="TableMainHeading"/>
        <w:rPr>
          <w:rFonts w:eastAsiaTheme="minorEastAsia"/>
        </w:rPr>
      </w:pPr>
      <w:r w:rsidRPr="00A77FFE">
        <w:lastRenderedPageBreak/>
        <w:t xml:space="preserve">Table </w:t>
      </w:r>
      <w:r w:rsidR="00564C76">
        <w:t>8</w:t>
      </w:r>
      <w:r w:rsidRPr="00A77FFE">
        <w:t>: Union membership, concentration and wages specification</w:t>
      </w:r>
    </w:p>
    <w:tbl>
      <w:tblPr>
        <w:tblW w:w="5000" w:type="pct"/>
        <w:tblLook w:val="04A0" w:firstRow="1" w:lastRow="0" w:firstColumn="1" w:lastColumn="0" w:noHBand="0" w:noVBand="1"/>
      </w:tblPr>
      <w:tblGrid>
        <w:gridCol w:w="2711"/>
        <w:gridCol w:w="1627"/>
        <w:gridCol w:w="2366"/>
        <w:gridCol w:w="2366"/>
      </w:tblGrid>
      <w:tr w:rsidR="001C7E53" w:rsidRPr="00A77FFE" w14:paraId="172991DF" w14:textId="77777777" w:rsidTr="001D0062">
        <w:trPr>
          <w:trHeight w:val="283"/>
        </w:trPr>
        <w:tc>
          <w:tcPr>
            <w:tcW w:w="2780" w:type="dxa"/>
            <w:tcBorders>
              <w:top w:val="nil"/>
              <w:left w:val="nil"/>
              <w:bottom w:val="single" w:sz="8" w:space="0" w:color="auto"/>
              <w:right w:val="nil"/>
            </w:tcBorders>
            <w:shd w:val="clear" w:color="auto" w:fill="auto"/>
            <w:noWrap/>
            <w:vAlign w:val="center"/>
            <w:hideMark/>
          </w:tcPr>
          <w:p w14:paraId="18C43913" w14:textId="77777777" w:rsidR="001C7E53" w:rsidRPr="00A77FFE" w:rsidRDefault="001C7E53" w:rsidP="00F91AE4">
            <w:pPr>
              <w:spacing w:after="0"/>
              <w:rPr>
                <w:rFonts w:cs="Calibri"/>
                <w:color w:val="000000"/>
                <w:sz w:val="20"/>
              </w:rPr>
            </w:pPr>
            <w:r w:rsidRPr="00A77FFE">
              <w:rPr>
                <w:rFonts w:cs="Calibri"/>
                <w:color w:val="000000"/>
                <w:sz w:val="20"/>
              </w:rPr>
              <w:t> </w:t>
            </w:r>
          </w:p>
        </w:tc>
        <w:tc>
          <w:tcPr>
            <w:tcW w:w="1666" w:type="dxa"/>
            <w:tcBorders>
              <w:top w:val="nil"/>
              <w:left w:val="nil"/>
              <w:bottom w:val="single" w:sz="8" w:space="0" w:color="auto"/>
              <w:right w:val="nil"/>
            </w:tcBorders>
            <w:shd w:val="clear" w:color="auto" w:fill="auto"/>
            <w:noWrap/>
            <w:vAlign w:val="center"/>
            <w:hideMark/>
          </w:tcPr>
          <w:p w14:paraId="3ACE5BC1" w14:textId="77777777" w:rsidR="001C7E53" w:rsidRPr="00A77FFE" w:rsidRDefault="001C7E53" w:rsidP="004150AB">
            <w:pPr>
              <w:pStyle w:val="TableColumnHeadingCentred"/>
            </w:pPr>
            <w:r w:rsidRPr="00A77FFE">
              <w:t>Baseline</w:t>
            </w:r>
          </w:p>
        </w:tc>
        <w:tc>
          <w:tcPr>
            <w:tcW w:w="2426" w:type="dxa"/>
            <w:tcBorders>
              <w:top w:val="nil"/>
              <w:left w:val="nil"/>
              <w:bottom w:val="single" w:sz="8" w:space="0" w:color="auto"/>
              <w:right w:val="nil"/>
            </w:tcBorders>
            <w:shd w:val="clear" w:color="auto" w:fill="auto"/>
            <w:vAlign w:val="center"/>
            <w:hideMark/>
          </w:tcPr>
          <w:p w14:paraId="19A2CA64" w14:textId="77777777" w:rsidR="001C7E53" w:rsidRPr="00A77FFE" w:rsidRDefault="001C7E53" w:rsidP="004150AB">
            <w:pPr>
              <w:pStyle w:val="TableColumnHeadingCentred"/>
            </w:pPr>
            <w:r w:rsidRPr="00A77FFE">
              <w:t>Union</w:t>
            </w:r>
          </w:p>
        </w:tc>
        <w:tc>
          <w:tcPr>
            <w:tcW w:w="2426" w:type="dxa"/>
            <w:tcBorders>
              <w:top w:val="nil"/>
              <w:left w:val="nil"/>
              <w:bottom w:val="single" w:sz="8" w:space="0" w:color="auto"/>
              <w:right w:val="nil"/>
            </w:tcBorders>
            <w:shd w:val="clear" w:color="auto" w:fill="auto"/>
            <w:vAlign w:val="center"/>
            <w:hideMark/>
          </w:tcPr>
          <w:p w14:paraId="153B188D" w14:textId="77777777" w:rsidR="001C7E53" w:rsidRPr="00A77FFE" w:rsidRDefault="001C7E53" w:rsidP="004150AB">
            <w:pPr>
              <w:pStyle w:val="TableColumnHeadingCentred"/>
            </w:pPr>
            <w:r>
              <w:t>Union and Entry</w:t>
            </w:r>
          </w:p>
        </w:tc>
      </w:tr>
      <w:tr w:rsidR="001C7E53" w:rsidRPr="00A77FFE" w14:paraId="6A60B343" w14:textId="77777777" w:rsidTr="001D0062">
        <w:trPr>
          <w:trHeight w:val="283"/>
        </w:trPr>
        <w:tc>
          <w:tcPr>
            <w:tcW w:w="2780" w:type="dxa"/>
            <w:tcBorders>
              <w:top w:val="nil"/>
              <w:left w:val="nil"/>
              <w:bottom w:val="nil"/>
              <w:right w:val="nil"/>
            </w:tcBorders>
            <w:shd w:val="clear" w:color="auto" w:fill="auto"/>
            <w:noWrap/>
            <w:vAlign w:val="bottom"/>
            <w:hideMark/>
          </w:tcPr>
          <w:p w14:paraId="30CDD7C7"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bottom"/>
            <w:hideMark/>
          </w:tcPr>
          <w:p w14:paraId="63DBB6DF"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7F037115" w14:textId="77777777" w:rsidR="001C7E53" w:rsidRPr="00A77FFE" w:rsidRDefault="001C7E53" w:rsidP="004150AB">
            <w:pPr>
              <w:pStyle w:val="TableTextCentered"/>
              <w:rPr>
                <w:rFonts w:ascii="Arial" w:hAnsi="Arial" w:cs="Arial"/>
              </w:rPr>
            </w:pPr>
            <w:r w:rsidRPr="00A77FFE">
              <w:rPr>
                <w:rFonts w:ascii="Arial" w:hAnsi="Arial" w:cs="Arial"/>
              </w:rPr>
              <w:t> </w:t>
            </w:r>
          </w:p>
        </w:tc>
        <w:tc>
          <w:tcPr>
            <w:tcW w:w="2426" w:type="dxa"/>
            <w:tcBorders>
              <w:top w:val="nil"/>
              <w:left w:val="nil"/>
              <w:bottom w:val="nil"/>
              <w:right w:val="nil"/>
            </w:tcBorders>
            <w:shd w:val="clear" w:color="auto" w:fill="auto"/>
            <w:noWrap/>
            <w:vAlign w:val="bottom"/>
            <w:hideMark/>
          </w:tcPr>
          <w:p w14:paraId="42163E4C" w14:textId="77777777" w:rsidR="001C7E53" w:rsidRPr="00A77FFE" w:rsidRDefault="001C7E53" w:rsidP="004150AB">
            <w:pPr>
              <w:pStyle w:val="TableTextCentered"/>
              <w:rPr>
                <w:rFonts w:ascii="Arial" w:hAnsi="Arial" w:cs="Arial"/>
              </w:rPr>
            </w:pPr>
          </w:p>
        </w:tc>
      </w:tr>
      <w:tr w:rsidR="001C7E53" w:rsidRPr="00A77FFE" w14:paraId="5D5AE6AD" w14:textId="77777777" w:rsidTr="001D0062">
        <w:trPr>
          <w:trHeight w:val="283"/>
        </w:trPr>
        <w:tc>
          <w:tcPr>
            <w:tcW w:w="2780" w:type="dxa"/>
            <w:tcBorders>
              <w:top w:val="nil"/>
              <w:left w:val="nil"/>
              <w:bottom w:val="nil"/>
              <w:right w:val="nil"/>
            </w:tcBorders>
            <w:shd w:val="clear" w:color="auto" w:fill="auto"/>
            <w:noWrap/>
            <w:vAlign w:val="center"/>
            <w:hideMark/>
          </w:tcPr>
          <w:p w14:paraId="1ACA0063" w14:textId="77777777" w:rsidR="001C7E53" w:rsidRPr="00A77FFE" w:rsidRDefault="001C7E53" w:rsidP="00F91AE4">
            <w:pPr>
              <w:pStyle w:val="TableTextLeft"/>
            </w:pPr>
            <w:r w:rsidRPr="00A77FFE">
              <w:t>Concentration</w:t>
            </w:r>
          </w:p>
        </w:tc>
        <w:tc>
          <w:tcPr>
            <w:tcW w:w="1666" w:type="dxa"/>
            <w:tcBorders>
              <w:top w:val="nil"/>
              <w:left w:val="nil"/>
              <w:bottom w:val="nil"/>
              <w:right w:val="nil"/>
            </w:tcBorders>
            <w:shd w:val="clear" w:color="auto" w:fill="auto"/>
            <w:noWrap/>
            <w:vAlign w:val="center"/>
            <w:hideMark/>
          </w:tcPr>
          <w:p w14:paraId="527D90C8" w14:textId="5852C570" w:rsidR="001C7E53" w:rsidRPr="00A77FFE" w:rsidRDefault="0018466E" w:rsidP="004150AB">
            <w:pPr>
              <w:pStyle w:val="TableTextCentered"/>
              <w:rPr>
                <w:rFonts w:cs="Calibri"/>
              </w:rPr>
            </w:pPr>
            <w:r>
              <w:rPr>
                <w:rFonts w:cs="Calibri"/>
              </w:rPr>
              <w:noBreakHyphen/>
            </w:r>
            <w:r w:rsidR="001C7E53" w:rsidRPr="00A77FFE">
              <w:rPr>
                <w:rFonts w:cs="Calibri"/>
              </w:rPr>
              <w:t>0.133***</w:t>
            </w:r>
          </w:p>
        </w:tc>
        <w:tc>
          <w:tcPr>
            <w:tcW w:w="2426" w:type="dxa"/>
            <w:tcBorders>
              <w:top w:val="nil"/>
              <w:left w:val="nil"/>
              <w:bottom w:val="nil"/>
              <w:right w:val="nil"/>
            </w:tcBorders>
            <w:shd w:val="clear" w:color="auto" w:fill="auto"/>
            <w:noWrap/>
            <w:vAlign w:val="center"/>
            <w:hideMark/>
          </w:tcPr>
          <w:p w14:paraId="3628390D" w14:textId="4EA8A250" w:rsidR="001C7E53" w:rsidRPr="00A77FFE" w:rsidRDefault="0018466E" w:rsidP="004150AB">
            <w:pPr>
              <w:pStyle w:val="TableTextCentered"/>
              <w:rPr>
                <w:rFonts w:cs="Calibri"/>
              </w:rPr>
            </w:pPr>
            <w:r>
              <w:rPr>
                <w:rFonts w:cs="Calibri"/>
              </w:rPr>
              <w:noBreakHyphen/>
            </w:r>
            <w:r w:rsidR="001C7E53" w:rsidRPr="00A77FFE">
              <w:rPr>
                <w:rFonts w:cs="Calibri"/>
              </w:rPr>
              <w:t>0.144***</w:t>
            </w:r>
          </w:p>
        </w:tc>
        <w:tc>
          <w:tcPr>
            <w:tcW w:w="2426" w:type="dxa"/>
            <w:tcBorders>
              <w:top w:val="nil"/>
              <w:left w:val="nil"/>
              <w:bottom w:val="nil"/>
              <w:right w:val="nil"/>
            </w:tcBorders>
            <w:shd w:val="clear" w:color="auto" w:fill="auto"/>
            <w:noWrap/>
            <w:vAlign w:val="center"/>
            <w:hideMark/>
          </w:tcPr>
          <w:p w14:paraId="40216CE2" w14:textId="42B562B2" w:rsidR="001C7E53" w:rsidRPr="00A77FFE" w:rsidRDefault="0018466E" w:rsidP="004150AB">
            <w:pPr>
              <w:pStyle w:val="TableTextCentered"/>
              <w:rPr>
                <w:rFonts w:cs="Calibri"/>
              </w:rPr>
            </w:pPr>
            <w:r>
              <w:rPr>
                <w:rFonts w:cs="Calibri"/>
              </w:rPr>
              <w:noBreakHyphen/>
            </w:r>
            <w:r w:rsidR="001C7E53" w:rsidRPr="00A77FFE">
              <w:rPr>
                <w:rFonts w:cs="Calibri"/>
              </w:rPr>
              <w:t>0.127***</w:t>
            </w:r>
          </w:p>
        </w:tc>
      </w:tr>
      <w:tr w:rsidR="001C7E53" w:rsidRPr="00A77FFE" w14:paraId="0940FCFB" w14:textId="77777777" w:rsidTr="001D0062">
        <w:trPr>
          <w:trHeight w:val="283"/>
        </w:trPr>
        <w:tc>
          <w:tcPr>
            <w:tcW w:w="2780" w:type="dxa"/>
            <w:tcBorders>
              <w:top w:val="nil"/>
              <w:left w:val="nil"/>
              <w:bottom w:val="nil"/>
              <w:right w:val="nil"/>
            </w:tcBorders>
            <w:shd w:val="clear" w:color="auto" w:fill="auto"/>
            <w:noWrap/>
            <w:vAlign w:val="bottom"/>
            <w:hideMark/>
          </w:tcPr>
          <w:p w14:paraId="03506D1E"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center"/>
            <w:hideMark/>
          </w:tcPr>
          <w:p w14:paraId="3F76CB73" w14:textId="77777777" w:rsidR="001C7E53" w:rsidRPr="00A77FFE" w:rsidRDefault="001C7E53" w:rsidP="004150AB">
            <w:pPr>
              <w:pStyle w:val="TableTextCentered"/>
              <w:rPr>
                <w:rFonts w:cs="Calibri"/>
              </w:rPr>
            </w:pPr>
            <w:r w:rsidRPr="00A77FFE">
              <w:rPr>
                <w:rFonts w:cs="Calibri"/>
              </w:rPr>
              <w:t>(0.016)</w:t>
            </w:r>
          </w:p>
        </w:tc>
        <w:tc>
          <w:tcPr>
            <w:tcW w:w="2426" w:type="dxa"/>
            <w:tcBorders>
              <w:top w:val="nil"/>
              <w:left w:val="nil"/>
              <w:bottom w:val="nil"/>
              <w:right w:val="nil"/>
            </w:tcBorders>
            <w:shd w:val="clear" w:color="auto" w:fill="auto"/>
            <w:noWrap/>
            <w:vAlign w:val="center"/>
            <w:hideMark/>
          </w:tcPr>
          <w:p w14:paraId="4B67D36B" w14:textId="77777777" w:rsidR="001C7E53" w:rsidRPr="00A77FFE" w:rsidRDefault="001C7E53" w:rsidP="004150AB">
            <w:pPr>
              <w:pStyle w:val="TableTextCentered"/>
              <w:rPr>
                <w:rFonts w:cs="Calibri"/>
              </w:rPr>
            </w:pPr>
            <w:r w:rsidRPr="00A77FFE">
              <w:rPr>
                <w:rFonts w:cs="Calibri"/>
              </w:rPr>
              <w:t>(0.016)</w:t>
            </w:r>
          </w:p>
        </w:tc>
        <w:tc>
          <w:tcPr>
            <w:tcW w:w="2426" w:type="dxa"/>
            <w:tcBorders>
              <w:top w:val="nil"/>
              <w:left w:val="nil"/>
              <w:bottom w:val="nil"/>
              <w:right w:val="nil"/>
            </w:tcBorders>
            <w:shd w:val="clear" w:color="auto" w:fill="auto"/>
            <w:noWrap/>
            <w:vAlign w:val="center"/>
            <w:hideMark/>
          </w:tcPr>
          <w:p w14:paraId="69269C24" w14:textId="77777777" w:rsidR="001C7E53" w:rsidRPr="00A77FFE" w:rsidRDefault="001C7E53" w:rsidP="004150AB">
            <w:pPr>
              <w:pStyle w:val="TableTextCentered"/>
              <w:rPr>
                <w:rFonts w:cs="Calibri"/>
              </w:rPr>
            </w:pPr>
            <w:r w:rsidRPr="00A77FFE">
              <w:rPr>
                <w:rFonts w:cs="Calibri"/>
              </w:rPr>
              <w:t>(0.018)</w:t>
            </w:r>
          </w:p>
        </w:tc>
      </w:tr>
      <w:tr w:rsidR="001C7E53" w:rsidRPr="00A77FFE" w14:paraId="19F90105" w14:textId="77777777" w:rsidTr="001D0062">
        <w:trPr>
          <w:trHeight w:val="283"/>
        </w:trPr>
        <w:tc>
          <w:tcPr>
            <w:tcW w:w="2780" w:type="dxa"/>
            <w:tcBorders>
              <w:top w:val="nil"/>
              <w:left w:val="nil"/>
              <w:bottom w:val="nil"/>
              <w:right w:val="nil"/>
            </w:tcBorders>
            <w:shd w:val="clear" w:color="auto" w:fill="auto"/>
            <w:noWrap/>
            <w:vAlign w:val="bottom"/>
            <w:hideMark/>
          </w:tcPr>
          <w:p w14:paraId="1D35CBE1"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center"/>
            <w:hideMark/>
          </w:tcPr>
          <w:p w14:paraId="33DB2E09"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7A81EB0E"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6523657B" w14:textId="77777777" w:rsidR="001C7E53" w:rsidRPr="00A77FFE" w:rsidRDefault="001C7E53" w:rsidP="004150AB">
            <w:pPr>
              <w:pStyle w:val="TableTextCentered"/>
            </w:pPr>
          </w:p>
        </w:tc>
      </w:tr>
      <w:tr w:rsidR="001C7E53" w:rsidRPr="00A77FFE" w14:paraId="28D74CEB" w14:textId="77777777" w:rsidTr="001D0062">
        <w:trPr>
          <w:trHeight w:val="283"/>
        </w:trPr>
        <w:tc>
          <w:tcPr>
            <w:tcW w:w="2780" w:type="dxa"/>
            <w:vMerge w:val="restart"/>
            <w:tcBorders>
              <w:top w:val="nil"/>
              <w:left w:val="nil"/>
              <w:bottom w:val="nil"/>
              <w:right w:val="nil"/>
            </w:tcBorders>
            <w:shd w:val="clear" w:color="auto" w:fill="auto"/>
            <w:vAlign w:val="center"/>
            <w:hideMark/>
          </w:tcPr>
          <w:p w14:paraId="00A8CE6C" w14:textId="77777777" w:rsidR="001C7E53" w:rsidRPr="00A77FFE" w:rsidRDefault="001C7E53" w:rsidP="00F91AE4">
            <w:pPr>
              <w:pStyle w:val="TableTextLeft"/>
            </w:pPr>
            <w:r w:rsidRPr="00A77FFE">
              <w:t>Concentration * Entry Rate</w:t>
            </w:r>
          </w:p>
        </w:tc>
        <w:tc>
          <w:tcPr>
            <w:tcW w:w="1666" w:type="dxa"/>
            <w:tcBorders>
              <w:top w:val="nil"/>
              <w:left w:val="nil"/>
              <w:bottom w:val="nil"/>
              <w:right w:val="nil"/>
            </w:tcBorders>
            <w:shd w:val="clear" w:color="auto" w:fill="auto"/>
            <w:noWrap/>
            <w:vAlign w:val="bottom"/>
            <w:hideMark/>
          </w:tcPr>
          <w:p w14:paraId="6703C226" w14:textId="77777777" w:rsidR="001C7E53" w:rsidRPr="00A77FFE" w:rsidRDefault="001C7E53" w:rsidP="004150AB">
            <w:pPr>
              <w:pStyle w:val="TableTextCentered"/>
              <w:rPr>
                <w:rFonts w:cs="Calibri"/>
              </w:rPr>
            </w:pPr>
          </w:p>
        </w:tc>
        <w:tc>
          <w:tcPr>
            <w:tcW w:w="2426" w:type="dxa"/>
            <w:tcBorders>
              <w:top w:val="nil"/>
              <w:left w:val="nil"/>
              <w:bottom w:val="nil"/>
              <w:right w:val="nil"/>
            </w:tcBorders>
            <w:shd w:val="clear" w:color="auto" w:fill="auto"/>
            <w:noWrap/>
            <w:vAlign w:val="center"/>
            <w:hideMark/>
          </w:tcPr>
          <w:p w14:paraId="163C1F7F"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1B911B76" w14:textId="77777777" w:rsidR="001C7E53" w:rsidRPr="00A77FFE" w:rsidRDefault="001C7E53" w:rsidP="004150AB">
            <w:pPr>
              <w:pStyle w:val="TableTextCentered"/>
              <w:rPr>
                <w:rFonts w:cs="Calibri"/>
              </w:rPr>
            </w:pPr>
            <w:r w:rsidRPr="00A77FFE">
              <w:rPr>
                <w:rFonts w:cs="Calibri"/>
              </w:rPr>
              <w:t>0.939***</w:t>
            </w:r>
          </w:p>
        </w:tc>
      </w:tr>
      <w:tr w:rsidR="001C7E53" w:rsidRPr="00A77FFE" w14:paraId="29A1710C" w14:textId="77777777" w:rsidTr="001D0062">
        <w:trPr>
          <w:trHeight w:val="283"/>
        </w:trPr>
        <w:tc>
          <w:tcPr>
            <w:tcW w:w="2780" w:type="dxa"/>
            <w:vMerge/>
            <w:tcBorders>
              <w:top w:val="nil"/>
              <w:left w:val="nil"/>
              <w:bottom w:val="nil"/>
              <w:right w:val="nil"/>
            </w:tcBorders>
            <w:vAlign w:val="center"/>
            <w:hideMark/>
          </w:tcPr>
          <w:p w14:paraId="66AE9F0C"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bottom"/>
            <w:hideMark/>
          </w:tcPr>
          <w:p w14:paraId="54187ABB" w14:textId="77777777" w:rsidR="001C7E53" w:rsidRPr="00A77FFE" w:rsidRDefault="001C7E53" w:rsidP="004150AB">
            <w:pPr>
              <w:pStyle w:val="TableTextCentered"/>
              <w:rPr>
                <w:rFonts w:cs="Calibri"/>
              </w:rPr>
            </w:pPr>
          </w:p>
        </w:tc>
        <w:tc>
          <w:tcPr>
            <w:tcW w:w="2426" w:type="dxa"/>
            <w:tcBorders>
              <w:top w:val="nil"/>
              <w:left w:val="nil"/>
              <w:bottom w:val="nil"/>
              <w:right w:val="nil"/>
            </w:tcBorders>
            <w:shd w:val="clear" w:color="auto" w:fill="auto"/>
            <w:noWrap/>
            <w:vAlign w:val="center"/>
            <w:hideMark/>
          </w:tcPr>
          <w:p w14:paraId="4A293CF0"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2B139755" w14:textId="77777777" w:rsidR="001C7E53" w:rsidRPr="00A77FFE" w:rsidRDefault="001C7E53" w:rsidP="004150AB">
            <w:pPr>
              <w:pStyle w:val="TableTextCentered"/>
              <w:rPr>
                <w:rFonts w:cs="Calibri"/>
              </w:rPr>
            </w:pPr>
            <w:r w:rsidRPr="00A77FFE">
              <w:rPr>
                <w:rFonts w:cs="Calibri"/>
              </w:rPr>
              <w:t>(0.254)</w:t>
            </w:r>
          </w:p>
        </w:tc>
      </w:tr>
      <w:tr w:rsidR="001C7E53" w:rsidRPr="00A77FFE" w14:paraId="6ECD0230" w14:textId="77777777" w:rsidTr="001D0062">
        <w:trPr>
          <w:trHeight w:val="283"/>
        </w:trPr>
        <w:tc>
          <w:tcPr>
            <w:tcW w:w="2780" w:type="dxa"/>
            <w:tcBorders>
              <w:top w:val="nil"/>
              <w:left w:val="nil"/>
              <w:bottom w:val="nil"/>
              <w:right w:val="nil"/>
            </w:tcBorders>
            <w:shd w:val="clear" w:color="auto" w:fill="auto"/>
            <w:vAlign w:val="center"/>
            <w:hideMark/>
          </w:tcPr>
          <w:p w14:paraId="317A92AE"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bottom"/>
            <w:hideMark/>
          </w:tcPr>
          <w:p w14:paraId="4659F554"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0425625F" w14:textId="77777777" w:rsidR="001C7E53" w:rsidRPr="00A77FFE" w:rsidRDefault="001C7E53" w:rsidP="004150AB">
            <w:pPr>
              <w:pStyle w:val="TableTextCentered"/>
            </w:pPr>
          </w:p>
        </w:tc>
        <w:tc>
          <w:tcPr>
            <w:tcW w:w="2426" w:type="dxa"/>
            <w:tcBorders>
              <w:top w:val="nil"/>
              <w:left w:val="nil"/>
              <w:bottom w:val="nil"/>
              <w:right w:val="nil"/>
            </w:tcBorders>
            <w:shd w:val="clear" w:color="auto" w:fill="auto"/>
            <w:noWrap/>
            <w:vAlign w:val="center"/>
            <w:hideMark/>
          </w:tcPr>
          <w:p w14:paraId="293B9B99" w14:textId="77777777" w:rsidR="001C7E53" w:rsidRPr="00A77FFE" w:rsidRDefault="001C7E53" w:rsidP="004150AB">
            <w:pPr>
              <w:pStyle w:val="TableTextCentered"/>
            </w:pPr>
          </w:p>
        </w:tc>
      </w:tr>
      <w:tr w:rsidR="001C7E53" w:rsidRPr="00A77FFE" w14:paraId="5B3E7640" w14:textId="77777777" w:rsidTr="001D0062">
        <w:trPr>
          <w:trHeight w:val="283"/>
        </w:trPr>
        <w:tc>
          <w:tcPr>
            <w:tcW w:w="2780" w:type="dxa"/>
            <w:vMerge w:val="restart"/>
            <w:tcBorders>
              <w:top w:val="nil"/>
              <w:left w:val="nil"/>
              <w:bottom w:val="nil"/>
              <w:right w:val="nil"/>
            </w:tcBorders>
            <w:shd w:val="clear" w:color="auto" w:fill="auto"/>
            <w:vAlign w:val="center"/>
            <w:hideMark/>
          </w:tcPr>
          <w:p w14:paraId="49D9E1D3" w14:textId="77777777" w:rsidR="001C7E53" w:rsidRPr="00A77FFE" w:rsidRDefault="001C7E53" w:rsidP="00F91AE4">
            <w:pPr>
              <w:pStyle w:val="TableTextLeft"/>
            </w:pPr>
            <w:r w:rsidRPr="00A77FFE">
              <w:t>Concentration * Union</w:t>
            </w:r>
          </w:p>
        </w:tc>
        <w:tc>
          <w:tcPr>
            <w:tcW w:w="1666" w:type="dxa"/>
            <w:tcBorders>
              <w:top w:val="nil"/>
              <w:left w:val="nil"/>
              <w:bottom w:val="nil"/>
              <w:right w:val="nil"/>
            </w:tcBorders>
            <w:shd w:val="clear" w:color="auto" w:fill="auto"/>
            <w:noWrap/>
            <w:vAlign w:val="bottom"/>
            <w:hideMark/>
          </w:tcPr>
          <w:p w14:paraId="46B93531" w14:textId="77777777" w:rsidR="001C7E53" w:rsidRPr="00A77FFE" w:rsidRDefault="001C7E53" w:rsidP="004150AB">
            <w:pPr>
              <w:pStyle w:val="TableTextCentered"/>
              <w:rPr>
                <w:rFonts w:cs="Calibri"/>
              </w:rPr>
            </w:pPr>
          </w:p>
        </w:tc>
        <w:tc>
          <w:tcPr>
            <w:tcW w:w="2426" w:type="dxa"/>
            <w:tcBorders>
              <w:top w:val="nil"/>
              <w:left w:val="nil"/>
              <w:bottom w:val="nil"/>
              <w:right w:val="nil"/>
            </w:tcBorders>
            <w:shd w:val="clear" w:color="auto" w:fill="auto"/>
            <w:noWrap/>
            <w:vAlign w:val="center"/>
            <w:hideMark/>
          </w:tcPr>
          <w:p w14:paraId="4A3A74F6" w14:textId="77777777" w:rsidR="001C7E53" w:rsidRPr="00A77FFE" w:rsidRDefault="001C7E53" w:rsidP="004150AB">
            <w:pPr>
              <w:pStyle w:val="TableTextCentered"/>
              <w:rPr>
                <w:rFonts w:cs="Calibri"/>
              </w:rPr>
            </w:pPr>
            <w:r w:rsidRPr="00A77FFE">
              <w:rPr>
                <w:rFonts w:cs="Calibri"/>
              </w:rPr>
              <w:t>0.009**</w:t>
            </w:r>
          </w:p>
        </w:tc>
        <w:tc>
          <w:tcPr>
            <w:tcW w:w="2426" w:type="dxa"/>
            <w:tcBorders>
              <w:top w:val="nil"/>
              <w:left w:val="nil"/>
              <w:bottom w:val="nil"/>
              <w:right w:val="nil"/>
            </w:tcBorders>
            <w:shd w:val="clear" w:color="auto" w:fill="auto"/>
            <w:noWrap/>
            <w:vAlign w:val="center"/>
            <w:hideMark/>
          </w:tcPr>
          <w:p w14:paraId="3FA5EB3E" w14:textId="77777777" w:rsidR="001C7E53" w:rsidRPr="00A77FFE" w:rsidRDefault="001C7E53" w:rsidP="004150AB">
            <w:pPr>
              <w:pStyle w:val="TableTextCentered"/>
              <w:rPr>
                <w:rFonts w:cs="Calibri"/>
              </w:rPr>
            </w:pPr>
            <w:r w:rsidRPr="00A77FFE">
              <w:rPr>
                <w:rFonts w:cs="Calibri"/>
              </w:rPr>
              <w:t>0.005</w:t>
            </w:r>
          </w:p>
        </w:tc>
      </w:tr>
      <w:tr w:rsidR="001C7E53" w:rsidRPr="00A77FFE" w14:paraId="2702217A" w14:textId="77777777" w:rsidTr="001D0062">
        <w:trPr>
          <w:trHeight w:val="283"/>
        </w:trPr>
        <w:tc>
          <w:tcPr>
            <w:tcW w:w="2780" w:type="dxa"/>
            <w:vMerge/>
            <w:tcBorders>
              <w:top w:val="nil"/>
              <w:left w:val="nil"/>
              <w:bottom w:val="nil"/>
              <w:right w:val="nil"/>
            </w:tcBorders>
            <w:vAlign w:val="center"/>
            <w:hideMark/>
          </w:tcPr>
          <w:p w14:paraId="064B4F18" w14:textId="77777777" w:rsidR="001C7E53" w:rsidRPr="00A77FFE" w:rsidRDefault="001C7E53" w:rsidP="00F91AE4">
            <w:pPr>
              <w:pStyle w:val="TableTextLeft"/>
            </w:pPr>
          </w:p>
        </w:tc>
        <w:tc>
          <w:tcPr>
            <w:tcW w:w="1666" w:type="dxa"/>
            <w:tcBorders>
              <w:top w:val="nil"/>
              <w:left w:val="nil"/>
              <w:bottom w:val="nil"/>
              <w:right w:val="nil"/>
            </w:tcBorders>
            <w:shd w:val="clear" w:color="auto" w:fill="auto"/>
            <w:noWrap/>
            <w:vAlign w:val="bottom"/>
            <w:hideMark/>
          </w:tcPr>
          <w:p w14:paraId="1225F708" w14:textId="77777777" w:rsidR="001C7E53" w:rsidRPr="00A77FFE" w:rsidRDefault="001C7E53" w:rsidP="004150AB">
            <w:pPr>
              <w:pStyle w:val="TableTextCentered"/>
              <w:rPr>
                <w:rFonts w:cs="Calibri"/>
              </w:rPr>
            </w:pPr>
          </w:p>
        </w:tc>
        <w:tc>
          <w:tcPr>
            <w:tcW w:w="2426" w:type="dxa"/>
            <w:tcBorders>
              <w:top w:val="nil"/>
              <w:left w:val="nil"/>
              <w:bottom w:val="nil"/>
              <w:right w:val="nil"/>
            </w:tcBorders>
            <w:shd w:val="clear" w:color="auto" w:fill="auto"/>
            <w:noWrap/>
            <w:vAlign w:val="center"/>
            <w:hideMark/>
          </w:tcPr>
          <w:p w14:paraId="5582A0EE" w14:textId="77777777" w:rsidR="001C7E53" w:rsidRPr="00A77FFE" w:rsidRDefault="001C7E53" w:rsidP="004150AB">
            <w:pPr>
              <w:pStyle w:val="TableTextCentered"/>
              <w:rPr>
                <w:rFonts w:cs="Calibri"/>
              </w:rPr>
            </w:pPr>
            <w:r w:rsidRPr="00A77FFE">
              <w:rPr>
                <w:rFonts w:cs="Calibri"/>
              </w:rPr>
              <w:t>(0.004)</w:t>
            </w:r>
          </w:p>
        </w:tc>
        <w:tc>
          <w:tcPr>
            <w:tcW w:w="2426" w:type="dxa"/>
            <w:tcBorders>
              <w:top w:val="nil"/>
              <w:left w:val="nil"/>
              <w:bottom w:val="nil"/>
              <w:right w:val="nil"/>
            </w:tcBorders>
            <w:shd w:val="clear" w:color="auto" w:fill="auto"/>
            <w:noWrap/>
            <w:vAlign w:val="center"/>
            <w:hideMark/>
          </w:tcPr>
          <w:p w14:paraId="0F64BF0D" w14:textId="77777777" w:rsidR="001C7E53" w:rsidRPr="00A77FFE" w:rsidRDefault="001C7E53" w:rsidP="004150AB">
            <w:pPr>
              <w:pStyle w:val="TableTextCentered"/>
              <w:rPr>
                <w:rFonts w:cs="Calibri"/>
              </w:rPr>
            </w:pPr>
            <w:r w:rsidRPr="00A77FFE">
              <w:rPr>
                <w:rFonts w:cs="Calibri"/>
              </w:rPr>
              <w:t>(0.004)</w:t>
            </w:r>
          </w:p>
        </w:tc>
      </w:tr>
      <w:tr w:rsidR="001C7E53" w:rsidRPr="00A77FFE" w14:paraId="4E169AE8" w14:textId="77777777" w:rsidTr="001D0062">
        <w:trPr>
          <w:trHeight w:val="283"/>
        </w:trPr>
        <w:tc>
          <w:tcPr>
            <w:tcW w:w="2780" w:type="dxa"/>
            <w:tcBorders>
              <w:top w:val="nil"/>
              <w:left w:val="nil"/>
              <w:bottom w:val="single" w:sz="8" w:space="0" w:color="auto"/>
              <w:right w:val="nil"/>
            </w:tcBorders>
            <w:shd w:val="clear" w:color="auto" w:fill="auto"/>
            <w:noWrap/>
            <w:vAlign w:val="center"/>
            <w:hideMark/>
          </w:tcPr>
          <w:p w14:paraId="17CB114D" w14:textId="77777777" w:rsidR="001C7E53" w:rsidRPr="00A77FFE" w:rsidRDefault="001C7E53" w:rsidP="00F91AE4">
            <w:pPr>
              <w:pStyle w:val="TableTextLeft"/>
            </w:pPr>
            <w:r w:rsidRPr="00A77FFE">
              <w:t> </w:t>
            </w:r>
          </w:p>
        </w:tc>
        <w:tc>
          <w:tcPr>
            <w:tcW w:w="1666" w:type="dxa"/>
            <w:tcBorders>
              <w:top w:val="nil"/>
              <w:left w:val="nil"/>
              <w:bottom w:val="single" w:sz="8" w:space="0" w:color="auto"/>
              <w:right w:val="nil"/>
            </w:tcBorders>
            <w:shd w:val="clear" w:color="auto" w:fill="auto"/>
            <w:noWrap/>
            <w:vAlign w:val="center"/>
            <w:hideMark/>
          </w:tcPr>
          <w:p w14:paraId="6463717D" w14:textId="77777777" w:rsidR="001C7E53" w:rsidRPr="00A77FFE" w:rsidRDefault="001C7E53" w:rsidP="004150AB">
            <w:pPr>
              <w:pStyle w:val="TableTextCentered"/>
              <w:rPr>
                <w:rFonts w:cs="Calibri"/>
              </w:rPr>
            </w:pPr>
            <w:r w:rsidRPr="00A77FFE">
              <w:rPr>
                <w:rFonts w:cs="Calibri"/>
              </w:rPr>
              <w:t> </w:t>
            </w:r>
          </w:p>
        </w:tc>
        <w:tc>
          <w:tcPr>
            <w:tcW w:w="2426" w:type="dxa"/>
            <w:tcBorders>
              <w:top w:val="nil"/>
              <w:left w:val="nil"/>
              <w:bottom w:val="single" w:sz="8" w:space="0" w:color="auto"/>
              <w:right w:val="nil"/>
            </w:tcBorders>
            <w:shd w:val="clear" w:color="auto" w:fill="auto"/>
            <w:noWrap/>
            <w:vAlign w:val="center"/>
            <w:hideMark/>
          </w:tcPr>
          <w:p w14:paraId="5605C34B" w14:textId="77777777" w:rsidR="001C7E53" w:rsidRPr="00A77FFE" w:rsidRDefault="001C7E53" w:rsidP="004150AB">
            <w:pPr>
              <w:pStyle w:val="TableTextCentered"/>
              <w:rPr>
                <w:rFonts w:cs="Calibri"/>
              </w:rPr>
            </w:pPr>
            <w:r w:rsidRPr="00A77FFE">
              <w:rPr>
                <w:rFonts w:cs="Calibri"/>
              </w:rPr>
              <w:t> </w:t>
            </w:r>
          </w:p>
        </w:tc>
        <w:tc>
          <w:tcPr>
            <w:tcW w:w="2426" w:type="dxa"/>
            <w:tcBorders>
              <w:top w:val="nil"/>
              <w:left w:val="nil"/>
              <w:bottom w:val="single" w:sz="8" w:space="0" w:color="auto"/>
              <w:right w:val="nil"/>
            </w:tcBorders>
            <w:shd w:val="clear" w:color="auto" w:fill="auto"/>
            <w:noWrap/>
            <w:vAlign w:val="center"/>
            <w:hideMark/>
          </w:tcPr>
          <w:p w14:paraId="3621E9E4" w14:textId="77777777" w:rsidR="001C7E53" w:rsidRPr="00A77FFE" w:rsidRDefault="001C7E53" w:rsidP="004150AB">
            <w:pPr>
              <w:pStyle w:val="TableTextCentered"/>
              <w:rPr>
                <w:rFonts w:cs="Calibri"/>
              </w:rPr>
            </w:pPr>
            <w:r w:rsidRPr="00A77FFE">
              <w:rPr>
                <w:rFonts w:cs="Calibri"/>
              </w:rPr>
              <w:t> </w:t>
            </w:r>
          </w:p>
        </w:tc>
      </w:tr>
      <w:tr w:rsidR="001C7E53" w:rsidRPr="00A77FFE" w14:paraId="537BFF9D" w14:textId="77777777" w:rsidTr="001D0062">
        <w:trPr>
          <w:trHeight w:val="283"/>
        </w:trPr>
        <w:tc>
          <w:tcPr>
            <w:tcW w:w="2780" w:type="dxa"/>
            <w:tcBorders>
              <w:top w:val="nil"/>
              <w:left w:val="nil"/>
              <w:bottom w:val="nil"/>
              <w:right w:val="nil"/>
            </w:tcBorders>
            <w:shd w:val="clear" w:color="auto" w:fill="auto"/>
            <w:noWrap/>
            <w:vAlign w:val="center"/>
            <w:hideMark/>
          </w:tcPr>
          <w:p w14:paraId="54419045" w14:textId="77777777" w:rsidR="001C7E53" w:rsidRPr="00A77FFE" w:rsidRDefault="001C7E53" w:rsidP="00F91AE4">
            <w:pPr>
              <w:pStyle w:val="TableTextLeft"/>
            </w:pPr>
            <w:r w:rsidRPr="00A77FFE">
              <w:t>R</w:t>
            </w:r>
            <w:r w:rsidRPr="00A77FFE">
              <w:rPr>
                <w:vertAlign w:val="superscript"/>
              </w:rPr>
              <w:t>2</w:t>
            </w:r>
          </w:p>
        </w:tc>
        <w:tc>
          <w:tcPr>
            <w:tcW w:w="1666" w:type="dxa"/>
            <w:tcBorders>
              <w:top w:val="nil"/>
              <w:left w:val="nil"/>
              <w:bottom w:val="nil"/>
              <w:right w:val="nil"/>
            </w:tcBorders>
            <w:shd w:val="clear" w:color="auto" w:fill="auto"/>
            <w:noWrap/>
            <w:vAlign w:val="center"/>
            <w:hideMark/>
          </w:tcPr>
          <w:p w14:paraId="724886AC" w14:textId="77777777" w:rsidR="001C7E53" w:rsidRPr="00A77FFE" w:rsidRDefault="001C7E53" w:rsidP="004150AB">
            <w:pPr>
              <w:pStyle w:val="TableTextCentered"/>
              <w:rPr>
                <w:rFonts w:cs="Calibri"/>
              </w:rPr>
            </w:pPr>
            <w:r w:rsidRPr="00A77FFE">
              <w:rPr>
                <w:rFonts w:cs="Calibri"/>
              </w:rPr>
              <w:t>0.67</w:t>
            </w:r>
          </w:p>
        </w:tc>
        <w:tc>
          <w:tcPr>
            <w:tcW w:w="2426" w:type="dxa"/>
            <w:tcBorders>
              <w:top w:val="nil"/>
              <w:left w:val="nil"/>
              <w:bottom w:val="nil"/>
              <w:right w:val="nil"/>
            </w:tcBorders>
            <w:shd w:val="clear" w:color="auto" w:fill="auto"/>
            <w:noWrap/>
            <w:vAlign w:val="center"/>
            <w:hideMark/>
          </w:tcPr>
          <w:p w14:paraId="63636BFE" w14:textId="77777777" w:rsidR="001C7E53" w:rsidRPr="00A77FFE" w:rsidRDefault="001C7E53" w:rsidP="004150AB">
            <w:pPr>
              <w:pStyle w:val="TableTextCentered"/>
              <w:rPr>
                <w:rFonts w:cs="Calibri"/>
              </w:rPr>
            </w:pPr>
            <w:r w:rsidRPr="00A77FFE">
              <w:rPr>
                <w:rFonts w:cs="Calibri"/>
              </w:rPr>
              <w:t>0.70</w:t>
            </w:r>
          </w:p>
        </w:tc>
        <w:tc>
          <w:tcPr>
            <w:tcW w:w="2426" w:type="dxa"/>
            <w:tcBorders>
              <w:top w:val="nil"/>
              <w:left w:val="nil"/>
              <w:bottom w:val="nil"/>
              <w:right w:val="nil"/>
            </w:tcBorders>
            <w:shd w:val="clear" w:color="auto" w:fill="auto"/>
            <w:noWrap/>
            <w:vAlign w:val="center"/>
            <w:hideMark/>
          </w:tcPr>
          <w:p w14:paraId="7832E4AF" w14:textId="77777777" w:rsidR="001C7E53" w:rsidRPr="00A77FFE" w:rsidRDefault="001C7E53" w:rsidP="004150AB">
            <w:pPr>
              <w:pStyle w:val="TableTextCentered"/>
              <w:rPr>
                <w:rFonts w:cs="Calibri"/>
              </w:rPr>
            </w:pPr>
            <w:r w:rsidRPr="00A77FFE">
              <w:rPr>
                <w:rFonts w:cs="Calibri"/>
              </w:rPr>
              <w:t>0.70</w:t>
            </w:r>
          </w:p>
        </w:tc>
      </w:tr>
      <w:tr w:rsidR="001C7E53" w:rsidRPr="00A77FFE" w14:paraId="3F5723A8" w14:textId="77777777" w:rsidTr="001D0062">
        <w:trPr>
          <w:trHeight w:val="283"/>
        </w:trPr>
        <w:tc>
          <w:tcPr>
            <w:tcW w:w="2780" w:type="dxa"/>
            <w:tcBorders>
              <w:top w:val="nil"/>
              <w:left w:val="nil"/>
              <w:bottom w:val="nil"/>
              <w:right w:val="nil"/>
            </w:tcBorders>
            <w:shd w:val="clear" w:color="auto" w:fill="auto"/>
            <w:noWrap/>
            <w:vAlign w:val="center"/>
            <w:hideMark/>
          </w:tcPr>
          <w:p w14:paraId="570A158E" w14:textId="77777777" w:rsidR="001C7E53" w:rsidRPr="00A77FFE" w:rsidRDefault="001C7E53" w:rsidP="00F91AE4">
            <w:pPr>
              <w:pStyle w:val="TableTextLeft"/>
            </w:pPr>
            <w:r w:rsidRPr="00A77FFE">
              <w:t>N</w:t>
            </w:r>
          </w:p>
        </w:tc>
        <w:tc>
          <w:tcPr>
            <w:tcW w:w="1666" w:type="dxa"/>
            <w:tcBorders>
              <w:top w:val="nil"/>
              <w:left w:val="nil"/>
              <w:bottom w:val="nil"/>
              <w:right w:val="nil"/>
            </w:tcBorders>
            <w:shd w:val="clear" w:color="auto" w:fill="auto"/>
            <w:noWrap/>
            <w:vAlign w:val="center"/>
            <w:hideMark/>
          </w:tcPr>
          <w:p w14:paraId="38E9DB87" w14:textId="77777777" w:rsidR="001C7E53" w:rsidRPr="00A77FFE" w:rsidRDefault="001C7E53" w:rsidP="004150AB">
            <w:pPr>
              <w:pStyle w:val="TableTextCentered"/>
              <w:rPr>
                <w:rFonts w:cs="Calibri"/>
              </w:rPr>
            </w:pPr>
            <w:r w:rsidRPr="00A77FFE">
              <w:rPr>
                <w:rFonts w:cs="Calibri"/>
              </w:rPr>
              <w:t>247,000</w:t>
            </w:r>
          </w:p>
        </w:tc>
        <w:tc>
          <w:tcPr>
            <w:tcW w:w="2426" w:type="dxa"/>
            <w:tcBorders>
              <w:top w:val="nil"/>
              <w:left w:val="nil"/>
              <w:bottom w:val="nil"/>
              <w:right w:val="nil"/>
            </w:tcBorders>
            <w:shd w:val="clear" w:color="auto" w:fill="auto"/>
            <w:noWrap/>
            <w:vAlign w:val="center"/>
            <w:hideMark/>
          </w:tcPr>
          <w:p w14:paraId="7E9795F1" w14:textId="77777777" w:rsidR="001C7E53" w:rsidRPr="00A77FFE" w:rsidRDefault="001C7E53" w:rsidP="004150AB">
            <w:pPr>
              <w:pStyle w:val="TableTextCentered"/>
              <w:rPr>
                <w:rFonts w:cs="Calibri"/>
              </w:rPr>
            </w:pPr>
            <w:r w:rsidRPr="00A77FFE">
              <w:rPr>
                <w:rFonts w:cs="Calibri"/>
              </w:rPr>
              <w:t>219,000</w:t>
            </w:r>
          </w:p>
        </w:tc>
        <w:tc>
          <w:tcPr>
            <w:tcW w:w="2426" w:type="dxa"/>
            <w:tcBorders>
              <w:top w:val="nil"/>
              <w:left w:val="nil"/>
              <w:bottom w:val="nil"/>
              <w:right w:val="nil"/>
            </w:tcBorders>
            <w:shd w:val="clear" w:color="auto" w:fill="auto"/>
            <w:noWrap/>
            <w:vAlign w:val="center"/>
            <w:hideMark/>
          </w:tcPr>
          <w:p w14:paraId="18603ED5" w14:textId="77777777" w:rsidR="001C7E53" w:rsidRPr="00A77FFE" w:rsidRDefault="001C7E53" w:rsidP="004150AB">
            <w:pPr>
              <w:pStyle w:val="TableTextCentered"/>
              <w:rPr>
                <w:rFonts w:cs="Calibri"/>
              </w:rPr>
            </w:pPr>
            <w:r w:rsidRPr="00A77FFE">
              <w:rPr>
                <w:rFonts w:cs="Calibri"/>
              </w:rPr>
              <w:t>219,000</w:t>
            </w:r>
          </w:p>
        </w:tc>
      </w:tr>
      <w:tr w:rsidR="001C7E53" w:rsidRPr="00A77FFE" w14:paraId="218FB940" w14:textId="77777777" w:rsidTr="001D0062">
        <w:trPr>
          <w:trHeight w:val="283"/>
        </w:trPr>
        <w:tc>
          <w:tcPr>
            <w:tcW w:w="2780" w:type="dxa"/>
            <w:tcBorders>
              <w:top w:val="nil"/>
              <w:left w:val="nil"/>
              <w:bottom w:val="single" w:sz="8" w:space="0" w:color="auto"/>
              <w:right w:val="nil"/>
            </w:tcBorders>
            <w:shd w:val="clear" w:color="auto" w:fill="auto"/>
            <w:noWrap/>
            <w:vAlign w:val="center"/>
            <w:hideMark/>
          </w:tcPr>
          <w:p w14:paraId="0CFFB94E" w14:textId="77777777" w:rsidR="001C7E53" w:rsidRPr="00A77FFE" w:rsidRDefault="001C7E53" w:rsidP="00F91AE4">
            <w:pPr>
              <w:pStyle w:val="TableColumnHeadingLeft"/>
            </w:pPr>
            <w:r w:rsidRPr="00A77FFE">
              <w:t>Fixed effects</w:t>
            </w:r>
          </w:p>
        </w:tc>
        <w:tc>
          <w:tcPr>
            <w:tcW w:w="1666" w:type="dxa"/>
            <w:tcBorders>
              <w:top w:val="nil"/>
              <w:left w:val="nil"/>
              <w:bottom w:val="single" w:sz="8" w:space="0" w:color="auto"/>
              <w:right w:val="nil"/>
            </w:tcBorders>
            <w:shd w:val="clear" w:color="auto" w:fill="auto"/>
            <w:noWrap/>
            <w:vAlign w:val="center"/>
            <w:hideMark/>
          </w:tcPr>
          <w:p w14:paraId="49748D92" w14:textId="77777777" w:rsidR="001C7E53" w:rsidRPr="00A77FFE" w:rsidRDefault="001C7E53" w:rsidP="004150AB">
            <w:pPr>
              <w:pStyle w:val="TableTextCentered"/>
              <w:rPr>
                <w:rFonts w:cs="Calibri"/>
              </w:rPr>
            </w:pPr>
            <w:r w:rsidRPr="00A77FFE">
              <w:rPr>
                <w:rFonts w:cs="Calibri"/>
              </w:rPr>
              <w:t> </w:t>
            </w:r>
          </w:p>
        </w:tc>
        <w:tc>
          <w:tcPr>
            <w:tcW w:w="2426" w:type="dxa"/>
            <w:tcBorders>
              <w:top w:val="nil"/>
              <w:left w:val="nil"/>
              <w:bottom w:val="single" w:sz="8" w:space="0" w:color="auto"/>
              <w:right w:val="nil"/>
            </w:tcBorders>
            <w:shd w:val="clear" w:color="auto" w:fill="auto"/>
            <w:noWrap/>
            <w:vAlign w:val="center"/>
            <w:hideMark/>
          </w:tcPr>
          <w:p w14:paraId="176808A3" w14:textId="77777777" w:rsidR="001C7E53" w:rsidRPr="00A77FFE" w:rsidRDefault="001C7E53" w:rsidP="004150AB">
            <w:pPr>
              <w:pStyle w:val="TableTextCentered"/>
              <w:rPr>
                <w:rFonts w:cs="Calibri"/>
              </w:rPr>
            </w:pPr>
            <w:r w:rsidRPr="00A77FFE">
              <w:rPr>
                <w:rFonts w:cs="Calibri"/>
              </w:rPr>
              <w:t> </w:t>
            </w:r>
          </w:p>
        </w:tc>
        <w:tc>
          <w:tcPr>
            <w:tcW w:w="2426" w:type="dxa"/>
            <w:tcBorders>
              <w:top w:val="nil"/>
              <w:left w:val="nil"/>
              <w:bottom w:val="nil"/>
              <w:right w:val="nil"/>
            </w:tcBorders>
            <w:shd w:val="clear" w:color="auto" w:fill="auto"/>
            <w:noWrap/>
            <w:vAlign w:val="bottom"/>
            <w:hideMark/>
          </w:tcPr>
          <w:p w14:paraId="0D200C97" w14:textId="77777777" w:rsidR="001C7E53" w:rsidRPr="00A77FFE" w:rsidRDefault="001C7E53" w:rsidP="004150AB">
            <w:pPr>
              <w:pStyle w:val="TableTextCentered"/>
              <w:rPr>
                <w:rFonts w:cs="Calibri"/>
              </w:rPr>
            </w:pPr>
          </w:p>
        </w:tc>
      </w:tr>
      <w:tr w:rsidR="001C7E53" w:rsidRPr="00A77FFE" w14:paraId="0B2FB991" w14:textId="77777777" w:rsidTr="001D0062">
        <w:trPr>
          <w:trHeight w:val="283"/>
        </w:trPr>
        <w:tc>
          <w:tcPr>
            <w:tcW w:w="2780" w:type="dxa"/>
            <w:tcBorders>
              <w:top w:val="nil"/>
              <w:left w:val="nil"/>
              <w:bottom w:val="nil"/>
              <w:right w:val="nil"/>
            </w:tcBorders>
            <w:shd w:val="clear" w:color="auto" w:fill="auto"/>
            <w:noWrap/>
            <w:vAlign w:val="center"/>
            <w:hideMark/>
          </w:tcPr>
          <w:p w14:paraId="21C28F2A" w14:textId="77777777" w:rsidR="001C7E53" w:rsidRPr="00A77FFE" w:rsidRDefault="001C7E53" w:rsidP="00F91AE4">
            <w:pPr>
              <w:pStyle w:val="TableTextLeft"/>
            </w:pPr>
            <w:r w:rsidRPr="00A77FFE">
              <w:t>Local market</w:t>
            </w:r>
          </w:p>
        </w:tc>
        <w:tc>
          <w:tcPr>
            <w:tcW w:w="1666" w:type="dxa"/>
            <w:tcBorders>
              <w:top w:val="single" w:sz="4" w:space="0" w:color="auto"/>
              <w:left w:val="nil"/>
              <w:bottom w:val="nil"/>
              <w:right w:val="nil"/>
            </w:tcBorders>
            <w:shd w:val="clear" w:color="auto" w:fill="auto"/>
            <w:noWrap/>
            <w:vAlign w:val="bottom"/>
            <w:hideMark/>
          </w:tcPr>
          <w:p w14:paraId="3FFAF99A" w14:textId="77777777" w:rsidR="001C7E53" w:rsidRPr="00A77FFE" w:rsidRDefault="001C7E53" w:rsidP="004150AB">
            <w:pPr>
              <w:pStyle w:val="TableTextCentered"/>
              <w:rPr>
                <w:rFonts w:cs="Calibri"/>
              </w:rPr>
            </w:pPr>
            <w:r w:rsidRPr="00A77FFE">
              <w:rPr>
                <w:rFonts w:cs="Calibri"/>
              </w:rPr>
              <w:t>Y</w:t>
            </w:r>
          </w:p>
        </w:tc>
        <w:tc>
          <w:tcPr>
            <w:tcW w:w="2426" w:type="dxa"/>
            <w:tcBorders>
              <w:top w:val="single" w:sz="4" w:space="0" w:color="auto"/>
              <w:left w:val="nil"/>
              <w:bottom w:val="nil"/>
              <w:right w:val="nil"/>
            </w:tcBorders>
            <w:shd w:val="clear" w:color="auto" w:fill="auto"/>
            <w:noWrap/>
            <w:vAlign w:val="bottom"/>
            <w:hideMark/>
          </w:tcPr>
          <w:p w14:paraId="1A465D64" w14:textId="77777777" w:rsidR="001C7E53" w:rsidRPr="00A77FFE" w:rsidRDefault="001C7E53" w:rsidP="004150AB">
            <w:pPr>
              <w:pStyle w:val="TableTextCentered"/>
              <w:rPr>
                <w:rFonts w:cs="Calibri"/>
              </w:rPr>
            </w:pPr>
            <w:r w:rsidRPr="00A77FFE">
              <w:rPr>
                <w:rFonts w:cs="Calibri"/>
              </w:rPr>
              <w:t>Y</w:t>
            </w:r>
          </w:p>
        </w:tc>
        <w:tc>
          <w:tcPr>
            <w:tcW w:w="2426" w:type="dxa"/>
            <w:tcBorders>
              <w:top w:val="single" w:sz="4" w:space="0" w:color="auto"/>
              <w:left w:val="nil"/>
              <w:bottom w:val="nil"/>
              <w:right w:val="nil"/>
            </w:tcBorders>
            <w:shd w:val="clear" w:color="auto" w:fill="auto"/>
            <w:noWrap/>
            <w:vAlign w:val="bottom"/>
            <w:hideMark/>
          </w:tcPr>
          <w:p w14:paraId="18799401" w14:textId="77777777" w:rsidR="001C7E53" w:rsidRPr="00A77FFE" w:rsidRDefault="001C7E53" w:rsidP="004150AB">
            <w:pPr>
              <w:pStyle w:val="TableTextCentered"/>
              <w:rPr>
                <w:rFonts w:cs="Calibri"/>
              </w:rPr>
            </w:pPr>
            <w:r w:rsidRPr="00A77FFE">
              <w:rPr>
                <w:rFonts w:cs="Calibri"/>
              </w:rPr>
              <w:t>Y</w:t>
            </w:r>
          </w:p>
        </w:tc>
      </w:tr>
      <w:tr w:rsidR="001C7E53" w:rsidRPr="00A77FFE" w14:paraId="3349AC6F" w14:textId="77777777" w:rsidTr="001D0062">
        <w:trPr>
          <w:trHeight w:val="283"/>
        </w:trPr>
        <w:tc>
          <w:tcPr>
            <w:tcW w:w="2780" w:type="dxa"/>
            <w:tcBorders>
              <w:top w:val="nil"/>
              <w:left w:val="nil"/>
              <w:bottom w:val="nil"/>
              <w:right w:val="nil"/>
            </w:tcBorders>
            <w:shd w:val="clear" w:color="auto" w:fill="auto"/>
            <w:noWrap/>
            <w:vAlign w:val="center"/>
            <w:hideMark/>
          </w:tcPr>
          <w:p w14:paraId="40EEA2ED" w14:textId="77777777" w:rsidR="001C7E53" w:rsidRPr="00A77FFE" w:rsidRDefault="001C7E53" w:rsidP="00F91AE4">
            <w:pPr>
              <w:pStyle w:val="TableTextLeft"/>
            </w:pPr>
            <w:r w:rsidRPr="00A77FFE">
              <w:t>Time*Industry</w:t>
            </w:r>
          </w:p>
        </w:tc>
        <w:tc>
          <w:tcPr>
            <w:tcW w:w="1666" w:type="dxa"/>
            <w:tcBorders>
              <w:top w:val="nil"/>
              <w:left w:val="nil"/>
              <w:bottom w:val="nil"/>
              <w:right w:val="nil"/>
            </w:tcBorders>
            <w:shd w:val="clear" w:color="auto" w:fill="auto"/>
            <w:noWrap/>
            <w:vAlign w:val="bottom"/>
            <w:hideMark/>
          </w:tcPr>
          <w:p w14:paraId="1DED413B" w14:textId="77777777" w:rsidR="001C7E53" w:rsidRPr="00A77FFE" w:rsidRDefault="001C7E53" w:rsidP="004150AB">
            <w:pPr>
              <w:pStyle w:val="TableTextCentered"/>
              <w:rPr>
                <w:rFonts w:cs="Calibri"/>
              </w:rPr>
            </w:pPr>
            <w:r w:rsidRPr="00A77FFE">
              <w:rPr>
                <w:rFonts w:cs="Calibri"/>
              </w:rPr>
              <w:t>Y</w:t>
            </w:r>
          </w:p>
        </w:tc>
        <w:tc>
          <w:tcPr>
            <w:tcW w:w="2426" w:type="dxa"/>
            <w:tcBorders>
              <w:top w:val="nil"/>
              <w:left w:val="nil"/>
              <w:bottom w:val="nil"/>
              <w:right w:val="nil"/>
            </w:tcBorders>
            <w:shd w:val="clear" w:color="auto" w:fill="auto"/>
            <w:noWrap/>
            <w:vAlign w:val="bottom"/>
            <w:hideMark/>
          </w:tcPr>
          <w:p w14:paraId="31EC33D3" w14:textId="77777777" w:rsidR="001C7E53" w:rsidRPr="00A77FFE" w:rsidRDefault="001C7E53" w:rsidP="004150AB">
            <w:pPr>
              <w:pStyle w:val="TableTextCentered"/>
              <w:rPr>
                <w:rFonts w:cs="Calibri"/>
              </w:rPr>
            </w:pPr>
            <w:r w:rsidRPr="00A77FFE">
              <w:rPr>
                <w:rFonts w:cs="Calibri"/>
              </w:rPr>
              <w:t>Y</w:t>
            </w:r>
          </w:p>
        </w:tc>
        <w:tc>
          <w:tcPr>
            <w:tcW w:w="2426" w:type="dxa"/>
            <w:tcBorders>
              <w:top w:val="nil"/>
              <w:left w:val="nil"/>
              <w:bottom w:val="nil"/>
              <w:right w:val="nil"/>
            </w:tcBorders>
            <w:shd w:val="clear" w:color="auto" w:fill="auto"/>
            <w:noWrap/>
            <w:vAlign w:val="bottom"/>
            <w:hideMark/>
          </w:tcPr>
          <w:p w14:paraId="4D8CF2C1" w14:textId="77777777" w:rsidR="001C7E53" w:rsidRPr="00A77FFE" w:rsidRDefault="001C7E53" w:rsidP="004150AB">
            <w:pPr>
              <w:pStyle w:val="TableTextCentered"/>
              <w:rPr>
                <w:rFonts w:cs="Calibri"/>
              </w:rPr>
            </w:pPr>
            <w:r w:rsidRPr="00A77FFE">
              <w:rPr>
                <w:rFonts w:cs="Calibri"/>
              </w:rPr>
              <w:t>Y</w:t>
            </w:r>
          </w:p>
        </w:tc>
      </w:tr>
      <w:tr w:rsidR="001C7E53" w:rsidRPr="00A77FFE" w14:paraId="36DCC14B" w14:textId="77777777" w:rsidTr="001D0062">
        <w:trPr>
          <w:trHeight w:val="283"/>
        </w:trPr>
        <w:tc>
          <w:tcPr>
            <w:tcW w:w="2780" w:type="dxa"/>
            <w:tcBorders>
              <w:top w:val="nil"/>
              <w:left w:val="nil"/>
              <w:bottom w:val="single" w:sz="4" w:space="0" w:color="auto"/>
              <w:right w:val="nil"/>
            </w:tcBorders>
            <w:shd w:val="clear" w:color="auto" w:fill="auto"/>
            <w:noWrap/>
            <w:vAlign w:val="center"/>
            <w:hideMark/>
          </w:tcPr>
          <w:p w14:paraId="2C68DB64" w14:textId="77777777" w:rsidR="001C7E53" w:rsidRPr="00A77FFE" w:rsidRDefault="001C7E53" w:rsidP="00F91AE4">
            <w:pPr>
              <w:pStyle w:val="TableTextLeft"/>
            </w:pPr>
            <w:r w:rsidRPr="00A77FFE">
              <w:t>Time*Location</w:t>
            </w:r>
          </w:p>
        </w:tc>
        <w:tc>
          <w:tcPr>
            <w:tcW w:w="1666" w:type="dxa"/>
            <w:tcBorders>
              <w:top w:val="nil"/>
              <w:left w:val="nil"/>
              <w:bottom w:val="single" w:sz="4" w:space="0" w:color="auto"/>
              <w:right w:val="nil"/>
            </w:tcBorders>
            <w:shd w:val="clear" w:color="auto" w:fill="auto"/>
            <w:noWrap/>
            <w:vAlign w:val="bottom"/>
            <w:hideMark/>
          </w:tcPr>
          <w:p w14:paraId="4DB56697" w14:textId="77777777" w:rsidR="001C7E53" w:rsidRPr="00A77FFE" w:rsidRDefault="001C7E53" w:rsidP="004150AB">
            <w:pPr>
              <w:pStyle w:val="TableTextCentered"/>
              <w:rPr>
                <w:rFonts w:cs="Calibri"/>
              </w:rPr>
            </w:pPr>
            <w:r w:rsidRPr="00A77FFE">
              <w:rPr>
                <w:rFonts w:cs="Calibri"/>
              </w:rPr>
              <w:t>Y</w:t>
            </w:r>
          </w:p>
        </w:tc>
        <w:tc>
          <w:tcPr>
            <w:tcW w:w="2426" w:type="dxa"/>
            <w:tcBorders>
              <w:top w:val="nil"/>
              <w:left w:val="nil"/>
              <w:bottom w:val="single" w:sz="4" w:space="0" w:color="auto"/>
              <w:right w:val="nil"/>
            </w:tcBorders>
            <w:shd w:val="clear" w:color="auto" w:fill="auto"/>
            <w:noWrap/>
            <w:vAlign w:val="bottom"/>
            <w:hideMark/>
          </w:tcPr>
          <w:p w14:paraId="432D91D6" w14:textId="77777777" w:rsidR="001C7E53" w:rsidRPr="00A77FFE" w:rsidRDefault="001C7E53" w:rsidP="004150AB">
            <w:pPr>
              <w:pStyle w:val="TableTextCentered"/>
              <w:rPr>
                <w:rFonts w:cs="Calibri"/>
              </w:rPr>
            </w:pPr>
            <w:r w:rsidRPr="00A77FFE">
              <w:rPr>
                <w:rFonts w:cs="Calibri"/>
              </w:rPr>
              <w:t>Y</w:t>
            </w:r>
          </w:p>
        </w:tc>
        <w:tc>
          <w:tcPr>
            <w:tcW w:w="2426" w:type="dxa"/>
            <w:tcBorders>
              <w:top w:val="nil"/>
              <w:left w:val="nil"/>
              <w:bottom w:val="single" w:sz="4" w:space="0" w:color="auto"/>
              <w:right w:val="nil"/>
            </w:tcBorders>
            <w:shd w:val="clear" w:color="auto" w:fill="auto"/>
            <w:noWrap/>
            <w:vAlign w:val="bottom"/>
            <w:hideMark/>
          </w:tcPr>
          <w:p w14:paraId="4640968F" w14:textId="77777777" w:rsidR="001C7E53" w:rsidRPr="00A77FFE" w:rsidRDefault="001C7E53" w:rsidP="004150AB">
            <w:pPr>
              <w:pStyle w:val="TableTextCentered"/>
              <w:rPr>
                <w:rFonts w:cs="Calibri"/>
              </w:rPr>
            </w:pPr>
            <w:r w:rsidRPr="00A77FFE">
              <w:rPr>
                <w:rFonts w:cs="Calibri"/>
              </w:rPr>
              <w:t>Y</w:t>
            </w:r>
          </w:p>
        </w:tc>
      </w:tr>
    </w:tbl>
    <w:p w14:paraId="4DF02FD0" w14:textId="3BA5A33F" w:rsidR="001C7E53" w:rsidRDefault="001C7E53" w:rsidP="00897264">
      <w:pPr>
        <w:pStyle w:val="ChartorTableNote"/>
        <w:jc w:val="left"/>
      </w:pPr>
      <w:r w:rsidRPr="009C4D87">
        <w:t>Note: All regressions include a set of common controls covering market characteristics (number of workers in the market and market fixed effects</w:t>
      </w:r>
      <w:r>
        <w:t>)</w:t>
      </w:r>
      <w:r w:rsidRPr="009C4D87">
        <w:t>. Regression</w:t>
      </w:r>
      <w:r>
        <w:t>s</w:t>
      </w:r>
      <w:r w:rsidRPr="009C4D87">
        <w:t xml:space="preserve"> 2006</w:t>
      </w:r>
      <w:r w:rsidR="0018466E">
        <w:noBreakHyphen/>
      </w:r>
      <w:r w:rsidRPr="009C4D87">
        <w:t>201</w:t>
      </w:r>
      <w:r>
        <w:t>3</w:t>
      </w:r>
      <w:r w:rsidRPr="009C4D87">
        <w:t>. Errors clustered at the local market level.</w:t>
      </w:r>
    </w:p>
    <w:p w14:paraId="1267290A" w14:textId="7BB0191A" w:rsidR="001C7E53" w:rsidRDefault="001C7E53" w:rsidP="00897264">
      <w:r>
        <w:t>One related explanation not explored in detail due to data constraints is changes in the share of workers on different pay</w:t>
      </w:r>
      <w:r w:rsidR="0018466E">
        <w:noBreakHyphen/>
      </w:r>
      <w:r>
        <w:t>setting mechanisms. To the extent that pay is set nationally for a firm or industry, local concentration may be less impactful. This does not necessarily mean that wages will be higher, but the relationship between local concentration and wages may be weaker.</w:t>
      </w:r>
    </w:p>
    <w:p w14:paraId="1A9E1C62" w14:textId="48DD17D3" w:rsidR="001C7E53" w:rsidRDefault="001C7E53" w:rsidP="00897264">
      <w:r>
        <w:t>Unfortunately, data on pay</w:t>
      </w:r>
      <w:r w:rsidR="0018466E">
        <w:noBreakHyphen/>
      </w:r>
      <w:r>
        <w:t>setting shares by ANZSIC division are only available for three years across my sample: 2008</w:t>
      </w:r>
      <w:r w:rsidR="001911E1">
        <w:t>,</w:t>
      </w:r>
      <w:r>
        <w:t xml:space="preserve"> 2012 and 2014. Based on this limited data, there is cross</w:t>
      </w:r>
      <w:r w:rsidR="0018466E">
        <w:noBreakHyphen/>
      </w:r>
      <w:r>
        <w:t>sectional evidence that the HHI is more impactful in divisions with higher use of individual agreements. However, it is possible that this is driven by some common factor affecting both, such as level of education required for staff. Focusing within sectors, there is no evidence that the HHI has become relatively more impactful where the individual agreements usage increased.</w:t>
      </w:r>
      <w:r>
        <w:rPr>
          <w:rStyle w:val="FootnoteReference"/>
        </w:rPr>
        <w:footnoteReference w:id="15"/>
      </w:r>
    </w:p>
    <w:p w14:paraId="2536A533" w14:textId="44A962FD" w:rsidR="00843530" w:rsidRDefault="001C7E53" w:rsidP="00897264">
      <w:r>
        <w:t>With additional data this channel could be assessed more directly. However, given wages in individual agreements have to be at least as high as award wages, and given that individual agreement usage increased up to 2008, but then fell, increased use of individual awards seems unlikely to be be</w:t>
      </w:r>
      <w:r w:rsidR="009A60AC">
        <w:t>hind the results in this paper.</w:t>
      </w:r>
    </w:p>
    <w:p w14:paraId="39936E57" w14:textId="77777777" w:rsidR="00843530" w:rsidRDefault="00843530" w:rsidP="00F91AE4">
      <w:pPr>
        <w:spacing w:before="0" w:after="200" w:line="276" w:lineRule="auto"/>
      </w:pPr>
      <w:r>
        <w:br w:type="page"/>
      </w:r>
    </w:p>
    <w:p w14:paraId="0A53BAA1" w14:textId="77777777" w:rsidR="001C7E53" w:rsidRDefault="001C7E53" w:rsidP="00F91AE4">
      <w:pPr>
        <w:pStyle w:val="Heading2"/>
        <w:numPr>
          <w:ilvl w:val="0"/>
          <w:numId w:val="25"/>
        </w:numPr>
        <w:tabs>
          <w:tab w:val="clear" w:pos="3402"/>
        </w:tabs>
        <w:spacing w:before="440" w:line="240" w:lineRule="atLeast"/>
        <w:ind w:left="397" w:hanging="397"/>
      </w:pPr>
      <w:r>
        <w:lastRenderedPageBreak/>
        <w:t>Conclusion</w:t>
      </w:r>
    </w:p>
    <w:p w14:paraId="492B6FB4" w14:textId="7F7BC4B6" w:rsidR="001C7E53" w:rsidRDefault="001C7E53" w:rsidP="003F2100">
      <w:pPr>
        <w:spacing w:after="200" w:line="276" w:lineRule="auto"/>
      </w:pPr>
      <w:r>
        <w:t>Wages growth was surprisingly low during the pre</w:t>
      </w:r>
      <w:r w:rsidR="0018466E">
        <w:noBreakHyphen/>
      </w:r>
      <w:r>
        <w:t>COVID period. Understanding whether or what structural factors caused this weakness is crucial, given they may continue to weigh on wages in the post</w:t>
      </w:r>
      <w:r w:rsidR="0018466E">
        <w:noBreakHyphen/>
      </w:r>
      <w:r>
        <w:t>COVID period. This would have implications for inflation, government revenues and worker welfare.</w:t>
      </w:r>
    </w:p>
    <w:p w14:paraId="22693598" w14:textId="342953D3" w:rsidR="001C7E53" w:rsidRDefault="001C7E53" w:rsidP="003F2100">
      <w:pPr>
        <w:spacing w:after="200" w:line="276" w:lineRule="auto"/>
      </w:pPr>
      <w:r>
        <w:t>Overall, this paper has demonstrated that the increasing impact of labour market concentration may have weighed on wages growth pre</w:t>
      </w:r>
      <w:r w:rsidR="0018466E">
        <w:noBreakHyphen/>
      </w:r>
      <w:r>
        <w:t>COVID, subtracting a bit under 1 per cent from wages on average from 2011</w:t>
      </w:r>
      <w:r w:rsidR="006607FD">
        <w:rPr>
          <w:rFonts w:ascii="Courier New" w:hAnsi="Courier New" w:cs="Courier New"/>
        </w:rPr>
        <w:t>-</w:t>
      </w:r>
      <w:r>
        <w:t>2015. This is the case even though concentration itself did not increase.</w:t>
      </w:r>
    </w:p>
    <w:p w14:paraId="3939BC98" w14:textId="59ADA656" w:rsidR="001C7E53" w:rsidRDefault="001C7E53" w:rsidP="003F2100">
      <w:pPr>
        <w:spacing w:after="200" w:line="276" w:lineRule="auto"/>
      </w:pPr>
      <w:r>
        <w:t xml:space="preserve">A key driver of the increased impact of concentration appears to be declining firm entry and dynamism, as it has meant that incumbents faced less competition from new entrants, allowing them to exert more market power for given concentration levels. Declining occupational mobility and union coverage may have also played some role, but </w:t>
      </w:r>
      <w:r w:rsidR="005103E7">
        <w:t>declining entry appear to be the major driver</w:t>
      </w:r>
      <w:r>
        <w:t>.</w:t>
      </w:r>
    </w:p>
    <w:p w14:paraId="7704EBC8" w14:textId="3A7875E9" w:rsidR="001C7E53" w:rsidRDefault="001C7E53" w:rsidP="003F2100">
      <w:pPr>
        <w:spacing w:after="200" w:line="276" w:lineRule="auto"/>
      </w:pPr>
      <w:r>
        <w:t>These results highlight a second, direct channel through which declining firm entry, dynamism and competitive pressure have weighed on wages growth. They sit alongside earlier work showing an indirect channel through which declining dynamism weighed on wages: by lowering productivity growth (</w:t>
      </w:r>
      <w:r w:rsidR="00B53E48">
        <w:t xml:space="preserve">Andrews and Hansell 2021; </w:t>
      </w:r>
      <w:r>
        <w:t>Andrews et al 202</w:t>
      </w:r>
      <w:r w:rsidR="00092048">
        <w:t>2</w:t>
      </w:r>
      <w:r>
        <w:t xml:space="preserve">; Hambur </w:t>
      </w:r>
      <w:r w:rsidR="00092048">
        <w:t>forthcoming</w:t>
      </w:r>
      <w:r>
        <w:t>). As such, these results further motivate an ongoing focus on potential obstacles to firm entry, growth and dynamism, as well as labour market frictions, in developing policies to drive better outcomes for workers and economic growth.</w:t>
      </w:r>
    </w:p>
    <w:p w14:paraId="55B2FD90" w14:textId="77777777" w:rsidR="001C7E53" w:rsidRDefault="001C7E53" w:rsidP="00F91AE4">
      <w:pPr>
        <w:sectPr w:rsidR="001C7E53" w:rsidSect="000F6538">
          <w:headerReference w:type="first" r:id="rId35"/>
          <w:footerReference w:type="first" r:id="rId36"/>
          <w:pgSz w:w="11906" w:h="16838" w:code="9"/>
          <w:pgMar w:top="1843" w:right="1418" w:bottom="1418" w:left="1418" w:header="567" w:footer="567" w:gutter="0"/>
          <w:pgNumType w:start="1"/>
          <w:cols w:space="708"/>
          <w:titlePg/>
          <w:docGrid w:linePitch="360"/>
        </w:sectPr>
      </w:pPr>
    </w:p>
    <w:p w14:paraId="4EB64EAF" w14:textId="77777777" w:rsidR="001C7E53" w:rsidRDefault="001C7E53" w:rsidP="00F91AE4">
      <w:pPr>
        <w:pStyle w:val="AppendixHeadingLevel2NotNumbered"/>
      </w:pPr>
      <w:r>
        <w:lastRenderedPageBreak/>
        <w:t>References</w:t>
      </w:r>
    </w:p>
    <w:p w14:paraId="42F57374" w14:textId="77B9CE1B" w:rsidR="001C7E53" w:rsidRPr="00E35F22" w:rsidRDefault="00FE7A5D" w:rsidP="00F91AE4">
      <w:pPr>
        <w:rPr>
          <w:rFonts w:cstheme="minorHAnsi"/>
        </w:rPr>
      </w:pPr>
      <w:r w:rsidRPr="00FE7A5D">
        <w:rPr>
          <w:rFonts w:cstheme="minorHAnsi"/>
          <w:b/>
          <w:color w:val="000000"/>
        </w:rPr>
        <w:t>Abel W, S Tenreyro and G Thwaites (2018),</w:t>
      </w:r>
      <w:r w:rsidRPr="00FE7A5D">
        <w:rPr>
          <w:rFonts w:cstheme="minorHAnsi"/>
          <w:color w:val="000000"/>
        </w:rPr>
        <w:t xml:space="preserve"> ‘Monopsony in the UK’, Centre for Economic Policy Research Discussion Paper DP13265.</w:t>
      </w:r>
    </w:p>
    <w:p w14:paraId="0CF230E7" w14:textId="303A7D18" w:rsidR="00E054EA" w:rsidRDefault="00875E7E" w:rsidP="00F91AE4">
      <w:r w:rsidRPr="00875E7E">
        <w:rPr>
          <w:b/>
          <w:bCs/>
        </w:rPr>
        <w:t>Andrews D, N Deutscher, J Hambur and D Hansell (2019),</w:t>
      </w:r>
      <w:r w:rsidRPr="00875E7E">
        <w:rPr>
          <w:bCs/>
        </w:rPr>
        <w:t xml:space="preserve"> ‘Wage Growth in Australia: Lessons from Longitudinal Microdata’, Australian Treasury Working Paper No 2019-04.</w:t>
      </w:r>
    </w:p>
    <w:p w14:paraId="58C5FD43" w14:textId="0012EEC3" w:rsidR="00086282" w:rsidRPr="00086282" w:rsidRDefault="00086282" w:rsidP="00F91AE4">
      <w:r w:rsidRPr="00086282">
        <w:rPr>
          <w:b/>
        </w:rPr>
        <w:t>Andrews D, J Hambur, D Hansell and A Wheeler (2022),</w:t>
      </w:r>
      <w:r w:rsidRPr="00086282">
        <w:t xml:space="preserve"> ‘Reaching for the Stars: Australian Firms and the Global Productivity Frontier’, Australian Treasury Working Paper No 2022-01.</w:t>
      </w:r>
    </w:p>
    <w:p w14:paraId="111AD300" w14:textId="4CDD2E52" w:rsidR="00E054EA" w:rsidRPr="00E054EA" w:rsidRDefault="00E054EA" w:rsidP="00F91AE4">
      <w:r w:rsidRPr="00E054EA">
        <w:rPr>
          <w:b/>
        </w:rPr>
        <w:t>Andrews D and D Hansell (2021),</w:t>
      </w:r>
      <w:r w:rsidRPr="00E054EA">
        <w:t xml:space="preserve"> ‘Productivity-</w:t>
      </w:r>
      <w:r w:rsidR="00733109">
        <w:t>e</w:t>
      </w:r>
      <w:r w:rsidRPr="00E054EA">
        <w:t xml:space="preserve">nhancing Labour Reallocation in Australia’, </w:t>
      </w:r>
      <w:r w:rsidRPr="00E054EA">
        <w:rPr>
          <w:i/>
        </w:rPr>
        <w:t>Economic Record</w:t>
      </w:r>
      <w:r w:rsidRPr="00E054EA">
        <w:t>, 97(317), pp 157–169.</w:t>
      </w:r>
    </w:p>
    <w:p w14:paraId="73A315D7" w14:textId="0AC67D02" w:rsidR="001C7E53" w:rsidRDefault="005024C9" w:rsidP="00F91AE4">
      <w:r w:rsidRPr="005024C9">
        <w:rPr>
          <w:b/>
        </w:rPr>
        <w:t>Arsov I and R Evans (2018),</w:t>
      </w:r>
      <w:r w:rsidRPr="005024C9">
        <w:t xml:space="preserve"> ‘Wage Growth in Advanced Economies’, R</w:t>
      </w:r>
      <w:r>
        <w:t>eserve Bank of Au</w:t>
      </w:r>
      <w:r w:rsidR="002A0CED">
        <w:t>s</w:t>
      </w:r>
      <w:r>
        <w:t>tralia</w:t>
      </w:r>
      <w:r w:rsidRPr="005024C9">
        <w:t xml:space="preserve"> </w:t>
      </w:r>
      <w:r w:rsidRPr="005024C9">
        <w:rPr>
          <w:i/>
        </w:rPr>
        <w:t>Bulletin</w:t>
      </w:r>
      <w:r w:rsidRPr="005024C9">
        <w:t>, March.</w:t>
      </w:r>
    </w:p>
    <w:p w14:paraId="5289BFAE" w14:textId="4AA4966F" w:rsidR="001C7E53" w:rsidRPr="008669B3" w:rsidRDefault="005024C9" w:rsidP="00F91AE4">
      <w:pPr>
        <w:rPr>
          <w:rFonts w:cstheme="minorHAnsi"/>
        </w:rPr>
      </w:pPr>
      <w:r w:rsidRPr="005024C9">
        <w:rPr>
          <w:rFonts w:cstheme="minorHAnsi"/>
          <w:b/>
        </w:rPr>
        <w:t>Australian Treasury (2017),</w:t>
      </w:r>
      <w:r w:rsidRPr="005024C9">
        <w:rPr>
          <w:rFonts w:cstheme="minorHAnsi"/>
        </w:rPr>
        <w:t xml:space="preserve"> ‘Analysis of Wage Growth’, Technical Paper, November.</w:t>
      </w:r>
    </w:p>
    <w:p w14:paraId="5DAE6251" w14:textId="7C9E6CC8" w:rsidR="001D26BE" w:rsidRPr="008669B3" w:rsidRDefault="001D26BE" w:rsidP="00F91AE4">
      <w:pPr>
        <w:rPr>
          <w:rFonts w:cstheme="minorHAnsi"/>
        </w:rPr>
      </w:pPr>
      <w:r w:rsidRPr="00D43DCD">
        <w:rPr>
          <w:b/>
        </w:rPr>
        <w:t>Azar J, I Marinescu, M Steinbaum and B Taska (2020),</w:t>
      </w:r>
      <w:r>
        <w:t xml:space="preserve"> ‘Concentration in US Labor Markets: Evidence From Online Vacancy Data’, </w:t>
      </w:r>
      <w:r w:rsidRPr="00D43DCD">
        <w:rPr>
          <w:i/>
        </w:rPr>
        <w:t>Labour Economics</w:t>
      </w:r>
      <w:r>
        <w:t>, 66, Article 101886.</w:t>
      </w:r>
    </w:p>
    <w:p w14:paraId="59B2916D" w14:textId="4FF7DA3D" w:rsidR="001D26BE" w:rsidRPr="001D26BE" w:rsidRDefault="001D26BE" w:rsidP="00F91AE4">
      <w:pPr>
        <w:rPr>
          <w:rFonts w:cstheme="minorHAnsi"/>
        </w:rPr>
      </w:pPr>
      <w:r w:rsidRPr="001D26BE">
        <w:rPr>
          <w:rFonts w:cstheme="minorHAnsi"/>
          <w:b/>
        </w:rPr>
        <w:t>Benmelech E, NK Bergman and H Kim (2022),</w:t>
      </w:r>
      <w:r w:rsidRPr="001D26BE">
        <w:rPr>
          <w:rFonts w:cstheme="minorHAnsi"/>
        </w:rPr>
        <w:t xml:space="preserve"> ‘Strong Employers and Weak Employees: How Does Employer Concentration Affect Wages?’, </w:t>
      </w:r>
      <w:r w:rsidRPr="001D26BE">
        <w:rPr>
          <w:rFonts w:cstheme="minorHAnsi"/>
          <w:i/>
        </w:rPr>
        <w:t>The Journal of Human Resources</w:t>
      </w:r>
      <w:r w:rsidRPr="001D26BE">
        <w:rPr>
          <w:rFonts w:cstheme="minorHAnsi"/>
        </w:rPr>
        <w:t>, 57(S), pp S200–S250.</w:t>
      </w:r>
    </w:p>
    <w:p w14:paraId="7B1476AF" w14:textId="3EE662DC" w:rsidR="001C7E53" w:rsidRDefault="00AD0B4C" w:rsidP="00F91AE4">
      <w:pPr>
        <w:rPr>
          <w:rFonts w:cstheme="minorHAnsi"/>
        </w:rPr>
      </w:pPr>
      <w:r w:rsidRPr="00AF32DD">
        <w:rPr>
          <w:b/>
        </w:rPr>
        <w:t>Berger D, K Herkenhoff and S Mongey (2021),</w:t>
      </w:r>
      <w:r>
        <w:t xml:space="preserve"> ‘Labor Market Power’, Becker Friedman Institute for Economics Working Paper No 2021-58.</w:t>
      </w:r>
    </w:p>
    <w:p w14:paraId="26901C91" w14:textId="7F23D221" w:rsidR="002A0CED" w:rsidRDefault="002A0CED" w:rsidP="00F91AE4">
      <w:pPr>
        <w:rPr>
          <w:rFonts w:cstheme="minorHAnsi"/>
          <w:bCs/>
        </w:rPr>
      </w:pPr>
      <w:r w:rsidRPr="002A0CED">
        <w:rPr>
          <w:rFonts w:cstheme="minorHAnsi"/>
          <w:b/>
          <w:bCs/>
        </w:rPr>
        <w:t>Bilal AG, N Engbom, S Mongey and GL Violante (2019),</w:t>
      </w:r>
      <w:r w:rsidRPr="002A0CED">
        <w:rPr>
          <w:rFonts w:cstheme="minorHAnsi"/>
          <w:bCs/>
        </w:rPr>
        <w:t xml:space="preserve"> ‘Firm and Worker Dynamics in a Frictional Labor Market’, NBER Working Paper No 26547.</w:t>
      </w:r>
    </w:p>
    <w:p w14:paraId="646B9023" w14:textId="77777777" w:rsidR="00E96E24" w:rsidRDefault="00E96E24" w:rsidP="00F91AE4">
      <w:pPr>
        <w:rPr>
          <w:rFonts w:cstheme="minorHAnsi"/>
          <w:bCs/>
        </w:rPr>
      </w:pPr>
      <w:r w:rsidRPr="002A0CED">
        <w:rPr>
          <w:rFonts w:cstheme="minorHAnsi"/>
          <w:b/>
          <w:bCs/>
        </w:rPr>
        <w:t>Bishop J and I Chan (2019),</w:t>
      </w:r>
      <w:r w:rsidRPr="002A0CED">
        <w:rPr>
          <w:rFonts w:cstheme="minorHAnsi"/>
          <w:bCs/>
        </w:rPr>
        <w:t xml:space="preserve"> ‘Is Declining Union Membership Contributing to Low Wages Growth?’, Reserve Bank of Australia Research Discussion Paper No 2019-02.</w:t>
      </w:r>
    </w:p>
    <w:p w14:paraId="6CD99A1D" w14:textId="4956DC1F" w:rsidR="00E96E24" w:rsidRPr="002A0CED" w:rsidRDefault="00E96E24" w:rsidP="00F91AE4">
      <w:pPr>
        <w:rPr>
          <w:rFonts w:cstheme="minorHAnsi"/>
          <w:bCs/>
        </w:rPr>
      </w:pPr>
      <w:r w:rsidRPr="00E96E24">
        <w:rPr>
          <w:rFonts w:cstheme="minorHAnsi"/>
          <w:b/>
          <w:bCs/>
        </w:rPr>
        <w:t>BITRE (Bureau of Infrastructure, Transport and Regional Economics) (2018),</w:t>
      </w:r>
      <w:r w:rsidRPr="00E96E24">
        <w:rPr>
          <w:rFonts w:cstheme="minorHAnsi"/>
          <w:bCs/>
        </w:rPr>
        <w:t xml:space="preserve"> ‘Working Zones 2016’, BITRE Information Sheet 98.</w:t>
      </w:r>
    </w:p>
    <w:p w14:paraId="1C413E71" w14:textId="68AC0C71" w:rsidR="002A0CED" w:rsidRDefault="00B2651F" w:rsidP="00F91AE4">
      <w:r w:rsidRPr="00B2651F">
        <w:rPr>
          <w:b/>
        </w:rPr>
        <w:t>Cassidy N (2019),</w:t>
      </w:r>
      <w:r w:rsidRPr="00B2651F">
        <w:t xml:space="preserve"> ‘Low Wage Growth in Australia – An Overview’, Paper presented at the annual RBA conference</w:t>
      </w:r>
      <w:r w:rsidR="00285BF2">
        <w:t xml:space="preserve"> on</w:t>
      </w:r>
      <w:r w:rsidRPr="00B2651F">
        <w:t xml:space="preserve"> ‘Low Wage Growth’, Sydney, 4–5 April.</w:t>
      </w:r>
    </w:p>
    <w:p w14:paraId="395265F3" w14:textId="26E5EA81" w:rsidR="000674B3" w:rsidRPr="00DE528D" w:rsidRDefault="00E94485" w:rsidP="00F91AE4">
      <w:r w:rsidRPr="00E94485">
        <w:rPr>
          <w:b/>
        </w:rPr>
        <w:t>De Loecker J, J Eeckhout and G Unger (2020),</w:t>
      </w:r>
      <w:r w:rsidRPr="00E94485">
        <w:t xml:space="preserve"> ‘The Rise of Market Power and the Macroeconomic Implications’, </w:t>
      </w:r>
      <w:r w:rsidRPr="00E94485">
        <w:rPr>
          <w:i/>
        </w:rPr>
        <w:t>The Quarterly Journal of Economics</w:t>
      </w:r>
      <w:r w:rsidRPr="00E94485">
        <w:t>, 135(2), pp 561</w:t>
      </w:r>
      <w:r>
        <w:t>–</w:t>
      </w:r>
      <w:r w:rsidRPr="00E94485">
        <w:t>644.</w:t>
      </w:r>
    </w:p>
    <w:p w14:paraId="5AD5C519" w14:textId="77777777" w:rsidR="00733109" w:rsidRDefault="00733109" w:rsidP="00F91AE4">
      <w:r w:rsidRPr="00733109">
        <w:rPr>
          <w:b/>
        </w:rPr>
        <w:t>Deutscher N (2019),</w:t>
      </w:r>
      <w:r w:rsidRPr="00733109">
        <w:t xml:space="preserve"> ‘Job-to-Job Transitions and the Wages of Australian Workers’, Treasury Working Paper No 2019-07.</w:t>
      </w:r>
    </w:p>
    <w:p w14:paraId="3750B46D" w14:textId="4A74D787" w:rsidR="00086282" w:rsidRDefault="00086282" w:rsidP="00F91AE4">
      <w:r w:rsidRPr="00086282">
        <w:rPr>
          <w:b/>
        </w:rPr>
        <w:t>Hambur J (forthcoming),</w:t>
      </w:r>
      <w:r w:rsidRPr="00086282">
        <w:t xml:space="preserve"> ‘Product Market Competition and Its Implications for the Australian Economy’, </w:t>
      </w:r>
      <w:r w:rsidRPr="00086282">
        <w:rPr>
          <w:i/>
        </w:rPr>
        <w:t>Economic Record</w:t>
      </w:r>
      <w:r w:rsidRPr="00086282">
        <w:t>.</w:t>
      </w:r>
    </w:p>
    <w:p w14:paraId="4FFAA559" w14:textId="652C1EF2" w:rsidR="00285BF2" w:rsidRPr="00733109" w:rsidRDefault="00285BF2" w:rsidP="00F91AE4">
      <w:r w:rsidRPr="00285BF2">
        <w:rPr>
          <w:b/>
        </w:rPr>
        <w:lastRenderedPageBreak/>
        <w:t>Handwerker EW and M Dey (2022),</w:t>
      </w:r>
      <w:r w:rsidRPr="00285BF2">
        <w:t xml:space="preserve"> ‘Some Facts about Concentrated Labor Markets in the United States’, U.S. Bureau of Labor Statistics BLS Working Paper No 550.</w:t>
      </w:r>
    </w:p>
    <w:p w14:paraId="44387E01" w14:textId="4646B6EB" w:rsidR="00F96369" w:rsidRDefault="00F96369" w:rsidP="00F91AE4">
      <w:r w:rsidRPr="00E163A9">
        <w:rPr>
          <w:b/>
        </w:rPr>
        <w:t>Jarosch G, JS Nimczik a</w:t>
      </w:r>
      <w:r>
        <w:rPr>
          <w:b/>
        </w:rPr>
        <w:t>n</w:t>
      </w:r>
      <w:r w:rsidRPr="00E163A9">
        <w:rPr>
          <w:b/>
        </w:rPr>
        <w:t>d I Sorkin (2019),</w:t>
      </w:r>
      <w:r>
        <w:t xml:space="preserve"> ‘Granular Search, Market Structure, and Wages’, NBER Working Paper No 26239, rev May 2020.</w:t>
      </w:r>
    </w:p>
    <w:p w14:paraId="07C89272" w14:textId="6FCEE76B" w:rsidR="00B06A4B" w:rsidRPr="002E594D" w:rsidRDefault="00B06A4B" w:rsidP="00F91AE4">
      <w:pPr>
        <w:rPr>
          <w:rFonts w:cstheme="minorHAnsi"/>
        </w:rPr>
      </w:pPr>
      <w:r w:rsidRPr="00B06A4B">
        <w:rPr>
          <w:rFonts w:cstheme="minorHAnsi"/>
          <w:b/>
        </w:rPr>
        <w:t>Lipsius B (2018),</w:t>
      </w:r>
      <w:r w:rsidRPr="00B06A4B">
        <w:rPr>
          <w:rFonts w:cstheme="minorHAnsi"/>
        </w:rPr>
        <w:t xml:space="preserve"> ‘Labor Market Concentration Does Not Explain the Falling Labor Share’, Job Market Paper, University of Michigan, November. Available at &lt;</w:t>
      </w:r>
      <w:hyperlink r:id="rId37" w:history="1">
        <w:r w:rsidRPr="00B06A4B">
          <w:rPr>
            <w:rStyle w:val="Hyperlink"/>
            <w:rFonts w:cstheme="minorHAnsi"/>
          </w:rPr>
          <w:t>https://ideas.repec.org/p/jmp/jm2018/pli1202.html</w:t>
        </w:r>
      </w:hyperlink>
      <w:r w:rsidRPr="00B06A4B">
        <w:rPr>
          <w:rFonts w:cstheme="minorHAnsi"/>
        </w:rPr>
        <w:t>&gt;.</w:t>
      </w:r>
    </w:p>
    <w:p w14:paraId="663B38D7" w14:textId="77777777" w:rsidR="00E96E24" w:rsidRDefault="00E96E24" w:rsidP="00F91AE4">
      <w:r w:rsidRPr="00B06A4B">
        <w:rPr>
          <w:b/>
        </w:rPr>
        <w:t>Lowe P (2018),</w:t>
      </w:r>
      <w:r w:rsidRPr="00B06A4B">
        <w:t xml:space="preserve"> ‘Productivity, Wages and Prosperity’, Address to the Australian Industry Group, Melbourne, 13 June. Available at &lt;</w:t>
      </w:r>
      <w:hyperlink r:id="rId38" w:history="1">
        <w:r w:rsidRPr="00B06A4B">
          <w:rPr>
            <w:rStyle w:val="Hyperlink"/>
          </w:rPr>
          <w:t>https://www.rba.gov.au/speeches/2018/sp-gov-2018-06-13.html</w:t>
        </w:r>
      </w:hyperlink>
      <w:r w:rsidRPr="00B06A4B">
        <w:t>&gt;.</w:t>
      </w:r>
    </w:p>
    <w:p w14:paraId="5CC72B19" w14:textId="7D9A7538" w:rsidR="00B06A4B" w:rsidRPr="002E594D" w:rsidRDefault="00DA58F8" w:rsidP="00F91AE4">
      <w:r w:rsidRPr="00DA58F8">
        <w:rPr>
          <w:b/>
        </w:rPr>
        <w:t>Manning A (2021),</w:t>
      </w:r>
      <w:r w:rsidRPr="00DA58F8">
        <w:t xml:space="preserve"> ‘Monopsony in Labor Markets: A Review’, </w:t>
      </w:r>
      <w:r w:rsidRPr="00DA58F8">
        <w:rPr>
          <w:i/>
        </w:rPr>
        <w:t>ILR Review</w:t>
      </w:r>
      <w:r w:rsidRPr="00DA58F8">
        <w:t>, 74(1), pp 3</w:t>
      </w:r>
      <w:r>
        <w:t>–</w:t>
      </w:r>
      <w:r w:rsidRPr="00DA58F8">
        <w:t>26.</w:t>
      </w:r>
    </w:p>
    <w:p w14:paraId="0C1A0D6B" w14:textId="175BB36F" w:rsidR="00156B67" w:rsidRPr="00167182" w:rsidRDefault="00613482" w:rsidP="00F91AE4">
      <w:r w:rsidRPr="00613482">
        <w:rPr>
          <w:b/>
        </w:rPr>
        <w:t>Marinescu I, I Ouss and L-D Pape (2021),</w:t>
      </w:r>
      <w:r w:rsidRPr="00613482">
        <w:t xml:space="preserve"> ‘Wages, Hires, and Labor Market Concentration’, </w:t>
      </w:r>
      <w:r w:rsidRPr="00613482">
        <w:rPr>
          <w:i/>
        </w:rPr>
        <w:t>Journal of Economic Behavior &amp; Organization</w:t>
      </w:r>
      <w:r w:rsidRPr="00613482">
        <w:t>, 184, pp 506–605.</w:t>
      </w:r>
    </w:p>
    <w:p w14:paraId="5E81793E" w14:textId="4030B687" w:rsidR="00156B67" w:rsidRPr="00971250" w:rsidRDefault="004C1C3B" w:rsidP="00F91AE4">
      <w:pPr>
        <w:rPr>
          <w:rFonts w:cs="Arial"/>
          <w:shd w:val="clear" w:color="auto" w:fill="FFFFFF"/>
        </w:rPr>
      </w:pPr>
      <w:r w:rsidRPr="004C1C3B">
        <w:rPr>
          <w:rFonts w:cs="Arial"/>
          <w:b/>
          <w:shd w:val="clear" w:color="auto" w:fill="FFFFFF"/>
        </w:rPr>
        <w:t>Moscarini G and F Postel-Vinay (2017),</w:t>
      </w:r>
      <w:r w:rsidRPr="004C1C3B">
        <w:rPr>
          <w:rFonts w:cs="Arial"/>
          <w:shd w:val="clear" w:color="auto" w:fill="FFFFFF"/>
        </w:rPr>
        <w:t xml:space="preserve"> ‘The Relative Power of Employment-to-Employment Reallocation and Unemployment Exits in Predicting Wage Growth’, </w:t>
      </w:r>
      <w:r w:rsidRPr="004C1C3B">
        <w:rPr>
          <w:rFonts w:cs="Arial"/>
          <w:i/>
          <w:shd w:val="clear" w:color="auto" w:fill="FFFFFF"/>
        </w:rPr>
        <w:t>The American Economic Review</w:t>
      </w:r>
      <w:r w:rsidRPr="004C1C3B">
        <w:rPr>
          <w:rFonts w:cs="Arial"/>
          <w:shd w:val="clear" w:color="auto" w:fill="FFFFFF"/>
        </w:rPr>
        <w:t>, 107(5), pp 364–368.</w:t>
      </w:r>
    </w:p>
    <w:p w14:paraId="6687AA8B" w14:textId="78713714" w:rsidR="00156B67" w:rsidRPr="00971250" w:rsidRDefault="004509B8" w:rsidP="00F91AE4">
      <w:pPr>
        <w:rPr>
          <w:rFonts w:cs="Arial"/>
          <w:shd w:val="clear" w:color="auto" w:fill="FFFFFF"/>
        </w:rPr>
      </w:pPr>
      <w:r w:rsidRPr="004509B8">
        <w:rPr>
          <w:rFonts w:cs="Arial"/>
          <w:b/>
          <w:shd w:val="clear" w:color="auto" w:fill="FFFFFF"/>
        </w:rPr>
        <w:t>OECD (Organisation for Economic Co-operation and Development) (2020),</w:t>
      </w:r>
      <w:r w:rsidRPr="004509B8">
        <w:rPr>
          <w:rFonts w:cs="Arial"/>
          <w:shd w:val="clear" w:color="auto" w:fill="FFFFFF"/>
        </w:rPr>
        <w:t xml:space="preserve"> </w:t>
      </w:r>
      <w:r w:rsidRPr="004509B8">
        <w:rPr>
          <w:rFonts w:cs="Arial"/>
          <w:i/>
          <w:shd w:val="clear" w:color="auto" w:fill="FFFFFF"/>
        </w:rPr>
        <w:t>Competition in Labour Markets</w:t>
      </w:r>
      <w:r w:rsidRPr="004509B8">
        <w:rPr>
          <w:rFonts w:cs="Arial"/>
          <w:shd w:val="clear" w:color="auto" w:fill="FFFFFF"/>
        </w:rPr>
        <w:t>, Background Note, OECD, Paris. Available at &lt;</w:t>
      </w:r>
      <w:hyperlink r:id="rId39" w:history="1">
        <w:r w:rsidRPr="004509B8">
          <w:rPr>
            <w:rStyle w:val="Hyperlink"/>
            <w:rFonts w:cs="Arial"/>
            <w:shd w:val="clear" w:color="auto" w:fill="FFFFFF"/>
          </w:rPr>
          <w:t>https://www.oecd.org/daf/competition/competition-concerns-in-labour-markets.htm</w:t>
        </w:r>
      </w:hyperlink>
      <w:r w:rsidRPr="004509B8">
        <w:rPr>
          <w:rFonts w:cs="Arial"/>
          <w:shd w:val="clear" w:color="auto" w:fill="FFFFFF"/>
        </w:rPr>
        <w:t>&gt;.</w:t>
      </w:r>
    </w:p>
    <w:p w14:paraId="7DA68B88" w14:textId="7885F0F4" w:rsidR="00156B67" w:rsidRPr="00971250" w:rsidRDefault="00E30433" w:rsidP="00F91AE4">
      <w:pPr>
        <w:rPr>
          <w:rFonts w:cs="Arial"/>
          <w:shd w:val="clear" w:color="auto" w:fill="FFFFFF"/>
        </w:rPr>
      </w:pPr>
      <w:r w:rsidRPr="00E30433">
        <w:rPr>
          <w:rFonts w:cs="Arial"/>
          <w:b/>
          <w:shd w:val="clear" w:color="auto" w:fill="FFFFFF"/>
        </w:rPr>
        <w:t>OECD (2021),</w:t>
      </w:r>
      <w:r w:rsidRPr="00E30433">
        <w:rPr>
          <w:rFonts w:cs="Arial"/>
          <w:shd w:val="clear" w:color="auto" w:fill="FFFFFF"/>
        </w:rPr>
        <w:t xml:space="preserve"> </w:t>
      </w:r>
      <w:r w:rsidRPr="00E30433">
        <w:rPr>
          <w:rFonts w:cs="Arial"/>
          <w:i/>
          <w:shd w:val="clear" w:color="auto" w:fill="FFFFFF"/>
        </w:rPr>
        <w:t>The Role of Firms in Wage Inequality: Policy Lessons from a Large Scale Cross-Country Study</w:t>
      </w:r>
      <w:r w:rsidRPr="00E30433">
        <w:rPr>
          <w:rFonts w:cs="Arial"/>
          <w:shd w:val="clear" w:color="auto" w:fill="FFFFFF"/>
        </w:rPr>
        <w:t>, OECD Publishing Press, Paris.</w:t>
      </w:r>
    </w:p>
    <w:p w14:paraId="7943D5F7" w14:textId="12AE0114" w:rsidR="00156B67" w:rsidRDefault="00E30433" w:rsidP="00F91AE4">
      <w:r w:rsidRPr="00E30433">
        <w:rPr>
          <w:b/>
        </w:rPr>
        <w:t>Rinz K (2018),</w:t>
      </w:r>
      <w:r w:rsidRPr="00E30433">
        <w:t xml:space="preserve"> ‘Labor Market Concentration, Earnings Inequality, and Earnings Mobility’, U.S. Census Bureau Center for Administrative Records Research and Applications, CARRA Working Paper 2018-10.</w:t>
      </w:r>
    </w:p>
    <w:p w14:paraId="3A7464C9" w14:textId="54EDF0B0" w:rsidR="00156B67" w:rsidRDefault="00561275" w:rsidP="00F91AE4">
      <w:r w:rsidRPr="00561275">
        <w:rPr>
          <w:b/>
        </w:rPr>
        <w:t>Schubert G, A Stansbury and B Taska (2021),</w:t>
      </w:r>
      <w:r w:rsidRPr="00561275">
        <w:t xml:space="preserve"> ‘Employer Concentration and Outside Options’, Washington Center for Equitable Growth Working Paper, rev March 2022.</w:t>
      </w:r>
    </w:p>
    <w:p w14:paraId="1E4B36D5" w14:textId="7EA5992D" w:rsidR="00156B67" w:rsidRDefault="00561275" w:rsidP="00F91AE4">
      <w:r w:rsidRPr="00561275">
        <w:rPr>
          <w:b/>
        </w:rPr>
        <w:t>U.S. Department of Justice and Federal Trade Commission (2010),</w:t>
      </w:r>
      <w:r w:rsidRPr="00561275">
        <w:t xml:space="preserve"> ‘Horizontal Merger Guidelines’. Available at &lt;</w:t>
      </w:r>
      <w:hyperlink r:id="rId40" w:history="1">
        <w:r w:rsidRPr="00561275">
          <w:rPr>
            <w:rStyle w:val="Hyperlink"/>
          </w:rPr>
          <w:t>https://www.justice.gov/atr/merger-enforcement</w:t>
        </w:r>
      </w:hyperlink>
      <w:r w:rsidRPr="00561275">
        <w:t>&gt;.</w:t>
      </w:r>
    </w:p>
    <w:p w14:paraId="03AC09AB" w14:textId="77777777" w:rsidR="001C7E53" w:rsidRDefault="001C7E53" w:rsidP="00F91AE4">
      <w:pPr>
        <w:spacing w:after="200" w:line="276" w:lineRule="auto"/>
      </w:pPr>
      <w:r>
        <w:br w:type="page"/>
      </w:r>
    </w:p>
    <w:p w14:paraId="79FB8F87" w14:textId="77777777" w:rsidR="001C7E53" w:rsidRDefault="001C7E53" w:rsidP="00F91AE4">
      <w:pPr>
        <w:pStyle w:val="AppendixHeadingLevel2NotNumbered"/>
      </w:pPr>
      <w:r>
        <w:lastRenderedPageBreak/>
        <w:t>Appendix A: Additional charts and tables</w:t>
      </w:r>
    </w:p>
    <w:p w14:paraId="5D7FB92C" w14:textId="77777777" w:rsidR="003712D4" w:rsidRDefault="003712D4" w:rsidP="003712D4">
      <w:pPr>
        <w:pStyle w:val="ChartMainHeading"/>
        <w:rPr>
          <w:noProof/>
        </w:rPr>
      </w:pPr>
      <w:r w:rsidRPr="00D631BB">
        <w:t xml:space="preserve">Figure A1: Employment by </w:t>
      </w:r>
      <w:r>
        <w:t>i</w:t>
      </w:r>
      <w:r w:rsidRPr="00D631BB">
        <w:t xml:space="preserve">ndustry, LEED </w:t>
      </w:r>
      <w:r>
        <w:t>v</w:t>
      </w:r>
      <w:r w:rsidRPr="00D631BB">
        <w:t>ersus ABS LFS, 2002 to 2016</w:t>
      </w:r>
    </w:p>
    <w:p w14:paraId="76A4CA36" w14:textId="2BC9D40B" w:rsidR="003712D4" w:rsidRDefault="003712D4" w:rsidP="003712D4">
      <w:pPr>
        <w:pStyle w:val="ChartGraphic"/>
      </w:pPr>
      <w:r>
        <w:rPr>
          <w:noProof/>
        </w:rPr>
        <w:drawing>
          <wp:inline distT="0" distB="0" distL="0" distR="0" wp14:anchorId="78D87778" wp14:editId="236C2FC1">
            <wp:extent cx="5584190" cy="2517775"/>
            <wp:effectExtent l="0" t="0" r="0" b="0"/>
            <wp:docPr id="24" name="Picture 24" descr="This chart shows bars for employment counts by industry division for the ABS LFS, and the LEED data used in the paper. The key message is that these are generally quite similar across div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is chart shows bars for employment counts by industry division for the ABS LFS, and the LEED data used in the paper. The key message is that these are generally quite similar across division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84190" cy="2517775"/>
                    </a:xfrm>
                    <a:prstGeom prst="rect">
                      <a:avLst/>
                    </a:prstGeom>
                    <a:noFill/>
                  </pic:spPr>
                </pic:pic>
              </a:graphicData>
            </a:graphic>
          </wp:inline>
        </w:drawing>
      </w:r>
    </w:p>
    <w:p w14:paraId="490CC381" w14:textId="77777777" w:rsidR="003712D4" w:rsidRDefault="003712D4" w:rsidP="001D0062">
      <w:pPr>
        <w:pStyle w:val="ChartorTableNote"/>
        <w:jc w:val="left"/>
      </w:pPr>
      <w:r>
        <w:t>Notes: ABS data is from Labour Force Survey detailed and is on a person basis. LEED is on a job basis. As such, sectors with high rates of multiple</w:t>
      </w:r>
      <w:r>
        <w:noBreakHyphen/>
        <w:t>job holdings like retail are larger in LEED. LEED also excludes self</w:t>
      </w:r>
      <w:r>
        <w:noBreakHyphen/>
        <w:t>employed, which may be more important in construction. The higher employment in Administrative Services reflects differences in how employment in labour hire and employment services are captured in tax data (often via the service providers), compared to in labour statistics (often via the end employer).</w:t>
      </w:r>
    </w:p>
    <w:p w14:paraId="3EBF0379" w14:textId="58F7C833" w:rsidR="003712D4" w:rsidRPr="003712D4" w:rsidRDefault="003712D4" w:rsidP="001D0062">
      <w:pPr>
        <w:pStyle w:val="ChartorTableNote"/>
      </w:pPr>
      <w:r>
        <w:t>Source: Author’s calculations; ABS</w:t>
      </w:r>
    </w:p>
    <w:p w14:paraId="68C903FC" w14:textId="5BD24AFA" w:rsidR="00570A05" w:rsidRDefault="00570A05" w:rsidP="00F91AE4">
      <w:pPr>
        <w:pStyle w:val="TableMainHeading"/>
      </w:pPr>
      <w:r w:rsidRPr="00310E80">
        <w:t>Table A1: Concentration summary statistics – Wage</w:t>
      </w:r>
      <w:r w:rsidR="0018466E">
        <w:noBreakHyphen/>
      </w:r>
      <w:r w:rsidRPr="00310E80">
        <w:t>based HHI</w:t>
      </w:r>
    </w:p>
    <w:tbl>
      <w:tblPr>
        <w:tblW w:w="5000" w:type="pct"/>
        <w:tblLook w:val="04A0" w:firstRow="1" w:lastRow="0" w:firstColumn="1" w:lastColumn="0" w:noHBand="0" w:noVBand="1"/>
      </w:tblPr>
      <w:tblGrid>
        <w:gridCol w:w="2665"/>
        <w:gridCol w:w="1602"/>
        <w:gridCol w:w="1601"/>
        <w:gridCol w:w="1601"/>
        <w:gridCol w:w="1601"/>
      </w:tblGrid>
      <w:tr w:rsidR="001C7E53" w:rsidRPr="004852E2" w14:paraId="7A9326BB" w14:textId="77777777" w:rsidTr="001D0062">
        <w:trPr>
          <w:trHeight w:val="340"/>
        </w:trPr>
        <w:tc>
          <w:tcPr>
            <w:tcW w:w="2734" w:type="dxa"/>
            <w:tcBorders>
              <w:left w:val="nil"/>
              <w:bottom w:val="single" w:sz="4" w:space="0" w:color="auto"/>
              <w:right w:val="nil"/>
            </w:tcBorders>
            <w:shd w:val="clear" w:color="auto" w:fill="auto"/>
            <w:noWrap/>
            <w:vAlign w:val="bottom"/>
            <w:hideMark/>
          </w:tcPr>
          <w:p w14:paraId="55F3AAEA" w14:textId="77777777" w:rsidR="001C7E53" w:rsidRPr="004852E2" w:rsidRDefault="001C7E53" w:rsidP="00F91AE4">
            <w:pPr>
              <w:spacing w:after="0"/>
              <w:rPr>
                <w:rFonts w:cs="Calibri"/>
                <w:color w:val="000000"/>
                <w:sz w:val="20"/>
              </w:rPr>
            </w:pPr>
            <w:r w:rsidRPr="004852E2">
              <w:rPr>
                <w:rFonts w:cs="Calibri"/>
                <w:color w:val="000000"/>
                <w:sz w:val="20"/>
              </w:rPr>
              <w:t> </w:t>
            </w:r>
          </w:p>
        </w:tc>
        <w:tc>
          <w:tcPr>
            <w:tcW w:w="3282" w:type="dxa"/>
            <w:gridSpan w:val="2"/>
            <w:tcBorders>
              <w:left w:val="nil"/>
              <w:bottom w:val="single" w:sz="4" w:space="0" w:color="auto"/>
              <w:right w:val="nil"/>
            </w:tcBorders>
            <w:shd w:val="clear" w:color="auto" w:fill="auto"/>
            <w:noWrap/>
            <w:vAlign w:val="center"/>
            <w:hideMark/>
          </w:tcPr>
          <w:p w14:paraId="7FF0C113" w14:textId="77777777" w:rsidR="001C7E53" w:rsidRPr="004852E2" w:rsidRDefault="001C7E53" w:rsidP="00C56803">
            <w:pPr>
              <w:pStyle w:val="TableColumnHeadingCentred"/>
            </w:pPr>
            <w:r w:rsidRPr="004852E2">
              <w:t>Unweighted</w:t>
            </w:r>
          </w:p>
        </w:tc>
        <w:tc>
          <w:tcPr>
            <w:tcW w:w="3282" w:type="dxa"/>
            <w:gridSpan w:val="2"/>
            <w:tcBorders>
              <w:left w:val="nil"/>
              <w:bottom w:val="single" w:sz="4" w:space="0" w:color="auto"/>
              <w:right w:val="nil"/>
            </w:tcBorders>
            <w:shd w:val="clear" w:color="auto" w:fill="auto"/>
            <w:noWrap/>
            <w:vAlign w:val="center"/>
            <w:hideMark/>
          </w:tcPr>
          <w:p w14:paraId="522BEF96" w14:textId="77777777" w:rsidR="001C7E53" w:rsidRPr="004852E2" w:rsidRDefault="001C7E53" w:rsidP="00C56803">
            <w:pPr>
              <w:pStyle w:val="TableColumnHeadingCentred"/>
            </w:pPr>
            <w:r w:rsidRPr="004852E2">
              <w:t>Weighted</w:t>
            </w:r>
          </w:p>
        </w:tc>
      </w:tr>
      <w:tr w:rsidR="001C7E53" w:rsidRPr="004852E2" w14:paraId="173DACFF" w14:textId="77777777" w:rsidTr="001D0062">
        <w:trPr>
          <w:trHeight w:val="340"/>
        </w:trPr>
        <w:tc>
          <w:tcPr>
            <w:tcW w:w="2734" w:type="dxa"/>
            <w:tcBorders>
              <w:top w:val="nil"/>
              <w:left w:val="nil"/>
              <w:bottom w:val="nil"/>
              <w:right w:val="nil"/>
            </w:tcBorders>
            <w:shd w:val="clear" w:color="auto" w:fill="auto"/>
            <w:noWrap/>
            <w:vAlign w:val="bottom"/>
            <w:hideMark/>
          </w:tcPr>
          <w:p w14:paraId="7A41BA95" w14:textId="77777777" w:rsidR="001C7E53" w:rsidRPr="004852E2" w:rsidRDefault="001C7E53" w:rsidP="00C56803">
            <w:pPr>
              <w:spacing w:after="0"/>
              <w:jc w:val="center"/>
              <w:rPr>
                <w:rFonts w:cs="Calibri"/>
                <w:color w:val="000000"/>
                <w:sz w:val="20"/>
              </w:rPr>
            </w:pPr>
          </w:p>
        </w:tc>
        <w:tc>
          <w:tcPr>
            <w:tcW w:w="1641" w:type="dxa"/>
            <w:tcBorders>
              <w:top w:val="nil"/>
              <w:left w:val="nil"/>
              <w:bottom w:val="nil"/>
              <w:right w:val="nil"/>
            </w:tcBorders>
            <w:shd w:val="clear" w:color="auto" w:fill="auto"/>
            <w:noWrap/>
            <w:vAlign w:val="center"/>
            <w:hideMark/>
          </w:tcPr>
          <w:p w14:paraId="469FE0A3" w14:textId="77777777" w:rsidR="001C7E53" w:rsidRPr="004852E2" w:rsidRDefault="001C7E53" w:rsidP="00F91AE4">
            <w:pPr>
              <w:spacing w:after="0"/>
              <w:rPr>
                <w:rFonts w:ascii="Times New Roman" w:hAnsi="Times New Roman"/>
                <w:sz w:val="20"/>
              </w:rPr>
            </w:pPr>
          </w:p>
        </w:tc>
        <w:tc>
          <w:tcPr>
            <w:tcW w:w="1641" w:type="dxa"/>
            <w:tcBorders>
              <w:top w:val="nil"/>
              <w:left w:val="nil"/>
              <w:bottom w:val="nil"/>
              <w:right w:val="nil"/>
            </w:tcBorders>
            <w:shd w:val="clear" w:color="auto" w:fill="auto"/>
            <w:noWrap/>
            <w:vAlign w:val="center"/>
            <w:hideMark/>
          </w:tcPr>
          <w:p w14:paraId="7E79A673" w14:textId="77777777" w:rsidR="001C7E53" w:rsidRPr="004852E2" w:rsidRDefault="001C7E53" w:rsidP="00C56803">
            <w:pPr>
              <w:spacing w:after="0"/>
              <w:jc w:val="center"/>
              <w:rPr>
                <w:rFonts w:ascii="Times New Roman" w:hAnsi="Times New Roman"/>
                <w:sz w:val="20"/>
              </w:rPr>
            </w:pPr>
          </w:p>
        </w:tc>
        <w:tc>
          <w:tcPr>
            <w:tcW w:w="1641" w:type="dxa"/>
            <w:tcBorders>
              <w:top w:val="nil"/>
              <w:left w:val="nil"/>
              <w:bottom w:val="nil"/>
              <w:right w:val="nil"/>
            </w:tcBorders>
            <w:shd w:val="clear" w:color="auto" w:fill="auto"/>
            <w:noWrap/>
            <w:vAlign w:val="center"/>
            <w:hideMark/>
          </w:tcPr>
          <w:p w14:paraId="1BF396CC" w14:textId="77777777" w:rsidR="001C7E53" w:rsidRPr="004852E2" w:rsidRDefault="001C7E53" w:rsidP="00C56803">
            <w:pPr>
              <w:spacing w:after="0"/>
              <w:jc w:val="center"/>
              <w:rPr>
                <w:rFonts w:ascii="Times New Roman" w:hAnsi="Times New Roman"/>
                <w:sz w:val="20"/>
              </w:rPr>
            </w:pPr>
          </w:p>
        </w:tc>
        <w:tc>
          <w:tcPr>
            <w:tcW w:w="1641" w:type="dxa"/>
            <w:tcBorders>
              <w:top w:val="nil"/>
              <w:left w:val="nil"/>
              <w:bottom w:val="nil"/>
              <w:right w:val="nil"/>
            </w:tcBorders>
            <w:shd w:val="clear" w:color="auto" w:fill="auto"/>
            <w:noWrap/>
            <w:vAlign w:val="center"/>
            <w:hideMark/>
          </w:tcPr>
          <w:p w14:paraId="6AECBDE3" w14:textId="77777777" w:rsidR="001C7E53" w:rsidRPr="004852E2" w:rsidRDefault="001C7E53" w:rsidP="00C56803">
            <w:pPr>
              <w:spacing w:after="0"/>
              <w:jc w:val="center"/>
              <w:rPr>
                <w:rFonts w:ascii="Times New Roman" w:hAnsi="Times New Roman"/>
                <w:sz w:val="20"/>
              </w:rPr>
            </w:pPr>
          </w:p>
        </w:tc>
      </w:tr>
      <w:tr w:rsidR="001C7E53" w:rsidRPr="004852E2" w14:paraId="485FF263" w14:textId="77777777" w:rsidTr="001D0062">
        <w:trPr>
          <w:trHeight w:val="340"/>
        </w:trPr>
        <w:tc>
          <w:tcPr>
            <w:tcW w:w="2734" w:type="dxa"/>
            <w:tcBorders>
              <w:top w:val="nil"/>
              <w:left w:val="nil"/>
              <w:bottom w:val="nil"/>
              <w:right w:val="nil"/>
            </w:tcBorders>
            <w:shd w:val="clear" w:color="auto" w:fill="auto"/>
            <w:noWrap/>
            <w:vAlign w:val="bottom"/>
            <w:hideMark/>
          </w:tcPr>
          <w:p w14:paraId="34226C1C" w14:textId="77777777" w:rsidR="001C7E53" w:rsidRPr="004852E2" w:rsidRDefault="001C7E53" w:rsidP="00F91AE4">
            <w:pPr>
              <w:pStyle w:val="TableTextLeft"/>
            </w:pPr>
            <w:r w:rsidRPr="004852E2">
              <w:t>25th percentile</w:t>
            </w:r>
          </w:p>
        </w:tc>
        <w:tc>
          <w:tcPr>
            <w:tcW w:w="3282" w:type="dxa"/>
            <w:gridSpan w:val="2"/>
            <w:tcBorders>
              <w:top w:val="nil"/>
              <w:left w:val="nil"/>
              <w:bottom w:val="nil"/>
              <w:right w:val="nil"/>
            </w:tcBorders>
            <w:shd w:val="clear" w:color="auto" w:fill="auto"/>
            <w:noWrap/>
            <w:vAlign w:val="center"/>
            <w:hideMark/>
          </w:tcPr>
          <w:p w14:paraId="279A2DDD" w14:textId="77777777" w:rsidR="001C7E53" w:rsidRPr="004852E2" w:rsidRDefault="001C7E53" w:rsidP="00C56803">
            <w:pPr>
              <w:pStyle w:val="TableTextCentered"/>
            </w:pPr>
            <w:r w:rsidRPr="004852E2">
              <w:t>0.1</w:t>
            </w:r>
            <w:r>
              <w:t>86</w:t>
            </w:r>
          </w:p>
        </w:tc>
        <w:tc>
          <w:tcPr>
            <w:tcW w:w="3282" w:type="dxa"/>
            <w:gridSpan w:val="2"/>
            <w:tcBorders>
              <w:top w:val="nil"/>
              <w:left w:val="nil"/>
              <w:bottom w:val="nil"/>
              <w:right w:val="nil"/>
            </w:tcBorders>
            <w:shd w:val="clear" w:color="auto" w:fill="auto"/>
            <w:noWrap/>
            <w:vAlign w:val="center"/>
            <w:hideMark/>
          </w:tcPr>
          <w:p w14:paraId="60DE39E5" w14:textId="77777777" w:rsidR="001C7E53" w:rsidRPr="004852E2" w:rsidRDefault="001C7E53" w:rsidP="00C56803">
            <w:pPr>
              <w:pStyle w:val="TableTextCentered"/>
            </w:pPr>
            <w:r w:rsidRPr="004852E2">
              <w:t>0.011</w:t>
            </w:r>
          </w:p>
        </w:tc>
      </w:tr>
      <w:tr w:rsidR="001C7E53" w:rsidRPr="004852E2" w14:paraId="66AB8AA2" w14:textId="77777777" w:rsidTr="001D0062">
        <w:trPr>
          <w:trHeight w:val="340"/>
        </w:trPr>
        <w:tc>
          <w:tcPr>
            <w:tcW w:w="2734" w:type="dxa"/>
            <w:tcBorders>
              <w:top w:val="nil"/>
              <w:left w:val="nil"/>
              <w:bottom w:val="nil"/>
              <w:right w:val="nil"/>
            </w:tcBorders>
            <w:shd w:val="clear" w:color="auto" w:fill="auto"/>
            <w:noWrap/>
            <w:vAlign w:val="bottom"/>
            <w:hideMark/>
          </w:tcPr>
          <w:p w14:paraId="23E2A4E5" w14:textId="77777777" w:rsidR="001C7E53" w:rsidRPr="004852E2" w:rsidRDefault="001C7E53" w:rsidP="00F91AE4">
            <w:pPr>
              <w:pStyle w:val="TableTextLeft"/>
            </w:pPr>
          </w:p>
        </w:tc>
        <w:tc>
          <w:tcPr>
            <w:tcW w:w="3282" w:type="dxa"/>
            <w:gridSpan w:val="2"/>
            <w:tcBorders>
              <w:top w:val="nil"/>
              <w:left w:val="nil"/>
              <w:bottom w:val="nil"/>
              <w:right w:val="nil"/>
            </w:tcBorders>
            <w:shd w:val="clear" w:color="auto" w:fill="auto"/>
            <w:noWrap/>
            <w:vAlign w:val="center"/>
            <w:hideMark/>
          </w:tcPr>
          <w:p w14:paraId="48DCB25E" w14:textId="77777777" w:rsidR="001C7E53" w:rsidRPr="004852E2" w:rsidRDefault="001C7E53" w:rsidP="00C56803">
            <w:pPr>
              <w:pStyle w:val="TableTextCentered"/>
              <w:rPr>
                <w:rFonts w:ascii="Times New Roman" w:hAnsi="Times New Roman"/>
              </w:rPr>
            </w:pPr>
          </w:p>
        </w:tc>
        <w:tc>
          <w:tcPr>
            <w:tcW w:w="3282" w:type="dxa"/>
            <w:gridSpan w:val="2"/>
            <w:tcBorders>
              <w:top w:val="nil"/>
              <w:left w:val="nil"/>
              <w:bottom w:val="nil"/>
              <w:right w:val="nil"/>
            </w:tcBorders>
            <w:shd w:val="clear" w:color="auto" w:fill="auto"/>
            <w:noWrap/>
            <w:vAlign w:val="center"/>
            <w:hideMark/>
          </w:tcPr>
          <w:p w14:paraId="55B39D6F" w14:textId="77777777" w:rsidR="001C7E53" w:rsidRPr="004852E2" w:rsidRDefault="001C7E53" w:rsidP="00C56803">
            <w:pPr>
              <w:pStyle w:val="TableTextCentered"/>
              <w:rPr>
                <w:rFonts w:ascii="Times New Roman" w:hAnsi="Times New Roman"/>
              </w:rPr>
            </w:pPr>
          </w:p>
        </w:tc>
      </w:tr>
      <w:tr w:rsidR="001C7E53" w:rsidRPr="004852E2" w14:paraId="030D55ED" w14:textId="77777777" w:rsidTr="001D0062">
        <w:trPr>
          <w:trHeight w:val="340"/>
        </w:trPr>
        <w:tc>
          <w:tcPr>
            <w:tcW w:w="2734" w:type="dxa"/>
            <w:tcBorders>
              <w:top w:val="nil"/>
              <w:left w:val="nil"/>
              <w:bottom w:val="nil"/>
              <w:right w:val="nil"/>
            </w:tcBorders>
            <w:shd w:val="clear" w:color="auto" w:fill="auto"/>
            <w:noWrap/>
            <w:vAlign w:val="bottom"/>
            <w:hideMark/>
          </w:tcPr>
          <w:p w14:paraId="5DF2447D" w14:textId="77777777" w:rsidR="001C7E53" w:rsidRPr="004852E2" w:rsidRDefault="001C7E53" w:rsidP="00F91AE4">
            <w:pPr>
              <w:pStyle w:val="TableTextLeft"/>
            </w:pPr>
            <w:r w:rsidRPr="004852E2">
              <w:t>Median</w:t>
            </w:r>
          </w:p>
        </w:tc>
        <w:tc>
          <w:tcPr>
            <w:tcW w:w="3282" w:type="dxa"/>
            <w:gridSpan w:val="2"/>
            <w:tcBorders>
              <w:top w:val="nil"/>
              <w:left w:val="nil"/>
              <w:bottom w:val="nil"/>
              <w:right w:val="nil"/>
            </w:tcBorders>
            <w:shd w:val="clear" w:color="auto" w:fill="auto"/>
            <w:noWrap/>
            <w:vAlign w:val="center"/>
            <w:hideMark/>
          </w:tcPr>
          <w:p w14:paraId="323A4EDF" w14:textId="77777777" w:rsidR="001C7E53" w:rsidRPr="004852E2" w:rsidRDefault="001C7E53" w:rsidP="00C56803">
            <w:pPr>
              <w:pStyle w:val="TableTextCentered"/>
            </w:pPr>
            <w:r w:rsidRPr="004852E2">
              <w:t>0.</w:t>
            </w:r>
            <w:r>
              <w:t>363</w:t>
            </w:r>
          </w:p>
        </w:tc>
        <w:tc>
          <w:tcPr>
            <w:tcW w:w="3282" w:type="dxa"/>
            <w:gridSpan w:val="2"/>
            <w:tcBorders>
              <w:top w:val="nil"/>
              <w:left w:val="nil"/>
              <w:bottom w:val="nil"/>
              <w:right w:val="nil"/>
            </w:tcBorders>
            <w:shd w:val="clear" w:color="auto" w:fill="auto"/>
            <w:noWrap/>
            <w:vAlign w:val="center"/>
            <w:hideMark/>
          </w:tcPr>
          <w:p w14:paraId="01F0843A" w14:textId="77777777" w:rsidR="001C7E53" w:rsidRPr="004852E2" w:rsidRDefault="001C7E53" w:rsidP="00C56803">
            <w:pPr>
              <w:pStyle w:val="TableTextCentered"/>
            </w:pPr>
            <w:r w:rsidRPr="004852E2">
              <w:t>0.031</w:t>
            </w:r>
          </w:p>
        </w:tc>
      </w:tr>
      <w:tr w:rsidR="001C7E53" w:rsidRPr="004852E2" w14:paraId="16D4F22B" w14:textId="77777777" w:rsidTr="001D0062">
        <w:trPr>
          <w:trHeight w:val="340"/>
        </w:trPr>
        <w:tc>
          <w:tcPr>
            <w:tcW w:w="2734" w:type="dxa"/>
            <w:tcBorders>
              <w:top w:val="nil"/>
              <w:left w:val="nil"/>
              <w:bottom w:val="nil"/>
              <w:right w:val="nil"/>
            </w:tcBorders>
            <w:shd w:val="clear" w:color="auto" w:fill="auto"/>
            <w:noWrap/>
            <w:vAlign w:val="bottom"/>
            <w:hideMark/>
          </w:tcPr>
          <w:p w14:paraId="31A62910" w14:textId="77777777" w:rsidR="001C7E53" w:rsidRPr="004852E2" w:rsidRDefault="001C7E53" w:rsidP="00F91AE4">
            <w:pPr>
              <w:pStyle w:val="TableTextLeft"/>
            </w:pPr>
          </w:p>
        </w:tc>
        <w:tc>
          <w:tcPr>
            <w:tcW w:w="1641" w:type="dxa"/>
            <w:tcBorders>
              <w:top w:val="nil"/>
              <w:left w:val="nil"/>
              <w:bottom w:val="nil"/>
              <w:right w:val="nil"/>
            </w:tcBorders>
            <w:shd w:val="clear" w:color="auto" w:fill="auto"/>
            <w:noWrap/>
            <w:vAlign w:val="center"/>
            <w:hideMark/>
          </w:tcPr>
          <w:p w14:paraId="4E820B9F"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6E04A987"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43E886EB"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4A8CCE58" w14:textId="77777777" w:rsidR="001C7E53" w:rsidRPr="004852E2" w:rsidRDefault="001C7E53" w:rsidP="00C56803">
            <w:pPr>
              <w:pStyle w:val="TableTextCentered"/>
              <w:rPr>
                <w:rFonts w:ascii="Times New Roman" w:hAnsi="Times New Roman"/>
              </w:rPr>
            </w:pPr>
          </w:p>
        </w:tc>
      </w:tr>
      <w:tr w:rsidR="001C7E53" w:rsidRPr="004852E2" w14:paraId="0B79841B" w14:textId="77777777" w:rsidTr="001D0062">
        <w:trPr>
          <w:trHeight w:val="340"/>
        </w:trPr>
        <w:tc>
          <w:tcPr>
            <w:tcW w:w="2734" w:type="dxa"/>
            <w:tcBorders>
              <w:top w:val="nil"/>
              <w:left w:val="nil"/>
              <w:bottom w:val="nil"/>
              <w:right w:val="nil"/>
            </w:tcBorders>
            <w:shd w:val="clear" w:color="auto" w:fill="auto"/>
            <w:noWrap/>
            <w:vAlign w:val="bottom"/>
            <w:hideMark/>
          </w:tcPr>
          <w:p w14:paraId="025B1A31" w14:textId="77777777" w:rsidR="001C7E53" w:rsidRPr="004852E2" w:rsidRDefault="001C7E53" w:rsidP="00F91AE4">
            <w:pPr>
              <w:pStyle w:val="TableTextLeft"/>
            </w:pPr>
            <w:r w:rsidRPr="004852E2">
              <w:t>Mean</w:t>
            </w:r>
          </w:p>
        </w:tc>
        <w:tc>
          <w:tcPr>
            <w:tcW w:w="3282" w:type="dxa"/>
            <w:gridSpan w:val="2"/>
            <w:tcBorders>
              <w:top w:val="nil"/>
              <w:left w:val="nil"/>
              <w:bottom w:val="nil"/>
              <w:right w:val="nil"/>
            </w:tcBorders>
            <w:shd w:val="clear" w:color="auto" w:fill="auto"/>
            <w:noWrap/>
            <w:vAlign w:val="center"/>
            <w:hideMark/>
          </w:tcPr>
          <w:p w14:paraId="7C08709C" w14:textId="77777777" w:rsidR="001C7E53" w:rsidRPr="004852E2" w:rsidRDefault="001C7E53" w:rsidP="00C56803">
            <w:pPr>
              <w:pStyle w:val="TableTextCentered"/>
            </w:pPr>
            <w:r w:rsidRPr="004852E2">
              <w:t>0.</w:t>
            </w:r>
            <w:r>
              <w:t>401</w:t>
            </w:r>
          </w:p>
        </w:tc>
        <w:tc>
          <w:tcPr>
            <w:tcW w:w="3282" w:type="dxa"/>
            <w:gridSpan w:val="2"/>
            <w:tcBorders>
              <w:top w:val="nil"/>
              <w:left w:val="nil"/>
              <w:bottom w:val="nil"/>
              <w:right w:val="nil"/>
            </w:tcBorders>
            <w:shd w:val="clear" w:color="auto" w:fill="auto"/>
            <w:noWrap/>
            <w:vAlign w:val="center"/>
            <w:hideMark/>
          </w:tcPr>
          <w:p w14:paraId="6AD51452" w14:textId="77777777" w:rsidR="001C7E53" w:rsidRPr="004852E2" w:rsidRDefault="001C7E53" w:rsidP="00C56803">
            <w:pPr>
              <w:pStyle w:val="TableTextCentered"/>
            </w:pPr>
            <w:r w:rsidRPr="004852E2">
              <w:t>0.103</w:t>
            </w:r>
          </w:p>
        </w:tc>
      </w:tr>
      <w:tr w:rsidR="001C7E53" w:rsidRPr="004852E2" w14:paraId="0CB97492" w14:textId="77777777" w:rsidTr="001D0062">
        <w:trPr>
          <w:trHeight w:val="340"/>
        </w:trPr>
        <w:tc>
          <w:tcPr>
            <w:tcW w:w="2734" w:type="dxa"/>
            <w:tcBorders>
              <w:top w:val="nil"/>
              <w:left w:val="nil"/>
              <w:bottom w:val="nil"/>
              <w:right w:val="nil"/>
            </w:tcBorders>
            <w:shd w:val="clear" w:color="auto" w:fill="auto"/>
            <w:noWrap/>
            <w:vAlign w:val="bottom"/>
            <w:hideMark/>
          </w:tcPr>
          <w:p w14:paraId="4FCDAC17" w14:textId="77777777" w:rsidR="001C7E53" w:rsidRPr="004852E2" w:rsidRDefault="001C7E53" w:rsidP="00F91AE4">
            <w:pPr>
              <w:pStyle w:val="TableTextLeft"/>
            </w:pPr>
          </w:p>
        </w:tc>
        <w:tc>
          <w:tcPr>
            <w:tcW w:w="1641" w:type="dxa"/>
            <w:tcBorders>
              <w:top w:val="nil"/>
              <w:left w:val="nil"/>
              <w:bottom w:val="nil"/>
              <w:right w:val="nil"/>
            </w:tcBorders>
            <w:shd w:val="clear" w:color="auto" w:fill="auto"/>
            <w:noWrap/>
            <w:vAlign w:val="center"/>
            <w:hideMark/>
          </w:tcPr>
          <w:p w14:paraId="204FD59C"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31C280B0"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0DCFB090" w14:textId="77777777" w:rsidR="001C7E53" w:rsidRPr="004852E2" w:rsidRDefault="001C7E53" w:rsidP="00C56803">
            <w:pPr>
              <w:pStyle w:val="TableTextCentered"/>
              <w:rPr>
                <w:rFonts w:ascii="Times New Roman" w:hAnsi="Times New Roman"/>
              </w:rPr>
            </w:pPr>
          </w:p>
        </w:tc>
        <w:tc>
          <w:tcPr>
            <w:tcW w:w="1641" w:type="dxa"/>
            <w:tcBorders>
              <w:top w:val="nil"/>
              <w:left w:val="nil"/>
              <w:bottom w:val="nil"/>
              <w:right w:val="nil"/>
            </w:tcBorders>
            <w:shd w:val="clear" w:color="auto" w:fill="auto"/>
            <w:noWrap/>
            <w:vAlign w:val="center"/>
            <w:hideMark/>
          </w:tcPr>
          <w:p w14:paraId="73B548DE" w14:textId="77777777" w:rsidR="001C7E53" w:rsidRPr="004852E2" w:rsidRDefault="001C7E53" w:rsidP="00C56803">
            <w:pPr>
              <w:pStyle w:val="TableTextCentered"/>
              <w:rPr>
                <w:rFonts w:ascii="Times New Roman" w:hAnsi="Times New Roman"/>
              </w:rPr>
            </w:pPr>
          </w:p>
        </w:tc>
      </w:tr>
      <w:tr w:rsidR="001C7E53" w:rsidRPr="004852E2" w14:paraId="48112A16" w14:textId="77777777" w:rsidTr="001D0062">
        <w:trPr>
          <w:trHeight w:val="340"/>
        </w:trPr>
        <w:tc>
          <w:tcPr>
            <w:tcW w:w="2734" w:type="dxa"/>
            <w:tcBorders>
              <w:top w:val="nil"/>
              <w:left w:val="nil"/>
              <w:bottom w:val="nil"/>
              <w:right w:val="nil"/>
            </w:tcBorders>
            <w:shd w:val="clear" w:color="auto" w:fill="auto"/>
            <w:noWrap/>
            <w:vAlign w:val="bottom"/>
            <w:hideMark/>
          </w:tcPr>
          <w:p w14:paraId="41B9CBB2" w14:textId="77777777" w:rsidR="001C7E53" w:rsidRPr="004852E2" w:rsidRDefault="001C7E53" w:rsidP="00F91AE4">
            <w:pPr>
              <w:pStyle w:val="TableTextLeft"/>
            </w:pPr>
            <w:r w:rsidRPr="004852E2">
              <w:t>75th percentile</w:t>
            </w:r>
          </w:p>
        </w:tc>
        <w:tc>
          <w:tcPr>
            <w:tcW w:w="3282" w:type="dxa"/>
            <w:gridSpan w:val="2"/>
            <w:tcBorders>
              <w:top w:val="nil"/>
              <w:left w:val="nil"/>
              <w:bottom w:val="nil"/>
              <w:right w:val="nil"/>
            </w:tcBorders>
            <w:shd w:val="clear" w:color="auto" w:fill="auto"/>
            <w:noWrap/>
            <w:vAlign w:val="center"/>
            <w:hideMark/>
          </w:tcPr>
          <w:p w14:paraId="0FC85085" w14:textId="77777777" w:rsidR="001C7E53" w:rsidRPr="004852E2" w:rsidRDefault="001C7E53" w:rsidP="00C56803">
            <w:pPr>
              <w:pStyle w:val="TableTextCentered"/>
            </w:pPr>
            <w:r w:rsidRPr="004852E2">
              <w:t>0.5</w:t>
            </w:r>
            <w:r>
              <w:t>84</w:t>
            </w:r>
          </w:p>
        </w:tc>
        <w:tc>
          <w:tcPr>
            <w:tcW w:w="3282" w:type="dxa"/>
            <w:gridSpan w:val="2"/>
            <w:tcBorders>
              <w:top w:val="nil"/>
              <w:left w:val="nil"/>
              <w:bottom w:val="nil"/>
              <w:right w:val="nil"/>
            </w:tcBorders>
            <w:shd w:val="clear" w:color="auto" w:fill="auto"/>
            <w:noWrap/>
            <w:vAlign w:val="center"/>
            <w:hideMark/>
          </w:tcPr>
          <w:p w14:paraId="12C5C487" w14:textId="77777777" w:rsidR="001C7E53" w:rsidRPr="004852E2" w:rsidRDefault="001C7E53" w:rsidP="00C56803">
            <w:pPr>
              <w:pStyle w:val="TableTextCentered"/>
            </w:pPr>
            <w:r w:rsidRPr="004852E2">
              <w:t>0.133</w:t>
            </w:r>
          </w:p>
        </w:tc>
      </w:tr>
      <w:tr w:rsidR="001C7E53" w:rsidRPr="004852E2" w14:paraId="03C9F8A1" w14:textId="77777777" w:rsidTr="001D0062">
        <w:trPr>
          <w:trHeight w:val="340"/>
        </w:trPr>
        <w:tc>
          <w:tcPr>
            <w:tcW w:w="2734" w:type="dxa"/>
            <w:tcBorders>
              <w:top w:val="nil"/>
              <w:left w:val="nil"/>
              <w:bottom w:val="single" w:sz="4" w:space="0" w:color="auto"/>
              <w:right w:val="nil"/>
            </w:tcBorders>
            <w:shd w:val="clear" w:color="auto" w:fill="auto"/>
            <w:noWrap/>
            <w:vAlign w:val="bottom"/>
            <w:hideMark/>
          </w:tcPr>
          <w:p w14:paraId="55886CED" w14:textId="77777777" w:rsidR="001C7E53" w:rsidRPr="004852E2" w:rsidRDefault="001C7E53" w:rsidP="00F91AE4">
            <w:pPr>
              <w:spacing w:after="0"/>
              <w:rPr>
                <w:rFonts w:cs="Calibri"/>
                <w:color w:val="000000"/>
                <w:sz w:val="20"/>
              </w:rPr>
            </w:pPr>
          </w:p>
        </w:tc>
        <w:tc>
          <w:tcPr>
            <w:tcW w:w="3282" w:type="dxa"/>
            <w:gridSpan w:val="2"/>
            <w:tcBorders>
              <w:top w:val="nil"/>
              <w:left w:val="nil"/>
              <w:bottom w:val="single" w:sz="4" w:space="0" w:color="auto"/>
              <w:right w:val="nil"/>
            </w:tcBorders>
            <w:shd w:val="clear" w:color="auto" w:fill="auto"/>
            <w:noWrap/>
            <w:vAlign w:val="center"/>
            <w:hideMark/>
          </w:tcPr>
          <w:p w14:paraId="6DC79F41" w14:textId="77777777" w:rsidR="001C7E53" w:rsidRPr="004852E2" w:rsidRDefault="001C7E53" w:rsidP="00F91AE4">
            <w:pPr>
              <w:spacing w:after="0"/>
              <w:rPr>
                <w:rFonts w:cs="Calibri"/>
                <w:color w:val="000000"/>
                <w:sz w:val="20"/>
              </w:rPr>
            </w:pPr>
          </w:p>
        </w:tc>
        <w:tc>
          <w:tcPr>
            <w:tcW w:w="3282" w:type="dxa"/>
            <w:gridSpan w:val="2"/>
            <w:tcBorders>
              <w:top w:val="nil"/>
              <w:left w:val="nil"/>
              <w:bottom w:val="single" w:sz="4" w:space="0" w:color="auto"/>
              <w:right w:val="nil"/>
            </w:tcBorders>
            <w:shd w:val="clear" w:color="auto" w:fill="auto"/>
            <w:noWrap/>
            <w:vAlign w:val="center"/>
            <w:hideMark/>
          </w:tcPr>
          <w:p w14:paraId="1E3574AE" w14:textId="77777777" w:rsidR="001C7E53" w:rsidRPr="004852E2" w:rsidRDefault="001C7E53" w:rsidP="00C56803">
            <w:pPr>
              <w:spacing w:after="0"/>
              <w:jc w:val="center"/>
              <w:rPr>
                <w:rFonts w:ascii="Times New Roman" w:hAnsi="Times New Roman"/>
                <w:sz w:val="20"/>
              </w:rPr>
            </w:pPr>
          </w:p>
        </w:tc>
      </w:tr>
    </w:tbl>
    <w:p w14:paraId="0A1AB0BA" w14:textId="66FF6B98" w:rsidR="001C7E53" w:rsidRPr="00D631BB" w:rsidRDefault="00611BD5" w:rsidP="00C56803">
      <w:pPr>
        <w:pStyle w:val="ChartorTableNote"/>
      </w:pPr>
      <w:r w:rsidRPr="000D6392">
        <w:rPr>
          <w:rFonts w:eastAsiaTheme="minorHAnsi"/>
          <w:lang w:eastAsia="en-US"/>
        </w:rPr>
        <w:t xml:space="preserve">Note: Reports summary statistics for local labour markets. Average taken for each market across </w:t>
      </w:r>
      <w:r>
        <w:rPr>
          <w:rFonts w:eastAsiaTheme="minorHAnsi"/>
          <w:lang w:eastAsia="en-US"/>
        </w:rPr>
        <w:t>2005</w:t>
      </w:r>
      <w:r w:rsidR="00232E17">
        <w:rPr>
          <w:rFonts w:eastAsiaTheme="minorHAnsi"/>
          <w:lang w:eastAsia="en-US"/>
        </w:rPr>
        <w:t>–</w:t>
      </w:r>
      <w:r>
        <w:rPr>
          <w:rFonts w:eastAsiaTheme="minorHAnsi"/>
          <w:lang w:eastAsia="en-US"/>
        </w:rPr>
        <w:t>2016</w:t>
      </w:r>
      <w:r w:rsidRPr="000D6392">
        <w:rPr>
          <w:rFonts w:eastAsiaTheme="minorHAnsi"/>
          <w:lang w:eastAsia="en-US"/>
        </w:rPr>
        <w:t>.</w:t>
      </w:r>
    </w:p>
    <w:p w14:paraId="10F418C9" w14:textId="7DD1B0F3" w:rsidR="001C7E53" w:rsidRDefault="00A15DA2" w:rsidP="00A15DA2">
      <w:pPr>
        <w:pStyle w:val="ChartMainHeading"/>
      </w:pPr>
      <w:r w:rsidRPr="00D631BB">
        <w:lastRenderedPageBreak/>
        <w:t xml:space="preserve">Figure A2: Unweighted </w:t>
      </w:r>
      <w:r>
        <w:t>a</w:t>
      </w:r>
      <w:r w:rsidRPr="00D631BB">
        <w:t xml:space="preserve">verage </w:t>
      </w:r>
      <w:r>
        <w:t>e</w:t>
      </w:r>
      <w:r w:rsidRPr="00D631BB">
        <w:t>mployment HHI for 2005</w:t>
      </w:r>
      <w:r>
        <w:noBreakHyphen/>
      </w:r>
      <w:r w:rsidRPr="00D631BB">
        <w:t xml:space="preserve">2016, by </w:t>
      </w:r>
      <w:r>
        <w:t>w</w:t>
      </w:r>
      <w:r w:rsidRPr="00D631BB">
        <w:t xml:space="preserve">orking </w:t>
      </w:r>
      <w:r>
        <w:t>z</w:t>
      </w:r>
      <w:r w:rsidRPr="00D631BB">
        <w:t>one</w:t>
      </w:r>
    </w:p>
    <w:p w14:paraId="03D45636" w14:textId="14FDD454" w:rsidR="00A15DA2" w:rsidRPr="00A15DA2" w:rsidRDefault="00A15DA2" w:rsidP="001D0062">
      <w:pPr>
        <w:pStyle w:val="ChartGraphic"/>
      </w:pPr>
      <w:r>
        <w:rPr>
          <w:noProof/>
        </w:rPr>
        <w:drawing>
          <wp:inline distT="0" distB="0" distL="0" distR="0" wp14:anchorId="68C752B6" wp14:editId="41BCF2CC">
            <wp:extent cx="5037238" cy="4238625"/>
            <wp:effectExtent l="0" t="0" r="0" b="0"/>
            <wp:docPr id="25" name="Picture 25" descr="This chart shows a map of Australia, broken into the working zones shown used in this paper. The working zones are coloured based on the degree of concentration in the market. The key message is that areas around capital city are less concentrated (as indicated by lighter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2" cstate="print">
                      <a:extLst>
                        <a:ext uri="{28A0092B-C50C-407E-A947-70E740481C1C}">
                          <a14:useLocalDpi xmlns:a14="http://schemas.microsoft.com/office/drawing/2010/main" val="0"/>
                        </a:ext>
                      </a:extLst>
                    </a:blip>
                    <a:srcRect r="10601"/>
                    <a:stretch>
                      <a:fillRect/>
                    </a:stretch>
                  </pic:blipFill>
                  <pic:spPr>
                    <a:xfrm>
                      <a:off x="0" y="0"/>
                      <a:ext cx="5037238" cy="4238625"/>
                    </a:xfrm>
                    <a:prstGeom prst="rect">
                      <a:avLst/>
                    </a:prstGeom>
                  </pic:spPr>
                </pic:pic>
              </a:graphicData>
            </a:graphic>
          </wp:inline>
        </w:drawing>
      </w:r>
    </w:p>
    <w:p w14:paraId="7F67804D" w14:textId="77777777" w:rsidR="001C7E53" w:rsidRDefault="001C7E53" w:rsidP="00F91AE4">
      <w:pPr>
        <w:spacing w:after="200" w:line="276" w:lineRule="auto"/>
        <w:rPr>
          <w:rFonts w:ascii="Arial Bold" w:hAnsi="Arial Bold" w:cs="Arial"/>
          <w:b/>
          <w:smallCaps/>
          <w:color w:val="003157"/>
          <w:sz w:val="32"/>
          <w:szCs w:val="32"/>
        </w:rPr>
      </w:pPr>
      <w:r>
        <w:br w:type="page"/>
      </w:r>
    </w:p>
    <w:tbl>
      <w:tblPr>
        <w:tblStyle w:val="TableGrid"/>
        <w:tblW w:w="5000" w:type="pct"/>
        <w:tblCellMar>
          <w:left w:w="0" w:type="dxa"/>
          <w:right w:w="0" w:type="dxa"/>
        </w:tblCellMar>
        <w:tblLook w:val="04A0" w:firstRow="1" w:lastRow="0" w:firstColumn="1" w:lastColumn="0" w:noHBand="0" w:noVBand="1"/>
      </w:tblPr>
      <w:tblGrid>
        <w:gridCol w:w="4535"/>
        <w:gridCol w:w="4535"/>
      </w:tblGrid>
      <w:tr w:rsidR="001C7E53" w14:paraId="118E4C40" w14:textId="77777777" w:rsidTr="001D0062">
        <w:trPr>
          <w:trHeight w:val="680"/>
        </w:trPr>
        <w:tc>
          <w:tcPr>
            <w:tcW w:w="4756" w:type="dxa"/>
            <w:shd w:val="clear" w:color="auto" w:fill="auto"/>
          </w:tcPr>
          <w:p w14:paraId="40B20D66" w14:textId="36467F0C" w:rsidR="001C7E53" w:rsidRPr="00D631BB" w:rsidRDefault="001C7E53" w:rsidP="00166B36">
            <w:pPr>
              <w:pStyle w:val="ChartMainHeading"/>
            </w:pPr>
            <w:r w:rsidRPr="00D631BB">
              <w:lastRenderedPageBreak/>
              <w:t>Figure A</w:t>
            </w:r>
            <w:r>
              <w:t>3</w:t>
            </w:r>
            <w:r w:rsidRPr="00D631BB">
              <w:t xml:space="preserve">: Average </w:t>
            </w:r>
            <w:r w:rsidR="00166B36">
              <w:t>s</w:t>
            </w:r>
            <w:r w:rsidRPr="00D631BB">
              <w:t>age HHI over time</w:t>
            </w:r>
          </w:p>
        </w:tc>
        <w:tc>
          <w:tcPr>
            <w:tcW w:w="4756" w:type="dxa"/>
            <w:shd w:val="clear" w:color="auto" w:fill="auto"/>
          </w:tcPr>
          <w:p w14:paraId="09B8CC9D" w14:textId="3FC387B7" w:rsidR="001C7E53" w:rsidRPr="00D631BB" w:rsidRDefault="001C7E53" w:rsidP="00166B36">
            <w:pPr>
              <w:pStyle w:val="ChartMainHeading"/>
            </w:pPr>
            <w:r w:rsidRPr="00D631BB">
              <w:t>Figure A</w:t>
            </w:r>
            <w:r>
              <w:t>4</w:t>
            </w:r>
            <w:r w:rsidRPr="00D631BB">
              <w:t xml:space="preserve">: Average </w:t>
            </w:r>
            <w:r w:rsidR="00166B36">
              <w:t>e</w:t>
            </w:r>
            <w:r w:rsidRPr="00D631BB">
              <w:t>mployment HHI over time, ANZSIC 2</w:t>
            </w:r>
            <w:r w:rsidR="0018466E">
              <w:noBreakHyphen/>
            </w:r>
            <w:r w:rsidRPr="00D631BB">
              <w:t>digit industries</w:t>
            </w:r>
          </w:p>
        </w:tc>
      </w:tr>
      <w:tr w:rsidR="001C7E53" w14:paraId="0FAD5862" w14:textId="77777777" w:rsidTr="001D0062">
        <w:trPr>
          <w:trHeight w:val="4323"/>
        </w:trPr>
        <w:tc>
          <w:tcPr>
            <w:tcW w:w="4756" w:type="dxa"/>
            <w:shd w:val="clear" w:color="auto" w:fill="auto"/>
          </w:tcPr>
          <w:p w14:paraId="1B0FE2FB" w14:textId="7D08806D" w:rsidR="001C7E53" w:rsidRDefault="00977B14" w:rsidP="00166B36">
            <w:pPr>
              <w:pStyle w:val="ChartGraphic"/>
            </w:pPr>
            <w:r>
              <w:rPr>
                <w:noProof/>
              </w:rPr>
              <w:drawing>
                <wp:inline distT="0" distB="0" distL="0" distR="0" wp14:anchorId="6750A29A" wp14:editId="52FB4B33">
                  <wp:extent cx="2883535" cy="2883535"/>
                  <wp:effectExtent l="0" t="0" r="0" b="0"/>
                  <wp:docPr id="20" name="Picture 20" descr="This chart shows the average HHI across markets over time, using unweighted averages of markets, and employment-weighted averages, based on wages rather than heads concentration. The unweighted is higher, but has been fairly stable. The weighted is lower, but has trended slightly down over the period 2005-2016. The right chart is very similar but using 2-digit ANZSIC industries to define local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chart shows the average HHI across markets over time, using unweighted averages of markets, and employment-weighted averages, based on wages rather than heads concentration. The unweighted is higher, but has been fairly stable. The weighted is lower, but has trended slightly down over the period 2005-2016. The right chart is very similar but using 2-digit ANZSIC industries to define local market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c>
          <w:tcPr>
            <w:tcW w:w="4756" w:type="dxa"/>
            <w:shd w:val="clear" w:color="auto" w:fill="auto"/>
          </w:tcPr>
          <w:p w14:paraId="4B8385B5" w14:textId="302B3136" w:rsidR="001C7E53" w:rsidRDefault="00977B14" w:rsidP="00166B36">
            <w:pPr>
              <w:pStyle w:val="ChartGraphic"/>
            </w:pPr>
            <w:r>
              <w:rPr>
                <w:noProof/>
              </w:rPr>
              <w:drawing>
                <wp:inline distT="0" distB="0" distL="0" distR="0" wp14:anchorId="628F9644" wp14:editId="1F53B507">
                  <wp:extent cx="2883535" cy="2883535"/>
                  <wp:effectExtent l="0" t="0" r="0" b="0"/>
                  <wp:docPr id="21" name="Picture 21" descr="This chart is very similar to Figure A3, but using 2-digit ANZSIC industries to define local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chart is very similar to Figure A3, but using 2-digit ANZSIC industries to define local market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r>
      <w:tr w:rsidR="001C7E53" w14:paraId="76FA7219" w14:textId="77777777" w:rsidTr="001D0062">
        <w:trPr>
          <w:trHeight w:val="421"/>
        </w:trPr>
        <w:tc>
          <w:tcPr>
            <w:tcW w:w="9512" w:type="dxa"/>
            <w:gridSpan w:val="2"/>
            <w:shd w:val="clear" w:color="auto" w:fill="auto"/>
          </w:tcPr>
          <w:p w14:paraId="08246319" w14:textId="6244C261" w:rsidR="001C7E53" w:rsidRDefault="001C7E53" w:rsidP="003F2100">
            <w:pPr>
              <w:pStyle w:val="ChartorTableNote"/>
              <w:jc w:val="left"/>
              <w:rPr>
                <w:b/>
                <w:noProof/>
              </w:rPr>
            </w:pPr>
            <w:r>
              <w:t>Source: Author</w:t>
            </w:r>
            <w:r w:rsidR="0018466E">
              <w:t>’</w:t>
            </w:r>
            <w:r>
              <w:t>s calculations</w:t>
            </w:r>
          </w:p>
        </w:tc>
      </w:tr>
      <w:tr w:rsidR="001C7E53" w14:paraId="7861BA82" w14:textId="77777777" w:rsidTr="001D0062">
        <w:trPr>
          <w:trHeight w:val="680"/>
        </w:trPr>
        <w:tc>
          <w:tcPr>
            <w:tcW w:w="4756" w:type="dxa"/>
            <w:shd w:val="clear" w:color="auto" w:fill="auto"/>
          </w:tcPr>
          <w:p w14:paraId="00F815E2" w14:textId="16511B6C" w:rsidR="001C7E53" w:rsidRPr="00D631BB" w:rsidRDefault="001C7E53" w:rsidP="00445AAB">
            <w:pPr>
              <w:pStyle w:val="ChartMainHeading"/>
            </w:pPr>
            <w:r w:rsidRPr="00D631BB">
              <w:t>Figure A</w:t>
            </w:r>
            <w:r>
              <w:t>5</w:t>
            </w:r>
            <w:r w:rsidRPr="00D631BB">
              <w:t xml:space="preserve">: Average </w:t>
            </w:r>
            <w:r w:rsidR="00445AAB">
              <w:t>e</w:t>
            </w:r>
            <w:r w:rsidRPr="00D631BB">
              <w:t>mployment HHI over time, SA4/Greater Capital City location</w:t>
            </w:r>
          </w:p>
        </w:tc>
        <w:tc>
          <w:tcPr>
            <w:tcW w:w="4756" w:type="dxa"/>
            <w:shd w:val="clear" w:color="auto" w:fill="auto"/>
          </w:tcPr>
          <w:p w14:paraId="486C28B0" w14:textId="5FFC9743" w:rsidR="001C7E53" w:rsidRPr="00D631BB" w:rsidRDefault="001C7E53" w:rsidP="00445AAB">
            <w:pPr>
              <w:pStyle w:val="ChartMainHeading"/>
            </w:pPr>
            <w:r w:rsidRPr="00D631BB">
              <w:t>Figure A</w:t>
            </w:r>
            <w:r>
              <w:t>6</w:t>
            </w:r>
            <w:r w:rsidRPr="00D631BB">
              <w:t xml:space="preserve">: Average </w:t>
            </w:r>
            <w:r w:rsidR="00445AAB">
              <w:t>e</w:t>
            </w:r>
            <w:r w:rsidRPr="00D631BB">
              <w:t>mployment HHI over time, ANZSIC division by ANZSCO 2</w:t>
            </w:r>
            <w:r w:rsidR="0018466E">
              <w:noBreakHyphen/>
            </w:r>
            <w:r w:rsidRPr="00D631BB">
              <w:t>digit occupations</w:t>
            </w:r>
          </w:p>
        </w:tc>
      </w:tr>
      <w:tr w:rsidR="001C7E53" w14:paraId="42AF21D5" w14:textId="77777777" w:rsidTr="001D0062">
        <w:trPr>
          <w:trHeight w:val="4438"/>
        </w:trPr>
        <w:tc>
          <w:tcPr>
            <w:tcW w:w="4756" w:type="dxa"/>
            <w:shd w:val="clear" w:color="auto" w:fill="auto"/>
          </w:tcPr>
          <w:p w14:paraId="583CF8F9" w14:textId="4039914E" w:rsidR="001C7E53" w:rsidRPr="00093DE9" w:rsidRDefault="00E36FF6" w:rsidP="00445AAB">
            <w:pPr>
              <w:pStyle w:val="ChartGraphic"/>
            </w:pPr>
            <w:r w:rsidRPr="00093DE9">
              <w:rPr>
                <w:rStyle w:val="CommentReference"/>
                <w:rFonts w:eastAsiaTheme="minorHAnsi"/>
                <w:noProof/>
                <w:sz w:val="20"/>
                <w:szCs w:val="20"/>
              </w:rPr>
              <w:drawing>
                <wp:inline distT="0" distB="0" distL="0" distR="0" wp14:anchorId="187E91AF" wp14:editId="36617CF7">
                  <wp:extent cx="2883535" cy="2883535"/>
                  <wp:effectExtent l="0" t="0" r="0" b="0"/>
                  <wp:docPr id="22" name="Picture 22" descr="This chart shows the average HHI across markets over time, using unweighted averages of markets, and employment-weighted averages, based on SA4 locations. The unweighted is higher, but has been fairly stable. The weighted is lower, but has trended slightly down over the period 2005-2016. The right chart is very similar but using ANZSIC divisions and 2-digit ANZSCO codes to define local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is chart shows the average HHI across markets over time, using unweighted averages of markets, and employment-weighted averages, based on SA4 locations. The unweighted is higher, but has been fairly stable. The weighted is lower, but has trended slightly down over the period 2005-2016. The right chart is very similar but using ANZSIC divisions and 2-digit ANZSCO codes to define local market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c>
          <w:tcPr>
            <w:tcW w:w="4756" w:type="dxa"/>
            <w:shd w:val="clear" w:color="auto" w:fill="auto"/>
          </w:tcPr>
          <w:p w14:paraId="36284A17" w14:textId="74820F6D" w:rsidR="001C7E53" w:rsidRDefault="00E36FF6" w:rsidP="00445AAB">
            <w:pPr>
              <w:pStyle w:val="ChartGraphic"/>
            </w:pPr>
            <w:r>
              <w:rPr>
                <w:noProof/>
              </w:rPr>
              <w:drawing>
                <wp:inline distT="0" distB="0" distL="0" distR="0" wp14:anchorId="71803154" wp14:editId="4338EE85">
                  <wp:extent cx="2883535" cy="2883535"/>
                  <wp:effectExtent l="0" t="0" r="0" b="0"/>
                  <wp:docPr id="23" name="Picture 23" descr="This chart is very similar to Figure A5, but using ANZSIC divisions and 2-digit ANZSCO codes to define local 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is chart is very similar to Figure A5, but using ANZSIC divisions and 2-digit ANZSCO codes to define local market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83535" cy="2883535"/>
                          </a:xfrm>
                          <a:prstGeom prst="rect">
                            <a:avLst/>
                          </a:prstGeom>
                          <a:noFill/>
                        </pic:spPr>
                      </pic:pic>
                    </a:graphicData>
                  </a:graphic>
                </wp:inline>
              </w:drawing>
            </w:r>
          </w:p>
        </w:tc>
      </w:tr>
    </w:tbl>
    <w:p w14:paraId="53B1BB2C" w14:textId="30A2BAA4" w:rsidR="001C7E53" w:rsidRPr="00611BD5" w:rsidRDefault="001C7E53" w:rsidP="003F2100">
      <w:pPr>
        <w:pStyle w:val="ChartorTableNote"/>
        <w:jc w:val="left"/>
      </w:pPr>
      <w:r w:rsidRPr="00611BD5">
        <w:t>Source: Author</w:t>
      </w:r>
      <w:r w:rsidR="0018466E">
        <w:t>’</w:t>
      </w:r>
      <w:r w:rsidRPr="00611BD5">
        <w:t xml:space="preserve">s calculations </w:t>
      </w:r>
      <w:r w:rsidRPr="00611BD5">
        <w:br w:type="page"/>
      </w:r>
    </w:p>
    <w:tbl>
      <w:tblPr>
        <w:tblStyle w:val="TableGrid"/>
        <w:tblW w:w="5000" w:type="pct"/>
        <w:tblCellMar>
          <w:left w:w="0" w:type="dxa"/>
          <w:right w:w="0" w:type="dxa"/>
        </w:tblCellMar>
        <w:tblLook w:val="04A0" w:firstRow="1" w:lastRow="0" w:firstColumn="1" w:lastColumn="0" w:noHBand="0" w:noVBand="1"/>
      </w:tblPr>
      <w:tblGrid>
        <w:gridCol w:w="4534"/>
        <w:gridCol w:w="4536"/>
      </w:tblGrid>
      <w:tr w:rsidR="001C7E53" w14:paraId="568453A2" w14:textId="77777777" w:rsidTr="001D0062">
        <w:trPr>
          <w:trHeight w:val="671"/>
        </w:trPr>
        <w:tc>
          <w:tcPr>
            <w:tcW w:w="4756" w:type="dxa"/>
            <w:shd w:val="clear" w:color="auto" w:fill="auto"/>
          </w:tcPr>
          <w:p w14:paraId="64667C2C" w14:textId="0DE1AA43" w:rsidR="001C7E53" w:rsidRPr="00D631BB" w:rsidRDefault="001C7E53" w:rsidP="00736D24">
            <w:pPr>
              <w:pStyle w:val="ChartMainHeading"/>
              <w:rPr>
                <w:noProof/>
              </w:rPr>
            </w:pPr>
            <w:r w:rsidRPr="00D631BB">
              <w:lastRenderedPageBreak/>
              <w:t>Figure A</w:t>
            </w:r>
            <w:r>
              <w:t>7</w:t>
            </w:r>
            <w:r w:rsidRPr="00D631BB">
              <w:t xml:space="preserve">: Entry </w:t>
            </w:r>
            <w:r w:rsidR="00736D24">
              <w:t>r</w:t>
            </w:r>
            <w:r w:rsidRPr="00D631BB">
              <w:t xml:space="preserve">ate vs </w:t>
            </w:r>
            <w:r w:rsidR="00736D24">
              <w:t>o</w:t>
            </w:r>
            <w:r w:rsidRPr="00D631BB">
              <w:t>ld</w:t>
            </w:r>
            <w:r w:rsidR="0018466E">
              <w:noBreakHyphen/>
            </w:r>
            <w:r w:rsidRPr="00D631BB">
              <w:t>to</w:t>
            </w:r>
            <w:r w:rsidR="0018466E">
              <w:noBreakHyphen/>
            </w:r>
            <w:r w:rsidRPr="00D631BB">
              <w:t xml:space="preserve">old firm </w:t>
            </w:r>
            <w:r w:rsidR="00736D24">
              <w:t>j</w:t>
            </w:r>
            <w:r w:rsidRPr="00D631BB">
              <w:t>ob</w:t>
            </w:r>
            <w:r w:rsidR="0018466E">
              <w:noBreakHyphen/>
            </w:r>
            <w:r w:rsidRPr="00D631BB">
              <w:t>to</w:t>
            </w:r>
            <w:r w:rsidR="0018466E">
              <w:noBreakHyphen/>
            </w:r>
            <w:r w:rsidRPr="00D631BB">
              <w:t xml:space="preserve">job </w:t>
            </w:r>
            <w:r w:rsidR="00736D24">
              <w:t>s</w:t>
            </w:r>
            <w:r w:rsidRPr="00D631BB">
              <w:t>witching by SA4 for 2002</w:t>
            </w:r>
            <w:r w:rsidR="0018466E">
              <w:noBreakHyphen/>
            </w:r>
            <w:r w:rsidRPr="00D631BB">
              <w:t>2016</w:t>
            </w:r>
          </w:p>
        </w:tc>
        <w:tc>
          <w:tcPr>
            <w:tcW w:w="4873" w:type="dxa"/>
            <w:shd w:val="clear" w:color="auto" w:fill="auto"/>
          </w:tcPr>
          <w:p w14:paraId="4AB6811F" w14:textId="2D5E1B52" w:rsidR="001C7E53" w:rsidRPr="00D631BB" w:rsidRDefault="001C7E53" w:rsidP="00736D24">
            <w:pPr>
              <w:pStyle w:val="ChartMainHeading"/>
            </w:pPr>
            <w:r w:rsidRPr="00D631BB">
              <w:t>Figure A</w:t>
            </w:r>
            <w:r>
              <w:t>8</w:t>
            </w:r>
            <w:r w:rsidRPr="00D631BB">
              <w:t xml:space="preserve">: Entry </w:t>
            </w:r>
            <w:r w:rsidR="00736D24">
              <w:t>r</w:t>
            </w:r>
            <w:r w:rsidRPr="00D631BB">
              <w:t xml:space="preserve">ate vs </w:t>
            </w:r>
            <w:r w:rsidR="00736D24">
              <w:t>y</w:t>
            </w:r>
            <w:r w:rsidRPr="00D631BB">
              <w:t>oung</w:t>
            </w:r>
            <w:r w:rsidR="0018466E">
              <w:noBreakHyphen/>
            </w:r>
            <w:r w:rsidRPr="00D631BB">
              <w:t>to</w:t>
            </w:r>
            <w:r w:rsidR="0018466E">
              <w:noBreakHyphen/>
            </w:r>
            <w:r w:rsidRPr="00D631BB">
              <w:t xml:space="preserve">old </w:t>
            </w:r>
            <w:r w:rsidR="00736D24">
              <w:t>f</w:t>
            </w:r>
            <w:r w:rsidRPr="00D631BB">
              <w:t xml:space="preserve">irm </w:t>
            </w:r>
            <w:r w:rsidR="00736D24">
              <w:t>j</w:t>
            </w:r>
            <w:r w:rsidRPr="00D631BB">
              <w:t>ob</w:t>
            </w:r>
            <w:r w:rsidR="0018466E">
              <w:noBreakHyphen/>
            </w:r>
            <w:r w:rsidRPr="00D631BB">
              <w:t>to</w:t>
            </w:r>
            <w:r w:rsidR="0018466E">
              <w:noBreakHyphen/>
            </w:r>
            <w:r w:rsidRPr="00D631BB">
              <w:t xml:space="preserve">job </w:t>
            </w:r>
            <w:r w:rsidR="00736D24">
              <w:t>s</w:t>
            </w:r>
            <w:r w:rsidRPr="00D631BB">
              <w:t>witching by SA4 for 2002</w:t>
            </w:r>
            <w:r w:rsidR="0018466E">
              <w:noBreakHyphen/>
            </w:r>
            <w:r w:rsidRPr="00D631BB">
              <w:t>2016</w:t>
            </w:r>
          </w:p>
        </w:tc>
      </w:tr>
      <w:tr w:rsidR="001C7E53" w14:paraId="1B75F133" w14:textId="77777777" w:rsidTr="001D0062">
        <w:trPr>
          <w:trHeight w:val="3221"/>
        </w:trPr>
        <w:tc>
          <w:tcPr>
            <w:tcW w:w="4756" w:type="dxa"/>
            <w:shd w:val="clear" w:color="auto" w:fill="auto"/>
          </w:tcPr>
          <w:p w14:paraId="2D8951BC" w14:textId="77777777" w:rsidR="001C7E53" w:rsidRDefault="001C7E53" w:rsidP="00736D24">
            <w:pPr>
              <w:pStyle w:val="ChartGraphic"/>
              <w:rPr>
                <w:b/>
              </w:rPr>
            </w:pPr>
            <w:r>
              <w:rPr>
                <w:noProof/>
              </w:rPr>
              <w:drawing>
                <wp:inline distT="0" distB="0" distL="0" distR="0" wp14:anchorId="33527115" wp14:editId="05618E01">
                  <wp:extent cx="2879090" cy="1974850"/>
                  <wp:effectExtent l="0" t="0" r="0" b="6350"/>
                  <wp:docPr id="35" name="Picture 35" descr="This chart is a scatter plot of entry rates for areas, against job switching rates from mature to mature firms in the area. The relationship is fairly weak. The right chart plots entry rates against job switching between mature and young firms. There is a strong positive relationship with switching being more frequent when entry is hi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is chart is a scatter plot of entry rates for areas, against job switching rates from mature to mature firms in the area. The relationship is fairly weak. The right chart plots entry rates against job switching between mature and young firms. There is a strong positive relationship with switching being more frequent when entry is higher."/>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t="13947" b="7204"/>
                          <a:stretch/>
                        </pic:blipFill>
                        <pic:spPr bwMode="auto">
                          <a:xfrm>
                            <a:off x="0" y="0"/>
                            <a:ext cx="2880000" cy="1975474"/>
                          </a:xfrm>
                          <a:prstGeom prst="rect">
                            <a:avLst/>
                          </a:prstGeom>
                          <a:noFill/>
                          <a:ln>
                            <a:noFill/>
                          </a:ln>
                          <a:extLst>
                            <a:ext uri="{53640926-AAD7-44D8-BBD7-CCE9431645EC}">
                              <a14:shadowObscured xmlns:a14="http://schemas.microsoft.com/office/drawing/2010/main"/>
                            </a:ext>
                          </a:extLst>
                        </pic:spPr>
                      </pic:pic>
                    </a:graphicData>
                  </a:graphic>
                </wp:inline>
              </w:drawing>
            </w:r>
            <w:r w:rsidRPr="009D76DB">
              <w:rPr>
                <w:rStyle w:val="CommentReference"/>
                <w:rFonts w:eastAsiaTheme="minorHAnsi"/>
                <w:b/>
              </w:rPr>
              <w:t xml:space="preserve"> </w:t>
            </w:r>
          </w:p>
        </w:tc>
        <w:tc>
          <w:tcPr>
            <w:tcW w:w="4873" w:type="dxa"/>
            <w:shd w:val="clear" w:color="auto" w:fill="auto"/>
          </w:tcPr>
          <w:p w14:paraId="081151A6" w14:textId="77777777" w:rsidR="001C7E53" w:rsidRDefault="001C7E53" w:rsidP="00736D24">
            <w:pPr>
              <w:pStyle w:val="ChartGraphic"/>
            </w:pPr>
            <w:r>
              <w:rPr>
                <w:noProof/>
              </w:rPr>
              <w:drawing>
                <wp:inline distT="0" distB="0" distL="0" distR="0" wp14:anchorId="480A081A" wp14:editId="7B8C43EF">
                  <wp:extent cx="2880000" cy="1980000"/>
                  <wp:effectExtent l="0" t="0" r="0" b="1270"/>
                  <wp:docPr id="36" name="Picture 36" descr="This chart plots entry rates against job switching between mature and young firms. There is a strong positive relationship with switching being more frequent when entry is hig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36" descr="This chart plots entry rates against job switching between mature and young firms. There is a strong positive relationship with switching being more frequent when entry is higher."/>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14556" b="12371"/>
                          <a:stretch/>
                        </pic:blipFill>
                        <pic:spPr bwMode="auto">
                          <a:xfrm>
                            <a:off x="0" y="0"/>
                            <a:ext cx="2880000" cy="19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C7E53" w14:paraId="66EE5554" w14:textId="77777777" w:rsidTr="001D0062">
        <w:trPr>
          <w:trHeight w:val="1303"/>
        </w:trPr>
        <w:tc>
          <w:tcPr>
            <w:tcW w:w="9629" w:type="dxa"/>
            <w:gridSpan w:val="2"/>
            <w:shd w:val="clear" w:color="auto" w:fill="auto"/>
          </w:tcPr>
          <w:p w14:paraId="6810C8A5" w14:textId="06F49F10" w:rsidR="001C7E53" w:rsidRPr="009A60AC" w:rsidRDefault="001C7E53" w:rsidP="00F91AE4">
            <w:pPr>
              <w:pStyle w:val="ChartorTableNote"/>
              <w:jc w:val="left"/>
            </w:pPr>
            <w:r>
              <w:t>Note: Plots entry rates for SA4s or greater capital city areas versus the job</w:t>
            </w:r>
            <w:r w:rsidR="0018466E">
              <w:noBreakHyphen/>
            </w:r>
            <w:r>
              <w:t>to</w:t>
            </w:r>
            <w:r w:rsidR="0018466E">
              <w:noBreakHyphen/>
            </w:r>
            <w:r>
              <w:t>job switching rate. This is shown having residualised with respect to time effects, area effects, and the employment share of young firms. Approximately 780</w:t>
            </w:r>
            <w:r w:rsidR="00232E17">
              <w:t> </w:t>
            </w:r>
            <w:r>
              <w:t xml:space="preserve">SA4*year combinations based on 120 million workers. </w:t>
            </w:r>
            <w:r>
              <w:br/>
              <w:t>Source: Author</w:t>
            </w:r>
            <w:r w:rsidR="0018466E">
              <w:t>’</w:t>
            </w:r>
            <w:r w:rsidR="009A60AC">
              <w:t>s calculations</w:t>
            </w:r>
          </w:p>
        </w:tc>
      </w:tr>
    </w:tbl>
    <w:p w14:paraId="604C6D3A" w14:textId="77777777" w:rsidR="001C7E53" w:rsidRDefault="001C7E53" w:rsidP="00F91AE4">
      <w:pPr>
        <w:pStyle w:val="AppendixHeadingLevel2NotNumbered"/>
      </w:pPr>
    </w:p>
    <w:p w14:paraId="6F07319E" w14:textId="77777777" w:rsidR="001C7E53" w:rsidRDefault="001C7E53" w:rsidP="00F91AE4">
      <w:pPr>
        <w:spacing w:after="200" w:line="276" w:lineRule="auto"/>
        <w:rPr>
          <w:rFonts w:ascii="Arial Bold" w:hAnsi="Arial Bold" w:cs="Arial"/>
          <w:b/>
          <w:smallCaps/>
          <w:color w:val="003157"/>
          <w:sz w:val="32"/>
          <w:szCs w:val="32"/>
        </w:rPr>
      </w:pPr>
      <w:r>
        <w:br w:type="page"/>
      </w:r>
    </w:p>
    <w:p w14:paraId="02077BA7" w14:textId="327E451E" w:rsidR="001C7E53" w:rsidRDefault="001C7E53" w:rsidP="00F91AE4">
      <w:pPr>
        <w:pStyle w:val="AppendixHeadingLevel2NotNumbered"/>
      </w:pPr>
      <w:r>
        <w:lastRenderedPageBreak/>
        <w:t>Appendix B: Regression robustness results</w:t>
      </w:r>
    </w:p>
    <w:p w14:paraId="312E6BFD" w14:textId="1AE197BA" w:rsidR="00611BD5" w:rsidRPr="00611BD5" w:rsidRDefault="00611BD5" w:rsidP="00F91AE4">
      <w:pPr>
        <w:pStyle w:val="TableMainHeading"/>
      </w:pPr>
      <w:r>
        <w:t>Table</w:t>
      </w:r>
      <w:r w:rsidRPr="00DD6AAE">
        <w:t xml:space="preserve"> B1: Fixed effects</w:t>
      </w:r>
      <w:r w:rsidR="006D1604">
        <w:t xml:space="preserve"> – </w:t>
      </w:r>
      <w:r w:rsidRPr="00DD6AAE">
        <w:t>Local market model</w:t>
      </w:r>
    </w:p>
    <w:tbl>
      <w:tblPr>
        <w:tblW w:w="5000" w:type="pct"/>
        <w:tblLook w:val="04A0" w:firstRow="1" w:lastRow="0" w:firstColumn="1" w:lastColumn="0" w:noHBand="0" w:noVBand="1"/>
      </w:tblPr>
      <w:tblGrid>
        <w:gridCol w:w="2172"/>
        <w:gridCol w:w="1026"/>
        <w:gridCol w:w="1043"/>
        <w:gridCol w:w="1216"/>
        <w:gridCol w:w="1026"/>
        <w:gridCol w:w="1026"/>
        <w:gridCol w:w="1561"/>
      </w:tblGrid>
      <w:tr w:rsidR="001C7E53" w:rsidRPr="00DD6AAE" w14:paraId="45CCCEB2" w14:textId="77777777" w:rsidTr="000E4236">
        <w:trPr>
          <w:trHeight w:val="298"/>
        </w:trPr>
        <w:tc>
          <w:tcPr>
            <w:tcW w:w="2196" w:type="dxa"/>
            <w:tcBorders>
              <w:top w:val="nil"/>
              <w:left w:val="nil"/>
              <w:bottom w:val="single" w:sz="4" w:space="0" w:color="auto"/>
              <w:right w:val="nil"/>
            </w:tcBorders>
            <w:shd w:val="clear" w:color="auto" w:fill="auto"/>
            <w:noWrap/>
            <w:vAlign w:val="bottom"/>
            <w:hideMark/>
          </w:tcPr>
          <w:p w14:paraId="197BD46B" w14:textId="77777777" w:rsidR="001C7E53" w:rsidRPr="00DD6AAE" w:rsidRDefault="001C7E53" w:rsidP="00F91AE4">
            <w:pPr>
              <w:spacing w:after="0"/>
              <w:rPr>
                <w:rFonts w:cs="Calibri"/>
                <w:color w:val="000000"/>
                <w:sz w:val="20"/>
              </w:rPr>
            </w:pPr>
            <w:r w:rsidRPr="00DD6AAE">
              <w:rPr>
                <w:rFonts w:cs="Calibri"/>
                <w:color w:val="000000"/>
                <w:sz w:val="20"/>
              </w:rPr>
              <w:t> </w:t>
            </w:r>
          </w:p>
        </w:tc>
        <w:tc>
          <w:tcPr>
            <w:tcW w:w="3320" w:type="dxa"/>
            <w:gridSpan w:val="3"/>
            <w:tcBorders>
              <w:top w:val="nil"/>
              <w:left w:val="nil"/>
              <w:bottom w:val="single" w:sz="4" w:space="0" w:color="auto"/>
              <w:right w:val="nil"/>
            </w:tcBorders>
            <w:shd w:val="clear" w:color="auto" w:fill="auto"/>
            <w:noWrap/>
            <w:vAlign w:val="center"/>
            <w:hideMark/>
          </w:tcPr>
          <w:p w14:paraId="3E90CC09" w14:textId="77777777" w:rsidR="001C7E53" w:rsidRPr="00DD6AAE" w:rsidRDefault="001C7E53" w:rsidP="00C84FB6">
            <w:pPr>
              <w:pStyle w:val="TableColumnHeadingCentred"/>
            </w:pPr>
            <w:r w:rsidRPr="00DD6AAE">
              <w:t>Headcount</w:t>
            </w:r>
          </w:p>
        </w:tc>
        <w:tc>
          <w:tcPr>
            <w:tcW w:w="3652" w:type="dxa"/>
            <w:gridSpan w:val="3"/>
            <w:tcBorders>
              <w:top w:val="nil"/>
              <w:left w:val="nil"/>
              <w:bottom w:val="single" w:sz="4" w:space="0" w:color="auto"/>
              <w:right w:val="nil"/>
            </w:tcBorders>
            <w:shd w:val="clear" w:color="auto" w:fill="auto"/>
            <w:noWrap/>
            <w:vAlign w:val="center"/>
            <w:hideMark/>
          </w:tcPr>
          <w:p w14:paraId="53F053D4" w14:textId="77777777" w:rsidR="001C7E53" w:rsidRPr="00DD6AAE" w:rsidRDefault="001C7E53" w:rsidP="00C84FB6">
            <w:pPr>
              <w:pStyle w:val="TableColumnHeadingCentred"/>
            </w:pPr>
            <w:r w:rsidRPr="00DD6AAE">
              <w:t>Wages</w:t>
            </w:r>
          </w:p>
        </w:tc>
      </w:tr>
      <w:tr w:rsidR="001C7E53" w:rsidRPr="00DD6AAE" w14:paraId="23B8E74D" w14:textId="77777777" w:rsidTr="000E4236">
        <w:trPr>
          <w:trHeight w:val="298"/>
        </w:trPr>
        <w:tc>
          <w:tcPr>
            <w:tcW w:w="2196" w:type="dxa"/>
            <w:tcBorders>
              <w:top w:val="nil"/>
              <w:left w:val="nil"/>
              <w:bottom w:val="single" w:sz="4" w:space="0" w:color="auto"/>
              <w:right w:val="nil"/>
            </w:tcBorders>
            <w:shd w:val="clear" w:color="auto" w:fill="auto"/>
            <w:noWrap/>
            <w:vAlign w:val="bottom"/>
            <w:hideMark/>
          </w:tcPr>
          <w:p w14:paraId="5D2264F8" w14:textId="77777777" w:rsidR="001C7E53" w:rsidRPr="00DD6AAE" w:rsidRDefault="001C7E53" w:rsidP="00F91AE4">
            <w:pPr>
              <w:spacing w:after="0"/>
              <w:rPr>
                <w:rFonts w:cs="Calibri"/>
                <w:color w:val="000000"/>
                <w:sz w:val="20"/>
              </w:rPr>
            </w:pPr>
            <w:r w:rsidRPr="00DD6AAE">
              <w:rPr>
                <w:rFonts w:cs="Calibri"/>
                <w:color w:val="000000"/>
                <w:sz w:val="20"/>
              </w:rPr>
              <w:t> </w:t>
            </w:r>
          </w:p>
        </w:tc>
        <w:tc>
          <w:tcPr>
            <w:tcW w:w="1037" w:type="dxa"/>
            <w:tcBorders>
              <w:top w:val="single" w:sz="4" w:space="0" w:color="auto"/>
              <w:left w:val="nil"/>
              <w:bottom w:val="single" w:sz="4" w:space="0" w:color="auto"/>
              <w:right w:val="nil"/>
            </w:tcBorders>
            <w:shd w:val="clear" w:color="auto" w:fill="auto"/>
            <w:noWrap/>
            <w:vAlign w:val="center"/>
            <w:hideMark/>
          </w:tcPr>
          <w:p w14:paraId="0B8863ED" w14:textId="77777777" w:rsidR="001C7E53" w:rsidRPr="00DD6AAE" w:rsidRDefault="001C7E53" w:rsidP="00C84FB6">
            <w:pPr>
              <w:pStyle w:val="TableColumnHeadingCentred"/>
            </w:pPr>
            <w:r w:rsidRPr="00DD6AAE">
              <w:t>None</w:t>
            </w:r>
          </w:p>
        </w:tc>
        <w:tc>
          <w:tcPr>
            <w:tcW w:w="1054" w:type="dxa"/>
            <w:tcBorders>
              <w:top w:val="single" w:sz="4" w:space="0" w:color="auto"/>
              <w:left w:val="nil"/>
              <w:bottom w:val="single" w:sz="4" w:space="0" w:color="auto"/>
              <w:right w:val="nil"/>
            </w:tcBorders>
            <w:shd w:val="clear" w:color="auto" w:fill="auto"/>
            <w:noWrap/>
            <w:vAlign w:val="center"/>
            <w:hideMark/>
          </w:tcPr>
          <w:p w14:paraId="0A6E28CF" w14:textId="77777777" w:rsidR="001C7E53" w:rsidRPr="00DD6AAE" w:rsidRDefault="001C7E53" w:rsidP="00C84FB6">
            <w:pPr>
              <w:pStyle w:val="TableColumnHeadingCentred"/>
            </w:pPr>
            <w:r w:rsidRPr="00DD6AAE">
              <w:t>Local</w:t>
            </w:r>
          </w:p>
        </w:tc>
        <w:tc>
          <w:tcPr>
            <w:tcW w:w="1229" w:type="dxa"/>
            <w:tcBorders>
              <w:top w:val="single" w:sz="4" w:space="0" w:color="auto"/>
              <w:left w:val="nil"/>
              <w:bottom w:val="single" w:sz="4" w:space="0" w:color="auto"/>
              <w:right w:val="nil"/>
            </w:tcBorders>
            <w:shd w:val="clear" w:color="auto" w:fill="auto"/>
            <w:noWrap/>
            <w:vAlign w:val="center"/>
            <w:hideMark/>
          </w:tcPr>
          <w:p w14:paraId="3F203908" w14:textId="77777777" w:rsidR="001C7E53" w:rsidRPr="00DD6AAE" w:rsidRDefault="001C7E53" w:rsidP="00C84FB6">
            <w:pPr>
              <w:pStyle w:val="TableColumnHeadingCentred"/>
            </w:pPr>
            <w:r w:rsidRPr="00DD6AAE">
              <w:t>Time trends</w:t>
            </w:r>
          </w:p>
        </w:tc>
        <w:tc>
          <w:tcPr>
            <w:tcW w:w="1037" w:type="dxa"/>
            <w:tcBorders>
              <w:top w:val="single" w:sz="4" w:space="0" w:color="auto"/>
              <w:left w:val="nil"/>
              <w:bottom w:val="single" w:sz="4" w:space="0" w:color="auto"/>
              <w:right w:val="nil"/>
            </w:tcBorders>
            <w:shd w:val="clear" w:color="auto" w:fill="auto"/>
            <w:noWrap/>
            <w:vAlign w:val="center"/>
            <w:hideMark/>
          </w:tcPr>
          <w:p w14:paraId="5238CBB6" w14:textId="77777777" w:rsidR="001C7E53" w:rsidRPr="00DD6AAE" w:rsidRDefault="001C7E53" w:rsidP="00C84FB6">
            <w:pPr>
              <w:pStyle w:val="TableColumnHeadingCentred"/>
            </w:pPr>
            <w:r w:rsidRPr="00DD6AAE">
              <w:t>None</w:t>
            </w:r>
          </w:p>
        </w:tc>
        <w:tc>
          <w:tcPr>
            <w:tcW w:w="1037" w:type="dxa"/>
            <w:tcBorders>
              <w:top w:val="single" w:sz="4" w:space="0" w:color="auto"/>
              <w:left w:val="nil"/>
              <w:bottom w:val="single" w:sz="4" w:space="0" w:color="auto"/>
              <w:right w:val="nil"/>
            </w:tcBorders>
            <w:shd w:val="clear" w:color="auto" w:fill="auto"/>
            <w:noWrap/>
            <w:vAlign w:val="center"/>
            <w:hideMark/>
          </w:tcPr>
          <w:p w14:paraId="67EBDCDB" w14:textId="77777777" w:rsidR="001C7E53" w:rsidRPr="00DD6AAE" w:rsidRDefault="001C7E53" w:rsidP="00C84FB6">
            <w:pPr>
              <w:pStyle w:val="TableColumnHeadingCentred"/>
            </w:pPr>
            <w:r w:rsidRPr="00DD6AAE">
              <w:t>Local</w:t>
            </w:r>
          </w:p>
        </w:tc>
        <w:tc>
          <w:tcPr>
            <w:tcW w:w="1578" w:type="dxa"/>
            <w:tcBorders>
              <w:top w:val="single" w:sz="4" w:space="0" w:color="auto"/>
              <w:left w:val="nil"/>
              <w:bottom w:val="single" w:sz="4" w:space="0" w:color="auto"/>
              <w:right w:val="nil"/>
            </w:tcBorders>
            <w:shd w:val="clear" w:color="auto" w:fill="auto"/>
            <w:noWrap/>
            <w:vAlign w:val="center"/>
            <w:hideMark/>
          </w:tcPr>
          <w:p w14:paraId="5E84B24C" w14:textId="77777777" w:rsidR="001C7E53" w:rsidRPr="00DD6AAE" w:rsidRDefault="001C7E53" w:rsidP="00C84FB6">
            <w:pPr>
              <w:pStyle w:val="TableColumnHeadingCentred"/>
            </w:pPr>
            <w:r w:rsidRPr="00DD6AAE">
              <w:t>Time trends</w:t>
            </w:r>
          </w:p>
        </w:tc>
      </w:tr>
      <w:tr w:rsidR="001C7E53" w:rsidRPr="00DD6AAE" w14:paraId="29203EE4" w14:textId="77777777" w:rsidTr="000E4236">
        <w:trPr>
          <w:trHeight w:val="258"/>
        </w:trPr>
        <w:tc>
          <w:tcPr>
            <w:tcW w:w="2196" w:type="dxa"/>
            <w:tcBorders>
              <w:top w:val="nil"/>
              <w:left w:val="nil"/>
              <w:bottom w:val="nil"/>
              <w:right w:val="nil"/>
            </w:tcBorders>
            <w:shd w:val="clear" w:color="auto" w:fill="auto"/>
            <w:noWrap/>
            <w:vAlign w:val="bottom"/>
            <w:hideMark/>
          </w:tcPr>
          <w:p w14:paraId="078E38B6" w14:textId="77777777" w:rsidR="001C7E53" w:rsidRPr="00DD6AAE" w:rsidRDefault="001C7E53" w:rsidP="00F91AE4">
            <w:pPr>
              <w:pStyle w:val="TableTextLeft"/>
            </w:pPr>
          </w:p>
        </w:tc>
        <w:tc>
          <w:tcPr>
            <w:tcW w:w="1037" w:type="dxa"/>
            <w:tcBorders>
              <w:top w:val="single" w:sz="4" w:space="0" w:color="auto"/>
              <w:left w:val="nil"/>
              <w:bottom w:val="nil"/>
              <w:right w:val="nil"/>
            </w:tcBorders>
            <w:shd w:val="clear" w:color="auto" w:fill="auto"/>
            <w:noWrap/>
            <w:vAlign w:val="center"/>
            <w:hideMark/>
          </w:tcPr>
          <w:p w14:paraId="76225962" w14:textId="77777777" w:rsidR="001C7E53" w:rsidRPr="00DD6AAE" w:rsidRDefault="001C7E53" w:rsidP="00C84FB6">
            <w:pPr>
              <w:pStyle w:val="TableTextCentered"/>
            </w:pPr>
            <w:r w:rsidRPr="00DD6AAE">
              <w:t> </w:t>
            </w:r>
          </w:p>
        </w:tc>
        <w:tc>
          <w:tcPr>
            <w:tcW w:w="1054" w:type="dxa"/>
            <w:tcBorders>
              <w:top w:val="single" w:sz="4" w:space="0" w:color="auto"/>
              <w:left w:val="nil"/>
              <w:bottom w:val="nil"/>
              <w:right w:val="nil"/>
            </w:tcBorders>
            <w:shd w:val="clear" w:color="auto" w:fill="auto"/>
            <w:noWrap/>
            <w:vAlign w:val="center"/>
            <w:hideMark/>
          </w:tcPr>
          <w:p w14:paraId="1ECBF871" w14:textId="77777777" w:rsidR="001C7E53" w:rsidRPr="00DD6AAE" w:rsidRDefault="001C7E53" w:rsidP="00C84FB6">
            <w:pPr>
              <w:pStyle w:val="TableTextCentered"/>
            </w:pPr>
            <w:r w:rsidRPr="00DD6AAE">
              <w:t> </w:t>
            </w:r>
          </w:p>
        </w:tc>
        <w:tc>
          <w:tcPr>
            <w:tcW w:w="1229" w:type="dxa"/>
            <w:tcBorders>
              <w:top w:val="single" w:sz="4" w:space="0" w:color="auto"/>
              <w:left w:val="nil"/>
              <w:bottom w:val="nil"/>
              <w:right w:val="nil"/>
            </w:tcBorders>
            <w:shd w:val="clear" w:color="auto" w:fill="auto"/>
            <w:noWrap/>
            <w:vAlign w:val="center"/>
            <w:hideMark/>
          </w:tcPr>
          <w:p w14:paraId="1206DA00" w14:textId="77777777" w:rsidR="001C7E53" w:rsidRPr="00DD6AAE" w:rsidRDefault="001C7E53" w:rsidP="00C84FB6">
            <w:pPr>
              <w:pStyle w:val="TableTextCentered"/>
            </w:pPr>
            <w:r w:rsidRPr="00DD6AAE">
              <w:t> </w:t>
            </w:r>
          </w:p>
        </w:tc>
        <w:tc>
          <w:tcPr>
            <w:tcW w:w="1037" w:type="dxa"/>
            <w:tcBorders>
              <w:top w:val="single" w:sz="4" w:space="0" w:color="auto"/>
              <w:left w:val="nil"/>
              <w:bottom w:val="nil"/>
              <w:right w:val="nil"/>
            </w:tcBorders>
            <w:shd w:val="clear" w:color="auto" w:fill="auto"/>
            <w:noWrap/>
            <w:vAlign w:val="center"/>
            <w:hideMark/>
          </w:tcPr>
          <w:p w14:paraId="2BE5E866" w14:textId="77777777" w:rsidR="001C7E53" w:rsidRPr="00DD6AAE" w:rsidRDefault="001C7E53" w:rsidP="00C84FB6">
            <w:pPr>
              <w:pStyle w:val="TableTextCentered"/>
            </w:pPr>
            <w:r w:rsidRPr="00DD6AAE">
              <w:t> </w:t>
            </w:r>
          </w:p>
        </w:tc>
        <w:tc>
          <w:tcPr>
            <w:tcW w:w="1037" w:type="dxa"/>
            <w:tcBorders>
              <w:top w:val="single" w:sz="4" w:space="0" w:color="auto"/>
              <w:left w:val="nil"/>
              <w:bottom w:val="nil"/>
              <w:right w:val="nil"/>
            </w:tcBorders>
            <w:shd w:val="clear" w:color="auto" w:fill="auto"/>
            <w:noWrap/>
            <w:vAlign w:val="center"/>
            <w:hideMark/>
          </w:tcPr>
          <w:p w14:paraId="2E1165F3" w14:textId="77777777" w:rsidR="001C7E53" w:rsidRPr="00DD6AAE" w:rsidRDefault="001C7E53" w:rsidP="00C84FB6">
            <w:pPr>
              <w:pStyle w:val="TableTextCentered"/>
            </w:pPr>
            <w:r w:rsidRPr="00DD6AAE">
              <w:t> </w:t>
            </w:r>
          </w:p>
        </w:tc>
        <w:tc>
          <w:tcPr>
            <w:tcW w:w="1578" w:type="dxa"/>
            <w:tcBorders>
              <w:top w:val="single" w:sz="4" w:space="0" w:color="auto"/>
              <w:left w:val="nil"/>
              <w:bottom w:val="nil"/>
              <w:right w:val="nil"/>
            </w:tcBorders>
            <w:shd w:val="clear" w:color="auto" w:fill="auto"/>
            <w:noWrap/>
            <w:vAlign w:val="center"/>
            <w:hideMark/>
          </w:tcPr>
          <w:p w14:paraId="6C80ED65" w14:textId="77777777" w:rsidR="001C7E53" w:rsidRPr="00DD6AAE" w:rsidRDefault="001C7E53" w:rsidP="00C84FB6">
            <w:pPr>
              <w:pStyle w:val="TableTextCentered"/>
            </w:pPr>
            <w:r w:rsidRPr="00DD6AAE">
              <w:t> </w:t>
            </w:r>
          </w:p>
        </w:tc>
      </w:tr>
      <w:tr w:rsidR="001C7E53" w:rsidRPr="00DD6AAE" w14:paraId="250A3C5B" w14:textId="77777777" w:rsidTr="000E4236">
        <w:trPr>
          <w:trHeight w:val="298"/>
        </w:trPr>
        <w:tc>
          <w:tcPr>
            <w:tcW w:w="2196" w:type="dxa"/>
            <w:tcBorders>
              <w:top w:val="nil"/>
              <w:left w:val="nil"/>
              <w:bottom w:val="nil"/>
              <w:right w:val="nil"/>
            </w:tcBorders>
            <w:shd w:val="clear" w:color="auto" w:fill="auto"/>
            <w:noWrap/>
            <w:vAlign w:val="bottom"/>
            <w:hideMark/>
          </w:tcPr>
          <w:p w14:paraId="55198CC4" w14:textId="77777777" w:rsidR="001C7E53" w:rsidRPr="00DD6AAE" w:rsidRDefault="001C7E53" w:rsidP="00F91AE4">
            <w:pPr>
              <w:pStyle w:val="TableTextLeft"/>
            </w:pPr>
            <w:r w:rsidRPr="00DD6AAE">
              <w:t>Concentration</w:t>
            </w:r>
            <w:r>
              <w:t xml:space="preserve"> (HHI)</w:t>
            </w:r>
          </w:p>
        </w:tc>
        <w:tc>
          <w:tcPr>
            <w:tcW w:w="1037" w:type="dxa"/>
            <w:tcBorders>
              <w:top w:val="nil"/>
              <w:left w:val="nil"/>
              <w:bottom w:val="nil"/>
              <w:right w:val="nil"/>
            </w:tcBorders>
            <w:shd w:val="clear" w:color="auto" w:fill="auto"/>
            <w:noWrap/>
            <w:vAlign w:val="center"/>
            <w:hideMark/>
          </w:tcPr>
          <w:p w14:paraId="503A102C" w14:textId="540BEE1F" w:rsidR="001C7E53" w:rsidRPr="00DD6AAE" w:rsidRDefault="0018466E" w:rsidP="00C84FB6">
            <w:pPr>
              <w:pStyle w:val="TableTextCentered"/>
            </w:pPr>
            <w:r>
              <w:noBreakHyphen/>
            </w:r>
            <w:r w:rsidR="001C7E53" w:rsidRPr="00DD6AAE">
              <w:t>0.162***</w:t>
            </w:r>
          </w:p>
        </w:tc>
        <w:tc>
          <w:tcPr>
            <w:tcW w:w="1054" w:type="dxa"/>
            <w:tcBorders>
              <w:top w:val="nil"/>
              <w:left w:val="nil"/>
              <w:bottom w:val="nil"/>
              <w:right w:val="nil"/>
            </w:tcBorders>
            <w:shd w:val="clear" w:color="auto" w:fill="auto"/>
            <w:noWrap/>
            <w:vAlign w:val="center"/>
            <w:hideMark/>
          </w:tcPr>
          <w:p w14:paraId="5E8B4113" w14:textId="68D2472C" w:rsidR="001C7E53" w:rsidRPr="00DD6AAE" w:rsidRDefault="0018466E" w:rsidP="00C84FB6">
            <w:pPr>
              <w:pStyle w:val="TableTextCentered"/>
            </w:pPr>
            <w:r>
              <w:noBreakHyphen/>
            </w:r>
            <w:r w:rsidR="001C7E53" w:rsidRPr="00DD6AAE">
              <w:t>0.153***</w:t>
            </w:r>
          </w:p>
        </w:tc>
        <w:tc>
          <w:tcPr>
            <w:tcW w:w="1229" w:type="dxa"/>
            <w:tcBorders>
              <w:top w:val="nil"/>
              <w:left w:val="nil"/>
              <w:bottom w:val="nil"/>
              <w:right w:val="nil"/>
            </w:tcBorders>
            <w:shd w:val="clear" w:color="auto" w:fill="auto"/>
            <w:noWrap/>
            <w:vAlign w:val="center"/>
            <w:hideMark/>
          </w:tcPr>
          <w:p w14:paraId="1F4C4E9F" w14:textId="5DCB5FAB" w:rsidR="001C7E53" w:rsidRPr="00DD6AAE" w:rsidRDefault="0018466E" w:rsidP="00C84FB6">
            <w:pPr>
              <w:pStyle w:val="TableTextCentered"/>
            </w:pPr>
            <w:r>
              <w:noBreakHyphen/>
            </w:r>
            <w:r w:rsidR="001C7E53" w:rsidRPr="00DD6AAE">
              <w:t>0.122***</w:t>
            </w:r>
          </w:p>
        </w:tc>
        <w:tc>
          <w:tcPr>
            <w:tcW w:w="1037" w:type="dxa"/>
            <w:tcBorders>
              <w:top w:val="nil"/>
              <w:left w:val="nil"/>
              <w:bottom w:val="nil"/>
              <w:right w:val="nil"/>
            </w:tcBorders>
            <w:shd w:val="clear" w:color="auto" w:fill="auto"/>
            <w:noWrap/>
            <w:vAlign w:val="center"/>
            <w:hideMark/>
          </w:tcPr>
          <w:p w14:paraId="4D70DFA2" w14:textId="5C7032D1" w:rsidR="001C7E53" w:rsidRPr="00DD6AAE" w:rsidRDefault="0018466E" w:rsidP="00C84FB6">
            <w:pPr>
              <w:pStyle w:val="TableTextCentered"/>
            </w:pPr>
            <w:r>
              <w:noBreakHyphen/>
            </w:r>
            <w:r w:rsidR="001C7E53" w:rsidRPr="00DD6AAE">
              <w:t>0.238***</w:t>
            </w:r>
          </w:p>
        </w:tc>
        <w:tc>
          <w:tcPr>
            <w:tcW w:w="1037" w:type="dxa"/>
            <w:tcBorders>
              <w:top w:val="nil"/>
              <w:left w:val="nil"/>
              <w:bottom w:val="nil"/>
              <w:right w:val="nil"/>
            </w:tcBorders>
            <w:shd w:val="clear" w:color="auto" w:fill="auto"/>
            <w:noWrap/>
            <w:vAlign w:val="center"/>
            <w:hideMark/>
          </w:tcPr>
          <w:p w14:paraId="7E403AB1" w14:textId="42EECB77" w:rsidR="001C7E53" w:rsidRPr="00DD6AAE" w:rsidRDefault="0018466E" w:rsidP="00C84FB6">
            <w:pPr>
              <w:pStyle w:val="TableTextCentered"/>
            </w:pPr>
            <w:r>
              <w:noBreakHyphen/>
            </w:r>
            <w:r w:rsidR="001C7E53" w:rsidRPr="00DD6AAE">
              <w:t>0.359***</w:t>
            </w:r>
          </w:p>
        </w:tc>
        <w:tc>
          <w:tcPr>
            <w:tcW w:w="1578" w:type="dxa"/>
            <w:tcBorders>
              <w:top w:val="nil"/>
              <w:left w:val="nil"/>
              <w:bottom w:val="nil"/>
              <w:right w:val="nil"/>
            </w:tcBorders>
            <w:shd w:val="clear" w:color="auto" w:fill="auto"/>
            <w:noWrap/>
            <w:vAlign w:val="center"/>
            <w:hideMark/>
          </w:tcPr>
          <w:p w14:paraId="01188746" w14:textId="520714A6" w:rsidR="001C7E53" w:rsidRPr="00DD6AAE" w:rsidRDefault="0018466E" w:rsidP="00C84FB6">
            <w:pPr>
              <w:pStyle w:val="TableTextCentered"/>
            </w:pPr>
            <w:r>
              <w:noBreakHyphen/>
            </w:r>
            <w:r w:rsidR="001C7E53" w:rsidRPr="00DD6AAE">
              <w:t>0.311***</w:t>
            </w:r>
          </w:p>
        </w:tc>
      </w:tr>
      <w:tr w:rsidR="001C7E53" w:rsidRPr="00DD6AAE" w14:paraId="11C2CA09" w14:textId="77777777" w:rsidTr="000E4236">
        <w:trPr>
          <w:trHeight w:val="298"/>
        </w:trPr>
        <w:tc>
          <w:tcPr>
            <w:tcW w:w="2196" w:type="dxa"/>
            <w:tcBorders>
              <w:top w:val="nil"/>
              <w:left w:val="nil"/>
              <w:bottom w:val="nil"/>
              <w:right w:val="nil"/>
            </w:tcBorders>
            <w:shd w:val="clear" w:color="auto" w:fill="auto"/>
            <w:noWrap/>
            <w:vAlign w:val="bottom"/>
            <w:hideMark/>
          </w:tcPr>
          <w:p w14:paraId="14BA442E" w14:textId="77777777" w:rsidR="001C7E53" w:rsidRPr="00DD6AAE" w:rsidRDefault="001C7E53" w:rsidP="00F91AE4">
            <w:pPr>
              <w:pStyle w:val="TableTextLeft"/>
            </w:pPr>
          </w:p>
        </w:tc>
        <w:tc>
          <w:tcPr>
            <w:tcW w:w="1037" w:type="dxa"/>
            <w:tcBorders>
              <w:top w:val="nil"/>
              <w:left w:val="nil"/>
              <w:bottom w:val="nil"/>
              <w:right w:val="nil"/>
            </w:tcBorders>
            <w:shd w:val="clear" w:color="auto" w:fill="auto"/>
            <w:noWrap/>
            <w:vAlign w:val="center"/>
            <w:hideMark/>
          </w:tcPr>
          <w:p w14:paraId="48D664E0" w14:textId="77777777" w:rsidR="001C7E53" w:rsidRPr="00DD6AAE" w:rsidRDefault="001C7E53" w:rsidP="00C84FB6">
            <w:pPr>
              <w:pStyle w:val="TableTextCentered"/>
            </w:pPr>
            <w:r w:rsidRPr="00DD6AAE">
              <w:t>(0.012)</w:t>
            </w:r>
          </w:p>
        </w:tc>
        <w:tc>
          <w:tcPr>
            <w:tcW w:w="1054" w:type="dxa"/>
            <w:tcBorders>
              <w:top w:val="nil"/>
              <w:left w:val="nil"/>
              <w:bottom w:val="nil"/>
              <w:right w:val="nil"/>
            </w:tcBorders>
            <w:shd w:val="clear" w:color="auto" w:fill="auto"/>
            <w:noWrap/>
            <w:vAlign w:val="center"/>
            <w:hideMark/>
          </w:tcPr>
          <w:p w14:paraId="63E8C47F" w14:textId="20D4EAAC" w:rsidR="001C7E53" w:rsidRPr="00DD6AAE" w:rsidRDefault="0018466E" w:rsidP="00C84FB6">
            <w:pPr>
              <w:pStyle w:val="TableTextCentered"/>
            </w:pPr>
            <w:r>
              <w:noBreakHyphen/>
            </w:r>
            <w:r w:rsidR="001C7E53" w:rsidRPr="00DD6AAE">
              <w:t>0.015</w:t>
            </w:r>
          </w:p>
        </w:tc>
        <w:tc>
          <w:tcPr>
            <w:tcW w:w="1229" w:type="dxa"/>
            <w:tcBorders>
              <w:top w:val="nil"/>
              <w:left w:val="nil"/>
              <w:bottom w:val="nil"/>
              <w:right w:val="nil"/>
            </w:tcBorders>
            <w:shd w:val="clear" w:color="auto" w:fill="auto"/>
            <w:noWrap/>
            <w:vAlign w:val="center"/>
            <w:hideMark/>
          </w:tcPr>
          <w:p w14:paraId="73C7197F" w14:textId="77777777" w:rsidR="001C7E53" w:rsidRPr="00DD6AAE" w:rsidRDefault="001C7E53" w:rsidP="00C84FB6">
            <w:pPr>
              <w:pStyle w:val="TableTextCentered"/>
            </w:pPr>
            <w:r w:rsidRPr="00DD6AAE">
              <w:t>(0.014)</w:t>
            </w:r>
          </w:p>
        </w:tc>
        <w:tc>
          <w:tcPr>
            <w:tcW w:w="1037" w:type="dxa"/>
            <w:tcBorders>
              <w:top w:val="nil"/>
              <w:left w:val="nil"/>
              <w:bottom w:val="nil"/>
              <w:right w:val="nil"/>
            </w:tcBorders>
            <w:shd w:val="clear" w:color="auto" w:fill="auto"/>
            <w:noWrap/>
            <w:vAlign w:val="center"/>
            <w:hideMark/>
          </w:tcPr>
          <w:p w14:paraId="382A036A" w14:textId="77777777" w:rsidR="001C7E53" w:rsidRPr="00DD6AAE" w:rsidRDefault="001C7E53" w:rsidP="00C84FB6">
            <w:pPr>
              <w:pStyle w:val="TableTextCentered"/>
            </w:pPr>
            <w:r w:rsidRPr="00DD6AAE">
              <w:t>(0.012)</w:t>
            </w:r>
          </w:p>
        </w:tc>
        <w:tc>
          <w:tcPr>
            <w:tcW w:w="1037" w:type="dxa"/>
            <w:tcBorders>
              <w:top w:val="nil"/>
              <w:left w:val="nil"/>
              <w:bottom w:val="nil"/>
              <w:right w:val="nil"/>
            </w:tcBorders>
            <w:shd w:val="clear" w:color="auto" w:fill="auto"/>
            <w:noWrap/>
            <w:vAlign w:val="center"/>
            <w:hideMark/>
          </w:tcPr>
          <w:p w14:paraId="3ED1D119" w14:textId="77777777" w:rsidR="001C7E53" w:rsidRPr="00DD6AAE" w:rsidRDefault="001C7E53" w:rsidP="00C84FB6">
            <w:pPr>
              <w:pStyle w:val="TableTextCentered"/>
            </w:pPr>
            <w:r w:rsidRPr="00DD6AAE">
              <w:t>(0.015)</w:t>
            </w:r>
          </w:p>
        </w:tc>
        <w:tc>
          <w:tcPr>
            <w:tcW w:w="1578" w:type="dxa"/>
            <w:tcBorders>
              <w:top w:val="nil"/>
              <w:left w:val="nil"/>
              <w:bottom w:val="nil"/>
              <w:right w:val="nil"/>
            </w:tcBorders>
            <w:shd w:val="clear" w:color="auto" w:fill="auto"/>
            <w:noWrap/>
            <w:vAlign w:val="center"/>
            <w:hideMark/>
          </w:tcPr>
          <w:p w14:paraId="124F92E3" w14:textId="40033084" w:rsidR="001C7E53" w:rsidRPr="00DD6AAE" w:rsidRDefault="0018466E" w:rsidP="00C84FB6">
            <w:pPr>
              <w:pStyle w:val="TableTextCentered"/>
            </w:pPr>
            <w:r>
              <w:noBreakHyphen/>
            </w:r>
            <w:r w:rsidR="001C7E53" w:rsidRPr="00DD6AAE">
              <w:t>0.025</w:t>
            </w:r>
          </w:p>
        </w:tc>
      </w:tr>
      <w:tr w:rsidR="001C7E53" w:rsidRPr="00DD6AAE" w14:paraId="1F2B216F" w14:textId="77777777" w:rsidTr="000E4236">
        <w:trPr>
          <w:trHeight w:val="298"/>
        </w:trPr>
        <w:tc>
          <w:tcPr>
            <w:tcW w:w="2196" w:type="dxa"/>
            <w:tcBorders>
              <w:top w:val="nil"/>
              <w:left w:val="nil"/>
              <w:bottom w:val="nil"/>
              <w:right w:val="nil"/>
            </w:tcBorders>
            <w:shd w:val="clear" w:color="auto" w:fill="auto"/>
            <w:noWrap/>
            <w:vAlign w:val="bottom"/>
            <w:hideMark/>
          </w:tcPr>
          <w:p w14:paraId="78CD7E41" w14:textId="77777777" w:rsidR="001C7E53" w:rsidRPr="00DD6AAE" w:rsidRDefault="001C7E53" w:rsidP="00F91AE4">
            <w:pPr>
              <w:pStyle w:val="TableTextLeft"/>
            </w:pPr>
          </w:p>
        </w:tc>
        <w:tc>
          <w:tcPr>
            <w:tcW w:w="1037" w:type="dxa"/>
            <w:tcBorders>
              <w:top w:val="nil"/>
              <w:left w:val="nil"/>
              <w:bottom w:val="nil"/>
              <w:right w:val="nil"/>
            </w:tcBorders>
            <w:shd w:val="clear" w:color="auto" w:fill="auto"/>
            <w:noWrap/>
            <w:vAlign w:val="center"/>
            <w:hideMark/>
          </w:tcPr>
          <w:p w14:paraId="7E716C49" w14:textId="77777777" w:rsidR="001C7E53" w:rsidRPr="00DD6AAE" w:rsidRDefault="001C7E53" w:rsidP="00C84FB6">
            <w:pPr>
              <w:pStyle w:val="TableTextCentered"/>
              <w:rPr>
                <w:rFonts w:ascii="Times New Roman" w:hAnsi="Times New Roman"/>
              </w:rPr>
            </w:pPr>
          </w:p>
        </w:tc>
        <w:tc>
          <w:tcPr>
            <w:tcW w:w="1054" w:type="dxa"/>
            <w:tcBorders>
              <w:top w:val="nil"/>
              <w:left w:val="nil"/>
              <w:bottom w:val="nil"/>
              <w:right w:val="nil"/>
            </w:tcBorders>
            <w:shd w:val="clear" w:color="auto" w:fill="auto"/>
            <w:noWrap/>
            <w:vAlign w:val="center"/>
            <w:hideMark/>
          </w:tcPr>
          <w:p w14:paraId="60542347" w14:textId="77777777" w:rsidR="001C7E53" w:rsidRPr="00DD6AAE" w:rsidRDefault="001C7E53" w:rsidP="00C84FB6">
            <w:pPr>
              <w:pStyle w:val="TableTextCentered"/>
              <w:rPr>
                <w:rFonts w:ascii="Times New Roman" w:hAnsi="Times New Roman"/>
              </w:rPr>
            </w:pPr>
          </w:p>
        </w:tc>
        <w:tc>
          <w:tcPr>
            <w:tcW w:w="1229" w:type="dxa"/>
            <w:tcBorders>
              <w:top w:val="nil"/>
              <w:left w:val="nil"/>
              <w:bottom w:val="nil"/>
              <w:right w:val="nil"/>
            </w:tcBorders>
            <w:shd w:val="clear" w:color="auto" w:fill="auto"/>
            <w:noWrap/>
            <w:vAlign w:val="center"/>
            <w:hideMark/>
          </w:tcPr>
          <w:p w14:paraId="16DA5740" w14:textId="77777777" w:rsidR="001C7E53" w:rsidRPr="00DD6AAE" w:rsidRDefault="001C7E53" w:rsidP="00C84FB6">
            <w:pPr>
              <w:pStyle w:val="TableTextCentered"/>
              <w:rPr>
                <w:rFonts w:ascii="Times New Roman" w:hAnsi="Times New Roman"/>
              </w:rPr>
            </w:pPr>
          </w:p>
        </w:tc>
        <w:tc>
          <w:tcPr>
            <w:tcW w:w="1037" w:type="dxa"/>
            <w:tcBorders>
              <w:top w:val="nil"/>
              <w:left w:val="nil"/>
              <w:bottom w:val="nil"/>
              <w:right w:val="nil"/>
            </w:tcBorders>
            <w:shd w:val="clear" w:color="auto" w:fill="auto"/>
            <w:noWrap/>
            <w:vAlign w:val="center"/>
            <w:hideMark/>
          </w:tcPr>
          <w:p w14:paraId="515200C6" w14:textId="77777777" w:rsidR="001C7E53" w:rsidRPr="00DD6AAE" w:rsidRDefault="001C7E53" w:rsidP="00C84FB6">
            <w:pPr>
              <w:pStyle w:val="TableTextCentered"/>
              <w:rPr>
                <w:rFonts w:ascii="Times New Roman" w:hAnsi="Times New Roman"/>
              </w:rPr>
            </w:pPr>
          </w:p>
        </w:tc>
        <w:tc>
          <w:tcPr>
            <w:tcW w:w="1037" w:type="dxa"/>
            <w:tcBorders>
              <w:top w:val="nil"/>
              <w:left w:val="nil"/>
              <w:bottom w:val="nil"/>
              <w:right w:val="nil"/>
            </w:tcBorders>
            <w:shd w:val="clear" w:color="auto" w:fill="auto"/>
            <w:noWrap/>
            <w:vAlign w:val="center"/>
            <w:hideMark/>
          </w:tcPr>
          <w:p w14:paraId="51F4938E" w14:textId="77777777" w:rsidR="001C7E53" w:rsidRPr="00DD6AAE" w:rsidRDefault="001C7E53" w:rsidP="00C84FB6">
            <w:pPr>
              <w:pStyle w:val="TableTextCentered"/>
              <w:rPr>
                <w:rFonts w:ascii="Times New Roman" w:hAnsi="Times New Roman"/>
              </w:rPr>
            </w:pPr>
          </w:p>
        </w:tc>
        <w:tc>
          <w:tcPr>
            <w:tcW w:w="1578" w:type="dxa"/>
            <w:tcBorders>
              <w:top w:val="nil"/>
              <w:left w:val="nil"/>
              <w:bottom w:val="nil"/>
              <w:right w:val="nil"/>
            </w:tcBorders>
            <w:shd w:val="clear" w:color="auto" w:fill="auto"/>
            <w:noWrap/>
            <w:vAlign w:val="center"/>
            <w:hideMark/>
          </w:tcPr>
          <w:p w14:paraId="2ECD9072" w14:textId="77777777" w:rsidR="001C7E53" w:rsidRPr="00DD6AAE" w:rsidRDefault="001C7E53" w:rsidP="00C84FB6">
            <w:pPr>
              <w:pStyle w:val="TableTextCentered"/>
              <w:rPr>
                <w:rFonts w:ascii="Times New Roman" w:hAnsi="Times New Roman"/>
              </w:rPr>
            </w:pPr>
          </w:p>
        </w:tc>
      </w:tr>
      <w:tr w:rsidR="001C7E53" w:rsidRPr="00DD6AAE" w14:paraId="01CB00A4" w14:textId="77777777" w:rsidTr="000E4236">
        <w:trPr>
          <w:trHeight w:val="298"/>
        </w:trPr>
        <w:tc>
          <w:tcPr>
            <w:tcW w:w="2196" w:type="dxa"/>
            <w:tcBorders>
              <w:top w:val="nil"/>
              <w:left w:val="nil"/>
              <w:bottom w:val="nil"/>
              <w:right w:val="nil"/>
            </w:tcBorders>
            <w:shd w:val="clear" w:color="auto" w:fill="auto"/>
            <w:noWrap/>
            <w:vAlign w:val="bottom"/>
            <w:hideMark/>
          </w:tcPr>
          <w:p w14:paraId="54AE65C2" w14:textId="77777777" w:rsidR="001C7E53" w:rsidRPr="00DD6AAE" w:rsidRDefault="001C7E53" w:rsidP="00F91AE4">
            <w:pPr>
              <w:pStyle w:val="TableTextLeft"/>
            </w:pPr>
            <w:r w:rsidRPr="00DD6AAE">
              <w:t>Productivity</w:t>
            </w:r>
          </w:p>
        </w:tc>
        <w:tc>
          <w:tcPr>
            <w:tcW w:w="1037" w:type="dxa"/>
            <w:tcBorders>
              <w:top w:val="nil"/>
              <w:left w:val="nil"/>
              <w:bottom w:val="nil"/>
              <w:right w:val="nil"/>
            </w:tcBorders>
            <w:shd w:val="clear" w:color="auto" w:fill="auto"/>
            <w:noWrap/>
            <w:vAlign w:val="center"/>
            <w:hideMark/>
          </w:tcPr>
          <w:p w14:paraId="4182936D" w14:textId="77777777" w:rsidR="001C7E53" w:rsidRPr="00DD6AAE" w:rsidRDefault="001C7E53" w:rsidP="00C84FB6">
            <w:pPr>
              <w:pStyle w:val="TableTextCentered"/>
            </w:pPr>
            <w:r w:rsidRPr="00DD6AAE">
              <w:t>0.175***</w:t>
            </w:r>
          </w:p>
        </w:tc>
        <w:tc>
          <w:tcPr>
            <w:tcW w:w="1054" w:type="dxa"/>
            <w:tcBorders>
              <w:top w:val="nil"/>
              <w:left w:val="nil"/>
              <w:bottom w:val="nil"/>
              <w:right w:val="nil"/>
            </w:tcBorders>
            <w:shd w:val="clear" w:color="auto" w:fill="auto"/>
            <w:noWrap/>
            <w:vAlign w:val="bottom"/>
            <w:hideMark/>
          </w:tcPr>
          <w:p w14:paraId="495E8F2B" w14:textId="77777777" w:rsidR="001C7E53" w:rsidRPr="00DD6AAE" w:rsidRDefault="001C7E53" w:rsidP="00C84FB6">
            <w:pPr>
              <w:pStyle w:val="TableTextCentered"/>
            </w:pPr>
            <w:r w:rsidRPr="00DD6AAE">
              <w:t>0.087***</w:t>
            </w:r>
          </w:p>
        </w:tc>
        <w:tc>
          <w:tcPr>
            <w:tcW w:w="1229" w:type="dxa"/>
            <w:tcBorders>
              <w:top w:val="nil"/>
              <w:left w:val="nil"/>
              <w:bottom w:val="nil"/>
              <w:right w:val="nil"/>
            </w:tcBorders>
            <w:shd w:val="clear" w:color="auto" w:fill="auto"/>
            <w:noWrap/>
            <w:vAlign w:val="center"/>
            <w:hideMark/>
          </w:tcPr>
          <w:p w14:paraId="4BA744E7" w14:textId="77777777" w:rsidR="001C7E53" w:rsidRPr="00DD6AAE" w:rsidRDefault="001C7E53" w:rsidP="00C84FB6">
            <w:pPr>
              <w:pStyle w:val="TableTextCentered"/>
            </w:pPr>
            <w:r w:rsidRPr="00DD6AAE">
              <w:t>0.077***</w:t>
            </w:r>
          </w:p>
        </w:tc>
        <w:tc>
          <w:tcPr>
            <w:tcW w:w="1037" w:type="dxa"/>
            <w:tcBorders>
              <w:top w:val="nil"/>
              <w:left w:val="nil"/>
              <w:bottom w:val="nil"/>
              <w:right w:val="nil"/>
            </w:tcBorders>
            <w:shd w:val="clear" w:color="auto" w:fill="auto"/>
            <w:noWrap/>
            <w:vAlign w:val="center"/>
            <w:hideMark/>
          </w:tcPr>
          <w:p w14:paraId="6B0B3B6A" w14:textId="77777777" w:rsidR="001C7E53" w:rsidRPr="00DD6AAE" w:rsidRDefault="001C7E53" w:rsidP="00C84FB6">
            <w:pPr>
              <w:pStyle w:val="TableTextCentered"/>
            </w:pPr>
            <w:r w:rsidRPr="00DD6AAE">
              <w:t>0.174***</w:t>
            </w:r>
          </w:p>
        </w:tc>
        <w:tc>
          <w:tcPr>
            <w:tcW w:w="1037" w:type="dxa"/>
            <w:tcBorders>
              <w:top w:val="nil"/>
              <w:left w:val="nil"/>
              <w:bottom w:val="nil"/>
              <w:right w:val="nil"/>
            </w:tcBorders>
            <w:shd w:val="clear" w:color="auto" w:fill="auto"/>
            <w:noWrap/>
            <w:vAlign w:val="center"/>
            <w:hideMark/>
          </w:tcPr>
          <w:p w14:paraId="28F3481F" w14:textId="77777777" w:rsidR="001C7E53" w:rsidRPr="00DD6AAE" w:rsidRDefault="001C7E53" w:rsidP="00C84FB6">
            <w:pPr>
              <w:pStyle w:val="TableTextCentered"/>
            </w:pPr>
            <w:r w:rsidRPr="00DD6AAE">
              <w:t>0.085***</w:t>
            </w:r>
          </w:p>
        </w:tc>
        <w:tc>
          <w:tcPr>
            <w:tcW w:w="1578" w:type="dxa"/>
            <w:tcBorders>
              <w:top w:val="nil"/>
              <w:left w:val="nil"/>
              <w:bottom w:val="nil"/>
              <w:right w:val="nil"/>
            </w:tcBorders>
            <w:shd w:val="clear" w:color="auto" w:fill="auto"/>
            <w:noWrap/>
            <w:vAlign w:val="bottom"/>
            <w:hideMark/>
          </w:tcPr>
          <w:p w14:paraId="1822956C" w14:textId="77777777" w:rsidR="001C7E53" w:rsidRPr="00DD6AAE" w:rsidRDefault="001C7E53" w:rsidP="00C84FB6">
            <w:pPr>
              <w:pStyle w:val="TableTextCentered"/>
            </w:pPr>
            <w:r w:rsidRPr="00DD6AAE">
              <w:t>0.075***</w:t>
            </w:r>
          </w:p>
        </w:tc>
      </w:tr>
      <w:tr w:rsidR="001C7E53" w:rsidRPr="00DD6AAE" w14:paraId="19E3F866" w14:textId="77777777" w:rsidTr="000E4236">
        <w:trPr>
          <w:trHeight w:val="298"/>
        </w:trPr>
        <w:tc>
          <w:tcPr>
            <w:tcW w:w="2196" w:type="dxa"/>
            <w:tcBorders>
              <w:top w:val="nil"/>
              <w:left w:val="nil"/>
              <w:bottom w:val="nil"/>
              <w:right w:val="nil"/>
            </w:tcBorders>
            <w:shd w:val="clear" w:color="auto" w:fill="auto"/>
            <w:noWrap/>
            <w:vAlign w:val="bottom"/>
            <w:hideMark/>
          </w:tcPr>
          <w:p w14:paraId="63E45417" w14:textId="77777777" w:rsidR="001C7E53" w:rsidRPr="00DD6AAE" w:rsidRDefault="001C7E53" w:rsidP="00F91AE4">
            <w:pPr>
              <w:pStyle w:val="TableTextLeft"/>
            </w:pPr>
          </w:p>
        </w:tc>
        <w:tc>
          <w:tcPr>
            <w:tcW w:w="1037" w:type="dxa"/>
            <w:tcBorders>
              <w:top w:val="nil"/>
              <w:left w:val="nil"/>
              <w:bottom w:val="nil"/>
              <w:right w:val="nil"/>
            </w:tcBorders>
            <w:shd w:val="clear" w:color="auto" w:fill="auto"/>
            <w:noWrap/>
            <w:vAlign w:val="center"/>
            <w:hideMark/>
          </w:tcPr>
          <w:p w14:paraId="497ADF42" w14:textId="77777777" w:rsidR="001C7E53" w:rsidRPr="00DD6AAE" w:rsidRDefault="001C7E53" w:rsidP="00C84FB6">
            <w:pPr>
              <w:pStyle w:val="TableTextCentered"/>
            </w:pPr>
            <w:r w:rsidRPr="00DD6AAE">
              <w:t>(0.002)</w:t>
            </w:r>
          </w:p>
        </w:tc>
        <w:tc>
          <w:tcPr>
            <w:tcW w:w="1054" w:type="dxa"/>
            <w:tcBorders>
              <w:top w:val="nil"/>
              <w:left w:val="nil"/>
              <w:bottom w:val="nil"/>
              <w:right w:val="nil"/>
            </w:tcBorders>
            <w:shd w:val="clear" w:color="auto" w:fill="auto"/>
            <w:noWrap/>
            <w:vAlign w:val="bottom"/>
            <w:hideMark/>
          </w:tcPr>
          <w:p w14:paraId="09D3BCD9" w14:textId="77777777" w:rsidR="001C7E53" w:rsidRPr="00DD6AAE" w:rsidRDefault="001C7E53" w:rsidP="00C84FB6">
            <w:pPr>
              <w:pStyle w:val="TableTextCentered"/>
            </w:pPr>
            <w:r w:rsidRPr="00DD6AAE">
              <w:t>(0.002)</w:t>
            </w:r>
          </w:p>
        </w:tc>
        <w:tc>
          <w:tcPr>
            <w:tcW w:w="1229" w:type="dxa"/>
            <w:tcBorders>
              <w:top w:val="nil"/>
              <w:left w:val="nil"/>
              <w:bottom w:val="nil"/>
              <w:right w:val="nil"/>
            </w:tcBorders>
            <w:shd w:val="clear" w:color="auto" w:fill="auto"/>
            <w:noWrap/>
            <w:vAlign w:val="bottom"/>
            <w:hideMark/>
          </w:tcPr>
          <w:p w14:paraId="1B008A74" w14:textId="77777777" w:rsidR="001C7E53" w:rsidRPr="00DD6AAE" w:rsidRDefault="001C7E53" w:rsidP="00C84FB6">
            <w:pPr>
              <w:pStyle w:val="TableTextCentered"/>
            </w:pPr>
            <w:r w:rsidRPr="00DD6AAE">
              <w:t>(0.002)</w:t>
            </w:r>
          </w:p>
        </w:tc>
        <w:tc>
          <w:tcPr>
            <w:tcW w:w="1037" w:type="dxa"/>
            <w:tcBorders>
              <w:top w:val="nil"/>
              <w:left w:val="nil"/>
              <w:bottom w:val="nil"/>
              <w:right w:val="nil"/>
            </w:tcBorders>
            <w:shd w:val="clear" w:color="auto" w:fill="auto"/>
            <w:noWrap/>
            <w:vAlign w:val="center"/>
            <w:hideMark/>
          </w:tcPr>
          <w:p w14:paraId="7ECC51C3" w14:textId="77777777" w:rsidR="001C7E53" w:rsidRPr="00DD6AAE" w:rsidRDefault="001C7E53" w:rsidP="00C84FB6">
            <w:pPr>
              <w:pStyle w:val="TableTextCentered"/>
            </w:pPr>
            <w:r w:rsidRPr="00DD6AAE">
              <w:t>(0.004)</w:t>
            </w:r>
          </w:p>
        </w:tc>
        <w:tc>
          <w:tcPr>
            <w:tcW w:w="1037" w:type="dxa"/>
            <w:tcBorders>
              <w:top w:val="nil"/>
              <w:left w:val="nil"/>
              <w:bottom w:val="nil"/>
              <w:right w:val="nil"/>
            </w:tcBorders>
            <w:shd w:val="clear" w:color="auto" w:fill="auto"/>
            <w:noWrap/>
            <w:vAlign w:val="center"/>
            <w:hideMark/>
          </w:tcPr>
          <w:p w14:paraId="7F69ACEF" w14:textId="77777777" w:rsidR="001C7E53" w:rsidRPr="00DD6AAE" w:rsidRDefault="001C7E53" w:rsidP="00C84FB6">
            <w:pPr>
              <w:pStyle w:val="TableTextCentered"/>
            </w:pPr>
            <w:r w:rsidRPr="00DD6AAE">
              <w:t>(0.002)</w:t>
            </w:r>
          </w:p>
        </w:tc>
        <w:tc>
          <w:tcPr>
            <w:tcW w:w="1578" w:type="dxa"/>
            <w:tcBorders>
              <w:top w:val="nil"/>
              <w:left w:val="nil"/>
              <w:bottom w:val="nil"/>
              <w:right w:val="nil"/>
            </w:tcBorders>
            <w:shd w:val="clear" w:color="auto" w:fill="auto"/>
            <w:noWrap/>
            <w:vAlign w:val="bottom"/>
            <w:hideMark/>
          </w:tcPr>
          <w:p w14:paraId="141C39D9" w14:textId="77777777" w:rsidR="001C7E53" w:rsidRPr="00DD6AAE" w:rsidRDefault="001C7E53" w:rsidP="00C84FB6">
            <w:pPr>
              <w:pStyle w:val="TableTextCentered"/>
            </w:pPr>
            <w:r w:rsidRPr="00DD6AAE">
              <w:t>(0.002)</w:t>
            </w:r>
          </w:p>
        </w:tc>
      </w:tr>
      <w:tr w:rsidR="001C7E53" w:rsidRPr="00DD6AAE" w14:paraId="2DCC650F" w14:textId="77777777" w:rsidTr="000E4236">
        <w:trPr>
          <w:trHeight w:val="288"/>
        </w:trPr>
        <w:tc>
          <w:tcPr>
            <w:tcW w:w="2196" w:type="dxa"/>
            <w:tcBorders>
              <w:top w:val="single" w:sz="4" w:space="0" w:color="auto"/>
              <w:left w:val="nil"/>
              <w:bottom w:val="nil"/>
              <w:right w:val="nil"/>
            </w:tcBorders>
            <w:shd w:val="clear" w:color="auto" w:fill="auto"/>
            <w:noWrap/>
            <w:vAlign w:val="center"/>
            <w:hideMark/>
          </w:tcPr>
          <w:p w14:paraId="59BD2E3B" w14:textId="77777777" w:rsidR="001C7E53" w:rsidRPr="00DD6AAE" w:rsidRDefault="001C7E53" w:rsidP="00F91AE4">
            <w:pPr>
              <w:pStyle w:val="TableTextLeft"/>
            </w:pPr>
            <w:r w:rsidRPr="00DD6AAE">
              <w:t>R</w:t>
            </w:r>
            <w:r w:rsidRPr="00DD6AAE">
              <w:rPr>
                <w:vertAlign w:val="superscript"/>
              </w:rPr>
              <w:t>2</w:t>
            </w:r>
          </w:p>
        </w:tc>
        <w:tc>
          <w:tcPr>
            <w:tcW w:w="1037" w:type="dxa"/>
            <w:tcBorders>
              <w:top w:val="single" w:sz="4" w:space="0" w:color="auto"/>
              <w:left w:val="nil"/>
              <w:bottom w:val="nil"/>
              <w:right w:val="nil"/>
            </w:tcBorders>
            <w:shd w:val="clear" w:color="auto" w:fill="auto"/>
            <w:noWrap/>
            <w:vAlign w:val="center"/>
            <w:hideMark/>
          </w:tcPr>
          <w:p w14:paraId="49A36AB8" w14:textId="77777777" w:rsidR="001C7E53" w:rsidRPr="00DD6AAE" w:rsidRDefault="001C7E53" w:rsidP="00C84FB6">
            <w:pPr>
              <w:pStyle w:val="TableTextCentered"/>
            </w:pPr>
            <w:r w:rsidRPr="00DD6AAE">
              <w:t>0.107</w:t>
            </w:r>
          </w:p>
        </w:tc>
        <w:tc>
          <w:tcPr>
            <w:tcW w:w="1054" w:type="dxa"/>
            <w:tcBorders>
              <w:top w:val="single" w:sz="4" w:space="0" w:color="auto"/>
              <w:left w:val="nil"/>
              <w:bottom w:val="nil"/>
              <w:right w:val="nil"/>
            </w:tcBorders>
            <w:shd w:val="clear" w:color="auto" w:fill="auto"/>
            <w:noWrap/>
            <w:vAlign w:val="center"/>
            <w:hideMark/>
          </w:tcPr>
          <w:p w14:paraId="1D41F428" w14:textId="77777777" w:rsidR="001C7E53" w:rsidRPr="00DD6AAE" w:rsidRDefault="001C7E53" w:rsidP="00C84FB6">
            <w:pPr>
              <w:pStyle w:val="TableTextCentered"/>
            </w:pPr>
            <w:r w:rsidRPr="00DD6AAE">
              <w:t>0.631</w:t>
            </w:r>
          </w:p>
        </w:tc>
        <w:tc>
          <w:tcPr>
            <w:tcW w:w="1229" w:type="dxa"/>
            <w:tcBorders>
              <w:top w:val="single" w:sz="4" w:space="0" w:color="auto"/>
              <w:left w:val="nil"/>
              <w:bottom w:val="nil"/>
              <w:right w:val="nil"/>
            </w:tcBorders>
            <w:shd w:val="clear" w:color="auto" w:fill="auto"/>
            <w:noWrap/>
            <w:vAlign w:val="center"/>
            <w:hideMark/>
          </w:tcPr>
          <w:p w14:paraId="064057CF" w14:textId="77777777" w:rsidR="001C7E53" w:rsidRPr="00DD6AAE" w:rsidRDefault="001C7E53" w:rsidP="00C84FB6">
            <w:pPr>
              <w:pStyle w:val="TableTextCentered"/>
            </w:pPr>
            <w:r w:rsidRPr="00DD6AAE">
              <w:t>0.671</w:t>
            </w:r>
          </w:p>
        </w:tc>
        <w:tc>
          <w:tcPr>
            <w:tcW w:w="1037" w:type="dxa"/>
            <w:tcBorders>
              <w:top w:val="single" w:sz="4" w:space="0" w:color="auto"/>
              <w:left w:val="nil"/>
              <w:bottom w:val="nil"/>
              <w:right w:val="nil"/>
            </w:tcBorders>
            <w:shd w:val="clear" w:color="auto" w:fill="auto"/>
            <w:noWrap/>
            <w:vAlign w:val="center"/>
            <w:hideMark/>
          </w:tcPr>
          <w:p w14:paraId="6D75594B" w14:textId="77777777" w:rsidR="001C7E53" w:rsidRPr="00DD6AAE" w:rsidRDefault="001C7E53" w:rsidP="00C84FB6">
            <w:pPr>
              <w:pStyle w:val="TableTextCentered"/>
            </w:pPr>
            <w:r w:rsidRPr="00DD6AAE">
              <w:t>0.110</w:t>
            </w:r>
          </w:p>
        </w:tc>
        <w:tc>
          <w:tcPr>
            <w:tcW w:w="1037" w:type="dxa"/>
            <w:tcBorders>
              <w:top w:val="single" w:sz="4" w:space="0" w:color="auto"/>
              <w:left w:val="nil"/>
              <w:bottom w:val="nil"/>
              <w:right w:val="nil"/>
            </w:tcBorders>
            <w:shd w:val="clear" w:color="auto" w:fill="auto"/>
            <w:noWrap/>
            <w:vAlign w:val="center"/>
            <w:hideMark/>
          </w:tcPr>
          <w:p w14:paraId="49EF7BD2" w14:textId="77777777" w:rsidR="001C7E53" w:rsidRPr="00DD6AAE" w:rsidRDefault="001C7E53" w:rsidP="00C84FB6">
            <w:pPr>
              <w:pStyle w:val="TableTextCentered"/>
            </w:pPr>
            <w:r w:rsidRPr="00DD6AAE">
              <w:t>0.633</w:t>
            </w:r>
          </w:p>
        </w:tc>
        <w:tc>
          <w:tcPr>
            <w:tcW w:w="1578" w:type="dxa"/>
            <w:tcBorders>
              <w:top w:val="single" w:sz="4" w:space="0" w:color="auto"/>
              <w:left w:val="nil"/>
              <w:bottom w:val="nil"/>
              <w:right w:val="nil"/>
            </w:tcBorders>
            <w:shd w:val="clear" w:color="auto" w:fill="auto"/>
            <w:noWrap/>
            <w:vAlign w:val="center"/>
            <w:hideMark/>
          </w:tcPr>
          <w:p w14:paraId="036DFE96" w14:textId="77777777" w:rsidR="001C7E53" w:rsidRPr="00DD6AAE" w:rsidRDefault="001C7E53" w:rsidP="00C84FB6">
            <w:pPr>
              <w:pStyle w:val="TableTextCentered"/>
            </w:pPr>
            <w:r w:rsidRPr="00DD6AAE">
              <w:t>0.672</w:t>
            </w:r>
          </w:p>
        </w:tc>
      </w:tr>
      <w:tr w:rsidR="001C7E53" w:rsidRPr="00DD6AAE" w14:paraId="26801171" w14:textId="77777777" w:rsidTr="000E4236">
        <w:trPr>
          <w:trHeight w:val="298"/>
        </w:trPr>
        <w:tc>
          <w:tcPr>
            <w:tcW w:w="2196" w:type="dxa"/>
            <w:tcBorders>
              <w:top w:val="nil"/>
              <w:left w:val="nil"/>
              <w:right w:val="nil"/>
            </w:tcBorders>
            <w:shd w:val="clear" w:color="auto" w:fill="auto"/>
            <w:noWrap/>
            <w:vAlign w:val="bottom"/>
            <w:hideMark/>
          </w:tcPr>
          <w:p w14:paraId="154DBC81" w14:textId="77777777" w:rsidR="001C7E53" w:rsidRPr="00DD6AAE" w:rsidRDefault="001C7E53" w:rsidP="00F91AE4">
            <w:pPr>
              <w:pStyle w:val="TableTextLeft"/>
            </w:pPr>
            <w:r w:rsidRPr="00DD6AAE">
              <w:t>N</w:t>
            </w:r>
          </w:p>
        </w:tc>
        <w:tc>
          <w:tcPr>
            <w:tcW w:w="1037" w:type="dxa"/>
            <w:tcBorders>
              <w:top w:val="nil"/>
              <w:left w:val="nil"/>
              <w:right w:val="nil"/>
            </w:tcBorders>
            <w:shd w:val="clear" w:color="auto" w:fill="auto"/>
            <w:noWrap/>
            <w:vAlign w:val="center"/>
            <w:hideMark/>
          </w:tcPr>
          <w:p w14:paraId="62456259" w14:textId="77777777" w:rsidR="001C7E53" w:rsidRPr="00DD6AAE" w:rsidRDefault="001C7E53" w:rsidP="00C84FB6">
            <w:pPr>
              <w:pStyle w:val="TableTextCentered"/>
            </w:pPr>
            <w:r w:rsidRPr="00DD6AAE">
              <w:t>306,000</w:t>
            </w:r>
          </w:p>
        </w:tc>
        <w:tc>
          <w:tcPr>
            <w:tcW w:w="1054" w:type="dxa"/>
            <w:tcBorders>
              <w:top w:val="nil"/>
              <w:left w:val="nil"/>
              <w:right w:val="nil"/>
            </w:tcBorders>
            <w:shd w:val="clear" w:color="auto" w:fill="auto"/>
            <w:noWrap/>
            <w:vAlign w:val="center"/>
            <w:hideMark/>
          </w:tcPr>
          <w:p w14:paraId="1ADAE719" w14:textId="77777777" w:rsidR="001C7E53" w:rsidRPr="00DD6AAE" w:rsidRDefault="001C7E53" w:rsidP="00C84FB6">
            <w:pPr>
              <w:pStyle w:val="TableTextCentered"/>
            </w:pPr>
            <w:r w:rsidRPr="00DD6AAE">
              <w:t>302,000</w:t>
            </w:r>
          </w:p>
        </w:tc>
        <w:tc>
          <w:tcPr>
            <w:tcW w:w="1229" w:type="dxa"/>
            <w:tcBorders>
              <w:top w:val="nil"/>
              <w:left w:val="nil"/>
              <w:right w:val="nil"/>
            </w:tcBorders>
            <w:shd w:val="clear" w:color="auto" w:fill="auto"/>
            <w:noWrap/>
            <w:vAlign w:val="center"/>
            <w:hideMark/>
          </w:tcPr>
          <w:p w14:paraId="5AE059BC" w14:textId="77777777" w:rsidR="001C7E53" w:rsidRPr="00DD6AAE" w:rsidRDefault="001C7E53" w:rsidP="00C84FB6">
            <w:pPr>
              <w:pStyle w:val="TableTextCentered"/>
            </w:pPr>
            <w:r w:rsidRPr="00DD6AAE">
              <w:t>302,000</w:t>
            </w:r>
          </w:p>
        </w:tc>
        <w:tc>
          <w:tcPr>
            <w:tcW w:w="1037" w:type="dxa"/>
            <w:tcBorders>
              <w:top w:val="nil"/>
              <w:left w:val="nil"/>
              <w:right w:val="nil"/>
            </w:tcBorders>
            <w:shd w:val="clear" w:color="auto" w:fill="auto"/>
            <w:noWrap/>
            <w:vAlign w:val="center"/>
            <w:hideMark/>
          </w:tcPr>
          <w:p w14:paraId="6BDF6F37" w14:textId="77777777" w:rsidR="001C7E53" w:rsidRPr="00DD6AAE" w:rsidRDefault="001C7E53" w:rsidP="00C84FB6">
            <w:pPr>
              <w:pStyle w:val="TableTextCentered"/>
            </w:pPr>
            <w:r w:rsidRPr="00DD6AAE">
              <w:t>306,000</w:t>
            </w:r>
          </w:p>
        </w:tc>
        <w:tc>
          <w:tcPr>
            <w:tcW w:w="1037" w:type="dxa"/>
            <w:tcBorders>
              <w:top w:val="nil"/>
              <w:left w:val="nil"/>
              <w:right w:val="nil"/>
            </w:tcBorders>
            <w:shd w:val="clear" w:color="auto" w:fill="auto"/>
            <w:noWrap/>
            <w:vAlign w:val="center"/>
            <w:hideMark/>
          </w:tcPr>
          <w:p w14:paraId="75BA7CB9" w14:textId="77777777" w:rsidR="001C7E53" w:rsidRPr="00DD6AAE" w:rsidRDefault="001C7E53" w:rsidP="00C84FB6">
            <w:pPr>
              <w:pStyle w:val="TableTextCentered"/>
            </w:pPr>
            <w:r w:rsidRPr="00DD6AAE">
              <w:t>302,000</w:t>
            </w:r>
          </w:p>
        </w:tc>
        <w:tc>
          <w:tcPr>
            <w:tcW w:w="1578" w:type="dxa"/>
            <w:tcBorders>
              <w:top w:val="nil"/>
              <w:left w:val="nil"/>
              <w:right w:val="nil"/>
            </w:tcBorders>
            <w:shd w:val="clear" w:color="auto" w:fill="auto"/>
            <w:noWrap/>
            <w:vAlign w:val="center"/>
            <w:hideMark/>
          </w:tcPr>
          <w:p w14:paraId="0E4FCD35" w14:textId="77777777" w:rsidR="001C7E53" w:rsidRPr="00DD6AAE" w:rsidRDefault="001C7E53" w:rsidP="00C84FB6">
            <w:pPr>
              <w:pStyle w:val="TableTextCentered"/>
            </w:pPr>
            <w:r w:rsidRPr="00DD6AAE">
              <w:t>302,000</w:t>
            </w:r>
          </w:p>
        </w:tc>
      </w:tr>
      <w:tr w:rsidR="001C7E53" w:rsidRPr="00DD6AAE" w14:paraId="79BFDBF7" w14:textId="77777777" w:rsidTr="000E4236">
        <w:trPr>
          <w:trHeight w:val="298"/>
        </w:trPr>
        <w:tc>
          <w:tcPr>
            <w:tcW w:w="2196" w:type="dxa"/>
            <w:tcBorders>
              <w:top w:val="nil"/>
              <w:left w:val="nil"/>
              <w:bottom w:val="single" w:sz="4" w:space="0" w:color="auto"/>
              <w:right w:val="nil"/>
            </w:tcBorders>
            <w:shd w:val="clear" w:color="auto" w:fill="auto"/>
            <w:noWrap/>
            <w:vAlign w:val="bottom"/>
          </w:tcPr>
          <w:p w14:paraId="1A29F5D1" w14:textId="77777777" w:rsidR="001C7E53" w:rsidRPr="00DD6AAE" w:rsidRDefault="001C7E53" w:rsidP="00F91AE4">
            <w:pPr>
              <w:pStyle w:val="TableColumnHeadingLeft"/>
            </w:pPr>
            <w:r w:rsidRPr="00DD6AAE">
              <w:t>Fixed effects</w:t>
            </w:r>
          </w:p>
        </w:tc>
        <w:tc>
          <w:tcPr>
            <w:tcW w:w="1037" w:type="dxa"/>
            <w:tcBorders>
              <w:top w:val="nil"/>
              <w:left w:val="nil"/>
              <w:bottom w:val="single" w:sz="4" w:space="0" w:color="auto"/>
              <w:right w:val="nil"/>
            </w:tcBorders>
            <w:shd w:val="clear" w:color="auto" w:fill="auto"/>
            <w:noWrap/>
            <w:vAlign w:val="center"/>
          </w:tcPr>
          <w:p w14:paraId="56C81DA1" w14:textId="77777777" w:rsidR="001C7E53" w:rsidRPr="00DD6AAE" w:rsidRDefault="001C7E53" w:rsidP="00C84FB6">
            <w:pPr>
              <w:pStyle w:val="TableTextCentered"/>
            </w:pPr>
            <w:r w:rsidRPr="00DD6AAE">
              <w:t> </w:t>
            </w:r>
          </w:p>
        </w:tc>
        <w:tc>
          <w:tcPr>
            <w:tcW w:w="1054" w:type="dxa"/>
            <w:tcBorders>
              <w:top w:val="nil"/>
              <w:left w:val="nil"/>
              <w:bottom w:val="single" w:sz="4" w:space="0" w:color="auto"/>
              <w:right w:val="nil"/>
            </w:tcBorders>
            <w:shd w:val="clear" w:color="auto" w:fill="auto"/>
            <w:noWrap/>
            <w:vAlign w:val="center"/>
          </w:tcPr>
          <w:p w14:paraId="562586FF" w14:textId="77777777" w:rsidR="001C7E53" w:rsidRPr="00DD6AAE" w:rsidRDefault="001C7E53" w:rsidP="00C84FB6">
            <w:pPr>
              <w:pStyle w:val="TableTextCentered"/>
            </w:pPr>
            <w:r w:rsidRPr="00DD6AAE">
              <w:t> </w:t>
            </w:r>
          </w:p>
        </w:tc>
        <w:tc>
          <w:tcPr>
            <w:tcW w:w="1229" w:type="dxa"/>
            <w:tcBorders>
              <w:top w:val="nil"/>
              <w:left w:val="nil"/>
              <w:bottom w:val="single" w:sz="4" w:space="0" w:color="auto"/>
              <w:right w:val="nil"/>
            </w:tcBorders>
            <w:shd w:val="clear" w:color="auto" w:fill="auto"/>
            <w:noWrap/>
            <w:vAlign w:val="center"/>
          </w:tcPr>
          <w:p w14:paraId="78B8D8D9" w14:textId="77777777" w:rsidR="001C7E53" w:rsidRPr="00DD6AAE" w:rsidRDefault="001C7E53" w:rsidP="00C84FB6">
            <w:pPr>
              <w:pStyle w:val="TableTextCentered"/>
            </w:pPr>
            <w:r w:rsidRPr="00DD6AAE">
              <w:t> </w:t>
            </w:r>
          </w:p>
        </w:tc>
        <w:tc>
          <w:tcPr>
            <w:tcW w:w="1037" w:type="dxa"/>
            <w:tcBorders>
              <w:top w:val="nil"/>
              <w:left w:val="nil"/>
              <w:bottom w:val="single" w:sz="4" w:space="0" w:color="auto"/>
              <w:right w:val="nil"/>
            </w:tcBorders>
            <w:shd w:val="clear" w:color="auto" w:fill="auto"/>
            <w:noWrap/>
            <w:vAlign w:val="center"/>
          </w:tcPr>
          <w:p w14:paraId="6663F278" w14:textId="77777777" w:rsidR="001C7E53" w:rsidRPr="00DD6AAE" w:rsidRDefault="001C7E53" w:rsidP="00C84FB6">
            <w:pPr>
              <w:pStyle w:val="TableTextCentered"/>
            </w:pPr>
            <w:r w:rsidRPr="00DD6AAE">
              <w:t> </w:t>
            </w:r>
          </w:p>
        </w:tc>
        <w:tc>
          <w:tcPr>
            <w:tcW w:w="1037" w:type="dxa"/>
            <w:tcBorders>
              <w:top w:val="nil"/>
              <w:left w:val="nil"/>
              <w:bottom w:val="single" w:sz="4" w:space="0" w:color="auto"/>
              <w:right w:val="nil"/>
            </w:tcBorders>
            <w:shd w:val="clear" w:color="auto" w:fill="auto"/>
            <w:noWrap/>
            <w:vAlign w:val="center"/>
          </w:tcPr>
          <w:p w14:paraId="2359C654" w14:textId="77777777" w:rsidR="001C7E53" w:rsidRPr="00DD6AAE" w:rsidRDefault="001C7E53" w:rsidP="00C84FB6">
            <w:pPr>
              <w:pStyle w:val="TableTextCentered"/>
            </w:pPr>
            <w:r w:rsidRPr="00DD6AAE">
              <w:t> </w:t>
            </w:r>
          </w:p>
        </w:tc>
        <w:tc>
          <w:tcPr>
            <w:tcW w:w="1578" w:type="dxa"/>
            <w:tcBorders>
              <w:top w:val="nil"/>
              <w:left w:val="nil"/>
              <w:bottom w:val="single" w:sz="4" w:space="0" w:color="auto"/>
              <w:right w:val="nil"/>
            </w:tcBorders>
            <w:shd w:val="clear" w:color="auto" w:fill="auto"/>
            <w:noWrap/>
            <w:vAlign w:val="center"/>
          </w:tcPr>
          <w:p w14:paraId="461A4B19" w14:textId="77777777" w:rsidR="001C7E53" w:rsidRPr="00DD6AAE" w:rsidRDefault="001C7E53" w:rsidP="00C84FB6">
            <w:pPr>
              <w:pStyle w:val="TableTextCentered"/>
            </w:pPr>
            <w:r w:rsidRPr="00DD6AAE">
              <w:t> </w:t>
            </w:r>
          </w:p>
        </w:tc>
      </w:tr>
      <w:tr w:rsidR="001C7E53" w:rsidRPr="00DD6AAE" w14:paraId="268528EE" w14:textId="77777777" w:rsidTr="000E4236">
        <w:trPr>
          <w:trHeight w:val="298"/>
        </w:trPr>
        <w:tc>
          <w:tcPr>
            <w:tcW w:w="2196" w:type="dxa"/>
            <w:tcBorders>
              <w:top w:val="single" w:sz="4" w:space="0" w:color="auto"/>
              <w:left w:val="nil"/>
              <w:bottom w:val="nil"/>
              <w:right w:val="nil"/>
            </w:tcBorders>
            <w:shd w:val="clear" w:color="auto" w:fill="auto"/>
            <w:noWrap/>
            <w:vAlign w:val="bottom"/>
          </w:tcPr>
          <w:p w14:paraId="5066836C" w14:textId="77777777" w:rsidR="001C7E53" w:rsidRPr="00DD6AAE" w:rsidRDefault="001C7E53" w:rsidP="00F91AE4">
            <w:pPr>
              <w:pStyle w:val="TableTextLeft"/>
            </w:pPr>
            <w:r w:rsidRPr="00DD6AAE">
              <w:t>Local market</w:t>
            </w:r>
          </w:p>
        </w:tc>
        <w:tc>
          <w:tcPr>
            <w:tcW w:w="1037" w:type="dxa"/>
            <w:tcBorders>
              <w:top w:val="single" w:sz="4" w:space="0" w:color="auto"/>
              <w:left w:val="nil"/>
              <w:bottom w:val="nil"/>
              <w:right w:val="nil"/>
            </w:tcBorders>
            <w:shd w:val="clear" w:color="auto" w:fill="auto"/>
            <w:noWrap/>
            <w:vAlign w:val="center"/>
          </w:tcPr>
          <w:p w14:paraId="07CCA745" w14:textId="77777777" w:rsidR="001C7E53" w:rsidRPr="00DD6AAE" w:rsidRDefault="001C7E53" w:rsidP="00C84FB6">
            <w:pPr>
              <w:pStyle w:val="TableTextCentered"/>
            </w:pPr>
            <w:r w:rsidRPr="00DD6AAE">
              <w:t>N</w:t>
            </w:r>
          </w:p>
        </w:tc>
        <w:tc>
          <w:tcPr>
            <w:tcW w:w="1054" w:type="dxa"/>
            <w:tcBorders>
              <w:top w:val="single" w:sz="4" w:space="0" w:color="auto"/>
              <w:left w:val="nil"/>
              <w:bottom w:val="nil"/>
              <w:right w:val="nil"/>
            </w:tcBorders>
            <w:shd w:val="clear" w:color="auto" w:fill="auto"/>
            <w:noWrap/>
            <w:vAlign w:val="center"/>
          </w:tcPr>
          <w:p w14:paraId="5139BE28" w14:textId="77777777" w:rsidR="001C7E53" w:rsidRPr="00DD6AAE" w:rsidRDefault="001C7E53" w:rsidP="00C84FB6">
            <w:pPr>
              <w:pStyle w:val="TableTextCentered"/>
            </w:pPr>
            <w:r w:rsidRPr="00DD6AAE">
              <w:t>Y</w:t>
            </w:r>
          </w:p>
        </w:tc>
        <w:tc>
          <w:tcPr>
            <w:tcW w:w="1229" w:type="dxa"/>
            <w:tcBorders>
              <w:top w:val="single" w:sz="4" w:space="0" w:color="auto"/>
              <w:left w:val="nil"/>
              <w:bottom w:val="nil"/>
              <w:right w:val="nil"/>
            </w:tcBorders>
            <w:shd w:val="clear" w:color="auto" w:fill="auto"/>
            <w:noWrap/>
            <w:vAlign w:val="center"/>
          </w:tcPr>
          <w:p w14:paraId="2F40F84C" w14:textId="77777777" w:rsidR="001C7E53" w:rsidRPr="00DD6AAE" w:rsidRDefault="001C7E53" w:rsidP="00C84FB6">
            <w:pPr>
              <w:pStyle w:val="TableTextCentered"/>
            </w:pPr>
            <w:r w:rsidRPr="00DD6AAE">
              <w:t>Y</w:t>
            </w:r>
          </w:p>
        </w:tc>
        <w:tc>
          <w:tcPr>
            <w:tcW w:w="1037" w:type="dxa"/>
            <w:tcBorders>
              <w:top w:val="single" w:sz="4" w:space="0" w:color="auto"/>
              <w:left w:val="nil"/>
              <w:bottom w:val="nil"/>
              <w:right w:val="nil"/>
            </w:tcBorders>
            <w:shd w:val="clear" w:color="auto" w:fill="auto"/>
            <w:noWrap/>
            <w:vAlign w:val="center"/>
          </w:tcPr>
          <w:p w14:paraId="6A82476F" w14:textId="77777777" w:rsidR="001C7E53" w:rsidRPr="00DD6AAE" w:rsidRDefault="001C7E53" w:rsidP="00C84FB6">
            <w:pPr>
              <w:pStyle w:val="TableTextCentered"/>
            </w:pPr>
            <w:r w:rsidRPr="00DD6AAE">
              <w:t>N</w:t>
            </w:r>
          </w:p>
        </w:tc>
        <w:tc>
          <w:tcPr>
            <w:tcW w:w="1037" w:type="dxa"/>
            <w:tcBorders>
              <w:top w:val="single" w:sz="4" w:space="0" w:color="auto"/>
              <w:left w:val="nil"/>
              <w:bottom w:val="nil"/>
              <w:right w:val="nil"/>
            </w:tcBorders>
            <w:shd w:val="clear" w:color="auto" w:fill="auto"/>
            <w:noWrap/>
            <w:vAlign w:val="center"/>
          </w:tcPr>
          <w:p w14:paraId="22FB66A3" w14:textId="77777777" w:rsidR="001C7E53" w:rsidRPr="00DD6AAE" w:rsidRDefault="001C7E53" w:rsidP="00C84FB6">
            <w:pPr>
              <w:pStyle w:val="TableTextCentered"/>
            </w:pPr>
            <w:r w:rsidRPr="00DD6AAE">
              <w:t>Y</w:t>
            </w:r>
          </w:p>
        </w:tc>
        <w:tc>
          <w:tcPr>
            <w:tcW w:w="1578" w:type="dxa"/>
            <w:tcBorders>
              <w:top w:val="single" w:sz="4" w:space="0" w:color="auto"/>
              <w:left w:val="nil"/>
              <w:bottom w:val="nil"/>
              <w:right w:val="nil"/>
            </w:tcBorders>
            <w:shd w:val="clear" w:color="auto" w:fill="auto"/>
            <w:noWrap/>
            <w:vAlign w:val="center"/>
          </w:tcPr>
          <w:p w14:paraId="219D319D" w14:textId="77777777" w:rsidR="001C7E53" w:rsidRPr="00DD6AAE" w:rsidRDefault="001C7E53" w:rsidP="00C84FB6">
            <w:pPr>
              <w:pStyle w:val="TableTextCentered"/>
            </w:pPr>
            <w:r w:rsidRPr="00DD6AAE">
              <w:t>Y</w:t>
            </w:r>
          </w:p>
        </w:tc>
      </w:tr>
      <w:tr w:rsidR="001C7E53" w:rsidRPr="00DD6AAE" w14:paraId="516E5FA4" w14:textId="77777777" w:rsidTr="000E4236">
        <w:trPr>
          <w:trHeight w:val="298"/>
        </w:trPr>
        <w:tc>
          <w:tcPr>
            <w:tcW w:w="2196" w:type="dxa"/>
            <w:tcBorders>
              <w:top w:val="nil"/>
              <w:left w:val="nil"/>
              <w:bottom w:val="nil"/>
              <w:right w:val="nil"/>
            </w:tcBorders>
            <w:shd w:val="clear" w:color="auto" w:fill="auto"/>
            <w:noWrap/>
            <w:vAlign w:val="bottom"/>
          </w:tcPr>
          <w:p w14:paraId="5D800495" w14:textId="77777777" w:rsidR="001C7E53" w:rsidRPr="00DD6AAE" w:rsidRDefault="001C7E53" w:rsidP="00F91AE4">
            <w:pPr>
              <w:pStyle w:val="TableTextLeft"/>
            </w:pPr>
            <w:r w:rsidRPr="00DD6AAE">
              <w:t>Time*</w:t>
            </w:r>
            <w:r>
              <w:t>I</w:t>
            </w:r>
            <w:r w:rsidRPr="00DD6AAE">
              <w:t>ndustry</w:t>
            </w:r>
          </w:p>
        </w:tc>
        <w:tc>
          <w:tcPr>
            <w:tcW w:w="1037" w:type="dxa"/>
            <w:tcBorders>
              <w:top w:val="nil"/>
              <w:left w:val="nil"/>
              <w:bottom w:val="nil"/>
              <w:right w:val="nil"/>
            </w:tcBorders>
            <w:shd w:val="clear" w:color="auto" w:fill="auto"/>
            <w:noWrap/>
            <w:vAlign w:val="center"/>
          </w:tcPr>
          <w:p w14:paraId="133CA4F8" w14:textId="77777777" w:rsidR="001C7E53" w:rsidRPr="00DD6AAE" w:rsidRDefault="001C7E53" w:rsidP="00C84FB6">
            <w:pPr>
              <w:pStyle w:val="TableTextCentered"/>
            </w:pPr>
            <w:r w:rsidRPr="00DD6AAE">
              <w:t>N</w:t>
            </w:r>
          </w:p>
        </w:tc>
        <w:tc>
          <w:tcPr>
            <w:tcW w:w="1054" w:type="dxa"/>
            <w:tcBorders>
              <w:top w:val="nil"/>
              <w:left w:val="nil"/>
              <w:bottom w:val="nil"/>
              <w:right w:val="nil"/>
            </w:tcBorders>
            <w:shd w:val="clear" w:color="auto" w:fill="auto"/>
            <w:noWrap/>
            <w:vAlign w:val="center"/>
          </w:tcPr>
          <w:p w14:paraId="18917398" w14:textId="77777777" w:rsidR="001C7E53" w:rsidRPr="00DD6AAE" w:rsidRDefault="001C7E53" w:rsidP="00C84FB6">
            <w:pPr>
              <w:pStyle w:val="TableTextCentered"/>
            </w:pPr>
            <w:r w:rsidRPr="00DD6AAE">
              <w:t>N</w:t>
            </w:r>
          </w:p>
        </w:tc>
        <w:tc>
          <w:tcPr>
            <w:tcW w:w="1229" w:type="dxa"/>
            <w:tcBorders>
              <w:top w:val="nil"/>
              <w:left w:val="nil"/>
              <w:bottom w:val="nil"/>
              <w:right w:val="nil"/>
            </w:tcBorders>
            <w:shd w:val="clear" w:color="auto" w:fill="auto"/>
            <w:noWrap/>
            <w:vAlign w:val="center"/>
          </w:tcPr>
          <w:p w14:paraId="1F0C5C39" w14:textId="77777777" w:rsidR="001C7E53" w:rsidRPr="00DD6AAE" w:rsidRDefault="001C7E53" w:rsidP="00C84FB6">
            <w:pPr>
              <w:pStyle w:val="TableTextCentered"/>
            </w:pPr>
            <w:r w:rsidRPr="00DD6AAE">
              <w:t>Y</w:t>
            </w:r>
          </w:p>
        </w:tc>
        <w:tc>
          <w:tcPr>
            <w:tcW w:w="1037" w:type="dxa"/>
            <w:tcBorders>
              <w:top w:val="nil"/>
              <w:left w:val="nil"/>
              <w:bottom w:val="nil"/>
              <w:right w:val="nil"/>
            </w:tcBorders>
            <w:shd w:val="clear" w:color="auto" w:fill="auto"/>
            <w:noWrap/>
            <w:vAlign w:val="center"/>
          </w:tcPr>
          <w:p w14:paraId="383AAD8E" w14:textId="77777777" w:rsidR="001C7E53" w:rsidRPr="00DD6AAE" w:rsidRDefault="001C7E53" w:rsidP="00C84FB6">
            <w:pPr>
              <w:pStyle w:val="TableTextCentered"/>
            </w:pPr>
            <w:r w:rsidRPr="00DD6AAE">
              <w:t>N</w:t>
            </w:r>
          </w:p>
        </w:tc>
        <w:tc>
          <w:tcPr>
            <w:tcW w:w="1037" w:type="dxa"/>
            <w:tcBorders>
              <w:top w:val="nil"/>
              <w:left w:val="nil"/>
              <w:bottom w:val="nil"/>
              <w:right w:val="nil"/>
            </w:tcBorders>
            <w:shd w:val="clear" w:color="auto" w:fill="auto"/>
            <w:noWrap/>
            <w:vAlign w:val="center"/>
          </w:tcPr>
          <w:p w14:paraId="3E20F8ED" w14:textId="77777777" w:rsidR="001C7E53" w:rsidRPr="00DD6AAE" w:rsidRDefault="001C7E53" w:rsidP="00C84FB6">
            <w:pPr>
              <w:pStyle w:val="TableTextCentered"/>
            </w:pPr>
            <w:r w:rsidRPr="00DD6AAE">
              <w:t>N</w:t>
            </w:r>
          </w:p>
        </w:tc>
        <w:tc>
          <w:tcPr>
            <w:tcW w:w="1578" w:type="dxa"/>
            <w:tcBorders>
              <w:top w:val="nil"/>
              <w:left w:val="nil"/>
              <w:bottom w:val="nil"/>
              <w:right w:val="nil"/>
            </w:tcBorders>
            <w:shd w:val="clear" w:color="auto" w:fill="auto"/>
            <w:noWrap/>
            <w:vAlign w:val="center"/>
          </w:tcPr>
          <w:p w14:paraId="11FA7BDC" w14:textId="77777777" w:rsidR="001C7E53" w:rsidRPr="00DD6AAE" w:rsidRDefault="001C7E53" w:rsidP="00C84FB6">
            <w:pPr>
              <w:pStyle w:val="TableTextCentered"/>
            </w:pPr>
            <w:r w:rsidRPr="00DD6AAE">
              <w:t>Y</w:t>
            </w:r>
          </w:p>
        </w:tc>
      </w:tr>
      <w:tr w:rsidR="001C7E53" w:rsidRPr="00DD6AAE" w14:paraId="3197644B" w14:textId="77777777" w:rsidTr="000E4236">
        <w:trPr>
          <w:trHeight w:val="298"/>
        </w:trPr>
        <w:tc>
          <w:tcPr>
            <w:tcW w:w="2196" w:type="dxa"/>
            <w:tcBorders>
              <w:top w:val="nil"/>
              <w:left w:val="nil"/>
              <w:bottom w:val="single" w:sz="4" w:space="0" w:color="auto"/>
              <w:right w:val="nil"/>
            </w:tcBorders>
            <w:shd w:val="clear" w:color="auto" w:fill="auto"/>
            <w:noWrap/>
            <w:vAlign w:val="bottom"/>
          </w:tcPr>
          <w:p w14:paraId="125803AD" w14:textId="77777777" w:rsidR="001C7E53" w:rsidRPr="00DD6AAE" w:rsidRDefault="001C7E53" w:rsidP="00F91AE4">
            <w:pPr>
              <w:pStyle w:val="TableTextLeft"/>
            </w:pPr>
            <w:r w:rsidRPr="00DD6AAE">
              <w:t>Time*Location</w:t>
            </w:r>
          </w:p>
        </w:tc>
        <w:tc>
          <w:tcPr>
            <w:tcW w:w="1037" w:type="dxa"/>
            <w:tcBorders>
              <w:top w:val="nil"/>
              <w:left w:val="nil"/>
              <w:bottom w:val="single" w:sz="4" w:space="0" w:color="auto"/>
              <w:right w:val="nil"/>
            </w:tcBorders>
            <w:shd w:val="clear" w:color="auto" w:fill="auto"/>
            <w:noWrap/>
            <w:vAlign w:val="center"/>
          </w:tcPr>
          <w:p w14:paraId="5591C94E" w14:textId="77777777" w:rsidR="001C7E53" w:rsidRPr="00DD6AAE" w:rsidRDefault="001C7E53" w:rsidP="00C84FB6">
            <w:pPr>
              <w:pStyle w:val="TableTextCentered"/>
            </w:pPr>
            <w:r w:rsidRPr="00DD6AAE">
              <w:t>N</w:t>
            </w:r>
          </w:p>
        </w:tc>
        <w:tc>
          <w:tcPr>
            <w:tcW w:w="1054" w:type="dxa"/>
            <w:tcBorders>
              <w:top w:val="nil"/>
              <w:left w:val="nil"/>
              <w:bottom w:val="single" w:sz="4" w:space="0" w:color="auto"/>
              <w:right w:val="nil"/>
            </w:tcBorders>
            <w:shd w:val="clear" w:color="auto" w:fill="auto"/>
            <w:noWrap/>
            <w:vAlign w:val="center"/>
          </w:tcPr>
          <w:p w14:paraId="54E49DC9" w14:textId="77777777" w:rsidR="001C7E53" w:rsidRPr="00DD6AAE" w:rsidRDefault="001C7E53" w:rsidP="00C84FB6">
            <w:pPr>
              <w:pStyle w:val="TableTextCentered"/>
            </w:pPr>
            <w:r w:rsidRPr="00DD6AAE">
              <w:t>N</w:t>
            </w:r>
          </w:p>
        </w:tc>
        <w:tc>
          <w:tcPr>
            <w:tcW w:w="1229" w:type="dxa"/>
            <w:tcBorders>
              <w:top w:val="nil"/>
              <w:left w:val="nil"/>
              <w:bottom w:val="single" w:sz="4" w:space="0" w:color="auto"/>
              <w:right w:val="nil"/>
            </w:tcBorders>
            <w:shd w:val="clear" w:color="auto" w:fill="auto"/>
            <w:noWrap/>
            <w:vAlign w:val="center"/>
          </w:tcPr>
          <w:p w14:paraId="618609CD" w14:textId="77777777" w:rsidR="001C7E53" w:rsidRPr="00DD6AAE" w:rsidRDefault="001C7E53" w:rsidP="00C84FB6">
            <w:pPr>
              <w:pStyle w:val="TableTextCentered"/>
            </w:pPr>
            <w:r w:rsidRPr="00DD6AAE">
              <w:t>Y</w:t>
            </w:r>
          </w:p>
        </w:tc>
        <w:tc>
          <w:tcPr>
            <w:tcW w:w="1037" w:type="dxa"/>
            <w:tcBorders>
              <w:top w:val="nil"/>
              <w:left w:val="nil"/>
              <w:bottom w:val="single" w:sz="4" w:space="0" w:color="auto"/>
              <w:right w:val="nil"/>
            </w:tcBorders>
            <w:shd w:val="clear" w:color="auto" w:fill="auto"/>
            <w:noWrap/>
            <w:vAlign w:val="center"/>
          </w:tcPr>
          <w:p w14:paraId="6E32D8E2" w14:textId="77777777" w:rsidR="001C7E53" w:rsidRPr="00DD6AAE" w:rsidRDefault="001C7E53" w:rsidP="00C84FB6">
            <w:pPr>
              <w:pStyle w:val="TableTextCentered"/>
            </w:pPr>
            <w:r w:rsidRPr="00DD6AAE">
              <w:t>N</w:t>
            </w:r>
          </w:p>
        </w:tc>
        <w:tc>
          <w:tcPr>
            <w:tcW w:w="1037" w:type="dxa"/>
            <w:tcBorders>
              <w:top w:val="nil"/>
              <w:left w:val="nil"/>
              <w:bottom w:val="single" w:sz="4" w:space="0" w:color="auto"/>
              <w:right w:val="nil"/>
            </w:tcBorders>
            <w:shd w:val="clear" w:color="auto" w:fill="auto"/>
            <w:noWrap/>
            <w:vAlign w:val="center"/>
          </w:tcPr>
          <w:p w14:paraId="2FB74705" w14:textId="77777777" w:rsidR="001C7E53" w:rsidRPr="00DD6AAE" w:rsidRDefault="001C7E53" w:rsidP="00C84FB6">
            <w:pPr>
              <w:pStyle w:val="TableTextCentered"/>
            </w:pPr>
            <w:r w:rsidRPr="00DD6AAE">
              <w:t>N</w:t>
            </w:r>
          </w:p>
        </w:tc>
        <w:tc>
          <w:tcPr>
            <w:tcW w:w="1578" w:type="dxa"/>
            <w:tcBorders>
              <w:top w:val="nil"/>
              <w:left w:val="nil"/>
              <w:bottom w:val="single" w:sz="4" w:space="0" w:color="auto"/>
              <w:right w:val="nil"/>
            </w:tcBorders>
            <w:shd w:val="clear" w:color="auto" w:fill="auto"/>
            <w:noWrap/>
            <w:vAlign w:val="center"/>
          </w:tcPr>
          <w:p w14:paraId="252C5A78" w14:textId="77777777" w:rsidR="001C7E53" w:rsidRPr="00DD6AAE" w:rsidRDefault="001C7E53" w:rsidP="00C84FB6">
            <w:pPr>
              <w:pStyle w:val="TableTextCentered"/>
            </w:pPr>
            <w:r w:rsidRPr="00DD6AAE">
              <w:t>Y</w:t>
            </w:r>
          </w:p>
        </w:tc>
      </w:tr>
    </w:tbl>
    <w:p w14:paraId="7ADA21E8" w14:textId="1052DB08" w:rsidR="0007037D" w:rsidRPr="0007037D" w:rsidRDefault="001C7E53" w:rsidP="00F91AE4">
      <w:pPr>
        <w:pStyle w:val="ChartorTableNote"/>
        <w:jc w:val="left"/>
      </w:pPr>
      <w:r w:rsidRPr="00AF44C3">
        <w:t xml:space="preserve">Note: All regressions include a </w:t>
      </w:r>
      <w:r>
        <w:t>set of common controls covering</w:t>
      </w:r>
      <w:r w:rsidRPr="00AF44C3">
        <w:t xml:space="preserve"> market characteristics (number of workers in the market</w:t>
      </w:r>
      <w:r>
        <w:t>)</w:t>
      </w:r>
      <w:r w:rsidR="006D1604">
        <w:t xml:space="preserve">. </w:t>
      </w:r>
      <w:r w:rsidRPr="00AF44C3">
        <w:t>Errors clusters at the local market level.</w:t>
      </w:r>
    </w:p>
    <w:p w14:paraId="17EF5BA7" w14:textId="6F189620" w:rsidR="001C7E53" w:rsidRDefault="00611BD5" w:rsidP="00F91AE4">
      <w:pPr>
        <w:pStyle w:val="TableMainHeading"/>
      </w:pPr>
      <w:r>
        <w:t>Table</w:t>
      </w:r>
      <w:r w:rsidRPr="00DD6AAE">
        <w:t xml:space="preserve"> </w:t>
      </w:r>
      <w:r w:rsidRPr="00FC2C3F">
        <w:t>B2: Fixed effects</w:t>
      </w:r>
      <w:r w:rsidR="006D1604">
        <w:t xml:space="preserve"> – </w:t>
      </w:r>
      <w:r w:rsidRPr="00FC2C3F">
        <w:t>Rent</w:t>
      </w:r>
      <w:r w:rsidR="0018466E">
        <w:noBreakHyphen/>
      </w:r>
      <w:r w:rsidRPr="00FC2C3F">
        <w:t>sharing model</w:t>
      </w:r>
      <w:r>
        <w:t xml:space="preserve"> </w:t>
      </w:r>
      <w:r w:rsidR="008B0555">
        <w:t>p</w:t>
      </w:r>
      <w:r>
        <w:t>lant</w:t>
      </w:r>
      <w:r w:rsidR="0018466E">
        <w:noBreakHyphen/>
      </w:r>
      <w:r>
        <w:t>level</w:t>
      </w:r>
    </w:p>
    <w:tbl>
      <w:tblPr>
        <w:tblW w:w="5000" w:type="pct"/>
        <w:tblLook w:val="04A0" w:firstRow="1" w:lastRow="0" w:firstColumn="1" w:lastColumn="0" w:noHBand="0" w:noVBand="1"/>
      </w:tblPr>
      <w:tblGrid>
        <w:gridCol w:w="2244"/>
        <w:gridCol w:w="463"/>
        <w:gridCol w:w="1006"/>
        <w:gridCol w:w="1005"/>
        <w:gridCol w:w="1316"/>
        <w:gridCol w:w="1005"/>
        <w:gridCol w:w="1024"/>
        <w:gridCol w:w="1007"/>
      </w:tblGrid>
      <w:tr w:rsidR="001C7E53" w:rsidRPr="00FC2C3F" w14:paraId="75562975" w14:textId="77777777" w:rsidTr="000E4236">
        <w:trPr>
          <w:trHeight w:val="294"/>
        </w:trPr>
        <w:tc>
          <w:tcPr>
            <w:tcW w:w="2894" w:type="dxa"/>
            <w:gridSpan w:val="2"/>
            <w:tcBorders>
              <w:left w:val="nil"/>
              <w:bottom w:val="single" w:sz="4" w:space="0" w:color="auto"/>
              <w:right w:val="nil"/>
            </w:tcBorders>
            <w:shd w:val="clear" w:color="auto" w:fill="auto"/>
            <w:noWrap/>
            <w:vAlign w:val="bottom"/>
            <w:hideMark/>
          </w:tcPr>
          <w:p w14:paraId="7D3CF942" w14:textId="77777777" w:rsidR="001C7E53" w:rsidRPr="00FC2C3F" w:rsidRDefault="001C7E53" w:rsidP="00F91AE4">
            <w:pPr>
              <w:spacing w:after="0"/>
              <w:rPr>
                <w:rFonts w:cs="Calibri"/>
                <w:color w:val="000000"/>
                <w:sz w:val="20"/>
              </w:rPr>
            </w:pPr>
            <w:r w:rsidRPr="00FC2C3F">
              <w:rPr>
                <w:rFonts w:cs="Calibri"/>
                <w:color w:val="000000"/>
                <w:sz w:val="20"/>
              </w:rPr>
              <w:t> </w:t>
            </w:r>
          </w:p>
        </w:tc>
        <w:tc>
          <w:tcPr>
            <w:tcW w:w="6775" w:type="dxa"/>
            <w:gridSpan w:val="6"/>
            <w:tcBorders>
              <w:left w:val="nil"/>
              <w:bottom w:val="single" w:sz="4" w:space="0" w:color="auto"/>
              <w:right w:val="nil"/>
            </w:tcBorders>
            <w:shd w:val="clear" w:color="auto" w:fill="auto"/>
            <w:noWrap/>
            <w:vAlign w:val="center"/>
            <w:hideMark/>
          </w:tcPr>
          <w:p w14:paraId="273347CC" w14:textId="77777777" w:rsidR="001C7E53" w:rsidRPr="00FC2C3F" w:rsidRDefault="001C7E53" w:rsidP="00C84FB6">
            <w:pPr>
              <w:pStyle w:val="TableColumnHeadingCentred"/>
            </w:pPr>
            <w:r w:rsidRPr="00FC2C3F">
              <w:t>Headcount</w:t>
            </w:r>
          </w:p>
        </w:tc>
      </w:tr>
      <w:tr w:rsidR="001C7E53" w:rsidRPr="00FC2C3F" w14:paraId="53F627D1" w14:textId="77777777" w:rsidTr="000E4236">
        <w:trPr>
          <w:trHeight w:val="294"/>
        </w:trPr>
        <w:tc>
          <w:tcPr>
            <w:tcW w:w="2410" w:type="dxa"/>
            <w:tcBorders>
              <w:top w:val="nil"/>
              <w:left w:val="nil"/>
              <w:bottom w:val="single" w:sz="4" w:space="0" w:color="auto"/>
              <w:right w:val="nil"/>
            </w:tcBorders>
            <w:shd w:val="clear" w:color="auto" w:fill="auto"/>
            <w:noWrap/>
            <w:vAlign w:val="bottom"/>
            <w:hideMark/>
          </w:tcPr>
          <w:p w14:paraId="0581713B" w14:textId="77777777" w:rsidR="001C7E53" w:rsidRPr="00FC2C3F" w:rsidRDefault="001C7E53" w:rsidP="00F91AE4">
            <w:pPr>
              <w:spacing w:after="0"/>
              <w:rPr>
                <w:rFonts w:cs="Calibri"/>
                <w:color w:val="000000"/>
                <w:sz w:val="20"/>
              </w:rPr>
            </w:pPr>
            <w:r w:rsidRPr="00FC2C3F">
              <w:rPr>
                <w:rFonts w:cs="Calibri"/>
                <w:color w:val="000000"/>
                <w:sz w:val="20"/>
              </w:rPr>
              <w:t> </w:t>
            </w:r>
          </w:p>
        </w:tc>
        <w:tc>
          <w:tcPr>
            <w:tcW w:w="1554" w:type="dxa"/>
            <w:gridSpan w:val="2"/>
            <w:tcBorders>
              <w:top w:val="single" w:sz="4" w:space="0" w:color="auto"/>
              <w:left w:val="nil"/>
              <w:bottom w:val="single" w:sz="4" w:space="0" w:color="auto"/>
              <w:right w:val="nil"/>
            </w:tcBorders>
            <w:shd w:val="clear" w:color="auto" w:fill="auto"/>
            <w:noWrap/>
            <w:vAlign w:val="center"/>
            <w:hideMark/>
          </w:tcPr>
          <w:p w14:paraId="51E1A47F" w14:textId="77777777" w:rsidR="001C7E53" w:rsidRPr="00FC2C3F" w:rsidRDefault="001C7E53" w:rsidP="00C84FB6">
            <w:pPr>
              <w:pStyle w:val="TableColumnHeadingCentred"/>
            </w:pPr>
            <w:r w:rsidRPr="00FC2C3F">
              <w:t>None</w:t>
            </w:r>
          </w:p>
        </w:tc>
        <w:tc>
          <w:tcPr>
            <w:tcW w:w="1069" w:type="dxa"/>
            <w:tcBorders>
              <w:top w:val="single" w:sz="4" w:space="0" w:color="auto"/>
              <w:left w:val="nil"/>
              <w:bottom w:val="single" w:sz="4" w:space="0" w:color="auto"/>
              <w:right w:val="nil"/>
            </w:tcBorders>
            <w:shd w:val="clear" w:color="auto" w:fill="auto"/>
            <w:noWrap/>
            <w:vAlign w:val="center"/>
            <w:hideMark/>
          </w:tcPr>
          <w:p w14:paraId="58708197" w14:textId="77777777" w:rsidR="001C7E53" w:rsidRPr="00FC2C3F" w:rsidRDefault="001C7E53" w:rsidP="00C84FB6">
            <w:pPr>
              <w:pStyle w:val="TableColumnHeadingCentred"/>
            </w:pPr>
            <w:r w:rsidRPr="00FC2C3F">
              <w:t>Local</w:t>
            </w:r>
          </w:p>
        </w:tc>
        <w:tc>
          <w:tcPr>
            <w:tcW w:w="1406" w:type="dxa"/>
            <w:tcBorders>
              <w:top w:val="single" w:sz="4" w:space="0" w:color="auto"/>
              <w:left w:val="nil"/>
              <w:bottom w:val="single" w:sz="4" w:space="0" w:color="auto"/>
              <w:right w:val="nil"/>
            </w:tcBorders>
            <w:shd w:val="clear" w:color="auto" w:fill="auto"/>
            <w:noWrap/>
            <w:vAlign w:val="center"/>
            <w:hideMark/>
          </w:tcPr>
          <w:p w14:paraId="6F285572" w14:textId="77777777" w:rsidR="001C7E53" w:rsidRPr="00FC2C3F" w:rsidRDefault="001C7E53" w:rsidP="00C84FB6">
            <w:pPr>
              <w:pStyle w:val="TableColumnHeadingCentred"/>
            </w:pPr>
            <w:r w:rsidRPr="00FC2C3F">
              <w:t>Ind area time</w:t>
            </w:r>
          </w:p>
        </w:tc>
        <w:tc>
          <w:tcPr>
            <w:tcW w:w="1069" w:type="dxa"/>
            <w:tcBorders>
              <w:top w:val="single" w:sz="4" w:space="0" w:color="auto"/>
              <w:left w:val="nil"/>
              <w:bottom w:val="single" w:sz="4" w:space="0" w:color="auto"/>
              <w:right w:val="nil"/>
            </w:tcBorders>
            <w:shd w:val="clear" w:color="auto" w:fill="auto"/>
            <w:noWrap/>
            <w:vAlign w:val="center"/>
            <w:hideMark/>
          </w:tcPr>
          <w:p w14:paraId="7962DD36" w14:textId="77777777" w:rsidR="001C7E53" w:rsidRPr="00FC2C3F" w:rsidRDefault="001C7E53" w:rsidP="00C84FB6">
            <w:pPr>
              <w:pStyle w:val="TableColumnHeadingCentred"/>
            </w:pPr>
            <w:r w:rsidRPr="00FC2C3F">
              <w:t>Plant</w:t>
            </w:r>
          </w:p>
        </w:tc>
        <w:tc>
          <w:tcPr>
            <w:tcW w:w="1090" w:type="dxa"/>
            <w:tcBorders>
              <w:top w:val="single" w:sz="4" w:space="0" w:color="auto"/>
              <w:left w:val="nil"/>
              <w:bottom w:val="single" w:sz="4" w:space="0" w:color="auto"/>
              <w:right w:val="nil"/>
            </w:tcBorders>
            <w:shd w:val="clear" w:color="auto" w:fill="auto"/>
            <w:noWrap/>
            <w:vAlign w:val="center"/>
            <w:hideMark/>
          </w:tcPr>
          <w:p w14:paraId="60CD68E9" w14:textId="77777777" w:rsidR="001C7E53" w:rsidRPr="00FC2C3F" w:rsidRDefault="001C7E53" w:rsidP="00C84FB6">
            <w:pPr>
              <w:pStyle w:val="TableColumnHeadingCentred"/>
            </w:pPr>
            <w:r w:rsidRPr="00FC2C3F">
              <w:t>Local time</w:t>
            </w:r>
          </w:p>
        </w:tc>
        <w:tc>
          <w:tcPr>
            <w:tcW w:w="1071" w:type="dxa"/>
            <w:tcBorders>
              <w:top w:val="single" w:sz="4" w:space="0" w:color="auto"/>
              <w:left w:val="nil"/>
              <w:bottom w:val="single" w:sz="4" w:space="0" w:color="auto"/>
              <w:right w:val="nil"/>
            </w:tcBorders>
            <w:shd w:val="clear" w:color="auto" w:fill="auto"/>
            <w:noWrap/>
            <w:vAlign w:val="center"/>
            <w:hideMark/>
          </w:tcPr>
          <w:p w14:paraId="433E9C12" w14:textId="77777777" w:rsidR="001C7E53" w:rsidRPr="00FC2C3F" w:rsidRDefault="001C7E53" w:rsidP="00C84FB6">
            <w:pPr>
              <w:pStyle w:val="TableColumnHeadingCentred"/>
            </w:pPr>
            <w:r w:rsidRPr="00FC2C3F">
              <w:t>All</w:t>
            </w:r>
          </w:p>
        </w:tc>
      </w:tr>
      <w:tr w:rsidR="001C7E53" w:rsidRPr="00FC2C3F" w14:paraId="3411F961" w14:textId="77777777" w:rsidTr="000E4236">
        <w:trPr>
          <w:trHeight w:val="255"/>
        </w:trPr>
        <w:tc>
          <w:tcPr>
            <w:tcW w:w="2410" w:type="dxa"/>
            <w:tcBorders>
              <w:top w:val="nil"/>
              <w:left w:val="nil"/>
              <w:bottom w:val="nil"/>
              <w:right w:val="nil"/>
            </w:tcBorders>
            <w:shd w:val="clear" w:color="auto" w:fill="auto"/>
            <w:noWrap/>
            <w:vAlign w:val="bottom"/>
            <w:hideMark/>
          </w:tcPr>
          <w:p w14:paraId="25626F7E" w14:textId="77777777" w:rsidR="001C7E53" w:rsidRPr="00FC2C3F" w:rsidRDefault="001C7E53" w:rsidP="00C84FB6">
            <w:pPr>
              <w:spacing w:after="0"/>
              <w:jc w:val="center"/>
              <w:rPr>
                <w:rFonts w:cs="Calibri"/>
                <w:color w:val="000000"/>
                <w:sz w:val="20"/>
              </w:rPr>
            </w:pPr>
          </w:p>
        </w:tc>
        <w:tc>
          <w:tcPr>
            <w:tcW w:w="1554" w:type="dxa"/>
            <w:gridSpan w:val="2"/>
            <w:tcBorders>
              <w:top w:val="single" w:sz="4" w:space="0" w:color="auto"/>
              <w:left w:val="nil"/>
              <w:bottom w:val="nil"/>
              <w:right w:val="nil"/>
            </w:tcBorders>
            <w:shd w:val="clear" w:color="auto" w:fill="auto"/>
            <w:noWrap/>
            <w:vAlign w:val="center"/>
            <w:hideMark/>
          </w:tcPr>
          <w:p w14:paraId="4C5C0432"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c>
          <w:tcPr>
            <w:tcW w:w="1069" w:type="dxa"/>
            <w:tcBorders>
              <w:top w:val="single" w:sz="4" w:space="0" w:color="auto"/>
              <w:left w:val="nil"/>
              <w:bottom w:val="nil"/>
              <w:right w:val="nil"/>
            </w:tcBorders>
            <w:shd w:val="clear" w:color="auto" w:fill="auto"/>
            <w:noWrap/>
            <w:vAlign w:val="center"/>
            <w:hideMark/>
          </w:tcPr>
          <w:p w14:paraId="0119E0B0"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c>
          <w:tcPr>
            <w:tcW w:w="1406" w:type="dxa"/>
            <w:tcBorders>
              <w:top w:val="single" w:sz="4" w:space="0" w:color="auto"/>
              <w:left w:val="nil"/>
              <w:bottom w:val="nil"/>
              <w:right w:val="nil"/>
            </w:tcBorders>
            <w:shd w:val="clear" w:color="auto" w:fill="auto"/>
            <w:noWrap/>
            <w:vAlign w:val="center"/>
            <w:hideMark/>
          </w:tcPr>
          <w:p w14:paraId="58CD7057"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c>
          <w:tcPr>
            <w:tcW w:w="1069" w:type="dxa"/>
            <w:tcBorders>
              <w:top w:val="single" w:sz="4" w:space="0" w:color="auto"/>
              <w:left w:val="nil"/>
              <w:bottom w:val="nil"/>
              <w:right w:val="nil"/>
            </w:tcBorders>
            <w:shd w:val="clear" w:color="auto" w:fill="auto"/>
            <w:noWrap/>
            <w:vAlign w:val="center"/>
            <w:hideMark/>
          </w:tcPr>
          <w:p w14:paraId="5C5BA07B"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c>
          <w:tcPr>
            <w:tcW w:w="1090" w:type="dxa"/>
            <w:tcBorders>
              <w:top w:val="single" w:sz="4" w:space="0" w:color="auto"/>
              <w:left w:val="nil"/>
              <w:bottom w:val="nil"/>
              <w:right w:val="nil"/>
            </w:tcBorders>
            <w:shd w:val="clear" w:color="auto" w:fill="auto"/>
            <w:noWrap/>
            <w:vAlign w:val="center"/>
            <w:hideMark/>
          </w:tcPr>
          <w:p w14:paraId="4228830C"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c>
          <w:tcPr>
            <w:tcW w:w="1071" w:type="dxa"/>
            <w:tcBorders>
              <w:top w:val="single" w:sz="4" w:space="0" w:color="auto"/>
              <w:left w:val="nil"/>
              <w:bottom w:val="nil"/>
              <w:right w:val="nil"/>
            </w:tcBorders>
            <w:shd w:val="clear" w:color="auto" w:fill="auto"/>
            <w:noWrap/>
            <w:vAlign w:val="center"/>
            <w:hideMark/>
          </w:tcPr>
          <w:p w14:paraId="27384092" w14:textId="77777777" w:rsidR="001C7E53" w:rsidRPr="00FC2C3F" w:rsidRDefault="001C7E53" w:rsidP="00C84FB6">
            <w:pPr>
              <w:spacing w:after="0"/>
              <w:jc w:val="center"/>
              <w:rPr>
                <w:rFonts w:cs="Calibri"/>
                <w:color w:val="000000"/>
                <w:sz w:val="20"/>
              </w:rPr>
            </w:pPr>
            <w:r w:rsidRPr="00FC2C3F">
              <w:rPr>
                <w:rFonts w:cs="Calibri"/>
                <w:color w:val="000000"/>
                <w:sz w:val="20"/>
              </w:rPr>
              <w:t> </w:t>
            </w:r>
          </w:p>
        </w:tc>
      </w:tr>
      <w:tr w:rsidR="001C7E53" w:rsidRPr="00FC2C3F" w14:paraId="6C4AC02C" w14:textId="77777777" w:rsidTr="000E4236">
        <w:trPr>
          <w:trHeight w:val="294"/>
        </w:trPr>
        <w:tc>
          <w:tcPr>
            <w:tcW w:w="2410" w:type="dxa"/>
            <w:tcBorders>
              <w:top w:val="nil"/>
              <w:left w:val="nil"/>
              <w:bottom w:val="nil"/>
              <w:right w:val="nil"/>
            </w:tcBorders>
            <w:shd w:val="clear" w:color="auto" w:fill="auto"/>
            <w:noWrap/>
            <w:vAlign w:val="bottom"/>
            <w:hideMark/>
          </w:tcPr>
          <w:p w14:paraId="3098DDFF" w14:textId="77777777" w:rsidR="001C7E53" w:rsidRPr="00FC2C3F" w:rsidRDefault="001C7E53" w:rsidP="00F91AE4">
            <w:pPr>
              <w:pStyle w:val="TableTextLeft"/>
            </w:pPr>
            <w:r w:rsidRPr="00FC2C3F">
              <w:t>Productivity</w:t>
            </w:r>
          </w:p>
        </w:tc>
        <w:tc>
          <w:tcPr>
            <w:tcW w:w="1554" w:type="dxa"/>
            <w:gridSpan w:val="2"/>
            <w:tcBorders>
              <w:top w:val="nil"/>
              <w:left w:val="nil"/>
              <w:bottom w:val="nil"/>
              <w:right w:val="nil"/>
            </w:tcBorders>
            <w:shd w:val="clear" w:color="auto" w:fill="auto"/>
            <w:noWrap/>
            <w:vAlign w:val="center"/>
            <w:hideMark/>
          </w:tcPr>
          <w:p w14:paraId="73895EB8" w14:textId="77777777" w:rsidR="001C7E53" w:rsidRPr="00FC2C3F" w:rsidRDefault="001C7E53" w:rsidP="00C84FB6">
            <w:pPr>
              <w:pStyle w:val="TableTextCentered"/>
            </w:pPr>
            <w:r w:rsidRPr="00FC2C3F">
              <w:t>0.371***</w:t>
            </w:r>
          </w:p>
        </w:tc>
        <w:tc>
          <w:tcPr>
            <w:tcW w:w="1069" w:type="dxa"/>
            <w:tcBorders>
              <w:top w:val="nil"/>
              <w:left w:val="nil"/>
              <w:bottom w:val="nil"/>
              <w:right w:val="nil"/>
            </w:tcBorders>
            <w:shd w:val="clear" w:color="auto" w:fill="auto"/>
            <w:noWrap/>
            <w:vAlign w:val="center"/>
            <w:hideMark/>
          </w:tcPr>
          <w:p w14:paraId="7803A5F0" w14:textId="77777777" w:rsidR="001C7E53" w:rsidRPr="00FC2C3F" w:rsidRDefault="001C7E53" w:rsidP="00C84FB6">
            <w:pPr>
              <w:pStyle w:val="TableTextCentered"/>
            </w:pPr>
            <w:r w:rsidRPr="00FC2C3F">
              <w:t>0.318***</w:t>
            </w:r>
          </w:p>
        </w:tc>
        <w:tc>
          <w:tcPr>
            <w:tcW w:w="1406" w:type="dxa"/>
            <w:tcBorders>
              <w:top w:val="nil"/>
              <w:left w:val="nil"/>
              <w:bottom w:val="nil"/>
              <w:right w:val="nil"/>
            </w:tcBorders>
            <w:shd w:val="clear" w:color="auto" w:fill="auto"/>
            <w:noWrap/>
            <w:vAlign w:val="center"/>
            <w:hideMark/>
          </w:tcPr>
          <w:p w14:paraId="3F01D402" w14:textId="77777777" w:rsidR="001C7E53" w:rsidRPr="00FC2C3F" w:rsidRDefault="001C7E53" w:rsidP="00C84FB6">
            <w:pPr>
              <w:pStyle w:val="TableTextCentered"/>
            </w:pPr>
            <w:r w:rsidRPr="00FC2C3F">
              <w:t>0.316***</w:t>
            </w:r>
          </w:p>
        </w:tc>
        <w:tc>
          <w:tcPr>
            <w:tcW w:w="1069" w:type="dxa"/>
            <w:tcBorders>
              <w:top w:val="nil"/>
              <w:left w:val="nil"/>
              <w:bottom w:val="nil"/>
              <w:right w:val="nil"/>
            </w:tcBorders>
            <w:shd w:val="clear" w:color="auto" w:fill="auto"/>
            <w:noWrap/>
            <w:vAlign w:val="center"/>
            <w:hideMark/>
          </w:tcPr>
          <w:p w14:paraId="442F3940" w14:textId="77777777" w:rsidR="001C7E53" w:rsidRPr="00FC2C3F" w:rsidRDefault="001C7E53" w:rsidP="00C84FB6">
            <w:pPr>
              <w:pStyle w:val="TableTextCentered"/>
            </w:pPr>
            <w:r w:rsidRPr="00FC2C3F">
              <w:t>0.164***</w:t>
            </w:r>
          </w:p>
        </w:tc>
        <w:tc>
          <w:tcPr>
            <w:tcW w:w="1090" w:type="dxa"/>
            <w:tcBorders>
              <w:top w:val="nil"/>
              <w:left w:val="nil"/>
              <w:bottom w:val="nil"/>
              <w:right w:val="nil"/>
            </w:tcBorders>
            <w:shd w:val="clear" w:color="auto" w:fill="auto"/>
            <w:noWrap/>
            <w:vAlign w:val="center"/>
            <w:hideMark/>
          </w:tcPr>
          <w:p w14:paraId="62B434FF" w14:textId="77777777" w:rsidR="001C7E53" w:rsidRPr="00FC2C3F" w:rsidRDefault="001C7E53" w:rsidP="00C84FB6">
            <w:pPr>
              <w:pStyle w:val="TableTextCentered"/>
            </w:pPr>
            <w:r w:rsidRPr="00FC2C3F">
              <w:t>0.324***</w:t>
            </w:r>
          </w:p>
        </w:tc>
        <w:tc>
          <w:tcPr>
            <w:tcW w:w="1071" w:type="dxa"/>
            <w:tcBorders>
              <w:top w:val="nil"/>
              <w:left w:val="nil"/>
              <w:bottom w:val="nil"/>
              <w:right w:val="nil"/>
            </w:tcBorders>
            <w:shd w:val="clear" w:color="auto" w:fill="auto"/>
            <w:noWrap/>
            <w:vAlign w:val="center"/>
            <w:hideMark/>
          </w:tcPr>
          <w:p w14:paraId="3662184B" w14:textId="77777777" w:rsidR="001C7E53" w:rsidRPr="00FC2C3F" w:rsidRDefault="001C7E53" w:rsidP="00C84FB6">
            <w:pPr>
              <w:pStyle w:val="TableTextCentered"/>
            </w:pPr>
            <w:r w:rsidRPr="00FC2C3F">
              <w:t>0.170***</w:t>
            </w:r>
          </w:p>
        </w:tc>
      </w:tr>
      <w:tr w:rsidR="001C7E53" w:rsidRPr="00FC2C3F" w14:paraId="5B55AFCC" w14:textId="77777777" w:rsidTr="000E4236">
        <w:trPr>
          <w:trHeight w:val="294"/>
        </w:trPr>
        <w:tc>
          <w:tcPr>
            <w:tcW w:w="2410" w:type="dxa"/>
            <w:tcBorders>
              <w:top w:val="nil"/>
              <w:left w:val="nil"/>
              <w:bottom w:val="nil"/>
              <w:right w:val="nil"/>
            </w:tcBorders>
            <w:shd w:val="clear" w:color="auto" w:fill="auto"/>
            <w:noWrap/>
            <w:vAlign w:val="bottom"/>
            <w:hideMark/>
          </w:tcPr>
          <w:p w14:paraId="0ABB4A67" w14:textId="77777777" w:rsidR="001C7E53" w:rsidRPr="00FC2C3F" w:rsidRDefault="001C7E53" w:rsidP="00F91AE4">
            <w:pPr>
              <w:pStyle w:val="TableTextLeft"/>
            </w:pPr>
          </w:p>
        </w:tc>
        <w:tc>
          <w:tcPr>
            <w:tcW w:w="1554" w:type="dxa"/>
            <w:gridSpan w:val="2"/>
            <w:tcBorders>
              <w:top w:val="nil"/>
              <w:left w:val="nil"/>
              <w:bottom w:val="nil"/>
              <w:right w:val="nil"/>
            </w:tcBorders>
            <w:shd w:val="clear" w:color="auto" w:fill="auto"/>
            <w:noWrap/>
            <w:vAlign w:val="center"/>
            <w:hideMark/>
          </w:tcPr>
          <w:p w14:paraId="4E2212FB" w14:textId="77777777" w:rsidR="001C7E53" w:rsidRPr="00FC2C3F" w:rsidRDefault="001C7E53" w:rsidP="00C84FB6">
            <w:pPr>
              <w:pStyle w:val="TableTextCentered"/>
            </w:pPr>
            <w:r w:rsidRPr="00FC2C3F">
              <w:t>(0.005)</w:t>
            </w:r>
          </w:p>
        </w:tc>
        <w:tc>
          <w:tcPr>
            <w:tcW w:w="1069" w:type="dxa"/>
            <w:tcBorders>
              <w:top w:val="nil"/>
              <w:left w:val="nil"/>
              <w:bottom w:val="nil"/>
              <w:right w:val="nil"/>
            </w:tcBorders>
            <w:shd w:val="clear" w:color="auto" w:fill="auto"/>
            <w:noWrap/>
            <w:vAlign w:val="center"/>
            <w:hideMark/>
          </w:tcPr>
          <w:p w14:paraId="0C3EFE8E" w14:textId="77777777" w:rsidR="001C7E53" w:rsidRPr="00FC2C3F" w:rsidRDefault="001C7E53" w:rsidP="00C84FB6">
            <w:pPr>
              <w:pStyle w:val="TableTextCentered"/>
            </w:pPr>
            <w:r w:rsidRPr="00FC2C3F">
              <w:t>(0.05)</w:t>
            </w:r>
          </w:p>
        </w:tc>
        <w:tc>
          <w:tcPr>
            <w:tcW w:w="1406" w:type="dxa"/>
            <w:tcBorders>
              <w:top w:val="nil"/>
              <w:left w:val="nil"/>
              <w:bottom w:val="nil"/>
              <w:right w:val="nil"/>
            </w:tcBorders>
            <w:shd w:val="clear" w:color="auto" w:fill="auto"/>
            <w:noWrap/>
            <w:vAlign w:val="center"/>
            <w:hideMark/>
          </w:tcPr>
          <w:p w14:paraId="67B8391E" w14:textId="77777777" w:rsidR="001C7E53" w:rsidRPr="00FC2C3F" w:rsidRDefault="001C7E53" w:rsidP="00C84FB6">
            <w:pPr>
              <w:pStyle w:val="TableTextCentered"/>
            </w:pPr>
            <w:r w:rsidRPr="00FC2C3F">
              <w:t>(0.05)</w:t>
            </w:r>
          </w:p>
        </w:tc>
        <w:tc>
          <w:tcPr>
            <w:tcW w:w="1069" w:type="dxa"/>
            <w:tcBorders>
              <w:top w:val="nil"/>
              <w:left w:val="nil"/>
              <w:bottom w:val="nil"/>
              <w:right w:val="nil"/>
            </w:tcBorders>
            <w:shd w:val="clear" w:color="auto" w:fill="auto"/>
            <w:noWrap/>
            <w:vAlign w:val="center"/>
            <w:hideMark/>
          </w:tcPr>
          <w:p w14:paraId="21742232" w14:textId="77777777" w:rsidR="001C7E53" w:rsidRPr="00FC2C3F" w:rsidRDefault="001C7E53" w:rsidP="00C84FB6">
            <w:pPr>
              <w:pStyle w:val="TableTextCentered"/>
            </w:pPr>
            <w:r w:rsidRPr="00FC2C3F">
              <w:t>(0.004)</w:t>
            </w:r>
          </w:p>
        </w:tc>
        <w:tc>
          <w:tcPr>
            <w:tcW w:w="1090" w:type="dxa"/>
            <w:tcBorders>
              <w:top w:val="nil"/>
              <w:left w:val="nil"/>
              <w:bottom w:val="nil"/>
              <w:right w:val="nil"/>
            </w:tcBorders>
            <w:shd w:val="clear" w:color="auto" w:fill="auto"/>
            <w:noWrap/>
            <w:vAlign w:val="center"/>
            <w:hideMark/>
          </w:tcPr>
          <w:p w14:paraId="7F509A06" w14:textId="77777777" w:rsidR="001C7E53" w:rsidRPr="00FC2C3F" w:rsidRDefault="001C7E53" w:rsidP="00C84FB6">
            <w:pPr>
              <w:pStyle w:val="TableTextCentered"/>
            </w:pPr>
            <w:r w:rsidRPr="00FC2C3F">
              <w:t>(0.05)</w:t>
            </w:r>
          </w:p>
        </w:tc>
        <w:tc>
          <w:tcPr>
            <w:tcW w:w="1071" w:type="dxa"/>
            <w:tcBorders>
              <w:top w:val="nil"/>
              <w:left w:val="nil"/>
              <w:bottom w:val="nil"/>
              <w:right w:val="nil"/>
            </w:tcBorders>
            <w:shd w:val="clear" w:color="auto" w:fill="auto"/>
            <w:noWrap/>
            <w:vAlign w:val="center"/>
            <w:hideMark/>
          </w:tcPr>
          <w:p w14:paraId="5231CB6B" w14:textId="77777777" w:rsidR="001C7E53" w:rsidRPr="00FC2C3F" w:rsidRDefault="001C7E53" w:rsidP="00C84FB6">
            <w:pPr>
              <w:pStyle w:val="TableTextCentered"/>
            </w:pPr>
            <w:r w:rsidRPr="00FC2C3F">
              <w:t>(0.05)</w:t>
            </w:r>
          </w:p>
        </w:tc>
      </w:tr>
      <w:tr w:rsidR="001C7E53" w:rsidRPr="00FC2C3F" w14:paraId="429758DA" w14:textId="77777777" w:rsidTr="000E4236">
        <w:trPr>
          <w:trHeight w:val="294"/>
        </w:trPr>
        <w:tc>
          <w:tcPr>
            <w:tcW w:w="2410" w:type="dxa"/>
            <w:tcBorders>
              <w:top w:val="nil"/>
              <w:left w:val="nil"/>
              <w:bottom w:val="nil"/>
              <w:right w:val="nil"/>
            </w:tcBorders>
            <w:shd w:val="clear" w:color="auto" w:fill="auto"/>
            <w:noWrap/>
            <w:vAlign w:val="bottom"/>
            <w:hideMark/>
          </w:tcPr>
          <w:p w14:paraId="0145FC7B" w14:textId="77777777" w:rsidR="001C7E53" w:rsidRPr="00FC2C3F" w:rsidRDefault="001C7E53" w:rsidP="00F91AE4">
            <w:pPr>
              <w:pStyle w:val="TableTextLeft"/>
            </w:pPr>
          </w:p>
        </w:tc>
        <w:tc>
          <w:tcPr>
            <w:tcW w:w="1554" w:type="dxa"/>
            <w:gridSpan w:val="2"/>
            <w:tcBorders>
              <w:top w:val="nil"/>
              <w:left w:val="nil"/>
              <w:bottom w:val="nil"/>
              <w:right w:val="nil"/>
            </w:tcBorders>
            <w:shd w:val="clear" w:color="auto" w:fill="auto"/>
            <w:noWrap/>
            <w:vAlign w:val="center"/>
            <w:hideMark/>
          </w:tcPr>
          <w:p w14:paraId="74F3A637" w14:textId="77777777" w:rsidR="001C7E53" w:rsidRPr="00FC2C3F" w:rsidRDefault="001C7E53" w:rsidP="00C84FB6">
            <w:pPr>
              <w:pStyle w:val="TableTextCentered"/>
              <w:rPr>
                <w:rFonts w:ascii="Times New Roman" w:hAnsi="Times New Roman"/>
              </w:rPr>
            </w:pPr>
          </w:p>
        </w:tc>
        <w:tc>
          <w:tcPr>
            <w:tcW w:w="1069" w:type="dxa"/>
            <w:tcBorders>
              <w:top w:val="nil"/>
              <w:left w:val="nil"/>
              <w:bottom w:val="nil"/>
              <w:right w:val="nil"/>
            </w:tcBorders>
            <w:shd w:val="clear" w:color="auto" w:fill="auto"/>
            <w:noWrap/>
            <w:vAlign w:val="center"/>
            <w:hideMark/>
          </w:tcPr>
          <w:p w14:paraId="423C7A47" w14:textId="77777777" w:rsidR="001C7E53" w:rsidRPr="00FC2C3F" w:rsidRDefault="001C7E53" w:rsidP="00C84FB6">
            <w:pPr>
              <w:pStyle w:val="TableTextCentered"/>
              <w:rPr>
                <w:rFonts w:ascii="Times New Roman" w:hAnsi="Times New Roman"/>
              </w:rPr>
            </w:pPr>
          </w:p>
        </w:tc>
        <w:tc>
          <w:tcPr>
            <w:tcW w:w="1406" w:type="dxa"/>
            <w:tcBorders>
              <w:top w:val="nil"/>
              <w:left w:val="nil"/>
              <w:bottom w:val="nil"/>
              <w:right w:val="nil"/>
            </w:tcBorders>
            <w:shd w:val="clear" w:color="auto" w:fill="auto"/>
            <w:noWrap/>
            <w:vAlign w:val="center"/>
            <w:hideMark/>
          </w:tcPr>
          <w:p w14:paraId="252BC332" w14:textId="77777777" w:rsidR="001C7E53" w:rsidRPr="00FC2C3F" w:rsidRDefault="001C7E53" w:rsidP="00C84FB6">
            <w:pPr>
              <w:pStyle w:val="TableTextCentered"/>
              <w:rPr>
                <w:rFonts w:ascii="Times New Roman" w:hAnsi="Times New Roman"/>
              </w:rPr>
            </w:pPr>
          </w:p>
        </w:tc>
        <w:tc>
          <w:tcPr>
            <w:tcW w:w="1069" w:type="dxa"/>
            <w:tcBorders>
              <w:top w:val="nil"/>
              <w:left w:val="nil"/>
              <w:bottom w:val="nil"/>
              <w:right w:val="nil"/>
            </w:tcBorders>
            <w:shd w:val="clear" w:color="auto" w:fill="auto"/>
            <w:noWrap/>
            <w:vAlign w:val="center"/>
            <w:hideMark/>
          </w:tcPr>
          <w:p w14:paraId="1AEC20FE" w14:textId="77777777" w:rsidR="001C7E53" w:rsidRPr="00FC2C3F" w:rsidRDefault="001C7E53" w:rsidP="00C84FB6">
            <w:pPr>
              <w:pStyle w:val="TableTextCentered"/>
              <w:rPr>
                <w:rFonts w:ascii="Times New Roman" w:hAnsi="Times New Roman"/>
              </w:rPr>
            </w:pPr>
          </w:p>
        </w:tc>
        <w:tc>
          <w:tcPr>
            <w:tcW w:w="1090" w:type="dxa"/>
            <w:tcBorders>
              <w:top w:val="nil"/>
              <w:left w:val="nil"/>
              <w:bottom w:val="nil"/>
              <w:right w:val="nil"/>
            </w:tcBorders>
            <w:shd w:val="clear" w:color="auto" w:fill="auto"/>
            <w:noWrap/>
            <w:vAlign w:val="center"/>
            <w:hideMark/>
          </w:tcPr>
          <w:p w14:paraId="6FBA8337" w14:textId="77777777" w:rsidR="001C7E53" w:rsidRPr="00FC2C3F" w:rsidRDefault="001C7E53" w:rsidP="00C84FB6">
            <w:pPr>
              <w:pStyle w:val="TableTextCentered"/>
              <w:rPr>
                <w:rFonts w:ascii="Times New Roman" w:hAnsi="Times New Roman"/>
              </w:rPr>
            </w:pPr>
          </w:p>
        </w:tc>
        <w:tc>
          <w:tcPr>
            <w:tcW w:w="1071" w:type="dxa"/>
            <w:tcBorders>
              <w:top w:val="nil"/>
              <w:left w:val="nil"/>
              <w:bottom w:val="nil"/>
              <w:right w:val="nil"/>
            </w:tcBorders>
            <w:shd w:val="clear" w:color="auto" w:fill="auto"/>
            <w:noWrap/>
            <w:vAlign w:val="center"/>
            <w:hideMark/>
          </w:tcPr>
          <w:p w14:paraId="6148D81A" w14:textId="77777777" w:rsidR="001C7E53" w:rsidRPr="00FC2C3F" w:rsidRDefault="001C7E53" w:rsidP="00C84FB6">
            <w:pPr>
              <w:pStyle w:val="TableTextCentered"/>
              <w:rPr>
                <w:rFonts w:ascii="Times New Roman" w:hAnsi="Times New Roman"/>
              </w:rPr>
            </w:pPr>
          </w:p>
        </w:tc>
      </w:tr>
      <w:tr w:rsidR="001C7E53" w:rsidRPr="00FC2C3F" w14:paraId="17BD46C4" w14:textId="77777777" w:rsidTr="000E4236">
        <w:trPr>
          <w:trHeight w:val="294"/>
        </w:trPr>
        <w:tc>
          <w:tcPr>
            <w:tcW w:w="2410" w:type="dxa"/>
            <w:tcBorders>
              <w:top w:val="nil"/>
              <w:left w:val="nil"/>
              <w:bottom w:val="nil"/>
              <w:right w:val="nil"/>
            </w:tcBorders>
            <w:shd w:val="clear" w:color="auto" w:fill="auto"/>
            <w:noWrap/>
            <w:vAlign w:val="bottom"/>
            <w:hideMark/>
          </w:tcPr>
          <w:p w14:paraId="43388341" w14:textId="77777777" w:rsidR="001C7E53" w:rsidRPr="00FC2C3F" w:rsidRDefault="001C7E53" w:rsidP="00F91AE4">
            <w:pPr>
              <w:pStyle w:val="TableTextLeft"/>
            </w:pPr>
            <w:r w:rsidRPr="00FC2C3F">
              <w:t xml:space="preserve">Local </w:t>
            </w:r>
            <w:r>
              <w:t>Concentration (HHI)</w:t>
            </w:r>
            <w:r w:rsidRPr="00FC2C3F">
              <w:t>* Productivity</w:t>
            </w:r>
          </w:p>
        </w:tc>
        <w:tc>
          <w:tcPr>
            <w:tcW w:w="1554" w:type="dxa"/>
            <w:gridSpan w:val="2"/>
            <w:tcBorders>
              <w:top w:val="nil"/>
              <w:left w:val="nil"/>
              <w:bottom w:val="nil"/>
              <w:right w:val="nil"/>
            </w:tcBorders>
            <w:shd w:val="clear" w:color="auto" w:fill="auto"/>
            <w:noWrap/>
            <w:vAlign w:val="center"/>
            <w:hideMark/>
          </w:tcPr>
          <w:p w14:paraId="6A102935" w14:textId="2FA5C756" w:rsidR="001C7E53" w:rsidRPr="00FC2C3F" w:rsidRDefault="0018466E" w:rsidP="00C84FB6">
            <w:pPr>
              <w:pStyle w:val="TableTextCentered"/>
            </w:pPr>
            <w:r>
              <w:noBreakHyphen/>
            </w:r>
            <w:r w:rsidR="001C7E53" w:rsidRPr="00FC2C3F">
              <w:t>0.207***</w:t>
            </w:r>
          </w:p>
        </w:tc>
        <w:tc>
          <w:tcPr>
            <w:tcW w:w="1069" w:type="dxa"/>
            <w:tcBorders>
              <w:top w:val="nil"/>
              <w:left w:val="nil"/>
              <w:bottom w:val="nil"/>
              <w:right w:val="nil"/>
            </w:tcBorders>
            <w:shd w:val="clear" w:color="auto" w:fill="auto"/>
            <w:noWrap/>
            <w:vAlign w:val="center"/>
            <w:hideMark/>
          </w:tcPr>
          <w:p w14:paraId="0909B2DE" w14:textId="08EE1D70" w:rsidR="001C7E53" w:rsidRPr="00FC2C3F" w:rsidRDefault="0018466E" w:rsidP="00C84FB6">
            <w:pPr>
              <w:pStyle w:val="TableTextCentered"/>
            </w:pPr>
            <w:r>
              <w:noBreakHyphen/>
            </w:r>
            <w:r w:rsidR="001C7E53" w:rsidRPr="00FC2C3F">
              <w:t>0.233***</w:t>
            </w:r>
          </w:p>
        </w:tc>
        <w:tc>
          <w:tcPr>
            <w:tcW w:w="1406" w:type="dxa"/>
            <w:tcBorders>
              <w:top w:val="nil"/>
              <w:left w:val="nil"/>
              <w:bottom w:val="nil"/>
              <w:right w:val="nil"/>
            </w:tcBorders>
            <w:shd w:val="clear" w:color="auto" w:fill="auto"/>
            <w:noWrap/>
            <w:vAlign w:val="center"/>
            <w:hideMark/>
          </w:tcPr>
          <w:p w14:paraId="541FB59B" w14:textId="46A8CCC4" w:rsidR="001C7E53" w:rsidRPr="00FC2C3F" w:rsidRDefault="0018466E" w:rsidP="00C84FB6">
            <w:pPr>
              <w:pStyle w:val="TableTextCentered"/>
            </w:pPr>
            <w:r>
              <w:noBreakHyphen/>
            </w:r>
            <w:r w:rsidR="001C7E53" w:rsidRPr="00FC2C3F">
              <w:t>0.239***</w:t>
            </w:r>
          </w:p>
        </w:tc>
        <w:tc>
          <w:tcPr>
            <w:tcW w:w="1069" w:type="dxa"/>
            <w:tcBorders>
              <w:top w:val="nil"/>
              <w:left w:val="nil"/>
              <w:bottom w:val="nil"/>
              <w:right w:val="nil"/>
            </w:tcBorders>
            <w:shd w:val="clear" w:color="auto" w:fill="auto"/>
            <w:noWrap/>
            <w:vAlign w:val="center"/>
            <w:hideMark/>
          </w:tcPr>
          <w:p w14:paraId="5F86D5AC" w14:textId="0B1EF740" w:rsidR="001C7E53" w:rsidRPr="00FC2C3F" w:rsidRDefault="0018466E" w:rsidP="00C84FB6">
            <w:pPr>
              <w:pStyle w:val="TableTextCentered"/>
            </w:pPr>
            <w:r>
              <w:noBreakHyphen/>
            </w:r>
            <w:r w:rsidR="001C7E53" w:rsidRPr="00FC2C3F">
              <w:t>0.122***</w:t>
            </w:r>
          </w:p>
        </w:tc>
        <w:tc>
          <w:tcPr>
            <w:tcW w:w="1090" w:type="dxa"/>
            <w:tcBorders>
              <w:top w:val="nil"/>
              <w:left w:val="nil"/>
              <w:bottom w:val="nil"/>
              <w:right w:val="nil"/>
            </w:tcBorders>
            <w:shd w:val="clear" w:color="auto" w:fill="auto"/>
            <w:noWrap/>
            <w:vAlign w:val="center"/>
            <w:hideMark/>
          </w:tcPr>
          <w:p w14:paraId="52C00392" w14:textId="20CBEF0C" w:rsidR="001C7E53" w:rsidRPr="00FC2C3F" w:rsidRDefault="0018466E" w:rsidP="00C84FB6">
            <w:pPr>
              <w:pStyle w:val="TableTextCentered"/>
            </w:pPr>
            <w:r>
              <w:noBreakHyphen/>
            </w:r>
            <w:r w:rsidR="001C7E53" w:rsidRPr="00FC2C3F">
              <w:t>0.286***</w:t>
            </w:r>
          </w:p>
        </w:tc>
        <w:tc>
          <w:tcPr>
            <w:tcW w:w="1071" w:type="dxa"/>
            <w:tcBorders>
              <w:top w:val="nil"/>
              <w:left w:val="nil"/>
              <w:bottom w:val="nil"/>
              <w:right w:val="nil"/>
            </w:tcBorders>
            <w:shd w:val="clear" w:color="auto" w:fill="auto"/>
            <w:noWrap/>
            <w:vAlign w:val="center"/>
            <w:hideMark/>
          </w:tcPr>
          <w:p w14:paraId="2B55DAF2" w14:textId="3A71A429" w:rsidR="001C7E53" w:rsidRPr="00FC2C3F" w:rsidRDefault="0018466E" w:rsidP="00C84FB6">
            <w:pPr>
              <w:pStyle w:val="TableTextCentered"/>
            </w:pPr>
            <w:r>
              <w:noBreakHyphen/>
            </w:r>
            <w:r w:rsidR="001C7E53" w:rsidRPr="00FC2C3F">
              <w:t>0.174***</w:t>
            </w:r>
          </w:p>
        </w:tc>
      </w:tr>
      <w:tr w:rsidR="001C7E53" w:rsidRPr="00FC2C3F" w14:paraId="4BB0D590" w14:textId="77777777" w:rsidTr="000E4236">
        <w:trPr>
          <w:trHeight w:val="294"/>
        </w:trPr>
        <w:tc>
          <w:tcPr>
            <w:tcW w:w="2410" w:type="dxa"/>
            <w:tcBorders>
              <w:top w:val="nil"/>
              <w:left w:val="nil"/>
              <w:bottom w:val="nil"/>
              <w:right w:val="nil"/>
            </w:tcBorders>
            <w:shd w:val="clear" w:color="auto" w:fill="auto"/>
            <w:noWrap/>
            <w:vAlign w:val="bottom"/>
            <w:hideMark/>
          </w:tcPr>
          <w:p w14:paraId="5350804E" w14:textId="77777777" w:rsidR="001C7E53" w:rsidRPr="00FC2C3F" w:rsidRDefault="001C7E53" w:rsidP="00F91AE4">
            <w:pPr>
              <w:pStyle w:val="TableTextLeft"/>
            </w:pPr>
          </w:p>
        </w:tc>
        <w:tc>
          <w:tcPr>
            <w:tcW w:w="1554" w:type="dxa"/>
            <w:gridSpan w:val="2"/>
            <w:tcBorders>
              <w:top w:val="nil"/>
              <w:left w:val="nil"/>
              <w:bottom w:val="nil"/>
              <w:right w:val="nil"/>
            </w:tcBorders>
            <w:shd w:val="clear" w:color="auto" w:fill="auto"/>
            <w:noWrap/>
            <w:vAlign w:val="center"/>
            <w:hideMark/>
          </w:tcPr>
          <w:p w14:paraId="52570587" w14:textId="77777777" w:rsidR="001C7E53" w:rsidRPr="00FC2C3F" w:rsidRDefault="001C7E53" w:rsidP="00C84FB6">
            <w:pPr>
              <w:pStyle w:val="TableTextCentered"/>
            </w:pPr>
            <w:r w:rsidRPr="00FC2C3F">
              <w:t>(0.016)</w:t>
            </w:r>
          </w:p>
        </w:tc>
        <w:tc>
          <w:tcPr>
            <w:tcW w:w="1069" w:type="dxa"/>
            <w:tcBorders>
              <w:top w:val="nil"/>
              <w:left w:val="nil"/>
              <w:bottom w:val="nil"/>
              <w:right w:val="nil"/>
            </w:tcBorders>
            <w:shd w:val="clear" w:color="auto" w:fill="auto"/>
            <w:noWrap/>
            <w:vAlign w:val="center"/>
            <w:hideMark/>
          </w:tcPr>
          <w:p w14:paraId="6F7BFA09" w14:textId="77777777" w:rsidR="001C7E53" w:rsidRPr="00FC2C3F" w:rsidRDefault="001C7E53" w:rsidP="00C84FB6">
            <w:pPr>
              <w:pStyle w:val="TableTextCentered"/>
            </w:pPr>
            <w:r w:rsidRPr="00FC2C3F">
              <w:t>(0.014)</w:t>
            </w:r>
          </w:p>
        </w:tc>
        <w:tc>
          <w:tcPr>
            <w:tcW w:w="1406" w:type="dxa"/>
            <w:tcBorders>
              <w:top w:val="nil"/>
              <w:left w:val="nil"/>
              <w:bottom w:val="nil"/>
              <w:right w:val="nil"/>
            </w:tcBorders>
            <w:shd w:val="clear" w:color="auto" w:fill="auto"/>
            <w:noWrap/>
            <w:vAlign w:val="center"/>
            <w:hideMark/>
          </w:tcPr>
          <w:p w14:paraId="02341DFD" w14:textId="77777777" w:rsidR="001C7E53" w:rsidRPr="00FC2C3F" w:rsidRDefault="001C7E53" w:rsidP="00C84FB6">
            <w:pPr>
              <w:pStyle w:val="TableTextCentered"/>
            </w:pPr>
            <w:r w:rsidRPr="00FC2C3F">
              <w:t>(0.015)</w:t>
            </w:r>
          </w:p>
        </w:tc>
        <w:tc>
          <w:tcPr>
            <w:tcW w:w="1069" w:type="dxa"/>
            <w:tcBorders>
              <w:top w:val="nil"/>
              <w:left w:val="nil"/>
              <w:bottom w:val="nil"/>
              <w:right w:val="nil"/>
            </w:tcBorders>
            <w:shd w:val="clear" w:color="auto" w:fill="auto"/>
            <w:noWrap/>
            <w:vAlign w:val="center"/>
            <w:hideMark/>
          </w:tcPr>
          <w:p w14:paraId="246F29FC" w14:textId="77777777" w:rsidR="001C7E53" w:rsidRPr="00FC2C3F" w:rsidRDefault="001C7E53" w:rsidP="00C84FB6">
            <w:pPr>
              <w:pStyle w:val="TableTextCentered"/>
            </w:pPr>
            <w:r w:rsidRPr="00FC2C3F">
              <w:t>(0.011)</w:t>
            </w:r>
          </w:p>
        </w:tc>
        <w:tc>
          <w:tcPr>
            <w:tcW w:w="1090" w:type="dxa"/>
            <w:tcBorders>
              <w:top w:val="nil"/>
              <w:left w:val="nil"/>
              <w:bottom w:val="nil"/>
              <w:right w:val="nil"/>
            </w:tcBorders>
            <w:shd w:val="clear" w:color="auto" w:fill="auto"/>
            <w:noWrap/>
            <w:vAlign w:val="center"/>
            <w:hideMark/>
          </w:tcPr>
          <w:p w14:paraId="57AA6F6E" w14:textId="77777777" w:rsidR="001C7E53" w:rsidRPr="00FC2C3F" w:rsidRDefault="001C7E53" w:rsidP="00C84FB6">
            <w:pPr>
              <w:pStyle w:val="TableTextCentered"/>
            </w:pPr>
            <w:r w:rsidRPr="00FC2C3F">
              <w:t>(0.017)</w:t>
            </w:r>
          </w:p>
        </w:tc>
        <w:tc>
          <w:tcPr>
            <w:tcW w:w="1071" w:type="dxa"/>
            <w:tcBorders>
              <w:top w:val="nil"/>
              <w:left w:val="nil"/>
              <w:bottom w:val="nil"/>
              <w:right w:val="nil"/>
            </w:tcBorders>
            <w:shd w:val="clear" w:color="auto" w:fill="auto"/>
            <w:noWrap/>
            <w:vAlign w:val="center"/>
            <w:hideMark/>
          </w:tcPr>
          <w:p w14:paraId="4081B95C" w14:textId="77777777" w:rsidR="001C7E53" w:rsidRPr="00FC2C3F" w:rsidRDefault="001C7E53" w:rsidP="00C84FB6">
            <w:pPr>
              <w:pStyle w:val="TableTextCentered"/>
            </w:pPr>
            <w:r w:rsidRPr="00FC2C3F">
              <w:t>(0.017)</w:t>
            </w:r>
          </w:p>
        </w:tc>
      </w:tr>
      <w:tr w:rsidR="001C7E53" w:rsidRPr="00FC2C3F" w14:paraId="1DF5FDD7" w14:textId="77777777" w:rsidTr="000E4236">
        <w:trPr>
          <w:trHeight w:val="294"/>
        </w:trPr>
        <w:tc>
          <w:tcPr>
            <w:tcW w:w="2410" w:type="dxa"/>
            <w:tcBorders>
              <w:top w:val="nil"/>
              <w:left w:val="nil"/>
              <w:bottom w:val="nil"/>
              <w:right w:val="nil"/>
            </w:tcBorders>
            <w:shd w:val="clear" w:color="auto" w:fill="auto"/>
            <w:noWrap/>
            <w:vAlign w:val="bottom"/>
            <w:hideMark/>
          </w:tcPr>
          <w:p w14:paraId="59FDD8AB" w14:textId="77777777" w:rsidR="001C7E53" w:rsidRPr="00FC2C3F" w:rsidRDefault="001C7E53" w:rsidP="00F91AE4">
            <w:pPr>
              <w:pStyle w:val="TableTextLeft"/>
            </w:pPr>
          </w:p>
        </w:tc>
        <w:tc>
          <w:tcPr>
            <w:tcW w:w="1554" w:type="dxa"/>
            <w:gridSpan w:val="2"/>
            <w:tcBorders>
              <w:top w:val="nil"/>
              <w:left w:val="nil"/>
              <w:bottom w:val="nil"/>
              <w:right w:val="nil"/>
            </w:tcBorders>
            <w:shd w:val="clear" w:color="auto" w:fill="auto"/>
            <w:noWrap/>
            <w:vAlign w:val="center"/>
            <w:hideMark/>
          </w:tcPr>
          <w:p w14:paraId="7A6DEC6A" w14:textId="77777777" w:rsidR="001C7E53" w:rsidRPr="00FC2C3F" w:rsidRDefault="001C7E53" w:rsidP="00C84FB6">
            <w:pPr>
              <w:pStyle w:val="TableTextCentered"/>
              <w:rPr>
                <w:rFonts w:ascii="Times New Roman" w:hAnsi="Times New Roman"/>
              </w:rPr>
            </w:pPr>
          </w:p>
        </w:tc>
        <w:tc>
          <w:tcPr>
            <w:tcW w:w="1069" w:type="dxa"/>
            <w:tcBorders>
              <w:top w:val="nil"/>
              <w:left w:val="nil"/>
              <w:bottom w:val="nil"/>
              <w:right w:val="nil"/>
            </w:tcBorders>
            <w:shd w:val="clear" w:color="auto" w:fill="auto"/>
            <w:noWrap/>
            <w:vAlign w:val="center"/>
            <w:hideMark/>
          </w:tcPr>
          <w:p w14:paraId="6613859B" w14:textId="77777777" w:rsidR="001C7E53" w:rsidRPr="00FC2C3F" w:rsidRDefault="001C7E53" w:rsidP="00C84FB6">
            <w:pPr>
              <w:pStyle w:val="TableTextCentered"/>
              <w:rPr>
                <w:rFonts w:ascii="Times New Roman" w:hAnsi="Times New Roman"/>
              </w:rPr>
            </w:pPr>
          </w:p>
        </w:tc>
        <w:tc>
          <w:tcPr>
            <w:tcW w:w="1406" w:type="dxa"/>
            <w:tcBorders>
              <w:top w:val="nil"/>
              <w:left w:val="nil"/>
              <w:bottom w:val="nil"/>
              <w:right w:val="nil"/>
            </w:tcBorders>
            <w:shd w:val="clear" w:color="auto" w:fill="auto"/>
            <w:noWrap/>
            <w:vAlign w:val="center"/>
            <w:hideMark/>
          </w:tcPr>
          <w:p w14:paraId="15F9891E" w14:textId="77777777" w:rsidR="001C7E53" w:rsidRPr="00FC2C3F" w:rsidRDefault="001C7E53" w:rsidP="00C84FB6">
            <w:pPr>
              <w:pStyle w:val="TableTextCentered"/>
              <w:rPr>
                <w:rFonts w:ascii="Times New Roman" w:hAnsi="Times New Roman"/>
              </w:rPr>
            </w:pPr>
          </w:p>
        </w:tc>
        <w:tc>
          <w:tcPr>
            <w:tcW w:w="1069" w:type="dxa"/>
            <w:tcBorders>
              <w:top w:val="nil"/>
              <w:left w:val="nil"/>
              <w:bottom w:val="nil"/>
              <w:right w:val="nil"/>
            </w:tcBorders>
            <w:shd w:val="clear" w:color="auto" w:fill="auto"/>
            <w:noWrap/>
            <w:vAlign w:val="center"/>
            <w:hideMark/>
          </w:tcPr>
          <w:p w14:paraId="210DF667" w14:textId="77777777" w:rsidR="001C7E53" w:rsidRPr="00FC2C3F" w:rsidRDefault="001C7E53" w:rsidP="00C84FB6">
            <w:pPr>
              <w:pStyle w:val="TableTextCentered"/>
              <w:rPr>
                <w:rFonts w:ascii="Times New Roman" w:hAnsi="Times New Roman"/>
              </w:rPr>
            </w:pPr>
          </w:p>
        </w:tc>
        <w:tc>
          <w:tcPr>
            <w:tcW w:w="1090" w:type="dxa"/>
            <w:tcBorders>
              <w:top w:val="nil"/>
              <w:left w:val="nil"/>
              <w:bottom w:val="nil"/>
              <w:right w:val="nil"/>
            </w:tcBorders>
            <w:shd w:val="clear" w:color="auto" w:fill="auto"/>
            <w:noWrap/>
            <w:vAlign w:val="center"/>
            <w:hideMark/>
          </w:tcPr>
          <w:p w14:paraId="2FB2913B" w14:textId="77777777" w:rsidR="001C7E53" w:rsidRPr="00FC2C3F" w:rsidRDefault="001C7E53" w:rsidP="00C84FB6">
            <w:pPr>
              <w:pStyle w:val="TableTextCentered"/>
              <w:rPr>
                <w:rFonts w:ascii="Times New Roman" w:hAnsi="Times New Roman"/>
              </w:rPr>
            </w:pPr>
          </w:p>
        </w:tc>
        <w:tc>
          <w:tcPr>
            <w:tcW w:w="1071" w:type="dxa"/>
            <w:tcBorders>
              <w:top w:val="nil"/>
              <w:left w:val="nil"/>
              <w:bottom w:val="nil"/>
              <w:right w:val="nil"/>
            </w:tcBorders>
            <w:shd w:val="clear" w:color="auto" w:fill="auto"/>
            <w:noWrap/>
            <w:vAlign w:val="center"/>
            <w:hideMark/>
          </w:tcPr>
          <w:p w14:paraId="707A46AB" w14:textId="77777777" w:rsidR="001C7E53" w:rsidRPr="00FC2C3F" w:rsidRDefault="001C7E53" w:rsidP="00C84FB6">
            <w:pPr>
              <w:pStyle w:val="TableTextCentered"/>
              <w:rPr>
                <w:rFonts w:ascii="Times New Roman" w:hAnsi="Times New Roman"/>
              </w:rPr>
            </w:pPr>
          </w:p>
        </w:tc>
      </w:tr>
      <w:tr w:rsidR="001C7E53" w:rsidRPr="00FC2C3F" w14:paraId="00120B03" w14:textId="77777777" w:rsidTr="000E4236">
        <w:trPr>
          <w:trHeight w:val="294"/>
        </w:trPr>
        <w:tc>
          <w:tcPr>
            <w:tcW w:w="2410" w:type="dxa"/>
            <w:tcBorders>
              <w:top w:val="nil"/>
              <w:left w:val="nil"/>
              <w:bottom w:val="nil"/>
              <w:right w:val="nil"/>
            </w:tcBorders>
            <w:shd w:val="clear" w:color="auto" w:fill="auto"/>
            <w:noWrap/>
            <w:vAlign w:val="bottom"/>
            <w:hideMark/>
          </w:tcPr>
          <w:p w14:paraId="0117F45B" w14:textId="77777777" w:rsidR="001C7E53" w:rsidRPr="00FC2C3F" w:rsidRDefault="001C7E53" w:rsidP="00F91AE4">
            <w:pPr>
              <w:pStyle w:val="TableTextLeft"/>
            </w:pPr>
            <w:r w:rsidRPr="00FC2C3F">
              <w:t xml:space="preserve">Firm </w:t>
            </w:r>
            <w:r>
              <w:t>Concentration (HHI)</w:t>
            </w:r>
            <w:r w:rsidRPr="00FC2C3F">
              <w:t>* Productivity</w:t>
            </w:r>
          </w:p>
        </w:tc>
        <w:tc>
          <w:tcPr>
            <w:tcW w:w="1554" w:type="dxa"/>
            <w:gridSpan w:val="2"/>
            <w:tcBorders>
              <w:top w:val="nil"/>
              <w:left w:val="nil"/>
              <w:bottom w:val="nil"/>
              <w:right w:val="nil"/>
            </w:tcBorders>
            <w:shd w:val="clear" w:color="auto" w:fill="auto"/>
            <w:noWrap/>
            <w:vAlign w:val="center"/>
            <w:hideMark/>
          </w:tcPr>
          <w:p w14:paraId="0F05F2F8" w14:textId="6675FA76" w:rsidR="001C7E53" w:rsidRPr="00FC2C3F" w:rsidRDefault="0018466E" w:rsidP="00C84FB6">
            <w:pPr>
              <w:pStyle w:val="TableTextCentered"/>
            </w:pPr>
            <w:r>
              <w:noBreakHyphen/>
            </w:r>
            <w:r w:rsidR="001C7E53" w:rsidRPr="00FC2C3F">
              <w:t>0.121***</w:t>
            </w:r>
          </w:p>
        </w:tc>
        <w:tc>
          <w:tcPr>
            <w:tcW w:w="1069" w:type="dxa"/>
            <w:tcBorders>
              <w:top w:val="nil"/>
              <w:left w:val="nil"/>
              <w:bottom w:val="nil"/>
              <w:right w:val="nil"/>
            </w:tcBorders>
            <w:shd w:val="clear" w:color="auto" w:fill="auto"/>
            <w:noWrap/>
            <w:vAlign w:val="center"/>
            <w:hideMark/>
          </w:tcPr>
          <w:p w14:paraId="7246D880" w14:textId="11A52C48" w:rsidR="001C7E53" w:rsidRPr="00FC2C3F" w:rsidRDefault="0018466E" w:rsidP="00C84FB6">
            <w:pPr>
              <w:pStyle w:val="TableTextCentered"/>
            </w:pPr>
            <w:r>
              <w:noBreakHyphen/>
            </w:r>
            <w:r w:rsidR="001C7E53" w:rsidRPr="00FC2C3F">
              <w:t>0.201***</w:t>
            </w:r>
          </w:p>
        </w:tc>
        <w:tc>
          <w:tcPr>
            <w:tcW w:w="1406" w:type="dxa"/>
            <w:tcBorders>
              <w:top w:val="nil"/>
              <w:left w:val="nil"/>
              <w:bottom w:val="nil"/>
              <w:right w:val="nil"/>
            </w:tcBorders>
            <w:shd w:val="clear" w:color="auto" w:fill="auto"/>
            <w:noWrap/>
            <w:vAlign w:val="center"/>
            <w:hideMark/>
          </w:tcPr>
          <w:p w14:paraId="22ECABFD" w14:textId="0E057D6F" w:rsidR="001C7E53" w:rsidRPr="00FC2C3F" w:rsidRDefault="0018466E" w:rsidP="00C84FB6">
            <w:pPr>
              <w:pStyle w:val="TableTextCentered"/>
            </w:pPr>
            <w:r>
              <w:noBreakHyphen/>
            </w:r>
            <w:r w:rsidR="001C7E53" w:rsidRPr="00FC2C3F">
              <w:t>0.203***</w:t>
            </w:r>
          </w:p>
        </w:tc>
        <w:tc>
          <w:tcPr>
            <w:tcW w:w="1069" w:type="dxa"/>
            <w:tcBorders>
              <w:top w:val="nil"/>
              <w:left w:val="nil"/>
              <w:bottom w:val="nil"/>
              <w:right w:val="nil"/>
            </w:tcBorders>
            <w:shd w:val="clear" w:color="auto" w:fill="auto"/>
            <w:noWrap/>
            <w:vAlign w:val="center"/>
            <w:hideMark/>
          </w:tcPr>
          <w:p w14:paraId="6C8EBFFB" w14:textId="2331A2D3" w:rsidR="001C7E53" w:rsidRPr="00FC2C3F" w:rsidRDefault="0018466E" w:rsidP="00C84FB6">
            <w:pPr>
              <w:pStyle w:val="TableTextCentered"/>
            </w:pPr>
            <w:r>
              <w:noBreakHyphen/>
            </w:r>
            <w:r w:rsidR="001C7E53" w:rsidRPr="00FC2C3F">
              <w:t>0.008</w:t>
            </w:r>
          </w:p>
        </w:tc>
        <w:tc>
          <w:tcPr>
            <w:tcW w:w="1090" w:type="dxa"/>
            <w:tcBorders>
              <w:top w:val="nil"/>
              <w:left w:val="nil"/>
              <w:bottom w:val="nil"/>
              <w:right w:val="nil"/>
            </w:tcBorders>
            <w:shd w:val="clear" w:color="auto" w:fill="auto"/>
            <w:noWrap/>
            <w:vAlign w:val="center"/>
            <w:hideMark/>
          </w:tcPr>
          <w:p w14:paraId="3B67ED6E" w14:textId="3839627D" w:rsidR="001C7E53" w:rsidRPr="00FC2C3F" w:rsidRDefault="0018466E" w:rsidP="00C84FB6">
            <w:pPr>
              <w:pStyle w:val="TableTextCentered"/>
            </w:pPr>
            <w:r>
              <w:noBreakHyphen/>
            </w:r>
            <w:r w:rsidR="001C7E53" w:rsidRPr="00FC2C3F">
              <w:t>0.322***</w:t>
            </w:r>
          </w:p>
        </w:tc>
        <w:tc>
          <w:tcPr>
            <w:tcW w:w="1071" w:type="dxa"/>
            <w:tcBorders>
              <w:top w:val="nil"/>
              <w:left w:val="nil"/>
              <w:bottom w:val="nil"/>
              <w:right w:val="nil"/>
            </w:tcBorders>
            <w:shd w:val="clear" w:color="auto" w:fill="auto"/>
            <w:noWrap/>
            <w:vAlign w:val="center"/>
            <w:hideMark/>
          </w:tcPr>
          <w:p w14:paraId="1D0C6882" w14:textId="471B1027" w:rsidR="001C7E53" w:rsidRPr="00FC2C3F" w:rsidRDefault="0018466E" w:rsidP="00C84FB6">
            <w:pPr>
              <w:pStyle w:val="TableTextCentered"/>
            </w:pPr>
            <w:r>
              <w:noBreakHyphen/>
            </w:r>
            <w:r w:rsidR="001C7E53" w:rsidRPr="00FC2C3F">
              <w:t>0.322***</w:t>
            </w:r>
          </w:p>
        </w:tc>
      </w:tr>
      <w:tr w:rsidR="001C7E53" w:rsidRPr="00FC2C3F" w14:paraId="7DCA57AA" w14:textId="77777777" w:rsidTr="000E4236">
        <w:trPr>
          <w:trHeight w:val="294"/>
        </w:trPr>
        <w:tc>
          <w:tcPr>
            <w:tcW w:w="2410" w:type="dxa"/>
            <w:tcBorders>
              <w:top w:val="nil"/>
              <w:left w:val="nil"/>
              <w:bottom w:val="nil"/>
              <w:right w:val="nil"/>
            </w:tcBorders>
            <w:shd w:val="clear" w:color="auto" w:fill="auto"/>
            <w:noWrap/>
            <w:vAlign w:val="bottom"/>
            <w:hideMark/>
          </w:tcPr>
          <w:p w14:paraId="4F3D2604" w14:textId="77777777" w:rsidR="001C7E53" w:rsidRPr="00FC2C3F" w:rsidRDefault="001C7E53" w:rsidP="00F91AE4">
            <w:pPr>
              <w:pStyle w:val="TableTextLeft"/>
            </w:pPr>
          </w:p>
        </w:tc>
        <w:tc>
          <w:tcPr>
            <w:tcW w:w="1554" w:type="dxa"/>
            <w:gridSpan w:val="2"/>
            <w:tcBorders>
              <w:top w:val="nil"/>
              <w:left w:val="nil"/>
              <w:bottom w:val="nil"/>
              <w:right w:val="nil"/>
            </w:tcBorders>
            <w:shd w:val="clear" w:color="auto" w:fill="auto"/>
            <w:noWrap/>
            <w:vAlign w:val="center"/>
            <w:hideMark/>
          </w:tcPr>
          <w:p w14:paraId="77E83C92" w14:textId="77777777" w:rsidR="001C7E53" w:rsidRPr="00FC2C3F" w:rsidRDefault="001C7E53" w:rsidP="00C84FB6">
            <w:pPr>
              <w:pStyle w:val="TableTextCentered"/>
            </w:pPr>
            <w:r w:rsidRPr="00FC2C3F">
              <w:t>(0.010)</w:t>
            </w:r>
          </w:p>
        </w:tc>
        <w:tc>
          <w:tcPr>
            <w:tcW w:w="1069" w:type="dxa"/>
            <w:tcBorders>
              <w:top w:val="nil"/>
              <w:left w:val="nil"/>
              <w:bottom w:val="nil"/>
              <w:right w:val="nil"/>
            </w:tcBorders>
            <w:shd w:val="clear" w:color="auto" w:fill="auto"/>
            <w:noWrap/>
            <w:vAlign w:val="center"/>
            <w:hideMark/>
          </w:tcPr>
          <w:p w14:paraId="2368A1B4" w14:textId="77777777" w:rsidR="001C7E53" w:rsidRPr="00FC2C3F" w:rsidRDefault="001C7E53" w:rsidP="00C84FB6">
            <w:pPr>
              <w:pStyle w:val="TableTextCentered"/>
            </w:pPr>
            <w:r w:rsidRPr="00FC2C3F">
              <w:t>(0.008)</w:t>
            </w:r>
          </w:p>
        </w:tc>
        <w:tc>
          <w:tcPr>
            <w:tcW w:w="1406" w:type="dxa"/>
            <w:tcBorders>
              <w:top w:val="nil"/>
              <w:left w:val="nil"/>
              <w:bottom w:val="nil"/>
              <w:right w:val="nil"/>
            </w:tcBorders>
            <w:shd w:val="clear" w:color="auto" w:fill="auto"/>
            <w:noWrap/>
            <w:vAlign w:val="center"/>
            <w:hideMark/>
          </w:tcPr>
          <w:p w14:paraId="00104931" w14:textId="77777777" w:rsidR="001C7E53" w:rsidRPr="00FC2C3F" w:rsidRDefault="001C7E53" w:rsidP="00C84FB6">
            <w:pPr>
              <w:pStyle w:val="TableTextCentered"/>
            </w:pPr>
            <w:r w:rsidRPr="00FC2C3F">
              <w:t>(0.008)</w:t>
            </w:r>
          </w:p>
        </w:tc>
        <w:tc>
          <w:tcPr>
            <w:tcW w:w="1069" w:type="dxa"/>
            <w:tcBorders>
              <w:top w:val="nil"/>
              <w:left w:val="nil"/>
              <w:bottom w:val="nil"/>
              <w:right w:val="nil"/>
            </w:tcBorders>
            <w:shd w:val="clear" w:color="auto" w:fill="auto"/>
            <w:noWrap/>
            <w:vAlign w:val="center"/>
            <w:hideMark/>
          </w:tcPr>
          <w:p w14:paraId="0BD48544" w14:textId="77777777" w:rsidR="001C7E53" w:rsidRPr="00FC2C3F" w:rsidRDefault="001C7E53" w:rsidP="00C84FB6">
            <w:pPr>
              <w:pStyle w:val="TableTextCentered"/>
            </w:pPr>
            <w:r w:rsidRPr="00FC2C3F">
              <w:t>(0.007)</w:t>
            </w:r>
          </w:p>
        </w:tc>
        <w:tc>
          <w:tcPr>
            <w:tcW w:w="1090" w:type="dxa"/>
            <w:tcBorders>
              <w:top w:val="nil"/>
              <w:left w:val="nil"/>
              <w:bottom w:val="nil"/>
              <w:right w:val="nil"/>
            </w:tcBorders>
            <w:shd w:val="clear" w:color="auto" w:fill="auto"/>
            <w:noWrap/>
            <w:vAlign w:val="center"/>
            <w:hideMark/>
          </w:tcPr>
          <w:p w14:paraId="73093879" w14:textId="77777777" w:rsidR="001C7E53" w:rsidRPr="00FC2C3F" w:rsidRDefault="001C7E53" w:rsidP="00C84FB6">
            <w:pPr>
              <w:pStyle w:val="TableTextCentered"/>
            </w:pPr>
            <w:r w:rsidRPr="00FC2C3F">
              <w:t>(0.010)</w:t>
            </w:r>
          </w:p>
        </w:tc>
        <w:tc>
          <w:tcPr>
            <w:tcW w:w="1071" w:type="dxa"/>
            <w:tcBorders>
              <w:top w:val="nil"/>
              <w:left w:val="nil"/>
              <w:bottom w:val="nil"/>
              <w:right w:val="nil"/>
            </w:tcBorders>
            <w:shd w:val="clear" w:color="auto" w:fill="auto"/>
            <w:noWrap/>
            <w:vAlign w:val="center"/>
            <w:hideMark/>
          </w:tcPr>
          <w:p w14:paraId="43C87F59" w14:textId="77777777" w:rsidR="001C7E53" w:rsidRPr="00FC2C3F" w:rsidRDefault="001C7E53" w:rsidP="00C84FB6">
            <w:pPr>
              <w:pStyle w:val="TableTextCentered"/>
            </w:pPr>
            <w:r w:rsidRPr="00FC2C3F">
              <w:t>(0.010)</w:t>
            </w:r>
          </w:p>
        </w:tc>
      </w:tr>
      <w:tr w:rsidR="001C7E53" w:rsidRPr="00FC2C3F" w14:paraId="2AB18F47" w14:textId="77777777" w:rsidTr="000E4236">
        <w:trPr>
          <w:trHeight w:val="284"/>
        </w:trPr>
        <w:tc>
          <w:tcPr>
            <w:tcW w:w="2410" w:type="dxa"/>
            <w:tcBorders>
              <w:top w:val="single" w:sz="4" w:space="0" w:color="auto"/>
              <w:left w:val="nil"/>
              <w:bottom w:val="nil"/>
              <w:right w:val="nil"/>
            </w:tcBorders>
            <w:shd w:val="clear" w:color="auto" w:fill="auto"/>
            <w:noWrap/>
            <w:vAlign w:val="center"/>
            <w:hideMark/>
          </w:tcPr>
          <w:p w14:paraId="569208E5" w14:textId="77777777" w:rsidR="001C7E53" w:rsidRPr="00FC2C3F" w:rsidRDefault="001C7E53" w:rsidP="00F91AE4">
            <w:pPr>
              <w:pStyle w:val="TableTextLeft"/>
            </w:pPr>
            <w:r w:rsidRPr="00FC2C3F">
              <w:t>R</w:t>
            </w:r>
            <w:r w:rsidRPr="00FC2C3F">
              <w:rPr>
                <w:vertAlign w:val="superscript"/>
              </w:rPr>
              <w:t>2</w:t>
            </w:r>
          </w:p>
        </w:tc>
        <w:tc>
          <w:tcPr>
            <w:tcW w:w="1554" w:type="dxa"/>
            <w:gridSpan w:val="2"/>
            <w:tcBorders>
              <w:top w:val="single" w:sz="4" w:space="0" w:color="auto"/>
              <w:left w:val="nil"/>
              <w:bottom w:val="nil"/>
              <w:right w:val="nil"/>
            </w:tcBorders>
            <w:shd w:val="clear" w:color="auto" w:fill="auto"/>
            <w:noWrap/>
            <w:vAlign w:val="center"/>
            <w:hideMark/>
          </w:tcPr>
          <w:p w14:paraId="3B6C2803" w14:textId="77777777" w:rsidR="001C7E53" w:rsidRPr="00FC2C3F" w:rsidRDefault="001C7E53" w:rsidP="00C84FB6">
            <w:pPr>
              <w:pStyle w:val="TableTextCentered"/>
            </w:pPr>
            <w:r w:rsidRPr="00FC2C3F">
              <w:t>0.211</w:t>
            </w:r>
          </w:p>
        </w:tc>
        <w:tc>
          <w:tcPr>
            <w:tcW w:w="1069" w:type="dxa"/>
            <w:tcBorders>
              <w:top w:val="single" w:sz="4" w:space="0" w:color="auto"/>
              <w:left w:val="nil"/>
              <w:bottom w:val="nil"/>
              <w:right w:val="nil"/>
            </w:tcBorders>
            <w:shd w:val="clear" w:color="auto" w:fill="auto"/>
            <w:noWrap/>
            <w:vAlign w:val="center"/>
            <w:hideMark/>
          </w:tcPr>
          <w:p w14:paraId="3F47C75E" w14:textId="77777777" w:rsidR="001C7E53" w:rsidRPr="00FC2C3F" w:rsidRDefault="001C7E53" w:rsidP="00C84FB6">
            <w:pPr>
              <w:pStyle w:val="TableTextCentered"/>
            </w:pPr>
            <w:r w:rsidRPr="00FC2C3F">
              <w:t>0.326</w:t>
            </w:r>
          </w:p>
        </w:tc>
        <w:tc>
          <w:tcPr>
            <w:tcW w:w="1406" w:type="dxa"/>
            <w:tcBorders>
              <w:top w:val="single" w:sz="4" w:space="0" w:color="auto"/>
              <w:left w:val="nil"/>
              <w:bottom w:val="nil"/>
              <w:right w:val="nil"/>
            </w:tcBorders>
            <w:shd w:val="clear" w:color="auto" w:fill="auto"/>
            <w:noWrap/>
            <w:vAlign w:val="center"/>
            <w:hideMark/>
          </w:tcPr>
          <w:p w14:paraId="3FB8378B" w14:textId="77777777" w:rsidR="001C7E53" w:rsidRPr="00FC2C3F" w:rsidRDefault="001C7E53" w:rsidP="00C84FB6">
            <w:pPr>
              <w:pStyle w:val="TableTextCentered"/>
            </w:pPr>
            <w:r w:rsidRPr="00FC2C3F">
              <w:t>0.344</w:t>
            </w:r>
          </w:p>
        </w:tc>
        <w:tc>
          <w:tcPr>
            <w:tcW w:w="1069" w:type="dxa"/>
            <w:tcBorders>
              <w:top w:val="single" w:sz="4" w:space="0" w:color="auto"/>
              <w:left w:val="nil"/>
              <w:bottom w:val="nil"/>
              <w:right w:val="nil"/>
            </w:tcBorders>
            <w:shd w:val="clear" w:color="auto" w:fill="auto"/>
            <w:noWrap/>
            <w:vAlign w:val="center"/>
            <w:hideMark/>
          </w:tcPr>
          <w:p w14:paraId="19379389" w14:textId="77777777" w:rsidR="001C7E53" w:rsidRPr="00FC2C3F" w:rsidRDefault="001C7E53" w:rsidP="00C84FB6">
            <w:pPr>
              <w:pStyle w:val="TableTextCentered"/>
            </w:pPr>
            <w:r w:rsidRPr="00FC2C3F">
              <w:t>0.781</w:t>
            </w:r>
          </w:p>
        </w:tc>
        <w:tc>
          <w:tcPr>
            <w:tcW w:w="1090" w:type="dxa"/>
            <w:tcBorders>
              <w:top w:val="single" w:sz="4" w:space="0" w:color="auto"/>
              <w:left w:val="nil"/>
              <w:bottom w:val="nil"/>
              <w:right w:val="nil"/>
            </w:tcBorders>
            <w:shd w:val="clear" w:color="auto" w:fill="auto"/>
            <w:noWrap/>
            <w:vAlign w:val="center"/>
            <w:hideMark/>
          </w:tcPr>
          <w:p w14:paraId="04239F8D" w14:textId="77777777" w:rsidR="001C7E53" w:rsidRPr="00FC2C3F" w:rsidRDefault="001C7E53" w:rsidP="00C84FB6">
            <w:pPr>
              <w:pStyle w:val="TableTextCentered"/>
            </w:pPr>
            <w:r w:rsidRPr="00FC2C3F">
              <w:t>0.367</w:t>
            </w:r>
          </w:p>
        </w:tc>
        <w:tc>
          <w:tcPr>
            <w:tcW w:w="1071" w:type="dxa"/>
            <w:tcBorders>
              <w:top w:val="single" w:sz="4" w:space="0" w:color="auto"/>
              <w:left w:val="nil"/>
              <w:bottom w:val="nil"/>
              <w:right w:val="nil"/>
            </w:tcBorders>
            <w:shd w:val="clear" w:color="auto" w:fill="auto"/>
            <w:noWrap/>
            <w:vAlign w:val="center"/>
            <w:hideMark/>
          </w:tcPr>
          <w:p w14:paraId="65ACA136" w14:textId="77777777" w:rsidR="001C7E53" w:rsidRPr="00FC2C3F" w:rsidRDefault="001C7E53" w:rsidP="00C84FB6">
            <w:pPr>
              <w:pStyle w:val="TableTextCentered"/>
            </w:pPr>
            <w:r w:rsidRPr="00FC2C3F">
              <w:t>0.797</w:t>
            </w:r>
          </w:p>
        </w:tc>
      </w:tr>
      <w:tr w:rsidR="001C7E53" w:rsidRPr="00FC2C3F" w14:paraId="0C7102C5" w14:textId="77777777" w:rsidTr="000E4236">
        <w:trPr>
          <w:trHeight w:val="294"/>
        </w:trPr>
        <w:tc>
          <w:tcPr>
            <w:tcW w:w="2410" w:type="dxa"/>
            <w:tcBorders>
              <w:top w:val="nil"/>
              <w:left w:val="nil"/>
              <w:right w:val="nil"/>
            </w:tcBorders>
            <w:shd w:val="clear" w:color="auto" w:fill="auto"/>
            <w:noWrap/>
            <w:vAlign w:val="bottom"/>
            <w:hideMark/>
          </w:tcPr>
          <w:p w14:paraId="78D25787" w14:textId="77777777" w:rsidR="001C7E53" w:rsidRPr="00FC2C3F" w:rsidRDefault="001C7E53" w:rsidP="00F91AE4">
            <w:pPr>
              <w:pStyle w:val="TableTextLeft"/>
            </w:pPr>
            <w:r w:rsidRPr="00FC2C3F">
              <w:t>N</w:t>
            </w:r>
          </w:p>
        </w:tc>
        <w:tc>
          <w:tcPr>
            <w:tcW w:w="1554" w:type="dxa"/>
            <w:gridSpan w:val="2"/>
            <w:tcBorders>
              <w:top w:val="nil"/>
              <w:left w:val="nil"/>
              <w:right w:val="nil"/>
            </w:tcBorders>
            <w:shd w:val="clear" w:color="auto" w:fill="auto"/>
            <w:noWrap/>
            <w:vAlign w:val="center"/>
            <w:hideMark/>
          </w:tcPr>
          <w:p w14:paraId="3874D3D9" w14:textId="77777777" w:rsidR="001C7E53" w:rsidRPr="00FC2C3F" w:rsidRDefault="001C7E53" w:rsidP="00C84FB6">
            <w:pPr>
              <w:pStyle w:val="TableTextCentered"/>
            </w:pPr>
            <w:r w:rsidRPr="00FC2C3F">
              <w:t>3,970,000</w:t>
            </w:r>
          </w:p>
        </w:tc>
        <w:tc>
          <w:tcPr>
            <w:tcW w:w="1069" w:type="dxa"/>
            <w:tcBorders>
              <w:top w:val="nil"/>
              <w:left w:val="nil"/>
              <w:right w:val="nil"/>
            </w:tcBorders>
            <w:shd w:val="clear" w:color="auto" w:fill="auto"/>
            <w:noWrap/>
            <w:vAlign w:val="center"/>
            <w:hideMark/>
          </w:tcPr>
          <w:p w14:paraId="74F004C5" w14:textId="77777777" w:rsidR="001C7E53" w:rsidRPr="00FC2C3F" w:rsidRDefault="001C7E53" w:rsidP="00C84FB6">
            <w:pPr>
              <w:pStyle w:val="TableTextCentered"/>
            </w:pPr>
            <w:r w:rsidRPr="00FC2C3F">
              <w:t>3,970,000</w:t>
            </w:r>
          </w:p>
        </w:tc>
        <w:tc>
          <w:tcPr>
            <w:tcW w:w="1406" w:type="dxa"/>
            <w:tcBorders>
              <w:top w:val="nil"/>
              <w:left w:val="nil"/>
              <w:right w:val="nil"/>
            </w:tcBorders>
            <w:shd w:val="clear" w:color="auto" w:fill="auto"/>
            <w:noWrap/>
            <w:vAlign w:val="center"/>
            <w:hideMark/>
          </w:tcPr>
          <w:p w14:paraId="36F3EAB6" w14:textId="77777777" w:rsidR="001C7E53" w:rsidRPr="00FC2C3F" w:rsidRDefault="001C7E53" w:rsidP="00C84FB6">
            <w:pPr>
              <w:pStyle w:val="TableTextCentered"/>
            </w:pPr>
            <w:r w:rsidRPr="00FC2C3F">
              <w:t>3,970,000</w:t>
            </w:r>
          </w:p>
        </w:tc>
        <w:tc>
          <w:tcPr>
            <w:tcW w:w="1069" w:type="dxa"/>
            <w:tcBorders>
              <w:top w:val="nil"/>
              <w:left w:val="nil"/>
              <w:right w:val="nil"/>
            </w:tcBorders>
            <w:shd w:val="clear" w:color="auto" w:fill="auto"/>
            <w:noWrap/>
            <w:vAlign w:val="center"/>
            <w:hideMark/>
          </w:tcPr>
          <w:p w14:paraId="46800662" w14:textId="77777777" w:rsidR="001C7E53" w:rsidRPr="00FC2C3F" w:rsidRDefault="001C7E53" w:rsidP="00C84FB6">
            <w:pPr>
              <w:pStyle w:val="TableTextCentered"/>
            </w:pPr>
            <w:r w:rsidRPr="00FC2C3F">
              <w:t>3,660,000</w:t>
            </w:r>
          </w:p>
        </w:tc>
        <w:tc>
          <w:tcPr>
            <w:tcW w:w="1090" w:type="dxa"/>
            <w:tcBorders>
              <w:top w:val="nil"/>
              <w:left w:val="nil"/>
              <w:right w:val="nil"/>
            </w:tcBorders>
            <w:shd w:val="clear" w:color="auto" w:fill="auto"/>
            <w:noWrap/>
            <w:vAlign w:val="center"/>
            <w:hideMark/>
          </w:tcPr>
          <w:p w14:paraId="3881B545" w14:textId="77777777" w:rsidR="001C7E53" w:rsidRPr="00FC2C3F" w:rsidRDefault="001C7E53" w:rsidP="00C84FB6">
            <w:pPr>
              <w:pStyle w:val="TableTextCentered"/>
            </w:pPr>
            <w:r w:rsidRPr="00FC2C3F">
              <w:t>3,860,000</w:t>
            </w:r>
          </w:p>
        </w:tc>
        <w:tc>
          <w:tcPr>
            <w:tcW w:w="1071" w:type="dxa"/>
            <w:tcBorders>
              <w:top w:val="nil"/>
              <w:left w:val="nil"/>
              <w:right w:val="nil"/>
            </w:tcBorders>
            <w:shd w:val="clear" w:color="auto" w:fill="auto"/>
            <w:noWrap/>
            <w:vAlign w:val="center"/>
            <w:hideMark/>
          </w:tcPr>
          <w:p w14:paraId="6313DF79" w14:textId="77777777" w:rsidR="001C7E53" w:rsidRPr="00FC2C3F" w:rsidRDefault="001C7E53" w:rsidP="00C84FB6">
            <w:pPr>
              <w:pStyle w:val="TableTextCentered"/>
            </w:pPr>
            <w:r w:rsidRPr="00FC2C3F">
              <w:t>3,560,000</w:t>
            </w:r>
          </w:p>
        </w:tc>
      </w:tr>
      <w:tr w:rsidR="001C7E53" w:rsidRPr="00FC2C3F" w14:paraId="72DF8D5F" w14:textId="77777777" w:rsidTr="000E4236">
        <w:trPr>
          <w:trHeight w:val="294"/>
        </w:trPr>
        <w:tc>
          <w:tcPr>
            <w:tcW w:w="2410" w:type="dxa"/>
            <w:tcBorders>
              <w:top w:val="nil"/>
              <w:left w:val="nil"/>
              <w:bottom w:val="single" w:sz="4" w:space="0" w:color="auto"/>
              <w:right w:val="nil"/>
            </w:tcBorders>
            <w:shd w:val="clear" w:color="auto" w:fill="auto"/>
            <w:noWrap/>
            <w:vAlign w:val="bottom"/>
          </w:tcPr>
          <w:p w14:paraId="668402ED" w14:textId="77777777" w:rsidR="001C7E53" w:rsidRPr="00FC2C3F" w:rsidRDefault="001C7E53" w:rsidP="00F91AE4">
            <w:pPr>
              <w:pStyle w:val="TableTextLeft"/>
            </w:pPr>
            <w:r w:rsidRPr="00FC2C3F">
              <w:rPr>
                <w:b/>
                <w:bCs/>
                <w:i/>
                <w:iCs/>
              </w:rPr>
              <w:t>Fixed effects</w:t>
            </w:r>
          </w:p>
        </w:tc>
        <w:tc>
          <w:tcPr>
            <w:tcW w:w="1554" w:type="dxa"/>
            <w:gridSpan w:val="2"/>
            <w:tcBorders>
              <w:top w:val="nil"/>
              <w:left w:val="nil"/>
              <w:bottom w:val="single" w:sz="4" w:space="0" w:color="auto"/>
              <w:right w:val="nil"/>
            </w:tcBorders>
            <w:shd w:val="clear" w:color="auto" w:fill="auto"/>
            <w:noWrap/>
            <w:vAlign w:val="center"/>
          </w:tcPr>
          <w:p w14:paraId="71712340" w14:textId="77777777" w:rsidR="001C7E53" w:rsidRPr="00FC2C3F" w:rsidRDefault="001C7E53" w:rsidP="00C84FB6">
            <w:pPr>
              <w:pStyle w:val="TableTextCentered"/>
            </w:pPr>
            <w:r w:rsidRPr="00FC2C3F">
              <w:t> </w:t>
            </w:r>
          </w:p>
        </w:tc>
        <w:tc>
          <w:tcPr>
            <w:tcW w:w="1069" w:type="dxa"/>
            <w:tcBorders>
              <w:top w:val="nil"/>
              <w:left w:val="nil"/>
              <w:bottom w:val="single" w:sz="4" w:space="0" w:color="auto"/>
              <w:right w:val="nil"/>
            </w:tcBorders>
            <w:shd w:val="clear" w:color="auto" w:fill="auto"/>
            <w:noWrap/>
            <w:vAlign w:val="center"/>
          </w:tcPr>
          <w:p w14:paraId="1C623055" w14:textId="77777777" w:rsidR="001C7E53" w:rsidRPr="00FC2C3F" w:rsidRDefault="001C7E53" w:rsidP="00C84FB6">
            <w:pPr>
              <w:pStyle w:val="TableTextCentered"/>
            </w:pPr>
            <w:r w:rsidRPr="00FC2C3F">
              <w:t> </w:t>
            </w:r>
          </w:p>
        </w:tc>
        <w:tc>
          <w:tcPr>
            <w:tcW w:w="1406" w:type="dxa"/>
            <w:tcBorders>
              <w:top w:val="nil"/>
              <w:left w:val="nil"/>
              <w:bottom w:val="single" w:sz="4" w:space="0" w:color="auto"/>
              <w:right w:val="nil"/>
            </w:tcBorders>
            <w:shd w:val="clear" w:color="auto" w:fill="auto"/>
            <w:noWrap/>
            <w:vAlign w:val="center"/>
          </w:tcPr>
          <w:p w14:paraId="7DE4FDDF" w14:textId="77777777" w:rsidR="001C7E53" w:rsidRPr="00FC2C3F" w:rsidRDefault="001C7E53" w:rsidP="00C84FB6">
            <w:pPr>
              <w:pStyle w:val="TableTextCentered"/>
            </w:pPr>
            <w:r w:rsidRPr="00FC2C3F">
              <w:t> </w:t>
            </w:r>
          </w:p>
        </w:tc>
        <w:tc>
          <w:tcPr>
            <w:tcW w:w="1069" w:type="dxa"/>
            <w:tcBorders>
              <w:top w:val="nil"/>
              <w:left w:val="nil"/>
              <w:bottom w:val="single" w:sz="4" w:space="0" w:color="auto"/>
              <w:right w:val="nil"/>
            </w:tcBorders>
            <w:shd w:val="clear" w:color="auto" w:fill="auto"/>
            <w:noWrap/>
            <w:vAlign w:val="center"/>
          </w:tcPr>
          <w:p w14:paraId="54EC61C6" w14:textId="77777777" w:rsidR="001C7E53" w:rsidRPr="00FC2C3F" w:rsidRDefault="001C7E53" w:rsidP="00C84FB6">
            <w:pPr>
              <w:pStyle w:val="TableTextCentered"/>
            </w:pPr>
            <w:r w:rsidRPr="00FC2C3F">
              <w:t> </w:t>
            </w:r>
          </w:p>
        </w:tc>
        <w:tc>
          <w:tcPr>
            <w:tcW w:w="1090" w:type="dxa"/>
            <w:tcBorders>
              <w:top w:val="nil"/>
              <w:left w:val="nil"/>
              <w:bottom w:val="single" w:sz="4" w:space="0" w:color="auto"/>
              <w:right w:val="nil"/>
            </w:tcBorders>
            <w:shd w:val="clear" w:color="auto" w:fill="auto"/>
            <w:noWrap/>
            <w:vAlign w:val="center"/>
          </w:tcPr>
          <w:p w14:paraId="0B6FDC3F" w14:textId="77777777" w:rsidR="001C7E53" w:rsidRPr="00FC2C3F" w:rsidRDefault="001C7E53" w:rsidP="00C84FB6">
            <w:pPr>
              <w:pStyle w:val="TableTextCentered"/>
            </w:pPr>
            <w:r w:rsidRPr="00FC2C3F">
              <w:t> </w:t>
            </w:r>
          </w:p>
        </w:tc>
        <w:tc>
          <w:tcPr>
            <w:tcW w:w="1071" w:type="dxa"/>
            <w:tcBorders>
              <w:top w:val="nil"/>
              <w:left w:val="nil"/>
              <w:bottom w:val="single" w:sz="4" w:space="0" w:color="auto"/>
              <w:right w:val="nil"/>
            </w:tcBorders>
            <w:shd w:val="clear" w:color="auto" w:fill="auto"/>
            <w:noWrap/>
            <w:vAlign w:val="center"/>
          </w:tcPr>
          <w:p w14:paraId="5D612544" w14:textId="77777777" w:rsidR="001C7E53" w:rsidRPr="00FC2C3F" w:rsidRDefault="001C7E53" w:rsidP="00C84FB6">
            <w:pPr>
              <w:pStyle w:val="TableTextCentered"/>
            </w:pPr>
            <w:r w:rsidRPr="00FC2C3F">
              <w:t> </w:t>
            </w:r>
          </w:p>
        </w:tc>
      </w:tr>
      <w:tr w:rsidR="001C7E53" w:rsidRPr="00FC2C3F" w14:paraId="38C71177" w14:textId="77777777" w:rsidTr="000E4236">
        <w:trPr>
          <w:trHeight w:val="294"/>
        </w:trPr>
        <w:tc>
          <w:tcPr>
            <w:tcW w:w="2410" w:type="dxa"/>
            <w:tcBorders>
              <w:top w:val="single" w:sz="4" w:space="0" w:color="auto"/>
              <w:left w:val="nil"/>
              <w:right w:val="nil"/>
            </w:tcBorders>
            <w:shd w:val="clear" w:color="auto" w:fill="auto"/>
            <w:noWrap/>
            <w:vAlign w:val="bottom"/>
          </w:tcPr>
          <w:p w14:paraId="053F7664" w14:textId="77777777" w:rsidR="001C7E53" w:rsidRPr="00FC2C3F" w:rsidRDefault="001C7E53" w:rsidP="00F91AE4">
            <w:pPr>
              <w:pStyle w:val="TableTextLeft"/>
            </w:pPr>
            <w:r w:rsidRPr="00FC2C3F">
              <w:t>Local market</w:t>
            </w:r>
          </w:p>
        </w:tc>
        <w:tc>
          <w:tcPr>
            <w:tcW w:w="1554" w:type="dxa"/>
            <w:gridSpan w:val="2"/>
            <w:tcBorders>
              <w:top w:val="single" w:sz="4" w:space="0" w:color="auto"/>
              <w:left w:val="nil"/>
              <w:right w:val="nil"/>
            </w:tcBorders>
            <w:shd w:val="clear" w:color="auto" w:fill="auto"/>
            <w:noWrap/>
            <w:vAlign w:val="center"/>
          </w:tcPr>
          <w:p w14:paraId="6EAD9DFC" w14:textId="77777777" w:rsidR="001C7E53" w:rsidRPr="00FC2C3F" w:rsidRDefault="001C7E53" w:rsidP="00C84FB6">
            <w:pPr>
              <w:pStyle w:val="TableTextCentered"/>
            </w:pPr>
            <w:r w:rsidRPr="00FC2C3F">
              <w:t>N</w:t>
            </w:r>
          </w:p>
        </w:tc>
        <w:tc>
          <w:tcPr>
            <w:tcW w:w="1069" w:type="dxa"/>
            <w:tcBorders>
              <w:top w:val="single" w:sz="4" w:space="0" w:color="auto"/>
              <w:left w:val="nil"/>
              <w:right w:val="nil"/>
            </w:tcBorders>
            <w:shd w:val="clear" w:color="auto" w:fill="auto"/>
            <w:noWrap/>
            <w:vAlign w:val="center"/>
          </w:tcPr>
          <w:p w14:paraId="1592CD94" w14:textId="77777777" w:rsidR="001C7E53" w:rsidRPr="00FC2C3F" w:rsidRDefault="001C7E53" w:rsidP="00C84FB6">
            <w:pPr>
              <w:pStyle w:val="TableTextCentered"/>
            </w:pPr>
            <w:r w:rsidRPr="00FC2C3F">
              <w:t>Y</w:t>
            </w:r>
          </w:p>
        </w:tc>
        <w:tc>
          <w:tcPr>
            <w:tcW w:w="1406" w:type="dxa"/>
            <w:tcBorders>
              <w:top w:val="single" w:sz="4" w:space="0" w:color="auto"/>
              <w:left w:val="nil"/>
              <w:right w:val="nil"/>
            </w:tcBorders>
            <w:shd w:val="clear" w:color="auto" w:fill="auto"/>
            <w:noWrap/>
            <w:vAlign w:val="center"/>
          </w:tcPr>
          <w:p w14:paraId="3BE55226" w14:textId="77777777" w:rsidR="001C7E53" w:rsidRPr="00FC2C3F" w:rsidRDefault="001C7E53" w:rsidP="00C84FB6">
            <w:pPr>
              <w:pStyle w:val="TableTextCentered"/>
            </w:pPr>
            <w:r w:rsidRPr="00FC2C3F">
              <w:t>Y</w:t>
            </w:r>
          </w:p>
        </w:tc>
        <w:tc>
          <w:tcPr>
            <w:tcW w:w="1069" w:type="dxa"/>
            <w:tcBorders>
              <w:top w:val="single" w:sz="4" w:space="0" w:color="auto"/>
              <w:left w:val="nil"/>
              <w:right w:val="nil"/>
            </w:tcBorders>
            <w:shd w:val="clear" w:color="auto" w:fill="auto"/>
            <w:noWrap/>
            <w:vAlign w:val="center"/>
          </w:tcPr>
          <w:p w14:paraId="678D5C29" w14:textId="77777777" w:rsidR="001C7E53" w:rsidRPr="00FC2C3F" w:rsidRDefault="001C7E53" w:rsidP="00C84FB6">
            <w:pPr>
              <w:pStyle w:val="TableTextCentered"/>
            </w:pPr>
            <w:r w:rsidRPr="00FC2C3F">
              <w:t>Y</w:t>
            </w:r>
          </w:p>
        </w:tc>
        <w:tc>
          <w:tcPr>
            <w:tcW w:w="1090" w:type="dxa"/>
            <w:tcBorders>
              <w:top w:val="single" w:sz="4" w:space="0" w:color="auto"/>
              <w:left w:val="nil"/>
              <w:right w:val="nil"/>
            </w:tcBorders>
            <w:shd w:val="clear" w:color="auto" w:fill="auto"/>
            <w:noWrap/>
            <w:vAlign w:val="center"/>
          </w:tcPr>
          <w:p w14:paraId="3515815D" w14:textId="77777777" w:rsidR="001C7E53" w:rsidRPr="00FC2C3F" w:rsidRDefault="001C7E53" w:rsidP="00C84FB6">
            <w:pPr>
              <w:pStyle w:val="TableTextCentered"/>
            </w:pPr>
            <w:r w:rsidRPr="00FC2C3F">
              <w:t>Y</w:t>
            </w:r>
          </w:p>
        </w:tc>
        <w:tc>
          <w:tcPr>
            <w:tcW w:w="1071" w:type="dxa"/>
            <w:tcBorders>
              <w:top w:val="single" w:sz="4" w:space="0" w:color="auto"/>
              <w:left w:val="nil"/>
              <w:right w:val="nil"/>
            </w:tcBorders>
            <w:shd w:val="clear" w:color="auto" w:fill="auto"/>
            <w:noWrap/>
            <w:vAlign w:val="center"/>
          </w:tcPr>
          <w:p w14:paraId="151098EA" w14:textId="77777777" w:rsidR="001C7E53" w:rsidRPr="00FC2C3F" w:rsidRDefault="001C7E53" w:rsidP="00C84FB6">
            <w:pPr>
              <w:pStyle w:val="TableTextCentered"/>
            </w:pPr>
            <w:r w:rsidRPr="00FC2C3F">
              <w:t>Y</w:t>
            </w:r>
          </w:p>
        </w:tc>
      </w:tr>
      <w:tr w:rsidR="001C7E53" w:rsidRPr="00FC2C3F" w14:paraId="7C3BD613" w14:textId="77777777" w:rsidTr="000E4236">
        <w:trPr>
          <w:trHeight w:val="294"/>
        </w:trPr>
        <w:tc>
          <w:tcPr>
            <w:tcW w:w="2410" w:type="dxa"/>
            <w:tcBorders>
              <w:left w:val="nil"/>
              <w:right w:val="nil"/>
            </w:tcBorders>
            <w:shd w:val="clear" w:color="auto" w:fill="auto"/>
            <w:noWrap/>
            <w:vAlign w:val="bottom"/>
          </w:tcPr>
          <w:p w14:paraId="47F5CE82" w14:textId="77777777" w:rsidR="001C7E53" w:rsidRPr="00FC2C3F" w:rsidRDefault="001C7E53" w:rsidP="00F91AE4">
            <w:pPr>
              <w:pStyle w:val="TableTextLeft"/>
            </w:pPr>
            <w:r w:rsidRPr="00FC2C3F">
              <w:t>Time*Industry</w:t>
            </w:r>
          </w:p>
        </w:tc>
        <w:tc>
          <w:tcPr>
            <w:tcW w:w="1554" w:type="dxa"/>
            <w:gridSpan w:val="2"/>
            <w:tcBorders>
              <w:left w:val="nil"/>
              <w:right w:val="nil"/>
            </w:tcBorders>
            <w:shd w:val="clear" w:color="auto" w:fill="auto"/>
            <w:noWrap/>
            <w:vAlign w:val="center"/>
          </w:tcPr>
          <w:p w14:paraId="3C00279F" w14:textId="77777777" w:rsidR="001C7E53" w:rsidRPr="00FC2C3F" w:rsidRDefault="001C7E53" w:rsidP="00C84FB6">
            <w:pPr>
              <w:pStyle w:val="TableTextCentered"/>
            </w:pPr>
            <w:r w:rsidRPr="00FC2C3F">
              <w:t>N</w:t>
            </w:r>
          </w:p>
        </w:tc>
        <w:tc>
          <w:tcPr>
            <w:tcW w:w="1069" w:type="dxa"/>
            <w:tcBorders>
              <w:left w:val="nil"/>
              <w:right w:val="nil"/>
            </w:tcBorders>
            <w:shd w:val="clear" w:color="auto" w:fill="auto"/>
            <w:noWrap/>
            <w:vAlign w:val="center"/>
          </w:tcPr>
          <w:p w14:paraId="6CFCC2CB" w14:textId="77777777" w:rsidR="001C7E53" w:rsidRPr="00FC2C3F" w:rsidRDefault="001C7E53" w:rsidP="00C84FB6">
            <w:pPr>
              <w:pStyle w:val="TableTextCentered"/>
            </w:pPr>
            <w:r w:rsidRPr="00FC2C3F">
              <w:t>N</w:t>
            </w:r>
          </w:p>
        </w:tc>
        <w:tc>
          <w:tcPr>
            <w:tcW w:w="1406" w:type="dxa"/>
            <w:tcBorders>
              <w:left w:val="nil"/>
              <w:right w:val="nil"/>
            </w:tcBorders>
            <w:shd w:val="clear" w:color="auto" w:fill="auto"/>
            <w:noWrap/>
            <w:vAlign w:val="center"/>
          </w:tcPr>
          <w:p w14:paraId="37C9E340" w14:textId="77777777" w:rsidR="001C7E53" w:rsidRPr="00FC2C3F" w:rsidRDefault="001C7E53" w:rsidP="00C84FB6">
            <w:pPr>
              <w:pStyle w:val="TableTextCentered"/>
            </w:pPr>
            <w:r w:rsidRPr="00FC2C3F">
              <w:t>Y</w:t>
            </w:r>
          </w:p>
        </w:tc>
        <w:tc>
          <w:tcPr>
            <w:tcW w:w="1069" w:type="dxa"/>
            <w:tcBorders>
              <w:left w:val="nil"/>
              <w:right w:val="nil"/>
            </w:tcBorders>
            <w:shd w:val="clear" w:color="auto" w:fill="auto"/>
            <w:noWrap/>
            <w:vAlign w:val="center"/>
          </w:tcPr>
          <w:p w14:paraId="571FF1AE" w14:textId="77777777" w:rsidR="001C7E53" w:rsidRPr="00FC2C3F" w:rsidRDefault="001C7E53" w:rsidP="00C84FB6">
            <w:pPr>
              <w:pStyle w:val="TableTextCentered"/>
            </w:pPr>
            <w:r w:rsidRPr="00FC2C3F">
              <w:t>Y</w:t>
            </w:r>
          </w:p>
        </w:tc>
        <w:tc>
          <w:tcPr>
            <w:tcW w:w="1090" w:type="dxa"/>
            <w:tcBorders>
              <w:left w:val="nil"/>
              <w:right w:val="nil"/>
            </w:tcBorders>
            <w:shd w:val="clear" w:color="auto" w:fill="auto"/>
            <w:noWrap/>
            <w:vAlign w:val="center"/>
          </w:tcPr>
          <w:p w14:paraId="7F877B78" w14:textId="77777777" w:rsidR="001C7E53" w:rsidRPr="00FC2C3F" w:rsidRDefault="001C7E53" w:rsidP="00C84FB6">
            <w:pPr>
              <w:pStyle w:val="TableTextCentered"/>
            </w:pPr>
            <w:r w:rsidRPr="00FC2C3F">
              <w:t>N</w:t>
            </w:r>
          </w:p>
        </w:tc>
        <w:tc>
          <w:tcPr>
            <w:tcW w:w="1071" w:type="dxa"/>
            <w:tcBorders>
              <w:left w:val="nil"/>
              <w:right w:val="nil"/>
            </w:tcBorders>
            <w:shd w:val="clear" w:color="auto" w:fill="auto"/>
            <w:noWrap/>
            <w:vAlign w:val="center"/>
          </w:tcPr>
          <w:p w14:paraId="0B98B3F1" w14:textId="77777777" w:rsidR="001C7E53" w:rsidRPr="00FC2C3F" w:rsidRDefault="001C7E53" w:rsidP="00C84FB6">
            <w:pPr>
              <w:pStyle w:val="TableTextCentered"/>
            </w:pPr>
            <w:r w:rsidRPr="00FC2C3F">
              <w:t>Y</w:t>
            </w:r>
          </w:p>
        </w:tc>
      </w:tr>
      <w:tr w:rsidR="001C7E53" w:rsidRPr="00FC2C3F" w14:paraId="07F33216" w14:textId="77777777" w:rsidTr="000E4236">
        <w:trPr>
          <w:trHeight w:val="294"/>
        </w:trPr>
        <w:tc>
          <w:tcPr>
            <w:tcW w:w="2410" w:type="dxa"/>
            <w:tcBorders>
              <w:left w:val="nil"/>
              <w:right w:val="nil"/>
            </w:tcBorders>
            <w:shd w:val="clear" w:color="auto" w:fill="auto"/>
            <w:noWrap/>
            <w:vAlign w:val="bottom"/>
          </w:tcPr>
          <w:p w14:paraId="1E909994" w14:textId="77777777" w:rsidR="001C7E53" w:rsidRPr="00FC2C3F" w:rsidRDefault="001C7E53" w:rsidP="00F91AE4">
            <w:pPr>
              <w:pStyle w:val="TableTextLeft"/>
            </w:pPr>
            <w:r w:rsidRPr="00FC2C3F">
              <w:t>Time*Location</w:t>
            </w:r>
          </w:p>
        </w:tc>
        <w:tc>
          <w:tcPr>
            <w:tcW w:w="1554" w:type="dxa"/>
            <w:gridSpan w:val="2"/>
            <w:tcBorders>
              <w:left w:val="nil"/>
              <w:right w:val="nil"/>
            </w:tcBorders>
            <w:shd w:val="clear" w:color="auto" w:fill="auto"/>
            <w:noWrap/>
            <w:vAlign w:val="center"/>
          </w:tcPr>
          <w:p w14:paraId="2C609437" w14:textId="77777777" w:rsidR="001C7E53" w:rsidRPr="00FC2C3F" w:rsidRDefault="001C7E53" w:rsidP="00C84FB6">
            <w:pPr>
              <w:pStyle w:val="TableTextCentered"/>
            </w:pPr>
            <w:r w:rsidRPr="00FC2C3F">
              <w:t>N</w:t>
            </w:r>
          </w:p>
        </w:tc>
        <w:tc>
          <w:tcPr>
            <w:tcW w:w="1069" w:type="dxa"/>
            <w:tcBorders>
              <w:left w:val="nil"/>
              <w:right w:val="nil"/>
            </w:tcBorders>
            <w:shd w:val="clear" w:color="auto" w:fill="auto"/>
            <w:noWrap/>
            <w:vAlign w:val="center"/>
          </w:tcPr>
          <w:p w14:paraId="1022C678" w14:textId="77777777" w:rsidR="001C7E53" w:rsidRPr="00FC2C3F" w:rsidRDefault="001C7E53" w:rsidP="00C84FB6">
            <w:pPr>
              <w:pStyle w:val="TableTextCentered"/>
            </w:pPr>
            <w:r w:rsidRPr="00FC2C3F">
              <w:t>N</w:t>
            </w:r>
          </w:p>
        </w:tc>
        <w:tc>
          <w:tcPr>
            <w:tcW w:w="1406" w:type="dxa"/>
            <w:tcBorders>
              <w:left w:val="nil"/>
              <w:right w:val="nil"/>
            </w:tcBorders>
            <w:shd w:val="clear" w:color="auto" w:fill="auto"/>
            <w:noWrap/>
            <w:vAlign w:val="center"/>
          </w:tcPr>
          <w:p w14:paraId="21249DD2" w14:textId="77777777" w:rsidR="001C7E53" w:rsidRPr="00FC2C3F" w:rsidRDefault="001C7E53" w:rsidP="00C84FB6">
            <w:pPr>
              <w:pStyle w:val="TableTextCentered"/>
            </w:pPr>
            <w:r w:rsidRPr="00FC2C3F">
              <w:t>Y</w:t>
            </w:r>
          </w:p>
        </w:tc>
        <w:tc>
          <w:tcPr>
            <w:tcW w:w="1069" w:type="dxa"/>
            <w:tcBorders>
              <w:left w:val="nil"/>
              <w:right w:val="nil"/>
            </w:tcBorders>
            <w:shd w:val="clear" w:color="auto" w:fill="auto"/>
            <w:noWrap/>
            <w:vAlign w:val="center"/>
          </w:tcPr>
          <w:p w14:paraId="14C74BEC" w14:textId="77777777" w:rsidR="001C7E53" w:rsidRPr="00FC2C3F" w:rsidRDefault="001C7E53" w:rsidP="00C84FB6">
            <w:pPr>
              <w:pStyle w:val="TableTextCentered"/>
            </w:pPr>
            <w:r w:rsidRPr="00FC2C3F">
              <w:t>Y</w:t>
            </w:r>
          </w:p>
        </w:tc>
        <w:tc>
          <w:tcPr>
            <w:tcW w:w="1090" w:type="dxa"/>
            <w:tcBorders>
              <w:left w:val="nil"/>
              <w:right w:val="nil"/>
            </w:tcBorders>
            <w:shd w:val="clear" w:color="auto" w:fill="auto"/>
            <w:noWrap/>
            <w:vAlign w:val="center"/>
          </w:tcPr>
          <w:p w14:paraId="3CB84CEA" w14:textId="77777777" w:rsidR="001C7E53" w:rsidRPr="00FC2C3F" w:rsidRDefault="001C7E53" w:rsidP="00C84FB6">
            <w:pPr>
              <w:pStyle w:val="TableTextCentered"/>
            </w:pPr>
            <w:r w:rsidRPr="00FC2C3F">
              <w:t>N</w:t>
            </w:r>
          </w:p>
        </w:tc>
        <w:tc>
          <w:tcPr>
            <w:tcW w:w="1071" w:type="dxa"/>
            <w:tcBorders>
              <w:left w:val="nil"/>
              <w:right w:val="nil"/>
            </w:tcBorders>
            <w:shd w:val="clear" w:color="auto" w:fill="auto"/>
            <w:noWrap/>
            <w:vAlign w:val="center"/>
          </w:tcPr>
          <w:p w14:paraId="056B7EFC" w14:textId="77777777" w:rsidR="001C7E53" w:rsidRPr="00FC2C3F" w:rsidRDefault="001C7E53" w:rsidP="00C84FB6">
            <w:pPr>
              <w:pStyle w:val="TableTextCentered"/>
            </w:pPr>
            <w:r w:rsidRPr="00FC2C3F">
              <w:t>Y</w:t>
            </w:r>
          </w:p>
        </w:tc>
      </w:tr>
      <w:tr w:rsidR="001C7E53" w:rsidRPr="00FC2C3F" w14:paraId="359C26B7" w14:textId="77777777" w:rsidTr="000E4236">
        <w:trPr>
          <w:trHeight w:val="294"/>
        </w:trPr>
        <w:tc>
          <w:tcPr>
            <w:tcW w:w="2410" w:type="dxa"/>
            <w:tcBorders>
              <w:left w:val="nil"/>
              <w:right w:val="nil"/>
            </w:tcBorders>
            <w:shd w:val="clear" w:color="auto" w:fill="auto"/>
            <w:noWrap/>
            <w:vAlign w:val="bottom"/>
          </w:tcPr>
          <w:p w14:paraId="17D533BC" w14:textId="77777777" w:rsidR="001C7E53" w:rsidRPr="00FC2C3F" w:rsidRDefault="001C7E53" w:rsidP="00F91AE4">
            <w:pPr>
              <w:pStyle w:val="TableTextLeft"/>
            </w:pPr>
            <w:r w:rsidRPr="00FC2C3F">
              <w:t>Time*Market</w:t>
            </w:r>
          </w:p>
        </w:tc>
        <w:tc>
          <w:tcPr>
            <w:tcW w:w="1554" w:type="dxa"/>
            <w:gridSpan w:val="2"/>
            <w:tcBorders>
              <w:left w:val="nil"/>
              <w:right w:val="nil"/>
            </w:tcBorders>
            <w:shd w:val="clear" w:color="auto" w:fill="auto"/>
            <w:noWrap/>
            <w:vAlign w:val="center"/>
          </w:tcPr>
          <w:p w14:paraId="692E808C" w14:textId="77777777" w:rsidR="001C7E53" w:rsidRPr="00FC2C3F" w:rsidRDefault="001C7E53" w:rsidP="00C84FB6">
            <w:pPr>
              <w:pStyle w:val="TableTextCentered"/>
            </w:pPr>
            <w:r w:rsidRPr="00FC2C3F">
              <w:t>N</w:t>
            </w:r>
          </w:p>
        </w:tc>
        <w:tc>
          <w:tcPr>
            <w:tcW w:w="1069" w:type="dxa"/>
            <w:tcBorders>
              <w:left w:val="nil"/>
              <w:right w:val="nil"/>
            </w:tcBorders>
            <w:shd w:val="clear" w:color="auto" w:fill="auto"/>
            <w:noWrap/>
            <w:vAlign w:val="center"/>
          </w:tcPr>
          <w:p w14:paraId="38065F1D" w14:textId="77777777" w:rsidR="001C7E53" w:rsidRPr="00FC2C3F" w:rsidRDefault="001C7E53" w:rsidP="00C84FB6">
            <w:pPr>
              <w:pStyle w:val="TableTextCentered"/>
            </w:pPr>
            <w:r w:rsidRPr="00FC2C3F">
              <w:t>N</w:t>
            </w:r>
          </w:p>
        </w:tc>
        <w:tc>
          <w:tcPr>
            <w:tcW w:w="1406" w:type="dxa"/>
            <w:tcBorders>
              <w:left w:val="nil"/>
              <w:right w:val="nil"/>
            </w:tcBorders>
            <w:shd w:val="clear" w:color="auto" w:fill="auto"/>
            <w:noWrap/>
            <w:vAlign w:val="center"/>
          </w:tcPr>
          <w:p w14:paraId="677BB6B9" w14:textId="77777777" w:rsidR="001C7E53" w:rsidRPr="00FC2C3F" w:rsidRDefault="001C7E53" w:rsidP="00C84FB6">
            <w:pPr>
              <w:pStyle w:val="TableTextCentered"/>
            </w:pPr>
            <w:r w:rsidRPr="00FC2C3F">
              <w:t>N</w:t>
            </w:r>
          </w:p>
        </w:tc>
        <w:tc>
          <w:tcPr>
            <w:tcW w:w="1069" w:type="dxa"/>
            <w:tcBorders>
              <w:left w:val="nil"/>
              <w:right w:val="nil"/>
            </w:tcBorders>
            <w:shd w:val="clear" w:color="auto" w:fill="auto"/>
            <w:noWrap/>
            <w:vAlign w:val="center"/>
          </w:tcPr>
          <w:p w14:paraId="101DB339" w14:textId="77777777" w:rsidR="001C7E53" w:rsidRPr="00FC2C3F" w:rsidRDefault="001C7E53" w:rsidP="00C84FB6">
            <w:pPr>
              <w:pStyle w:val="TableTextCentered"/>
            </w:pPr>
            <w:r w:rsidRPr="00FC2C3F">
              <w:t>N</w:t>
            </w:r>
          </w:p>
        </w:tc>
        <w:tc>
          <w:tcPr>
            <w:tcW w:w="1090" w:type="dxa"/>
            <w:tcBorders>
              <w:left w:val="nil"/>
              <w:right w:val="nil"/>
            </w:tcBorders>
            <w:shd w:val="clear" w:color="auto" w:fill="auto"/>
            <w:noWrap/>
            <w:vAlign w:val="center"/>
          </w:tcPr>
          <w:p w14:paraId="5E714747" w14:textId="77777777" w:rsidR="001C7E53" w:rsidRPr="00FC2C3F" w:rsidRDefault="001C7E53" w:rsidP="00C84FB6">
            <w:pPr>
              <w:pStyle w:val="TableTextCentered"/>
            </w:pPr>
            <w:r w:rsidRPr="00FC2C3F">
              <w:t>Y</w:t>
            </w:r>
          </w:p>
        </w:tc>
        <w:tc>
          <w:tcPr>
            <w:tcW w:w="1071" w:type="dxa"/>
            <w:tcBorders>
              <w:left w:val="nil"/>
              <w:right w:val="nil"/>
            </w:tcBorders>
            <w:shd w:val="clear" w:color="auto" w:fill="auto"/>
            <w:noWrap/>
            <w:vAlign w:val="center"/>
          </w:tcPr>
          <w:p w14:paraId="3AC86A20" w14:textId="77777777" w:rsidR="001C7E53" w:rsidRPr="00FC2C3F" w:rsidRDefault="001C7E53" w:rsidP="00C84FB6">
            <w:pPr>
              <w:pStyle w:val="TableTextCentered"/>
            </w:pPr>
            <w:r w:rsidRPr="00FC2C3F">
              <w:t>Y</w:t>
            </w:r>
          </w:p>
        </w:tc>
      </w:tr>
      <w:tr w:rsidR="001C7E53" w:rsidRPr="00FC2C3F" w14:paraId="144A044A" w14:textId="77777777" w:rsidTr="000E4236">
        <w:trPr>
          <w:trHeight w:val="294"/>
        </w:trPr>
        <w:tc>
          <w:tcPr>
            <w:tcW w:w="2410" w:type="dxa"/>
            <w:tcBorders>
              <w:left w:val="nil"/>
              <w:bottom w:val="single" w:sz="4" w:space="0" w:color="auto"/>
              <w:right w:val="nil"/>
            </w:tcBorders>
            <w:shd w:val="clear" w:color="auto" w:fill="auto"/>
            <w:noWrap/>
            <w:vAlign w:val="bottom"/>
          </w:tcPr>
          <w:p w14:paraId="42861332" w14:textId="77777777" w:rsidR="001C7E53" w:rsidRPr="00FC2C3F" w:rsidRDefault="001C7E53" w:rsidP="00F91AE4">
            <w:pPr>
              <w:pStyle w:val="TableTextLeft"/>
            </w:pPr>
            <w:r w:rsidRPr="00FC2C3F">
              <w:t>Plant</w:t>
            </w:r>
          </w:p>
        </w:tc>
        <w:tc>
          <w:tcPr>
            <w:tcW w:w="1554" w:type="dxa"/>
            <w:gridSpan w:val="2"/>
            <w:tcBorders>
              <w:left w:val="nil"/>
              <w:bottom w:val="single" w:sz="4" w:space="0" w:color="auto"/>
              <w:right w:val="nil"/>
            </w:tcBorders>
            <w:shd w:val="clear" w:color="auto" w:fill="auto"/>
            <w:noWrap/>
            <w:vAlign w:val="center"/>
          </w:tcPr>
          <w:p w14:paraId="2C9B4167" w14:textId="77777777" w:rsidR="001C7E53" w:rsidRPr="00FC2C3F" w:rsidRDefault="001C7E53" w:rsidP="00C84FB6">
            <w:pPr>
              <w:pStyle w:val="TableTextCentered"/>
            </w:pPr>
            <w:r w:rsidRPr="00FC2C3F">
              <w:t>N</w:t>
            </w:r>
          </w:p>
        </w:tc>
        <w:tc>
          <w:tcPr>
            <w:tcW w:w="1069" w:type="dxa"/>
            <w:tcBorders>
              <w:left w:val="nil"/>
              <w:bottom w:val="single" w:sz="4" w:space="0" w:color="auto"/>
              <w:right w:val="nil"/>
            </w:tcBorders>
            <w:shd w:val="clear" w:color="auto" w:fill="auto"/>
            <w:noWrap/>
            <w:vAlign w:val="center"/>
          </w:tcPr>
          <w:p w14:paraId="5B28D6E5" w14:textId="77777777" w:rsidR="001C7E53" w:rsidRPr="00FC2C3F" w:rsidRDefault="001C7E53" w:rsidP="00C84FB6">
            <w:pPr>
              <w:pStyle w:val="TableTextCentered"/>
            </w:pPr>
            <w:r w:rsidRPr="00FC2C3F">
              <w:t>N</w:t>
            </w:r>
          </w:p>
        </w:tc>
        <w:tc>
          <w:tcPr>
            <w:tcW w:w="1406" w:type="dxa"/>
            <w:tcBorders>
              <w:left w:val="nil"/>
              <w:bottom w:val="single" w:sz="4" w:space="0" w:color="auto"/>
              <w:right w:val="nil"/>
            </w:tcBorders>
            <w:shd w:val="clear" w:color="auto" w:fill="auto"/>
            <w:noWrap/>
            <w:vAlign w:val="center"/>
          </w:tcPr>
          <w:p w14:paraId="48C8FE29" w14:textId="77777777" w:rsidR="001C7E53" w:rsidRPr="00FC2C3F" w:rsidRDefault="001C7E53" w:rsidP="00C84FB6">
            <w:pPr>
              <w:pStyle w:val="TableTextCentered"/>
            </w:pPr>
            <w:r w:rsidRPr="00FC2C3F">
              <w:t>N</w:t>
            </w:r>
          </w:p>
        </w:tc>
        <w:tc>
          <w:tcPr>
            <w:tcW w:w="1069" w:type="dxa"/>
            <w:tcBorders>
              <w:left w:val="nil"/>
              <w:bottom w:val="single" w:sz="4" w:space="0" w:color="auto"/>
              <w:right w:val="nil"/>
            </w:tcBorders>
            <w:shd w:val="clear" w:color="auto" w:fill="auto"/>
            <w:noWrap/>
            <w:vAlign w:val="center"/>
          </w:tcPr>
          <w:p w14:paraId="61CB451B" w14:textId="77777777" w:rsidR="001C7E53" w:rsidRPr="00FC2C3F" w:rsidRDefault="001C7E53" w:rsidP="00C84FB6">
            <w:pPr>
              <w:pStyle w:val="TableTextCentered"/>
            </w:pPr>
            <w:r w:rsidRPr="00FC2C3F">
              <w:t>Y</w:t>
            </w:r>
          </w:p>
        </w:tc>
        <w:tc>
          <w:tcPr>
            <w:tcW w:w="1090" w:type="dxa"/>
            <w:tcBorders>
              <w:left w:val="nil"/>
              <w:bottom w:val="single" w:sz="4" w:space="0" w:color="auto"/>
              <w:right w:val="nil"/>
            </w:tcBorders>
            <w:shd w:val="clear" w:color="auto" w:fill="auto"/>
            <w:noWrap/>
            <w:vAlign w:val="center"/>
          </w:tcPr>
          <w:p w14:paraId="4E271152" w14:textId="77777777" w:rsidR="001C7E53" w:rsidRPr="00FC2C3F" w:rsidRDefault="001C7E53" w:rsidP="00C84FB6">
            <w:pPr>
              <w:pStyle w:val="TableTextCentered"/>
            </w:pPr>
            <w:r w:rsidRPr="00FC2C3F">
              <w:t>N</w:t>
            </w:r>
          </w:p>
        </w:tc>
        <w:tc>
          <w:tcPr>
            <w:tcW w:w="1071" w:type="dxa"/>
            <w:tcBorders>
              <w:left w:val="nil"/>
              <w:bottom w:val="single" w:sz="4" w:space="0" w:color="auto"/>
              <w:right w:val="nil"/>
            </w:tcBorders>
            <w:shd w:val="clear" w:color="auto" w:fill="auto"/>
            <w:noWrap/>
            <w:vAlign w:val="center"/>
          </w:tcPr>
          <w:p w14:paraId="4BD061F0" w14:textId="77777777" w:rsidR="001C7E53" w:rsidRPr="00FC2C3F" w:rsidRDefault="001C7E53" w:rsidP="00C84FB6">
            <w:pPr>
              <w:pStyle w:val="TableTextCentered"/>
            </w:pPr>
            <w:r w:rsidRPr="00FC2C3F">
              <w:t>Y</w:t>
            </w:r>
          </w:p>
        </w:tc>
      </w:tr>
    </w:tbl>
    <w:p w14:paraId="76934506" w14:textId="77777777" w:rsidR="001C7E53" w:rsidRDefault="001C7E53" w:rsidP="00C84FB6">
      <w:pPr>
        <w:pStyle w:val="ChartorTableNote"/>
      </w:pPr>
      <w:r w:rsidRPr="00AF44C3">
        <w:t xml:space="preserve">Note: All regressions include a </w:t>
      </w:r>
      <w:r>
        <w:t>set of common controls covering</w:t>
      </w:r>
      <w:r w:rsidRPr="00AF44C3">
        <w:t xml:space="preserve"> market characteristics (number of workers in the market</w:t>
      </w:r>
      <w:r>
        <w:t>).</w:t>
      </w:r>
      <w:r w:rsidRPr="00AF44C3">
        <w:t xml:space="preserve"> Errors clusters at the local market level.</w:t>
      </w:r>
    </w:p>
    <w:p w14:paraId="0252858B" w14:textId="208AF1D2" w:rsidR="001C7E53" w:rsidRDefault="00DE27CB" w:rsidP="00F91AE4">
      <w:pPr>
        <w:pStyle w:val="TableMainHeading"/>
        <w:rPr>
          <w:sz w:val="18"/>
        </w:rPr>
      </w:pPr>
      <w:r>
        <w:lastRenderedPageBreak/>
        <w:t>Table</w:t>
      </w:r>
      <w:r w:rsidRPr="00DD6AAE">
        <w:t xml:space="preserve"> </w:t>
      </w:r>
      <w:r w:rsidRPr="00A25960">
        <w:t>B3: Differing coverage</w:t>
      </w:r>
      <w:r w:rsidR="006D1604">
        <w:t xml:space="preserve"> – </w:t>
      </w:r>
      <w:r w:rsidRPr="00A25960">
        <w:t>Local market model</w:t>
      </w:r>
    </w:p>
    <w:tbl>
      <w:tblPr>
        <w:tblW w:w="5000" w:type="pct"/>
        <w:tblLook w:val="04A0" w:firstRow="1" w:lastRow="0" w:firstColumn="1" w:lastColumn="0" w:noHBand="0" w:noVBand="1"/>
      </w:tblPr>
      <w:tblGrid>
        <w:gridCol w:w="1978"/>
        <w:gridCol w:w="1407"/>
        <w:gridCol w:w="1709"/>
        <w:gridCol w:w="1573"/>
        <w:gridCol w:w="1406"/>
        <w:gridCol w:w="997"/>
      </w:tblGrid>
      <w:tr w:rsidR="001C7E53" w:rsidRPr="00A25960" w14:paraId="3B94382A" w14:textId="77777777" w:rsidTr="000E4236">
        <w:trPr>
          <w:trHeight w:val="300"/>
        </w:trPr>
        <w:tc>
          <w:tcPr>
            <w:tcW w:w="2021" w:type="dxa"/>
            <w:tcBorders>
              <w:top w:val="nil"/>
              <w:left w:val="nil"/>
              <w:bottom w:val="single" w:sz="4" w:space="0" w:color="auto"/>
              <w:right w:val="nil"/>
            </w:tcBorders>
            <w:shd w:val="clear" w:color="auto" w:fill="auto"/>
            <w:noWrap/>
            <w:vAlign w:val="bottom"/>
            <w:hideMark/>
          </w:tcPr>
          <w:p w14:paraId="0611B8BF" w14:textId="77777777" w:rsidR="001C7E53" w:rsidRPr="00A25960" w:rsidRDefault="001C7E53" w:rsidP="00F91AE4">
            <w:pPr>
              <w:spacing w:after="0"/>
              <w:rPr>
                <w:rFonts w:cs="Calibri"/>
                <w:color w:val="000000"/>
                <w:sz w:val="20"/>
              </w:rPr>
            </w:pPr>
            <w:r w:rsidRPr="00A25960">
              <w:rPr>
                <w:rFonts w:cs="Calibri"/>
                <w:color w:val="000000"/>
                <w:sz w:val="20"/>
              </w:rPr>
              <w:t> </w:t>
            </w:r>
          </w:p>
        </w:tc>
        <w:tc>
          <w:tcPr>
            <w:tcW w:w="7235" w:type="dxa"/>
            <w:gridSpan w:val="5"/>
            <w:tcBorders>
              <w:left w:val="nil"/>
              <w:bottom w:val="single" w:sz="4" w:space="0" w:color="auto"/>
              <w:right w:val="nil"/>
            </w:tcBorders>
            <w:shd w:val="clear" w:color="auto" w:fill="auto"/>
            <w:noWrap/>
            <w:vAlign w:val="center"/>
            <w:hideMark/>
          </w:tcPr>
          <w:p w14:paraId="70E92743" w14:textId="77777777" w:rsidR="001C7E53" w:rsidRPr="00A25960" w:rsidRDefault="001C7E53" w:rsidP="00CB06EB">
            <w:pPr>
              <w:pStyle w:val="TableColumnHeadingCentred"/>
            </w:pPr>
            <w:r w:rsidRPr="00A25960">
              <w:t>Headcount</w:t>
            </w:r>
          </w:p>
        </w:tc>
      </w:tr>
      <w:tr w:rsidR="001C7E53" w:rsidRPr="00A25960" w14:paraId="3B6C9B93" w14:textId="77777777" w:rsidTr="000E4236">
        <w:trPr>
          <w:trHeight w:val="880"/>
        </w:trPr>
        <w:tc>
          <w:tcPr>
            <w:tcW w:w="2021" w:type="dxa"/>
            <w:tcBorders>
              <w:top w:val="nil"/>
              <w:left w:val="nil"/>
              <w:bottom w:val="single" w:sz="4" w:space="0" w:color="auto"/>
              <w:right w:val="nil"/>
            </w:tcBorders>
            <w:shd w:val="clear" w:color="auto" w:fill="auto"/>
            <w:noWrap/>
            <w:vAlign w:val="bottom"/>
            <w:hideMark/>
          </w:tcPr>
          <w:p w14:paraId="403B82CB" w14:textId="77777777" w:rsidR="001C7E53" w:rsidRPr="00A25960" w:rsidRDefault="001C7E53" w:rsidP="00F91AE4">
            <w:pPr>
              <w:spacing w:after="0"/>
              <w:rPr>
                <w:rFonts w:cs="Calibri"/>
                <w:color w:val="000000"/>
                <w:sz w:val="20"/>
              </w:rPr>
            </w:pPr>
            <w:r w:rsidRPr="00A25960">
              <w:rPr>
                <w:rFonts w:cs="Calibri"/>
                <w:color w:val="000000"/>
                <w:sz w:val="20"/>
              </w:rPr>
              <w:t> </w:t>
            </w:r>
          </w:p>
        </w:tc>
        <w:tc>
          <w:tcPr>
            <w:tcW w:w="1435" w:type="dxa"/>
            <w:tcBorders>
              <w:top w:val="single" w:sz="4" w:space="0" w:color="auto"/>
              <w:left w:val="nil"/>
              <w:bottom w:val="single" w:sz="4" w:space="0" w:color="auto"/>
              <w:right w:val="nil"/>
            </w:tcBorders>
            <w:shd w:val="clear" w:color="auto" w:fill="auto"/>
            <w:noWrap/>
            <w:vAlign w:val="center"/>
            <w:hideMark/>
          </w:tcPr>
          <w:p w14:paraId="46156FED" w14:textId="77777777" w:rsidR="001C7E53" w:rsidRPr="00A25960" w:rsidRDefault="001C7E53" w:rsidP="00386C33">
            <w:pPr>
              <w:pStyle w:val="TableColumnHeadingCentred"/>
            </w:pPr>
            <w:r w:rsidRPr="00A25960">
              <w:t>Baseline</w:t>
            </w:r>
          </w:p>
        </w:tc>
        <w:tc>
          <w:tcPr>
            <w:tcW w:w="1745" w:type="dxa"/>
            <w:tcBorders>
              <w:top w:val="single" w:sz="4" w:space="0" w:color="auto"/>
              <w:left w:val="nil"/>
              <w:bottom w:val="single" w:sz="4" w:space="0" w:color="auto"/>
              <w:right w:val="nil"/>
            </w:tcBorders>
            <w:shd w:val="clear" w:color="auto" w:fill="auto"/>
            <w:vAlign w:val="center"/>
            <w:hideMark/>
          </w:tcPr>
          <w:p w14:paraId="3F73AA32" w14:textId="77777777" w:rsidR="001C7E53" w:rsidRPr="00A25960" w:rsidRDefault="001C7E53" w:rsidP="00386C33">
            <w:pPr>
              <w:pStyle w:val="TableColumnHeadingCentred"/>
            </w:pPr>
            <w:r w:rsidRPr="00A25960">
              <w:t xml:space="preserve">No small markets </w:t>
            </w:r>
            <w:r w:rsidRPr="00A25960">
              <w:br/>
              <w:t>(&lt;10 plants)</w:t>
            </w:r>
          </w:p>
        </w:tc>
        <w:tc>
          <w:tcPr>
            <w:tcW w:w="1605" w:type="dxa"/>
            <w:tcBorders>
              <w:top w:val="single" w:sz="4" w:space="0" w:color="auto"/>
              <w:left w:val="nil"/>
              <w:bottom w:val="single" w:sz="4" w:space="0" w:color="auto"/>
              <w:right w:val="nil"/>
            </w:tcBorders>
            <w:shd w:val="clear" w:color="auto" w:fill="auto"/>
            <w:noWrap/>
            <w:vAlign w:val="center"/>
            <w:hideMark/>
          </w:tcPr>
          <w:p w14:paraId="5355047F" w14:textId="77777777" w:rsidR="001C7E53" w:rsidRPr="00A25960" w:rsidRDefault="001C7E53" w:rsidP="00386C33">
            <w:pPr>
              <w:pStyle w:val="TableColumnHeadingCentred"/>
            </w:pPr>
            <w:r w:rsidRPr="00A25960">
              <w:t>Lagged HHI</w:t>
            </w:r>
          </w:p>
        </w:tc>
        <w:tc>
          <w:tcPr>
            <w:tcW w:w="1434" w:type="dxa"/>
            <w:tcBorders>
              <w:top w:val="single" w:sz="4" w:space="0" w:color="auto"/>
              <w:left w:val="nil"/>
              <w:bottom w:val="single" w:sz="4" w:space="0" w:color="auto"/>
              <w:right w:val="nil"/>
            </w:tcBorders>
            <w:shd w:val="clear" w:color="auto" w:fill="auto"/>
            <w:noWrap/>
            <w:vAlign w:val="center"/>
            <w:hideMark/>
          </w:tcPr>
          <w:p w14:paraId="7F9A6F26" w14:textId="77777777" w:rsidR="001C7E53" w:rsidRPr="00A25960" w:rsidRDefault="001C7E53" w:rsidP="00386C33">
            <w:pPr>
              <w:pStyle w:val="TableColumnHeadingCentred"/>
            </w:pPr>
            <w:r w:rsidRPr="00A25960">
              <w:t>No rural</w:t>
            </w:r>
          </w:p>
        </w:tc>
        <w:tc>
          <w:tcPr>
            <w:tcW w:w="1016" w:type="dxa"/>
            <w:tcBorders>
              <w:top w:val="single" w:sz="4" w:space="0" w:color="auto"/>
              <w:left w:val="nil"/>
              <w:bottom w:val="single" w:sz="4" w:space="0" w:color="auto"/>
              <w:right w:val="nil"/>
            </w:tcBorders>
            <w:shd w:val="clear" w:color="auto" w:fill="auto"/>
            <w:vAlign w:val="center"/>
            <w:hideMark/>
          </w:tcPr>
          <w:p w14:paraId="62A6FE09" w14:textId="77777777" w:rsidR="001C7E53" w:rsidRPr="00A25960" w:rsidRDefault="001C7E53" w:rsidP="00386C33">
            <w:pPr>
              <w:pStyle w:val="TableColumnHeadingCentred"/>
            </w:pPr>
            <w:r w:rsidRPr="00A25960">
              <w:t>No primary industries</w:t>
            </w:r>
          </w:p>
        </w:tc>
      </w:tr>
      <w:tr w:rsidR="001C7E53" w:rsidRPr="00A25960" w14:paraId="1D609056" w14:textId="77777777" w:rsidTr="000E4236">
        <w:trPr>
          <w:trHeight w:val="260"/>
        </w:trPr>
        <w:tc>
          <w:tcPr>
            <w:tcW w:w="2021" w:type="dxa"/>
            <w:tcBorders>
              <w:top w:val="nil"/>
              <w:left w:val="nil"/>
              <w:bottom w:val="nil"/>
              <w:right w:val="nil"/>
            </w:tcBorders>
            <w:shd w:val="clear" w:color="auto" w:fill="auto"/>
            <w:noWrap/>
            <w:vAlign w:val="bottom"/>
            <w:hideMark/>
          </w:tcPr>
          <w:p w14:paraId="50993D5A" w14:textId="77777777" w:rsidR="001C7E53" w:rsidRPr="00A25960" w:rsidRDefault="001C7E53" w:rsidP="00386C33">
            <w:pPr>
              <w:spacing w:after="0"/>
              <w:jc w:val="center"/>
              <w:rPr>
                <w:rFonts w:cs="Calibri"/>
                <w:color w:val="000000"/>
                <w:sz w:val="20"/>
              </w:rPr>
            </w:pPr>
          </w:p>
        </w:tc>
        <w:tc>
          <w:tcPr>
            <w:tcW w:w="1435" w:type="dxa"/>
            <w:tcBorders>
              <w:top w:val="single" w:sz="4" w:space="0" w:color="auto"/>
              <w:left w:val="nil"/>
              <w:bottom w:val="nil"/>
              <w:right w:val="nil"/>
            </w:tcBorders>
            <w:shd w:val="clear" w:color="auto" w:fill="auto"/>
            <w:noWrap/>
            <w:vAlign w:val="center"/>
            <w:hideMark/>
          </w:tcPr>
          <w:p w14:paraId="21D39591"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745" w:type="dxa"/>
            <w:tcBorders>
              <w:top w:val="single" w:sz="4" w:space="0" w:color="auto"/>
              <w:left w:val="nil"/>
              <w:bottom w:val="nil"/>
              <w:right w:val="nil"/>
            </w:tcBorders>
            <w:shd w:val="clear" w:color="auto" w:fill="auto"/>
            <w:noWrap/>
            <w:vAlign w:val="center"/>
            <w:hideMark/>
          </w:tcPr>
          <w:p w14:paraId="4D1D966B"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605" w:type="dxa"/>
            <w:tcBorders>
              <w:top w:val="single" w:sz="4" w:space="0" w:color="auto"/>
              <w:left w:val="nil"/>
              <w:bottom w:val="nil"/>
              <w:right w:val="nil"/>
            </w:tcBorders>
            <w:shd w:val="clear" w:color="auto" w:fill="auto"/>
            <w:noWrap/>
            <w:vAlign w:val="center"/>
            <w:hideMark/>
          </w:tcPr>
          <w:p w14:paraId="0320704D"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434" w:type="dxa"/>
            <w:tcBorders>
              <w:top w:val="single" w:sz="4" w:space="0" w:color="auto"/>
              <w:left w:val="nil"/>
              <w:bottom w:val="nil"/>
              <w:right w:val="nil"/>
            </w:tcBorders>
            <w:shd w:val="clear" w:color="auto" w:fill="auto"/>
            <w:noWrap/>
            <w:vAlign w:val="center"/>
            <w:hideMark/>
          </w:tcPr>
          <w:p w14:paraId="0E80DCE5"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016" w:type="dxa"/>
            <w:tcBorders>
              <w:top w:val="single" w:sz="4" w:space="0" w:color="auto"/>
              <w:left w:val="nil"/>
              <w:bottom w:val="nil"/>
              <w:right w:val="nil"/>
            </w:tcBorders>
            <w:shd w:val="clear" w:color="auto" w:fill="auto"/>
            <w:noWrap/>
            <w:vAlign w:val="center"/>
            <w:hideMark/>
          </w:tcPr>
          <w:p w14:paraId="00A6E309"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r>
      <w:tr w:rsidR="001C7E53" w:rsidRPr="00A25960" w14:paraId="2D9D8655" w14:textId="77777777" w:rsidTr="000E4236">
        <w:trPr>
          <w:trHeight w:val="300"/>
        </w:trPr>
        <w:tc>
          <w:tcPr>
            <w:tcW w:w="2021" w:type="dxa"/>
            <w:tcBorders>
              <w:top w:val="nil"/>
              <w:left w:val="nil"/>
              <w:bottom w:val="nil"/>
              <w:right w:val="nil"/>
            </w:tcBorders>
            <w:shd w:val="clear" w:color="auto" w:fill="auto"/>
            <w:noWrap/>
            <w:vAlign w:val="bottom"/>
            <w:hideMark/>
          </w:tcPr>
          <w:p w14:paraId="1C8DF256" w14:textId="77777777" w:rsidR="001C7E53" w:rsidRPr="00A25960" w:rsidRDefault="001C7E53" w:rsidP="00F91AE4">
            <w:pPr>
              <w:pStyle w:val="TableTextLeft"/>
            </w:pPr>
            <w:r w:rsidRPr="00A25960">
              <w:t>Concentration</w:t>
            </w:r>
            <w:r>
              <w:t xml:space="preserve"> (HHI)</w:t>
            </w:r>
          </w:p>
        </w:tc>
        <w:tc>
          <w:tcPr>
            <w:tcW w:w="1435" w:type="dxa"/>
            <w:tcBorders>
              <w:top w:val="nil"/>
              <w:left w:val="nil"/>
              <w:bottom w:val="nil"/>
              <w:right w:val="nil"/>
            </w:tcBorders>
            <w:shd w:val="clear" w:color="auto" w:fill="auto"/>
            <w:noWrap/>
            <w:vAlign w:val="center"/>
            <w:hideMark/>
          </w:tcPr>
          <w:p w14:paraId="0C9689FA" w14:textId="778CAA4C" w:rsidR="001C7E53" w:rsidRPr="00A25960" w:rsidRDefault="0018466E" w:rsidP="00386C33">
            <w:pPr>
              <w:pStyle w:val="TableTextCentered"/>
            </w:pPr>
            <w:r>
              <w:noBreakHyphen/>
            </w:r>
            <w:r w:rsidR="001C7E53" w:rsidRPr="00A25960">
              <w:t>0.122***</w:t>
            </w:r>
          </w:p>
        </w:tc>
        <w:tc>
          <w:tcPr>
            <w:tcW w:w="1745" w:type="dxa"/>
            <w:tcBorders>
              <w:top w:val="nil"/>
              <w:left w:val="nil"/>
              <w:bottom w:val="nil"/>
              <w:right w:val="nil"/>
            </w:tcBorders>
            <w:shd w:val="clear" w:color="auto" w:fill="auto"/>
            <w:noWrap/>
            <w:vAlign w:val="center"/>
            <w:hideMark/>
          </w:tcPr>
          <w:p w14:paraId="0637E48C" w14:textId="204B5BB0" w:rsidR="001C7E53" w:rsidRPr="00A25960" w:rsidRDefault="0018466E" w:rsidP="00386C33">
            <w:pPr>
              <w:pStyle w:val="TableTextCentered"/>
            </w:pPr>
            <w:r>
              <w:noBreakHyphen/>
            </w:r>
            <w:r w:rsidR="001C7E53" w:rsidRPr="00A25960">
              <w:t>0.135***</w:t>
            </w:r>
          </w:p>
        </w:tc>
        <w:tc>
          <w:tcPr>
            <w:tcW w:w="1605" w:type="dxa"/>
            <w:tcBorders>
              <w:top w:val="nil"/>
              <w:left w:val="nil"/>
              <w:bottom w:val="nil"/>
              <w:right w:val="nil"/>
            </w:tcBorders>
            <w:shd w:val="clear" w:color="auto" w:fill="auto"/>
            <w:noWrap/>
            <w:vAlign w:val="center"/>
            <w:hideMark/>
          </w:tcPr>
          <w:p w14:paraId="29478AD7" w14:textId="2B81FFC1" w:rsidR="001C7E53" w:rsidRPr="00A25960" w:rsidRDefault="0018466E" w:rsidP="00386C33">
            <w:pPr>
              <w:pStyle w:val="TableTextCentered"/>
            </w:pPr>
            <w:r>
              <w:noBreakHyphen/>
            </w:r>
            <w:r w:rsidR="001C7E53" w:rsidRPr="00A25960">
              <w:t>0.087***</w:t>
            </w:r>
          </w:p>
        </w:tc>
        <w:tc>
          <w:tcPr>
            <w:tcW w:w="1434" w:type="dxa"/>
            <w:tcBorders>
              <w:top w:val="nil"/>
              <w:left w:val="nil"/>
              <w:bottom w:val="nil"/>
              <w:right w:val="nil"/>
            </w:tcBorders>
            <w:shd w:val="clear" w:color="auto" w:fill="auto"/>
            <w:noWrap/>
            <w:vAlign w:val="center"/>
            <w:hideMark/>
          </w:tcPr>
          <w:p w14:paraId="38A6303C" w14:textId="0CA03078" w:rsidR="001C7E53" w:rsidRPr="00A25960" w:rsidRDefault="0018466E" w:rsidP="00386C33">
            <w:pPr>
              <w:pStyle w:val="TableTextCentered"/>
            </w:pPr>
            <w:r>
              <w:noBreakHyphen/>
            </w:r>
            <w:r w:rsidR="001C7E53" w:rsidRPr="00A25960">
              <w:t>0.131***</w:t>
            </w:r>
          </w:p>
        </w:tc>
        <w:tc>
          <w:tcPr>
            <w:tcW w:w="1016" w:type="dxa"/>
            <w:tcBorders>
              <w:top w:val="nil"/>
              <w:left w:val="nil"/>
              <w:bottom w:val="nil"/>
              <w:right w:val="nil"/>
            </w:tcBorders>
            <w:shd w:val="clear" w:color="auto" w:fill="auto"/>
            <w:noWrap/>
            <w:vAlign w:val="center"/>
            <w:hideMark/>
          </w:tcPr>
          <w:p w14:paraId="5A9552FC" w14:textId="7E8A7C8C" w:rsidR="001C7E53" w:rsidRPr="00A25960" w:rsidRDefault="0018466E" w:rsidP="00386C33">
            <w:pPr>
              <w:pStyle w:val="TableTextCentered"/>
            </w:pPr>
            <w:r>
              <w:noBreakHyphen/>
            </w:r>
            <w:r w:rsidR="001C7E53" w:rsidRPr="00A25960">
              <w:t>0.144***</w:t>
            </w:r>
          </w:p>
        </w:tc>
      </w:tr>
      <w:tr w:rsidR="001C7E53" w:rsidRPr="00A25960" w14:paraId="4F8B2EC5" w14:textId="77777777" w:rsidTr="000E4236">
        <w:trPr>
          <w:trHeight w:val="300"/>
        </w:trPr>
        <w:tc>
          <w:tcPr>
            <w:tcW w:w="2021" w:type="dxa"/>
            <w:tcBorders>
              <w:top w:val="nil"/>
              <w:left w:val="nil"/>
              <w:bottom w:val="nil"/>
              <w:right w:val="nil"/>
            </w:tcBorders>
            <w:shd w:val="clear" w:color="auto" w:fill="auto"/>
            <w:noWrap/>
            <w:vAlign w:val="bottom"/>
            <w:hideMark/>
          </w:tcPr>
          <w:p w14:paraId="0F373D3A" w14:textId="77777777" w:rsidR="001C7E53" w:rsidRPr="00A25960" w:rsidRDefault="001C7E53" w:rsidP="00F91AE4">
            <w:pPr>
              <w:pStyle w:val="TableTextLeft"/>
            </w:pPr>
          </w:p>
        </w:tc>
        <w:tc>
          <w:tcPr>
            <w:tcW w:w="1435" w:type="dxa"/>
            <w:tcBorders>
              <w:top w:val="nil"/>
              <w:left w:val="nil"/>
              <w:bottom w:val="nil"/>
              <w:right w:val="nil"/>
            </w:tcBorders>
            <w:shd w:val="clear" w:color="auto" w:fill="auto"/>
            <w:noWrap/>
            <w:vAlign w:val="center"/>
            <w:hideMark/>
          </w:tcPr>
          <w:p w14:paraId="5534A572" w14:textId="77777777" w:rsidR="001C7E53" w:rsidRPr="00A25960" w:rsidRDefault="001C7E53" w:rsidP="00386C33">
            <w:pPr>
              <w:pStyle w:val="TableTextCentered"/>
            </w:pPr>
            <w:r w:rsidRPr="00A25960">
              <w:t>(0.014)</w:t>
            </w:r>
          </w:p>
        </w:tc>
        <w:tc>
          <w:tcPr>
            <w:tcW w:w="1745" w:type="dxa"/>
            <w:tcBorders>
              <w:top w:val="nil"/>
              <w:left w:val="nil"/>
              <w:bottom w:val="nil"/>
              <w:right w:val="nil"/>
            </w:tcBorders>
            <w:shd w:val="clear" w:color="auto" w:fill="auto"/>
            <w:noWrap/>
            <w:vAlign w:val="center"/>
            <w:hideMark/>
          </w:tcPr>
          <w:p w14:paraId="5FBBFC46" w14:textId="1C4D1571" w:rsidR="001C7E53" w:rsidRPr="00A25960" w:rsidRDefault="0018466E" w:rsidP="00386C33">
            <w:pPr>
              <w:pStyle w:val="TableTextCentered"/>
            </w:pPr>
            <w:r>
              <w:noBreakHyphen/>
            </w:r>
            <w:r w:rsidR="001C7E53" w:rsidRPr="00A25960">
              <w:t>0.028</w:t>
            </w:r>
          </w:p>
        </w:tc>
        <w:tc>
          <w:tcPr>
            <w:tcW w:w="1605" w:type="dxa"/>
            <w:tcBorders>
              <w:top w:val="nil"/>
              <w:left w:val="nil"/>
              <w:bottom w:val="nil"/>
              <w:right w:val="nil"/>
            </w:tcBorders>
            <w:shd w:val="clear" w:color="auto" w:fill="auto"/>
            <w:noWrap/>
            <w:vAlign w:val="center"/>
            <w:hideMark/>
          </w:tcPr>
          <w:p w14:paraId="49C9FEEB" w14:textId="77777777" w:rsidR="001C7E53" w:rsidRPr="00A25960" w:rsidRDefault="001C7E53" w:rsidP="00386C33">
            <w:pPr>
              <w:pStyle w:val="TableTextCentered"/>
            </w:pPr>
            <w:r w:rsidRPr="00A25960">
              <w:t>(0.013)</w:t>
            </w:r>
          </w:p>
        </w:tc>
        <w:tc>
          <w:tcPr>
            <w:tcW w:w="1434" w:type="dxa"/>
            <w:tcBorders>
              <w:top w:val="nil"/>
              <w:left w:val="nil"/>
              <w:bottom w:val="nil"/>
              <w:right w:val="nil"/>
            </w:tcBorders>
            <w:shd w:val="clear" w:color="auto" w:fill="auto"/>
            <w:noWrap/>
            <w:vAlign w:val="center"/>
            <w:hideMark/>
          </w:tcPr>
          <w:p w14:paraId="65455004" w14:textId="77777777" w:rsidR="001C7E53" w:rsidRPr="00A25960" w:rsidRDefault="001C7E53" w:rsidP="00386C33">
            <w:pPr>
              <w:pStyle w:val="TableTextCentered"/>
            </w:pPr>
            <w:r w:rsidRPr="00A25960">
              <w:t>(0.015)</w:t>
            </w:r>
          </w:p>
        </w:tc>
        <w:tc>
          <w:tcPr>
            <w:tcW w:w="1016" w:type="dxa"/>
            <w:tcBorders>
              <w:top w:val="nil"/>
              <w:left w:val="nil"/>
              <w:bottom w:val="nil"/>
              <w:right w:val="nil"/>
            </w:tcBorders>
            <w:shd w:val="clear" w:color="auto" w:fill="auto"/>
            <w:noWrap/>
            <w:vAlign w:val="center"/>
            <w:hideMark/>
          </w:tcPr>
          <w:p w14:paraId="2F1B90B5" w14:textId="77777777" w:rsidR="001C7E53" w:rsidRPr="00A25960" w:rsidRDefault="001C7E53" w:rsidP="00386C33">
            <w:pPr>
              <w:pStyle w:val="TableTextCentered"/>
            </w:pPr>
            <w:r w:rsidRPr="00A25960">
              <w:t>(0.016)</w:t>
            </w:r>
          </w:p>
        </w:tc>
      </w:tr>
      <w:tr w:rsidR="001C7E53" w:rsidRPr="00A25960" w14:paraId="08274C68" w14:textId="77777777" w:rsidTr="000E4236">
        <w:trPr>
          <w:trHeight w:val="300"/>
        </w:trPr>
        <w:tc>
          <w:tcPr>
            <w:tcW w:w="2021" w:type="dxa"/>
            <w:tcBorders>
              <w:top w:val="nil"/>
              <w:left w:val="nil"/>
              <w:bottom w:val="nil"/>
              <w:right w:val="nil"/>
            </w:tcBorders>
            <w:shd w:val="clear" w:color="auto" w:fill="auto"/>
            <w:noWrap/>
            <w:vAlign w:val="bottom"/>
            <w:hideMark/>
          </w:tcPr>
          <w:p w14:paraId="298E0C31" w14:textId="77777777" w:rsidR="001C7E53" w:rsidRPr="00A25960" w:rsidRDefault="001C7E53" w:rsidP="00F91AE4">
            <w:pPr>
              <w:pStyle w:val="TableTextLeft"/>
            </w:pPr>
          </w:p>
        </w:tc>
        <w:tc>
          <w:tcPr>
            <w:tcW w:w="1435" w:type="dxa"/>
            <w:tcBorders>
              <w:top w:val="nil"/>
              <w:left w:val="nil"/>
              <w:bottom w:val="nil"/>
              <w:right w:val="nil"/>
            </w:tcBorders>
            <w:shd w:val="clear" w:color="auto" w:fill="auto"/>
            <w:noWrap/>
            <w:vAlign w:val="center"/>
            <w:hideMark/>
          </w:tcPr>
          <w:p w14:paraId="4976785C" w14:textId="77777777" w:rsidR="001C7E53" w:rsidRPr="00A25960" w:rsidRDefault="001C7E53" w:rsidP="00386C33">
            <w:pPr>
              <w:pStyle w:val="TableTextCentered"/>
              <w:rPr>
                <w:rFonts w:ascii="Times New Roman" w:hAnsi="Times New Roman"/>
              </w:rPr>
            </w:pPr>
          </w:p>
        </w:tc>
        <w:tc>
          <w:tcPr>
            <w:tcW w:w="1745" w:type="dxa"/>
            <w:tcBorders>
              <w:top w:val="nil"/>
              <w:left w:val="nil"/>
              <w:bottom w:val="nil"/>
              <w:right w:val="nil"/>
            </w:tcBorders>
            <w:shd w:val="clear" w:color="auto" w:fill="auto"/>
            <w:noWrap/>
            <w:vAlign w:val="center"/>
            <w:hideMark/>
          </w:tcPr>
          <w:p w14:paraId="60F442FA" w14:textId="77777777" w:rsidR="001C7E53" w:rsidRPr="00A25960" w:rsidRDefault="001C7E53" w:rsidP="00386C33">
            <w:pPr>
              <w:pStyle w:val="TableTextCentered"/>
              <w:rPr>
                <w:rFonts w:ascii="Times New Roman" w:hAnsi="Times New Roman"/>
              </w:rPr>
            </w:pPr>
          </w:p>
        </w:tc>
        <w:tc>
          <w:tcPr>
            <w:tcW w:w="1605" w:type="dxa"/>
            <w:tcBorders>
              <w:top w:val="nil"/>
              <w:left w:val="nil"/>
              <w:bottom w:val="nil"/>
              <w:right w:val="nil"/>
            </w:tcBorders>
            <w:shd w:val="clear" w:color="auto" w:fill="auto"/>
            <w:noWrap/>
            <w:vAlign w:val="center"/>
            <w:hideMark/>
          </w:tcPr>
          <w:p w14:paraId="15BA5DB2" w14:textId="77777777" w:rsidR="001C7E53" w:rsidRPr="00A25960" w:rsidRDefault="001C7E53" w:rsidP="00386C33">
            <w:pPr>
              <w:pStyle w:val="TableTextCentered"/>
              <w:rPr>
                <w:rFonts w:ascii="Times New Roman" w:hAnsi="Times New Roman"/>
              </w:rPr>
            </w:pPr>
          </w:p>
        </w:tc>
        <w:tc>
          <w:tcPr>
            <w:tcW w:w="1434" w:type="dxa"/>
            <w:tcBorders>
              <w:top w:val="nil"/>
              <w:left w:val="nil"/>
              <w:bottom w:val="nil"/>
              <w:right w:val="nil"/>
            </w:tcBorders>
            <w:shd w:val="clear" w:color="auto" w:fill="auto"/>
            <w:noWrap/>
            <w:vAlign w:val="center"/>
            <w:hideMark/>
          </w:tcPr>
          <w:p w14:paraId="29A92638" w14:textId="77777777" w:rsidR="001C7E53" w:rsidRPr="00A25960" w:rsidRDefault="001C7E53" w:rsidP="00386C33">
            <w:pPr>
              <w:pStyle w:val="TableTextCentered"/>
              <w:rPr>
                <w:rFonts w:ascii="Times New Roman" w:hAnsi="Times New Roman"/>
              </w:rPr>
            </w:pPr>
          </w:p>
        </w:tc>
        <w:tc>
          <w:tcPr>
            <w:tcW w:w="1016" w:type="dxa"/>
            <w:tcBorders>
              <w:top w:val="nil"/>
              <w:left w:val="nil"/>
              <w:bottom w:val="nil"/>
              <w:right w:val="nil"/>
            </w:tcBorders>
            <w:shd w:val="clear" w:color="auto" w:fill="auto"/>
            <w:noWrap/>
            <w:vAlign w:val="center"/>
            <w:hideMark/>
          </w:tcPr>
          <w:p w14:paraId="592C00CB" w14:textId="77777777" w:rsidR="001C7E53" w:rsidRPr="00A25960" w:rsidRDefault="001C7E53" w:rsidP="00386C33">
            <w:pPr>
              <w:pStyle w:val="TableTextCentered"/>
              <w:rPr>
                <w:rFonts w:ascii="Times New Roman" w:hAnsi="Times New Roman"/>
              </w:rPr>
            </w:pPr>
          </w:p>
        </w:tc>
      </w:tr>
      <w:tr w:rsidR="001C7E53" w:rsidRPr="00A25960" w14:paraId="23378496" w14:textId="77777777" w:rsidTr="000E4236">
        <w:trPr>
          <w:trHeight w:val="300"/>
        </w:trPr>
        <w:tc>
          <w:tcPr>
            <w:tcW w:w="2021" w:type="dxa"/>
            <w:tcBorders>
              <w:top w:val="nil"/>
              <w:left w:val="nil"/>
              <w:bottom w:val="nil"/>
              <w:right w:val="nil"/>
            </w:tcBorders>
            <w:shd w:val="clear" w:color="auto" w:fill="auto"/>
            <w:noWrap/>
            <w:vAlign w:val="bottom"/>
            <w:hideMark/>
          </w:tcPr>
          <w:p w14:paraId="66AAF165" w14:textId="77777777" w:rsidR="001C7E53" w:rsidRPr="00A25960" w:rsidRDefault="001C7E53" w:rsidP="00F91AE4">
            <w:pPr>
              <w:pStyle w:val="TableTextLeft"/>
            </w:pPr>
            <w:r w:rsidRPr="00A25960">
              <w:t>Productivity</w:t>
            </w:r>
          </w:p>
        </w:tc>
        <w:tc>
          <w:tcPr>
            <w:tcW w:w="1435" w:type="dxa"/>
            <w:tcBorders>
              <w:top w:val="nil"/>
              <w:left w:val="nil"/>
              <w:bottom w:val="nil"/>
              <w:right w:val="nil"/>
            </w:tcBorders>
            <w:shd w:val="clear" w:color="auto" w:fill="auto"/>
            <w:noWrap/>
            <w:vAlign w:val="center"/>
            <w:hideMark/>
          </w:tcPr>
          <w:p w14:paraId="46FB91B3" w14:textId="77777777" w:rsidR="001C7E53" w:rsidRPr="00A25960" w:rsidRDefault="001C7E53" w:rsidP="00386C33">
            <w:pPr>
              <w:pStyle w:val="TableTextCentered"/>
            </w:pPr>
            <w:r w:rsidRPr="00A25960">
              <w:t>0.077***</w:t>
            </w:r>
          </w:p>
        </w:tc>
        <w:tc>
          <w:tcPr>
            <w:tcW w:w="1745" w:type="dxa"/>
            <w:tcBorders>
              <w:top w:val="nil"/>
              <w:left w:val="nil"/>
              <w:bottom w:val="nil"/>
              <w:right w:val="nil"/>
            </w:tcBorders>
            <w:shd w:val="clear" w:color="auto" w:fill="auto"/>
            <w:noWrap/>
            <w:vAlign w:val="bottom"/>
            <w:hideMark/>
          </w:tcPr>
          <w:p w14:paraId="3C1149FB" w14:textId="77777777" w:rsidR="001C7E53" w:rsidRPr="00A25960" w:rsidRDefault="001C7E53" w:rsidP="00386C33">
            <w:pPr>
              <w:pStyle w:val="TableTextCentered"/>
            </w:pPr>
            <w:r w:rsidRPr="00A25960">
              <w:t>0.031***</w:t>
            </w:r>
          </w:p>
        </w:tc>
        <w:tc>
          <w:tcPr>
            <w:tcW w:w="1605" w:type="dxa"/>
            <w:tcBorders>
              <w:top w:val="nil"/>
              <w:left w:val="nil"/>
              <w:bottom w:val="nil"/>
              <w:right w:val="nil"/>
            </w:tcBorders>
            <w:shd w:val="clear" w:color="auto" w:fill="auto"/>
            <w:noWrap/>
            <w:vAlign w:val="center"/>
            <w:hideMark/>
          </w:tcPr>
          <w:p w14:paraId="7E5006BC" w14:textId="77777777" w:rsidR="001C7E53" w:rsidRPr="00A25960" w:rsidRDefault="001C7E53" w:rsidP="00386C33">
            <w:pPr>
              <w:pStyle w:val="TableTextCentered"/>
            </w:pPr>
            <w:r w:rsidRPr="00A25960">
              <w:t>0.077***</w:t>
            </w:r>
          </w:p>
        </w:tc>
        <w:tc>
          <w:tcPr>
            <w:tcW w:w="1434" w:type="dxa"/>
            <w:tcBorders>
              <w:top w:val="nil"/>
              <w:left w:val="nil"/>
              <w:bottom w:val="nil"/>
              <w:right w:val="nil"/>
            </w:tcBorders>
            <w:shd w:val="clear" w:color="auto" w:fill="auto"/>
            <w:noWrap/>
            <w:vAlign w:val="center"/>
            <w:hideMark/>
          </w:tcPr>
          <w:p w14:paraId="5F1F515B" w14:textId="77777777" w:rsidR="001C7E53" w:rsidRPr="00A25960" w:rsidRDefault="001C7E53" w:rsidP="00386C33">
            <w:pPr>
              <w:pStyle w:val="TableTextCentered"/>
            </w:pPr>
            <w:r w:rsidRPr="00A25960">
              <w:t>0.076***</w:t>
            </w:r>
          </w:p>
        </w:tc>
        <w:tc>
          <w:tcPr>
            <w:tcW w:w="1016" w:type="dxa"/>
            <w:tcBorders>
              <w:top w:val="nil"/>
              <w:left w:val="nil"/>
              <w:bottom w:val="nil"/>
              <w:right w:val="nil"/>
            </w:tcBorders>
            <w:shd w:val="clear" w:color="auto" w:fill="auto"/>
            <w:noWrap/>
            <w:vAlign w:val="center"/>
            <w:hideMark/>
          </w:tcPr>
          <w:p w14:paraId="4F810206" w14:textId="77777777" w:rsidR="001C7E53" w:rsidRPr="00A25960" w:rsidRDefault="001C7E53" w:rsidP="00386C33">
            <w:pPr>
              <w:pStyle w:val="TableTextCentered"/>
            </w:pPr>
            <w:r w:rsidRPr="00A25960">
              <w:t>0.073***</w:t>
            </w:r>
          </w:p>
        </w:tc>
      </w:tr>
      <w:tr w:rsidR="001C7E53" w:rsidRPr="00A25960" w14:paraId="0346F8FA" w14:textId="77777777" w:rsidTr="000E4236">
        <w:trPr>
          <w:trHeight w:val="300"/>
        </w:trPr>
        <w:tc>
          <w:tcPr>
            <w:tcW w:w="2021" w:type="dxa"/>
            <w:tcBorders>
              <w:top w:val="nil"/>
              <w:left w:val="nil"/>
              <w:bottom w:val="nil"/>
              <w:right w:val="nil"/>
            </w:tcBorders>
            <w:shd w:val="clear" w:color="auto" w:fill="auto"/>
            <w:noWrap/>
            <w:vAlign w:val="bottom"/>
            <w:hideMark/>
          </w:tcPr>
          <w:p w14:paraId="23E63141" w14:textId="77777777" w:rsidR="001C7E53" w:rsidRPr="00A25960" w:rsidRDefault="001C7E53" w:rsidP="00F91AE4">
            <w:pPr>
              <w:pStyle w:val="TableTextLeft"/>
            </w:pPr>
          </w:p>
        </w:tc>
        <w:tc>
          <w:tcPr>
            <w:tcW w:w="1435" w:type="dxa"/>
            <w:tcBorders>
              <w:top w:val="nil"/>
              <w:left w:val="nil"/>
              <w:bottom w:val="nil"/>
              <w:right w:val="nil"/>
            </w:tcBorders>
            <w:shd w:val="clear" w:color="auto" w:fill="auto"/>
            <w:noWrap/>
            <w:vAlign w:val="bottom"/>
            <w:hideMark/>
          </w:tcPr>
          <w:p w14:paraId="50FC5E62" w14:textId="77777777" w:rsidR="001C7E53" w:rsidRPr="00A25960" w:rsidRDefault="001C7E53" w:rsidP="00386C33">
            <w:pPr>
              <w:pStyle w:val="TableTextCentered"/>
            </w:pPr>
            <w:r w:rsidRPr="00A25960">
              <w:t>(0.002)</w:t>
            </w:r>
          </w:p>
        </w:tc>
        <w:tc>
          <w:tcPr>
            <w:tcW w:w="1745" w:type="dxa"/>
            <w:tcBorders>
              <w:top w:val="nil"/>
              <w:left w:val="nil"/>
              <w:bottom w:val="nil"/>
              <w:right w:val="nil"/>
            </w:tcBorders>
            <w:shd w:val="clear" w:color="auto" w:fill="auto"/>
            <w:noWrap/>
            <w:vAlign w:val="bottom"/>
            <w:hideMark/>
          </w:tcPr>
          <w:p w14:paraId="7CBDB249" w14:textId="77777777" w:rsidR="001C7E53" w:rsidRPr="00A25960" w:rsidRDefault="001C7E53" w:rsidP="00386C33">
            <w:pPr>
              <w:pStyle w:val="TableTextCentered"/>
            </w:pPr>
            <w:r w:rsidRPr="00A25960">
              <w:t>(0.002)</w:t>
            </w:r>
          </w:p>
        </w:tc>
        <w:tc>
          <w:tcPr>
            <w:tcW w:w="1605" w:type="dxa"/>
            <w:tcBorders>
              <w:top w:val="nil"/>
              <w:left w:val="nil"/>
              <w:bottom w:val="nil"/>
              <w:right w:val="nil"/>
            </w:tcBorders>
            <w:shd w:val="clear" w:color="auto" w:fill="auto"/>
            <w:noWrap/>
            <w:vAlign w:val="bottom"/>
            <w:hideMark/>
          </w:tcPr>
          <w:p w14:paraId="146D8ED0" w14:textId="77777777" w:rsidR="001C7E53" w:rsidRPr="00A25960" w:rsidRDefault="001C7E53" w:rsidP="00386C33">
            <w:pPr>
              <w:pStyle w:val="TableTextCentered"/>
            </w:pPr>
            <w:r w:rsidRPr="00A25960">
              <w:t>(0.002)</w:t>
            </w:r>
          </w:p>
        </w:tc>
        <w:tc>
          <w:tcPr>
            <w:tcW w:w="1434" w:type="dxa"/>
            <w:tcBorders>
              <w:top w:val="nil"/>
              <w:left w:val="nil"/>
              <w:bottom w:val="nil"/>
              <w:right w:val="nil"/>
            </w:tcBorders>
            <w:shd w:val="clear" w:color="auto" w:fill="auto"/>
            <w:noWrap/>
            <w:vAlign w:val="center"/>
            <w:hideMark/>
          </w:tcPr>
          <w:p w14:paraId="4A0C7171" w14:textId="77777777" w:rsidR="001C7E53" w:rsidRPr="00A25960" w:rsidRDefault="001C7E53" w:rsidP="00386C33">
            <w:pPr>
              <w:pStyle w:val="TableTextCentered"/>
            </w:pPr>
            <w:r w:rsidRPr="00A25960">
              <w:t>(0.002)</w:t>
            </w:r>
          </w:p>
        </w:tc>
        <w:tc>
          <w:tcPr>
            <w:tcW w:w="1016" w:type="dxa"/>
            <w:tcBorders>
              <w:top w:val="nil"/>
              <w:left w:val="nil"/>
              <w:bottom w:val="nil"/>
              <w:right w:val="nil"/>
            </w:tcBorders>
            <w:shd w:val="clear" w:color="auto" w:fill="auto"/>
            <w:noWrap/>
            <w:vAlign w:val="center"/>
            <w:hideMark/>
          </w:tcPr>
          <w:p w14:paraId="5A68D883" w14:textId="77777777" w:rsidR="001C7E53" w:rsidRPr="00A25960" w:rsidRDefault="001C7E53" w:rsidP="00386C33">
            <w:pPr>
              <w:pStyle w:val="TableTextCentered"/>
            </w:pPr>
            <w:r w:rsidRPr="00A25960">
              <w:t>(0.002)</w:t>
            </w:r>
          </w:p>
        </w:tc>
      </w:tr>
      <w:tr w:rsidR="001C7E53" w:rsidRPr="00A25960" w14:paraId="0197AA3A" w14:textId="77777777" w:rsidTr="000E4236">
        <w:trPr>
          <w:trHeight w:val="290"/>
        </w:trPr>
        <w:tc>
          <w:tcPr>
            <w:tcW w:w="2021" w:type="dxa"/>
            <w:tcBorders>
              <w:top w:val="single" w:sz="4" w:space="0" w:color="auto"/>
              <w:left w:val="nil"/>
              <w:bottom w:val="nil"/>
              <w:right w:val="nil"/>
            </w:tcBorders>
            <w:shd w:val="clear" w:color="auto" w:fill="auto"/>
            <w:noWrap/>
            <w:vAlign w:val="center"/>
            <w:hideMark/>
          </w:tcPr>
          <w:p w14:paraId="54CA4B10" w14:textId="77777777" w:rsidR="001C7E53" w:rsidRPr="00A25960" w:rsidRDefault="001C7E53" w:rsidP="00F91AE4">
            <w:pPr>
              <w:pStyle w:val="TableTextLeft"/>
            </w:pPr>
            <w:r w:rsidRPr="00A25960">
              <w:t>R</w:t>
            </w:r>
            <w:r w:rsidRPr="00A25960">
              <w:rPr>
                <w:vertAlign w:val="superscript"/>
              </w:rPr>
              <w:t>2</w:t>
            </w:r>
          </w:p>
        </w:tc>
        <w:tc>
          <w:tcPr>
            <w:tcW w:w="1435" w:type="dxa"/>
            <w:tcBorders>
              <w:top w:val="single" w:sz="4" w:space="0" w:color="auto"/>
              <w:left w:val="nil"/>
              <w:bottom w:val="nil"/>
              <w:right w:val="nil"/>
            </w:tcBorders>
            <w:shd w:val="clear" w:color="auto" w:fill="auto"/>
            <w:noWrap/>
            <w:vAlign w:val="center"/>
            <w:hideMark/>
          </w:tcPr>
          <w:p w14:paraId="6FAE8026" w14:textId="77777777" w:rsidR="001C7E53" w:rsidRPr="00A25960" w:rsidRDefault="001C7E53" w:rsidP="00386C33">
            <w:pPr>
              <w:pStyle w:val="TableTextCentered"/>
            </w:pPr>
            <w:r w:rsidRPr="00A25960">
              <w:t>0.670</w:t>
            </w:r>
          </w:p>
        </w:tc>
        <w:tc>
          <w:tcPr>
            <w:tcW w:w="1745" w:type="dxa"/>
            <w:tcBorders>
              <w:top w:val="single" w:sz="4" w:space="0" w:color="auto"/>
              <w:left w:val="nil"/>
              <w:bottom w:val="nil"/>
              <w:right w:val="nil"/>
            </w:tcBorders>
            <w:shd w:val="clear" w:color="auto" w:fill="auto"/>
            <w:noWrap/>
            <w:vAlign w:val="center"/>
            <w:hideMark/>
          </w:tcPr>
          <w:p w14:paraId="147732C2" w14:textId="77777777" w:rsidR="001C7E53" w:rsidRPr="00A25960" w:rsidRDefault="001C7E53" w:rsidP="00386C33">
            <w:pPr>
              <w:pStyle w:val="TableTextCentered"/>
            </w:pPr>
            <w:r w:rsidRPr="00A25960">
              <w:t>0.856</w:t>
            </w:r>
          </w:p>
        </w:tc>
        <w:tc>
          <w:tcPr>
            <w:tcW w:w="1605" w:type="dxa"/>
            <w:tcBorders>
              <w:top w:val="single" w:sz="4" w:space="0" w:color="auto"/>
              <w:left w:val="nil"/>
              <w:bottom w:val="nil"/>
              <w:right w:val="nil"/>
            </w:tcBorders>
            <w:shd w:val="clear" w:color="auto" w:fill="auto"/>
            <w:noWrap/>
            <w:vAlign w:val="center"/>
            <w:hideMark/>
          </w:tcPr>
          <w:p w14:paraId="3BE3072E" w14:textId="77777777" w:rsidR="001C7E53" w:rsidRPr="00A25960" w:rsidRDefault="001C7E53" w:rsidP="00386C33">
            <w:pPr>
              <w:pStyle w:val="TableTextCentered"/>
            </w:pPr>
            <w:r w:rsidRPr="00A25960">
              <w:t>0.67</w:t>
            </w:r>
          </w:p>
        </w:tc>
        <w:tc>
          <w:tcPr>
            <w:tcW w:w="1434" w:type="dxa"/>
            <w:tcBorders>
              <w:top w:val="single" w:sz="4" w:space="0" w:color="auto"/>
              <w:left w:val="nil"/>
              <w:bottom w:val="nil"/>
              <w:right w:val="nil"/>
            </w:tcBorders>
            <w:shd w:val="clear" w:color="auto" w:fill="auto"/>
            <w:noWrap/>
            <w:vAlign w:val="center"/>
            <w:hideMark/>
          </w:tcPr>
          <w:p w14:paraId="0F974D3A" w14:textId="77777777" w:rsidR="001C7E53" w:rsidRPr="00A25960" w:rsidRDefault="001C7E53" w:rsidP="00386C33">
            <w:pPr>
              <w:pStyle w:val="TableTextCentered"/>
            </w:pPr>
            <w:r w:rsidRPr="00A25960">
              <w:t>0.670</w:t>
            </w:r>
          </w:p>
        </w:tc>
        <w:tc>
          <w:tcPr>
            <w:tcW w:w="1016" w:type="dxa"/>
            <w:tcBorders>
              <w:top w:val="single" w:sz="4" w:space="0" w:color="auto"/>
              <w:left w:val="nil"/>
              <w:bottom w:val="nil"/>
              <w:right w:val="nil"/>
            </w:tcBorders>
            <w:shd w:val="clear" w:color="auto" w:fill="auto"/>
            <w:noWrap/>
            <w:vAlign w:val="center"/>
            <w:hideMark/>
          </w:tcPr>
          <w:p w14:paraId="3A7A518F" w14:textId="77777777" w:rsidR="001C7E53" w:rsidRPr="00A25960" w:rsidRDefault="001C7E53" w:rsidP="00386C33">
            <w:pPr>
              <w:pStyle w:val="TableTextCentered"/>
            </w:pPr>
            <w:r w:rsidRPr="00A25960">
              <w:t>0.655</w:t>
            </w:r>
          </w:p>
        </w:tc>
      </w:tr>
      <w:tr w:rsidR="001C7E53" w:rsidRPr="00A25960" w14:paraId="2CFCACE5" w14:textId="77777777" w:rsidTr="000E4236">
        <w:trPr>
          <w:trHeight w:val="300"/>
        </w:trPr>
        <w:tc>
          <w:tcPr>
            <w:tcW w:w="2021" w:type="dxa"/>
            <w:tcBorders>
              <w:top w:val="nil"/>
              <w:left w:val="nil"/>
              <w:right w:val="nil"/>
            </w:tcBorders>
            <w:shd w:val="clear" w:color="auto" w:fill="auto"/>
            <w:noWrap/>
            <w:vAlign w:val="bottom"/>
            <w:hideMark/>
          </w:tcPr>
          <w:p w14:paraId="326A2D4A" w14:textId="77777777" w:rsidR="001C7E53" w:rsidRPr="00A25960" w:rsidRDefault="001C7E53" w:rsidP="00F91AE4">
            <w:pPr>
              <w:pStyle w:val="TableTextLeft"/>
            </w:pPr>
            <w:r w:rsidRPr="00A25960">
              <w:t>N</w:t>
            </w:r>
          </w:p>
        </w:tc>
        <w:tc>
          <w:tcPr>
            <w:tcW w:w="1435" w:type="dxa"/>
            <w:tcBorders>
              <w:top w:val="nil"/>
              <w:left w:val="nil"/>
              <w:right w:val="nil"/>
            </w:tcBorders>
            <w:shd w:val="clear" w:color="auto" w:fill="auto"/>
            <w:noWrap/>
            <w:vAlign w:val="center"/>
            <w:hideMark/>
          </w:tcPr>
          <w:p w14:paraId="2E584EE5" w14:textId="77777777" w:rsidR="001C7E53" w:rsidRPr="00A25960" w:rsidRDefault="001C7E53" w:rsidP="00386C33">
            <w:pPr>
              <w:pStyle w:val="TableTextCentered"/>
            </w:pPr>
            <w:r w:rsidRPr="00A25960">
              <w:t>302,000</w:t>
            </w:r>
          </w:p>
        </w:tc>
        <w:tc>
          <w:tcPr>
            <w:tcW w:w="1745" w:type="dxa"/>
            <w:tcBorders>
              <w:top w:val="nil"/>
              <w:left w:val="nil"/>
              <w:right w:val="nil"/>
            </w:tcBorders>
            <w:shd w:val="clear" w:color="auto" w:fill="auto"/>
            <w:noWrap/>
            <w:vAlign w:val="center"/>
            <w:hideMark/>
          </w:tcPr>
          <w:p w14:paraId="0CD77276" w14:textId="77777777" w:rsidR="001C7E53" w:rsidRPr="00A25960" w:rsidRDefault="001C7E53" w:rsidP="00386C33">
            <w:pPr>
              <w:pStyle w:val="TableTextCentered"/>
            </w:pPr>
            <w:r w:rsidRPr="00A25960">
              <w:t>117,000</w:t>
            </w:r>
          </w:p>
        </w:tc>
        <w:tc>
          <w:tcPr>
            <w:tcW w:w="1605" w:type="dxa"/>
            <w:tcBorders>
              <w:top w:val="nil"/>
              <w:left w:val="nil"/>
              <w:right w:val="nil"/>
            </w:tcBorders>
            <w:shd w:val="clear" w:color="auto" w:fill="auto"/>
            <w:noWrap/>
            <w:vAlign w:val="center"/>
            <w:hideMark/>
          </w:tcPr>
          <w:p w14:paraId="404ECABB" w14:textId="77777777" w:rsidR="001C7E53" w:rsidRPr="00A25960" w:rsidRDefault="001C7E53" w:rsidP="00386C33">
            <w:pPr>
              <w:pStyle w:val="TableTextCentered"/>
            </w:pPr>
            <w:r w:rsidRPr="00A25960">
              <w:t>302,000</w:t>
            </w:r>
          </w:p>
        </w:tc>
        <w:tc>
          <w:tcPr>
            <w:tcW w:w="1434" w:type="dxa"/>
            <w:tcBorders>
              <w:top w:val="nil"/>
              <w:left w:val="nil"/>
              <w:right w:val="nil"/>
            </w:tcBorders>
            <w:shd w:val="clear" w:color="auto" w:fill="auto"/>
            <w:noWrap/>
            <w:vAlign w:val="center"/>
            <w:hideMark/>
          </w:tcPr>
          <w:p w14:paraId="29C4506C" w14:textId="77777777" w:rsidR="001C7E53" w:rsidRPr="00A25960" w:rsidRDefault="001C7E53" w:rsidP="00386C33">
            <w:pPr>
              <w:pStyle w:val="TableTextCentered"/>
            </w:pPr>
            <w:r w:rsidRPr="00A25960">
              <w:t>277,000</w:t>
            </w:r>
          </w:p>
        </w:tc>
        <w:tc>
          <w:tcPr>
            <w:tcW w:w="1016" w:type="dxa"/>
            <w:tcBorders>
              <w:top w:val="nil"/>
              <w:left w:val="nil"/>
              <w:right w:val="nil"/>
            </w:tcBorders>
            <w:shd w:val="clear" w:color="auto" w:fill="auto"/>
            <w:noWrap/>
            <w:vAlign w:val="center"/>
            <w:hideMark/>
          </w:tcPr>
          <w:p w14:paraId="6B4E115A" w14:textId="77777777" w:rsidR="001C7E53" w:rsidRPr="00A25960" w:rsidRDefault="001C7E53" w:rsidP="00386C33">
            <w:pPr>
              <w:pStyle w:val="TableTextCentered"/>
            </w:pPr>
            <w:r w:rsidRPr="00A25960">
              <w:t>261,000</w:t>
            </w:r>
          </w:p>
        </w:tc>
      </w:tr>
      <w:tr w:rsidR="001C7E53" w:rsidRPr="00A25960" w14:paraId="0EE18B18" w14:textId="77777777" w:rsidTr="000E4236">
        <w:trPr>
          <w:trHeight w:val="300"/>
        </w:trPr>
        <w:tc>
          <w:tcPr>
            <w:tcW w:w="2021" w:type="dxa"/>
            <w:tcBorders>
              <w:top w:val="nil"/>
              <w:left w:val="nil"/>
              <w:bottom w:val="single" w:sz="4" w:space="0" w:color="auto"/>
              <w:right w:val="nil"/>
            </w:tcBorders>
            <w:shd w:val="clear" w:color="auto" w:fill="auto"/>
            <w:noWrap/>
            <w:vAlign w:val="bottom"/>
          </w:tcPr>
          <w:p w14:paraId="7481A920" w14:textId="77777777" w:rsidR="001C7E53" w:rsidRPr="00A25960" w:rsidRDefault="001C7E53" w:rsidP="00F91AE4">
            <w:pPr>
              <w:pStyle w:val="TableColumnHeadingLeft"/>
            </w:pPr>
            <w:r w:rsidRPr="00DD6AAE">
              <w:t>Fixed effects</w:t>
            </w:r>
          </w:p>
        </w:tc>
        <w:tc>
          <w:tcPr>
            <w:tcW w:w="1435" w:type="dxa"/>
            <w:tcBorders>
              <w:top w:val="nil"/>
              <w:left w:val="nil"/>
              <w:bottom w:val="single" w:sz="4" w:space="0" w:color="auto"/>
              <w:right w:val="nil"/>
            </w:tcBorders>
            <w:shd w:val="clear" w:color="auto" w:fill="auto"/>
            <w:noWrap/>
            <w:vAlign w:val="center"/>
          </w:tcPr>
          <w:p w14:paraId="2D422BF5" w14:textId="77777777" w:rsidR="001C7E53" w:rsidRPr="00A25960" w:rsidRDefault="001C7E53" w:rsidP="00386C33">
            <w:pPr>
              <w:pStyle w:val="TableTextCentered"/>
            </w:pPr>
            <w:r w:rsidRPr="00DD6AAE">
              <w:t> </w:t>
            </w:r>
          </w:p>
        </w:tc>
        <w:tc>
          <w:tcPr>
            <w:tcW w:w="1745" w:type="dxa"/>
            <w:tcBorders>
              <w:top w:val="nil"/>
              <w:left w:val="nil"/>
              <w:bottom w:val="single" w:sz="4" w:space="0" w:color="auto"/>
              <w:right w:val="nil"/>
            </w:tcBorders>
            <w:shd w:val="clear" w:color="auto" w:fill="auto"/>
            <w:noWrap/>
            <w:vAlign w:val="center"/>
          </w:tcPr>
          <w:p w14:paraId="5E9D2F3E" w14:textId="77777777" w:rsidR="001C7E53" w:rsidRPr="00A25960" w:rsidRDefault="001C7E53" w:rsidP="00386C33">
            <w:pPr>
              <w:pStyle w:val="TableTextCentered"/>
            </w:pPr>
            <w:r w:rsidRPr="00DD6AAE">
              <w:t> </w:t>
            </w:r>
          </w:p>
        </w:tc>
        <w:tc>
          <w:tcPr>
            <w:tcW w:w="1605" w:type="dxa"/>
            <w:tcBorders>
              <w:top w:val="nil"/>
              <w:left w:val="nil"/>
              <w:bottom w:val="single" w:sz="4" w:space="0" w:color="auto"/>
              <w:right w:val="nil"/>
            </w:tcBorders>
            <w:shd w:val="clear" w:color="auto" w:fill="auto"/>
            <w:noWrap/>
            <w:vAlign w:val="center"/>
          </w:tcPr>
          <w:p w14:paraId="4F2A442D" w14:textId="77777777" w:rsidR="001C7E53" w:rsidRPr="00A25960" w:rsidRDefault="001C7E53" w:rsidP="00386C33">
            <w:pPr>
              <w:pStyle w:val="TableTextCentered"/>
            </w:pPr>
            <w:r w:rsidRPr="00DD6AAE">
              <w:t> </w:t>
            </w:r>
          </w:p>
        </w:tc>
        <w:tc>
          <w:tcPr>
            <w:tcW w:w="1434" w:type="dxa"/>
            <w:tcBorders>
              <w:top w:val="nil"/>
              <w:left w:val="nil"/>
              <w:bottom w:val="single" w:sz="4" w:space="0" w:color="auto"/>
              <w:right w:val="nil"/>
            </w:tcBorders>
            <w:shd w:val="clear" w:color="auto" w:fill="auto"/>
            <w:noWrap/>
            <w:vAlign w:val="center"/>
          </w:tcPr>
          <w:p w14:paraId="23864658" w14:textId="77777777" w:rsidR="001C7E53" w:rsidRPr="00A25960" w:rsidRDefault="001C7E53" w:rsidP="00386C33">
            <w:pPr>
              <w:pStyle w:val="TableTextCentered"/>
            </w:pPr>
            <w:r w:rsidRPr="00DD6AAE">
              <w:t> </w:t>
            </w:r>
          </w:p>
        </w:tc>
        <w:tc>
          <w:tcPr>
            <w:tcW w:w="1016" w:type="dxa"/>
            <w:tcBorders>
              <w:top w:val="nil"/>
              <w:left w:val="nil"/>
              <w:bottom w:val="single" w:sz="4" w:space="0" w:color="auto"/>
              <w:right w:val="nil"/>
            </w:tcBorders>
            <w:shd w:val="clear" w:color="auto" w:fill="auto"/>
            <w:noWrap/>
            <w:vAlign w:val="center"/>
          </w:tcPr>
          <w:p w14:paraId="71456932" w14:textId="77777777" w:rsidR="001C7E53" w:rsidRPr="00A25960" w:rsidRDefault="001C7E53" w:rsidP="00386C33">
            <w:pPr>
              <w:pStyle w:val="TableTextCentered"/>
            </w:pPr>
            <w:r w:rsidRPr="00DD6AAE">
              <w:t> </w:t>
            </w:r>
          </w:p>
        </w:tc>
      </w:tr>
      <w:tr w:rsidR="001C7E53" w:rsidRPr="00A25960" w14:paraId="795C29EC" w14:textId="77777777" w:rsidTr="000E4236">
        <w:trPr>
          <w:trHeight w:val="300"/>
        </w:trPr>
        <w:tc>
          <w:tcPr>
            <w:tcW w:w="2021" w:type="dxa"/>
            <w:tcBorders>
              <w:top w:val="single" w:sz="4" w:space="0" w:color="auto"/>
              <w:left w:val="nil"/>
              <w:bottom w:val="nil"/>
              <w:right w:val="nil"/>
            </w:tcBorders>
            <w:shd w:val="clear" w:color="auto" w:fill="auto"/>
            <w:noWrap/>
            <w:vAlign w:val="bottom"/>
          </w:tcPr>
          <w:p w14:paraId="7DA1C8CB" w14:textId="77777777" w:rsidR="001C7E53" w:rsidRPr="00A25960" w:rsidRDefault="001C7E53" w:rsidP="00F91AE4">
            <w:pPr>
              <w:pStyle w:val="TableTextLeft"/>
            </w:pPr>
            <w:r w:rsidRPr="00DD6AAE">
              <w:t>Local market</w:t>
            </w:r>
          </w:p>
        </w:tc>
        <w:tc>
          <w:tcPr>
            <w:tcW w:w="1435" w:type="dxa"/>
            <w:tcBorders>
              <w:top w:val="single" w:sz="4" w:space="0" w:color="auto"/>
              <w:left w:val="nil"/>
              <w:bottom w:val="nil"/>
              <w:right w:val="nil"/>
            </w:tcBorders>
            <w:shd w:val="clear" w:color="auto" w:fill="auto"/>
            <w:noWrap/>
            <w:vAlign w:val="center"/>
          </w:tcPr>
          <w:p w14:paraId="42A112F9" w14:textId="77777777" w:rsidR="001C7E53" w:rsidRPr="00A25960" w:rsidRDefault="001C7E53" w:rsidP="00386C33">
            <w:pPr>
              <w:pStyle w:val="TableTextCentered"/>
            </w:pPr>
            <w:r w:rsidRPr="00DD6AAE">
              <w:t>Y</w:t>
            </w:r>
          </w:p>
        </w:tc>
        <w:tc>
          <w:tcPr>
            <w:tcW w:w="1745" w:type="dxa"/>
            <w:tcBorders>
              <w:top w:val="single" w:sz="4" w:space="0" w:color="auto"/>
              <w:left w:val="nil"/>
              <w:bottom w:val="nil"/>
              <w:right w:val="nil"/>
            </w:tcBorders>
            <w:shd w:val="clear" w:color="auto" w:fill="auto"/>
            <w:noWrap/>
            <w:vAlign w:val="center"/>
          </w:tcPr>
          <w:p w14:paraId="3861C4C8" w14:textId="77777777" w:rsidR="001C7E53" w:rsidRPr="00A25960" w:rsidRDefault="001C7E53" w:rsidP="00386C33">
            <w:pPr>
              <w:pStyle w:val="TableTextCentered"/>
            </w:pPr>
            <w:r w:rsidRPr="00DD6AAE">
              <w:t>Y</w:t>
            </w:r>
          </w:p>
        </w:tc>
        <w:tc>
          <w:tcPr>
            <w:tcW w:w="1605" w:type="dxa"/>
            <w:tcBorders>
              <w:top w:val="single" w:sz="4" w:space="0" w:color="auto"/>
              <w:left w:val="nil"/>
              <w:bottom w:val="nil"/>
              <w:right w:val="nil"/>
            </w:tcBorders>
            <w:shd w:val="clear" w:color="auto" w:fill="auto"/>
            <w:noWrap/>
            <w:vAlign w:val="center"/>
          </w:tcPr>
          <w:p w14:paraId="19C6FCD5" w14:textId="77777777" w:rsidR="001C7E53" w:rsidRPr="00A25960" w:rsidRDefault="001C7E53" w:rsidP="00386C33">
            <w:pPr>
              <w:pStyle w:val="TableTextCentered"/>
            </w:pPr>
            <w:r w:rsidRPr="00DD6AAE">
              <w:t>Y</w:t>
            </w:r>
          </w:p>
        </w:tc>
        <w:tc>
          <w:tcPr>
            <w:tcW w:w="1434" w:type="dxa"/>
            <w:tcBorders>
              <w:top w:val="single" w:sz="4" w:space="0" w:color="auto"/>
              <w:left w:val="nil"/>
              <w:bottom w:val="nil"/>
              <w:right w:val="nil"/>
            </w:tcBorders>
            <w:shd w:val="clear" w:color="auto" w:fill="auto"/>
            <w:noWrap/>
            <w:vAlign w:val="center"/>
          </w:tcPr>
          <w:p w14:paraId="01DE387F" w14:textId="77777777" w:rsidR="001C7E53" w:rsidRPr="00A25960" w:rsidRDefault="001C7E53" w:rsidP="00386C33">
            <w:pPr>
              <w:pStyle w:val="TableTextCentered"/>
            </w:pPr>
            <w:r w:rsidRPr="00DD6AAE">
              <w:t>Y</w:t>
            </w:r>
          </w:p>
        </w:tc>
        <w:tc>
          <w:tcPr>
            <w:tcW w:w="1016" w:type="dxa"/>
            <w:tcBorders>
              <w:top w:val="single" w:sz="4" w:space="0" w:color="auto"/>
              <w:left w:val="nil"/>
              <w:bottom w:val="nil"/>
              <w:right w:val="nil"/>
            </w:tcBorders>
            <w:shd w:val="clear" w:color="auto" w:fill="auto"/>
            <w:noWrap/>
            <w:vAlign w:val="center"/>
          </w:tcPr>
          <w:p w14:paraId="452A0DB1" w14:textId="77777777" w:rsidR="001C7E53" w:rsidRPr="00A25960" w:rsidRDefault="001C7E53" w:rsidP="00386C33">
            <w:pPr>
              <w:pStyle w:val="TableTextCentered"/>
            </w:pPr>
            <w:r w:rsidRPr="00DD6AAE">
              <w:t>Y</w:t>
            </w:r>
          </w:p>
        </w:tc>
      </w:tr>
      <w:tr w:rsidR="001C7E53" w:rsidRPr="00A25960" w14:paraId="20405A76" w14:textId="77777777" w:rsidTr="000E4236">
        <w:trPr>
          <w:trHeight w:val="300"/>
        </w:trPr>
        <w:tc>
          <w:tcPr>
            <w:tcW w:w="2021" w:type="dxa"/>
            <w:tcBorders>
              <w:top w:val="nil"/>
              <w:left w:val="nil"/>
              <w:bottom w:val="nil"/>
              <w:right w:val="nil"/>
            </w:tcBorders>
            <w:shd w:val="clear" w:color="auto" w:fill="auto"/>
            <w:noWrap/>
            <w:vAlign w:val="bottom"/>
          </w:tcPr>
          <w:p w14:paraId="5FC145C8" w14:textId="77777777" w:rsidR="001C7E53" w:rsidRPr="00A25960" w:rsidRDefault="001C7E53" w:rsidP="00F91AE4">
            <w:pPr>
              <w:pStyle w:val="TableTextLeft"/>
            </w:pPr>
            <w:r w:rsidRPr="00DD6AAE">
              <w:t>Time*</w:t>
            </w:r>
            <w:r>
              <w:t>I</w:t>
            </w:r>
            <w:r w:rsidRPr="00DD6AAE">
              <w:t>ndustry</w:t>
            </w:r>
          </w:p>
        </w:tc>
        <w:tc>
          <w:tcPr>
            <w:tcW w:w="1435" w:type="dxa"/>
            <w:tcBorders>
              <w:top w:val="nil"/>
              <w:left w:val="nil"/>
              <w:bottom w:val="nil"/>
              <w:right w:val="nil"/>
            </w:tcBorders>
            <w:shd w:val="clear" w:color="auto" w:fill="auto"/>
            <w:noWrap/>
            <w:vAlign w:val="center"/>
          </w:tcPr>
          <w:p w14:paraId="149EFE06" w14:textId="77777777" w:rsidR="001C7E53" w:rsidRPr="00A25960" w:rsidRDefault="001C7E53" w:rsidP="00386C33">
            <w:pPr>
              <w:pStyle w:val="TableTextCentered"/>
            </w:pPr>
            <w:r w:rsidRPr="00DD6AAE">
              <w:t>Y</w:t>
            </w:r>
          </w:p>
        </w:tc>
        <w:tc>
          <w:tcPr>
            <w:tcW w:w="1745" w:type="dxa"/>
            <w:tcBorders>
              <w:top w:val="nil"/>
              <w:left w:val="nil"/>
              <w:bottom w:val="nil"/>
              <w:right w:val="nil"/>
            </w:tcBorders>
            <w:shd w:val="clear" w:color="auto" w:fill="auto"/>
            <w:noWrap/>
            <w:vAlign w:val="center"/>
          </w:tcPr>
          <w:p w14:paraId="3283E307" w14:textId="77777777" w:rsidR="001C7E53" w:rsidRPr="00A25960" w:rsidRDefault="001C7E53" w:rsidP="00386C33">
            <w:pPr>
              <w:pStyle w:val="TableTextCentered"/>
            </w:pPr>
            <w:r w:rsidRPr="00DD6AAE">
              <w:t>Y</w:t>
            </w:r>
          </w:p>
        </w:tc>
        <w:tc>
          <w:tcPr>
            <w:tcW w:w="1605" w:type="dxa"/>
            <w:tcBorders>
              <w:top w:val="nil"/>
              <w:left w:val="nil"/>
              <w:bottom w:val="nil"/>
              <w:right w:val="nil"/>
            </w:tcBorders>
            <w:shd w:val="clear" w:color="auto" w:fill="auto"/>
            <w:noWrap/>
            <w:vAlign w:val="center"/>
          </w:tcPr>
          <w:p w14:paraId="08A95BE3" w14:textId="77777777" w:rsidR="001C7E53" w:rsidRPr="00A25960" w:rsidRDefault="001C7E53" w:rsidP="00386C33">
            <w:pPr>
              <w:pStyle w:val="TableTextCentered"/>
            </w:pPr>
            <w:r w:rsidRPr="00DD6AAE">
              <w:t>Y</w:t>
            </w:r>
          </w:p>
        </w:tc>
        <w:tc>
          <w:tcPr>
            <w:tcW w:w="1434" w:type="dxa"/>
            <w:tcBorders>
              <w:top w:val="nil"/>
              <w:left w:val="nil"/>
              <w:bottom w:val="nil"/>
              <w:right w:val="nil"/>
            </w:tcBorders>
            <w:shd w:val="clear" w:color="auto" w:fill="auto"/>
            <w:noWrap/>
            <w:vAlign w:val="center"/>
          </w:tcPr>
          <w:p w14:paraId="6436CCDC" w14:textId="77777777" w:rsidR="001C7E53" w:rsidRPr="00A25960" w:rsidRDefault="001C7E53" w:rsidP="00386C33">
            <w:pPr>
              <w:pStyle w:val="TableTextCentered"/>
            </w:pPr>
            <w:r w:rsidRPr="00DD6AAE">
              <w:t>Y</w:t>
            </w:r>
          </w:p>
        </w:tc>
        <w:tc>
          <w:tcPr>
            <w:tcW w:w="1016" w:type="dxa"/>
            <w:tcBorders>
              <w:top w:val="nil"/>
              <w:left w:val="nil"/>
              <w:bottom w:val="nil"/>
              <w:right w:val="nil"/>
            </w:tcBorders>
            <w:shd w:val="clear" w:color="auto" w:fill="auto"/>
            <w:noWrap/>
            <w:vAlign w:val="center"/>
          </w:tcPr>
          <w:p w14:paraId="255DF302" w14:textId="77777777" w:rsidR="001C7E53" w:rsidRPr="00A25960" w:rsidRDefault="001C7E53" w:rsidP="00386C33">
            <w:pPr>
              <w:pStyle w:val="TableTextCentered"/>
            </w:pPr>
            <w:r w:rsidRPr="00DD6AAE">
              <w:t>Y</w:t>
            </w:r>
          </w:p>
        </w:tc>
      </w:tr>
      <w:tr w:rsidR="001C7E53" w:rsidRPr="00A25960" w14:paraId="2137FA1D" w14:textId="77777777" w:rsidTr="000E4236">
        <w:trPr>
          <w:trHeight w:val="300"/>
        </w:trPr>
        <w:tc>
          <w:tcPr>
            <w:tcW w:w="2021" w:type="dxa"/>
            <w:tcBorders>
              <w:top w:val="nil"/>
              <w:left w:val="nil"/>
              <w:bottom w:val="single" w:sz="4" w:space="0" w:color="auto"/>
              <w:right w:val="nil"/>
            </w:tcBorders>
            <w:shd w:val="clear" w:color="auto" w:fill="auto"/>
            <w:noWrap/>
            <w:vAlign w:val="bottom"/>
          </w:tcPr>
          <w:p w14:paraId="5FDB2653" w14:textId="77777777" w:rsidR="001C7E53" w:rsidRPr="00A25960" w:rsidRDefault="001C7E53" w:rsidP="00F91AE4">
            <w:pPr>
              <w:pStyle w:val="TableTextLeft"/>
            </w:pPr>
            <w:r w:rsidRPr="00DD6AAE">
              <w:t>Time*Location</w:t>
            </w:r>
          </w:p>
        </w:tc>
        <w:tc>
          <w:tcPr>
            <w:tcW w:w="1435" w:type="dxa"/>
            <w:tcBorders>
              <w:top w:val="nil"/>
              <w:left w:val="nil"/>
              <w:bottom w:val="single" w:sz="4" w:space="0" w:color="auto"/>
              <w:right w:val="nil"/>
            </w:tcBorders>
            <w:shd w:val="clear" w:color="auto" w:fill="auto"/>
            <w:noWrap/>
            <w:vAlign w:val="center"/>
          </w:tcPr>
          <w:p w14:paraId="755A2699" w14:textId="77777777" w:rsidR="001C7E53" w:rsidRPr="00A25960" w:rsidRDefault="001C7E53" w:rsidP="00386C33">
            <w:pPr>
              <w:pStyle w:val="TableTextCentered"/>
            </w:pPr>
            <w:r w:rsidRPr="00DD6AAE">
              <w:t>Y</w:t>
            </w:r>
          </w:p>
        </w:tc>
        <w:tc>
          <w:tcPr>
            <w:tcW w:w="1745" w:type="dxa"/>
            <w:tcBorders>
              <w:top w:val="nil"/>
              <w:left w:val="nil"/>
              <w:bottom w:val="single" w:sz="4" w:space="0" w:color="auto"/>
              <w:right w:val="nil"/>
            </w:tcBorders>
            <w:shd w:val="clear" w:color="auto" w:fill="auto"/>
            <w:noWrap/>
            <w:vAlign w:val="center"/>
          </w:tcPr>
          <w:p w14:paraId="1E87C3BB" w14:textId="77777777" w:rsidR="001C7E53" w:rsidRPr="00A25960" w:rsidRDefault="001C7E53" w:rsidP="00386C33">
            <w:pPr>
              <w:pStyle w:val="TableTextCentered"/>
            </w:pPr>
            <w:r w:rsidRPr="00DD6AAE">
              <w:t>Y</w:t>
            </w:r>
          </w:p>
        </w:tc>
        <w:tc>
          <w:tcPr>
            <w:tcW w:w="1605" w:type="dxa"/>
            <w:tcBorders>
              <w:top w:val="nil"/>
              <w:left w:val="nil"/>
              <w:bottom w:val="single" w:sz="4" w:space="0" w:color="auto"/>
              <w:right w:val="nil"/>
            </w:tcBorders>
            <w:shd w:val="clear" w:color="auto" w:fill="auto"/>
            <w:noWrap/>
            <w:vAlign w:val="center"/>
          </w:tcPr>
          <w:p w14:paraId="596C920E" w14:textId="77777777" w:rsidR="001C7E53" w:rsidRPr="00A25960" w:rsidRDefault="001C7E53" w:rsidP="00386C33">
            <w:pPr>
              <w:pStyle w:val="TableTextCentered"/>
            </w:pPr>
            <w:r w:rsidRPr="00DD6AAE">
              <w:t>Y</w:t>
            </w:r>
          </w:p>
        </w:tc>
        <w:tc>
          <w:tcPr>
            <w:tcW w:w="1434" w:type="dxa"/>
            <w:tcBorders>
              <w:top w:val="nil"/>
              <w:left w:val="nil"/>
              <w:bottom w:val="single" w:sz="4" w:space="0" w:color="auto"/>
              <w:right w:val="nil"/>
            </w:tcBorders>
            <w:shd w:val="clear" w:color="auto" w:fill="auto"/>
            <w:noWrap/>
            <w:vAlign w:val="center"/>
          </w:tcPr>
          <w:p w14:paraId="352C1AF9" w14:textId="77777777" w:rsidR="001C7E53" w:rsidRPr="00A25960" w:rsidRDefault="001C7E53" w:rsidP="00386C33">
            <w:pPr>
              <w:pStyle w:val="TableTextCentered"/>
            </w:pPr>
            <w:r w:rsidRPr="00DD6AAE">
              <w:t>Y</w:t>
            </w:r>
          </w:p>
        </w:tc>
        <w:tc>
          <w:tcPr>
            <w:tcW w:w="1016" w:type="dxa"/>
            <w:tcBorders>
              <w:top w:val="nil"/>
              <w:left w:val="nil"/>
              <w:bottom w:val="single" w:sz="4" w:space="0" w:color="auto"/>
              <w:right w:val="nil"/>
            </w:tcBorders>
            <w:shd w:val="clear" w:color="auto" w:fill="auto"/>
            <w:noWrap/>
            <w:vAlign w:val="center"/>
          </w:tcPr>
          <w:p w14:paraId="78138DE8" w14:textId="77777777" w:rsidR="001C7E53" w:rsidRPr="00A25960" w:rsidRDefault="001C7E53" w:rsidP="00386C33">
            <w:pPr>
              <w:pStyle w:val="TableTextCentered"/>
            </w:pPr>
            <w:r w:rsidRPr="00DD6AAE">
              <w:t>Y</w:t>
            </w:r>
          </w:p>
        </w:tc>
      </w:tr>
    </w:tbl>
    <w:p w14:paraId="2E169327" w14:textId="7A03C9B5" w:rsidR="000E4236" w:rsidRPr="000E4236" w:rsidRDefault="001C7E53" w:rsidP="00F91AE4">
      <w:pPr>
        <w:pStyle w:val="ChartorTableNote"/>
        <w:jc w:val="left"/>
      </w:pPr>
      <w:r w:rsidRPr="00AF44C3">
        <w:t xml:space="preserve">Note: All regressions include a </w:t>
      </w:r>
      <w:r>
        <w:t>set of common controls covering</w:t>
      </w:r>
      <w:r w:rsidRPr="00AF44C3">
        <w:t xml:space="preserve"> market characteristics (number of workers in the market</w:t>
      </w:r>
      <w:r>
        <w:t>).</w:t>
      </w:r>
      <w:r w:rsidR="00975BCA">
        <w:t xml:space="preserve"> </w:t>
      </w:r>
      <w:r w:rsidRPr="00AF44C3">
        <w:t>Errors clusters at the local market level.</w:t>
      </w:r>
      <w:r w:rsidR="00975BCA" w:rsidRPr="000E4236">
        <w:t xml:space="preserve"> </w:t>
      </w:r>
    </w:p>
    <w:p w14:paraId="7B82F5AF" w14:textId="7B4B09F6" w:rsidR="001C7E53" w:rsidRDefault="000E4236" w:rsidP="00F91AE4">
      <w:pPr>
        <w:pStyle w:val="TableMainHeading"/>
      </w:pPr>
      <w:r>
        <w:t>Table</w:t>
      </w:r>
      <w:r w:rsidRPr="00DD6AAE">
        <w:t xml:space="preserve"> </w:t>
      </w:r>
      <w:r w:rsidRPr="00A25960">
        <w:t>B4: Differing concentration metrics</w:t>
      </w:r>
      <w:r w:rsidR="006D1604">
        <w:t xml:space="preserve"> – </w:t>
      </w:r>
      <w:r w:rsidRPr="00A25960">
        <w:t>Local market model</w:t>
      </w:r>
    </w:p>
    <w:tbl>
      <w:tblPr>
        <w:tblW w:w="5000" w:type="pct"/>
        <w:tblLook w:val="04A0" w:firstRow="1" w:lastRow="0" w:firstColumn="1" w:lastColumn="0" w:noHBand="0" w:noVBand="1"/>
      </w:tblPr>
      <w:tblGrid>
        <w:gridCol w:w="2168"/>
        <w:gridCol w:w="1540"/>
        <w:gridCol w:w="1860"/>
        <w:gridCol w:w="1962"/>
        <w:gridCol w:w="1540"/>
      </w:tblGrid>
      <w:tr w:rsidR="001C7E53" w:rsidRPr="00A25960" w14:paraId="5E6AE89F" w14:textId="77777777" w:rsidTr="000E4236">
        <w:trPr>
          <w:trHeight w:val="300"/>
        </w:trPr>
        <w:tc>
          <w:tcPr>
            <w:tcW w:w="2223" w:type="dxa"/>
            <w:tcBorders>
              <w:top w:val="nil"/>
              <w:left w:val="nil"/>
              <w:bottom w:val="single" w:sz="4" w:space="0" w:color="auto"/>
              <w:right w:val="nil"/>
            </w:tcBorders>
            <w:shd w:val="clear" w:color="auto" w:fill="auto"/>
            <w:noWrap/>
            <w:vAlign w:val="bottom"/>
            <w:hideMark/>
          </w:tcPr>
          <w:p w14:paraId="2FDFA97A" w14:textId="77777777" w:rsidR="001C7E53" w:rsidRPr="00A25960" w:rsidRDefault="001C7E53" w:rsidP="00F91AE4">
            <w:pPr>
              <w:spacing w:after="0"/>
              <w:rPr>
                <w:rFonts w:cs="Calibri"/>
                <w:color w:val="000000"/>
                <w:sz w:val="20"/>
              </w:rPr>
            </w:pPr>
            <w:r w:rsidRPr="00A25960">
              <w:rPr>
                <w:rFonts w:cs="Calibri"/>
                <w:color w:val="000000"/>
                <w:sz w:val="20"/>
              </w:rPr>
              <w:t> </w:t>
            </w:r>
          </w:p>
        </w:tc>
        <w:tc>
          <w:tcPr>
            <w:tcW w:w="7075" w:type="dxa"/>
            <w:gridSpan w:val="4"/>
            <w:tcBorders>
              <w:left w:val="nil"/>
              <w:bottom w:val="single" w:sz="4" w:space="0" w:color="auto"/>
              <w:right w:val="nil"/>
            </w:tcBorders>
            <w:shd w:val="clear" w:color="auto" w:fill="auto"/>
            <w:noWrap/>
            <w:vAlign w:val="center"/>
            <w:hideMark/>
          </w:tcPr>
          <w:p w14:paraId="32757088" w14:textId="77777777" w:rsidR="001C7E53" w:rsidRPr="00A25960" w:rsidRDefault="001C7E53" w:rsidP="00386C33">
            <w:pPr>
              <w:pStyle w:val="TableColumnHeadingCentred"/>
            </w:pPr>
            <w:r w:rsidRPr="00A25960">
              <w:t>Headcount</w:t>
            </w:r>
          </w:p>
        </w:tc>
      </w:tr>
      <w:tr w:rsidR="001C7E53" w:rsidRPr="00A25960" w14:paraId="5B4BEBFE" w14:textId="77777777" w:rsidTr="000E4236">
        <w:trPr>
          <w:trHeight w:val="416"/>
        </w:trPr>
        <w:tc>
          <w:tcPr>
            <w:tcW w:w="2223" w:type="dxa"/>
            <w:tcBorders>
              <w:top w:val="nil"/>
              <w:left w:val="nil"/>
              <w:bottom w:val="single" w:sz="4" w:space="0" w:color="auto"/>
              <w:right w:val="nil"/>
            </w:tcBorders>
            <w:shd w:val="clear" w:color="auto" w:fill="auto"/>
            <w:noWrap/>
            <w:vAlign w:val="bottom"/>
            <w:hideMark/>
          </w:tcPr>
          <w:p w14:paraId="466B0616" w14:textId="77777777" w:rsidR="001C7E53" w:rsidRPr="00A25960" w:rsidRDefault="001C7E53" w:rsidP="00F91AE4">
            <w:pPr>
              <w:spacing w:after="0"/>
              <w:rPr>
                <w:rFonts w:cs="Calibri"/>
                <w:color w:val="000000"/>
                <w:sz w:val="20"/>
              </w:rPr>
            </w:pPr>
            <w:r w:rsidRPr="00A25960">
              <w:rPr>
                <w:rFonts w:cs="Calibri"/>
                <w:color w:val="000000"/>
                <w:sz w:val="20"/>
              </w:rPr>
              <w:t> </w:t>
            </w:r>
          </w:p>
        </w:tc>
        <w:tc>
          <w:tcPr>
            <w:tcW w:w="1578" w:type="dxa"/>
            <w:tcBorders>
              <w:top w:val="single" w:sz="4" w:space="0" w:color="auto"/>
              <w:left w:val="nil"/>
              <w:bottom w:val="single" w:sz="4" w:space="0" w:color="auto"/>
              <w:right w:val="nil"/>
            </w:tcBorders>
            <w:shd w:val="clear" w:color="auto" w:fill="auto"/>
            <w:noWrap/>
            <w:vAlign w:val="center"/>
            <w:hideMark/>
          </w:tcPr>
          <w:p w14:paraId="12D54A2B" w14:textId="77777777" w:rsidR="001C7E53" w:rsidRPr="00A25960" w:rsidRDefault="001C7E53" w:rsidP="00386C33">
            <w:pPr>
              <w:pStyle w:val="TableColumnHeadingCentred"/>
            </w:pPr>
            <w:r w:rsidRPr="00A25960">
              <w:t>Baseline</w:t>
            </w:r>
          </w:p>
        </w:tc>
        <w:tc>
          <w:tcPr>
            <w:tcW w:w="1907" w:type="dxa"/>
            <w:tcBorders>
              <w:top w:val="single" w:sz="4" w:space="0" w:color="auto"/>
              <w:left w:val="nil"/>
              <w:bottom w:val="single" w:sz="4" w:space="0" w:color="auto"/>
              <w:right w:val="nil"/>
            </w:tcBorders>
            <w:shd w:val="clear" w:color="auto" w:fill="auto"/>
            <w:vAlign w:val="center"/>
            <w:hideMark/>
          </w:tcPr>
          <w:p w14:paraId="1B8B14BD" w14:textId="77777777" w:rsidR="001C7E53" w:rsidRPr="00A25960" w:rsidRDefault="001C7E53" w:rsidP="00386C33">
            <w:pPr>
              <w:pStyle w:val="TableColumnHeadingCentred"/>
            </w:pPr>
            <w:r w:rsidRPr="00A25960">
              <w:t>Top 4 share</w:t>
            </w:r>
          </w:p>
        </w:tc>
        <w:tc>
          <w:tcPr>
            <w:tcW w:w="2012" w:type="dxa"/>
            <w:tcBorders>
              <w:top w:val="single" w:sz="4" w:space="0" w:color="auto"/>
              <w:left w:val="nil"/>
              <w:bottom w:val="single" w:sz="4" w:space="0" w:color="auto"/>
              <w:right w:val="nil"/>
            </w:tcBorders>
            <w:shd w:val="clear" w:color="auto" w:fill="auto"/>
            <w:noWrap/>
            <w:vAlign w:val="center"/>
            <w:hideMark/>
          </w:tcPr>
          <w:p w14:paraId="41A74437" w14:textId="77777777" w:rsidR="001C7E53" w:rsidRPr="00A25960" w:rsidRDefault="001C7E53" w:rsidP="00386C33">
            <w:pPr>
              <w:pStyle w:val="TableColumnHeadingCentred"/>
            </w:pPr>
            <w:r w:rsidRPr="00A25960">
              <w:t>Top 10 share</w:t>
            </w:r>
          </w:p>
        </w:tc>
        <w:tc>
          <w:tcPr>
            <w:tcW w:w="1578" w:type="dxa"/>
            <w:tcBorders>
              <w:top w:val="single" w:sz="4" w:space="0" w:color="auto"/>
              <w:left w:val="nil"/>
              <w:bottom w:val="single" w:sz="4" w:space="0" w:color="auto"/>
              <w:right w:val="nil"/>
            </w:tcBorders>
            <w:shd w:val="clear" w:color="auto" w:fill="auto"/>
            <w:noWrap/>
            <w:vAlign w:val="center"/>
            <w:hideMark/>
          </w:tcPr>
          <w:p w14:paraId="48F0DC9A" w14:textId="77777777" w:rsidR="001C7E53" w:rsidRPr="00A25960" w:rsidRDefault="001C7E53" w:rsidP="00386C33">
            <w:pPr>
              <w:pStyle w:val="TableColumnHeadingCentred"/>
            </w:pPr>
            <w:r w:rsidRPr="00A25960">
              <w:t>Log HHI</w:t>
            </w:r>
          </w:p>
        </w:tc>
      </w:tr>
      <w:tr w:rsidR="001C7E53" w:rsidRPr="00A25960" w14:paraId="5D53C239" w14:textId="77777777" w:rsidTr="000E4236">
        <w:trPr>
          <w:trHeight w:val="260"/>
        </w:trPr>
        <w:tc>
          <w:tcPr>
            <w:tcW w:w="2223" w:type="dxa"/>
            <w:tcBorders>
              <w:top w:val="nil"/>
              <w:left w:val="nil"/>
              <w:bottom w:val="nil"/>
              <w:right w:val="nil"/>
            </w:tcBorders>
            <w:shd w:val="clear" w:color="auto" w:fill="auto"/>
            <w:noWrap/>
            <w:vAlign w:val="bottom"/>
            <w:hideMark/>
          </w:tcPr>
          <w:p w14:paraId="0AA94645" w14:textId="77777777" w:rsidR="001C7E53" w:rsidRPr="00A25960" w:rsidRDefault="001C7E53" w:rsidP="00386C33">
            <w:pPr>
              <w:spacing w:after="0"/>
              <w:jc w:val="center"/>
              <w:rPr>
                <w:rFonts w:cs="Calibri"/>
                <w:color w:val="000000"/>
                <w:sz w:val="20"/>
              </w:rPr>
            </w:pPr>
          </w:p>
        </w:tc>
        <w:tc>
          <w:tcPr>
            <w:tcW w:w="1578" w:type="dxa"/>
            <w:tcBorders>
              <w:top w:val="single" w:sz="4" w:space="0" w:color="auto"/>
              <w:left w:val="nil"/>
              <w:bottom w:val="nil"/>
              <w:right w:val="nil"/>
            </w:tcBorders>
            <w:shd w:val="clear" w:color="auto" w:fill="auto"/>
            <w:noWrap/>
            <w:vAlign w:val="center"/>
            <w:hideMark/>
          </w:tcPr>
          <w:p w14:paraId="1AF97420"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907" w:type="dxa"/>
            <w:tcBorders>
              <w:top w:val="single" w:sz="4" w:space="0" w:color="auto"/>
              <w:left w:val="nil"/>
              <w:bottom w:val="nil"/>
              <w:right w:val="nil"/>
            </w:tcBorders>
            <w:shd w:val="clear" w:color="auto" w:fill="auto"/>
            <w:noWrap/>
            <w:vAlign w:val="center"/>
            <w:hideMark/>
          </w:tcPr>
          <w:p w14:paraId="6EE8A5CC"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2012" w:type="dxa"/>
            <w:tcBorders>
              <w:top w:val="single" w:sz="4" w:space="0" w:color="auto"/>
              <w:left w:val="nil"/>
              <w:bottom w:val="nil"/>
              <w:right w:val="nil"/>
            </w:tcBorders>
            <w:shd w:val="clear" w:color="auto" w:fill="auto"/>
            <w:noWrap/>
            <w:vAlign w:val="center"/>
            <w:hideMark/>
          </w:tcPr>
          <w:p w14:paraId="6E2D6975"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c>
          <w:tcPr>
            <w:tcW w:w="1578" w:type="dxa"/>
            <w:tcBorders>
              <w:top w:val="single" w:sz="4" w:space="0" w:color="auto"/>
              <w:left w:val="nil"/>
              <w:bottom w:val="nil"/>
              <w:right w:val="nil"/>
            </w:tcBorders>
            <w:shd w:val="clear" w:color="auto" w:fill="auto"/>
            <w:noWrap/>
            <w:vAlign w:val="center"/>
            <w:hideMark/>
          </w:tcPr>
          <w:p w14:paraId="5F33B280" w14:textId="77777777" w:rsidR="001C7E53" w:rsidRPr="00A25960" w:rsidRDefault="001C7E53" w:rsidP="00386C33">
            <w:pPr>
              <w:spacing w:after="0"/>
              <w:jc w:val="center"/>
              <w:rPr>
                <w:rFonts w:cs="Calibri"/>
                <w:color w:val="000000"/>
                <w:sz w:val="20"/>
              </w:rPr>
            </w:pPr>
            <w:r w:rsidRPr="00A25960">
              <w:rPr>
                <w:rFonts w:cs="Calibri"/>
                <w:color w:val="000000"/>
                <w:sz w:val="20"/>
              </w:rPr>
              <w:t> </w:t>
            </w:r>
          </w:p>
        </w:tc>
      </w:tr>
      <w:tr w:rsidR="001C7E53" w:rsidRPr="00A25960" w14:paraId="23DAFD95" w14:textId="77777777" w:rsidTr="000E4236">
        <w:trPr>
          <w:trHeight w:val="300"/>
        </w:trPr>
        <w:tc>
          <w:tcPr>
            <w:tcW w:w="2223" w:type="dxa"/>
            <w:tcBorders>
              <w:top w:val="nil"/>
              <w:left w:val="nil"/>
              <w:bottom w:val="nil"/>
              <w:right w:val="nil"/>
            </w:tcBorders>
            <w:shd w:val="clear" w:color="auto" w:fill="auto"/>
            <w:noWrap/>
            <w:vAlign w:val="bottom"/>
            <w:hideMark/>
          </w:tcPr>
          <w:p w14:paraId="714EE9DC" w14:textId="77777777" w:rsidR="001C7E53" w:rsidRPr="00A25960" w:rsidRDefault="001C7E53" w:rsidP="00F91AE4">
            <w:pPr>
              <w:pStyle w:val="TableTextLeft"/>
            </w:pPr>
            <w:r w:rsidRPr="00A25960">
              <w:t>Concentration</w:t>
            </w:r>
            <w:r>
              <w:t xml:space="preserve"> (HHI)</w:t>
            </w:r>
          </w:p>
        </w:tc>
        <w:tc>
          <w:tcPr>
            <w:tcW w:w="1578" w:type="dxa"/>
            <w:tcBorders>
              <w:top w:val="nil"/>
              <w:left w:val="nil"/>
              <w:bottom w:val="nil"/>
              <w:right w:val="nil"/>
            </w:tcBorders>
            <w:shd w:val="clear" w:color="auto" w:fill="auto"/>
            <w:noWrap/>
            <w:vAlign w:val="center"/>
            <w:hideMark/>
          </w:tcPr>
          <w:p w14:paraId="7B6E7F00" w14:textId="2BDF8B33" w:rsidR="001C7E53" w:rsidRPr="00A25960" w:rsidRDefault="0018466E" w:rsidP="00386C33">
            <w:pPr>
              <w:pStyle w:val="TableTextCentered"/>
            </w:pPr>
            <w:r>
              <w:noBreakHyphen/>
            </w:r>
            <w:r w:rsidR="001C7E53" w:rsidRPr="00A25960">
              <w:t>0.122***</w:t>
            </w:r>
          </w:p>
        </w:tc>
        <w:tc>
          <w:tcPr>
            <w:tcW w:w="1907" w:type="dxa"/>
            <w:tcBorders>
              <w:top w:val="nil"/>
              <w:left w:val="nil"/>
              <w:bottom w:val="nil"/>
              <w:right w:val="nil"/>
            </w:tcBorders>
            <w:shd w:val="clear" w:color="auto" w:fill="auto"/>
            <w:noWrap/>
            <w:vAlign w:val="center"/>
            <w:hideMark/>
          </w:tcPr>
          <w:p w14:paraId="590B1A5C" w14:textId="2DA5EDD9" w:rsidR="001C7E53" w:rsidRPr="00A25960" w:rsidRDefault="0018466E" w:rsidP="00386C33">
            <w:pPr>
              <w:pStyle w:val="TableTextCentered"/>
            </w:pPr>
            <w:r>
              <w:noBreakHyphen/>
            </w:r>
            <w:r w:rsidR="001C7E53" w:rsidRPr="00A25960">
              <w:t>0.122***</w:t>
            </w:r>
          </w:p>
        </w:tc>
        <w:tc>
          <w:tcPr>
            <w:tcW w:w="2012" w:type="dxa"/>
            <w:tcBorders>
              <w:top w:val="nil"/>
              <w:left w:val="nil"/>
              <w:bottom w:val="nil"/>
              <w:right w:val="nil"/>
            </w:tcBorders>
            <w:shd w:val="clear" w:color="auto" w:fill="auto"/>
            <w:noWrap/>
            <w:vAlign w:val="center"/>
            <w:hideMark/>
          </w:tcPr>
          <w:p w14:paraId="19FF22E7" w14:textId="77777777" w:rsidR="001C7E53" w:rsidRPr="00A25960" w:rsidRDefault="001C7E53" w:rsidP="00386C33">
            <w:pPr>
              <w:pStyle w:val="TableTextCentered"/>
            </w:pPr>
            <w:r w:rsidRPr="00A25960">
              <w:t>0.014</w:t>
            </w:r>
          </w:p>
        </w:tc>
        <w:tc>
          <w:tcPr>
            <w:tcW w:w="1578" w:type="dxa"/>
            <w:tcBorders>
              <w:top w:val="nil"/>
              <w:left w:val="nil"/>
              <w:bottom w:val="nil"/>
              <w:right w:val="nil"/>
            </w:tcBorders>
            <w:shd w:val="clear" w:color="auto" w:fill="auto"/>
            <w:noWrap/>
            <w:vAlign w:val="center"/>
            <w:hideMark/>
          </w:tcPr>
          <w:p w14:paraId="6BEAA579" w14:textId="5E0FD319" w:rsidR="001C7E53" w:rsidRPr="00A25960" w:rsidRDefault="0018466E" w:rsidP="00386C33">
            <w:pPr>
              <w:pStyle w:val="TableTextCentered"/>
            </w:pPr>
            <w:r>
              <w:noBreakHyphen/>
            </w:r>
            <w:r w:rsidR="001C7E53" w:rsidRPr="00A25960">
              <w:t>0.146***</w:t>
            </w:r>
          </w:p>
        </w:tc>
      </w:tr>
      <w:tr w:rsidR="001C7E53" w:rsidRPr="00A25960" w14:paraId="1D244DC0" w14:textId="77777777" w:rsidTr="000E4236">
        <w:trPr>
          <w:trHeight w:val="300"/>
        </w:trPr>
        <w:tc>
          <w:tcPr>
            <w:tcW w:w="2223" w:type="dxa"/>
            <w:tcBorders>
              <w:top w:val="nil"/>
              <w:left w:val="nil"/>
              <w:bottom w:val="nil"/>
              <w:right w:val="nil"/>
            </w:tcBorders>
            <w:shd w:val="clear" w:color="auto" w:fill="auto"/>
            <w:noWrap/>
            <w:vAlign w:val="bottom"/>
            <w:hideMark/>
          </w:tcPr>
          <w:p w14:paraId="233F02E4" w14:textId="77777777" w:rsidR="001C7E53" w:rsidRPr="00A25960" w:rsidRDefault="001C7E53" w:rsidP="00F91AE4">
            <w:pPr>
              <w:pStyle w:val="TableTextLeft"/>
            </w:pPr>
          </w:p>
        </w:tc>
        <w:tc>
          <w:tcPr>
            <w:tcW w:w="1578" w:type="dxa"/>
            <w:tcBorders>
              <w:top w:val="nil"/>
              <w:left w:val="nil"/>
              <w:bottom w:val="nil"/>
              <w:right w:val="nil"/>
            </w:tcBorders>
            <w:shd w:val="clear" w:color="auto" w:fill="auto"/>
            <w:noWrap/>
            <w:vAlign w:val="center"/>
            <w:hideMark/>
          </w:tcPr>
          <w:p w14:paraId="435E9C6D" w14:textId="77777777" w:rsidR="001C7E53" w:rsidRPr="00A25960" w:rsidRDefault="001C7E53" w:rsidP="00386C33">
            <w:pPr>
              <w:pStyle w:val="TableTextCentered"/>
            </w:pPr>
            <w:r w:rsidRPr="00A25960">
              <w:t>(0.014)</w:t>
            </w:r>
          </w:p>
        </w:tc>
        <w:tc>
          <w:tcPr>
            <w:tcW w:w="1907" w:type="dxa"/>
            <w:tcBorders>
              <w:top w:val="nil"/>
              <w:left w:val="nil"/>
              <w:bottom w:val="nil"/>
              <w:right w:val="nil"/>
            </w:tcBorders>
            <w:shd w:val="clear" w:color="auto" w:fill="auto"/>
            <w:noWrap/>
            <w:vAlign w:val="center"/>
            <w:hideMark/>
          </w:tcPr>
          <w:p w14:paraId="1FA3D2E6" w14:textId="77777777" w:rsidR="001C7E53" w:rsidRPr="00A25960" w:rsidRDefault="001C7E53" w:rsidP="00386C33">
            <w:pPr>
              <w:pStyle w:val="TableTextCentered"/>
            </w:pPr>
            <w:r w:rsidRPr="00A25960">
              <w:t>(0.018)</w:t>
            </w:r>
          </w:p>
        </w:tc>
        <w:tc>
          <w:tcPr>
            <w:tcW w:w="2012" w:type="dxa"/>
            <w:tcBorders>
              <w:top w:val="nil"/>
              <w:left w:val="nil"/>
              <w:bottom w:val="nil"/>
              <w:right w:val="nil"/>
            </w:tcBorders>
            <w:shd w:val="clear" w:color="auto" w:fill="auto"/>
            <w:noWrap/>
            <w:vAlign w:val="center"/>
            <w:hideMark/>
          </w:tcPr>
          <w:p w14:paraId="6ADE781A" w14:textId="77777777" w:rsidR="001C7E53" w:rsidRPr="00A25960" w:rsidRDefault="001C7E53" w:rsidP="00386C33">
            <w:pPr>
              <w:pStyle w:val="TableTextCentered"/>
            </w:pPr>
            <w:r w:rsidRPr="00A25960">
              <w:t>(0.026)</w:t>
            </w:r>
          </w:p>
        </w:tc>
        <w:tc>
          <w:tcPr>
            <w:tcW w:w="1578" w:type="dxa"/>
            <w:tcBorders>
              <w:top w:val="nil"/>
              <w:left w:val="nil"/>
              <w:bottom w:val="nil"/>
              <w:right w:val="nil"/>
            </w:tcBorders>
            <w:shd w:val="clear" w:color="auto" w:fill="auto"/>
            <w:noWrap/>
            <w:vAlign w:val="center"/>
            <w:hideMark/>
          </w:tcPr>
          <w:p w14:paraId="73B26046" w14:textId="77777777" w:rsidR="001C7E53" w:rsidRPr="00A25960" w:rsidRDefault="001C7E53" w:rsidP="00386C33">
            <w:pPr>
              <w:pStyle w:val="TableTextCentered"/>
            </w:pPr>
            <w:r w:rsidRPr="00A25960">
              <w:t>(0.005)</w:t>
            </w:r>
          </w:p>
        </w:tc>
      </w:tr>
      <w:tr w:rsidR="001C7E53" w:rsidRPr="00A25960" w14:paraId="28D4EF3B" w14:textId="77777777" w:rsidTr="000E4236">
        <w:trPr>
          <w:trHeight w:val="300"/>
        </w:trPr>
        <w:tc>
          <w:tcPr>
            <w:tcW w:w="2223" w:type="dxa"/>
            <w:tcBorders>
              <w:top w:val="nil"/>
              <w:left w:val="nil"/>
              <w:bottom w:val="nil"/>
              <w:right w:val="nil"/>
            </w:tcBorders>
            <w:shd w:val="clear" w:color="auto" w:fill="auto"/>
            <w:noWrap/>
            <w:vAlign w:val="bottom"/>
            <w:hideMark/>
          </w:tcPr>
          <w:p w14:paraId="14C77D05" w14:textId="77777777" w:rsidR="001C7E53" w:rsidRPr="00A25960" w:rsidRDefault="001C7E53" w:rsidP="00F91AE4">
            <w:pPr>
              <w:pStyle w:val="TableTextLeft"/>
            </w:pPr>
          </w:p>
        </w:tc>
        <w:tc>
          <w:tcPr>
            <w:tcW w:w="1578" w:type="dxa"/>
            <w:tcBorders>
              <w:top w:val="nil"/>
              <w:left w:val="nil"/>
              <w:bottom w:val="nil"/>
              <w:right w:val="nil"/>
            </w:tcBorders>
            <w:shd w:val="clear" w:color="auto" w:fill="auto"/>
            <w:noWrap/>
            <w:vAlign w:val="center"/>
            <w:hideMark/>
          </w:tcPr>
          <w:p w14:paraId="4413DA1F" w14:textId="77777777" w:rsidR="001C7E53" w:rsidRPr="00A25960" w:rsidRDefault="001C7E53" w:rsidP="00386C33">
            <w:pPr>
              <w:pStyle w:val="TableTextCentered"/>
              <w:rPr>
                <w:rFonts w:ascii="Times New Roman" w:hAnsi="Times New Roman"/>
              </w:rPr>
            </w:pPr>
          </w:p>
        </w:tc>
        <w:tc>
          <w:tcPr>
            <w:tcW w:w="1907" w:type="dxa"/>
            <w:tcBorders>
              <w:top w:val="nil"/>
              <w:left w:val="nil"/>
              <w:bottom w:val="nil"/>
              <w:right w:val="nil"/>
            </w:tcBorders>
            <w:shd w:val="clear" w:color="auto" w:fill="auto"/>
            <w:noWrap/>
            <w:vAlign w:val="center"/>
            <w:hideMark/>
          </w:tcPr>
          <w:p w14:paraId="48A39EAB" w14:textId="77777777" w:rsidR="001C7E53" w:rsidRPr="00A25960" w:rsidRDefault="001C7E53" w:rsidP="00386C33">
            <w:pPr>
              <w:pStyle w:val="TableTextCentered"/>
              <w:rPr>
                <w:rFonts w:ascii="Times New Roman" w:hAnsi="Times New Roman"/>
              </w:rPr>
            </w:pPr>
          </w:p>
        </w:tc>
        <w:tc>
          <w:tcPr>
            <w:tcW w:w="2012" w:type="dxa"/>
            <w:tcBorders>
              <w:top w:val="nil"/>
              <w:left w:val="nil"/>
              <w:bottom w:val="nil"/>
              <w:right w:val="nil"/>
            </w:tcBorders>
            <w:shd w:val="clear" w:color="auto" w:fill="auto"/>
            <w:noWrap/>
            <w:vAlign w:val="center"/>
            <w:hideMark/>
          </w:tcPr>
          <w:p w14:paraId="480AE3EE" w14:textId="77777777" w:rsidR="001C7E53" w:rsidRPr="00A25960" w:rsidRDefault="001C7E53" w:rsidP="00386C33">
            <w:pPr>
              <w:pStyle w:val="TableTextCentered"/>
              <w:rPr>
                <w:rFonts w:ascii="Times New Roman" w:hAnsi="Times New Roman"/>
              </w:rPr>
            </w:pPr>
          </w:p>
        </w:tc>
        <w:tc>
          <w:tcPr>
            <w:tcW w:w="1578" w:type="dxa"/>
            <w:tcBorders>
              <w:top w:val="nil"/>
              <w:left w:val="nil"/>
              <w:bottom w:val="nil"/>
              <w:right w:val="nil"/>
            </w:tcBorders>
            <w:shd w:val="clear" w:color="auto" w:fill="auto"/>
            <w:noWrap/>
            <w:vAlign w:val="center"/>
            <w:hideMark/>
          </w:tcPr>
          <w:p w14:paraId="64D70B2F" w14:textId="77777777" w:rsidR="001C7E53" w:rsidRPr="00A25960" w:rsidRDefault="001C7E53" w:rsidP="00386C33">
            <w:pPr>
              <w:pStyle w:val="TableTextCentered"/>
              <w:rPr>
                <w:rFonts w:ascii="Times New Roman" w:hAnsi="Times New Roman"/>
              </w:rPr>
            </w:pPr>
          </w:p>
        </w:tc>
      </w:tr>
      <w:tr w:rsidR="001C7E53" w:rsidRPr="00A25960" w14:paraId="1B9AC16C" w14:textId="77777777" w:rsidTr="000E4236">
        <w:trPr>
          <w:trHeight w:val="300"/>
        </w:trPr>
        <w:tc>
          <w:tcPr>
            <w:tcW w:w="2223" w:type="dxa"/>
            <w:tcBorders>
              <w:top w:val="nil"/>
              <w:left w:val="nil"/>
              <w:bottom w:val="nil"/>
              <w:right w:val="nil"/>
            </w:tcBorders>
            <w:shd w:val="clear" w:color="auto" w:fill="auto"/>
            <w:noWrap/>
            <w:vAlign w:val="bottom"/>
            <w:hideMark/>
          </w:tcPr>
          <w:p w14:paraId="0BEA6628" w14:textId="77777777" w:rsidR="001C7E53" w:rsidRPr="00A25960" w:rsidRDefault="001C7E53" w:rsidP="00F91AE4">
            <w:pPr>
              <w:pStyle w:val="TableTextLeft"/>
            </w:pPr>
            <w:r w:rsidRPr="00A25960">
              <w:t>Productivity</w:t>
            </w:r>
          </w:p>
        </w:tc>
        <w:tc>
          <w:tcPr>
            <w:tcW w:w="1578" w:type="dxa"/>
            <w:tcBorders>
              <w:top w:val="nil"/>
              <w:left w:val="nil"/>
              <w:bottom w:val="nil"/>
              <w:right w:val="nil"/>
            </w:tcBorders>
            <w:shd w:val="clear" w:color="auto" w:fill="auto"/>
            <w:noWrap/>
            <w:vAlign w:val="center"/>
            <w:hideMark/>
          </w:tcPr>
          <w:p w14:paraId="3A5DB717" w14:textId="77777777" w:rsidR="001C7E53" w:rsidRPr="00A25960" w:rsidRDefault="001C7E53" w:rsidP="00386C33">
            <w:pPr>
              <w:pStyle w:val="TableTextCentered"/>
            </w:pPr>
            <w:r w:rsidRPr="00A25960">
              <w:t>0.077***</w:t>
            </w:r>
          </w:p>
        </w:tc>
        <w:tc>
          <w:tcPr>
            <w:tcW w:w="1907" w:type="dxa"/>
            <w:tcBorders>
              <w:top w:val="nil"/>
              <w:left w:val="nil"/>
              <w:bottom w:val="nil"/>
              <w:right w:val="nil"/>
            </w:tcBorders>
            <w:shd w:val="clear" w:color="auto" w:fill="auto"/>
            <w:noWrap/>
            <w:vAlign w:val="center"/>
            <w:hideMark/>
          </w:tcPr>
          <w:p w14:paraId="3845CDCA" w14:textId="77777777" w:rsidR="001C7E53" w:rsidRPr="00A25960" w:rsidRDefault="001C7E53" w:rsidP="00386C33">
            <w:pPr>
              <w:pStyle w:val="TableTextCentered"/>
            </w:pPr>
            <w:r w:rsidRPr="00A25960">
              <w:t>0.078***</w:t>
            </w:r>
          </w:p>
        </w:tc>
        <w:tc>
          <w:tcPr>
            <w:tcW w:w="2012" w:type="dxa"/>
            <w:tcBorders>
              <w:top w:val="nil"/>
              <w:left w:val="nil"/>
              <w:bottom w:val="nil"/>
              <w:right w:val="nil"/>
            </w:tcBorders>
            <w:shd w:val="clear" w:color="auto" w:fill="auto"/>
            <w:noWrap/>
            <w:vAlign w:val="center"/>
            <w:hideMark/>
          </w:tcPr>
          <w:p w14:paraId="68F48F74" w14:textId="77777777" w:rsidR="001C7E53" w:rsidRPr="00A25960" w:rsidRDefault="001C7E53" w:rsidP="00386C33">
            <w:pPr>
              <w:pStyle w:val="TableTextCentered"/>
            </w:pPr>
            <w:r w:rsidRPr="00A25960">
              <w:t>0.077***</w:t>
            </w:r>
          </w:p>
        </w:tc>
        <w:tc>
          <w:tcPr>
            <w:tcW w:w="1578" w:type="dxa"/>
            <w:tcBorders>
              <w:top w:val="nil"/>
              <w:left w:val="nil"/>
              <w:bottom w:val="nil"/>
              <w:right w:val="nil"/>
            </w:tcBorders>
            <w:shd w:val="clear" w:color="auto" w:fill="auto"/>
            <w:noWrap/>
            <w:vAlign w:val="center"/>
            <w:hideMark/>
          </w:tcPr>
          <w:p w14:paraId="09304383" w14:textId="77777777" w:rsidR="001C7E53" w:rsidRPr="00A25960" w:rsidRDefault="001C7E53" w:rsidP="00386C33">
            <w:pPr>
              <w:pStyle w:val="TableTextCentered"/>
            </w:pPr>
            <w:r w:rsidRPr="00A25960">
              <w:t>0.077***</w:t>
            </w:r>
          </w:p>
        </w:tc>
      </w:tr>
      <w:tr w:rsidR="001C7E53" w:rsidRPr="00A25960" w14:paraId="00AA9D65" w14:textId="77777777" w:rsidTr="000E4236">
        <w:trPr>
          <w:trHeight w:val="300"/>
        </w:trPr>
        <w:tc>
          <w:tcPr>
            <w:tcW w:w="2223" w:type="dxa"/>
            <w:tcBorders>
              <w:top w:val="nil"/>
              <w:left w:val="nil"/>
              <w:bottom w:val="nil"/>
              <w:right w:val="nil"/>
            </w:tcBorders>
            <w:shd w:val="clear" w:color="auto" w:fill="auto"/>
            <w:noWrap/>
            <w:vAlign w:val="bottom"/>
            <w:hideMark/>
          </w:tcPr>
          <w:p w14:paraId="1AFB14FE" w14:textId="77777777" w:rsidR="001C7E53" w:rsidRPr="00A25960" w:rsidRDefault="001C7E53" w:rsidP="00F91AE4">
            <w:pPr>
              <w:pStyle w:val="TableTextLeft"/>
            </w:pPr>
          </w:p>
        </w:tc>
        <w:tc>
          <w:tcPr>
            <w:tcW w:w="1578" w:type="dxa"/>
            <w:tcBorders>
              <w:top w:val="nil"/>
              <w:left w:val="nil"/>
              <w:bottom w:val="nil"/>
              <w:right w:val="nil"/>
            </w:tcBorders>
            <w:shd w:val="clear" w:color="auto" w:fill="auto"/>
            <w:noWrap/>
            <w:vAlign w:val="bottom"/>
            <w:hideMark/>
          </w:tcPr>
          <w:p w14:paraId="2D611610" w14:textId="77777777" w:rsidR="001C7E53" w:rsidRPr="00A25960" w:rsidRDefault="001C7E53" w:rsidP="00386C33">
            <w:pPr>
              <w:pStyle w:val="TableTextCentered"/>
            </w:pPr>
            <w:r w:rsidRPr="00A25960">
              <w:t>(0.002)</w:t>
            </w:r>
          </w:p>
        </w:tc>
        <w:tc>
          <w:tcPr>
            <w:tcW w:w="1907" w:type="dxa"/>
            <w:tcBorders>
              <w:top w:val="nil"/>
              <w:left w:val="nil"/>
              <w:bottom w:val="nil"/>
              <w:right w:val="nil"/>
            </w:tcBorders>
            <w:shd w:val="clear" w:color="auto" w:fill="auto"/>
            <w:noWrap/>
            <w:vAlign w:val="bottom"/>
            <w:hideMark/>
          </w:tcPr>
          <w:p w14:paraId="009829BA" w14:textId="77777777" w:rsidR="001C7E53" w:rsidRPr="00A25960" w:rsidRDefault="001C7E53" w:rsidP="00386C33">
            <w:pPr>
              <w:pStyle w:val="TableTextCentered"/>
            </w:pPr>
            <w:r w:rsidRPr="00A25960">
              <w:t>(0.002)</w:t>
            </w:r>
          </w:p>
        </w:tc>
        <w:tc>
          <w:tcPr>
            <w:tcW w:w="2012" w:type="dxa"/>
            <w:tcBorders>
              <w:top w:val="nil"/>
              <w:left w:val="nil"/>
              <w:bottom w:val="nil"/>
              <w:right w:val="nil"/>
            </w:tcBorders>
            <w:shd w:val="clear" w:color="auto" w:fill="auto"/>
            <w:noWrap/>
            <w:vAlign w:val="bottom"/>
            <w:hideMark/>
          </w:tcPr>
          <w:p w14:paraId="688563BD" w14:textId="77777777" w:rsidR="001C7E53" w:rsidRPr="00A25960" w:rsidRDefault="001C7E53" w:rsidP="00386C33">
            <w:pPr>
              <w:pStyle w:val="TableTextCentered"/>
            </w:pPr>
            <w:r w:rsidRPr="00A25960">
              <w:t>(0.002)</w:t>
            </w:r>
          </w:p>
        </w:tc>
        <w:tc>
          <w:tcPr>
            <w:tcW w:w="1578" w:type="dxa"/>
            <w:tcBorders>
              <w:top w:val="nil"/>
              <w:left w:val="nil"/>
              <w:bottom w:val="nil"/>
              <w:right w:val="nil"/>
            </w:tcBorders>
            <w:shd w:val="clear" w:color="auto" w:fill="auto"/>
            <w:noWrap/>
            <w:vAlign w:val="bottom"/>
            <w:hideMark/>
          </w:tcPr>
          <w:p w14:paraId="60503914" w14:textId="77777777" w:rsidR="001C7E53" w:rsidRPr="00A25960" w:rsidRDefault="001C7E53" w:rsidP="00386C33">
            <w:pPr>
              <w:pStyle w:val="TableTextCentered"/>
            </w:pPr>
            <w:r w:rsidRPr="00A25960">
              <w:t>(0.002)</w:t>
            </w:r>
          </w:p>
        </w:tc>
      </w:tr>
      <w:tr w:rsidR="001C7E53" w:rsidRPr="00A25960" w14:paraId="76C30F8D" w14:textId="77777777" w:rsidTr="000E4236">
        <w:trPr>
          <w:trHeight w:val="290"/>
        </w:trPr>
        <w:tc>
          <w:tcPr>
            <w:tcW w:w="2223" w:type="dxa"/>
            <w:tcBorders>
              <w:top w:val="single" w:sz="4" w:space="0" w:color="auto"/>
              <w:left w:val="nil"/>
              <w:right w:val="nil"/>
            </w:tcBorders>
            <w:shd w:val="clear" w:color="auto" w:fill="auto"/>
            <w:noWrap/>
            <w:vAlign w:val="center"/>
            <w:hideMark/>
          </w:tcPr>
          <w:p w14:paraId="2C64D919" w14:textId="77777777" w:rsidR="001C7E53" w:rsidRPr="00A25960" w:rsidRDefault="001C7E53" w:rsidP="00F91AE4">
            <w:pPr>
              <w:pStyle w:val="TableTextLeft"/>
            </w:pPr>
            <w:r w:rsidRPr="00A25960">
              <w:t>R</w:t>
            </w:r>
            <w:r w:rsidRPr="00A25960">
              <w:rPr>
                <w:vertAlign w:val="superscript"/>
              </w:rPr>
              <w:t>2</w:t>
            </w:r>
          </w:p>
        </w:tc>
        <w:tc>
          <w:tcPr>
            <w:tcW w:w="1578" w:type="dxa"/>
            <w:tcBorders>
              <w:top w:val="single" w:sz="4" w:space="0" w:color="auto"/>
              <w:left w:val="nil"/>
              <w:right w:val="nil"/>
            </w:tcBorders>
            <w:shd w:val="clear" w:color="auto" w:fill="auto"/>
            <w:noWrap/>
            <w:vAlign w:val="center"/>
            <w:hideMark/>
          </w:tcPr>
          <w:p w14:paraId="33E970C5" w14:textId="77777777" w:rsidR="001C7E53" w:rsidRPr="00A25960" w:rsidRDefault="001C7E53" w:rsidP="00386C33">
            <w:pPr>
              <w:pStyle w:val="TableTextCentered"/>
            </w:pPr>
            <w:r w:rsidRPr="00A25960">
              <w:t>0.670</w:t>
            </w:r>
          </w:p>
        </w:tc>
        <w:tc>
          <w:tcPr>
            <w:tcW w:w="1907" w:type="dxa"/>
            <w:tcBorders>
              <w:top w:val="single" w:sz="4" w:space="0" w:color="auto"/>
              <w:left w:val="nil"/>
              <w:right w:val="nil"/>
            </w:tcBorders>
            <w:shd w:val="clear" w:color="auto" w:fill="auto"/>
            <w:noWrap/>
            <w:vAlign w:val="center"/>
            <w:hideMark/>
          </w:tcPr>
          <w:p w14:paraId="1D980EFF" w14:textId="77777777" w:rsidR="001C7E53" w:rsidRPr="00A25960" w:rsidRDefault="001C7E53" w:rsidP="00386C33">
            <w:pPr>
              <w:pStyle w:val="TableTextCentered"/>
            </w:pPr>
            <w:r w:rsidRPr="00A25960">
              <w:t>0.670</w:t>
            </w:r>
          </w:p>
        </w:tc>
        <w:tc>
          <w:tcPr>
            <w:tcW w:w="2012" w:type="dxa"/>
            <w:tcBorders>
              <w:top w:val="single" w:sz="4" w:space="0" w:color="auto"/>
              <w:left w:val="nil"/>
              <w:right w:val="nil"/>
            </w:tcBorders>
            <w:shd w:val="clear" w:color="auto" w:fill="auto"/>
            <w:noWrap/>
            <w:vAlign w:val="center"/>
            <w:hideMark/>
          </w:tcPr>
          <w:p w14:paraId="6D840B29" w14:textId="77777777" w:rsidR="001C7E53" w:rsidRPr="00A25960" w:rsidRDefault="001C7E53" w:rsidP="00386C33">
            <w:pPr>
              <w:pStyle w:val="TableTextCentered"/>
            </w:pPr>
            <w:r w:rsidRPr="00A25960">
              <w:t>0.670</w:t>
            </w:r>
          </w:p>
        </w:tc>
        <w:tc>
          <w:tcPr>
            <w:tcW w:w="1578" w:type="dxa"/>
            <w:tcBorders>
              <w:top w:val="single" w:sz="4" w:space="0" w:color="auto"/>
              <w:left w:val="nil"/>
              <w:right w:val="nil"/>
            </w:tcBorders>
            <w:shd w:val="clear" w:color="auto" w:fill="auto"/>
            <w:noWrap/>
            <w:vAlign w:val="center"/>
            <w:hideMark/>
          </w:tcPr>
          <w:p w14:paraId="7DAD2721" w14:textId="77777777" w:rsidR="001C7E53" w:rsidRPr="00A25960" w:rsidRDefault="001C7E53" w:rsidP="00386C33">
            <w:pPr>
              <w:pStyle w:val="TableTextCentered"/>
            </w:pPr>
            <w:r w:rsidRPr="00A25960">
              <w:t>0.670</w:t>
            </w:r>
          </w:p>
        </w:tc>
      </w:tr>
      <w:tr w:rsidR="001C7E53" w:rsidRPr="00A25960" w14:paraId="51543032" w14:textId="77777777" w:rsidTr="000E4236">
        <w:trPr>
          <w:trHeight w:val="300"/>
        </w:trPr>
        <w:tc>
          <w:tcPr>
            <w:tcW w:w="2223" w:type="dxa"/>
            <w:tcBorders>
              <w:top w:val="nil"/>
              <w:left w:val="nil"/>
              <w:right w:val="nil"/>
            </w:tcBorders>
            <w:shd w:val="clear" w:color="auto" w:fill="auto"/>
            <w:noWrap/>
            <w:vAlign w:val="bottom"/>
            <w:hideMark/>
          </w:tcPr>
          <w:p w14:paraId="34388A16" w14:textId="77777777" w:rsidR="001C7E53" w:rsidRPr="00A25960" w:rsidRDefault="001C7E53" w:rsidP="00F91AE4">
            <w:pPr>
              <w:pStyle w:val="TableTextLeft"/>
            </w:pPr>
            <w:r w:rsidRPr="00A25960">
              <w:t>N</w:t>
            </w:r>
          </w:p>
        </w:tc>
        <w:tc>
          <w:tcPr>
            <w:tcW w:w="1578" w:type="dxa"/>
            <w:tcBorders>
              <w:top w:val="nil"/>
              <w:left w:val="nil"/>
              <w:right w:val="nil"/>
            </w:tcBorders>
            <w:shd w:val="clear" w:color="auto" w:fill="auto"/>
            <w:noWrap/>
            <w:vAlign w:val="center"/>
            <w:hideMark/>
          </w:tcPr>
          <w:p w14:paraId="78163D30" w14:textId="77777777" w:rsidR="001C7E53" w:rsidRPr="00A25960" w:rsidRDefault="001C7E53" w:rsidP="00386C33">
            <w:pPr>
              <w:pStyle w:val="TableTextCentered"/>
            </w:pPr>
            <w:r w:rsidRPr="00A25960">
              <w:t>302,000</w:t>
            </w:r>
          </w:p>
        </w:tc>
        <w:tc>
          <w:tcPr>
            <w:tcW w:w="1907" w:type="dxa"/>
            <w:tcBorders>
              <w:top w:val="nil"/>
              <w:left w:val="nil"/>
              <w:right w:val="nil"/>
            </w:tcBorders>
            <w:shd w:val="clear" w:color="auto" w:fill="auto"/>
            <w:noWrap/>
            <w:vAlign w:val="center"/>
            <w:hideMark/>
          </w:tcPr>
          <w:p w14:paraId="08365A6B" w14:textId="77777777" w:rsidR="001C7E53" w:rsidRPr="00A25960" w:rsidRDefault="001C7E53" w:rsidP="00386C33">
            <w:pPr>
              <w:pStyle w:val="TableTextCentered"/>
            </w:pPr>
            <w:r w:rsidRPr="00A25960">
              <w:t>302,000</w:t>
            </w:r>
          </w:p>
        </w:tc>
        <w:tc>
          <w:tcPr>
            <w:tcW w:w="2012" w:type="dxa"/>
            <w:tcBorders>
              <w:top w:val="nil"/>
              <w:left w:val="nil"/>
              <w:right w:val="nil"/>
            </w:tcBorders>
            <w:shd w:val="clear" w:color="auto" w:fill="auto"/>
            <w:noWrap/>
            <w:vAlign w:val="center"/>
            <w:hideMark/>
          </w:tcPr>
          <w:p w14:paraId="283777A4" w14:textId="77777777" w:rsidR="001C7E53" w:rsidRPr="00A25960" w:rsidRDefault="001C7E53" w:rsidP="00386C33">
            <w:pPr>
              <w:pStyle w:val="TableTextCentered"/>
            </w:pPr>
            <w:r w:rsidRPr="00A25960">
              <w:t>302,000</w:t>
            </w:r>
          </w:p>
        </w:tc>
        <w:tc>
          <w:tcPr>
            <w:tcW w:w="1578" w:type="dxa"/>
            <w:tcBorders>
              <w:top w:val="nil"/>
              <w:left w:val="nil"/>
              <w:right w:val="nil"/>
            </w:tcBorders>
            <w:shd w:val="clear" w:color="auto" w:fill="auto"/>
            <w:noWrap/>
            <w:vAlign w:val="center"/>
            <w:hideMark/>
          </w:tcPr>
          <w:p w14:paraId="72F58DF7" w14:textId="77777777" w:rsidR="001C7E53" w:rsidRPr="00A25960" w:rsidRDefault="001C7E53" w:rsidP="00386C33">
            <w:pPr>
              <w:pStyle w:val="TableTextCentered"/>
            </w:pPr>
            <w:r w:rsidRPr="00A25960">
              <w:t>277,000</w:t>
            </w:r>
          </w:p>
        </w:tc>
      </w:tr>
      <w:tr w:rsidR="000E4236" w:rsidRPr="00A25960" w14:paraId="3758D43C" w14:textId="77777777" w:rsidTr="000E4236">
        <w:trPr>
          <w:trHeight w:val="300"/>
        </w:trPr>
        <w:tc>
          <w:tcPr>
            <w:tcW w:w="2223" w:type="dxa"/>
            <w:tcBorders>
              <w:left w:val="nil"/>
              <w:bottom w:val="single" w:sz="4" w:space="0" w:color="auto"/>
              <w:right w:val="nil"/>
            </w:tcBorders>
            <w:shd w:val="clear" w:color="auto" w:fill="auto"/>
            <w:noWrap/>
            <w:vAlign w:val="bottom"/>
          </w:tcPr>
          <w:p w14:paraId="25C9C48F" w14:textId="5DB99598" w:rsidR="000E4236" w:rsidRPr="00A25960" w:rsidRDefault="000E4236" w:rsidP="00F91AE4">
            <w:pPr>
              <w:pStyle w:val="TableColumnHeadingLeft"/>
            </w:pPr>
            <w:r w:rsidRPr="00DD6AAE">
              <w:t>Fixed effects</w:t>
            </w:r>
          </w:p>
        </w:tc>
        <w:tc>
          <w:tcPr>
            <w:tcW w:w="1578" w:type="dxa"/>
            <w:tcBorders>
              <w:left w:val="nil"/>
              <w:bottom w:val="single" w:sz="4" w:space="0" w:color="auto"/>
              <w:right w:val="nil"/>
            </w:tcBorders>
            <w:shd w:val="clear" w:color="auto" w:fill="auto"/>
            <w:noWrap/>
            <w:vAlign w:val="center"/>
          </w:tcPr>
          <w:p w14:paraId="488665FC" w14:textId="06CE3D6B" w:rsidR="000E4236" w:rsidRPr="00A25960" w:rsidRDefault="000E4236" w:rsidP="00386C33">
            <w:pPr>
              <w:pStyle w:val="TableTextCentered"/>
            </w:pPr>
            <w:r w:rsidRPr="00DD6AAE">
              <w:t> </w:t>
            </w:r>
          </w:p>
        </w:tc>
        <w:tc>
          <w:tcPr>
            <w:tcW w:w="1907" w:type="dxa"/>
            <w:tcBorders>
              <w:left w:val="nil"/>
              <w:bottom w:val="single" w:sz="4" w:space="0" w:color="auto"/>
              <w:right w:val="nil"/>
            </w:tcBorders>
            <w:shd w:val="clear" w:color="auto" w:fill="auto"/>
            <w:noWrap/>
            <w:vAlign w:val="center"/>
          </w:tcPr>
          <w:p w14:paraId="67034BB0" w14:textId="541EF363" w:rsidR="000E4236" w:rsidRPr="00A25960" w:rsidRDefault="000E4236" w:rsidP="00386C33">
            <w:pPr>
              <w:pStyle w:val="TableTextCentered"/>
            </w:pPr>
            <w:r w:rsidRPr="00DD6AAE">
              <w:t> </w:t>
            </w:r>
          </w:p>
        </w:tc>
        <w:tc>
          <w:tcPr>
            <w:tcW w:w="2012" w:type="dxa"/>
            <w:tcBorders>
              <w:left w:val="nil"/>
              <w:bottom w:val="single" w:sz="4" w:space="0" w:color="auto"/>
              <w:right w:val="nil"/>
            </w:tcBorders>
            <w:shd w:val="clear" w:color="auto" w:fill="auto"/>
            <w:noWrap/>
            <w:vAlign w:val="center"/>
          </w:tcPr>
          <w:p w14:paraId="047B824C" w14:textId="425854F9" w:rsidR="000E4236" w:rsidRPr="00A25960" w:rsidRDefault="000E4236" w:rsidP="00386C33">
            <w:pPr>
              <w:pStyle w:val="TableTextCentered"/>
            </w:pPr>
            <w:r w:rsidRPr="00DD6AAE">
              <w:t> </w:t>
            </w:r>
          </w:p>
        </w:tc>
        <w:tc>
          <w:tcPr>
            <w:tcW w:w="1578" w:type="dxa"/>
            <w:tcBorders>
              <w:left w:val="nil"/>
              <w:bottom w:val="single" w:sz="4" w:space="0" w:color="auto"/>
              <w:right w:val="nil"/>
            </w:tcBorders>
            <w:shd w:val="clear" w:color="auto" w:fill="auto"/>
            <w:noWrap/>
            <w:vAlign w:val="center"/>
          </w:tcPr>
          <w:p w14:paraId="11424B8B" w14:textId="69FC537C" w:rsidR="000E4236" w:rsidRPr="00A25960" w:rsidRDefault="000E4236" w:rsidP="00386C33">
            <w:pPr>
              <w:pStyle w:val="TableTextCentered"/>
            </w:pPr>
            <w:r w:rsidRPr="00DD6AAE">
              <w:t> </w:t>
            </w:r>
          </w:p>
        </w:tc>
      </w:tr>
      <w:tr w:rsidR="001C7E53" w:rsidRPr="00A25960" w14:paraId="19DEA1E7" w14:textId="77777777" w:rsidTr="000E4236">
        <w:trPr>
          <w:trHeight w:val="300"/>
        </w:trPr>
        <w:tc>
          <w:tcPr>
            <w:tcW w:w="2223" w:type="dxa"/>
            <w:tcBorders>
              <w:top w:val="single" w:sz="4" w:space="0" w:color="auto"/>
              <w:left w:val="nil"/>
              <w:bottom w:val="nil"/>
              <w:right w:val="nil"/>
            </w:tcBorders>
            <w:shd w:val="clear" w:color="auto" w:fill="auto"/>
            <w:noWrap/>
            <w:vAlign w:val="bottom"/>
          </w:tcPr>
          <w:p w14:paraId="65D2D93C" w14:textId="77777777" w:rsidR="001C7E53" w:rsidRPr="00A25960" w:rsidRDefault="001C7E53" w:rsidP="00F91AE4">
            <w:pPr>
              <w:pStyle w:val="TableTextLeft"/>
            </w:pPr>
            <w:r w:rsidRPr="00DD6AAE">
              <w:t>Local market</w:t>
            </w:r>
          </w:p>
        </w:tc>
        <w:tc>
          <w:tcPr>
            <w:tcW w:w="1578" w:type="dxa"/>
            <w:tcBorders>
              <w:top w:val="single" w:sz="4" w:space="0" w:color="auto"/>
              <w:left w:val="nil"/>
              <w:bottom w:val="nil"/>
              <w:right w:val="nil"/>
            </w:tcBorders>
            <w:shd w:val="clear" w:color="auto" w:fill="auto"/>
            <w:noWrap/>
            <w:vAlign w:val="center"/>
          </w:tcPr>
          <w:p w14:paraId="64E4D206" w14:textId="77777777" w:rsidR="001C7E53" w:rsidRPr="00A25960" w:rsidRDefault="001C7E53" w:rsidP="00386C33">
            <w:pPr>
              <w:pStyle w:val="TableTextCentered"/>
            </w:pPr>
            <w:r w:rsidRPr="00DD6AAE">
              <w:t>Y</w:t>
            </w:r>
          </w:p>
        </w:tc>
        <w:tc>
          <w:tcPr>
            <w:tcW w:w="1907" w:type="dxa"/>
            <w:tcBorders>
              <w:top w:val="single" w:sz="4" w:space="0" w:color="auto"/>
              <w:left w:val="nil"/>
              <w:bottom w:val="nil"/>
              <w:right w:val="nil"/>
            </w:tcBorders>
            <w:shd w:val="clear" w:color="auto" w:fill="auto"/>
            <w:noWrap/>
            <w:vAlign w:val="center"/>
          </w:tcPr>
          <w:p w14:paraId="395A1A5B" w14:textId="77777777" w:rsidR="001C7E53" w:rsidRPr="00A25960" w:rsidRDefault="001C7E53" w:rsidP="00386C33">
            <w:pPr>
              <w:pStyle w:val="TableTextCentered"/>
            </w:pPr>
            <w:r w:rsidRPr="00DD6AAE">
              <w:t>Y</w:t>
            </w:r>
          </w:p>
        </w:tc>
        <w:tc>
          <w:tcPr>
            <w:tcW w:w="2012" w:type="dxa"/>
            <w:tcBorders>
              <w:top w:val="single" w:sz="4" w:space="0" w:color="auto"/>
              <w:left w:val="nil"/>
              <w:bottom w:val="nil"/>
              <w:right w:val="nil"/>
            </w:tcBorders>
            <w:shd w:val="clear" w:color="auto" w:fill="auto"/>
            <w:noWrap/>
            <w:vAlign w:val="center"/>
          </w:tcPr>
          <w:p w14:paraId="50B1D74B" w14:textId="77777777" w:rsidR="001C7E53" w:rsidRPr="00A25960" w:rsidRDefault="001C7E53" w:rsidP="00386C33">
            <w:pPr>
              <w:pStyle w:val="TableTextCentered"/>
            </w:pPr>
            <w:r w:rsidRPr="00DD6AAE">
              <w:t>Y</w:t>
            </w:r>
          </w:p>
        </w:tc>
        <w:tc>
          <w:tcPr>
            <w:tcW w:w="1578" w:type="dxa"/>
            <w:tcBorders>
              <w:top w:val="single" w:sz="4" w:space="0" w:color="auto"/>
              <w:left w:val="nil"/>
              <w:bottom w:val="nil"/>
              <w:right w:val="nil"/>
            </w:tcBorders>
            <w:shd w:val="clear" w:color="auto" w:fill="auto"/>
            <w:noWrap/>
            <w:vAlign w:val="center"/>
          </w:tcPr>
          <w:p w14:paraId="519D47F7" w14:textId="77777777" w:rsidR="001C7E53" w:rsidRPr="00A25960" w:rsidRDefault="001C7E53" w:rsidP="00386C33">
            <w:pPr>
              <w:pStyle w:val="TableTextCentered"/>
            </w:pPr>
            <w:r w:rsidRPr="00DD6AAE">
              <w:t>Y</w:t>
            </w:r>
          </w:p>
        </w:tc>
      </w:tr>
      <w:tr w:rsidR="001C7E53" w:rsidRPr="00A25960" w14:paraId="3D311080" w14:textId="77777777" w:rsidTr="000E4236">
        <w:trPr>
          <w:trHeight w:val="300"/>
        </w:trPr>
        <w:tc>
          <w:tcPr>
            <w:tcW w:w="2223" w:type="dxa"/>
            <w:tcBorders>
              <w:top w:val="nil"/>
              <w:left w:val="nil"/>
              <w:right w:val="nil"/>
            </w:tcBorders>
            <w:shd w:val="clear" w:color="auto" w:fill="auto"/>
            <w:noWrap/>
            <w:vAlign w:val="bottom"/>
          </w:tcPr>
          <w:p w14:paraId="0CF5E639" w14:textId="77777777" w:rsidR="001C7E53" w:rsidRPr="00A25960" w:rsidRDefault="001C7E53" w:rsidP="00F91AE4">
            <w:pPr>
              <w:pStyle w:val="TableTextLeft"/>
            </w:pPr>
            <w:r w:rsidRPr="00DD6AAE">
              <w:t>Time*</w:t>
            </w:r>
            <w:r>
              <w:t>I</w:t>
            </w:r>
            <w:r w:rsidRPr="00DD6AAE">
              <w:t>ndustry</w:t>
            </w:r>
          </w:p>
        </w:tc>
        <w:tc>
          <w:tcPr>
            <w:tcW w:w="1578" w:type="dxa"/>
            <w:tcBorders>
              <w:top w:val="nil"/>
              <w:left w:val="nil"/>
              <w:right w:val="nil"/>
            </w:tcBorders>
            <w:shd w:val="clear" w:color="auto" w:fill="auto"/>
            <w:noWrap/>
            <w:vAlign w:val="center"/>
          </w:tcPr>
          <w:p w14:paraId="508DE13D" w14:textId="77777777" w:rsidR="001C7E53" w:rsidRPr="00A25960" w:rsidRDefault="001C7E53" w:rsidP="00386C33">
            <w:pPr>
              <w:pStyle w:val="TableTextCentered"/>
            </w:pPr>
            <w:r w:rsidRPr="00DD6AAE">
              <w:t>Y</w:t>
            </w:r>
          </w:p>
        </w:tc>
        <w:tc>
          <w:tcPr>
            <w:tcW w:w="1907" w:type="dxa"/>
            <w:tcBorders>
              <w:top w:val="nil"/>
              <w:left w:val="nil"/>
              <w:right w:val="nil"/>
            </w:tcBorders>
            <w:shd w:val="clear" w:color="auto" w:fill="auto"/>
            <w:noWrap/>
            <w:vAlign w:val="center"/>
          </w:tcPr>
          <w:p w14:paraId="6E06B467" w14:textId="77777777" w:rsidR="001C7E53" w:rsidRPr="00A25960" w:rsidRDefault="001C7E53" w:rsidP="00386C33">
            <w:pPr>
              <w:pStyle w:val="TableTextCentered"/>
            </w:pPr>
            <w:r w:rsidRPr="00DD6AAE">
              <w:t>Y</w:t>
            </w:r>
          </w:p>
        </w:tc>
        <w:tc>
          <w:tcPr>
            <w:tcW w:w="2012" w:type="dxa"/>
            <w:tcBorders>
              <w:top w:val="nil"/>
              <w:left w:val="nil"/>
              <w:right w:val="nil"/>
            </w:tcBorders>
            <w:shd w:val="clear" w:color="auto" w:fill="auto"/>
            <w:noWrap/>
            <w:vAlign w:val="center"/>
          </w:tcPr>
          <w:p w14:paraId="1243CC0E" w14:textId="77777777" w:rsidR="001C7E53" w:rsidRPr="00A25960" w:rsidRDefault="001C7E53" w:rsidP="00386C33">
            <w:pPr>
              <w:pStyle w:val="TableTextCentered"/>
            </w:pPr>
            <w:r w:rsidRPr="00DD6AAE">
              <w:t>Y</w:t>
            </w:r>
          </w:p>
        </w:tc>
        <w:tc>
          <w:tcPr>
            <w:tcW w:w="1578" w:type="dxa"/>
            <w:tcBorders>
              <w:top w:val="nil"/>
              <w:left w:val="nil"/>
              <w:right w:val="nil"/>
            </w:tcBorders>
            <w:shd w:val="clear" w:color="auto" w:fill="auto"/>
            <w:noWrap/>
            <w:vAlign w:val="center"/>
          </w:tcPr>
          <w:p w14:paraId="4DF7F9A5" w14:textId="77777777" w:rsidR="001C7E53" w:rsidRPr="00A25960" w:rsidRDefault="001C7E53" w:rsidP="00386C33">
            <w:pPr>
              <w:pStyle w:val="TableTextCentered"/>
            </w:pPr>
            <w:r w:rsidRPr="00DD6AAE">
              <w:t>Y</w:t>
            </w:r>
          </w:p>
        </w:tc>
      </w:tr>
      <w:tr w:rsidR="001C7E53" w:rsidRPr="00A25960" w14:paraId="7200B3AF" w14:textId="77777777" w:rsidTr="000E4236">
        <w:trPr>
          <w:trHeight w:val="300"/>
        </w:trPr>
        <w:tc>
          <w:tcPr>
            <w:tcW w:w="2223" w:type="dxa"/>
            <w:tcBorders>
              <w:top w:val="nil"/>
              <w:left w:val="nil"/>
              <w:bottom w:val="single" w:sz="4" w:space="0" w:color="auto"/>
              <w:right w:val="nil"/>
            </w:tcBorders>
            <w:shd w:val="clear" w:color="auto" w:fill="auto"/>
            <w:noWrap/>
            <w:vAlign w:val="bottom"/>
          </w:tcPr>
          <w:p w14:paraId="1E52C503" w14:textId="77777777" w:rsidR="001C7E53" w:rsidRPr="00A25960" w:rsidRDefault="001C7E53" w:rsidP="00F91AE4">
            <w:pPr>
              <w:pStyle w:val="TableTextLeft"/>
            </w:pPr>
            <w:r w:rsidRPr="00DD6AAE">
              <w:t>Time*Location</w:t>
            </w:r>
          </w:p>
        </w:tc>
        <w:tc>
          <w:tcPr>
            <w:tcW w:w="1578" w:type="dxa"/>
            <w:tcBorders>
              <w:top w:val="nil"/>
              <w:left w:val="nil"/>
              <w:bottom w:val="single" w:sz="4" w:space="0" w:color="auto"/>
              <w:right w:val="nil"/>
            </w:tcBorders>
            <w:shd w:val="clear" w:color="auto" w:fill="auto"/>
            <w:noWrap/>
            <w:vAlign w:val="center"/>
          </w:tcPr>
          <w:p w14:paraId="685CB4A4" w14:textId="77777777" w:rsidR="001C7E53" w:rsidRPr="00A25960" w:rsidRDefault="001C7E53" w:rsidP="00386C33">
            <w:pPr>
              <w:pStyle w:val="TableTextCentered"/>
            </w:pPr>
            <w:r w:rsidRPr="00DD6AAE">
              <w:t>Y</w:t>
            </w:r>
          </w:p>
        </w:tc>
        <w:tc>
          <w:tcPr>
            <w:tcW w:w="1907" w:type="dxa"/>
            <w:tcBorders>
              <w:top w:val="nil"/>
              <w:left w:val="nil"/>
              <w:bottom w:val="single" w:sz="4" w:space="0" w:color="auto"/>
              <w:right w:val="nil"/>
            </w:tcBorders>
            <w:shd w:val="clear" w:color="auto" w:fill="auto"/>
            <w:noWrap/>
            <w:vAlign w:val="center"/>
          </w:tcPr>
          <w:p w14:paraId="478AEC64" w14:textId="77777777" w:rsidR="001C7E53" w:rsidRPr="00A25960" w:rsidRDefault="001C7E53" w:rsidP="00386C33">
            <w:pPr>
              <w:pStyle w:val="TableTextCentered"/>
            </w:pPr>
            <w:r w:rsidRPr="00DD6AAE">
              <w:t>Y</w:t>
            </w:r>
          </w:p>
        </w:tc>
        <w:tc>
          <w:tcPr>
            <w:tcW w:w="2012" w:type="dxa"/>
            <w:tcBorders>
              <w:top w:val="nil"/>
              <w:left w:val="nil"/>
              <w:bottom w:val="single" w:sz="4" w:space="0" w:color="auto"/>
              <w:right w:val="nil"/>
            </w:tcBorders>
            <w:shd w:val="clear" w:color="auto" w:fill="auto"/>
            <w:noWrap/>
            <w:vAlign w:val="center"/>
          </w:tcPr>
          <w:p w14:paraId="379B98FD" w14:textId="77777777" w:rsidR="001C7E53" w:rsidRPr="00A25960" w:rsidRDefault="001C7E53" w:rsidP="00386C33">
            <w:pPr>
              <w:pStyle w:val="TableTextCentered"/>
            </w:pPr>
            <w:r w:rsidRPr="00DD6AAE">
              <w:t>Y</w:t>
            </w:r>
          </w:p>
        </w:tc>
        <w:tc>
          <w:tcPr>
            <w:tcW w:w="1578" w:type="dxa"/>
            <w:tcBorders>
              <w:top w:val="nil"/>
              <w:left w:val="nil"/>
              <w:bottom w:val="single" w:sz="4" w:space="0" w:color="auto"/>
              <w:right w:val="nil"/>
            </w:tcBorders>
            <w:shd w:val="clear" w:color="auto" w:fill="auto"/>
            <w:noWrap/>
            <w:vAlign w:val="center"/>
          </w:tcPr>
          <w:p w14:paraId="6748E186" w14:textId="77777777" w:rsidR="001C7E53" w:rsidRPr="00A25960" w:rsidRDefault="001C7E53" w:rsidP="00386C33">
            <w:pPr>
              <w:pStyle w:val="TableTextCentered"/>
            </w:pPr>
            <w:r w:rsidRPr="00DD6AAE">
              <w:t>Y</w:t>
            </w:r>
          </w:p>
        </w:tc>
      </w:tr>
    </w:tbl>
    <w:p w14:paraId="1FFA30E5" w14:textId="5BABEC2B" w:rsidR="001C7E53" w:rsidRDefault="001C7E53" w:rsidP="00386C33">
      <w:pPr>
        <w:pStyle w:val="ChartorTableNote"/>
      </w:pPr>
      <w:r w:rsidRPr="00AF44C3">
        <w:t xml:space="preserve">Note: All regressions include a </w:t>
      </w:r>
      <w:r>
        <w:t>set of common controls covering</w:t>
      </w:r>
      <w:r w:rsidRPr="00AF44C3">
        <w:t xml:space="preserve"> market characteristics (number of workers in the market</w:t>
      </w:r>
      <w:r w:rsidR="006D1604">
        <w:t xml:space="preserve">. </w:t>
      </w:r>
      <w:r w:rsidRPr="00AF44C3">
        <w:t>Errors clusters at the local market level.</w:t>
      </w:r>
    </w:p>
    <w:p w14:paraId="5C327F75" w14:textId="77777777" w:rsidR="001C7E53" w:rsidRDefault="001C7E53" w:rsidP="00F91AE4">
      <w:pPr>
        <w:spacing w:after="200" w:line="276" w:lineRule="auto"/>
        <w:rPr>
          <w:sz w:val="18"/>
        </w:rPr>
      </w:pPr>
      <w:r>
        <w:rPr>
          <w:sz w:val="18"/>
        </w:rPr>
        <w:br w:type="page"/>
      </w:r>
    </w:p>
    <w:p w14:paraId="1850832C" w14:textId="4F6BD7E4" w:rsidR="001C7E53" w:rsidRDefault="000E4236" w:rsidP="00F91AE4">
      <w:pPr>
        <w:pStyle w:val="TableMainHeading"/>
        <w:rPr>
          <w:sz w:val="18"/>
        </w:rPr>
      </w:pPr>
      <w:r>
        <w:lastRenderedPageBreak/>
        <w:t>Table</w:t>
      </w:r>
      <w:r w:rsidRPr="00DD6AAE">
        <w:t xml:space="preserve"> </w:t>
      </w:r>
      <w:r w:rsidRPr="00011A3D">
        <w:t>B5: Differing market definitions</w:t>
      </w:r>
      <w:r w:rsidR="006D1604">
        <w:t xml:space="preserve"> – </w:t>
      </w:r>
      <w:r w:rsidRPr="00011A3D">
        <w:t>Local market model</w:t>
      </w:r>
    </w:p>
    <w:tbl>
      <w:tblPr>
        <w:tblW w:w="5000" w:type="pct"/>
        <w:tblLook w:val="04A0" w:firstRow="1" w:lastRow="0" w:firstColumn="1" w:lastColumn="0" w:noHBand="0" w:noVBand="1"/>
      </w:tblPr>
      <w:tblGrid>
        <w:gridCol w:w="2425"/>
        <w:gridCol w:w="1589"/>
        <w:gridCol w:w="1677"/>
        <w:gridCol w:w="1818"/>
        <w:gridCol w:w="1561"/>
      </w:tblGrid>
      <w:tr w:rsidR="001C7E53" w:rsidRPr="00011A3D" w14:paraId="480E7330" w14:textId="77777777" w:rsidTr="001D4952">
        <w:trPr>
          <w:trHeight w:val="300"/>
        </w:trPr>
        <w:tc>
          <w:tcPr>
            <w:tcW w:w="2139" w:type="dxa"/>
            <w:tcBorders>
              <w:left w:val="nil"/>
              <w:bottom w:val="single" w:sz="4" w:space="0" w:color="auto"/>
              <w:right w:val="nil"/>
            </w:tcBorders>
            <w:shd w:val="clear" w:color="auto" w:fill="auto"/>
            <w:noWrap/>
            <w:vAlign w:val="bottom"/>
            <w:hideMark/>
          </w:tcPr>
          <w:p w14:paraId="5FCF8070" w14:textId="77777777" w:rsidR="001C7E53" w:rsidRPr="00011A3D" w:rsidRDefault="001C7E53" w:rsidP="00F91AE4">
            <w:pPr>
              <w:spacing w:after="0"/>
              <w:rPr>
                <w:rFonts w:cs="Calibri"/>
                <w:color w:val="000000"/>
                <w:sz w:val="20"/>
              </w:rPr>
            </w:pPr>
            <w:r w:rsidRPr="00011A3D">
              <w:rPr>
                <w:rFonts w:cs="Calibri"/>
                <w:color w:val="000000"/>
                <w:sz w:val="20"/>
              </w:rPr>
              <w:t> </w:t>
            </w:r>
          </w:p>
        </w:tc>
        <w:tc>
          <w:tcPr>
            <w:tcW w:w="5862" w:type="dxa"/>
            <w:gridSpan w:val="4"/>
            <w:tcBorders>
              <w:left w:val="nil"/>
              <w:bottom w:val="single" w:sz="4" w:space="0" w:color="auto"/>
              <w:right w:val="nil"/>
            </w:tcBorders>
            <w:shd w:val="clear" w:color="auto" w:fill="auto"/>
            <w:noWrap/>
            <w:vAlign w:val="center"/>
            <w:hideMark/>
          </w:tcPr>
          <w:p w14:paraId="367F2DD7" w14:textId="77777777" w:rsidR="001C7E53" w:rsidRPr="00011A3D" w:rsidRDefault="001C7E53" w:rsidP="00D73B6A">
            <w:pPr>
              <w:pStyle w:val="TableColumnHeadingCentred"/>
            </w:pPr>
            <w:r w:rsidRPr="00011A3D">
              <w:t>Headcount</w:t>
            </w:r>
          </w:p>
        </w:tc>
      </w:tr>
      <w:tr w:rsidR="001C7E53" w:rsidRPr="00011A3D" w14:paraId="285764F7" w14:textId="77777777" w:rsidTr="001D4952">
        <w:trPr>
          <w:trHeight w:val="470"/>
        </w:trPr>
        <w:tc>
          <w:tcPr>
            <w:tcW w:w="2139" w:type="dxa"/>
            <w:tcBorders>
              <w:top w:val="nil"/>
              <w:left w:val="nil"/>
              <w:bottom w:val="single" w:sz="4" w:space="0" w:color="auto"/>
              <w:right w:val="nil"/>
            </w:tcBorders>
            <w:shd w:val="clear" w:color="auto" w:fill="auto"/>
            <w:noWrap/>
            <w:vAlign w:val="bottom"/>
            <w:hideMark/>
          </w:tcPr>
          <w:p w14:paraId="6D65C95C" w14:textId="77777777" w:rsidR="001C7E53" w:rsidRPr="00011A3D" w:rsidRDefault="001C7E53" w:rsidP="00F91AE4">
            <w:pPr>
              <w:pStyle w:val="TableTextLeft"/>
            </w:pPr>
            <w:r w:rsidRPr="00011A3D">
              <w:t>Industry/occupation</w:t>
            </w:r>
          </w:p>
        </w:tc>
        <w:tc>
          <w:tcPr>
            <w:tcW w:w="1402" w:type="dxa"/>
            <w:tcBorders>
              <w:top w:val="single" w:sz="4" w:space="0" w:color="auto"/>
              <w:left w:val="nil"/>
              <w:bottom w:val="single" w:sz="4" w:space="0" w:color="auto"/>
              <w:right w:val="nil"/>
            </w:tcBorders>
            <w:shd w:val="clear" w:color="auto" w:fill="auto"/>
            <w:vAlign w:val="center"/>
            <w:hideMark/>
          </w:tcPr>
          <w:p w14:paraId="74EAAEDA" w14:textId="5FFA8FE0" w:rsidR="001C7E53" w:rsidRPr="00011A3D" w:rsidRDefault="001C7E53" w:rsidP="00D73B6A">
            <w:pPr>
              <w:pStyle w:val="TableTextCentered"/>
            </w:pPr>
            <w:r w:rsidRPr="00011A3D">
              <w:t>ANZSIC 3</w:t>
            </w:r>
            <w:r w:rsidR="0018466E">
              <w:noBreakHyphen/>
            </w:r>
            <w:r w:rsidRPr="00011A3D">
              <w:t>digit</w:t>
            </w:r>
          </w:p>
        </w:tc>
        <w:tc>
          <w:tcPr>
            <w:tcW w:w="1479" w:type="dxa"/>
            <w:tcBorders>
              <w:top w:val="single" w:sz="4" w:space="0" w:color="auto"/>
              <w:left w:val="nil"/>
              <w:bottom w:val="single" w:sz="4" w:space="0" w:color="auto"/>
              <w:right w:val="nil"/>
            </w:tcBorders>
            <w:shd w:val="clear" w:color="auto" w:fill="auto"/>
            <w:vAlign w:val="center"/>
            <w:hideMark/>
          </w:tcPr>
          <w:p w14:paraId="6A42D8B4" w14:textId="68E48159" w:rsidR="001C7E53" w:rsidRPr="00011A3D" w:rsidRDefault="001C7E53" w:rsidP="00D73B6A">
            <w:pPr>
              <w:pStyle w:val="TableTextCentered"/>
            </w:pPr>
            <w:r w:rsidRPr="00011A3D">
              <w:t>ANZSIC 2</w:t>
            </w:r>
            <w:r w:rsidR="0018466E">
              <w:noBreakHyphen/>
            </w:r>
            <w:r w:rsidRPr="00011A3D">
              <w:t>digit</w:t>
            </w:r>
          </w:p>
        </w:tc>
        <w:tc>
          <w:tcPr>
            <w:tcW w:w="1604" w:type="dxa"/>
            <w:tcBorders>
              <w:top w:val="single" w:sz="4" w:space="0" w:color="auto"/>
              <w:left w:val="nil"/>
              <w:bottom w:val="single" w:sz="4" w:space="0" w:color="auto"/>
              <w:right w:val="nil"/>
            </w:tcBorders>
            <w:shd w:val="clear" w:color="auto" w:fill="auto"/>
            <w:vAlign w:val="center"/>
            <w:hideMark/>
          </w:tcPr>
          <w:p w14:paraId="218066CE" w14:textId="25123A83" w:rsidR="001C7E53" w:rsidRPr="00011A3D" w:rsidRDefault="001C7E53" w:rsidP="00D73B6A">
            <w:pPr>
              <w:pStyle w:val="TableTextCentered"/>
            </w:pPr>
            <w:r w:rsidRPr="00011A3D">
              <w:t>ANZSIC 3</w:t>
            </w:r>
            <w:r w:rsidR="0018466E">
              <w:noBreakHyphen/>
            </w:r>
            <w:r w:rsidRPr="00011A3D">
              <w:t>digit</w:t>
            </w:r>
          </w:p>
        </w:tc>
        <w:tc>
          <w:tcPr>
            <w:tcW w:w="1377" w:type="dxa"/>
            <w:tcBorders>
              <w:top w:val="single" w:sz="4" w:space="0" w:color="auto"/>
              <w:left w:val="nil"/>
              <w:bottom w:val="single" w:sz="4" w:space="0" w:color="auto"/>
              <w:right w:val="nil"/>
            </w:tcBorders>
            <w:shd w:val="clear" w:color="auto" w:fill="auto"/>
            <w:vAlign w:val="center"/>
            <w:hideMark/>
          </w:tcPr>
          <w:p w14:paraId="55F4B883" w14:textId="19D29A3D" w:rsidR="001C7E53" w:rsidRPr="00011A3D" w:rsidRDefault="001C7E53" w:rsidP="00D73B6A">
            <w:pPr>
              <w:pStyle w:val="TableTextCentered"/>
            </w:pPr>
            <w:r w:rsidRPr="00011A3D">
              <w:t>ANZSIC 2</w:t>
            </w:r>
            <w:r w:rsidR="0018466E">
              <w:noBreakHyphen/>
            </w:r>
            <w:r w:rsidRPr="00011A3D">
              <w:t>digt and ANZSCO 2 digit</w:t>
            </w:r>
          </w:p>
        </w:tc>
      </w:tr>
      <w:tr w:rsidR="001C7E53" w:rsidRPr="00011A3D" w14:paraId="11413222" w14:textId="77777777" w:rsidTr="001D4952">
        <w:trPr>
          <w:trHeight w:val="580"/>
        </w:trPr>
        <w:tc>
          <w:tcPr>
            <w:tcW w:w="2139" w:type="dxa"/>
            <w:tcBorders>
              <w:top w:val="nil"/>
              <w:left w:val="nil"/>
              <w:bottom w:val="single" w:sz="4" w:space="0" w:color="auto"/>
              <w:right w:val="nil"/>
            </w:tcBorders>
            <w:shd w:val="clear" w:color="auto" w:fill="auto"/>
            <w:noWrap/>
            <w:vAlign w:val="bottom"/>
            <w:hideMark/>
          </w:tcPr>
          <w:p w14:paraId="3BC9165F" w14:textId="77777777" w:rsidR="001C7E53" w:rsidRPr="00011A3D" w:rsidRDefault="001C7E53" w:rsidP="00F91AE4">
            <w:pPr>
              <w:pStyle w:val="TableTextLeft"/>
            </w:pPr>
            <w:r w:rsidRPr="00011A3D">
              <w:t>Location</w:t>
            </w:r>
          </w:p>
        </w:tc>
        <w:tc>
          <w:tcPr>
            <w:tcW w:w="1402" w:type="dxa"/>
            <w:tcBorders>
              <w:top w:val="single" w:sz="4" w:space="0" w:color="auto"/>
              <w:left w:val="nil"/>
              <w:bottom w:val="single" w:sz="4" w:space="0" w:color="auto"/>
              <w:right w:val="nil"/>
            </w:tcBorders>
            <w:shd w:val="clear" w:color="auto" w:fill="auto"/>
            <w:vAlign w:val="center"/>
            <w:hideMark/>
          </w:tcPr>
          <w:p w14:paraId="2C6C0EA8" w14:textId="77777777" w:rsidR="001C7E53" w:rsidRPr="00011A3D" w:rsidRDefault="001C7E53" w:rsidP="00D73B6A">
            <w:pPr>
              <w:pStyle w:val="TableTextCentered"/>
            </w:pPr>
            <w:r w:rsidRPr="00011A3D">
              <w:t>Working Zone</w:t>
            </w:r>
          </w:p>
        </w:tc>
        <w:tc>
          <w:tcPr>
            <w:tcW w:w="1479" w:type="dxa"/>
            <w:tcBorders>
              <w:top w:val="single" w:sz="4" w:space="0" w:color="auto"/>
              <w:left w:val="nil"/>
              <w:bottom w:val="single" w:sz="4" w:space="0" w:color="auto"/>
              <w:right w:val="nil"/>
            </w:tcBorders>
            <w:shd w:val="clear" w:color="auto" w:fill="auto"/>
            <w:vAlign w:val="center"/>
            <w:hideMark/>
          </w:tcPr>
          <w:p w14:paraId="487B1C32" w14:textId="77777777" w:rsidR="001C7E53" w:rsidRPr="00011A3D" w:rsidRDefault="001C7E53" w:rsidP="00D73B6A">
            <w:pPr>
              <w:pStyle w:val="TableTextCentered"/>
            </w:pPr>
            <w:r w:rsidRPr="00011A3D">
              <w:t>Working Zone</w:t>
            </w:r>
          </w:p>
        </w:tc>
        <w:tc>
          <w:tcPr>
            <w:tcW w:w="1604" w:type="dxa"/>
            <w:tcBorders>
              <w:top w:val="single" w:sz="4" w:space="0" w:color="auto"/>
              <w:left w:val="nil"/>
              <w:bottom w:val="single" w:sz="4" w:space="0" w:color="auto"/>
              <w:right w:val="nil"/>
            </w:tcBorders>
            <w:shd w:val="clear" w:color="auto" w:fill="auto"/>
            <w:vAlign w:val="center"/>
            <w:hideMark/>
          </w:tcPr>
          <w:p w14:paraId="35F589D9" w14:textId="77777777" w:rsidR="001C7E53" w:rsidRPr="00011A3D" w:rsidRDefault="001C7E53" w:rsidP="00D73B6A">
            <w:pPr>
              <w:pStyle w:val="TableTextCentered"/>
            </w:pPr>
            <w:r w:rsidRPr="00011A3D">
              <w:t>SA4/Greater capital area</w:t>
            </w:r>
          </w:p>
        </w:tc>
        <w:tc>
          <w:tcPr>
            <w:tcW w:w="1377" w:type="dxa"/>
            <w:tcBorders>
              <w:top w:val="single" w:sz="4" w:space="0" w:color="auto"/>
              <w:left w:val="nil"/>
              <w:bottom w:val="single" w:sz="4" w:space="0" w:color="auto"/>
              <w:right w:val="nil"/>
            </w:tcBorders>
            <w:shd w:val="clear" w:color="auto" w:fill="auto"/>
            <w:vAlign w:val="center"/>
            <w:hideMark/>
          </w:tcPr>
          <w:p w14:paraId="27B621F3" w14:textId="77777777" w:rsidR="001C7E53" w:rsidRPr="00011A3D" w:rsidRDefault="001C7E53" w:rsidP="00D73B6A">
            <w:pPr>
              <w:pStyle w:val="TableTextCentered"/>
            </w:pPr>
            <w:r w:rsidRPr="00011A3D">
              <w:t>Working Zone</w:t>
            </w:r>
          </w:p>
        </w:tc>
      </w:tr>
      <w:tr w:rsidR="001C7E53" w:rsidRPr="00011A3D" w14:paraId="747AA548" w14:textId="77777777" w:rsidTr="001D4952">
        <w:trPr>
          <w:trHeight w:val="260"/>
        </w:trPr>
        <w:tc>
          <w:tcPr>
            <w:tcW w:w="2139" w:type="dxa"/>
            <w:tcBorders>
              <w:top w:val="nil"/>
              <w:left w:val="nil"/>
              <w:bottom w:val="nil"/>
              <w:right w:val="nil"/>
            </w:tcBorders>
            <w:shd w:val="clear" w:color="auto" w:fill="auto"/>
            <w:noWrap/>
            <w:vAlign w:val="bottom"/>
            <w:hideMark/>
          </w:tcPr>
          <w:p w14:paraId="0D2D0770" w14:textId="77777777" w:rsidR="001C7E53" w:rsidRPr="00011A3D" w:rsidRDefault="001C7E53" w:rsidP="00F91AE4">
            <w:pPr>
              <w:pStyle w:val="TableTextLeft"/>
              <w:rPr>
                <w:i/>
                <w:iCs/>
              </w:rPr>
            </w:pPr>
          </w:p>
        </w:tc>
        <w:tc>
          <w:tcPr>
            <w:tcW w:w="1402" w:type="dxa"/>
            <w:tcBorders>
              <w:top w:val="single" w:sz="4" w:space="0" w:color="auto"/>
              <w:left w:val="nil"/>
              <w:bottom w:val="nil"/>
              <w:right w:val="nil"/>
            </w:tcBorders>
            <w:shd w:val="clear" w:color="auto" w:fill="auto"/>
            <w:noWrap/>
            <w:vAlign w:val="center"/>
            <w:hideMark/>
          </w:tcPr>
          <w:p w14:paraId="1383194D" w14:textId="77777777" w:rsidR="001C7E53" w:rsidRPr="00011A3D" w:rsidRDefault="001C7E53" w:rsidP="00D73B6A">
            <w:pPr>
              <w:pStyle w:val="TableTextCentered"/>
            </w:pPr>
            <w:r w:rsidRPr="00011A3D">
              <w:t> </w:t>
            </w:r>
          </w:p>
        </w:tc>
        <w:tc>
          <w:tcPr>
            <w:tcW w:w="1479" w:type="dxa"/>
            <w:tcBorders>
              <w:top w:val="single" w:sz="4" w:space="0" w:color="auto"/>
              <w:left w:val="nil"/>
              <w:bottom w:val="nil"/>
              <w:right w:val="nil"/>
            </w:tcBorders>
            <w:shd w:val="clear" w:color="auto" w:fill="auto"/>
            <w:noWrap/>
            <w:vAlign w:val="center"/>
            <w:hideMark/>
          </w:tcPr>
          <w:p w14:paraId="276E48A2" w14:textId="77777777" w:rsidR="001C7E53" w:rsidRPr="00011A3D" w:rsidRDefault="001C7E53" w:rsidP="00D73B6A">
            <w:pPr>
              <w:pStyle w:val="TableTextCentered"/>
            </w:pPr>
            <w:r w:rsidRPr="00011A3D">
              <w:t> </w:t>
            </w:r>
          </w:p>
        </w:tc>
        <w:tc>
          <w:tcPr>
            <w:tcW w:w="1604" w:type="dxa"/>
            <w:tcBorders>
              <w:top w:val="single" w:sz="4" w:space="0" w:color="auto"/>
              <w:left w:val="nil"/>
              <w:bottom w:val="nil"/>
              <w:right w:val="nil"/>
            </w:tcBorders>
            <w:shd w:val="clear" w:color="auto" w:fill="auto"/>
            <w:noWrap/>
            <w:vAlign w:val="center"/>
            <w:hideMark/>
          </w:tcPr>
          <w:p w14:paraId="4CE54864" w14:textId="77777777" w:rsidR="001C7E53" w:rsidRPr="00011A3D" w:rsidRDefault="001C7E53" w:rsidP="00D73B6A">
            <w:pPr>
              <w:pStyle w:val="TableTextCentered"/>
            </w:pPr>
            <w:r w:rsidRPr="00011A3D">
              <w:t> </w:t>
            </w:r>
          </w:p>
        </w:tc>
        <w:tc>
          <w:tcPr>
            <w:tcW w:w="1377" w:type="dxa"/>
            <w:tcBorders>
              <w:top w:val="single" w:sz="4" w:space="0" w:color="auto"/>
              <w:left w:val="nil"/>
              <w:bottom w:val="nil"/>
              <w:right w:val="nil"/>
            </w:tcBorders>
            <w:shd w:val="clear" w:color="auto" w:fill="auto"/>
            <w:noWrap/>
            <w:vAlign w:val="center"/>
            <w:hideMark/>
          </w:tcPr>
          <w:p w14:paraId="1317007E" w14:textId="77777777" w:rsidR="001C7E53" w:rsidRPr="00011A3D" w:rsidRDefault="001C7E53" w:rsidP="00D73B6A">
            <w:pPr>
              <w:pStyle w:val="TableTextCentered"/>
            </w:pPr>
            <w:r w:rsidRPr="00011A3D">
              <w:t> </w:t>
            </w:r>
          </w:p>
        </w:tc>
      </w:tr>
      <w:tr w:rsidR="001C7E53" w:rsidRPr="00011A3D" w14:paraId="12A83C8D" w14:textId="77777777" w:rsidTr="001D4952">
        <w:trPr>
          <w:trHeight w:val="300"/>
        </w:trPr>
        <w:tc>
          <w:tcPr>
            <w:tcW w:w="2139" w:type="dxa"/>
            <w:tcBorders>
              <w:top w:val="nil"/>
              <w:left w:val="nil"/>
              <w:bottom w:val="nil"/>
              <w:right w:val="nil"/>
            </w:tcBorders>
            <w:shd w:val="clear" w:color="auto" w:fill="auto"/>
            <w:noWrap/>
            <w:vAlign w:val="bottom"/>
            <w:hideMark/>
          </w:tcPr>
          <w:p w14:paraId="2023AE40" w14:textId="77777777" w:rsidR="001C7E53" w:rsidRPr="00011A3D" w:rsidRDefault="001C7E53" w:rsidP="00F91AE4">
            <w:pPr>
              <w:pStyle w:val="TableTextLeft"/>
            </w:pPr>
            <w:r w:rsidRPr="00011A3D">
              <w:t>Concentration</w:t>
            </w:r>
            <w:r>
              <w:t xml:space="preserve"> (HHI)</w:t>
            </w:r>
          </w:p>
        </w:tc>
        <w:tc>
          <w:tcPr>
            <w:tcW w:w="1402" w:type="dxa"/>
            <w:tcBorders>
              <w:top w:val="nil"/>
              <w:left w:val="nil"/>
              <w:bottom w:val="nil"/>
              <w:right w:val="nil"/>
            </w:tcBorders>
            <w:shd w:val="clear" w:color="auto" w:fill="auto"/>
            <w:noWrap/>
            <w:vAlign w:val="center"/>
            <w:hideMark/>
          </w:tcPr>
          <w:p w14:paraId="13E080BB" w14:textId="572DEDD8" w:rsidR="001C7E53" w:rsidRPr="00011A3D" w:rsidRDefault="0018466E" w:rsidP="00D73B6A">
            <w:pPr>
              <w:pStyle w:val="TableTextCentered"/>
            </w:pPr>
            <w:r>
              <w:noBreakHyphen/>
            </w:r>
            <w:r w:rsidR="001C7E53" w:rsidRPr="00011A3D">
              <w:t>0.122***</w:t>
            </w:r>
          </w:p>
        </w:tc>
        <w:tc>
          <w:tcPr>
            <w:tcW w:w="1479" w:type="dxa"/>
            <w:tcBorders>
              <w:top w:val="nil"/>
              <w:left w:val="nil"/>
              <w:bottom w:val="nil"/>
              <w:right w:val="nil"/>
            </w:tcBorders>
            <w:shd w:val="clear" w:color="auto" w:fill="auto"/>
            <w:noWrap/>
            <w:vAlign w:val="center"/>
            <w:hideMark/>
          </w:tcPr>
          <w:p w14:paraId="26B7313E" w14:textId="605C642B" w:rsidR="001C7E53" w:rsidRPr="00011A3D" w:rsidRDefault="0018466E" w:rsidP="00D73B6A">
            <w:pPr>
              <w:pStyle w:val="TableTextCentered"/>
            </w:pPr>
            <w:r>
              <w:noBreakHyphen/>
            </w:r>
            <w:r w:rsidR="001C7E53" w:rsidRPr="00011A3D">
              <w:t>0.115***</w:t>
            </w:r>
          </w:p>
        </w:tc>
        <w:tc>
          <w:tcPr>
            <w:tcW w:w="1604" w:type="dxa"/>
            <w:tcBorders>
              <w:top w:val="nil"/>
              <w:left w:val="nil"/>
              <w:bottom w:val="nil"/>
              <w:right w:val="nil"/>
            </w:tcBorders>
            <w:shd w:val="clear" w:color="auto" w:fill="auto"/>
            <w:noWrap/>
            <w:vAlign w:val="center"/>
            <w:hideMark/>
          </w:tcPr>
          <w:p w14:paraId="5CE8F0E9" w14:textId="4CA9351C" w:rsidR="001C7E53" w:rsidRPr="00011A3D" w:rsidRDefault="0018466E" w:rsidP="00D73B6A">
            <w:pPr>
              <w:pStyle w:val="TableTextCentered"/>
            </w:pPr>
            <w:r>
              <w:noBreakHyphen/>
            </w:r>
            <w:r w:rsidR="001C7E53" w:rsidRPr="00011A3D">
              <w:t>0.073***</w:t>
            </w:r>
          </w:p>
        </w:tc>
        <w:tc>
          <w:tcPr>
            <w:tcW w:w="1377" w:type="dxa"/>
            <w:tcBorders>
              <w:top w:val="nil"/>
              <w:left w:val="nil"/>
              <w:bottom w:val="nil"/>
              <w:right w:val="nil"/>
            </w:tcBorders>
            <w:shd w:val="clear" w:color="auto" w:fill="auto"/>
            <w:noWrap/>
            <w:vAlign w:val="center"/>
            <w:hideMark/>
          </w:tcPr>
          <w:p w14:paraId="6F6F0F3B" w14:textId="227201B3" w:rsidR="001C7E53" w:rsidRPr="00011A3D" w:rsidRDefault="0018466E" w:rsidP="00D73B6A">
            <w:pPr>
              <w:pStyle w:val="TableTextCentered"/>
            </w:pPr>
            <w:r>
              <w:noBreakHyphen/>
            </w:r>
            <w:r w:rsidR="001C7E53" w:rsidRPr="00011A3D">
              <w:t>0.810***</w:t>
            </w:r>
          </w:p>
        </w:tc>
      </w:tr>
      <w:tr w:rsidR="001C7E53" w:rsidRPr="00011A3D" w14:paraId="4ABEE808" w14:textId="77777777" w:rsidTr="001D4952">
        <w:trPr>
          <w:trHeight w:val="300"/>
        </w:trPr>
        <w:tc>
          <w:tcPr>
            <w:tcW w:w="2139" w:type="dxa"/>
            <w:tcBorders>
              <w:top w:val="nil"/>
              <w:left w:val="nil"/>
              <w:bottom w:val="nil"/>
              <w:right w:val="nil"/>
            </w:tcBorders>
            <w:shd w:val="clear" w:color="auto" w:fill="auto"/>
            <w:noWrap/>
            <w:vAlign w:val="bottom"/>
            <w:hideMark/>
          </w:tcPr>
          <w:p w14:paraId="5B27B946" w14:textId="77777777" w:rsidR="001C7E53" w:rsidRPr="00011A3D" w:rsidRDefault="001C7E53" w:rsidP="00F91AE4">
            <w:pPr>
              <w:pStyle w:val="TableTextLeft"/>
            </w:pPr>
          </w:p>
        </w:tc>
        <w:tc>
          <w:tcPr>
            <w:tcW w:w="1402" w:type="dxa"/>
            <w:tcBorders>
              <w:top w:val="nil"/>
              <w:left w:val="nil"/>
              <w:bottom w:val="nil"/>
              <w:right w:val="nil"/>
            </w:tcBorders>
            <w:shd w:val="clear" w:color="auto" w:fill="auto"/>
            <w:noWrap/>
            <w:vAlign w:val="center"/>
            <w:hideMark/>
          </w:tcPr>
          <w:p w14:paraId="1DFB9A48" w14:textId="77777777" w:rsidR="001C7E53" w:rsidRPr="00011A3D" w:rsidRDefault="001C7E53" w:rsidP="00D73B6A">
            <w:pPr>
              <w:pStyle w:val="TableTextCentered"/>
            </w:pPr>
            <w:r w:rsidRPr="00011A3D">
              <w:t>(0.014)</w:t>
            </w:r>
          </w:p>
        </w:tc>
        <w:tc>
          <w:tcPr>
            <w:tcW w:w="1479" w:type="dxa"/>
            <w:tcBorders>
              <w:top w:val="nil"/>
              <w:left w:val="nil"/>
              <w:bottom w:val="nil"/>
              <w:right w:val="nil"/>
            </w:tcBorders>
            <w:shd w:val="clear" w:color="auto" w:fill="auto"/>
            <w:noWrap/>
            <w:vAlign w:val="center"/>
            <w:hideMark/>
          </w:tcPr>
          <w:p w14:paraId="585A8C8E" w14:textId="77777777" w:rsidR="001C7E53" w:rsidRPr="00011A3D" w:rsidRDefault="001C7E53" w:rsidP="00D73B6A">
            <w:pPr>
              <w:pStyle w:val="TableTextCentered"/>
            </w:pPr>
            <w:r w:rsidRPr="00011A3D">
              <w:t>(0.020)</w:t>
            </w:r>
          </w:p>
        </w:tc>
        <w:tc>
          <w:tcPr>
            <w:tcW w:w="1604" w:type="dxa"/>
            <w:tcBorders>
              <w:top w:val="nil"/>
              <w:left w:val="nil"/>
              <w:bottom w:val="nil"/>
              <w:right w:val="nil"/>
            </w:tcBorders>
            <w:shd w:val="clear" w:color="auto" w:fill="auto"/>
            <w:noWrap/>
            <w:vAlign w:val="center"/>
            <w:hideMark/>
          </w:tcPr>
          <w:p w14:paraId="24CEF99B" w14:textId="77777777" w:rsidR="001C7E53" w:rsidRPr="00011A3D" w:rsidRDefault="001C7E53" w:rsidP="00D73B6A">
            <w:pPr>
              <w:pStyle w:val="TableTextCentered"/>
            </w:pPr>
            <w:r w:rsidRPr="00011A3D">
              <w:t>(0.033)</w:t>
            </w:r>
          </w:p>
        </w:tc>
        <w:tc>
          <w:tcPr>
            <w:tcW w:w="1377" w:type="dxa"/>
            <w:tcBorders>
              <w:top w:val="nil"/>
              <w:left w:val="nil"/>
              <w:bottom w:val="nil"/>
              <w:right w:val="nil"/>
            </w:tcBorders>
            <w:shd w:val="clear" w:color="auto" w:fill="auto"/>
            <w:noWrap/>
            <w:vAlign w:val="center"/>
            <w:hideMark/>
          </w:tcPr>
          <w:p w14:paraId="334A76DE" w14:textId="77777777" w:rsidR="001C7E53" w:rsidRPr="00011A3D" w:rsidRDefault="001C7E53" w:rsidP="00D73B6A">
            <w:pPr>
              <w:pStyle w:val="TableTextCentered"/>
            </w:pPr>
            <w:r w:rsidRPr="00011A3D">
              <w:t>(0.025)</w:t>
            </w:r>
          </w:p>
        </w:tc>
      </w:tr>
      <w:tr w:rsidR="001C7E53" w:rsidRPr="00011A3D" w14:paraId="2D75161B" w14:textId="77777777" w:rsidTr="001D4952">
        <w:trPr>
          <w:trHeight w:val="300"/>
        </w:trPr>
        <w:tc>
          <w:tcPr>
            <w:tcW w:w="2139" w:type="dxa"/>
            <w:tcBorders>
              <w:top w:val="nil"/>
              <w:left w:val="nil"/>
              <w:bottom w:val="nil"/>
              <w:right w:val="nil"/>
            </w:tcBorders>
            <w:shd w:val="clear" w:color="auto" w:fill="auto"/>
            <w:noWrap/>
            <w:vAlign w:val="bottom"/>
            <w:hideMark/>
          </w:tcPr>
          <w:p w14:paraId="18D85C64" w14:textId="77777777" w:rsidR="001C7E53" w:rsidRPr="00011A3D" w:rsidRDefault="001C7E53" w:rsidP="00F91AE4">
            <w:pPr>
              <w:pStyle w:val="TableTextLeft"/>
            </w:pPr>
          </w:p>
        </w:tc>
        <w:tc>
          <w:tcPr>
            <w:tcW w:w="1402" w:type="dxa"/>
            <w:tcBorders>
              <w:top w:val="nil"/>
              <w:left w:val="nil"/>
              <w:bottom w:val="nil"/>
              <w:right w:val="nil"/>
            </w:tcBorders>
            <w:shd w:val="clear" w:color="auto" w:fill="auto"/>
            <w:noWrap/>
            <w:vAlign w:val="center"/>
            <w:hideMark/>
          </w:tcPr>
          <w:p w14:paraId="3F5D27DE" w14:textId="77777777" w:rsidR="001C7E53" w:rsidRPr="00011A3D" w:rsidRDefault="001C7E53" w:rsidP="00D73B6A">
            <w:pPr>
              <w:pStyle w:val="TableTextCentered"/>
              <w:rPr>
                <w:rFonts w:ascii="Times New Roman" w:hAnsi="Times New Roman"/>
              </w:rPr>
            </w:pPr>
          </w:p>
        </w:tc>
        <w:tc>
          <w:tcPr>
            <w:tcW w:w="1479" w:type="dxa"/>
            <w:tcBorders>
              <w:top w:val="nil"/>
              <w:left w:val="nil"/>
              <w:bottom w:val="nil"/>
              <w:right w:val="nil"/>
            </w:tcBorders>
            <w:shd w:val="clear" w:color="auto" w:fill="auto"/>
            <w:noWrap/>
            <w:vAlign w:val="center"/>
            <w:hideMark/>
          </w:tcPr>
          <w:p w14:paraId="73CF4AAF" w14:textId="77777777" w:rsidR="001C7E53" w:rsidRPr="00011A3D" w:rsidRDefault="001C7E53" w:rsidP="00D73B6A">
            <w:pPr>
              <w:pStyle w:val="TableTextCentered"/>
              <w:rPr>
                <w:rFonts w:ascii="Times New Roman" w:hAnsi="Times New Roman"/>
              </w:rPr>
            </w:pPr>
          </w:p>
        </w:tc>
        <w:tc>
          <w:tcPr>
            <w:tcW w:w="1604" w:type="dxa"/>
            <w:tcBorders>
              <w:top w:val="nil"/>
              <w:left w:val="nil"/>
              <w:bottom w:val="nil"/>
              <w:right w:val="nil"/>
            </w:tcBorders>
            <w:shd w:val="clear" w:color="auto" w:fill="auto"/>
            <w:noWrap/>
            <w:vAlign w:val="center"/>
            <w:hideMark/>
          </w:tcPr>
          <w:p w14:paraId="72711003" w14:textId="77777777" w:rsidR="001C7E53" w:rsidRPr="00011A3D" w:rsidRDefault="001C7E53" w:rsidP="00D73B6A">
            <w:pPr>
              <w:pStyle w:val="TableTextCentered"/>
              <w:rPr>
                <w:rFonts w:ascii="Times New Roman" w:hAnsi="Times New Roman"/>
              </w:rPr>
            </w:pPr>
          </w:p>
        </w:tc>
        <w:tc>
          <w:tcPr>
            <w:tcW w:w="1377" w:type="dxa"/>
            <w:tcBorders>
              <w:top w:val="nil"/>
              <w:left w:val="nil"/>
              <w:bottom w:val="nil"/>
              <w:right w:val="nil"/>
            </w:tcBorders>
            <w:shd w:val="clear" w:color="auto" w:fill="auto"/>
            <w:noWrap/>
            <w:vAlign w:val="center"/>
            <w:hideMark/>
          </w:tcPr>
          <w:p w14:paraId="7680276A" w14:textId="77777777" w:rsidR="001C7E53" w:rsidRPr="00011A3D" w:rsidRDefault="001C7E53" w:rsidP="00D73B6A">
            <w:pPr>
              <w:pStyle w:val="TableTextCentered"/>
              <w:rPr>
                <w:rFonts w:ascii="Times New Roman" w:hAnsi="Times New Roman"/>
              </w:rPr>
            </w:pPr>
          </w:p>
        </w:tc>
      </w:tr>
      <w:tr w:rsidR="001C7E53" w:rsidRPr="00011A3D" w14:paraId="754C9D85" w14:textId="77777777" w:rsidTr="001D4952">
        <w:trPr>
          <w:trHeight w:val="300"/>
        </w:trPr>
        <w:tc>
          <w:tcPr>
            <w:tcW w:w="2139" w:type="dxa"/>
            <w:tcBorders>
              <w:top w:val="nil"/>
              <w:left w:val="nil"/>
              <w:bottom w:val="nil"/>
              <w:right w:val="nil"/>
            </w:tcBorders>
            <w:shd w:val="clear" w:color="auto" w:fill="auto"/>
            <w:noWrap/>
            <w:vAlign w:val="bottom"/>
            <w:hideMark/>
          </w:tcPr>
          <w:p w14:paraId="7FDDC260" w14:textId="77777777" w:rsidR="001C7E53" w:rsidRPr="00011A3D" w:rsidRDefault="001C7E53" w:rsidP="00F91AE4">
            <w:pPr>
              <w:pStyle w:val="TableTextLeft"/>
            </w:pPr>
            <w:r w:rsidRPr="00011A3D">
              <w:t>Productivity</w:t>
            </w:r>
          </w:p>
        </w:tc>
        <w:tc>
          <w:tcPr>
            <w:tcW w:w="1402" w:type="dxa"/>
            <w:tcBorders>
              <w:top w:val="nil"/>
              <w:left w:val="nil"/>
              <w:bottom w:val="nil"/>
              <w:right w:val="nil"/>
            </w:tcBorders>
            <w:shd w:val="clear" w:color="auto" w:fill="auto"/>
            <w:noWrap/>
            <w:vAlign w:val="center"/>
            <w:hideMark/>
          </w:tcPr>
          <w:p w14:paraId="7976E265" w14:textId="77777777" w:rsidR="001C7E53" w:rsidRPr="00011A3D" w:rsidRDefault="001C7E53" w:rsidP="00D73B6A">
            <w:pPr>
              <w:pStyle w:val="TableTextCentered"/>
            </w:pPr>
            <w:r w:rsidRPr="00011A3D">
              <w:t>0.077***</w:t>
            </w:r>
          </w:p>
        </w:tc>
        <w:tc>
          <w:tcPr>
            <w:tcW w:w="1479" w:type="dxa"/>
            <w:tcBorders>
              <w:top w:val="nil"/>
              <w:left w:val="nil"/>
              <w:bottom w:val="nil"/>
              <w:right w:val="nil"/>
            </w:tcBorders>
            <w:shd w:val="clear" w:color="auto" w:fill="auto"/>
            <w:noWrap/>
            <w:vAlign w:val="center"/>
            <w:hideMark/>
          </w:tcPr>
          <w:p w14:paraId="60D830E7" w14:textId="77777777" w:rsidR="001C7E53" w:rsidRPr="00011A3D" w:rsidRDefault="001C7E53" w:rsidP="00D73B6A">
            <w:pPr>
              <w:pStyle w:val="TableTextCentered"/>
            </w:pPr>
            <w:r w:rsidRPr="00011A3D">
              <w:t>0.064***</w:t>
            </w:r>
          </w:p>
        </w:tc>
        <w:tc>
          <w:tcPr>
            <w:tcW w:w="1604" w:type="dxa"/>
            <w:tcBorders>
              <w:top w:val="nil"/>
              <w:left w:val="nil"/>
              <w:bottom w:val="nil"/>
              <w:right w:val="nil"/>
            </w:tcBorders>
            <w:shd w:val="clear" w:color="auto" w:fill="auto"/>
            <w:noWrap/>
            <w:vAlign w:val="center"/>
            <w:hideMark/>
          </w:tcPr>
          <w:p w14:paraId="60D903A1" w14:textId="77777777" w:rsidR="001C7E53" w:rsidRPr="00011A3D" w:rsidRDefault="001C7E53" w:rsidP="00D73B6A">
            <w:pPr>
              <w:pStyle w:val="TableTextCentered"/>
            </w:pPr>
            <w:r w:rsidRPr="00011A3D">
              <w:t>0.049***</w:t>
            </w:r>
          </w:p>
        </w:tc>
        <w:tc>
          <w:tcPr>
            <w:tcW w:w="1377" w:type="dxa"/>
            <w:tcBorders>
              <w:top w:val="nil"/>
              <w:left w:val="nil"/>
              <w:bottom w:val="nil"/>
              <w:right w:val="nil"/>
            </w:tcBorders>
            <w:shd w:val="clear" w:color="auto" w:fill="auto"/>
            <w:noWrap/>
            <w:vAlign w:val="center"/>
            <w:hideMark/>
          </w:tcPr>
          <w:p w14:paraId="006D1F0B" w14:textId="77777777" w:rsidR="001C7E53" w:rsidRPr="00011A3D" w:rsidRDefault="001C7E53" w:rsidP="00D73B6A">
            <w:pPr>
              <w:pStyle w:val="TableTextCentered"/>
            </w:pPr>
            <w:r w:rsidRPr="00011A3D">
              <w:t>0.062***</w:t>
            </w:r>
          </w:p>
        </w:tc>
      </w:tr>
      <w:tr w:rsidR="001C7E53" w:rsidRPr="00011A3D" w14:paraId="4E31B10D" w14:textId="77777777" w:rsidTr="001D4952">
        <w:trPr>
          <w:trHeight w:val="300"/>
        </w:trPr>
        <w:tc>
          <w:tcPr>
            <w:tcW w:w="2139" w:type="dxa"/>
            <w:tcBorders>
              <w:top w:val="nil"/>
              <w:left w:val="nil"/>
              <w:bottom w:val="nil"/>
              <w:right w:val="nil"/>
            </w:tcBorders>
            <w:shd w:val="clear" w:color="auto" w:fill="auto"/>
            <w:noWrap/>
            <w:vAlign w:val="bottom"/>
            <w:hideMark/>
          </w:tcPr>
          <w:p w14:paraId="1743DDD3" w14:textId="77777777" w:rsidR="001C7E53" w:rsidRPr="00011A3D" w:rsidRDefault="001C7E53" w:rsidP="00F91AE4">
            <w:pPr>
              <w:pStyle w:val="TableTextLeft"/>
            </w:pPr>
          </w:p>
        </w:tc>
        <w:tc>
          <w:tcPr>
            <w:tcW w:w="1402" w:type="dxa"/>
            <w:tcBorders>
              <w:top w:val="nil"/>
              <w:left w:val="nil"/>
              <w:bottom w:val="nil"/>
              <w:right w:val="nil"/>
            </w:tcBorders>
            <w:shd w:val="clear" w:color="auto" w:fill="auto"/>
            <w:noWrap/>
            <w:vAlign w:val="bottom"/>
            <w:hideMark/>
          </w:tcPr>
          <w:p w14:paraId="21A192E3" w14:textId="77777777" w:rsidR="001C7E53" w:rsidRPr="00011A3D" w:rsidRDefault="001C7E53" w:rsidP="00D73B6A">
            <w:pPr>
              <w:pStyle w:val="TableTextCentered"/>
            </w:pPr>
            <w:r w:rsidRPr="00011A3D">
              <w:t>(0.002)</w:t>
            </w:r>
          </w:p>
        </w:tc>
        <w:tc>
          <w:tcPr>
            <w:tcW w:w="1479" w:type="dxa"/>
            <w:tcBorders>
              <w:top w:val="nil"/>
              <w:left w:val="nil"/>
              <w:bottom w:val="nil"/>
              <w:right w:val="nil"/>
            </w:tcBorders>
            <w:shd w:val="clear" w:color="auto" w:fill="auto"/>
            <w:noWrap/>
            <w:vAlign w:val="bottom"/>
            <w:hideMark/>
          </w:tcPr>
          <w:p w14:paraId="4E8CE0E3" w14:textId="77777777" w:rsidR="001C7E53" w:rsidRPr="00011A3D" w:rsidRDefault="001C7E53" w:rsidP="00D73B6A">
            <w:pPr>
              <w:pStyle w:val="TableTextCentered"/>
            </w:pPr>
            <w:r w:rsidRPr="00011A3D">
              <w:t>(0.002)</w:t>
            </w:r>
          </w:p>
        </w:tc>
        <w:tc>
          <w:tcPr>
            <w:tcW w:w="1604" w:type="dxa"/>
            <w:tcBorders>
              <w:top w:val="nil"/>
              <w:left w:val="nil"/>
              <w:bottom w:val="nil"/>
              <w:right w:val="nil"/>
            </w:tcBorders>
            <w:shd w:val="clear" w:color="auto" w:fill="auto"/>
            <w:noWrap/>
            <w:vAlign w:val="bottom"/>
            <w:hideMark/>
          </w:tcPr>
          <w:p w14:paraId="0D9C36D0" w14:textId="77777777" w:rsidR="001C7E53" w:rsidRPr="00011A3D" w:rsidRDefault="001C7E53" w:rsidP="00D73B6A">
            <w:pPr>
              <w:pStyle w:val="TableTextCentered"/>
            </w:pPr>
            <w:r w:rsidRPr="00011A3D">
              <w:t>(0.003)</w:t>
            </w:r>
          </w:p>
        </w:tc>
        <w:tc>
          <w:tcPr>
            <w:tcW w:w="1377" w:type="dxa"/>
            <w:tcBorders>
              <w:top w:val="nil"/>
              <w:left w:val="nil"/>
              <w:bottom w:val="nil"/>
              <w:right w:val="nil"/>
            </w:tcBorders>
            <w:shd w:val="clear" w:color="auto" w:fill="auto"/>
            <w:noWrap/>
            <w:vAlign w:val="bottom"/>
            <w:hideMark/>
          </w:tcPr>
          <w:p w14:paraId="3CEF94F1" w14:textId="77777777" w:rsidR="001C7E53" w:rsidRPr="00011A3D" w:rsidRDefault="001C7E53" w:rsidP="00D73B6A">
            <w:pPr>
              <w:pStyle w:val="TableTextCentered"/>
            </w:pPr>
            <w:r w:rsidRPr="00011A3D">
              <w:t>(0.002)</w:t>
            </w:r>
          </w:p>
        </w:tc>
      </w:tr>
      <w:tr w:rsidR="001C7E53" w:rsidRPr="00011A3D" w14:paraId="68B3FFB2" w14:textId="77777777" w:rsidTr="001D4952">
        <w:trPr>
          <w:trHeight w:val="290"/>
        </w:trPr>
        <w:tc>
          <w:tcPr>
            <w:tcW w:w="2139" w:type="dxa"/>
            <w:tcBorders>
              <w:top w:val="single" w:sz="4" w:space="0" w:color="auto"/>
              <w:left w:val="nil"/>
              <w:bottom w:val="nil"/>
              <w:right w:val="nil"/>
            </w:tcBorders>
            <w:shd w:val="clear" w:color="auto" w:fill="auto"/>
            <w:noWrap/>
            <w:vAlign w:val="center"/>
            <w:hideMark/>
          </w:tcPr>
          <w:p w14:paraId="63620ED8" w14:textId="77777777" w:rsidR="001C7E53" w:rsidRPr="00011A3D" w:rsidRDefault="001C7E53" w:rsidP="00F91AE4">
            <w:pPr>
              <w:pStyle w:val="TableTextLeft"/>
            </w:pPr>
            <w:r w:rsidRPr="00011A3D">
              <w:t>R</w:t>
            </w:r>
            <w:r w:rsidRPr="00011A3D">
              <w:rPr>
                <w:vertAlign w:val="superscript"/>
              </w:rPr>
              <w:t>2</w:t>
            </w:r>
          </w:p>
        </w:tc>
        <w:tc>
          <w:tcPr>
            <w:tcW w:w="1402" w:type="dxa"/>
            <w:tcBorders>
              <w:top w:val="single" w:sz="4" w:space="0" w:color="auto"/>
              <w:left w:val="nil"/>
              <w:bottom w:val="nil"/>
              <w:right w:val="nil"/>
            </w:tcBorders>
            <w:shd w:val="clear" w:color="auto" w:fill="auto"/>
            <w:noWrap/>
            <w:vAlign w:val="center"/>
            <w:hideMark/>
          </w:tcPr>
          <w:p w14:paraId="43E06D7A" w14:textId="77777777" w:rsidR="001C7E53" w:rsidRPr="00011A3D" w:rsidRDefault="001C7E53" w:rsidP="00D73B6A">
            <w:pPr>
              <w:pStyle w:val="TableTextCentered"/>
            </w:pPr>
            <w:r w:rsidRPr="00011A3D">
              <w:t>0.670</w:t>
            </w:r>
          </w:p>
        </w:tc>
        <w:tc>
          <w:tcPr>
            <w:tcW w:w="1479" w:type="dxa"/>
            <w:tcBorders>
              <w:top w:val="single" w:sz="4" w:space="0" w:color="auto"/>
              <w:left w:val="nil"/>
              <w:bottom w:val="nil"/>
              <w:right w:val="nil"/>
            </w:tcBorders>
            <w:shd w:val="clear" w:color="auto" w:fill="auto"/>
            <w:noWrap/>
            <w:vAlign w:val="center"/>
            <w:hideMark/>
          </w:tcPr>
          <w:p w14:paraId="13D4C893" w14:textId="77777777" w:rsidR="001C7E53" w:rsidRPr="00011A3D" w:rsidRDefault="001C7E53" w:rsidP="00D73B6A">
            <w:pPr>
              <w:pStyle w:val="TableTextCentered"/>
            </w:pPr>
            <w:r w:rsidRPr="00011A3D">
              <w:t>0.677</w:t>
            </w:r>
          </w:p>
        </w:tc>
        <w:tc>
          <w:tcPr>
            <w:tcW w:w="1604" w:type="dxa"/>
            <w:tcBorders>
              <w:top w:val="single" w:sz="4" w:space="0" w:color="auto"/>
              <w:left w:val="nil"/>
              <w:bottom w:val="nil"/>
              <w:right w:val="nil"/>
            </w:tcBorders>
            <w:shd w:val="clear" w:color="auto" w:fill="auto"/>
            <w:noWrap/>
            <w:vAlign w:val="center"/>
            <w:hideMark/>
          </w:tcPr>
          <w:p w14:paraId="651F6E6A" w14:textId="77777777" w:rsidR="001C7E53" w:rsidRPr="00011A3D" w:rsidRDefault="001C7E53" w:rsidP="00D73B6A">
            <w:pPr>
              <w:pStyle w:val="TableTextCentered"/>
            </w:pPr>
            <w:r w:rsidRPr="00011A3D">
              <w:t>0.779</w:t>
            </w:r>
          </w:p>
        </w:tc>
        <w:tc>
          <w:tcPr>
            <w:tcW w:w="1377" w:type="dxa"/>
            <w:tcBorders>
              <w:top w:val="single" w:sz="4" w:space="0" w:color="auto"/>
              <w:left w:val="nil"/>
              <w:bottom w:val="nil"/>
              <w:right w:val="nil"/>
            </w:tcBorders>
            <w:shd w:val="clear" w:color="auto" w:fill="auto"/>
            <w:noWrap/>
            <w:vAlign w:val="center"/>
            <w:hideMark/>
          </w:tcPr>
          <w:p w14:paraId="01DBCF80" w14:textId="77777777" w:rsidR="001C7E53" w:rsidRPr="00011A3D" w:rsidRDefault="001C7E53" w:rsidP="00D73B6A">
            <w:pPr>
              <w:pStyle w:val="TableTextCentered"/>
            </w:pPr>
            <w:r w:rsidRPr="00011A3D">
              <w:t>0.672</w:t>
            </w:r>
          </w:p>
        </w:tc>
      </w:tr>
      <w:tr w:rsidR="001C7E53" w:rsidRPr="00011A3D" w14:paraId="3C390ED2" w14:textId="77777777" w:rsidTr="001D4952">
        <w:trPr>
          <w:trHeight w:val="300"/>
        </w:trPr>
        <w:tc>
          <w:tcPr>
            <w:tcW w:w="2139" w:type="dxa"/>
            <w:tcBorders>
              <w:top w:val="nil"/>
              <w:left w:val="nil"/>
              <w:right w:val="nil"/>
            </w:tcBorders>
            <w:shd w:val="clear" w:color="auto" w:fill="auto"/>
            <w:noWrap/>
            <w:vAlign w:val="bottom"/>
            <w:hideMark/>
          </w:tcPr>
          <w:p w14:paraId="5C653139" w14:textId="77777777" w:rsidR="001C7E53" w:rsidRPr="00011A3D" w:rsidRDefault="001C7E53" w:rsidP="00F91AE4">
            <w:pPr>
              <w:pStyle w:val="TableTextLeft"/>
            </w:pPr>
            <w:r w:rsidRPr="00011A3D">
              <w:t>N</w:t>
            </w:r>
          </w:p>
        </w:tc>
        <w:tc>
          <w:tcPr>
            <w:tcW w:w="1402" w:type="dxa"/>
            <w:tcBorders>
              <w:top w:val="nil"/>
              <w:left w:val="nil"/>
              <w:right w:val="nil"/>
            </w:tcBorders>
            <w:shd w:val="clear" w:color="auto" w:fill="auto"/>
            <w:noWrap/>
            <w:vAlign w:val="center"/>
            <w:hideMark/>
          </w:tcPr>
          <w:p w14:paraId="311E3538" w14:textId="77777777" w:rsidR="001C7E53" w:rsidRPr="00011A3D" w:rsidRDefault="001C7E53" w:rsidP="00D73B6A">
            <w:pPr>
              <w:pStyle w:val="TableTextCentered"/>
            </w:pPr>
            <w:r w:rsidRPr="00011A3D">
              <w:t>302,000</w:t>
            </w:r>
          </w:p>
        </w:tc>
        <w:tc>
          <w:tcPr>
            <w:tcW w:w="1479" w:type="dxa"/>
            <w:tcBorders>
              <w:top w:val="nil"/>
              <w:left w:val="nil"/>
              <w:right w:val="nil"/>
            </w:tcBorders>
            <w:shd w:val="clear" w:color="auto" w:fill="auto"/>
            <w:noWrap/>
            <w:vAlign w:val="center"/>
            <w:hideMark/>
          </w:tcPr>
          <w:p w14:paraId="6EEC7331" w14:textId="77777777" w:rsidR="001C7E53" w:rsidRPr="00011A3D" w:rsidRDefault="001C7E53" w:rsidP="00D73B6A">
            <w:pPr>
              <w:pStyle w:val="TableTextCentered"/>
            </w:pPr>
            <w:r w:rsidRPr="00011A3D">
              <w:t>165,000</w:t>
            </w:r>
          </w:p>
        </w:tc>
        <w:tc>
          <w:tcPr>
            <w:tcW w:w="1604" w:type="dxa"/>
            <w:tcBorders>
              <w:top w:val="nil"/>
              <w:left w:val="nil"/>
              <w:right w:val="nil"/>
            </w:tcBorders>
            <w:shd w:val="clear" w:color="auto" w:fill="auto"/>
            <w:noWrap/>
            <w:vAlign w:val="center"/>
            <w:hideMark/>
          </w:tcPr>
          <w:p w14:paraId="000C1471" w14:textId="77777777" w:rsidR="001C7E53" w:rsidRPr="00011A3D" w:rsidRDefault="001C7E53" w:rsidP="00D73B6A">
            <w:pPr>
              <w:pStyle w:val="TableTextCentered"/>
            </w:pPr>
            <w:r w:rsidRPr="00011A3D">
              <w:t>91,000</w:t>
            </w:r>
          </w:p>
        </w:tc>
        <w:tc>
          <w:tcPr>
            <w:tcW w:w="1377" w:type="dxa"/>
            <w:tcBorders>
              <w:top w:val="nil"/>
              <w:left w:val="nil"/>
              <w:right w:val="nil"/>
            </w:tcBorders>
            <w:shd w:val="clear" w:color="auto" w:fill="auto"/>
            <w:noWrap/>
            <w:vAlign w:val="center"/>
            <w:hideMark/>
          </w:tcPr>
          <w:p w14:paraId="6A78ED6B" w14:textId="77777777" w:rsidR="001C7E53" w:rsidRPr="00011A3D" w:rsidRDefault="001C7E53" w:rsidP="00D73B6A">
            <w:pPr>
              <w:pStyle w:val="TableTextCentered"/>
            </w:pPr>
            <w:r w:rsidRPr="00011A3D">
              <w:t>1,740,000</w:t>
            </w:r>
          </w:p>
        </w:tc>
      </w:tr>
      <w:tr w:rsidR="001C7E53" w:rsidRPr="00011A3D" w14:paraId="406D15C9" w14:textId="77777777" w:rsidTr="001D4952">
        <w:trPr>
          <w:trHeight w:val="300"/>
        </w:trPr>
        <w:tc>
          <w:tcPr>
            <w:tcW w:w="2139" w:type="dxa"/>
            <w:tcBorders>
              <w:top w:val="nil"/>
              <w:left w:val="nil"/>
              <w:bottom w:val="single" w:sz="4" w:space="0" w:color="auto"/>
              <w:right w:val="nil"/>
            </w:tcBorders>
            <w:shd w:val="clear" w:color="auto" w:fill="auto"/>
            <w:noWrap/>
            <w:vAlign w:val="bottom"/>
          </w:tcPr>
          <w:p w14:paraId="73FA5372" w14:textId="77777777" w:rsidR="001C7E53" w:rsidRPr="00011A3D" w:rsidRDefault="001C7E53" w:rsidP="00F91AE4">
            <w:pPr>
              <w:pStyle w:val="TableColumnHeadingLeft"/>
            </w:pPr>
            <w:r w:rsidRPr="00DD6AAE">
              <w:t>Fixed effects</w:t>
            </w:r>
          </w:p>
        </w:tc>
        <w:tc>
          <w:tcPr>
            <w:tcW w:w="1402" w:type="dxa"/>
            <w:tcBorders>
              <w:top w:val="nil"/>
              <w:left w:val="nil"/>
              <w:bottom w:val="single" w:sz="4" w:space="0" w:color="auto"/>
              <w:right w:val="nil"/>
            </w:tcBorders>
            <w:shd w:val="clear" w:color="auto" w:fill="auto"/>
            <w:noWrap/>
            <w:vAlign w:val="center"/>
          </w:tcPr>
          <w:p w14:paraId="65602F5A" w14:textId="77777777" w:rsidR="001C7E53" w:rsidRPr="00011A3D" w:rsidRDefault="001C7E53" w:rsidP="00D73B6A">
            <w:pPr>
              <w:pStyle w:val="TableTextCentered"/>
            </w:pPr>
            <w:r w:rsidRPr="00DD6AAE">
              <w:t> </w:t>
            </w:r>
          </w:p>
        </w:tc>
        <w:tc>
          <w:tcPr>
            <w:tcW w:w="1479" w:type="dxa"/>
            <w:tcBorders>
              <w:top w:val="nil"/>
              <w:left w:val="nil"/>
              <w:bottom w:val="single" w:sz="4" w:space="0" w:color="auto"/>
              <w:right w:val="nil"/>
            </w:tcBorders>
            <w:shd w:val="clear" w:color="auto" w:fill="auto"/>
            <w:noWrap/>
            <w:vAlign w:val="center"/>
          </w:tcPr>
          <w:p w14:paraId="3605821D" w14:textId="77777777" w:rsidR="001C7E53" w:rsidRPr="00011A3D" w:rsidRDefault="001C7E53" w:rsidP="00D73B6A">
            <w:pPr>
              <w:pStyle w:val="TableTextCentered"/>
            </w:pPr>
            <w:r w:rsidRPr="00DD6AAE">
              <w:t> </w:t>
            </w:r>
          </w:p>
        </w:tc>
        <w:tc>
          <w:tcPr>
            <w:tcW w:w="1604" w:type="dxa"/>
            <w:tcBorders>
              <w:top w:val="nil"/>
              <w:left w:val="nil"/>
              <w:bottom w:val="single" w:sz="4" w:space="0" w:color="auto"/>
              <w:right w:val="nil"/>
            </w:tcBorders>
            <w:shd w:val="clear" w:color="auto" w:fill="auto"/>
            <w:noWrap/>
            <w:vAlign w:val="center"/>
          </w:tcPr>
          <w:p w14:paraId="0C5D5407" w14:textId="77777777" w:rsidR="001C7E53" w:rsidRPr="00011A3D" w:rsidRDefault="001C7E53" w:rsidP="00D73B6A">
            <w:pPr>
              <w:pStyle w:val="TableTextCentered"/>
            </w:pPr>
            <w:r w:rsidRPr="00DD6AAE">
              <w:t> </w:t>
            </w:r>
          </w:p>
        </w:tc>
        <w:tc>
          <w:tcPr>
            <w:tcW w:w="1377" w:type="dxa"/>
            <w:tcBorders>
              <w:top w:val="nil"/>
              <w:left w:val="nil"/>
              <w:bottom w:val="single" w:sz="4" w:space="0" w:color="auto"/>
              <w:right w:val="nil"/>
            </w:tcBorders>
            <w:shd w:val="clear" w:color="auto" w:fill="auto"/>
            <w:noWrap/>
            <w:vAlign w:val="center"/>
          </w:tcPr>
          <w:p w14:paraId="736D3A93" w14:textId="77777777" w:rsidR="001C7E53" w:rsidRPr="00011A3D" w:rsidRDefault="001C7E53" w:rsidP="00D73B6A">
            <w:pPr>
              <w:pStyle w:val="TableTextCentered"/>
            </w:pPr>
            <w:r w:rsidRPr="00DD6AAE">
              <w:t> </w:t>
            </w:r>
          </w:p>
        </w:tc>
      </w:tr>
      <w:tr w:rsidR="001C7E53" w:rsidRPr="00011A3D" w14:paraId="67AD3081" w14:textId="77777777" w:rsidTr="001D4952">
        <w:trPr>
          <w:trHeight w:val="300"/>
        </w:trPr>
        <w:tc>
          <w:tcPr>
            <w:tcW w:w="2139" w:type="dxa"/>
            <w:tcBorders>
              <w:top w:val="single" w:sz="4" w:space="0" w:color="auto"/>
              <w:left w:val="nil"/>
              <w:bottom w:val="nil"/>
              <w:right w:val="nil"/>
            </w:tcBorders>
            <w:shd w:val="clear" w:color="auto" w:fill="auto"/>
            <w:noWrap/>
            <w:vAlign w:val="bottom"/>
          </w:tcPr>
          <w:p w14:paraId="33E98794" w14:textId="77777777" w:rsidR="001C7E53" w:rsidRPr="00011A3D" w:rsidRDefault="001C7E53" w:rsidP="00F91AE4">
            <w:pPr>
              <w:pStyle w:val="TableTextLeft"/>
            </w:pPr>
            <w:r w:rsidRPr="00DD6AAE">
              <w:t>Local market</w:t>
            </w:r>
          </w:p>
        </w:tc>
        <w:tc>
          <w:tcPr>
            <w:tcW w:w="1402" w:type="dxa"/>
            <w:tcBorders>
              <w:top w:val="single" w:sz="4" w:space="0" w:color="auto"/>
              <w:left w:val="nil"/>
              <w:bottom w:val="nil"/>
              <w:right w:val="nil"/>
            </w:tcBorders>
            <w:shd w:val="clear" w:color="auto" w:fill="auto"/>
            <w:noWrap/>
            <w:vAlign w:val="center"/>
          </w:tcPr>
          <w:p w14:paraId="2102FE27" w14:textId="77777777" w:rsidR="001C7E53" w:rsidRPr="00011A3D" w:rsidRDefault="001C7E53" w:rsidP="00D73B6A">
            <w:pPr>
              <w:pStyle w:val="TableTextCentered"/>
            </w:pPr>
            <w:r w:rsidRPr="00DD6AAE">
              <w:t>Y</w:t>
            </w:r>
          </w:p>
        </w:tc>
        <w:tc>
          <w:tcPr>
            <w:tcW w:w="1479" w:type="dxa"/>
            <w:tcBorders>
              <w:top w:val="single" w:sz="4" w:space="0" w:color="auto"/>
              <w:left w:val="nil"/>
              <w:bottom w:val="nil"/>
              <w:right w:val="nil"/>
            </w:tcBorders>
            <w:shd w:val="clear" w:color="auto" w:fill="auto"/>
            <w:noWrap/>
            <w:vAlign w:val="center"/>
          </w:tcPr>
          <w:p w14:paraId="0ADCD94A" w14:textId="77777777" w:rsidR="001C7E53" w:rsidRPr="00011A3D" w:rsidRDefault="001C7E53" w:rsidP="00D73B6A">
            <w:pPr>
              <w:pStyle w:val="TableTextCentered"/>
            </w:pPr>
            <w:r w:rsidRPr="00DD6AAE">
              <w:t>Y</w:t>
            </w:r>
          </w:p>
        </w:tc>
        <w:tc>
          <w:tcPr>
            <w:tcW w:w="1604" w:type="dxa"/>
            <w:tcBorders>
              <w:top w:val="single" w:sz="4" w:space="0" w:color="auto"/>
              <w:left w:val="nil"/>
              <w:bottom w:val="nil"/>
              <w:right w:val="nil"/>
            </w:tcBorders>
            <w:shd w:val="clear" w:color="auto" w:fill="auto"/>
            <w:noWrap/>
            <w:vAlign w:val="center"/>
          </w:tcPr>
          <w:p w14:paraId="5588AB6C" w14:textId="77777777" w:rsidR="001C7E53" w:rsidRPr="00011A3D" w:rsidRDefault="001C7E53" w:rsidP="00D73B6A">
            <w:pPr>
              <w:pStyle w:val="TableTextCentered"/>
            </w:pPr>
            <w:r w:rsidRPr="00DD6AAE">
              <w:t>Y</w:t>
            </w:r>
          </w:p>
        </w:tc>
        <w:tc>
          <w:tcPr>
            <w:tcW w:w="1377" w:type="dxa"/>
            <w:tcBorders>
              <w:top w:val="single" w:sz="4" w:space="0" w:color="auto"/>
              <w:left w:val="nil"/>
              <w:bottom w:val="nil"/>
              <w:right w:val="nil"/>
            </w:tcBorders>
            <w:shd w:val="clear" w:color="auto" w:fill="auto"/>
            <w:noWrap/>
            <w:vAlign w:val="center"/>
          </w:tcPr>
          <w:p w14:paraId="77252945" w14:textId="77777777" w:rsidR="001C7E53" w:rsidRPr="00011A3D" w:rsidRDefault="001C7E53" w:rsidP="00D73B6A">
            <w:pPr>
              <w:pStyle w:val="TableTextCentered"/>
            </w:pPr>
            <w:r w:rsidRPr="00DD6AAE">
              <w:t>Y</w:t>
            </w:r>
          </w:p>
        </w:tc>
      </w:tr>
      <w:tr w:rsidR="001C7E53" w:rsidRPr="00011A3D" w14:paraId="744008B1" w14:textId="77777777" w:rsidTr="001D4952">
        <w:trPr>
          <w:trHeight w:val="300"/>
        </w:trPr>
        <w:tc>
          <w:tcPr>
            <w:tcW w:w="2139" w:type="dxa"/>
            <w:tcBorders>
              <w:top w:val="nil"/>
              <w:left w:val="nil"/>
              <w:bottom w:val="nil"/>
              <w:right w:val="nil"/>
            </w:tcBorders>
            <w:shd w:val="clear" w:color="auto" w:fill="auto"/>
            <w:noWrap/>
            <w:vAlign w:val="bottom"/>
          </w:tcPr>
          <w:p w14:paraId="7A2AA930" w14:textId="77777777" w:rsidR="001C7E53" w:rsidRPr="00011A3D" w:rsidRDefault="001C7E53" w:rsidP="00F91AE4">
            <w:pPr>
              <w:pStyle w:val="TableTextLeft"/>
            </w:pPr>
            <w:r w:rsidRPr="00DD6AAE">
              <w:t>Time*</w:t>
            </w:r>
            <w:r>
              <w:t>I</w:t>
            </w:r>
            <w:r w:rsidRPr="00DD6AAE">
              <w:t>ndustry</w:t>
            </w:r>
          </w:p>
        </w:tc>
        <w:tc>
          <w:tcPr>
            <w:tcW w:w="1402" w:type="dxa"/>
            <w:tcBorders>
              <w:top w:val="nil"/>
              <w:left w:val="nil"/>
              <w:bottom w:val="nil"/>
              <w:right w:val="nil"/>
            </w:tcBorders>
            <w:shd w:val="clear" w:color="auto" w:fill="auto"/>
            <w:noWrap/>
            <w:vAlign w:val="center"/>
          </w:tcPr>
          <w:p w14:paraId="51A99EF5" w14:textId="77777777" w:rsidR="001C7E53" w:rsidRPr="00011A3D" w:rsidRDefault="001C7E53" w:rsidP="00D73B6A">
            <w:pPr>
              <w:pStyle w:val="TableTextCentered"/>
            </w:pPr>
            <w:r w:rsidRPr="00DD6AAE">
              <w:t>Y</w:t>
            </w:r>
          </w:p>
        </w:tc>
        <w:tc>
          <w:tcPr>
            <w:tcW w:w="1479" w:type="dxa"/>
            <w:tcBorders>
              <w:top w:val="nil"/>
              <w:left w:val="nil"/>
              <w:bottom w:val="nil"/>
              <w:right w:val="nil"/>
            </w:tcBorders>
            <w:shd w:val="clear" w:color="auto" w:fill="auto"/>
            <w:noWrap/>
            <w:vAlign w:val="center"/>
          </w:tcPr>
          <w:p w14:paraId="7343F50B" w14:textId="77777777" w:rsidR="001C7E53" w:rsidRPr="00011A3D" w:rsidRDefault="001C7E53" w:rsidP="00D73B6A">
            <w:pPr>
              <w:pStyle w:val="TableTextCentered"/>
            </w:pPr>
            <w:r w:rsidRPr="00DD6AAE">
              <w:t>Y</w:t>
            </w:r>
          </w:p>
        </w:tc>
        <w:tc>
          <w:tcPr>
            <w:tcW w:w="1604" w:type="dxa"/>
            <w:tcBorders>
              <w:top w:val="nil"/>
              <w:left w:val="nil"/>
              <w:bottom w:val="nil"/>
              <w:right w:val="nil"/>
            </w:tcBorders>
            <w:shd w:val="clear" w:color="auto" w:fill="auto"/>
            <w:noWrap/>
            <w:vAlign w:val="center"/>
          </w:tcPr>
          <w:p w14:paraId="111C913F" w14:textId="77777777" w:rsidR="001C7E53" w:rsidRPr="00011A3D" w:rsidRDefault="001C7E53" w:rsidP="00D73B6A">
            <w:pPr>
              <w:pStyle w:val="TableTextCentered"/>
            </w:pPr>
            <w:r w:rsidRPr="00DD6AAE">
              <w:t>Y</w:t>
            </w:r>
          </w:p>
        </w:tc>
        <w:tc>
          <w:tcPr>
            <w:tcW w:w="1377" w:type="dxa"/>
            <w:tcBorders>
              <w:top w:val="nil"/>
              <w:left w:val="nil"/>
              <w:bottom w:val="nil"/>
              <w:right w:val="nil"/>
            </w:tcBorders>
            <w:shd w:val="clear" w:color="auto" w:fill="auto"/>
            <w:noWrap/>
            <w:vAlign w:val="center"/>
          </w:tcPr>
          <w:p w14:paraId="0FFCE73F" w14:textId="77777777" w:rsidR="001C7E53" w:rsidRPr="00011A3D" w:rsidRDefault="001C7E53" w:rsidP="00D73B6A">
            <w:pPr>
              <w:pStyle w:val="TableTextCentered"/>
            </w:pPr>
            <w:r w:rsidRPr="00DD6AAE">
              <w:t>Y</w:t>
            </w:r>
          </w:p>
        </w:tc>
      </w:tr>
      <w:tr w:rsidR="001C7E53" w:rsidRPr="00011A3D" w14:paraId="664B21F3" w14:textId="77777777" w:rsidTr="001D4952">
        <w:trPr>
          <w:trHeight w:val="300"/>
        </w:trPr>
        <w:tc>
          <w:tcPr>
            <w:tcW w:w="2139" w:type="dxa"/>
            <w:tcBorders>
              <w:top w:val="nil"/>
              <w:left w:val="nil"/>
              <w:bottom w:val="single" w:sz="4" w:space="0" w:color="auto"/>
              <w:right w:val="nil"/>
            </w:tcBorders>
            <w:shd w:val="clear" w:color="auto" w:fill="auto"/>
            <w:noWrap/>
            <w:vAlign w:val="bottom"/>
          </w:tcPr>
          <w:p w14:paraId="579A5FF7" w14:textId="77777777" w:rsidR="001C7E53" w:rsidRPr="00011A3D" w:rsidRDefault="001C7E53" w:rsidP="00F91AE4">
            <w:pPr>
              <w:pStyle w:val="TableTextLeft"/>
            </w:pPr>
            <w:r w:rsidRPr="00DD6AAE">
              <w:t>Time*Location</w:t>
            </w:r>
          </w:p>
        </w:tc>
        <w:tc>
          <w:tcPr>
            <w:tcW w:w="1402" w:type="dxa"/>
            <w:tcBorders>
              <w:top w:val="nil"/>
              <w:left w:val="nil"/>
              <w:bottom w:val="single" w:sz="4" w:space="0" w:color="auto"/>
              <w:right w:val="nil"/>
            </w:tcBorders>
            <w:shd w:val="clear" w:color="auto" w:fill="auto"/>
            <w:noWrap/>
            <w:vAlign w:val="center"/>
          </w:tcPr>
          <w:p w14:paraId="586075B3" w14:textId="77777777" w:rsidR="001C7E53" w:rsidRPr="00011A3D" w:rsidRDefault="001C7E53" w:rsidP="00D73B6A">
            <w:pPr>
              <w:pStyle w:val="TableTextCentered"/>
            </w:pPr>
            <w:r w:rsidRPr="00DD6AAE">
              <w:t>Y</w:t>
            </w:r>
          </w:p>
        </w:tc>
        <w:tc>
          <w:tcPr>
            <w:tcW w:w="1479" w:type="dxa"/>
            <w:tcBorders>
              <w:top w:val="nil"/>
              <w:left w:val="nil"/>
              <w:bottom w:val="single" w:sz="4" w:space="0" w:color="auto"/>
              <w:right w:val="nil"/>
            </w:tcBorders>
            <w:shd w:val="clear" w:color="auto" w:fill="auto"/>
            <w:noWrap/>
            <w:vAlign w:val="center"/>
          </w:tcPr>
          <w:p w14:paraId="07902E3F" w14:textId="77777777" w:rsidR="001C7E53" w:rsidRPr="00011A3D" w:rsidRDefault="001C7E53" w:rsidP="00D73B6A">
            <w:pPr>
              <w:pStyle w:val="TableTextCentered"/>
            </w:pPr>
            <w:r w:rsidRPr="00DD6AAE">
              <w:t>Y</w:t>
            </w:r>
          </w:p>
        </w:tc>
        <w:tc>
          <w:tcPr>
            <w:tcW w:w="1604" w:type="dxa"/>
            <w:tcBorders>
              <w:top w:val="nil"/>
              <w:left w:val="nil"/>
              <w:bottom w:val="single" w:sz="4" w:space="0" w:color="auto"/>
              <w:right w:val="nil"/>
            </w:tcBorders>
            <w:shd w:val="clear" w:color="auto" w:fill="auto"/>
            <w:noWrap/>
            <w:vAlign w:val="center"/>
          </w:tcPr>
          <w:p w14:paraId="414ACEAD" w14:textId="77777777" w:rsidR="001C7E53" w:rsidRPr="00011A3D" w:rsidRDefault="001C7E53" w:rsidP="00D73B6A">
            <w:pPr>
              <w:pStyle w:val="TableTextCentered"/>
            </w:pPr>
            <w:r w:rsidRPr="00DD6AAE">
              <w:t>Y</w:t>
            </w:r>
          </w:p>
        </w:tc>
        <w:tc>
          <w:tcPr>
            <w:tcW w:w="1377" w:type="dxa"/>
            <w:tcBorders>
              <w:top w:val="nil"/>
              <w:left w:val="nil"/>
              <w:bottom w:val="single" w:sz="4" w:space="0" w:color="auto"/>
              <w:right w:val="nil"/>
            </w:tcBorders>
            <w:shd w:val="clear" w:color="auto" w:fill="auto"/>
            <w:noWrap/>
            <w:vAlign w:val="center"/>
          </w:tcPr>
          <w:p w14:paraId="6DE787A1" w14:textId="77777777" w:rsidR="001C7E53" w:rsidRPr="00011A3D" w:rsidRDefault="001C7E53" w:rsidP="00D73B6A">
            <w:pPr>
              <w:pStyle w:val="TableTextCentered"/>
            </w:pPr>
            <w:r w:rsidRPr="00DD6AAE">
              <w:t>Y</w:t>
            </w:r>
          </w:p>
        </w:tc>
      </w:tr>
    </w:tbl>
    <w:p w14:paraId="6B6247DC" w14:textId="4D0482CD" w:rsidR="001C7E53" w:rsidRDefault="001C7E53" w:rsidP="00D73B6A">
      <w:pPr>
        <w:pStyle w:val="ChartorTableNote"/>
      </w:pPr>
      <w:r w:rsidRPr="00AF44C3">
        <w:t xml:space="preserve">Note: All regressions include a </w:t>
      </w:r>
      <w:r>
        <w:t>set of common controls covering</w:t>
      </w:r>
      <w:r w:rsidRPr="00AF44C3">
        <w:t xml:space="preserve"> market characteristics (number of workers in the market</w:t>
      </w:r>
      <w:r w:rsidR="006D1604">
        <w:t xml:space="preserve">. </w:t>
      </w:r>
      <w:r w:rsidRPr="00AF44C3">
        <w:t>Errors clusters at the local market level.</w:t>
      </w:r>
    </w:p>
    <w:p w14:paraId="346BA1EF" w14:textId="77777777" w:rsidR="001C7E53" w:rsidRDefault="001C7E53" w:rsidP="00F91AE4">
      <w:pPr>
        <w:spacing w:after="200" w:line="276" w:lineRule="auto"/>
        <w:rPr>
          <w:sz w:val="18"/>
        </w:rPr>
      </w:pPr>
      <w:r>
        <w:rPr>
          <w:sz w:val="18"/>
        </w:rPr>
        <w:br w:type="page"/>
      </w:r>
    </w:p>
    <w:p w14:paraId="20300D97" w14:textId="2CF236F3" w:rsidR="001C7E53" w:rsidRDefault="001D4952" w:rsidP="00F91AE4">
      <w:pPr>
        <w:pStyle w:val="TableMainHeading"/>
        <w:rPr>
          <w:sz w:val="18"/>
        </w:rPr>
      </w:pPr>
      <w:r w:rsidRPr="00394A8F">
        <w:lastRenderedPageBreak/>
        <w:t>Table B</w:t>
      </w:r>
      <w:r>
        <w:t>6</w:t>
      </w:r>
      <w:r w:rsidRPr="00394A8F">
        <w:t>: Wages models</w:t>
      </w:r>
    </w:p>
    <w:tbl>
      <w:tblPr>
        <w:tblW w:w="5000" w:type="pct"/>
        <w:tblLook w:val="04A0" w:firstRow="1" w:lastRow="0" w:firstColumn="1" w:lastColumn="0" w:noHBand="0" w:noVBand="1"/>
      </w:tblPr>
      <w:tblGrid>
        <w:gridCol w:w="1594"/>
        <w:gridCol w:w="1544"/>
        <w:gridCol w:w="1495"/>
        <w:gridCol w:w="1248"/>
        <w:gridCol w:w="1620"/>
        <w:gridCol w:w="1569"/>
      </w:tblGrid>
      <w:tr w:rsidR="001C7E53" w:rsidRPr="00394A8F" w14:paraId="2B0A4167" w14:textId="77777777" w:rsidTr="001D0062">
        <w:trPr>
          <w:trHeight w:val="300"/>
        </w:trPr>
        <w:tc>
          <w:tcPr>
            <w:tcW w:w="9070" w:type="dxa"/>
            <w:gridSpan w:val="6"/>
            <w:tcBorders>
              <w:top w:val="nil"/>
              <w:left w:val="nil"/>
              <w:right w:val="nil"/>
            </w:tcBorders>
            <w:shd w:val="clear" w:color="auto" w:fill="auto"/>
            <w:noWrap/>
            <w:vAlign w:val="center"/>
            <w:hideMark/>
          </w:tcPr>
          <w:p w14:paraId="6E86236F" w14:textId="6DD2B5EB" w:rsidR="001C7E53" w:rsidRPr="00394A8F" w:rsidRDefault="001C7E53" w:rsidP="004B2309">
            <w:pPr>
              <w:spacing w:after="0"/>
              <w:jc w:val="center"/>
              <w:rPr>
                <w:rFonts w:cs="Calibri"/>
                <w:b/>
                <w:bCs/>
                <w:color w:val="000000"/>
                <w:sz w:val="20"/>
              </w:rPr>
            </w:pPr>
          </w:p>
        </w:tc>
      </w:tr>
      <w:tr w:rsidR="001C7E53" w:rsidRPr="00394A8F" w14:paraId="372A2260" w14:textId="77777777" w:rsidTr="001D0062">
        <w:trPr>
          <w:trHeight w:val="300"/>
        </w:trPr>
        <w:tc>
          <w:tcPr>
            <w:tcW w:w="1594" w:type="dxa"/>
            <w:tcBorders>
              <w:left w:val="nil"/>
              <w:bottom w:val="single" w:sz="4" w:space="0" w:color="auto"/>
              <w:right w:val="nil"/>
            </w:tcBorders>
            <w:shd w:val="clear" w:color="auto" w:fill="auto"/>
            <w:noWrap/>
            <w:vAlign w:val="center"/>
            <w:hideMark/>
          </w:tcPr>
          <w:p w14:paraId="437BCB6F" w14:textId="77777777" w:rsidR="001C7E53" w:rsidRPr="00394A8F" w:rsidRDefault="001C7E53" w:rsidP="004B2309">
            <w:pPr>
              <w:spacing w:after="0"/>
              <w:jc w:val="center"/>
              <w:rPr>
                <w:rFonts w:cs="Calibri"/>
                <w:color w:val="000000"/>
                <w:sz w:val="20"/>
              </w:rPr>
            </w:pPr>
            <w:r w:rsidRPr="00394A8F">
              <w:rPr>
                <w:rFonts w:cs="Calibri"/>
                <w:color w:val="000000"/>
                <w:sz w:val="20"/>
              </w:rPr>
              <w:t> </w:t>
            </w:r>
          </w:p>
        </w:tc>
        <w:tc>
          <w:tcPr>
            <w:tcW w:w="3039" w:type="dxa"/>
            <w:gridSpan w:val="2"/>
            <w:tcBorders>
              <w:left w:val="nil"/>
              <w:bottom w:val="single" w:sz="4" w:space="0" w:color="auto"/>
              <w:right w:val="nil"/>
            </w:tcBorders>
            <w:shd w:val="clear" w:color="auto" w:fill="auto"/>
            <w:noWrap/>
            <w:vAlign w:val="center"/>
            <w:hideMark/>
          </w:tcPr>
          <w:p w14:paraId="7F3831F2" w14:textId="77777777" w:rsidR="001C7E53" w:rsidRPr="00394A8F" w:rsidRDefault="001C7E53" w:rsidP="004B2309">
            <w:pPr>
              <w:pStyle w:val="TableColumnHeadingCentred"/>
            </w:pPr>
            <w:r w:rsidRPr="00394A8F">
              <w:t>Local Labour Market model</w:t>
            </w:r>
            <w:r>
              <w:t>s</w:t>
            </w:r>
          </w:p>
        </w:tc>
        <w:tc>
          <w:tcPr>
            <w:tcW w:w="4437" w:type="dxa"/>
            <w:gridSpan w:val="3"/>
            <w:tcBorders>
              <w:left w:val="nil"/>
              <w:bottom w:val="single" w:sz="4" w:space="0" w:color="auto"/>
              <w:right w:val="nil"/>
            </w:tcBorders>
            <w:shd w:val="clear" w:color="auto" w:fill="auto"/>
            <w:noWrap/>
            <w:vAlign w:val="center"/>
            <w:hideMark/>
          </w:tcPr>
          <w:p w14:paraId="29E0FBD7" w14:textId="4F8510A9" w:rsidR="001C7E53" w:rsidRPr="00394A8F" w:rsidRDefault="001C7E53" w:rsidP="004B2309">
            <w:pPr>
              <w:pStyle w:val="TableColumnHeadingCentred"/>
            </w:pPr>
            <w:r>
              <w:t>Plant</w:t>
            </w:r>
            <w:r w:rsidR="0018466E">
              <w:noBreakHyphen/>
            </w:r>
            <w:r w:rsidRPr="00394A8F">
              <w:t>level model</w:t>
            </w:r>
          </w:p>
        </w:tc>
      </w:tr>
      <w:tr w:rsidR="001C7E53" w:rsidRPr="00394A8F" w14:paraId="047696A3" w14:textId="77777777" w:rsidTr="001D0062">
        <w:trPr>
          <w:trHeight w:val="315"/>
        </w:trPr>
        <w:tc>
          <w:tcPr>
            <w:tcW w:w="1594" w:type="dxa"/>
            <w:tcBorders>
              <w:top w:val="nil"/>
              <w:left w:val="nil"/>
              <w:bottom w:val="single" w:sz="8" w:space="0" w:color="auto"/>
              <w:right w:val="nil"/>
            </w:tcBorders>
            <w:shd w:val="clear" w:color="auto" w:fill="auto"/>
            <w:noWrap/>
            <w:vAlign w:val="center"/>
            <w:hideMark/>
          </w:tcPr>
          <w:p w14:paraId="66758A59" w14:textId="77777777" w:rsidR="001C7E53" w:rsidRPr="00394A8F" w:rsidRDefault="001C7E53" w:rsidP="00F91AE4">
            <w:pPr>
              <w:spacing w:after="0"/>
              <w:rPr>
                <w:rFonts w:cs="Calibri"/>
                <w:i/>
                <w:iCs/>
                <w:color w:val="000000"/>
                <w:sz w:val="20"/>
              </w:rPr>
            </w:pPr>
            <w:r w:rsidRPr="00394A8F">
              <w:rPr>
                <w:rFonts w:cs="Calibri"/>
                <w:i/>
                <w:iCs/>
                <w:color w:val="000000"/>
                <w:sz w:val="20"/>
              </w:rPr>
              <w:t> </w:t>
            </w:r>
          </w:p>
        </w:tc>
        <w:tc>
          <w:tcPr>
            <w:tcW w:w="1544" w:type="dxa"/>
            <w:tcBorders>
              <w:top w:val="nil"/>
              <w:left w:val="nil"/>
              <w:bottom w:val="single" w:sz="8" w:space="0" w:color="auto"/>
              <w:right w:val="nil"/>
            </w:tcBorders>
            <w:shd w:val="clear" w:color="auto" w:fill="auto"/>
            <w:noWrap/>
            <w:vAlign w:val="center"/>
            <w:hideMark/>
          </w:tcPr>
          <w:p w14:paraId="4649717E" w14:textId="77777777" w:rsidR="001C7E53" w:rsidRPr="00394A8F" w:rsidRDefault="001C7E53" w:rsidP="004B2309">
            <w:pPr>
              <w:pStyle w:val="TableColumnHeadingCentred"/>
            </w:pPr>
            <w:r>
              <w:t>Labour market</w:t>
            </w:r>
          </w:p>
        </w:tc>
        <w:tc>
          <w:tcPr>
            <w:tcW w:w="1495" w:type="dxa"/>
            <w:tcBorders>
              <w:top w:val="nil"/>
              <w:left w:val="nil"/>
              <w:bottom w:val="single" w:sz="8" w:space="0" w:color="auto"/>
              <w:right w:val="nil"/>
            </w:tcBorders>
            <w:shd w:val="clear" w:color="auto" w:fill="auto"/>
            <w:noWrap/>
            <w:vAlign w:val="center"/>
            <w:hideMark/>
          </w:tcPr>
          <w:p w14:paraId="0A93BD9A" w14:textId="3D452B7B" w:rsidR="001C7E53" w:rsidRPr="00394A8F" w:rsidRDefault="001C7E53" w:rsidP="004B2309">
            <w:pPr>
              <w:pStyle w:val="TableColumnHeadingCentred"/>
            </w:pPr>
            <w:r>
              <w:t>Labour market</w:t>
            </w:r>
            <w:r w:rsidRPr="00394A8F">
              <w:t xml:space="preserve"> </w:t>
            </w:r>
            <w:r>
              <w:t xml:space="preserve">  </w:t>
            </w:r>
            <w:r w:rsidR="0018466E">
              <w:noBreakHyphen/>
            </w:r>
            <w:r w:rsidRPr="00394A8F">
              <w:t>Over time</w:t>
            </w:r>
          </w:p>
        </w:tc>
        <w:tc>
          <w:tcPr>
            <w:tcW w:w="1248" w:type="dxa"/>
            <w:tcBorders>
              <w:top w:val="nil"/>
              <w:left w:val="nil"/>
              <w:bottom w:val="single" w:sz="8" w:space="0" w:color="auto"/>
              <w:right w:val="nil"/>
            </w:tcBorders>
            <w:shd w:val="clear" w:color="auto" w:fill="auto"/>
            <w:noWrap/>
            <w:vAlign w:val="center"/>
            <w:hideMark/>
          </w:tcPr>
          <w:p w14:paraId="60DD73B7" w14:textId="77777777" w:rsidR="001C7E53" w:rsidRPr="00394A8F" w:rsidRDefault="001C7E53" w:rsidP="004B2309">
            <w:pPr>
              <w:pStyle w:val="TableColumnHeadingCentred"/>
            </w:pPr>
            <w:r>
              <w:t>Plant</w:t>
            </w:r>
            <w:r w:rsidRPr="00394A8F">
              <w:t xml:space="preserve"> monopsony</w:t>
            </w:r>
          </w:p>
        </w:tc>
        <w:tc>
          <w:tcPr>
            <w:tcW w:w="1620" w:type="dxa"/>
            <w:tcBorders>
              <w:top w:val="nil"/>
              <w:left w:val="nil"/>
              <w:bottom w:val="single" w:sz="8" w:space="0" w:color="auto"/>
              <w:right w:val="nil"/>
            </w:tcBorders>
            <w:shd w:val="clear" w:color="auto" w:fill="auto"/>
            <w:noWrap/>
            <w:vAlign w:val="center"/>
            <w:hideMark/>
          </w:tcPr>
          <w:p w14:paraId="2AAD2B38" w14:textId="77777777" w:rsidR="001C7E53" w:rsidRPr="00394A8F" w:rsidRDefault="001C7E53" w:rsidP="004B2309">
            <w:pPr>
              <w:pStyle w:val="TableColumnHeadingCentred"/>
            </w:pPr>
            <w:r>
              <w:t>Plant</w:t>
            </w:r>
            <w:r w:rsidRPr="00394A8F">
              <w:t xml:space="preserve"> oligopsony</w:t>
            </w:r>
          </w:p>
        </w:tc>
        <w:tc>
          <w:tcPr>
            <w:tcW w:w="1569" w:type="dxa"/>
            <w:tcBorders>
              <w:top w:val="nil"/>
              <w:left w:val="nil"/>
              <w:bottom w:val="single" w:sz="8" w:space="0" w:color="auto"/>
              <w:right w:val="nil"/>
            </w:tcBorders>
            <w:shd w:val="clear" w:color="auto" w:fill="auto"/>
            <w:noWrap/>
            <w:vAlign w:val="center"/>
            <w:hideMark/>
          </w:tcPr>
          <w:p w14:paraId="505FC0DC" w14:textId="59F6FFF7" w:rsidR="001C7E53" w:rsidRPr="00394A8F" w:rsidRDefault="001C7E53" w:rsidP="004B2309">
            <w:pPr>
              <w:pStyle w:val="TableColumnHeadingCentred"/>
            </w:pPr>
            <w:r>
              <w:t>Plant r</w:t>
            </w:r>
            <w:r w:rsidRPr="00394A8F">
              <w:t>ent</w:t>
            </w:r>
            <w:r w:rsidR="0018466E">
              <w:noBreakHyphen/>
            </w:r>
            <w:r w:rsidRPr="00394A8F">
              <w:t>sharing</w:t>
            </w:r>
          </w:p>
        </w:tc>
      </w:tr>
      <w:tr w:rsidR="001C7E53" w:rsidRPr="00394A8F" w14:paraId="7D6C879A" w14:textId="77777777" w:rsidTr="001D0062">
        <w:trPr>
          <w:trHeight w:val="300"/>
        </w:trPr>
        <w:tc>
          <w:tcPr>
            <w:tcW w:w="1594" w:type="dxa"/>
            <w:tcBorders>
              <w:top w:val="nil"/>
              <w:left w:val="nil"/>
              <w:bottom w:val="nil"/>
              <w:right w:val="nil"/>
            </w:tcBorders>
            <w:shd w:val="clear" w:color="auto" w:fill="auto"/>
            <w:noWrap/>
            <w:vAlign w:val="center"/>
            <w:hideMark/>
          </w:tcPr>
          <w:p w14:paraId="547D8F1B" w14:textId="77777777" w:rsidR="001C7E53" w:rsidRPr="00394A8F" w:rsidRDefault="001C7E53" w:rsidP="004B2309">
            <w:pPr>
              <w:spacing w:after="0"/>
              <w:jc w:val="center"/>
              <w:rPr>
                <w:rFonts w:cs="Calibri"/>
                <w:i/>
                <w:iCs/>
                <w:color w:val="000000"/>
                <w:sz w:val="20"/>
              </w:rPr>
            </w:pPr>
          </w:p>
        </w:tc>
        <w:tc>
          <w:tcPr>
            <w:tcW w:w="1544" w:type="dxa"/>
            <w:tcBorders>
              <w:top w:val="nil"/>
              <w:left w:val="nil"/>
              <w:bottom w:val="nil"/>
              <w:right w:val="nil"/>
            </w:tcBorders>
            <w:shd w:val="clear" w:color="auto" w:fill="auto"/>
            <w:noWrap/>
            <w:vAlign w:val="center"/>
            <w:hideMark/>
          </w:tcPr>
          <w:p w14:paraId="6FE7D8DF" w14:textId="77777777" w:rsidR="001C7E53" w:rsidRPr="00394A8F" w:rsidRDefault="001C7E53" w:rsidP="00F91AE4">
            <w:pPr>
              <w:spacing w:after="0"/>
              <w:rPr>
                <w:rFonts w:ascii="Times New Roman" w:hAnsi="Times New Roman"/>
                <w:sz w:val="20"/>
              </w:rPr>
            </w:pPr>
          </w:p>
        </w:tc>
        <w:tc>
          <w:tcPr>
            <w:tcW w:w="1495" w:type="dxa"/>
            <w:tcBorders>
              <w:top w:val="nil"/>
              <w:left w:val="nil"/>
              <w:bottom w:val="nil"/>
              <w:right w:val="nil"/>
            </w:tcBorders>
            <w:shd w:val="clear" w:color="auto" w:fill="auto"/>
            <w:noWrap/>
            <w:vAlign w:val="center"/>
            <w:hideMark/>
          </w:tcPr>
          <w:p w14:paraId="2C77C997" w14:textId="77777777" w:rsidR="001C7E53" w:rsidRPr="00394A8F" w:rsidRDefault="001C7E53" w:rsidP="004B2309">
            <w:pPr>
              <w:spacing w:after="0"/>
              <w:jc w:val="center"/>
              <w:rPr>
                <w:rFonts w:ascii="Times New Roman" w:hAnsi="Times New Roman"/>
                <w:sz w:val="20"/>
              </w:rPr>
            </w:pPr>
          </w:p>
        </w:tc>
        <w:tc>
          <w:tcPr>
            <w:tcW w:w="1248" w:type="dxa"/>
            <w:tcBorders>
              <w:top w:val="nil"/>
              <w:left w:val="nil"/>
              <w:bottom w:val="nil"/>
              <w:right w:val="nil"/>
            </w:tcBorders>
            <w:shd w:val="clear" w:color="auto" w:fill="auto"/>
            <w:noWrap/>
            <w:vAlign w:val="center"/>
            <w:hideMark/>
          </w:tcPr>
          <w:p w14:paraId="0A7D72F6" w14:textId="77777777" w:rsidR="001C7E53" w:rsidRPr="00394A8F" w:rsidRDefault="001C7E53" w:rsidP="004B2309">
            <w:pPr>
              <w:spacing w:after="0"/>
              <w:jc w:val="center"/>
              <w:rPr>
                <w:rFonts w:ascii="Times New Roman" w:hAnsi="Times New Roman"/>
                <w:sz w:val="20"/>
              </w:rPr>
            </w:pPr>
          </w:p>
        </w:tc>
        <w:tc>
          <w:tcPr>
            <w:tcW w:w="1620" w:type="dxa"/>
            <w:tcBorders>
              <w:top w:val="nil"/>
              <w:left w:val="nil"/>
              <w:bottom w:val="nil"/>
              <w:right w:val="nil"/>
            </w:tcBorders>
            <w:shd w:val="clear" w:color="auto" w:fill="auto"/>
            <w:noWrap/>
            <w:vAlign w:val="center"/>
            <w:hideMark/>
          </w:tcPr>
          <w:p w14:paraId="09AFF753" w14:textId="77777777" w:rsidR="001C7E53" w:rsidRPr="00394A8F" w:rsidRDefault="001C7E53" w:rsidP="004B2309">
            <w:pPr>
              <w:spacing w:after="0"/>
              <w:jc w:val="center"/>
              <w:rPr>
                <w:rFonts w:ascii="Times New Roman" w:hAnsi="Times New Roman"/>
                <w:sz w:val="20"/>
              </w:rPr>
            </w:pPr>
          </w:p>
        </w:tc>
        <w:tc>
          <w:tcPr>
            <w:tcW w:w="1569" w:type="dxa"/>
            <w:tcBorders>
              <w:top w:val="nil"/>
              <w:left w:val="nil"/>
              <w:bottom w:val="nil"/>
              <w:right w:val="nil"/>
            </w:tcBorders>
            <w:shd w:val="clear" w:color="auto" w:fill="auto"/>
            <w:noWrap/>
            <w:vAlign w:val="center"/>
            <w:hideMark/>
          </w:tcPr>
          <w:p w14:paraId="3EAFE838" w14:textId="77777777" w:rsidR="001C7E53" w:rsidRPr="00394A8F" w:rsidRDefault="001C7E53" w:rsidP="004B2309">
            <w:pPr>
              <w:spacing w:after="0"/>
              <w:jc w:val="center"/>
              <w:rPr>
                <w:rFonts w:ascii="Times New Roman" w:hAnsi="Times New Roman"/>
                <w:sz w:val="20"/>
              </w:rPr>
            </w:pPr>
          </w:p>
        </w:tc>
      </w:tr>
      <w:tr w:rsidR="001C7E53" w:rsidRPr="00394A8F" w14:paraId="1A4FC8B6" w14:textId="77777777" w:rsidTr="001D0062">
        <w:trPr>
          <w:trHeight w:val="300"/>
        </w:trPr>
        <w:tc>
          <w:tcPr>
            <w:tcW w:w="1594" w:type="dxa"/>
            <w:vMerge w:val="restart"/>
            <w:tcBorders>
              <w:top w:val="nil"/>
              <w:left w:val="nil"/>
              <w:bottom w:val="nil"/>
              <w:right w:val="nil"/>
            </w:tcBorders>
            <w:shd w:val="clear" w:color="auto" w:fill="auto"/>
            <w:vAlign w:val="center"/>
            <w:hideMark/>
          </w:tcPr>
          <w:p w14:paraId="479B284A" w14:textId="77777777" w:rsidR="001C7E53" w:rsidRPr="00394A8F" w:rsidRDefault="001C7E53" w:rsidP="00F91AE4">
            <w:pPr>
              <w:pStyle w:val="TableTextLeft"/>
            </w:pPr>
            <w:r>
              <w:t>Market C</w:t>
            </w:r>
            <w:r w:rsidRPr="00394A8F">
              <w:t xml:space="preserve">oncentration </w:t>
            </w:r>
            <w:r>
              <w:t>(HHI)</w:t>
            </w:r>
          </w:p>
        </w:tc>
        <w:tc>
          <w:tcPr>
            <w:tcW w:w="1544" w:type="dxa"/>
            <w:tcBorders>
              <w:top w:val="nil"/>
              <w:left w:val="nil"/>
              <w:bottom w:val="nil"/>
              <w:right w:val="nil"/>
            </w:tcBorders>
            <w:shd w:val="clear" w:color="auto" w:fill="auto"/>
            <w:noWrap/>
            <w:vAlign w:val="center"/>
            <w:hideMark/>
          </w:tcPr>
          <w:p w14:paraId="266576C7" w14:textId="21FA0A4F" w:rsidR="001C7E53" w:rsidRPr="00394A8F" w:rsidRDefault="0018466E" w:rsidP="004B2309">
            <w:pPr>
              <w:pStyle w:val="TableTextCentered"/>
            </w:pPr>
            <w:r>
              <w:noBreakHyphen/>
            </w:r>
            <w:r w:rsidR="001C7E53" w:rsidRPr="00394A8F">
              <w:t>0.311***</w:t>
            </w:r>
          </w:p>
        </w:tc>
        <w:tc>
          <w:tcPr>
            <w:tcW w:w="1495" w:type="dxa"/>
            <w:tcBorders>
              <w:top w:val="nil"/>
              <w:left w:val="nil"/>
              <w:bottom w:val="nil"/>
              <w:right w:val="nil"/>
            </w:tcBorders>
            <w:shd w:val="clear" w:color="auto" w:fill="auto"/>
            <w:noWrap/>
            <w:vAlign w:val="center"/>
            <w:hideMark/>
          </w:tcPr>
          <w:p w14:paraId="1D8A663E" w14:textId="54390B80" w:rsidR="001C7E53" w:rsidRPr="00394A8F" w:rsidRDefault="0018466E" w:rsidP="004B2309">
            <w:pPr>
              <w:pStyle w:val="TableTextCentered"/>
            </w:pPr>
            <w:r>
              <w:noBreakHyphen/>
            </w:r>
            <w:r w:rsidR="001C7E53" w:rsidRPr="00394A8F">
              <w:t>0.</w:t>
            </w:r>
            <w:r w:rsidR="001C7E53">
              <w:t>246</w:t>
            </w:r>
            <w:r w:rsidR="001C7E53" w:rsidRPr="00394A8F">
              <w:t>***</w:t>
            </w:r>
          </w:p>
        </w:tc>
        <w:tc>
          <w:tcPr>
            <w:tcW w:w="1248" w:type="dxa"/>
            <w:tcBorders>
              <w:top w:val="nil"/>
              <w:left w:val="nil"/>
              <w:bottom w:val="nil"/>
              <w:right w:val="nil"/>
            </w:tcBorders>
            <w:shd w:val="clear" w:color="auto" w:fill="auto"/>
            <w:noWrap/>
            <w:vAlign w:val="center"/>
            <w:hideMark/>
          </w:tcPr>
          <w:p w14:paraId="618129F8" w14:textId="2D0B814B" w:rsidR="001C7E53" w:rsidRPr="00394A8F" w:rsidRDefault="0018466E" w:rsidP="004B2309">
            <w:pPr>
              <w:pStyle w:val="TableTextCentered"/>
            </w:pPr>
            <w:r>
              <w:noBreakHyphen/>
            </w:r>
            <w:r w:rsidR="001C7E53" w:rsidRPr="00394A8F">
              <w:t>0.279***</w:t>
            </w:r>
          </w:p>
        </w:tc>
        <w:tc>
          <w:tcPr>
            <w:tcW w:w="1620" w:type="dxa"/>
            <w:tcBorders>
              <w:top w:val="nil"/>
              <w:left w:val="nil"/>
              <w:bottom w:val="nil"/>
              <w:right w:val="nil"/>
            </w:tcBorders>
            <w:shd w:val="clear" w:color="auto" w:fill="auto"/>
            <w:noWrap/>
            <w:vAlign w:val="center"/>
            <w:hideMark/>
          </w:tcPr>
          <w:p w14:paraId="3333F9F1" w14:textId="77777777" w:rsidR="001C7E53" w:rsidRPr="00394A8F" w:rsidRDefault="001C7E53" w:rsidP="004B2309">
            <w:pPr>
              <w:pStyle w:val="TableTextCentered"/>
            </w:pPr>
          </w:p>
        </w:tc>
        <w:tc>
          <w:tcPr>
            <w:tcW w:w="1569" w:type="dxa"/>
            <w:tcBorders>
              <w:top w:val="nil"/>
              <w:left w:val="nil"/>
              <w:bottom w:val="nil"/>
              <w:right w:val="nil"/>
            </w:tcBorders>
            <w:shd w:val="clear" w:color="auto" w:fill="auto"/>
            <w:noWrap/>
            <w:vAlign w:val="center"/>
          </w:tcPr>
          <w:p w14:paraId="6C086D23" w14:textId="77777777" w:rsidR="001C7E53" w:rsidRPr="00394A8F" w:rsidRDefault="001C7E53" w:rsidP="004B2309">
            <w:pPr>
              <w:pStyle w:val="TableTextCentered"/>
            </w:pPr>
          </w:p>
        </w:tc>
      </w:tr>
      <w:tr w:rsidR="001C7E53" w:rsidRPr="00394A8F" w14:paraId="2DBA3749" w14:textId="77777777" w:rsidTr="001D0062">
        <w:trPr>
          <w:trHeight w:val="300"/>
        </w:trPr>
        <w:tc>
          <w:tcPr>
            <w:tcW w:w="1594" w:type="dxa"/>
            <w:vMerge/>
            <w:tcBorders>
              <w:top w:val="nil"/>
              <w:left w:val="nil"/>
              <w:bottom w:val="nil"/>
              <w:right w:val="nil"/>
            </w:tcBorders>
            <w:vAlign w:val="center"/>
            <w:hideMark/>
          </w:tcPr>
          <w:p w14:paraId="01D39E4D"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2E6C9B95" w14:textId="77777777" w:rsidR="001C7E53" w:rsidRPr="00394A8F" w:rsidRDefault="001C7E53" w:rsidP="004B2309">
            <w:pPr>
              <w:pStyle w:val="TableTextCentered"/>
            </w:pPr>
            <w:r w:rsidRPr="00394A8F">
              <w:t>(0.008)</w:t>
            </w:r>
          </w:p>
        </w:tc>
        <w:tc>
          <w:tcPr>
            <w:tcW w:w="1495" w:type="dxa"/>
            <w:tcBorders>
              <w:top w:val="nil"/>
              <w:left w:val="nil"/>
              <w:bottom w:val="nil"/>
              <w:right w:val="nil"/>
            </w:tcBorders>
            <w:shd w:val="clear" w:color="auto" w:fill="auto"/>
            <w:noWrap/>
            <w:vAlign w:val="center"/>
            <w:hideMark/>
          </w:tcPr>
          <w:p w14:paraId="17997209" w14:textId="77777777" w:rsidR="001C7E53" w:rsidRPr="00394A8F" w:rsidRDefault="001C7E53" w:rsidP="004B2309">
            <w:pPr>
              <w:pStyle w:val="TableTextCentered"/>
            </w:pPr>
            <w:r w:rsidRPr="00394A8F">
              <w:t>(0.023)</w:t>
            </w:r>
          </w:p>
        </w:tc>
        <w:tc>
          <w:tcPr>
            <w:tcW w:w="1248" w:type="dxa"/>
            <w:tcBorders>
              <w:top w:val="nil"/>
              <w:left w:val="nil"/>
              <w:bottom w:val="nil"/>
              <w:right w:val="nil"/>
            </w:tcBorders>
            <w:shd w:val="clear" w:color="auto" w:fill="auto"/>
            <w:noWrap/>
            <w:vAlign w:val="center"/>
            <w:hideMark/>
          </w:tcPr>
          <w:p w14:paraId="74B871A6" w14:textId="77777777" w:rsidR="001C7E53" w:rsidRPr="00394A8F" w:rsidRDefault="001C7E53" w:rsidP="004B2309">
            <w:pPr>
              <w:pStyle w:val="TableTextCentered"/>
            </w:pPr>
            <w:r w:rsidRPr="00394A8F">
              <w:t>(0.011)</w:t>
            </w:r>
          </w:p>
        </w:tc>
        <w:tc>
          <w:tcPr>
            <w:tcW w:w="1620" w:type="dxa"/>
            <w:tcBorders>
              <w:top w:val="nil"/>
              <w:left w:val="nil"/>
              <w:bottom w:val="nil"/>
              <w:right w:val="nil"/>
            </w:tcBorders>
            <w:shd w:val="clear" w:color="auto" w:fill="auto"/>
            <w:noWrap/>
            <w:vAlign w:val="center"/>
            <w:hideMark/>
          </w:tcPr>
          <w:p w14:paraId="62ECD7DA" w14:textId="77777777" w:rsidR="001C7E53" w:rsidRPr="00394A8F" w:rsidRDefault="001C7E53" w:rsidP="004B2309">
            <w:pPr>
              <w:pStyle w:val="TableTextCentered"/>
            </w:pPr>
          </w:p>
        </w:tc>
        <w:tc>
          <w:tcPr>
            <w:tcW w:w="1569" w:type="dxa"/>
            <w:tcBorders>
              <w:top w:val="nil"/>
              <w:left w:val="nil"/>
              <w:bottom w:val="nil"/>
              <w:right w:val="nil"/>
            </w:tcBorders>
            <w:shd w:val="clear" w:color="auto" w:fill="auto"/>
            <w:noWrap/>
            <w:vAlign w:val="center"/>
          </w:tcPr>
          <w:p w14:paraId="3321AB6D" w14:textId="77777777" w:rsidR="001C7E53" w:rsidRPr="00394A8F" w:rsidRDefault="001C7E53" w:rsidP="004B2309">
            <w:pPr>
              <w:pStyle w:val="TableTextCentered"/>
            </w:pPr>
          </w:p>
        </w:tc>
      </w:tr>
      <w:tr w:rsidR="001C7E53" w:rsidRPr="00394A8F" w14:paraId="2684533A" w14:textId="77777777" w:rsidTr="001D0062">
        <w:trPr>
          <w:trHeight w:val="300"/>
        </w:trPr>
        <w:tc>
          <w:tcPr>
            <w:tcW w:w="1594" w:type="dxa"/>
            <w:tcBorders>
              <w:top w:val="nil"/>
              <w:left w:val="nil"/>
              <w:bottom w:val="nil"/>
              <w:right w:val="nil"/>
            </w:tcBorders>
            <w:shd w:val="clear" w:color="auto" w:fill="auto"/>
            <w:hideMark/>
          </w:tcPr>
          <w:p w14:paraId="5BE7B852"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63970298"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334B7522"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70D9731D"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6122109A"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72E3C187" w14:textId="77777777" w:rsidR="001C7E53" w:rsidRPr="00394A8F" w:rsidRDefault="001C7E53" w:rsidP="004B2309">
            <w:pPr>
              <w:pStyle w:val="TableTextCentered"/>
              <w:rPr>
                <w:rFonts w:ascii="Times New Roman" w:hAnsi="Times New Roman"/>
              </w:rPr>
            </w:pPr>
          </w:p>
        </w:tc>
      </w:tr>
      <w:tr w:rsidR="001C7E53" w:rsidRPr="00394A8F" w14:paraId="6EB8E9ED" w14:textId="77777777" w:rsidTr="001D0062">
        <w:trPr>
          <w:trHeight w:val="300"/>
        </w:trPr>
        <w:tc>
          <w:tcPr>
            <w:tcW w:w="1594" w:type="dxa"/>
            <w:vMerge w:val="restart"/>
            <w:tcBorders>
              <w:top w:val="nil"/>
              <w:left w:val="nil"/>
              <w:bottom w:val="nil"/>
              <w:right w:val="nil"/>
            </w:tcBorders>
            <w:shd w:val="clear" w:color="auto" w:fill="auto"/>
            <w:vAlign w:val="center"/>
            <w:hideMark/>
          </w:tcPr>
          <w:p w14:paraId="3D79A339" w14:textId="77777777" w:rsidR="001C7E53" w:rsidRPr="00394A8F" w:rsidRDefault="001C7E53" w:rsidP="00F91AE4">
            <w:pPr>
              <w:pStyle w:val="TableTextLeft"/>
            </w:pPr>
            <w:r>
              <w:t>Market C</w:t>
            </w:r>
            <w:r w:rsidRPr="00394A8F">
              <w:t xml:space="preserve">oncentration GFC </w:t>
            </w:r>
            <w:r>
              <w:t>(HHI)</w:t>
            </w:r>
          </w:p>
        </w:tc>
        <w:tc>
          <w:tcPr>
            <w:tcW w:w="1544" w:type="dxa"/>
            <w:tcBorders>
              <w:top w:val="nil"/>
              <w:left w:val="nil"/>
              <w:bottom w:val="nil"/>
              <w:right w:val="nil"/>
            </w:tcBorders>
            <w:shd w:val="clear" w:color="auto" w:fill="auto"/>
            <w:noWrap/>
            <w:vAlign w:val="center"/>
            <w:hideMark/>
          </w:tcPr>
          <w:p w14:paraId="7E77A2A9"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4EA82F3F" w14:textId="1D46F24B" w:rsidR="001C7E53" w:rsidRPr="00394A8F" w:rsidRDefault="0018466E" w:rsidP="004B2309">
            <w:pPr>
              <w:pStyle w:val="TableTextCentered"/>
            </w:pPr>
            <w:r>
              <w:noBreakHyphen/>
            </w:r>
            <w:r w:rsidR="001C7E53" w:rsidRPr="00394A8F">
              <w:t>0.0</w:t>
            </w:r>
            <w:r w:rsidR="001C7E53">
              <w:t>85</w:t>
            </w:r>
            <w:r w:rsidR="001C7E53" w:rsidRPr="00394A8F">
              <w:t>***</w:t>
            </w:r>
          </w:p>
        </w:tc>
        <w:tc>
          <w:tcPr>
            <w:tcW w:w="1248" w:type="dxa"/>
            <w:tcBorders>
              <w:top w:val="nil"/>
              <w:left w:val="nil"/>
              <w:bottom w:val="nil"/>
              <w:right w:val="nil"/>
            </w:tcBorders>
            <w:shd w:val="clear" w:color="auto" w:fill="auto"/>
            <w:noWrap/>
            <w:vAlign w:val="center"/>
            <w:hideMark/>
          </w:tcPr>
          <w:p w14:paraId="2529557C" w14:textId="77777777" w:rsidR="001C7E53" w:rsidRPr="00394A8F" w:rsidRDefault="001C7E53" w:rsidP="004B2309">
            <w:pPr>
              <w:pStyle w:val="TableTextCentered"/>
            </w:pPr>
          </w:p>
        </w:tc>
        <w:tc>
          <w:tcPr>
            <w:tcW w:w="1620" w:type="dxa"/>
            <w:tcBorders>
              <w:top w:val="nil"/>
              <w:left w:val="nil"/>
              <w:bottom w:val="nil"/>
              <w:right w:val="nil"/>
            </w:tcBorders>
            <w:shd w:val="clear" w:color="auto" w:fill="auto"/>
            <w:noWrap/>
            <w:vAlign w:val="center"/>
            <w:hideMark/>
          </w:tcPr>
          <w:p w14:paraId="3DC14878"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3B05F5F1" w14:textId="77777777" w:rsidR="001C7E53" w:rsidRPr="00394A8F" w:rsidRDefault="001C7E53" w:rsidP="004B2309">
            <w:pPr>
              <w:pStyle w:val="TableTextCentered"/>
              <w:rPr>
                <w:rFonts w:ascii="Times New Roman" w:hAnsi="Times New Roman"/>
              </w:rPr>
            </w:pPr>
          </w:p>
        </w:tc>
      </w:tr>
      <w:tr w:rsidR="001C7E53" w:rsidRPr="00394A8F" w14:paraId="59A1981E" w14:textId="77777777" w:rsidTr="001D0062">
        <w:trPr>
          <w:trHeight w:val="300"/>
        </w:trPr>
        <w:tc>
          <w:tcPr>
            <w:tcW w:w="1594" w:type="dxa"/>
            <w:vMerge/>
            <w:tcBorders>
              <w:top w:val="nil"/>
              <w:left w:val="nil"/>
              <w:bottom w:val="nil"/>
              <w:right w:val="nil"/>
            </w:tcBorders>
            <w:vAlign w:val="center"/>
            <w:hideMark/>
          </w:tcPr>
          <w:p w14:paraId="46F31EF6"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77F79290"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6FBE9E4A" w14:textId="77777777" w:rsidR="001C7E53" w:rsidRPr="00394A8F" w:rsidRDefault="001C7E53" w:rsidP="004B2309">
            <w:pPr>
              <w:pStyle w:val="TableTextCentered"/>
            </w:pPr>
            <w:r w:rsidRPr="00394A8F">
              <w:t>(0.02</w:t>
            </w:r>
            <w:r>
              <w:t>1</w:t>
            </w:r>
            <w:r w:rsidRPr="00394A8F">
              <w:t>)</w:t>
            </w:r>
          </w:p>
        </w:tc>
        <w:tc>
          <w:tcPr>
            <w:tcW w:w="1248" w:type="dxa"/>
            <w:tcBorders>
              <w:top w:val="nil"/>
              <w:left w:val="nil"/>
              <w:bottom w:val="nil"/>
              <w:right w:val="nil"/>
            </w:tcBorders>
            <w:shd w:val="clear" w:color="auto" w:fill="auto"/>
            <w:noWrap/>
            <w:vAlign w:val="center"/>
            <w:hideMark/>
          </w:tcPr>
          <w:p w14:paraId="7ECB6002" w14:textId="77777777" w:rsidR="001C7E53" w:rsidRPr="00394A8F" w:rsidRDefault="001C7E53" w:rsidP="004B2309">
            <w:pPr>
              <w:pStyle w:val="TableTextCentered"/>
            </w:pPr>
          </w:p>
        </w:tc>
        <w:tc>
          <w:tcPr>
            <w:tcW w:w="1620" w:type="dxa"/>
            <w:tcBorders>
              <w:top w:val="nil"/>
              <w:left w:val="nil"/>
              <w:bottom w:val="nil"/>
              <w:right w:val="nil"/>
            </w:tcBorders>
            <w:shd w:val="clear" w:color="auto" w:fill="auto"/>
            <w:noWrap/>
            <w:vAlign w:val="center"/>
            <w:hideMark/>
          </w:tcPr>
          <w:p w14:paraId="5B2F38EB"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3DA76384" w14:textId="77777777" w:rsidR="001C7E53" w:rsidRPr="00394A8F" w:rsidRDefault="001C7E53" w:rsidP="004B2309">
            <w:pPr>
              <w:pStyle w:val="TableTextCentered"/>
              <w:rPr>
                <w:rFonts w:ascii="Times New Roman" w:hAnsi="Times New Roman"/>
              </w:rPr>
            </w:pPr>
          </w:p>
        </w:tc>
      </w:tr>
      <w:tr w:rsidR="001C7E53" w:rsidRPr="00394A8F" w14:paraId="574B46C0" w14:textId="77777777" w:rsidTr="001D0062">
        <w:trPr>
          <w:trHeight w:val="300"/>
        </w:trPr>
        <w:tc>
          <w:tcPr>
            <w:tcW w:w="1594" w:type="dxa"/>
            <w:tcBorders>
              <w:top w:val="nil"/>
              <w:left w:val="nil"/>
              <w:bottom w:val="nil"/>
              <w:right w:val="nil"/>
            </w:tcBorders>
            <w:shd w:val="clear" w:color="auto" w:fill="auto"/>
            <w:hideMark/>
          </w:tcPr>
          <w:p w14:paraId="27559695" w14:textId="77777777" w:rsidR="001C7E53" w:rsidRPr="00394A8F" w:rsidRDefault="001C7E53" w:rsidP="00F91AE4">
            <w:pPr>
              <w:pStyle w:val="TableTextLeft"/>
              <w:rPr>
                <w:rFonts w:ascii="Times New Roman" w:hAnsi="Times New Roman"/>
              </w:rPr>
            </w:pPr>
          </w:p>
        </w:tc>
        <w:tc>
          <w:tcPr>
            <w:tcW w:w="1544" w:type="dxa"/>
            <w:tcBorders>
              <w:top w:val="nil"/>
              <w:left w:val="nil"/>
              <w:bottom w:val="nil"/>
              <w:right w:val="nil"/>
            </w:tcBorders>
            <w:shd w:val="clear" w:color="auto" w:fill="auto"/>
            <w:noWrap/>
            <w:vAlign w:val="center"/>
            <w:hideMark/>
          </w:tcPr>
          <w:p w14:paraId="197EAA3F"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2B55FDBE"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1CF4271C"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5D8D22C7"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0A7C22AF" w14:textId="77777777" w:rsidR="001C7E53" w:rsidRPr="00394A8F" w:rsidRDefault="001C7E53" w:rsidP="004B2309">
            <w:pPr>
              <w:pStyle w:val="TableTextCentered"/>
              <w:rPr>
                <w:rFonts w:ascii="Times New Roman" w:hAnsi="Times New Roman"/>
              </w:rPr>
            </w:pPr>
          </w:p>
        </w:tc>
      </w:tr>
      <w:tr w:rsidR="001C7E53" w:rsidRPr="00394A8F" w14:paraId="257EE23F" w14:textId="77777777" w:rsidTr="001D0062">
        <w:trPr>
          <w:trHeight w:val="300"/>
        </w:trPr>
        <w:tc>
          <w:tcPr>
            <w:tcW w:w="1594" w:type="dxa"/>
            <w:vMerge w:val="restart"/>
            <w:tcBorders>
              <w:top w:val="nil"/>
              <w:left w:val="nil"/>
              <w:bottom w:val="nil"/>
              <w:right w:val="nil"/>
            </w:tcBorders>
            <w:shd w:val="clear" w:color="auto" w:fill="auto"/>
            <w:vAlign w:val="center"/>
            <w:hideMark/>
          </w:tcPr>
          <w:p w14:paraId="7DE60FE9" w14:textId="77777777" w:rsidR="001C7E53" w:rsidRPr="00394A8F" w:rsidRDefault="001C7E53" w:rsidP="00F91AE4">
            <w:pPr>
              <w:pStyle w:val="TableTextLeft"/>
            </w:pPr>
            <w:r>
              <w:t>Market C</w:t>
            </w:r>
            <w:r w:rsidRPr="00394A8F">
              <w:t xml:space="preserve">oncentration post GFC </w:t>
            </w:r>
            <w:r>
              <w:t>(HHI)</w:t>
            </w:r>
          </w:p>
        </w:tc>
        <w:tc>
          <w:tcPr>
            <w:tcW w:w="1544" w:type="dxa"/>
            <w:tcBorders>
              <w:top w:val="nil"/>
              <w:left w:val="nil"/>
              <w:bottom w:val="nil"/>
              <w:right w:val="nil"/>
            </w:tcBorders>
            <w:shd w:val="clear" w:color="auto" w:fill="auto"/>
            <w:noWrap/>
            <w:vAlign w:val="center"/>
            <w:hideMark/>
          </w:tcPr>
          <w:p w14:paraId="7DFD4784"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78AD861D" w14:textId="6E0663CA" w:rsidR="001C7E53" w:rsidRPr="00394A8F" w:rsidRDefault="0018466E" w:rsidP="004B2309">
            <w:pPr>
              <w:pStyle w:val="TableTextCentered"/>
            </w:pPr>
            <w:r>
              <w:noBreakHyphen/>
            </w:r>
            <w:r w:rsidR="001C7E53" w:rsidRPr="00394A8F">
              <w:t>0.0</w:t>
            </w:r>
            <w:r w:rsidR="001C7E53">
              <w:t>94</w:t>
            </w:r>
            <w:r w:rsidR="001C7E53" w:rsidRPr="00394A8F">
              <w:t>***</w:t>
            </w:r>
          </w:p>
        </w:tc>
        <w:tc>
          <w:tcPr>
            <w:tcW w:w="1248" w:type="dxa"/>
            <w:tcBorders>
              <w:top w:val="nil"/>
              <w:left w:val="nil"/>
              <w:bottom w:val="nil"/>
              <w:right w:val="nil"/>
            </w:tcBorders>
            <w:shd w:val="clear" w:color="auto" w:fill="auto"/>
            <w:noWrap/>
            <w:vAlign w:val="center"/>
            <w:hideMark/>
          </w:tcPr>
          <w:p w14:paraId="33FF0DC8" w14:textId="77777777" w:rsidR="001C7E53" w:rsidRPr="00394A8F" w:rsidRDefault="001C7E53" w:rsidP="004B2309">
            <w:pPr>
              <w:pStyle w:val="TableTextCentered"/>
            </w:pPr>
          </w:p>
        </w:tc>
        <w:tc>
          <w:tcPr>
            <w:tcW w:w="1620" w:type="dxa"/>
            <w:tcBorders>
              <w:top w:val="nil"/>
              <w:left w:val="nil"/>
              <w:bottom w:val="nil"/>
              <w:right w:val="nil"/>
            </w:tcBorders>
            <w:shd w:val="clear" w:color="auto" w:fill="auto"/>
            <w:noWrap/>
            <w:vAlign w:val="center"/>
            <w:hideMark/>
          </w:tcPr>
          <w:p w14:paraId="5AC08640"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26EB21DD" w14:textId="77777777" w:rsidR="001C7E53" w:rsidRPr="00394A8F" w:rsidRDefault="001C7E53" w:rsidP="004B2309">
            <w:pPr>
              <w:pStyle w:val="TableTextCentered"/>
              <w:rPr>
                <w:rFonts w:ascii="Times New Roman" w:hAnsi="Times New Roman"/>
              </w:rPr>
            </w:pPr>
          </w:p>
        </w:tc>
      </w:tr>
      <w:tr w:rsidR="001C7E53" w:rsidRPr="00394A8F" w14:paraId="6796B026" w14:textId="77777777" w:rsidTr="001D0062">
        <w:trPr>
          <w:trHeight w:val="300"/>
        </w:trPr>
        <w:tc>
          <w:tcPr>
            <w:tcW w:w="1594" w:type="dxa"/>
            <w:vMerge/>
            <w:tcBorders>
              <w:top w:val="nil"/>
              <w:left w:val="nil"/>
              <w:bottom w:val="nil"/>
              <w:right w:val="nil"/>
            </w:tcBorders>
            <w:vAlign w:val="center"/>
            <w:hideMark/>
          </w:tcPr>
          <w:p w14:paraId="0FBA3EE4"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770B668C"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0B6A1222" w14:textId="77777777" w:rsidR="001C7E53" w:rsidRPr="00394A8F" w:rsidRDefault="001C7E53" w:rsidP="004B2309">
            <w:pPr>
              <w:pStyle w:val="TableTextCentered"/>
            </w:pPr>
            <w:r w:rsidRPr="00394A8F">
              <w:t>(0.02</w:t>
            </w:r>
            <w:r>
              <w:t>1</w:t>
            </w:r>
            <w:r w:rsidRPr="00394A8F">
              <w:t>)</w:t>
            </w:r>
          </w:p>
        </w:tc>
        <w:tc>
          <w:tcPr>
            <w:tcW w:w="1248" w:type="dxa"/>
            <w:tcBorders>
              <w:top w:val="nil"/>
              <w:left w:val="nil"/>
              <w:bottom w:val="nil"/>
              <w:right w:val="nil"/>
            </w:tcBorders>
            <w:shd w:val="clear" w:color="auto" w:fill="auto"/>
            <w:noWrap/>
            <w:vAlign w:val="center"/>
            <w:hideMark/>
          </w:tcPr>
          <w:p w14:paraId="7F464CD5" w14:textId="77777777" w:rsidR="001C7E53" w:rsidRPr="00394A8F" w:rsidRDefault="001C7E53" w:rsidP="004B2309">
            <w:pPr>
              <w:pStyle w:val="TableTextCentered"/>
            </w:pPr>
          </w:p>
        </w:tc>
        <w:tc>
          <w:tcPr>
            <w:tcW w:w="1620" w:type="dxa"/>
            <w:tcBorders>
              <w:top w:val="nil"/>
              <w:left w:val="nil"/>
              <w:bottom w:val="nil"/>
              <w:right w:val="nil"/>
            </w:tcBorders>
            <w:shd w:val="clear" w:color="auto" w:fill="auto"/>
            <w:noWrap/>
            <w:vAlign w:val="center"/>
            <w:hideMark/>
          </w:tcPr>
          <w:p w14:paraId="46FE8735"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2D95D199" w14:textId="77777777" w:rsidR="001C7E53" w:rsidRPr="00394A8F" w:rsidRDefault="001C7E53" w:rsidP="004B2309">
            <w:pPr>
              <w:pStyle w:val="TableTextCentered"/>
              <w:rPr>
                <w:rFonts w:ascii="Times New Roman" w:hAnsi="Times New Roman"/>
              </w:rPr>
            </w:pPr>
          </w:p>
        </w:tc>
      </w:tr>
      <w:tr w:rsidR="001C7E53" w:rsidRPr="00394A8F" w14:paraId="267CCDA6" w14:textId="77777777" w:rsidTr="001D0062">
        <w:trPr>
          <w:trHeight w:val="300"/>
        </w:trPr>
        <w:tc>
          <w:tcPr>
            <w:tcW w:w="1594" w:type="dxa"/>
            <w:tcBorders>
              <w:top w:val="nil"/>
              <w:left w:val="nil"/>
              <w:bottom w:val="nil"/>
              <w:right w:val="nil"/>
            </w:tcBorders>
            <w:shd w:val="clear" w:color="auto" w:fill="auto"/>
            <w:hideMark/>
          </w:tcPr>
          <w:p w14:paraId="1AF08C48" w14:textId="77777777" w:rsidR="001C7E53" w:rsidRPr="00394A8F" w:rsidRDefault="001C7E53" w:rsidP="00F91AE4">
            <w:pPr>
              <w:pStyle w:val="TableTextLeft"/>
              <w:rPr>
                <w:rFonts w:ascii="Times New Roman" w:hAnsi="Times New Roman"/>
              </w:rPr>
            </w:pPr>
          </w:p>
        </w:tc>
        <w:tc>
          <w:tcPr>
            <w:tcW w:w="1544" w:type="dxa"/>
            <w:tcBorders>
              <w:top w:val="nil"/>
              <w:left w:val="nil"/>
              <w:bottom w:val="nil"/>
              <w:right w:val="nil"/>
            </w:tcBorders>
            <w:shd w:val="clear" w:color="auto" w:fill="auto"/>
            <w:noWrap/>
            <w:vAlign w:val="center"/>
            <w:hideMark/>
          </w:tcPr>
          <w:p w14:paraId="19425DE8"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22194627"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3EA51AD6"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5F036752"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209F9DFE" w14:textId="77777777" w:rsidR="001C7E53" w:rsidRPr="00394A8F" w:rsidRDefault="001C7E53" w:rsidP="004B2309">
            <w:pPr>
              <w:pStyle w:val="TableTextCentered"/>
              <w:rPr>
                <w:rFonts w:ascii="Times New Roman" w:hAnsi="Times New Roman"/>
              </w:rPr>
            </w:pPr>
          </w:p>
        </w:tc>
      </w:tr>
      <w:tr w:rsidR="001C7E53" w:rsidRPr="00394A8F" w14:paraId="2C3FDF78" w14:textId="77777777" w:rsidTr="001D0062">
        <w:trPr>
          <w:trHeight w:val="300"/>
        </w:trPr>
        <w:tc>
          <w:tcPr>
            <w:tcW w:w="1594" w:type="dxa"/>
            <w:vMerge w:val="restart"/>
            <w:tcBorders>
              <w:top w:val="nil"/>
              <w:left w:val="nil"/>
              <w:bottom w:val="nil"/>
              <w:right w:val="nil"/>
            </w:tcBorders>
            <w:shd w:val="clear" w:color="auto" w:fill="auto"/>
            <w:vAlign w:val="center"/>
            <w:hideMark/>
          </w:tcPr>
          <w:p w14:paraId="1CEA31DF" w14:textId="77777777" w:rsidR="001C7E53" w:rsidRPr="00394A8F" w:rsidRDefault="001C7E53" w:rsidP="00F91AE4">
            <w:pPr>
              <w:pStyle w:val="TableTextLeft"/>
            </w:pPr>
            <w:r>
              <w:t>Local C</w:t>
            </w:r>
            <w:r w:rsidRPr="00394A8F">
              <w:t xml:space="preserve">oncentration </w:t>
            </w:r>
            <w:r>
              <w:t>–</w:t>
            </w:r>
            <w:r w:rsidRPr="00394A8F">
              <w:t xml:space="preserve"> </w:t>
            </w:r>
            <w:r>
              <w:t>(plant share)</w:t>
            </w:r>
          </w:p>
        </w:tc>
        <w:tc>
          <w:tcPr>
            <w:tcW w:w="1544" w:type="dxa"/>
            <w:tcBorders>
              <w:top w:val="nil"/>
              <w:left w:val="nil"/>
              <w:bottom w:val="nil"/>
              <w:right w:val="nil"/>
            </w:tcBorders>
            <w:shd w:val="clear" w:color="auto" w:fill="auto"/>
            <w:noWrap/>
            <w:vAlign w:val="center"/>
            <w:hideMark/>
          </w:tcPr>
          <w:p w14:paraId="5F88064F"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0066FDCA"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0A22CFE1"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748DA5A1" w14:textId="77777777" w:rsidR="001C7E53" w:rsidRPr="00394A8F" w:rsidRDefault="001C7E53" w:rsidP="004B2309">
            <w:pPr>
              <w:pStyle w:val="TableTextCentered"/>
            </w:pPr>
            <w:r w:rsidRPr="00394A8F">
              <w:t>3.300***</w:t>
            </w:r>
          </w:p>
        </w:tc>
        <w:tc>
          <w:tcPr>
            <w:tcW w:w="1569" w:type="dxa"/>
            <w:tcBorders>
              <w:top w:val="nil"/>
              <w:left w:val="nil"/>
              <w:bottom w:val="nil"/>
              <w:right w:val="nil"/>
            </w:tcBorders>
            <w:shd w:val="clear" w:color="auto" w:fill="auto"/>
            <w:noWrap/>
            <w:vAlign w:val="center"/>
            <w:hideMark/>
          </w:tcPr>
          <w:p w14:paraId="79181739" w14:textId="77777777" w:rsidR="001C7E53" w:rsidRPr="00394A8F" w:rsidRDefault="001C7E53" w:rsidP="004B2309">
            <w:pPr>
              <w:pStyle w:val="TableTextCentered"/>
            </w:pPr>
          </w:p>
        </w:tc>
      </w:tr>
      <w:tr w:rsidR="001C7E53" w:rsidRPr="00394A8F" w14:paraId="3C71994A" w14:textId="77777777" w:rsidTr="001D0062">
        <w:trPr>
          <w:trHeight w:val="300"/>
        </w:trPr>
        <w:tc>
          <w:tcPr>
            <w:tcW w:w="1594" w:type="dxa"/>
            <w:vMerge/>
            <w:tcBorders>
              <w:top w:val="nil"/>
              <w:left w:val="nil"/>
              <w:bottom w:val="nil"/>
              <w:right w:val="nil"/>
            </w:tcBorders>
            <w:vAlign w:val="center"/>
            <w:hideMark/>
          </w:tcPr>
          <w:p w14:paraId="296CB884"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4AEF6317"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5CB9399A"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48E3B764"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62FF4720" w14:textId="77777777" w:rsidR="001C7E53" w:rsidRPr="00394A8F" w:rsidRDefault="001C7E53" w:rsidP="004B2309">
            <w:pPr>
              <w:pStyle w:val="TableTextCentered"/>
            </w:pPr>
            <w:r w:rsidRPr="00394A8F">
              <w:t>(0.032)</w:t>
            </w:r>
          </w:p>
        </w:tc>
        <w:tc>
          <w:tcPr>
            <w:tcW w:w="1569" w:type="dxa"/>
            <w:tcBorders>
              <w:top w:val="nil"/>
              <w:left w:val="nil"/>
              <w:bottom w:val="nil"/>
              <w:right w:val="nil"/>
            </w:tcBorders>
            <w:shd w:val="clear" w:color="auto" w:fill="auto"/>
            <w:noWrap/>
            <w:vAlign w:val="center"/>
            <w:hideMark/>
          </w:tcPr>
          <w:p w14:paraId="7658819F" w14:textId="77777777" w:rsidR="001C7E53" w:rsidRPr="00394A8F" w:rsidRDefault="001C7E53" w:rsidP="004B2309">
            <w:pPr>
              <w:pStyle w:val="TableTextCentered"/>
            </w:pPr>
          </w:p>
        </w:tc>
      </w:tr>
      <w:tr w:rsidR="001C7E53" w:rsidRPr="00394A8F" w14:paraId="53A93610" w14:textId="77777777" w:rsidTr="001D0062">
        <w:trPr>
          <w:trHeight w:val="300"/>
        </w:trPr>
        <w:tc>
          <w:tcPr>
            <w:tcW w:w="1594" w:type="dxa"/>
            <w:tcBorders>
              <w:top w:val="nil"/>
              <w:left w:val="nil"/>
              <w:bottom w:val="nil"/>
              <w:right w:val="nil"/>
            </w:tcBorders>
            <w:shd w:val="clear" w:color="auto" w:fill="auto"/>
            <w:noWrap/>
            <w:hideMark/>
          </w:tcPr>
          <w:p w14:paraId="6D126E57" w14:textId="77777777" w:rsidR="001C7E53" w:rsidRPr="00394A8F" w:rsidRDefault="001C7E53" w:rsidP="00F91AE4">
            <w:pPr>
              <w:pStyle w:val="TableTextLeft"/>
              <w:rPr>
                <w:rFonts w:ascii="Times New Roman" w:hAnsi="Times New Roman"/>
              </w:rPr>
            </w:pPr>
          </w:p>
        </w:tc>
        <w:tc>
          <w:tcPr>
            <w:tcW w:w="1544" w:type="dxa"/>
            <w:tcBorders>
              <w:top w:val="nil"/>
              <w:left w:val="nil"/>
              <w:bottom w:val="nil"/>
              <w:right w:val="nil"/>
            </w:tcBorders>
            <w:shd w:val="clear" w:color="auto" w:fill="auto"/>
            <w:noWrap/>
            <w:vAlign w:val="center"/>
            <w:hideMark/>
          </w:tcPr>
          <w:p w14:paraId="7720043A"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224F1265"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4E8160C4"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546A2242"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06B11CC4" w14:textId="77777777" w:rsidR="001C7E53" w:rsidRPr="00394A8F" w:rsidRDefault="001C7E53" w:rsidP="004B2309">
            <w:pPr>
              <w:pStyle w:val="TableTextCentered"/>
              <w:rPr>
                <w:rFonts w:ascii="Times New Roman" w:hAnsi="Times New Roman"/>
              </w:rPr>
            </w:pPr>
          </w:p>
        </w:tc>
      </w:tr>
      <w:tr w:rsidR="001C7E53" w:rsidRPr="00394A8F" w14:paraId="6E1F5585" w14:textId="77777777" w:rsidTr="001D0062">
        <w:trPr>
          <w:trHeight w:val="465"/>
        </w:trPr>
        <w:tc>
          <w:tcPr>
            <w:tcW w:w="1594" w:type="dxa"/>
            <w:vMerge w:val="restart"/>
            <w:tcBorders>
              <w:top w:val="nil"/>
              <w:left w:val="nil"/>
              <w:bottom w:val="nil"/>
              <w:right w:val="nil"/>
            </w:tcBorders>
            <w:shd w:val="clear" w:color="auto" w:fill="auto"/>
            <w:vAlign w:val="center"/>
            <w:hideMark/>
          </w:tcPr>
          <w:p w14:paraId="1D8BD9C2" w14:textId="77777777" w:rsidR="001C7E53" w:rsidRPr="00394A8F" w:rsidRDefault="001C7E53" w:rsidP="00F91AE4">
            <w:pPr>
              <w:pStyle w:val="TableTextLeft"/>
            </w:pPr>
            <w:r w:rsidRPr="00394A8F">
              <w:t>Local Concentration</w:t>
            </w:r>
            <w:r>
              <w:t xml:space="preserve"> (plant share)</w:t>
            </w:r>
            <w:r w:rsidRPr="00394A8F">
              <w:t>* Productivity</w:t>
            </w:r>
          </w:p>
        </w:tc>
        <w:tc>
          <w:tcPr>
            <w:tcW w:w="1544" w:type="dxa"/>
            <w:tcBorders>
              <w:top w:val="nil"/>
              <w:left w:val="nil"/>
              <w:bottom w:val="nil"/>
              <w:right w:val="nil"/>
            </w:tcBorders>
            <w:shd w:val="clear" w:color="auto" w:fill="auto"/>
            <w:vAlign w:val="center"/>
            <w:hideMark/>
          </w:tcPr>
          <w:p w14:paraId="192DA811"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07955DAF"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0837BD52"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5D66B5D9"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vAlign w:val="center"/>
            <w:hideMark/>
          </w:tcPr>
          <w:p w14:paraId="485B357A" w14:textId="584ED0A0" w:rsidR="001C7E53" w:rsidRPr="00394A8F" w:rsidRDefault="0018466E" w:rsidP="004B2309">
            <w:pPr>
              <w:pStyle w:val="TableTextCentered"/>
            </w:pPr>
            <w:r>
              <w:noBreakHyphen/>
            </w:r>
            <w:r w:rsidR="001C7E53" w:rsidRPr="00394A8F">
              <w:t>0.117***</w:t>
            </w:r>
          </w:p>
        </w:tc>
      </w:tr>
      <w:tr w:rsidR="001C7E53" w:rsidRPr="00394A8F" w14:paraId="5A7806C3" w14:textId="77777777" w:rsidTr="001D0062">
        <w:trPr>
          <w:trHeight w:val="300"/>
        </w:trPr>
        <w:tc>
          <w:tcPr>
            <w:tcW w:w="1594" w:type="dxa"/>
            <w:vMerge/>
            <w:tcBorders>
              <w:top w:val="nil"/>
              <w:left w:val="nil"/>
              <w:bottom w:val="nil"/>
              <w:right w:val="nil"/>
            </w:tcBorders>
            <w:vAlign w:val="center"/>
            <w:hideMark/>
          </w:tcPr>
          <w:p w14:paraId="4320C51B" w14:textId="77777777" w:rsidR="001C7E53" w:rsidRPr="00394A8F" w:rsidRDefault="001C7E53" w:rsidP="00F91AE4">
            <w:pPr>
              <w:pStyle w:val="TableTextLeft"/>
            </w:pPr>
          </w:p>
        </w:tc>
        <w:tc>
          <w:tcPr>
            <w:tcW w:w="1544" w:type="dxa"/>
            <w:tcBorders>
              <w:top w:val="nil"/>
              <w:left w:val="nil"/>
              <w:bottom w:val="nil"/>
              <w:right w:val="nil"/>
            </w:tcBorders>
            <w:shd w:val="clear" w:color="auto" w:fill="auto"/>
            <w:vAlign w:val="center"/>
            <w:hideMark/>
          </w:tcPr>
          <w:p w14:paraId="5B3664F7"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50CC2E7F"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4420A503"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33674CFE"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vAlign w:val="center"/>
            <w:hideMark/>
          </w:tcPr>
          <w:p w14:paraId="1D016B24" w14:textId="77777777" w:rsidR="001C7E53" w:rsidRPr="00394A8F" w:rsidRDefault="001C7E53" w:rsidP="004B2309">
            <w:pPr>
              <w:pStyle w:val="TableTextCentered"/>
            </w:pPr>
            <w:r w:rsidRPr="00394A8F">
              <w:t>(0.015)</w:t>
            </w:r>
          </w:p>
        </w:tc>
      </w:tr>
      <w:tr w:rsidR="001C7E53" w:rsidRPr="00394A8F" w14:paraId="559A6D71" w14:textId="77777777" w:rsidTr="001D0062">
        <w:trPr>
          <w:trHeight w:val="300"/>
        </w:trPr>
        <w:tc>
          <w:tcPr>
            <w:tcW w:w="1594" w:type="dxa"/>
            <w:tcBorders>
              <w:top w:val="nil"/>
              <w:left w:val="nil"/>
              <w:bottom w:val="nil"/>
              <w:right w:val="nil"/>
            </w:tcBorders>
            <w:shd w:val="clear" w:color="auto" w:fill="auto"/>
            <w:vAlign w:val="center"/>
            <w:hideMark/>
          </w:tcPr>
          <w:p w14:paraId="49A85A01" w14:textId="77777777" w:rsidR="001C7E53" w:rsidRPr="00394A8F" w:rsidRDefault="001C7E53" w:rsidP="00F91AE4">
            <w:pPr>
              <w:pStyle w:val="TableTextLeft"/>
            </w:pPr>
          </w:p>
        </w:tc>
        <w:tc>
          <w:tcPr>
            <w:tcW w:w="1544" w:type="dxa"/>
            <w:tcBorders>
              <w:top w:val="nil"/>
              <w:left w:val="nil"/>
              <w:bottom w:val="nil"/>
              <w:right w:val="nil"/>
            </w:tcBorders>
            <w:shd w:val="clear" w:color="auto" w:fill="auto"/>
            <w:vAlign w:val="center"/>
            <w:hideMark/>
          </w:tcPr>
          <w:p w14:paraId="5A91B92B"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23799A8A"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0B2A538A"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71D37978"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vAlign w:val="center"/>
            <w:hideMark/>
          </w:tcPr>
          <w:p w14:paraId="58E7F477" w14:textId="77777777" w:rsidR="001C7E53" w:rsidRPr="00394A8F" w:rsidRDefault="001C7E53" w:rsidP="004B2309">
            <w:pPr>
              <w:pStyle w:val="TableTextCentered"/>
              <w:rPr>
                <w:rFonts w:ascii="Times New Roman" w:hAnsi="Times New Roman"/>
              </w:rPr>
            </w:pPr>
          </w:p>
        </w:tc>
      </w:tr>
      <w:tr w:rsidR="001C7E53" w:rsidRPr="00394A8F" w14:paraId="0E0FBAB5" w14:textId="77777777" w:rsidTr="001D0062">
        <w:trPr>
          <w:trHeight w:val="300"/>
        </w:trPr>
        <w:tc>
          <w:tcPr>
            <w:tcW w:w="1594" w:type="dxa"/>
            <w:vMerge w:val="restart"/>
            <w:tcBorders>
              <w:top w:val="nil"/>
              <w:left w:val="nil"/>
              <w:bottom w:val="nil"/>
              <w:right w:val="nil"/>
            </w:tcBorders>
            <w:shd w:val="clear" w:color="auto" w:fill="auto"/>
            <w:vAlign w:val="center"/>
            <w:hideMark/>
          </w:tcPr>
          <w:p w14:paraId="20657DB1" w14:textId="77777777" w:rsidR="001C7E53" w:rsidRPr="00394A8F" w:rsidRDefault="001C7E53" w:rsidP="00F91AE4">
            <w:pPr>
              <w:pStyle w:val="TableTextLeft"/>
            </w:pPr>
            <w:r w:rsidRPr="00394A8F">
              <w:t>Firm Concentration</w:t>
            </w:r>
            <w:r>
              <w:t xml:space="preserve"> (plant share)</w:t>
            </w:r>
            <w:r w:rsidRPr="00394A8F">
              <w:t xml:space="preserve"> * Productivity</w:t>
            </w:r>
          </w:p>
        </w:tc>
        <w:tc>
          <w:tcPr>
            <w:tcW w:w="1544" w:type="dxa"/>
            <w:tcBorders>
              <w:top w:val="nil"/>
              <w:left w:val="nil"/>
              <w:bottom w:val="nil"/>
              <w:right w:val="nil"/>
            </w:tcBorders>
            <w:shd w:val="clear" w:color="auto" w:fill="auto"/>
            <w:vAlign w:val="center"/>
            <w:hideMark/>
          </w:tcPr>
          <w:p w14:paraId="7093A984"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6BDB3253"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53268047"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071413D1"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vAlign w:val="center"/>
            <w:hideMark/>
          </w:tcPr>
          <w:p w14:paraId="2848DB3F" w14:textId="245E6C04" w:rsidR="001C7E53" w:rsidRPr="00394A8F" w:rsidRDefault="0018466E" w:rsidP="004B2309">
            <w:pPr>
              <w:pStyle w:val="TableTextCentered"/>
            </w:pPr>
            <w:r>
              <w:noBreakHyphen/>
            </w:r>
            <w:r w:rsidR="001C7E53" w:rsidRPr="00394A8F">
              <w:t>0.259***</w:t>
            </w:r>
          </w:p>
        </w:tc>
      </w:tr>
      <w:tr w:rsidR="001C7E53" w:rsidRPr="00394A8F" w14:paraId="2913C980" w14:textId="77777777" w:rsidTr="001D0062">
        <w:trPr>
          <w:trHeight w:val="300"/>
        </w:trPr>
        <w:tc>
          <w:tcPr>
            <w:tcW w:w="1594" w:type="dxa"/>
            <w:vMerge/>
            <w:tcBorders>
              <w:top w:val="nil"/>
              <w:left w:val="nil"/>
              <w:bottom w:val="nil"/>
              <w:right w:val="nil"/>
            </w:tcBorders>
            <w:vAlign w:val="center"/>
            <w:hideMark/>
          </w:tcPr>
          <w:p w14:paraId="0C7A7BC9" w14:textId="77777777" w:rsidR="001C7E53" w:rsidRPr="00394A8F" w:rsidRDefault="001C7E53" w:rsidP="00F91AE4">
            <w:pPr>
              <w:pStyle w:val="TableTextLeft"/>
            </w:pPr>
          </w:p>
        </w:tc>
        <w:tc>
          <w:tcPr>
            <w:tcW w:w="1544" w:type="dxa"/>
            <w:tcBorders>
              <w:top w:val="nil"/>
              <w:left w:val="nil"/>
              <w:bottom w:val="nil"/>
              <w:right w:val="nil"/>
            </w:tcBorders>
            <w:shd w:val="clear" w:color="auto" w:fill="auto"/>
            <w:vAlign w:val="center"/>
            <w:hideMark/>
          </w:tcPr>
          <w:p w14:paraId="51EB932D" w14:textId="77777777" w:rsidR="001C7E53" w:rsidRPr="00394A8F" w:rsidRDefault="001C7E53" w:rsidP="004B2309">
            <w:pPr>
              <w:pStyle w:val="TableTextCentered"/>
            </w:pPr>
          </w:p>
        </w:tc>
        <w:tc>
          <w:tcPr>
            <w:tcW w:w="1495" w:type="dxa"/>
            <w:tcBorders>
              <w:top w:val="nil"/>
              <w:left w:val="nil"/>
              <w:bottom w:val="nil"/>
              <w:right w:val="nil"/>
            </w:tcBorders>
            <w:shd w:val="clear" w:color="auto" w:fill="auto"/>
            <w:noWrap/>
            <w:vAlign w:val="center"/>
            <w:hideMark/>
          </w:tcPr>
          <w:p w14:paraId="557A1849"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48029AC9"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26F8EAEF"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vAlign w:val="center"/>
            <w:hideMark/>
          </w:tcPr>
          <w:p w14:paraId="3659AB77" w14:textId="77777777" w:rsidR="001C7E53" w:rsidRPr="00394A8F" w:rsidRDefault="001C7E53" w:rsidP="004B2309">
            <w:pPr>
              <w:pStyle w:val="TableTextCentered"/>
            </w:pPr>
            <w:r w:rsidRPr="00394A8F">
              <w:t>(0.01)</w:t>
            </w:r>
          </w:p>
        </w:tc>
      </w:tr>
      <w:tr w:rsidR="001C7E53" w:rsidRPr="00394A8F" w14:paraId="5D6B6E92" w14:textId="77777777" w:rsidTr="001D0062">
        <w:trPr>
          <w:trHeight w:val="80"/>
        </w:trPr>
        <w:tc>
          <w:tcPr>
            <w:tcW w:w="1594" w:type="dxa"/>
            <w:tcBorders>
              <w:top w:val="nil"/>
              <w:left w:val="nil"/>
              <w:bottom w:val="nil"/>
              <w:right w:val="nil"/>
            </w:tcBorders>
            <w:shd w:val="clear" w:color="auto" w:fill="auto"/>
            <w:noWrap/>
            <w:hideMark/>
          </w:tcPr>
          <w:p w14:paraId="77260219" w14:textId="77777777" w:rsidR="001C7E53" w:rsidRPr="00394A8F" w:rsidRDefault="001C7E53" w:rsidP="00F91AE4">
            <w:pPr>
              <w:pStyle w:val="TableTextLeft"/>
            </w:pPr>
          </w:p>
        </w:tc>
        <w:tc>
          <w:tcPr>
            <w:tcW w:w="1544" w:type="dxa"/>
            <w:tcBorders>
              <w:top w:val="nil"/>
              <w:left w:val="nil"/>
              <w:bottom w:val="nil"/>
              <w:right w:val="nil"/>
            </w:tcBorders>
            <w:shd w:val="clear" w:color="auto" w:fill="auto"/>
            <w:noWrap/>
            <w:vAlign w:val="center"/>
            <w:hideMark/>
          </w:tcPr>
          <w:p w14:paraId="082B67AE" w14:textId="77777777" w:rsidR="001C7E53" w:rsidRPr="00394A8F" w:rsidRDefault="001C7E53" w:rsidP="004B2309">
            <w:pPr>
              <w:pStyle w:val="TableTextCentered"/>
              <w:rPr>
                <w:rFonts w:ascii="Times New Roman" w:hAnsi="Times New Roman"/>
              </w:rPr>
            </w:pPr>
          </w:p>
        </w:tc>
        <w:tc>
          <w:tcPr>
            <w:tcW w:w="1495" w:type="dxa"/>
            <w:tcBorders>
              <w:top w:val="nil"/>
              <w:left w:val="nil"/>
              <w:bottom w:val="nil"/>
              <w:right w:val="nil"/>
            </w:tcBorders>
            <w:shd w:val="clear" w:color="auto" w:fill="auto"/>
            <w:noWrap/>
            <w:vAlign w:val="center"/>
            <w:hideMark/>
          </w:tcPr>
          <w:p w14:paraId="04353596" w14:textId="77777777" w:rsidR="001C7E53" w:rsidRPr="00394A8F" w:rsidRDefault="001C7E53" w:rsidP="004B2309">
            <w:pPr>
              <w:pStyle w:val="TableTextCentered"/>
              <w:rPr>
                <w:rFonts w:ascii="Times New Roman" w:hAnsi="Times New Roman"/>
              </w:rPr>
            </w:pPr>
          </w:p>
        </w:tc>
        <w:tc>
          <w:tcPr>
            <w:tcW w:w="1248" w:type="dxa"/>
            <w:tcBorders>
              <w:top w:val="nil"/>
              <w:left w:val="nil"/>
              <w:bottom w:val="nil"/>
              <w:right w:val="nil"/>
            </w:tcBorders>
            <w:shd w:val="clear" w:color="auto" w:fill="auto"/>
            <w:noWrap/>
            <w:vAlign w:val="center"/>
            <w:hideMark/>
          </w:tcPr>
          <w:p w14:paraId="085577E3" w14:textId="77777777" w:rsidR="001C7E53" w:rsidRPr="00394A8F" w:rsidRDefault="001C7E53" w:rsidP="004B2309">
            <w:pPr>
              <w:pStyle w:val="TableTextCentered"/>
              <w:rPr>
                <w:rFonts w:ascii="Times New Roman" w:hAnsi="Times New Roman"/>
              </w:rPr>
            </w:pPr>
          </w:p>
        </w:tc>
        <w:tc>
          <w:tcPr>
            <w:tcW w:w="1620" w:type="dxa"/>
            <w:tcBorders>
              <w:top w:val="nil"/>
              <w:left w:val="nil"/>
              <w:bottom w:val="nil"/>
              <w:right w:val="nil"/>
            </w:tcBorders>
            <w:shd w:val="clear" w:color="auto" w:fill="auto"/>
            <w:noWrap/>
            <w:vAlign w:val="center"/>
            <w:hideMark/>
          </w:tcPr>
          <w:p w14:paraId="51E50260" w14:textId="77777777" w:rsidR="001C7E53" w:rsidRPr="00394A8F" w:rsidRDefault="001C7E53" w:rsidP="004B2309">
            <w:pPr>
              <w:pStyle w:val="TableTextCentered"/>
              <w:rPr>
                <w:rFonts w:ascii="Times New Roman" w:hAnsi="Times New Roman"/>
              </w:rPr>
            </w:pPr>
          </w:p>
        </w:tc>
        <w:tc>
          <w:tcPr>
            <w:tcW w:w="1569" w:type="dxa"/>
            <w:tcBorders>
              <w:top w:val="nil"/>
              <w:left w:val="nil"/>
              <w:bottom w:val="nil"/>
              <w:right w:val="nil"/>
            </w:tcBorders>
            <w:shd w:val="clear" w:color="auto" w:fill="auto"/>
            <w:noWrap/>
            <w:vAlign w:val="center"/>
            <w:hideMark/>
          </w:tcPr>
          <w:p w14:paraId="5998FE95" w14:textId="77777777" w:rsidR="001C7E53" w:rsidRPr="00394A8F" w:rsidRDefault="001C7E53" w:rsidP="004B2309">
            <w:pPr>
              <w:pStyle w:val="TableTextCentered"/>
              <w:rPr>
                <w:rFonts w:ascii="Times New Roman" w:hAnsi="Times New Roman"/>
              </w:rPr>
            </w:pPr>
          </w:p>
        </w:tc>
      </w:tr>
      <w:tr w:rsidR="001C7E53" w:rsidRPr="00394A8F" w14:paraId="4AC54D87" w14:textId="77777777" w:rsidTr="001D0062">
        <w:trPr>
          <w:trHeight w:val="80"/>
        </w:trPr>
        <w:tc>
          <w:tcPr>
            <w:tcW w:w="1594" w:type="dxa"/>
            <w:tcBorders>
              <w:top w:val="nil"/>
              <w:left w:val="nil"/>
              <w:bottom w:val="single" w:sz="8" w:space="0" w:color="auto"/>
              <w:right w:val="nil"/>
            </w:tcBorders>
            <w:shd w:val="clear" w:color="auto" w:fill="auto"/>
            <w:noWrap/>
            <w:hideMark/>
          </w:tcPr>
          <w:p w14:paraId="7D7DCC13" w14:textId="77777777" w:rsidR="001C7E53" w:rsidRPr="00394A8F" w:rsidRDefault="001C7E53" w:rsidP="00F91AE4">
            <w:pPr>
              <w:pStyle w:val="TableTextLeft"/>
              <w:rPr>
                <w:rFonts w:ascii="Times New Roman" w:hAnsi="Times New Roman"/>
              </w:rPr>
            </w:pPr>
            <w:r w:rsidRPr="00394A8F">
              <w:rPr>
                <w:rFonts w:ascii="Times New Roman" w:hAnsi="Times New Roman"/>
              </w:rPr>
              <w:t> </w:t>
            </w:r>
          </w:p>
        </w:tc>
        <w:tc>
          <w:tcPr>
            <w:tcW w:w="1544" w:type="dxa"/>
            <w:tcBorders>
              <w:top w:val="nil"/>
              <w:left w:val="nil"/>
              <w:bottom w:val="single" w:sz="8" w:space="0" w:color="auto"/>
              <w:right w:val="nil"/>
            </w:tcBorders>
            <w:shd w:val="clear" w:color="auto" w:fill="auto"/>
            <w:noWrap/>
            <w:hideMark/>
          </w:tcPr>
          <w:p w14:paraId="5E0AEA77" w14:textId="77777777" w:rsidR="001C7E53" w:rsidRPr="00394A8F" w:rsidRDefault="001C7E53" w:rsidP="004B2309">
            <w:pPr>
              <w:pStyle w:val="TableTextCentered"/>
              <w:rPr>
                <w:rFonts w:ascii="Times New Roman" w:hAnsi="Times New Roman"/>
              </w:rPr>
            </w:pPr>
            <w:r w:rsidRPr="00394A8F">
              <w:rPr>
                <w:rFonts w:ascii="Times New Roman" w:hAnsi="Times New Roman"/>
              </w:rPr>
              <w:t> </w:t>
            </w:r>
          </w:p>
        </w:tc>
        <w:tc>
          <w:tcPr>
            <w:tcW w:w="1495" w:type="dxa"/>
            <w:tcBorders>
              <w:top w:val="nil"/>
              <w:left w:val="nil"/>
              <w:bottom w:val="single" w:sz="8" w:space="0" w:color="auto"/>
              <w:right w:val="nil"/>
            </w:tcBorders>
            <w:shd w:val="clear" w:color="auto" w:fill="auto"/>
            <w:noWrap/>
            <w:hideMark/>
          </w:tcPr>
          <w:p w14:paraId="63D1B0EB" w14:textId="77777777" w:rsidR="001C7E53" w:rsidRPr="00394A8F" w:rsidRDefault="001C7E53" w:rsidP="004B2309">
            <w:pPr>
              <w:pStyle w:val="TableTextCentered"/>
              <w:rPr>
                <w:rFonts w:ascii="Times New Roman" w:hAnsi="Times New Roman"/>
              </w:rPr>
            </w:pPr>
            <w:r w:rsidRPr="00394A8F">
              <w:rPr>
                <w:rFonts w:ascii="Times New Roman" w:hAnsi="Times New Roman"/>
              </w:rPr>
              <w:t> </w:t>
            </w:r>
          </w:p>
        </w:tc>
        <w:tc>
          <w:tcPr>
            <w:tcW w:w="1248" w:type="dxa"/>
            <w:tcBorders>
              <w:top w:val="nil"/>
              <w:left w:val="nil"/>
              <w:bottom w:val="single" w:sz="8" w:space="0" w:color="auto"/>
              <w:right w:val="nil"/>
            </w:tcBorders>
            <w:shd w:val="clear" w:color="auto" w:fill="auto"/>
            <w:noWrap/>
            <w:hideMark/>
          </w:tcPr>
          <w:p w14:paraId="7E7D1177" w14:textId="77777777" w:rsidR="001C7E53" w:rsidRPr="00394A8F" w:rsidRDefault="001C7E53" w:rsidP="004B2309">
            <w:pPr>
              <w:pStyle w:val="TableTextCentered"/>
              <w:rPr>
                <w:rFonts w:ascii="Times New Roman" w:hAnsi="Times New Roman"/>
              </w:rPr>
            </w:pPr>
            <w:r w:rsidRPr="00394A8F">
              <w:rPr>
                <w:rFonts w:ascii="Times New Roman" w:hAnsi="Times New Roman"/>
              </w:rPr>
              <w:t> </w:t>
            </w:r>
          </w:p>
        </w:tc>
        <w:tc>
          <w:tcPr>
            <w:tcW w:w="1620" w:type="dxa"/>
            <w:tcBorders>
              <w:top w:val="nil"/>
              <w:left w:val="nil"/>
              <w:bottom w:val="single" w:sz="8" w:space="0" w:color="auto"/>
              <w:right w:val="nil"/>
            </w:tcBorders>
            <w:shd w:val="clear" w:color="auto" w:fill="auto"/>
            <w:noWrap/>
            <w:hideMark/>
          </w:tcPr>
          <w:p w14:paraId="1F140A3A" w14:textId="77777777" w:rsidR="001C7E53" w:rsidRPr="00394A8F" w:rsidRDefault="001C7E53" w:rsidP="004B2309">
            <w:pPr>
              <w:pStyle w:val="TableTextCentered"/>
              <w:rPr>
                <w:rFonts w:ascii="Times New Roman" w:hAnsi="Times New Roman"/>
              </w:rPr>
            </w:pPr>
            <w:r w:rsidRPr="00394A8F">
              <w:rPr>
                <w:rFonts w:ascii="Times New Roman" w:hAnsi="Times New Roman"/>
              </w:rPr>
              <w:t> </w:t>
            </w:r>
          </w:p>
        </w:tc>
        <w:tc>
          <w:tcPr>
            <w:tcW w:w="1569" w:type="dxa"/>
            <w:tcBorders>
              <w:top w:val="nil"/>
              <w:left w:val="nil"/>
              <w:bottom w:val="single" w:sz="8" w:space="0" w:color="auto"/>
              <w:right w:val="nil"/>
            </w:tcBorders>
            <w:shd w:val="clear" w:color="auto" w:fill="auto"/>
            <w:noWrap/>
            <w:hideMark/>
          </w:tcPr>
          <w:p w14:paraId="5ED9209F" w14:textId="77777777" w:rsidR="001C7E53" w:rsidRPr="00394A8F" w:rsidRDefault="001C7E53" w:rsidP="004B2309">
            <w:pPr>
              <w:pStyle w:val="TableTextCentered"/>
              <w:rPr>
                <w:rFonts w:ascii="Times New Roman" w:hAnsi="Times New Roman"/>
              </w:rPr>
            </w:pPr>
            <w:r w:rsidRPr="00394A8F">
              <w:rPr>
                <w:rFonts w:ascii="Times New Roman" w:hAnsi="Times New Roman"/>
              </w:rPr>
              <w:t> </w:t>
            </w:r>
          </w:p>
        </w:tc>
      </w:tr>
      <w:tr w:rsidR="001C7E53" w:rsidRPr="00394A8F" w14:paraId="0B0543FD" w14:textId="77777777" w:rsidTr="001D0062">
        <w:trPr>
          <w:trHeight w:val="300"/>
        </w:trPr>
        <w:tc>
          <w:tcPr>
            <w:tcW w:w="1594" w:type="dxa"/>
            <w:tcBorders>
              <w:top w:val="nil"/>
              <w:left w:val="nil"/>
              <w:bottom w:val="nil"/>
              <w:right w:val="nil"/>
            </w:tcBorders>
            <w:shd w:val="clear" w:color="auto" w:fill="auto"/>
            <w:noWrap/>
            <w:vAlign w:val="center"/>
            <w:hideMark/>
          </w:tcPr>
          <w:p w14:paraId="0E3BFEC0" w14:textId="77777777" w:rsidR="001C7E53" w:rsidRPr="00394A8F" w:rsidRDefault="001C7E53" w:rsidP="00F91AE4">
            <w:pPr>
              <w:pStyle w:val="TableTextLeft"/>
            </w:pPr>
            <w:r w:rsidRPr="00394A8F">
              <w:t>R</w:t>
            </w:r>
            <w:r w:rsidRPr="00394A8F">
              <w:rPr>
                <w:vertAlign w:val="superscript"/>
              </w:rPr>
              <w:t>2</w:t>
            </w:r>
          </w:p>
        </w:tc>
        <w:tc>
          <w:tcPr>
            <w:tcW w:w="1544" w:type="dxa"/>
            <w:tcBorders>
              <w:top w:val="nil"/>
              <w:left w:val="nil"/>
              <w:bottom w:val="nil"/>
              <w:right w:val="nil"/>
            </w:tcBorders>
            <w:shd w:val="clear" w:color="auto" w:fill="auto"/>
            <w:noWrap/>
            <w:vAlign w:val="center"/>
            <w:hideMark/>
          </w:tcPr>
          <w:p w14:paraId="2EA8C2E6" w14:textId="77777777" w:rsidR="001C7E53" w:rsidRPr="00394A8F" w:rsidRDefault="001C7E53" w:rsidP="004B2309">
            <w:pPr>
              <w:pStyle w:val="TableTextCentered"/>
            </w:pPr>
            <w:r w:rsidRPr="00394A8F">
              <w:t>0.672</w:t>
            </w:r>
          </w:p>
        </w:tc>
        <w:tc>
          <w:tcPr>
            <w:tcW w:w="1495" w:type="dxa"/>
            <w:tcBorders>
              <w:top w:val="nil"/>
              <w:left w:val="nil"/>
              <w:bottom w:val="nil"/>
              <w:right w:val="nil"/>
            </w:tcBorders>
            <w:shd w:val="clear" w:color="auto" w:fill="auto"/>
            <w:noWrap/>
            <w:vAlign w:val="center"/>
            <w:hideMark/>
          </w:tcPr>
          <w:p w14:paraId="1B49BF68" w14:textId="77777777" w:rsidR="001C7E53" w:rsidRPr="00394A8F" w:rsidRDefault="001C7E53" w:rsidP="004B2309">
            <w:pPr>
              <w:pStyle w:val="TableTextCentered"/>
            </w:pPr>
            <w:r w:rsidRPr="00394A8F">
              <w:t>0.67</w:t>
            </w:r>
          </w:p>
        </w:tc>
        <w:tc>
          <w:tcPr>
            <w:tcW w:w="1248" w:type="dxa"/>
            <w:tcBorders>
              <w:top w:val="nil"/>
              <w:left w:val="nil"/>
              <w:bottom w:val="nil"/>
              <w:right w:val="nil"/>
            </w:tcBorders>
            <w:shd w:val="clear" w:color="auto" w:fill="auto"/>
            <w:noWrap/>
            <w:vAlign w:val="center"/>
            <w:hideMark/>
          </w:tcPr>
          <w:p w14:paraId="7740C80D" w14:textId="77777777" w:rsidR="001C7E53" w:rsidRPr="00394A8F" w:rsidRDefault="001C7E53" w:rsidP="004B2309">
            <w:pPr>
              <w:pStyle w:val="TableTextCentered"/>
            </w:pPr>
            <w:r w:rsidRPr="00394A8F">
              <w:t>0.781 </w:t>
            </w:r>
          </w:p>
        </w:tc>
        <w:tc>
          <w:tcPr>
            <w:tcW w:w="1620" w:type="dxa"/>
            <w:tcBorders>
              <w:top w:val="nil"/>
              <w:left w:val="nil"/>
              <w:bottom w:val="nil"/>
              <w:right w:val="nil"/>
            </w:tcBorders>
            <w:shd w:val="clear" w:color="auto" w:fill="auto"/>
            <w:noWrap/>
            <w:vAlign w:val="center"/>
            <w:hideMark/>
          </w:tcPr>
          <w:p w14:paraId="0B47A1AC" w14:textId="77777777" w:rsidR="001C7E53" w:rsidRPr="00394A8F" w:rsidRDefault="001C7E53" w:rsidP="004B2309">
            <w:pPr>
              <w:pStyle w:val="TableTextCentered"/>
            </w:pPr>
            <w:r w:rsidRPr="00394A8F">
              <w:t>0.801</w:t>
            </w:r>
          </w:p>
        </w:tc>
        <w:tc>
          <w:tcPr>
            <w:tcW w:w="1569" w:type="dxa"/>
            <w:tcBorders>
              <w:top w:val="nil"/>
              <w:left w:val="nil"/>
              <w:bottom w:val="nil"/>
              <w:right w:val="nil"/>
            </w:tcBorders>
            <w:shd w:val="clear" w:color="auto" w:fill="auto"/>
            <w:vAlign w:val="center"/>
            <w:hideMark/>
          </w:tcPr>
          <w:p w14:paraId="5611FC34" w14:textId="77777777" w:rsidR="001C7E53" w:rsidRPr="00394A8F" w:rsidRDefault="001C7E53" w:rsidP="004B2309">
            <w:pPr>
              <w:pStyle w:val="TableTextCentered"/>
            </w:pPr>
            <w:r w:rsidRPr="00394A8F">
              <w:t>0.802</w:t>
            </w:r>
          </w:p>
        </w:tc>
      </w:tr>
      <w:tr w:rsidR="001C7E53" w:rsidRPr="00394A8F" w14:paraId="06A37AFD" w14:textId="77777777" w:rsidTr="001D0062">
        <w:trPr>
          <w:trHeight w:val="300"/>
        </w:trPr>
        <w:tc>
          <w:tcPr>
            <w:tcW w:w="1594" w:type="dxa"/>
            <w:tcBorders>
              <w:top w:val="nil"/>
              <w:left w:val="nil"/>
              <w:right w:val="nil"/>
            </w:tcBorders>
            <w:shd w:val="clear" w:color="auto" w:fill="auto"/>
            <w:noWrap/>
            <w:vAlign w:val="center"/>
            <w:hideMark/>
          </w:tcPr>
          <w:p w14:paraId="640E065E" w14:textId="77777777" w:rsidR="001C7E53" w:rsidRPr="00394A8F" w:rsidRDefault="001C7E53" w:rsidP="00F91AE4">
            <w:pPr>
              <w:pStyle w:val="TableTextLeft"/>
            </w:pPr>
            <w:r w:rsidRPr="00394A8F">
              <w:t>N</w:t>
            </w:r>
          </w:p>
        </w:tc>
        <w:tc>
          <w:tcPr>
            <w:tcW w:w="1544" w:type="dxa"/>
            <w:tcBorders>
              <w:top w:val="nil"/>
              <w:left w:val="nil"/>
              <w:right w:val="nil"/>
            </w:tcBorders>
            <w:shd w:val="clear" w:color="auto" w:fill="auto"/>
            <w:noWrap/>
            <w:vAlign w:val="center"/>
            <w:hideMark/>
          </w:tcPr>
          <w:p w14:paraId="09172C9A" w14:textId="77777777" w:rsidR="001C7E53" w:rsidRPr="00394A8F" w:rsidRDefault="001C7E53" w:rsidP="004B2309">
            <w:pPr>
              <w:pStyle w:val="TableTextCentered"/>
            </w:pPr>
            <w:r w:rsidRPr="00394A8F">
              <w:t>302,000</w:t>
            </w:r>
          </w:p>
        </w:tc>
        <w:tc>
          <w:tcPr>
            <w:tcW w:w="1495" w:type="dxa"/>
            <w:tcBorders>
              <w:top w:val="nil"/>
              <w:left w:val="nil"/>
              <w:right w:val="nil"/>
            </w:tcBorders>
            <w:shd w:val="clear" w:color="auto" w:fill="auto"/>
            <w:noWrap/>
            <w:vAlign w:val="center"/>
            <w:hideMark/>
          </w:tcPr>
          <w:p w14:paraId="5916CB5D" w14:textId="77777777" w:rsidR="001C7E53" w:rsidRPr="00394A8F" w:rsidRDefault="001C7E53" w:rsidP="004B2309">
            <w:pPr>
              <w:pStyle w:val="TableTextCentered"/>
            </w:pPr>
            <w:r w:rsidRPr="00394A8F">
              <w:t>302,000</w:t>
            </w:r>
          </w:p>
        </w:tc>
        <w:tc>
          <w:tcPr>
            <w:tcW w:w="1248" w:type="dxa"/>
            <w:tcBorders>
              <w:top w:val="nil"/>
              <w:left w:val="nil"/>
              <w:right w:val="nil"/>
            </w:tcBorders>
            <w:shd w:val="clear" w:color="auto" w:fill="auto"/>
            <w:noWrap/>
            <w:vAlign w:val="center"/>
            <w:hideMark/>
          </w:tcPr>
          <w:p w14:paraId="5A848A32" w14:textId="77777777" w:rsidR="001C7E53" w:rsidRPr="00394A8F" w:rsidRDefault="001C7E53" w:rsidP="004B2309">
            <w:pPr>
              <w:pStyle w:val="TableTextCentered"/>
            </w:pPr>
            <w:r w:rsidRPr="00394A8F">
              <w:t>3,660,000 </w:t>
            </w:r>
          </w:p>
        </w:tc>
        <w:tc>
          <w:tcPr>
            <w:tcW w:w="1620" w:type="dxa"/>
            <w:tcBorders>
              <w:top w:val="nil"/>
              <w:left w:val="nil"/>
              <w:right w:val="nil"/>
            </w:tcBorders>
            <w:shd w:val="clear" w:color="auto" w:fill="auto"/>
            <w:noWrap/>
            <w:vAlign w:val="center"/>
            <w:hideMark/>
          </w:tcPr>
          <w:p w14:paraId="29B69115" w14:textId="77777777" w:rsidR="001C7E53" w:rsidRPr="00394A8F" w:rsidRDefault="001C7E53" w:rsidP="004B2309">
            <w:pPr>
              <w:pStyle w:val="TableTextCentered"/>
            </w:pPr>
            <w:r w:rsidRPr="00394A8F">
              <w:t>3,560,000</w:t>
            </w:r>
          </w:p>
        </w:tc>
        <w:tc>
          <w:tcPr>
            <w:tcW w:w="1569" w:type="dxa"/>
            <w:tcBorders>
              <w:top w:val="nil"/>
              <w:left w:val="nil"/>
              <w:right w:val="nil"/>
            </w:tcBorders>
            <w:shd w:val="clear" w:color="auto" w:fill="auto"/>
            <w:vAlign w:val="center"/>
            <w:hideMark/>
          </w:tcPr>
          <w:p w14:paraId="5BE8A234" w14:textId="77777777" w:rsidR="001C7E53" w:rsidRPr="00394A8F" w:rsidRDefault="001C7E53" w:rsidP="004B2309">
            <w:pPr>
              <w:pStyle w:val="TableTextCentered"/>
            </w:pPr>
            <w:r w:rsidRPr="00394A8F">
              <w:t>3,560,000</w:t>
            </w:r>
          </w:p>
        </w:tc>
      </w:tr>
      <w:tr w:rsidR="001C7E53" w:rsidRPr="00394A8F" w14:paraId="077E2200" w14:textId="77777777" w:rsidTr="001D0062">
        <w:trPr>
          <w:trHeight w:val="300"/>
        </w:trPr>
        <w:tc>
          <w:tcPr>
            <w:tcW w:w="1594" w:type="dxa"/>
            <w:tcBorders>
              <w:top w:val="nil"/>
              <w:left w:val="nil"/>
              <w:bottom w:val="single" w:sz="4" w:space="0" w:color="auto"/>
              <w:right w:val="nil"/>
            </w:tcBorders>
            <w:shd w:val="clear" w:color="auto" w:fill="auto"/>
            <w:noWrap/>
            <w:vAlign w:val="center"/>
            <w:hideMark/>
          </w:tcPr>
          <w:p w14:paraId="48B1E412" w14:textId="77777777" w:rsidR="001C7E53" w:rsidRPr="00394A8F" w:rsidRDefault="001C7E53" w:rsidP="00F91AE4">
            <w:pPr>
              <w:pStyle w:val="TableColumnHeadingLeft"/>
            </w:pPr>
            <w:r w:rsidRPr="00394A8F">
              <w:t>Fixed effects</w:t>
            </w:r>
          </w:p>
        </w:tc>
        <w:tc>
          <w:tcPr>
            <w:tcW w:w="1544" w:type="dxa"/>
            <w:tcBorders>
              <w:top w:val="nil"/>
              <w:left w:val="nil"/>
              <w:bottom w:val="single" w:sz="4" w:space="0" w:color="auto"/>
              <w:right w:val="nil"/>
            </w:tcBorders>
            <w:shd w:val="clear" w:color="auto" w:fill="auto"/>
            <w:noWrap/>
            <w:vAlign w:val="center"/>
            <w:hideMark/>
          </w:tcPr>
          <w:p w14:paraId="6B876E2A" w14:textId="77777777" w:rsidR="001C7E53" w:rsidRPr="00394A8F" w:rsidRDefault="001C7E53" w:rsidP="004B2309">
            <w:pPr>
              <w:pStyle w:val="TableTextCentered"/>
              <w:rPr>
                <w:b/>
                <w:bCs/>
                <w:i/>
                <w:iCs/>
              </w:rPr>
            </w:pPr>
          </w:p>
        </w:tc>
        <w:tc>
          <w:tcPr>
            <w:tcW w:w="1495" w:type="dxa"/>
            <w:tcBorders>
              <w:top w:val="nil"/>
              <w:left w:val="nil"/>
              <w:bottom w:val="single" w:sz="4" w:space="0" w:color="auto"/>
              <w:right w:val="nil"/>
            </w:tcBorders>
            <w:shd w:val="clear" w:color="auto" w:fill="auto"/>
            <w:noWrap/>
            <w:vAlign w:val="center"/>
            <w:hideMark/>
          </w:tcPr>
          <w:p w14:paraId="459A231D" w14:textId="77777777" w:rsidR="001C7E53" w:rsidRPr="00394A8F" w:rsidRDefault="001C7E53" w:rsidP="004B2309">
            <w:pPr>
              <w:pStyle w:val="TableTextCentered"/>
              <w:rPr>
                <w:rFonts w:ascii="Times New Roman" w:hAnsi="Times New Roman"/>
              </w:rPr>
            </w:pPr>
          </w:p>
        </w:tc>
        <w:tc>
          <w:tcPr>
            <w:tcW w:w="1248" w:type="dxa"/>
            <w:tcBorders>
              <w:top w:val="nil"/>
              <w:left w:val="nil"/>
              <w:bottom w:val="single" w:sz="4" w:space="0" w:color="auto"/>
              <w:right w:val="nil"/>
            </w:tcBorders>
            <w:shd w:val="clear" w:color="auto" w:fill="auto"/>
            <w:noWrap/>
            <w:vAlign w:val="center"/>
            <w:hideMark/>
          </w:tcPr>
          <w:p w14:paraId="4541F211" w14:textId="77777777" w:rsidR="001C7E53" w:rsidRPr="00394A8F" w:rsidRDefault="001C7E53" w:rsidP="004B2309">
            <w:pPr>
              <w:pStyle w:val="TableTextCentered"/>
              <w:rPr>
                <w:rFonts w:ascii="Times New Roman" w:hAnsi="Times New Roman"/>
              </w:rPr>
            </w:pPr>
          </w:p>
        </w:tc>
        <w:tc>
          <w:tcPr>
            <w:tcW w:w="1620" w:type="dxa"/>
            <w:tcBorders>
              <w:top w:val="nil"/>
              <w:left w:val="nil"/>
              <w:bottom w:val="single" w:sz="4" w:space="0" w:color="auto"/>
              <w:right w:val="nil"/>
            </w:tcBorders>
            <w:shd w:val="clear" w:color="auto" w:fill="auto"/>
            <w:noWrap/>
            <w:vAlign w:val="center"/>
            <w:hideMark/>
          </w:tcPr>
          <w:p w14:paraId="0DF04A8C" w14:textId="77777777" w:rsidR="001C7E53" w:rsidRPr="00394A8F" w:rsidRDefault="001C7E53" w:rsidP="004B2309">
            <w:pPr>
              <w:pStyle w:val="TableTextCentered"/>
              <w:rPr>
                <w:rFonts w:ascii="Times New Roman" w:hAnsi="Times New Roman"/>
              </w:rPr>
            </w:pPr>
          </w:p>
        </w:tc>
        <w:tc>
          <w:tcPr>
            <w:tcW w:w="1569" w:type="dxa"/>
            <w:tcBorders>
              <w:top w:val="nil"/>
              <w:left w:val="nil"/>
              <w:bottom w:val="single" w:sz="4" w:space="0" w:color="auto"/>
              <w:right w:val="nil"/>
            </w:tcBorders>
            <w:shd w:val="clear" w:color="auto" w:fill="auto"/>
            <w:noWrap/>
            <w:vAlign w:val="center"/>
            <w:hideMark/>
          </w:tcPr>
          <w:p w14:paraId="5668A491" w14:textId="77777777" w:rsidR="001C7E53" w:rsidRPr="00394A8F" w:rsidRDefault="001C7E53" w:rsidP="004B2309">
            <w:pPr>
              <w:pStyle w:val="TableTextCentered"/>
              <w:rPr>
                <w:rFonts w:ascii="Times New Roman" w:hAnsi="Times New Roman"/>
              </w:rPr>
            </w:pPr>
          </w:p>
        </w:tc>
      </w:tr>
      <w:tr w:rsidR="001C7E53" w:rsidRPr="00394A8F" w14:paraId="4B3403E1" w14:textId="77777777" w:rsidTr="001D0062">
        <w:trPr>
          <w:trHeight w:val="300"/>
        </w:trPr>
        <w:tc>
          <w:tcPr>
            <w:tcW w:w="1594" w:type="dxa"/>
            <w:tcBorders>
              <w:top w:val="single" w:sz="4" w:space="0" w:color="auto"/>
              <w:left w:val="nil"/>
              <w:bottom w:val="nil"/>
              <w:right w:val="nil"/>
            </w:tcBorders>
            <w:shd w:val="clear" w:color="auto" w:fill="auto"/>
            <w:noWrap/>
            <w:vAlign w:val="center"/>
            <w:hideMark/>
          </w:tcPr>
          <w:p w14:paraId="0CEB0CE1" w14:textId="77777777" w:rsidR="001C7E53" w:rsidRPr="00394A8F" w:rsidRDefault="001C7E53" w:rsidP="00F91AE4">
            <w:pPr>
              <w:pStyle w:val="TableTextLeft"/>
            </w:pPr>
            <w:r w:rsidRPr="00394A8F">
              <w:t>Local market</w:t>
            </w:r>
          </w:p>
        </w:tc>
        <w:tc>
          <w:tcPr>
            <w:tcW w:w="1544" w:type="dxa"/>
            <w:tcBorders>
              <w:top w:val="single" w:sz="4" w:space="0" w:color="auto"/>
              <w:left w:val="nil"/>
              <w:bottom w:val="nil"/>
              <w:right w:val="nil"/>
            </w:tcBorders>
            <w:shd w:val="clear" w:color="auto" w:fill="auto"/>
            <w:noWrap/>
            <w:vAlign w:val="center"/>
            <w:hideMark/>
          </w:tcPr>
          <w:p w14:paraId="3059D407" w14:textId="77777777" w:rsidR="001C7E53" w:rsidRPr="00394A8F" w:rsidRDefault="001C7E53" w:rsidP="004B2309">
            <w:pPr>
              <w:pStyle w:val="TableTextCentered"/>
            </w:pPr>
            <w:r w:rsidRPr="00394A8F">
              <w:t>Y</w:t>
            </w:r>
          </w:p>
        </w:tc>
        <w:tc>
          <w:tcPr>
            <w:tcW w:w="1495" w:type="dxa"/>
            <w:tcBorders>
              <w:top w:val="single" w:sz="4" w:space="0" w:color="auto"/>
              <w:left w:val="nil"/>
              <w:bottom w:val="nil"/>
              <w:right w:val="nil"/>
            </w:tcBorders>
            <w:shd w:val="clear" w:color="auto" w:fill="auto"/>
            <w:noWrap/>
            <w:vAlign w:val="center"/>
            <w:hideMark/>
          </w:tcPr>
          <w:p w14:paraId="0127E48B" w14:textId="77777777" w:rsidR="001C7E53" w:rsidRPr="00394A8F" w:rsidRDefault="001C7E53" w:rsidP="004B2309">
            <w:pPr>
              <w:pStyle w:val="TableTextCentered"/>
            </w:pPr>
            <w:r w:rsidRPr="00394A8F">
              <w:t>Y</w:t>
            </w:r>
          </w:p>
        </w:tc>
        <w:tc>
          <w:tcPr>
            <w:tcW w:w="1248" w:type="dxa"/>
            <w:tcBorders>
              <w:top w:val="single" w:sz="4" w:space="0" w:color="auto"/>
              <w:left w:val="nil"/>
              <w:bottom w:val="nil"/>
              <w:right w:val="nil"/>
            </w:tcBorders>
            <w:shd w:val="clear" w:color="auto" w:fill="auto"/>
            <w:noWrap/>
            <w:vAlign w:val="center"/>
            <w:hideMark/>
          </w:tcPr>
          <w:p w14:paraId="72774D5C" w14:textId="77777777" w:rsidR="001C7E53" w:rsidRPr="00394A8F" w:rsidRDefault="001C7E53" w:rsidP="004B2309">
            <w:pPr>
              <w:pStyle w:val="TableTextCentered"/>
            </w:pPr>
            <w:r w:rsidRPr="00394A8F">
              <w:t>Y</w:t>
            </w:r>
          </w:p>
        </w:tc>
        <w:tc>
          <w:tcPr>
            <w:tcW w:w="1620" w:type="dxa"/>
            <w:tcBorders>
              <w:top w:val="single" w:sz="4" w:space="0" w:color="auto"/>
              <w:left w:val="nil"/>
              <w:bottom w:val="nil"/>
              <w:right w:val="nil"/>
            </w:tcBorders>
            <w:shd w:val="clear" w:color="auto" w:fill="auto"/>
            <w:noWrap/>
            <w:vAlign w:val="center"/>
            <w:hideMark/>
          </w:tcPr>
          <w:p w14:paraId="65DFAA59" w14:textId="77777777" w:rsidR="001C7E53" w:rsidRPr="00394A8F" w:rsidRDefault="001C7E53" w:rsidP="004B2309">
            <w:pPr>
              <w:pStyle w:val="TableTextCentered"/>
            </w:pPr>
            <w:r w:rsidRPr="00394A8F">
              <w:t>N</w:t>
            </w:r>
          </w:p>
        </w:tc>
        <w:tc>
          <w:tcPr>
            <w:tcW w:w="1569" w:type="dxa"/>
            <w:tcBorders>
              <w:top w:val="single" w:sz="4" w:space="0" w:color="auto"/>
              <w:left w:val="nil"/>
              <w:bottom w:val="nil"/>
              <w:right w:val="nil"/>
            </w:tcBorders>
            <w:shd w:val="clear" w:color="auto" w:fill="auto"/>
            <w:noWrap/>
            <w:vAlign w:val="center"/>
            <w:hideMark/>
          </w:tcPr>
          <w:p w14:paraId="5096FB50" w14:textId="77777777" w:rsidR="001C7E53" w:rsidRPr="00394A8F" w:rsidRDefault="001C7E53" w:rsidP="004B2309">
            <w:pPr>
              <w:pStyle w:val="TableTextCentered"/>
            </w:pPr>
            <w:r w:rsidRPr="00394A8F">
              <w:t>N</w:t>
            </w:r>
          </w:p>
        </w:tc>
      </w:tr>
      <w:tr w:rsidR="001C7E53" w:rsidRPr="00394A8F" w14:paraId="1ADFB56F" w14:textId="77777777" w:rsidTr="001D0062">
        <w:trPr>
          <w:trHeight w:val="300"/>
        </w:trPr>
        <w:tc>
          <w:tcPr>
            <w:tcW w:w="1594" w:type="dxa"/>
            <w:tcBorders>
              <w:top w:val="nil"/>
              <w:left w:val="nil"/>
              <w:bottom w:val="nil"/>
              <w:right w:val="nil"/>
            </w:tcBorders>
            <w:shd w:val="clear" w:color="auto" w:fill="auto"/>
            <w:noWrap/>
            <w:vAlign w:val="center"/>
            <w:hideMark/>
          </w:tcPr>
          <w:p w14:paraId="2585A415" w14:textId="77777777" w:rsidR="001C7E53" w:rsidRPr="00394A8F" w:rsidRDefault="001C7E53" w:rsidP="00F91AE4">
            <w:pPr>
              <w:pStyle w:val="TableTextLeft"/>
            </w:pPr>
            <w:r w:rsidRPr="00394A8F">
              <w:t>Time*Industry</w:t>
            </w:r>
          </w:p>
        </w:tc>
        <w:tc>
          <w:tcPr>
            <w:tcW w:w="1544" w:type="dxa"/>
            <w:tcBorders>
              <w:top w:val="nil"/>
              <w:left w:val="nil"/>
              <w:bottom w:val="nil"/>
              <w:right w:val="nil"/>
            </w:tcBorders>
            <w:shd w:val="clear" w:color="auto" w:fill="auto"/>
            <w:noWrap/>
            <w:vAlign w:val="center"/>
            <w:hideMark/>
          </w:tcPr>
          <w:p w14:paraId="12F48F33" w14:textId="77777777" w:rsidR="001C7E53" w:rsidRPr="00394A8F" w:rsidRDefault="001C7E53" w:rsidP="004B2309">
            <w:pPr>
              <w:pStyle w:val="TableTextCentered"/>
            </w:pPr>
            <w:r w:rsidRPr="00394A8F">
              <w:t>Y</w:t>
            </w:r>
          </w:p>
        </w:tc>
        <w:tc>
          <w:tcPr>
            <w:tcW w:w="1495" w:type="dxa"/>
            <w:tcBorders>
              <w:top w:val="nil"/>
              <w:left w:val="nil"/>
              <w:bottom w:val="nil"/>
              <w:right w:val="nil"/>
            </w:tcBorders>
            <w:shd w:val="clear" w:color="auto" w:fill="auto"/>
            <w:noWrap/>
            <w:vAlign w:val="center"/>
            <w:hideMark/>
          </w:tcPr>
          <w:p w14:paraId="4B265BA3" w14:textId="77777777" w:rsidR="001C7E53" w:rsidRPr="00394A8F" w:rsidRDefault="001C7E53" w:rsidP="004B2309">
            <w:pPr>
              <w:pStyle w:val="TableTextCentered"/>
            </w:pPr>
            <w:r w:rsidRPr="00394A8F">
              <w:t>N</w:t>
            </w:r>
          </w:p>
        </w:tc>
        <w:tc>
          <w:tcPr>
            <w:tcW w:w="1248" w:type="dxa"/>
            <w:tcBorders>
              <w:top w:val="nil"/>
              <w:left w:val="nil"/>
              <w:bottom w:val="nil"/>
              <w:right w:val="nil"/>
            </w:tcBorders>
            <w:shd w:val="clear" w:color="auto" w:fill="auto"/>
            <w:noWrap/>
            <w:vAlign w:val="center"/>
            <w:hideMark/>
          </w:tcPr>
          <w:p w14:paraId="19965A54" w14:textId="77777777" w:rsidR="001C7E53" w:rsidRPr="00394A8F" w:rsidRDefault="001C7E53" w:rsidP="004B2309">
            <w:pPr>
              <w:pStyle w:val="TableTextCentered"/>
            </w:pPr>
            <w:r w:rsidRPr="00394A8F">
              <w:t>Y</w:t>
            </w:r>
          </w:p>
        </w:tc>
        <w:tc>
          <w:tcPr>
            <w:tcW w:w="1620" w:type="dxa"/>
            <w:tcBorders>
              <w:top w:val="nil"/>
              <w:left w:val="nil"/>
              <w:bottom w:val="nil"/>
              <w:right w:val="nil"/>
            </w:tcBorders>
            <w:shd w:val="clear" w:color="auto" w:fill="auto"/>
            <w:noWrap/>
            <w:vAlign w:val="center"/>
            <w:hideMark/>
          </w:tcPr>
          <w:p w14:paraId="38140163" w14:textId="77777777" w:rsidR="001C7E53" w:rsidRPr="00394A8F" w:rsidRDefault="001C7E53" w:rsidP="004B2309">
            <w:pPr>
              <w:pStyle w:val="TableTextCentered"/>
            </w:pPr>
            <w:r w:rsidRPr="00394A8F">
              <w:t>N</w:t>
            </w:r>
          </w:p>
        </w:tc>
        <w:tc>
          <w:tcPr>
            <w:tcW w:w="1569" w:type="dxa"/>
            <w:tcBorders>
              <w:top w:val="nil"/>
              <w:left w:val="nil"/>
              <w:bottom w:val="nil"/>
              <w:right w:val="nil"/>
            </w:tcBorders>
            <w:shd w:val="clear" w:color="auto" w:fill="auto"/>
            <w:noWrap/>
            <w:vAlign w:val="center"/>
            <w:hideMark/>
          </w:tcPr>
          <w:p w14:paraId="728607A2" w14:textId="77777777" w:rsidR="001C7E53" w:rsidRPr="00394A8F" w:rsidRDefault="001C7E53" w:rsidP="004B2309">
            <w:pPr>
              <w:pStyle w:val="TableTextCentered"/>
            </w:pPr>
            <w:r w:rsidRPr="00394A8F">
              <w:t>N</w:t>
            </w:r>
          </w:p>
        </w:tc>
      </w:tr>
      <w:tr w:rsidR="001C7E53" w:rsidRPr="00394A8F" w14:paraId="5ECF7215" w14:textId="77777777" w:rsidTr="001D0062">
        <w:trPr>
          <w:trHeight w:val="300"/>
        </w:trPr>
        <w:tc>
          <w:tcPr>
            <w:tcW w:w="1594" w:type="dxa"/>
            <w:tcBorders>
              <w:top w:val="nil"/>
              <w:left w:val="nil"/>
              <w:bottom w:val="nil"/>
              <w:right w:val="nil"/>
            </w:tcBorders>
            <w:shd w:val="clear" w:color="auto" w:fill="auto"/>
            <w:noWrap/>
            <w:vAlign w:val="center"/>
            <w:hideMark/>
          </w:tcPr>
          <w:p w14:paraId="1340263D" w14:textId="77777777" w:rsidR="001C7E53" w:rsidRPr="00394A8F" w:rsidRDefault="001C7E53" w:rsidP="00F91AE4">
            <w:pPr>
              <w:pStyle w:val="TableTextLeft"/>
            </w:pPr>
            <w:r w:rsidRPr="00394A8F">
              <w:t>Time*Location</w:t>
            </w:r>
          </w:p>
        </w:tc>
        <w:tc>
          <w:tcPr>
            <w:tcW w:w="1544" w:type="dxa"/>
            <w:tcBorders>
              <w:top w:val="nil"/>
              <w:left w:val="nil"/>
              <w:bottom w:val="nil"/>
              <w:right w:val="nil"/>
            </w:tcBorders>
            <w:shd w:val="clear" w:color="auto" w:fill="auto"/>
            <w:noWrap/>
            <w:vAlign w:val="center"/>
            <w:hideMark/>
          </w:tcPr>
          <w:p w14:paraId="1F07AD81" w14:textId="77777777" w:rsidR="001C7E53" w:rsidRPr="00394A8F" w:rsidRDefault="001C7E53" w:rsidP="004B2309">
            <w:pPr>
              <w:pStyle w:val="TableTextCentered"/>
            </w:pPr>
            <w:r w:rsidRPr="00394A8F">
              <w:t>Y</w:t>
            </w:r>
          </w:p>
        </w:tc>
        <w:tc>
          <w:tcPr>
            <w:tcW w:w="1495" w:type="dxa"/>
            <w:tcBorders>
              <w:top w:val="nil"/>
              <w:left w:val="nil"/>
              <w:bottom w:val="nil"/>
              <w:right w:val="nil"/>
            </w:tcBorders>
            <w:shd w:val="clear" w:color="auto" w:fill="auto"/>
            <w:noWrap/>
            <w:vAlign w:val="center"/>
            <w:hideMark/>
          </w:tcPr>
          <w:p w14:paraId="04980250" w14:textId="77777777" w:rsidR="001C7E53" w:rsidRPr="00394A8F" w:rsidRDefault="001C7E53" w:rsidP="004B2309">
            <w:pPr>
              <w:pStyle w:val="TableTextCentered"/>
            </w:pPr>
            <w:r w:rsidRPr="00394A8F">
              <w:t>Y</w:t>
            </w:r>
          </w:p>
        </w:tc>
        <w:tc>
          <w:tcPr>
            <w:tcW w:w="1248" w:type="dxa"/>
            <w:tcBorders>
              <w:top w:val="nil"/>
              <w:left w:val="nil"/>
              <w:bottom w:val="nil"/>
              <w:right w:val="nil"/>
            </w:tcBorders>
            <w:shd w:val="clear" w:color="auto" w:fill="auto"/>
            <w:noWrap/>
            <w:vAlign w:val="center"/>
            <w:hideMark/>
          </w:tcPr>
          <w:p w14:paraId="569D5F5F" w14:textId="77777777" w:rsidR="001C7E53" w:rsidRPr="00394A8F" w:rsidRDefault="001C7E53" w:rsidP="004B2309">
            <w:pPr>
              <w:pStyle w:val="TableTextCentered"/>
            </w:pPr>
            <w:r w:rsidRPr="00394A8F">
              <w:t>Y</w:t>
            </w:r>
          </w:p>
        </w:tc>
        <w:tc>
          <w:tcPr>
            <w:tcW w:w="1620" w:type="dxa"/>
            <w:tcBorders>
              <w:top w:val="nil"/>
              <w:left w:val="nil"/>
              <w:bottom w:val="nil"/>
              <w:right w:val="nil"/>
            </w:tcBorders>
            <w:shd w:val="clear" w:color="auto" w:fill="auto"/>
            <w:noWrap/>
            <w:vAlign w:val="center"/>
            <w:hideMark/>
          </w:tcPr>
          <w:p w14:paraId="6E60B512" w14:textId="77777777" w:rsidR="001C7E53" w:rsidRPr="00394A8F" w:rsidRDefault="001C7E53" w:rsidP="004B2309">
            <w:pPr>
              <w:pStyle w:val="TableTextCentered"/>
            </w:pPr>
            <w:r w:rsidRPr="00394A8F">
              <w:t>N</w:t>
            </w:r>
          </w:p>
        </w:tc>
        <w:tc>
          <w:tcPr>
            <w:tcW w:w="1569" w:type="dxa"/>
            <w:tcBorders>
              <w:top w:val="nil"/>
              <w:left w:val="nil"/>
              <w:bottom w:val="nil"/>
              <w:right w:val="nil"/>
            </w:tcBorders>
            <w:shd w:val="clear" w:color="auto" w:fill="auto"/>
            <w:noWrap/>
            <w:vAlign w:val="center"/>
            <w:hideMark/>
          </w:tcPr>
          <w:p w14:paraId="0F0F7385" w14:textId="77777777" w:rsidR="001C7E53" w:rsidRPr="00394A8F" w:rsidRDefault="001C7E53" w:rsidP="004B2309">
            <w:pPr>
              <w:pStyle w:val="TableTextCentered"/>
            </w:pPr>
            <w:r w:rsidRPr="00394A8F">
              <w:t>N</w:t>
            </w:r>
          </w:p>
        </w:tc>
      </w:tr>
      <w:tr w:rsidR="001C7E53" w:rsidRPr="00394A8F" w14:paraId="66622D85" w14:textId="77777777" w:rsidTr="001D0062">
        <w:trPr>
          <w:trHeight w:val="315"/>
        </w:trPr>
        <w:tc>
          <w:tcPr>
            <w:tcW w:w="1594" w:type="dxa"/>
            <w:tcBorders>
              <w:top w:val="nil"/>
              <w:left w:val="nil"/>
              <w:bottom w:val="nil"/>
              <w:right w:val="nil"/>
            </w:tcBorders>
            <w:shd w:val="clear" w:color="auto" w:fill="auto"/>
            <w:noWrap/>
            <w:vAlign w:val="center"/>
            <w:hideMark/>
          </w:tcPr>
          <w:p w14:paraId="57587561" w14:textId="77777777" w:rsidR="001C7E53" w:rsidRPr="00394A8F" w:rsidRDefault="001C7E53" w:rsidP="00F91AE4">
            <w:pPr>
              <w:pStyle w:val="TableTextLeft"/>
            </w:pPr>
            <w:r>
              <w:t>Time*market</w:t>
            </w:r>
          </w:p>
        </w:tc>
        <w:tc>
          <w:tcPr>
            <w:tcW w:w="1544" w:type="dxa"/>
            <w:tcBorders>
              <w:top w:val="nil"/>
              <w:left w:val="nil"/>
              <w:bottom w:val="nil"/>
              <w:right w:val="nil"/>
            </w:tcBorders>
            <w:shd w:val="clear" w:color="auto" w:fill="auto"/>
            <w:noWrap/>
            <w:vAlign w:val="center"/>
            <w:hideMark/>
          </w:tcPr>
          <w:p w14:paraId="779BFDB3" w14:textId="77777777" w:rsidR="001C7E53" w:rsidRPr="00394A8F" w:rsidRDefault="001C7E53" w:rsidP="004B2309">
            <w:pPr>
              <w:pStyle w:val="TableTextCentered"/>
            </w:pPr>
            <w:r w:rsidRPr="00394A8F">
              <w:t>N</w:t>
            </w:r>
          </w:p>
        </w:tc>
        <w:tc>
          <w:tcPr>
            <w:tcW w:w="1495" w:type="dxa"/>
            <w:tcBorders>
              <w:top w:val="nil"/>
              <w:left w:val="nil"/>
              <w:bottom w:val="nil"/>
              <w:right w:val="nil"/>
            </w:tcBorders>
            <w:shd w:val="clear" w:color="auto" w:fill="auto"/>
            <w:noWrap/>
            <w:vAlign w:val="center"/>
            <w:hideMark/>
          </w:tcPr>
          <w:p w14:paraId="3660B8B5" w14:textId="77777777" w:rsidR="001C7E53" w:rsidRPr="00394A8F" w:rsidRDefault="001C7E53" w:rsidP="004B2309">
            <w:pPr>
              <w:pStyle w:val="TableTextCentered"/>
            </w:pPr>
            <w:r w:rsidRPr="00394A8F">
              <w:t>N</w:t>
            </w:r>
          </w:p>
        </w:tc>
        <w:tc>
          <w:tcPr>
            <w:tcW w:w="1248" w:type="dxa"/>
            <w:tcBorders>
              <w:top w:val="nil"/>
              <w:left w:val="nil"/>
              <w:bottom w:val="nil"/>
              <w:right w:val="nil"/>
            </w:tcBorders>
            <w:shd w:val="clear" w:color="auto" w:fill="auto"/>
            <w:noWrap/>
            <w:vAlign w:val="center"/>
            <w:hideMark/>
          </w:tcPr>
          <w:p w14:paraId="379ADB2F" w14:textId="77777777" w:rsidR="001C7E53" w:rsidRPr="00394A8F" w:rsidRDefault="001C7E53" w:rsidP="004B2309">
            <w:pPr>
              <w:pStyle w:val="TableTextCentered"/>
            </w:pPr>
            <w:r>
              <w:t>N</w:t>
            </w:r>
          </w:p>
        </w:tc>
        <w:tc>
          <w:tcPr>
            <w:tcW w:w="1620" w:type="dxa"/>
            <w:tcBorders>
              <w:top w:val="nil"/>
              <w:left w:val="nil"/>
              <w:bottom w:val="nil"/>
              <w:right w:val="nil"/>
            </w:tcBorders>
            <w:shd w:val="clear" w:color="auto" w:fill="auto"/>
            <w:noWrap/>
            <w:vAlign w:val="center"/>
            <w:hideMark/>
          </w:tcPr>
          <w:p w14:paraId="4AD77556" w14:textId="77777777" w:rsidR="001C7E53" w:rsidRPr="00394A8F" w:rsidRDefault="001C7E53" w:rsidP="004B2309">
            <w:pPr>
              <w:pStyle w:val="TableTextCentered"/>
            </w:pPr>
            <w:r w:rsidRPr="00394A8F">
              <w:t>Y</w:t>
            </w:r>
          </w:p>
        </w:tc>
        <w:tc>
          <w:tcPr>
            <w:tcW w:w="1569" w:type="dxa"/>
            <w:tcBorders>
              <w:top w:val="nil"/>
              <w:left w:val="nil"/>
              <w:bottom w:val="nil"/>
              <w:right w:val="nil"/>
            </w:tcBorders>
            <w:shd w:val="clear" w:color="auto" w:fill="auto"/>
            <w:noWrap/>
            <w:vAlign w:val="center"/>
            <w:hideMark/>
          </w:tcPr>
          <w:p w14:paraId="46BD4739" w14:textId="77777777" w:rsidR="001C7E53" w:rsidRPr="00394A8F" w:rsidRDefault="001C7E53" w:rsidP="004B2309">
            <w:pPr>
              <w:pStyle w:val="TableTextCentered"/>
            </w:pPr>
            <w:r w:rsidRPr="00394A8F">
              <w:t>Y</w:t>
            </w:r>
          </w:p>
        </w:tc>
      </w:tr>
      <w:tr w:rsidR="001C7E53" w:rsidRPr="00394A8F" w14:paraId="54030B1E" w14:textId="77777777" w:rsidTr="001D0062">
        <w:trPr>
          <w:trHeight w:val="315"/>
        </w:trPr>
        <w:tc>
          <w:tcPr>
            <w:tcW w:w="1594" w:type="dxa"/>
            <w:tcBorders>
              <w:top w:val="nil"/>
              <w:left w:val="nil"/>
              <w:bottom w:val="single" w:sz="8" w:space="0" w:color="auto"/>
              <w:right w:val="nil"/>
            </w:tcBorders>
            <w:shd w:val="clear" w:color="auto" w:fill="auto"/>
            <w:noWrap/>
            <w:vAlign w:val="center"/>
          </w:tcPr>
          <w:p w14:paraId="5F794305" w14:textId="77777777" w:rsidR="001C7E53" w:rsidRPr="00394A8F" w:rsidRDefault="001C7E53" w:rsidP="00F91AE4">
            <w:pPr>
              <w:pStyle w:val="TableTextLeft"/>
            </w:pPr>
            <w:r w:rsidRPr="00394A8F">
              <w:t>Plant</w:t>
            </w:r>
          </w:p>
        </w:tc>
        <w:tc>
          <w:tcPr>
            <w:tcW w:w="1544" w:type="dxa"/>
            <w:tcBorders>
              <w:top w:val="nil"/>
              <w:left w:val="nil"/>
              <w:bottom w:val="single" w:sz="8" w:space="0" w:color="auto"/>
              <w:right w:val="nil"/>
            </w:tcBorders>
            <w:shd w:val="clear" w:color="auto" w:fill="auto"/>
            <w:noWrap/>
            <w:vAlign w:val="center"/>
          </w:tcPr>
          <w:p w14:paraId="4A0D12BF" w14:textId="77777777" w:rsidR="001C7E53" w:rsidRPr="00394A8F" w:rsidRDefault="001C7E53" w:rsidP="004B2309">
            <w:pPr>
              <w:pStyle w:val="TableTextCentered"/>
            </w:pPr>
            <w:r w:rsidRPr="00394A8F">
              <w:t>N</w:t>
            </w:r>
          </w:p>
        </w:tc>
        <w:tc>
          <w:tcPr>
            <w:tcW w:w="1495" w:type="dxa"/>
            <w:tcBorders>
              <w:top w:val="nil"/>
              <w:left w:val="nil"/>
              <w:bottom w:val="single" w:sz="8" w:space="0" w:color="auto"/>
              <w:right w:val="nil"/>
            </w:tcBorders>
            <w:shd w:val="clear" w:color="auto" w:fill="auto"/>
            <w:noWrap/>
            <w:vAlign w:val="center"/>
          </w:tcPr>
          <w:p w14:paraId="729513DB" w14:textId="77777777" w:rsidR="001C7E53" w:rsidRPr="00394A8F" w:rsidRDefault="001C7E53" w:rsidP="004B2309">
            <w:pPr>
              <w:pStyle w:val="TableTextCentered"/>
            </w:pPr>
            <w:r w:rsidRPr="00394A8F">
              <w:t>N</w:t>
            </w:r>
          </w:p>
        </w:tc>
        <w:tc>
          <w:tcPr>
            <w:tcW w:w="1248" w:type="dxa"/>
            <w:tcBorders>
              <w:top w:val="nil"/>
              <w:left w:val="nil"/>
              <w:bottom w:val="single" w:sz="8" w:space="0" w:color="auto"/>
              <w:right w:val="nil"/>
            </w:tcBorders>
            <w:shd w:val="clear" w:color="auto" w:fill="auto"/>
            <w:noWrap/>
            <w:vAlign w:val="center"/>
          </w:tcPr>
          <w:p w14:paraId="5C27BD08" w14:textId="77777777" w:rsidR="001C7E53" w:rsidRPr="00394A8F" w:rsidRDefault="001C7E53" w:rsidP="004B2309">
            <w:pPr>
              <w:pStyle w:val="TableTextCentered"/>
            </w:pPr>
            <w:r w:rsidRPr="00394A8F">
              <w:t>Y</w:t>
            </w:r>
          </w:p>
        </w:tc>
        <w:tc>
          <w:tcPr>
            <w:tcW w:w="1620" w:type="dxa"/>
            <w:tcBorders>
              <w:top w:val="nil"/>
              <w:left w:val="nil"/>
              <w:bottom w:val="single" w:sz="8" w:space="0" w:color="auto"/>
              <w:right w:val="nil"/>
            </w:tcBorders>
            <w:shd w:val="clear" w:color="auto" w:fill="auto"/>
            <w:noWrap/>
            <w:vAlign w:val="center"/>
          </w:tcPr>
          <w:p w14:paraId="7B8BBB23" w14:textId="77777777" w:rsidR="001C7E53" w:rsidRPr="00394A8F" w:rsidRDefault="001C7E53" w:rsidP="004B2309">
            <w:pPr>
              <w:pStyle w:val="TableTextCentered"/>
            </w:pPr>
            <w:r w:rsidRPr="00394A8F">
              <w:t>Y</w:t>
            </w:r>
          </w:p>
        </w:tc>
        <w:tc>
          <w:tcPr>
            <w:tcW w:w="1569" w:type="dxa"/>
            <w:tcBorders>
              <w:top w:val="nil"/>
              <w:left w:val="nil"/>
              <w:bottom w:val="single" w:sz="8" w:space="0" w:color="auto"/>
              <w:right w:val="nil"/>
            </w:tcBorders>
            <w:shd w:val="clear" w:color="auto" w:fill="auto"/>
            <w:noWrap/>
            <w:vAlign w:val="center"/>
          </w:tcPr>
          <w:p w14:paraId="3A9728BF" w14:textId="77777777" w:rsidR="001C7E53" w:rsidRPr="00394A8F" w:rsidRDefault="001C7E53" w:rsidP="004B2309">
            <w:pPr>
              <w:pStyle w:val="TableTextCentered"/>
            </w:pPr>
            <w:r w:rsidRPr="00394A8F">
              <w:t>Y</w:t>
            </w:r>
          </w:p>
        </w:tc>
      </w:tr>
    </w:tbl>
    <w:p w14:paraId="13CE4EAD" w14:textId="44001808" w:rsidR="001C7E53" w:rsidRDefault="001C7E53" w:rsidP="004B2309">
      <w:pPr>
        <w:pStyle w:val="ChartorTableNote"/>
      </w:pPr>
      <w:r w:rsidRPr="00AF44C3">
        <w:t xml:space="preserve">Note: All regressions include a </w:t>
      </w:r>
      <w:r>
        <w:t>set of common controls covering</w:t>
      </w:r>
      <w:r w:rsidRPr="00AF44C3">
        <w:t xml:space="preserve"> market characteristics (number of workers in the market</w:t>
      </w:r>
      <w:r>
        <w:t>) Plant</w:t>
      </w:r>
      <w:r w:rsidR="0018466E">
        <w:noBreakHyphen/>
      </w:r>
      <w:r>
        <w:t>level model contain control for number of plants in parent firm</w:t>
      </w:r>
      <w:r w:rsidR="006D1604">
        <w:t xml:space="preserve">. </w:t>
      </w:r>
      <w:r w:rsidRPr="00AF44C3">
        <w:t>Errors clusters at the local market level.</w:t>
      </w:r>
    </w:p>
    <w:p w14:paraId="4158EC80" w14:textId="1D8BA508" w:rsidR="001C7E53" w:rsidRDefault="001C7E53" w:rsidP="00F91AE4">
      <w:pPr>
        <w:pStyle w:val="AppendixHeadingLevel2NotNumbered"/>
      </w:pPr>
    </w:p>
    <w:p w14:paraId="1146D9A2" w14:textId="5BBB57A7" w:rsidR="003A4051" w:rsidRDefault="003A4051" w:rsidP="00F91AE4"/>
    <w:p w14:paraId="3D1E93A2" w14:textId="73AFE934" w:rsidR="001C13FD" w:rsidRPr="003A4051" w:rsidRDefault="001C13FD" w:rsidP="00F91AE4">
      <w:pPr>
        <w:pStyle w:val="TableMainHeading"/>
      </w:pPr>
      <w:r w:rsidRPr="00D40FB5">
        <w:lastRenderedPageBreak/>
        <w:t>Table B</w:t>
      </w:r>
      <w:r>
        <w:t>7</w:t>
      </w:r>
      <w:r w:rsidRPr="00D40FB5">
        <w:t>: Firm entry, concentration and wages specification</w:t>
      </w:r>
    </w:p>
    <w:tbl>
      <w:tblPr>
        <w:tblW w:w="5000" w:type="pct"/>
        <w:tblLook w:val="04A0" w:firstRow="1" w:lastRow="0" w:firstColumn="1" w:lastColumn="0" w:noHBand="0" w:noVBand="1"/>
      </w:tblPr>
      <w:tblGrid>
        <w:gridCol w:w="1778"/>
        <w:gridCol w:w="1072"/>
        <w:gridCol w:w="1555"/>
        <w:gridCol w:w="1555"/>
        <w:gridCol w:w="1555"/>
        <w:gridCol w:w="1555"/>
      </w:tblGrid>
      <w:tr w:rsidR="001C7E53" w:rsidRPr="00D40FB5" w14:paraId="5CA3CCC0" w14:textId="77777777" w:rsidTr="00E931F0">
        <w:trPr>
          <w:trHeight w:val="315"/>
        </w:trPr>
        <w:tc>
          <w:tcPr>
            <w:tcW w:w="1906" w:type="dxa"/>
            <w:tcBorders>
              <w:left w:val="nil"/>
              <w:bottom w:val="single" w:sz="8" w:space="0" w:color="auto"/>
              <w:right w:val="nil"/>
            </w:tcBorders>
            <w:shd w:val="clear" w:color="auto" w:fill="auto"/>
            <w:noWrap/>
            <w:vAlign w:val="center"/>
            <w:hideMark/>
          </w:tcPr>
          <w:p w14:paraId="22F25B4D" w14:textId="77777777" w:rsidR="001C7E53" w:rsidRPr="00D40FB5" w:rsidRDefault="001C7E53" w:rsidP="003077A4">
            <w:pPr>
              <w:spacing w:after="0"/>
              <w:jc w:val="center"/>
              <w:rPr>
                <w:rFonts w:cs="Calibri"/>
                <w:b/>
                <w:bCs/>
                <w:color w:val="000000"/>
                <w:sz w:val="20"/>
              </w:rPr>
            </w:pPr>
            <w:r w:rsidRPr="00D40FB5">
              <w:rPr>
                <w:rFonts w:cs="Calibri"/>
                <w:b/>
                <w:bCs/>
                <w:color w:val="000000"/>
                <w:sz w:val="20"/>
              </w:rPr>
              <w:t> </w:t>
            </w:r>
          </w:p>
        </w:tc>
        <w:tc>
          <w:tcPr>
            <w:tcW w:w="4468" w:type="dxa"/>
            <w:gridSpan w:val="3"/>
            <w:tcBorders>
              <w:left w:val="nil"/>
              <w:bottom w:val="single" w:sz="8" w:space="0" w:color="auto"/>
              <w:right w:val="nil"/>
            </w:tcBorders>
            <w:shd w:val="clear" w:color="auto" w:fill="auto"/>
            <w:noWrap/>
            <w:vAlign w:val="center"/>
            <w:hideMark/>
          </w:tcPr>
          <w:p w14:paraId="46A55703" w14:textId="77777777" w:rsidR="001C7E53" w:rsidRPr="00D40FB5" w:rsidRDefault="001C7E53" w:rsidP="003077A4">
            <w:pPr>
              <w:pStyle w:val="TableColumnHeadingCentred"/>
            </w:pPr>
            <w:r w:rsidRPr="00D40FB5">
              <w:t>Entry models</w:t>
            </w:r>
          </w:p>
        </w:tc>
        <w:tc>
          <w:tcPr>
            <w:tcW w:w="3326" w:type="dxa"/>
            <w:gridSpan w:val="2"/>
            <w:tcBorders>
              <w:left w:val="nil"/>
              <w:bottom w:val="single" w:sz="8" w:space="0" w:color="auto"/>
              <w:right w:val="nil"/>
            </w:tcBorders>
            <w:shd w:val="clear" w:color="auto" w:fill="auto"/>
            <w:noWrap/>
            <w:vAlign w:val="center"/>
            <w:hideMark/>
          </w:tcPr>
          <w:p w14:paraId="5007F737" w14:textId="64E4AD64" w:rsidR="001C7E53" w:rsidRPr="00D40FB5" w:rsidRDefault="001C7E53" w:rsidP="003077A4">
            <w:pPr>
              <w:pStyle w:val="TableColumnHeadingCentred"/>
            </w:pPr>
            <w:r w:rsidRPr="00D40FB5">
              <w:t>Union models (2005</w:t>
            </w:r>
            <w:r w:rsidR="0018466E">
              <w:noBreakHyphen/>
            </w:r>
            <w:r w:rsidRPr="00D40FB5">
              <w:t>2013</w:t>
            </w:r>
            <w:r>
              <w:t>)</w:t>
            </w:r>
          </w:p>
        </w:tc>
      </w:tr>
      <w:tr w:rsidR="001C7E53" w:rsidRPr="00D40FB5" w14:paraId="4C798FDC" w14:textId="77777777" w:rsidTr="00E931F0">
        <w:trPr>
          <w:trHeight w:val="525"/>
        </w:trPr>
        <w:tc>
          <w:tcPr>
            <w:tcW w:w="1906" w:type="dxa"/>
            <w:tcBorders>
              <w:top w:val="nil"/>
              <w:left w:val="nil"/>
              <w:bottom w:val="single" w:sz="8" w:space="0" w:color="auto"/>
              <w:right w:val="nil"/>
            </w:tcBorders>
            <w:shd w:val="clear" w:color="auto" w:fill="auto"/>
            <w:noWrap/>
            <w:vAlign w:val="center"/>
            <w:hideMark/>
          </w:tcPr>
          <w:p w14:paraId="12F2BE70" w14:textId="77777777" w:rsidR="001C7E53" w:rsidRPr="00D40FB5" w:rsidRDefault="001C7E53" w:rsidP="00F91AE4">
            <w:pPr>
              <w:spacing w:after="0"/>
              <w:rPr>
                <w:rFonts w:cs="Calibri"/>
                <w:color w:val="000000"/>
                <w:sz w:val="20"/>
              </w:rPr>
            </w:pPr>
            <w:r w:rsidRPr="00D40FB5">
              <w:rPr>
                <w:rFonts w:cs="Calibri"/>
                <w:color w:val="000000"/>
                <w:sz w:val="20"/>
              </w:rPr>
              <w:t> </w:t>
            </w:r>
          </w:p>
        </w:tc>
        <w:tc>
          <w:tcPr>
            <w:tcW w:w="1142" w:type="dxa"/>
            <w:tcBorders>
              <w:top w:val="nil"/>
              <w:left w:val="nil"/>
              <w:bottom w:val="single" w:sz="8" w:space="0" w:color="auto"/>
              <w:right w:val="nil"/>
            </w:tcBorders>
            <w:shd w:val="clear" w:color="auto" w:fill="auto"/>
            <w:noWrap/>
            <w:vAlign w:val="center"/>
            <w:hideMark/>
          </w:tcPr>
          <w:p w14:paraId="05809C9E" w14:textId="77777777" w:rsidR="001C7E53" w:rsidRPr="00D40FB5" w:rsidRDefault="001C7E53" w:rsidP="003077A4">
            <w:pPr>
              <w:pStyle w:val="TableColumnHeadingCentred"/>
            </w:pPr>
            <w:r w:rsidRPr="00D40FB5">
              <w:t>Baseline</w:t>
            </w:r>
          </w:p>
        </w:tc>
        <w:tc>
          <w:tcPr>
            <w:tcW w:w="1663" w:type="dxa"/>
            <w:tcBorders>
              <w:top w:val="nil"/>
              <w:left w:val="nil"/>
              <w:bottom w:val="single" w:sz="8" w:space="0" w:color="auto"/>
              <w:right w:val="nil"/>
            </w:tcBorders>
            <w:shd w:val="clear" w:color="auto" w:fill="auto"/>
            <w:vAlign w:val="center"/>
            <w:hideMark/>
          </w:tcPr>
          <w:p w14:paraId="32050947" w14:textId="361EA070" w:rsidR="001C7E53" w:rsidRPr="00D40FB5" w:rsidRDefault="001C7E53" w:rsidP="003077A4">
            <w:pPr>
              <w:pStyle w:val="TableColumnHeadingCentred"/>
            </w:pPr>
            <w:r w:rsidRPr="00D40FB5">
              <w:t>Plant</w:t>
            </w:r>
            <w:r w:rsidR="0018466E">
              <w:noBreakHyphen/>
            </w:r>
            <w:r w:rsidRPr="00D40FB5">
              <w:t>based entry rate</w:t>
            </w:r>
          </w:p>
        </w:tc>
        <w:tc>
          <w:tcPr>
            <w:tcW w:w="1663" w:type="dxa"/>
            <w:tcBorders>
              <w:top w:val="nil"/>
              <w:left w:val="nil"/>
              <w:bottom w:val="single" w:sz="8" w:space="0" w:color="auto"/>
              <w:right w:val="nil"/>
            </w:tcBorders>
            <w:shd w:val="clear" w:color="auto" w:fill="auto"/>
            <w:vAlign w:val="center"/>
            <w:hideMark/>
          </w:tcPr>
          <w:p w14:paraId="0641C542" w14:textId="542831B5" w:rsidR="001C7E53" w:rsidRPr="00D40FB5" w:rsidRDefault="001C7E53" w:rsidP="003077A4">
            <w:pPr>
              <w:pStyle w:val="TableColumnHeadingCentred"/>
            </w:pPr>
            <w:r w:rsidRPr="00D40FB5">
              <w:t>Firm</w:t>
            </w:r>
            <w:r w:rsidR="0018466E">
              <w:noBreakHyphen/>
            </w:r>
            <w:r w:rsidRPr="00D40FB5">
              <w:t>based entry rate</w:t>
            </w:r>
          </w:p>
        </w:tc>
        <w:tc>
          <w:tcPr>
            <w:tcW w:w="1663" w:type="dxa"/>
            <w:tcBorders>
              <w:top w:val="nil"/>
              <w:left w:val="nil"/>
              <w:bottom w:val="single" w:sz="8" w:space="0" w:color="auto"/>
              <w:right w:val="nil"/>
            </w:tcBorders>
            <w:shd w:val="clear" w:color="auto" w:fill="auto"/>
            <w:vAlign w:val="center"/>
            <w:hideMark/>
          </w:tcPr>
          <w:p w14:paraId="24392E00" w14:textId="77777777" w:rsidR="001C7E53" w:rsidRPr="00D40FB5" w:rsidRDefault="001C7E53" w:rsidP="003077A4">
            <w:pPr>
              <w:pStyle w:val="TableColumnHeadingCentred"/>
            </w:pPr>
            <w:r w:rsidRPr="00D40FB5">
              <w:t>Baseline</w:t>
            </w:r>
          </w:p>
        </w:tc>
        <w:tc>
          <w:tcPr>
            <w:tcW w:w="1663" w:type="dxa"/>
            <w:tcBorders>
              <w:top w:val="nil"/>
              <w:left w:val="nil"/>
              <w:bottom w:val="single" w:sz="8" w:space="0" w:color="auto"/>
              <w:right w:val="nil"/>
            </w:tcBorders>
            <w:shd w:val="clear" w:color="auto" w:fill="auto"/>
            <w:vAlign w:val="center"/>
            <w:hideMark/>
          </w:tcPr>
          <w:p w14:paraId="40A6723E" w14:textId="77777777" w:rsidR="001C7E53" w:rsidRPr="00D40FB5" w:rsidRDefault="001C7E53" w:rsidP="003077A4">
            <w:pPr>
              <w:pStyle w:val="TableColumnHeadingCentred"/>
            </w:pPr>
            <w:r w:rsidRPr="00D40FB5">
              <w:t>Union</w:t>
            </w:r>
          </w:p>
        </w:tc>
      </w:tr>
      <w:tr w:rsidR="001C7E53" w:rsidRPr="00D40FB5" w14:paraId="1A99D29F" w14:textId="77777777" w:rsidTr="00E931F0">
        <w:trPr>
          <w:trHeight w:val="315"/>
        </w:trPr>
        <w:tc>
          <w:tcPr>
            <w:tcW w:w="1906" w:type="dxa"/>
            <w:tcBorders>
              <w:top w:val="nil"/>
              <w:left w:val="nil"/>
              <w:bottom w:val="nil"/>
              <w:right w:val="nil"/>
            </w:tcBorders>
            <w:shd w:val="clear" w:color="auto" w:fill="auto"/>
            <w:noWrap/>
            <w:vAlign w:val="bottom"/>
            <w:hideMark/>
          </w:tcPr>
          <w:p w14:paraId="6E90D4DE" w14:textId="77777777" w:rsidR="001C7E53" w:rsidRPr="00D40FB5" w:rsidRDefault="001C7E53" w:rsidP="00F91AE4">
            <w:pPr>
              <w:pStyle w:val="Tabletextleft0"/>
            </w:pPr>
          </w:p>
        </w:tc>
        <w:tc>
          <w:tcPr>
            <w:tcW w:w="1142" w:type="dxa"/>
            <w:tcBorders>
              <w:top w:val="nil"/>
              <w:left w:val="nil"/>
              <w:bottom w:val="nil"/>
              <w:right w:val="nil"/>
            </w:tcBorders>
            <w:shd w:val="clear" w:color="auto" w:fill="auto"/>
            <w:noWrap/>
            <w:vAlign w:val="bottom"/>
            <w:hideMark/>
          </w:tcPr>
          <w:p w14:paraId="454342B5" w14:textId="77777777" w:rsidR="001C7E53" w:rsidRPr="00D40FB5" w:rsidRDefault="001C7E53" w:rsidP="003077A4">
            <w:pPr>
              <w:pStyle w:val="TableTextCentered"/>
            </w:pPr>
          </w:p>
        </w:tc>
        <w:tc>
          <w:tcPr>
            <w:tcW w:w="3326" w:type="dxa"/>
            <w:gridSpan w:val="2"/>
            <w:tcBorders>
              <w:top w:val="single" w:sz="8" w:space="0" w:color="auto"/>
              <w:left w:val="nil"/>
              <w:bottom w:val="nil"/>
              <w:right w:val="nil"/>
            </w:tcBorders>
            <w:shd w:val="clear" w:color="auto" w:fill="auto"/>
            <w:noWrap/>
            <w:vAlign w:val="center"/>
            <w:hideMark/>
          </w:tcPr>
          <w:p w14:paraId="4062EF8C" w14:textId="77777777" w:rsidR="001C7E53" w:rsidRPr="00D40FB5" w:rsidRDefault="001C7E53" w:rsidP="003077A4">
            <w:pPr>
              <w:pStyle w:val="TableTextCentered"/>
              <w:rPr>
                <w:rFonts w:ascii="Arial" w:hAnsi="Arial" w:cs="Arial"/>
              </w:rPr>
            </w:pPr>
            <w:r w:rsidRPr="00D40FB5">
              <w:rPr>
                <w:rFonts w:ascii="Arial" w:hAnsi="Arial" w:cs="Arial"/>
              </w:rPr>
              <w:t> </w:t>
            </w:r>
          </w:p>
        </w:tc>
        <w:tc>
          <w:tcPr>
            <w:tcW w:w="1663" w:type="dxa"/>
            <w:tcBorders>
              <w:top w:val="nil"/>
              <w:left w:val="nil"/>
              <w:bottom w:val="nil"/>
              <w:right w:val="nil"/>
            </w:tcBorders>
            <w:shd w:val="clear" w:color="auto" w:fill="auto"/>
            <w:noWrap/>
            <w:vAlign w:val="bottom"/>
            <w:hideMark/>
          </w:tcPr>
          <w:p w14:paraId="2E8CA6E0" w14:textId="77777777" w:rsidR="001C7E53" w:rsidRPr="00D40FB5" w:rsidRDefault="001C7E53" w:rsidP="003077A4">
            <w:pPr>
              <w:pStyle w:val="TableTextCentered"/>
              <w:rPr>
                <w:rFonts w:ascii="Arial" w:hAnsi="Arial" w:cs="Arial"/>
              </w:rPr>
            </w:pPr>
          </w:p>
        </w:tc>
        <w:tc>
          <w:tcPr>
            <w:tcW w:w="1663" w:type="dxa"/>
            <w:tcBorders>
              <w:top w:val="nil"/>
              <w:left w:val="nil"/>
              <w:bottom w:val="nil"/>
              <w:right w:val="nil"/>
            </w:tcBorders>
            <w:shd w:val="clear" w:color="auto" w:fill="auto"/>
            <w:noWrap/>
            <w:vAlign w:val="bottom"/>
            <w:hideMark/>
          </w:tcPr>
          <w:p w14:paraId="64EAB11F" w14:textId="77777777" w:rsidR="001C7E53" w:rsidRPr="00D40FB5" w:rsidRDefault="001C7E53" w:rsidP="003077A4">
            <w:pPr>
              <w:pStyle w:val="TableTextCentered"/>
            </w:pPr>
          </w:p>
        </w:tc>
      </w:tr>
      <w:tr w:rsidR="001C7E53" w:rsidRPr="00D40FB5" w14:paraId="37E095B8" w14:textId="77777777" w:rsidTr="00E931F0">
        <w:trPr>
          <w:trHeight w:val="300"/>
        </w:trPr>
        <w:tc>
          <w:tcPr>
            <w:tcW w:w="1906" w:type="dxa"/>
            <w:tcBorders>
              <w:top w:val="nil"/>
              <w:left w:val="nil"/>
              <w:bottom w:val="nil"/>
              <w:right w:val="nil"/>
            </w:tcBorders>
            <w:shd w:val="clear" w:color="auto" w:fill="auto"/>
            <w:noWrap/>
            <w:vAlign w:val="center"/>
            <w:hideMark/>
          </w:tcPr>
          <w:p w14:paraId="1A31E7DE" w14:textId="77777777" w:rsidR="001C7E53" w:rsidRPr="00D40FB5" w:rsidRDefault="001C7E53" w:rsidP="00F91AE4">
            <w:pPr>
              <w:pStyle w:val="TableTextLeft"/>
            </w:pPr>
            <w:r w:rsidRPr="00D40FB5">
              <w:t>Concentration</w:t>
            </w:r>
          </w:p>
        </w:tc>
        <w:tc>
          <w:tcPr>
            <w:tcW w:w="1142" w:type="dxa"/>
            <w:tcBorders>
              <w:top w:val="nil"/>
              <w:left w:val="nil"/>
              <w:bottom w:val="nil"/>
              <w:right w:val="nil"/>
            </w:tcBorders>
            <w:shd w:val="clear" w:color="auto" w:fill="auto"/>
            <w:noWrap/>
            <w:vAlign w:val="center"/>
            <w:hideMark/>
          </w:tcPr>
          <w:p w14:paraId="0798FBC8" w14:textId="3709DF01" w:rsidR="001C7E53" w:rsidRPr="00D40FB5" w:rsidRDefault="0018466E" w:rsidP="003077A4">
            <w:pPr>
              <w:pStyle w:val="TableTextCentered"/>
              <w:rPr>
                <w:rFonts w:cs="Calibri"/>
              </w:rPr>
            </w:pPr>
            <w:r>
              <w:rPr>
                <w:rFonts w:cs="Calibri"/>
              </w:rPr>
              <w:noBreakHyphen/>
            </w:r>
            <w:r w:rsidR="001C7E53" w:rsidRPr="00D40FB5">
              <w:rPr>
                <w:rFonts w:cs="Calibri"/>
              </w:rPr>
              <w:t>0.122***</w:t>
            </w:r>
          </w:p>
        </w:tc>
        <w:tc>
          <w:tcPr>
            <w:tcW w:w="1663" w:type="dxa"/>
            <w:tcBorders>
              <w:top w:val="nil"/>
              <w:left w:val="nil"/>
              <w:bottom w:val="nil"/>
              <w:right w:val="nil"/>
            </w:tcBorders>
            <w:shd w:val="clear" w:color="auto" w:fill="auto"/>
            <w:noWrap/>
            <w:vAlign w:val="center"/>
            <w:hideMark/>
          </w:tcPr>
          <w:p w14:paraId="12FFC9C0" w14:textId="3AF1F8F0" w:rsidR="001C7E53" w:rsidRPr="00D40FB5" w:rsidRDefault="0018466E" w:rsidP="003077A4">
            <w:pPr>
              <w:pStyle w:val="TableTextCentered"/>
              <w:rPr>
                <w:rFonts w:cs="Calibri"/>
              </w:rPr>
            </w:pPr>
            <w:r>
              <w:rPr>
                <w:rFonts w:cs="Calibri"/>
              </w:rPr>
              <w:noBreakHyphen/>
            </w:r>
            <w:r w:rsidR="001C7E53" w:rsidRPr="00D40FB5">
              <w:rPr>
                <w:rFonts w:cs="Calibri"/>
              </w:rPr>
              <w:t>0.110***</w:t>
            </w:r>
          </w:p>
        </w:tc>
        <w:tc>
          <w:tcPr>
            <w:tcW w:w="1663" w:type="dxa"/>
            <w:tcBorders>
              <w:top w:val="nil"/>
              <w:left w:val="nil"/>
              <w:bottom w:val="nil"/>
              <w:right w:val="nil"/>
            </w:tcBorders>
            <w:shd w:val="clear" w:color="auto" w:fill="auto"/>
            <w:noWrap/>
            <w:vAlign w:val="center"/>
            <w:hideMark/>
          </w:tcPr>
          <w:p w14:paraId="79EB9706" w14:textId="2F146105" w:rsidR="001C7E53" w:rsidRPr="00D40FB5" w:rsidRDefault="0018466E" w:rsidP="003077A4">
            <w:pPr>
              <w:pStyle w:val="TableTextCentered"/>
              <w:rPr>
                <w:rFonts w:cs="Calibri"/>
              </w:rPr>
            </w:pPr>
            <w:r>
              <w:rPr>
                <w:rFonts w:cs="Calibri"/>
              </w:rPr>
              <w:noBreakHyphen/>
            </w:r>
            <w:r w:rsidR="001C7E53" w:rsidRPr="00D40FB5">
              <w:rPr>
                <w:rFonts w:cs="Calibri"/>
              </w:rPr>
              <w:t>0.111***</w:t>
            </w:r>
          </w:p>
        </w:tc>
        <w:tc>
          <w:tcPr>
            <w:tcW w:w="1663" w:type="dxa"/>
            <w:tcBorders>
              <w:top w:val="nil"/>
              <w:left w:val="nil"/>
              <w:bottom w:val="nil"/>
              <w:right w:val="nil"/>
            </w:tcBorders>
            <w:shd w:val="clear" w:color="auto" w:fill="auto"/>
            <w:noWrap/>
            <w:vAlign w:val="center"/>
            <w:hideMark/>
          </w:tcPr>
          <w:p w14:paraId="5E0DBDEF" w14:textId="509B740E" w:rsidR="001C7E53" w:rsidRPr="00D40FB5" w:rsidRDefault="0018466E" w:rsidP="003077A4">
            <w:pPr>
              <w:pStyle w:val="TableTextCentered"/>
              <w:rPr>
                <w:rFonts w:cs="Calibri"/>
              </w:rPr>
            </w:pPr>
            <w:r>
              <w:rPr>
                <w:rFonts w:cs="Calibri"/>
              </w:rPr>
              <w:noBreakHyphen/>
            </w:r>
            <w:r w:rsidR="001C7E53" w:rsidRPr="00D40FB5">
              <w:rPr>
                <w:rFonts w:cs="Calibri"/>
              </w:rPr>
              <w:t>0.315***</w:t>
            </w:r>
          </w:p>
        </w:tc>
        <w:tc>
          <w:tcPr>
            <w:tcW w:w="1663" w:type="dxa"/>
            <w:tcBorders>
              <w:top w:val="nil"/>
              <w:left w:val="nil"/>
              <w:bottom w:val="nil"/>
              <w:right w:val="nil"/>
            </w:tcBorders>
            <w:shd w:val="clear" w:color="auto" w:fill="auto"/>
            <w:noWrap/>
            <w:vAlign w:val="center"/>
            <w:hideMark/>
          </w:tcPr>
          <w:p w14:paraId="503C644C" w14:textId="42089619" w:rsidR="001C7E53" w:rsidRPr="00D40FB5" w:rsidRDefault="0018466E" w:rsidP="003077A4">
            <w:pPr>
              <w:pStyle w:val="TableTextCentered"/>
              <w:rPr>
                <w:rFonts w:cs="Calibri"/>
              </w:rPr>
            </w:pPr>
            <w:r>
              <w:rPr>
                <w:rFonts w:cs="Calibri"/>
              </w:rPr>
              <w:noBreakHyphen/>
            </w:r>
            <w:r w:rsidR="001C7E53" w:rsidRPr="00D40FB5">
              <w:rPr>
                <w:rFonts w:cs="Calibri"/>
              </w:rPr>
              <w:t>0.322***</w:t>
            </w:r>
          </w:p>
        </w:tc>
      </w:tr>
      <w:tr w:rsidR="001C7E53" w:rsidRPr="00D40FB5" w14:paraId="173C1976" w14:textId="77777777" w:rsidTr="00E931F0">
        <w:trPr>
          <w:trHeight w:val="300"/>
        </w:trPr>
        <w:tc>
          <w:tcPr>
            <w:tcW w:w="1906" w:type="dxa"/>
            <w:tcBorders>
              <w:top w:val="nil"/>
              <w:left w:val="nil"/>
              <w:bottom w:val="nil"/>
              <w:right w:val="nil"/>
            </w:tcBorders>
            <w:shd w:val="clear" w:color="auto" w:fill="auto"/>
            <w:noWrap/>
            <w:vAlign w:val="bottom"/>
            <w:hideMark/>
          </w:tcPr>
          <w:p w14:paraId="3DDC9314" w14:textId="77777777" w:rsidR="001C7E53" w:rsidRPr="00D40FB5" w:rsidRDefault="001C7E53" w:rsidP="00F91AE4">
            <w:pPr>
              <w:pStyle w:val="TableTextLeft"/>
            </w:pPr>
          </w:p>
        </w:tc>
        <w:tc>
          <w:tcPr>
            <w:tcW w:w="1142" w:type="dxa"/>
            <w:tcBorders>
              <w:top w:val="nil"/>
              <w:left w:val="nil"/>
              <w:bottom w:val="nil"/>
              <w:right w:val="nil"/>
            </w:tcBorders>
            <w:shd w:val="clear" w:color="auto" w:fill="auto"/>
            <w:noWrap/>
            <w:vAlign w:val="center"/>
            <w:hideMark/>
          </w:tcPr>
          <w:p w14:paraId="52033AEF" w14:textId="7FD03293" w:rsidR="001C7E53" w:rsidRPr="00D40FB5" w:rsidRDefault="0018466E" w:rsidP="003077A4">
            <w:pPr>
              <w:pStyle w:val="TableTextCentered"/>
              <w:rPr>
                <w:rFonts w:cs="Calibri"/>
              </w:rPr>
            </w:pPr>
            <w:r>
              <w:rPr>
                <w:rFonts w:cs="Calibri"/>
              </w:rPr>
              <w:noBreakHyphen/>
            </w:r>
            <w:r w:rsidR="001C7E53" w:rsidRPr="00D40FB5">
              <w:rPr>
                <w:rFonts w:cs="Calibri"/>
              </w:rPr>
              <w:t>0.008</w:t>
            </w:r>
          </w:p>
        </w:tc>
        <w:tc>
          <w:tcPr>
            <w:tcW w:w="1663" w:type="dxa"/>
            <w:tcBorders>
              <w:top w:val="nil"/>
              <w:left w:val="nil"/>
              <w:bottom w:val="nil"/>
              <w:right w:val="nil"/>
            </w:tcBorders>
            <w:shd w:val="clear" w:color="auto" w:fill="auto"/>
            <w:noWrap/>
            <w:vAlign w:val="center"/>
            <w:hideMark/>
          </w:tcPr>
          <w:p w14:paraId="60F8C667" w14:textId="08EC862D" w:rsidR="001C7E53" w:rsidRPr="00D40FB5" w:rsidRDefault="0018466E" w:rsidP="003077A4">
            <w:pPr>
              <w:pStyle w:val="TableTextCentered"/>
              <w:rPr>
                <w:rFonts w:cs="Calibri"/>
              </w:rPr>
            </w:pPr>
            <w:r>
              <w:rPr>
                <w:rFonts w:cs="Calibri"/>
              </w:rPr>
              <w:noBreakHyphen/>
            </w:r>
            <w:r w:rsidR="001C7E53" w:rsidRPr="00D40FB5">
              <w:rPr>
                <w:rFonts w:cs="Calibri"/>
              </w:rPr>
              <w:t>0.016</w:t>
            </w:r>
          </w:p>
        </w:tc>
        <w:tc>
          <w:tcPr>
            <w:tcW w:w="1663" w:type="dxa"/>
            <w:tcBorders>
              <w:top w:val="nil"/>
              <w:left w:val="nil"/>
              <w:bottom w:val="nil"/>
              <w:right w:val="nil"/>
            </w:tcBorders>
            <w:shd w:val="clear" w:color="auto" w:fill="auto"/>
            <w:noWrap/>
            <w:vAlign w:val="center"/>
            <w:hideMark/>
          </w:tcPr>
          <w:p w14:paraId="42E0469E" w14:textId="717452FD" w:rsidR="001C7E53" w:rsidRPr="00D40FB5" w:rsidRDefault="0018466E" w:rsidP="003077A4">
            <w:pPr>
              <w:pStyle w:val="TableTextCentered"/>
              <w:rPr>
                <w:rFonts w:cs="Calibri"/>
              </w:rPr>
            </w:pPr>
            <w:r>
              <w:rPr>
                <w:rFonts w:cs="Calibri"/>
              </w:rPr>
              <w:noBreakHyphen/>
            </w:r>
            <w:r w:rsidR="001C7E53" w:rsidRPr="00D40FB5">
              <w:rPr>
                <w:rFonts w:cs="Calibri"/>
              </w:rPr>
              <w:t>0.015</w:t>
            </w:r>
          </w:p>
        </w:tc>
        <w:tc>
          <w:tcPr>
            <w:tcW w:w="1663" w:type="dxa"/>
            <w:tcBorders>
              <w:top w:val="nil"/>
              <w:left w:val="nil"/>
              <w:bottom w:val="nil"/>
              <w:right w:val="nil"/>
            </w:tcBorders>
            <w:shd w:val="clear" w:color="auto" w:fill="auto"/>
            <w:noWrap/>
            <w:vAlign w:val="center"/>
            <w:hideMark/>
          </w:tcPr>
          <w:p w14:paraId="3101F623" w14:textId="77777777" w:rsidR="001C7E53" w:rsidRPr="00D40FB5" w:rsidRDefault="001C7E53" w:rsidP="003077A4">
            <w:pPr>
              <w:pStyle w:val="TableTextCentered"/>
              <w:rPr>
                <w:rFonts w:cs="Calibri"/>
              </w:rPr>
            </w:pPr>
            <w:r w:rsidRPr="00D40FB5">
              <w:rPr>
                <w:rFonts w:cs="Calibri"/>
              </w:rPr>
              <w:t>(0.016)</w:t>
            </w:r>
          </w:p>
        </w:tc>
        <w:tc>
          <w:tcPr>
            <w:tcW w:w="1663" w:type="dxa"/>
            <w:tcBorders>
              <w:top w:val="nil"/>
              <w:left w:val="nil"/>
              <w:bottom w:val="nil"/>
              <w:right w:val="nil"/>
            </w:tcBorders>
            <w:shd w:val="clear" w:color="auto" w:fill="auto"/>
            <w:noWrap/>
            <w:vAlign w:val="center"/>
            <w:hideMark/>
          </w:tcPr>
          <w:p w14:paraId="334C7548" w14:textId="77777777" w:rsidR="001C7E53" w:rsidRPr="00D40FB5" w:rsidRDefault="001C7E53" w:rsidP="003077A4">
            <w:pPr>
              <w:pStyle w:val="TableTextCentered"/>
              <w:rPr>
                <w:rFonts w:cs="Calibri"/>
              </w:rPr>
            </w:pPr>
            <w:r w:rsidRPr="00D40FB5">
              <w:rPr>
                <w:rFonts w:cs="Calibri"/>
              </w:rPr>
              <w:t>(0.016)</w:t>
            </w:r>
          </w:p>
        </w:tc>
      </w:tr>
      <w:tr w:rsidR="001C7E53" w:rsidRPr="00D40FB5" w14:paraId="340D8D91" w14:textId="77777777" w:rsidTr="00E931F0">
        <w:trPr>
          <w:trHeight w:val="300"/>
        </w:trPr>
        <w:tc>
          <w:tcPr>
            <w:tcW w:w="1906" w:type="dxa"/>
            <w:tcBorders>
              <w:top w:val="nil"/>
              <w:left w:val="nil"/>
              <w:bottom w:val="nil"/>
              <w:right w:val="nil"/>
            </w:tcBorders>
            <w:shd w:val="clear" w:color="auto" w:fill="auto"/>
            <w:noWrap/>
            <w:vAlign w:val="bottom"/>
            <w:hideMark/>
          </w:tcPr>
          <w:p w14:paraId="77A97039" w14:textId="77777777" w:rsidR="001C7E53" w:rsidRPr="00D40FB5" w:rsidRDefault="001C7E53" w:rsidP="00F91AE4">
            <w:pPr>
              <w:pStyle w:val="TableTextLeft"/>
            </w:pPr>
          </w:p>
        </w:tc>
        <w:tc>
          <w:tcPr>
            <w:tcW w:w="1142" w:type="dxa"/>
            <w:tcBorders>
              <w:top w:val="nil"/>
              <w:left w:val="nil"/>
              <w:bottom w:val="nil"/>
              <w:right w:val="nil"/>
            </w:tcBorders>
            <w:shd w:val="clear" w:color="auto" w:fill="auto"/>
            <w:noWrap/>
            <w:vAlign w:val="center"/>
            <w:hideMark/>
          </w:tcPr>
          <w:p w14:paraId="3A4328ED" w14:textId="77777777" w:rsidR="001C7E53" w:rsidRPr="00D40FB5" w:rsidRDefault="001C7E53" w:rsidP="003077A4">
            <w:pPr>
              <w:pStyle w:val="TableTextCentered"/>
            </w:pPr>
          </w:p>
        </w:tc>
        <w:tc>
          <w:tcPr>
            <w:tcW w:w="3326" w:type="dxa"/>
            <w:gridSpan w:val="2"/>
            <w:tcBorders>
              <w:top w:val="nil"/>
              <w:left w:val="nil"/>
              <w:bottom w:val="nil"/>
              <w:right w:val="nil"/>
            </w:tcBorders>
            <w:shd w:val="clear" w:color="auto" w:fill="auto"/>
            <w:noWrap/>
            <w:vAlign w:val="center"/>
            <w:hideMark/>
          </w:tcPr>
          <w:p w14:paraId="3D85ED6E"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55F26CED"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5049A361" w14:textId="77777777" w:rsidR="001C7E53" w:rsidRPr="00D40FB5" w:rsidRDefault="001C7E53" w:rsidP="003077A4">
            <w:pPr>
              <w:pStyle w:val="TableTextCentered"/>
            </w:pPr>
          </w:p>
        </w:tc>
      </w:tr>
      <w:tr w:rsidR="001C7E53" w:rsidRPr="00D40FB5" w14:paraId="18630EC3" w14:textId="77777777" w:rsidTr="00E931F0">
        <w:trPr>
          <w:trHeight w:val="300"/>
        </w:trPr>
        <w:tc>
          <w:tcPr>
            <w:tcW w:w="1906" w:type="dxa"/>
            <w:vMerge w:val="restart"/>
            <w:tcBorders>
              <w:top w:val="nil"/>
              <w:left w:val="nil"/>
              <w:bottom w:val="nil"/>
              <w:right w:val="nil"/>
            </w:tcBorders>
            <w:shd w:val="clear" w:color="auto" w:fill="auto"/>
            <w:vAlign w:val="center"/>
            <w:hideMark/>
          </w:tcPr>
          <w:p w14:paraId="06FCB88A" w14:textId="77777777" w:rsidR="001C7E53" w:rsidRPr="00D40FB5" w:rsidRDefault="001C7E53" w:rsidP="00F91AE4">
            <w:pPr>
              <w:pStyle w:val="TableTextLeft"/>
            </w:pPr>
            <w:r w:rsidRPr="00D40FB5">
              <w:t>Concentration * Entry Rate</w:t>
            </w:r>
          </w:p>
        </w:tc>
        <w:tc>
          <w:tcPr>
            <w:tcW w:w="1142" w:type="dxa"/>
            <w:tcBorders>
              <w:top w:val="nil"/>
              <w:left w:val="nil"/>
              <w:bottom w:val="nil"/>
              <w:right w:val="nil"/>
            </w:tcBorders>
            <w:shd w:val="clear" w:color="auto" w:fill="auto"/>
            <w:noWrap/>
            <w:vAlign w:val="bottom"/>
            <w:hideMark/>
          </w:tcPr>
          <w:p w14:paraId="284036D7"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center"/>
            <w:hideMark/>
          </w:tcPr>
          <w:p w14:paraId="42848C21" w14:textId="77777777" w:rsidR="001C7E53" w:rsidRPr="00D40FB5" w:rsidRDefault="001C7E53" w:rsidP="003077A4">
            <w:pPr>
              <w:pStyle w:val="TableTextCentered"/>
              <w:rPr>
                <w:rFonts w:cs="Calibri"/>
              </w:rPr>
            </w:pPr>
            <w:r w:rsidRPr="00D40FB5">
              <w:rPr>
                <w:rFonts w:cs="Calibri"/>
              </w:rPr>
              <w:t>0.540***</w:t>
            </w:r>
          </w:p>
        </w:tc>
        <w:tc>
          <w:tcPr>
            <w:tcW w:w="1663" w:type="dxa"/>
            <w:tcBorders>
              <w:top w:val="nil"/>
              <w:left w:val="nil"/>
              <w:bottom w:val="nil"/>
              <w:right w:val="nil"/>
            </w:tcBorders>
            <w:shd w:val="clear" w:color="auto" w:fill="auto"/>
            <w:noWrap/>
            <w:vAlign w:val="center"/>
            <w:hideMark/>
          </w:tcPr>
          <w:p w14:paraId="7200A667" w14:textId="77777777" w:rsidR="001C7E53" w:rsidRPr="00D40FB5" w:rsidRDefault="001C7E53" w:rsidP="003077A4">
            <w:pPr>
              <w:pStyle w:val="TableTextCentered"/>
              <w:rPr>
                <w:rFonts w:cs="Calibri"/>
              </w:rPr>
            </w:pPr>
            <w:r w:rsidRPr="00D40FB5">
              <w:rPr>
                <w:rFonts w:cs="Calibri"/>
              </w:rPr>
              <w:t>0.800***</w:t>
            </w:r>
          </w:p>
        </w:tc>
        <w:tc>
          <w:tcPr>
            <w:tcW w:w="1663" w:type="dxa"/>
            <w:tcBorders>
              <w:top w:val="nil"/>
              <w:left w:val="nil"/>
              <w:bottom w:val="nil"/>
              <w:right w:val="nil"/>
            </w:tcBorders>
            <w:shd w:val="clear" w:color="auto" w:fill="auto"/>
            <w:noWrap/>
            <w:vAlign w:val="bottom"/>
            <w:hideMark/>
          </w:tcPr>
          <w:p w14:paraId="1DFCA426"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bottom"/>
            <w:hideMark/>
          </w:tcPr>
          <w:p w14:paraId="0031FA7C" w14:textId="77777777" w:rsidR="001C7E53" w:rsidRPr="00D40FB5" w:rsidRDefault="001C7E53" w:rsidP="003077A4">
            <w:pPr>
              <w:pStyle w:val="TableTextCentered"/>
            </w:pPr>
          </w:p>
        </w:tc>
      </w:tr>
      <w:tr w:rsidR="001C7E53" w:rsidRPr="00D40FB5" w14:paraId="5BE47A9F" w14:textId="77777777" w:rsidTr="00E931F0">
        <w:trPr>
          <w:trHeight w:val="300"/>
        </w:trPr>
        <w:tc>
          <w:tcPr>
            <w:tcW w:w="1906" w:type="dxa"/>
            <w:vMerge/>
            <w:tcBorders>
              <w:top w:val="nil"/>
              <w:left w:val="nil"/>
              <w:bottom w:val="nil"/>
              <w:right w:val="nil"/>
            </w:tcBorders>
            <w:vAlign w:val="center"/>
            <w:hideMark/>
          </w:tcPr>
          <w:p w14:paraId="2B3A0CA9" w14:textId="77777777" w:rsidR="001C7E53" w:rsidRPr="00D40FB5" w:rsidRDefault="001C7E53" w:rsidP="00F91AE4">
            <w:pPr>
              <w:pStyle w:val="TableTextLeft"/>
            </w:pPr>
          </w:p>
        </w:tc>
        <w:tc>
          <w:tcPr>
            <w:tcW w:w="1142" w:type="dxa"/>
            <w:tcBorders>
              <w:top w:val="nil"/>
              <w:left w:val="nil"/>
              <w:bottom w:val="nil"/>
              <w:right w:val="nil"/>
            </w:tcBorders>
            <w:shd w:val="clear" w:color="auto" w:fill="auto"/>
            <w:noWrap/>
            <w:vAlign w:val="bottom"/>
            <w:hideMark/>
          </w:tcPr>
          <w:p w14:paraId="6D046B9E"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5DA16F9A" w14:textId="2EEE057D" w:rsidR="001C7E53" w:rsidRPr="00D40FB5" w:rsidRDefault="0018466E" w:rsidP="003077A4">
            <w:pPr>
              <w:pStyle w:val="TableTextCentered"/>
              <w:rPr>
                <w:rFonts w:cs="Calibri"/>
              </w:rPr>
            </w:pPr>
            <w:r>
              <w:rPr>
                <w:rFonts w:cs="Calibri"/>
              </w:rPr>
              <w:noBreakHyphen/>
            </w:r>
            <w:r w:rsidR="001C7E53" w:rsidRPr="00D40FB5">
              <w:rPr>
                <w:rFonts w:cs="Calibri"/>
              </w:rPr>
              <w:t>0.204</w:t>
            </w:r>
          </w:p>
        </w:tc>
        <w:tc>
          <w:tcPr>
            <w:tcW w:w="1663" w:type="dxa"/>
            <w:tcBorders>
              <w:top w:val="nil"/>
              <w:left w:val="nil"/>
              <w:bottom w:val="nil"/>
              <w:right w:val="nil"/>
            </w:tcBorders>
            <w:shd w:val="clear" w:color="auto" w:fill="auto"/>
            <w:noWrap/>
            <w:vAlign w:val="center"/>
            <w:hideMark/>
          </w:tcPr>
          <w:p w14:paraId="154353AB" w14:textId="727A1FD8" w:rsidR="001C7E53" w:rsidRPr="00D40FB5" w:rsidRDefault="0018466E" w:rsidP="003077A4">
            <w:pPr>
              <w:pStyle w:val="TableTextCentered"/>
              <w:rPr>
                <w:rFonts w:cs="Calibri"/>
              </w:rPr>
            </w:pPr>
            <w:r>
              <w:rPr>
                <w:rFonts w:cs="Calibri"/>
              </w:rPr>
              <w:noBreakHyphen/>
            </w:r>
            <w:r w:rsidR="001C7E53" w:rsidRPr="00D40FB5">
              <w:rPr>
                <w:rFonts w:cs="Calibri"/>
              </w:rPr>
              <w:t>0.228</w:t>
            </w:r>
          </w:p>
        </w:tc>
        <w:tc>
          <w:tcPr>
            <w:tcW w:w="1663" w:type="dxa"/>
            <w:tcBorders>
              <w:top w:val="nil"/>
              <w:left w:val="nil"/>
              <w:bottom w:val="nil"/>
              <w:right w:val="nil"/>
            </w:tcBorders>
            <w:shd w:val="clear" w:color="auto" w:fill="auto"/>
            <w:noWrap/>
            <w:vAlign w:val="bottom"/>
            <w:hideMark/>
          </w:tcPr>
          <w:p w14:paraId="52ED901A"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bottom"/>
            <w:hideMark/>
          </w:tcPr>
          <w:p w14:paraId="7EBE0C22" w14:textId="77777777" w:rsidR="001C7E53" w:rsidRPr="00D40FB5" w:rsidRDefault="001C7E53" w:rsidP="003077A4">
            <w:pPr>
              <w:pStyle w:val="TableTextCentered"/>
            </w:pPr>
          </w:p>
        </w:tc>
      </w:tr>
      <w:tr w:rsidR="001C7E53" w:rsidRPr="00D40FB5" w14:paraId="289B45D4" w14:textId="77777777" w:rsidTr="00E931F0">
        <w:trPr>
          <w:trHeight w:val="300"/>
        </w:trPr>
        <w:tc>
          <w:tcPr>
            <w:tcW w:w="1906" w:type="dxa"/>
            <w:tcBorders>
              <w:top w:val="nil"/>
              <w:left w:val="nil"/>
              <w:bottom w:val="nil"/>
              <w:right w:val="nil"/>
            </w:tcBorders>
            <w:shd w:val="clear" w:color="auto" w:fill="auto"/>
            <w:vAlign w:val="center"/>
            <w:hideMark/>
          </w:tcPr>
          <w:p w14:paraId="674112C8" w14:textId="77777777" w:rsidR="001C7E53" w:rsidRPr="00D40FB5" w:rsidRDefault="001C7E53" w:rsidP="00F91AE4">
            <w:pPr>
              <w:pStyle w:val="TableTextLeft"/>
              <w:rPr>
                <w:rFonts w:ascii="Times New Roman" w:hAnsi="Times New Roman"/>
              </w:rPr>
            </w:pPr>
          </w:p>
        </w:tc>
        <w:tc>
          <w:tcPr>
            <w:tcW w:w="1142" w:type="dxa"/>
            <w:tcBorders>
              <w:top w:val="nil"/>
              <w:left w:val="nil"/>
              <w:bottom w:val="nil"/>
              <w:right w:val="nil"/>
            </w:tcBorders>
            <w:shd w:val="clear" w:color="auto" w:fill="auto"/>
            <w:noWrap/>
            <w:vAlign w:val="bottom"/>
            <w:hideMark/>
          </w:tcPr>
          <w:p w14:paraId="467A6782"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60E1D2CC"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5260BD84"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64534FE3"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6B2C969F" w14:textId="77777777" w:rsidR="001C7E53" w:rsidRPr="00D40FB5" w:rsidRDefault="001C7E53" w:rsidP="003077A4">
            <w:pPr>
              <w:pStyle w:val="TableTextCentered"/>
            </w:pPr>
          </w:p>
        </w:tc>
      </w:tr>
      <w:tr w:rsidR="001C7E53" w:rsidRPr="00D40FB5" w14:paraId="7F3225EE" w14:textId="77777777" w:rsidTr="00E931F0">
        <w:trPr>
          <w:trHeight w:val="300"/>
        </w:trPr>
        <w:tc>
          <w:tcPr>
            <w:tcW w:w="1906" w:type="dxa"/>
            <w:vMerge w:val="restart"/>
            <w:tcBorders>
              <w:top w:val="nil"/>
              <w:left w:val="nil"/>
              <w:bottom w:val="nil"/>
              <w:right w:val="nil"/>
            </w:tcBorders>
            <w:shd w:val="clear" w:color="auto" w:fill="auto"/>
            <w:vAlign w:val="center"/>
            <w:hideMark/>
          </w:tcPr>
          <w:p w14:paraId="67D2976D" w14:textId="77777777" w:rsidR="001C7E53" w:rsidRPr="00D40FB5" w:rsidRDefault="001C7E53" w:rsidP="00F91AE4">
            <w:pPr>
              <w:pStyle w:val="TableTextLeft"/>
            </w:pPr>
            <w:r w:rsidRPr="00D40FB5">
              <w:t>Concentration * Union</w:t>
            </w:r>
          </w:p>
        </w:tc>
        <w:tc>
          <w:tcPr>
            <w:tcW w:w="1142" w:type="dxa"/>
            <w:tcBorders>
              <w:top w:val="nil"/>
              <w:left w:val="nil"/>
              <w:bottom w:val="nil"/>
              <w:right w:val="nil"/>
            </w:tcBorders>
            <w:shd w:val="clear" w:color="auto" w:fill="auto"/>
            <w:noWrap/>
            <w:vAlign w:val="bottom"/>
            <w:hideMark/>
          </w:tcPr>
          <w:p w14:paraId="15082065"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center"/>
            <w:hideMark/>
          </w:tcPr>
          <w:p w14:paraId="73CF7677"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7900A0C6"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2824BB5A"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24342312" w14:textId="77777777" w:rsidR="001C7E53" w:rsidRPr="00D40FB5" w:rsidRDefault="001C7E53" w:rsidP="003077A4">
            <w:pPr>
              <w:pStyle w:val="TableTextCentered"/>
              <w:rPr>
                <w:rFonts w:cs="Calibri"/>
              </w:rPr>
            </w:pPr>
            <w:r w:rsidRPr="00D40FB5">
              <w:rPr>
                <w:rFonts w:cs="Calibri"/>
              </w:rPr>
              <w:t>0.010**</w:t>
            </w:r>
          </w:p>
        </w:tc>
      </w:tr>
      <w:tr w:rsidR="001C7E53" w:rsidRPr="00D40FB5" w14:paraId="12B06F7E" w14:textId="77777777" w:rsidTr="00E931F0">
        <w:trPr>
          <w:trHeight w:val="300"/>
        </w:trPr>
        <w:tc>
          <w:tcPr>
            <w:tcW w:w="1906" w:type="dxa"/>
            <w:vMerge/>
            <w:tcBorders>
              <w:top w:val="nil"/>
              <w:left w:val="nil"/>
              <w:bottom w:val="nil"/>
              <w:right w:val="nil"/>
            </w:tcBorders>
            <w:vAlign w:val="center"/>
            <w:hideMark/>
          </w:tcPr>
          <w:p w14:paraId="41E604BC" w14:textId="77777777" w:rsidR="001C7E53" w:rsidRPr="00D40FB5" w:rsidRDefault="001C7E53" w:rsidP="00F91AE4">
            <w:pPr>
              <w:pStyle w:val="TableTextLeft"/>
            </w:pPr>
          </w:p>
        </w:tc>
        <w:tc>
          <w:tcPr>
            <w:tcW w:w="1142" w:type="dxa"/>
            <w:tcBorders>
              <w:top w:val="nil"/>
              <w:left w:val="nil"/>
              <w:bottom w:val="nil"/>
              <w:right w:val="nil"/>
            </w:tcBorders>
            <w:shd w:val="clear" w:color="auto" w:fill="auto"/>
            <w:noWrap/>
            <w:vAlign w:val="bottom"/>
            <w:hideMark/>
          </w:tcPr>
          <w:p w14:paraId="30508214"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center"/>
            <w:hideMark/>
          </w:tcPr>
          <w:p w14:paraId="1B9B14AE"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277521C4"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bottom"/>
            <w:hideMark/>
          </w:tcPr>
          <w:p w14:paraId="539D2BC7" w14:textId="77777777" w:rsidR="001C7E53" w:rsidRPr="00D40FB5" w:rsidRDefault="001C7E53" w:rsidP="003077A4">
            <w:pPr>
              <w:pStyle w:val="TableTextCentered"/>
            </w:pPr>
          </w:p>
        </w:tc>
        <w:tc>
          <w:tcPr>
            <w:tcW w:w="1663" w:type="dxa"/>
            <w:tcBorders>
              <w:top w:val="nil"/>
              <w:left w:val="nil"/>
              <w:bottom w:val="nil"/>
              <w:right w:val="nil"/>
            </w:tcBorders>
            <w:shd w:val="clear" w:color="auto" w:fill="auto"/>
            <w:noWrap/>
            <w:vAlign w:val="center"/>
            <w:hideMark/>
          </w:tcPr>
          <w:p w14:paraId="4FA54763" w14:textId="77777777" w:rsidR="001C7E53" w:rsidRPr="00D40FB5" w:rsidRDefault="001C7E53" w:rsidP="003077A4">
            <w:pPr>
              <w:pStyle w:val="TableTextCentered"/>
              <w:rPr>
                <w:rFonts w:cs="Calibri"/>
              </w:rPr>
            </w:pPr>
            <w:r w:rsidRPr="00D40FB5">
              <w:rPr>
                <w:rFonts w:cs="Calibri"/>
              </w:rPr>
              <w:t>(0.003)</w:t>
            </w:r>
          </w:p>
        </w:tc>
      </w:tr>
      <w:tr w:rsidR="001C7E53" w:rsidRPr="00D40FB5" w14:paraId="569F76D8" w14:textId="77777777" w:rsidTr="00E931F0">
        <w:trPr>
          <w:trHeight w:val="315"/>
        </w:trPr>
        <w:tc>
          <w:tcPr>
            <w:tcW w:w="1906" w:type="dxa"/>
            <w:tcBorders>
              <w:top w:val="nil"/>
              <w:left w:val="nil"/>
              <w:bottom w:val="single" w:sz="8" w:space="0" w:color="auto"/>
              <w:right w:val="nil"/>
            </w:tcBorders>
            <w:shd w:val="clear" w:color="auto" w:fill="auto"/>
            <w:noWrap/>
            <w:vAlign w:val="center"/>
            <w:hideMark/>
          </w:tcPr>
          <w:p w14:paraId="15B1F60A" w14:textId="77777777" w:rsidR="001C7E53" w:rsidRPr="00D40FB5" w:rsidRDefault="001C7E53" w:rsidP="00F91AE4">
            <w:pPr>
              <w:pStyle w:val="TableTextLeft"/>
            </w:pPr>
            <w:r w:rsidRPr="00D40FB5">
              <w:t> </w:t>
            </w:r>
          </w:p>
        </w:tc>
        <w:tc>
          <w:tcPr>
            <w:tcW w:w="1142" w:type="dxa"/>
            <w:tcBorders>
              <w:top w:val="nil"/>
              <w:left w:val="nil"/>
              <w:bottom w:val="single" w:sz="8" w:space="0" w:color="auto"/>
              <w:right w:val="nil"/>
            </w:tcBorders>
            <w:shd w:val="clear" w:color="auto" w:fill="auto"/>
            <w:noWrap/>
            <w:vAlign w:val="center"/>
            <w:hideMark/>
          </w:tcPr>
          <w:p w14:paraId="67389920" w14:textId="77777777" w:rsidR="001C7E53" w:rsidRPr="00D40FB5" w:rsidRDefault="001C7E53" w:rsidP="003077A4">
            <w:pPr>
              <w:pStyle w:val="TableTextCentered"/>
              <w:rPr>
                <w:rFonts w:cs="Calibri"/>
              </w:rPr>
            </w:pPr>
            <w:r w:rsidRPr="00D40FB5">
              <w:rPr>
                <w:rFonts w:cs="Calibri"/>
              </w:rPr>
              <w:t> </w:t>
            </w:r>
          </w:p>
        </w:tc>
        <w:tc>
          <w:tcPr>
            <w:tcW w:w="3326" w:type="dxa"/>
            <w:gridSpan w:val="2"/>
            <w:tcBorders>
              <w:top w:val="nil"/>
              <w:left w:val="nil"/>
              <w:bottom w:val="single" w:sz="8" w:space="0" w:color="auto"/>
              <w:right w:val="nil"/>
            </w:tcBorders>
            <w:shd w:val="clear" w:color="auto" w:fill="auto"/>
            <w:noWrap/>
            <w:vAlign w:val="center"/>
            <w:hideMark/>
          </w:tcPr>
          <w:p w14:paraId="01574303" w14:textId="77777777" w:rsidR="001C7E53" w:rsidRPr="00D40FB5" w:rsidRDefault="001C7E53" w:rsidP="003077A4">
            <w:pPr>
              <w:pStyle w:val="TableTextCentered"/>
              <w:rPr>
                <w:rFonts w:cs="Calibri"/>
              </w:rPr>
            </w:pPr>
            <w:r w:rsidRPr="00D40FB5">
              <w:rPr>
                <w:rFonts w:cs="Calibri"/>
              </w:rPr>
              <w:t> </w:t>
            </w:r>
          </w:p>
        </w:tc>
        <w:tc>
          <w:tcPr>
            <w:tcW w:w="3326" w:type="dxa"/>
            <w:gridSpan w:val="2"/>
            <w:tcBorders>
              <w:top w:val="nil"/>
              <w:left w:val="nil"/>
              <w:bottom w:val="single" w:sz="8" w:space="0" w:color="auto"/>
              <w:right w:val="nil"/>
            </w:tcBorders>
            <w:shd w:val="clear" w:color="auto" w:fill="auto"/>
            <w:noWrap/>
            <w:vAlign w:val="center"/>
            <w:hideMark/>
          </w:tcPr>
          <w:p w14:paraId="0BB26A2A" w14:textId="77777777" w:rsidR="001C7E53" w:rsidRPr="00D40FB5" w:rsidRDefault="001C7E53" w:rsidP="003077A4">
            <w:pPr>
              <w:pStyle w:val="TableTextCentered"/>
              <w:rPr>
                <w:rFonts w:cs="Calibri"/>
              </w:rPr>
            </w:pPr>
            <w:r w:rsidRPr="00D40FB5">
              <w:rPr>
                <w:rFonts w:cs="Calibri"/>
              </w:rPr>
              <w:t> </w:t>
            </w:r>
          </w:p>
        </w:tc>
      </w:tr>
      <w:tr w:rsidR="001C7E53" w:rsidRPr="00D40FB5" w14:paraId="0DFB6755" w14:textId="77777777" w:rsidTr="00E931F0">
        <w:trPr>
          <w:trHeight w:val="300"/>
        </w:trPr>
        <w:tc>
          <w:tcPr>
            <w:tcW w:w="1906" w:type="dxa"/>
            <w:tcBorders>
              <w:top w:val="nil"/>
              <w:left w:val="nil"/>
              <w:bottom w:val="nil"/>
              <w:right w:val="nil"/>
            </w:tcBorders>
            <w:shd w:val="clear" w:color="auto" w:fill="auto"/>
            <w:noWrap/>
            <w:vAlign w:val="center"/>
            <w:hideMark/>
          </w:tcPr>
          <w:p w14:paraId="3E9F1A8B" w14:textId="77777777" w:rsidR="001C7E53" w:rsidRPr="00D40FB5" w:rsidRDefault="001C7E53" w:rsidP="00F91AE4">
            <w:pPr>
              <w:pStyle w:val="TableTextLeft"/>
            </w:pPr>
            <w:r w:rsidRPr="00D40FB5">
              <w:t>R</w:t>
            </w:r>
            <w:r w:rsidRPr="00D40FB5">
              <w:rPr>
                <w:vertAlign w:val="superscript"/>
              </w:rPr>
              <w:t>2</w:t>
            </w:r>
          </w:p>
        </w:tc>
        <w:tc>
          <w:tcPr>
            <w:tcW w:w="1142" w:type="dxa"/>
            <w:tcBorders>
              <w:top w:val="nil"/>
              <w:left w:val="nil"/>
              <w:bottom w:val="nil"/>
              <w:right w:val="nil"/>
            </w:tcBorders>
            <w:shd w:val="clear" w:color="auto" w:fill="auto"/>
            <w:noWrap/>
            <w:vAlign w:val="center"/>
            <w:hideMark/>
          </w:tcPr>
          <w:p w14:paraId="78CA0F06" w14:textId="77777777" w:rsidR="001C7E53" w:rsidRPr="00D40FB5" w:rsidRDefault="001C7E53" w:rsidP="003077A4">
            <w:pPr>
              <w:pStyle w:val="TableTextCentered"/>
              <w:rPr>
                <w:rFonts w:cs="Calibri"/>
              </w:rPr>
            </w:pPr>
            <w:r w:rsidRPr="00D40FB5">
              <w:rPr>
                <w:rFonts w:cs="Calibri"/>
              </w:rPr>
              <w:t>0.67</w:t>
            </w:r>
          </w:p>
        </w:tc>
        <w:tc>
          <w:tcPr>
            <w:tcW w:w="1663" w:type="dxa"/>
            <w:tcBorders>
              <w:top w:val="nil"/>
              <w:left w:val="nil"/>
              <w:bottom w:val="nil"/>
              <w:right w:val="nil"/>
            </w:tcBorders>
            <w:shd w:val="clear" w:color="auto" w:fill="auto"/>
            <w:noWrap/>
            <w:vAlign w:val="center"/>
            <w:hideMark/>
          </w:tcPr>
          <w:p w14:paraId="7AAF52C9" w14:textId="77777777" w:rsidR="001C7E53" w:rsidRPr="00D40FB5" w:rsidRDefault="001C7E53" w:rsidP="003077A4">
            <w:pPr>
              <w:pStyle w:val="TableTextCentered"/>
              <w:rPr>
                <w:rFonts w:cs="Calibri"/>
              </w:rPr>
            </w:pPr>
            <w:r w:rsidRPr="00D40FB5">
              <w:rPr>
                <w:rFonts w:cs="Calibri"/>
              </w:rPr>
              <w:t>0.683</w:t>
            </w:r>
          </w:p>
        </w:tc>
        <w:tc>
          <w:tcPr>
            <w:tcW w:w="1663" w:type="dxa"/>
            <w:tcBorders>
              <w:top w:val="nil"/>
              <w:left w:val="nil"/>
              <w:bottom w:val="nil"/>
              <w:right w:val="nil"/>
            </w:tcBorders>
            <w:shd w:val="clear" w:color="auto" w:fill="auto"/>
            <w:noWrap/>
            <w:vAlign w:val="center"/>
            <w:hideMark/>
          </w:tcPr>
          <w:p w14:paraId="3307E1BB" w14:textId="77777777" w:rsidR="001C7E53" w:rsidRPr="00D40FB5" w:rsidRDefault="001C7E53" w:rsidP="003077A4">
            <w:pPr>
              <w:pStyle w:val="TableTextCentered"/>
              <w:rPr>
                <w:rFonts w:cs="Calibri"/>
              </w:rPr>
            </w:pPr>
            <w:r w:rsidRPr="00D40FB5">
              <w:rPr>
                <w:rFonts w:cs="Calibri"/>
              </w:rPr>
              <w:t>0.686</w:t>
            </w:r>
          </w:p>
        </w:tc>
        <w:tc>
          <w:tcPr>
            <w:tcW w:w="1663" w:type="dxa"/>
            <w:tcBorders>
              <w:top w:val="nil"/>
              <w:left w:val="nil"/>
              <w:bottom w:val="nil"/>
              <w:right w:val="nil"/>
            </w:tcBorders>
            <w:shd w:val="clear" w:color="auto" w:fill="auto"/>
            <w:noWrap/>
            <w:vAlign w:val="center"/>
            <w:hideMark/>
          </w:tcPr>
          <w:p w14:paraId="506B8E63" w14:textId="77777777" w:rsidR="001C7E53" w:rsidRPr="00D40FB5" w:rsidRDefault="001C7E53" w:rsidP="003077A4">
            <w:pPr>
              <w:pStyle w:val="TableTextCentered"/>
              <w:rPr>
                <w:rFonts w:cs="Calibri"/>
              </w:rPr>
            </w:pPr>
            <w:r w:rsidRPr="00D40FB5">
              <w:rPr>
                <w:rFonts w:cs="Calibri"/>
              </w:rPr>
              <w:t>0.985</w:t>
            </w:r>
          </w:p>
        </w:tc>
        <w:tc>
          <w:tcPr>
            <w:tcW w:w="1663" w:type="dxa"/>
            <w:tcBorders>
              <w:top w:val="nil"/>
              <w:left w:val="nil"/>
              <w:bottom w:val="nil"/>
              <w:right w:val="nil"/>
            </w:tcBorders>
            <w:shd w:val="clear" w:color="auto" w:fill="auto"/>
            <w:noWrap/>
            <w:vAlign w:val="center"/>
            <w:hideMark/>
          </w:tcPr>
          <w:p w14:paraId="4942426F" w14:textId="77777777" w:rsidR="001C7E53" w:rsidRPr="00D40FB5" w:rsidRDefault="001C7E53" w:rsidP="003077A4">
            <w:pPr>
              <w:pStyle w:val="TableTextCentered"/>
              <w:rPr>
                <w:rFonts w:cs="Calibri"/>
              </w:rPr>
            </w:pPr>
            <w:r w:rsidRPr="00D40FB5">
              <w:rPr>
                <w:rFonts w:cs="Calibri"/>
              </w:rPr>
              <w:t>0.701</w:t>
            </w:r>
          </w:p>
        </w:tc>
      </w:tr>
      <w:tr w:rsidR="001C7E53" w:rsidRPr="00D40FB5" w14:paraId="4B4D6239" w14:textId="77777777" w:rsidTr="00E931F0">
        <w:trPr>
          <w:trHeight w:val="300"/>
        </w:trPr>
        <w:tc>
          <w:tcPr>
            <w:tcW w:w="1906" w:type="dxa"/>
            <w:tcBorders>
              <w:top w:val="nil"/>
              <w:left w:val="nil"/>
              <w:bottom w:val="nil"/>
              <w:right w:val="nil"/>
            </w:tcBorders>
            <w:shd w:val="clear" w:color="auto" w:fill="auto"/>
            <w:noWrap/>
            <w:vAlign w:val="center"/>
            <w:hideMark/>
          </w:tcPr>
          <w:p w14:paraId="00B7D48A" w14:textId="77777777" w:rsidR="001C7E53" w:rsidRPr="00D40FB5" w:rsidRDefault="001C7E53" w:rsidP="00F91AE4">
            <w:pPr>
              <w:pStyle w:val="TableTextLeft"/>
            </w:pPr>
            <w:r w:rsidRPr="00D40FB5">
              <w:t>N</w:t>
            </w:r>
          </w:p>
        </w:tc>
        <w:tc>
          <w:tcPr>
            <w:tcW w:w="1142" w:type="dxa"/>
            <w:tcBorders>
              <w:top w:val="nil"/>
              <w:left w:val="nil"/>
              <w:bottom w:val="nil"/>
              <w:right w:val="nil"/>
            </w:tcBorders>
            <w:shd w:val="clear" w:color="auto" w:fill="auto"/>
            <w:noWrap/>
            <w:vAlign w:val="center"/>
            <w:hideMark/>
          </w:tcPr>
          <w:p w14:paraId="27616F80" w14:textId="77777777" w:rsidR="001C7E53" w:rsidRPr="00D40FB5" w:rsidRDefault="001C7E53" w:rsidP="003077A4">
            <w:pPr>
              <w:pStyle w:val="TableTextCentered"/>
              <w:rPr>
                <w:rFonts w:cs="Calibri"/>
              </w:rPr>
            </w:pPr>
            <w:r w:rsidRPr="00D40FB5">
              <w:rPr>
                <w:rFonts w:cs="Calibri"/>
              </w:rPr>
              <w:t>302,000</w:t>
            </w:r>
          </w:p>
        </w:tc>
        <w:tc>
          <w:tcPr>
            <w:tcW w:w="1663" w:type="dxa"/>
            <w:tcBorders>
              <w:top w:val="nil"/>
              <w:left w:val="nil"/>
              <w:bottom w:val="nil"/>
              <w:right w:val="nil"/>
            </w:tcBorders>
            <w:shd w:val="clear" w:color="auto" w:fill="auto"/>
            <w:noWrap/>
            <w:vAlign w:val="center"/>
            <w:hideMark/>
          </w:tcPr>
          <w:p w14:paraId="5FFF5246" w14:textId="77777777" w:rsidR="001C7E53" w:rsidRPr="00D40FB5" w:rsidRDefault="001C7E53" w:rsidP="003077A4">
            <w:pPr>
              <w:pStyle w:val="TableTextCentered"/>
              <w:rPr>
                <w:rFonts w:cs="Calibri"/>
              </w:rPr>
            </w:pPr>
            <w:r w:rsidRPr="00D40FB5">
              <w:rPr>
                <w:rFonts w:cs="Calibri"/>
              </w:rPr>
              <w:t>274,000</w:t>
            </w:r>
          </w:p>
        </w:tc>
        <w:tc>
          <w:tcPr>
            <w:tcW w:w="1663" w:type="dxa"/>
            <w:tcBorders>
              <w:top w:val="nil"/>
              <w:left w:val="nil"/>
              <w:bottom w:val="nil"/>
              <w:right w:val="nil"/>
            </w:tcBorders>
            <w:shd w:val="clear" w:color="auto" w:fill="auto"/>
            <w:noWrap/>
            <w:vAlign w:val="center"/>
            <w:hideMark/>
          </w:tcPr>
          <w:p w14:paraId="6104256D" w14:textId="77777777" w:rsidR="001C7E53" w:rsidRPr="00D40FB5" w:rsidRDefault="001C7E53" w:rsidP="003077A4">
            <w:pPr>
              <w:pStyle w:val="TableTextCentered"/>
              <w:rPr>
                <w:rFonts w:cs="Calibri"/>
              </w:rPr>
            </w:pPr>
            <w:r w:rsidRPr="00D40FB5">
              <w:rPr>
                <w:rFonts w:cs="Calibri"/>
              </w:rPr>
              <w:t>274,000</w:t>
            </w:r>
          </w:p>
        </w:tc>
        <w:tc>
          <w:tcPr>
            <w:tcW w:w="1663" w:type="dxa"/>
            <w:tcBorders>
              <w:top w:val="nil"/>
              <w:left w:val="nil"/>
              <w:bottom w:val="nil"/>
              <w:right w:val="nil"/>
            </w:tcBorders>
            <w:shd w:val="clear" w:color="auto" w:fill="auto"/>
            <w:noWrap/>
            <w:vAlign w:val="center"/>
            <w:hideMark/>
          </w:tcPr>
          <w:p w14:paraId="771CAE98" w14:textId="77777777" w:rsidR="001C7E53" w:rsidRPr="00D40FB5" w:rsidRDefault="001C7E53" w:rsidP="003077A4">
            <w:pPr>
              <w:pStyle w:val="TableTextCentered"/>
              <w:rPr>
                <w:rFonts w:cs="Calibri"/>
              </w:rPr>
            </w:pPr>
            <w:r w:rsidRPr="00D40FB5">
              <w:rPr>
                <w:rFonts w:cs="Calibri"/>
              </w:rPr>
              <w:t>247,000</w:t>
            </w:r>
          </w:p>
        </w:tc>
        <w:tc>
          <w:tcPr>
            <w:tcW w:w="1663" w:type="dxa"/>
            <w:tcBorders>
              <w:top w:val="nil"/>
              <w:left w:val="nil"/>
              <w:bottom w:val="nil"/>
              <w:right w:val="nil"/>
            </w:tcBorders>
            <w:shd w:val="clear" w:color="auto" w:fill="auto"/>
            <w:noWrap/>
            <w:vAlign w:val="center"/>
            <w:hideMark/>
          </w:tcPr>
          <w:p w14:paraId="226301EB" w14:textId="77777777" w:rsidR="001C7E53" w:rsidRPr="00D40FB5" w:rsidRDefault="001C7E53" w:rsidP="003077A4">
            <w:pPr>
              <w:pStyle w:val="TableTextCentered"/>
              <w:rPr>
                <w:rFonts w:cs="Calibri"/>
              </w:rPr>
            </w:pPr>
            <w:r w:rsidRPr="00D40FB5">
              <w:rPr>
                <w:rFonts w:cs="Calibri"/>
              </w:rPr>
              <w:t>217,000</w:t>
            </w:r>
          </w:p>
        </w:tc>
      </w:tr>
      <w:tr w:rsidR="001C7E53" w:rsidRPr="00D40FB5" w14:paraId="4D6DF5B6" w14:textId="77777777" w:rsidTr="00E931F0">
        <w:trPr>
          <w:trHeight w:val="315"/>
        </w:trPr>
        <w:tc>
          <w:tcPr>
            <w:tcW w:w="1906" w:type="dxa"/>
            <w:tcBorders>
              <w:top w:val="nil"/>
              <w:left w:val="nil"/>
              <w:bottom w:val="single" w:sz="8" w:space="0" w:color="auto"/>
              <w:right w:val="nil"/>
            </w:tcBorders>
            <w:shd w:val="clear" w:color="auto" w:fill="auto"/>
            <w:noWrap/>
            <w:vAlign w:val="center"/>
            <w:hideMark/>
          </w:tcPr>
          <w:p w14:paraId="72BDF3FA" w14:textId="77777777" w:rsidR="001C7E53" w:rsidRPr="00D40FB5" w:rsidRDefault="001C7E53" w:rsidP="00F91AE4">
            <w:pPr>
              <w:pStyle w:val="TableColumnHeadingLeft"/>
            </w:pPr>
            <w:r w:rsidRPr="00D40FB5">
              <w:t>Fixed effects</w:t>
            </w:r>
          </w:p>
        </w:tc>
        <w:tc>
          <w:tcPr>
            <w:tcW w:w="1142" w:type="dxa"/>
            <w:tcBorders>
              <w:top w:val="nil"/>
              <w:left w:val="nil"/>
              <w:bottom w:val="single" w:sz="8" w:space="0" w:color="auto"/>
              <w:right w:val="nil"/>
            </w:tcBorders>
            <w:shd w:val="clear" w:color="auto" w:fill="auto"/>
            <w:noWrap/>
            <w:vAlign w:val="center"/>
            <w:hideMark/>
          </w:tcPr>
          <w:p w14:paraId="7C45C4C3" w14:textId="77777777" w:rsidR="001C7E53" w:rsidRPr="00D40FB5" w:rsidRDefault="001C7E53" w:rsidP="003077A4">
            <w:pPr>
              <w:pStyle w:val="TableTextCentered"/>
              <w:rPr>
                <w:rFonts w:cs="Calibri"/>
              </w:rPr>
            </w:pPr>
            <w:r w:rsidRPr="00D40FB5">
              <w:rPr>
                <w:rFonts w:cs="Calibri"/>
              </w:rPr>
              <w:t> </w:t>
            </w:r>
          </w:p>
        </w:tc>
        <w:tc>
          <w:tcPr>
            <w:tcW w:w="1663" w:type="dxa"/>
            <w:tcBorders>
              <w:top w:val="nil"/>
              <w:left w:val="nil"/>
              <w:bottom w:val="single" w:sz="8" w:space="0" w:color="auto"/>
              <w:right w:val="nil"/>
            </w:tcBorders>
            <w:shd w:val="clear" w:color="auto" w:fill="auto"/>
            <w:noWrap/>
            <w:vAlign w:val="center"/>
            <w:hideMark/>
          </w:tcPr>
          <w:p w14:paraId="1B9A724A" w14:textId="77777777" w:rsidR="001C7E53" w:rsidRPr="00D40FB5" w:rsidRDefault="001C7E53" w:rsidP="003077A4">
            <w:pPr>
              <w:pStyle w:val="TableTextCentered"/>
              <w:rPr>
                <w:rFonts w:cs="Calibri"/>
              </w:rPr>
            </w:pPr>
            <w:r w:rsidRPr="00D40FB5">
              <w:rPr>
                <w:rFonts w:cs="Calibri"/>
              </w:rPr>
              <w:t> </w:t>
            </w:r>
          </w:p>
        </w:tc>
        <w:tc>
          <w:tcPr>
            <w:tcW w:w="1663" w:type="dxa"/>
            <w:tcBorders>
              <w:top w:val="nil"/>
              <w:left w:val="nil"/>
              <w:bottom w:val="single" w:sz="8" w:space="0" w:color="auto"/>
              <w:right w:val="nil"/>
            </w:tcBorders>
            <w:shd w:val="clear" w:color="auto" w:fill="auto"/>
            <w:noWrap/>
            <w:vAlign w:val="center"/>
            <w:hideMark/>
          </w:tcPr>
          <w:p w14:paraId="0F1F47B2" w14:textId="77777777" w:rsidR="001C7E53" w:rsidRPr="00D40FB5" w:rsidRDefault="001C7E53" w:rsidP="003077A4">
            <w:pPr>
              <w:pStyle w:val="TableTextCentered"/>
              <w:rPr>
                <w:rFonts w:cs="Calibri"/>
              </w:rPr>
            </w:pPr>
            <w:r w:rsidRPr="00D40FB5">
              <w:rPr>
                <w:rFonts w:cs="Calibri"/>
              </w:rPr>
              <w:t> </w:t>
            </w:r>
          </w:p>
        </w:tc>
        <w:tc>
          <w:tcPr>
            <w:tcW w:w="1663" w:type="dxa"/>
            <w:tcBorders>
              <w:top w:val="nil"/>
              <w:left w:val="nil"/>
              <w:bottom w:val="nil"/>
              <w:right w:val="nil"/>
            </w:tcBorders>
            <w:shd w:val="clear" w:color="auto" w:fill="auto"/>
            <w:noWrap/>
            <w:vAlign w:val="bottom"/>
            <w:hideMark/>
          </w:tcPr>
          <w:p w14:paraId="3E0E1DBA" w14:textId="77777777" w:rsidR="001C7E53" w:rsidRPr="00D40FB5" w:rsidRDefault="001C7E53" w:rsidP="003077A4">
            <w:pPr>
              <w:pStyle w:val="TableTextCentered"/>
              <w:rPr>
                <w:rFonts w:cs="Calibri"/>
              </w:rPr>
            </w:pPr>
          </w:p>
        </w:tc>
        <w:tc>
          <w:tcPr>
            <w:tcW w:w="1663" w:type="dxa"/>
            <w:tcBorders>
              <w:top w:val="nil"/>
              <w:left w:val="nil"/>
              <w:bottom w:val="nil"/>
              <w:right w:val="nil"/>
            </w:tcBorders>
            <w:shd w:val="clear" w:color="auto" w:fill="auto"/>
            <w:noWrap/>
            <w:vAlign w:val="bottom"/>
            <w:hideMark/>
          </w:tcPr>
          <w:p w14:paraId="3E974CE6" w14:textId="77777777" w:rsidR="001C7E53" w:rsidRPr="00D40FB5" w:rsidRDefault="001C7E53" w:rsidP="003077A4">
            <w:pPr>
              <w:pStyle w:val="TableTextCentered"/>
            </w:pPr>
          </w:p>
        </w:tc>
      </w:tr>
      <w:tr w:rsidR="001C7E53" w:rsidRPr="00D40FB5" w14:paraId="0B82CC29" w14:textId="77777777" w:rsidTr="00E931F0">
        <w:trPr>
          <w:trHeight w:val="300"/>
        </w:trPr>
        <w:tc>
          <w:tcPr>
            <w:tcW w:w="1906" w:type="dxa"/>
            <w:tcBorders>
              <w:top w:val="nil"/>
              <w:left w:val="nil"/>
              <w:bottom w:val="nil"/>
              <w:right w:val="nil"/>
            </w:tcBorders>
            <w:shd w:val="clear" w:color="auto" w:fill="auto"/>
            <w:noWrap/>
            <w:vAlign w:val="center"/>
            <w:hideMark/>
          </w:tcPr>
          <w:p w14:paraId="0E781F03" w14:textId="77777777" w:rsidR="001C7E53" w:rsidRPr="00D40FB5" w:rsidRDefault="001C7E53" w:rsidP="00F91AE4">
            <w:pPr>
              <w:pStyle w:val="TableTextLeft"/>
            </w:pPr>
            <w:r w:rsidRPr="00D40FB5">
              <w:t>Local market</w:t>
            </w:r>
          </w:p>
        </w:tc>
        <w:tc>
          <w:tcPr>
            <w:tcW w:w="1142" w:type="dxa"/>
            <w:tcBorders>
              <w:top w:val="single" w:sz="4" w:space="0" w:color="auto"/>
              <w:left w:val="nil"/>
              <w:bottom w:val="nil"/>
              <w:right w:val="nil"/>
            </w:tcBorders>
            <w:shd w:val="clear" w:color="auto" w:fill="auto"/>
            <w:noWrap/>
            <w:vAlign w:val="bottom"/>
            <w:hideMark/>
          </w:tcPr>
          <w:p w14:paraId="314A6C0A" w14:textId="77777777" w:rsidR="001C7E53" w:rsidRPr="00D40FB5" w:rsidRDefault="001C7E53" w:rsidP="003077A4">
            <w:pPr>
              <w:pStyle w:val="TableTextCentered"/>
              <w:rPr>
                <w:rFonts w:cs="Calibri"/>
              </w:rPr>
            </w:pPr>
            <w:r w:rsidRPr="00D40FB5">
              <w:rPr>
                <w:rFonts w:cs="Calibri"/>
              </w:rPr>
              <w:t>Y</w:t>
            </w:r>
          </w:p>
        </w:tc>
        <w:tc>
          <w:tcPr>
            <w:tcW w:w="1663" w:type="dxa"/>
            <w:tcBorders>
              <w:top w:val="single" w:sz="4" w:space="0" w:color="auto"/>
              <w:left w:val="nil"/>
              <w:bottom w:val="nil"/>
              <w:right w:val="nil"/>
            </w:tcBorders>
            <w:shd w:val="clear" w:color="auto" w:fill="auto"/>
            <w:noWrap/>
            <w:vAlign w:val="bottom"/>
            <w:hideMark/>
          </w:tcPr>
          <w:p w14:paraId="0F1F8D15" w14:textId="77777777" w:rsidR="001C7E53" w:rsidRPr="00D40FB5" w:rsidRDefault="001C7E53" w:rsidP="003077A4">
            <w:pPr>
              <w:pStyle w:val="TableTextCentered"/>
              <w:rPr>
                <w:rFonts w:cs="Calibri"/>
              </w:rPr>
            </w:pPr>
            <w:r w:rsidRPr="00D40FB5">
              <w:rPr>
                <w:rFonts w:cs="Calibri"/>
              </w:rPr>
              <w:t>Y</w:t>
            </w:r>
          </w:p>
        </w:tc>
        <w:tc>
          <w:tcPr>
            <w:tcW w:w="1663" w:type="dxa"/>
            <w:tcBorders>
              <w:top w:val="single" w:sz="4" w:space="0" w:color="auto"/>
              <w:left w:val="nil"/>
              <w:bottom w:val="nil"/>
              <w:right w:val="nil"/>
            </w:tcBorders>
            <w:shd w:val="clear" w:color="auto" w:fill="auto"/>
            <w:noWrap/>
            <w:vAlign w:val="bottom"/>
            <w:hideMark/>
          </w:tcPr>
          <w:p w14:paraId="4874231D" w14:textId="77777777" w:rsidR="001C7E53" w:rsidRPr="00D40FB5" w:rsidRDefault="001C7E53" w:rsidP="003077A4">
            <w:pPr>
              <w:pStyle w:val="TableTextCentered"/>
              <w:rPr>
                <w:rFonts w:cs="Calibri"/>
              </w:rPr>
            </w:pPr>
            <w:r w:rsidRPr="00D40FB5">
              <w:rPr>
                <w:rFonts w:cs="Calibri"/>
              </w:rPr>
              <w:t>Y</w:t>
            </w:r>
          </w:p>
        </w:tc>
        <w:tc>
          <w:tcPr>
            <w:tcW w:w="1663" w:type="dxa"/>
            <w:tcBorders>
              <w:top w:val="single" w:sz="4" w:space="0" w:color="auto"/>
              <w:left w:val="nil"/>
              <w:bottom w:val="nil"/>
              <w:right w:val="nil"/>
            </w:tcBorders>
            <w:shd w:val="clear" w:color="auto" w:fill="auto"/>
            <w:noWrap/>
            <w:vAlign w:val="bottom"/>
            <w:hideMark/>
          </w:tcPr>
          <w:p w14:paraId="2A73EA20" w14:textId="77777777" w:rsidR="001C7E53" w:rsidRPr="00D40FB5" w:rsidRDefault="001C7E53" w:rsidP="003077A4">
            <w:pPr>
              <w:pStyle w:val="TableTextCentered"/>
              <w:rPr>
                <w:rFonts w:cs="Calibri"/>
              </w:rPr>
            </w:pPr>
            <w:r w:rsidRPr="00D40FB5">
              <w:rPr>
                <w:rFonts w:cs="Calibri"/>
              </w:rPr>
              <w:t>Y</w:t>
            </w:r>
          </w:p>
        </w:tc>
        <w:tc>
          <w:tcPr>
            <w:tcW w:w="1663" w:type="dxa"/>
            <w:tcBorders>
              <w:top w:val="single" w:sz="4" w:space="0" w:color="auto"/>
              <w:left w:val="nil"/>
              <w:bottom w:val="nil"/>
              <w:right w:val="nil"/>
            </w:tcBorders>
            <w:shd w:val="clear" w:color="auto" w:fill="auto"/>
            <w:noWrap/>
            <w:vAlign w:val="bottom"/>
            <w:hideMark/>
          </w:tcPr>
          <w:p w14:paraId="3BE99841" w14:textId="77777777" w:rsidR="001C7E53" w:rsidRPr="00D40FB5" w:rsidRDefault="001C7E53" w:rsidP="003077A4">
            <w:pPr>
              <w:pStyle w:val="TableTextCentered"/>
              <w:rPr>
                <w:rFonts w:cs="Calibri"/>
              </w:rPr>
            </w:pPr>
            <w:r w:rsidRPr="00D40FB5">
              <w:rPr>
                <w:rFonts w:cs="Calibri"/>
              </w:rPr>
              <w:t>Y</w:t>
            </w:r>
          </w:p>
        </w:tc>
      </w:tr>
      <w:tr w:rsidR="001C7E53" w:rsidRPr="00D40FB5" w14:paraId="10FE454F" w14:textId="77777777" w:rsidTr="00E931F0">
        <w:trPr>
          <w:trHeight w:val="300"/>
        </w:trPr>
        <w:tc>
          <w:tcPr>
            <w:tcW w:w="1906" w:type="dxa"/>
            <w:tcBorders>
              <w:top w:val="nil"/>
              <w:left w:val="nil"/>
              <w:bottom w:val="nil"/>
              <w:right w:val="nil"/>
            </w:tcBorders>
            <w:shd w:val="clear" w:color="auto" w:fill="auto"/>
            <w:noWrap/>
            <w:vAlign w:val="center"/>
            <w:hideMark/>
          </w:tcPr>
          <w:p w14:paraId="33DEEC81" w14:textId="77777777" w:rsidR="001C7E53" w:rsidRPr="00D40FB5" w:rsidRDefault="001C7E53" w:rsidP="00F91AE4">
            <w:pPr>
              <w:pStyle w:val="TableTextLeft"/>
            </w:pPr>
            <w:r w:rsidRPr="00D40FB5">
              <w:t>Time*Industry</w:t>
            </w:r>
          </w:p>
        </w:tc>
        <w:tc>
          <w:tcPr>
            <w:tcW w:w="1142" w:type="dxa"/>
            <w:tcBorders>
              <w:top w:val="nil"/>
              <w:left w:val="nil"/>
              <w:bottom w:val="nil"/>
              <w:right w:val="nil"/>
            </w:tcBorders>
            <w:shd w:val="clear" w:color="auto" w:fill="auto"/>
            <w:noWrap/>
            <w:vAlign w:val="bottom"/>
            <w:hideMark/>
          </w:tcPr>
          <w:p w14:paraId="0A23DFC4"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nil"/>
              <w:right w:val="nil"/>
            </w:tcBorders>
            <w:shd w:val="clear" w:color="auto" w:fill="auto"/>
            <w:noWrap/>
            <w:vAlign w:val="bottom"/>
            <w:hideMark/>
          </w:tcPr>
          <w:p w14:paraId="1D4C1FF2"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nil"/>
              <w:right w:val="nil"/>
            </w:tcBorders>
            <w:shd w:val="clear" w:color="auto" w:fill="auto"/>
            <w:noWrap/>
            <w:vAlign w:val="bottom"/>
            <w:hideMark/>
          </w:tcPr>
          <w:p w14:paraId="0C72542B"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nil"/>
              <w:right w:val="nil"/>
            </w:tcBorders>
            <w:shd w:val="clear" w:color="auto" w:fill="auto"/>
            <w:noWrap/>
            <w:vAlign w:val="bottom"/>
            <w:hideMark/>
          </w:tcPr>
          <w:p w14:paraId="1913B384"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nil"/>
              <w:right w:val="nil"/>
            </w:tcBorders>
            <w:shd w:val="clear" w:color="auto" w:fill="auto"/>
            <w:noWrap/>
            <w:vAlign w:val="bottom"/>
            <w:hideMark/>
          </w:tcPr>
          <w:p w14:paraId="23DA83C8" w14:textId="77777777" w:rsidR="001C7E53" w:rsidRPr="00D40FB5" w:rsidRDefault="001C7E53" w:rsidP="003077A4">
            <w:pPr>
              <w:pStyle w:val="TableTextCentered"/>
              <w:rPr>
                <w:rFonts w:cs="Calibri"/>
              </w:rPr>
            </w:pPr>
            <w:r w:rsidRPr="00D40FB5">
              <w:rPr>
                <w:rFonts w:cs="Calibri"/>
              </w:rPr>
              <w:t>Y</w:t>
            </w:r>
          </w:p>
        </w:tc>
      </w:tr>
      <w:tr w:rsidR="001C7E53" w:rsidRPr="00D40FB5" w14:paraId="3949C3F7" w14:textId="77777777" w:rsidTr="00E931F0">
        <w:trPr>
          <w:trHeight w:val="300"/>
        </w:trPr>
        <w:tc>
          <w:tcPr>
            <w:tcW w:w="1906" w:type="dxa"/>
            <w:tcBorders>
              <w:top w:val="nil"/>
              <w:left w:val="nil"/>
              <w:bottom w:val="single" w:sz="4" w:space="0" w:color="auto"/>
              <w:right w:val="nil"/>
            </w:tcBorders>
            <w:shd w:val="clear" w:color="auto" w:fill="auto"/>
            <w:noWrap/>
            <w:vAlign w:val="center"/>
            <w:hideMark/>
          </w:tcPr>
          <w:p w14:paraId="05B59D47" w14:textId="77777777" w:rsidR="001C7E53" w:rsidRPr="00D40FB5" w:rsidRDefault="001C7E53" w:rsidP="00F91AE4">
            <w:pPr>
              <w:pStyle w:val="TableTextLeft"/>
            </w:pPr>
            <w:r w:rsidRPr="00D40FB5">
              <w:t>Time*Location</w:t>
            </w:r>
          </w:p>
        </w:tc>
        <w:tc>
          <w:tcPr>
            <w:tcW w:w="1142" w:type="dxa"/>
            <w:tcBorders>
              <w:top w:val="nil"/>
              <w:left w:val="nil"/>
              <w:bottom w:val="single" w:sz="4" w:space="0" w:color="auto"/>
              <w:right w:val="nil"/>
            </w:tcBorders>
            <w:shd w:val="clear" w:color="auto" w:fill="auto"/>
            <w:noWrap/>
            <w:vAlign w:val="bottom"/>
            <w:hideMark/>
          </w:tcPr>
          <w:p w14:paraId="235F5B67"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single" w:sz="4" w:space="0" w:color="auto"/>
              <w:right w:val="nil"/>
            </w:tcBorders>
            <w:shd w:val="clear" w:color="auto" w:fill="auto"/>
            <w:noWrap/>
            <w:vAlign w:val="bottom"/>
            <w:hideMark/>
          </w:tcPr>
          <w:p w14:paraId="1C423126"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single" w:sz="4" w:space="0" w:color="auto"/>
              <w:right w:val="nil"/>
            </w:tcBorders>
            <w:shd w:val="clear" w:color="auto" w:fill="auto"/>
            <w:noWrap/>
            <w:vAlign w:val="bottom"/>
            <w:hideMark/>
          </w:tcPr>
          <w:p w14:paraId="32643128"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single" w:sz="4" w:space="0" w:color="auto"/>
              <w:right w:val="nil"/>
            </w:tcBorders>
            <w:shd w:val="clear" w:color="auto" w:fill="auto"/>
            <w:noWrap/>
            <w:vAlign w:val="bottom"/>
            <w:hideMark/>
          </w:tcPr>
          <w:p w14:paraId="48BEA7C5" w14:textId="77777777" w:rsidR="001C7E53" w:rsidRPr="00D40FB5" w:rsidRDefault="001C7E53" w:rsidP="003077A4">
            <w:pPr>
              <w:pStyle w:val="TableTextCentered"/>
              <w:rPr>
                <w:rFonts w:cs="Calibri"/>
              </w:rPr>
            </w:pPr>
            <w:r w:rsidRPr="00D40FB5">
              <w:rPr>
                <w:rFonts w:cs="Calibri"/>
              </w:rPr>
              <w:t>Y</w:t>
            </w:r>
          </w:p>
        </w:tc>
        <w:tc>
          <w:tcPr>
            <w:tcW w:w="1663" w:type="dxa"/>
            <w:tcBorders>
              <w:top w:val="nil"/>
              <w:left w:val="nil"/>
              <w:bottom w:val="single" w:sz="4" w:space="0" w:color="auto"/>
              <w:right w:val="nil"/>
            </w:tcBorders>
            <w:shd w:val="clear" w:color="auto" w:fill="auto"/>
            <w:noWrap/>
            <w:vAlign w:val="bottom"/>
            <w:hideMark/>
          </w:tcPr>
          <w:p w14:paraId="5536FB0B" w14:textId="77777777" w:rsidR="001C7E53" w:rsidRPr="00D40FB5" w:rsidRDefault="001C7E53" w:rsidP="003077A4">
            <w:pPr>
              <w:pStyle w:val="TableTextCentered"/>
              <w:rPr>
                <w:rFonts w:cs="Calibri"/>
              </w:rPr>
            </w:pPr>
            <w:r w:rsidRPr="00D40FB5">
              <w:rPr>
                <w:rFonts w:cs="Calibri"/>
              </w:rPr>
              <w:t>Y</w:t>
            </w:r>
          </w:p>
        </w:tc>
      </w:tr>
    </w:tbl>
    <w:p w14:paraId="5DEFB4F1" w14:textId="5EEB7CCE" w:rsidR="001C7E53" w:rsidRDefault="001C7E53" w:rsidP="003077A4">
      <w:pPr>
        <w:pStyle w:val="ChartorTableNote"/>
      </w:pPr>
      <w:r w:rsidRPr="00AF44C3">
        <w:t xml:space="preserve">Note: All regressions include a </w:t>
      </w:r>
      <w:r>
        <w:t>set of common controls covering</w:t>
      </w:r>
      <w:r w:rsidRPr="00AF44C3">
        <w:t xml:space="preserve"> market characteristics (number of workers in the market</w:t>
      </w:r>
      <w:r>
        <w:t>) Plant</w:t>
      </w:r>
      <w:r w:rsidR="0018466E">
        <w:noBreakHyphen/>
      </w:r>
      <w:r>
        <w:t>level model contain control for number of plants in parent firm</w:t>
      </w:r>
      <w:r w:rsidR="006D1604">
        <w:t xml:space="preserve">. </w:t>
      </w:r>
      <w:r w:rsidRPr="00AF44C3">
        <w:t>Errors clusters at the local market level.</w:t>
      </w:r>
    </w:p>
    <w:p w14:paraId="3D2BFF42" w14:textId="77777777" w:rsidR="00C40D84" w:rsidRPr="008627B1" w:rsidRDefault="00C40D84" w:rsidP="00F91AE4"/>
    <w:sectPr w:rsidR="00C40D84" w:rsidRPr="008627B1" w:rsidSect="0007037D">
      <w:pgSz w:w="11906" w:h="16838" w:code="9"/>
      <w:pgMar w:top="1843"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C9BF" w14:textId="77777777" w:rsidR="00257243" w:rsidRDefault="00257243" w:rsidP="005F100C">
      <w:pPr>
        <w:spacing w:after="0"/>
      </w:pPr>
      <w:r>
        <w:separator/>
      </w:r>
    </w:p>
  </w:endnote>
  <w:endnote w:type="continuationSeparator" w:id="0">
    <w:p w14:paraId="4DF9AB24" w14:textId="77777777" w:rsidR="00257243" w:rsidRDefault="00257243" w:rsidP="005F100C">
      <w:pPr>
        <w:spacing w:after="0"/>
      </w:pPr>
      <w:r>
        <w:continuationSeparator/>
      </w:r>
    </w:p>
  </w:endnote>
  <w:endnote w:type="continuationNotice" w:id="1">
    <w:p w14:paraId="4A86ACCC" w14:textId="77777777" w:rsidR="00257243" w:rsidRDefault="002572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F69C" w14:textId="76F5A674" w:rsidR="000D7C56" w:rsidRDefault="000D7C56"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80EA" w14:textId="53DB65EA" w:rsidR="000D7C56" w:rsidRDefault="000D7C56" w:rsidP="00B7535E">
    <w:pPr>
      <w:pStyle w:val="FooterEven"/>
      <w:jc w:val="right"/>
    </w:pPr>
    <w:r w:rsidRPr="001D0062">
      <w:drawing>
        <wp:anchor distT="0" distB="0" distL="114300" distR="114300" simplePos="0" relativeHeight="251658241" behindDoc="1" locked="0" layoutInCell="1" allowOverlap="0" wp14:anchorId="22E548C0" wp14:editId="4ADA1B48">
          <wp:simplePos x="0" y="0"/>
          <wp:positionH relativeFrom="margin">
            <wp:posOffset>0</wp:posOffset>
          </wp:positionH>
          <wp:positionV relativeFrom="page">
            <wp:posOffset>10140315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Pr="001D0062">
      <w:ptab w:relativeTo="margin" w:alignment="center" w:leader="none"/>
    </w:r>
    <w:fldSimple w:instr=" STYLEREF  &quot;Heading 2&quot;  \* MERGEFORMAT ">
      <w:r w:rsidR="00E44A2A">
        <w:t>Why has the impact of concentration increased?</w:t>
      </w:r>
    </w:fldSimple>
    <w:r>
      <w:t xml:space="preserve"> | </w:t>
    </w:r>
    <w:r w:rsidRPr="001D0062">
      <w:rPr>
        <w:b/>
        <w:bCs/>
        <w:noProof w:val="0"/>
      </w:rPr>
      <w:fldChar w:fldCharType="begin"/>
    </w:r>
    <w:r w:rsidRPr="001D0062">
      <w:rPr>
        <w:b/>
        <w:bCs/>
      </w:rPr>
      <w:instrText xml:space="preserve"> PAGE   \* MERGEFORMAT </w:instrText>
    </w:r>
    <w:r w:rsidRPr="001D0062">
      <w:rPr>
        <w:b/>
        <w:bCs/>
        <w:noProof w:val="0"/>
      </w:rPr>
      <w:fldChar w:fldCharType="separate"/>
    </w:r>
    <w:r w:rsidR="009A60AC" w:rsidRPr="001D0062">
      <w:rPr>
        <w:b/>
        <w:bCs/>
      </w:rPr>
      <w:t>18</w:t>
    </w:r>
    <w:r w:rsidRPr="001D0062">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7FF" w14:textId="13FA3AD4" w:rsidR="00F17479" w:rsidRDefault="00F17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DCC882D" w14:paraId="4A8296A2" w14:textId="77777777" w:rsidTr="00925954">
      <w:trPr>
        <w:trHeight w:val="300"/>
      </w:trPr>
      <w:tc>
        <w:tcPr>
          <w:tcW w:w="3020" w:type="dxa"/>
        </w:tcPr>
        <w:p w14:paraId="2727E9CC" w14:textId="28F2A78B" w:rsidR="3DCC882D" w:rsidRDefault="3DCC882D" w:rsidP="00E14B54">
          <w:pPr>
            <w:pStyle w:val="Header"/>
            <w:ind w:left="-115"/>
            <w:jc w:val="left"/>
          </w:pPr>
        </w:p>
      </w:tc>
      <w:tc>
        <w:tcPr>
          <w:tcW w:w="3020" w:type="dxa"/>
        </w:tcPr>
        <w:p w14:paraId="7ECAC819" w14:textId="4C7ABE4B" w:rsidR="3DCC882D" w:rsidRDefault="3DCC882D" w:rsidP="00E14B54">
          <w:pPr>
            <w:pStyle w:val="Header"/>
          </w:pPr>
        </w:p>
      </w:tc>
      <w:tc>
        <w:tcPr>
          <w:tcW w:w="3020" w:type="dxa"/>
        </w:tcPr>
        <w:p w14:paraId="640170AA" w14:textId="7554E2D8" w:rsidR="3DCC882D" w:rsidRDefault="3DCC882D" w:rsidP="00E14B54">
          <w:pPr>
            <w:pStyle w:val="Header"/>
            <w:ind w:right="-115"/>
            <w:jc w:val="right"/>
          </w:pPr>
        </w:p>
      </w:tc>
    </w:tr>
  </w:tbl>
  <w:p w14:paraId="4186F40E" w14:textId="2CD186BF" w:rsidR="00F17479" w:rsidRDefault="00F174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DB7E" w14:textId="5639C5BA" w:rsidR="000D7C56" w:rsidRDefault="000D7C56" w:rsidP="00C0052A">
    <w:pPr>
      <w:pStyle w:val="FooterEven"/>
      <w:jc w:val="right"/>
      <w:rPr>
        <w:rStyle w:val="PageNumber"/>
      </w:rPr>
    </w:pPr>
    <w:r w:rsidRPr="0057096F">
      <w:rPr>
        <w:b/>
        <w:bCs/>
      </w:rPr>
      <w:drawing>
        <wp:anchor distT="0" distB="0" distL="114300" distR="114300" simplePos="0" relativeHeight="251658242" behindDoc="1" locked="0" layoutInCell="1" allowOverlap="0" wp14:anchorId="658CC259" wp14:editId="64B21A20">
          <wp:simplePos x="0" y="0"/>
          <wp:positionH relativeFrom="margin">
            <wp:posOffset>0</wp:posOffset>
          </wp:positionH>
          <wp:positionV relativeFrom="page">
            <wp:posOffset>10147935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Pr="0057096F">
      <w:rPr>
        <w:b/>
        <w:bCs/>
      </w:rPr>
      <w:ptab w:relativeTo="margin" w:alignment="center" w:leader="none"/>
    </w:r>
    <w:r w:rsidRPr="0057096F">
      <w:rPr>
        <w:b/>
        <w:bCs/>
      </w:rPr>
      <w:fldChar w:fldCharType="begin"/>
    </w:r>
    <w:r w:rsidRPr="0057096F">
      <w:rPr>
        <w:b/>
        <w:bCs/>
      </w:rPr>
      <w:instrText xml:space="preserve"> STYLEREF  "Heading 2"  \* MERGEFORMAT </w:instrText>
    </w:r>
    <w:r w:rsidRPr="0057096F">
      <w:rPr>
        <w:b/>
        <w:bCs/>
      </w:rPr>
      <w:fldChar w:fldCharType="separate"/>
    </w:r>
    <w:r w:rsidR="00E44A2A">
      <w:rPr>
        <w:b/>
        <w:bCs/>
      </w:rPr>
      <w:t>Introduction</w:t>
    </w:r>
    <w:r w:rsidRPr="0057096F">
      <w:rPr>
        <w:b/>
        <w:bCs/>
      </w:rPr>
      <w:fldChar w:fldCharType="end"/>
    </w:r>
    <w:r>
      <w:t xml:space="preserve"> | </w:t>
    </w:r>
    <w:r>
      <w:rPr>
        <w:noProof w:val="0"/>
      </w:rPr>
      <w:fldChar w:fldCharType="begin"/>
    </w:r>
    <w:r>
      <w:instrText xml:space="preserve"> PAGE   \* MERGEFORMAT </w:instrText>
    </w:r>
    <w:r>
      <w:rPr>
        <w:noProof w:val="0"/>
      </w:rPr>
      <w:fldChar w:fldCharType="separate"/>
    </w:r>
    <w:r w:rsidR="009A60AC">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321E" w14:textId="77777777" w:rsidR="00257243" w:rsidRDefault="00257243" w:rsidP="005F100C">
      <w:pPr>
        <w:spacing w:after="0"/>
      </w:pPr>
      <w:r>
        <w:separator/>
      </w:r>
    </w:p>
  </w:footnote>
  <w:footnote w:type="continuationSeparator" w:id="0">
    <w:p w14:paraId="5CDC52F3" w14:textId="77777777" w:rsidR="00257243" w:rsidRDefault="00257243" w:rsidP="005F100C">
      <w:pPr>
        <w:spacing w:after="0"/>
      </w:pPr>
      <w:r>
        <w:continuationSeparator/>
      </w:r>
    </w:p>
  </w:footnote>
  <w:footnote w:type="continuationNotice" w:id="1">
    <w:p w14:paraId="0EA90323" w14:textId="77777777" w:rsidR="00257243" w:rsidRDefault="00257243">
      <w:pPr>
        <w:spacing w:before="0" w:after="0"/>
      </w:pPr>
    </w:p>
  </w:footnote>
  <w:footnote w:id="2">
    <w:p w14:paraId="1EB6630F" w14:textId="0055771E" w:rsidR="000D7C56" w:rsidRPr="007D2F9B" w:rsidRDefault="000D7C56" w:rsidP="007D2F9B">
      <w:pPr>
        <w:pStyle w:val="FootnoteText"/>
      </w:pPr>
      <w:r w:rsidRPr="477F28C1">
        <w:rPr>
          <w:rStyle w:val="FootnoteReference"/>
          <w:sz w:val="20"/>
          <w:vertAlign w:val="baseline"/>
        </w:rPr>
        <w:footnoteRef/>
      </w:r>
      <w:r w:rsidR="477F28C1" w:rsidRPr="007D2F9B">
        <w:t xml:space="preserve"> </w:t>
      </w:r>
      <w:r w:rsidRPr="007D2F9B">
        <w:tab/>
      </w:r>
      <w:r w:rsidR="477F28C1" w:rsidRPr="007D2F9B">
        <w:t>This work was completed through contributions of resources from Treasury</w:t>
      </w:r>
      <w:r w:rsidR="477F28C1">
        <w:t>’</w:t>
      </w:r>
      <w:r w:rsidR="477F28C1" w:rsidRPr="007D2F9B">
        <w:t>s Macroeconomic Group and the Reserve Bank of Australia</w:t>
      </w:r>
      <w:r w:rsidR="477F28C1">
        <w:t>’</w:t>
      </w:r>
      <w:r w:rsidR="477F28C1" w:rsidRPr="007D2F9B">
        <w:t xml:space="preserve">s Economic Research Department. It </w:t>
      </w:r>
      <w:r w:rsidR="477F28C1">
        <w:t>is also being released as RBA Research Discussion Paper No 2023-02</w:t>
      </w:r>
      <w:r w:rsidR="477F28C1" w:rsidRPr="007D2F9B">
        <w:t xml:space="preserve">. Correspondence: </w:t>
      </w:r>
      <w:hyperlink r:id="rId1" w:history="1">
        <w:r w:rsidR="477F28C1" w:rsidRPr="007D2F9B">
          <w:rPr>
            <w:rStyle w:val="Hyperlink"/>
          </w:rPr>
          <w:t>Jonathan.Hambur@treasury.gov.au</w:t>
        </w:r>
      </w:hyperlink>
      <w:r w:rsidR="477F28C1">
        <w:rPr>
          <w:rStyle w:val="Hyperlink"/>
        </w:rPr>
        <w:t xml:space="preserve"> </w:t>
      </w:r>
      <w:r w:rsidR="477F28C1" w:rsidRPr="008E63D6">
        <w:t xml:space="preserve">or </w:t>
      </w:r>
      <w:r w:rsidR="477F28C1">
        <w:rPr>
          <w:rStyle w:val="Hyperlink"/>
        </w:rPr>
        <w:t>hamburj@rba.gov.au</w:t>
      </w:r>
      <w:r w:rsidR="477F28C1" w:rsidRPr="007D2F9B">
        <w:t>. I would like to thank Cyrille Schwellnus, Dan Andrews, Jeff Borland, Sephorah</w:t>
      </w:r>
      <w:r w:rsidR="00561AD3">
        <w:t> </w:t>
      </w:r>
      <w:r w:rsidR="477F28C1" w:rsidRPr="007D2F9B">
        <w:t>Mangin, and seminar participants at the RBA, RBA Quantitative Macro Workshop, OECD, Treasury and ATO ALIFE Conference for their helpful comments.</w:t>
      </w:r>
      <w:r w:rsidR="00963AC3" w:rsidRPr="00963AC3">
        <w:t xml:space="preserve"> </w:t>
      </w:r>
      <w:r w:rsidR="00963AC3" w:rsidRPr="007D2F9B">
        <w:t>The views expressed in this paper are those of the authors and do not necessarily reflect those of The Australian Treasury, the Reserve Bank of Australia or the Australian Government.</w:t>
      </w:r>
    </w:p>
  </w:footnote>
  <w:footnote w:id="3">
    <w:p w14:paraId="2A4A58BA" w14:textId="65D5A6CD" w:rsidR="000D7C56" w:rsidRPr="00CC13EF" w:rsidRDefault="000D7C56" w:rsidP="00CC13EF">
      <w:pPr>
        <w:pStyle w:val="FootnoteText"/>
      </w:pPr>
      <w:r w:rsidRPr="00CC13EF">
        <w:rPr>
          <w:rStyle w:val="FootnoteReference"/>
          <w:sz w:val="20"/>
          <w:vertAlign w:val="baseline"/>
        </w:rPr>
        <w:footnoteRef/>
      </w:r>
      <w:r w:rsidRPr="00CC13EF">
        <w:t xml:space="preserve"> </w:t>
      </w:r>
      <w:r>
        <w:tab/>
      </w:r>
      <w:r w:rsidRPr="00CC13EF">
        <w:t>More precisely, it reflects the elasticity of the labour supply curve facing the firm. If the curve is not perfectly elastic, the firm can offer a lower wage whilst still attracting some workers.</w:t>
      </w:r>
    </w:p>
  </w:footnote>
  <w:footnote w:id="4">
    <w:p w14:paraId="013A9278" w14:textId="5643BEC2" w:rsidR="000D7C56" w:rsidRPr="007D2F9B" w:rsidRDefault="000D7C56" w:rsidP="007D2F9B">
      <w:pPr>
        <w:pStyle w:val="FootnoteText"/>
      </w:pPr>
      <w:r w:rsidRPr="007D2F9B">
        <w:rPr>
          <w:rStyle w:val="FootnoteReference"/>
          <w:sz w:val="20"/>
          <w:vertAlign w:val="baseline"/>
        </w:rPr>
        <w:footnoteRef/>
      </w:r>
      <w:r>
        <w:t xml:space="preserve"> </w:t>
      </w:r>
      <w:r>
        <w:tab/>
      </w:r>
      <w:r w:rsidRPr="007D2F9B">
        <w:t>For a more detailed literature review, see Manning (202</w:t>
      </w:r>
      <w:r w:rsidR="00BA74C2">
        <w:t>1</w:t>
      </w:r>
      <w:r w:rsidRPr="007D2F9B">
        <w:t>).</w:t>
      </w:r>
    </w:p>
  </w:footnote>
  <w:footnote w:id="5">
    <w:p w14:paraId="3F11B03A" w14:textId="327BA2FB" w:rsidR="000D7C56" w:rsidRDefault="000D7C56" w:rsidP="007D2F9B">
      <w:pPr>
        <w:pStyle w:val="FootnoteText"/>
      </w:pPr>
      <w:r w:rsidRPr="007D2F9B">
        <w:rPr>
          <w:rStyle w:val="FootnoteReference"/>
          <w:sz w:val="20"/>
          <w:vertAlign w:val="baseline"/>
        </w:rPr>
        <w:footnoteRef/>
      </w:r>
      <w:r w:rsidRPr="007D2F9B">
        <w:t xml:space="preserve"> </w:t>
      </w:r>
      <w:r>
        <w:tab/>
      </w:r>
      <w:r w:rsidRPr="007D2F9B">
        <w:t>Berger et al (202</w:t>
      </w:r>
      <w:r w:rsidR="00BA74C2">
        <w:t>1</w:t>
      </w:r>
      <w:r w:rsidRPr="007D2F9B">
        <w:t>) derive a general equilibrium model with finite firms and inelastic labour supply across and within firms, which leads to similar conclusions.</w:t>
      </w:r>
    </w:p>
  </w:footnote>
  <w:footnote w:id="6">
    <w:p w14:paraId="24A28879" w14:textId="6D0356AA" w:rsidR="000D7C56" w:rsidRPr="00A1085F" w:rsidRDefault="000D7C56" w:rsidP="00A1085F">
      <w:pPr>
        <w:pStyle w:val="FootnoteText"/>
      </w:pPr>
      <w:r w:rsidRPr="00A1085F">
        <w:rPr>
          <w:rStyle w:val="FootnoteReference"/>
          <w:sz w:val="20"/>
          <w:vertAlign w:val="baseline"/>
        </w:rPr>
        <w:footnoteRef/>
      </w:r>
      <w:r w:rsidRPr="00A1085F">
        <w:t xml:space="preserve"> </w:t>
      </w:r>
      <w:r>
        <w:tab/>
      </w:r>
      <w:r w:rsidRPr="00A1085F">
        <w:t>An extension would be to use data</w:t>
      </w:r>
      <w:r w:rsidR="00623142">
        <w:t>-</w:t>
      </w:r>
      <w:r w:rsidRPr="00A1085F">
        <w:t>driven industry groupings based on flows as in Jarosch et al (2019).</w:t>
      </w:r>
    </w:p>
  </w:footnote>
  <w:footnote w:id="7">
    <w:p w14:paraId="0A5A6260" w14:textId="0CC41270" w:rsidR="000D7C56" w:rsidRPr="00A1085F" w:rsidRDefault="000D7C56" w:rsidP="00A1085F">
      <w:pPr>
        <w:pStyle w:val="FootnoteText"/>
      </w:pPr>
      <w:r w:rsidRPr="00A1085F">
        <w:rPr>
          <w:rStyle w:val="FootnoteReference"/>
          <w:sz w:val="20"/>
          <w:vertAlign w:val="baseline"/>
        </w:rPr>
        <w:footnoteRef/>
      </w:r>
      <w:r w:rsidRPr="00A1085F">
        <w:t xml:space="preserve"> </w:t>
      </w:r>
      <w:r>
        <w:tab/>
      </w:r>
      <w:r w:rsidRPr="00A1085F">
        <w:t>Where firms have complex tax reporting structures</w:t>
      </w:r>
      <w:r w:rsidR="00197DF0">
        <w:t>,</w:t>
      </w:r>
      <w:r w:rsidRPr="00A1085F">
        <w:t xml:space="preserve"> I collapse them down to a single reporting unit.</w:t>
      </w:r>
    </w:p>
  </w:footnote>
  <w:footnote w:id="8">
    <w:p w14:paraId="487CBD3D" w14:textId="3DBAC177" w:rsidR="000D7C56" w:rsidRPr="006B62FB" w:rsidRDefault="000D7C56" w:rsidP="006B62FB">
      <w:pPr>
        <w:pStyle w:val="FootnoteText"/>
      </w:pPr>
      <w:r w:rsidRPr="006B62FB">
        <w:rPr>
          <w:rStyle w:val="FootnoteReference"/>
          <w:sz w:val="20"/>
          <w:vertAlign w:val="baseline"/>
        </w:rPr>
        <w:footnoteRef/>
      </w:r>
      <w:r w:rsidRPr="006B62FB">
        <w:t xml:space="preserve"> </w:t>
      </w:r>
      <w:r>
        <w:tab/>
      </w:r>
      <w:r w:rsidRPr="006B62FB">
        <w:t>Some caution should be taken in interpreting the mining results, given the use of fly</w:t>
      </w:r>
      <w:r>
        <w:noBreakHyphen/>
      </w:r>
      <w:r w:rsidRPr="006B62FB">
        <w:t>in</w:t>
      </w:r>
      <w:r w:rsidR="008C4174">
        <w:t xml:space="preserve">, </w:t>
      </w:r>
      <w:r w:rsidRPr="006B62FB">
        <w:t>fly</w:t>
      </w:r>
      <w:r>
        <w:noBreakHyphen/>
      </w:r>
      <w:r w:rsidRPr="006B62FB">
        <w:t>out (FIFO) workers. Results for construction may also be affected by the prevalence of contractors who will not be recorded as employees.</w:t>
      </w:r>
    </w:p>
  </w:footnote>
  <w:footnote w:id="9">
    <w:p w14:paraId="7474A81F" w14:textId="1F608990" w:rsidR="000D7C56" w:rsidRPr="006B62FB" w:rsidRDefault="000D7C56" w:rsidP="006B62FB">
      <w:pPr>
        <w:pStyle w:val="FootnoteText"/>
      </w:pPr>
      <w:r w:rsidRPr="006B62FB">
        <w:rPr>
          <w:rStyle w:val="FootnoteReference"/>
          <w:sz w:val="20"/>
          <w:vertAlign w:val="baseline"/>
        </w:rPr>
        <w:footnoteRef/>
      </w:r>
      <w:r w:rsidRPr="006B62FB">
        <w:t xml:space="preserve"> </w:t>
      </w:r>
      <w:r>
        <w:tab/>
      </w:r>
      <w:r w:rsidRPr="006B62FB">
        <w:t>Search and match models such as Schubert et al (2021) also often reduce to such a characterisation.</w:t>
      </w:r>
    </w:p>
  </w:footnote>
  <w:footnote w:id="10">
    <w:p w14:paraId="3A629ABC" w14:textId="14D2AB1E" w:rsidR="000D7C56" w:rsidRDefault="000D7C56" w:rsidP="00DB3BC5">
      <w:pPr>
        <w:pStyle w:val="FootnoteText"/>
      </w:pPr>
      <w:r w:rsidRPr="00B3242F">
        <w:rPr>
          <w:rStyle w:val="FootnoteReference"/>
          <w:vertAlign w:val="baseline"/>
        </w:rPr>
        <w:footnoteRef/>
      </w:r>
      <w:r>
        <w:t xml:space="preserve"> </w:t>
      </w:r>
      <w:r>
        <w:tab/>
        <w:t>Results are also robust to using the lagged HHI to abstract from contemporaneous shocks. See Appendix B.</w:t>
      </w:r>
      <w:r w:rsidRPr="00AA693E">
        <w:rPr>
          <w:rFonts w:eastAsiaTheme="minorEastAsia"/>
        </w:rPr>
        <w:t xml:space="preserve"> </w:t>
      </w:r>
      <w:r>
        <w:rPr>
          <w:rFonts w:eastAsiaTheme="minorEastAsia"/>
        </w:rPr>
        <w:t>Another approach would be to try to instrument using some ‘direct’ measure of changes in competition, such as mergers. Howev</w:t>
      </w:r>
      <w:r w:rsidR="00BA74C2">
        <w:rPr>
          <w:rFonts w:eastAsiaTheme="minorEastAsia"/>
        </w:rPr>
        <w:t>er</w:t>
      </w:r>
      <w:r w:rsidR="007229FD">
        <w:rPr>
          <w:rFonts w:eastAsiaTheme="minorEastAsia"/>
        </w:rPr>
        <w:t>,</w:t>
      </w:r>
      <w:r w:rsidR="00BA74C2">
        <w:rPr>
          <w:rFonts w:eastAsiaTheme="minorEastAsia"/>
        </w:rPr>
        <w:t xml:space="preserve"> such data are not available.</w:t>
      </w:r>
    </w:p>
  </w:footnote>
  <w:footnote w:id="11">
    <w:p w14:paraId="73D6E04E" w14:textId="3D475639" w:rsidR="000D7C56" w:rsidRPr="00DB3BC5" w:rsidRDefault="000D7C56" w:rsidP="00DB3BC5">
      <w:pPr>
        <w:pStyle w:val="FootnoteText"/>
      </w:pPr>
      <w:r w:rsidRPr="00DB3BC5">
        <w:rPr>
          <w:rStyle w:val="FootnoteReference"/>
          <w:sz w:val="20"/>
          <w:vertAlign w:val="baseline"/>
        </w:rPr>
        <w:footnoteRef/>
      </w:r>
      <w:r w:rsidRPr="00DB3BC5">
        <w:t xml:space="preserve"> </w:t>
      </w:r>
      <w:r>
        <w:tab/>
      </w:r>
      <w:r w:rsidRPr="00DB3BC5">
        <w:t>These results are robust to changing the period definition. Note market fixed effects are not allowed to differ across samples, so variation in wages and HHI across sample periods is allowed to affect the results. So</w:t>
      </w:r>
      <w:r w:rsidR="00481B0D">
        <w:t>,</w:t>
      </w:r>
      <w:r w:rsidRPr="00DB3BC5">
        <w:t xml:space="preserve"> we are in some senses identifying based both on whether changes in HHIs in the later samples had a larger impact on wages, as well as whether markdowns became relatively larger in more concentrated markets across the periods. Allowing the market fixed effects to vary and focusing on the former would be a stricter test but is not feasible due to the short sample period. Moreover, the latter aspect is also of relevance, particularly in thinking about the macro impact of the change.</w:t>
      </w:r>
    </w:p>
  </w:footnote>
  <w:footnote w:id="12">
    <w:p w14:paraId="15681184" w14:textId="1717CB01" w:rsidR="000D7C56" w:rsidRPr="00CC13EF" w:rsidRDefault="000D7C56" w:rsidP="00CC13EF">
      <w:pPr>
        <w:pStyle w:val="FootnoteText"/>
      </w:pPr>
      <w:r w:rsidRPr="00CC13EF">
        <w:rPr>
          <w:rStyle w:val="FootnoteReference"/>
          <w:sz w:val="20"/>
          <w:vertAlign w:val="baseline"/>
        </w:rPr>
        <w:footnoteRef/>
      </w:r>
      <w:r w:rsidRPr="00CC13EF">
        <w:t xml:space="preserve"> </w:t>
      </w:r>
      <w:r>
        <w:tab/>
      </w:r>
      <w:r w:rsidRPr="00CC13EF">
        <w:t>Excluding the mining sector does not impact the results. As such, it does not appear that the inclusion of the mining boom in the initial period is directly accounting for the results.</w:t>
      </w:r>
    </w:p>
  </w:footnote>
  <w:footnote w:id="13">
    <w:p w14:paraId="5474AE1F" w14:textId="55F8A0C0" w:rsidR="000D7C56" w:rsidRPr="0097631A" w:rsidRDefault="000D7C56" w:rsidP="0097631A">
      <w:pPr>
        <w:pStyle w:val="FootnoteText"/>
      </w:pPr>
      <w:r w:rsidRPr="0097631A">
        <w:rPr>
          <w:rStyle w:val="FootnoteReference"/>
          <w:sz w:val="20"/>
          <w:vertAlign w:val="baseline"/>
        </w:rPr>
        <w:footnoteRef/>
      </w:r>
      <w:r w:rsidRPr="0097631A">
        <w:t xml:space="preserve"> </w:t>
      </w:r>
      <w:r>
        <w:tab/>
      </w:r>
      <w:r w:rsidRPr="0097631A">
        <w:t>Note that due to the inclusion of location by time</w:t>
      </w:r>
      <w:r w:rsidR="004E62E4">
        <w:t>-</w:t>
      </w:r>
      <w:r w:rsidRPr="0097631A">
        <w:t>fixed effects in the regression, we are identifying whether wages increase more in industries where wages in closely linked industries rose relatively more. This makes it difficult to use this set</w:t>
      </w:r>
      <w:r>
        <w:noBreakHyphen/>
      </w:r>
      <w:r w:rsidRPr="0097631A">
        <w:t>up to understand macroeconomic implications, rather than simply examining the mechanism. For example, taken at face value, if the outside option becomes less important, this could help workers with poor outside options.</w:t>
      </w:r>
    </w:p>
  </w:footnote>
  <w:footnote w:id="14">
    <w:p w14:paraId="1B48CBCE" w14:textId="25808C2C" w:rsidR="000D7C56" w:rsidRPr="004179A0" w:rsidRDefault="000D7C56" w:rsidP="004179A0">
      <w:pPr>
        <w:pStyle w:val="FootnoteText"/>
      </w:pPr>
      <w:r w:rsidRPr="004179A0">
        <w:rPr>
          <w:rStyle w:val="FootnoteReference"/>
          <w:sz w:val="20"/>
          <w:vertAlign w:val="baseline"/>
        </w:rPr>
        <w:footnoteRef/>
      </w:r>
      <w:r w:rsidRPr="004179A0">
        <w:t xml:space="preserve"> </w:t>
      </w:r>
      <w:r>
        <w:tab/>
      </w:r>
      <w:r w:rsidRPr="004179A0">
        <w:t>These results are robust to using different methods for calculating entry rates that are more robust to outliers, and using measures of churn, rather than entry (results available on request)</w:t>
      </w:r>
      <w:r w:rsidR="009A60AC">
        <w:t>.</w:t>
      </w:r>
    </w:p>
  </w:footnote>
  <w:footnote w:id="15">
    <w:p w14:paraId="52BF70EE" w14:textId="127EE6FD" w:rsidR="000D7C56" w:rsidRPr="00871B7E" w:rsidRDefault="000D7C56" w:rsidP="00871B7E">
      <w:pPr>
        <w:pStyle w:val="FootnoteText"/>
      </w:pPr>
      <w:r w:rsidRPr="00871B7E">
        <w:rPr>
          <w:rStyle w:val="FootnoteReference"/>
          <w:sz w:val="20"/>
          <w:vertAlign w:val="baseline"/>
        </w:rPr>
        <w:footnoteRef/>
      </w:r>
      <w:r w:rsidRPr="00871B7E">
        <w:t xml:space="preserve"> </w:t>
      </w:r>
      <w:r>
        <w:tab/>
      </w:r>
      <w:r w:rsidRPr="00871B7E">
        <w:t>Results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090E" w14:textId="2784B976" w:rsidR="000D7C56" w:rsidRDefault="000D7C56">
    <w:pPr>
      <w:pStyle w:val="Header"/>
    </w:pPr>
    <w:r>
      <w:rPr>
        <w:noProof/>
      </w:rPr>
      <w:drawing>
        <wp:anchor distT="0" distB="0" distL="114300" distR="114300" simplePos="0" relativeHeight="251658244" behindDoc="0" locked="1" layoutInCell="1" allowOverlap="1" wp14:anchorId="29CBB218" wp14:editId="32AC8E79">
          <wp:simplePos x="0" y="0"/>
          <wp:positionH relativeFrom="page">
            <wp:align>left</wp:align>
          </wp:positionH>
          <wp:positionV relativeFrom="page">
            <wp:align>top</wp:align>
          </wp:positionV>
          <wp:extent cx="7570470" cy="10439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BAB6" w14:textId="717CD987" w:rsidR="000D7C56" w:rsidRPr="00F012EA" w:rsidRDefault="000D7C56" w:rsidP="00F012EA">
    <w:pPr>
      <w:pStyle w:val="Header"/>
    </w:pPr>
    <w:r>
      <w:rPr>
        <w:noProof/>
      </w:rPr>
      <w:drawing>
        <wp:anchor distT="0" distB="0" distL="114300" distR="114300" simplePos="0" relativeHeight="251658240" behindDoc="1" locked="0" layoutInCell="1" allowOverlap="1" wp14:anchorId="095D70CD" wp14:editId="0AF6E6F5">
          <wp:simplePos x="0" y="0"/>
          <wp:positionH relativeFrom="page">
            <wp:align>center</wp:align>
          </wp:positionH>
          <wp:positionV relativeFrom="page">
            <wp:align>top</wp:align>
          </wp:positionV>
          <wp:extent cx="7578000" cy="1515600"/>
          <wp:effectExtent l="0" t="0" r="4445"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B72C" w14:textId="77777777" w:rsidR="000D7C56" w:rsidRPr="00F012EA" w:rsidRDefault="000D7C56" w:rsidP="00F01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07FB" w14:textId="6E43A197" w:rsidR="000D7C56" w:rsidRPr="002C6266" w:rsidRDefault="000D7C56" w:rsidP="00E35F22">
    <w:pPr>
      <w:pStyle w:val="Header"/>
    </w:pPr>
    <w:r>
      <w:rPr>
        <w:noProof/>
      </w:rPr>
      <w:drawing>
        <wp:anchor distT="0" distB="0" distL="114300" distR="114300" simplePos="0" relativeHeight="251658243" behindDoc="0" locked="1" layoutInCell="1" allowOverlap="1" wp14:anchorId="339B0E19" wp14:editId="40E0EF81">
          <wp:simplePos x="0" y="0"/>
          <wp:positionH relativeFrom="page">
            <wp:align>right</wp:align>
          </wp:positionH>
          <wp:positionV relativeFrom="page">
            <wp:align>top</wp:align>
          </wp:positionV>
          <wp:extent cx="7570470" cy="1043940"/>
          <wp:effectExtent l="0" t="0" r="0" b="381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AD6A5182"/>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Theme="majorHAnsi" w:hAnsiTheme="majorHAnsi" w:cs="Arial" w:hint="default"/>
        <w:b w:val="0"/>
        <w:bCs/>
        <w:i w:val="0"/>
        <w:color w:val="003157"/>
      </w:rPr>
    </w:lvl>
    <w:lvl w:ilvl="2">
      <w:start w:val="1"/>
      <w:numFmt w:val="decimal"/>
      <w:pStyle w:val="AppendixHeadingLevel3"/>
      <w:lvlText w:val="%1.%2.%3"/>
      <w:lvlJc w:val="left"/>
      <w:pPr>
        <w:tabs>
          <w:tab w:val="num" w:pos="1134"/>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Level4"/>
      <w:lvlText w:val="%1.%2.%3.%4"/>
      <w:lvlJc w:val="left"/>
      <w:pPr>
        <w:tabs>
          <w:tab w:val="num" w:pos="1135"/>
        </w:tabs>
        <w:ind w:left="1" w:hanging="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0E5E3D"/>
    <w:multiLevelType w:val="hybridMultilevel"/>
    <w:tmpl w:val="0AC47B80"/>
    <w:lvl w:ilvl="0" w:tplc="8AC89FFC">
      <w:start w:val="1"/>
      <w:numFmt w:val="bullet"/>
      <w:lvlText w:val="–"/>
      <w:lvlJc w:val="left"/>
      <w:pPr>
        <w:tabs>
          <w:tab w:val="num" w:pos="720"/>
        </w:tabs>
        <w:ind w:left="720" w:hanging="360"/>
      </w:pPr>
      <w:rPr>
        <w:rFonts w:ascii="Arial" w:hAnsi="Arial" w:hint="default"/>
      </w:rPr>
    </w:lvl>
    <w:lvl w:ilvl="1" w:tplc="BE7C5602">
      <w:start w:val="1"/>
      <w:numFmt w:val="bullet"/>
      <w:lvlText w:val="–"/>
      <w:lvlJc w:val="left"/>
      <w:pPr>
        <w:tabs>
          <w:tab w:val="num" w:pos="1440"/>
        </w:tabs>
        <w:ind w:left="1440" w:hanging="360"/>
      </w:pPr>
      <w:rPr>
        <w:rFonts w:ascii="Arial" w:hAnsi="Arial" w:hint="default"/>
      </w:rPr>
    </w:lvl>
    <w:lvl w:ilvl="2" w:tplc="DF00C1DC">
      <w:start w:val="84"/>
      <w:numFmt w:val="bullet"/>
      <w:lvlText w:val="•"/>
      <w:lvlJc w:val="left"/>
      <w:pPr>
        <w:tabs>
          <w:tab w:val="num" w:pos="2160"/>
        </w:tabs>
        <w:ind w:left="2160" w:hanging="360"/>
      </w:pPr>
      <w:rPr>
        <w:rFonts w:ascii="Arial" w:hAnsi="Arial" w:hint="default"/>
      </w:rPr>
    </w:lvl>
    <w:lvl w:ilvl="3" w:tplc="97286DC6" w:tentative="1">
      <w:start w:val="1"/>
      <w:numFmt w:val="bullet"/>
      <w:lvlText w:val="–"/>
      <w:lvlJc w:val="left"/>
      <w:pPr>
        <w:tabs>
          <w:tab w:val="num" w:pos="2880"/>
        </w:tabs>
        <w:ind w:left="2880" w:hanging="360"/>
      </w:pPr>
      <w:rPr>
        <w:rFonts w:ascii="Arial" w:hAnsi="Arial" w:hint="default"/>
      </w:rPr>
    </w:lvl>
    <w:lvl w:ilvl="4" w:tplc="AE7C4158" w:tentative="1">
      <w:start w:val="1"/>
      <w:numFmt w:val="bullet"/>
      <w:lvlText w:val="–"/>
      <w:lvlJc w:val="left"/>
      <w:pPr>
        <w:tabs>
          <w:tab w:val="num" w:pos="3600"/>
        </w:tabs>
        <w:ind w:left="3600" w:hanging="360"/>
      </w:pPr>
      <w:rPr>
        <w:rFonts w:ascii="Arial" w:hAnsi="Arial" w:hint="default"/>
      </w:rPr>
    </w:lvl>
    <w:lvl w:ilvl="5" w:tplc="2A78A192" w:tentative="1">
      <w:start w:val="1"/>
      <w:numFmt w:val="bullet"/>
      <w:lvlText w:val="–"/>
      <w:lvlJc w:val="left"/>
      <w:pPr>
        <w:tabs>
          <w:tab w:val="num" w:pos="4320"/>
        </w:tabs>
        <w:ind w:left="4320" w:hanging="360"/>
      </w:pPr>
      <w:rPr>
        <w:rFonts w:ascii="Arial" w:hAnsi="Arial" w:hint="default"/>
      </w:rPr>
    </w:lvl>
    <w:lvl w:ilvl="6" w:tplc="D8246C72" w:tentative="1">
      <w:start w:val="1"/>
      <w:numFmt w:val="bullet"/>
      <w:lvlText w:val="–"/>
      <w:lvlJc w:val="left"/>
      <w:pPr>
        <w:tabs>
          <w:tab w:val="num" w:pos="5040"/>
        </w:tabs>
        <w:ind w:left="5040" w:hanging="360"/>
      </w:pPr>
      <w:rPr>
        <w:rFonts w:ascii="Arial" w:hAnsi="Arial" w:hint="default"/>
      </w:rPr>
    </w:lvl>
    <w:lvl w:ilvl="7" w:tplc="C43CACE4" w:tentative="1">
      <w:start w:val="1"/>
      <w:numFmt w:val="bullet"/>
      <w:lvlText w:val="–"/>
      <w:lvlJc w:val="left"/>
      <w:pPr>
        <w:tabs>
          <w:tab w:val="num" w:pos="5760"/>
        </w:tabs>
        <w:ind w:left="5760" w:hanging="360"/>
      </w:pPr>
      <w:rPr>
        <w:rFonts w:ascii="Arial" w:hAnsi="Arial" w:hint="default"/>
      </w:rPr>
    </w:lvl>
    <w:lvl w:ilvl="8" w:tplc="599AF8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0" w15:restartNumberingAfterBreak="0">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AB476BF"/>
    <w:multiLevelType w:val="hybridMultilevel"/>
    <w:tmpl w:val="87D6B698"/>
    <w:lvl w:ilvl="0" w:tplc="3FCA993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6" w15:restartNumberingAfterBreak="0">
    <w:nsid w:val="2E676638"/>
    <w:multiLevelType w:val="multilevel"/>
    <w:tmpl w:val="51C2DD9C"/>
    <w:lvl w:ilvl="0">
      <w:start w:val="1"/>
      <w:numFmt w:val="bullet"/>
      <w:lvlText w:val="•"/>
      <w:lvlJc w:val="left"/>
      <w:pPr>
        <w:tabs>
          <w:tab w:val="num" w:pos="614"/>
        </w:tabs>
        <w:ind w:left="284" w:hanging="284"/>
      </w:pPr>
      <w:rPr>
        <w:rFonts w:ascii="Times New Roman" w:hAnsi="Times New Roman" w:cs="Times New Roman" w:hint="default"/>
      </w:rPr>
    </w:lvl>
    <w:lvl w:ilvl="1">
      <w:start w:val="1"/>
      <w:numFmt w:val="bullet"/>
      <w:lvlText w:val="–"/>
      <w:lvlJc w:val="left"/>
      <w:pPr>
        <w:tabs>
          <w:tab w:val="num" w:pos="898"/>
        </w:tabs>
        <w:ind w:left="568" w:hanging="284"/>
      </w:pPr>
      <w:rPr>
        <w:rFonts w:ascii="Times New Roman" w:hAnsi="Times New Roman" w:cs="Times New Roman" w:hint="default"/>
      </w:rPr>
    </w:lvl>
    <w:lvl w:ilvl="2">
      <w:start w:val="1"/>
      <w:numFmt w:val="bullet"/>
      <w:lvlText w:val=":"/>
      <w:lvlJc w:val="left"/>
      <w:pPr>
        <w:tabs>
          <w:tab w:val="num" w:pos="1182"/>
        </w:tabs>
        <w:ind w:left="852" w:hanging="284"/>
      </w:pPr>
      <w:rPr>
        <w:rFonts w:ascii="Times New Roman" w:hAnsi="Times New Roman" w:cs="Times New Roman" w:hint="default"/>
      </w:rPr>
    </w:lvl>
    <w:lvl w:ilvl="3">
      <w:start w:val="1"/>
      <w:numFmt w:val="decimal"/>
      <w:lvlText w:val="(%4)"/>
      <w:lvlJc w:val="left"/>
      <w:pPr>
        <w:tabs>
          <w:tab w:val="num" w:pos="1466"/>
        </w:tabs>
        <w:ind w:left="1136" w:hanging="284"/>
      </w:pPr>
      <w:rPr>
        <w:rFonts w:hint="default"/>
      </w:rPr>
    </w:lvl>
    <w:lvl w:ilvl="4">
      <w:start w:val="1"/>
      <w:numFmt w:val="lowerLetter"/>
      <w:lvlText w:val="(%5)"/>
      <w:lvlJc w:val="left"/>
      <w:pPr>
        <w:tabs>
          <w:tab w:val="num" w:pos="1750"/>
        </w:tabs>
        <w:ind w:left="1420" w:hanging="284"/>
      </w:pPr>
      <w:rPr>
        <w:rFonts w:hint="default"/>
      </w:rPr>
    </w:lvl>
    <w:lvl w:ilvl="5">
      <w:start w:val="1"/>
      <w:numFmt w:val="lowerRoman"/>
      <w:lvlText w:val="(%6)"/>
      <w:lvlJc w:val="left"/>
      <w:pPr>
        <w:tabs>
          <w:tab w:val="num" w:pos="2034"/>
        </w:tabs>
        <w:ind w:left="1704" w:hanging="284"/>
      </w:pPr>
      <w:rPr>
        <w:rFonts w:hint="default"/>
      </w:rPr>
    </w:lvl>
    <w:lvl w:ilvl="6">
      <w:start w:val="1"/>
      <w:numFmt w:val="decimal"/>
      <w:lvlText w:val="%7."/>
      <w:lvlJc w:val="left"/>
      <w:pPr>
        <w:tabs>
          <w:tab w:val="num" w:pos="2318"/>
        </w:tabs>
        <w:ind w:left="1988" w:hanging="284"/>
      </w:pPr>
      <w:rPr>
        <w:rFonts w:hint="default"/>
      </w:rPr>
    </w:lvl>
    <w:lvl w:ilvl="7">
      <w:start w:val="1"/>
      <w:numFmt w:val="lowerLetter"/>
      <w:lvlText w:val="%8."/>
      <w:lvlJc w:val="left"/>
      <w:pPr>
        <w:tabs>
          <w:tab w:val="num" w:pos="2602"/>
        </w:tabs>
        <w:ind w:left="2272" w:hanging="284"/>
      </w:pPr>
      <w:rPr>
        <w:rFonts w:hint="default"/>
      </w:rPr>
    </w:lvl>
    <w:lvl w:ilvl="8">
      <w:start w:val="1"/>
      <w:numFmt w:val="lowerRoman"/>
      <w:lvlText w:val="%9."/>
      <w:lvlJc w:val="left"/>
      <w:pPr>
        <w:tabs>
          <w:tab w:val="num" w:pos="2886"/>
        </w:tabs>
        <w:ind w:left="2556" w:hanging="284"/>
      </w:pPr>
      <w:rPr>
        <w:rFonts w:hint="default"/>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2"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45B0A7E"/>
    <w:multiLevelType w:val="multilevel"/>
    <w:tmpl w:val="EDEE4FB6"/>
    <w:numStyleLink w:val="RecommendationBulletList"/>
  </w:abstractNum>
  <w:abstractNum w:abstractNumId="24"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10D2021"/>
    <w:multiLevelType w:val="multilevel"/>
    <w:tmpl w:val="72F8140E"/>
    <w:numStyleLink w:val="OutlineList"/>
  </w:abstractNum>
  <w:abstractNum w:abstractNumId="28" w15:restartNumberingAfterBreak="0">
    <w:nsid w:val="53B749E5"/>
    <w:multiLevelType w:val="hybridMultilevel"/>
    <w:tmpl w:val="38A434E4"/>
    <w:lvl w:ilvl="0" w:tplc="353821F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5F73129"/>
    <w:multiLevelType w:val="multilevel"/>
    <w:tmpl w:val="D9A8A212"/>
    <w:numStyleLink w:val="RomanNumeralList"/>
  </w:abstractNum>
  <w:abstractNum w:abstractNumId="31"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3"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022277"/>
    <w:multiLevelType w:val="singleLevel"/>
    <w:tmpl w:val="9ECEC236"/>
    <w:name w:val="AlphaChartTableFootnoteList"/>
    <w:lvl w:ilvl="0">
      <w:start w:val="1"/>
      <w:numFmt w:val="lowerLetter"/>
      <w:lvlText w:val="(%1)"/>
      <w:lvlJc w:val="left"/>
      <w:pPr>
        <w:ind w:left="360" w:hanging="360"/>
      </w:pPr>
      <w:rPr>
        <w:rFonts w:ascii="Calibri" w:hAnsi="Calibri" w:cs="Arial" w:hint="default"/>
        <w:b w:val="0"/>
        <w:i w:val="0"/>
        <w:color w:val="000000"/>
        <w:sz w:val="20"/>
      </w:rPr>
    </w:lvl>
  </w:abstractNum>
  <w:abstractNum w:abstractNumId="35" w15:restartNumberingAfterBreak="0">
    <w:nsid w:val="6A5F7B24"/>
    <w:multiLevelType w:val="multilevel"/>
    <w:tmpl w:val="5420BD9A"/>
    <w:lvl w:ilvl="0">
      <w:start w:val="1"/>
      <w:numFmt w:val="decimal"/>
      <w:lvlRestart w:val="0"/>
      <w:lvlText w:val="%1."/>
      <w:lvlJc w:val="left"/>
      <w:pPr>
        <w:tabs>
          <w:tab w:val="num" w:pos="3402"/>
        </w:tabs>
        <w:ind w:left="2552" w:firstLine="0"/>
      </w:pPr>
      <w:rPr>
        <w:rFonts w:asciiTheme="majorHAnsi" w:hAnsiTheme="majorHAnsi" w:cstheme="majorHAnsi" w:hint="default"/>
        <w:b w:val="0"/>
        <w:bCs/>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6"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652367116">
    <w:abstractNumId w:val="17"/>
  </w:num>
  <w:num w:numId="2" w16cid:durableId="599290699">
    <w:abstractNumId w:val="24"/>
  </w:num>
  <w:num w:numId="3" w16cid:durableId="1046837058">
    <w:abstractNumId w:val="20"/>
  </w:num>
  <w:num w:numId="4" w16cid:durableId="887568929">
    <w:abstractNumId w:val="6"/>
  </w:num>
  <w:num w:numId="5" w16cid:durableId="43258766">
    <w:abstractNumId w:val="10"/>
  </w:num>
  <w:num w:numId="6" w16cid:durableId="1504126197">
    <w:abstractNumId w:val="4"/>
  </w:num>
  <w:num w:numId="7" w16cid:durableId="86463842">
    <w:abstractNumId w:val="7"/>
  </w:num>
  <w:num w:numId="8" w16cid:durableId="388117698">
    <w:abstractNumId w:val="27"/>
  </w:num>
  <w:num w:numId="9" w16cid:durableId="584265297">
    <w:abstractNumId w:val="23"/>
  </w:num>
  <w:num w:numId="10" w16cid:durableId="1786659507">
    <w:abstractNumId w:val="30"/>
  </w:num>
  <w:num w:numId="11" w16cid:durableId="1668749194">
    <w:abstractNumId w:val="29"/>
  </w:num>
  <w:num w:numId="12" w16cid:durableId="711153923">
    <w:abstractNumId w:val="11"/>
  </w:num>
  <w:num w:numId="13" w16cid:durableId="1648972994">
    <w:abstractNumId w:val="11"/>
  </w:num>
  <w:num w:numId="14" w16cid:durableId="1399742890">
    <w:abstractNumId w:val="22"/>
  </w:num>
  <w:num w:numId="15" w16cid:durableId="2075201098">
    <w:abstractNumId w:val="1"/>
  </w:num>
  <w:num w:numId="16" w16cid:durableId="1198004203">
    <w:abstractNumId w:val="34"/>
  </w:num>
  <w:num w:numId="17" w16cid:durableId="1301038988">
    <w:abstractNumId w:val="21"/>
  </w:num>
  <w:num w:numId="18" w16cid:durableId="597979589">
    <w:abstractNumId w:val="36"/>
  </w:num>
  <w:num w:numId="19" w16cid:durableId="1008404290">
    <w:abstractNumId w:val="3"/>
  </w:num>
  <w:num w:numId="20" w16cid:durableId="1765877866">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837750">
    <w:abstractNumId w:val="19"/>
  </w:num>
  <w:num w:numId="22" w16cid:durableId="1485076226">
    <w:abstractNumId w:val="17"/>
  </w:num>
  <w:num w:numId="23" w16cid:durableId="2086225595">
    <w:abstractNumId w:val="14"/>
  </w:num>
  <w:num w:numId="24" w16cid:durableId="205291253">
    <w:abstractNumId w:val="16"/>
  </w:num>
  <w:num w:numId="25" w16cid:durableId="1245335319">
    <w:abstractNumId w:val="35"/>
  </w:num>
  <w:num w:numId="26" w16cid:durableId="20278563">
    <w:abstractNumId w:val="41"/>
  </w:num>
  <w:num w:numId="27" w16cid:durableId="821237385">
    <w:abstractNumId w:val="26"/>
  </w:num>
  <w:num w:numId="28" w16cid:durableId="380178590">
    <w:abstractNumId w:val="15"/>
  </w:num>
  <w:num w:numId="29" w16cid:durableId="508788600">
    <w:abstractNumId w:val="31"/>
  </w:num>
  <w:num w:numId="30" w16cid:durableId="1718434354">
    <w:abstractNumId w:val="25"/>
  </w:num>
  <w:num w:numId="31" w16cid:durableId="744182710">
    <w:abstractNumId w:val="12"/>
  </w:num>
  <w:num w:numId="32" w16cid:durableId="1830125283">
    <w:abstractNumId w:val="37"/>
  </w:num>
  <w:num w:numId="33" w16cid:durableId="271522685">
    <w:abstractNumId w:val="9"/>
  </w:num>
  <w:num w:numId="34" w16cid:durableId="1553156331">
    <w:abstractNumId w:val="18"/>
  </w:num>
  <w:num w:numId="35" w16cid:durableId="898980901">
    <w:abstractNumId w:val="32"/>
  </w:num>
  <w:num w:numId="36" w16cid:durableId="849491841">
    <w:abstractNumId w:val="13"/>
  </w:num>
  <w:num w:numId="37" w16cid:durableId="1921909105">
    <w:abstractNumId w:val="39"/>
  </w:num>
  <w:num w:numId="38" w16cid:durableId="1872112410">
    <w:abstractNumId w:val="33"/>
  </w:num>
  <w:num w:numId="39" w16cid:durableId="611786093">
    <w:abstractNumId w:val="8"/>
  </w:num>
  <w:num w:numId="40" w16cid:durableId="1561551500">
    <w:abstractNumId w:val="2"/>
  </w:num>
  <w:num w:numId="41" w16cid:durableId="4437695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4513536">
    <w:abstractNumId w:val="38"/>
  </w:num>
  <w:num w:numId="43" w16cid:durableId="1644116693">
    <w:abstractNumId w:val="0"/>
  </w:num>
  <w:num w:numId="44" w16cid:durableId="2004501819">
    <w:abstractNumId w:val="5"/>
  </w:num>
  <w:num w:numId="45" w16cid:durableId="601913094">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6B55A8"/>
    <w:rsid w:val="00003ACD"/>
    <w:rsid w:val="000060FB"/>
    <w:rsid w:val="00007CDE"/>
    <w:rsid w:val="000101A0"/>
    <w:rsid w:val="00011702"/>
    <w:rsid w:val="00013A1D"/>
    <w:rsid w:val="000144A2"/>
    <w:rsid w:val="000167A9"/>
    <w:rsid w:val="000244D9"/>
    <w:rsid w:val="00024D78"/>
    <w:rsid w:val="0002555E"/>
    <w:rsid w:val="000275C8"/>
    <w:rsid w:val="00031CFC"/>
    <w:rsid w:val="00033671"/>
    <w:rsid w:val="0003494C"/>
    <w:rsid w:val="00035230"/>
    <w:rsid w:val="00041F5D"/>
    <w:rsid w:val="00042BF4"/>
    <w:rsid w:val="000464B6"/>
    <w:rsid w:val="00051C46"/>
    <w:rsid w:val="00053CE8"/>
    <w:rsid w:val="0005458F"/>
    <w:rsid w:val="00054FB2"/>
    <w:rsid w:val="000559AA"/>
    <w:rsid w:val="00056A00"/>
    <w:rsid w:val="000622B2"/>
    <w:rsid w:val="000641DD"/>
    <w:rsid w:val="000674B3"/>
    <w:rsid w:val="0007037D"/>
    <w:rsid w:val="000729AF"/>
    <w:rsid w:val="000768CF"/>
    <w:rsid w:val="00077D52"/>
    <w:rsid w:val="00080E0F"/>
    <w:rsid w:val="00081D44"/>
    <w:rsid w:val="000828DC"/>
    <w:rsid w:val="00086282"/>
    <w:rsid w:val="0008758B"/>
    <w:rsid w:val="00090690"/>
    <w:rsid w:val="00091054"/>
    <w:rsid w:val="00092048"/>
    <w:rsid w:val="000922AD"/>
    <w:rsid w:val="00093DE9"/>
    <w:rsid w:val="00094E82"/>
    <w:rsid w:val="00095258"/>
    <w:rsid w:val="00095C3F"/>
    <w:rsid w:val="00097F48"/>
    <w:rsid w:val="000B1432"/>
    <w:rsid w:val="000B5D04"/>
    <w:rsid w:val="000C649B"/>
    <w:rsid w:val="000C6FC3"/>
    <w:rsid w:val="000D1C4D"/>
    <w:rsid w:val="000D2BB1"/>
    <w:rsid w:val="000D5B70"/>
    <w:rsid w:val="000D69C5"/>
    <w:rsid w:val="000D7A57"/>
    <w:rsid w:val="000D7C56"/>
    <w:rsid w:val="000E00B5"/>
    <w:rsid w:val="000E4236"/>
    <w:rsid w:val="000E56D5"/>
    <w:rsid w:val="000E685E"/>
    <w:rsid w:val="000F2E25"/>
    <w:rsid w:val="000F3716"/>
    <w:rsid w:val="000F3ED8"/>
    <w:rsid w:val="000F57B1"/>
    <w:rsid w:val="000F6538"/>
    <w:rsid w:val="000F659B"/>
    <w:rsid w:val="0010021B"/>
    <w:rsid w:val="00105705"/>
    <w:rsid w:val="00111D91"/>
    <w:rsid w:val="001216CF"/>
    <w:rsid w:val="00121E21"/>
    <w:rsid w:val="00122080"/>
    <w:rsid w:val="001230FA"/>
    <w:rsid w:val="00123948"/>
    <w:rsid w:val="001246A9"/>
    <w:rsid w:val="00131A76"/>
    <w:rsid w:val="00133545"/>
    <w:rsid w:val="00133748"/>
    <w:rsid w:val="00136229"/>
    <w:rsid w:val="0013694F"/>
    <w:rsid w:val="001373DB"/>
    <w:rsid w:val="00147046"/>
    <w:rsid w:val="00147192"/>
    <w:rsid w:val="00147287"/>
    <w:rsid w:val="00153F86"/>
    <w:rsid w:val="00156B67"/>
    <w:rsid w:val="001613CA"/>
    <w:rsid w:val="00161EB9"/>
    <w:rsid w:val="00162296"/>
    <w:rsid w:val="00166B36"/>
    <w:rsid w:val="001731F7"/>
    <w:rsid w:val="001744DC"/>
    <w:rsid w:val="00174C2B"/>
    <w:rsid w:val="001759E9"/>
    <w:rsid w:val="00176014"/>
    <w:rsid w:val="0018053E"/>
    <w:rsid w:val="0018466E"/>
    <w:rsid w:val="001911E1"/>
    <w:rsid w:val="00191355"/>
    <w:rsid w:val="00193CF2"/>
    <w:rsid w:val="001943EE"/>
    <w:rsid w:val="00197DF0"/>
    <w:rsid w:val="001A18CF"/>
    <w:rsid w:val="001A3403"/>
    <w:rsid w:val="001A37C2"/>
    <w:rsid w:val="001A396E"/>
    <w:rsid w:val="001A420D"/>
    <w:rsid w:val="001A792D"/>
    <w:rsid w:val="001B1707"/>
    <w:rsid w:val="001B232E"/>
    <w:rsid w:val="001C12AE"/>
    <w:rsid w:val="001C13FD"/>
    <w:rsid w:val="001C29A8"/>
    <w:rsid w:val="001C3ECB"/>
    <w:rsid w:val="001C7D2C"/>
    <w:rsid w:val="001C7E53"/>
    <w:rsid w:val="001D0062"/>
    <w:rsid w:val="001D26BE"/>
    <w:rsid w:val="001D3321"/>
    <w:rsid w:val="001D333F"/>
    <w:rsid w:val="001D3817"/>
    <w:rsid w:val="001D4100"/>
    <w:rsid w:val="001D4952"/>
    <w:rsid w:val="001D7E18"/>
    <w:rsid w:val="001E1D66"/>
    <w:rsid w:val="001E34D1"/>
    <w:rsid w:val="001E4F62"/>
    <w:rsid w:val="001E5547"/>
    <w:rsid w:val="001E5CC5"/>
    <w:rsid w:val="001E664D"/>
    <w:rsid w:val="00200C34"/>
    <w:rsid w:val="002015AB"/>
    <w:rsid w:val="00211545"/>
    <w:rsid w:val="00214EF2"/>
    <w:rsid w:val="0021507C"/>
    <w:rsid w:val="002157EA"/>
    <w:rsid w:val="00217FCF"/>
    <w:rsid w:val="002200F9"/>
    <w:rsid w:val="0022224B"/>
    <w:rsid w:val="002249D2"/>
    <w:rsid w:val="00224E7C"/>
    <w:rsid w:val="00225317"/>
    <w:rsid w:val="002261E4"/>
    <w:rsid w:val="002267BB"/>
    <w:rsid w:val="002271BB"/>
    <w:rsid w:val="00230E53"/>
    <w:rsid w:val="00232E17"/>
    <w:rsid w:val="00232E21"/>
    <w:rsid w:val="002330AC"/>
    <w:rsid w:val="00233D85"/>
    <w:rsid w:val="002363D7"/>
    <w:rsid w:val="002372D9"/>
    <w:rsid w:val="002376F4"/>
    <w:rsid w:val="00237DA1"/>
    <w:rsid w:val="0024154A"/>
    <w:rsid w:val="00241CC2"/>
    <w:rsid w:val="00243FD6"/>
    <w:rsid w:val="00246554"/>
    <w:rsid w:val="00251356"/>
    <w:rsid w:val="00251C5B"/>
    <w:rsid w:val="00252441"/>
    <w:rsid w:val="00252EA9"/>
    <w:rsid w:val="00254C73"/>
    <w:rsid w:val="002560CD"/>
    <w:rsid w:val="00256400"/>
    <w:rsid w:val="00257243"/>
    <w:rsid w:val="00257A2D"/>
    <w:rsid w:val="00262148"/>
    <w:rsid w:val="002629D4"/>
    <w:rsid w:val="002634EB"/>
    <w:rsid w:val="0026413A"/>
    <w:rsid w:val="0027545D"/>
    <w:rsid w:val="002768B3"/>
    <w:rsid w:val="00280D28"/>
    <w:rsid w:val="0028231E"/>
    <w:rsid w:val="00283832"/>
    <w:rsid w:val="00285085"/>
    <w:rsid w:val="00285BF2"/>
    <w:rsid w:val="00285E76"/>
    <w:rsid w:val="002864DA"/>
    <w:rsid w:val="002867A8"/>
    <w:rsid w:val="0029177A"/>
    <w:rsid w:val="00291937"/>
    <w:rsid w:val="00292A63"/>
    <w:rsid w:val="002955E0"/>
    <w:rsid w:val="00297C46"/>
    <w:rsid w:val="002A0CED"/>
    <w:rsid w:val="002A679D"/>
    <w:rsid w:val="002A76BA"/>
    <w:rsid w:val="002B361B"/>
    <w:rsid w:val="002B53E2"/>
    <w:rsid w:val="002B5DF3"/>
    <w:rsid w:val="002C21A1"/>
    <w:rsid w:val="002C3075"/>
    <w:rsid w:val="002C3379"/>
    <w:rsid w:val="002C3C61"/>
    <w:rsid w:val="002C4256"/>
    <w:rsid w:val="002C5398"/>
    <w:rsid w:val="002CE160"/>
    <w:rsid w:val="002D316D"/>
    <w:rsid w:val="002E5F5C"/>
    <w:rsid w:val="002E7175"/>
    <w:rsid w:val="002E7527"/>
    <w:rsid w:val="002E7BDD"/>
    <w:rsid w:val="002E7D84"/>
    <w:rsid w:val="002F2AE4"/>
    <w:rsid w:val="002F2C75"/>
    <w:rsid w:val="002F3365"/>
    <w:rsid w:val="002F3DFC"/>
    <w:rsid w:val="002F529C"/>
    <w:rsid w:val="002F73DF"/>
    <w:rsid w:val="002F7A07"/>
    <w:rsid w:val="00301A52"/>
    <w:rsid w:val="003049DF"/>
    <w:rsid w:val="003077A4"/>
    <w:rsid w:val="003140FF"/>
    <w:rsid w:val="003160B6"/>
    <w:rsid w:val="0032340F"/>
    <w:rsid w:val="00324370"/>
    <w:rsid w:val="0032475C"/>
    <w:rsid w:val="00326234"/>
    <w:rsid w:val="003326C6"/>
    <w:rsid w:val="00333B2B"/>
    <w:rsid w:val="00334335"/>
    <w:rsid w:val="00334344"/>
    <w:rsid w:val="00334FF0"/>
    <w:rsid w:val="003406DF"/>
    <w:rsid w:val="0034114C"/>
    <w:rsid w:val="003431D3"/>
    <w:rsid w:val="0034652E"/>
    <w:rsid w:val="00354455"/>
    <w:rsid w:val="003618CE"/>
    <w:rsid w:val="003641BA"/>
    <w:rsid w:val="00365C6D"/>
    <w:rsid w:val="00370986"/>
    <w:rsid w:val="003712D4"/>
    <w:rsid w:val="003722C0"/>
    <w:rsid w:val="00372558"/>
    <w:rsid w:val="003809EA"/>
    <w:rsid w:val="00380E29"/>
    <w:rsid w:val="00381AD9"/>
    <w:rsid w:val="003822EE"/>
    <w:rsid w:val="00385324"/>
    <w:rsid w:val="00386C33"/>
    <w:rsid w:val="00386E7C"/>
    <w:rsid w:val="00386EC8"/>
    <w:rsid w:val="0039037A"/>
    <w:rsid w:val="00390529"/>
    <w:rsid w:val="00393F87"/>
    <w:rsid w:val="00394C1B"/>
    <w:rsid w:val="003955E1"/>
    <w:rsid w:val="00396E90"/>
    <w:rsid w:val="003A1A88"/>
    <w:rsid w:val="003A4051"/>
    <w:rsid w:val="003A7251"/>
    <w:rsid w:val="003A788F"/>
    <w:rsid w:val="003B0501"/>
    <w:rsid w:val="003B5BF3"/>
    <w:rsid w:val="003B628A"/>
    <w:rsid w:val="003C01D7"/>
    <w:rsid w:val="003C0F0F"/>
    <w:rsid w:val="003C3398"/>
    <w:rsid w:val="003C36A2"/>
    <w:rsid w:val="003C5A11"/>
    <w:rsid w:val="003C720F"/>
    <w:rsid w:val="003C7C7E"/>
    <w:rsid w:val="003C7F03"/>
    <w:rsid w:val="003D171A"/>
    <w:rsid w:val="003D27B3"/>
    <w:rsid w:val="003D296C"/>
    <w:rsid w:val="003D3DC9"/>
    <w:rsid w:val="003E0E7B"/>
    <w:rsid w:val="003E17BF"/>
    <w:rsid w:val="003E2966"/>
    <w:rsid w:val="003E3374"/>
    <w:rsid w:val="003E3952"/>
    <w:rsid w:val="003E506A"/>
    <w:rsid w:val="003E524A"/>
    <w:rsid w:val="003E6B90"/>
    <w:rsid w:val="003F11FC"/>
    <w:rsid w:val="003F2100"/>
    <w:rsid w:val="003F2185"/>
    <w:rsid w:val="003F2B7D"/>
    <w:rsid w:val="003F6871"/>
    <w:rsid w:val="003F6A47"/>
    <w:rsid w:val="004012C8"/>
    <w:rsid w:val="00406016"/>
    <w:rsid w:val="004066FA"/>
    <w:rsid w:val="004150AB"/>
    <w:rsid w:val="00415735"/>
    <w:rsid w:val="00416E7C"/>
    <w:rsid w:val="004179A0"/>
    <w:rsid w:val="0042132B"/>
    <w:rsid w:val="00425A49"/>
    <w:rsid w:val="00426270"/>
    <w:rsid w:val="00426CC1"/>
    <w:rsid w:val="00432E48"/>
    <w:rsid w:val="004357FA"/>
    <w:rsid w:val="004370F4"/>
    <w:rsid w:val="004372B0"/>
    <w:rsid w:val="00437E4F"/>
    <w:rsid w:val="0044131D"/>
    <w:rsid w:val="004422DC"/>
    <w:rsid w:val="0044273F"/>
    <w:rsid w:val="00445AAB"/>
    <w:rsid w:val="004509B8"/>
    <w:rsid w:val="00451382"/>
    <w:rsid w:val="00451F4C"/>
    <w:rsid w:val="00451FA0"/>
    <w:rsid w:val="00452ECB"/>
    <w:rsid w:val="00454A35"/>
    <w:rsid w:val="00457AC1"/>
    <w:rsid w:val="00457F59"/>
    <w:rsid w:val="00460338"/>
    <w:rsid w:val="00460A29"/>
    <w:rsid w:val="00460C65"/>
    <w:rsid w:val="00460F7D"/>
    <w:rsid w:val="004644F0"/>
    <w:rsid w:val="00464E5A"/>
    <w:rsid w:val="00481B0D"/>
    <w:rsid w:val="00481B1D"/>
    <w:rsid w:val="00482309"/>
    <w:rsid w:val="004903EB"/>
    <w:rsid w:val="00493770"/>
    <w:rsid w:val="0049406C"/>
    <w:rsid w:val="004942A1"/>
    <w:rsid w:val="00494DE6"/>
    <w:rsid w:val="0049702F"/>
    <w:rsid w:val="004A0E8F"/>
    <w:rsid w:val="004A1806"/>
    <w:rsid w:val="004A1DE0"/>
    <w:rsid w:val="004A25CA"/>
    <w:rsid w:val="004A3520"/>
    <w:rsid w:val="004A4C54"/>
    <w:rsid w:val="004A6939"/>
    <w:rsid w:val="004B07A5"/>
    <w:rsid w:val="004B0C3D"/>
    <w:rsid w:val="004B2309"/>
    <w:rsid w:val="004B4C89"/>
    <w:rsid w:val="004B539C"/>
    <w:rsid w:val="004C167F"/>
    <w:rsid w:val="004C1C3B"/>
    <w:rsid w:val="004C4142"/>
    <w:rsid w:val="004C4ACB"/>
    <w:rsid w:val="004D29C7"/>
    <w:rsid w:val="004D3821"/>
    <w:rsid w:val="004D3A86"/>
    <w:rsid w:val="004D408D"/>
    <w:rsid w:val="004D4D32"/>
    <w:rsid w:val="004D7F91"/>
    <w:rsid w:val="004E2E3E"/>
    <w:rsid w:val="004E3783"/>
    <w:rsid w:val="004E62E4"/>
    <w:rsid w:val="004F2C21"/>
    <w:rsid w:val="004F4B90"/>
    <w:rsid w:val="004F4EE7"/>
    <w:rsid w:val="004F7FF8"/>
    <w:rsid w:val="00500704"/>
    <w:rsid w:val="005024C9"/>
    <w:rsid w:val="005066A1"/>
    <w:rsid w:val="005070AA"/>
    <w:rsid w:val="00507C9E"/>
    <w:rsid w:val="005103E7"/>
    <w:rsid w:val="0051158F"/>
    <w:rsid w:val="00511F7B"/>
    <w:rsid w:val="0051251F"/>
    <w:rsid w:val="00515976"/>
    <w:rsid w:val="00515F52"/>
    <w:rsid w:val="005215EE"/>
    <w:rsid w:val="00521966"/>
    <w:rsid w:val="00524F56"/>
    <w:rsid w:val="00526E90"/>
    <w:rsid w:val="00526FE7"/>
    <w:rsid w:val="00544D63"/>
    <w:rsid w:val="00545E30"/>
    <w:rsid w:val="00555B0A"/>
    <w:rsid w:val="00556D25"/>
    <w:rsid w:val="0055743D"/>
    <w:rsid w:val="00561275"/>
    <w:rsid w:val="00561AD3"/>
    <w:rsid w:val="00562EFB"/>
    <w:rsid w:val="00562FDA"/>
    <w:rsid w:val="0056473D"/>
    <w:rsid w:val="00564C76"/>
    <w:rsid w:val="0056534E"/>
    <w:rsid w:val="005659D5"/>
    <w:rsid w:val="00567B36"/>
    <w:rsid w:val="0057074A"/>
    <w:rsid w:val="0057096F"/>
    <w:rsid w:val="00570A05"/>
    <w:rsid w:val="005719CC"/>
    <w:rsid w:val="00571EF7"/>
    <w:rsid w:val="00575037"/>
    <w:rsid w:val="0057687D"/>
    <w:rsid w:val="005808C4"/>
    <w:rsid w:val="00581153"/>
    <w:rsid w:val="005834C7"/>
    <w:rsid w:val="00585679"/>
    <w:rsid w:val="00586F62"/>
    <w:rsid w:val="005871C9"/>
    <w:rsid w:val="005904CD"/>
    <w:rsid w:val="0059234C"/>
    <w:rsid w:val="00592FE3"/>
    <w:rsid w:val="00594389"/>
    <w:rsid w:val="005A1010"/>
    <w:rsid w:val="005A3F5E"/>
    <w:rsid w:val="005A4533"/>
    <w:rsid w:val="005B2B21"/>
    <w:rsid w:val="005B4509"/>
    <w:rsid w:val="005B52C6"/>
    <w:rsid w:val="005B7015"/>
    <w:rsid w:val="005C1750"/>
    <w:rsid w:val="005C18E2"/>
    <w:rsid w:val="005C1C9E"/>
    <w:rsid w:val="005C4C82"/>
    <w:rsid w:val="005C7CED"/>
    <w:rsid w:val="005D023E"/>
    <w:rsid w:val="005D3707"/>
    <w:rsid w:val="005E23BD"/>
    <w:rsid w:val="005E4F8A"/>
    <w:rsid w:val="005F100C"/>
    <w:rsid w:val="005F3390"/>
    <w:rsid w:val="005F34EA"/>
    <w:rsid w:val="005F5653"/>
    <w:rsid w:val="005F66EC"/>
    <w:rsid w:val="005F6EA2"/>
    <w:rsid w:val="006006EF"/>
    <w:rsid w:val="00602698"/>
    <w:rsid w:val="006031E9"/>
    <w:rsid w:val="0060713E"/>
    <w:rsid w:val="00611BD5"/>
    <w:rsid w:val="00613482"/>
    <w:rsid w:val="006134AA"/>
    <w:rsid w:val="006143F1"/>
    <w:rsid w:val="00614BAC"/>
    <w:rsid w:val="00623142"/>
    <w:rsid w:val="006234AA"/>
    <w:rsid w:val="00631104"/>
    <w:rsid w:val="006333B8"/>
    <w:rsid w:val="00633B57"/>
    <w:rsid w:val="00633B8A"/>
    <w:rsid w:val="00634660"/>
    <w:rsid w:val="00643367"/>
    <w:rsid w:val="006441D0"/>
    <w:rsid w:val="00644FFF"/>
    <w:rsid w:val="006457CC"/>
    <w:rsid w:val="00646882"/>
    <w:rsid w:val="00654752"/>
    <w:rsid w:val="00655F6A"/>
    <w:rsid w:val="006607FD"/>
    <w:rsid w:val="006610D7"/>
    <w:rsid w:val="0066296E"/>
    <w:rsid w:val="00662BC1"/>
    <w:rsid w:val="0066335F"/>
    <w:rsid w:val="00664EBB"/>
    <w:rsid w:val="00667D5E"/>
    <w:rsid w:val="00672387"/>
    <w:rsid w:val="006745A2"/>
    <w:rsid w:val="0067593D"/>
    <w:rsid w:val="00676B7F"/>
    <w:rsid w:val="00690374"/>
    <w:rsid w:val="0069180A"/>
    <w:rsid w:val="006945EE"/>
    <w:rsid w:val="0069505B"/>
    <w:rsid w:val="00695C85"/>
    <w:rsid w:val="0069672B"/>
    <w:rsid w:val="006A0092"/>
    <w:rsid w:val="006A08E0"/>
    <w:rsid w:val="006A2AD8"/>
    <w:rsid w:val="006A30A5"/>
    <w:rsid w:val="006A3A46"/>
    <w:rsid w:val="006A7499"/>
    <w:rsid w:val="006A75DE"/>
    <w:rsid w:val="006B0F30"/>
    <w:rsid w:val="006B10F5"/>
    <w:rsid w:val="006B55A8"/>
    <w:rsid w:val="006B62FB"/>
    <w:rsid w:val="006C0AFC"/>
    <w:rsid w:val="006C2690"/>
    <w:rsid w:val="006C5F12"/>
    <w:rsid w:val="006C7C32"/>
    <w:rsid w:val="006D1604"/>
    <w:rsid w:val="006D301B"/>
    <w:rsid w:val="006D45AD"/>
    <w:rsid w:val="006D46C5"/>
    <w:rsid w:val="006D6023"/>
    <w:rsid w:val="006D7102"/>
    <w:rsid w:val="006D7E1C"/>
    <w:rsid w:val="006E4318"/>
    <w:rsid w:val="006E5F89"/>
    <w:rsid w:val="006F0486"/>
    <w:rsid w:val="006F3E0E"/>
    <w:rsid w:val="007004AB"/>
    <w:rsid w:val="0070211E"/>
    <w:rsid w:val="007023AC"/>
    <w:rsid w:val="00704E58"/>
    <w:rsid w:val="00710834"/>
    <w:rsid w:val="00714153"/>
    <w:rsid w:val="00716083"/>
    <w:rsid w:val="00720873"/>
    <w:rsid w:val="007229FD"/>
    <w:rsid w:val="00724F28"/>
    <w:rsid w:val="00725D73"/>
    <w:rsid w:val="00726535"/>
    <w:rsid w:val="00726B0A"/>
    <w:rsid w:val="007319E4"/>
    <w:rsid w:val="00732A51"/>
    <w:rsid w:val="00733109"/>
    <w:rsid w:val="00734E59"/>
    <w:rsid w:val="00735339"/>
    <w:rsid w:val="00736D24"/>
    <w:rsid w:val="00742485"/>
    <w:rsid w:val="00747546"/>
    <w:rsid w:val="00747A5F"/>
    <w:rsid w:val="00750E18"/>
    <w:rsid w:val="00755F69"/>
    <w:rsid w:val="0076117F"/>
    <w:rsid w:val="007622EF"/>
    <w:rsid w:val="00762844"/>
    <w:rsid w:val="00762B66"/>
    <w:rsid w:val="00767055"/>
    <w:rsid w:val="00767F36"/>
    <w:rsid w:val="00771E27"/>
    <w:rsid w:val="00774651"/>
    <w:rsid w:val="0078304B"/>
    <w:rsid w:val="007860C1"/>
    <w:rsid w:val="0078727B"/>
    <w:rsid w:val="00787424"/>
    <w:rsid w:val="007926BC"/>
    <w:rsid w:val="00797212"/>
    <w:rsid w:val="007A0EDD"/>
    <w:rsid w:val="007A2ACB"/>
    <w:rsid w:val="007A7C9B"/>
    <w:rsid w:val="007B0C23"/>
    <w:rsid w:val="007B0E29"/>
    <w:rsid w:val="007B1881"/>
    <w:rsid w:val="007B1925"/>
    <w:rsid w:val="007C15C7"/>
    <w:rsid w:val="007C48F0"/>
    <w:rsid w:val="007C7A2F"/>
    <w:rsid w:val="007C7A45"/>
    <w:rsid w:val="007D2F9B"/>
    <w:rsid w:val="007D61F4"/>
    <w:rsid w:val="007E23A7"/>
    <w:rsid w:val="007E6F62"/>
    <w:rsid w:val="007E76E4"/>
    <w:rsid w:val="007F2144"/>
    <w:rsid w:val="007F22C8"/>
    <w:rsid w:val="007F5621"/>
    <w:rsid w:val="007F601D"/>
    <w:rsid w:val="0080105F"/>
    <w:rsid w:val="0080241F"/>
    <w:rsid w:val="00803B2A"/>
    <w:rsid w:val="0081119A"/>
    <w:rsid w:val="00811A90"/>
    <w:rsid w:val="00812433"/>
    <w:rsid w:val="0081365E"/>
    <w:rsid w:val="00820515"/>
    <w:rsid w:val="0082097D"/>
    <w:rsid w:val="00825F0E"/>
    <w:rsid w:val="008316FD"/>
    <w:rsid w:val="00833945"/>
    <w:rsid w:val="00835596"/>
    <w:rsid w:val="00837304"/>
    <w:rsid w:val="008375C4"/>
    <w:rsid w:val="00841263"/>
    <w:rsid w:val="00842FB0"/>
    <w:rsid w:val="00843530"/>
    <w:rsid w:val="008438F9"/>
    <w:rsid w:val="0084713F"/>
    <w:rsid w:val="0085022C"/>
    <w:rsid w:val="0085209E"/>
    <w:rsid w:val="008528D5"/>
    <w:rsid w:val="00853E58"/>
    <w:rsid w:val="00855EF3"/>
    <w:rsid w:val="00856D0C"/>
    <w:rsid w:val="00856FF0"/>
    <w:rsid w:val="008627B1"/>
    <w:rsid w:val="00864047"/>
    <w:rsid w:val="00864D1D"/>
    <w:rsid w:val="00871B7E"/>
    <w:rsid w:val="00872495"/>
    <w:rsid w:val="00875E7E"/>
    <w:rsid w:val="00875FB4"/>
    <w:rsid w:val="00876DDF"/>
    <w:rsid w:val="00880ADB"/>
    <w:rsid w:val="00881701"/>
    <w:rsid w:val="008847CC"/>
    <w:rsid w:val="008872CA"/>
    <w:rsid w:val="008904F4"/>
    <w:rsid w:val="00892E59"/>
    <w:rsid w:val="00893527"/>
    <w:rsid w:val="00893586"/>
    <w:rsid w:val="008935EB"/>
    <w:rsid w:val="00893693"/>
    <w:rsid w:val="00897264"/>
    <w:rsid w:val="008A2B6C"/>
    <w:rsid w:val="008A2DEF"/>
    <w:rsid w:val="008A67E2"/>
    <w:rsid w:val="008A7EDB"/>
    <w:rsid w:val="008B0555"/>
    <w:rsid w:val="008B1E8D"/>
    <w:rsid w:val="008B39BE"/>
    <w:rsid w:val="008B4D23"/>
    <w:rsid w:val="008B6724"/>
    <w:rsid w:val="008B7436"/>
    <w:rsid w:val="008C0793"/>
    <w:rsid w:val="008C1101"/>
    <w:rsid w:val="008C4174"/>
    <w:rsid w:val="008C41F7"/>
    <w:rsid w:val="008C628B"/>
    <w:rsid w:val="008D08BE"/>
    <w:rsid w:val="008D1452"/>
    <w:rsid w:val="008D149E"/>
    <w:rsid w:val="008D2A22"/>
    <w:rsid w:val="008D2E23"/>
    <w:rsid w:val="008E34F3"/>
    <w:rsid w:val="008E63D6"/>
    <w:rsid w:val="008E78ED"/>
    <w:rsid w:val="008F1ACC"/>
    <w:rsid w:val="008F2011"/>
    <w:rsid w:val="008F373B"/>
    <w:rsid w:val="008F74F8"/>
    <w:rsid w:val="00901C18"/>
    <w:rsid w:val="0090339D"/>
    <w:rsid w:val="0090349D"/>
    <w:rsid w:val="0091075D"/>
    <w:rsid w:val="009138DA"/>
    <w:rsid w:val="00914A93"/>
    <w:rsid w:val="00917A77"/>
    <w:rsid w:val="0092354D"/>
    <w:rsid w:val="00925954"/>
    <w:rsid w:val="00926D64"/>
    <w:rsid w:val="00927021"/>
    <w:rsid w:val="009330B9"/>
    <w:rsid w:val="00936210"/>
    <w:rsid w:val="00936238"/>
    <w:rsid w:val="00941A56"/>
    <w:rsid w:val="009523D8"/>
    <w:rsid w:val="0095562B"/>
    <w:rsid w:val="0095578F"/>
    <w:rsid w:val="00955F84"/>
    <w:rsid w:val="00963AC3"/>
    <w:rsid w:val="0096584F"/>
    <w:rsid w:val="0097280B"/>
    <w:rsid w:val="00974AF6"/>
    <w:rsid w:val="00975BCA"/>
    <w:rsid w:val="0097631A"/>
    <w:rsid w:val="00977B14"/>
    <w:rsid w:val="0098070C"/>
    <w:rsid w:val="00980AE4"/>
    <w:rsid w:val="00981461"/>
    <w:rsid w:val="0098157F"/>
    <w:rsid w:val="00983C76"/>
    <w:rsid w:val="009862D1"/>
    <w:rsid w:val="00986C3E"/>
    <w:rsid w:val="00991274"/>
    <w:rsid w:val="00991328"/>
    <w:rsid w:val="0099277C"/>
    <w:rsid w:val="009946E1"/>
    <w:rsid w:val="009954A4"/>
    <w:rsid w:val="00996ADD"/>
    <w:rsid w:val="009A0A8A"/>
    <w:rsid w:val="009A60AC"/>
    <w:rsid w:val="009B02AC"/>
    <w:rsid w:val="009B0E89"/>
    <w:rsid w:val="009B5049"/>
    <w:rsid w:val="009B59A8"/>
    <w:rsid w:val="009C1116"/>
    <w:rsid w:val="009C36F7"/>
    <w:rsid w:val="009C4ECF"/>
    <w:rsid w:val="009C57C2"/>
    <w:rsid w:val="009C5FEF"/>
    <w:rsid w:val="009C7E17"/>
    <w:rsid w:val="009D0790"/>
    <w:rsid w:val="009D3297"/>
    <w:rsid w:val="009D5845"/>
    <w:rsid w:val="009D63DF"/>
    <w:rsid w:val="009E058A"/>
    <w:rsid w:val="009E72F8"/>
    <w:rsid w:val="009F081C"/>
    <w:rsid w:val="009F0901"/>
    <w:rsid w:val="009F1562"/>
    <w:rsid w:val="009F4CD2"/>
    <w:rsid w:val="009F7B32"/>
    <w:rsid w:val="00A01E35"/>
    <w:rsid w:val="00A062B0"/>
    <w:rsid w:val="00A10435"/>
    <w:rsid w:val="00A106C3"/>
    <w:rsid w:val="00A1085F"/>
    <w:rsid w:val="00A11622"/>
    <w:rsid w:val="00A14CD9"/>
    <w:rsid w:val="00A15DA2"/>
    <w:rsid w:val="00A16267"/>
    <w:rsid w:val="00A1658C"/>
    <w:rsid w:val="00A16DAD"/>
    <w:rsid w:val="00A17683"/>
    <w:rsid w:val="00A17BA1"/>
    <w:rsid w:val="00A17BB0"/>
    <w:rsid w:val="00A20842"/>
    <w:rsid w:val="00A24C27"/>
    <w:rsid w:val="00A257B1"/>
    <w:rsid w:val="00A2599E"/>
    <w:rsid w:val="00A264A4"/>
    <w:rsid w:val="00A327BF"/>
    <w:rsid w:val="00A3513E"/>
    <w:rsid w:val="00A3627B"/>
    <w:rsid w:val="00A40BA2"/>
    <w:rsid w:val="00A41A9A"/>
    <w:rsid w:val="00A42F49"/>
    <w:rsid w:val="00A439D1"/>
    <w:rsid w:val="00A44201"/>
    <w:rsid w:val="00A4753B"/>
    <w:rsid w:val="00A5046C"/>
    <w:rsid w:val="00A50D17"/>
    <w:rsid w:val="00A52EF6"/>
    <w:rsid w:val="00A537E0"/>
    <w:rsid w:val="00A53DFF"/>
    <w:rsid w:val="00A56106"/>
    <w:rsid w:val="00A57848"/>
    <w:rsid w:val="00A60F91"/>
    <w:rsid w:val="00A650A1"/>
    <w:rsid w:val="00A65C5E"/>
    <w:rsid w:val="00A65D38"/>
    <w:rsid w:val="00A726E7"/>
    <w:rsid w:val="00A75F04"/>
    <w:rsid w:val="00A832C8"/>
    <w:rsid w:val="00A85CCF"/>
    <w:rsid w:val="00A929E3"/>
    <w:rsid w:val="00A92AD4"/>
    <w:rsid w:val="00A949AB"/>
    <w:rsid w:val="00A9572D"/>
    <w:rsid w:val="00A968A5"/>
    <w:rsid w:val="00A970C4"/>
    <w:rsid w:val="00AA4528"/>
    <w:rsid w:val="00AA5B6C"/>
    <w:rsid w:val="00AA66C7"/>
    <w:rsid w:val="00AB0792"/>
    <w:rsid w:val="00AB2A2C"/>
    <w:rsid w:val="00AB4938"/>
    <w:rsid w:val="00AB525B"/>
    <w:rsid w:val="00AB62C0"/>
    <w:rsid w:val="00AB7DFF"/>
    <w:rsid w:val="00AB7E4E"/>
    <w:rsid w:val="00AC5A35"/>
    <w:rsid w:val="00AD0B4C"/>
    <w:rsid w:val="00AD0DE6"/>
    <w:rsid w:val="00AD27DF"/>
    <w:rsid w:val="00AD65DC"/>
    <w:rsid w:val="00AE0F9B"/>
    <w:rsid w:val="00AE2E57"/>
    <w:rsid w:val="00AF1F3F"/>
    <w:rsid w:val="00AF2417"/>
    <w:rsid w:val="00AF2E59"/>
    <w:rsid w:val="00AF3140"/>
    <w:rsid w:val="00AF5382"/>
    <w:rsid w:val="00AF590A"/>
    <w:rsid w:val="00AF7B7F"/>
    <w:rsid w:val="00B00C37"/>
    <w:rsid w:val="00B01559"/>
    <w:rsid w:val="00B04383"/>
    <w:rsid w:val="00B06A4B"/>
    <w:rsid w:val="00B07B2F"/>
    <w:rsid w:val="00B10CFA"/>
    <w:rsid w:val="00B237B1"/>
    <w:rsid w:val="00B24E17"/>
    <w:rsid w:val="00B2651F"/>
    <w:rsid w:val="00B26836"/>
    <w:rsid w:val="00B311AD"/>
    <w:rsid w:val="00B31FEE"/>
    <w:rsid w:val="00B3242F"/>
    <w:rsid w:val="00B35D67"/>
    <w:rsid w:val="00B45966"/>
    <w:rsid w:val="00B47FA7"/>
    <w:rsid w:val="00B50ED4"/>
    <w:rsid w:val="00B51FB3"/>
    <w:rsid w:val="00B52DDD"/>
    <w:rsid w:val="00B52FE8"/>
    <w:rsid w:val="00B53E48"/>
    <w:rsid w:val="00B55137"/>
    <w:rsid w:val="00B552F5"/>
    <w:rsid w:val="00B569FE"/>
    <w:rsid w:val="00B60BC2"/>
    <w:rsid w:val="00B60C07"/>
    <w:rsid w:val="00B63285"/>
    <w:rsid w:val="00B63EDE"/>
    <w:rsid w:val="00B65D98"/>
    <w:rsid w:val="00B72081"/>
    <w:rsid w:val="00B7535E"/>
    <w:rsid w:val="00B75B12"/>
    <w:rsid w:val="00B7636E"/>
    <w:rsid w:val="00B77FA1"/>
    <w:rsid w:val="00B804EF"/>
    <w:rsid w:val="00B81BE2"/>
    <w:rsid w:val="00B81DDA"/>
    <w:rsid w:val="00B86A64"/>
    <w:rsid w:val="00BA0E93"/>
    <w:rsid w:val="00BA160F"/>
    <w:rsid w:val="00BA1850"/>
    <w:rsid w:val="00BA28D1"/>
    <w:rsid w:val="00BA64D9"/>
    <w:rsid w:val="00BA6BF3"/>
    <w:rsid w:val="00BA74C2"/>
    <w:rsid w:val="00BB3278"/>
    <w:rsid w:val="00BB3D3E"/>
    <w:rsid w:val="00BB6698"/>
    <w:rsid w:val="00BB7E72"/>
    <w:rsid w:val="00BC350E"/>
    <w:rsid w:val="00BC4ADF"/>
    <w:rsid w:val="00BC5A10"/>
    <w:rsid w:val="00BC6527"/>
    <w:rsid w:val="00BD1C20"/>
    <w:rsid w:val="00BD491D"/>
    <w:rsid w:val="00BD4EF9"/>
    <w:rsid w:val="00BE01D2"/>
    <w:rsid w:val="00BE2384"/>
    <w:rsid w:val="00BE2E74"/>
    <w:rsid w:val="00BE59DB"/>
    <w:rsid w:val="00BE7059"/>
    <w:rsid w:val="00BE760E"/>
    <w:rsid w:val="00BF2687"/>
    <w:rsid w:val="00BF4498"/>
    <w:rsid w:val="00BF70D7"/>
    <w:rsid w:val="00C0052A"/>
    <w:rsid w:val="00C02F49"/>
    <w:rsid w:val="00C04777"/>
    <w:rsid w:val="00C05FF6"/>
    <w:rsid w:val="00C07AC7"/>
    <w:rsid w:val="00C07F94"/>
    <w:rsid w:val="00C106A7"/>
    <w:rsid w:val="00C161B6"/>
    <w:rsid w:val="00C16C69"/>
    <w:rsid w:val="00C20390"/>
    <w:rsid w:val="00C26351"/>
    <w:rsid w:val="00C32B16"/>
    <w:rsid w:val="00C333C3"/>
    <w:rsid w:val="00C366C2"/>
    <w:rsid w:val="00C375DB"/>
    <w:rsid w:val="00C37920"/>
    <w:rsid w:val="00C40D84"/>
    <w:rsid w:val="00C42C87"/>
    <w:rsid w:val="00C42E05"/>
    <w:rsid w:val="00C47764"/>
    <w:rsid w:val="00C53DA6"/>
    <w:rsid w:val="00C56803"/>
    <w:rsid w:val="00C568AF"/>
    <w:rsid w:val="00C61FBD"/>
    <w:rsid w:val="00C634C5"/>
    <w:rsid w:val="00C63763"/>
    <w:rsid w:val="00C644EE"/>
    <w:rsid w:val="00C66D1C"/>
    <w:rsid w:val="00C70952"/>
    <w:rsid w:val="00C73A6B"/>
    <w:rsid w:val="00C76449"/>
    <w:rsid w:val="00C7644C"/>
    <w:rsid w:val="00C77A28"/>
    <w:rsid w:val="00C80E51"/>
    <w:rsid w:val="00C84FB6"/>
    <w:rsid w:val="00C86465"/>
    <w:rsid w:val="00C8767F"/>
    <w:rsid w:val="00C911C1"/>
    <w:rsid w:val="00C93D02"/>
    <w:rsid w:val="00C9469C"/>
    <w:rsid w:val="00C954FB"/>
    <w:rsid w:val="00CA2251"/>
    <w:rsid w:val="00CA311F"/>
    <w:rsid w:val="00CB06EB"/>
    <w:rsid w:val="00CB1E5D"/>
    <w:rsid w:val="00CB2127"/>
    <w:rsid w:val="00CB224A"/>
    <w:rsid w:val="00CB4555"/>
    <w:rsid w:val="00CB6AA7"/>
    <w:rsid w:val="00CC086B"/>
    <w:rsid w:val="00CC13EF"/>
    <w:rsid w:val="00CC1A8A"/>
    <w:rsid w:val="00CC36AE"/>
    <w:rsid w:val="00CC67EF"/>
    <w:rsid w:val="00CC755F"/>
    <w:rsid w:val="00CD1AA8"/>
    <w:rsid w:val="00CD723D"/>
    <w:rsid w:val="00CD7C31"/>
    <w:rsid w:val="00CE3B51"/>
    <w:rsid w:val="00CE68C8"/>
    <w:rsid w:val="00CF0660"/>
    <w:rsid w:val="00CF1F45"/>
    <w:rsid w:val="00CF3932"/>
    <w:rsid w:val="00D00253"/>
    <w:rsid w:val="00D03299"/>
    <w:rsid w:val="00D06077"/>
    <w:rsid w:val="00D064E3"/>
    <w:rsid w:val="00D06BC7"/>
    <w:rsid w:val="00D07E47"/>
    <w:rsid w:val="00D10314"/>
    <w:rsid w:val="00D10DA5"/>
    <w:rsid w:val="00D11517"/>
    <w:rsid w:val="00D138A4"/>
    <w:rsid w:val="00D17D9A"/>
    <w:rsid w:val="00D2105B"/>
    <w:rsid w:val="00D26695"/>
    <w:rsid w:val="00D316D2"/>
    <w:rsid w:val="00D32A41"/>
    <w:rsid w:val="00D353CA"/>
    <w:rsid w:val="00D3745F"/>
    <w:rsid w:val="00D4005D"/>
    <w:rsid w:val="00D460D9"/>
    <w:rsid w:val="00D46334"/>
    <w:rsid w:val="00D5061D"/>
    <w:rsid w:val="00D50CDE"/>
    <w:rsid w:val="00D53792"/>
    <w:rsid w:val="00D53FA9"/>
    <w:rsid w:val="00D6257B"/>
    <w:rsid w:val="00D625C5"/>
    <w:rsid w:val="00D64B51"/>
    <w:rsid w:val="00D70526"/>
    <w:rsid w:val="00D722D0"/>
    <w:rsid w:val="00D7376A"/>
    <w:rsid w:val="00D73B6A"/>
    <w:rsid w:val="00D74FAB"/>
    <w:rsid w:val="00D76DAC"/>
    <w:rsid w:val="00D83627"/>
    <w:rsid w:val="00D83746"/>
    <w:rsid w:val="00D86D72"/>
    <w:rsid w:val="00D87A09"/>
    <w:rsid w:val="00D90C9B"/>
    <w:rsid w:val="00D9184B"/>
    <w:rsid w:val="00D970C8"/>
    <w:rsid w:val="00DA15F5"/>
    <w:rsid w:val="00DA21FD"/>
    <w:rsid w:val="00DA58F8"/>
    <w:rsid w:val="00DA5F73"/>
    <w:rsid w:val="00DA7CEC"/>
    <w:rsid w:val="00DB09B1"/>
    <w:rsid w:val="00DB2025"/>
    <w:rsid w:val="00DB3BC5"/>
    <w:rsid w:val="00DB58AC"/>
    <w:rsid w:val="00DB6F26"/>
    <w:rsid w:val="00DC103F"/>
    <w:rsid w:val="00DC6201"/>
    <w:rsid w:val="00DD19C2"/>
    <w:rsid w:val="00DD2465"/>
    <w:rsid w:val="00DD5DCC"/>
    <w:rsid w:val="00DE17DA"/>
    <w:rsid w:val="00DE241F"/>
    <w:rsid w:val="00DE27CB"/>
    <w:rsid w:val="00DE2B14"/>
    <w:rsid w:val="00DE3E10"/>
    <w:rsid w:val="00DE5C0F"/>
    <w:rsid w:val="00DE71FD"/>
    <w:rsid w:val="00DE7F04"/>
    <w:rsid w:val="00DF4F7D"/>
    <w:rsid w:val="00DF4F94"/>
    <w:rsid w:val="00DF6824"/>
    <w:rsid w:val="00E03041"/>
    <w:rsid w:val="00E054EA"/>
    <w:rsid w:val="00E13B71"/>
    <w:rsid w:val="00E14B54"/>
    <w:rsid w:val="00E15895"/>
    <w:rsid w:val="00E15AD7"/>
    <w:rsid w:val="00E177C9"/>
    <w:rsid w:val="00E2176D"/>
    <w:rsid w:val="00E2425F"/>
    <w:rsid w:val="00E24654"/>
    <w:rsid w:val="00E26C81"/>
    <w:rsid w:val="00E30433"/>
    <w:rsid w:val="00E31330"/>
    <w:rsid w:val="00E34BA9"/>
    <w:rsid w:val="00E35F22"/>
    <w:rsid w:val="00E36FF6"/>
    <w:rsid w:val="00E37169"/>
    <w:rsid w:val="00E413A6"/>
    <w:rsid w:val="00E41887"/>
    <w:rsid w:val="00E421E8"/>
    <w:rsid w:val="00E44260"/>
    <w:rsid w:val="00E44A2A"/>
    <w:rsid w:val="00E45512"/>
    <w:rsid w:val="00E52B02"/>
    <w:rsid w:val="00E53ABF"/>
    <w:rsid w:val="00E54BA2"/>
    <w:rsid w:val="00E54DB4"/>
    <w:rsid w:val="00E54F2E"/>
    <w:rsid w:val="00E56B29"/>
    <w:rsid w:val="00E575A0"/>
    <w:rsid w:val="00E62AD3"/>
    <w:rsid w:val="00E639DE"/>
    <w:rsid w:val="00E708F2"/>
    <w:rsid w:val="00E71659"/>
    <w:rsid w:val="00E71858"/>
    <w:rsid w:val="00E71989"/>
    <w:rsid w:val="00E72D33"/>
    <w:rsid w:val="00E76685"/>
    <w:rsid w:val="00E8327F"/>
    <w:rsid w:val="00E870E0"/>
    <w:rsid w:val="00E900F5"/>
    <w:rsid w:val="00E931F0"/>
    <w:rsid w:val="00E94485"/>
    <w:rsid w:val="00E96C21"/>
    <w:rsid w:val="00E96E24"/>
    <w:rsid w:val="00E97758"/>
    <w:rsid w:val="00EA5808"/>
    <w:rsid w:val="00EA666C"/>
    <w:rsid w:val="00EB0E7A"/>
    <w:rsid w:val="00EB169C"/>
    <w:rsid w:val="00EB5BCA"/>
    <w:rsid w:val="00EB5FF9"/>
    <w:rsid w:val="00EB7D5A"/>
    <w:rsid w:val="00EC55D5"/>
    <w:rsid w:val="00ED1497"/>
    <w:rsid w:val="00ED3E2B"/>
    <w:rsid w:val="00ED51EF"/>
    <w:rsid w:val="00ED5BA1"/>
    <w:rsid w:val="00EE65BC"/>
    <w:rsid w:val="00EE6F94"/>
    <w:rsid w:val="00EF006C"/>
    <w:rsid w:val="00EF1891"/>
    <w:rsid w:val="00EF2279"/>
    <w:rsid w:val="00EF3E90"/>
    <w:rsid w:val="00EF5D56"/>
    <w:rsid w:val="00EF6CEB"/>
    <w:rsid w:val="00F012EA"/>
    <w:rsid w:val="00F022A1"/>
    <w:rsid w:val="00F023C6"/>
    <w:rsid w:val="00F026D5"/>
    <w:rsid w:val="00F036EF"/>
    <w:rsid w:val="00F03811"/>
    <w:rsid w:val="00F10822"/>
    <w:rsid w:val="00F11CFD"/>
    <w:rsid w:val="00F13728"/>
    <w:rsid w:val="00F16A4A"/>
    <w:rsid w:val="00F17479"/>
    <w:rsid w:val="00F22118"/>
    <w:rsid w:val="00F25128"/>
    <w:rsid w:val="00F264DD"/>
    <w:rsid w:val="00F26FFA"/>
    <w:rsid w:val="00F27AE2"/>
    <w:rsid w:val="00F322F7"/>
    <w:rsid w:val="00F33A6A"/>
    <w:rsid w:val="00F36EC9"/>
    <w:rsid w:val="00F41510"/>
    <w:rsid w:val="00F41E30"/>
    <w:rsid w:val="00F51330"/>
    <w:rsid w:val="00F52923"/>
    <w:rsid w:val="00F53220"/>
    <w:rsid w:val="00F5339A"/>
    <w:rsid w:val="00F5429E"/>
    <w:rsid w:val="00F55255"/>
    <w:rsid w:val="00F57AAF"/>
    <w:rsid w:val="00F60530"/>
    <w:rsid w:val="00F61267"/>
    <w:rsid w:val="00F61B4B"/>
    <w:rsid w:val="00F6271D"/>
    <w:rsid w:val="00F65914"/>
    <w:rsid w:val="00F659BC"/>
    <w:rsid w:val="00F703DE"/>
    <w:rsid w:val="00F7194F"/>
    <w:rsid w:val="00F7224F"/>
    <w:rsid w:val="00F73064"/>
    <w:rsid w:val="00F740EA"/>
    <w:rsid w:val="00F74714"/>
    <w:rsid w:val="00F805AB"/>
    <w:rsid w:val="00F81046"/>
    <w:rsid w:val="00F8675B"/>
    <w:rsid w:val="00F87048"/>
    <w:rsid w:val="00F90417"/>
    <w:rsid w:val="00F913A3"/>
    <w:rsid w:val="00F91AE4"/>
    <w:rsid w:val="00F93673"/>
    <w:rsid w:val="00F936DD"/>
    <w:rsid w:val="00F93B3D"/>
    <w:rsid w:val="00F95652"/>
    <w:rsid w:val="00F96369"/>
    <w:rsid w:val="00FA0CB2"/>
    <w:rsid w:val="00FA0D2B"/>
    <w:rsid w:val="00FA42C8"/>
    <w:rsid w:val="00FA4C65"/>
    <w:rsid w:val="00FA4E07"/>
    <w:rsid w:val="00FB107C"/>
    <w:rsid w:val="00FB3C64"/>
    <w:rsid w:val="00FB3FED"/>
    <w:rsid w:val="00FB59AE"/>
    <w:rsid w:val="00FD1871"/>
    <w:rsid w:val="00FD3E78"/>
    <w:rsid w:val="00FD5197"/>
    <w:rsid w:val="00FD645B"/>
    <w:rsid w:val="00FE33CA"/>
    <w:rsid w:val="00FE3969"/>
    <w:rsid w:val="00FE5FD4"/>
    <w:rsid w:val="00FE7A5D"/>
    <w:rsid w:val="00FF1BF9"/>
    <w:rsid w:val="00FF4DB6"/>
    <w:rsid w:val="00FF4FD6"/>
    <w:rsid w:val="00FF5AA7"/>
    <w:rsid w:val="00FF72D5"/>
    <w:rsid w:val="00FF7382"/>
    <w:rsid w:val="01211331"/>
    <w:rsid w:val="01AFABB5"/>
    <w:rsid w:val="0227FD23"/>
    <w:rsid w:val="0330FBAB"/>
    <w:rsid w:val="045B440A"/>
    <w:rsid w:val="04E31D94"/>
    <w:rsid w:val="051A92AA"/>
    <w:rsid w:val="05EC1C33"/>
    <w:rsid w:val="0629D0CA"/>
    <w:rsid w:val="06820D21"/>
    <w:rsid w:val="072D012E"/>
    <w:rsid w:val="0787A995"/>
    <w:rsid w:val="07CA2CB9"/>
    <w:rsid w:val="07E76238"/>
    <w:rsid w:val="093E2106"/>
    <w:rsid w:val="09A1FFCC"/>
    <w:rsid w:val="09F007D6"/>
    <w:rsid w:val="0A8154FD"/>
    <w:rsid w:val="0AA5D989"/>
    <w:rsid w:val="0ABB6A09"/>
    <w:rsid w:val="0AFE1AB0"/>
    <w:rsid w:val="0B501D4E"/>
    <w:rsid w:val="0B9C24EB"/>
    <w:rsid w:val="0BB97260"/>
    <w:rsid w:val="0BCD8B1A"/>
    <w:rsid w:val="0CA06039"/>
    <w:rsid w:val="0DE846AA"/>
    <w:rsid w:val="0E8E0C6C"/>
    <w:rsid w:val="0EA8FDFA"/>
    <w:rsid w:val="0F5D5C7B"/>
    <w:rsid w:val="0F9AF7BC"/>
    <w:rsid w:val="0FE2F421"/>
    <w:rsid w:val="10287599"/>
    <w:rsid w:val="114FBB01"/>
    <w:rsid w:val="11E2D19A"/>
    <w:rsid w:val="12F89BBD"/>
    <w:rsid w:val="12FC3C01"/>
    <w:rsid w:val="1344274D"/>
    <w:rsid w:val="13DF246D"/>
    <w:rsid w:val="140E5E08"/>
    <w:rsid w:val="150304D4"/>
    <w:rsid w:val="1589EB63"/>
    <w:rsid w:val="15CE2F3B"/>
    <w:rsid w:val="15D04756"/>
    <w:rsid w:val="15E16085"/>
    <w:rsid w:val="1684E38A"/>
    <w:rsid w:val="16FDFB38"/>
    <w:rsid w:val="16FE6E18"/>
    <w:rsid w:val="1788B35F"/>
    <w:rsid w:val="17B83F72"/>
    <w:rsid w:val="1807598E"/>
    <w:rsid w:val="18256A16"/>
    <w:rsid w:val="1899CB99"/>
    <w:rsid w:val="189A313B"/>
    <w:rsid w:val="18CCBE63"/>
    <w:rsid w:val="18CD70DE"/>
    <w:rsid w:val="1932FAEB"/>
    <w:rsid w:val="196E9172"/>
    <w:rsid w:val="1ACF9F57"/>
    <w:rsid w:val="1B02F7C8"/>
    <w:rsid w:val="1B0E3E52"/>
    <w:rsid w:val="1B9D92CA"/>
    <w:rsid w:val="1BACBF99"/>
    <w:rsid w:val="1BE9688E"/>
    <w:rsid w:val="1C6E8D24"/>
    <w:rsid w:val="1C7930CA"/>
    <w:rsid w:val="1CAA9D96"/>
    <w:rsid w:val="1CF1625D"/>
    <w:rsid w:val="1D1B39D6"/>
    <w:rsid w:val="1DD419D7"/>
    <w:rsid w:val="1E111C1B"/>
    <w:rsid w:val="1EAC1DBC"/>
    <w:rsid w:val="1EE3C92B"/>
    <w:rsid w:val="1F1A0633"/>
    <w:rsid w:val="1F75D54C"/>
    <w:rsid w:val="1F8F1149"/>
    <w:rsid w:val="1F909E16"/>
    <w:rsid w:val="2033B356"/>
    <w:rsid w:val="204F4EC3"/>
    <w:rsid w:val="2094C1D2"/>
    <w:rsid w:val="20C482FF"/>
    <w:rsid w:val="20E071B3"/>
    <w:rsid w:val="21AF0A32"/>
    <w:rsid w:val="21C1AD6E"/>
    <w:rsid w:val="21EEAAF9"/>
    <w:rsid w:val="225AE48F"/>
    <w:rsid w:val="22CA68EC"/>
    <w:rsid w:val="239701E7"/>
    <w:rsid w:val="24BCFD77"/>
    <w:rsid w:val="259BEA53"/>
    <w:rsid w:val="2655E927"/>
    <w:rsid w:val="265EB209"/>
    <w:rsid w:val="2748856A"/>
    <w:rsid w:val="276BF9CA"/>
    <w:rsid w:val="287E3290"/>
    <w:rsid w:val="28D25EB3"/>
    <w:rsid w:val="293EB663"/>
    <w:rsid w:val="2A085939"/>
    <w:rsid w:val="2A12C31F"/>
    <w:rsid w:val="2ACA2568"/>
    <w:rsid w:val="2BABF86C"/>
    <w:rsid w:val="2BCC1CF1"/>
    <w:rsid w:val="2BE5D440"/>
    <w:rsid w:val="2CF071E2"/>
    <w:rsid w:val="2D226135"/>
    <w:rsid w:val="2D4CE2E2"/>
    <w:rsid w:val="2DC8F1B2"/>
    <w:rsid w:val="2DCB8911"/>
    <w:rsid w:val="2DD1B609"/>
    <w:rsid w:val="2DD2902E"/>
    <w:rsid w:val="2DFB0F7A"/>
    <w:rsid w:val="2E5C348A"/>
    <w:rsid w:val="2E8D8D73"/>
    <w:rsid w:val="2ED5FC7E"/>
    <w:rsid w:val="2F8EC159"/>
    <w:rsid w:val="300DD349"/>
    <w:rsid w:val="308FF629"/>
    <w:rsid w:val="3095847C"/>
    <w:rsid w:val="30EC2312"/>
    <w:rsid w:val="317B785D"/>
    <w:rsid w:val="318E5163"/>
    <w:rsid w:val="32000841"/>
    <w:rsid w:val="32E5E43B"/>
    <w:rsid w:val="32EE85DD"/>
    <w:rsid w:val="33A62924"/>
    <w:rsid w:val="33C53FE1"/>
    <w:rsid w:val="345F6635"/>
    <w:rsid w:val="349F1BC1"/>
    <w:rsid w:val="35EA01E5"/>
    <w:rsid w:val="35ED2924"/>
    <w:rsid w:val="35ED4E24"/>
    <w:rsid w:val="367F7F9F"/>
    <w:rsid w:val="36969B55"/>
    <w:rsid w:val="36E048F0"/>
    <w:rsid w:val="36EF31A1"/>
    <w:rsid w:val="36F7F30D"/>
    <w:rsid w:val="37110FAD"/>
    <w:rsid w:val="3738CD7F"/>
    <w:rsid w:val="394E9A63"/>
    <w:rsid w:val="39560009"/>
    <w:rsid w:val="3A48D2E1"/>
    <w:rsid w:val="3AE9D809"/>
    <w:rsid w:val="3B3AC9E8"/>
    <w:rsid w:val="3BE04961"/>
    <w:rsid w:val="3CE33BFB"/>
    <w:rsid w:val="3D49DE4F"/>
    <w:rsid w:val="3D630587"/>
    <w:rsid w:val="3D791273"/>
    <w:rsid w:val="3DCC882D"/>
    <w:rsid w:val="3EB461A1"/>
    <w:rsid w:val="3EB5A3BD"/>
    <w:rsid w:val="3F76463C"/>
    <w:rsid w:val="400A7C36"/>
    <w:rsid w:val="40B8EC5B"/>
    <w:rsid w:val="415FE7D4"/>
    <w:rsid w:val="41854EEB"/>
    <w:rsid w:val="41FD0908"/>
    <w:rsid w:val="4238A62E"/>
    <w:rsid w:val="424A802E"/>
    <w:rsid w:val="42D7E152"/>
    <w:rsid w:val="42D80F4A"/>
    <w:rsid w:val="42E90D11"/>
    <w:rsid w:val="42F58D23"/>
    <w:rsid w:val="444787FF"/>
    <w:rsid w:val="45407A3A"/>
    <w:rsid w:val="45E35860"/>
    <w:rsid w:val="464AE8CE"/>
    <w:rsid w:val="477F28C1"/>
    <w:rsid w:val="47A98470"/>
    <w:rsid w:val="47C2848F"/>
    <w:rsid w:val="480790AE"/>
    <w:rsid w:val="480F077F"/>
    <w:rsid w:val="486329B7"/>
    <w:rsid w:val="495E54F0"/>
    <w:rsid w:val="4A715314"/>
    <w:rsid w:val="4A77E4C6"/>
    <w:rsid w:val="4B087668"/>
    <w:rsid w:val="4B38BBD6"/>
    <w:rsid w:val="4BF461FB"/>
    <w:rsid w:val="4C15BFA8"/>
    <w:rsid w:val="4C8213CE"/>
    <w:rsid w:val="4C9AC27C"/>
    <w:rsid w:val="4CA7AE94"/>
    <w:rsid w:val="4CED445A"/>
    <w:rsid w:val="4D45B65F"/>
    <w:rsid w:val="4D9DFF49"/>
    <w:rsid w:val="4DF24CF7"/>
    <w:rsid w:val="4E710F91"/>
    <w:rsid w:val="4F0AEDD5"/>
    <w:rsid w:val="5012A081"/>
    <w:rsid w:val="5070C867"/>
    <w:rsid w:val="508A5856"/>
    <w:rsid w:val="5167B698"/>
    <w:rsid w:val="51B16491"/>
    <w:rsid w:val="525F76B5"/>
    <w:rsid w:val="529A36DD"/>
    <w:rsid w:val="53240F01"/>
    <w:rsid w:val="542C25F0"/>
    <w:rsid w:val="54BE4BCB"/>
    <w:rsid w:val="55821BE4"/>
    <w:rsid w:val="55C0EBB5"/>
    <w:rsid w:val="55E9877B"/>
    <w:rsid w:val="560E8EE0"/>
    <w:rsid w:val="5652888B"/>
    <w:rsid w:val="57324E20"/>
    <w:rsid w:val="57C301B6"/>
    <w:rsid w:val="582AE1E4"/>
    <w:rsid w:val="586A8D08"/>
    <w:rsid w:val="5923B9F4"/>
    <w:rsid w:val="59D22B81"/>
    <w:rsid w:val="59E0FE48"/>
    <w:rsid w:val="5A1D0B68"/>
    <w:rsid w:val="5A2584D3"/>
    <w:rsid w:val="5AF831E3"/>
    <w:rsid w:val="5BBC9E66"/>
    <w:rsid w:val="5BDF1BDA"/>
    <w:rsid w:val="5C35B247"/>
    <w:rsid w:val="5CC1CA0F"/>
    <w:rsid w:val="5D8621CA"/>
    <w:rsid w:val="5D87F832"/>
    <w:rsid w:val="5E67014A"/>
    <w:rsid w:val="5E842E3C"/>
    <w:rsid w:val="5F00BB6D"/>
    <w:rsid w:val="5F09491D"/>
    <w:rsid w:val="5F591842"/>
    <w:rsid w:val="5F7F65F6"/>
    <w:rsid w:val="602C5DC5"/>
    <w:rsid w:val="604C794C"/>
    <w:rsid w:val="6054BA5C"/>
    <w:rsid w:val="605F5C34"/>
    <w:rsid w:val="60F385F1"/>
    <w:rsid w:val="614FA62D"/>
    <w:rsid w:val="61F56299"/>
    <w:rsid w:val="62D7E2A9"/>
    <w:rsid w:val="63BF4320"/>
    <w:rsid w:val="642DF5BE"/>
    <w:rsid w:val="6468DA65"/>
    <w:rsid w:val="64FCB3F6"/>
    <w:rsid w:val="6653751A"/>
    <w:rsid w:val="66D1122D"/>
    <w:rsid w:val="672BE61B"/>
    <w:rsid w:val="675C6F48"/>
    <w:rsid w:val="67753DC0"/>
    <w:rsid w:val="67C9C707"/>
    <w:rsid w:val="6803BE2A"/>
    <w:rsid w:val="68867D0E"/>
    <w:rsid w:val="68F83FA9"/>
    <w:rsid w:val="6949BCF3"/>
    <w:rsid w:val="6994B80A"/>
    <w:rsid w:val="69E150CE"/>
    <w:rsid w:val="69FD5885"/>
    <w:rsid w:val="6A134CF5"/>
    <w:rsid w:val="6A72FB22"/>
    <w:rsid w:val="6B5F7518"/>
    <w:rsid w:val="6BBB0E40"/>
    <w:rsid w:val="6C08ACB5"/>
    <w:rsid w:val="6C16EC37"/>
    <w:rsid w:val="6C1A2862"/>
    <w:rsid w:val="6D2CC727"/>
    <w:rsid w:val="6D9216BC"/>
    <w:rsid w:val="6DA3D6DA"/>
    <w:rsid w:val="6EA60222"/>
    <w:rsid w:val="701D0ACC"/>
    <w:rsid w:val="719D372E"/>
    <w:rsid w:val="7235E07A"/>
    <w:rsid w:val="72E8E4D6"/>
    <w:rsid w:val="732316D3"/>
    <w:rsid w:val="73AB4DB8"/>
    <w:rsid w:val="73F140C6"/>
    <w:rsid w:val="743A986B"/>
    <w:rsid w:val="74591305"/>
    <w:rsid w:val="74DB11F5"/>
    <w:rsid w:val="75471E19"/>
    <w:rsid w:val="75D46C10"/>
    <w:rsid w:val="75E17E95"/>
    <w:rsid w:val="7663CEE2"/>
    <w:rsid w:val="76EAAA28"/>
    <w:rsid w:val="78B3B47B"/>
    <w:rsid w:val="7910B5EA"/>
    <w:rsid w:val="7926C187"/>
    <w:rsid w:val="7A178592"/>
    <w:rsid w:val="7BA415A3"/>
    <w:rsid w:val="7BAD4422"/>
    <w:rsid w:val="7BCD4772"/>
    <w:rsid w:val="7BDC2F20"/>
    <w:rsid w:val="7C5A3EFC"/>
    <w:rsid w:val="7C83BB6B"/>
    <w:rsid w:val="7C995018"/>
    <w:rsid w:val="7DD0713F"/>
    <w:rsid w:val="7E4A43BC"/>
    <w:rsid w:val="7E982E43"/>
    <w:rsid w:val="7F7439DC"/>
    <w:rsid w:val="7F80C9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8A073"/>
  <w15:docId w15:val="{C86B02A0-CFE3-4706-9971-DB9F1A40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65"/>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2F3365"/>
    <w:pPr>
      <w:spacing w:before="600" w:line="460" w:lineRule="exact"/>
      <w:outlineLvl w:val="0"/>
    </w:pPr>
    <w:rPr>
      <w:b/>
      <w:color w:val="5D779D" w:themeColor="accent3"/>
      <w:sz w:val="44"/>
    </w:rPr>
  </w:style>
  <w:style w:type="paragraph" w:styleId="Heading2">
    <w:name w:val="heading 2"/>
    <w:basedOn w:val="HeadingBase"/>
    <w:next w:val="Normal"/>
    <w:link w:val="Heading2Char"/>
    <w:qFormat/>
    <w:rsid w:val="002F3365"/>
    <w:pPr>
      <w:numPr>
        <w:numId w:val="23"/>
      </w:numPr>
      <w:spacing w:before="360" w:line="460" w:lineRule="exact"/>
      <w:ind w:left="397" w:hanging="397"/>
      <w:outlineLvl w:val="1"/>
    </w:pPr>
    <w:rPr>
      <w:bCs w:val="0"/>
      <w:iCs/>
      <w:color w:val="2C384A"/>
      <w:sz w:val="36"/>
      <w:szCs w:val="28"/>
    </w:rPr>
  </w:style>
  <w:style w:type="paragraph" w:styleId="Heading3">
    <w:name w:val="heading 3"/>
    <w:basedOn w:val="HeadingBase"/>
    <w:next w:val="Normal"/>
    <w:link w:val="Heading3Char"/>
    <w:qFormat/>
    <w:rsid w:val="002F3365"/>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2F3365"/>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2F3365"/>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2F3365"/>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rsid w:val="002F3365"/>
    <w:pPr>
      <w:spacing w:after="0"/>
      <w:outlineLvl w:val="6"/>
    </w:pPr>
    <w:rPr>
      <w:rFonts w:ascii="Arial" w:hAnsi="Arial"/>
      <w:color w:val="000080"/>
      <w:sz w:val="19"/>
      <w:u w:val="single"/>
    </w:rPr>
  </w:style>
  <w:style w:type="paragraph" w:styleId="Heading8">
    <w:name w:val="heading 8"/>
    <w:basedOn w:val="Normal"/>
    <w:next w:val="Normal"/>
    <w:link w:val="Heading8Char"/>
    <w:rsid w:val="002F3365"/>
    <w:pPr>
      <w:keepNext/>
      <w:spacing w:after="60" w:line="0" w:lineRule="atLeast"/>
      <w:outlineLvl w:val="7"/>
    </w:pPr>
    <w:rPr>
      <w:b/>
      <w:color w:val="000080"/>
    </w:rPr>
  </w:style>
  <w:style w:type="paragraph" w:styleId="Heading9">
    <w:name w:val="heading 9"/>
    <w:basedOn w:val="Normal"/>
    <w:next w:val="Normal"/>
    <w:link w:val="Heading9Char"/>
    <w:rsid w:val="002F3365"/>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qFormat/>
    <w:rsid w:val="002F3365"/>
    <w:pPr>
      <w:keepNext/>
      <w:spacing w:after="120" w:line="240" w:lineRule="auto"/>
    </w:pPr>
    <w:rPr>
      <w:rFonts w:ascii="Calibri" w:eastAsia="Times New Roman" w:hAnsi="Calibri" w:cs="Arial"/>
      <w:bCs/>
      <w:color w:val="002C4A"/>
      <w:kern w:val="32"/>
      <w:sz w:val="48"/>
      <w:szCs w:val="36"/>
      <w:lang w:eastAsia="en-AU"/>
    </w:rPr>
  </w:style>
  <w:style w:type="character" w:customStyle="1" w:styleId="Heading1Char">
    <w:name w:val="Heading 1 Char"/>
    <w:basedOn w:val="DefaultParagraphFont"/>
    <w:link w:val="Heading1"/>
    <w:rsid w:val="002F3365"/>
    <w:rPr>
      <w:rFonts w:ascii="Calibri" w:eastAsia="Times New Roman" w:hAnsi="Calibri" w:cs="Arial"/>
      <w:b/>
      <w:bCs/>
      <w:color w:val="5D779D" w:themeColor="accent3"/>
      <w:kern w:val="32"/>
      <w:sz w:val="44"/>
      <w:szCs w:val="36"/>
      <w:lang w:eastAsia="en-AU"/>
    </w:rPr>
  </w:style>
  <w:style w:type="character" w:customStyle="1" w:styleId="Heading2Char">
    <w:name w:val="Heading 2 Char"/>
    <w:basedOn w:val="DefaultParagraphFont"/>
    <w:link w:val="Heading2"/>
    <w:rsid w:val="002F3365"/>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2F3365"/>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2F3365"/>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2F3365"/>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2F3365"/>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2F3365"/>
    <w:rPr>
      <w:rFonts w:ascii="Arial" w:eastAsia="Times New Roman" w:hAnsi="Arial" w:cs="Times New Roman"/>
      <w:color w:val="000080"/>
      <w:sz w:val="19"/>
      <w:szCs w:val="20"/>
      <w:u w:val="single"/>
      <w:lang w:eastAsia="en-AU"/>
    </w:rPr>
  </w:style>
  <w:style w:type="character" w:customStyle="1" w:styleId="Heading8Char">
    <w:name w:val="Heading 8 Char"/>
    <w:basedOn w:val="DefaultParagraphFont"/>
    <w:link w:val="Heading8"/>
    <w:rsid w:val="002F3365"/>
    <w:rPr>
      <w:rFonts w:ascii="Calibri Light" w:eastAsia="Times New Roman" w:hAnsi="Calibri Light" w:cs="Times New Roman"/>
      <w:b/>
      <w:color w:val="000080"/>
      <w:szCs w:val="20"/>
      <w:lang w:eastAsia="en-AU"/>
    </w:rPr>
  </w:style>
  <w:style w:type="character" w:customStyle="1" w:styleId="Heading9Char">
    <w:name w:val="Heading 9 Char"/>
    <w:basedOn w:val="DefaultParagraphFont"/>
    <w:link w:val="Heading9"/>
    <w:rsid w:val="002F3365"/>
    <w:rPr>
      <w:rFonts w:ascii="Calibri Light" w:eastAsia="Times New Roman" w:hAnsi="Calibri Light" w:cs="Times New Roman"/>
      <w:color w:val="000080"/>
      <w:szCs w:val="20"/>
      <w:u w:val="single"/>
      <w:lang w:eastAsia="en-AU"/>
    </w:rPr>
  </w:style>
  <w:style w:type="paragraph" w:customStyle="1" w:styleId="ChartGraphic">
    <w:name w:val="Chart Graphic"/>
    <w:basedOn w:val="Normal"/>
    <w:next w:val="Normal"/>
    <w:rsid w:val="002F3365"/>
    <w:pPr>
      <w:keepNext/>
      <w:spacing w:before="0" w:after="0"/>
      <w:jc w:val="center"/>
    </w:pPr>
    <w:rPr>
      <w:color w:val="004A7F"/>
      <w:sz w:val="20"/>
    </w:rPr>
  </w:style>
  <w:style w:type="paragraph" w:customStyle="1" w:styleId="TableGraphic">
    <w:name w:val="Table Graphic"/>
    <w:basedOn w:val="HeadingBase"/>
    <w:next w:val="Normal"/>
    <w:qFormat/>
    <w:rsid w:val="002F3365"/>
    <w:pPr>
      <w:spacing w:after="0"/>
    </w:pPr>
  </w:style>
  <w:style w:type="paragraph" w:customStyle="1" w:styleId="AlphaParagraph">
    <w:name w:val="Alpha Paragraph"/>
    <w:basedOn w:val="Normal"/>
    <w:qFormat/>
    <w:rsid w:val="002F3365"/>
    <w:pPr>
      <w:numPr>
        <w:numId w:val="2"/>
      </w:numPr>
    </w:pPr>
  </w:style>
  <w:style w:type="paragraph" w:customStyle="1" w:styleId="AppendixHeading">
    <w:name w:val="Appendix Heading"/>
    <w:basedOn w:val="Heading1"/>
    <w:next w:val="Normal"/>
    <w:rsid w:val="002F3365"/>
    <w:pPr>
      <w:spacing w:before="720" w:after="360"/>
    </w:pPr>
    <w:rPr>
      <w:sz w:val="36"/>
    </w:rPr>
  </w:style>
  <w:style w:type="paragraph" w:styleId="BalloonText">
    <w:name w:val="Balloon Text"/>
    <w:basedOn w:val="Normal"/>
    <w:link w:val="BalloonTextChar"/>
    <w:rsid w:val="002F3365"/>
    <w:pPr>
      <w:spacing w:after="0"/>
    </w:pPr>
    <w:rPr>
      <w:rFonts w:ascii="Tahoma" w:hAnsi="Tahoma" w:cs="Tahoma"/>
      <w:sz w:val="16"/>
      <w:szCs w:val="16"/>
    </w:rPr>
  </w:style>
  <w:style w:type="character" w:customStyle="1" w:styleId="BalloonTextChar">
    <w:name w:val="Balloon Text Char"/>
    <w:basedOn w:val="DefaultParagraphFont"/>
    <w:link w:val="BalloonText"/>
    <w:rsid w:val="002F3365"/>
    <w:rPr>
      <w:rFonts w:ascii="Tahoma" w:eastAsia="Times New Roman" w:hAnsi="Tahoma" w:cs="Tahoma"/>
      <w:sz w:val="16"/>
      <w:szCs w:val="16"/>
      <w:lang w:eastAsia="en-AU"/>
    </w:rPr>
  </w:style>
  <w:style w:type="character" w:customStyle="1" w:styleId="Bold">
    <w:name w:val="Bold"/>
    <w:basedOn w:val="DefaultParagraphFont"/>
    <w:rsid w:val="002F3365"/>
    <w:rPr>
      <w:b/>
    </w:rPr>
  </w:style>
  <w:style w:type="paragraph" w:customStyle="1" w:styleId="BoxTextBase">
    <w:name w:val="Box Text Base"/>
    <w:basedOn w:val="Normal"/>
    <w:rsid w:val="002F3365"/>
  </w:style>
  <w:style w:type="paragraph" w:customStyle="1" w:styleId="BoxHeading">
    <w:name w:val="Box Heading"/>
    <w:basedOn w:val="Normal"/>
    <w:next w:val="Normal"/>
    <w:rsid w:val="002F3365"/>
    <w:pPr>
      <w:keepNext/>
      <w:spacing w:before="240"/>
    </w:pPr>
    <w:rPr>
      <w:b/>
      <w:color w:val="2C384A" w:themeColor="accent1"/>
      <w:sz w:val="26"/>
      <w:szCs w:val="26"/>
    </w:rPr>
  </w:style>
  <w:style w:type="paragraph" w:customStyle="1" w:styleId="BoxText">
    <w:name w:val="Box Text"/>
    <w:basedOn w:val="Normal"/>
    <w:link w:val="BoxTextChar"/>
    <w:rsid w:val="002F3365"/>
  </w:style>
  <w:style w:type="paragraph" w:customStyle="1" w:styleId="Bullet">
    <w:name w:val="Bullet"/>
    <w:basedOn w:val="Normal"/>
    <w:link w:val="BulletChar"/>
    <w:rsid w:val="002F3365"/>
    <w:pPr>
      <w:numPr>
        <w:numId w:val="20"/>
      </w:numPr>
      <w:tabs>
        <w:tab w:val="clear" w:pos="520"/>
        <w:tab w:val="left" w:pos="720"/>
      </w:tabs>
      <w:spacing w:after="0" w:line="276" w:lineRule="auto"/>
    </w:pPr>
  </w:style>
  <w:style w:type="paragraph" w:styleId="NormalIndent">
    <w:name w:val="Normal Indent"/>
    <w:basedOn w:val="Normal"/>
    <w:rsid w:val="002F3365"/>
    <w:pPr>
      <w:ind w:left="567"/>
    </w:pPr>
    <w:rPr>
      <w:rFonts w:ascii="Book Antiqua" w:hAnsi="Book Antiqua"/>
      <w:sz w:val="20"/>
    </w:rPr>
  </w:style>
  <w:style w:type="paragraph" w:customStyle="1" w:styleId="ChartandTableFootnoteAlpha">
    <w:name w:val="Chart and Table Footnote Alpha"/>
    <w:rsid w:val="002F3365"/>
    <w:pPr>
      <w:numPr>
        <w:numId w:val="2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2F3365"/>
    <w:pPr>
      <w:jc w:val="center"/>
    </w:pPr>
  </w:style>
  <w:style w:type="paragraph" w:customStyle="1" w:styleId="ChartorTableNote">
    <w:name w:val="Chart or Table Note"/>
    <w:next w:val="Normal"/>
    <w:rsid w:val="002F3365"/>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F3365"/>
    <w:pPr>
      <w:jc w:val="center"/>
    </w:pPr>
    <w:rPr>
      <w:bCs/>
    </w:rPr>
  </w:style>
  <w:style w:type="paragraph" w:customStyle="1" w:styleId="Classification">
    <w:name w:val="Classification"/>
    <w:basedOn w:val="HeadingBase"/>
    <w:next w:val="Footer"/>
    <w:rsid w:val="002F3365"/>
    <w:pPr>
      <w:jc w:val="center"/>
    </w:pPr>
    <w:rPr>
      <w:b/>
      <w:smallCaps/>
    </w:rPr>
  </w:style>
  <w:style w:type="paragraph" w:styleId="Footer">
    <w:name w:val="footer"/>
    <w:basedOn w:val="Normal"/>
    <w:link w:val="FooterChar"/>
    <w:uiPriority w:val="99"/>
    <w:rsid w:val="002F3365"/>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2F3365"/>
    <w:rPr>
      <w:rFonts w:ascii="Arial" w:eastAsia="Times New Roman" w:hAnsi="Arial" w:cs="Times New Roman"/>
      <w:color w:val="003157"/>
      <w:sz w:val="18"/>
      <w:szCs w:val="20"/>
      <w:lang w:eastAsia="en-AU"/>
    </w:rPr>
  </w:style>
  <w:style w:type="paragraph" w:customStyle="1" w:styleId="ContentsHeading">
    <w:name w:val="Contents Heading"/>
    <w:basedOn w:val="Normal"/>
    <w:next w:val="Normal"/>
    <w:rsid w:val="002F3365"/>
    <w:pPr>
      <w:spacing w:before="600"/>
    </w:pPr>
    <w:rPr>
      <w:rFonts w:asciiTheme="majorHAnsi" w:hAnsiTheme="majorHAnsi"/>
      <w:b/>
      <w:color w:val="5D779D" w:themeColor="accent3"/>
      <w:kern w:val="28"/>
      <w:sz w:val="44"/>
    </w:rPr>
  </w:style>
  <w:style w:type="paragraph" w:customStyle="1" w:styleId="Dash">
    <w:name w:val="Dash"/>
    <w:basedOn w:val="Normal"/>
    <w:rsid w:val="002F3365"/>
    <w:pPr>
      <w:numPr>
        <w:ilvl w:val="1"/>
        <w:numId w:val="1"/>
      </w:numPr>
    </w:pPr>
  </w:style>
  <w:style w:type="paragraph" w:customStyle="1" w:styleId="DoubleDot">
    <w:name w:val="Double Dot"/>
    <w:basedOn w:val="Normal"/>
    <w:link w:val="DoubleDotChar"/>
    <w:uiPriority w:val="99"/>
    <w:qFormat/>
    <w:rsid w:val="002F3365"/>
    <w:pPr>
      <w:numPr>
        <w:ilvl w:val="2"/>
        <w:numId w:val="1"/>
      </w:numPr>
      <w:spacing w:before="0"/>
    </w:pPr>
  </w:style>
  <w:style w:type="paragraph" w:customStyle="1" w:styleId="TableMainHeading">
    <w:name w:val="Table Main Heading"/>
    <w:basedOn w:val="Heading3"/>
    <w:next w:val="Normal"/>
    <w:rsid w:val="002F3365"/>
    <w:pPr>
      <w:spacing w:before="120"/>
    </w:pPr>
    <w:rPr>
      <w:b w:val="0"/>
      <w:sz w:val="26"/>
    </w:rPr>
  </w:style>
  <w:style w:type="paragraph" w:customStyle="1" w:styleId="FooterCentered">
    <w:name w:val="Footer Centered"/>
    <w:basedOn w:val="Footer"/>
    <w:rsid w:val="002F3365"/>
    <w:pPr>
      <w:jc w:val="center"/>
    </w:pPr>
  </w:style>
  <w:style w:type="paragraph" w:customStyle="1" w:styleId="FooterEven">
    <w:name w:val="Footer Even"/>
    <w:basedOn w:val="Footer"/>
    <w:rsid w:val="002F3365"/>
    <w:pPr>
      <w:keepNext/>
      <w:tabs>
        <w:tab w:val="clear" w:pos="5670"/>
      </w:tabs>
      <w:spacing w:before="0"/>
      <w:jc w:val="left"/>
    </w:pPr>
    <w:rPr>
      <w:rFonts w:ascii="Calibri Light" w:hAnsi="Calibri Light"/>
      <w:noProof/>
      <w:color w:val="2C384A" w:themeColor="accent1"/>
      <w:sz w:val="20"/>
    </w:rPr>
  </w:style>
  <w:style w:type="paragraph" w:customStyle="1" w:styleId="FooterOdd">
    <w:name w:val="Footer Odd"/>
    <w:basedOn w:val="Footer"/>
    <w:rsid w:val="002F3365"/>
    <w:pPr>
      <w:keepNext/>
      <w:tabs>
        <w:tab w:val="clear" w:pos="5670"/>
      </w:tabs>
      <w:spacing w:before="0"/>
    </w:pPr>
    <w:rPr>
      <w:rFonts w:ascii="Calibri Light" w:hAnsi="Calibri Light"/>
      <w:color w:val="2C384A" w:themeColor="accent1"/>
      <w:sz w:val="20"/>
    </w:rPr>
  </w:style>
  <w:style w:type="character" w:styleId="FootnoteReference">
    <w:name w:val="footnote reference"/>
    <w:basedOn w:val="DefaultParagraphFont"/>
    <w:uiPriority w:val="99"/>
    <w:rsid w:val="00AB0792"/>
    <w:rPr>
      <w:sz w:val="18"/>
      <w:vertAlign w:val="superscript"/>
    </w:rPr>
  </w:style>
  <w:style w:type="paragraph" w:styleId="FootnoteText">
    <w:name w:val="footnote text"/>
    <w:basedOn w:val="Normal"/>
    <w:link w:val="FootnoteTextChar"/>
    <w:uiPriority w:val="99"/>
    <w:rsid w:val="002F3365"/>
    <w:pPr>
      <w:spacing w:before="0" w:after="0"/>
      <w:ind w:left="397" w:hanging="397"/>
    </w:pPr>
    <w:rPr>
      <w:sz w:val="20"/>
    </w:rPr>
  </w:style>
  <w:style w:type="character" w:customStyle="1" w:styleId="FootnoteTextChar">
    <w:name w:val="Footnote Text Char"/>
    <w:basedOn w:val="DefaultParagraphFont"/>
    <w:link w:val="FootnoteText"/>
    <w:uiPriority w:val="99"/>
    <w:rsid w:val="002F3365"/>
    <w:rPr>
      <w:rFonts w:ascii="Calibri Light" w:eastAsia="Times New Roman" w:hAnsi="Calibri Light" w:cs="Times New Roman"/>
      <w:sz w:val="20"/>
      <w:szCs w:val="20"/>
      <w:lang w:eastAsia="en-AU"/>
    </w:rPr>
  </w:style>
  <w:style w:type="character" w:customStyle="1" w:styleId="FramedFooter">
    <w:name w:val="Framed Footer"/>
    <w:rsid w:val="002F3365"/>
    <w:rPr>
      <w:rFonts w:ascii="Arial" w:hAnsi="Arial"/>
      <w:sz w:val="18"/>
    </w:rPr>
  </w:style>
  <w:style w:type="character" w:customStyle="1" w:styleId="FramedHeader">
    <w:name w:val="Framed Header"/>
    <w:basedOn w:val="DefaultParagraphFont"/>
    <w:rsid w:val="002F3365"/>
    <w:rPr>
      <w:rFonts w:ascii="Arial" w:hAnsi="Arial"/>
      <w:dstrike w:val="0"/>
      <w:color w:val="auto"/>
      <w:sz w:val="18"/>
      <w:vertAlign w:val="baseline"/>
    </w:rPr>
  </w:style>
  <w:style w:type="paragraph" w:styleId="Header">
    <w:name w:val="header"/>
    <w:basedOn w:val="HeadingBaseStyle"/>
    <w:link w:val="HeaderChar"/>
    <w:rsid w:val="002F3365"/>
    <w:pPr>
      <w:jc w:val="center"/>
    </w:pPr>
    <w:rPr>
      <w:sz w:val="18"/>
    </w:rPr>
  </w:style>
  <w:style w:type="character" w:customStyle="1" w:styleId="HeaderChar">
    <w:name w:val="Header Char"/>
    <w:basedOn w:val="DefaultParagraphFont"/>
    <w:link w:val="Header"/>
    <w:rsid w:val="002F3365"/>
    <w:rPr>
      <w:rFonts w:ascii="Arial" w:eastAsia="Times New Roman" w:hAnsi="Arial" w:cs="Times New Roman"/>
      <w:color w:val="2C384A" w:themeColor="accent1"/>
      <w:sz w:val="18"/>
      <w:szCs w:val="20"/>
      <w:lang w:eastAsia="en-AU"/>
    </w:rPr>
  </w:style>
  <w:style w:type="paragraph" w:customStyle="1" w:styleId="HeaderEven">
    <w:name w:val="Header Even"/>
    <w:basedOn w:val="Header"/>
    <w:qFormat/>
    <w:rsid w:val="002F3365"/>
    <w:pPr>
      <w:spacing w:before="0"/>
      <w:jc w:val="left"/>
    </w:pPr>
    <w:rPr>
      <w:rFonts w:ascii="Calibri Light" w:hAnsi="Calibri Light"/>
      <w:color w:val="002C47"/>
      <w:sz w:val="20"/>
    </w:rPr>
  </w:style>
  <w:style w:type="paragraph" w:customStyle="1" w:styleId="HeaderOdd">
    <w:name w:val="Header Odd"/>
    <w:basedOn w:val="Header"/>
    <w:qFormat/>
    <w:rsid w:val="002F3365"/>
    <w:pPr>
      <w:spacing w:before="0"/>
      <w:jc w:val="right"/>
    </w:pPr>
    <w:rPr>
      <w:rFonts w:ascii="Calibri Light" w:hAnsi="Calibri Light"/>
      <w:color w:val="002C47"/>
      <w:sz w:val="20"/>
    </w:rPr>
  </w:style>
  <w:style w:type="character" w:styleId="Hyperlink">
    <w:name w:val="Hyperlink"/>
    <w:basedOn w:val="DefaultParagraphFont"/>
    <w:uiPriority w:val="99"/>
    <w:rsid w:val="002F3365"/>
    <w:rPr>
      <w:color w:val="3A6FAF"/>
      <w:u w:val="none"/>
    </w:rPr>
  </w:style>
  <w:style w:type="character" w:customStyle="1" w:styleId="italic">
    <w:name w:val="italic"/>
    <w:basedOn w:val="DefaultParagraphFont"/>
    <w:rsid w:val="002F3365"/>
    <w:rPr>
      <w:i/>
    </w:rPr>
  </w:style>
  <w:style w:type="paragraph" w:styleId="NormalWeb">
    <w:name w:val="Normal (Web)"/>
    <w:basedOn w:val="Normal"/>
    <w:uiPriority w:val="99"/>
    <w:unhideWhenUsed/>
    <w:rsid w:val="002F3365"/>
    <w:pPr>
      <w:spacing w:before="100" w:beforeAutospacing="1" w:after="100" w:afterAutospacing="1"/>
    </w:pPr>
    <w:rPr>
      <w:rFonts w:ascii="Times New Roman" w:hAnsi="Times New Roman"/>
      <w:szCs w:val="24"/>
    </w:rPr>
  </w:style>
  <w:style w:type="paragraph" w:customStyle="1" w:styleId="OutlineNumbered1">
    <w:name w:val="Outline Numbered 1"/>
    <w:basedOn w:val="Normal"/>
    <w:rsid w:val="002F3365"/>
    <w:pPr>
      <w:numPr>
        <w:numId w:val="8"/>
      </w:numPr>
    </w:pPr>
  </w:style>
  <w:style w:type="paragraph" w:customStyle="1" w:styleId="OneLevelNumberedParagraph">
    <w:name w:val="One Level Numbered Paragraph"/>
    <w:basedOn w:val="Normal"/>
    <w:rsid w:val="002F3365"/>
    <w:pPr>
      <w:numPr>
        <w:numId w:val="7"/>
      </w:numPr>
    </w:pPr>
  </w:style>
  <w:style w:type="paragraph" w:customStyle="1" w:styleId="OutlineNumbered2">
    <w:name w:val="Outline Numbered 2"/>
    <w:basedOn w:val="Normal"/>
    <w:rsid w:val="002F3365"/>
    <w:pPr>
      <w:numPr>
        <w:ilvl w:val="1"/>
        <w:numId w:val="8"/>
      </w:numPr>
    </w:pPr>
  </w:style>
  <w:style w:type="paragraph" w:customStyle="1" w:styleId="OutlineNumbered3">
    <w:name w:val="Outline Numbered 3"/>
    <w:basedOn w:val="Normal"/>
    <w:rsid w:val="002F3365"/>
    <w:pPr>
      <w:numPr>
        <w:ilvl w:val="2"/>
        <w:numId w:val="8"/>
      </w:numPr>
    </w:pPr>
  </w:style>
  <w:style w:type="character" w:styleId="PageNumber">
    <w:name w:val="page number"/>
    <w:basedOn w:val="DefaultParagraphFont"/>
    <w:rsid w:val="002F3365"/>
    <w:rPr>
      <w:rFonts w:asciiTheme="minorHAnsi" w:hAnsiTheme="minorHAnsi"/>
      <w:color w:val="003057"/>
      <w:sz w:val="22"/>
    </w:rPr>
  </w:style>
  <w:style w:type="paragraph" w:customStyle="1" w:styleId="Romannumeral">
    <w:name w:val="Roman numeral"/>
    <w:basedOn w:val="Normal"/>
    <w:rsid w:val="002F3365"/>
    <w:pPr>
      <w:numPr>
        <w:numId w:val="10"/>
      </w:numPr>
    </w:pPr>
  </w:style>
  <w:style w:type="paragraph" w:customStyle="1" w:styleId="SingleParagraph">
    <w:name w:val="Single Paragraph"/>
    <w:basedOn w:val="Normal"/>
    <w:link w:val="SingleParagraphChar"/>
    <w:rsid w:val="002F3365"/>
    <w:pPr>
      <w:spacing w:before="0" w:after="0"/>
    </w:pPr>
  </w:style>
  <w:style w:type="paragraph" w:customStyle="1" w:styleId="TableSecondHeading">
    <w:name w:val="Table Second Heading"/>
    <w:basedOn w:val="Normal"/>
    <w:next w:val="Normal"/>
    <w:rsid w:val="002F3365"/>
    <w:pPr>
      <w:keepNext/>
      <w:spacing w:before="0" w:after="20"/>
    </w:pPr>
    <w:rPr>
      <w:color w:val="004A7F"/>
    </w:rPr>
  </w:style>
  <w:style w:type="paragraph" w:customStyle="1" w:styleId="TableTextBase">
    <w:name w:val="Table Text Base"/>
    <w:rsid w:val="002F3365"/>
    <w:pPr>
      <w:spacing w:before="40" w:after="40" w:line="240" w:lineRule="auto"/>
    </w:pPr>
    <w:rPr>
      <w:rFonts w:ascii="Calibri Light" w:eastAsia="Times New Roman" w:hAnsi="Calibri Light" w:cs="Times New Roman"/>
      <w:sz w:val="18"/>
      <w:szCs w:val="20"/>
      <w:lang w:eastAsia="en-AU"/>
    </w:rPr>
  </w:style>
  <w:style w:type="paragraph" w:customStyle="1" w:styleId="TableColumnHeadingCentred">
    <w:name w:val="Table Column Heading Centred"/>
    <w:basedOn w:val="TableTextLeft"/>
    <w:rsid w:val="002F3365"/>
    <w:pPr>
      <w:jc w:val="center"/>
    </w:pPr>
    <w:rPr>
      <w:b/>
      <w:color w:val="004A7F"/>
      <w:sz w:val="20"/>
    </w:rPr>
  </w:style>
  <w:style w:type="paragraph" w:customStyle="1" w:styleId="TableColumnHeadingBase">
    <w:name w:val="Table Column Heading Base"/>
    <w:basedOn w:val="Normal"/>
    <w:rsid w:val="002F3365"/>
    <w:pPr>
      <w:spacing w:before="40" w:after="40"/>
    </w:pPr>
    <w:rPr>
      <w:b/>
      <w:color w:val="5D779D" w:themeColor="accent3"/>
      <w:sz w:val="20"/>
    </w:rPr>
  </w:style>
  <w:style w:type="paragraph" w:customStyle="1" w:styleId="TableColumnHeadingLeft">
    <w:name w:val="Table Column Heading Left"/>
    <w:basedOn w:val="TableTextLeft"/>
    <w:rsid w:val="002F3365"/>
    <w:rPr>
      <w:b/>
      <w:color w:val="004A7F"/>
      <w:sz w:val="20"/>
    </w:rPr>
  </w:style>
  <w:style w:type="paragraph" w:customStyle="1" w:styleId="TableColumnHeadingRight">
    <w:name w:val="Table Column Heading Right"/>
    <w:basedOn w:val="TableTextLeft"/>
    <w:rsid w:val="002F3365"/>
    <w:pPr>
      <w:jc w:val="right"/>
    </w:pPr>
    <w:rPr>
      <w:b/>
      <w:color w:val="004A7F"/>
      <w:sz w:val="20"/>
    </w:rPr>
  </w:style>
  <w:style w:type="table" w:styleId="TableGrid">
    <w:name w:val="Table Grid"/>
    <w:basedOn w:val="TableNormal"/>
    <w:rsid w:val="002F3365"/>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MainHeadingContd">
    <w:name w:val="Table Main Heading Contd"/>
    <w:basedOn w:val="HeadingBase"/>
    <w:next w:val="TableGraphic"/>
    <w:rsid w:val="002F3365"/>
    <w:pPr>
      <w:pageBreakBefore/>
      <w:spacing w:after="20"/>
    </w:pPr>
    <w:rPr>
      <w:b/>
      <w:color w:val="2C384A" w:themeColor="accent1"/>
      <w:sz w:val="22"/>
    </w:rPr>
  </w:style>
  <w:style w:type="paragraph" w:customStyle="1" w:styleId="TableTextCentered">
    <w:name w:val="Table Text Centered"/>
    <w:basedOn w:val="TableTextRight"/>
    <w:rsid w:val="002F3365"/>
    <w:pPr>
      <w:jc w:val="center"/>
    </w:pPr>
  </w:style>
  <w:style w:type="paragraph" w:customStyle="1" w:styleId="TableTextIndented">
    <w:name w:val="Table Text Indented"/>
    <w:basedOn w:val="TableTextLeft"/>
    <w:qFormat/>
    <w:rsid w:val="002F3365"/>
    <w:pPr>
      <w:ind w:left="284"/>
    </w:pPr>
  </w:style>
  <w:style w:type="paragraph" w:customStyle="1" w:styleId="TableTextLeft">
    <w:name w:val="Table Text Left"/>
    <w:basedOn w:val="TableTextRight"/>
    <w:rsid w:val="002F3365"/>
    <w:pPr>
      <w:jc w:val="left"/>
    </w:pPr>
  </w:style>
  <w:style w:type="paragraph" w:customStyle="1" w:styleId="TableTextRight">
    <w:name w:val="Table Text Right"/>
    <w:basedOn w:val="Normal"/>
    <w:rsid w:val="002F3365"/>
    <w:pPr>
      <w:spacing w:before="40" w:after="40"/>
      <w:jc w:val="right"/>
    </w:pPr>
    <w:rPr>
      <w:color w:val="000000"/>
      <w:sz w:val="18"/>
    </w:rPr>
  </w:style>
  <w:style w:type="paragraph" w:styleId="TOC1">
    <w:name w:val="toc 1"/>
    <w:basedOn w:val="Normal"/>
    <w:next w:val="Normal"/>
    <w:uiPriority w:val="39"/>
    <w:qFormat/>
    <w:rsid w:val="002F3365"/>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2F3365"/>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F3365"/>
    <w:pPr>
      <w:tabs>
        <w:tab w:val="right" w:leader="dot" w:pos="9072"/>
      </w:tabs>
      <w:spacing w:before="20" w:after="0"/>
      <w:ind w:left="284" w:right="-2"/>
    </w:pPr>
    <w:rPr>
      <w:rFonts w:cs="Calibri"/>
      <w:noProof/>
    </w:rPr>
  </w:style>
  <w:style w:type="paragraph" w:styleId="TOC4">
    <w:name w:val="toc 4"/>
    <w:basedOn w:val="Normal"/>
    <w:next w:val="Normal"/>
    <w:autoRedefine/>
    <w:rsid w:val="002F3365"/>
    <w:pPr>
      <w:tabs>
        <w:tab w:val="left" w:pos="1531"/>
        <w:tab w:val="right" w:leader="dot" w:pos="7711"/>
      </w:tabs>
      <w:ind w:left="1560" w:hanging="959"/>
    </w:pPr>
    <w:rPr>
      <w:noProof/>
    </w:rPr>
  </w:style>
  <w:style w:type="character" w:customStyle="1" w:styleId="BoldandItalic">
    <w:name w:val="Bold and Italic"/>
    <w:basedOn w:val="DefaultParagraphFont"/>
    <w:rsid w:val="002F3365"/>
    <w:rPr>
      <w:rFonts w:ascii="Arial" w:hAnsi="Arial"/>
      <w:b/>
      <w:i/>
    </w:rPr>
  </w:style>
  <w:style w:type="paragraph" w:styleId="DocumentMap">
    <w:name w:val="Document Map"/>
    <w:basedOn w:val="Normal"/>
    <w:link w:val="DocumentMapChar"/>
    <w:semiHidden/>
    <w:rsid w:val="002F3365"/>
    <w:pPr>
      <w:shd w:val="clear" w:color="auto" w:fill="00CCFF"/>
    </w:pPr>
    <w:rPr>
      <w:rFonts w:ascii="Tahoma" w:hAnsi="Tahoma" w:cs="Tahoma"/>
    </w:rPr>
  </w:style>
  <w:style w:type="character" w:customStyle="1" w:styleId="DocumentMapChar">
    <w:name w:val="Document Map Char"/>
    <w:basedOn w:val="DefaultParagraphFont"/>
    <w:link w:val="DocumentMap"/>
    <w:semiHidden/>
    <w:rsid w:val="002F3365"/>
    <w:rPr>
      <w:rFonts w:ascii="Tahoma" w:eastAsia="Times New Roman" w:hAnsi="Tahoma" w:cs="Tahoma"/>
      <w:szCs w:val="20"/>
      <w:shd w:val="clear" w:color="auto" w:fill="00CCFF"/>
      <w:lang w:eastAsia="en-AU"/>
    </w:rPr>
  </w:style>
  <w:style w:type="character" w:styleId="EndnoteReference">
    <w:name w:val="endnote reference"/>
    <w:basedOn w:val="DefaultParagraphFont"/>
    <w:rsid w:val="002F3365"/>
    <w:rPr>
      <w:vertAlign w:val="superscript"/>
    </w:rPr>
  </w:style>
  <w:style w:type="paragraph" w:styleId="EndnoteText">
    <w:name w:val="endnote text"/>
    <w:basedOn w:val="Normal"/>
    <w:link w:val="EndnoteTextChar"/>
    <w:rsid w:val="002F3365"/>
    <w:pPr>
      <w:spacing w:after="0"/>
    </w:pPr>
    <w:rPr>
      <w:sz w:val="20"/>
    </w:rPr>
  </w:style>
  <w:style w:type="character" w:customStyle="1" w:styleId="EndnoteTextChar">
    <w:name w:val="Endnote Text Char"/>
    <w:basedOn w:val="DefaultParagraphFont"/>
    <w:link w:val="EndnoteText"/>
    <w:rsid w:val="002F3365"/>
    <w:rPr>
      <w:rFonts w:ascii="Calibri Light" w:eastAsia="Times New Roman" w:hAnsi="Calibri Light" w:cs="Times New Roman"/>
      <w:sz w:val="20"/>
      <w:szCs w:val="20"/>
      <w:lang w:eastAsia="en-AU"/>
    </w:rPr>
  </w:style>
  <w:style w:type="character" w:styleId="FollowedHyperlink">
    <w:name w:val="FollowedHyperlink"/>
    <w:basedOn w:val="DefaultParagraphFont"/>
    <w:rsid w:val="002F3365"/>
    <w:rPr>
      <w:color w:val="auto"/>
      <w:u w:val="none"/>
    </w:rPr>
  </w:style>
  <w:style w:type="paragraph" w:styleId="Index1">
    <w:name w:val="index 1"/>
    <w:basedOn w:val="Normal"/>
    <w:next w:val="Normal"/>
    <w:autoRedefine/>
    <w:semiHidden/>
    <w:rsid w:val="002F3365"/>
    <w:pPr>
      <w:spacing w:after="0"/>
      <w:ind w:left="238" w:hanging="238"/>
    </w:pPr>
  </w:style>
  <w:style w:type="paragraph" w:styleId="Index2">
    <w:name w:val="index 2"/>
    <w:basedOn w:val="Normal"/>
    <w:next w:val="Normal"/>
    <w:autoRedefine/>
    <w:semiHidden/>
    <w:rsid w:val="002F3365"/>
    <w:pPr>
      <w:spacing w:after="0"/>
      <w:ind w:left="480" w:hanging="240"/>
    </w:pPr>
    <w:rPr>
      <w:sz w:val="20"/>
    </w:rPr>
  </w:style>
  <w:style w:type="paragraph" w:styleId="Index3">
    <w:name w:val="index 3"/>
    <w:basedOn w:val="Normal"/>
    <w:next w:val="Normal"/>
    <w:autoRedefine/>
    <w:semiHidden/>
    <w:rsid w:val="002F3365"/>
    <w:pPr>
      <w:ind w:left="600" w:hanging="200"/>
    </w:pPr>
  </w:style>
  <w:style w:type="paragraph" w:styleId="Index4">
    <w:name w:val="index 4"/>
    <w:basedOn w:val="Normal"/>
    <w:next w:val="Normal"/>
    <w:autoRedefine/>
    <w:semiHidden/>
    <w:rsid w:val="002F3365"/>
    <w:pPr>
      <w:ind w:left="800" w:hanging="200"/>
    </w:pPr>
  </w:style>
  <w:style w:type="paragraph" w:styleId="Index5">
    <w:name w:val="index 5"/>
    <w:basedOn w:val="Normal"/>
    <w:next w:val="Normal"/>
    <w:autoRedefine/>
    <w:semiHidden/>
    <w:rsid w:val="002F3365"/>
    <w:pPr>
      <w:ind w:left="1000" w:hanging="200"/>
    </w:pPr>
  </w:style>
  <w:style w:type="paragraph" w:styleId="Index6">
    <w:name w:val="index 6"/>
    <w:basedOn w:val="Normal"/>
    <w:next w:val="Normal"/>
    <w:autoRedefine/>
    <w:semiHidden/>
    <w:rsid w:val="002F3365"/>
    <w:pPr>
      <w:ind w:left="1200" w:hanging="200"/>
    </w:pPr>
  </w:style>
  <w:style w:type="paragraph" w:styleId="Index7">
    <w:name w:val="index 7"/>
    <w:basedOn w:val="Normal"/>
    <w:next w:val="Normal"/>
    <w:autoRedefine/>
    <w:semiHidden/>
    <w:rsid w:val="002F3365"/>
    <w:pPr>
      <w:ind w:left="1400" w:hanging="200"/>
    </w:pPr>
  </w:style>
  <w:style w:type="paragraph" w:styleId="Index8">
    <w:name w:val="index 8"/>
    <w:basedOn w:val="Normal"/>
    <w:next w:val="Normal"/>
    <w:autoRedefine/>
    <w:semiHidden/>
    <w:rsid w:val="002F3365"/>
    <w:pPr>
      <w:ind w:left="1600" w:hanging="200"/>
    </w:pPr>
  </w:style>
  <w:style w:type="paragraph" w:styleId="Index9">
    <w:name w:val="index 9"/>
    <w:basedOn w:val="Normal"/>
    <w:next w:val="Normal"/>
    <w:autoRedefine/>
    <w:semiHidden/>
    <w:rsid w:val="002F3365"/>
    <w:pPr>
      <w:ind w:left="1800" w:hanging="200"/>
    </w:pPr>
  </w:style>
  <w:style w:type="paragraph" w:styleId="IndexHeading">
    <w:name w:val="index heading"/>
    <w:basedOn w:val="Normal"/>
    <w:next w:val="Index1"/>
    <w:semiHidden/>
    <w:rsid w:val="002F3365"/>
    <w:pPr>
      <w:pBdr>
        <w:top w:val="single" w:sz="12" w:space="0" w:color="auto"/>
      </w:pBdr>
      <w:spacing w:before="360"/>
    </w:pPr>
    <w:rPr>
      <w:rFonts w:ascii="Times New Roman" w:hAnsi="Times New Roman"/>
      <w:b/>
      <w:i/>
    </w:rPr>
  </w:style>
  <w:style w:type="paragraph" w:styleId="MacroText">
    <w:name w:val="macro"/>
    <w:link w:val="MacroTextChar"/>
    <w:semiHidden/>
    <w:rsid w:val="002F336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2F3365"/>
    <w:rPr>
      <w:rFonts w:ascii="Courier New" w:eastAsia="Times New Roman" w:hAnsi="Courier New" w:cs="Courier New"/>
      <w:color w:val="000000"/>
      <w:sz w:val="20"/>
      <w:szCs w:val="20"/>
      <w:lang w:eastAsia="en-AU"/>
    </w:rPr>
  </w:style>
  <w:style w:type="numbering" w:customStyle="1" w:styleId="OutlineList">
    <w:name w:val="OutlineList"/>
    <w:uiPriority w:val="99"/>
    <w:rsid w:val="002F3365"/>
    <w:pPr>
      <w:numPr>
        <w:numId w:val="4"/>
      </w:numPr>
    </w:pPr>
  </w:style>
  <w:style w:type="paragraph" w:customStyle="1" w:styleId="PictureCentred">
    <w:name w:val="Picture Centred"/>
    <w:basedOn w:val="Normal"/>
    <w:rsid w:val="002F3365"/>
    <w:pPr>
      <w:spacing w:line="240" w:lineRule="atLeast"/>
      <w:jc w:val="center"/>
    </w:pPr>
  </w:style>
  <w:style w:type="paragraph" w:customStyle="1" w:styleId="PictureLeft">
    <w:name w:val="Picture Left"/>
    <w:basedOn w:val="PictureCentred"/>
    <w:rsid w:val="002F3365"/>
    <w:pPr>
      <w:jc w:val="left"/>
    </w:pPr>
  </w:style>
  <w:style w:type="paragraph" w:customStyle="1" w:styleId="PictureIndent">
    <w:name w:val="Picture Indent"/>
    <w:basedOn w:val="PictureLeft"/>
    <w:rsid w:val="002F3365"/>
    <w:pPr>
      <w:ind w:left="284"/>
    </w:pPr>
  </w:style>
  <w:style w:type="paragraph" w:styleId="TableofAuthorities">
    <w:name w:val="table of authorities"/>
    <w:basedOn w:val="Normal"/>
    <w:next w:val="Normal"/>
    <w:rsid w:val="002F3365"/>
    <w:pPr>
      <w:ind w:left="200" w:hanging="200"/>
    </w:pPr>
  </w:style>
  <w:style w:type="paragraph" w:styleId="TableofFigures">
    <w:name w:val="table of figures"/>
    <w:basedOn w:val="Normal"/>
    <w:next w:val="Normal"/>
    <w:rsid w:val="002F3365"/>
  </w:style>
  <w:style w:type="paragraph" w:styleId="TOAHeading">
    <w:name w:val="toa heading"/>
    <w:basedOn w:val="Normal"/>
    <w:next w:val="Normal"/>
    <w:semiHidden/>
    <w:rsid w:val="002F3365"/>
    <w:rPr>
      <w:rFonts w:ascii="Arial" w:hAnsi="Arial" w:cs="Arial"/>
      <w:b/>
      <w:bCs/>
      <w:sz w:val="24"/>
      <w:szCs w:val="24"/>
    </w:rPr>
  </w:style>
  <w:style w:type="paragraph" w:styleId="TOC5">
    <w:name w:val="toc 5"/>
    <w:basedOn w:val="Normal"/>
    <w:next w:val="Normal"/>
    <w:autoRedefine/>
    <w:semiHidden/>
    <w:rsid w:val="002F3365"/>
    <w:pPr>
      <w:ind w:left="1040"/>
    </w:pPr>
  </w:style>
  <w:style w:type="paragraph" w:styleId="TOC6">
    <w:name w:val="toc 6"/>
    <w:basedOn w:val="Normal"/>
    <w:next w:val="Normal"/>
    <w:autoRedefine/>
    <w:semiHidden/>
    <w:rsid w:val="002F3365"/>
    <w:pPr>
      <w:ind w:left="1300"/>
    </w:pPr>
  </w:style>
  <w:style w:type="paragraph" w:styleId="TOC7">
    <w:name w:val="toc 7"/>
    <w:basedOn w:val="Normal"/>
    <w:next w:val="Normal"/>
    <w:autoRedefine/>
    <w:semiHidden/>
    <w:rsid w:val="002F3365"/>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2F3365"/>
    <w:pPr>
      <w:tabs>
        <w:tab w:val="right" w:leader="dot" w:pos="7711"/>
      </w:tabs>
      <w:spacing w:after="0"/>
      <w:ind w:left="1134"/>
    </w:pPr>
    <w:rPr>
      <w:noProof/>
    </w:rPr>
  </w:style>
  <w:style w:type="paragraph" w:styleId="TOC9">
    <w:name w:val="toc 9"/>
    <w:basedOn w:val="Normal"/>
    <w:next w:val="Normal"/>
    <w:autoRedefine/>
    <w:semiHidden/>
    <w:rsid w:val="002F3365"/>
    <w:pPr>
      <w:ind w:left="2080"/>
    </w:pPr>
  </w:style>
  <w:style w:type="numbering" w:customStyle="1" w:styleId="BulletedList">
    <w:name w:val="Bulleted List"/>
    <w:uiPriority w:val="99"/>
    <w:rsid w:val="002F3365"/>
    <w:pPr>
      <w:numPr>
        <w:numId w:val="1"/>
      </w:numPr>
    </w:pPr>
  </w:style>
  <w:style w:type="numbering" w:customStyle="1" w:styleId="BoxBulletedList">
    <w:name w:val="Box Bulleted List"/>
    <w:uiPriority w:val="99"/>
    <w:rsid w:val="002F3365"/>
    <w:pPr>
      <w:numPr>
        <w:numId w:val="19"/>
      </w:numPr>
    </w:pPr>
  </w:style>
  <w:style w:type="numbering" w:customStyle="1" w:styleId="AlphaParagraphList">
    <w:name w:val="Alpha Paragraph List"/>
    <w:uiPriority w:val="99"/>
    <w:rsid w:val="002F3365"/>
    <w:pPr>
      <w:numPr>
        <w:numId w:val="2"/>
      </w:numPr>
    </w:pPr>
  </w:style>
  <w:style w:type="numbering" w:customStyle="1" w:styleId="OneLevelList">
    <w:name w:val="OneLevelList"/>
    <w:uiPriority w:val="99"/>
    <w:rsid w:val="002F3365"/>
    <w:pPr>
      <w:numPr>
        <w:numId w:val="3"/>
      </w:numPr>
    </w:pPr>
  </w:style>
  <w:style w:type="numbering" w:customStyle="1" w:styleId="RecommendationBulletList">
    <w:name w:val="RecommendationBulletList"/>
    <w:uiPriority w:val="99"/>
    <w:rsid w:val="002F3365"/>
    <w:pPr>
      <w:numPr>
        <w:numId w:val="5"/>
      </w:numPr>
    </w:pPr>
  </w:style>
  <w:style w:type="numbering" w:customStyle="1" w:styleId="RomanNumeralList">
    <w:name w:val="RomanNumeralList"/>
    <w:uiPriority w:val="99"/>
    <w:rsid w:val="002F3365"/>
    <w:pPr>
      <w:numPr>
        <w:numId w:val="6"/>
      </w:numPr>
    </w:pPr>
  </w:style>
  <w:style w:type="numbering" w:customStyle="1" w:styleId="ChartandTableFootnoteAlphaList">
    <w:name w:val="ChartandTableFootnoteAlphaList"/>
    <w:uiPriority w:val="99"/>
    <w:rsid w:val="002F3365"/>
    <w:pPr>
      <w:numPr>
        <w:numId w:val="21"/>
      </w:numPr>
    </w:pPr>
  </w:style>
  <w:style w:type="paragraph" w:customStyle="1" w:styleId="TableTextBullet">
    <w:name w:val="Table Text Bullet"/>
    <w:basedOn w:val="TableTextBase"/>
    <w:rsid w:val="002F3365"/>
    <w:pPr>
      <w:numPr>
        <w:numId w:val="12"/>
      </w:numPr>
    </w:pPr>
  </w:style>
  <w:style w:type="numbering" w:customStyle="1" w:styleId="TableTestBulletList">
    <w:name w:val="Table Test Bullet List"/>
    <w:uiPriority w:val="99"/>
    <w:rsid w:val="002F3365"/>
    <w:pPr>
      <w:numPr>
        <w:numId w:val="11"/>
      </w:numPr>
    </w:pPr>
  </w:style>
  <w:style w:type="numbering" w:customStyle="1" w:styleId="TableTextBulletList">
    <w:name w:val="Table Text Bullet List"/>
    <w:uiPriority w:val="99"/>
    <w:rsid w:val="002F3365"/>
    <w:pPr>
      <w:numPr>
        <w:numId w:val="12"/>
      </w:numPr>
    </w:pPr>
  </w:style>
  <w:style w:type="paragraph" w:customStyle="1" w:styleId="SecurityClassificationHeader">
    <w:name w:val="Security Classification Header"/>
    <w:link w:val="SecurityClassificationHeaderChar"/>
    <w:rsid w:val="002F3365"/>
    <w:pPr>
      <w:spacing w:before="60" w:after="60" w:line="240" w:lineRule="auto"/>
      <w:jc w:val="center"/>
    </w:pPr>
    <w:rPr>
      <w:rFonts w:ascii="Arial" w:eastAsia="Times New Roman" w:hAnsi="Arial"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2F3365"/>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2F3365"/>
    <w:pPr>
      <w:spacing w:before="60" w:after="40" w:line="240" w:lineRule="auto"/>
      <w:jc w:val="center"/>
    </w:pPr>
    <w:rPr>
      <w:rFonts w:ascii="Arial" w:eastAsia="Times New Roman" w:hAnsi="Arial"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2F3365"/>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2F3365"/>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2F3365"/>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2F3365"/>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2F3365"/>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2F3365"/>
    <w:rPr>
      <w:rFonts w:asciiTheme="minorHAnsi" w:hAnsiTheme="minorHAnsi"/>
      <w:sz w:val="24"/>
    </w:rPr>
  </w:style>
  <w:style w:type="paragraph" w:styleId="Title">
    <w:name w:val="Title"/>
    <w:basedOn w:val="Normal"/>
    <w:next w:val="Normal"/>
    <w:link w:val="TitleChar"/>
    <w:uiPriority w:val="10"/>
    <w:qFormat/>
    <w:rsid w:val="002F3365"/>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2F3365"/>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HeadingBaseStyle"/>
    <w:link w:val="SubtitleChar"/>
    <w:qFormat/>
    <w:rsid w:val="002F3365"/>
    <w:pPr>
      <w:spacing w:before="360" w:after="360"/>
      <w:outlineLvl w:val="1"/>
    </w:pPr>
    <w:rPr>
      <w:rFonts w:asciiTheme="minorHAnsi" w:hAnsiTheme="minorHAnsi"/>
      <w:b/>
      <w:color w:val="auto"/>
      <w:sz w:val="40"/>
    </w:rPr>
  </w:style>
  <w:style w:type="character" w:customStyle="1" w:styleId="SubtitleChar">
    <w:name w:val="Subtitle Char"/>
    <w:basedOn w:val="DefaultParagraphFont"/>
    <w:link w:val="Subtitle"/>
    <w:rsid w:val="002F3365"/>
    <w:rPr>
      <w:rFonts w:eastAsia="Times New Roman" w:cs="Times New Roman"/>
      <w:b/>
      <w:sz w:val="40"/>
      <w:szCs w:val="20"/>
      <w:lang w:eastAsia="en-AU"/>
    </w:rPr>
  </w:style>
  <w:style w:type="paragraph" w:customStyle="1" w:styleId="SeriesNumber">
    <w:name w:val="Series Number"/>
    <w:basedOn w:val="HeadingBaseStyle"/>
    <w:rsid w:val="002F3365"/>
    <w:pPr>
      <w:spacing w:after="300"/>
    </w:pPr>
    <w:rPr>
      <w:rFonts w:asciiTheme="minorHAnsi" w:hAnsiTheme="minorHAnsi"/>
      <w:color w:val="auto"/>
      <w:sz w:val="32"/>
    </w:rPr>
  </w:style>
  <w:style w:type="character" w:customStyle="1" w:styleId="A5">
    <w:name w:val="A5"/>
    <w:uiPriority w:val="99"/>
    <w:rsid w:val="002F3365"/>
    <w:rPr>
      <w:rFonts w:cs="Swiss 721 BT"/>
      <w:color w:val="000000"/>
      <w:sz w:val="20"/>
      <w:szCs w:val="20"/>
    </w:rPr>
  </w:style>
  <w:style w:type="paragraph" w:customStyle="1" w:styleId="Abstract">
    <w:name w:val="Abstract"/>
    <w:basedOn w:val="Normal"/>
    <w:link w:val="AbstractChar"/>
    <w:qFormat/>
    <w:rsid w:val="002F3365"/>
  </w:style>
  <w:style w:type="character" w:customStyle="1" w:styleId="AbstractChar">
    <w:name w:val="Abstract Char"/>
    <w:basedOn w:val="DefaultParagraphFont"/>
    <w:link w:val="Abstract"/>
    <w:rsid w:val="002F3365"/>
    <w:rPr>
      <w:rFonts w:ascii="Calibri Light" w:eastAsia="Times New Roman" w:hAnsi="Calibri Light" w:cs="Times New Roman"/>
      <w:szCs w:val="20"/>
      <w:lang w:eastAsia="en-AU"/>
    </w:rPr>
  </w:style>
  <w:style w:type="paragraph" w:customStyle="1" w:styleId="AppendixHeadingLevel2NotNumbered">
    <w:name w:val="Appendix Heading Level 2 Not Numbered"/>
    <w:basedOn w:val="Heading2NotNumbered"/>
    <w:next w:val="Normal"/>
    <w:qFormat/>
    <w:rsid w:val="002F3365"/>
    <w:rPr>
      <w:szCs w:val="32"/>
    </w:rPr>
  </w:style>
  <w:style w:type="paragraph" w:customStyle="1" w:styleId="Acknowledgement">
    <w:name w:val="Acknowledgement"/>
    <w:basedOn w:val="Normal"/>
    <w:rsid w:val="002F3365"/>
    <w:pPr>
      <w:spacing w:after="0"/>
    </w:pPr>
  </w:style>
  <w:style w:type="paragraph" w:customStyle="1" w:styleId="Alphanumbered">
    <w:name w:val="Alpha numbered"/>
    <w:basedOn w:val="Normal"/>
    <w:rsid w:val="002F3365"/>
    <w:pPr>
      <w:numPr>
        <w:numId w:val="14"/>
      </w:numPr>
    </w:pPr>
  </w:style>
  <w:style w:type="paragraph" w:customStyle="1" w:styleId="HeadingBaseStyle">
    <w:name w:val="HeadingBaseStyle"/>
    <w:basedOn w:val="Normal"/>
    <w:rsid w:val="002F3365"/>
    <w:pPr>
      <w:keepNext/>
      <w:spacing w:after="0"/>
    </w:pPr>
    <w:rPr>
      <w:rFonts w:ascii="Arial" w:hAnsi="Arial"/>
      <w:color w:val="2C384A" w:themeColor="accent1"/>
    </w:rPr>
  </w:style>
  <w:style w:type="paragraph" w:customStyle="1" w:styleId="AppendixHeadingNotNumbered">
    <w:name w:val="Appendix Heading Not Numbered"/>
    <w:basedOn w:val="HeadingBaseStyle"/>
    <w:rsid w:val="002F3365"/>
    <w:pPr>
      <w:numPr>
        <w:numId w:val="15"/>
      </w:numPr>
      <w:spacing w:before="480" w:after="320"/>
    </w:pPr>
    <w:rPr>
      <w:b/>
      <w:smallCaps/>
      <w:sz w:val="32"/>
      <w:szCs w:val="28"/>
    </w:rPr>
  </w:style>
  <w:style w:type="paragraph" w:customStyle="1" w:styleId="AppendixHeadingLevel2">
    <w:name w:val="Appendix Heading Level 2"/>
    <w:basedOn w:val="AppendixHeadingNotNumbered"/>
    <w:next w:val="Normal"/>
    <w:rsid w:val="002F3365"/>
    <w:pPr>
      <w:numPr>
        <w:ilvl w:val="1"/>
      </w:numPr>
      <w:tabs>
        <w:tab w:val="clear" w:pos="1134"/>
      </w:tabs>
      <w:spacing w:before="360" w:after="120"/>
      <w:ind w:left="851" w:hanging="851"/>
    </w:pPr>
    <w:rPr>
      <w:rFonts w:asciiTheme="minorHAnsi" w:hAnsiTheme="minorHAnsi"/>
      <w:b w:val="0"/>
      <w:smallCaps w:val="0"/>
      <w:sz w:val="36"/>
    </w:rPr>
  </w:style>
  <w:style w:type="paragraph" w:customStyle="1" w:styleId="AppendixHeadingLevel3">
    <w:name w:val="Appendix Heading Level 3"/>
    <w:basedOn w:val="Heading3"/>
    <w:next w:val="Normal"/>
    <w:rsid w:val="002F3365"/>
    <w:pPr>
      <w:numPr>
        <w:ilvl w:val="2"/>
        <w:numId w:val="15"/>
      </w:numPr>
    </w:pPr>
  </w:style>
  <w:style w:type="paragraph" w:customStyle="1" w:styleId="AppendixHeadingLevel4">
    <w:name w:val="Appendix Heading Level 4"/>
    <w:basedOn w:val="Heading4"/>
    <w:next w:val="Normal"/>
    <w:rsid w:val="002F3365"/>
    <w:pPr>
      <w:numPr>
        <w:ilvl w:val="3"/>
        <w:numId w:val="15"/>
      </w:numPr>
    </w:pPr>
  </w:style>
  <w:style w:type="paragraph" w:customStyle="1" w:styleId="Attachment">
    <w:name w:val="Attachment"/>
    <w:basedOn w:val="HeadingBaseStyle"/>
    <w:next w:val="Normal"/>
    <w:rsid w:val="002F3365"/>
    <w:pPr>
      <w:spacing w:before="480" w:after="360"/>
    </w:pPr>
    <w:rPr>
      <w:rFonts w:ascii="Arial Bold" w:hAnsi="Arial Bold"/>
      <w:b/>
      <w:smallCaps/>
      <w:sz w:val="32"/>
    </w:rPr>
  </w:style>
  <w:style w:type="character" w:styleId="Emphasis">
    <w:name w:val="Emphasis"/>
    <w:basedOn w:val="DefaultParagraphFont"/>
    <w:qFormat/>
    <w:rsid w:val="002F3365"/>
    <w:rPr>
      <w:i/>
      <w:iCs/>
    </w:rPr>
  </w:style>
  <w:style w:type="paragraph" w:customStyle="1" w:styleId="Equation">
    <w:name w:val="Equation"/>
    <w:basedOn w:val="Normal"/>
    <w:next w:val="Normal"/>
    <w:rsid w:val="002F3365"/>
    <w:pPr>
      <w:ind w:left="357"/>
    </w:pPr>
    <w:rPr>
      <w:rFonts w:ascii="Times New Roman" w:hAnsi="Times New Roman"/>
    </w:rPr>
  </w:style>
  <w:style w:type="paragraph" w:customStyle="1" w:styleId="ExampleBullet">
    <w:name w:val="Example Bullet"/>
    <w:basedOn w:val="Normal"/>
    <w:rsid w:val="002F3365"/>
    <w:pPr>
      <w:numPr>
        <w:numId w:val="17"/>
      </w:numPr>
      <w:spacing w:before="40" w:after="40"/>
    </w:pPr>
    <w:rPr>
      <w:rFonts w:ascii="Arial" w:hAnsi="Arial"/>
      <w:sz w:val="18"/>
    </w:rPr>
  </w:style>
  <w:style w:type="paragraph" w:customStyle="1" w:styleId="Heading2NotNumbered">
    <w:name w:val="Heading 2 Not Numbered"/>
    <w:basedOn w:val="HeadingBase"/>
    <w:next w:val="Normal"/>
    <w:rsid w:val="002F3365"/>
    <w:pPr>
      <w:spacing w:before="360"/>
    </w:pPr>
    <w:rPr>
      <w:rFonts w:asciiTheme="minorHAnsi" w:hAnsiTheme="minorHAnsi"/>
      <w:color w:val="2C384A" w:themeColor="accent1"/>
      <w:sz w:val="36"/>
    </w:rPr>
  </w:style>
  <w:style w:type="paragraph" w:customStyle="1" w:styleId="Indented">
    <w:name w:val="Indented"/>
    <w:basedOn w:val="Normal"/>
    <w:rsid w:val="002F3365"/>
    <w:pPr>
      <w:ind w:left="851"/>
    </w:pPr>
  </w:style>
  <w:style w:type="paragraph" w:styleId="IntenseQuote">
    <w:name w:val="Intense Quote"/>
    <w:basedOn w:val="Normal"/>
    <w:next w:val="Normal"/>
    <w:link w:val="IntenseQuoteChar"/>
    <w:uiPriority w:val="30"/>
    <w:rsid w:val="002F3365"/>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2F3365"/>
    <w:rPr>
      <w:rFonts w:ascii="Calibri Light" w:eastAsia="Times New Roman" w:hAnsi="Calibri Light" w:cs="Times New Roman"/>
      <w:b/>
      <w:bCs/>
      <w:i/>
      <w:iCs/>
      <w:color w:val="2C384A" w:themeColor="accent1"/>
      <w:szCs w:val="20"/>
      <w:lang w:eastAsia="en-AU"/>
    </w:rPr>
  </w:style>
  <w:style w:type="paragraph" w:customStyle="1" w:styleId="MTDisplayEquation">
    <w:name w:val="MTDisplayEquation"/>
    <w:basedOn w:val="Normal"/>
    <w:next w:val="Normal"/>
    <w:link w:val="MTDisplayEquationChar"/>
    <w:rsid w:val="002F3365"/>
    <w:pPr>
      <w:tabs>
        <w:tab w:val="center" w:pos="4640"/>
        <w:tab w:val="right" w:pos="9300"/>
      </w:tabs>
    </w:pPr>
  </w:style>
  <w:style w:type="character" w:customStyle="1" w:styleId="MTDisplayEquationChar">
    <w:name w:val="MTDisplayEquation Char"/>
    <w:basedOn w:val="DefaultParagraphFont"/>
    <w:link w:val="MTDisplayEquation"/>
    <w:rsid w:val="002F3365"/>
    <w:rPr>
      <w:rFonts w:ascii="Calibri Light" w:eastAsia="Times New Roman" w:hAnsi="Calibri Light" w:cs="Times New Roman"/>
      <w:szCs w:val="20"/>
      <w:lang w:eastAsia="en-AU"/>
    </w:rPr>
  </w:style>
  <w:style w:type="character" w:customStyle="1" w:styleId="MTEquationSection">
    <w:name w:val="MTEquationSection"/>
    <w:basedOn w:val="DefaultParagraphFont"/>
    <w:rsid w:val="002F3365"/>
    <w:rPr>
      <w:vanish w:val="0"/>
      <w:color w:val="FF0000"/>
    </w:rPr>
  </w:style>
  <w:style w:type="paragraph" w:customStyle="1" w:styleId="Note">
    <w:name w:val="Note"/>
    <w:basedOn w:val="HeadingBaseStyle"/>
    <w:next w:val="Normal"/>
    <w:rsid w:val="002F3365"/>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2F3365"/>
    <w:rPr>
      <w:i/>
    </w:rPr>
  </w:style>
  <w:style w:type="paragraph" w:customStyle="1" w:styleId="NumberedParagraph">
    <w:name w:val="Numbered Paragraph"/>
    <w:basedOn w:val="Normal"/>
    <w:autoRedefine/>
    <w:rsid w:val="002F3365"/>
    <w:pPr>
      <w:numPr>
        <w:numId w:val="18"/>
      </w:numPr>
    </w:pPr>
  </w:style>
  <w:style w:type="character" w:styleId="PlaceholderText">
    <w:name w:val="Placeholder Text"/>
    <w:basedOn w:val="DefaultParagraphFont"/>
    <w:uiPriority w:val="99"/>
    <w:semiHidden/>
    <w:rsid w:val="002F3365"/>
    <w:rPr>
      <w:color w:val="808080"/>
    </w:rPr>
  </w:style>
  <w:style w:type="paragraph" w:customStyle="1" w:styleId="References">
    <w:name w:val="References"/>
    <w:basedOn w:val="Normal"/>
    <w:rsid w:val="002F3365"/>
    <w:pPr>
      <w:widowControl w:val="0"/>
      <w:adjustRightInd w:val="0"/>
      <w:textAlignment w:val="baseline"/>
    </w:pPr>
  </w:style>
  <w:style w:type="paragraph" w:customStyle="1" w:styleId="SeriesMonth">
    <w:name w:val="Series Month"/>
    <w:basedOn w:val="HeadingBaseStyle"/>
    <w:rsid w:val="002F3365"/>
    <w:pPr>
      <w:spacing w:after="240"/>
      <w:jc w:val="center"/>
    </w:pPr>
    <w:rPr>
      <w:rFonts w:ascii="Arial Bold" w:hAnsi="Arial Bold"/>
      <w:b/>
      <w:color w:val="auto"/>
      <w:sz w:val="32"/>
    </w:rPr>
  </w:style>
  <w:style w:type="paragraph" w:customStyle="1" w:styleId="Boxbullet">
    <w:name w:val="Box bullet"/>
    <w:basedOn w:val="Bullet"/>
    <w:qFormat/>
    <w:rsid w:val="002F3365"/>
    <w:pPr>
      <w:tabs>
        <w:tab w:val="num" w:pos="284"/>
      </w:tabs>
      <w:spacing w:before="60"/>
      <w:ind w:left="170" w:hanging="170"/>
    </w:pPr>
    <w:rPr>
      <w:color w:val="0D0D0D" w:themeColor="text1" w:themeTint="F2"/>
    </w:rPr>
  </w:style>
  <w:style w:type="paragraph" w:customStyle="1" w:styleId="Boxdash">
    <w:name w:val="Box dash"/>
    <w:basedOn w:val="Dash"/>
    <w:qFormat/>
    <w:rsid w:val="002F3365"/>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2F3365"/>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2F3365"/>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2F3365"/>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2F3365"/>
    <w:rPr>
      <w:rFonts w:ascii="Calibri Light" w:eastAsia="Times New Roman" w:hAnsi="Calibri Light" w:cs="Times New Roman"/>
      <w:szCs w:val="20"/>
      <w:lang w:eastAsia="en-AU"/>
    </w:rPr>
  </w:style>
  <w:style w:type="paragraph" w:customStyle="1" w:styleId="Footnoteseperator">
    <w:name w:val="Footnote seperator"/>
    <w:basedOn w:val="Normal"/>
    <w:link w:val="FootnoteseperatorChar"/>
    <w:qFormat/>
    <w:rsid w:val="002F3365"/>
    <w:pPr>
      <w:spacing w:before="0" w:after="0"/>
    </w:pPr>
  </w:style>
  <w:style w:type="character" w:customStyle="1" w:styleId="FootnoteseperatorChar">
    <w:name w:val="Footnote seperator Char"/>
    <w:basedOn w:val="DefaultParagraphFont"/>
    <w:link w:val="Footnoteseperator"/>
    <w:rsid w:val="002F3365"/>
    <w:rPr>
      <w:rFonts w:ascii="Calibri Light" w:eastAsia="Times New Roman" w:hAnsi="Calibri Light" w:cs="Times New Roman"/>
      <w:szCs w:val="20"/>
      <w:lang w:eastAsia="en-AU"/>
    </w:rPr>
  </w:style>
  <w:style w:type="character" w:customStyle="1" w:styleId="SingleParagraphChar">
    <w:name w:val="Single Paragraph Char"/>
    <w:basedOn w:val="DefaultParagraphFont"/>
    <w:link w:val="SingleParagraph"/>
    <w:rsid w:val="002F3365"/>
    <w:rPr>
      <w:rFonts w:ascii="Calibri Light" w:eastAsia="Times New Roman" w:hAnsi="Calibri Light" w:cs="Times New Roman"/>
      <w:szCs w:val="20"/>
      <w:lang w:eastAsia="en-AU"/>
    </w:rPr>
  </w:style>
  <w:style w:type="paragraph" w:customStyle="1" w:styleId="BoxBullet0">
    <w:name w:val="Box Bullet"/>
    <w:basedOn w:val="BoxTextBase"/>
    <w:rsid w:val="001C7E53"/>
    <w:pPr>
      <w:tabs>
        <w:tab w:val="num" w:pos="283"/>
      </w:tabs>
      <w:spacing w:before="0" w:after="220"/>
      <w:ind w:left="283" w:hanging="283"/>
    </w:pPr>
    <w:rPr>
      <w:rFonts w:ascii="Calibri" w:eastAsiaTheme="minorHAnsi" w:hAnsi="Calibri" w:cstheme="minorBidi"/>
      <w:color w:val="000000" w:themeColor="text1"/>
      <w:szCs w:val="22"/>
      <w:lang w:eastAsia="en-US"/>
    </w:rPr>
  </w:style>
  <w:style w:type="paragraph" w:customStyle="1" w:styleId="BoxDash0">
    <w:name w:val="Box Dash"/>
    <w:basedOn w:val="Normal"/>
    <w:rsid w:val="001C7E53"/>
    <w:pPr>
      <w:tabs>
        <w:tab w:val="num" w:pos="567"/>
      </w:tabs>
      <w:spacing w:before="0" w:after="220"/>
      <w:ind w:left="567" w:hanging="284"/>
    </w:pPr>
    <w:rPr>
      <w:rFonts w:ascii="Calibri" w:eastAsiaTheme="minorHAnsi" w:hAnsi="Calibri" w:cstheme="minorBidi"/>
      <w:color w:val="000000" w:themeColor="text1"/>
      <w:szCs w:val="22"/>
      <w:lang w:eastAsia="en-US"/>
    </w:rPr>
  </w:style>
  <w:style w:type="paragraph" w:customStyle="1" w:styleId="BoxDoubleDot0">
    <w:name w:val="Box Double Dot"/>
    <w:basedOn w:val="BoxTextBase"/>
    <w:rsid w:val="001C7E53"/>
    <w:pPr>
      <w:tabs>
        <w:tab w:val="num" w:pos="850"/>
      </w:tabs>
      <w:spacing w:before="0" w:after="220"/>
      <w:ind w:left="850" w:hanging="283"/>
    </w:pPr>
    <w:rPr>
      <w:rFonts w:ascii="Calibri" w:eastAsiaTheme="minorHAnsi" w:hAnsi="Calibri" w:cstheme="minorBidi"/>
      <w:color w:val="000000" w:themeColor="text1"/>
      <w:szCs w:val="22"/>
      <w:lang w:eastAsia="en-US"/>
    </w:rPr>
  </w:style>
  <w:style w:type="paragraph" w:customStyle="1" w:styleId="CoverTitleSub">
    <w:name w:val="Cover Title Sub"/>
    <w:basedOn w:val="HeadingBase"/>
    <w:rsid w:val="001C7E53"/>
    <w:pPr>
      <w:spacing w:after="360"/>
      <w:jc w:val="center"/>
    </w:pPr>
    <w:rPr>
      <w:rFonts w:asciiTheme="majorHAnsi" w:hAnsiTheme="majorHAnsi" w:cs="Times New Roman"/>
      <w:bCs w:val="0"/>
      <w:color w:val="003057"/>
      <w:kern w:val="0"/>
      <w:sz w:val="36"/>
      <w:szCs w:val="20"/>
    </w:rPr>
  </w:style>
  <w:style w:type="paragraph" w:customStyle="1" w:styleId="Covertitlelevel3">
    <w:name w:val="Cover title level 3"/>
    <w:basedOn w:val="CoverTitleSub"/>
    <w:rsid w:val="001C7E53"/>
    <w:pPr>
      <w:spacing w:after="120"/>
    </w:pPr>
    <w:rPr>
      <w:sz w:val="28"/>
      <w:szCs w:val="28"/>
    </w:rPr>
  </w:style>
  <w:style w:type="paragraph" w:customStyle="1" w:styleId="CoverTitleMain">
    <w:name w:val="Cover Title Main"/>
    <w:basedOn w:val="HeadingBase"/>
    <w:next w:val="Normal"/>
    <w:rsid w:val="001C7E53"/>
    <w:pPr>
      <w:spacing w:after="480"/>
      <w:jc w:val="center"/>
    </w:pPr>
    <w:rPr>
      <w:rFonts w:asciiTheme="majorHAnsi" w:hAnsiTheme="majorHAnsi" w:cs="Times New Roman"/>
      <w:b/>
      <w:bCs w:val="0"/>
      <w:color w:val="003057"/>
      <w:kern w:val="0"/>
      <w:szCs w:val="20"/>
    </w:rPr>
  </w:style>
  <w:style w:type="paragraph" w:customStyle="1" w:styleId="Figuregraphic">
    <w:name w:val="Figure graphic"/>
    <w:basedOn w:val="Normal"/>
    <w:rsid w:val="001C7E53"/>
    <w:pPr>
      <w:spacing w:before="0" w:after="220"/>
      <w:jc w:val="center"/>
    </w:pPr>
    <w:rPr>
      <w:rFonts w:ascii="Calibri" w:eastAsiaTheme="minorHAnsi" w:hAnsi="Calibri" w:cstheme="minorBidi"/>
      <w:color w:val="000000" w:themeColor="text1"/>
      <w:szCs w:val="22"/>
      <w:lang w:eastAsia="en-US"/>
    </w:rPr>
  </w:style>
  <w:style w:type="paragraph" w:customStyle="1" w:styleId="FigureHeading">
    <w:name w:val="Figure Heading"/>
    <w:basedOn w:val="HeadingBase"/>
    <w:next w:val="Figuregraphic"/>
    <w:rsid w:val="001C7E53"/>
    <w:pPr>
      <w:spacing w:after="20"/>
      <w:jc w:val="center"/>
    </w:pPr>
    <w:rPr>
      <w:rFonts w:ascii="Arial Bold" w:hAnsi="Arial Bold" w:cs="Times New Roman"/>
      <w:b/>
      <w:bCs w:val="0"/>
      <w:color w:val="003057"/>
      <w:kern w:val="0"/>
      <w:sz w:val="22"/>
      <w:szCs w:val="22"/>
    </w:rPr>
  </w:style>
  <w:style w:type="paragraph" w:customStyle="1" w:styleId="FigureSecondHeading">
    <w:name w:val="Figure Second Heading"/>
    <w:basedOn w:val="HeadingBase"/>
    <w:next w:val="Figuregraphic"/>
    <w:rsid w:val="001C7E53"/>
    <w:pPr>
      <w:spacing w:after="20"/>
      <w:jc w:val="center"/>
    </w:pPr>
    <w:rPr>
      <w:rFonts w:asciiTheme="majorHAnsi" w:hAnsiTheme="majorHAnsi" w:cs="Times New Roman"/>
      <w:bCs w:val="0"/>
      <w:color w:val="003057"/>
      <w:kern w:val="0"/>
      <w:sz w:val="20"/>
      <w:szCs w:val="20"/>
    </w:rPr>
  </w:style>
  <w:style w:type="paragraph" w:customStyle="1" w:styleId="NormalIndentItalics">
    <w:name w:val="Normal Indent Italics"/>
    <w:basedOn w:val="NormalIndent"/>
    <w:rsid w:val="001C7E53"/>
    <w:pPr>
      <w:spacing w:before="0" w:after="220"/>
    </w:pPr>
    <w:rPr>
      <w:rFonts w:eastAsiaTheme="minorHAnsi" w:cstheme="minorBidi"/>
      <w:i/>
      <w:color w:val="000000" w:themeColor="text1"/>
      <w:szCs w:val="22"/>
      <w:lang w:eastAsia="en-US"/>
    </w:rPr>
  </w:style>
  <w:style w:type="paragraph" w:customStyle="1" w:styleId="Principle">
    <w:name w:val="Principle"/>
    <w:basedOn w:val="Normal"/>
    <w:rsid w:val="001C7E53"/>
    <w:pPr>
      <w:keepNext/>
      <w:spacing w:before="0" w:after="60"/>
      <w:ind w:left="573"/>
    </w:pPr>
    <w:rPr>
      <w:rFonts w:ascii="Book Antiqua" w:eastAsiaTheme="minorHAnsi" w:hAnsi="Book Antiqua" w:cstheme="minorBidi"/>
      <w:i/>
      <w:color w:val="000000" w:themeColor="text1"/>
      <w:sz w:val="20"/>
      <w:szCs w:val="22"/>
      <w:lang w:eastAsia="en-US"/>
    </w:rPr>
  </w:style>
  <w:style w:type="paragraph" w:customStyle="1" w:styleId="RecommendationTextBase">
    <w:name w:val="Recommendation Text Base"/>
    <w:basedOn w:val="Normal"/>
    <w:rsid w:val="001C7E53"/>
    <w:pPr>
      <w:spacing w:before="0" w:after="220"/>
    </w:pPr>
    <w:rPr>
      <w:rFonts w:ascii="Calibri" w:eastAsiaTheme="minorHAnsi" w:hAnsi="Calibri" w:cstheme="minorBidi"/>
      <w:i/>
      <w:color w:val="000000" w:themeColor="text1"/>
      <w:szCs w:val="22"/>
      <w:lang w:eastAsia="en-US"/>
    </w:rPr>
  </w:style>
  <w:style w:type="paragraph" w:customStyle="1" w:styleId="RecommendationBullet">
    <w:name w:val="Recommendation Bullet"/>
    <w:basedOn w:val="RecommendationTextBase"/>
    <w:rsid w:val="001C7E53"/>
    <w:pPr>
      <w:tabs>
        <w:tab w:val="num" w:pos="284"/>
      </w:tabs>
      <w:ind w:left="284" w:hanging="284"/>
    </w:pPr>
  </w:style>
  <w:style w:type="paragraph" w:customStyle="1" w:styleId="RecommendationDash">
    <w:name w:val="Recommendation Dash"/>
    <w:basedOn w:val="RecommendationTextBase"/>
    <w:rsid w:val="001C7E53"/>
    <w:pPr>
      <w:tabs>
        <w:tab w:val="num" w:pos="567"/>
      </w:tabs>
      <w:ind w:left="567" w:hanging="283"/>
    </w:pPr>
  </w:style>
  <w:style w:type="paragraph" w:customStyle="1" w:styleId="RecommendationDoubleDot">
    <w:name w:val="Recommendation Double Dot"/>
    <w:basedOn w:val="RecommendationTextBase"/>
    <w:rsid w:val="001C7E53"/>
    <w:pPr>
      <w:tabs>
        <w:tab w:val="num" w:pos="851"/>
      </w:tabs>
      <w:ind w:left="851" w:hanging="284"/>
    </w:pPr>
  </w:style>
  <w:style w:type="paragraph" w:customStyle="1" w:styleId="RecommendationHeading">
    <w:name w:val="Recommendation Heading"/>
    <w:basedOn w:val="HeadingBase"/>
    <w:next w:val="Normal"/>
    <w:rsid w:val="001C7E53"/>
    <w:pPr>
      <w:spacing w:before="120" w:after="240"/>
    </w:pPr>
    <w:rPr>
      <w:rFonts w:asciiTheme="majorHAnsi" w:hAnsiTheme="majorHAnsi" w:cs="Times New Roman"/>
      <w:b/>
      <w:bCs w:val="0"/>
      <w:color w:val="003057"/>
      <w:kern w:val="0"/>
      <w:sz w:val="22"/>
      <w:szCs w:val="20"/>
    </w:rPr>
  </w:style>
  <w:style w:type="paragraph" w:customStyle="1" w:styleId="RecommendationText">
    <w:name w:val="Recommendation Text"/>
    <w:basedOn w:val="RecommendationTextBase"/>
    <w:rsid w:val="001C7E53"/>
  </w:style>
  <w:style w:type="paragraph" w:customStyle="1" w:styleId="SingleParagraphIndent">
    <w:name w:val="Single Paragraph Indent"/>
    <w:basedOn w:val="SingleParagraph"/>
    <w:rsid w:val="001C7E53"/>
    <w:pPr>
      <w:ind w:left="567"/>
    </w:pPr>
    <w:rPr>
      <w:rFonts w:ascii="Calibri" w:eastAsiaTheme="minorHAnsi" w:hAnsi="Calibri" w:cstheme="minorBidi"/>
      <w:color w:val="000000" w:themeColor="text1"/>
      <w:szCs w:val="22"/>
      <w:lang w:eastAsia="en-US"/>
    </w:rPr>
  </w:style>
  <w:style w:type="paragraph" w:styleId="BodyTextIndent2">
    <w:name w:val="Body Text Indent 2"/>
    <w:basedOn w:val="Normal"/>
    <w:link w:val="BodyTextIndent2Char"/>
    <w:rsid w:val="001C7E53"/>
    <w:pPr>
      <w:spacing w:before="0" w:line="480" w:lineRule="auto"/>
      <w:ind w:left="283"/>
    </w:pPr>
    <w:rPr>
      <w:rFonts w:ascii="Calibri" w:eastAsiaTheme="minorHAnsi" w:hAnsi="Calibri" w:cstheme="minorBidi"/>
      <w:color w:val="000000" w:themeColor="text1"/>
      <w:szCs w:val="22"/>
      <w:lang w:eastAsia="en-US"/>
    </w:rPr>
  </w:style>
  <w:style w:type="character" w:customStyle="1" w:styleId="BodyTextIndent2Char">
    <w:name w:val="Body Text Indent 2 Char"/>
    <w:basedOn w:val="DefaultParagraphFont"/>
    <w:link w:val="BodyTextIndent2"/>
    <w:rsid w:val="001C7E53"/>
    <w:rPr>
      <w:rFonts w:ascii="Calibri" w:hAnsi="Calibri"/>
      <w:color w:val="000000" w:themeColor="text1"/>
    </w:rPr>
  </w:style>
  <w:style w:type="paragraph" w:styleId="Caption">
    <w:name w:val="caption"/>
    <w:basedOn w:val="Normal"/>
    <w:next w:val="Normal"/>
    <w:unhideWhenUsed/>
    <w:rsid w:val="001C7E53"/>
    <w:pPr>
      <w:spacing w:before="0" w:after="220"/>
    </w:pPr>
    <w:rPr>
      <w:rFonts w:ascii="Calibri" w:eastAsiaTheme="minorHAnsi" w:hAnsi="Calibri" w:cstheme="minorBidi"/>
      <w:b/>
      <w:bCs/>
      <w:color w:val="003157"/>
      <w:sz w:val="18"/>
      <w:szCs w:val="18"/>
      <w:lang w:eastAsia="en-US"/>
    </w:rPr>
  </w:style>
  <w:style w:type="character" w:styleId="CommentReference">
    <w:name w:val="annotation reference"/>
    <w:basedOn w:val="DefaultParagraphFont"/>
    <w:rsid w:val="001C7E53"/>
    <w:rPr>
      <w:sz w:val="16"/>
      <w:szCs w:val="16"/>
    </w:rPr>
  </w:style>
  <w:style w:type="paragraph" w:styleId="CommentText">
    <w:name w:val="annotation text"/>
    <w:basedOn w:val="Normal"/>
    <w:link w:val="CommentTextChar"/>
    <w:rsid w:val="001C7E53"/>
    <w:pPr>
      <w:spacing w:before="0" w:after="220"/>
    </w:pPr>
    <w:rPr>
      <w:rFonts w:ascii="Calibri" w:eastAsiaTheme="minorHAnsi" w:hAnsi="Calibri" w:cstheme="minorBidi"/>
      <w:color w:val="000000" w:themeColor="text1"/>
      <w:sz w:val="20"/>
      <w:szCs w:val="22"/>
      <w:lang w:eastAsia="en-US"/>
    </w:rPr>
  </w:style>
  <w:style w:type="character" w:customStyle="1" w:styleId="CommentTextChar">
    <w:name w:val="Comment Text Char"/>
    <w:basedOn w:val="DefaultParagraphFont"/>
    <w:link w:val="CommentText"/>
    <w:rsid w:val="001C7E53"/>
    <w:rPr>
      <w:rFonts w:ascii="Calibri" w:hAnsi="Calibri"/>
      <w:color w:val="000000" w:themeColor="text1"/>
      <w:sz w:val="20"/>
    </w:rPr>
  </w:style>
  <w:style w:type="paragraph" w:styleId="CommentSubject">
    <w:name w:val="annotation subject"/>
    <w:basedOn w:val="CommentText"/>
    <w:next w:val="CommentText"/>
    <w:link w:val="CommentSubjectChar"/>
    <w:rsid w:val="001C7E53"/>
    <w:rPr>
      <w:b/>
      <w:bCs/>
    </w:rPr>
  </w:style>
  <w:style w:type="character" w:customStyle="1" w:styleId="CommentSubjectChar">
    <w:name w:val="Comment Subject Char"/>
    <w:basedOn w:val="CommentTextChar"/>
    <w:link w:val="CommentSubject"/>
    <w:rsid w:val="001C7E53"/>
    <w:rPr>
      <w:rFonts w:ascii="Calibri" w:hAnsi="Calibri"/>
      <w:b/>
      <w:bCs/>
      <w:color w:val="000000" w:themeColor="text1"/>
      <w:sz w:val="20"/>
    </w:rPr>
  </w:style>
  <w:style w:type="paragraph" w:customStyle="1" w:styleId="StyleTableTextBulletLinespacingExactly13pt">
    <w:name w:val="Style Table Text Bullet + Line spacing:  Exactly 13 pt"/>
    <w:basedOn w:val="TableTextBullet"/>
    <w:rsid w:val="001C7E53"/>
    <w:pPr>
      <w:numPr>
        <w:numId w:val="0"/>
      </w:numPr>
      <w:spacing w:after="80" w:line="260" w:lineRule="exact"/>
    </w:pPr>
    <w:rPr>
      <w:rFonts w:asciiTheme="minorHAnsi" w:hAnsiTheme="minorHAnsi"/>
      <w:sz w:val="20"/>
    </w:rPr>
  </w:style>
  <w:style w:type="paragraph" w:customStyle="1" w:styleId="CaptionandTableFootnoteAlpha">
    <w:name w:val="Caption and Table Footnote Alpha"/>
    <w:basedOn w:val="HeadingBaseStyle"/>
    <w:next w:val="Normal"/>
    <w:rsid w:val="001C7E53"/>
    <w:pPr>
      <w:spacing w:before="0" w:line="260" w:lineRule="exact"/>
      <w:ind w:left="360" w:hanging="360"/>
    </w:pPr>
    <w:rPr>
      <w:rFonts w:asciiTheme="minorHAnsi" w:eastAsiaTheme="minorHAnsi" w:hAnsiTheme="minorHAnsi" w:cstheme="minorBidi"/>
      <w:color w:val="auto"/>
      <w:kern w:val="28"/>
      <w:sz w:val="20"/>
      <w:szCs w:val="22"/>
      <w:lang w:eastAsia="en-US"/>
    </w:rPr>
  </w:style>
  <w:style w:type="paragraph" w:customStyle="1" w:styleId="Captiongraphic">
    <w:name w:val="Caption graphic"/>
    <w:basedOn w:val="HeadingBaseStyle"/>
    <w:next w:val="Normal"/>
    <w:rsid w:val="001C7E53"/>
    <w:pPr>
      <w:spacing w:before="0" w:after="20"/>
      <w:jc w:val="center"/>
    </w:pPr>
    <w:rPr>
      <w:rFonts w:eastAsiaTheme="minorHAnsi" w:cstheme="minorBidi"/>
      <w:color w:val="auto"/>
      <w:sz w:val="24"/>
      <w:szCs w:val="22"/>
      <w:lang w:eastAsia="en-US"/>
    </w:rPr>
  </w:style>
  <w:style w:type="paragraph" w:customStyle="1" w:styleId="CaptionHeading1">
    <w:name w:val="Caption Heading 1"/>
    <w:basedOn w:val="Normal"/>
    <w:next w:val="Captiongraphic"/>
    <w:rsid w:val="001C7E53"/>
    <w:pPr>
      <w:keepNext/>
      <w:spacing w:after="0"/>
      <w:jc w:val="center"/>
    </w:pPr>
    <w:rPr>
      <w:rFonts w:ascii="Arial" w:eastAsiaTheme="minorHAnsi" w:hAnsi="Arial" w:cstheme="minorBidi"/>
      <w:color w:val="2C384A" w:themeColor="accent1"/>
      <w:sz w:val="24"/>
      <w:szCs w:val="22"/>
      <w:lang w:eastAsia="en-US"/>
    </w:rPr>
  </w:style>
  <w:style w:type="paragraph" w:customStyle="1" w:styleId="CaptionHeading2">
    <w:name w:val="Caption Heading 2"/>
    <w:basedOn w:val="Normal"/>
    <w:rsid w:val="001C7E53"/>
    <w:pPr>
      <w:keepNext/>
      <w:spacing w:before="0" w:after="0"/>
      <w:jc w:val="center"/>
    </w:pPr>
    <w:rPr>
      <w:rFonts w:ascii="Arial" w:eastAsiaTheme="minorHAnsi" w:hAnsi="Arial" w:cstheme="minorBidi"/>
      <w:color w:val="2C384A" w:themeColor="accent1"/>
      <w:sz w:val="20"/>
      <w:szCs w:val="22"/>
      <w:lang w:eastAsia="en-US"/>
    </w:rPr>
  </w:style>
  <w:style w:type="paragraph" w:customStyle="1" w:styleId="CaptionHeading3">
    <w:name w:val="Caption Heading 3"/>
    <w:basedOn w:val="CaptionHeading2"/>
    <w:next w:val="Captiongraphic"/>
    <w:rsid w:val="001C7E53"/>
    <w:rPr>
      <w:rFonts w:ascii="Arial Bold" w:hAnsi="Arial Bold"/>
      <w:b/>
      <w:color w:val="000000"/>
    </w:rPr>
  </w:style>
  <w:style w:type="paragraph" w:styleId="NoSpacing">
    <w:name w:val="No Spacing"/>
    <w:link w:val="NoSpacingChar"/>
    <w:uiPriority w:val="1"/>
    <w:rsid w:val="001C7E53"/>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1C7E53"/>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1C7E53"/>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1C7E53"/>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1C7E53"/>
    <w:pPr>
      <w:spacing w:before="0" w:after="240" w:line="260" w:lineRule="exact"/>
    </w:pPr>
    <w:rPr>
      <w:rFonts w:eastAsiaTheme="minorHAnsi" w:cstheme="minorBidi"/>
      <w:color w:val="auto"/>
      <w:sz w:val="24"/>
      <w:szCs w:val="22"/>
      <w:lang w:eastAsia="en-US"/>
    </w:rPr>
  </w:style>
  <w:style w:type="paragraph" w:customStyle="1" w:styleId="Heading3NotNumbered">
    <w:name w:val="Heading 3 Not Numbered"/>
    <w:basedOn w:val="Heading4"/>
    <w:rsid w:val="001C7E53"/>
    <w:pPr>
      <w:tabs>
        <w:tab w:val="left" w:pos="680"/>
      </w:tabs>
      <w:spacing w:before="0" w:after="120" w:line="240" w:lineRule="auto"/>
    </w:pPr>
    <w:rPr>
      <w:rFonts w:ascii="Arial" w:eastAsiaTheme="minorHAnsi" w:hAnsi="Arial" w:cstheme="minorBidi"/>
      <w:color w:val="2C384A" w:themeColor="accent1"/>
      <w:kern w:val="0"/>
      <w:sz w:val="28"/>
      <w:szCs w:val="22"/>
      <w:lang w:eastAsia="en-US"/>
    </w:rPr>
  </w:style>
  <w:style w:type="character" w:customStyle="1" w:styleId="NormalBold">
    <w:name w:val="Normal Bold"/>
    <w:basedOn w:val="DefaultParagraphFont"/>
    <w:rsid w:val="001C7E53"/>
    <w:rPr>
      <w:rFonts w:ascii="Calibri" w:hAnsi="Calibri"/>
      <w:b/>
      <w:sz w:val="22"/>
    </w:rPr>
  </w:style>
  <w:style w:type="character" w:customStyle="1" w:styleId="Normalitalics">
    <w:name w:val="Normal italics"/>
    <w:basedOn w:val="DefaultParagraphFont"/>
    <w:rsid w:val="001C7E53"/>
    <w:rPr>
      <w:i/>
    </w:rPr>
  </w:style>
  <w:style w:type="paragraph" w:customStyle="1" w:styleId="Tablegraphic0">
    <w:name w:val="Table graphic"/>
    <w:basedOn w:val="HeadingBaseStyle"/>
    <w:next w:val="Normal"/>
    <w:rsid w:val="001C7E53"/>
    <w:pPr>
      <w:spacing w:before="0" w:after="20"/>
      <w:ind w:right="-113"/>
    </w:pPr>
    <w:rPr>
      <w:rFonts w:eastAsiaTheme="minorHAnsi" w:cstheme="minorBidi"/>
      <w:color w:val="auto"/>
      <w:sz w:val="24"/>
      <w:szCs w:val="22"/>
      <w:lang w:eastAsia="en-US"/>
    </w:rPr>
  </w:style>
  <w:style w:type="paragraph" w:customStyle="1" w:styleId="TableHeading1">
    <w:name w:val="Table Heading 1"/>
    <w:basedOn w:val="HeadingBaseStyle"/>
    <w:next w:val="Tablegraphic0"/>
    <w:rsid w:val="001C7E53"/>
    <w:pPr>
      <w:spacing w:after="20"/>
      <w:jc w:val="center"/>
    </w:pPr>
    <w:rPr>
      <w:rFonts w:eastAsiaTheme="minorHAnsi" w:cstheme="minorBidi"/>
      <w:sz w:val="24"/>
      <w:szCs w:val="22"/>
      <w:lang w:eastAsia="en-US"/>
    </w:rPr>
  </w:style>
  <w:style w:type="paragraph" w:customStyle="1" w:styleId="Tableheading2">
    <w:name w:val="Table heading 2"/>
    <w:basedOn w:val="TableHeading1"/>
    <w:next w:val="Tablegraphic0"/>
    <w:rsid w:val="001C7E53"/>
    <w:pPr>
      <w:spacing w:before="0"/>
    </w:pPr>
    <w:rPr>
      <w:sz w:val="22"/>
    </w:rPr>
  </w:style>
  <w:style w:type="paragraph" w:customStyle="1" w:styleId="TableHeadingcontinued">
    <w:name w:val="Table Heading continued"/>
    <w:basedOn w:val="HeadingBaseStyle"/>
    <w:next w:val="Tablegraphic0"/>
    <w:rsid w:val="001C7E53"/>
    <w:pPr>
      <w:spacing w:before="0"/>
      <w:jc w:val="center"/>
    </w:pPr>
    <w:rPr>
      <w:rFonts w:eastAsiaTheme="minorHAnsi" w:cstheme="minorBidi"/>
      <w:szCs w:val="22"/>
      <w:lang w:eastAsia="en-US"/>
    </w:rPr>
  </w:style>
  <w:style w:type="paragraph" w:customStyle="1" w:styleId="Tabletextcentred">
    <w:name w:val="Table text centred"/>
    <w:basedOn w:val="TableTextBase"/>
    <w:rsid w:val="001C7E53"/>
    <w:pPr>
      <w:jc w:val="center"/>
    </w:pPr>
    <w:rPr>
      <w:rFonts w:asciiTheme="minorHAnsi" w:hAnsiTheme="minorHAnsi"/>
      <w:sz w:val="20"/>
    </w:rPr>
  </w:style>
  <w:style w:type="paragraph" w:customStyle="1" w:styleId="Tabletextleft0">
    <w:name w:val="Table text left"/>
    <w:basedOn w:val="TableTextBase"/>
    <w:rsid w:val="001C7E53"/>
    <w:rPr>
      <w:rFonts w:asciiTheme="minorHAnsi" w:hAnsiTheme="minorHAnsi"/>
      <w:sz w:val="20"/>
    </w:rPr>
  </w:style>
  <w:style w:type="character" w:customStyle="1" w:styleId="UnresolvedMention1">
    <w:name w:val="Unresolved Mention1"/>
    <w:basedOn w:val="DefaultParagraphFont"/>
    <w:uiPriority w:val="99"/>
    <w:semiHidden/>
    <w:unhideWhenUsed/>
    <w:rsid w:val="001C7E53"/>
    <w:rPr>
      <w:color w:val="605E5C"/>
      <w:shd w:val="clear" w:color="auto" w:fill="E1DFDD"/>
    </w:rPr>
  </w:style>
  <w:style w:type="character" w:customStyle="1" w:styleId="UnresolvedMention2">
    <w:name w:val="Unresolved Mention2"/>
    <w:basedOn w:val="DefaultParagraphFont"/>
    <w:uiPriority w:val="99"/>
    <w:semiHidden/>
    <w:unhideWhenUsed/>
    <w:rsid w:val="001C7E53"/>
    <w:rPr>
      <w:color w:val="605E5C"/>
      <w:shd w:val="clear" w:color="auto" w:fill="E1DFDD"/>
    </w:rPr>
  </w:style>
  <w:style w:type="paragraph" w:styleId="ListParagraph">
    <w:name w:val="List Paragraph"/>
    <w:basedOn w:val="Normal"/>
    <w:uiPriority w:val="34"/>
    <w:qFormat/>
    <w:rsid w:val="001C7E53"/>
    <w:pPr>
      <w:spacing w:before="0" w:after="220"/>
      <w:ind w:left="720"/>
      <w:contextualSpacing/>
    </w:pPr>
    <w:rPr>
      <w:rFonts w:ascii="Calibri" w:eastAsiaTheme="minorHAnsi" w:hAnsi="Calibri" w:cstheme="minorBidi"/>
      <w:color w:val="000000" w:themeColor="text1"/>
      <w:szCs w:val="22"/>
      <w:lang w:eastAsia="en-US"/>
    </w:rPr>
  </w:style>
  <w:style w:type="paragraph" w:styleId="Revision">
    <w:name w:val="Revision"/>
    <w:hidden/>
    <w:uiPriority w:val="99"/>
    <w:semiHidden/>
    <w:rsid w:val="004D3A86"/>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4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6.png"/><Relationship Id="rId39" Type="http://schemas.openxmlformats.org/officeDocument/2006/relationships/hyperlink" Target="https://www.oecd.org/daf/competition/competition-concerns-in-labour-markets.htm" TargetMode="External"/><Relationship Id="rId21" Type="http://schemas.openxmlformats.org/officeDocument/2006/relationships/hyperlink" Target="mailto:media@treasury.gov.au" TargetMode="External"/><Relationship Id="rId34" Type="http://schemas.openxmlformats.org/officeDocument/2006/relationships/image" Target="media/image14.emf"/><Relationship Id="rId42" Type="http://schemas.openxmlformats.org/officeDocument/2006/relationships/image" Target="media/image16.png"/><Relationship Id="rId47" Type="http://schemas.openxmlformats.org/officeDocument/2006/relationships/image" Target="media/image21.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image" Target="media/image12.png"/><Relationship Id="rId37" Type="http://schemas.openxmlformats.org/officeDocument/2006/relationships/hyperlink" Target="https://ideas.repec.org/p/jmp/jm2018/pli1202.html" TargetMode="External"/><Relationship Id="rId40" Type="http://schemas.openxmlformats.org/officeDocument/2006/relationships/hyperlink" Target="https://www.justice.gov/atr/merger-enforcement" TargetMode="External"/><Relationship Id="rId45" Type="http://schemas.openxmlformats.org/officeDocument/2006/relationships/image" Target="media/image19.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reativecommons.org/licenses/by/3.0/au/deed.en" TargetMode="External"/><Relationship Id="rId31" Type="http://schemas.openxmlformats.org/officeDocument/2006/relationships/image" Target="media/image11.emf"/><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header" Target="header4.xml"/><Relationship Id="rId43" Type="http://schemas.openxmlformats.org/officeDocument/2006/relationships/image" Target="media/image17.pn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reativecommons.org/licenses/by/3.0/au/legalcode"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hyperlink" Target="https://www.rba.gov.au/speeches/2018/sp-gov-2018-06-13.html" TargetMode="External"/><Relationship Id="rId46" Type="http://schemas.openxmlformats.org/officeDocument/2006/relationships/image" Target="media/image20.emf"/><Relationship Id="rId20" Type="http://schemas.openxmlformats.org/officeDocument/2006/relationships/hyperlink" Target="http://www.pmc.gov.au/government/commonwealth-coat-arms" TargetMode="External"/><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Jonathan.Hambur@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Working%20Paper.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6BA96DA3B4B4C80374B8978D71556" ma:contentTypeVersion="3" ma:contentTypeDescription="Create a new document." ma:contentTypeScope="" ma:versionID="81ef5accbd190bffe5e14c9ae244e527">
  <xsd:schema xmlns:xsd="http://www.w3.org/2001/XMLSchema" xmlns:xs="http://www.w3.org/2001/XMLSchema" xmlns:p="http://schemas.microsoft.com/office/2006/metadata/properties" xmlns:ns2="fe39d773-a83d-4623-ae74-f25711a76616" xmlns:ns3="ff38c824-6e29-4496-8487-69f397e7ed29" xmlns:ns4="4ab56fb9-4289-4b15-9302-13d2b31a3ce2" targetNamespace="http://schemas.microsoft.com/office/2006/metadata/properties" ma:root="true" ma:fieldsID="73a7e6fef7b3f833cb54023a8b6a7881" ns2:_="" ns3:_="" ns4:_="">
    <xsd:import namespace="fe39d773-a83d-4623-ae74-f25711a76616"/>
    <xsd:import namespace="ff38c824-6e29-4496-8487-69f397e7ed29"/>
    <xsd:import namespace="4ab56fb9-4289-4b15-9302-13d2b31a3ce2"/>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gfba5f33532c49208d2320ce38cc3c2b" minOccurs="0"/>
                <xsd:element ref="ns2:kfc39f3e4e2747ae990d3c8bb74a5a64" minOccurs="0"/>
                <xsd:element ref="ns2:ge25bdd0d6464e36b066695d9e81d63d" minOccurs="0"/>
                <xsd:element ref="ns4:MediaServiceMetadata" minOccurs="0"/>
                <xsd:element ref="ns4:MediaServiceFastMetadata" minOccurs="0"/>
                <xsd:element ref="ns4:Paper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4;#Human Resources|f3966a8d-305e-48a4-9b86-18cd122bb7a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nillable="true" ma:taxonomy="true" ma:internalName="e4fe7dcdd1c0411bbf19a4de3665191f" ma:taxonomyFieldName="eActivity" ma:displayName="Activity" ma:readOnly="false" ma:default="" ma:fieldId="{e4fe7dcd-d1c0-411b-bf19-a4de3665191f}" ma:sspId="218240cd-c75f-40bd-87f4-262ac964b25b" ma:termSetId="dad10aa9-7f76-4c0e-8eb7-36384d6dec5f" ma:anchorId="00000000-0000-0000-0000-000000000000" ma:open="false" ma:isKeyword="false">
      <xsd:complexType>
        <xsd:sequence>
          <xsd:element ref="pc:Terms" minOccurs="0" maxOccurs="1"/>
        </xsd:sequence>
      </xsd:complexType>
    </xsd:element>
    <xsd:element name="gfba5f33532c49208d2320ce38cc3c2b" ma:index="17" nillable="true" ma:taxonomy="true" ma:internalName="gfba5f33532c49208d2320ce38cc3c2b" ma:taxonomyFieldName="eTopic" ma:displayName="Topic" ma:readOnly="false" ma:default="" ma:fieldId="{0fba5f33-532c-4920-8d23-20ce38cc3c2b}" ma:taxonomyMulti="true" ma:sspId="218240cd-c75f-40bd-87f4-262ac964b25b" ma:termSetId="ca932cd5-2965-4d8a-8fc9-bb7741d742ef" ma:anchorId="00000000-0000-0000-0000-000000000000" ma:open="false" ma:isKeyword="false">
      <xsd:complexType>
        <xsd:sequence>
          <xsd:element ref="pc:Terms" minOccurs="0" maxOccurs="1"/>
        </xsd:sequence>
      </xsd:complexType>
    </xsd:element>
    <xsd:element name="kfc39f3e4e2747ae990d3c8bb74a5a64" ma:index="19" nillable="true" ma:taxonomy="true" ma:internalName="kfc39f3e4e2747ae990d3c8bb74a5a64" ma:taxonomyFieldName="eDocumentType" ma:displayName="Document Type" ma:readOnly="false" ma:default="" ma:fieldId="{4fc39f3e-4e27-47ae-990d-3c8bb74a5a64}" ma:sspId="218240cd-c75f-40bd-87f4-262ac964b25b" ma:termSetId="e9c7c024-8b69-4b0a-9b0d-b0c126129c1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735c07-cae9-4517-827b-416cd2f494eb}"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b735c07-cae9-4517-827b-416cd2f494eb}"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b56fb9-4289-4b15-9302-13d2b31a3ce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Paper_x0020_Status" ma:index="25" nillable="true" ma:displayName="Paper Status" ma:default="Draft" ma:format="Dropdown" ma:internalName="Paper_x0020_Status">
      <xsd:simpleType>
        <xsd:restriction base="dms:Choice">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PK5MFMKX2XR4-1255830806-7</_dlc_DocId>
    <TaxCatchAll xmlns="ff38c824-6e29-4496-8487-69f397e7ed29">
      <Value>16</Value>
      <Value>15</Value>
      <Value>12</Value>
      <Value>19</Value>
      <Value>18</Value>
      <Value>17</Value>
    </TaxCatchAll>
    <_dlc_DocIdUrl xmlns="fe39d773-a83d-4623-ae74-f25711a76616">
      <Url>https://austreasury.sharepoint.com/sites/rp-function/_layouts/15/DocIdRedir.aspx?ID=PK5MFMKX2XR4-1255830806-7</Url>
      <Description>PK5MFMKX2XR4-1255830806-7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8d00cb63-d434-41d6-abde-dc0c480b0967</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Paper (Analysis or Research or Report)</TermName>
          <TermId xmlns="http://schemas.microsoft.com/office/infopath/2007/PartnerControls">6ad78538-b056-4e5b-8c06-e0b6c43f0ffa</TermId>
        </TermInfo>
      </Terms>
    </kfc39f3e4e2747ae990d3c8bb74a5a64>
    <Paper_x0020_Status xmlns="4ab56fb9-4289-4b15-9302-13d2b31a3ce2">Published</Paper_x0020_Status>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Macroeconomics</TermName>
          <TermId xmlns="http://schemas.microsoft.com/office/infopath/2007/PartnerControls">9fcad66e-db05-4b53-a5f8-5b757f4c71ed</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Labour market</TermName>
          <TermId xmlns="http://schemas.microsoft.com/office/infopath/2007/PartnerControls">bde4855e-9faf-4b9c-884c-cfc20faafbba</TermId>
        </TermInfo>
        <TermInfo xmlns="http://schemas.microsoft.com/office/infopath/2007/PartnerControls">
          <TermName xmlns="http://schemas.microsoft.com/office/infopath/2007/PartnerControls"> Competition</TermName>
          <TermId xmlns="http://schemas.microsoft.com/office/infopath/2007/PartnerControls">81d9f373-20dd-4302-803b-382d7df6488e</TermId>
        </TermInfo>
        <TermInfo xmlns="http://schemas.microsoft.com/office/infopath/2007/PartnerControls">
          <TermName xmlns="http://schemas.microsoft.com/office/infopath/2007/PartnerControls"> Wages</TermName>
          <TermId xmlns="http://schemas.microsoft.com/office/infopath/2007/PartnerControls">dadf3d8e-f7ed-4a82-9c64-1b48e501455b</TermId>
        </TermInfo>
      </Terms>
    </gfba5f33532c49208d2320ce38cc3c2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D5553-EC1B-4722-BF62-2C6CA159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ff38c824-6e29-4496-8487-69f397e7ed29"/>
    <ds:schemaRef ds:uri="4ab56fb9-4289-4b15-9302-13d2b31a3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AE0B8-9C94-4F50-ABB7-D98E9FA26244}">
  <ds:schemaRefs>
    <ds:schemaRef ds:uri="http://schemas.openxmlformats.org/officeDocument/2006/bibliography"/>
  </ds:schemaRefs>
</ds:datastoreItem>
</file>

<file path=customXml/itemProps3.xml><?xml version="1.0" encoding="utf-8"?>
<ds:datastoreItem xmlns:ds="http://schemas.openxmlformats.org/officeDocument/2006/customXml" ds:itemID="{0B1515DC-1F21-44ED-9FD6-44532482058B}">
  <ds:schemaRefs>
    <ds:schemaRef ds:uri="http://schemas.microsoft.com/office/2006/metadata/properties"/>
    <ds:schemaRef ds:uri="http://schemas.microsoft.com/office/infopath/2007/PartnerControls"/>
    <ds:schemaRef ds:uri="fe39d773-a83d-4623-ae74-f25711a76616"/>
    <ds:schemaRef ds:uri="ff38c824-6e29-4496-8487-69f397e7ed29"/>
    <ds:schemaRef ds:uri="4ab56fb9-4289-4b15-9302-13d2b31a3ce2"/>
  </ds:schemaRefs>
</ds:datastoreItem>
</file>

<file path=customXml/itemProps4.xml><?xml version="1.0" encoding="utf-8"?>
<ds:datastoreItem xmlns:ds="http://schemas.openxmlformats.org/officeDocument/2006/customXml" ds:itemID="{0A2E31AA-1ADF-445C-88CD-B9667964D25B}">
  <ds:schemaRefs>
    <ds:schemaRef ds:uri="http://schemas.microsoft.com/sharepoint/events"/>
  </ds:schemaRefs>
</ds:datastoreItem>
</file>

<file path=customXml/itemProps5.xml><?xml version="1.0" encoding="utf-8"?>
<ds:datastoreItem xmlns:ds="http://schemas.openxmlformats.org/officeDocument/2006/customXml" ds:itemID="{069A6019-E126-4EF5-ADF1-45B595A5A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Working Paper.dotm</Template>
  <TotalTime>395</TotalTime>
  <Pages>37</Pages>
  <Words>10305</Words>
  <Characters>58739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Did labour market concentration lower wages growth pre-COVID?</vt:lpstr>
    </vt:vector>
  </TitlesOfParts>
  <Company/>
  <LinksUpToDate>false</LinksUpToDate>
  <CharactersWithSpaces>68907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 labour market concentration lower wages growth pre-COVID?</dc:title>
  <dc:subject/>
  <dc:creator>Treasury</dc:creator>
  <cp:keywords/>
  <cp:lastModifiedBy>Smith, Matthew</cp:lastModifiedBy>
  <cp:revision>382</cp:revision>
  <cp:lastPrinted>2023-02-28T05:21:00Z</cp:lastPrinted>
  <dcterms:created xsi:type="dcterms:W3CDTF">2023-02-21T15:48:00Z</dcterms:created>
  <dcterms:modified xsi:type="dcterms:W3CDTF">2023-02-28T23:10:00Z</dcterms:modified>
  <cp:category/>
</cp:coreProperties>
</file>