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FB1F" w14:textId="42982CAA" w:rsidR="00F109D4" w:rsidRPr="00731FEA" w:rsidRDefault="00A640B8"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19B4C901" w14:textId="722AC915"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95E97AB4E8C84232A6546298BCBD22A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sidR="00965F9B">
            <w:rPr>
              <w:sz w:val="24"/>
              <w:szCs w:val="24"/>
            </w:rPr>
            <w:t>Assistant Treasurer</w:t>
          </w:r>
        </w:sdtContent>
      </w:sdt>
    </w:p>
    <w:p w14:paraId="478FDEB0" w14:textId="33B8477B" w:rsidR="00F109D4" w:rsidRDefault="005346A4" w:rsidP="003C7907">
      <w:pPr>
        <w:spacing w:before="240" w:after="240"/>
        <w:jc w:val="center"/>
        <w:rPr>
          <w:i/>
        </w:rPr>
      </w:pPr>
      <w:r>
        <w:rPr>
          <w:i/>
        </w:rPr>
        <w:t>Superannuation Industry (Supervision) Act 1993</w:t>
      </w:r>
    </w:p>
    <w:p w14:paraId="318E448C" w14:textId="77777777" w:rsidR="00BF3519" w:rsidRPr="007558D9" w:rsidRDefault="00BF3519" w:rsidP="00BF3519">
      <w:pPr>
        <w:jc w:val="center"/>
        <w:rPr>
          <w:i/>
          <w:noProof/>
        </w:rPr>
      </w:pPr>
      <w:bookmarkStart w:id="0" w:name="bkSelection"/>
      <w:bookmarkEnd w:id="0"/>
      <w:r>
        <w:rPr>
          <w:i/>
          <w:noProof/>
        </w:rPr>
        <w:t>Superannuation Industry (Supervision) Amendment (Your Future, Your Super – Addressing Underperformance in Superannuation) Regulations 2023</w:t>
      </w:r>
    </w:p>
    <w:p w14:paraId="390AE33B" w14:textId="5A752B8E" w:rsidR="00406D1F" w:rsidRPr="00E14A6A" w:rsidRDefault="00406D1F" w:rsidP="00406D1F">
      <w:pPr>
        <w:rPr>
          <w:szCs w:val="24"/>
        </w:rPr>
      </w:pPr>
      <w:r w:rsidRPr="00E14A6A">
        <w:rPr>
          <w:szCs w:val="24"/>
        </w:rPr>
        <w:t xml:space="preserve">The </w:t>
      </w:r>
      <w:r w:rsidRPr="00E14A6A">
        <w:rPr>
          <w:i/>
          <w:szCs w:val="24"/>
        </w:rPr>
        <w:t>Superannuation Industry (Supervision) Act 1993</w:t>
      </w:r>
      <w:r>
        <w:rPr>
          <w:i/>
          <w:szCs w:val="24"/>
        </w:rPr>
        <w:t xml:space="preserve"> </w:t>
      </w:r>
      <w:r>
        <w:rPr>
          <w:iCs/>
          <w:szCs w:val="24"/>
        </w:rPr>
        <w:t>(the Act)</w:t>
      </w:r>
      <w:r w:rsidRPr="00E14A6A">
        <w:rPr>
          <w:szCs w:val="24"/>
        </w:rPr>
        <w:t xml:space="preserve"> governs the prudent management of superannuation funds and the supervision by the Australian Prudential Regulatory Authority (APRA), the Australian Securities and Investments Commission (ASIC) and the Commissioner of Taxation.   </w:t>
      </w:r>
    </w:p>
    <w:p w14:paraId="20E00A0D" w14:textId="5F739222" w:rsidR="002745E5" w:rsidRPr="00E14A6A" w:rsidRDefault="002745E5" w:rsidP="001E599D">
      <w:pPr>
        <w:widowControl w:val="0"/>
        <w:adjustRightInd w:val="0"/>
        <w:spacing w:before="240"/>
        <w:jc w:val="both"/>
        <w:textAlignment w:val="baseline"/>
        <w:rPr>
          <w:szCs w:val="24"/>
        </w:rPr>
      </w:pPr>
      <w:r w:rsidRPr="00E14A6A">
        <w:rPr>
          <w:szCs w:val="24"/>
        </w:rPr>
        <w:t xml:space="preserve">Section 353 of the </w:t>
      </w:r>
      <w:r w:rsidR="00E14A6A" w:rsidRPr="00E14A6A">
        <w:rPr>
          <w:iCs/>
          <w:szCs w:val="24"/>
        </w:rPr>
        <w:t xml:space="preserve">Act </w:t>
      </w:r>
      <w:r w:rsidR="00E14A6A" w:rsidRPr="00E14A6A">
        <w:rPr>
          <w:szCs w:val="24"/>
        </w:rPr>
        <w:t>allows the</w:t>
      </w:r>
      <w:r w:rsidRPr="00E14A6A">
        <w:rPr>
          <w:szCs w:val="24"/>
        </w:rPr>
        <w:t xml:space="preserve"> Governor-General </w:t>
      </w:r>
      <w:r w:rsidR="00E14A6A" w:rsidRPr="00E14A6A">
        <w:rPr>
          <w:szCs w:val="24"/>
        </w:rPr>
        <w:t xml:space="preserve">to </w:t>
      </w:r>
      <w:r w:rsidRPr="00E14A6A">
        <w:rPr>
          <w:szCs w:val="24"/>
        </w:rPr>
        <w:t>make regulations prescribing matters required or permitted by the Act to be prescribed, or necessary or convenient to be prescribed for carrying out or giving effect to the Act.</w:t>
      </w:r>
    </w:p>
    <w:p w14:paraId="66639B17" w14:textId="29B06EB7" w:rsidR="001C3F3E" w:rsidRDefault="00FF30A0" w:rsidP="001E599D">
      <w:pPr>
        <w:rPr>
          <w:color w:val="000000"/>
          <w:shd w:val="clear" w:color="auto" w:fill="FFFFFF"/>
        </w:rPr>
      </w:pPr>
      <w:r w:rsidRPr="00E14A6A">
        <w:rPr>
          <w:szCs w:val="24"/>
        </w:rPr>
        <w:t>Th</w:t>
      </w:r>
      <w:r w:rsidR="00406D1F">
        <w:rPr>
          <w:szCs w:val="24"/>
        </w:rPr>
        <w:t>e purpose of</w:t>
      </w:r>
      <w:r w:rsidR="00C90E38">
        <w:t xml:space="preserve"> </w:t>
      </w:r>
      <w:r w:rsidR="00C90E38" w:rsidRPr="00C90E38">
        <w:rPr>
          <w:i/>
          <w:iCs/>
        </w:rPr>
        <w:t>Superannuation Industry (Supervision) Amendment (Your Future, Your Super—Addressing Underperformance in Superannuation) Regulations 202</w:t>
      </w:r>
      <w:r w:rsidR="002C40BF">
        <w:rPr>
          <w:i/>
          <w:iCs/>
        </w:rPr>
        <w:t>3</w:t>
      </w:r>
      <w:r w:rsidR="00C90E38" w:rsidRPr="00C90E38">
        <w:t xml:space="preserve"> </w:t>
      </w:r>
      <w:r w:rsidR="00406D1F">
        <w:rPr>
          <w:szCs w:val="24"/>
        </w:rPr>
        <w:t>(the Regulations)</w:t>
      </w:r>
      <w:r w:rsidRPr="00E14A6A">
        <w:rPr>
          <w:szCs w:val="24"/>
        </w:rPr>
        <w:t xml:space="preserve"> </w:t>
      </w:r>
      <w:r w:rsidR="00406D1F">
        <w:rPr>
          <w:szCs w:val="24"/>
        </w:rPr>
        <w:t xml:space="preserve">is to </w:t>
      </w:r>
      <w:r w:rsidR="00397FD7">
        <w:rPr>
          <w:color w:val="000000"/>
          <w:shd w:val="clear" w:color="auto" w:fill="FFFFFF"/>
        </w:rPr>
        <w:t>amend the S</w:t>
      </w:r>
      <w:r w:rsidR="00397FD7" w:rsidRPr="00397FD7">
        <w:rPr>
          <w:i/>
          <w:iCs/>
          <w:color w:val="000000"/>
          <w:shd w:val="clear" w:color="auto" w:fill="FFFFFF"/>
        </w:rPr>
        <w:t xml:space="preserve">uperannuation Industry (Supervision) Regulations 1994 </w:t>
      </w:r>
      <w:r w:rsidR="00397FD7">
        <w:rPr>
          <w:color w:val="000000"/>
          <w:shd w:val="clear" w:color="auto" w:fill="FFFFFF"/>
        </w:rPr>
        <w:t xml:space="preserve">(the Principal Regulations) </w:t>
      </w:r>
      <w:r w:rsidR="00B8733A">
        <w:rPr>
          <w:color w:val="000000"/>
          <w:shd w:val="clear" w:color="auto" w:fill="FFFFFF"/>
        </w:rPr>
        <w:t xml:space="preserve">to address </w:t>
      </w:r>
      <w:r w:rsidR="00875E00">
        <w:rPr>
          <w:color w:val="000000"/>
          <w:shd w:val="clear" w:color="auto" w:fill="FFFFFF"/>
        </w:rPr>
        <w:t>issues raised in Treasury’s review of</w:t>
      </w:r>
      <w:r w:rsidR="0036748A">
        <w:rPr>
          <w:color w:val="000000"/>
          <w:shd w:val="clear" w:color="auto" w:fill="FFFFFF"/>
        </w:rPr>
        <w:t xml:space="preserve"> Your Future, Your Super </w:t>
      </w:r>
      <w:r w:rsidR="00875E00">
        <w:rPr>
          <w:color w:val="000000"/>
          <w:shd w:val="clear" w:color="auto" w:fill="FFFFFF"/>
        </w:rPr>
        <w:t>laws</w:t>
      </w:r>
      <w:r w:rsidR="004372B6">
        <w:rPr>
          <w:color w:val="000000"/>
          <w:shd w:val="clear" w:color="auto" w:fill="FFFFFF"/>
        </w:rPr>
        <w:t xml:space="preserve">. The Regulations </w:t>
      </w:r>
      <w:r w:rsidR="009A3413">
        <w:rPr>
          <w:color w:val="000000"/>
          <w:shd w:val="clear" w:color="auto" w:fill="FFFFFF"/>
        </w:rPr>
        <w:t xml:space="preserve">amend </w:t>
      </w:r>
      <w:r w:rsidR="0036748A">
        <w:rPr>
          <w:color w:val="000000"/>
          <w:shd w:val="clear" w:color="auto" w:fill="FFFFFF"/>
        </w:rPr>
        <w:t>the testing period, benchmarks and notification letter</w:t>
      </w:r>
      <w:r w:rsidR="00D033F9">
        <w:rPr>
          <w:color w:val="000000"/>
          <w:shd w:val="clear" w:color="auto" w:fill="FFFFFF"/>
        </w:rPr>
        <w:t xml:space="preserve"> that form part of the annual performance test requirements</w:t>
      </w:r>
      <w:r w:rsidR="002F0824">
        <w:rPr>
          <w:color w:val="000000"/>
          <w:shd w:val="clear" w:color="auto" w:fill="FFFFFF"/>
        </w:rPr>
        <w:t xml:space="preserve">. </w:t>
      </w:r>
      <w:r w:rsidR="00545E28">
        <w:rPr>
          <w:color w:val="000000"/>
          <w:shd w:val="clear" w:color="auto" w:fill="FFFFFF"/>
        </w:rPr>
        <w:t xml:space="preserve">Further minor technical updates to the </w:t>
      </w:r>
      <w:r w:rsidR="00500745">
        <w:rPr>
          <w:color w:val="000000"/>
          <w:shd w:val="clear" w:color="auto" w:fill="FFFFFF"/>
        </w:rPr>
        <w:t>regulations</w:t>
      </w:r>
      <w:r w:rsidR="00243963">
        <w:rPr>
          <w:color w:val="000000"/>
          <w:shd w:val="clear" w:color="auto" w:fill="FFFFFF"/>
        </w:rPr>
        <w:t xml:space="preserve"> improve accuracy and clarity</w:t>
      </w:r>
      <w:r w:rsidR="00A419C6">
        <w:rPr>
          <w:color w:val="000000"/>
          <w:shd w:val="clear" w:color="auto" w:fill="FFFFFF"/>
        </w:rPr>
        <w:t xml:space="preserve"> for the annual performance test</w:t>
      </w:r>
      <w:r w:rsidR="00243963">
        <w:rPr>
          <w:color w:val="000000"/>
          <w:shd w:val="clear" w:color="auto" w:fill="FFFFFF"/>
        </w:rPr>
        <w:t>, reduce the administrative burden for APRA and ensure th</w:t>
      </w:r>
      <w:r w:rsidR="00500745">
        <w:rPr>
          <w:color w:val="000000"/>
          <w:shd w:val="clear" w:color="auto" w:fill="FFFFFF"/>
        </w:rPr>
        <w:t xml:space="preserve">e </w:t>
      </w:r>
      <w:r w:rsidR="00243963">
        <w:rPr>
          <w:color w:val="000000"/>
          <w:shd w:val="clear" w:color="auto" w:fill="FFFFFF"/>
        </w:rPr>
        <w:t xml:space="preserve">test </w:t>
      </w:r>
      <w:r w:rsidR="00500745">
        <w:rPr>
          <w:color w:val="000000"/>
          <w:shd w:val="clear" w:color="auto" w:fill="FFFFFF"/>
        </w:rPr>
        <w:t xml:space="preserve">is fit for purpose when it is extended to trustee directed products. </w:t>
      </w:r>
    </w:p>
    <w:p w14:paraId="00538B33" w14:textId="5C69E4BC" w:rsidR="00DA0B86" w:rsidRDefault="00A24FEF" w:rsidP="001E599D">
      <w:pPr>
        <w:rPr>
          <w:szCs w:val="24"/>
        </w:rPr>
      </w:pPr>
      <w:r w:rsidRPr="00E14A6A">
        <w:rPr>
          <w:szCs w:val="24"/>
        </w:rPr>
        <w:t xml:space="preserve">The </w:t>
      </w:r>
      <w:r w:rsidRPr="00AE69CF">
        <w:rPr>
          <w:i/>
          <w:iCs/>
          <w:szCs w:val="24"/>
        </w:rPr>
        <w:t>Treasury Laws Amendment (Your Future, Your Super) Act 2021</w:t>
      </w:r>
      <w:r w:rsidRPr="00E14A6A">
        <w:rPr>
          <w:szCs w:val="24"/>
        </w:rPr>
        <w:t xml:space="preserve"> (the YFYS Act) </w:t>
      </w:r>
      <w:r>
        <w:rPr>
          <w:szCs w:val="24"/>
        </w:rPr>
        <w:t>introduced an</w:t>
      </w:r>
      <w:r w:rsidR="00F3574D" w:rsidRPr="00E14A6A">
        <w:rPr>
          <w:szCs w:val="24"/>
        </w:rPr>
        <w:t xml:space="preserve"> annual performance test for </w:t>
      </w:r>
      <w:r w:rsidR="00AF54A1">
        <w:rPr>
          <w:szCs w:val="24"/>
        </w:rPr>
        <w:t xml:space="preserve">‘Part 6A products’, which include MySuper products and other products </w:t>
      </w:r>
      <w:r w:rsidR="00F9432A">
        <w:rPr>
          <w:szCs w:val="24"/>
        </w:rPr>
        <w:t xml:space="preserve">as </w:t>
      </w:r>
      <w:r w:rsidR="00AF54A1">
        <w:rPr>
          <w:szCs w:val="24"/>
        </w:rPr>
        <w:t>specified in regulations</w:t>
      </w:r>
      <w:r w:rsidR="00F3574D" w:rsidRPr="00E14A6A">
        <w:rPr>
          <w:szCs w:val="24"/>
        </w:rPr>
        <w:t xml:space="preserve">. </w:t>
      </w:r>
      <w:r>
        <w:rPr>
          <w:szCs w:val="24"/>
        </w:rPr>
        <w:t xml:space="preserve">The YFYS Act </w:t>
      </w:r>
      <w:r w:rsidR="00F3574D" w:rsidRPr="00E14A6A">
        <w:rPr>
          <w:szCs w:val="24"/>
        </w:rPr>
        <w:t xml:space="preserve">came into effect on 1 July 2021, with supporting regulations made on 5 August 2021. </w:t>
      </w:r>
      <w:r w:rsidR="00DA0B86">
        <w:rPr>
          <w:szCs w:val="24"/>
        </w:rPr>
        <w:t xml:space="preserve">The </w:t>
      </w:r>
      <w:r>
        <w:rPr>
          <w:szCs w:val="24"/>
        </w:rPr>
        <w:t xml:space="preserve">performance </w:t>
      </w:r>
      <w:r w:rsidR="00DA0B86">
        <w:rPr>
          <w:szCs w:val="24"/>
        </w:rPr>
        <w:t xml:space="preserve">test </w:t>
      </w:r>
      <w:r w:rsidR="00AF54A1">
        <w:rPr>
          <w:szCs w:val="24"/>
        </w:rPr>
        <w:t xml:space="preserve">applied </w:t>
      </w:r>
      <w:r>
        <w:rPr>
          <w:szCs w:val="24"/>
        </w:rPr>
        <w:t xml:space="preserve">in relation </w:t>
      </w:r>
      <w:r w:rsidR="00AF54A1">
        <w:rPr>
          <w:szCs w:val="24"/>
        </w:rPr>
        <w:t>to</w:t>
      </w:r>
      <w:r w:rsidR="00DA0B86">
        <w:rPr>
          <w:szCs w:val="24"/>
        </w:rPr>
        <w:t xml:space="preserve"> MySuper products </w:t>
      </w:r>
      <w:r>
        <w:rPr>
          <w:szCs w:val="24"/>
        </w:rPr>
        <w:t xml:space="preserve">on and after </w:t>
      </w:r>
      <w:r w:rsidR="00DA0B86">
        <w:rPr>
          <w:szCs w:val="24"/>
        </w:rPr>
        <w:t xml:space="preserve">1 July 2021 and will apply in relation to </w:t>
      </w:r>
      <w:r w:rsidR="00AF54A1">
        <w:rPr>
          <w:szCs w:val="24"/>
        </w:rPr>
        <w:t xml:space="preserve">trustee-directed products </w:t>
      </w:r>
      <w:r>
        <w:rPr>
          <w:szCs w:val="24"/>
        </w:rPr>
        <w:t xml:space="preserve">on and after </w:t>
      </w:r>
      <w:r w:rsidR="00DA0B86">
        <w:rPr>
          <w:szCs w:val="24"/>
        </w:rPr>
        <w:t xml:space="preserve">1 July </w:t>
      </w:r>
      <w:r w:rsidR="0092356B">
        <w:rPr>
          <w:szCs w:val="24"/>
        </w:rPr>
        <w:t>2023</w:t>
      </w:r>
      <w:r w:rsidR="00DA0B86">
        <w:rPr>
          <w:szCs w:val="24"/>
        </w:rPr>
        <w:t xml:space="preserve">. </w:t>
      </w:r>
    </w:p>
    <w:p w14:paraId="55A551C7" w14:textId="6C14744D" w:rsidR="005E6FCA" w:rsidRDefault="005E6FCA" w:rsidP="005E6FCA">
      <w:pPr>
        <w:pStyle w:val="Bullet"/>
        <w:numPr>
          <w:ilvl w:val="0"/>
          <w:numId w:val="0"/>
        </w:numPr>
        <w:rPr>
          <w:color w:val="FF0000"/>
        </w:rPr>
      </w:pPr>
      <w:r>
        <w:t xml:space="preserve">The Act does not specify any conditions that need to be satisfied before the power to make the proposed Regulations may be exercised. </w:t>
      </w:r>
    </w:p>
    <w:p w14:paraId="26C64214" w14:textId="77777777" w:rsidR="003777E6" w:rsidRDefault="00F31486" w:rsidP="00F31486">
      <w:pPr>
        <w:spacing w:before="240"/>
      </w:pPr>
      <w:r>
        <w:t xml:space="preserve">The Regulations are a legislative instrument for the purposes of the </w:t>
      </w:r>
      <w:r>
        <w:rPr>
          <w:i/>
        </w:rPr>
        <w:t>Legislation Act 2003</w:t>
      </w:r>
      <w:r>
        <w:t>.</w:t>
      </w:r>
      <w:r w:rsidR="003777E6">
        <w:t xml:space="preserve"> </w:t>
      </w:r>
    </w:p>
    <w:p w14:paraId="1C6A489A" w14:textId="20AF8AFA" w:rsidR="00F31486" w:rsidRDefault="00F31486" w:rsidP="00F31486">
      <w:pPr>
        <w:spacing w:before="240"/>
      </w:pPr>
      <w:r>
        <w:t>The Regulations commenced on the day after they were registered on the Federal Register of Legislation.</w:t>
      </w:r>
    </w:p>
    <w:p w14:paraId="7C61F093" w14:textId="77777777" w:rsidR="00845340" w:rsidRPr="00E14A6A" w:rsidRDefault="00845340" w:rsidP="00845340">
      <w:pPr>
        <w:spacing w:before="240"/>
        <w:rPr>
          <w:szCs w:val="24"/>
        </w:rPr>
      </w:pPr>
      <w:r>
        <w:rPr>
          <w:szCs w:val="24"/>
        </w:rPr>
        <w:t>Details</w:t>
      </w:r>
      <w:r w:rsidRPr="001A6CB0">
        <w:rPr>
          <w:szCs w:val="24"/>
        </w:rPr>
        <w:t xml:space="preserve"> of the Regulations are set out in </w:t>
      </w:r>
      <w:r w:rsidRPr="001A6CB0">
        <w:rPr>
          <w:szCs w:val="24"/>
          <w:u w:val="single"/>
        </w:rPr>
        <w:t>Attachment A.</w:t>
      </w:r>
    </w:p>
    <w:p w14:paraId="6B720ECF" w14:textId="61C26D23" w:rsidR="009B39CB" w:rsidRDefault="009B39CB" w:rsidP="009B39CB">
      <w:pPr>
        <w:spacing w:before="240"/>
      </w:pPr>
      <w:r w:rsidRPr="00B22D0F">
        <w:t>The Office of Impact Analysis has been (OIA) has been consulted (</w:t>
      </w:r>
      <w:r w:rsidR="001830FE">
        <w:t>OBPR22-03464</w:t>
      </w:r>
      <w:r w:rsidR="00915972">
        <w:t xml:space="preserve">) </w:t>
      </w:r>
      <w:r w:rsidR="009E3E5E">
        <w:t>and</w:t>
      </w:r>
      <w:r w:rsidRPr="00B22D0F">
        <w:t xml:space="preserve"> agreed that</w:t>
      </w:r>
      <w:r w:rsidR="009E3E5E">
        <w:t xml:space="preserve"> the proposal is unlikely to have a more than minor regulatory impact, as changes are minor, provide further options or consequential. As such, the preparation of an Impact Analysis (IA) is not required</w:t>
      </w:r>
      <w:r w:rsidR="00B22D0F">
        <w:t xml:space="preserve">. </w:t>
      </w:r>
      <w:r w:rsidRPr="00300B60">
        <w:t xml:space="preserve"> </w:t>
      </w:r>
      <w:r w:rsidRPr="003C5719">
        <w:t xml:space="preserve"> </w:t>
      </w:r>
    </w:p>
    <w:p w14:paraId="7EE9E43C" w14:textId="6FBBFBFC" w:rsidR="00EA4DD8" w:rsidRDefault="00EA4DD8" w:rsidP="001E599D">
      <w:pPr>
        <w:pageBreakBefore/>
        <w:spacing w:before="240"/>
        <w:ind w:left="5760"/>
        <w:jc w:val="center"/>
        <w:rPr>
          <w:b/>
          <w:u w:val="single"/>
        </w:rPr>
      </w:pPr>
      <w:r w:rsidRPr="001E599D">
        <w:rPr>
          <w:b/>
          <w:u w:val="single"/>
        </w:rPr>
        <w:lastRenderedPageBreak/>
        <w:t>ATTACHMENT</w:t>
      </w:r>
      <w:r w:rsidR="008D3249" w:rsidRPr="001E599D">
        <w:rPr>
          <w:b/>
          <w:u w:val="single"/>
        </w:rPr>
        <w:t xml:space="preserve"> A</w:t>
      </w:r>
    </w:p>
    <w:p w14:paraId="6DE5DF2F" w14:textId="1C0034AC" w:rsidR="00EA4DD8" w:rsidRPr="00AD0D09" w:rsidRDefault="00EA4DD8" w:rsidP="001E599D">
      <w:pPr>
        <w:spacing w:before="240"/>
        <w:ind w:right="91"/>
        <w:rPr>
          <w:b/>
          <w:bCs/>
          <w:szCs w:val="24"/>
          <w:u w:val="single"/>
        </w:rPr>
      </w:pPr>
      <w:r w:rsidRPr="00AD0D09">
        <w:rPr>
          <w:b/>
          <w:bCs/>
          <w:u w:val="single"/>
        </w:rPr>
        <w:t xml:space="preserve">Details of the </w:t>
      </w:r>
      <w:r w:rsidR="001E599D" w:rsidRPr="001E599D">
        <w:rPr>
          <w:b/>
          <w:bCs/>
          <w:i/>
          <w:iCs/>
          <w:u w:val="single"/>
        </w:rPr>
        <w:t xml:space="preserve">Treasury Laws Amendment (Your Future, Your Super—Addressing Underperformance in Superannuation) Regulations </w:t>
      </w:r>
      <w:r w:rsidR="001C632A" w:rsidRPr="001E599D">
        <w:rPr>
          <w:b/>
          <w:bCs/>
          <w:i/>
          <w:iCs/>
          <w:u w:val="single"/>
        </w:rPr>
        <w:t>202</w:t>
      </w:r>
      <w:r w:rsidR="001C632A">
        <w:rPr>
          <w:b/>
          <w:bCs/>
          <w:i/>
          <w:iCs/>
          <w:u w:val="single"/>
        </w:rPr>
        <w:t xml:space="preserve">3 </w:t>
      </w:r>
    </w:p>
    <w:p w14:paraId="26B004FD" w14:textId="77777777" w:rsidR="00EA4DD8" w:rsidRDefault="00EA4DD8" w:rsidP="001E599D">
      <w:pPr>
        <w:spacing w:before="240"/>
        <w:rPr>
          <w:rFonts w:ascii="Calibri" w:hAnsi="Calibri"/>
          <w:sz w:val="22"/>
          <w:szCs w:val="22"/>
          <w:u w:val="single"/>
          <w:lang w:eastAsia="en-US"/>
        </w:rPr>
      </w:pPr>
      <w:r>
        <w:rPr>
          <w:u w:val="single"/>
        </w:rPr>
        <w:t>Section 1 – Name of the Regulations</w:t>
      </w:r>
    </w:p>
    <w:p w14:paraId="65E9BBEF" w14:textId="77777777" w:rsidR="004B40A6" w:rsidRPr="006F0BD0" w:rsidRDefault="004B40A6" w:rsidP="004B40A6">
      <w:r>
        <w:t xml:space="preserve">This section provides that the name of the Regulations is the </w:t>
      </w:r>
      <w:r>
        <w:rPr>
          <w:i/>
          <w:iCs/>
        </w:rPr>
        <w:t xml:space="preserve">Superannuation Industry (Supervision) Amendment (Your Future, Your Super – Addressing Underperformance in Superannuation) Regulations 2023. </w:t>
      </w:r>
    </w:p>
    <w:p w14:paraId="507AC30C" w14:textId="77777777" w:rsidR="00EA4DD8" w:rsidRDefault="00EA4DD8" w:rsidP="001E599D">
      <w:pPr>
        <w:spacing w:before="240"/>
        <w:rPr>
          <w:u w:val="single"/>
        </w:rPr>
      </w:pPr>
      <w:r>
        <w:rPr>
          <w:u w:val="single"/>
        </w:rPr>
        <w:t>Section 2 – Commencement</w:t>
      </w:r>
    </w:p>
    <w:p w14:paraId="10998BBD" w14:textId="44B9BC08" w:rsidR="00EA4DD8" w:rsidRDefault="00EA4DD8" w:rsidP="001E599D">
      <w:pPr>
        <w:spacing w:before="240"/>
        <w:ind w:right="91"/>
      </w:pPr>
      <w:r>
        <w:t>Schedule 1 to the Regulations commen</w:t>
      </w:r>
      <w:r w:rsidRPr="00F90D88">
        <w:t>ce</w:t>
      </w:r>
      <w:r w:rsidR="008075DF">
        <w:t>d</w:t>
      </w:r>
      <w:r w:rsidRPr="00F90D88">
        <w:t xml:space="preserve"> on the day after the instrument is registered</w:t>
      </w:r>
      <w:r w:rsidR="00CD6AE3">
        <w:t xml:space="preserve"> on the Federal Register of Legislation</w:t>
      </w:r>
      <w:r w:rsidRPr="00F90D88">
        <w:t>.</w:t>
      </w:r>
    </w:p>
    <w:p w14:paraId="6D92861C" w14:textId="77777777" w:rsidR="00EA4DD8" w:rsidRDefault="00EA4DD8" w:rsidP="001E599D">
      <w:pPr>
        <w:spacing w:before="240"/>
        <w:ind w:right="91"/>
        <w:rPr>
          <w:u w:val="single"/>
        </w:rPr>
      </w:pPr>
      <w:r>
        <w:rPr>
          <w:u w:val="single"/>
        </w:rPr>
        <w:t>Section 3 – Authority</w:t>
      </w:r>
    </w:p>
    <w:p w14:paraId="7FCAFEB8" w14:textId="3CFADB20" w:rsidR="00E918E6" w:rsidRPr="00C90E38" w:rsidRDefault="00F90D88" w:rsidP="00C90E38">
      <w:pPr>
        <w:spacing w:before="240"/>
        <w:ind w:right="91"/>
      </w:pPr>
      <w:r>
        <w:t xml:space="preserve">The Regulations are made under the </w:t>
      </w:r>
      <w:r w:rsidR="00E918E6" w:rsidRPr="00C90E38">
        <w:rPr>
          <w:i/>
        </w:rPr>
        <w:t>Superannuation Industry (Supervision) Act 1993</w:t>
      </w:r>
      <w:r w:rsidR="00CD6AE3" w:rsidRPr="000F6659">
        <w:t xml:space="preserve"> (the Act)</w:t>
      </w:r>
      <w:r w:rsidR="00E918E6" w:rsidRPr="00C90E38">
        <w:t xml:space="preserve">. </w:t>
      </w:r>
    </w:p>
    <w:p w14:paraId="27DA4D02" w14:textId="0A121AA8" w:rsidR="00EA4DD8" w:rsidRPr="006F7C08" w:rsidRDefault="00EA4DD8" w:rsidP="001E599D">
      <w:pPr>
        <w:spacing w:before="240"/>
        <w:ind w:right="91"/>
        <w:rPr>
          <w:u w:val="single"/>
        </w:rPr>
      </w:pPr>
      <w:r w:rsidRPr="006F7C08">
        <w:rPr>
          <w:u w:val="single"/>
        </w:rPr>
        <w:t>Section 4 – Schedule</w:t>
      </w:r>
    </w:p>
    <w:p w14:paraId="7CC91FC9" w14:textId="6BC115CE" w:rsidR="00EA4DD8" w:rsidRDefault="00EA4DD8" w:rsidP="001E599D">
      <w:pPr>
        <w:spacing w:before="240" w:after="200"/>
        <w:ind w:right="91"/>
        <w:rPr>
          <w:u w:val="single"/>
        </w:rPr>
      </w:pPr>
      <w:r>
        <w:t xml:space="preserve">This section provides that each instrument that is specified in </w:t>
      </w:r>
      <w:r w:rsidR="00F6692F">
        <w:t>a</w:t>
      </w:r>
      <w:r>
        <w:t xml:space="preserve"> Schedule to this instrument </w:t>
      </w:r>
      <w:r w:rsidR="00A53F80">
        <w:t xml:space="preserve">is </w:t>
      </w:r>
      <w:r>
        <w:t>amended or repealed as set out in the applicable items in the Schedule</w:t>
      </w:r>
      <w:r w:rsidR="000138FB">
        <w:t xml:space="preserve"> concerned</w:t>
      </w:r>
      <w:r>
        <w:t>, and any other item in the Schedule to this instrument has effect according to its terms.</w:t>
      </w:r>
    </w:p>
    <w:p w14:paraId="41035B13" w14:textId="646D8198" w:rsidR="00EA4DD8" w:rsidRDefault="00EA4DD8" w:rsidP="001E599D">
      <w:pPr>
        <w:spacing w:before="0" w:after="0"/>
      </w:pPr>
      <w:r>
        <w:rPr>
          <w:u w:val="single"/>
        </w:rPr>
        <w:t>Schedule 1 – Amendments</w:t>
      </w:r>
      <w:r w:rsidR="000F6659">
        <w:rPr>
          <w:u w:val="single"/>
        </w:rPr>
        <w:t xml:space="preserve"> to </w:t>
      </w:r>
      <w:r w:rsidR="000F6659">
        <w:rPr>
          <w:i/>
          <w:iCs/>
          <w:color w:val="000000"/>
          <w:u w:val="single"/>
          <w:shd w:val="clear" w:color="auto" w:fill="FFFFFF"/>
        </w:rPr>
        <w:t>Superannuation Industry (</w:t>
      </w:r>
      <w:r w:rsidR="004504EC">
        <w:rPr>
          <w:i/>
          <w:iCs/>
          <w:color w:val="000000"/>
          <w:u w:val="single"/>
          <w:shd w:val="clear" w:color="auto" w:fill="FFFFFF"/>
        </w:rPr>
        <w:t>S</w:t>
      </w:r>
      <w:r w:rsidR="000F6659">
        <w:rPr>
          <w:i/>
          <w:iCs/>
          <w:color w:val="000000"/>
          <w:u w:val="single"/>
          <w:shd w:val="clear" w:color="auto" w:fill="FFFFFF"/>
        </w:rPr>
        <w:t xml:space="preserve">upervision) Regulations 1994 </w:t>
      </w:r>
      <w:r w:rsidR="000F6659">
        <w:rPr>
          <w:color w:val="000000"/>
          <w:u w:val="single"/>
          <w:shd w:val="clear" w:color="auto" w:fill="FFFFFF"/>
        </w:rPr>
        <w:t>(the Principal Regulations)</w:t>
      </w:r>
      <w:r>
        <w:rPr>
          <w:u w:val="single"/>
        </w:rPr>
        <w:t xml:space="preserve"> </w:t>
      </w:r>
      <w:r w:rsidR="00F67466">
        <w:rPr>
          <w:color w:val="FF0000"/>
          <w:u w:val="single"/>
        </w:rPr>
        <w:t xml:space="preserve"> </w:t>
      </w:r>
    </w:p>
    <w:p w14:paraId="40D41BAD" w14:textId="271C7C2F" w:rsidR="00A032F9" w:rsidRDefault="00A032F9" w:rsidP="001E599D">
      <w:pPr>
        <w:spacing w:before="0" w:after="0"/>
        <w:rPr>
          <w:b/>
          <w:kern w:val="28"/>
        </w:rPr>
      </w:pPr>
    </w:p>
    <w:p w14:paraId="49EE8F15" w14:textId="6E6BDB61" w:rsidR="00145CB2" w:rsidRDefault="00145CB2" w:rsidP="00145CB2">
      <w:pPr>
        <w:spacing w:before="0" w:after="0"/>
        <w:rPr>
          <w:b/>
          <w:bCs/>
          <w:i/>
          <w:iCs/>
          <w:color w:val="000000" w:themeColor="text1"/>
        </w:rPr>
      </w:pPr>
      <w:bookmarkStart w:id="1" w:name="_Hlk99374961"/>
      <w:r>
        <w:rPr>
          <w:b/>
          <w:bCs/>
          <w:i/>
          <w:iCs/>
          <w:color w:val="000000" w:themeColor="text1"/>
        </w:rPr>
        <w:t xml:space="preserve">Items </w:t>
      </w:r>
      <w:r w:rsidR="007D0C2C">
        <w:rPr>
          <w:b/>
          <w:bCs/>
          <w:i/>
          <w:iCs/>
          <w:color w:val="000000" w:themeColor="text1"/>
        </w:rPr>
        <w:t>20</w:t>
      </w:r>
      <w:r w:rsidR="00D07C95">
        <w:rPr>
          <w:b/>
          <w:bCs/>
          <w:i/>
          <w:iCs/>
          <w:color w:val="000000" w:themeColor="text1"/>
        </w:rPr>
        <w:t xml:space="preserve">, </w:t>
      </w:r>
      <w:r w:rsidR="00551894">
        <w:rPr>
          <w:b/>
          <w:bCs/>
          <w:i/>
          <w:iCs/>
          <w:color w:val="000000" w:themeColor="text1"/>
        </w:rPr>
        <w:t>21</w:t>
      </w:r>
      <w:r>
        <w:rPr>
          <w:b/>
          <w:bCs/>
          <w:i/>
          <w:iCs/>
          <w:color w:val="000000" w:themeColor="text1"/>
        </w:rPr>
        <w:t xml:space="preserve"> and </w:t>
      </w:r>
      <w:r w:rsidR="00AA3FDD">
        <w:rPr>
          <w:b/>
          <w:bCs/>
          <w:i/>
          <w:iCs/>
          <w:color w:val="000000" w:themeColor="text1"/>
        </w:rPr>
        <w:t>49</w:t>
      </w:r>
      <w:r>
        <w:rPr>
          <w:b/>
          <w:bCs/>
          <w:i/>
          <w:iCs/>
          <w:color w:val="000000" w:themeColor="text1"/>
        </w:rPr>
        <w:t xml:space="preserve"> – </w:t>
      </w:r>
      <w:proofErr w:type="gramStart"/>
      <w:r>
        <w:rPr>
          <w:b/>
          <w:bCs/>
          <w:i/>
          <w:iCs/>
          <w:color w:val="000000" w:themeColor="text1"/>
        </w:rPr>
        <w:t>10 year</w:t>
      </w:r>
      <w:proofErr w:type="gramEnd"/>
      <w:r>
        <w:rPr>
          <w:b/>
          <w:bCs/>
          <w:i/>
          <w:iCs/>
          <w:color w:val="000000" w:themeColor="text1"/>
        </w:rPr>
        <w:t xml:space="preserve"> lookback period</w:t>
      </w:r>
    </w:p>
    <w:p w14:paraId="5FF3FE88" w14:textId="77777777" w:rsidR="00145CB2" w:rsidRDefault="00145CB2" w:rsidP="00145CB2">
      <w:pPr>
        <w:spacing w:before="0" w:after="0"/>
        <w:rPr>
          <w:b/>
          <w:bCs/>
          <w:i/>
          <w:iCs/>
          <w:color w:val="000000" w:themeColor="text1"/>
        </w:rPr>
      </w:pPr>
    </w:p>
    <w:p w14:paraId="10227C60" w14:textId="56422A35" w:rsidR="00AF069F" w:rsidRDefault="00145CB2" w:rsidP="00722A14">
      <w:pPr>
        <w:spacing w:before="0" w:after="0"/>
        <w:jc w:val="both"/>
        <w:rPr>
          <w:color w:val="000000" w:themeColor="text1"/>
        </w:rPr>
      </w:pPr>
      <w:r>
        <w:rPr>
          <w:color w:val="000000" w:themeColor="text1"/>
        </w:rPr>
        <w:t>Item</w:t>
      </w:r>
      <w:r w:rsidR="00124985">
        <w:rPr>
          <w:color w:val="000000" w:themeColor="text1"/>
        </w:rPr>
        <w:t>s</w:t>
      </w:r>
      <w:r>
        <w:rPr>
          <w:color w:val="000000" w:themeColor="text1"/>
        </w:rPr>
        <w:t xml:space="preserve"> </w:t>
      </w:r>
      <w:r w:rsidR="007D0C2C">
        <w:rPr>
          <w:color w:val="000000" w:themeColor="text1"/>
        </w:rPr>
        <w:t>20</w:t>
      </w:r>
      <w:r w:rsidR="00D07C95">
        <w:rPr>
          <w:color w:val="000000" w:themeColor="text1"/>
        </w:rPr>
        <w:t xml:space="preserve"> and </w:t>
      </w:r>
      <w:r w:rsidR="00551894">
        <w:rPr>
          <w:color w:val="000000" w:themeColor="text1"/>
        </w:rPr>
        <w:t>21</w:t>
      </w:r>
      <w:r>
        <w:rPr>
          <w:color w:val="000000" w:themeColor="text1"/>
        </w:rPr>
        <w:t xml:space="preserve"> amend the Principal </w:t>
      </w:r>
      <w:r w:rsidR="004504EC">
        <w:rPr>
          <w:color w:val="000000" w:themeColor="text1"/>
        </w:rPr>
        <w:t>R</w:t>
      </w:r>
      <w:r>
        <w:rPr>
          <w:color w:val="000000" w:themeColor="text1"/>
        </w:rPr>
        <w:t>egulations to extend the lookback period of the performance test from</w:t>
      </w:r>
      <w:r w:rsidR="004504EC">
        <w:rPr>
          <w:color w:val="000000" w:themeColor="text1"/>
        </w:rPr>
        <w:t xml:space="preserve"> eight</w:t>
      </w:r>
      <w:r>
        <w:rPr>
          <w:color w:val="000000" w:themeColor="text1"/>
        </w:rPr>
        <w:t xml:space="preserve"> to </w:t>
      </w:r>
      <w:r w:rsidR="004504EC">
        <w:rPr>
          <w:color w:val="000000" w:themeColor="text1"/>
        </w:rPr>
        <w:t>ten</w:t>
      </w:r>
      <w:r>
        <w:rPr>
          <w:color w:val="000000" w:themeColor="text1"/>
        </w:rPr>
        <w:t xml:space="preserve"> years. This means the performance test will now measure</w:t>
      </w:r>
      <w:r w:rsidR="00E125A5">
        <w:rPr>
          <w:color w:val="000000" w:themeColor="text1"/>
        </w:rPr>
        <w:t xml:space="preserve"> a Part 6A product’s performance </w:t>
      </w:r>
      <w:r w:rsidR="00D639B7">
        <w:rPr>
          <w:color w:val="000000" w:themeColor="text1"/>
        </w:rPr>
        <w:t xml:space="preserve">based on </w:t>
      </w:r>
      <w:r>
        <w:rPr>
          <w:color w:val="000000" w:themeColor="text1"/>
        </w:rPr>
        <w:t>the past ten years of</w:t>
      </w:r>
      <w:r w:rsidR="00D639B7">
        <w:rPr>
          <w:color w:val="000000" w:themeColor="text1"/>
        </w:rPr>
        <w:t xml:space="preserve"> </w:t>
      </w:r>
      <w:r w:rsidR="00AF069F">
        <w:rPr>
          <w:color w:val="000000" w:themeColor="text1"/>
        </w:rPr>
        <w:t xml:space="preserve">the product’s </w:t>
      </w:r>
      <w:r>
        <w:rPr>
          <w:color w:val="000000" w:themeColor="text1"/>
        </w:rPr>
        <w:t>performance history</w:t>
      </w:r>
      <w:r w:rsidR="00D639B7">
        <w:rPr>
          <w:color w:val="000000" w:themeColor="text1"/>
        </w:rPr>
        <w:t xml:space="preserve">. </w:t>
      </w:r>
      <w:r>
        <w:rPr>
          <w:color w:val="000000" w:themeColor="text1"/>
        </w:rPr>
        <w:t xml:space="preserve"> The amended</w:t>
      </w:r>
      <w:r w:rsidR="006D0D98">
        <w:rPr>
          <w:color w:val="000000" w:themeColor="text1"/>
        </w:rPr>
        <w:t xml:space="preserve"> </w:t>
      </w:r>
      <w:proofErr w:type="gramStart"/>
      <w:r w:rsidR="006D0D98">
        <w:rPr>
          <w:color w:val="000000" w:themeColor="text1"/>
        </w:rPr>
        <w:t>ten year</w:t>
      </w:r>
      <w:proofErr w:type="gramEnd"/>
      <w:r w:rsidR="006D0D98">
        <w:rPr>
          <w:color w:val="000000" w:themeColor="text1"/>
        </w:rPr>
        <w:t xml:space="preserve"> </w:t>
      </w:r>
      <w:r>
        <w:rPr>
          <w:color w:val="000000" w:themeColor="text1"/>
        </w:rPr>
        <w:t xml:space="preserve">lookback period will be applied prospectively as new data becomes available. Extending the lookback period is expected to sharpen the incentive of trustees to focus on long-term decision making and aligns with broader industry disclosures. </w:t>
      </w:r>
    </w:p>
    <w:p w14:paraId="50E6597E" w14:textId="77777777" w:rsidR="00AF069F" w:rsidRDefault="00AF069F" w:rsidP="00145CB2">
      <w:pPr>
        <w:spacing w:before="0" w:after="0"/>
        <w:rPr>
          <w:color w:val="000000" w:themeColor="text1"/>
        </w:rPr>
      </w:pPr>
    </w:p>
    <w:p w14:paraId="2E788272" w14:textId="7B8E42B6" w:rsidR="00145CB2" w:rsidRDefault="00145CB2" w:rsidP="00145CB2">
      <w:pPr>
        <w:spacing w:before="0" w:after="0"/>
        <w:rPr>
          <w:color w:val="000000" w:themeColor="text1"/>
        </w:rPr>
      </w:pPr>
      <w:r>
        <w:rPr>
          <w:color w:val="000000" w:themeColor="text1"/>
        </w:rPr>
        <w:t xml:space="preserve">Item </w:t>
      </w:r>
      <w:r w:rsidR="00AA3FDD">
        <w:rPr>
          <w:color w:val="000000" w:themeColor="text1"/>
        </w:rPr>
        <w:t>49</w:t>
      </w:r>
      <w:r>
        <w:rPr>
          <w:color w:val="000000" w:themeColor="text1"/>
        </w:rPr>
        <w:t xml:space="preserve"> is a consequential amendment to ensure the test period for the comparison rankings aligns with the extended lookback period.</w:t>
      </w:r>
    </w:p>
    <w:p w14:paraId="254F751A" w14:textId="77777777" w:rsidR="00145CB2" w:rsidRDefault="00145CB2" w:rsidP="000F6659">
      <w:pPr>
        <w:spacing w:before="0" w:after="0"/>
        <w:rPr>
          <w:b/>
          <w:bCs/>
          <w:i/>
          <w:iCs/>
          <w:color w:val="000000" w:themeColor="text1"/>
        </w:rPr>
      </w:pPr>
    </w:p>
    <w:p w14:paraId="46825E0B" w14:textId="62B4E478" w:rsidR="00145CB2" w:rsidRDefault="00145CB2" w:rsidP="00145CB2">
      <w:pPr>
        <w:spacing w:before="0" w:after="0"/>
      </w:pPr>
      <w:r w:rsidRPr="003848FB">
        <w:rPr>
          <w:b/>
          <w:bCs/>
          <w:i/>
          <w:iCs/>
          <w:color w:val="000000" w:themeColor="text1"/>
        </w:rPr>
        <w:t>Item</w:t>
      </w:r>
      <w:r w:rsidR="00124985">
        <w:rPr>
          <w:b/>
          <w:bCs/>
          <w:i/>
          <w:iCs/>
          <w:color w:val="000000" w:themeColor="text1"/>
        </w:rPr>
        <w:t>s</w:t>
      </w:r>
      <w:r w:rsidRPr="003848FB">
        <w:rPr>
          <w:b/>
          <w:bCs/>
          <w:i/>
          <w:iCs/>
          <w:color w:val="000000" w:themeColor="text1"/>
        </w:rPr>
        <w:t xml:space="preserve"> </w:t>
      </w:r>
      <w:r w:rsidR="00937954">
        <w:rPr>
          <w:b/>
          <w:bCs/>
          <w:i/>
          <w:iCs/>
          <w:color w:val="000000" w:themeColor="text1"/>
        </w:rPr>
        <w:t>3</w:t>
      </w:r>
      <w:r w:rsidR="00C33505">
        <w:rPr>
          <w:b/>
          <w:bCs/>
          <w:i/>
          <w:iCs/>
          <w:color w:val="000000" w:themeColor="text1"/>
        </w:rPr>
        <w:t xml:space="preserve"> and </w:t>
      </w:r>
      <w:r w:rsidR="00075B7A">
        <w:rPr>
          <w:b/>
          <w:bCs/>
          <w:i/>
          <w:iCs/>
          <w:color w:val="000000" w:themeColor="text1"/>
        </w:rPr>
        <w:t>48</w:t>
      </w:r>
      <w:r w:rsidRPr="003848FB">
        <w:rPr>
          <w:b/>
          <w:bCs/>
          <w:i/>
          <w:iCs/>
          <w:color w:val="000000" w:themeColor="text1"/>
        </w:rPr>
        <w:t xml:space="preserve"> – </w:t>
      </w:r>
      <w:r>
        <w:rPr>
          <w:b/>
          <w:bCs/>
          <w:i/>
          <w:iCs/>
          <w:color w:val="000000" w:themeColor="text1"/>
        </w:rPr>
        <w:t xml:space="preserve">Table of covered asset classes </w:t>
      </w:r>
    </w:p>
    <w:p w14:paraId="125E9DF9" w14:textId="52F35AA3" w:rsidR="00145CB2" w:rsidRDefault="00145CB2" w:rsidP="00145CB2">
      <w:pPr>
        <w:widowControl w:val="0"/>
        <w:adjustRightInd w:val="0"/>
        <w:jc w:val="both"/>
        <w:textAlignment w:val="baseline"/>
        <w:rPr>
          <w:rFonts w:eastAsia="Calibri"/>
          <w:szCs w:val="24"/>
        </w:rPr>
      </w:pPr>
      <w:r>
        <w:rPr>
          <w:rFonts w:eastAsia="Calibri"/>
          <w:szCs w:val="24"/>
        </w:rPr>
        <w:t xml:space="preserve">Item </w:t>
      </w:r>
      <w:r w:rsidR="00075B7A">
        <w:rPr>
          <w:rFonts w:eastAsia="Calibri"/>
          <w:szCs w:val="24"/>
        </w:rPr>
        <w:t>48</w:t>
      </w:r>
      <w:r>
        <w:rPr>
          <w:rFonts w:eastAsia="Calibri"/>
          <w:szCs w:val="24"/>
        </w:rPr>
        <w:t xml:space="preserve"> updates the table of covered asset classes with corresponding fee, </w:t>
      </w:r>
      <w:proofErr w:type="gramStart"/>
      <w:r>
        <w:rPr>
          <w:rFonts w:eastAsia="Calibri"/>
          <w:szCs w:val="24"/>
        </w:rPr>
        <w:t>tax</w:t>
      </w:r>
      <w:proofErr w:type="gramEnd"/>
      <w:r>
        <w:rPr>
          <w:rFonts w:eastAsia="Calibri"/>
          <w:szCs w:val="24"/>
        </w:rPr>
        <w:t xml:space="preserve"> and index assumptions under </w:t>
      </w:r>
      <w:r w:rsidR="00AF069F">
        <w:rPr>
          <w:rFonts w:eastAsia="Calibri"/>
          <w:szCs w:val="24"/>
        </w:rPr>
        <w:t xml:space="preserve">subregulation </w:t>
      </w:r>
      <w:r>
        <w:rPr>
          <w:rFonts w:eastAsia="Calibri"/>
          <w:szCs w:val="24"/>
        </w:rPr>
        <w:t xml:space="preserve">9AB.17(7) of the Principal </w:t>
      </w:r>
      <w:r w:rsidR="00AF069F">
        <w:rPr>
          <w:rFonts w:eastAsia="Calibri"/>
          <w:szCs w:val="24"/>
        </w:rPr>
        <w:t>R</w:t>
      </w:r>
      <w:r>
        <w:rPr>
          <w:rFonts w:eastAsia="Calibri"/>
          <w:szCs w:val="24"/>
        </w:rPr>
        <w:t xml:space="preserve">egulations. </w:t>
      </w:r>
    </w:p>
    <w:p w14:paraId="52DF01FE" w14:textId="77777777" w:rsidR="00145CB2" w:rsidRDefault="00145CB2" w:rsidP="00145CB2">
      <w:pPr>
        <w:widowControl w:val="0"/>
        <w:adjustRightInd w:val="0"/>
        <w:jc w:val="both"/>
        <w:textAlignment w:val="baseline"/>
        <w:rPr>
          <w:rFonts w:eastAsia="Calibri"/>
          <w:szCs w:val="24"/>
        </w:rPr>
      </w:pPr>
      <w:r>
        <w:rPr>
          <w:rFonts w:eastAsia="Calibri"/>
          <w:szCs w:val="24"/>
        </w:rPr>
        <w:t>The purpose of the amendment is to improve the accuracy of the test, reduce the incentive for trustees to avoid certain investments, and reflect the latest index names, while maintaining the integrity of the test.</w:t>
      </w:r>
    </w:p>
    <w:p w14:paraId="505C5161" w14:textId="77777777" w:rsidR="00145CB2" w:rsidRDefault="00145CB2" w:rsidP="00145CB2">
      <w:pPr>
        <w:widowControl w:val="0"/>
        <w:adjustRightInd w:val="0"/>
        <w:jc w:val="both"/>
        <w:textAlignment w:val="baseline"/>
        <w:rPr>
          <w:rFonts w:eastAsia="Calibri"/>
          <w:szCs w:val="24"/>
        </w:rPr>
      </w:pPr>
      <w:r>
        <w:rPr>
          <w:rFonts w:eastAsia="Calibri"/>
          <w:szCs w:val="24"/>
        </w:rPr>
        <w:t xml:space="preserve">The table provides additional rows to disaggregate some covered asset classes which </w:t>
      </w:r>
      <w:r>
        <w:rPr>
          <w:rFonts w:eastAsia="Calibri"/>
          <w:szCs w:val="24"/>
        </w:rPr>
        <w:lastRenderedPageBreak/>
        <w:t>are now available to be used for the performance test as, under the new asset allocation standard, funds now have the choice to report more granular data. Disaggregated covered asset classes are provided for:</w:t>
      </w:r>
    </w:p>
    <w:p w14:paraId="00AAC37E" w14:textId="77777777" w:rsidR="00145CB2" w:rsidRDefault="00145CB2" w:rsidP="00145CB2">
      <w:pPr>
        <w:pStyle w:val="Bullet"/>
        <w:rPr>
          <w:rFonts w:eastAsia="Calibri"/>
        </w:rPr>
      </w:pPr>
      <w:r w:rsidRPr="002B6471">
        <w:rPr>
          <w:rFonts w:eastAsia="Calibri"/>
        </w:rPr>
        <w:t>International Equity (</w:t>
      </w:r>
      <w:proofErr w:type="gramStart"/>
      <w:r w:rsidRPr="002B6471">
        <w:rPr>
          <w:rFonts w:eastAsia="Calibri"/>
        </w:rPr>
        <w:t>hedged;</w:t>
      </w:r>
      <w:proofErr w:type="gramEnd"/>
      <w:r w:rsidRPr="002B6471">
        <w:rPr>
          <w:rFonts w:eastAsia="Calibri"/>
        </w:rPr>
        <w:t xml:space="preserve"> emerging markets)</w:t>
      </w:r>
    </w:p>
    <w:p w14:paraId="321A76AA" w14:textId="77777777" w:rsidR="00145CB2" w:rsidRDefault="00145CB2" w:rsidP="00145CB2">
      <w:pPr>
        <w:pStyle w:val="Bullet"/>
        <w:rPr>
          <w:rFonts w:eastAsia="Calibri"/>
        </w:rPr>
      </w:pPr>
      <w:r w:rsidRPr="00AC734C">
        <w:rPr>
          <w:rFonts w:eastAsia="Calibri"/>
        </w:rPr>
        <w:t>International Equity (hedged; developed markets)</w:t>
      </w:r>
    </w:p>
    <w:p w14:paraId="3C4732F3" w14:textId="77777777" w:rsidR="00145CB2" w:rsidRDefault="00145CB2" w:rsidP="00145CB2">
      <w:pPr>
        <w:pStyle w:val="Bullet"/>
        <w:rPr>
          <w:rFonts w:eastAsia="Calibri"/>
        </w:rPr>
      </w:pPr>
      <w:r w:rsidRPr="0046402B">
        <w:rPr>
          <w:rFonts w:eastAsia="Calibri"/>
        </w:rPr>
        <w:t>International Equity (unhedged; emerging markets)</w:t>
      </w:r>
    </w:p>
    <w:p w14:paraId="127A556E" w14:textId="77777777" w:rsidR="00145CB2" w:rsidRDefault="00145CB2" w:rsidP="00145CB2">
      <w:pPr>
        <w:pStyle w:val="Bullet"/>
        <w:rPr>
          <w:rFonts w:eastAsia="Calibri"/>
        </w:rPr>
      </w:pPr>
      <w:r w:rsidRPr="00732BDC">
        <w:rPr>
          <w:rFonts w:eastAsia="Calibri"/>
        </w:rPr>
        <w:t>International Equity (unhedged; developed markets)</w:t>
      </w:r>
    </w:p>
    <w:p w14:paraId="7A2C2124" w14:textId="77777777" w:rsidR="00145CB2" w:rsidRDefault="00145CB2" w:rsidP="00145CB2">
      <w:pPr>
        <w:pStyle w:val="Bullet"/>
        <w:rPr>
          <w:rFonts w:eastAsia="Calibri"/>
        </w:rPr>
      </w:pPr>
      <w:r w:rsidRPr="006F6B7A">
        <w:rPr>
          <w:rFonts w:eastAsia="Calibri"/>
        </w:rPr>
        <w:t>Australian Fixed Income Excluding Credit</w:t>
      </w:r>
    </w:p>
    <w:p w14:paraId="0A006D86" w14:textId="77777777" w:rsidR="00145CB2" w:rsidRDefault="00145CB2" w:rsidP="00145CB2">
      <w:pPr>
        <w:pStyle w:val="Bullet"/>
        <w:rPr>
          <w:rFonts w:eastAsia="Calibri"/>
        </w:rPr>
      </w:pPr>
      <w:r w:rsidRPr="00A64B90">
        <w:rPr>
          <w:rFonts w:eastAsia="Calibri"/>
        </w:rPr>
        <w:t>Australian Credit</w:t>
      </w:r>
    </w:p>
    <w:p w14:paraId="4D766281" w14:textId="77777777" w:rsidR="00145CB2" w:rsidRDefault="00145CB2" w:rsidP="00145CB2">
      <w:pPr>
        <w:pStyle w:val="Bullet"/>
        <w:rPr>
          <w:rFonts w:eastAsia="Calibri"/>
        </w:rPr>
      </w:pPr>
      <w:r w:rsidRPr="00F3796A">
        <w:rPr>
          <w:rFonts w:eastAsia="Calibri"/>
        </w:rPr>
        <w:t>International Fixed Income Excluding Credit</w:t>
      </w:r>
    </w:p>
    <w:p w14:paraId="51ADCAE0" w14:textId="77777777" w:rsidR="00145CB2" w:rsidRDefault="00145CB2" w:rsidP="00145CB2">
      <w:pPr>
        <w:pStyle w:val="Bullet"/>
        <w:rPr>
          <w:rFonts w:eastAsia="Calibri"/>
        </w:rPr>
      </w:pPr>
      <w:r w:rsidRPr="00E976F7">
        <w:rPr>
          <w:rFonts w:eastAsia="Calibri"/>
        </w:rPr>
        <w:t>International Credit</w:t>
      </w:r>
    </w:p>
    <w:p w14:paraId="134CCF51" w14:textId="77777777" w:rsidR="00145CB2" w:rsidRDefault="00145CB2" w:rsidP="00145CB2">
      <w:pPr>
        <w:pStyle w:val="Bullet"/>
        <w:rPr>
          <w:rFonts w:eastAsia="Calibri"/>
        </w:rPr>
      </w:pPr>
      <w:r w:rsidRPr="00BE7BF1">
        <w:rPr>
          <w:rFonts w:eastAsia="Calibri"/>
        </w:rPr>
        <w:t>Defensive Alternatives</w:t>
      </w:r>
    </w:p>
    <w:p w14:paraId="04BA0509" w14:textId="77777777" w:rsidR="00145CB2" w:rsidRDefault="00145CB2" w:rsidP="00145CB2">
      <w:pPr>
        <w:pStyle w:val="Bullet"/>
        <w:rPr>
          <w:rFonts w:eastAsia="Calibri"/>
        </w:rPr>
      </w:pPr>
      <w:r w:rsidRPr="006C28E8">
        <w:rPr>
          <w:rFonts w:eastAsia="Calibri"/>
        </w:rPr>
        <w:t>Growth Alternatives</w:t>
      </w:r>
    </w:p>
    <w:p w14:paraId="6F5FDCFE" w14:textId="77777777" w:rsidR="00145CB2" w:rsidRDefault="00145CB2" w:rsidP="00145CB2">
      <w:pPr>
        <w:widowControl w:val="0"/>
        <w:adjustRightInd w:val="0"/>
        <w:jc w:val="both"/>
        <w:textAlignment w:val="baseline"/>
        <w:rPr>
          <w:rFonts w:eastAsia="Calibri"/>
          <w:szCs w:val="24"/>
        </w:rPr>
      </w:pPr>
      <w:r>
        <w:rPr>
          <w:rFonts w:eastAsia="Calibri"/>
          <w:szCs w:val="24"/>
        </w:rPr>
        <w:t>The assumed index has also been updated for the following covered asset classes:</w:t>
      </w:r>
    </w:p>
    <w:p w14:paraId="4BADFB5A" w14:textId="01232C76" w:rsidR="00145CB2" w:rsidRDefault="00145CB2" w:rsidP="00145CB2">
      <w:pPr>
        <w:pStyle w:val="Bullet"/>
        <w:rPr>
          <w:rFonts w:eastAsia="Calibri"/>
        </w:rPr>
      </w:pPr>
      <w:r w:rsidRPr="00974ABE">
        <w:rPr>
          <w:rFonts w:eastAsia="Calibri"/>
        </w:rPr>
        <w:t>International Unlisted Property</w:t>
      </w:r>
      <w:r w:rsidR="00B31F6A">
        <w:rPr>
          <w:rFonts w:eastAsia="Calibri"/>
        </w:rPr>
        <w:t xml:space="preserve"> has been updated to an index with a greater geographical allocation to international unlisted property assets</w:t>
      </w:r>
      <w:r w:rsidR="00042271">
        <w:rPr>
          <w:rFonts w:eastAsia="Calibri"/>
        </w:rPr>
        <w:t>.</w:t>
      </w:r>
    </w:p>
    <w:p w14:paraId="6C9087EE" w14:textId="4230C658" w:rsidR="00145CB2" w:rsidRDefault="00145CB2" w:rsidP="00145CB2">
      <w:pPr>
        <w:pStyle w:val="Bullet"/>
        <w:rPr>
          <w:rFonts w:eastAsia="Calibri"/>
        </w:rPr>
      </w:pPr>
      <w:r w:rsidRPr="007B60E6">
        <w:rPr>
          <w:rFonts w:eastAsia="Calibri"/>
        </w:rPr>
        <w:t xml:space="preserve">Australian </w:t>
      </w:r>
      <w:r w:rsidR="00B31F6A">
        <w:rPr>
          <w:rFonts w:eastAsia="Calibri"/>
        </w:rPr>
        <w:t xml:space="preserve">and International </w:t>
      </w:r>
      <w:r w:rsidRPr="007B60E6">
        <w:rPr>
          <w:rFonts w:eastAsia="Calibri"/>
        </w:rPr>
        <w:t>Unlisted Infrastructure</w:t>
      </w:r>
      <w:r w:rsidR="00B31F6A">
        <w:rPr>
          <w:rFonts w:eastAsia="Calibri"/>
        </w:rPr>
        <w:t xml:space="preserve"> have been updated to a median version of the existing index to ensure that the benchmark</w:t>
      </w:r>
      <w:r w:rsidR="00A82AE3">
        <w:rPr>
          <w:rFonts w:eastAsia="Calibri"/>
        </w:rPr>
        <w:t xml:space="preserve"> remains representative of investments in these asset classes.</w:t>
      </w:r>
    </w:p>
    <w:p w14:paraId="54B0F6E5" w14:textId="7F16E3A7" w:rsidR="00136C61" w:rsidRDefault="00145CB2" w:rsidP="00136C61">
      <w:pPr>
        <w:pStyle w:val="Bullet"/>
        <w:rPr>
          <w:rFonts w:eastAsia="Calibri"/>
        </w:rPr>
      </w:pPr>
      <w:r w:rsidRPr="00AF6F63">
        <w:rPr>
          <w:rFonts w:eastAsia="Calibri"/>
        </w:rPr>
        <w:t>Australian Fixed Income</w:t>
      </w:r>
      <w:r w:rsidR="00042271">
        <w:rPr>
          <w:rFonts w:eastAsia="Calibri"/>
        </w:rPr>
        <w:t xml:space="preserve"> has been updated to include exposure to inflation linked bonds and floating rate credit.</w:t>
      </w:r>
    </w:p>
    <w:p w14:paraId="4F28F71C" w14:textId="0FF6EEB9" w:rsidR="00B92F87" w:rsidRPr="00136C61" w:rsidRDefault="00B92F87">
      <w:pPr>
        <w:pStyle w:val="Bullet"/>
        <w:numPr>
          <w:ilvl w:val="0"/>
          <w:numId w:val="0"/>
        </w:numPr>
        <w:rPr>
          <w:rFonts w:eastAsia="Calibri"/>
        </w:rPr>
      </w:pPr>
      <w:r w:rsidRPr="00136C61">
        <w:rPr>
          <w:rFonts w:eastAsia="Calibri"/>
        </w:rPr>
        <w:t xml:space="preserve">Item </w:t>
      </w:r>
      <w:r w:rsidR="00937954">
        <w:rPr>
          <w:rFonts w:eastAsia="Calibri"/>
        </w:rPr>
        <w:t>3</w:t>
      </w:r>
      <w:r w:rsidRPr="00136C61">
        <w:rPr>
          <w:rFonts w:eastAsia="Calibri"/>
        </w:rPr>
        <w:t xml:space="preserve"> </w:t>
      </w:r>
      <w:r w:rsidR="00800193" w:rsidRPr="00136C61">
        <w:rPr>
          <w:rFonts w:eastAsia="Calibri"/>
        </w:rPr>
        <w:t>cla</w:t>
      </w:r>
      <w:r w:rsidR="00136C61">
        <w:rPr>
          <w:rFonts w:eastAsia="Calibri"/>
        </w:rPr>
        <w:t>rifies that assumed index has the meaning</w:t>
      </w:r>
      <w:r w:rsidR="00B77F7E">
        <w:rPr>
          <w:rFonts w:eastAsia="Calibri"/>
        </w:rPr>
        <w:t xml:space="preserve"> currently given in subregulation 9AB.17(7)</w:t>
      </w:r>
      <w:r w:rsidR="0038662D">
        <w:rPr>
          <w:rFonts w:eastAsia="Calibri"/>
        </w:rPr>
        <w:t>.</w:t>
      </w:r>
    </w:p>
    <w:p w14:paraId="4EF2F88C" w14:textId="77777777" w:rsidR="00145CB2" w:rsidRDefault="00145CB2" w:rsidP="000F6659">
      <w:pPr>
        <w:spacing w:before="0" w:after="0"/>
        <w:rPr>
          <w:b/>
          <w:bCs/>
          <w:i/>
          <w:iCs/>
          <w:color w:val="000000" w:themeColor="text1"/>
        </w:rPr>
      </w:pPr>
    </w:p>
    <w:p w14:paraId="3801EE13" w14:textId="19206B8D" w:rsidR="00145CB2" w:rsidRPr="003848FB" w:rsidRDefault="00145CB2" w:rsidP="00145CB2">
      <w:pPr>
        <w:spacing w:before="0" w:after="0"/>
        <w:rPr>
          <w:b/>
          <w:bCs/>
          <w:i/>
          <w:iCs/>
          <w:color w:val="000000" w:themeColor="text1"/>
        </w:rPr>
      </w:pPr>
      <w:r w:rsidRPr="003848FB">
        <w:rPr>
          <w:b/>
          <w:bCs/>
          <w:i/>
          <w:iCs/>
          <w:color w:val="000000" w:themeColor="text1"/>
        </w:rPr>
        <w:t xml:space="preserve">Item </w:t>
      </w:r>
      <w:r w:rsidR="00B17B6F">
        <w:rPr>
          <w:b/>
          <w:bCs/>
          <w:i/>
          <w:iCs/>
          <w:color w:val="000000" w:themeColor="text1"/>
        </w:rPr>
        <w:t>53</w:t>
      </w:r>
      <w:r w:rsidRPr="003848FB">
        <w:rPr>
          <w:b/>
          <w:bCs/>
          <w:i/>
          <w:iCs/>
          <w:color w:val="000000" w:themeColor="text1"/>
        </w:rPr>
        <w:t xml:space="preserve"> – </w:t>
      </w:r>
      <w:r>
        <w:rPr>
          <w:b/>
          <w:bCs/>
          <w:i/>
          <w:iCs/>
          <w:color w:val="000000" w:themeColor="text1"/>
        </w:rPr>
        <w:t xml:space="preserve">Trustee notification to beneficiaries </w:t>
      </w:r>
    </w:p>
    <w:p w14:paraId="3D1714F6" w14:textId="77777777" w:rsidR="00145CB2" w:rsidRDefault="00145CB2" w:rsidP="00145CB2">
      <w:pPr>
        <w:spacing w:before="0" w:after="0"/>
      </w:pPr>
    </w:p>
    <w:p w14:paraId="355CC1C8" w14:textId="4BE05807" w:rsidR="00145CB2" w:rsidRDefault="00281F3D" w:rsidP="00145CB2">
      <w:pPr>
        <w:spacing w:before="0" w:after="0"/>
        <w:rPr>
          <w:color w:val="000000"/>
          <w:shd w:val="clear" w:color="auto" w:fill="FFFFFF"/>
        </w:rPr>
      </w:pPr>
      <w:r>
        <w:rPr>
          <w:color w:val="000000"/>
          <w:shd w:val="clear" w:color="auto" w:fill="FFFFFF"/>
        </w:rPr>
        <w:t xml:space="preserve">Under section 60E of the Act, trustees are required to notify beneficiaries if a </w:t>
      </w:r>
      <w:r w:rsidR="009061B5">
        <w:rPr>
          <w:color w:val="000000"/>
          <w:shd w:val="clear" w:color="auto" w:fill="FFFFFF"/>
        </w:rPr>
        <w:t>Part 6A product fails the performance test.</w:t>
      </w:r>
      <w:r>
        <w:rPr>
          <w:color w:val="000000"/>
          <w:shd w:val="clear" w:color="auto" w:fill="FFFFFF"/>
        </w:rPr>
        <w:t xml:space="preserve"> </w:t>
      </w:r>
      <w:r w:rsidR="00145CB2">
        <w:rPr>
          <w:color w:val="000000"/>
          <w:shd w:val="clear" w:color="auto" w:fill="FFFFFF"/>
        </w:rPr>
        <w:t>Subsection 60</w:t>
      </w:r>
      <w:proofErr w:type="gramStart"/>
      <w:r w:rsidR="00145CB2">
        <w:rPr>
          <w:color w:val="000000"/>
          <w:shd w:val="clear" w:color="auto" w:fill="FFFFFF"/>
        </w:rPr>
        <w:t>E(</w:t>
      </w:r>
      <w:proofErr w:type="gramEnd"/>
      <w:r w:rsidR="00145CB2">
        <w:rPr>
          <w:color w:val="000000"/>
          <w:shd w:val="clear" w:color="auto" w:fill="FFFFFF"/>
        </w:rPr>
        <w:t xml:space="preserve">6) of the Act states that the notice </w:t>
      </w:r>
      <w:r w:rsidR="00287748">
        <w:rPr>
          <w:color w:val="000000"/>
          <w:shd w:val="clear" w:color="auto" w:fill="FFFFFF"/>
        </w:rPr>
        <w:t xml:space="preserve">from the trustee </w:t>
      </w:r>
      <w:r w:rsidR="00145CB2">
        <w:rPr>
          <w:color w:val="000000"/>
          <w:shd w:val="clear" w:color="auto" w:fill="FFFFFF"/>
        </w:rPr>
        <w:t>that a product has failed the performance test must be in the form and contain information of a kind specified in regulations. The notification</w:t>
      </w:r>
      <w:r w:rsidR="005413F3">
        <w:rPr>
          <w:color w:val="000000"/>
          <w:shd w:val="clear" w:color="auto" w:fill="FFFFFF"/>
        </w:rPr>
        <w:t xml:space="preserve"> form is set out in Schedule 2A of the Principal </w:t>
      </w:r>
      <w:proofErr w:type="gramStart"/>
      <w:r w:rsidR="005413F3">
        <w:rPr>
          <w:color w:val="000000"/>
          <w:shd w:val="clear" w:color="auto" w:fill="FFFFFF"/>
        </w:rPr>
        <w:t>Regulations, and</w:t>
      </w:r>
      <w:proofErr w:type="gramEnd"/>
      <w:r w:rsidR="005413F3">
        <w:rPr>
          <w:color w:val="000000"/>
          <w:shd w:val="clear" w:color="auto" w:fill="FFFFFF"/>
        </w:rPr>
        <w:t xml:space="preserve"> </w:t>
      </w:r>
      <w:r w:rsidR="00145CB2">
        <w:rPr>
          <w:color w:val="000000"/>
          <w:shd w:val="clear" w:color="auto" w:fill="FFFFFF"/>
        </w:rPr>
        <w:t xml:space="preserve">includes standard words </w:t>
      </w:r>
      <w:r w:rsidR="005413F3">
        <w:rPr>
          <w:color w:val="000000"/>
          <w:shd w:val="clear" w:color="auto" w:fill="FFFFFF"/>
        </w:rPr>
        <w:t xml:space="preserve">explaining </w:t>
      </w:r>
      <w:r w:rsidR="00145CB2">
        <w:rPr>
          <w:color w:val="000000"/>
          <w:shd w:val="clear" w:color="auto" w:fill="FFFFFF"/>
        </w:rPr>
        <w:t>why the member has received the noti</w:t>
      </w:r>
      <w:r w:rsidR="007D0326">
        <w:rPr>
          <w:color w:val="000000"/>
          <w:shd w:val="clear" w:color="auto" w:fill="FFFFFF"/>
        </w:rPr>
        <w:t>ce</w:t>
      </w:r>
      <w:r w:rsidR="00145CB2">
        <w:rPr>
          <w:color w:val="000000"/>
          <w:shd w:val="clear" w:color="auto" w:fill="FFFFFF"/>
        </w:rPr>
        <w:t>, and how poor performance of a superannuation product can negatively affect their retirement income.</w:t>
      </w:r>
    </w:p>
    <w:p w14:paraId="4282EA66" w14:textId="77777777" w:rsidR="00145CB2" w:rsidRDefault="00145CB2" w:rsidP="00145CB2">
      <w:pPr>
        <w:spacing w:before="0" w:after="0"/>
      </w:pPr>
    </w:p>
    <w:p w14:paraId="3367359B" w14:textId="203DD563" w:rsidR="00145CB2" w:rsidRDefault="00145CB2" w:rsidP="00145CB2">
      <w:pPr>
        <w:spacing w:before="0" w:after="0"/>
      </w:pPr>
      <w:r>
        <w:t xml:space="preserve">Item </w:t>
      </w:r>
      <w:r w:rsidR="00B17B6F">
        <w:t>53</w:t>
      </w:r>
      <w:r>
        <w:t xml:space="preserve"> repeals Schedule 2A to the Principal Regulations and substitutes a new Schedule 2A </w:t>
      </w:r>
      <w:r w:rsidR="007D0326">
        <w:t xml:space="preserve">with revised </w:t>
      </w:r>
      <w:r>
        <w:t>content</w:t>
      </w:r>
      <w:r w:rsidR="00F17B3D">
        <w:t xml:space="preserve"> for </w:t>
      </w:r>
      <w:r>
        <w:t>the notice. The</w:t>
      </w:r>
      <w:r w:rsidR="00F17B3D">
        <w:t xml:space="preserve"> revised notice content is intended to improve</w:t>
      </w:r>
      <w:r>
        <w:t xml:space="preserve"> accessibility and effectiveness</w:t>
      </w:r>
      <w:r w:rsidR="008D0A51">
        <w:t xml:space="preserve"> by using simpler language, and </w:t>
      </w:r>
      <w:r w:rsidR="008D0A51">
        <w:lastRenderedPageBreak/>
        <w:t>ensure the notice is fit for purpose</w:t>
      </w:r>
      <w:r w:rsidR="004C5C23">
        <w:t xml:space="preserve"> of explaining what the result means for beneficiaries</w:t>
      </w:r>
      <w:r>
        <w:t xml:space="preserve">. The updated template letter includes </w:t>
      </w:r>
      <w:r w:rsidR="00366D15">
        <w:t xml:space="preserve">tailored </w:t>
      </w:r>
      <w:r>
        <w:t xml:space="preserve">content </w:t>
      </w:r>
      <w:r w:rsidR="00366D15">
        <w:t xml:space="preserve">to be </w:t>
      </w:r>
      <w:r w:rsidR="00DD7065">
        <w:t>used</w:t>
      </w:r>
      <w:r w:rsidR="00366D15">
        <w:t xml:space="preserve"> if </w:t>
      </w:r>
      <w:r>
        <w:t xml:space="preserve">a Part 6A products has failed the performance test two years in a row, and content specific to trustee-directed products. </w:t>
      </w:r>
    </w:p>
    <w:p w14:paraId="641203DC" w14:textId="77777777" w:rsidR="00495293" w:rsidRDefault="00495293" w:rsidP="00145CB2">
      <w:pPr>
        <w:spacing w:before="0" w:after="0"/>
      </w:pPr>
    </w:p>
    <w:p w14:paraId="70055C5B" w14:textId="3376DEEF" w:rsidR="00495293" w:rsidRPr="001639B6" w:rsidRDefault="00495293" w:rsidP="00495293">
      <w:pPr>
        <w:spacing w:before="0" w:after="0"/>
        <w:rPr>
          <w:b/>
          <w:bCs/>
          <w:i/>
          <w:iCs/>
          <w:color w:val="000000" w:themeColor="text1"/>
        </w:rPr>
      </w:pPr>
      <w:r w:rsidRPr="003848FB">
        <w:rPr>
          <w:b/>
          <w:bCs/>
          <w:i/>
          <w:iCs/>
          <w:color w:val="000000" w:themeColor="text1"/>
        </w:rPr>
        <w:t>Item</w:t>
      </w:r>
      <w:r>
        <w:rPr>
          <w:b/>
          <w:bCs/>
          <w:i/>
          <w:iCs/>
          <w:color w:val="000000" w:themeColor="text1"/>
        </w:rPr>
        <w:t xml:space="preserve">s 8, 9, </w:t>
      </w:r>
      <w:r w:rsidR="00D96FAE">
        <w:rPr>
          <w:b/>
          <w:bCs/>
          <w:i/>
          <w:iCs/>
          <w:color w:val="000000" w:themeColor="text1"/>
        </w:rPr>
        <w:t>10</w:t>
      </w:r>
      <w:r>
        <w:rPr>
          <w:b/>
          <w:bCs/>
          <w:i/>
          <w:iCs/>
          <w:color w:val="000000" w:themeColor="text1"/>
        </w:rPr>
        <w:t xml:space="preserve">, </w:t>
      </w:r>
      <w:r w:rsidR="00D96FAE">
        <w:rPr>
          <w:b/>
          <w:bCs/>
          <w:i/>
          <w:iCs/>
          <w:color w:val="000000" w:themeColor="text1"/>
        </w:rPr>
        <w:t>11</w:t>
      </w:r>
      <w:r>
        <w:rPr>
          <w:b/>
          <w:bCs/>
          <w:i/>
          <w:iCs/>
          <w:color w:val="000000" w:themeColor="text1"/>
        </w:rPr>
        <w:t xml:space="preserve"> and </w:t>
      </w:r>
      <w:r w:rsidR="00D96FAE">
        <w:rPr>
          <w:b/>
          <w:bCs/>
          <w:i/>
          <w:iCs/>
          <w:color w:val="000000" w:themeColor="text1"/>
        </w:rPr>
        <w:t>12</w:t>
      </w:r>
      <w:r w:rsidRPr="003848FB">
        <w:rPr>
          <w:b/>
          <w:bCs/>
          <w:i/>
          <w:iCs/>
          <w:color w:val="000000" w:themeColor="text1"/>
        </w:rPr>
        <w:t xml:space="preserve"> – </w:t>
      </w:r>
      <w:r>
        <w:rPr>
          <w:b/>
          <w:bCs/>
          <w:i/>
          <w:iCs/>
          <w:color w:val="000000" w:themeColor="text1"/>
        </w:rPr>
        <w:t>Meaning of trustee-directed products</w:t>
      </w:r>
    </w:p>
    <w:p w14:paraId="18B4F14B" w14:textId="77777777" w:rsidR="00495293" w:rsidRDefault="00495293" w:rsidP="00495293">
      <w:pPr>
        <w:spacing w:before="0" w:after="0"/>
      </w:pPr>
    </w:p>
    <w:p w14:paraId="210DA71C" w14:textId="68F09B54" w:rsidR="00DD7065" w:rsidRDefault="00495293" w:rsidP="00495293">
      <w:pPr>
        <w:spacing w:before="0" w:after="0"/>
      </w:pPr>
      <w:r>
        <w:t>The annual performance test applies for ‘Part 6A products’, which are defined in section 60B of the Act to be a MySuper product</w:t>
      </w:r>
      <w:r w:rsidR="00DD7065">
        <w:t>,</w:t>
      </w:r>
      <w:r>
        <w:t xml:space="preserve"> or a class of beneficial interest in a regulated superannuation fund, if that class is identified by regulations. </w:t>
      </w:r>
    </w:p>
    <w:p w14:paraId="0D2A084D" w14:textId="77777777" w:rsidR="00DD7065" w:rsidRDefault="00DD7065" w:rsidP="00495293">
      <w:pPr>
        <w:spacing w:before="0" w:after="0"/>
      </w:pPr>
    </w:p>
    <w:p w14:paraId="709982D0" w14:textId="780F2DA9" w:rsidR="00495293" w:rsidRDefault="00495293" w:rsidP="00495293">
      <w:pPr>
        <w:spacing w:before="0" w:after="0"/>
      </w:pPr>
      <w:r>
        <w:t>Regulation 9AB.2 of the Principal Regulations includes a class known as ‘trustee</w:t>
      </w:r>
      <w:r w:rsidR="00DD7065">
        <w:noBreakHyphen/>
      </w:r>
      <w:r>
        <w:t xml:space="preserve">directed </w:t>
      </w:r>
      <w:proofErr w:type="gramStart"/>
      <w:r>
        <w:t>products’</w:t>
      </w:r>
      <w:proofErr w:type="gramEnd"/>
      <w:r>
        <w:t xml:space="preserve">. APRA </w:t>
      </w:r>
      <w:r w:rsidR="005778A8">
        <w:t>is</w:t>
      </w:r>
      <w:r>
        <w:t xml:space="preserve"> required to conduct the first annual performance test for trustee-directed products by </w:t>
      </w:r>
      <w:r>
        <w:rPr>
          <w:color w:val="000000"/>
          <w:shd w:val="clear" w:color="auto" w:fill="FFFFFF"/>
        </w:rPr>
        <w:t>31 August 2023.</w:t>
      </w:r>
    </w:p>
    <w:p w14:paraId="4C3C6B16" w14:textId="77777777" w:rsidR="00495293" w:rsidRDefault="00495293" w:rsidP="00495293">
      <w:pPr>
        <w:spacing w:before="0" w:after="0"/>
      </w:pPr>
    </w:p>
    <w:p w14:paraId="44E4F8D8" w14:textId="77777777" w:rsidR="00495293" w:rsidRDefault="00495293" w:rsidP="00495293">
      <w:pPr>
        <w:spacing w:before="0" w:after="0"/>
      </w:pPr>
      <w:r>
        <w:t xml:space="preserve">Broadly, trustee-directed products are accumulation choice products with strategic asset allocations to more than one asset class where the trustee or a related entity has control over the design or implementation of the investment strategy of the product. </w:t>
      </w:r>
    </w:p>
    <w:p w14:paraId="1F2B45BF" w14:textId="77777777" w:rsidR="00495293" w:rsidRDefault="00495293" w:rsidP="00495293">
      <w:pPr>
        <w:spacing w:before="0" w:after="0"/>
      </w:pPr>
    </w:p>
    <w:p w14:paraId="5A1F6A9B" w14:textId="29B91ABE" w:rsidR="00495293" w:rsidRDefault="00495293" w:rsidP="00495293">
      <w:pPr>
        <w:spacing w:before="0" w:after="0"/>
      </w:pPr>
      <w:r>
        <w:t>Item 8 inserts a definition of ‘trustee-directed product’ into regulation 9AB.1 of the Principal Regulations</w:t>
      </w:r>
      <w:r w:rsidRPr="00EB48C3">
        <w:t xml:space="preserve"> </w:t>
      </w:r>
      <w:r>
        <w:t xml:space="preserve">and defines the term as having the meaning given by regulation 9AB.2. This </w:t>
      </w:r>
      <w:r w:rsidR="000D5D2A">
        <w:t xml:space="preserve">definition is necessary </w:t>
      </w:r>
      <w:r>
        <w:t>as the amendments made by the Regulations means that the term ‘trustee-directed product’</w:t>
      </w:r>
      <w:r w:rsidR="000D5D2A">
        <w:t xml:space="preserve"> will</w:t>
      </w:r>
      <w:r>
        <w:t xml:space="preserve"> appear throughout Division 9AB</w:t>
      </w:r>
      <w:r w:rsidR="00172C52">
        <w:t>.</w:t>
      </w:r>
    </w:p>
    <w:p w14:paraId="02499B52" w14:textId="77777777" w:rsidR="00495293" w:rsidRDefault="00495293" w:rsidP="00495293">
      <w:pPr>
        <w:spacing w:before="0" w:after="0"/>
      </w:pPr>
    </w:p>
    <w:p w14:paraId="5CD8588D" w14:textId="77777777" w:rsidR="00495293" w:rsidRDefault="00495293" w:rsidP="00495293">
      <w:pPr>
        <w:spacing w:before="0" w:after="0"/>
      </w:pPr>
      <w:r>
        <w:t xml:space="preserve">Item 9 repeals subregulation 9AB.2(1) of the Principal Regulations and substitutes a revised subregulation to improve readability. The operation of the subregulation is unchanged.  </w:t>
      </w:r>
    </w:p>
    <w:p w14:paraId="72CA092A" w14:textId="77777777" w:rsidR="00495293" w:rsidRDefault="00495293" w:rsidP="00495293">
      <w:pPr>
        <w:spacing w:before="0" w:after="0"/>
      </w:pPr>
    </w:p>
    <w:p w14:paraId="4BCE8F56" w14:textId="0099CB3F" w:rsidR="00495293" w:rsidRDefault="00495293" w:rsidP="00495293">
      <w:pPr>
        <w:spacing w:before="0" w:after="0"/>
      </w:pPr>
      <w:r>
        <w:t xml:space="preserve">Item </w:t>
      </w:r>
      <w:r w:rsidR="007D0B60">
        <w:t>10</w:t>
      </w:r>
      <w:r>
        <w:t xml:space="preserve"> repeals paragraph 9AB.2(2)(a) of the Principal Regulations and substitutes a revised paragraph to</w:t>
      </w:r>
      <w:r w:rsidR="00172C52">
        <w:t xml:space="preserve"> clarify</w:t>
      </w:r>
      <w:r>
        <w:t xml:space="preserve"> the </w:t>
      </w:r>
      <w:r w:rsidR="0080698C">
        <w:t xml:space="preserve">class of beneficial interests </w:t>
      </w:r>
      <w:r>
        <w:t xml:space="preserve">that fall within the scope of a ‘trustee directed product’. The </w:t>
      </w:r>
      <w:r w:rsidR="00974117">
        <w:t>inte</w:t>
      </w:r>
      <w:r w:rsidR="00A54AC7">
        <w:t xml:space="preserve">nded </w:t>
      </w:r>
      <w:r>
        <w:t xml:space="preserve">operation of the subregulation is unchanged. It provides for the test to apply to products where at least one member is in the accumulation phase. </w:t>
      </w:r>
    </w:p>
    <w:p w14:paraId="4E5DB27A" w14:textId="77777777" w:rsidR="00495293" w:rsidRDefault="00495293" w:rsidP="00495293">
      <w:pPr>
        <w:spacing w:before="0" w:after="0"/>
      </w:pPr>
    </w:p>
    <w:p w14:paraId="7B94E329" w14:textId="42909184" w:rsidR="00495293" w:rsidRDefault="00495293" w:rsidP="00495293">
      <w:pPr>
        <w:spacing w:before="0" w:after="0"/>
      </w:pPr>
      <w:r>
        <w:t xml:space="preserve">Item </w:t>
      </w:r>
      <w:r w:rsidR="007D0B60">
        <w:t>12</w:t>
      </w:r>
      <w:r>
        <w:t xml:space="preserve"> provides rules to allow certain covered asset classes to be treated as one asset class for the purposes of working out whether a product is a trustee-directed product. This ensures that if a certain covered asset class is disaggregated, the same underlying product is consistently tested regardless of how it is reported to APRA. Item </w:t>
      </w:r>
      <w:r w:rsidR="007D0B60">
        <w:t>11</w:t>
      </w:r>
      <w:r>
        <w:t xml:space="preserve"> makes a minor amendment to correct a reference of “Part 6A product” to the more specific “standard Part 6A product”</w:t>
      </w:r>
      <w:r w:rsidR="00EA4A80">
        <w:t>.</w:t>
      </w:r>
    </w:p>
    <w:p w14:paraId="7ECF5EE0" w14:textId="77777777" w:rsidR="00495293" w:rsidRDefault="00495293" w:rsidP="00145CB2">
      <w:pPr>
        <w:spacing w:before="0" w:after="0"/>
      </w:pPr>
    </w:p>
    <w:p w14:paraId="44724591" w14:textId="35B5EF2E" w:rsidR="00620D70" w:rsidRPr="00BC363F"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s</w:t>
      </w:r>
      <w:r w:rsidRPr="00BC363F">
        <w:rPr>
          <w:b/>
          <w:bCs/>
          <w:i/>
          <w:iCs/>
          <w:color w:val="000000" w:themeColor="text1"/>
        </w:rPr>
        <w:t xml:space="preserve"> </w:t>
      </w:r>
      <w:r w:rsidR="00D46E9D">
        <w:rPr>
          <w:b/>
          <w:bCs/>
          <w:i/>
          <w:iCs/>
          <w:color w:val="000000" w:themeColor="text1"/>
        </w:rPr>
        <w:t>5</w:t>
      </w:r>
      <w:r>
        <w:rPr>
          <w:b/>
          <w:bCs/>
          <w:i/>
          <w:iCs/>
          <w:color w:val="000000" w:themeColor="text1"/>
        </w:rPr>
        <w:t xml:space="preserve">, 7, </w:t>
      </w:r>
      <w:r w:rsidR="0046084D">
        <w:rPr>
          <w:b/>
          <w:bCs/>
          <w:i/>
          <w:iCs/>
          <w:color w:val="000000" w:themeColor="text1"/>
        </w:rPr>
        <w:t>13</w:t>
      </w:r>
      <w:r w:rsidRPr="00BC363F">
        <w:rPr>
          <w:b/>
          <w:bCs/>
          <w:i/>
          <w:iCs/>
          <w:color w:val="000000" w:themeColor="text1"/>
        </w:rPr>
        <w:t xml:space="preserve"> </w:t>
      </w:r>
      <w:r>
        <w:rPr>
          <w:b/>
          <w:bCs/>
          <w:i/>
          <w:iCs/>
          <w:color w:val="000000" w:themeColor="text1"/>
        </w:rPr>
        <w:t xml:space="preserve">and </w:t>
      </w:r>
      <w:r w:rsidR="00075B7A">
        <w:rPr>
          <w:b/>
          <w:bCs/>
          <w:i/>
          <w:iCs/>
          <w:color w:val="000000" w:themeColor="text1"/>
        </w:rPr>
        <w:t>46</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representative administration fees and expenses or RAFE</w:t>
      </w:r>
    </w:p>
    <w:p w14:paraId="6EE3A763" w14:textId="77777777" w:rsidR="00620D70" w:rsidRDefault="00620D70" w:rsidP="00620D70">
      <w:pPr>
        <w:spacing w:before="0" w:after="0"/>
        <w:rPr>
          <w:i/>
          <w:iCs/>
          <w:color w:val="000000" w:themeColor="text1"/>
        </w:rPr>
      </w:pPr>
    </w:p>
    <w:p w14:paraId="2E996765" w14:textId="4FE39BF3" w:rsidR="00620D70" w:rsidRDefault="002022A7" w:rsidP="00620D70">
      <w:pPr>
        <w:spacing w:before="0" w:after="0"/>
        <w:rPr>
          <w:color w:val="000000" w:themeColor="text1"/>
        </w:rPr>
      </w:pPr>
      <w:r>
        <w:rPr>
          <w:color w:val="000000" w:themeColor="text1"/>
        </w:rPr>
        <w:t xml:space="preserve">The Regulations </w:t>
      </w:r>
      <w:r w:rsidR="00975AC7">
        <w:rPr>
          <w:color w:val="000000" w:themeColor="text1"/>
        </w:rPr>
        <w:t xml:space="preserve">do not </w:t>
      </w:r>
      <w:r w:rsidR="00D15CB4">
        <w:rPr>
          <w:color w:val="000000" w:themeColor="text1"/>
        </w:rPr>
        <w:t xml:space="preserve">substantively change </w:t>
      </w:r>
      <w:r w:rsidR="00620D70">
        <w:rPr>
          <w:color w:val="000000" w:themeColor="text1"/>
        </w:rPr>
        <w:t>the performance measure and its use of ‘</w:t>
      </w:r>
      <w:r w:rsidR="00620D70" w:rsidRPr="00C702B0">
        <w:rPr>
          <w:color w:val="000000" w:themeColor="text1"/>
        </w:rPr>
        <w:t xml:space="preserve">representative administration fees and </w:t>
      </w:r>
      <w:proofErr w:type="gramStart"/>
      <w:r w:rsidR="00620D70" w:rsidRPr="00C702B0">
        <w:rPr>
          <w:color w:val="000000" w:themeColor="text1"/>
        </w:rPr>
        <w:t>expenses</w:t>
      </w:r>
      <w:r w:rsidR="00620D70">
        <w:rPr>
          <w:color w:val="000000" w:themeColor="text1"/>
        </w:rPr>
        <w:t>’</w:t>
      </w:r>
      <w:proofErr w:type="gramEnd"/>
      <w:r w:rsidR="00620D70" w:rsidRPr="00C702B0">
        <w:rPr>
          <w:color w:val="000000" w:themeColor="text1"/>
        </w:rPr>
        <w:t xml:space="preserve"> or </w:t>
      </w:r>
      <w:r w:rsidR="00620D70">
        <w:rPr>
          <w:color w:val="000000" w:themeColor="text1"/>
        </w:rPr>
        <w:t>‘</w:t>
      </w:r>
      <w:r w:rsidR="00620D70" w:rsidRPr="00C702B0">
        <w:rPr>
          <w:color w:val="000000" w:themeColor="text1"/>
        </w:rPr>
        <w:t>RAFE</w:t>
      </w:r>
      <w:r w:rsidR="00620D70">
        <w:rPr>
          <w:color w:val="000000" w:themeColor="text1"/>
        </w:rPr>
        <w:t xml:space="preserve">’. </w:t>
      </w:r>
      <w:r w:rsidR="00620D70">
        <w:rPr>
          <w:color w:val="000000"/>
          <w:shd w:val="clear" w:color="auto" w:fill="FFFFFF"/>
        </w:rPr>
        <w:t xml:space="preserve">A product’s ‘actual RAFE’ are the actual administration fees and expenses charged in the most recent financial year (as charged on a $50,000 balance). ‘Benchmark RAFE’ is the median </w:t>
      </w:r>
      <w:r w:rsidR="00620D70">
        <w:rPr>
          <w:color w:val="000000"/>
          <w:shd w:val="clear" w:color="auto" w:fill="FFFFFF"/>
        </w:rPr>
        <w:lastRenderedPageBreak/>
        <w:t xml:space="preserve">administration fee and expenses (as charged on a $50,000 balance) across a certain category of products for the most recent financial year. </w:t>
      </w:r>
    </w:p>
    <w:p w14:paraId="4E204CDB" w14:textId="77777777" w:rsidR="00620D70" w:rsidRDefault="00620D70" w:rsidP="00620D70">
      <w:pPr>
        <w:spacing w:before="0" w:after="0"/>
        <w:rPr>
          <w:color w:val="000000" w:themeColor="text1"/>
        </w:rPr>
      </w:pPr>
    </w:p>
    <w:p w14:paraId="48314C1E" w14:textId="77777777" w:rsidR="00620D70" w:rsidRDefault="00620D70" w:rsidP="00620D70">
      <w:pPr>
        <w:spacing w:before="0" w:after="0"/>
        <w:rPr>
          <w:color w:val="000000" w:themeColor="text1"/>
        </w:rPr>
      </w:pPr>
      <w:r>
        <w:rPr>
          <w:color w:val="000000" w:themeColor="text1"/>
        </w:rPr>
        <w:t>Item 7 repeals the definition of ‘</w:t>
      </w:r>
      <w:r w:rsidRPr="0028305F">
        <w:rPr>
          <w:color w:val="000000" w:themeColor="text1"/>
        </w:rPr>
        <w:t xml:space="preserve">representative administration fees and </w:t>
      </w:r>
      <w:proofErr w:type="gramStart"/>
      <w:r w:rsidRPr="0028305F">
        <w:rPr>
          <w:color w:val="000000" w:themeColor="text1"/>
        </w:rPr>
        <w:t>expenses</w:t>
      </w:r>
      <w:r>
        <w:rPr>
          <w:color w:val="000000" w:themeColor="text1"/>
        </w:rPr>
        <w:t>’</w:t>
      </w:r>
      <w:proofErr w:type="gramEnd"/>
      <w:r w:rsidRPr="0028305F">
        <w:rPr>
          <w:color w:val="000000" w:themeColor="text1"/>
        </w:rPr>
        <w:t xml:space="preserve"> or </w:t>
      </w:r>
      <w:r>
        <w:rPr>
          <w:color w:val="000000" w:themeColor="text1"/>
        </w:rPr>
        <w:t>‘</w:t>
      </w:r>
      <w:r w:rsidRPr="0028305F">
        <w:rPr>
          <w:color w:val="000000" w:themeColor="text1"/>
        </w:rPr>
        <w:t>RAFE</w:t>
      </w:r>
      <w:r>
        <w:rPr>
          <w:color w:val="000000" w:themeColor="text1"/>
        </w:rPr>
        <w:t>’ in regulation 9AB.1 of the Principal Regulations and substitutes a new definition that provides that the term has the meaning given by regulation 9AB.4A.</w:t>
      </w:r>
    </w:p>
    <w:p w14:paraId="2641FD95" w14:textId="77777777" w:rsidR="00620D70" w:rsidRDefault="00620D70" w:rsidP="00620D70">
      <w:pPr>
        <w:spacing w:before="0" w:after="0"/>
        <w:rPr>
          <w:color w:val="000000" w:themeColor="text1"/>
        </w:rPr>
      </w:pPr>
    </w:p>
    <w:p w14:paraId="4CA9F912" w14:textId="425322D7" w:rsidR="00620D70" w:rsidRDefault="00620D70" w:rsidP="00620D70">
      <w:pPr>
        <w:spacing w:before="0" w:after="0"/>
        <w:rPr>
          <w:color w:val="000000" w:themeColor="text1"/>
        </w:rPr>
      </w:pPr>
      <w:r w:rsidRPr="00A43F91">
        <w:rPr>
          <w:color w:val="000000" w:themeColor="text1"/>
        </w:rPr>
        <w:t xml:space="preserve">Item </w:t>
      </w:r>
      <w:r w:rsidR="0046084D">
        <w:rPr>
          <w:color w:val="000000" w:themeColor="text1"/>
        </w:rPr>
        <w:t>13</w:t>
      </w:r>
      <w:r w:rsidRPr="00A43F91">
        <w:rPr>
          <w:color w:val="000000" w:themeColor="text1"/>
        </w:rPr>
        <w:t xml:space="preserve"> </w:t>
      </w:r>
      <w:r>
        <w:rPr>
          <w:color w:val="000000" w:themeColor="text1"/>
        </w:rPr>
        <w:t xml:space="preserve">inserts regulation 9AB.4A which provides an updated </w:t>
      </w:r>
      <w:r w:rsidRPr="00A43F91">
        <w:rPr>
          <w:color w:val="000000" w:themeColor="text1"/>
        </w:rPr>
        <w:t xml:space="preserve">definition of </w:t>
      </w:r>
      <w:r>
        <w:rPr>
          <w:color w:val="000000" w:themeColor="text1"/>
        </w:rPr>
        <w:t>‘</w:t>
      </w:r>
      <w:r w:rsidRPr="00A43F91">
        <w:rPr>
          <w:color w:val="000000" w:themeColor="text1"/>
        </w:rPr>
        <w:t>RAFE</w:t>
      </w:r>
      <w:r>
        <w:rPr>
          <w:color w:val="000000" w:themeColor="text1"/>
        </w:rPr>
        <w:t xml:space="preserve">’. The definition clarifies how RAFE is worked out for a Part 6A product, a Part 6A product that is a lifecycle Part 6A product, and a Part 6A product that is a trustee-directed product. </w:t>
      </w:r>
    </w:p>
    <w:p w14:paraId="2FC50D5E" w14:textId="77777777" w:rsidR="00620D70" w:rsidRPr="00BC363F" w:rsidRDefault="00620D70" w:rsidP="00620D70">
      <w:pPr>
        <w:spacing w:before="0" w:after="0"/>
        <w:rPr>
          <w:color w:val="000000" w:themeColor="text1"/>
        </w:rPr>
      </w:pPr>
    </w:p>
    <w:p w14:paraId="359EA338" w14:textId="6B4C3CF7" w:rsidR="00620D70" w:rsidRDefault="003D34B4" w:rsidP="00620D70">
      <w:pPr>
        <w:spacing w:before="0" w:after="0"/>
      </w:pPr>
      <w:r>
        <w:rPr>
          <w:color w:val="000000" w:themeColor="text1"/>
        </w:rPr>
        <w:t>New s</w:t>
      </w:r>
      <w:r w:rsidR="00620D70" w:rsidRPr="00B62295">
        <w:rPr>
          <w:color w:val="000000" w:themeColor="text1"/>
        </w:rPr>
        <w:t>ubregulation</w:t>
      </w:r>
      <w:r w:rsidR="00620D70" w:rsidRPr="00027363">
        <w:rPr>
          <w:color w:val="000000" w:themeColor="text1"/>
        </w:rPr>
        <w:t>s 9AB.4</w:t>
      </w:r>
      <w:proofErr w:type="gramStart"/>
      <w:r w:rsidR="00620D70" w:rsidRPr="00027363">
        <w:rPr>
          <w:color w:val="000000" w:themeColor="text1"/>
        </w:rPr>
        <w:t>A(</w:t>
      </w:r>
      <w:proofErr w:type="gramEnd"/>
      <w:r w:rsidR="00620D70" w:rsidRPr="00027363">
        <w:rPr>
          <w:color w:val="000000" w:themeColor="text1"/>
        </w:rPr>
        <w:t>3</w:t>
      </w:r>
      <w:r w:rsidR="00620D70">
        <w:rPr>
          <w:color w:val="000000" w:themeColor="text1"/>
        </w:rPr>
        <w:t xml:space="preserve">) to </w:t>
      </w:r>
      <w:r w:rsidR="00620D70" w:rsidRPr="00B62295">
        <w:rPr>
          <w:color w:val="000000" w:themeColor="text1"/>
        </w:rPr>
        <w:t>(</w:t>
      </w:r>
      <w:r w:rsidR="00620D70" w:rsidRPr="00027363">
        <w:rPr>
          <w:color w:val="000000" w:themeColor="text1"/>
        </w:rPr>
        <w:t>6)</w:t>
      </w:r>
      <w:r w:rsidR="00620D70">
        <w:rPr>
          <w:color w:val="000000" w:themeColor="text1"/>
        </w:rPr>
        <w:t xml:space="preserve"> </w:t>
      </w:r>
      <w:r w:rsidR="00620D70" w:rsidRPr="00A43F91">
        <w:rPr>
          <w:color w:val="000000" w:themeColor="text1"/>
        </w:rPr>
        <w:t>clarif</w:t>
      </w:r>
      <w:r w:rsidR="00871A20">
        <w:rPr>
          <w:color w:val="000000" w:themeColor="text1"/>
        </w:rPr>
        <w:t>y</w:t>
      </w:r>
      <w:r w:rsidR="00620D70" w:rsidRPr="00A43F91">
        <w:rPr>
          <w:color w:val="000000" w:themeColor="text1"/>
        </w:rPr>
        <w:t xml:space="preserve"> that the RAFE </w:t>
      </w:r>
      <w:r w:rsidR="00620D70" w:rsidRPr="00A43F91">
        <w:t xml:space="preserve">for a lifecycle Part 6A product is the </w:t>
      </w:r>
      <w:r w:rsidR="00620D70">
        <w:t>lifestage that incurs the</w:t>
      </w:r>
      <w:r w:rsidR="00620D70" w:rsidRPr="00A43F91">
        <w:t xml:space="preserve"> </w:t>
      </w:r>
      <w:r w:rsidR="00620D70" w:rsidRPr="00A43F91">
        <w:rPr>
          <w:i/>
          <w:iCs/>
        </w:rPr>
        <w:t>largest</w:t>
      </w:r>
      <w:r w:rsidR="00620D70" w:rsidRPr="00A43F91">
        <w:t xml:space="preserve"> RAFE from the set of </w:t>
      </w:r>
      <w:r w:rsidR="00620D70">
        <w:t xml:space="preserve">lifestage </w:t>
      </w:r>
      <w:r w:rsidR="00620D70" w:rsidRPr="00A43F91">
        <w:t>RAFEs. The purpose of the amendment is to ensure</w:t>
      </w:r>
      <w:r w:rsidR="00620D70" w:rsidRPr="00CD1F05">
        <w:t xml:space="preserve"> the Principal Regulations remain fit for purpose and </w:t>
      </w:r>
      <w:r w:rsidR="00620D70">
        <w:t xml:space="preserve">provide certainty to trustees by </w:t>
      </w:r>
      <w:r w:rsidR="00620D70" w:rsidRPr="006B3A71">
        <w:t>explicit</w:t>
      </w:r>
      <w:r w:rsidR="00620D70">
        <w:t xml:space="preserve">ly stating in the law that it is the largest RAFE that is relevant to ‘actual RAFE’ and ‘benchmark RAFE’. </w:t>
      </w:r>
      <w:r w:rsidR="00620D70" w:rsidRPr="00760497">
        <w:t xml:space="preserve">Item </w:t>
      </w:r>
      <w:r w:rsidR="00BB3C64">
        <w:t>46</w:t>
      </w:r>
      <w:r w:rsidR="00620D70">
        <w:t xml:space="preserve"> repeals subregulations 9AB.16(7) and (8) of the Principal Regulations which set out how to provide RAFE for lifecycle Part 6A products. These subregulations are no longer required as the rules are now provided for in the updated definition of RAFE.</w:t>
      </w:r>
    </w:p>
    <w:p w14:paraId="21E86D8B" w14:textId="77777777" w:rsidR="00620D70" w:rsidRDefault="00620D70" w:rsidP="00620D70">
      <w:pPr>
        <w:spacing w:before="0" w:after="0"/>
      </w:pPr>
    </w:p>
    <w:p w14:paraId="6CBF2AEF" w14:textId="272E978D" w:rsidR="00620D70" w:rsidRDefault="00FD45C3" w:rsidP="00620D70">
      <w:pPr>
        <w:spacing w:before="0" w:after="0"/>
      </w:pPr>
      <w:r>
        <w:t>New s</w:t>
      </w:r>
      <w:r w:rsidR="00620D70">
        <w:t>ubregulations 9AB.4</w:t>
      </w:r>
      <w:proofErr w:type="gramStart"/>
      <w:r w:rsidR="00620D70">
        <w:t>A(</w:t>
      </w:r>
      <w:proofErr w:type="gramEnd"/>
      <w:r w:rsidR="00620D70">
        <w:t>7) to (9) clarif</w:t>
      </w:r>
      <w:r>
        <w:t>y</w:t>
      </w:r>
      <w:r w:rsidR="00620D70">
        <w:t xml:space="preserve"> that the RAFE for trustee-directed products is the standard fees and costs arrangement within each investment pathway and asset-weighted across investment pathways. Subregulation 9AB.4</w:t>
      </w:r>
      <w:proofErr w:type="gramStart"/>
      <w:r w:rsidR="00620D70">
        <w:t>A(</w:t>
      </w:r>
      <w:proofErr w:type="gramEnd"/>
      <w:r w:rsidR="00620D70">
        <w:t xml:space="preserve">8) provides the rule for asset-weighting across an investment pathway in relation to a period. Asset-weighting by pathway provides an incentive for funds to reduce fees on the most popular pathways. Item </w:t>
      </w:r>
      <w:r w:rsidR="00D46E9D">
        <w:t>5</w:t>
      </w:r>
      <w:r w:rsidR="00620D70">
        <w:t xml:space="preserve"> inserts a definition for ‘investment pathway’ to clarify that </w:t>
      </w:r>
      <w:r w:rsidR="00620D70" w:rsidRPr="00555F6A">
        <w:t>if there is a choice of different ways of investing in a Part 6A product, as reported to APRA in accordance with the applicable RSE structure standard, each of those ways is an investment pathway of the Part 6A product.</w:t>
      </w:r>
      <w:r w:rsidR="00620D70">
        <w:t xml:space="preserve"> Item </w:t>
      </w:r>
      <w:r w:rsidR="00D46E9D">
        <w:t>5</w:t>
      </w:r>
      <w:r w:rsidR="00620D70">
        <w:t xml:space="preserve"> also inserts a definition of ‘investment pathway weight’</w:t>
      </w:r>
      <w:r>
        <w:t>, which</w:t>
      </w:r>
      <w:r w:rsidR="00620D70">
        <w:t xml:space="preserve"> has the meaning given by subregulation 9AB.4A. </w:t>
      </w:r>
    </w:p>
    <w:p w14:paraId="7CDF10ED" w14:textId="77777777" w:rsidR="00620D70" w:rsidRDefault="00620D70" w:rsidP="00620D70">
      <w:pPr>
        <w:spacing w:before="0" w:after="0"/>
      </w:pPr>
    </w:p>
    <w:p w14:paraId="149948EA" w14:textId="0E71B308" w:rsidR="00620D70" w:rsidRDefault="00620D70" w:rsidP="00620D70">
      <w:pPr>
        <w:spacing w:before="0" w:after="0"/>
      </w:pPr>
      <w:r>
        <w:t>The updated rule in</w:t>
      </w:r>
      <w:r w:rsidR="00FD45C3">
        <w:t xml:space="preserve"> new</w:t>
      </w:r>
      <w:r>
        <w:t xml:space="preserve"> subregulation 9AB.4</w:t>
      </w:r>
      <w:proofErr w:type="gramStart"/>
      <w:r>
        <w:t>A(</w:t>
      </w:r>
      <w:proofErr w:type="gramEnd"/>
      <w:r>
        <w:t>8) clarifies that RAFE is first worked out for each investment pathway for a quarter and then asset-weighted to get the RAFE for the quarter. The RAFE for four quarters in a year is then summed to produce the RAFE for a financial year. This ensures that RAFE remains fit for purpose when new investment pathways begin during a financial year.</w:t>
      </w:r>
    </w:p>
    <w:p w14:paraId="578EF360" w14:textId="77777777" w:rsidR="00620D70" w:rsidRDefault="00620D70" w:rsidP="00620D70">
      <w:pPr>
        <w:spacing w:before="0" w:after="0"/>
      </w:pPr>
    </w:p>
    <w:p w14:paraId="221B96D3" w14:textId="467EFA2E" w:rsidR="00620D70" w:rsidRDefault="00620D70" w:rsidP="00620D70">
      <w:pPr>
        <w:spacing w:before="0" w:after="0"/>
        <w:rPr>
          <w:color w:val="000000" w:themeColor="text1"/>
        </w:rPr>
      </w:pPr>
      <w:r>
        <w:rPr>
          <w:color w:val="000000" w:themeColor="text1"/>
        </w:rPr>
        <w:t>Subregulation 9AB.4</w:t>
      </w:r>
      <w:proofErr w:type="gramStart"/>
      <w:r>
        <w:rPr>
          <w:color w:val="000000" w:themeColor="text1"/>
        </w:rPr>
        <w:t>A(</w:t>
      </w:r>
      <w:proofErr w:type="gramEnd"/>
      <w:r>
        <w:rPr>
          <w:color w:val="000000" w:themeColor="text1"/>
        </w:rPr>
        <w:t xml:space="preserve">2) provides that in working </w:t>
      </w:r>
      <w:r w:rsidRPr="001639B6">
        <w:rPr>
          <w:color w:val="000000" w:themeColor="text1"/>
        </w:rPr>
        <w:t xml:space="preserve">out an amount for </w:t>
      </w:r>
      <w:r>
        <w:rPr>
          <w:color w:val="000000" w:themeColor="text1"/>
        </w:rPr>
        <w:t>RAFE,</w:t>
      </w:r>
      <w:r w:rsidRPr="001639B6">
        <w:rPr>
          <w:color w:val="000000" w:themeColor="text1"/>
        </w:rPr>
        <w:t xml:space="preserve"> assume that the amount related to a beneficiary of the entity with an account balance in respect of the Part 6A product of $50,000 throughout the period</w:t>
      </w:r>
      <w:r>
        <w:rPr>
          <w:color w:val="000000" w:themeColor="text1"/>
        </w:rPr>
        <w:t xml:space="preserve">. The purpose of this amendment is to ensure RAFE is calculated </w:t>
      </w:r>
      <w:proofErr w:type="gramStart"/>
      <w:r>
        <w:rPr>
          <w:color w:val="000000" w:themeColor="text1"/>
        </w:rPr>
        <w:t>on the basis of</w:t>
      </w:r>
      <w:proofErr w:type="gramEnd"/>
      <w:r>
        <w:rPr>
          <w:color w:val="000000" w:themeColor="text1"/>
        </w:rPr>
        <w:t xml:space="preserve"> a representative member.</w:t>
      </w:r>
      <w:r w:rsidR="002F255A">
        <w:rPr>
          <w:color w:val="000000" w:themeColor="text1"/>
        </w:rPr>
        <w:t xml:space="preserve"> This </w:t>
      </w:r>
      <w:r w:rsidR="00791CBF">
        <w:rPr>
          <w:color w:val="000000" w:themeColor="text1"/>
        </w:rPr>
        <w:t>does</w:t>
      </w:r>
      <w:r w:rsidR="008E1789">
        <w:rPr>
          <w:color w:val="000000" w:themeColor="text1"/>
        </w:rPr>
        <w:t xml:space="preserve"> not change the way that RAFE is worked out, but makes it explicit</w:t>
      </w:r>
      <w:r w:rsidR="00AF1935">
        <w:rPr>
          <w:color w:val="000000" w:themeColor="text1"/>
        </w:rPr>
        <w:t xml:space="preserve"> in the Principal Regulations</w:t>
      </w:r>
      <w:r w:rsidR="00C875A8">
        <w:rPr>
          <w:color w:val="000000" w:themeColor="text1"/>
        </w:rPr>
        <w:t>, which is necessary due to changes in APRA’s reporting standards</w:t>
      </w:r>
      <w:r w:rsidR="007F0597">
        <w:rPr>
          <w:color w:val="000000" w:themeColor="text1"/>
        </w:rPr>
        <w:t xml:space="preserve">. </w:t>
      </w:r>
      <w:r>
        <w:rPr>
          <w:color w:val="000000" w:themeColor="text1"/>
        </w:rPr>
        <w:t xml:space="preserve">The $50,000 balance is not affected by </w:t>
      </w:r>
      <w:r w:rsidRPr="0001498E">
        <w:rPr>
          <w:color w:val="000000" w:themeColor="text1"/>
        </w:rPr>
        <w:t>investment gains</w:t>
      </w:r>
      <w:r>
        <w:rPr>
          <w:color w:val="000000" w:themeColor="text1"/>
        </w:rPr>
        <w:t xml:space="preserve"> and </w:t>
      </w:r>
      <w:r w:rsidRPr="0001498E">
        <w:rPr>
          <w:color w:val="000000" w:themeColor="text1"/>
        </w:rPr>
        <w:t>losses.</w:t>
      </w:r>
    </w:p>
    <w:p w14:paraId="1775D42D" w14:textId="77777777" w:rsidR="00620D70" w:rsidRDefault="00620D70" w:rsidP="00620D70">
      <w:pPr>
        <w:spacing w:before="0" w:after="0"/>
      </w:pPr>
    </w:p>
    <w:p w14:paraId="1E598CAE" w14:textId="071F966E" w:rsidR="00620D70" w:rsidRPr="00BC363F"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s</w:t>
      </w:r>
      <w:r w:rsidRPr="00BC363F">
        <w:rPr>
          <w:b/>
          <w:bCs/>
          <w:i/>
          <w:iCs/>
          <w:color w:val="000000" w:themeColor="text1"/>
        </w:rPr>
        <w:t xml:space="preserve"> </w:t>
      </w:r>
      <w:r w:rsidR="00546D27">
        <w:rPr>
          <w:b/>
          <w:bCs/>
          <w:i/>
          <w:iCs/>
          <w:color w:val="000000" w:themeColor="text1"/>
        </w:rPr>
        <w:t>14</w:t>
      </w:r>
      <w:r>
        <w:rPr>
          <w:b/>
          <w:bCs/>
          <w:i/>
          <w:iCs/>
          <w:color w:val="000000" w:themeColor="text1"/>
        </w:rPr>
        <w:t xml:space="preserve"> to </w:t>
      </w:r>
      <w:r w:rsidR="00546D27">
        <w:rPr>
          <w:b/>
          <w:bCs/>
          <w:i/>
          <w:iCs/>
          <w:color w:val="000000" w:themeColor="text1"/>
        </w:rPr>
        <w:t>18</w:t>
      </w:r>
      <w:r>
        <w:rPr>
          <w:b/>
          <w:bCs/>
          <w:i/>
          <w:iCs/>
          <w:color w:val="000000" w:themeColor="text1"/>
        </w:rPr>
        <w:t xml:space="preserve">, </w:t>
      </w:r>
      <w:r w:rsidR="00F6231F">
        <w:rPr>
          <w:b/>
          <w:bCs/>
          <w:i/>
          <w:iCs/>
          <w:color w:val="000000" w:themeColor="text1"/>
        </w:rPr>
        <w:t>35</w:t>
      </w:r>
      <w:r>
        <w:rPr>
          <w:b/>
          <w:bCs/>
          <w:i/>
          <w:iCs/>
          <w:color w:val="000000" w:themeColor="text1"/>
        </w:rPr>
        <w:t>,</w:t>
      </w:r>
      <w:r w:rsidR="00A90ACF">
        <w:rPr>
          <w:b/>
          <w:bCs/>
          <w:i/>
          <w:iCs/>
          <w:color w:val="000000" w:themeColor="text1"/>
        </w:rPr>
        <w:t xml:space="preserve"> </w:t>
      </w:r>
      <w:r w:rsidR="00F6231F">
        <w:rPr>
          <w:b/>
          <w:bCs/>
          <w:i/>
          <w:iCs/>
          <w:color w:val="000000" w:themeColor="text1"/>
        </w:rPr>
        <w:t>36</w:t>
      </w:r>
      <w:r w:rsidR="00A90ACF">
        <w:rPr>
          <w:b/>
          <w:bCs/>
          <w:i/>
          <w:iCs/>
          <w:color w:val="000000" w:themeColor="text1"/>
        </w:rPr>
        <w:t>,</w:t>
      </w:r>
      <w:r>
        <w:rPr>
          <w:b/>
          <w:bCs/>
          <w:i/>
          <w:iCs/>
          <w:color w:val="000000" w:themeColor="text1"/>
        </w:rPr>
        <w:t xml:space="preserve"> </w:t>
      </w:r>
      <w:r w:rsidR="00F6231F">
        <w:rPr>
          <w:b/>
          <w:bCs/>
          <w:i/>
          <w:iCs/>
          <w:color w:val="000000" w:themeColor="text1"/>
        </w:rPr>
        <w:t>39</w:t>
      </w:r>
      <w:r>
        <w:rPr>
          <w:b/>
          <w:bCs/>
          <w:i/>
          <w:iCs/>
          <w:color w:val="000000" w:themeColor="text1"/>
        </w:rPr>
        <w:t xml:space="preserve"> </w:t>
      </w:r>
      <w:r w:rsidR="0052297F">
        <w:rPr>
          <w:b/>
          <w:bCs/>
          <w:i/>
          <w:iCs/>
          <w:color w:val="000000" w:themeColor="text1"/>
        </w:rPr>
        <w:t>and</w:t>
      </w:r>
      <w:r>
        <w:rPr>
          <w:b/>
          <w:bCs/>
          <w:i/>
          <w:iCs/>
          <w:color w:val="000000" w:themeColor="text1"/>
        </w:rPr>
        <w:t xml:space="preserve"> </w:t>
      </w:r>
      <w:r w:rsidR="00F6231F">
        <w:rPr>
          <w:b/>
          <w:bCs/>
          <w:i/>
          <w:iCs/>
          <w:color w:val="000000" w:themeColor="text1"/>
        </w:rPr>
        <w:t>40</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strategic asset allocation or SAA</w:t>
      </w:r>
    </w:p>
    <w:p w14:paraId="6C76A9E1" w14:textId="77777777" w:rsidR="00620D70" w:rsidRDefault="00620D70" w:rsidP="00620D70">
      <w:pPr>
        <w:spacing w:before="0" w:after="0"/>
        <w:rPr>
          <w:i/>
          <w:iCs/>
          <w:color w:val="000000" w:themeColor="text1"/>
        </w:rPr>
      </w:pPr>
    </w:p>
    <w:p w14:paraId="1F5FFF32" w14:textId="3CE4C6D8" w:rsidR="00620D70" w:rsidRDefault="00620D70" w:rsidP="00620D70">
      <w:pPr>
        <w:spacing w:before="0" w:after="0"/>
        <w:rPr>
          <w:color w:val="000000" w:themeColor="text1"/>
        </w:rPr>
      </w:pPr>
      <w:r>
        <w:rPr>
          <w:color w:val="000000" w:themeColor="text1"/>
        </w:rPr>
        <w:lastRenderedPageBreak/>
        <w:t xml:space="preserve">Under the Principal </w:t>
      </w:r>
      <w:r w:rsidR="000F4950">
        <w:rPr>
          <w:color w:val="000000" w:themeColor="text1"/>
        </w:rPr>
        <w:t>R</w:t>
      </w:r>
      <w:r>
        <w:rPr>
          <w:color w:val="000000" w:themeColor="text1"/>
        </w:rPr>
        <w:t xml:space="preserve">egulations the calculation for </w:t>
      </w:r>
      <w:r>
        <w:rPr>
          <w:b/>
          <w:bCs/>
          <w:i/>
          <w:iCs/>
          <w:color w:val="000000" w:themeColor="text1"/>
        </w:rPr>
        <w:t>strategic asset allocation or SAA</w:t>
      </w:r>
      <w:r>
        <w:rPr>
          <w:color w:val="000000" w:themeColor="text1"/>
        </w:rPr>
        <w:t xml:space="preserve"> was set out separately for standard Part 6A products and lifecycle Part 6A products. The amendments place these rules together under regulation 9AB.5 of the Principal </w:t>
      </w:r>
      <w:r w:rsidR="000F4950">
        <w:rPr>
          <w:color w:val="000000" w:themeColor="text1"/>
        </w:rPr>
        <w:t>R</w:t>
      </w:r>
      <w:r>
        <w:rPr>
          <w:color w:val="000000" w:themeColor="text1"/>
        </w:rPr>
        <w:t xml:space="preserve">egulations. </w:t>
      </w:r>
    </w:p>
    <w:p w14:paraId="40CDEEB7" w14:textId="77777777" w:rsidR="00620D70" w:rsidRDefault="00620D70" w:rsidP="00620D70">
      <w:pPr>
        <w:spacing w:before="0" w:after="0"/>
        <w:rPr>
          <w:color w:val="000000" w:themeColor="text1"/>
        </w:rPr>
      </w:pPr>
    </w:p>
    <w:p w14:paraId="337AFC53" w14:textId="5ACDBA06" w:rsidR="004C1929" w:rsidRDefault="00E760EF" w:rsidP="00620D70">
      <w:pPr>
        <w:spacing w:before="0" w:after="0"/>
        <w:rPr>
          <w:color w:val="000000" w:themeColor="text1"/>
        </w:rPr>
      </w:pPr>
      <w:r>
        <w:t xml:space="preserve">Items </w:t>
      </w:r>
      <w:r w:rsidR="00C55AD5">
        <w:t>14</w:t>
      </w:r>
      <w:r>
        <w:t xml:space="preserve"> to </w:t>
      </w:r>
      <w:r w:rsidR="00C55AD5">
        <w:t>18</w:t>
      </w:r>
      <w:r>
        <w:t xml:space="preserve"> consolidate and clarify</w:t>
      </w:r>
      <w:r w:rsidR="006D66CE">
        <w:t xml:space="preserve"> </w:t>
      </w:r>
      <w:r w:rsidR="006D66CE">
        <w:rPr>
          <w:color w:val="000000" w:themeColor="text1"/>
        </w:rPr>
        <w:t xml:space="preserve">how SAA is calculated for lifecycle Part 6A products, where the test will consider data reported at the lifestage level. This ensures that the test more accurately reflects the characteristics of lifecycle </w:t>
      </w:r>
      <w:proofErr w:type="gramStart"/>
      <w:r w:rsidR="006D66CE">
        <w:rPr>
          <w:color w:val="000000" w:themeColor="text1"/>
        </w:rPr>
        <w:t>products</w:t>
      </w:r>
      <w:r w:rsidR="004C1929">
        <w:rPr>
          <w:color w:val="000000" w:themeColor="text1"/>
        </w:rPr>
        <w:t>, but</w:t>
      </w:r>
      <w:proofErr w:type="gramEnd"/>
      <w:r w:rsidR="004C1929">
        <w:rPr>
          <w:color w:val="000000" w:themeColor="text1"/>
        </w:rPr>
        <w:t xml:space="preserve"> does not substantively change the operation of the current law. </w:t>
      </w:r>
    </w:p>
    <w:p w14:paraId="3937C490" w14:textId="77777777" w:rsidR="004C1929" w:rsidRDefault="004C1929" w:rsidP="00620D70">
      <w:pPr>
        <w:spacing w:before="0" w:after="0"/>
        <w:rPr>
          <w:color w:val="000000" w:themeColor="text1"/>
        </w:rPr>
      </w:pPr>
    </w:p>
    <w:p w14:paraId="374BBC3F" w14:textId="722F5F8A" w:rsidR="00620D70" w:rsidRDefault="004C1929" w:rsidP="004C1929">
      <w:pPr>
        <w:spacing w:before="0" w:after="0"/>
        <w:rPr>
          <w:color w:val="000000" w:themeColor="text1"/>
        </w:rPr>
      </w:pPr>
      <w:r>
        <w:rPr>
          <w:color w:val="000000" w:themeColor="text1"/>
        </w:rPr>
        <w:t xml:space="preserve">Items </w:t>
      </w:r>
      <w:r w:rsidR="0090799C">
        <w:t>35</w:t>
      </w:r>
      <w:r w:rsidR="00E760EF">
        <w:t>,</w:t>
      </w:r>
      <w:r>
        <w:t xml:space="preserve"> </w:t>
      </w:r>
      <w:r w:rsidR="0090799C">
        <w:t>36</w:t>
      </w:r>
      <w:r>
        <w:t>,</w:t>
      </w:r>
      <w:r w:rsidR="00E760EF">
        <w:t xml:space="preserve"> </w:t>
      </w:r>
      <w:r w:rsidR="0090799C">
        <w:t>39</w:t>
      </w:r>
      <w:r w:rsidR="00E760EF">
        <w:t xml:space="preserve"> and </w:t>
      </w:r>
      <w:r w:rsidR="0090799C">
        <w:t>40</w:t>
      </w:r>
      <w:r w:rsidR="00E760EF">
        <w:t xml:space="preserve"> make related consequential amendments and repeals</w:t>
      </w:r>
      <w:r>
        <w:t>.</w:t>
      </w:r>
      <w:r w:rsidR="00620D70">
        <w:rPr>
          <w:color w:val="000000" w:themeColor="text1"/>
        </w:rPr>
        <w:t xml:space="preserve"> </w:t>
      </w:r>
    </w:p>
    <w:p w14:paraId="53817917" w14:textId="77777777" w:rsidR="00163AB8" w:rsidRDefault="00163AB8" w:rsidP="00620D70">
      <w:pPr>
        <w:spacing w:before="0" w:after="0"/>
        <w:rPr>
          <w:color w:val="000000" w:themeColor="text1"/>
        </w:rPr>
      </w:pPr>
    </w:p>
    <w:p w14:paraId="285202E6" w14:textId="4B2D6CF7" w:rsidR="00163AB8" w:rsidRPr="003848FB" w:rsidRDefault="00163AB8" w:rsidP="00163AB8">
      <w:pPr>
        <w:spacing w:before="0" w:after="0"/>
        <w:rPr>
          <w:b/>
          <w:bCs/>
          <w:i/>
          <w:iCs/>
          <w:color w:val="000000" w:themeColor="text1"/>
        </w:rPr>
      </w:pPr>
      <w:r>
        <w:rPr>
          <w:b/>
          <w:bCs/>
          <w:i/>
          <w:iCs/>
          <w:color w:val="000000" w:themeColor="text1"/>
        </w:rPr>
        <w:t xml:space="preserve">Items </w:t>
      </w:r>
      <w:r w:rsidR="000E51FD">
        <w:rPr>
          <w:b/>
          <w:bCs/>
          <w:i/>
          <w:iCs/>
          <w:color w:val="000000" w:themeColor="text1"/>
        </w:rPr>
        <w:t>3</w:t>
      </w:r>
      <w:r>
        <w:rPr>
          <w:b/>
          <w:bCs/>
          <w:i/>
          <w:iCs/>
          <w:color w:val="000000" w:themeColor="text1"/>
        </w:rPr>
        <w:t xml:space="preserve"> and </w:t>
      </w:r>
      <w:r w:rsidR="004D4B99">
        <w:rPr>
          <w:b/>
          <w:bCs/>
          <w:i/>
          <w:iCs/>
          <w:color w:val="000000" w:themeColor="text1"/>
        </w:rPr>
        <w:t>14</w:t>
      </w:r>
      <w:r>
        <w:rPr>
          <w:b/>
          <w:bCs/>
          <w:i/>
          <w:iCs/>
          <w:color w:val="000000" w:themeColor="text1"/>
        </w:rPr>
        <w:t xml:space="preserve"> </w:t>
      </w:r>
      <w:r w:rsidRPr="003848FB">
        <w:rPr>
          <w:b/>
          <w:bCs/>
          <w:i/>
          <w:iCs/>
          <w:color w:val="000000" w:themeColor="text1"/>
        </w:rPr>
        <w:t xml:space="preserve">– </w:t>
      </w:r>
      <w:r>
        <w:rPr>
          <w:b/>
          <w:bCs/>
          <w:i/>
          <w:iCs/>
          <w:color w:val="000000" w:themeColor="text1"/>
        </w:rPr>
        <w:t>Rules for determining ‘currency hedging ratio’</w:t>
      </w:r>
    </w:p>
    <w:p w14:paraId="6D460938" w14:textId="77777777" w:rsidR="00163AB8" w:rsidRDefault="00163AB8" w:rsidP="00163AB8">
      <w:pPr>
        <w:spacing w:before="0" w:after="0"/>
        <w:rPr>
          <w:b/>
          <w:bCs/>
          <w:i/>
          <w:iCs/>
          <w:color w:val="000000" w:themeColor="text1"/>
        </w:rPr>
      </w:pPr>
    </w:p>
    <w:p w14:paraId="32DC971D" w14:textId="366FAB26" w:rsidR="00163AB8" w:rsidRDefault="00163AB8" w:rsidP="00163AB8">
      <w:pPr>
        <w:spacing w:before="0" w:after="0"/>
      </w:pPr>
      <w:r w:rsidRPr="00367348">
        <w:rPr>
          <w:color w:val="000000" w:themeColor="text1"/>
        </w:rPr>
        <w:t>Regulation 9AB.5</w:t>
      </w:r>
      <w:r>
        <w:rPr>
          <w:color w:val="000000" w:themeColor="text1"/>
        </w:rPr>
        <w:t xml:space="preserve"> of the Principal Regulations</w:t>
      </w:r>
      <w:r w:rsidRPr="00367348">
        <w:rPr>
          <w:color w:val="000000" w:themeColor="text1"/>
        </w:rPr>
        <w:t xml:space="preserve"> provides rules to work </w:t>
      </w:r>
      <w:r>
        <w:rPr>
          <w:color w:val="000000" w:themeColor="text1"/>
        </w:rPr>
        <w:t>out</w:t>
      </w:r>
      <w:r w:rsidRPr="00367348">
        <w:rPr>
          <w:color w:val="000000" w:themeColor="text1"/>
        </w:rPr>
        <w:t xml:space="preserve"> strategic asset allocation where certain information about ‘asset domicile type’, ‘currency hedging ratio’ and/or ‘the ‘asset listing type’ is identified or not identified. </w:t>
      </w:r>
      <w:r>
        <w:rPr>
          <w:color w:val="000000" w:themeColor="text1"/>
        </w:rPr>
        <w:t xml:space="preserve">Item </w:t>
      </w:r>
      <w:r w:rsidR="0042317A">
        <w:rPr>
          <w:color w:val="000000" w:themeColor="text1"/>
        </w:rPr>
        <w:t>14</w:t>
      </w:r>
      <w:r>
        <w:rPr>
          <w:color w:val="000000" w:themeColor="text1"/>
        </w:rPr>
        <w:t xml:space="preserve"> updates these rules to allow </w:t>
      </w:r>
      <w:r w:rsidRPr="00B4113C">
        <w:t xml:space="preserve">‘strategic asset allocation’ </w:t>
      </w:r>
      <w:r>
        <w:t>to be worked out where</w:t>
      </w:r>
      <w:r w:rsidRPr="00B4113C">
        <w:t xml:space="preserve"> information about ‘currency hedging ratio’ is </w:t>
      </w:r>
      <w:r>
        <w:t>not identified but option-level currency exposure is identified. Where currency exposure is identified, it</w:t>
      </w:r>
      <w:r w:rsidRPr="0089604F">
        <w:t xml:space="preserve"> </w:t>
      </w:r>
      <w:r>
        <w:t xml:space="preserve">can be used </w:t>
      </w:r>
      <w:r w:rsidRPr="0089604F">
        <w:t xml:space="preserve">to impute a </w:t>
      </w:r>
      <w:r>
        <w:t xml:space="preserve">currency </w:t>
      </w:r>
      <w:r w:rsidRPr="0089604F">
        <w:t>hedging ratio</w:t>
      </w:r>
      <w:r>
        <w:t xml:space="preserve"> for the international asset classes. </w:t>
      </w:r>
    </w:p>
    <w:p w14:paraId="539E116B" w14:textId="77777777" w:rsidR="00163AB8" w:rsidRDefault="00163AB8" w:rsidP="00163AB8">
      <w:pPr>
        <w:spacing w:before="0" w:after="0"/>
      </w:pPr>
    </w:p>
    <w:p w14:paraId="720F268F" w14:textId="333EF04F" w:rsidR="00163AB8" w:rsidRDefault="00163AB8" w:rsidP="00163AB8">
      <w:pPr>
        <w:spacing w:before="0" w:after="0"/>
      </w:pPr>
      <w:r>
        <w:t xml:space="preserve">The purpose of the amendment is to improve </w:t>
      </w:r>
      <w:r>
        <w:rPr>
          <w:szCs w:val="24"/>
        </w:rPr>
        <w:t xml:space="preserve">the accuracy of the test. The currency exposure </w:t>
      </w:r>
      <w:r w:rsidR="009D1D04">
        <w:rPr>
          <w:szCs w:val="24"/>
        </w:rPr>
        <w:t xml:space="preserve">can now </w:t>
      </w:r>
      <w:r>
        <w:rPr>
          <w:szCs w:val="24"/>
        </w:rPr>
        <w:t xml:space="preserve">be used for the performance test as, under the </w:t>
      </w:r>
      <w:r w:rsidRPr="00CA01C1">
        <w:t xml:space="preserve">new </w:t>
      </w:r>
      <w:r>
        <w:t xml:space="preserve">asset allocation standard, funds now have the choice to report currency exposure at the investment option level instead of, or in addition to, currency hedging ratios for each asset class. </w:t>
      </w:r>
    </w:p>
    <w:p w14:paraId="4A474358" w14:textId="77777777" w:rsidR="00163AB8" w:rsidRDefault="00163AB8" w:rsidP="00163AB8">
      <w:pPr>
        <w:spacing w:before="0" w:after="0"/>
      </w:pPr>
    </w:p>
    <w:p w14:paraId="2AEF6980" w14:textId="231DB76B" w:rsidR="00163AB8" w:rsidRPr="00367348" w:rsidRDefault="00163AB8" w:rsidP="00163AB8">
      <w:pPr>
        <w:spacing w:before="0" w:after="0"/>
        <w:rPr>
          <w:color w:val="000000" w:themeColor="text1"/>
        </w:rPr>
      </w:pPr>
      <w:r>
        <w:rPr>
          <w:color w:val="000000" w:themeColor="text1"/>
        </w:rPr>
        <w:t xml:space="preserve">Item </w:t>
      </w:r>
      <w:r w:rsidR="000E51FD">
        <w:rPr>
          <w:color w:val="000000" w:themeColor="text1"/>
        </w:rPr>
        <w:t>3</w:t>
      </w:r>
      <w:r>
        <w:rPr>
          <w:color w:val="000000" w:themeColor="text1"/>
        </w:rPr>
        <w:t xml:space="preserve"> inserts a definition of ‘currency exposure’ into </w:t>
      </w:r>
      <w:r w:rsidR="009D1D04">
        <w:rPr>
          <w:color w:val="000000" w:themeColor="text1"/>
        </w:rPr>
        <w:t xml:space="preserve">regulation </w:t>
      </w:r>
      <w:r>
        <w:rPr>
          <w:color w:val="000000" w:themeColor="text1"/>
        </w:rPr>
        <w:t xml:space="preserve">9AB.1 of the Principal Regulations. ‘Currency exposure’ </w:t>
      </w:r>
      <w:r>
        <w:t xml:space="preserve">of a standard Part 6A product in relation to a quarter, means the Part 6A product’s currency exposure in relation to the quarter, as reported to APRA in accordance with the applicable asset allocation standard. </w:t>
      </w:r>
      <w:r>
        <w:rPr>
          <w:color w:val="000000" w:themeColor="text1"/>
        </w:rPr>
        <w:t xml:space="preserve">‘Currency exposure’ </w:t>
      </w:r>
      <w:r>
        <w:t xml:space="preserve">of a lifecycle Part 6A product in relation to a quarter, means the Part 6A product’s currency exposure in relation to the lifestage and the quarter, as reported to APRA in accordance with the applicable asset allocation standard. This difference is because lifecycle Part 6A products report currency hedging exposure at the lifestage level. </w:t>
      </w:r>
    </w:p>
    <w:p w14:paraId="679AB78B" w14:textId="77777777" w:rsidR="00163AB8" w:rsidRPr="00330BB5" w:rsidRDefault="00163AB8" w:rsidP="00620D70">
      <w:pPr>
        <w:spacing w:before="0" w:after="0"/>
        <w:rPr>
          <w:color w:val="000000" w:themeColor="text1"/>
        </w:rPr>
      </w:pPr>
    </w:p>
    <w:p w14:paraId="6F818796" w14:textId="692271AE" w:rsidR="00620D70" w:rsidRDefault="00620D70" w:rsidP="00620D70">
      <w:pPr>
        <w:spacing w:before="0" w:after="0"/>
        <w:rPr>
          <w:b/>
          <w:bCs/>
          <w:i/>
          <w:iCs/>
          <w:color w:val="000000" w:themeColor="text1"/>
        </w:rPr>
      </w:pPr>
      <w:r w:rsidRPr="00BC363F">
        <w:rPr>
          <w:b/>
          <w:bCs/>
          <w:i/>
          <w:iCs/>
          <w:color w:val="000000" w:themeColor="text1"/>
        </w:rPr>
        <w:t>Item</w:t>
      </w:r>
      <w:r>
        <w:rPr>
          <w:b/>
          <w:bCs/>
          <w:i/>
          <w:iCs/>
          <w:color w:val="000000" w:themeColor="text1"/>
        </w:rPr>
        <w:t xml:space="preserve">s </w:t>
      </w:r>
      <w:r w:rsidR="008A2D02">
        <w:rPr>
          <w:b/>
          <w:bCs/>
          <w:i/>
          <w:iCs/>
          <w:color w:val="000000" w:themeColor="text1"/>
        </w:rPr>
        <w:t>5</w:t>
      </w:r>
      <w:r>
        <w:rPr>
          <w:b/>
          <w:bCs/>
          <w:i/>
          <w:iCs/>
          <w:color w:val="000000" w:themeColor="text1"/>
        </w:rPr>
        <w:t xml:space="preserve">, </w:t>
      </w:r>
      <w:r w:rsidR="0042317A">
        <w:rPr>
          <w:b/>
          <w:bCs/>
          <w:i/>
          <w:iCs/>
          <w:color w:val="000000" w:themeColor="text1"/>
        </w:rPr>
        <w:t>19</w:t>
      </w:r>
      <w:r>
        <w:rPr>
          <w:b/>
          <w:bCs/>
          <w:i/>
          <w:iCs/>
          <w:color w:val="000000" w:themeColor="text1"/>
        </w:rPr>
        <w:t xml:space="preserve">, </w:t>
      </w:r>
      <w:r w:rsidR="0090799C">
        <w:rPr>
          <w:b/>
          <w:bCs/>
          <w:i/>
          <w:iCs/>
          <w:color w:val="000000" w:themeColor="text1"/>
        </w:rPr>
        <w:t>34</w:t>
      </w:r>
      <w:r>
        <w:rPr>
          <w:b/>
          <w:bCs/>
          <w:i/>
          <w:iCs/>
          <w:color w:val="000000" w:themeColor="text1"/>
        </w:rPr>
        <w:t>,</w:t>
      </w:r>
      <w:r w:rsidR="003D23C8">
        <w:rPr>
          <w:b/>
          <w:bCs/>
          <w:i/>
          <w:iCs/>
          <w:color w:val="000000" w:themeColor="text1"/>
        </w:rPr>
        <w:t xml:space="preserve"> </w:t>
      </w:r>
      <w:r w:rsidR="006942BA">
        <w:rPr>
          <w:b/>
          <w:bCs/>
          <w:i/>
          <w:iCs/>
          <w:color w:val="000000" w:themeColor="text1"/>
        </w:rPr>
        <w:t>36</w:t>
      </w:r>
      <w:r w:rsidR="00696392">
        <w:rPr>
          <w:b/>
          <w:bCs/>
          <w:i/>
          <w:iCs/>
          <w:color w:val="000000" w:themeColor="text1"/>
        </w:rPr>
        <w:t>,</w:t>
      </w:r>
      <w:r>
        <w:rPr>
          <w:b/>
          <w:bCs/>
          <w:i/>
          <w:iCs/>
          <w:color w:val="000000" w:themeColor="text1"/>
        </w:rPr>
        <w:t xml:space="preserve"> </w:t>
      </w:r>
      <w:r w:rsidR="006942BA">
        <w:rPr>
          <w:b/>
          <w:bCs/>
          <w:i/>
          <w:iCs/>
          <w:color w:val="000000" w:themeColor="text1"/>
        </w:rPr>
        <w:t>38</w:t>
      </w:r>
      <w:r w:rsidR="003961EE">
        <w:rPr>
          <w:b/>
          <w:bCs/>
          <w:i/>
          <w:iCs/>
          <w:color w:val="000000" w:themeColor="text1"/>
        </w:rPr>
        <w:t xml:space="preserve"> and </w:t>
      </w:r>
      <w:r w:rsidR="006942BA">
        <w:rPr>
          <w:b/>
          <w:bCs/>
          <w:i/>
          <w:iCs/>
          <w:color w:val="000000" w:themeColor="text1"/>
        </w:rPr>
        <w:t>40</w:t>
      </w:r>
      <w:r>
        <w:rPr>
          <w:b/>
          <w:bCs/>
          <w:i/>
          <w:iCs/>
          <w:color w:val="000000" w:themeColor="text1"/>
        </w:rPr>
        <w:t xml:space="preserve"> </w:t>
      </w:r>
      <w:r w:rsidRPr="00BC363F">
        <w:rPr>
          <w:b/>
          <w:bCs/>
          <w:i/>
          <w:iCs/>
          <w:color w:val="000000" w:themeColor="text1"/>
        </w:rPr>
        <w:t xml:space="preserve">– </w:t>
      </w:r>
      <w:r>
        <w:rPr>
          <w:b/>
          <w:bCs/>
          <w:i/>
          <w:iCs/>
          <w:color w:val="000000" w:themeColor="text1"/>
        </w:rPr>
        <w:t>Meaning of index</w:t>
      </w:r>
    </w:p>
    <w:p w14:paraId="573B895D" w14:textId="77777777" w:rsidR="00620D70" w:rsidRPr="00BC363F" w:rsidRDefault="00620D70" w:rsidP="00620D70">
      <w:pPr>
        <w:spacing w:before="0" w:after="0"/>
        <w:rPr>
          <w:b/>
          <w:bCs/>
          <w:i/>
          <w:iCs/>
          <w:color w:val="000000" w:themeColor="text1"/>
        </w:rPr>
      </w:pPr>
    </w:p>
    <w:p w14:paraId="361B4203" w14:textId="53F1DC7B" w:rsidR="00620D70" w:rsidRDefault="00620D70" w:rsidP="00620D70">
      <w:pPr>
        <w:spacing w:before="0" w:after="0"/>
        <w:rPr>
          <w:color w:val="000000" w:themeColor="text1"/>
        </w:rPr>
      </w:pPr>
      <w:r>
        <w:rPr>
          <w:color w:val="000000" w:themeColor="text1"/>
        </w:rPr>
        <w:t xml:space="preserve">Under the Principal </w:t>
      </w:r>
      <w:r w:rsidR="009034FB">
        <w:rPr>
          <w:color w:val="000000" w:themeColor="text1"/>
        </w:rPr>
        <w:t>R</w:t>
      </w:r>
      <w:r>
        <w:rPr>
          <w:color w:val="000000" w:themeColor="text1"/>
        </w:rPr>
        <w:t xml:space="preserve">egulations the calculation for </w:t>
      </w:r>
      <w:r>
        <w:rPr>
          <w:b/>
          <w:bCs/>
          <w:i/>
          <w:iCs/>
          <w:color w:val="000000" w:themeColor="text1"/>
        </w:rPr>
        <w:t>index</w:t>
      </w:r>
      <w:r>
        <w:rPr>
          <w:color w:val="000000" w:themeColor="text1"/>
        </w:rPr>
        <w:t xml:space="preserve"> was set out separately throughout Division 9AB. The amendments place the rules for calculating </w:t>
      </w:r>
      <w:r>
        <w:rPr>
          <w:b/>
          <w:bCs/>
          <w:i/>
          <w:iCs/>
          <w:color w:val="000000" w:themeColor="text1"/>
        </w:rPr>
        <w:t>index</w:t>
      </w:r>
      <w:r>
        <w:rPr>
          <w:color w:val="000000" w:themeColor="text1"/>
        </w:rPr>
        <w:t xml:space="preserve"> under a new regulation 9AB.5A so that there is a single definition of the term for Part 6A. </w:t>
      </w:r>
    </w:p>
    <w:p w14:paraId="360CCF87" w14:textId="77777777" w:rsidR="00E97DD4" w:rsidRDefault="00E97DD4" w:rsidP="00620D70">
      <w:pPr>
        <w:spacing w:before="0" w:after="0"/>
        <w:rPr>
          <w:color w:val="000000" w:themeColor="text1"/>
        </w:rPr>
      </w:pPr>
    </w:p>
    <w:p w14:paraId="4EC04C19" w14:textId="322568F3" w:rsidR="00620D70" w:rsidRPr="00456141" w:rsidRDefault="00620D70" w:rsidP="00620D70">
      <w:pPr>
        <w:spacing w:before="0" w:after="0"/>
        <w:rPr>
          <w:b/>
          <w:bCs/>
          <w:i/>
          <w:iCs/>
          <w:color w:val="000000" w:themeColor="text1"/>
        </w:rPr>
      </w:pPr>
      <w:r w:rsidRPr="00456141">
        <w:rPr>
          <w:b/>
          <w:bCs/>
          <w:i/>
          <w:iCs/>
          <w:color w:val="000000" w:themeColor="text1"/>
        </w:rPr>
        <w:t xml:space="preserve">Items 1, </w:t>
      </w:r>
      <w:r w:rsidR="008A2D02">
        <w:rPr>
          <w:b/>
          <w:bCs/>
          <w:i/>
          <w:iCs/>
          <w:color w:val="000000" w:themeColor="text1"/>
        </w:rPr>
        <w:t>5</w:t>
      </w:r>
      <w:r w:rsidRPr="00456141">
        <w:rPr>
          <w:b/>
          <w:bCs/>
          <w:i/>
          <w:iCs/>
          <w:color w:val="000000" w:themeColor="text1"/>
        </w:rPr>
        <w:t xml:space="preserve">, </w:t>
      </w:r>
      <w:r w:rsidR="0042317A">
        <w:rPr>
          <w:b/>
          <w:bCs/>
          <w:i/>
          <w:iCs/>
          <w:color w:val="000000" w:themeColor="text1"/>
        </w:rPr>
        <w:t>19</w:t>
      </w:r>
      <w:r w:rsidR="0006422E">
        <w:rPr>
          <w:b/>
          <w:bCs/>
          <w:i/>
          <w:iCs/>
          <w:color w:val="000000" w:themeColor="text1"/>
        </w:rPr>
        <w:t xml:space="preserve">, </w:t>
      </w:r>
      <w:r w:rsidR="00BB3C64">
        <w:rPr>
          <w:b/>
          <w:bCs/>
          <w:i/>
          <w:iCs/>
          <w:color w:val="000000" w:themeColor="text1"/>
        </w:rPr>
        <w:t>47</w:t>
      </w:r>
      <w:r w:rsidRPr="00456141">
        <w:rPr>
          <w:b/>
          <w:bCs/>
          <w:i/>
          <w:iCs/>
          <w:color w:val="000000" w:themeColor="text1"/>
        </w:rPr>
        <w:t xml:space="preserve"> and </w:t>
      </w:r>
      <w:r w:rsidR="00BB3C64">
        <w:rPr>
          <w:b/>
          <w:bCs/>
          <w:i/>
          <w:iCs/>
          <w:color w:val="000000" w:themeColor="text1"/>
        </w:rPr>
        <w:t>48</w:t>
      </w:r>
      <w:r w:rsidRPr="00456141">
        <w:rPr>
          <w:b/>
          <w:bCs/>
          <w:i/>
          <w:iCs/>
          <w:color w:val="000000" w:themeColor="text1"/>
        </w:rPr>
        <w:t xml:space="preserve"> – Alternative asset class</w:t>
      </w:r>
    </w:p>
    <w:p w14:paraId="42344136" w14:textId="77777777" w:rsidR="00620D70" w:rsidRDefault="00620D70" w:rsidP="00620D70">
      <w:pPr>
        <w:spacing w:before="0" w:after="0"/>
        <w:rPr>
          <w:b/>
          <w:bCs/>
          <w:i/>
          <w:iCs/>
          <w:color w:val="000000" w:themeColor="text1"/>
        </w:rPr>
      </w:pPr>
    </w:p>
    <w:p w14:paraId="69B67E32" w14:textId="06C9BEC1" w:rsidR="00620D70" w:rsidRDefault="00620D70" w:rsidP="00620D70">
      <w:pPr>
        <w:spacing w:before="0" w:after="0"/>
        <w:rPr>
          <w:rFonts w:eastAsia="Calibri"/>
          <w:szCs w:val="24"/>
        </w:rPr>
      </w:pPr>
      <w:r>
        <w:rPr>
          <w:rFonts w:eastAsia="Calibri"/>
          <w:szCs w:val="24"/>
        </w:rPr>
        <w:t xml:space="preserve">Item </w:t>
      </w:r>
      <w:r w:rsidR="00D76671">
        <w:rPr>
          <w:rFonts w:eastAsia="Calibri"/>
          <w:szCs w:val="24"/>
        </w:rPr>
        <w:t>47</w:t>
      </w:r>
      <w:r>
        <w:rPr>
          <w:rFonts w:eastAsia="Calibri"/>
          <w:szCs w:val="24"/>
        </w:rPr>
        <w:t xml:space="preserve"> </w:t>
      </w:r>
      <w:r w:rsidR="00D93320">
        <w:rPr>
          <w:rFonts w:eastAsia="Calibri"/>
          <w:szCs w:val="24"/>
        </w:rPr>
        <w:t>amends</w:t>
      </w:r>
      <w:r>
        <w:rPr>
          <w:rFonts w:eastAsia="Calibri"/>
          <w:szCs w:val="24"/>
        </w:rPr>
        <w:t xml:space="preserve"> the description of the covered asset class ‘Other/Commodities’ to ‘Alternatives’ to reflect the description of the covered asset class as it appears in the updated APRA reporting standard for asset allocation. Consequential amendments are </w:t>
      </w:r>
      <w:r>
        <w:rPr>
          <w:rFonts w:eastAsia="Calibri"/>
          <w:szCs w:val="24"/>
        </w:rPr>
        <w:lastRenderedPageBreak/>
        <w:t>made to correct references to this covered asset class description throughout Division 9AB.</w:t>
      </w:r>
    </w:p>
    <w:p w14:paraId="19142C3E" w14:textId="77777777" w:rsidR="00620D70" w:rsidRDefault="00620D70" w:rsidP="00620D70">
      <w:pPr>
        <w:spacing w:before="0" w:after="0"/>
        <w:rPr>
          <w:rFonts w:eastAsia="Calibri"/>
          <w:szCs w:val="24"/>
        </w:rPr>
      </w:pPr>
    </w:p>
    <w:p w14:paraId="35F20577" w14:textId="374D7022" w:rsidR="00620D70" w:rsidRDefault="005B02AB" w:rsidP="00620D70">
      <w:pPr>
        <w:spacing w:before="0" w:after="0"/>
      </w:pPr>
      <w:r>
        <w:rPr>
          <w:rFonts w:eastAsia="Calibri"/>
          <w:szCs w:val="24"/>
        </w:rPr>
        <w:t xml:space="preserve">Items </w:t>
      </w:r>
      <w:r w:rsidR="00CD0934">
        <w:rPr>
          <w:rFonts w:eastAsia="Calibri"/>
          <w:szCs w:val="24"/>
        </w:rPr>
        <w:t>19</w:t>
      </w:r>
      <w:r w:rsidR="002A4D34">
        <w:rPr>
          <w:rFonts w:eastAsia="Calibri"/>
          <w:szCs w:val="24"/>
        </w:rPr>
        <w:t xml:space="preserve"> and </w:t>
      </w:r>
      <w:r w:rsidR="00D76671">
        <w:rPr>
          <w:rFonts w:eastAsia="Calibri"/>
          <w:szCs w:val="24"/>
        </w:rPr>
        <w:t>48</w:t>
      </w:r>
      <w:r w:rsidR="00620D70">
        <w:rPr>
          <w:rFonts w:eastAsia="Calibri"/>
          <w:szCs w:val="24"/>
        </w:rPr>
        <w:t xml:space="preserve"> clarify the treatment of index assumptions for the Alternatives asset class. T</w:t>
      </w:r>
      <w:r w:rsidR="00620D70">
        <w:t xml:space="preserve">he amendments allow the consideration of data about the Alternatives covered asset class that can now be reported to APRA in an aggregated or disaggregated form, that is, reported as Growth Alternatives and Defensive Alternatives. </w:t>
      </w:r>
    </w:p>
    <w:p w14:paraId="20C86FE3" w14:textId="77777777" w:rsidR="00620D70" w:rsidRPr="00D91C7C" w:rsidRDefault="00620D70" w:rsidP="00620D70">
      <w:pPr>
        <w:spacing w:before="0" w:after="0"/>
        <w:rPr>
          <w:color w:val="000000" w:themeColor="text1"/>
        </w:rPr>
      </w:pPr>
    </w:p>
    <w:p w14:paraId="44792025" w14:textId="52DB4681" w:rsidR="00620D70" w:rsidRDefault="002A4D34" w:rsidP="00620D70">
      <w:pPr>
        <w:spacing w:before="0" w:after="0"/>
        <w:rPr>
          <w:rFonts w:eastAsia="Calibri"/>
          <w:szCs w:val="24"/>
        </w:rPr>
      </w:pPr>
      <w:r>
        <w:rPr>
          <w:rFonts w:eastAsia="Calibri"/>
          <w:szCs w:val="24"/>
        </w:rPr>
        <w:t xml:space="preserve">Item </w:t>
      </w:r>
      <w:r w:rsidR="00CD0934">
        <w:rPr>
          <w:rFonts w:eastAsia="Calibri"/>
          <w:szCs w:val="24"/>
        </w:rPr>
        <w:t>19</w:t>
      </w:r>
      <w:r w:rsidR="00620D70">
        <w:rPr>
          <w:rFonts w:eastAsia="Calibri"/>
          <w:szCs w:val="24"/>
        </w:rPr>
        <w:t xml:space="preserve"> also set out that for the Alternatives asset class, </w:t>
      </w:r>
      <w:r w:rsidR="00620D70" w:rsidRPr="000F55AE">
        <w:rPr>
          <w:rFonts w:eastAsia="Calibri"/>
          <w:szCs w:val="24"/>
        </w:rPr>
        <w:t xml:space="preserve">the index returns </w:t>
      </w:r>
      <w:r w:rsidR="00620D70">
        <w:rPr>
          <w:rFonts w:eastAsia="Calibri"/>
          <w:szCs w:val="24"/>
        </w:rPr>
        <w:t xml:space="preserve">for the underlying asset class are first </w:t>
      </w:r>
      <w:r w:rsidR="00620D70" w:rsidRPr="000F55AE">
        <w:rPr>
          <w:rFonts w:eastAsia="Calibri"/>
          <w:szCs w:val="24"/>
        </w:rPr>
        <w:t>adjusted for fees and taxes using their corresponding fee and tax assumption</w:t>
      </w:r>
      <w:r w:rsidR="00620D70">
        <w:rPr>
          <w:rFonts w:eastAsia="Calibri"/>
          <w:szCs w:val="24"/>
        </w:rPr>
        <w:t xml:space="preserve"> and subsequently</w:t>
      </w:r>
      <w:r w:rsidR="00620D70" w:rsidRPr="000F55AE">
        <w:rPr>
          <w:rFonts w:eastAsia="Calibri"/>
          <w:szCs w:val="24"/>
        </w:rPr>
        <w:t xml:space="preserve"> have a weighting applied.</w:t>
      </w:r>
      <w:r w:rsidR="00620D70" w:rsidRPr="000F55AE">
        <w:t xml:space="preserve"> </w:t>
      </w:r>
      <w:r w:rsidR="00620D70">
        <w:t xml:space="preserve">This </w:t>
      </w:r>
      <w:r w:rsidR="00620D70" w:rsidRPr="000F55AE">
        <w:rPr>
          <w:rFonts w:eastAsia="Calibri"/>
          <w:szCs w:val="24"/>
        </w:rPr>
        <w:t>provide</w:t>
      </w:r>
      <w:r w:rsidR="00620D70">
        <w:rPr>
          <w:rFonts w:eastAsia="Calibri"/>
          <w:szCs w:val="24"/>
        </w:rPr>
        <w:t>s</w:t>
      </w:r>
      <w:r w:rsidR="00620D70" w:rsidRPr="000F55AE">
        <w:rPr>
          <w:rFonts w:eastAsia="Calibri"/>
          <w:szCs w:val="24"/>
        </w:rPr>
        <w:t xml:space="preserve"> for a more consistent calculation of the benchmark return for the Alternatives covered asset class by ensuring each assumed component is adjusted based on their relevant fee and tax assumption before aggregating</w:t>
      </w:r>
      <w:r w:rsidR="00620D70">
        <w:rPr>
          <w:rFonts w:eastAsia="Calibri"/>
          <w:szCs w:val="24"/>
        </w:rPr>
        <w:t xml:space="preserve">. </w:t>
      </w:r>
    </w:p>
    <w:p w14:paraId="75D30C9F" w14:textId="77777777" w:rsidR="00620D70" w:rsidRDefault="00620D70" w:rsidP="00620D70">
      <w:pPr>
        <w:spacing w:before="0" w:after="0"/>
        <w:rPr>
          <w:rFonts w:eastAsia="Calibri"/>
          <w:szCs w:val="24"/>
        </w:rPr>
      </w:pPr>
    </w:p>
    <w:p w14:paraId="3C982028" w14:textId="1E631221" w:rsidR="00620D70" w:rsidRDefault="00D941CA" w:rsidP="00620D70">
      <w:pPr>
        <w:spacing w:before="0" w:after="0"/>
        <w:rPr>
          <w:rFonts w:eastAsia="Calibri"/>
          <w:szCs w:val="24"/>
        </w:rPr>
      </w:pPr>
      <w:r>
        <w:rPr>
          <w:rFonts w:eastAsia="Calibri"/>
          <w:szCs w:val="24"/>
        </w:rPr>
        <w:t xml:space="preserve">Item </w:t>
      </w:r>
      <w:r w:rsidR="00D76671">
        <w:rPr>
          <w:rFonts w:eastAsia="Calibri"/>
          <w:szCs w:val="24"/>
        </w:rPr>
        <w:t>48</w:t>
      </w:r>
      <w:r>
        <w:rPr>
          <w:rFonts w:eastAsia="Calibri"/>
          <w:szCs w:val="24"/>
        </w:rPr>
        <w:t xml:space="preserve"> includes </w:t>
      </w:r>
      <w:r w:rsidR="00440F6D">
        <w:rPr>
          <w:rFonts w:eastAsia="Calibri"/>
          <w:szCs w:val="24"/>
        </w:rPr>
        <w:t>a</w:t>
      </w:r>
      <w:r w:rsidR="00620D70">
        <w:rPr>
          <w:rFonts w:eastAsia="Calibri"/>
          <w:szCs w:val="24"/>
        </w:rPr>
        <w:t xml:space="preserve"> consequential change to </w:t>
      </w:r>
      <w:r w:rsidR="00D76671">
        <w:rPr>
          <w:rFonts w:eastAsia="Calibri"/>
          <w:szCs w:val="24"/>
        </w:rPr>
        <w:t xml:space="preserve">table </w:t>
      </w:r>
      <w:r w:rsidR="00620D70">
        <w:rPr>
          <w:rFonts w:eastAsia="Calibri"/>
          <w:szCs w:val="24"/>
        </w:rPr>
        <w:t>item 24 in t</w:t>
      </w:r>
      <w:r w:rsidR="00620D70">
        <w:t xml:space="preserve">he table of covered asset classes </w:t>
      </w:r>
      <w:r w:rsidR="00620D70">
        <w:rPr>
          <w:rFonts w:eastAsia="Calibri"/>
          <w:szCs w:val="24"/>
        </w:rPr>
        <w:t xml:space="preserve">under 9AB.17(7) of the Principal </w:t>
      </w:r>
      <w:r w:rsidR="00620D70" w:rsidRPr="006F0569">
        <w:rPr>
          <w:rFonts w:eastAsia="Calibri"/>
          <w:szCs w:val="24"/>
        </w:rPr>
        <w:t>Regulations</w:t>
      </w:r>
      <w:r w:rsidR="00620D70">
        <w:t xml:space="preserve"> to reflect that after the adjustments in subregulations 9AB.13(7) and 9AB.14(7), the relevant assumed annual fee for the Alternatives asset class is 0% and the relevant assumed rate of tax for the Alternatives asset class is 0%. Table items 25 and 26 now reflect the disaggregated asset classes, Growth Alternatives and Defensive Alternatives.</w:t>
      </w:r>
    </w:p>
    <w:p w14:paraId="331663B1" w14:textId="77777777" w:rsidR="00620D70" w:rsidRDefault="00620D70" w:rsidP="00620D70">
      <w:pPr>
        <w:spacing w:before="0" w:after="0"/>
        <w:rPr>
          <w:rFonts w:eastAsia="Calibri"/>
          <w:szCs w:val="24"/>
        </w:rPr>
      </w:pPr>
    </w:p>
    <w:p w14:paraId="7CFB49E0" w14:textId="00083997" w:rsidR="00620D70" w:rsidRDefault="001A1832" w:rsidP="00620D70">
      <w:pPr>
        <w:spacing w:before="0" w:after="0"/>
      </w:pPr>
      <w:r>
        <w:t>Item</w:t>
      </w:r>
      <w:r w:rsidR="00E4297D">
        <w:t>s 1 and</w:t>
      </w:r>
      <w:r w:rsidR="00E97DD4">
        <w:t xml:space="preserve"> </w:t>
      </w:r>
      <w:r w:rsidR="00B90CC3">
        <w:t>5</w:t>
      </w:r>
      <w:r>
        <w:t xml:space="preserve"> </w:t>
      </w:r>
      <w:r w:rsidR="00620D70">
        <w:t xml:space="preserve">insert definitions of </w:t>
      </w:r>
      <w:r w:rsidR="00620D70" w:rsidRPr="00322123">
        <w:rPr>
          <w:b/>
          <w:bCs/>
          <w:i/>
          <w:iCs/>
        </w:rPr>
        <w:t xml:space="preserve">adjusted index, IEH percentage, IEU percentage and IFI percentage </w:t>
      </w:r>
      <w:r w:rsidR="00620D70">
        <w:t xml:space="preserve">as these are all new terms required for the updated rules about the calculation of index for the Alternatives asset class. </w:t>
      </w:r>
    </w:p>
    <w:p w14:paraId="4F4E08A4" w14:textId="77777777" w:rsidR="00620D70" w:rsidRDefault="00620D70" w:rsidP="00620D70">
      <w:pPr>
        <w:spacing w:before="0" w:after="0"/>
      </w:pPr>
    </w:p>
    <w:bookmarkEnd w:id="1"/>
    <w:p w14:paraId="398B5B89" w14:textId="7956FA63" w:rsidR="00390BDB" w:rsidRDefault="00390BDB" w:rsidP="00390BDB">
      <w:pPr>
        <w:spacing w:before="0" w:after="0"/>
        <w:rPr>
          <w:b/>
          <w:bCs/>
          <w:i/>
          <w:iCs/>
          <w:color w:val="000000" w:themeColor="text1"/>
        </w:rPr>
      </w:pPr>
      <w:r w:rsidRPr="00110CAD">
        <w:rPr>
          <w:b/>
          <w:bCs/>
          <w:i/>
          <w:iCs/>
          <w:color w:val="000000" w:themeColor="text1"/>
        </w:rPr>
        <w:t>Item</w:t>
      </w:r>
      <w:r w:rsidR="0076339C">
        <w:rPr>
          <w:b/>
          <w:bCs/>
          <w:i/>
          <w:iCs/>
          <w:color w:val="000000" w:themeColor="text1"/>
        </w:rPr>
        <w:t>s</w:t>
      </w:r>
      <w:r w:rsidRPr="00110CAD">
        <w:rPr>
          <w:b/>
          <w:bCs/>
          <w:i/>
          <w:iCs/>
          <w:color w:val="000000" w:themeColor="text1"/>
        </w:rPr>
        <w:t xml:space="preserve"> </w:t>
      </w:r>
      <w:r w:rsidR="00B90CC3">
        <w:rPr>
          <w:b/>
          <w:bCs/>
          <w:i/>
          <w:iCs/>
          <w:color w:val="000000" w:themeColor="text1"/>
        </w:rPr>
        <w:t>5</w:t>
      </w:r>
      <w:r w:rsidRPr="00110CAD">
        <w:rPr>
          <w:b/>
          <w:bCs/>
          <w:i/>
          <w:iCs/>
          <w:color w:val="000000" w:themeColor="text1"/>
        </w:rPr>
        <w:t xml:space="preserve">, </w:t>
      </w:r>
      <w:r w:rsidR="005F3BEC">
        <w:rPr>
          <w:b/>
          <w:bCs/>
          <w:i/>
          <w:iCs/>
          <w:color w:val="000000" w:themeColor="text1"/>
        </w:rPr>
        <w:t>23</w:t>
      </w:r>
      <w:r w:rsidR="001A0FA5" w:rsidRPr="00110CAD">
        <w:rPr>
          <w:b/>
          <w:bCs/>
          <w:i/>
          <w:iCs/>
          <w:color w:val="000000" w:themeColor="text1"/>
        </w:rPr>
        <w:t xml:space="preserve">, </w:t>
      </w:r>
      <w:r w:rsidR="005F3BEC">
        <w:rPr>
          <w:b/>
          <w:bCs/>
          <w:i/>
          <w:iCs/>
          <w:color w:val="000000" w:themeColor="text1"/>
        </w:rPr>
        <w:t>24</w:t>
      </w:r>
      <w:r w:rsidR="006812C0" w:rsidRPr="00110CAD">
        <w:rPr>
          <w:b/>
          <w:bCs/>
          <w:i/>
          <w:iCs/>
          <w:color w:val="000000" w:themeColor="text1"/>
        </w:rPr>
        <w:t xml:space="preserve">, </w:t>
      </w:r>
      <w:r w:rsidR="00F52441">
        <w:rPr>
          <w:b/>
          <w:bCs/>
          <w:i/>
          <w:iCs/>
          <w:color w:val="000000" w:themeColor="text1"/>
        </w:rPr>
        <w:t>26</w:t>
      </w:r>
      <w:r w:rsidR="001A0FA5" w:rsidRPr="00110CAD">
        <w:rPr>
          <w:b/>
          <w:bCs/>
          <w:i/>
          <w:iCs/>
          <w:color w:val="000000" w:themeColor="text1"/>
        </w:rPr>
        <w:t>,</w:t>
      </w:r>
      <w:r w:rsidR="006812C0" w:rsidRPr="00110CAD">
        <w:rPr>
          <w:b/>
          <w:bCs/>
          <w:i/>
          <w:iCs/>
          <w:color w:val="000000" w:themeColor="text1"/>
        </w:rPr>
        <w:t xml:space="preserve"> and </w:t>
      </w:r>
      <w:r w:rsidR="006523B7">
        <w:rPr>
          <w:b/>
          <w:bCs/>
          <w:i/>
          <w:iCs/>
          <w:color w:val="000000" w:themeColor="text1"/>
        </w:rPr>
        <w:t>27</w:t>
      </w:r>
      <w:r w:rsidRPr="00110CAD">
        <w:rPr>
          <w:b/>
          <w:bCs/>
          <w:i/>
          <w:iCs/>
          <w:color w:val="000000" w:themeColor="text1"/>
        </w:rPr>
        <w:t xml:space="preserve"> – Definition of </w:t>
      </w:r>
      <w:r w:rsidR="00B83450">
        <w:rPr>
          <w:b/>
          <w:bCs/>
          <w:i/>
          <w:iCs/>
          <w:color w:val="000000" w:themeColor="text1"/>
        </w:rPr>
        <w:t>‘</w:t>
      </w:r>
      <w:r w:rsidRPr="00110CAD">
        <w:rPr>
          <w:b/>
          <w:bCs/>
          <w:i/>
          <w:iCs/>
          <w:color w:val="000000" w:themeColor="text1"/>
        </w:rPr>
        <w:t>NIR</w:t>
      </w:r>
      <w:r w:rsidR="00B83450">
        <w:rPr>
          <w:b/>
          <w:bCs/>
          <w:i/>
          <w:iCs/>
          <w:color w:val="000000" w:themeColor="text1"/>
        </w:rPr>
        <w:t>’</w:t>
      </w:r>
    </w:p>
    <w:p w14:paraId="0DFA0E30" w14:textId="4CFF0614" w:rsidR="00390BDB" w:rsidRDefault="00390BDB" w:rsidP="00390BDB">
      <w:pPr>
        <w:spacing w:before="0" w:after="0"/>
        <w:rPr>
          <w:b/>
          <w:bCs/>
          <w:i/>
          <w:iCs/>
          <w:color w:val="000000" w:themeColor="text1"/>
        </w:rPr>
      </w:pPr>
    </w:p>
    <w:p w14:paraId="52F2F663" w14:textId="77777777" w:rsidR="006A3516" w:rsidRDefault="006A3516" w:rsidP="005C5DC6">
      <w:pPr>
        <w:spacing w:before="0" w:after="0"/>
        <w:rPr>
          <w:color w:val="000000" w:themeColor="text1"/>
        </w:rPr>
      </w:pPr>
      <w:r w:rsidRPr="006A3516">
        <w:rPr>
          <w:color w:val="000000" w:themeColor="text1"/>
        </w:rPr>
        <w:t>NIR is used to calculate the actual return part of the performance measure of a part 6A product. (9AB11 and 9AB12).</w:t>
      </w:r>
    </w:p>
    <w:p w14:paraId="16E33F69" w14:textId="77777777" w:rsidR="006A3516" w:rsidRDefault="006A3516" w:rsidP="005C5DC6">
      <w:pPr>
        <w:spacing w:before="0" w:after="0"/>
        <w:rPr>
          <w:color w:val="000000" w:themeColor="text1"/>
        </w:rPr>
      </w:pPr>
    </w:p>
    <w:p w14:paraId="670F1CC8" w14:textId="57D201F1" w:rsidR="005C5DC6" w:rsidRDefault="005C5DC6" w:rsidP="005C5DC6">
      <w:pPr>
        <w:spacing w:before="0" w:after="0"/>
        <w:rPr>
          <w:color w:val="000000" w:themeColor="text1"/>
        </w:rPr>
      </w:pPr>
      <w:r>
        <w:rPr>
          <w:color w:val="000000" w:themeColor="text1"/>
        </w:rPr>
        <w:t xml:space="preserve">Item </w:t>
      </w:r>
      <w:r w:rsidR="00B90CC3">
        <w:rPr>
          <w:color w:val="000000" w:themeColor="text1"/>
        </w:rPr>
        <w:t>5</w:t>
      </w:r>
      <w:r>
        <w:rPr>
          <w:color w:val="000000" w:themeColor="text1"/>
        </w:rPr>
        <w:t xml:space="preserve"> inserts a definition of ‘gross investment return net of fees’</w:t>
      </w:r>
      <w:r w:rsidR="00D97005">
        <w:rPr>
          <w:color w:val="000000" w:themeColor="text1"/>
        </w:rPr>
        <w:t>,</w:t>
      </w:r>
      <w:r>
        <w:rPr>
          <w:color w:val="000000" w:themeColor="text1"/>
        </w:rPr>
        <w:t xml:space="preserve"> which is a variable for the new definition of NIR. Under the applicable investment performance standard, trustees are able to report ‘net investment return’ or ‘gross investment return net of </w:t>
      </w:r>
      <w:proofErr w:type="gramStart"/>
      <w:r>
        <w:rPr>
          <w:color w:val="000000" w:themeColor="text1"/>
        </w:rPr>
        <w:t>fees’</w:t>
      </w:r>
      <w:proofErr w:type="gramEnd"/>
      <w:r>
        <w:rPr>
          <w:color w:val="000000" w:themeColor="text1"/>
        </w:rPr>
        <w:t>. ‘Net investment return’ is adjusted for tax whereas ‘gross investment return net of fees’ is not.</w:t>
      </w:r>
      <w:r w:rsidR="00832214">
        <w:rPr>
          <w:color w:val="000000" w:themeColor="text1"/>
        </w:rPr>
        <w:t xml:space="preserve"> Amendments are required to ensure an </w:t>
      </w:r>
      <w:r w:rsidR="00832214">
        <w:t xml:space="preserve">accurate and fair calculation of ‘NIR’ for both circumstances. </w:t>
      </w:r>
    </w:p>
    <w:p w14:paraId="07A24C7D" w14:textId="77777777" w:rsidR="005C5DC6" w:rsidRDefault="005C5DC6" w:rsidP="005C5DC6">
      <w:pPr>
        <w:spacing w:before="0" w:after="0"/>
        <w:rPr>
          <w:color w:val="000000" w:themeColor="text1"/>
        </w:rPr>
      </w:pPr>
    </w:p>
    <w:p w14:paraId="779FC16D" w14:textId="517AD5C5" w:rsidR="007350FE" w:rsidRDefault="00390BDB" w:rsidP="00390BDB">
      <w:pPr>
        <w:spacing w:before="0" w:after="0"/>
      </w:pPr>
      <w:r w:rsidRPr="00390BDB">
        <w:rPr>
          <w:color w:val="000000" w:themeColor="text1"/>
        </w:rPr>
        <w:t xml:space="preserve">Item </w:t>
      </w:r>
      <w:r w:rsidR="005F3BEC">
        <w:rPr>
          <w:color w:val="000000" w:themeColor="text1"/>
        </w:rPr>
        <w:t>23</w:t>
      </w:r>
      <w:r w:rsidRPr="00390BDB">
        <w:rPr>
          <w:color w:val="000000" w:themeColor="text1"/>
        </w:rPr>
        <w:t xml:space="preserve"> </w:t>
      </w:r>
      <w:r w:rsidR="00E46486">
        <w:rPr>
          <w:color w:val="000000" w:themeColor="text1"/>
        </w:rPr>
        <w:t xml:space="preserve">repeals the definition of the variable ‘NIR’ in the formula for the calculation for </w:t>
      </w:r>
      <w:r w:rsidR="00EE6104">
        <w:rPr>
          <w:color w:val="000000" w:themeColor="text1"/>
        </w:rPr>
        <w:t>‘</w:t>
      </w:r>
      <w:r w:rsidR="00E46486">
        <w:rPr>
          <w:color w:val="000000" w:themeColor="text1"/>
        </w:rPr>
        <w:t>actual return</w:t>
      </w:r>
      <w:r w:rsidR="00EE6104">
        <w:rPr>
          <w:color w:val="000000" w:themeColor="text1"/>
        </w:rPr>
        <w:t>’</w:t>
      </w:r>
      <w:r w:rsidR="00E46486">
        <w:rPr>
          <w:color w:val="000000" w:themeColor="text1"/>
        </w:rPr>
        <w:t xml:space="preserve"> for a standard Part 6A product</w:t>
      </w:r>
      <w:r w:rsidR="004452BA">
        <w:rPr>
          <w:color w:val="000000" w:themeColor="text1"/>
        </w:rPr>
        <w:t xml:space="preserve"> in subregulation 9AB.11(2) of the Principal </w:t>
      </w:r>
      <w:r w:rsidR="00757E17">
        <w:rPr>
          <w:color w:val="000000" w:themeColor="text1"/>
        </w:rPr>
        <w:t>Regulations and</w:t>
      </w:r>
      <w:r w:rsidR="00E46486">
        <w:rPr>
          <w:color w:val="000000" w:themeColor="text1"/>
        </w:rPr>
        <w:t xml:space="preserve"> substitutes a new definition. </w:t>
      </w:r>
      <w:r w:rsidR="001A0FA5">
        <w:t xml:space="preserve">Item </w:t>
      </w:r>
      <w:r w:rsidR="005F3BEC">
        <w:t>24</w:t>
      </w:r>
      <w:r w:rsidR="001A0FA5">
        <w:t xml:space="preserve"> </w:t>
      </w:r>
      <w:r w:rsidR="0030008B">
        <w:t>inserts subregulation</w:t>
      </w:r>
      <w:r w:rsidR="00D97005">
        <w:t> </w:t>
      </w:r>
      <w:r w:rsidR="0030008B">
        <w:t>9AB.11(3)</w:t>
      </w:r>
      <w:r w:rsidR="00D97005">
        <w:t>,</w:t>
      </w:r>
      <w:r w:rsidR="0030008B">
        <w:t xml:space="preserve"> which </w:t>
      </w:r>
      <w:r w:rsidR="001A0FA5">
        <w:t xml:space="preserve">specifies </w:t>
      </w:r>
      <w:r w:rsidR="00936525">
        <w:t>the</w:t>
      </w:r>
      <w:r w:rsidR="00AC23C1">
        <w:t xml:space="preserve"> </w:t>
      </w:r>
      <w:r w:rsidR="006812C0">
        <w:t xml:space="preserve">formula that </w:t>
      </w:r>
      <w:r w:rsidR="00AC23C1">
        <w:t>derives NIR by adjusting the ‘gross investment return net of fees’ with an allowance for tax</w:t>
      </w:r>
      <w:r w:rsidR="006812C0">
        <w:t>.</w:t>
      </w:r>
      <w:r w:rsidR="001A0FA5">
        <w:t xml:space="preserve"> </w:t>
      </w:r>
      <w:r w:rsidR="00CE60EA">
        <w:t xml:space="preserve">The tax assumption is designed to mirror the tax assumption applied to the benchmark portfolio. </w:t>
      </w:r>
    </w:p>
    <w:p w14:paraId="616725BA" w14:textId="4D1F2DB5" w:rsidR="004452BA" w:rsidRDefault="004452BA" w:rsidP="00390BDB">
      <w:pPr>
        <w:spacing w:before="0" w:after="0"/>
      </w:pPr>
    </w:p>
    <w:p w14:paraId="767C8F65" w14:textId="25386291" w:rsidR="002F42EA" w:rsidRDefault="006812C0" w:rsidP="002F42EA">
      <w:pPr>
        <w:spacing w:before="0" w:after="0"/>
        <w:rPr>
          <w:color w:val="000000" w:themeColor="text1"/>
        </w:rPr>
      </w:pPr>
      <w:r>
        <w:rPr>
          <w:color w:val="000000" w:themeColor="text1"/>
        </w:rPr>
        <w:t>S</w:t>
      </w:r>
      <w:r w:rsidR="002F42EA" w:rsidRPr="006812C0">
        <w:rPr>
          <w:color w:val="000000" w:themeColor="text1"/>
        </w:rPr>
        <w:t>imilar amendment</w:t>
      </w:r>
      <w:r>
        <w:rPr>
          <w:color w:val="000000" w:themeColor="text1"/>
        </w:rPr>
        <w:t>s</w:t>
      </w:r>
      <w:r w:rsidR="002F42EA" w:rsidRPr="006812C0">
        <w:rPr>
          <w:color w:val="000000" w:themeColor="text1"/>
        </w:rPr>
        <w:t xml:space="preserve"> </w:t>
      </w:r>
      <w:r>
        <w:rPr>
          <w:color w:val="000000" w:themeColor="text1"/>
        </w:rPr>
        <w:t>are</w:t>
      </w:r>
      <w:r w:rsidR="002F42EA" w:rsidRPr="006812C0">
        <w:rPr>
          <w:color w:val="000000" w:themeColor="text1"/>
        </w:rPr>
        <w:t xml:space="preserve"> made by </w:t>
      </w:r>
      <w:r w:rsidR="006523B7">
        <w:rPr>
          <w:color w:val="000000" w:themeColor="text1"/>
        </w:rPr>
        <w:t>i</w:t>
      </w:r>
      <w:r w:rsidR="002F42EA" w:rsidRPr="006812C0">
        <w:rPr>
          <w:color w:val="000000" w:themeColor="text1"/>
        </w:rPr>
        <w:t>tem</w:t>
      </w:r>
      <w:r>
        <w:rPr>
          <w:color w:val="000000" w:themeColor="text1"/>
        </w:rPr>
        <w:t>s</w:t>
      </w:r>
      <w:r w:rsidR="002F42EA" w:rsidRPr="006812C0">
        <w:rPr>
          <w:color w:val="000000" w:themeColor="text1"/>
        </w:rPr>
        <w:t xml:space="preserve"> </w:t>
      </w:r>
      <w:r w:rsidR="006523B7">
        <w:rPr>
          <w:color w:val="000000" w:themeColor="text1"/>
        </w:rPr>
        <w:t>26</w:t>
      </w:r>
      <w:r>
        <w:rPr>
          <w:color w:val="000000" w:themeColor="text1"/>
        </w:rPr>
        <w:t xml:space="preserve"> and </w:t>
      </w:r>
      <w:r w:rsidR="006523B7">
        <w:rPr>
          <w:color w:val="000000" w:themeColor="text1"/>
        </w:rPr>
        <w:t>27</w:t>
      </w:r>
      <w:r w:rsidR="002F42EA" w:rsidRPr="006812C0">
        <w:rPr>
          <w:color w:val="000000" w:themeColor="text1"/>
        </w:rPr>
        <w:t xml:space="preserve"> to provide for an accura</w:t>
      </w:r>
      <w:r w:rsidR="00D71585" w:rsidRPr="006812C0">
        <w:rPr>
          <w:color w:val="000000" w:themeColor="text1"/>
        </w:rPr>
        <w:t xml:space="preserve">te and fair calculation </w:t>
      </w:r>
      <w:r w:rsidR="002F42EA" w:rsidRPr="006812C0">
        <w:rPr>
          <w:color w:val="000000" w:themeColor="text1"/>
        </w:rPr>
        <w:t>of</w:t>
      </w:r>
      <w:r w:rsidR="002F42EA" w:rsidRPr="00634EEA">
        <w:rPr>
          <w:color w:val="000000" w:themeColor="text1"/>
        </w:rPr>
        <w:t xml:space="preserve"> NIR for the formula for actual return for </w:t>
      </w:r>
      <w:r w:rsidR="002F42EA" w:rsidRPr="006812C0">
        <w:rPr>
          <w:color w:val="000000" w:themeColor="text1"/>
        </w:rPr>
        <w:t>lifecycle</w:t>
      </w:r>
      <w:r w:rsidR="002F42EA" w:rsidRPr="00634EEA">
        <w:rPr>
          <w:color w:val="000000" w:themeColor="text1"/>
        </w:rPr>
        <w:t xml:space="preserve"> Part 6A products</w:t>
      </w:r>
      <w:r w:rsidR="00D2214F">
        <w:rPr>
          <w:color w:val="000000" w:themeColor="text1"/>
        </w:rPr>
        <w:t xml:space="preserve"> in </w:t>
      </w:r>
      <w:r w:rsidR="00D40E22">
        <w:rPr>
          <w:color w:val="000000" w:themeColor="text1"/>
        </w:rPr>
        <w:t>sub</w:t>
      </w:r>
      <w:r w:rsidR="00D2214F">
        <w:rPr>
          <w:color w:val="000000" w:themeColor="text1"/>
        </w:rPr>
        <w:t>regulation 9AB.12(2</w:t>
      </w:r>
      <w:r w:rsidR="00110CAD">
        <w:rPr>
          <w:color w:val="000000" w:themeColor="text1"/>
        </w:rPr>
        <w:t>)</w:t>
      </w:r>
      <w:r w:rsidR="00D2214F">
        <w:rPr>
          <w:color w:val="000000" w:themeColor="text1"/>
        </w:rPr>
        <w:t xml:space="preserve"> of the Principal Regulations</w:t>
      </w:r>
      <w:r w:rsidR="002F42EA" w:rsidRPr="00634EEA">
        <w:rPr>
          <w:color w:val="000000" w:themeColor="text1"/>
        </w:rPr>
        <w:t>.</w:t>
      </w:r>
    </w:p>
    <w:p w14:paraId="717F2CCD" w14:textId="77777777" w:rsidR="00EE1704" w:rsidRDefault="00EE1704" w:rsidP="002F42EA">
      <w:pPr>
        <w:spacing w:before="0" w:after="0"/>
        <w:rPr>
          <w:color w:val="000000" w:themeColor="text1"/>
        </w:rPr>
      </w:pPr>
    </w:p>
    <w:p w14:paraId="764C0F4C" w14:textId="114FA2AE" w:rsidR="00EE1704" w:rsidRPr="003E59E0" w:rsidRDefault="00EE1704" w:rsidP="00EE1704">
      <w:pPr>
        <w:spacing w:before="0" w:after="0"/>
        <w:rPr>
          <w:b/>
          <w:bCs/>
          <w:i/>
          <w:iCs/>
          <w:color w:val="000000" w:themeColor="text1"/>
        </w:rPr>
      </w:pPr>
      <w:r w:rsidRPr="003E59E0">
        <w:rPr>
          <w:b/>
          <w:bCs/>
          <w:i/>
          <w:iCs/>
          <w:color w:val="000000" w:themeColor="text1"/>
        </w:rPr>
        <w:lastRenderedPageBreak/>
        <w:t xml:space="preserve">Items </w:t>
      </w:r>
      <w:r w:rsidR="005F3BEC">
        <w:rPr>
          <w:b/>
          <w:bCs/>
          <w:i/>
          <w:iCs/>
          <w:color w:val="000000" w:themeColor="text1"/>
        </w:rPr>
        <w:t>24</w:t>
      </w:r>
      <w:r w:rsidRPr="003E59E0">
        <w:rPr>
          <w:b/>
          <w:bCs/>
          <w:i/>
          <w:iCs/>
          <w:color w:val="000000" w:themeColor="text1"/>
        </w:rPr>
        <w:t xml:space="preserve"> and </w:t>
      </w:r>
      <w:r w:rsidR="006523B7">
        <w:rPr>
          <w:b/>
          <w:bCs/>
          <w:i/>
          <w:iCs/>
          <w:color w:val="000000" w:themeColor="text1"/>
        </w:rPr>
        <w:t>27</w:t>
      </w:r>
      <w:r w:rsidRPr="003E59E0">
        <w:rPr>
          <w:b/>
          <w:bCs/>
          <w:i/>
          <w:iCs/>
          <w:color w:val="000000" w:themeColor="text1"/>
        </w:rPr>
        <w:t xml:space="preserve"> – Calculation of ‘actual return’ where a trustee-directed product has 2 or more net investment returns</w:t>
      </w:r>
    </w:p>
    <w:p w14:paraId="5EF3BFA8" w14:textId="77777777" w:rsidR="00EE1704" w:rsidRDefault="00EE1704" w:rsidP="00EE1704">
      <w:pPr>
        <w:spacing w:before="0" w:after="0"/>
        <w:rPr>
          <w:color w:val="000000" w:themeColor="text1"/>
        </w:rPr>
      </w:pPr>
    </w:p>
    <w:p w14:paraId="2F56CBE7" w14:textId="615C1960" w:rsidR="00DE07A9" w:rsidRDefault="00EE1704" w:rsidP="002F42EA">
      <w:pPr>
        <w:spacing w:before="0" w:after="0"/>
        <w:rPr>
          <w:color w:val="000000" w:themeColor="text1"/>
        </w:rPr>
      </w:pPr>
      <w:r>
        <w:rPr>
          <w:color w:val="000000" w:themeColor="text1"/>
        </w:rPr>
        <w:t xml:space="preserve">Item </w:t>
      </w:r>
      <w:r w:rsidR="005F3BEC">
        <w:rPr>
          <w:color w:val="000000" w:themeColor="text1"/>
        </w:rPr>
        <w:t>24</w:t>
      </w:r>
      <w:r>
        <w:rPr>
          <w:color w:val="000000" w:themeColor="text1"/>
        </w:rPr>
        <w:t xml:space="preserve"> inserts subregulations 9AB.11(4) and (5) to provides rules for working out ‘actual return’ where a standard Part 6A product is a trustee-directed product that has </w:t>
      </w:r>
      <w:r w:rsidR="00DE07A9">
        <w:rPr>
          <w:color w:val="000000" w:themeColor="text1"/>
        </w:rPr>
        <w:t>two</w:t>
      </w:r>
      <w:r>
        <w:rPr>
          <w:color w:val="000000" w:themeColor="text1"/>
        </w:rPr>
        <w:t xml:space="preserve"> or more net investment returns in relation to at least one quarter in the lookback period. This can occur when the trustee-directed product has different net investment returns within an investment pathway or has multiple investment pathways. </w:t>
      </w:r>
    </w:p>
    <w:p w14:paraId="5CB88450" w14:textId="77777777" w:rsidR="00DE07A9" w:rsidRDefault="00DE07A9" w:rsidP="002F42EA">
      <w:pPr>
        <w:spacing w:before="0" w:after="0"/>
        <w:rPr>
          <w:color w:val="000000" w:themeColor="text1"/>
        </w:rPr>
      </w:pPr>
    </w:p>
    <w:p w14:paraId="4F635F5B" w14:textId="306DB771" w:rsidR="00EE1704" w:rsidRDefault="00EE1704" w:rsidP="002F42EA">
      <w:pPr>
        <w:spacing w:before="0" w:after="0"/>
        <w:rPr>
          <w:color w:val="000000" w:themeColor="text1"/>
        </w:rPr>
      </w:pPr>
      <w:r>
        <w:rPr>
          <w:color w:val="000000" w:themeColor="text1"/>
        </w:rPr>
        <w:t xml:space="preserve">The ‘actual return’ is found by first identifying the actual return for each investment pathway based on the standard fees and costs arrangement for each investment pathway. Next, the </w:t>
      </w:r>
      <w:r w:rsidRPr="0059451E">
        <w:rPr>
          <w:i/>
          <w:iCs/>
          <w:color w:val="000000" w:themeColor="text1"/>
        </w:rPr>
        <w:t>smallest</w:t>
      </w:r>
      <w:r>
        <w:rPr>
          <w:color w:val="000000" w:themeColor="text1"/>
        </w:rPr>
        <w:t xml:space="preserve"> of the actual returns across investment pathways is taken to be the ‘actual return’ for the Part 6A product.</w:t>
      </w:r>
      <w:r w:rsidR="002D6347">
        <w:rPr>
          <w:color w:val="000000" w:themeColor="text1"/>
        </w:rPr>
        <w:t xml:space="preserve"> Th</w:t>
      </w:r>
      <w:r w:rsidR="00DE07A9">
        <w:rPr>
          <w:color w:val="000000" w:themeColor="text1"/>
        </w:rPr>
        <w:t>e</w:t>
      </w:r>
      <w:r w:rsidR="002D6347">
        <w:rPr>
          <w:color w:val="000000" w:themeColor="text1"/>
        </w:rPr>
        <w:t xml:space="preserve"> investment pathway with the lowest </w:t>
      </w:r>
      <w:r w:rsidR="00153678">
        <w:rPr>
          <w:color w:val="000000" w:themeColor="text1"/>
        </w:rPr>
        <w:t>NIR</w:t>
      </w:r>
      <w:r w:rsidR="002D6347">
        <w:rPr>
          <w:color w:val="000000" w:themeColor="text1"/>
        </w:rPr>
        <w:t xml:space="preserve"> repres</w:t>
      </w:r>
      <w:r w:rsidR="00662312">
        <w:rPr>
          <w:color w:val="000000" w:themeColor="text1"/>
        </w:rPr>
        <w:t xml:space="preserve">ents the pathway that incurs the highest investment fees. This incentivises funds to reduce investment fees on their highest fee pathways. </w:t>
      </w:r>
      <w:r w:rsidR="001A008D">
        <w:rPr>
          <w:color w:val="000000" w:themeColor="text1"/>
        </w:rPr>
        <w:t>An asset</w:t>
      </w:r>
      <w:r w:rsidR="00680D22">
        <w:rPr>
          <w:color w:val="000000" w:themeColor="text1"/>
        </w:rPr>
        <w:noBreakHyphen/>
      </w:r>
      <w:r w:rsidR="001A008D">
        <w:rPr>
          <w:color w:val="000000" w:themeColor="text1"/>
        </w:rPr>
        <w:t xml:space="preserve">weighted approach as undertaken for RAFE is not possible due to data limitations. </w:t>
      </w:r>
      <w:r>
        <w:rPr>
          <w:color w:val="000000" w:themeColor="text1"/>
        </w:rPr>
        <w:t>S</w:t>
      </w:r>
      <w:r w:rsidRPr="006812C0">
        <w:rPr>
          <w:color w:val="000000" w:themeColor="text1"/>
        </w:rPr>
        <w:t>imilar amendment</w:t>
      </w:r>
      <w:r>
        <w:rPr>
          <w:color w:val="000000" w:themeColor="text1"/>
        </w:rPr>
        <w:t>s</w:t>
      </w:r>
      <w:r w:rsidRPr="006812C0">
        <w:rPr>
          <w:color w:val="000000" w:themeColor="text1"/>
        </w:rPr>
        <w:t xml:space="preserve"> </w:t>
      </w:r>
      <w:r>
        <w:rPr>
          <w:color w:val="000000" w:themeColor="text1"/>
        </w:rPr>
        <w:t>are</w:t>
      </w:r>
      <w:r w:rsidRPr="006812C0">
        <w:rPr>
          <w:color w:val="000000" w:themeColor="text1"/>
        </w:rPr>
        <w:t xml:space="preserve"> made by Item</w:t>
      </w:r>
      <w:r>
        <w:rPr>
          <w:color w:val="000000" w:themeColor="text1"/>
        </w:rPr>
        <w:t xml:space="preserve"> </w:t>
      </w:r>
      <w:r w:rsidR="006523B7">
        <w:rPr>
          <w:color w:val="000000" w:themeColor="text1"/>
        </w:rPr>
        <w:t>27</w:t>
      </w:r>
      <w:r w:rsidRPr="006812C0">
        <w:rPr>
          <w:color w:val="000000" w:themeColor="text1"/>
        </w:rPr>
        <w:t xml:space="preserve"> </w:t>
      </w:r>
      <w:r>
        <w:rPr>
          <w:color w:val="000000" w:themeColor="text1"/>
        </w:rPr>
        <w:t xml:space="preserve">to include the same rules for </w:t>
      </w:r>
      <w:r w:rsidRPr="006812C0">
        <w:rPr>
          <w:color w:val="000000" w:themeColor="text1"/>
        </w:rPr>
        <w:t>lifecycle</w:t>
      </w:r>
      <w:r w:rsidRPr="00634EEA">
        <w:rPr>
          <w:color w:val="000000" w:themeColor="text1"/>
        </w:rPr>
        <w:t xml:space="preserve"> Part</w:t>
      </w:r>
      <w:r w:rsidR="00680D22">
        <w:rPr>
          <w:color w:val="000000" w:themeColor="text1"/>
        </w:rPr>
        <w:t> </w:t>
      </w:r>
      <w:r w:rsidRPr="00634EEA">
        <w:rPr>
          <w:color w:val="000000" w:themeColor="text1"/>
        </w:rPr>
        <w:t>6A products</w:t>
      </w:r>
      <w:r>
        <w:rPr>
          <w:color w:val="000000" w:themeColor="text1"/>
        </w:rPr>
        <w:t>.</w:t>
      </w:r>
    </w:p>
    <w:p w14:paraId="367A8176" w14:textId="77777777" w:rsidR="00462899" w:rsidRDefault="00462899" w:rsidP="002F42EA">
      <w:pPr>
        <w:spacing w:before="0" w:after="0"/>
        <w:rPr>
          <w:color w:val="000000" w:themeColor="text1"/>
        </w:rPr>
      </w:pPr>
    </w:p>
    <w:p w14:paraId="02A9D558" w14:textId="789E84D2" w:rsidR="00CA3AF3" w:rsidRDefault="00CA3AF3" w:rsidP="00CA3AF3">
      <w:pPr>
        <w:spacing w:before="0" w:after="0"/>
        <w:rPr>
          <w:b/>
          <w:bCs/>
          <w:i/>
          <w:iCs/>
          <w:color w:val="000000" w:themeColor="text1"/>
        </w:rPr>
      </w:pPr>
      <w:r>
        <w:rPr>
          <w:b/>
          <w:bCs/>
          <w:i/>
          <w:iCs/>
          <w:color w:val="000000" w:themeColor="text1"/>
        </w:rPr>
        <w:t xml:space="preserve">Items </w:t>
      </w:r>
      <w:r w:rsidR="00937954">
        <w:rPr>
          <w:b/>
          <w:bCs/>
          <w:i/>
          <w:iCs/>
          <w:color w:val="000000" w:themeColor="text1"/>
        </w:rPr>
        <w:t>2</w:t>
      </w:r>
      <w:r>
        <w:rPr>
          <w:b/>
          <w:bCs/>
          <w:i/>
          <w:iCs/>
          <w:color w:val="000000" w:themeColor="text1"/>
        </w:rPr>
        <w:t xml:space="preserve">, </w:t>
      </w:r>
      <w:r w:rsidR="00B90CC3">
        <w:rPr>
          <w:b/>
          <w:bCs/>
          <w:i/>
          <w:iCs/>
          <w:color w:val="000000" w:themeColor="text1"/>
        </w:rPr>
        <w:t>4</w:t>
      </w:r>
      <w:r>
        <w:rPr>
          <w:b/>
          <w:bCs/>
          <w:i/>
          <w:iCs/>
          <w:color w:val="000000" w:themeColor="text1"/>
        </w:rPr>
        <w:t xml:space="preserve">, </w:t>
      </w:r>
      <w:r w:rsidR="00D96FAE">
        <w:rPr>
          <w:b/>
          <w:bCs/>
          <w:i/>
          <w:iCs/>
          <w:color w:val="000000" w:themeColor="text1"/>
        </w:rPr>
        <w:t>6</w:t>
      </w:r>
      <w:r>
        <w:rPr>
          <w:b/>
          <w:bCs/>
          <w:i/>
          <w:iCs/>
          <w:color w:val="000000" w:themeColor="text1"/>
        </w:rPr>
        <w:t xml:space="preserve"> and 8 – Definitions of asset allocation standard, fees standard, investment performance standard, and RSE structure standard</w:t>
      </w:r>
    </w:p>
    <w:p w14:paraId="486A32E9" w14:textId="77777777" w:rsidR="00CA3AF3" w:rsidRDefault="00CA3AF3" w:rsidP="00CA3AF3">
      <w:pPr>
        <w:spacing w:before="0" w:after="0"/>
        <w:rPr>
          <w:color w:val="000000" w:themeColor="text1"/>
        </w:rPr>
      </w:pPr>
    </w:p>
    <w:p w14:paraId="27658F6A" w14:textId="08CE912A" w:rsidR="00A65738" w:rsidRDefault="00CA3AF3" w:rsidP="00CA3AF3">
      <w:pPr>
        <w:spacing w:before="0" w:after="0"/>
        <w:rPr>
          <w:color w:val="000000" w:themeColor="text1"/>
        </w:rPr>
      </w:pPr>
      <w:r>
        <w:rPr>
          <w:color w:val="000000" w:themeColor="text1"/>
        </w:rPr>
        <w:t xml:space="preserve">Items </w:t>
      </w:r>
      <w:r w:rsidR="00937954">
        <w:rPr>
          <w:color w:val="000000" w:themeColor="text1"/>
        </w:rPr>
        <w:t>2</w:t>
      </w:r>
      <w:r>
        <w:rPr>
          <w:color w:val="000000" w:themeColor="text1"/>
        </w:rPr>
        <w:t xml:space="preserve">, </w:t>
      </w:r>
      <w:r w:rsidR="00B90CC3">
        <w:rPr>
          <w:color w:val="000000" w:themeColor="text1"/>
        </w:rPr>
        <w:t>4</w:t>
      </w:r>
      <w:r>
        <w:rPr>
          <w:color w:val="000000" w:themeColor="text1"/>
        </w:rPr>
        <w:t xml:space="preserve">, and </w:t>
      </w:r>
      <w:r w:rsidR="00D96FAE">
        <w:rPr>
          <w:color w:val="000000" w:themeColor="text1"/>
        </w:rPr>
        <w:t>6</w:t>
      </w:r>
      <w:r>
        <w:rPr>
          <w:color w:val="000000" w:themeColor="text1"/>
        </w:rPr>
        <w:t xml:space="preserve"> repeal the definitions of ‘</w:t>
      </w:r>
      <w:r w:rsidRPr="000F6659">
        <w:rPr>
          <w:color w:val="000000" w:themeColor="text1"/>
        </w:rPr>
        <w:t>asset allocation standard</w:t>
      </w:r>
      <w:r>
        <w:rPr>
          <w:color w:val="000000" w:themeColor="text1"/>
        </w:rPr>
        <w:t>’</w:t>
      </w:r>
      <w:r w:rsidRPr="000F6659">
        <w:rPr>
          <w:color w:val="000000" w:themeColor="text1"/>
        </w:rPr>
        <w:t xml:space="preserve">, </w:t>
      </w:r>
      <w:r>
        <w:rPr>
          <w:color w:val="000000" w:themeColor="text1"/>
        </w:rPr>
        <w:t>‘</w:t>
      </w:r>
      <w:r w:rsidRPr="000F6659">
        <w:rPr>
          <w:color w:val="000000" w:themeColor="text1"/>
        </w:rPr>
        <w:t>fees standard</w:t>
      </w:r>
      <w:r>
        <w:rPr>
          <w:color w:val="000000" w:themeColor="text1"/>
        </w:rPr>
        <w:t>’</w:t>
      </w:r>
      <w:r w:rsidRPr="000F6659">
        <w:rPr>
          <w:color w:val="000000" w:themeColor="text1"/>
        </w:rPr>
        <w:t xml:space="preserve">, and </w:t>
      </w:r>
      <w:r>
        <w:rPr>
          <w:color w:val="000000" w:themeColor="text1"/>
        </w:rPr>
        <w:t>‘</w:t>
      </w:r>
      <w:r w:rsidRPr="000F6659">
        <w:rPr>
          <w:color w:val="000000" w:themeColor="text1"/>
        </w:rPr>
        <w:t>investment performance standard</w:t>
      </w:r>
      <w:r>
        <w:rPr>
          <w:color w:val="000000" w:themeColor="text1"/>
        </w:rPr>
        <w:t>’</w:t>
      </w:r>
      <w:r w:rsidRPr="000F6659">
        <w:rPr>
          <w:color w:val="000000" w:themeColor="text1"/>
        </w:rPr>
        <w:t xml:space="preserve"> </w:t>
      </w:r>
      <w:r>
        <w:rPr>
          <w:color w:val="000000" w:themeColor="text1"/>
        </w:rPr>
        <w:t xml:space="preserve">in regulation 9AB.1 of the Principal Regulations and substitute new definitions that incorporate new legislative instruments that were made in 2021. </w:t>
      </w:r>
    </w:p>
    <w:p w14:paraId="07F822F7" w14:textId="77777777" w:rsidR="00A65738" w:rsidRDefault="00A65738" w:rsidP="00CA3AF3">
      <w:pPr>
        <w:spacing w:before="0" w:after="0"/>
        <w:rPr>
          <w:color w:val="000000" w:themeColor="text1"/>
        </w:rPr>
      </w:pPr>
    </w:p>
    <w:p w14:paraId="2D2FF95A" w14:textId="220ADAA5" w:rsidR="00CA3AF3" w:rsidRDefault="00CA3AF3" w:rsidP="00CA3AF3">
      <w:pPr>
        <w:spacing w:before="0" w:after="0"/>
        <w:rPr>
          <w:color w:val="000000" w:themeColor="text1"/>
        </w:rPr>
      </w:pPr>
      <w:r>
        <w:rPr>
          <w:color w:val="000000" w:themeColor="text1"/>
        </w:rPr>
        <w:t>Item 8 inserts a definition of ‘RSE structure standard’ to incorporate another two reporting standards made in 2021 under which trustees report information relevant for the performance test. The amendments provide clarity for trustees that APRA is allowed to use information collected under the new APRA reporting standards which have been determined by:</w:t>
      </w:r>
    </w:p>
    <w:p w14:paraId="247DC0F9" w14:textId="77777777" w:rsidR="00CA3AF3" w:rsidRPr="00BC363F" w:rsidRDefault="00CA3AF3" w:rsidP="00CA3AF3">
      <w:pPr>
        <w:pStyle w:val="Bullet"/>
        <w:rPr>
          <w:i/>
          <w:iCs/>
        </w:rPr>
      </w:pPr>
      <w:r w:rsidRPr="00BC363F">
        <w:rPr>
          <w:i/>
          <w:iCs/>
        </w:rPr>
        <w:t xml:space="preserve">Financial Sector (Collection of Data) (reporting standard) determination No. 16 of </w:t>
      </w:r>
      <w:proofErr w:type="gramStart"/>
      <w:r w:rsidRPr="00BC363F">
        <w:rPr>
          <w:i/>
          <w:iCs/>
        </w:rPr>
        <w:t>2021;</w:t>
      </w:r>
      <w:proofErr w:type="gramEnd"/>
    </w:p>
    <w:p w14:paraId="0760CAAE" w14:textId="77777777" w:rsidR="00CA3AF3" w:rsidRPr="004D1632" w:rsidRDefault="00CA3AF3" w:rsidP="00CA3AF3">
      <w:pPr>
        <w:pStyle w:val="Bullet"/>
        <w:rPr>
          <w:i/>
          <w:iCs/>
        </w:rPr>
      </w:pPr>
      <w:r w:rsidRPr="00BC363F">
        <w:rPr>
          <w:i/>
          <w:iCs/>
        </w:rPr>
        <w:t xml:space="preserve">Financial Sector (Collection of Data) (reporting standard) determination No. </w:t>
      </w:r>
      <w:r>
        <w:rPr>
          <w:i/>
          <w:iCs/>
        </w:rPr>
        <w:t>17</w:t>
      </w:r>
      <w:r w:rsidRPr="00BC363F">
        <w:rPr>
          <w:i/>
          <w:iCs/>
        </w:rPr>
        <w:t xml:space="preserve"> of </w:t>
      </w:r>
      <w:proofErr w:type="gramStart"/>
      <w:r w:rsidRPr="00BC363F">
        <w:rPr>
          <w:i/>
          <w:iCs/>
        </w:rPr>
        <w:t>2021;</w:t>
      </w:r>
      <w:proofErr w:type="gramEnd"/>
    </w:p>
    <w:p w14:paraId="274C2DDC" w14:textId="77777777" w:rsidR="00CA3AF3" w:rsidRDefault="00CA3AF3" w:rsidP="00CA3AF3">
      <w:pPr>
        <w:pStyle w:val="Bullet"/>
        <w:rPr>
          <w:i/>
          <w:iCs/>
        </w:rPr>
      </w:pPr>
      <w:r w:rsidRPr="00BC363F">
        <w:rPr>
          <w:i/>
          <w:iCs/>
        </w:rPr>
        <w:t xml:space="preserve">Financial Sector (Collection of Data) (reporting standard) determination No. </w:t>
      </w:r>
      <w:r>
        <w:rPr>
          <w:i/>
          <w:iCs/>
        </w:rPr>
        <w:t>18</w:t>
      </w:r>
      <w:r w:rsidRPr="00BC363F">
        <w:rPr>
          <w:i/>
          <w:iCs/>
        </w:rPr>
        <w:t xml:space="preserve"> of </w:t>
      </w:r>
      <w:proofErr w:type="gramStart"/>
      <w:r w:rsidRPr="00BC363F">
        <w:rPr>
          <w:i/>
          <w:iCs/>
        </w:rPr>
        <w:t>2021</w:t>
      </w:r>
      <w:r>
        <w:rPr>
          <w:i/>
          <w:iCs/>
        </w:rPr>
        <w:t>;</w:t>
      </w:r>
      <w:proofErr w:type="gramEnd"/>
    </w:p>
    <w:p w14:paraId="308810B0" w14:textId="77777777" w:rsidR="00CA3AF3" w:rsidRPr="00BC363F" w:rsidRDefault="00CA3AF3" w:rsidP="00CA3AF3">
      <w:pPr>
        <w:pStyle w:val="Bullet"/>
        <w:rPr>
          <w:i/>
          <w:iCs/>
        </w:rPr>
      </w:pPr>
      <w:r w:rsidRPr="00BC363F">
        <w:rPr>
          <w:i/>
          <w:iCs/>
        </w:rPr>
        <w:t>Financial Sector (Collection of Data) (reporting standard) determination No. 20 of 2021; and</w:t>
      </w:r>
    </w:p>
    <w:p w14:paraId="6EF4F984" w14:textId="77777777" w:rsidR="00CA3AF3" w:rsidRDefault="00CA3AF3" w:rsidP="00CA3AF3">
      <w:pPr>
        <w:pStyle w:val="Bullet"/>
        <w:rPr>
          <w:i/>
          <w:iCs/>
        </w:rPr>
      </w:pPr>
      <w:r w:rsidRPr="00BC363F">
        <w:rPr>
          <w:i/>
          <w:iCs/>
        </w:rPr>
        <w:t>Financial Sector (Collection of Data) (reporting standard) determination No. 21 of 2021</w:t>
      </w:r>
      <w:r>
        <w:rPr>
          <w:i/>
          <w:iCs/>
        </w:rPr>
        <w:t>; and</w:t>
      </w:r>
    </w:p>
    <w:p w14:paraId="47152507" w14:textId="77777777" w:rsidR="00CA3AF3" w:rsidRPr="00BC363F" w:rsidRDefault="00CA3AF3" w:rsidP="00CA3AF3">
      <w:pPr>
        <w:pStyle w:val="Bullet"/>
        <w:rPr>
          <w:i/>
          <w:iCs/>
        </w:rPr>
      </w:pPr>
      <w:r w:rsidRPr="00BC363F">
        <w:rPr>
          <w:i/>
          <w:iCs/>
        </w:rPr>
        <w:t>Financial Sector (Collection of Data) (reporting standard) determination No. 22 of 2021</w:t>
      </w:r>
      <w:r>
        <w:rPr>
          <w:i/>
          <w:iCs/>
        </w:rPr>
        <w:t>.</w:t>
      </w:r>
    </w:p>
    <w:p w14:paraId="113A62ED" w14:textId="77777777" w:rsidR="00CA3AF3" w:rsidRDefault="00CA3AF3" w:rsidP="00CA3AF3">
      <w:pPr>
        <w:pStyle w:val="Bullet"/>
        <w:numPr>
          <w:ilvl w:val="0"/>
          <w:numId w:val="0"/>
        </w:numPr>
      </w:pPr>
      <w:r>
        <w:lastRenderedPageBreak/>
        <w:t>APRA may use information collected under these legislative instruments and analogous past and future instruments. The Regulations incorporate the above legislative instruments as in force at the commencement on the instrument, and analogous legislative instruments (</w:t>
      </w:r>
      <w:proofErr w:type="gramStart"/>
      <w:r>
        <w:t>whether or not</w:t>
      </w:r>
      <w:proofErr w:type="gramEnd"/>
      <w:r>
        <w:t xml:space="preserve"> the legislative instrument is in force). The incorporated instruments, past, </w:t>
      </w:r>
      <w:proofErr w:type="gramStart"/>
      <w:r>
        <w:t>present</w:t>
      </w:r>
      <w:proofErr w:type="gramEnd"/>
      <w:r>
        <w:t xml:space="preserve"> and future, are freely and publicly available or will be available on the Federal Register of Legislation. </w:t>
      </w:r>
    </w:p>
    <w:p w14:paraId="42D0C178" w14:textId="014A0DF2" w:rsidR="00462899" w:rsidRDefault="00462899" w:rsidP="00462899">
      <w:pPr>
        <w:spacing w:before="0" w:after="0"/>
        <w:rPr>
          <w:b/>
          <w:bCs/>
          <w:i/>
          <w:iCs/>
          <w:color w:val="000000" w:themeColor="text1"/>
        </w:rPr>
      </w:pPr>
      <w:r w:rsidRPr="00110CAD">
        <w:rPr>
          <w:b/>
          <w:bCs/>
          <w:i/>
          <w:iCs/>
          <w:color w:val="000000" w:themeColor="text1"/>
        </w:rPr>
        <w:t>Item</w:t>
      </w:r>
      <w:r w:rsidR="0076339C">
        <w:rPr>
          <w:b/>
          <w:bCs/>
          <w:i/>
          <w:iCs/>
          <w:color w:val="000000" w:themeColor="text1"/>
        </w:rPr>
        <w:t>s</w:t>
      </w:r>
      <w:r w:rsidRPr="00110CAD">
        <w:rPr>
          <w:b/>
          <w:bCs/>
          <w:i/>
          <w:iCs/>
          <w:color w:val="000000" w:themeColor="text1"/>
        </w:rPr>
        <w:t xml:space="preserve"> </w:t>
      </w:r>
      <w:r w:rsidR="00ED56F3">
        <w:rPr>
          <w:b/>
          <w:bCs/>
          <w:i/>
          <w:iCs/>
          <w:color w:val="000000" w:themeColor="text1"/>
        </w:rPr>
        <w:t>28</w:t>
      </w:r>
      <w:r w:rsidR="003F29A8">
        <w:rPr>
          <w:b/>
          <w:bCs/>
          <w:i/>
          <w:iCs/>
          <w:color w:val="000000" w:themeColor="text1"/>
        </w:rPr>
        <w:t xml:space="preserve"> to </w:t>
      </w:r>
      <w:r w:rsidR="009754B3">
        <w:rPr>
          <w:b/>
          <w:bCs/>
          <w:i/>
          <w:iCs/>
          <w:color w:val="000000" w:themeColor="text1"/>
        </w:rPr>
        <w:t>32</w:t>
      </w:r>
      <w:r w:rsidR="00B234C9">
        <w:rPr>
          <w:b/>
          <w:bCs/>
          <w:i/>
          <w:iCs/>
          <w:color w:val="000000" w:themeColor="text1"/>
        </w:rPr>
        <w:t xml:space="preserve">, and </w:t>
      </w:r>
      <w:r w:rsidR="006942BA">
        <w:rPr>
          <w:b/>
          <w:bCs/>
          <w:i/>
          <w:iCs/>
          <w:color w:val="000000" w:themeColor="text1"/>
        </w:rPr>
        <w:t>41</w:t>
      </w:r>
      <w:r w:rsidR="00F44DB3">
        <w:rPr>
          <w:b/>
          <w:bCs/>
          <w:i/>
          <w:iCs/>
          <w:color w:val="000000" w:themeColor="text1"/>
        </w:rPr>
        <w:t xml:space="preserve"> to </w:t>
      </w:r>
      <w:r w:rsidR="006942BA">
        <w:rPr>
          <w:b/>
          <w:bCs/>
          <w:i/>
          <w:iCs/>
          <w:color w:val="000000" w:themeColor="text1"/>
        </w:rPr>
        <w:t>45</w:t>
      </w:r>
      <w:r w:rsidRPr="00110CAD">
        <w:rPr>
          <w:b/>
          <w:bCs/>
          <w:i/>
          <w:iCs/>
          <w:color w:val="000000" w:themeColor="text1"/>
        </w:rPr>
        <w:t xml:space="preserve"> – </w:t>
      </w:r>
      <w:r w:rsidR="003F29A8">
        <w:rPr>
          <w:b/>
          <w:bCs/>
          <w:i/>
          <w:iCs/>
          <w:color w:val="000000" w:themeColor="text1"/>
        </w:rPr>
        <w:t>Intra-quarter data stitching</w:t>
      </w:r>
      <w:r w:rsidR="00F832DD">
        <w:rPr>
          <w:b/>
          <w:bCs/>
          <w:i/>
          <w:iCs/>
          <w:color w:val="000000" w:themeColor="text1"/>
        </w:rPr>
        <w:t xml:space="preserve"> APRA determination </w:t>
      </w:r>
    </w:p>
    <w:p w14:paraId="5D9AFEDF" w14:textId="77777777" w:rsidR="00462899" w:rsidRDefault="00462899" w:rsidP="00462899">
      <w:pPr>
        <w:spacing w:before="0" w:after="0"/>
        <w:rPr>
          <w:b/>
          <w:bCs/>
          <w:i/>
          <w:iCs/>
          <w:color w:val="000000" w:themeColor="text1"/>
        </w:rPr>
      </w:pPr>
    </w:p>
    <w:p w14:paraId="42636108" w14:textId="4DC3A1DB" w:rsidR="00462899" w:rsidRDefault="0084638E" w:rsidP="00462899">
      <w:pPr>
        <w:spacing w:before="0" w:after="0"/>
        <w:rPr>
          <w:color w:val="000000" w:themeColor="text1"/>
        </w:rPr>
      </w:pPr>
      <w:r>
        <w:rPr>
          <w:color w:val="000000" w:themeColor="text1"/>
        </w:rPr>
        <w:t xml:space="preserve">The amendments allow APRA to make a general determination to </w:t>
      </w:r>
      <w:r w:rsidR="00CF4AC6">
        <w:rPr>
          <w:color w:val="000000" w:themeColor="text1"/>
        </w:rPr>
        <w:t xml:space="preserve">combine part quarter data with other part quarter data </w:t>
      </w:r>
      <w:r w:rsidR="001273A1">
        <w:rPr>
          <w:color w:val="000000" w:themeColor="text1"/>
        </w:rPr>
        <w:t>for the calculation of ‘actual return’</w:t>
      </w:r>
      <w:r w:rsidR="00544D0A">
        <w:rPr>
          <w:color w:val="000000" w:themeColor="text1"/>
        </w:rPr>
        <w:t xml:space="preserve"> </w:t>
      </w:r>
      <w:r w:rsidR="00785D6E">
        <w:rPr>
          <w:color w:val="000000" w:themeColor="text1"/>
        </w:rPr>
        <w:t xml:space="preserve">in items </w:t>
      </w:r>
      <w:r w:rsidR="009754B3">
        <w:rPr>
          <w:color w:val="000000" w:themeColor="text1"/>
        </w:rPr>
        <w:t>28</w:t>
      </w:r>
      <w:r w:rsidR="00785D6E">
        <w:rPr>
          <w:color w:val="000000" w:themeColor="text1"/>
        </w:rPr>
        <w:t xml:space="preserve"> to </w:t>
      </w:r>
      <w:r w:rsidR="009754B3">
        <w:rPr>
          <w:color w:val="000000" w:themeColor="text1"/>
        </w:rPr>
        <w:t>32</w:t>
      </w:r>
      <w:r w:rsidR="00785D6E">
        <w:rPr>
          <w:color w:val="000000" w:themeColor="text1"/>
        </w:rPr>
        <w:t xml:space="preserve">, and for the calculation of ‘benchmark return’ in </w:t>
      </w:r>
      <w:r w:rsidR="00421804">
        <w:rPr>
          <w:color w:val="000000" w:themeColor="text1"/>
        </w:rPr>
        <w:t xml:space="preserve">items </w:t>
      </w:r>
      <w:r w:rsidR="006942BA">
        <w:rPr>
          <w:color w:val="000000" w:themeColor="text1"/>
        </w:rPr>
        <w:t>41</w:t>
      </w:r>
      <w:r w:rsidR="00421804">
        <w:rPr>
          <w:color w:val="000000" w:themeColor="text1"/>
        </w:rPr>
        <w:t xml:space="preserve"> to </w:t>
      </w:r>
      <w:r w:rsidR="006942BA">
        <w:rPr>
          <w:color w:val="000000" w:themeColor="text1"/>
        </w:rPr>
        <w:t>45</w:t>
      </w:r>
      <w:r w:rsidR="001273A1">
        <w:rPr>
          <w:color w:val="000000" w:themeColor="text1"/>
        </w:rPr>
        <w:t>. This allows the test to more accurately reflect products which change over time.</w:t>
      </w:r>
      <w:r w:rsidR="00BF05B2">
        <w:rPr>
          <w:color w:val="000000" w:themeColor="text1"/>
        </w:rPr>
        <w:t xml:space="preserve"> </w:t>
      </w:r>
    </w:p>
    <w:p w14:paraId="3BFFC959" w14:textId="77777777" w:rsidR="0030208A" w:rsidRDefault="0030208A" w:rsidP="00462899">
      <w:pPr>
        <w:spacing w:before="0" w:after="0"/>
        <w:rPr>
          <w:color w:val="000000" w:themeColor="text1"/>
        </w:rPr>
      </w:pPr>
    </w:p>
    <w:p w14:paraId="034E5280" w14:textId="4BE35B88" w:rsidR="0030208A" w:rsidRDefault="0030208A" w:rsidP="00462899">
      <w:pPr>
        <w:spacing w:before="0" w:after="0"/>
        <w:rPr>
          <w:color w:val="000000" w:themeColor="text1"/>
        </w:rPr>
      </w:pPr>
      <w:r>
        <w:rPr>
          <w:color w:val="000000" w:themeColor="text1"/>
        </w:rPr>
        <w:t xml:space="preserve">Consequential amendments are made throughout Division 9AB of the Principal </w:t>
      </w:r>
      <w:r w:rsidR="00F358ED">
        <w:rPr>
          <w:color w:val="000000" w:themeColor="text1"/>
        </w:rPr>
        <w:t>R</w:t>
      </w:r>
      <w:r>
        <w:rPr>
          <w:color w:val="000000" w:themeColor="text1"/>
        </w:rPr>
        <w:t>egulations to allow such a general determination to operate for relevant calculations for the performance test</w:t>
      </w:r>
      <w:r w:rsidR="00A223E0">
        <w:rPr>
          <w:color w:val="000000" w:themeColor="text1"/>
        </w:rPr>
        <w:t>.</w:t>
      </w:r>
      <w:r>
        <w:rPr>
          <w:color w:val="000000" w:themeColor="text1"/>
        </w:rPr>
        <w:t xml:space="preserve"> </w:t>
      </w:r>
    </w:p>
    <w:p w14:paraId="19CFC71B" w14:textId="77777777" w:rsidR="00F832DD" w:rsidRDefault="00F832DD" w:rsidP="00462899">
      <w:pPr>
        <w:spacing w:before="0" w:after="0"/>
        <w:rPr>
          <w:color w:val="000000" w:themeColor="text1"/>
        </w:rPr>
      </w:pPr>
    </w:p>
    <w:p w14:paraId="3679EB98" w14:textId="1ABD35E8" w:rsidR="00F832DD" w:rsidRDefault="00F832DD" w:rsidP="00462899">
      <w:pPr>
        <w:spacing w:before="0" w:after="0"/>
        <w:rPr>
          <w:color w:val="000000" w:themeColor="text1"/>
        </w:rPr>
      </w:pPr>
      <w:r>
        <w:rPr>
          <w:color w:val="000000" w:themeColor="text1"/>
        </w:rPr>
        <w:t xml:space="preserve">It is expected that APRA will make a general determination </w:t>
      </w:r>
      <w:r w:rsidR="00B234C9">
        <w:rPr>
          <w:color w:val="000000" w:themeColor="text1"/>
        </w:rPr>
        <w:t xml:space="preserve">that will be made </w:t>
      </w:r>
      <w:r w:rsidR="003407E9">
        <w:rPr>
          <w:color w:val="000000" w:themeColor="text1"/>
        </w:rPr>
        <w:t xml:space="preserve">publicly </w:t>
      </w:r>
      <w:r w:rsidR="00B234C9">
        <w:rPr>
          <w:color w:val="000000" w:themeColor="text1"/>
        </w:rPr>
        <w:t>available on the APRA website</w:t>
      </w:r>
      <w:r w:rsidR="003407E9">
        <w:rPr>
          <w:color w:val="000000" w:themeColor="text1"/>
        </w:rPr>
        <w:t xml:space="preserve"> and the Federal Register of Legislation</w:t>
      </w:r>
      <w:r w:rsidR="00B234C9">
        <w:rPr>
          <w:color w:val="000000" w:themeColor="text1"/>
        </w:rPr>
        <w:t xml:space="preserve">. </w:t>
      </w:r>
    </w:p>
    <w:p w14:paraId="71FECA41" w14:textId="77777777" w:rsidR="00794CF5" w:rsidRPr="00067075" w:rsidRDefault="00794CF5" w:rsidP="00794CF5">
      <w:pPr>
        <w:spacing w:before="0" w:after="0"/>
        <w:rPr>
          <w:b/>
          <w:bCs/>
          <w:i/>
          <w:iCs/>
          <w:color w:val="000000" w:themeColor="text1"/>
        </w:rPr>
      </w:pPr>
    </w:p>
    <w:p w14:paraId="3C22B5AC" w14:textId="685942E4" w:rsidR="001A6AB9" w:rsidRPr="003848FB" w:rsidRDefault="001A6AB9" w:rsidP="001A6AB9">
      <w:pPr>
        <w:spacing w:before="0" w:after="0"/>
        <w:rPr>
          <w:b/>
          <w:bCs/>
          <w:i/>
          <w:iCs/>
          <w:color w:val="000000" w:themeColor="text1"/>
        </w:rPr>
      </w:pPr>
      <w:r w:rsidRPr="003848FB">
        <w:rPr>
          <w:b/>
          <w:bCs/>
          <w:i/>
          <w:iCs/>
          <w:color w:val="000000" w:themeColor="text1"/>
        </w:rPr>
        <w:t>Item</w:t>
      </w:r>
      <w:r w:rsidR="003737E2">
        <w:rPr>
          <w:b/>
          <w:bCs/>
          <w:i/>
          <w:iCs/>
          <w:color w:val="000000" w:themeColor="text1"/>
        </w:rPr>
        <w:t>s</w:t>
      </w:r>
      <w:r w:rsidR="001D05D6">
        <w:rPr>
          <w:b/>
          <w:bCs/>
          <w:i/>
          <w:iCs/>
          <w:color w:val="000000" w:themeColor="text1"/>
        </w:rPr>
        <w:t xml:space="preserve"> </w:t>
      </w:r>
      <w:r w:rsidR="00594C0E">
        <w:rPr>
          <w:b/>
          <w:bCs/>
          <w:i/>
          <w:iCs/>
          <w:color w:val="000000" w:themeColor="text1"/>
        </w:rPr>
        <w:t>19</w:t>
      </w:r>
      <w:r w:rsidR="00250600">
        <w:rPr>
          <w:b/>
          <w:bCs/>
          <w:i/>
          <w:iCs/>
          <w:color w:val="000000" w:themeColor="text1"/>
        </w:rPr>
        <w:t xml:space="preserve">, </w:t>
      </w:r>
      <w:r w:rsidR="00551894">
        <w:rPr>
          <w:b/>
          <w:bCs/>
          <w:i/>
          <w:iCs/>
          <w:color w:val="000000" w:themeColor="text1"/>
        </w:rPr>
        <w:t>22</w:t>
      </w:r>
      <w:r w:rsidR="001D05D6">
        <w:rPr>
          <w:b/>
          <w:bCs/>
          <w:i/>
          <w:iCs/>
          <w:color w:val="000000" w:themeColor="text1"/>
        </w:rPr>
        <w:t>,</w:t>
      </w:r>
      <w:r w:rsidR="00E40AE3">
        <w:rPr>
          <w:b/>
          <w:bCs/>
          <w:i/>
          <w:iCs/>
          <w:color w:val="000000" w:themeColor="text1"/>
        </w:rPr>
        <w:t xml:space="preserve"> </w:t>
      </w:r>
      <w:r w:rsidR="006523B7">
        <w:rPr>
          <w:b/>
          <w:bCs/>
          <w:i/>
          <w:iCs/>
          <w:color w:val="000000" w:themeColor="text1"/>
        </w:rPr>
        <w:t>25</w:t>
      </w:r>
      <w:r w:rsidR="00E40AE3">
        <w:rPr>
          <w:b/>
          <w:bCs/>
          <w:i/>
          <w:iCs/>
          <w:color w:val="000000" w:themeColor="text1"/>
        </w:rPr>
        <w:t xml:space="preserve">, </w:t>
      </w:r>
      <w:r w:rsidR="009754B3">
        <w:rPr>
          <w:b/>
          <w:bCs/>
          <w:i/>
          <w:iCs/>
          <w:color w:val="000000" w:themeColor="text1"/>
        </w:rPr>
        <w:t>33</w:t>
      </w:r>
      <w:r w:rsidR="00E40AE3">
        <w:rPr>
          <w:b/>
          <w:bCs/>
          <w:i/>
          <w:iCs/>
          <w:color w:val="000000" w:themeColor="text1"/>
        </w:rPr>
        <w:t xml:space="preserve">, </w:t>
      </w:r>
      <w:r w:rsidR="00D94BE5">
        <w:rPr>
          <w:b/>
          <w:bCs/>
          <w:i/>
          <w:iCs/>
          <w:color w:val="000000" w:themeColor="text1"/>
        </w:rPr>
        <w:t xml:space="preserve">and </w:t>
      </w:r>
      <w:r w:rsidR="006942BA">
        <w:rPr>
          <w:b/>
          <w:bCs/>
          <w:i/>
          <w:iCs/>
          <w:color w:val="000000" w:themeColor="text1"/>
        </w:rPr>
        <w:t>37</w:t>
      </w:r>
      <w:r w:rsidRPr="003848FB">
        <w:rPr>
          <w:b/>
          <w:bCs/>
          <w:i/>
          <w:iCs/>
          <w:color w:val="000000" w:themeColor="text1"/>
        </w:rPr>
        <w:t xml:space="preserve">– </w:t>
      </w:r>
      <w:r>
        <w:rPr>
          <w:b/>
          <w:bCs/>
          <w:i/>
          <w:iCs/>
          <w:color w:val="000000" w:themeColor="text1"/>
        </w:rPr>
        <w:t xml:space="preserve">Rounding rules </w:t>
      </w:r>
    </w:p>
    <w:p w14:paraId="1AA06DC4" w14:textId="77777777" w:rsidR="001A6AB9" w:rsidRDefault="001A6AB9" w:rsidP="001A6AB9">
      <w:pPr>
        <w:spacing w:before="0" w:after="0"/>
      </w:pPr>
    </w:p>
    <w:p w14:paraId="70CB23A0" w14:textId="03C24699" w:rsidR="001A6AB9" w:rsidRDefault="00E40AE3" w:rsidP="001E599D">
      <w:pPr>
        <w:spacing w:before="0" w:after="0"/>
      </w:pPr>
      <w:r w:rsidRPr="00E40AE3">
        <w:t xml:space="preserve">Items </w:t>
      </w:r>
      <w:r w:rsidR="00594C0E">
        <w:t>19</w:t>
      </w:r>
      <w:r w:rsidR="00250600">
        <w:t xml:space="preserve">, </w:t>
      </w:r>
      <w:r w:rsidR="00551894">
        <w:t>22</w:t>
      </w:r>
      <w:r w:rsidRPr="00E40AE3">
        <w:t xml:space="preserve">, </w:t>
      </w:r>
      <w:r w:rsidR="006523B7">
        <w:t>25</w:t>
      </w:r>
      <w:r w:rsidRPr="00E40AE3">
        <w:t xml:space="preserve">, </w:t>
      </w:r>
      <w:r w:rsidR="009754B3">
        <w:t>33</w:t>
      </w:r>
      <w:r w:rsidR="00FA52C4">
        <w:t xml:space="preserve"> and</w:t>
      </w:r>
      <w:r w:rsidRPr="00E40AE3">
        <w:t xml:space="preserve"> </w:t>
      </w:r>
      <w:r w:rsidR="006942BA">
        <w:t>37</w:t>
      </w:r>
      <w:r w:rsidRPr="00E40AE3">
        <w:t xml:space="preserve"> </w:t>
      </w:r>
      <w:r w:rsidR="005F43D4">
        <w:t xml:space="preserve">update the rounding rules in Part 9AB of the Principal Regulations to ensure greater certainty and consistency. Certain calculation outputs must now be rounded to 10 decimal places instead of 4 decimal places. </w:t>
      </w:r>
      <w:r w:rsidR="005F43D4" w:rsidRPr="005F43D4">
        <w:t xml:space="preserve">For certain calculation output that is </w:t>
      </w:r>
      <w:r w:rsidR="009B67B0">
        <w:t>eleven</w:t>
      </w:r>
      <w:r w:rsidR="005F43D4" w:rsidRPr="005F43D4">
        <w:t xml:space="preserve"> or more decimal places, the output should be rounded to </w:t>
      </w:r>
      <w:r w:rsidR="005F43D4">
        <w:t>10</w:t>
      </w:r>
      <w:r w:rsidR="005F43D4" w:rsidRPr="005F43D4">
        <w:t xml:space="preserve"> decimal places. This should be done by rounding up if the </w:t>
      </w:r>
      <w:r w:rsidR="009B67B0">
        <w:t>eleventh</w:t>
      </w:r>
      <w:r w:rsidR="005F43D4" w:rsidRPr="005F43D4">
        <w:t xml:space="preserve"> decimal place is a 5 or higher, or down if the </w:t>
      </w:r>
      <w:r w:rsidR="00345167">
        <w:t>eleventh</w:t>
      </w:r>
      <w:r w:rsidR="00345167" w:rsidRPr="005F43D4">
        <w:t xml:space="preserve"> </w:t>
      </w:r>
      <w:r w:rsidR="005F43D4" w:rsidRPr="005F43D4">
        <w:t xml:space="preserve">decimal place is a 4 or lower. Where calculation output is </w:t>
      </w:r>
      <w:r w:rsidR="005F43D4">
        <w:t>10</w:t>
      </w:r>
      <w:r w:rsidR="005F43D4" w:rsidRPr="005F43D4">
        <w:t xml:space="preserve"> decimal places or lower, generally the rounding rules do not </w:t>
      </w:r>
      <w:proofErr w:type="gramStart"/>
      <w:r w:rsidR="005F43D4" w:rsidRPr="005F43D4">
        <w:t>apply</w:t>
      </w:r>
      <w:proofErr w:type="gramEnd"/>
      <w:r w:rsidR="005F43D4" w:rsidRPr="005F43D4">
        <w:t xml:space="preserve"> and the value should be inputted into the formula in full. </w:t>
      </w:r>
    </w:p>
    <w:p w14:paraId="77086550" w14:textId="02786142" w:rsidR="001A6AB9" w:rsidRDefault="001A6AB9" w:rsidP="001E599D">
      <w:pPr>
        <w:spacing w:before="0" w:after="0"/>
      </w:pPr>
    </w:p>
    <w:p w14:paraId="29B0A2F8" w14:textId="15280114" w:rsidR="008C00C7" w:rsidRDefault="008C00C7" w:rsidP="008C00C7">
      <w:pPr>
        <w:spacing w:before="0" w:after="0"/>
        <w:rPr>
          <w:b/>
          <w:bCs/>
          <w:i/>
          <w:iCs/>
          <w:color w:val="000000" w:themeColor="text1"/>
        </w:rPr>
      </w:pPr>
      <w:r>
        <w:rPr>
          <w:b/>
          <w:bCs/>
          <w:i/>
          <w:iCs/>
          <w:color w:val="000000" w:themeColor="text1"/>
        </w:rPr>
        <w:t>Item</w:t>
      </w:r>
      <w:r w:rsidR="00DF4C4C">
        <w:rPr>
          <w:b/>
          <w:bCs/>
          <w:i/>
          <w:iCs/>
          <w:color w:val="000000" w:themeColor="text1"/>
        </w:rPr>
        <w:t>s</w:t>
      </w:r>
      <w:r>
        <w:rPr>
          <w:b/>
          <w:bCs/>
          <w:i/>
          <w:iCs/>
          <w:color w:val="000000" w:themeColor="text1"/>
        </w:rPr>
        <w:t xml:space="preserve"> </w:t>
      </w:r>
      <w:r w:rsidR="00AC59A9">
        <w:rPr>
          <w:b/>
          <w:bCs/>
          <w:i/>
          <w:iCs/>
          <w:color w:val="000000" w:themeColor="text1"/>
        </w:rPr>
        <w:t>50</w:t>
      </w:r>
      <w:r w:rsidR="0052565D">
        <w:rPr>
          <w:b/>
          <w:bCs/>
          <w:i/>
          <w:iCs/>
          <w:color w:val="000000" w:themeColor="text1"/>
        </w:rPr>
        <w:t xml:space="preserve">, </w:t>
      </w:r>
      <w:r w:rsidR="0000708C">
        <w:rPr>
          <w:b/>
          <w:bCs/>
          <w:i/>
          <w:iCs/>
          <w:color w:val="000000" w:themeColor="text1"/>
        </w:rPr>
        <w:t>51</w:t>
      </w:r>
      <w:r w:rsidR="0052565D">
        <w:rPr>
          <w:b/>
          <w:bCs/>
          <w:i/>
          <w:iCs/>
          <w:color w:val="000000" w:themeColor="text1"/>
        </w:rPr>
        <w:t xml:space="preserve"> and </w:t>
      </w:r>
      <w:r w:rsidR="0000708C">
        <w:rPr>
          <w:b/>
          <w:bCs/>
          <w:i/>
          <w:iCs/>
          <w:color w:val="000000" w:themeColor="text1"/>
        </w:rPr>
        <w:t>52</w:t>
      </w:r>
      <w:r>
        <w:rPr>
          <w:b/>
          <w:bCs/>
          <w:i/>
          <w:iCs/>
          <w:color w:val="000000" w:themeColor="text1"/>
        </w:rPr>
        <w:t xml:space="preserve"> </w:t>
      </w:r>
      <w:r w:rsidR="0052565D">
        <w:rPr>
          <w:b/>
          <w:bCs/>
          <w:i/>
          <w:iCs/>
          <w:color w:val="000000" w:themeColor="text1"/>
        </w:rPr>
        <w:t>–</w:t>
      </w:r>
      <w:r>
        <w:rPr>
          <w:b/>
          <w:bCs/>
          <w:i/>
          <w:iCs/>
          <w:color w:val="000000" w:themeColor="text1"/>
        </w:rPr>
        <w:t xml:space="preserve"> Application</w:t>
      </w:r>
      <w:r w:rsidR="0052565D">
        <w:rPr>
          <w:b/>
          <w:bCs/>
          <w:i/>
          <w:iCs/>
          <w:color w:val="000000" w:themeColor="text1"/>
        </w:rPr>
        <w:t xml:space="preserve"> and transitional provisions</w:t>
      </w:r>
    </w:p>
    <w:p w14:paraId="7868DC0E" w14:textId="77777777" w:rsidR="008C00C7" w:rsidRDefault="008C00C7" w:rsidP="008C00C7">
      <w:pPr>
        <w:spacing w:before="0" w:after="0"/>
        <w:rPr>
          <w:color w:val="000000" w:themeColor="text1"/>
        </w:rPr>
      </w:pPr>
    </w:p>
    <w:p w14:paraId="69CF0EBA" w14:textId="6902FC0A" w:rsidR="008C00C7" w:rsidRDefault="008C00C7" w:rsidP="008C00C7">
      <w:pPr>
        <w:spacing w:before="0" w:after="0"/>
        <w:rPr>
          <w:color w:val="000000" w:themeColor="text1"/>
        </w:rPr>
      </w:pPr>
      <w:r>
        <w:rPr>
          <w:color w:val="000000" w:themeColor="text1"/>
        </w:rPr>
        <w:t xml:space="preserve">Item </w:t>
      </w:r>
      <w:r w:rsidR="0000708C">
        <w:rPr>
          <w:color w:val="000000" w:themeColor="text1"/>
        </w:rPr>
        <w:t>50</w:t>
      </w:r>
      <w:r>
        <w:rPr>
          <w:color w:val="000000" w:themeColor="text1"/>
        </w:rPr>
        <w:t xml:space="preserve"> </w:t>
      </w:r>
      <w:r w:rsidR="00F0706C">
        <w:rPr>
          <w:color w:val="000000" w:themeColor="text1"/>
        </w:rPr>
        <w:t>is</w:t>
      </w:r>
      <w:r w:rsidR="00796D34">
        <w:rPr>
          <w:color w:val="000000" w:themeColor="text1"/>
        </w:rPr>
        <w:t xml:space="preserve"> a minor amendment to clarify that the transition</w:t>
      </w:r>
      <w:r w:rsidR="0052565D">
        <w:rPr>
          <w:color w:val="000000" w:themeColor="text1"/>
        </w:rPr>
        <w:t>al</w:t>
      </w:r>
      <w:r w:rsidR="00796D34">
        <w:rPr>
          <w:color w:val="000000" w:themeColor="text1"/>
        </w:rPr>
        <w:t xml:space="preserve"> arrangements in Division 1</w:t>
      </w:r>
      <w:r w:rsidR="0052565D">
        <w:rPr>
          <w:color w:val="000000" w:themeColor="text1"/>
        </w:rPr>
        <w:t>4</w:t>
      </w:r>
      <w:r w:rsidR="00796D34">
        <w:rPr>
          <w:color w:val="000000" w:themeColor="text1"/>
        </w:rPr>
        <w:t xml:space="preserve">.27 </w:t>
      </w:r>
      <w:r w:rsidR="000D6D48">
        <w:rPr>
          <w:color w:val="000000" w:themeColor="text1"/>
        </w:rPr>
        <w:t xml:space="preserve">are the </w:t>
      </w:r>
      <w:r w:rsidR="00697E4D">
        <w:rPr>
          <w:color w:val="000000" w:themeColor="text1"/>
        </w:rPr>
        <w:t xml:space="preserve">arrangements </w:t>
      </w:r>
      <w:r w:rsidR="001C3417">
        <w:rPr>
          <w:color w:val="000000" w:themeColor="text1"/>
        </w:rPr>
        <w:t>specifically</w:t>
      </w:r>
      <w:r w:rsidR="00796D34">
        <w:rPr>
          <w:color w:val="000000" w:themeColor="text1"/>
        </w:rPr>
        <w:t xml:space="preserve"> </w:t>
      </w:r>
      <w:r w:rsidR="00697E4D">
        <w:rPr>
          <w:color w:val="000000" w:themeColor="text1"/>
        </w:rPr>
        <w:t>arising out of</w:t>
      </w:r>
      <w:r w:rsidR="000D6D48">
        <w:rPr>
          <w:color w:val="000000" w:themeColor="text1"/>
        </w:rPr>
        <w:t xml:space="preserve"> </w:t>
      </w:r>
      <w:r w:rsidR="00796D34">
        <w:rPr>
          <w:color w:val="000000" w:themeColor="text1"/>
        </w:rPr>
        <w:t>to</w:t>
      </w:r>
      <w:r w:rsidR="0095069C">
        <w:rPr>
          <w:color w:val="000000" w:themeColor="text1"/>
        </w:rPr>
        <w:t xml:space="preserve"> </w:t>
      </w:r>
      <w:r w:rsidR="0095069C" w:rsidRPr="0095069C">
        <w:rPr>
          <w:color w:val="000000" w:themeColor="text1"/>
        </w:rPr>
        <w:t xml:space="preserve">Schedule 1 to the </w:t>
      </w:r>
      <w:r w:rsidR="0095069C" w:rsidRPr="00C90E38">
        <w:rPr>
          <w:i/>
          <w:iCs/>
        </w:rPr>
        <w:t xml:space="preserve">Superannuation Industry (Supervision) Amendment (Your Future, Your Super—Addressing Underperformance in Superannuation) Regulations </w:t>
      </w:r>
      <w:r w:rsidR="0095069C" w:rsidRPr="000D6D48">
        <w:rPr>
          <w:i/>
          <w:iCs/>
          <w:color w:val="000000" w:themeColor="text1"/>
        </w:rPr>
        <w:t>2021</w:t>
      </w:r>
      <w:r w:rsidR="0095069C">
        <w:rPr>
          <w:color w:val="000000" w:themeColor="text1"/>
        </w:rPr>
        <w:t>. This fixes</w:t>
      </w:r>
      <w:r w:rsidR="00537A3B">
        <w:rPr>
          <w:color w:val="000000" w:themeColor="text1"/>
        </w:rPr>
        <w:t xml:space="preserve"> a technical drafting issue where</w:t>
      </w:r>
      <w:r w:rsidR="0095069C">
        <w:rPr>
          <w:color w:val="000000" w:themeColor="text1"/>
        </w:rPr>
        <w:t xml:space="preserve"> the original provision </w:t>
      </w:r>
      <w:r w:rsidR="00697E4D">
        <w:rPr>
          <w:color w:val="000000" w:themeColor="text1"/>
        </w:rPr>
        <w:t xml:space="preserve">did not </w:t>
      </w:r>
      <w:r w:rsidR="00FF38B7">
        <w:rPr>
          <w:color w:val="000000" w:themeColor="text1"/>
        </w:rPr>
        <w:t xml:space="preserve">correctly </w:t>
      </w:r>
      <w:r w:rsidR="00697E4D">
        <w:rPr>
          <w:color w:val="000000" w:themeColor="text1"/>
        </w:rPr>
        <w:t xml:space="preserve">specify the </w:t>
      </w:r>
      <w:r w:rsidR="00FF38B7">
        <w:rPr>
          <w:color w:val="000000" w:themeColor="text1"/>
        </w:rPr>
        <w:t>amending regulations</w:t>
      </w:r>
      <w:r w:rsidR="00F445F7">
        <w:rPr>
          <w:color w:val="000000" w:themeColor="text1"/>
        </w:rPr>
        <w:t>.</w:t>
      </w:r>
    </w:p>
    <w:p w14:paraId="76A98D78" w14:textId="39A88BAF" w:rsidR="0010223D" w:rsidRDefault="0010223D" w:rsidP="008C00C7">
      <w:pPr>
        <w:spacing w:before="0" w:after="0"/>
        <w:rPr>
          <w:color w:val="000000" w:themeColor="text1"/>
        </w:rPr>
      </w:pPr>
    </w:p>
    <w:p w14:paraId="7C8DF824" w14:textId="11E65BF1" w:rsidR="00FC06C5" w:rsidRDefault="0010223D" w:rsidP="00FC06C5">
      <w:pPr>
        <w:spacing w:before="0" w:after="0"/>
        <w:rPr>
          <w:color w:val="000000" w:themeColor="text1"/>
        </w:rPr>
      </w:pPr>
      <w:r>
        <w:rPr>
          <w:color w:val="000000" w:themeColor="text1"/>
        </w:rPr>
        <w:t xml:space="preserve">Item </w:t>
      </w:r>
      <w:r w:rsidR="0000708C">
        <w:rPr>
          <w:color w:val="000000" w:themeColor="text1"/>
        </w:rPr>
        <w:t>51</w:t>
      </w:r>
      <w:r>
        <w:rPr>
          <w:color w:val="000000" w:themeColor="text1"/>
        </w:rPr>
        <w:t xml:space="preserve"> repeals a </w:t>
      </w:r>
      <w:r w:rsidR="003473EF">
        <w:rPr>
          <w:color w:val="000000" w:themeColor="text1"/>
        </w:rPr>
        <w:t>transitional</w:t>
      </w:r>
      <w:r>
        <w:rPr>
          <w:color w:val="000000" w:themeColor="text1"/>
        </w:rPr>
        <w:t xml:space="preserve"> provision that is no longer required as it was only applicable to the </w:t>
      </w:r>
      <w:r w:rsidR="003473EF">
        <w:rPr>
          <w:color w:val="000000" w:themeColor="text1"/>
        </w:rPr>
        <w:t xml:space="preserve">2021 </w:t>
      </w:r>
      <w:r>
        <w:rPr>
          <w:color w:val="000000" w:themeColor="text1"/>
        </w:rPr>
        <w:t>performance test</w:t>
      </w:r>
      <w:r w:rsidR="001D6B80">
        <w:rPr>
          <w:color w:val="000000" w:themeColor="text1"/>
        </w:rPr>
        <w:t xml:space="preserve">, which has occurred. </w:t>
      </w:r>
    </w:p>
    <w:p w14:paraId="372F46A0" w14:textId="77777777" w:rsidR="00FF3E11" w:rsidRDefault="00FF3E11" w:rsidP="006A02E5">
      <w:pPr>
        <w:spacing w:before="0" w:after="0"/>
        <w:rPr>
          <w:color w:val="000000" w:themeColor="text1"/>
        </w:rPr>
      </w:pPr>
    </w:p>
    <w:p w14:paraId="5CD84473" w14:textId="3CF5D8C6" w:rsidR="00FF5BB0" w:rsidRPr="00FF3E11" w:rsidRDefault="00FC06C5" w:rsidP="00FF3E11">
      <w:pPr>
        <w:spacing w:before="0" w:after="0"/>
        <w:rPr>
          <w:color w:val="FF0000"/>
        </w:rPr>
      </w:pPr>
      <w:r>
        <w:rPr>
          <w:color w:val="000000" w:themeColor="text1"/>
        </w:rPr>
        <w:t xml:space="preserve">Item </w:t>
      </w:r>
      <w:r w:rsidR="0000708C">
        <w:rPr>
          <w:color w:val="000000" w:themeColor="text1"/>
        </w:rPr>
        <w:t>52</w:t>
      </w:r>
      <w:r>
        <w:rPr>
          <w:color w:val="000000" w:themeColor="text1"/>
        </w:rPr>
        <w:t xml:space="preserve"> inserts</w:t>
      </w:r>
      <w:r w:rsidR="00B850FE">
        <w:rPr>
          <w:color w:val="000000" w:themeColor="text1"/>
        </w:rPr>
        <w:t xml:space="preserve"> a</w:t>
      </w:r>
      <w:r>
        <w:rPr>
          <w:color w:val="000000" w:themeColor="text1"/>
        </w:rPr>
        <w:t xml:space="preserve"> new Division 14.29 to the Principal Regulations to provide </w:t>
      </w:r>
      <w:r w:rsidR="00537A3B">
        <w:rPr>
          <w:color w:val="000000" w:themeColor="text1"/>
        </w:rPr>
        <w:t>that t</w:t>
      </w:r>
      <w:r>
        <w:rPr>
          <w:color w:val="000000" w:themeColor="text1"/>
        </w:rPr>
        <w:t xml:space="preserve">he amendments </w:t>
      </w:r>
      <w:r w:rsidR="00537A3B">
        <w:rPr>
          <w:color w:val="000000" w:themeColor="text1"/>
        </w:rPr>
        <w:t xml:space="preserve">made by these Regulations </w:t>
      </w:r>
      <w:r>
        <w:rPr>
          <w:color w:val="000000" w:themeColor="text1"/>
        </w:rPr>
        <w:t>apply</w:t>
      </w:r>
      <w:r w:rsidR="006A02E5">
        <w:rPr>
          <w:color w:val="000000" w:themeColor="text1"/>
        </w:rPr>
        <w:t xml:space="preserve"> o</w:t>
      </w:r>
      <w:r>
        <w:t>n and after 1 July 202</w:t>
      </w:r>
      <w:r w:rsidR="00377C85">
        <w:t>3</w:t>
      </w:r>
      <w:r w:rsidR="006A02E5">
        <w:t>.</w:t>
      </w:r>
      <w:r>
        <w:t xml:space="preserve"> </w:t>
      </w:r>
    </w:p>
    <w:sectPr w:rsidR="00FF5BB0" w:rsidRPr="00FF3E11"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BA9" w14:textId="77777777" w:rsidR="008562CA" w:rsidRDefault="008562CA" w:rsidP="00954679">
      <w:pPr>
        <w:spacing w:before="0" w:after="0"/>
      </w:pPr>
      <w:r>
        <w:separator/>
      </w:r>
    </w:p>
  </w:endnote>
  <w:endnote w:type="continuationSeparator" w:id="0">
    <w:p w14:paraId="661F39C0" w14:textId="77777777" w:rsidR="008562CA" w:rsidRDefault="008562CA" w:rsidP="00954679">
      <w:pPr>
        <w:spacing w:before="0" w:after="0"/>
      </w:pPr>
      <w:r>
        <w:continuationSeparator/>
      </w:r>
    </w:p>
  </w:endnote>
  <w:endnote w:type="continuationNotice" w:id="1">
    <w:p w14:paraId="6B04848C" w14:textId="77777777" w:rsidR="008562CA" w:rsidRDefault="008562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4DC5" w14:textId="77777777" w:rsidR="00942A69" w:rsidRDefault="00942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97E32A3"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DB3D" w14:textId="77777777" w:rsidR="00942A69" w:rsidRDefault="0094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FCEB" w14:textId="77777777" w:rsidR="008562CA" w:rsidRDefault="008562CA" w:rsidP="00954679">
      <w:pPr>
        <w:spacing w:before="0" w:after="0"/>
      </w:pPr>
      <w:r>
        <w:separator/>
      </w:r>
    </w:p>
  </w:footnote>
  <w:footnote w:type="continuationSeparator" w:id="0">
    <w:p w14:paraId="6D4AB725" w14:textId="77777777" w:rsidR="008562CA" w:rsidRDefault="008562CA" w:rsidP="00954679">
      <w:pPr>
        <w:spacing w:before="0" w:after="0"/>
      </w:pPr>
      <w:r>
        <w:continuationSeparator/>
      </w:r>
    </w:p>
  </w:footnote>
  <w:footnote w:type="continuationNotice" w:id="1">
    <w:p w14:paraId="310133DE" w14:textId="77777777" w:rsidR="008562CA" w:rsidRDefault="008562C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6B74" w14:textId="77777777" w:rsidR="00942A69" w:rsidRDefault="0094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7945" w14:textId="2E35C866" w:rsidR="001A6894" w:rsidRPr="007B35FE" w:rsidRDefault="007B35FE" w:rsidP="007B35FE">
    <w:pPr>
      <w:pStyle w:val="Header"/>
      <w:jc w:val="center"/>
      <w:rPr>
        <w:b/>
        <w:bCs/>
      </w:rPr>
    </w:pPr>
    <w:r w:rsidRPr="007B35FE">
      <w:rPr>
        <w:b/>
        <w:bCs/>
        <w:szCs w:val="24"/>
      </w:rPr>
      <w:t xml:space="preserve"> EXPOSURE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7A76" w14:textId="77777777" w:rsidR="00942A69" w:rsidRDefault="0094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6F220D3"/>
    <w:multiLevelType w:val="hybridMultilevel"/>
    <w:tmpl w:val="3A66E6C6"/>
    <w:lvl w:ilvl="0" w:tplc="CED669D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BC7E8D"/>
    <w:multiLevelType w:val="singleLevel"/>
    <w:tmpl w:val="FFFCF7D0"/>
    <w:name w:val="BaseTextParagraphList"/>
    <w:lvl w:ilvl="0">
      <w:start w:val="1"/>
      <w:numFmt w:val="decimal"/>
      <w:lvlText w:val="%1."/>
      <w:lvlJc w:val="left"/>
      <w:pPr>
        <w:tabs>
          <w:tab w:val="num" w:pos="1984"/>
        </w:tabs>
        <w:ind w:left="1140" w:firstLine="0"/>
      </w:pPr>
      <w:rPr>
        <w:b w:val="0"/>
        <w:i w:val="0"/>
        <w:color w:val="000000"/>
      </w:rPr>
    </w:lvl>
  </w:abstractNum>
  <w:abstractNum w:abstractNumId="4" w15:restartNumberingAfterBreak="0">
    <w:nsid w:val="67A43C0B"/>
    <w:multiLevelType w:val="multilevel"/>
    <w:tmpl w:val="B1FA493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7611544">
    <w:abstractNumId w:val="1"/>
  </w:num>
  <w:num w:numId="2" w16cid:durableId="783303637">
    <w:abstractNumId w:val="4"/>
  </w:num>
  <w:num w:numId="3" w16cid:durableId="1793355313">
    <w:abstractNumId w:val="0"/>
  </w:num>
  <w:num w:numId="4" w16cid:durableId="2114204107">
    <w:abstractNumId w:val="3"/>
    <w:lvlOverride w:ilvl="0">
      <w:startOverride w:val="1"/>
    </w:lvlOverride>
  </w:num>
  <w:num w:numId="5" w16cid:durableId="191473152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81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2"/>
    <w:rsid w:val="00002117"/>
    <w:rsid w:val="0000708C"/>
    <w:rsid w:val="000119D5"/>
    <w:rsid w:val="00013390"/>
    <w:rsid w:val="000138FB"/>
    <w:rsid w:val="000146F7"/>
    <w:rsid w:val="0001498E"/>
    <w:rsid w:val="00016EA2"/>
    <w:rsid w:val="000178EE"/>
    <w:rsid w:val="000212E0"/>
    <w:rsid w:val="0002138F"/>
    <w:rsid w:val="000216DB"/>
    <w:rsid w:val="00021FB7"/>
    <w:rsid w:val="000245EA"/>
    <w:rsid w:val="00027363"/>
    <w:rsid w:val="00031611"/>
    <w:rsid w:val="000329B9"/>
    <w:rsid w:val="00034CE7"/>
    <w:rsid w:val="00035503"/>
    <w:rsid w:val="00036359"/>
    <w:rsid w:val="00036A00"/>
    <w:rsid w:val="00036CF6"/>
    <w:rsid w:val="000378B9"/>
    <w:rsid w:val="00040412"/>
    <w:rsid w:val="000420EC"/>
    <w:rsid w:val="00042271"/>
    <w:rsid w:val="000428C3"/>
    <w:rsid w:val="00044C34"/>
    <w:rsid w:val="000468DD"/>
    <w:rsid w:val="0005070B"/>
    <w:rsid w:val="000511C9"/>
    <w:rsid w:val="00051FEE"/>
    <w:rsid w:val="0005271E"/>
    <w:rsid w:val="000562C6"/>
    <w:rsid w:val="0006165F"/>
    <w:rsid w:val="00061882"/>
    <w:rsid w:val="0006412C"/>
    <w:rsid w:val="0006422E"/>
    <w:rsid w:val="0006709D"/>
    <w:rsid w:val="00070AE7"/>
    <w:rsid w:val="000726F3"/>
    <w:rsid w:val="00075B7A"/>
    <w:rsid w:val="00076178"/>
    <w:rsid w:val="00077EC8"/>
    <w:rsid w:val="00080850"/>
    <w:rsid w:val="00080B24"/>
    <w:rsid w:val="00080F2C"/>
    <w:rsid w:val="00086517"/>
    <w:rsid w:val="0008745E"/>
    <w:rsid w:val="00092526"/>
    <w:rsid w:val="00094117"/>
    <w:rsid w:val="00094206"/>
    <w:rsid w:val="00094C8C"/>
    <w:rsid w:val="00094E1B"/>
    <w:rsid w:val="00094E2B"/>
    <w:rsid w:val="00095211"/>
    <w:rsid w:val="00095788"/>
    <w:rsid w:val="000967F8"/>
    <w:rsid w:val="000A0829"/>
    <w:rsid w:val="000A15B4"/>
    <w:rsid w:val="000A250D"/>
    <w:rsid w:val="000A2C89"/>
    <w:rsid w:val="000A3163"/>
    <w:rsid w:val="000B39A1"/>
    <w:rsid w:val="000B4750"/>
    <w:rsid w:val="000B60F5"/>
    <w:rsid w:val="000B6565"/>
    <w:rsid w:val="000B68AA"/>
    <w:rsid w:val="000B69CF"/>
    <w:rsid w:val="000B779C"/>
    <w:rsid w:val="000C0032"/>
    <w:rsid w:val="000C10DF"/>
    <w:rsid w:val="000C29A9"/>
    <w:rsid w:val="000C5849"/>
    <w:rsid w:val="000C6935"/>
    <w:rsid w:val="000C7C3B"/>
    <w:rsid w:val="000D0BBC"/>
    <w:rsid w:val="000D0C5A"/>
    <w:rsid w:val="000D1F7F"/>
    <w:rsid w:val="000D512C"/>
    <w:rsid w:val="000D5D2A"/>
    <w:rsid w:val="000D6556"/>
    <w:rsid w:val="000D6D48"/>
    <w:rsid w:val="000D6F8C"/>
    <w:rsid w:val="000E1D9D"/>
    <w:rsid w:val="000E32E3"/>
    <w:rsid w:val="000E3C73"/>
    <w:rsid w:val="000E432D"/>
    <w:rsid w:val="000E4DA1"/>
    <w:rsid w:val="000E51FD"/>
    <w:rsid w:val="000E7E3F"/>
    <w:rsid w:val="000F003B"/>
    <w:rsid w:val="000F0CD8"/>
    <w:rsid w:val="000F3B74"/>
    <w:rsid w:val="000F4950"/>
    <w:rsid w:val="000F55AE"/>
    <w:rsid w:val="000F5FB8"/>
    <w:rsid w:val="000F651C"/>
    <w:rsid w:val="000F6659"/>
    <w:rsid w:val="0010223D"/>
    <w:rsid w:val="00106AE8"/>
    <w:rsid w:val="00106B29"/>
    <w:rsid w:val="00106D82"/>
    <w:rsid w:val="00106F01"/>
    <w:rsid w:val="00110CAD"/>
    <w:rsid w:val="00112E3C"/>
    <w:rsid w:val="00113B45"/>
    <w:rsid w:val="00115042"/>
    <w:rsid w:val="00116AE7"/>
    <w:rsid w:val="00123D2D"/>
    <w:rsid w:val="00124985"/>
    <w:rsid w:val="001250A6"/>
    <w:rsid w:val="001273A1"/>
    <w:rsid w:val="001315D8"/>
    <w:rsid w:val="00133EB5"/>
    <w:rsid w:val="001344CF"/>
    <w:rsid w:val="001367FE"/>
    <w:rsid w:val="00136C61"/>
    <w:rsid w:val="001372A4"/>
    <w:rsid w:val="00140A0E"/>
    <w:rsid w:val="0014183D"/>
    <w:rsid w:val="00141D37"/>
    <w:rsid w:val="00141D8C"/>
    <w:rsid w:val="001420A7"/>
    <w:rsid w:val="00143047"/>
    <w:rsid w:val="00143FDC"/>
    <w:rsid w:val="00145CB2"/>
    <w:rsid w:val="001477B8"/>
    <w:rsid w:val="0014783E"/>
    <w:rsid w:val="00150989"/>
    <w:rsid w:val="00150F1D"/>
    <w:rsid w:val="00151041"/>
    <w:rsid w:val="00153678"/>
    <w:rsid w:val="001638E3"/>
    <w:rsid w:val="00163997"/>
    <w:rsid w:val="001639B6"/>
    <w:rsid w:val="00163AB8"/>
    <w:rsid w:val="00163C46"/>
    <w:rsid w:val="0016623D"/>
    <w:rsid w:val="001700C9"/>
    <w:rsid w:val="00171739"/>
    <w:rsid w:val="00172C52"/>
    <w:rsid w:val="00172CA5"/>
    <w:rsid w:val="00172D06"/>
    <w:rsid w:val="0017467E"/>
    <w:rsid w:val="00175B80"/>
    <w:rsid w:val="00180A60"/>
    <w:rsid w:val="00180F71"/>
    <w:rsid w:val="0018144A"/>
    <w:rsid w:val="00181A90"/>
    <w:rsid w:val="001830FE"/>
    <w:rsid w:val="0018366A"/>
    <w:rsid w:val="00185D0E"/>
    <w:rsid w:val="0018743A"/>
    <w:rsid w:val="001879A9"/>
    <w:rsid w:val="00192BF8"/>
    <w:rsid w:val="0019448C"/>
    <w:rsid w:val="00195676"/>
    <w:rsid w:val="001A008D"/>
    <w:rsid w:val="001A0CB7"/>
    <w:rsid w:val="001A0FA5"/>
    <w:rsid w:val="001A1832"/>
    <w:rsid w:val="001A1945"/>
    <w:rsid w:val="001A2D03"/>
    <w:rsid w:val="001A4893"/>
    <w:rsid w:val="001A48F1"/>
    <w:rsid w:val="001A49C8"/>
    <w:rsid w:val="001A6894"/>
    <w:rsid w:val="001A6AB9"/>
    <w:rsid w:val="001A6CB0"/>
    <w:rsid w:val="001A721A"/>
    <w:rsid w:val="001B0119"/>
    <w:rsid w:val="001B0B64"/>
    <w:rsid w:val="001B1DB2"/>
    <w:rsid w:val="001B3AF2"/>
    <w:rsid w:val="001B5B93"/>
    <w:rsid w:val="001B7535"/>
    <w:rsid w:val="001B78C5"/>
    <w:rsid w:val="001C0215"/>
    <w:rsid w:val="001C26B8"/>
    <w:rsid w:val="001C3417"/>
    <w:rsid w:val="001C3F3E"/>
    <w:rsid w:val="001C43BD"/>
    <w:rsid w:val="001C52AA"/>
    <w:rsid w:val="001C5652"/>
    <w:rsid w:val="001C632A"/>
    <w:rsid w:val="001C6454"/>
    <w:rsid w:val="001D05D6"/>
    <w:rsid w:val="001D614B"/>
    <w:rsid w:val="001D6B80"/>
    <w:rsid w:val="001D7DAC"/>
    <w:rsid w:val="001E599D"/>
    <w:rsid w:val="001E6A74"/>
    <w:rsid w:val="001F41D0"/>
    <w:rsid w:val="001F4E79"/>
    <w:rsid w:val="001F5BB2"/>
    <w:rsid w:val="001F713E"/>
    <w:rsid w:val="001F79AA"/>
    <w:rsid w:val="001F7A7D"/>
    <w:rsid w:val="001F7B8D"/>
    <w:rsid w:val="0020130C"/>
    <w:rsid w:val="0020158C"/>
    <w:rsid w:val="00201ABF"/>
    <w:rsid w:val="002022A7"/>
    <w:rsid w:val="00206271"/>
    <w:rsid w:val="002075FA"/>
    <w:rsid w:val="002103A7"/>
    <w:rsid w:val="00212555"/>
    <w:rsid w:val="002139A3"/>
    <w:rsid w:val="0021516F"/>
    <w:rsid w:val="0021796B"/>
    <w:rsid w:val="00217980"/>
    <w:rsid w:val="002207B5"/>
    <w:rsid w:val="00220F16"/>
    <w:rsid w:val="002213DD"/>
    <w:rsid w:val="00221D1F"/>
    <w:rsid w:val="002249AA"/>
    <w:rsid w:val="0022539B"/>
    <w:rsid w:val="00225CCF"/>
    <w:rsid w:val="00226382"/>
    <w:rsid w:val="002266F4"/>
    <w:rsid w:val="00227FA1"/>
    <w:rsid w:val="00232020"/>
    <w:rsid w:val="00235866"/>
    <w:rsid w:val="00235C8D"/>
    <w:rsid w:val="00240DF8"/>
    <w:rsid w:val="00241425"/>
    <w:rsid w:val="00243963"/>
    <w:rsid w:val="00244EB0"/>
    <w:rsid w:val="00245D5E"/>
    <w:rsid w:val="00247FD9"/>
    <w:rsid w:val="0025023B"/>
    <w:rsid w:val="00250600"/>
    <w:rsid w:val="0025096A"/>
    <w:rsid w:val="00250DA6"/>
    <w:rsid w:val="00254328"/>
    <w:rsid w:val="002543F7"/>
    <w:rsid w:val="00254692"/>
    <w:rsid w:val="00254C5B"/>
    <w:rsid w:val="002573C1"/>
    <w:rsid w:val="002574FE"/>
    <w:rsid w:val="002606CD"/>
    <w:rsid w:val="00260A99"/>
    <w:rsid w:val="00263820"/>
    <w:rsid w:val="002640A3"/>
    <w:rsid w:val="00266629"/>
    <w:rsid w:val="00266999"/>
    <w:rsid w:val="00270433"/>
    <w:rsid w:val="0027192D"/>
    <w:rsid w:val="00273A43"/>
    <w:rsid w:val="00273C9F"/>
    <w:rsid w:val="002745E5"/>
    <w:rsid w:val="00276EDC"/>
    <w:rsid w:val="0028080A"/>
    <w:rsid w:val="00280A3B"/>
    <w:rsid w:val="00280BF4"/>
    <w:rsid w:val="00281F3D"/>
    <w:rsid w:val="0028305F"/>
    <w:rsid w:val="00284183"/>
    <w:rsid w:val="002873ED"/>
    <w:rsid w:val="00287748"/>
    <w:rsid w:val="002961E8"/>
    <w:rsid w:val="00296C6D"/>
    <w:rsid w:val="00297DEB"/>
    <w:rsid w:val="002A0CB6"/>
    <w:rsid w:val="002A2BAA"/>
    <w:rsid w:val="002A2FB8"/>
    <w:rsid w:val="002A4D34"/>
    <w:rsid w:val="002A7E1F"/>
    <w:rsid w:val="002B6142"/>
    <w:rsid w:val="002C11D0"/>
    <w:rsid w:val="002C226C"/>
    <w:rsid w:val="002C40BF"/>
    <w:rsid w:val="002C5437"/>
    <w:rsid w:val="002D6347"/>
    <w:rsid w:val="002D6AFF"/>
    <w:rsid w:val="002D72BE"/>
    <w:rsid w:val="002E0948"/>
    <w:rsid w:val="002E0C62"/>
    <w:rsid w:val="002E1FE8"/>
    <w:rsid w:val="002E4FC2"/>
    <w:rsid w:val="002E5CD9"/>
    <w:rsid w:val="002E6C7D"/>
    <w:rsid w:val="002E76D9"/>
    <w:rsid w:val="002F0824"/>
    <w:rsid w:val="002F099D"/>
    <w:rsid w:val="002F0E4B"/>
    <w:rsid w:val="002F21AD"/>
    <w:rsid w:val="002F255A"/>
    <w:rsid w:val="002F339B"/>
    <w:rsid w:val="002F42EA"/>
    <w:rsid w:val="002F4E88"/>
    <w:rsid w:val="002F616F"/>
    <w:rsid w:val="0030008B"/>
    <w:rsid w:val="00300B60"/>
    <w:rsid w:val="0030208A"/>
    <w:rsid w:val="003041FA"/>
    <w:rsid w:val="00304B56"/>
    <w:rsid w:val="00306766"/>
    <w:rsid w:val="00310BBD"/>
    <w:rsid w:val="003128FE"/>
    <w:rsid w:val="0031797E"/>
    <w:rsid w:val="00323A9F"/>
    <w:rsid w:val="00323F05"/>
    <w:rsid w:val="00325263"/>
    <w:rsid w:val="00327FD5"/>
    <w:rsid w:val="0033012F"/>
    <w:rsid w:val="00330BB5"/>
    <w:rsid w:val="00331684"/>
    <w:rsid w:val="00331A4D"/>
    <w:rsid w:val="003340BB"/>
    <w:rsid w:val="003342CD"/>
    <w:rsid w:val="00335042"/>
    <w:rsid w:val="003407E9"/>
    <w:rsid w:val="003422EF"/>
    <w:rsid w:val="00342EC8"/>
    <w:rsid w:val="003436BC"/>
    <w:rsid w:val="00343B9C"/>
    <w:rsid w:val="00345167"/>
    <w:rsid w:val="00346DDB"/>
    <w:rsid w:val="003473EF"/>
    <w:rsid w:val="00353979"/>
    <w:rsid w:val="00353ACD"/>
    <w:rsid w:val="0035686D"/>
    <w:rsid w:val="00357C9B"/>
    <w:rsid w:val="00360E92"/>
    <w:rsid w:val="00361228"/>
    <w:rsid w:val="00362B70"/>
    <w:rsid w:val="00362F2B"/>
    <w:rsid w:val="0036368F"/>
    <w:rsid w:val="00366D15"/>
    <w:rsid w:val="00366FA2"/>
    <w:rsid w:val="00367348"/>
    <w:rsid w:val="0036748A"/>
    <w:rsid w:val="00367D4F"/>
    <w:rsid w:val="003706CA"/>
    <w:rsid w:val="00372244"/>
    <w:rsid w:val="003737E2"/>
    <w:rsid w:val="00373B5A"/>
    <w:rsid w:val="0037568F"/>
    <w:rsid w:val="00376838"/>
    <w:rsid w:val="0037722A"/>
    <w:rsid w:val="003777E6"/>
    <w:rsid w:val="00377970"/>
    <w:rsid w:val="00377C85"/>
    <w:rsid w:val="00377EC1"/>
    <w:rsid w:val="003840D7"/>
    <w:rsid w:val="0038662D"/>
    <w:rsid w:val="00386D34"/>
    <w:rsid w:val="0038772B"/>
    <w:rsid w:val="00390BDB"/>
    <w:rsid w:val="00392BBA"/>
    <w:rsid w:val="00392C1E"/>
    <w:rsid w:val="003937D3"/>
    <w:rsid w:val="003954FD"/>
    <w:rsid w:val="003961EE"/>
    <w:rsid w:val="00397FD7"/>
    <w:rsid w:val="003A03B1"/>
    <w:rsid w:val="003A0942"/>
    <w:rsid w:val="003A1061"/>
    <w:rsid w:val="003A1780"/>
    <w:rsid w:val="003A1DEA"/>
    <w:rsid w:val="003A42C5"/>
    <w:rsid w:val="003A4CFB"/>
    <w:rsid w:val="003A7706"/>
    <w:rsid w:val="003A7CD5"/>
    <w:rsid w:val="003B098A"/>
    <w:rsid w:val="003B1BA3"/>
    <w:rsid w:val="003B6EFE"/>
    <w:rsid w:val="003C014C"/>
    <w:rsid w:val="003C117C"/>
    <w:rsid w:val="003C224B"/>
    <w:rsid w:val="003C513D"/>
    <w:rsid w:val="003C7449"/>
    <w:rsid w:val="003C7907"/>
    <w:rsid w:val="003C7D75"/>
    <w:rsid w:val="003D23C8"/>
    <w:rsid w:val="003D34B4"/>
    <w:rsid w:val="003D3FC1"/>
    <w:rsid w:val="003D60D7"/>
    <w:rsid w:val="003D7ED4"/>
    <w:rsid w:val="003E081A"/>
    <w:rsid w:val="003E0C47"/>
    <w:rsid w:val="003E1CE3"/>
    <w:rsid w:val="003E40A4"/>
    <w:rsid w:val="003E59E0"/>
    <w:rsid w:val="003E6A6A"/>
    <w:rsid w:val="003F0173"/>
    <w:rsid w:val="003F0528"/>
    <w:rsid w:val="003F0E7E"/>
    <w:rsid w:val="003F29A8"/>
    <w:rsid w:val="003F2E53"/>
    <w:rsid w:val="003F34BB"/>
    <w:rsid w:val="003F4278"/>
    <w:rsid w:val="00401098"/>
    <w:rsid w:val="00404016"/>
    <w:rsid w:val="0040449A"/>
    <w:rsid w:val="00405071"/>
    <w:rsid w:val="004052AB"/>
    <w:rsid w:val="004057DB"/>
    <w:rsid w:val="00406D1F"/>
    <w:rsid w:val="00407929"/>
    <w:rsid w:val="00411686"/>
    <w:rsid w:val="004134C8"/>
    <w:rsid w:val="00416BB6"/>
    <w:rsid w:val="00421804"/>
    <w:rsid w:val="0042267E"/>
    <w:rsid w:val="0042317A"/>
    <w:rsid w:val="00427D55"/>
    <w:rsid w:val="004330A7"/>
    <w:rsid w:val="00434CCE"/>
    <w:rsid w:val="004372B6"/>
    <w:rsid w:val="0044001E"/>
    <w:rsid w:val="00440F6D"/>
    <w:rsid w:val="004429C7"/>
    <w:rsid w:val="00442BCE"/>
    <w:rsid w:val="00443D38"/>
    <w:rsid w:val="004452BA"/>
    <w:rsid w:val="0044642C"/>
    <w:rsid w:val="00446B87"/>
    <w:rsid w:val="004504EC"/>
    <w:rsid w:val="0045181B"/>
    <w:rsid w:val="00451B3F"/>
    <w:rsid w:val="00451FA0"/>
    <w:rsid w:val="00455634"/>
    <w:rsid w:val="0046084D"/>
    <w:rsid w:val="00462095"/>
    <w:rsid w:val="00462899"/>
    <w:rsid w:val="0046318E"/>
    <w:rsid w:val="004636CE"/>
    <w:rsid w:val="0046412B"/>
    <w:rsid w:val="0046459D"/>
    <w:rsid w:val="004655C9"/>
    <w:rsid w:val="00465832"/>
    <w:rsid w:val="004710A5"/>
    <w:rsid w:val="00471E9D"/>
    <w:rsid w:val="0047333B"/>
    <w:rsid w:val="00475243"/>
    <w:rsid w:val="004764C8"/>
    <w:rsid w:val="00480121"/>
    <w:rsid w:val="00482772"/>
    <w:rsid w:val="00482971"/>
    <w:rsid w:val="00482B81"/>
    <w:rsid w:val="00482D4C"/>
    <w:rsid w:val="00483534"/>
    <w:rsid w:val="004857CD"/>
    <w:rsid w:val="00487B51"/>
    <w:rsid w:val="004902FC"/>
    <w:rsid w:val="00490D13"/>
    <w:rsid w:val="0049308D"/>
    <w:rsid w:val="00493A50"/>
    <w:rsid w:val="00495293"/>
    <w:rsid w:val="004A1EBB"/>
    <w:rsid w:val="004A2096"/>
    <w:rsid w:val="004A4A78"/>
    <w:rsid w:val="004A4F08"/>
    <w:rsid w:val="004B0463"/>
    <w:rsid w:val="004B07FC"/>
    <w:rsid w:val="004B3C0F"/>
    <w:rsid w:val="004B3F0F"/>
    <w:rsid w:val="004B40A6"/>
    <w:rsid w:val="004B4544"/>
    <w:rsid w:val="004B785D"/>
    <w:rsid w:val="004C05E4"/>
    <w:rsid w:val="004C136D"/>
    <w:rsid w:val="004C1692"/>
    <w:rsid w:val="004C1929"/>
    <w:rsid w:val="004C5C23"/>
    <w:rsid w:val="004D0DA0"/>
    <w:rsid w:val="004D123F"/>
    <w:rsid w:val="004D1632"/>
    <w:rsid w:val="004D2979"/>
    <w:rsid w:val="004D4B99"/>
    <w:rsid w:val="004D7F8C"/>
    <w:rsid w:val="004E08F8"/>
    <w:rsid w:val="004E137C"/>
    <w:rsid w:val="004E39E1"/>
    <w:rsid w:val="004E6C19"/>
    <w:rsid w:val="004F1030"/>
    <w:rsid w:val="004F25FE"/>
    <w:rsid w:val="004F26CC"/>
    <w:rsid w:val="004F2800"/>
    <w:rsid w:val="004F3A7B"/>
    <w:rsid w:val="004F4D50"/>
    <w:rsid w:val="004F5282"/>
    <w:rsid w:val="004F56D0"/>
    <w:rsid w:val="004F78BB"/>
    <w:rsid w:val="00500745"/>
    <w:rsid w:val="00503E44"/>
    <w:rsid w:val="00505EF9"/>
    <w:rsid w:val="0050639C"/>
    <w:rsid w:val="00507DDE"/>
    <w:rsid w:val="00515283"/>
    <w:rsid w:val="00515C09"/>
    <w:rsid w:val="005179C1"/>
    <w:rsid w:val="005221A5"/>
    <w:rsid w:val="0052297F"/>
    <w:rsid w:val="005246EB"/>
    <w:rsid w:val="0052565D"/>
    <w:rsid w:val="00526FEA"/>
    <w:rsid w:val="005279CA"/>
    <w:rsid w:val="00531883"/>
    <w:rsid w:val="00533926"/>
    <w:rsid w:val="005346A4"/>
    <w:rsid w:val="00535702"/>
    <w:rsid w:val="00536EDF"/>
    <w:rsid w:val="005374FB"/>
    <w:rsid w:val="00537802"/>
    <w:rsid w:val="00537A3B"/>
    <w:rsid w:val="005406C0"/>
    <w:rsid w:val="005413F3"/>
    <w:rsid w:val="00541782"/>
    <w:rsid w:val="00541F9D"/>
    <w:rsid w:val="00543BA7"/>
    <w:rsid w:val="00544911"/>
    <w:rsid w:val="00544D0A"/>
    <w:rsid w:val="00545E28"/>
    <w:rsid w:val="00546D27"/>
    <w:rsid w:val="00547EBC"/>
    <w:rsid w:val="00551894"/>
    <w:rsid w:val="005518C0"/>
    <w:rsid w:val="005518CE"/>
    <w:rsid w:val="00551C14"/>
    <w:rsid w:val="005523E4"/>
    <w:rsid w:val="0055250E"/>
    <w:rsid w:val="005529A6"/>
    <w:rsid w:val="00555F6A"/>
    <w:rsid w:val="0055675D"/>
    <w:rsid w:val="005617DE"/>
    <w:rsid w:val="0056235A"/>
    <w:rsid w:val="00564AC1"/>
    <w:rsid w:val="00564F5D"/>
    <w:rsid w:val="00565E7F"/>
    <w:rsid w:val="00566E8F"/>
    <w:rsid w:val="0057422E"/>
    <w:rsid w:val="005778A8"/>
    <w:rsid w:val="005819EE"/>
    <w:rsid w:val="00582FEA"/>
    <w:rsid w:val="005833BE"/>
    <w:rsid w:val="00583743"/>
    <w:rsid w:val="00583C8F"/>
    <w:rsid w:val="0058558F"/>
    <w:rsid w:val="005871FD"/>
    <w:rsid w:val="00590728"/>
    <w:rsid w:val="00591CD5"/>
    <w:rsid w:val="00592BFA"/>
    <w:rsid w:val="00593B7F"/>
    <w:rsid w:val="0059438F"/>
    <w:rsid w:val="00594C0E"/>
    <w:rsid w:val="005968D5"/>
    <w:rsid w:val="005969CA"/>
    <w:rsid w:val="005A1365"/>
    <w:rsid w:val="005A55F5"/>
    <w:rsid w:val="005A7774"/>
    <w:rsid w:val="005B01A6"/>
    <w:rsid w:val="005B02AB"/>
    <w:rsid w:val="005B1527"/>
    <w:rsid w:val="005B1803"/>
    <w:rsid w:val="005B6FAF"/>
    <w:rsid w:val="005C0587"/>
    <w:rsid w:val="005C23D0"/>
    <w:rsid w:val="005C5203"/>
    <w:rsid w:val="005C58F8"/>
    <w:rsid w:val="005C5DC6"/>
    <w:rsid w:val="005C71FF"/>
    <w:rsid w:val="005C72BF"/>
    <w:rsid w:val="005D1D7F"/>
    <w:rsid w:val="005D34A7"/>
    <w:rsid w:val="005D3D18"/>
    <w:rsid w:val="005D63EB"/>
    <w:rsid w:val="005D6893"/>
    <w:rsid w:val="005D7573"/>
    <w:rsid w:val="005D7D5A"/>
    <w:rsid w:val="005E04AA"/>
    <w:rsid w:val="005E4BAC"/>
    <w:rsid w:val="005E4FF8"/>
    <w:rsid w:val="005E6B58"/>
    <w:rsid w:val="005E6FCA"/>
    <w:rsid w:val="005F0C29"/>
    <w:rsid w:val="005F1CD2"/>
    <w:rsid w:val="005F2801"/>
    <w:rsid w:val="005F321B"/>
    <w:rsid w:val="005F3BEC"/>
    <w:rsid w:val="005F43D4"/>
    <w:rsid w:val="005F5019"/>
    <w:rsid w:val="0060130D"/>
    <w:rsid w:val="006042B7"/>
    <w:rsid w:val="00613AE3"/>
    <w:rsid w:val="0061485B"/>
    <w:rsid w:val="006148C2"/>
    <w:rsid w:val="00614C98"/>
    <w:rsid w:val="00615E3E"/>
    <w:rsid w:val="006160CD"/>
    <w:rsid w:val="0061660B"/>
    <w:rsid w:val="00620D70"/>
    <w:rsid w:val="00622549"/>
    <w:rsid w:val="00626CE8"/>
    <w:rsid w:val="0062729D"/>
    <w:rsid w:val="00627CDE"/>
    <w:rsid w:val="00631123"/>
    <w:rsid w:val="00634EEA"/>
    <w:rsid w:val="00635181"/>
    <w:rsid w:val="00636A7C"/>
    <w:rsid w:val="00636F25"/>
    <w:rsid w:val="00640700"/>
    <w:rsid w:val="00640BE8"/>
    <w:rsid w:val="0064129F"/>
    <w:rsid w:val="00647BB7"/>
    <w:rsid w:val="00647E06"/>
    <w:rsid w:val="0065183D"/>
    <w:rsid w:val="00651DD5"/>
    <w:rsid w:val="006523B7"/>
    <w:rsid w:val="00655489"/>
    <w:rsid w:val="0065563B"/>
    <w:rsid w:val="0065570F"/>
    <w:rsid w:val="006570BE"/>
    <w:rsid w:val="00657137"/>
    <w:rsid w:val="00657E52"/>
    <w:rsid w:val="00660DB0"/>
    <w:rsid w:val="00660F34"/>
    <w:rsid w:val="00662312"/>
    <w:rsid w:val="00662C6C"/>
    <w:rsid w:val="006643E5"/>
    <w:rsid w:val="006655C8"/>
    <w:rsid w:val="0067027E"/>
    <w:rsid w:val="00670856"/>
    <w:rsid w:val="00674EA0"/>
    <w:rsid w:val="00675E47"/>
    <w:rsid w:val="006774A7"/>
    <w:rsid w:val="00677F3F"/>
    <w:rsid w:val="006800D6"/>
    <w:rsid w:val="00680297"/>
    <w:rsid w:val="00680D22"/>
    <w:rsid w:val="006810E6"/>
    <w:rsid w:val="006812C0"/>
    <w:rsid w:val="00684C46"/>
    <w:rsid w:val="00685263"/>
    <w:rsid w:val="00685336"/>
    <w:rsid w:val="00687320"/>
    <w:rsid w:val="006873CE"/>
    <w:rsid w:val="006877DF"/>
    <w:rsid w:val="0068781F"/>
    <w:rsid w:val="00687DF3"/>
    <w:rsid w:val="006924F9"/>
    <w:rsid w:val="0069392B"/>
    <w:rsid w:val="006942BA"/>
    <w:rsid w:val="0069445D"/>
    <w:rsid w:val="0069573C"/>
    <w:rsid w:val="00695DA6"/>
    <w:rsid w:val="00696392"/>
    <w:rsid w:val="00697E4D"/>
    <w:rsid w:val="006A02E5"/>
    <w:rsid w:val="006A0786"/>
    <w:rsid w:val="006A2A72"/>
    <w:rsid w:val="006A2ED9"/>
    <w:rsid w:val="006A3516"/>
    <w:rsid w:val="006A6A1D"/>
    <w:rsid w:val="006A7718"/>
    <w:rsid w:val="006A77D9"/>
    <w:rsid w:val="006A7852"/>
    <w:rsid w:val="006B3A75"/>
    <w:rsid w:val="006B602B"/>
    <w:rsid w:val="006B79E1"/>
    <w:rsid w:val="006C200C"/>
    <w:rsid w:val="006C4A39"/>
    <w:rsid w:val="006C5128"/>
    <w:rsid w:val="006C5B07"/>
    <w:rsid w:val="006C64DF"/>
    <w:rsid w:val="006D0287"/>
    <w:rsid w:val="006D0D98"/>
    <w:rsid w:val="006D13B5"/>
    <w:rsid w:val="006D1452"/>
    <w:rsid w:val="006D1B62"/>
    <w:rsid w:val="006D2A3D"/>
    <w:rsid w:val="006D5A9D"/>
    <w:rsid w:val="006D60B3"/>
    <w:rsid w:val="006D6325"/>
    <w:rsid w:val="006D66CE"/>
    <w:rsid w:val="006E079C"/>
    <w:rsid w:val="006E090A"/>
    <w:rsid w:val="006E0AA6"/>
    <w:rsid w:val="006E213C"/>
    <w:rsid w:val="006E5FA5"/>
    <w:rsid w:val="006E7752"/>
    <w:rsid w:val="006F0BD0"/>
    <w:rsid w:val="006F1371"/>
    <w:rsid w:val="006F3860"/>
    <w:rsid w:val="006F3B4D"/>
    <w:rsid w:val="006F62F7"/>
    <w:rsid w:val="006F7436"/>
    <w:rsid w:val="006F7C08"/>
    <w:rsid w:val="007000BA"/>
    <w:rsid w:val="00700B5F"/>
    <w:rsid w:val="00704020"/>
    <w:rsid w:val="007067BE"/>
    <w:rsid w:val="00706A92"/>
    <w:rsid w:val="00707224"/>
    <w:rsid w:val="007073AF"/>
    <w:rsid w:val="00710E94"/>
    <w:rsid w:val="00712BCB"/>
    <w:rsid w:val="00713266"/>
    <w:rsid w:val="0071512D"/>
    <w:rsid w:val="0071723E"/>
    <w:rsid w:val="0072108B"/>
    <w:rsid w:val="0072158A"/>
    <w:rsid w:val="00721F52"/>
    <w:rsid w:val="00722A14"/>
    <w:rsid w:val="00723EAE"/>
    <w:rsid w:val="007254F7"/>
    <w:rsid w:val="007269DC"/>
    <w:rsid w:val="00727D8A"/>
    <w:rsid w:val="00730A43"/>
    <w:rsid w:val="00730BB8"/>
    <w:rsid w:val="00731FEA"/>
    <w:rsid w:val="00732ABE"/>
    <w:rsid w:val="00733B86"/>
    <w:rsid w:val="0073458D"/>
    <w:rsid w:val="007350FE"/>
    <w:rsid w:val="00736F61"/>
    <w:rsid w:val="00740668"/>
    <w:rsid w:val="00741A15"/>
    <w:rsid w:val="00742253"/>
    <w:rsid w:val="00742AAD"/>
    <w:rsid w:val="00743699"/>
    <w:rsid w:val="00745374"/>
    <w:rsid w:val="007467AF"/>
    <w:rsid w:val="00750805"/>
    <w:rsid w:val="00750A98"/>
    <w:rsid w:val="00751409"/>
    <w:rsid w:val="00752DFB"/>
    <w:rsid w:val="00757D10"/>
    <w:rsid w:val="00757E17"/>
    <w:rsid w:val="00760497"/>
    <w:rsid w:val="00760AE7"/>
    <w:rsid w:val="0076136B"/>
    <w:rsid w:val="00762F00"/>
    <w:rsid w:val="0076339C"/>
    <w:rsid w:val="0076486B"/>
    <w:rsid w:val="00765351"/>
    <w:rsid w:val="007653EC"/>
    <w:rsid w:val="007659C2"/>
    <w:rsid w:val="007662C7"/>
    <w:rsid w:val="00766FDF"/>
    <w:rsid w:val="007704C2"/>
    <w:rsid w:val="00772ABF"/>
    <w:rsid w:val="00776306"/>
    <w:rsid w:val="007767DB"/>
    <w:rsid w:val="007768FB"/>
    <w:rsid w:val="00780D8E"/>
    <w:rsid w:val="00782EB2"/>
    <w:rsid w:val="00783F17"/>
    <w:rsid w:val="00783F86"/>
    <w:rsid w:val="007842B8"/>
    <w:rsid w:val="00784305"/>
    <w:rsid w:val="00785D6E"/>
    <w:rsid w:val="007860A4"/>
    <w:rsid w:val="007903EA"/>
    <w:rsid w:val="00791042"/>
    <w:rsid w:val="00791A3A"/>
    <w:rsid w:val="00791AA2"/>
    <w:rsid w:val="00791CBF"/>
    <w:rsid w:val="00792A17"/>
    <w:rsid w:val="00793097"/>
    <w:rsid w:val="00794CF5"/>
    <w:rsid w:val="00796D34"/>
    <w:rsid w:val="00796D4B"/>
    <w:rsid w:val="007A07B3"/>
    <w:rsid w:val="007A1F58"/>
    <w:rsid w:val="007A2A42"/>
    <w:rsid w:val="007A32FF"/>
    <w:rsid w:val="007A4F89"/>
    <w:rsid w:val="007A55A7"/>
    <w:rsid w:val="007A6A9B"/>
    <w:rsid w:val="007A733D"/>
    <w:rsid w:val="007A7BEF"/>
    <w:rsid w:val="007B0B46"/>
    <w:rsid w:val="007B12D9"/>
    <w:rsid w:val="007B1F10"/>
    <w:rsid w:val="007B335E"/>
    <w:rsid w:val="007B35FE"/>
    <w:rsid w:val="007B3832"/>
    <w:rsid w:val="007B57D0"/>
    <w:rsid w:val="007B756D"/>
    <w:rsid w:val="007C002D"/>
    <w:rsid w:val="007C0CED"/>
    <w:rsid w:val="007C1C84"/>
    <w:rsid w:val="007C4EA9"/>
    <w:rsid w:val="007C68E7"/>
    <w:rsid w:val="007C6E3D"/>
    <w:rsid w:val="007C7CCF"/>
    <w:rsid w:val="007C7F9F"/>
    <w:rsid w:val="007D0326"/>
    <w:rsid w:val="007D044C"/>
    <w:rsid w:val="007D0B60"/>
    <w:rsid w:val="007D0C2C"/>
    <w:rsid w:val="007D4AF9"/>
    <w:rsid w:val="007D6705"/>
    <w:rsid w:val="007E0056"/>
    <w:rsid w:val="007E018D"/>
    <w:rsid w:val="007E086A"/>
    <w:rsid w:val="007E28BC"/>
    <w:rsid w:val="007E3907"/>
    <w:rsid w:val="007E6436"/>
    <w:rsid w:val="007F0597"/>
    <w:rsid w:val="007F1B71"/>
    <w:rsid w:val="007F22F9"/>
    <w:rsid w:val="007F341C"/>
    <w:rsid w:val="007F3CAB"/>
    <w:rsid w:val="007F4433"/>
    <w:rsid w:val="007F48B1"/>
    <w:rsid w:val="007F77D9"/>
    <w:rsid w:val="00800193"/>
    <w:rsid w:val="00800838"/>
    <w:rsid w:val="00800FED"/>
    <w:rsid w:val="008040E0"/>
    <w:rsid w:val="0080698C"/>
    <w:rsid w:val="008075DF"/>
    <w:rsid w:val="00807E7D"/>
    <w:rsid w:val="008107D8"/>
    <w:rsid w:val="008123E4"/>
    <w:rsid w:val="00813060"/>
    <w:rsid w:val="008141A8"/>
    <w:rsid w:val="00814EF5"/>
    <w:rsid w:val="00817D77"/>
    <w:rsid w:val="00817F63"/>
    <w:rsid w:val="00820812"/>
    <w:rsid w:val="008307C2"/>
    <w:rsid w:val="00831675"/>
    <w:rsid w:val="00832214"/>
    <w:rsid w:val="008330E8"/>
    <w:rsid w:val="008332FF"/>
    <w:rsid w:val="008339B0"/>
    <w:rsid w:val="00833AB0"/>
    <w:rsid w:val="008354E1"/>
    <w:rsid w:val="008364E7"/>
    <w:rsid w:val="008430F8"/>
    <w:rsid w:val="0084425F"/>
    <w:rsid w:val="00845340"/>
    <w:rsid w:val="0084638E"/>
    <w:rsid w:val="00846D6B"/>
    <w:rsid w:val="008506E0"/>
    <w:rsid w:val="00851BD5"/>
    <w:rsid w:val="00853AE3"/>
    <w:rsid w:val="00854F5F"/>
    <w:rsid w:val="008562CA"/>
    <w:rsid w:val="00863371"/>
    <w:rsid w:val="0086633F"/>
    <w:rsid w:val="008709D8"/>
    <w:rsid w:val="00871A20"/>
    <w:rsid w:val="00871ECE"/>
    <w:rsid w:val="008720A0"/>
    <w:rsid w:val="00875E00"/>
    <w:rsid w:val="008771C8"/>
    <w:rsid w:val="00881486"/>
    <w:rsid w:val="00883494"/>
    <w:rsid w:val="00883F3B"/>
    <w:rsid w:val="00884249"/>
    <w:rsid w:val="0088467C"/>
    <w:rsid w:val="0088598A"/>
    <w:rsid w:val="00885C84"/>
    <w:rsid w:val="0088642B"/>
    <w:rsid w:val="00887394"/>
    <w:rsid w:val="00892E80"/>
    <w:rsid w:val="00893F2B"/>
    <w:rsid w:val="00894579"/>
    <w:rsid w:val="00895EF2"/>
    <w:rsid w:val="008A2D02"/>
    <w:rsid w:val="008A4298"/>
    <w:rsid w:val="008A49A5"/>
    <w:rsid w:val="008A5B67"/>
    <w:rsid w:val="008B3137"/>
    <w:rsid w:val="008B7062"/>
    <w:rsid w:val="008B736F"/>
    <w:rsid w:val="008C00C7"/>
    <w:rsid w:val="008C40D5"/>
    <w:rsid w:val="008C5305"/>
    <w:rsid w:val="008C7570"/>
    <w:rsid w:val="008D07F7"/>
    <w:rsid w:val="008D0A51"/>
    <w:rsid w:val="008D0DB9"/>
    <w:rsid w:val="008D16F7"/>
    <w:rsid w:val="008D219F"/>
    <w:rsid w:val="008D3249"/>
    <w:rsid w:val="008D3DB2"/>
    <w:rsid w:val="008D5752"/>
    <w:rsid w:val="008D61A8"/>
    <w:rsid w:val="008D66E2"/>
    <w:rsid w:val="008D6DE8"/>
    <w:rsid w:val="008D778E"/>
    <w:rsid w:val="008D7E95"/>
    <w:rsid w:val="008E0BB5"/>
    <w:rsid w:val="008E1427"/>
    <w:rsid w:val="008E1789"/>
    <w:rsid w:val="008E5084"/>
    <w:rsid w:val="008E5EF4"/>
    <w:rsid w:val="008E6373"/>
    <w:rsid w:val="008F1753"/>
    <w:rsid w:val="008F45A9"/>
    <w:rsid w:val="008F542C"/>
    <w:rsid w:val="008F5E50"/>
    <w:rsid w:val="008F71A1"/>
    <w:rsid w:val="008F7FEB"/>
    <w:rsid w:val="009034FB"/>
    <w:rsid w:val="00904338"/>
    <w:rsid w:val="009061B5"/>
    <w:rsid w:val="00906909"/>
    <w:rsid w:val="0090799C"/>
    <w:rsid w:val="00910C21"/>
    <w:rsid w:val="009143A0"/>
    <w:rsid w:val="00915972"/>
    <w:rsid w:val="009172B0"/>
    <w:rsid w:val="00920BBD"/>
    <w:rsid w:val="00921736"/>
    <w:rsid w:val="00922DFD"/>
    <w:rsid w:val="0092356B"/>
    <w:rsid w:val="009244F8"/>
    <w:rsid w:val="009259A5"/>
    <w:rsid w:val="00932043"/>
    <w:rsid w:val="00936525"/>
    <w:rsid w:val="00936902"/>
    <w:rsid w:val="009371CF"/>
    <w:rsid w:val="00937954"/>
    <w:rsid w:val="00942A69"/>
    <w:rsid w:val="0095069C"/>
    <w:rsid w:val="00952BDB"/>
    <w:rsid w:val="00954679"/>
    <w:rsid w:val="00954FF8"/>
    <w:rsid w:val="00956A83"/>
    <w:rsid w:val="00961321"/>
    <w:rsid w:val="00961434"/>
    <w:rsid w:val="00964431"/>
    <w:rsid w:val="00965F7E"/>
    <w:rsid w:val="00965F9B"/>
    <w:rsid w:val="00974117"/>
    <w:rsid w:val="00974FA6"/>
    <w:rsid w:val="009754B3"/>
    <w:rsid w:val="009758E9"/>
    <w:rsid w:val="00975AC7"/>
    <w:rsid w:val="0097753C"/>
    <w:rsid w:val="00981168"/>
    <w:rsid w:val="00981CB8"/>
    <w:rsid w:val="00981E07"/>
    <w:rsid w:val="009827E1"/>
    <w:rsid w:val="009963D7"/>
    <w:rsid w:val="009A03DD"/>
    <w:rsid w:val="009A2A91"/>
    <w:rsid w:val="009A3413"/>
    <w:rsid w:val="009A6E85"/>
    <w:rsid w:val="009B0C9D"/>
    <w:rsid w:val="009B39CB"/>
    <w:rsid w:val="009B3C9A"/>
    <w:rsid w:val="009B67B0"/>
    <w:rsid w:val="009B7B15"/>
    <w:rsid w:val="009C1574"/>
    <w:rsid w:val="009C171F"/>
    <w:rsid w:val="009C293E"/>
    <w:rsid w:val="009C3A93"/>
    <w:rsid w:val="009C51BE"/>
    <w:rsid w:val="009C614C"/>
    <w:rsid w:val="009C61C3"/>
    <w:rsid w:val="009C6A1E"/>
    <w:rsid w:val="009C6A53"/>
    <w:rsid w:val="009D1D04"/>
    <w:rsid w:val="009D3914"/>
    <w:rsid w:val="009D3956"/>
    <w:rsid w:val="009D6434"/>
    <w:rsid w:val="009D6C9E"/>
    <w:rsid w:val="009D72D8"/>
    <w:rsid w:val="009E09D7"/>
    <w:rsid w:val="009E1608"/>
    <w:rsid w:val="009E24D0"/>
    <w:rsid w:val="009E2F86"/>
    <w:rsid w:val="009E3091"/>
    <w:rsid w:val="009E3E5E"/>
    <w:rsid w:val="009F0605"/>
    <w:rsid w:val="009F105E"/>
    <w:rsid w:val="009F115B"/>
    <w:rsid w:val="009F1B64"/>
    <w:rsid w:val="009F39DC"/>
    <w:rsid w:val="009F42BF"/>
    <w:rsid w:val="009F4DC4"/>
    <w:rsid w:val="009F5E00"/>
    <w:rsid w:val="00A0047A"/>
    <w:rsid w:val="00A00996"/>
    <w:rsid w:val="00A032F9"/>
    <w:rsid w:val="00A06571"/>
    <w:rsid w:val="00A06C2D"/>
    <w:rsid w:val="00A11717"/>
    <w:rsid w:val="00A11795"/>
    <w:rsid w:val="00A12209"/>
    <w:rsid w:val="00A145A7"/>
    <w:rsid w:val="00A15829"/>
    <w:rsid w:val="00A17302"/>
    <w:rsid w:val="00A20080"/>
    <w:rsid w:val="00A219D7"/>
    <w:rsid w:val="00A223E0"/>
    <w:rsid w:val="00A24FEF"/>
    <w:rsid w:val="00A309BD"/>
    <w:rsid w:val="00A36DF3"/>
    <w:rsid w:val="00A419C6"/>
    <w:rsid w:val="00A41A76"/>
    <w:rsid w:val="00A420E9"/>
    <w:rsid w:val="00A43169"/>
    <w:rsid w:val="00A438F9"/>
    <w:rsid w:val="00A43F91"/>
    <w:rsid w:val="00A44D1B"/>
    <w:rsid w:val="00A515B1"/>
    <w:rsid w:val="00A528B2"/>
    <w:rsid w:val="00A532DD"/>
    <w:rsid w:val="00A53F80"/>
    <w:rsid w:val="00A548DE"/>
    <w:rsid w:val="00A54AC7"/>
    <w:rsid w:val="00A55666"/>
    <w:rsid w:val="00A557AB"/>
    <w:rsid w:val="00A570B3"/>
    <w:rsid w:val="00A6055A"/>
    <w:rsid w:val="00A6063A"/>
    <w:rsid w:val="00A60A61"/>
    <w:rsid w:val="00A640B8"/>
    <w:rsid w:val="00A65738"/>
    <w:rsid w:val="00A67448"/>
    <w:rsid w:val="00A70651"/>
    <w:rsid w:val="00A770C3"/>
    <w:rsid w:val="00A77864"/>
    <w:rsid w:val="00A77D06"/>
    <w:rsid w:val="00A77F7B"/>
    <w:rsid w:val="00A80BCF"/>
    <w:rsid w:val="00A82AE3"/>
    <w:rsid w:val="00A82E92"/>
    <w:rsid w:val="00A8369C"/>
    <w:rsid w:val="00A839B7"/>
    <w:rsid w:val="00A84D32"/>
    <w:rsid w:val="00A90ACF"/>
    <w:rsid w:val="00A976DE"/>
    <w:rsid w:val="00AA0894"/>
    <w:rsid w:val="00AA1689"/>
    <w:rsid w:val="00AA2573"/>
    <w:rsid w:val="00AA2BFC"/>
    <w:rsid w:val="00AA3828"/>
    <w:rsid w:val="00AA38CA"/>
    <w:rsid w:val="00AA3FDD"/>
    <w:rsid w:val="00AA5770"/>
    <w:rsid w:val="00AA7834"/>
    <w:rsid w:val="00AB04B6"/>
    <w:rsid w:val="00AB6464"/>
    <w:rsid w:val="00AB6728"/>
    <w:rsid w:val="00AB6B2E"/>
    <w:rsid w:val="00AC0678"/>
    <w:rsid w:val="00AC1042"/>
    <w:rsid w:val="00AC1D15"/>
    <w:rsid w:val="00AC23C1"/>
    <w:rsid w:val="00AC2550"/>
    <w:rsid w:val="00AC5591"/>
    <w:rsid w:val="00AC59A9"/>
    <w:rsid w:val="00AC5FF6"/>
    <w:rsid w:val="00AC6AF3"/>
    <w:rsid w:val="00AD0D09"/>
    <w:rsid w:val="00AD5084"/>
    <w:rsid w:val="00AD647D"/>
    <w:rsid w:val="00AD6E34"/>
    <w:rsid w:val="00AD7755"/>
    <w:rsid w:val="00AD783A"/>
    <w:rsid w:val="00AE30B8"/>
    <w:rsid w:val="00AE4066"/>
    <w:rsid w:val="00AE63AC"/>
    <w:rsid w:val="00AE69CF"/>
    <w:rsid w:val="00AE7515"/>
    <w:rsid w:val="00AF069F"/>
    <w:rsid w:val="00AF1935"/>
    <w:rsid w:val="00AF3085"/>
    <w:rsid w:val="00AF54A1"/>
    <w:rsid w:val="00AF60ED"/>
    <w:rsid w:val="00B011CF"/>
    <w:rsid w:val="00B06F5B"/>
    <w:rsid w:val="00B07B0C"/>
    <w:rsid w:val="00B1079C"/>
    <w:rsid w:val="00B110C0"/>
    <w:rsid w:val="00B117F6"/>
    <w:rsid w:val="00B11E8F"/>
    <w:rsid w:val="00B13823"/>
    <w:rsid w:val="00B1392F"/>
    <w:rsid w:val="00B15296"/>
    <w:rsid w:val="00B152CD"/>
    <w:rsid w:val="00B16F2A"/>
    <w:rsid w:val="00B17B6F"/>
    <w:rsid w:val="00B17EEC"/>
    <w:rsid w:val="00B21464"/>
    <w:rsid w:val="00B214F1"/>
    <w:rsid w:val="00B229BA"/>
    <w:rsid w:val="00B22D0F"/>
    <w:rsid w:val="00B234C9"/>
    <w:rsid w:val="00B23878"/>
    <w:rsid w:val="00B25563"/>
    <w:rsid w:val="00B26D48"/>
    <w:rsid w:val="00B31F6A"/>
    <w:rsid w:val="00B321E5"/>
    <w:rsid w:val="00B348F1"/>
    <w:rsid w:val="00B3491C"/>
    <w:rsid w:val="00B417C0"/>
    <w:rsid w:val="00B42A46"/>
    <w:rsid w:val="00B42EE1"/>
    <w:rsid w:val="00B430A2"/>
    <w:rsid w:val="00B439B4"/>
    <w:rsid w:val="00B45DFE"/>
    <w:rsid w:val="00B525B3"/>
    <w:rsid w:val="00B53751"/>
    <w:rsid w:val="00B5456F"/>
    <w:rsid w:val="00B56AE0"/>
    <w:rsid w:val="00B60CA5"/>
    <w:rsid w:val="00B61769"/>
    <w:rsid w:val="00B62295"/>
    <w:rsid w:val="00B649AF"/>
    <w:rsid w:val="00B6631A"/>
    <w:rsid w:val="00B66B64"/>
    <w:rsid w:val="00B673A5"/>
    <w:rsid w:val="00B70D03"/>
    <w:rsid w:val="00B72071"/>
    <w:rsid w:val="00B72DEC"/>
    <w:rsid w:val="00B73125"/>
    <w:rsid w:val="00B74F95"/>
    <w:rsid w:val="00B7556A"/>
    <w:rsid w:val="00B76791"/>
    <w:rsid w:val="00B77DA7"/>
    <w:rsid w:val="00B77F7E"/>
    <w:rsid w:val="00B811FD"/>
    <w:rsid w:val="00B81B1A"/>
    <w:rsid w:val="00B8293D"/>
    <w:rsid w:val="00B82B01"/>
    <w:rsid w:val="00B830FF"/>
    <w:rsid w:val="00B83352"/>
    <w:rsid w:val="00B83450"/>
    <w:rsid w:val="00B850FE"/>
    <w:rsid w:val="00B856D2"/>
    <w:rsid w:val="00B8666D"/>
    <w:rsid w:val="00B8733A"/>
    <w:rsid w:val="00B9062B"/>
    <w:rsid w:val="00B90CC3"/>
    <w:rsid w:val="00B9131D"/>
    <w:rsid w:val="00B9137E"/>
    <w:rsid w:val="00B92478"/>
    <w:rsid w:val="00B92F87"/>
    <w:rsid w:val="00B93054"/>
    <w:rsid w:val="00B94DEC"/>
    <w:rsid w:val="00B95077"/>
    <w:rsid w:val="00B95745"/>
    <w:rsid w:val="00BA0CBF"/>
    <w:rsid w:val="00BA2AAF"/>
    <w:rsid w:val="00BA3E41"/>
    <w:rsid w:val="00BA41EA"/>
    <w:rsid w:val="00BA5E57"/>
    <w:rsid w:val="00BA5FBC"/>
    <w:rsid w:val="00BA6188"/>
    <w:rsid w:val="00BA7C24"/>
    <w:rsid w:val="00BB1F69"/>
    <w:rsid w:val="00BB2743"/>
    <w:rsid w:val="00BB3C64"/>
    <w:rsid w:val="00BB4851"/>
    <w:rsid w:val="00BB6CDF"/>
    <w:rsid w:val="00BC09E3"/>
    <w:rsid w:val="00BC2C99"/>
    <w:rsid w:val="00BC363F"/>
    <w:rsid w:val="00BC4102"/>
    <w:rsid w:val="00BC4252"/>
    <w:rsid w:val="00BC4700"/>
    <w:rsid w:val="00BC62F2"/>
    <w:rsid w:val="00BD133E"/>
    <w:rsid w:val="00BD1EB2"/>
    <w:rsid w:val="00BD3D15"/>
    <w:rsid w:val="00BD44C6"/>
    <w:rsid w:val="00BD52DD"/>
    <w:rsid w:val="00BD5679"/>
    <w:rsid w:val="00BD61A2"/>
    <w:rsid w:val="00BE0B28"/>
    <w:rsid w:val="00BE1E76"/>
    <w:rsid w:val="00BE446B"/>
    <w:rsid w:val="00BE484D"/>
    <w:rsid w:val="00BE53BA"/>
    <w:rsid w:val="00BF05B2"/>
    <w:rsid w:val="00BF0833"/>
    <w:rsid w:val="00BF0F49"/>
    <w:rsid w:val="00BF133A"/>
    <w:rsid w:val="00BF195E"/>
    <w:rsid w:val="00BF27A1"/>
    <w:rsid w:val="00BF3519"/>
    <w:rsid w:val="00BF3AFE"/>
    <w:rsid w:val="00BF4078"/>
    <w:rsid w:val="00C016EC"/>
    <w:rsid w:val="00C0283B"/>
    <w:rsid w:val="00C03DCC"/>
    <w:rsid w:val="00C040B7"/>
    <w:rsid w:val="00C04814"/>
    <w:rsid w:val="00C07C91"/>
    <w:rsid w:val="00C10029"/>
    <w:rsid w:val="00C140EF"/>
    <w:rsid w:val="00C16E26"/>
    <w:rsid w:val="00C175A8"/>
    <w:rsid w:val="00C22E9C"/>
    <w:rsid w:val="00C26CF0"/>
    <w:rsid w:val="00C3343E"/>
    <w:rsid w:val="00C33505"/>
    <w:rsid w:val="00C341E5"/>
    <w:rsid w:val="00C36D4B"/>
    <w:rsid w:val="00C37E05"/>
    <w:rsid w:val="00C410A7"/>
    <w:rsid w:val="00C415A3"/>
    <w:rsid w:val="00C427CF"/>
    <w:rsid w:val="00C42C91"/>
    <w:rsid w:val="00C439EE"/>
    <w:rsid w:val="00C44519"/>
    <w:rsid w:val="00C45237"/>
    <w:rsid w:val="00C47278"/>
    <w:rsid w:val="00C47E70"/>
    <w:rsid w:val="00C55AD5"/>
    <w:rsid w:val="00C55D29"/>
    <w:rsid w:val="00C57EF3"/>
    <w:rsid w:val="00C629A1"/>
    <w:rsid w:val="00C62FF8"/>
    <w:rsid w:val="00C638B5"/>
    <w:rsid w:val="00C6394D"/>
    <w:rsid w:val="00C643BA"/>
    <w:rsid w:val="00C64443"/>
    <w:rsid w:val="00C64E6E"/>
    <w:rsid w:val="00C67916"/>
    <w:rsid w:val="00C702B0"/>
    <w:rsid w:val="00C7034A"/>
    <w:rsid w:val="00C75076"/>
    <w:rsid w:val="00C75E36"/>
    <w:rsid w:val="00C76F11"/>
    <w:rsid w:val="00C8660A"/>
    <w:rsid w:val="00C875A8"/>
    <w:rsid w:val="00C90E38"/>
    <w:rsid w:val="00C92DB6"/>
    <w:rsid w:val="00C931C2"/>
    <w:rsid w:val="00C96A13"/>
    <w:rsid w:val="00C972A0"/>
    <w:rsid w:val="00CA0BE9"/>
    <w:rsid w:val="00CA138D"/>
    <w:rsid w:val="00CA28D6"/>
    <w:rsid w:val="00CA3AF3"/>
    <w:rsid w:val="00CA615C"/>
    <w:rsid w:val="00CA61E4"/>
    <w:rsid w:val="00CA76F3"/>
    <w:rsid w:val="00CB04E8"/>
    <w:rsid w:val="00CB1BC4"/>
    <w:rsid w:val="00CB2195"/>
    <w:rsid w:val="00CB4864"/>
    <w:rsid w:val="00CB6C35"/>
    <w:rsid w:val="00CC6C62"/>
    <w:rsid w:val="00CC74B8"/>
    <w:rsid w:val="00CC7641"/>
    <w:rsid w:val="00CD0934"/>
    <w:rsid w:val="00CD0CE4"/>
    <w:rsid w:val="00CD1F05"/>
    <w:rsid w:val="00CD2CBA"/>
    <w:rsid w:val="00CD387B"/>
    <w:rsid w:val="00CD5982"/>
    <w:rsid w:val="00CD6AE3"/>
    <w:rsid w:val="00CD71E8"/>
    <w:rsid w:val="00CE06DD"/>
    <w:rsid w:val="00CE196F"/>
    <w:rsid w:val="00CE60EA"/>
    <w:rsid w:val="00CE60FD"/>
    <w:rsid w:val="00CF05B6"/>
    <w:rsid w:val="00CF1FD7"/>
    <w:rsid w:val="00CF2BD3"/>
    <w:rsid w:val="00CF3C20"/>
    <w:rsid w:val="00CF4526"/>
    <w:rsid w:val="00CF4AC6"/>
    <w:rsid w:val="00CF50D2"/>
    <w:rsid w:val="00CF64BB"/>
    <w:rsid w:val="00CF75A3"/>
    <w:rsid w:val="00D033F9"/>
    <w:rsid w:val="00D0717B"/>
    <w:rsid w:val="00D07C95"/>
    <w:rsid w:val="00D07D1F"/>
    <w:rsid w:val="00D1018A"/>
    <w:rsid w:val="00D13794"/>
    <w:rsid w:val="00D13A1B"/>
    <w:rsid w:val="00D152F8"/>
    <w:rsid w:val="00D153B3"/>
    <w:rsid w:val="00D15CB4"/>
    <w:rsid w:val="00D20930"/>
    <w:rsid w:val="00D21458"/>
    <w:rsid w:val="00D21FFA"/>
    <w:rsid w:val="00D2214F"/>
    <w:rsid w:val="00D2283B"/>
    <w:rsid w:val="00D23705"/>
    <w:rsid w:val="00D24052"/>
    <w:rsid w:val="00D24386"/>
    <w:rsid w:val="00D2581D"/>
    <w:rsid w:val="00D31575"/>
    <w:rsid w:val="00D34626"/>
    <w:rsid w:val="00D34E4C"/>
    <w:rsid w:val="00D34FB4"/>
    <w:rsid w:val="00D3598F"/>
    <w:rsid w:val="00D363A8"/>
    <w:rsid w:val="00D36C4F"/>
    <w:rsid w:val="00D4031F"/>
    <w:rsid w:val="00D40E22"/>
    <w:rsid w:val="00D4257A"/>
    <w:rsid w:val="00D4333B"/>
    <w:rsid w:val="00D43A5F"/>
    <w:rsid w:val="00D43E34"/>
    <w:rsid w:val="00D45580"/>
    <w:rsid w:val="00D45EEC"/>
    <w:rsid w:val="00D46E9D"/>
    <w:rsid w:val="00D513E6"/>
    <w:rsid w:val="00D51CE7"/>
    <w:rsid w:val="00D51DA8"/>
    <w:rsid w:val="00D51F8C"/>
    <w:rsid w:val="00D52500"/>
    <w:rsid w:val="00D526F9"/>
    <w:rsid w:val="00D56D08"/>
    <w:rsid w:val="00D57868"/>
    <w:rsid w:val="00D57ABB"/>
    <w:rsid w:val="00D57FED"/>
    <w:rsid w:val="00D62665"/>
    <w:rsid w:val="00D639B7"/>
    <w:rsid w:val="00D6614A"/>
    <w:rsid w:val="00D66B48"/>
    <w:rsid w:val="00D6721C"/>
    <w:rsid w:val="00D67F40"/>
    <w:rsid w:val="00D70174"/>
    <w:rsid w:val="00D71585"/>
    <w:rsid w:val="00D724DA"/>
    <w:rsid w:val="00D72D0A"/>
    <w:rsid w:val="00D73A59"/>
    <w:rsid w:val="00D7506E"/>
    <w:rsid w:val="00D76671"/>
    <w:rsid w:val="00D774AB"/>
    <w:rsid w:val="00D818C2"/>
    <w:rsid w:val="00D82E47"/>
    <w:rsid w:val="00D85C7D"/>
    <w:rsid w:val="00D86149"/>
    <w:rsid w:val="00D871C0"/>
    <w:rsid w:val="00D91C7C"/>
    <w:rsid w:val="00D93320"/>
    <w:rsid w:val="00D941CA"/>
    <w:rsid w:val="00D94A20"/>
    <w:rsid w:val="00D94BE5"/>
    <w:rsid w:val="00D95203"/>
    <w:rsid w:val="00D958D0"/>
    <w:rsid w:val="00D965D5"/>
    <w:rsid w:val="00D96DE1"/>
    <w:rsid w:val="00D96FAE"/>
    <w:rsid w:val="00D97005"/>
    <w:rsid w:val="00D97C9F"/>
    <w:rsid w:val="00DA0A42"/>
    <w:rsid w:val="00DA0B86"/>
    <w:rsid w:val="00DA10BE"/>
    <w:rsid w:val="00DA7403"/>
    <w:rsid w:val="00DB05CE"/>
    <w:rsid w:val="00DB3EFD"/>
    <w:rsid w:val="00DB6B43"/>
    <w:rsid w:val="00DC0CDE"/>
    <w:rsid w:val="00DC4034"/>
    <w:rsid w:val="00DC4D72"/>
    <w:rsid w:val="00DC5A68"/>
    <w:rsid w:val="00DC7C39"/>
    <w:rsid w:val="00DD1C46"/>
    <w:rsid w:val="00DD7065"/>
    <w:rsid w:val="00DD7542"/>
    <w:rsid w:val="00DD7C5A"/>
    <w:rsid w:val="00DE07A9"/>
    <w:rsid w:val="00DE5415"/>
    <w:rsid w:val="00DE5978"/>
    <w:rsid w:val="00DE5AD0"/>
    <w:rsid w:val="00DF069D"/>
    <w:rsid w:val="00DF17D0"/>
    <w:rsid w:val="00DF1C4D"/>
    <w:rsid w:val="00DF1EE8"/>
    <w:rsid w:val="00DF21DD"/>
    <w:rsid w:val="00DF3ED2"/>
    <w:rsid w:val="00DF4267"/>
    <w:rsid w:val="00DF4C4C"/>
    <w:rsid w:val="00DF646F"/>
    <w:rsid w:val="00DF7342"/>
    <w:rsid w:val="00E00B70"/>
    <w:rsid w:val="00E00C0F"/>
    <w:rsid w:val="00E01169"/>
    <w:rsid w:val="00E04425"/>
    <w:rsid w:val="00E0517A"/>
    <w:rsid w:val="00E0624D"/>
    <w:rsid w:val="00E06F58"/>
    <w:rsid w:val="00E0774D"/>
    <w:rsid w:val="00E11564"/>
    <w:rsid w:val="00E11C20"/>
    <w:rsid w:val="00E125A5"/>
    <w:rsid w:val="00E1372E"/>
    <w:rsid w:val="00E14A6A"/>
    <w:rsid w:val="00E15C32"/>
    <w:rsid w:val="00E16C27"/>
    <w:rsid w:val="00E208CF"/>
    <w:rsid w:val="00E23C54"/>
    <w:rsid w:val="00E260CE"/>
    <w:rsid w:val="00E30A34"/>
    <w:rsid w:val="00E32E21"/>
    <w:rsid w:val="00E3422A"/>
    <w:rsid w:val="00E34E4C"/>
    <w:rsid w:val="00E355CB"/>
    <w:rsid w:val="00E40AE3"/>
    <w:rsid w:val="00E4297D"/>
    <w:rsid w:val="00E4322E"/>
    <w:rsid w:val="00E4438C"/>
    <w:rsid w:val="00E4454D"/>
    <w:rsid w:val="00E457F3"/>
    <w:rsid w:val="00E46486"/>
    <w:rsid w:val="00E467A5"/>
    <w:rsid w:val="00E46D62"/>
    <w:rsid w:val="00E514A9"/>
    <w:rsid w:val="00E5299D"/>
    <w:rsid w:val="00E5382B"/>
    <w:rsid w:val="00E53EE3"/>
    <w:rsid w:val="00E55431"/>
    <w:rsid w:val="00E5758E"/>
    <w:rsid w:val="00E57CB5"/>
    <w:rsid w:val="00E57D4B"/>
    <w:rsid w:val="00E610F6"/>
    <w:rsid w:val="00E617FF"/>
    <w:rsid w:val="00E6214F"/>
    <w:rsid w:val="00E63B82"/>
    <w:rsid w:val="00E66023"/>
    <w:rsid w:val="00E66B30"/>
    <w:rsid w:val="00E712E8"/>
    <w:rsid w:val="00E75030"/>
    <w:rsid w:val="00E75B16"/>
    <w:rsid w:val="00E760EF"/>
    <w:rsid w:val="00E821C7"/>
    <w:rsid w:val="00E828F1"/>
    <w:rsid w:val="00E8363E"/>
    <w:rsid w:val="00E8423D"/>
    <w:rsid w:val="00E856AD"/>
    <w:rsid w:val="00E85F21"/>
    <w:rsid w:val="00E87F60"/>
    <w:rsid w:val="00E918E6"/>
    <w:rsid w:val="00E931A9"/>
    <w:rsid w:val="00E96E86"/>
    <w:rsid w:val="00E974A1"/>
    <w:rsid w:val="00E97DD4"/>
    <w:rsid w:val="00EA24BC"/>
    <w:rsid w:val="00EA3165"/>
    <w:rsid w:val="00EA4893"/>
    <w:rsid w:val="00EA4A80"/>
    <w:rsid w:val="00EA4DD8"/>
    <w:rsid w:val="00EA5531"/>
    <w:rsid w:val="00EA6318"/>
    <w:rsid w:val="00EA6B50"/>
    <w:rsid w:val="00EA7595"/>
    <w:rsid w:val="00EB2AEF"/>
    <w:rsid w:val="00EB2FA1"/>
    <w:rsid w:val="00EB48C3"/>
    <w:rsid w:val="00EB5923"/>
    <w:rsid w:val="00EB7C4C"/>
    <w:rsid w:val="00EB7E71"/>
    <w:rsid w:val="00EC7E77"/>
    <w:rsid w:val="00ED3A92"/>
    <w:rsid w:val="00ED3EEC"/>
    <w:rsid w:val="00ED4D2A"/>
    <w:rsid w:val="00ED56F3"/>
    <w:rsid w:val="00ED5942"/>
    <w:rsid w:val="00EE15B8"/>
    <w:rsid w:val="00EE1704"/>
    <w:rsid w:val="00EE3117"/>
    <w:rsid w:val="00EE6104"/>
    <w:rsid w:val="00EF070B"/>
    <w:rsid w:val="00EF1212"/>
    <w:rsid w:val="00EF18B7"/>
    <w:rsid w:val="00EF1B9E"/>
    <w:rsid w:val="00EF2C0E"/>
    <w:rsid w:val="00EF3969"/>
    <w:rsid w:val="00F01AC5"/>
    <w:rsid w:val="00F02BB1"/>
    <w:rsid w:val="00F0388F"/>
    <w:rsid w:val="00F04D25"/>
    <w:rsid w:val="00F06E67"/>
    <w:rsid w:val="00F0706C"/>
    <w:rsid w:val="00F109D4"/>
    <w:rsid w:val="00F1169B"/>
    <w:rsid w:val="00F139DF"/>
    <w:rsid w:val="00F13D4E"/>
    <w:rsid w:val="00F14F57"/>
    <w:rsid w:val="00F15EE9"/>
    <w:rsid w:val="00F17B3D"/>
    <w:rsid w:val="00F17E8E"/>
    <w:rsid w:val="00F22FB5"/>
    <w:rsid w:val="00F23DCF"/>
    <w:rsid w:val="00F24471"/>
    <w:rsid w:val="00F2601A"/>
    <w:rsid w:val="00F301AF"/>
    <w:rsid w:val="00F31486"/>
    <w:rsid w:val="00F31FD9"/>
    <w:rsid w:val="00F32A6F"/>
    <w:rsid w:val="00F33B0D"/>
    <w:rsid w:val="00F3574D"/>
    <w:rsid w:val="00F358ED"/>
    <w:rsid w:val="00F37AFA"/>
    <w:rsid w:val="00F436FD"/>
    <w:rsid w:val="00F445F7"/>
    <w:rsid w:val="00F44DB3"/>
    <w:rsid w:val="00F47585"/>
    <w:rsid w:val="00F52441"/>
    <w:rsid w:val="00F52730"/>
    <w:rsid w:val="00F55D97"/>
    <w:rsid w:val="00F60901"/>
    <w:rsid w:val="00F61B42"/>
    <w:rsid w:val="00F6231F"/>
    <w:rsid w:val="00F635B1"/>
    <w:rsid w:val="00F6692F"/>
    <w:rsid w:val="00F67466"/>
    <w:rsid w:val="00F67EF2"/>
    <w:rsid w:val="00F717AA"/>
    <w:rsid w:val="00F727F9"/>
    <w:rsid w:val="00F74E36"/>
    <w:rsid w:val="00F756F6"/>
    <w:rsid w:val="00F75DB2"/>
    <w:rsid w:val="00F820A9"/>
    <w:rsid w:val="00F832DD"/>
    <w:rsid w:val="00F85E6F"/>
    <w:rsid w:val="00F86731"/>
    <w:rsid w:val="00F86E17"/>
    <w:rsid w:val="00F8768A"/>
    <w:rsid w:val="00F90D88"/>
    <w:rsid w:val="00F91144"/>
    <w:rsid w:val="00F9432A"/>
    <w:rsid w:val="00FA121B"/>
    <w:rsid w:val="00FA43A3"/>
    <w:rsid w:val="00FA52C4"/>
    <w:rsid w:val="00FB294B"/>
    <w:rsid w:val="00FB33C9"/>
    <w:rsid w:val="00FB33F7"/>
    <w:rsid w:val="00FB34C4"/>
    <w:rsid w:val="00FB41FD"/>
    <w:rsid w:val="00FB72C5"/>
    <w:rsid w:val="00FB7776"/>
    <w:rsid w:val="00FC06C5"/>
    <w:rsid w:val="00FC40EE"/>
    <w:rsid w:val="00FC6FBD"/>
    <w:rsid w:val="00FC7BA5"/>
    <w:rsid w:val="00FD01DA"/>
    <w:rsid w:val="00FD2C5B"/>
    <w:rsid w:val="00FD45C3"/>
    <w:rsid w:val="00FD46BB"/>
    <w:rsid w:val="00FD5F67"/>
    <w:rsid w:val="00FD6200"/>
    <w:rsid w:val="00FE04E4"/>
    <w:rsid w:val="00FE1F27"/>
    <w:rsid w:val="00FE23D7"/>
    <w:rsid w:val="00FE3C8E"/>
    <w:rsid w:val="00FE73F9"/>
    <w:rsid w:val="00FE7B8E"/>
    <w:rsid w:val="00FF1057"/>
    <w:rsid w:val="00FF206B"/>
    <w:rsid w:val="00FF30A0"/>
    <w:rsid w:val="00FF38B7"/>
    <w:rsid w:val="00FF3E11"/>
    <w:rsid w:val="00FF3E25"/>
    <w:rsid w:val="00FF4443"/>
    <w:rsid w:val="00FF586D"/>
    <w:rsid w:val="00FF5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5C3B6"/>
  <w15:docId w15:val="{0BB04EB8-2CFD-4FA4-B60B-1E1491A9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E6"/>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locked/>
    <w:rsid w:val="006570BE"/>
    <w:rPr>
      <w:sz w:val="24"/>
    </w:rPr>
  </w:style>
  <w:style w:type="paragraph" w:styleId="ListParagraph">
    <w:name w:val="List Paragraph"/>
    <w:basedOn w:val="Normal"/>
    <w:uiPriority w:val="34"/>
    <w:qFormat/>
    <w:rsid w:val="00B8666D"/>
    <w:pPr>
      <w:ind w:left="720"/>
      <w:contextualSpacing/>
    </w:pPr>
  </w:style>
  <w:style w:type="paragraph" w:customStyle="1" w:styleId="Definition">
    <w:name w:val="Definition"/>
    <w:aliases w:val="dd"/>
    <w:basedOn w:val="Normal"/>
    <w:rsid w:val="00B8666D"/>
    <w:pPr>
      <w:spacing w:before="180" w:after="0"/>
      <w:ind w:left="1134"/>
    </w:pPr>
    <w:rPr>
      <w:sz w:val="22"/>
    </w:rPr>
  </w:style>
  <w:style w:type="character" w:customStyle="1" w:styleId="ItemChar">
    <w:name w:val="Item Char"/>
    <w:aliases w:val="i Char"/>
    <w:basedOn w:val="DefaultParagraphFont"/>
    <w:link w:val="Item"/>
    <w:locked/>
    <w:rsid w:val="00B8666D"/>
    <w:rPr>
      <w:sz w:val="22"/>
    </w:rPr>
  </w:style>
  <w:style w:type="paragraph" w:customStyle="1" w:styleId="ItemHead">
    <w:name w:val="ItemHead"/>
    <w:aliases w:val="ih"/>
    <w:basedOn w:val="Normal"/>
    <w:next w:val="Item"/>
    <w:link w:val="ItemHeadChar"/>
    <w:rsid w:val="00B8666D"/>
    <w:pPr>
      <w:keepNext/>
      <w:keepLines/>
      <w:spacing w:before="220" w:after="0"/>
      <w:ind w:left="709" w:hanging="709"/>
    </w:pPr>
    <w:rPr>
      <w:rFonts w:ascii="Arial" w:hAnsi="Arial"/>
      <w:b/>
      <w:kern w:val="28"/>
    </w:rPr>
  </w:style>
  <w:style w:type="paragraph" w:customStyle="1" w:styleId="Item">
    <w:name w:val="Item"/>
    <w:aliases w:val="i"/>
    <w:basedOn w:val="Normal"/>
    <w:next w:val="ItemHead"/>
    <w:link w:val="ItemChar"/>
    <w:rsid w:val="00B8666D"/>
    <w:pPr>
      <w:keepLines/>
      <w:spacing w:before="80" w:after="0"/>
      <w:ind w:left="709"/>
    </w:pPr>
    <w:rPr>
      <w:sz w:val="22"/>
    </w:rPr>
  </w:style>
  <w:style w:type="character" w:customStyle="1" w:styleId="ItemHeadChar">
    <w:name w:val="ItemHead Char"/>
    <w:aliases w:val="ih Char"/>
    <w:basedOn w:val="DefaultParagraphFont"/>
    <w:link w:val="ItemHead"/>
    <w:locked/>
    <w:rsid w:val="00B8666D"/>
    <w:rPr>
      <w:rFonts w:ascii="Arial" w:hAnsi="Arial"/>
      <w:b/>
      <w:kern w:val="28"/>
      <w:sz w:val="24"/>
    </w:rPr>
  </w:style>
  <w:style w:type="paragraph" w:customStyle="1" w:styleId="paragraph">
    <w:name w:val="paragraph"/>
    <w:aliases w:val="a"/>
    <w:basedOn w:val="Normal"/>
    <w:rsid w:val="00B8666D"/>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B8666D"/>
    <w:rPr>
      <w:sz w:val="22"/>
    </w:rPr>
  </w:style>
  <w:style w:type="paragraph" w:customStyle="1" w:styleId="subsection">
    <w:name w:val="subsection"/>
    <w:aliases w:val="ss,Subsection"/>
    <w:basedOn w:val="Normal"/>
    <w:link w:val="subsectionChar"/>
    <w:rsid w:val="00B8666D"/>
    <w:pPr>
      <w:tabs>
        <w:tab w:val="right" w:pos="1021"/>
      </w:tabs>
      <w:spacing w:before="180" w:after="0"/>
      <w:ind w:left="1134" w:hanging="1134"/>
    </w:pPr>
    <w:rPr>
      <w:sz w:val="22"/>
    </w:rPr>
  </w:style>
  <w:style w:type="paragraph" w:customStyle="1" w:styleId="SubsectionHead">
    <w:name w:val="SubsectionHead"/>
    <w:aliases w:val="ssh"/>
    <w:basedOn w:val="Normal"/>
    <w:next w:val="subsection"/>
    <w:rsid w:val="00B8666D"/>
    <w:pPr>
      <w:keepNext/>
      <w:keepLines/>
      <w:spacing w:before="240" w:after="0"/>
      <w:ind w:left="1134"/>
    </w:pPr>
    <w:rPr>
      <w:i/>
      <w:sz w:val="22"/>
    </w:rPr>
  </w:style>
  <w:style w:type="character" w:customStyle="1" w:styleId="ActHead5Char">
    <w:name w:val="ActHead 5 Char"/>
    <w:aliases w:val="s Char"/>
    <w:link w:val="ActHead5"/>
    <w:locked/>
    <w:rsid w:val="00B8666D"/>
    <w:rPr>
      <w:b/>
      <w:kern w:val="28"/>
      <w:sz w:val="24"/>
    </w:rPr>
  </w:style>
  <w:style w:type="paragraph" w:customStyle="1" w:styleId="ActHead5">
    <w:name w:val="ActHead 5"/>
    <w:aliases w:val="s"/>
    <w:basedOn w:val="Normal"/>
    <w:next w:val="subsection"/>
    <w:link w:val="ActHead5Char"/>
    <w:qFormat/>
    <w:rsid w:val="00B8666D"/>
    <w:pPr>
      <w:keepNext/>
      <w:keepLines/>
      <w:spacing w:before="280" w:after="0"/>
      <w:ind w:left="1134" w:hanging="1134"/>
      <w:outlineLvl w:val="4"/>
    </w:pPr>
    <w:rPr>
      <w:b/>
      <w:kern w:val="28"/>
    </w:rPr>
  </w:style>
  <w:style w:type="paragraph" w:customStyle="1" w:styleId="notedraft">
    <w:name w:val="note(draft)"/>
    <w:aliases w:val="nd"/>
    <w:basedOn w:val="Normal"/>
    <w:rsid w:val="00B8666D"/>
    <w:pPr>
      <w:spacing w:before="240" w:after="0"/>
      <w:ind w:left="284" w:hanging="284"/>
    </w:pPr>
    <w:rPr>
      <w:i/>
    </w:rPr>
  </w:style>
  <w:style w:type="paragraph" w:customStyle="1" w:styleId="noteToPara">
    <w:name w:val="noteToPara"/>
    <w:aliases w:val="ntp"/>
    <w:basedOn w:val="Normal"/>
    <w:rsid w:val="00B8666D"/>
    <w:pPr>
      <w:spacing w:before="122" w:after="0" w:line="198" w:lineRule="exact"/>
      <w:ind w:left="2353" w:hanging="709"/>
    </w:pPr>
    <w:rPr>
      <w:sz w:val="18"/>
    </w:rPr>
  </w:style>
  <w:style w:type="paragraph" w:customStyle="1" w:styleId="paragraphsub">
    <w:name w:val="paragraph(sub)"/>
    <w:aliases w:val="aa"/>
    <w:basedOn w:val="Normal"/>
    <w:rsid w:val="00B8666D"/>
    <w:pPr>
      <w:tabs>
        <w:tab w:val="right" w:pos="1985"/>
      </w:tabs>
      <w:spacing w:before="40" w:after="0"/>
      <w:ind w:left="2098" w:hanging="2098"/>
    </w:pPr>
    <w:rPr>
      <w:sz w:val="22"/>
    </w:rPr>
  </w:style>
  <w:style w:type="paragraph" w:customStyle="1" w:styleId="subsection2">
    <w:name w:val="subsection2"/>
    <w:aliases w:val="ss2"/>
    <w:basedOn w:val="Normal"/>
    <w:next w:val="subsection"/>
    <w:rsid w:val="00B8666D"/>
    <w:pPr>
      <w:spacing w:before="40" w:after="0"/>
      <w:ind w:left="1134"/>
    </w:pPr>
    <w:rPr>
      <w:sz w:val="22"/>
    </w:rPr>
  </w:style>
  <w:style w:type="paragraph" w:customStyle="1" w:styleId="ActHead1">
    <w:name w:val="ActHead 1"/>
    <w:aliases w:val="c"/>
    <w:basedOn w:val="Normal"/>
    <w:next w:val="Normal"/>
    <w:qFormat/>
    <w:rsid w:val="00B8666D"/>
    <w:pPr>
      <w:keepNext/>
      <w:keepLines/>
      <w:spacing w:before="0" w:after="0"/>
      <w:ind w:left="1134" w:hanging="1134"/>
      <w:outlineLvl w:val="0"/>
    </w:pPr>
    <w:rPr>
      <w:b/>
      <w:kern w:val="28"/>
      <w:sz w:val="36"/>
    </w:rPr>
  </w:style>
  <w:style w:type="paragraph" w:customStyle="1" w:styleId="ActHead3">
    <w:name w:val="ActHead 3"/>
    <w:aliases w:val="d"/>
    <w:basedOn w:val="Normal"/>
    <w:next w:val="Normal"/>
    <w:qFormat/>
    <w:rsid w:val="00B8666D"/>
    <w:pPr>
      <w:keepNext/>
      <w:keepLines/>
      <w:spacing w:before="240" w:after="0"/>
      <w:ind w:left="1134" w:hanging="1134"/>
      <w:outlineLvl w:val="2"/>
    </w:pPr>
    <w:rPr>
      <w:b/>
      <w:kern w:val="28"/>
      <w:sz w:val="28"/>
    </w:rPr>
  </w:style>
  <w:style w:type="paragraph" w:customStyle="1" w:styleId="notemargin">
    <w:name w:val="note(margin)"/>
    <w:aliases w:val="nm"/>
    <w:basedOn w:val="Normal"/>
    <w:rsid w:val="00B8666D"/>
    <w:pPr>
      <w:tabs>
        <w:tab w:val="left" w:pos="709"/>
      </w:tabs>
      <w:spacing w:before="122" w:after="0" w:line="198" w:lineRule="exact"/>
      <w:ind w:left="709" w:hanging="709"/>
    </w:pPr>
    <w:rPr>
      <w:sz w:val="18"/>
    </w:rPr>
  </w:style>
  <w:style w:type="paragraph" w:customStyle="1" w:styleId="Tabletext">
    <w:name w:val="Tabletext"/>
    <w:aliases w:val="tt"/>
    <w:basedOn w:val="Normal"/>
    <w:rsid w:val="00B8666D"/>
    <w:pPr>
      <w:spacing w:before="60" w:after="0" w:line="240" w:lineRule="atLeast"/>
    </w:pPr>
    <w:rPr>
      <w:sz w:val="20"/>
    </w:rPr>
  </w:style>
  <w:style w:type="character" w:customStyle="1" w:styleId="notetextChar">
    <w:name w:val="note(text) Char"/>
    <w:aliases w:val="n Char"/>
    <w:basedOn w:val="DefaultParagraphFont"/>
    <w:link w:val="notetext"/>
    <w:locked/>
    <w:rsid w:val="00B8666D"/>
    <w:rPr>
      <w:sz w:val="18"/>
    </w:rPr>
  </w:style>
  <w:style w:type="paragraph" w:customStyle="1" w:styleId="notetext">
    <w:name w:val="note(text)"/>
    <w:aliases w:val="n"/>
    <w:basedOn w:val="Normal"/>
    <w:link w:val="notetextChar"/>
    <w:rsid w:val="00B8666D"/>
    <w:pPr>
      <w:spacing w:before="122" w:after="0"/>
      <w:ind w:left="1985" w:hanging="851"/>
    </w:pPr>
    <w:rPr>
      <w:sz w:val="18"/>
    </w:rPr>
  </w:style>
  <w:style w:type="character" w:customStyle="1" w:styleId="CharChapNo">
    <w:name w:val="CharChapNo"/>
    <w:basedOn w:val="DefaultParagraphFont"/>
    <w:uiPriority w:val="1"/>
    <w:qFormat/>
    <w:rsid w:val="00B8666D"/>
  </w:style>
  <w:style w:type="character" w:customStyle="1" w:styleId="CharChapText">
    <w:name w:val="CharChapText"/>
    <w:basedOn w:val="DefaultParagraphFont"/>
    <w:uiPriority w:val="1"/>
    <w:qFormat/>
    <w:rsid w:val="00B8666D"/>
  </w:style>
  <w:style w:type="character" w:customStyle="1" w:styleId="CharDivNo">
    <w:name w:val="CharDivNo"/>
    <w:basedOn w:val="DefaultParagraphFont"/>
    <w:uiPriority w:val="1"/>
    <w:qFormat/>
    <w:rsid w:val="00B8666D"/>
  </w:style>
  <w:style w:type="character" w:customStyle="1" w:styleId="CharDivText">
    <w:name w:val="CharDivText"/>
    <w:basedOn w:val="DefaultParagraphFont"/>
    <w:uiPriority w:val="1"/>
    <w:qFormat/>
    <w:rsid w:val="00B8666D"/>
  </w:style>
  <w:style w:type="character" w:customStyle="1" w:styleId="CharSectno">
    <w:name w:val="CharSectno"/>
    <w:basedOn w:val="DefaultParagraphFont"/>
    <w:qFormat/>
    <w:rsid w:val="00B8666D"/>
  </w:style>
  <w:style w:type="paragraph" w:styleId="Revision">
    <w:name w:val="Revision"/>
    <w:hidden/>
    <w:uiPriority w:val="99"/>
    <w:semiHidden/>
    <w:rsid w:val="00E32E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226">
      <w:bodyDiv w:val="1"/>
      <w:marLeft w:val="0"/>
      <w:marRight w:val="0"/>
      <w:marTop w:val="0"/>
      <w:marBottom w:val="0"/>
      <w:divBdr>
        <w:top w:val="none" w:sz="0" w:space="0" w:color="auto"/>
        <w:left w:val="none" w:sz="0" w:space="0" w:color="auto"/>
        <w:bottom w:val="none" w:sz="0" w:space="0" w:color="auto"/>
        <w:right w:val="none" w:sz="0" w:space="0" w:color="auto"/>
      </w:divBdr>
    </w:div>
    <w:div w:id="263462786">
      <w:bodyDiv w:val="1"/>
      <w:marLeft w:val="0"/>
      <w:marRight w:val="0"/>
      <w:marTop w:val="0"/>
      <w:marBottom w:val="0"/>
      <w:divBdr>
        <w:top w:val="none" w:sz="0" w:space="0" w:color="auto"/>
        <w:left w:val="none" w:sz="0" w:space="0" w:color="auto"/>
        <w:bottom w:val="none" w:sz="0" w:space="0" w:color="auto"/>
        <w:right w:val="none" w:sz="0" w:space="0" w:color="auto"/>
      </w:divBdr>
    </w:div>
    <w:div w:id="356345824">
      <w:bodyDiv w:val="1"/>
      <w:marLeft w:val="0"/>
      <w:marRight w:val="0"/>
      <w:marTop w:val="0"/>
      <w:marBottom w:val="0"/>
      <w:divBdr>
        <w:top w:val="none" w:sz="0" w:space="0" w:color="auto"/>
        <w:left w:val="none" w:sz="0" w:space="0" w:color="auto"/>
        <w:bottom w:val="none" w:sz="0" w:space="0" w:color="auto"/>
        <w:right w:val="none" w:sz="0" w:space="0" w:color="auto"/>
      </w:divBdr>
    </w:div>
    <w:div w:id="379138839">
      <w:bodyDiv w:val="1"/>
      <w:marLeft w:val="0"/>
      <w:marRight w:val="0"/>
      <w:marTop w:val="0"/>
      <w:marBottom w:val="0"/>
      <w:divBdr>
        <w:top w:val="none" w:sz="0" w:space="0" w:color="auto"/>
        <w:left w:val="none" w:sz="0" w:space="0" w:color="auto"/>
        <w:bottom w:val="none" w:sz="0" w:space="0" w:color="auto"/>
        <w:right w:val="none" w:sz="0" w:space="0" w:color="auto"/>
      </w:divBdr>
    </w:div>
    <w:div w:id="746339157">
      <w:bodyDiv w:val="1"/>
      <w:marLeft w:val="0"/>
      <w:marRight w:val="0"/>
      <w:marTop w:val="0"/>
      <w:marBottom w:val="0"/>
      <w:divBdr>
        <w:top w:val="none" w:sz="0" w:space="0" w:color="auto"/>
        <w:left w:val="none" w:sz="0" w:space="0" w:color="auto"/>
        <w:bottom w:val="none" w:sz="0" w:space="0" w:color="auto"/>
        <w:right w:val="none" w:sz="0" w:space="0" w:color="auto"/>
      </w:divBdr>
    </w:div>
    <w:div w:id="789663926">
      <w:bodyDiv w:val="1"/>
      <w:marLeft w:val="0"/>
      <w:marRight w:val="0"/>
      <w:marTop w:val="0"/>
      <w:marBottom w:val="0"/>
      <w:divBdr>
        <w:top w:val="none" w:sz="0" w:space="0" w:color="auto"/>
        <w:left w:val="none" w:sz="0" w:space="0" w:color="auto"/>
        <w:bottom w:val="none" w:sz="0" w:space="0" w:color="auto"/>
        <w:right w:val="none" w:sz="0" w:space="0" w:color="auto"/>
      </w:divBdr>
    </w:div>
    <w:div w:id="812795524">
      <w:bodyDiv w:val="1"/>
      <w:marLeft w:val="0"/>
      <w:marRight w:val="0"/>
      <w:marTop w:val="0"/>
      <w:marBottom w:val="0"/>
      <w:divBdr>
        <w:top w:val="none" w:sz="0" w:space="0" w:color="auto"/>
        <w:left w:val="none" w:sz="0" w:space="0" w:color="auto"/>
        <w:bottom w:val="none" w:sz="0" w:space="0" w:color="auto"/>
        <w:right w:val="none" w:sz="0" w:space="0" w:color="auto"/>
      </w:divBdr>
    </w:div>
    <w:div w:id="861359733">
      <w:bodyDiv w:val="1"/>
      <w:marLeft w:val="0"/>
      <w:marRight w:val="0"/>
      <w:marTop w:val="0"/>
      <w:marBottom w:val="0"/>
      <w:divBdr>
        <w:top w:val="none" w:sz="0" w:space="0" w:color="auto"/>
        <w:left w:val="none" w:sz="0" w:space="0" w:color="auto"/>
        <w:bottom w:val="none" w:sz="0" w:space="0" w:color="auto"/>
        <w:right w:val="none" w:sz="0" w:space="0" w:color="auto"/>
      </w:divBdr>
    </w:div>
    <w:div w:id="989017276">
      <w:bodyDiv w:val="1"/>
      <w:marLeft w:val="0"/>
      <w:marRight w:val="0"/>
      <w:marTop w:val="0"/>
      <w:marBottom w:val="0"/>
      <w:divBdr>
        <w:top w:val="none" w:sz="0" w:space="0" w:color="auto"/>
        <w:left w:val="none" w:sz="0" w:space="0" w:color="auto"/>
        <w:bottom w:val="none" w:sz="0" w:space="0" w:color="auto"/>
        <w:right w:val="none" w:sz="0" w:space="0" w:color="auto"/>
      </w:divBdr>
    </w:div>
    <w:div w:id="1077746200">
      <w:bodyDiv w:val="1"/>
      <w:marLeft w:val="0"/>
      <w:marRight w:val="0"/>
      <w:marTop w:val="0"/>
      <w:marBottom w:val="0"/>
      <w:divBdr>
        <w:top w:val="none" w:sz="0" w:space="0" w:color="auto"/>
        <w:left w:val="none" w:sz="0" w:space="0" w:color="auto"/>
        <w:bottom w:val="none" w:sz="0" w:space="0" w:color="auto"/>
        <w:right w:val="none" w:sz="0" w:space="0" w:color="auto"/>
      </w:divBdr>
    </w:div>
    <w:div w:id="1083573826">
      <w:bodyDiv w:val="1"/>
      <w:marLeft w:val="0"/>
      <w:marRight w:val="0"/>
      <w:marTop w:val="0"/>
      <w:marBottom w:val="0"/>
      <w:divBdr>
        <w:top w:val="none" w:sz="0" w:space="0" w:color="auto"/>
        <w:left w:val="none" w:sz="0" w:space="0" w:color="auto"/>
        <w:bottom w:val="none" w:sz="0" w:space="0" w:color="auto"/>
        <w:right w:val="none" w:sz="0" w:space="0" w:color="auto"/>
      </w:divBdr>
    </w:div>
    <w:div w:id="1231188871">
      <w:bodyDiv w:val="1"/>
      <w:marLeft w:val="0"/>
      <w:marRight w:val="0"/>
      <w:marTop w:val="0"/>
      <w:marBottom w:val="0"/>
      <w:divBdr>
        <w:top w:val="none" w:sz="0" w:space="0" w:color="auto"/>
        <w:left w:val="none" w:sz="0" w:space="0" w:color="auto"/>
        <w:bottom w:val="none" w:sz="0" w:space="0" w:color="auto"/>
        <w:right w:val="none" w:sz="0" w:space="0" w:color="auto"/>
      </w:divBdr>
    </w:div>
    <w:div w:id="1300919070">
      <w:bodyDiv w:val="1"/>
      <w:marLeft w:val="0"/>
      <w:marRight w:val="0"/>
      <w:marTop w:val="0"/>
      <w:marBottom w:val="0"/>
      <w:divBdr>
        <w:top w:val="none" w:sz="0" w:space="0" w:color="auto"/>
        <w:left w:val="none" w:sz="0" w:space="0" w:color="auto"/>
        <w:bottom w:val="none" w:sz="0" w:space="0" w:color="auto"/>
        <w:right w:val="none" w:sz="0" w:space="0" w:color="auto"/>
      </w:divBdr>
    </w:div>
    <w:div w:id="1702895534">
      <w:bodyDiv w:val="1"/>
      <w:marLeft w:val="0"/>
      <w:marRight w:val="0"/>
      <w:marTop w:val="0"/>
      <w:marBottom w:val="0"/>
      <w:divBdr>
        <w:top w:val="none" w:sz="0" w:space="0" w:color="auto"/>
        <w:left w:val="none" w:sz="0" w:space="0" w:color="auto"/>
        <w:bottom w:val="none" w:sz="0" w:space="0" w:color="auto"/>
        <w:right w:val="none" w:sz="0" w:space="0" w:color="auto"/>
      </w:divBdr>
    </w:div>
    <w:div w:id="1763524522">
      <w:bodyDiv w:val="1"/>
      <w:marLeft w:val="0"/>
      <w:marRight w:val="0"/>
      <w:marTop w:val="0"/>
      <w:marBottom w:val="0"/>
      <w:divBdr>
        <w:top w:val="none" w:sz="0" w:space="0" w:color="auto"/>
        <w:left w:val="none" w:sz="0" w:space="0" w:color="auto"/>
        <w:bottom w:val="none" w:sz="0" w:space="0" w:color="auto"/>
        <w:right w:val="none" w:sz="0" w:space="0" w:color="auto"/>
      </w:divBdr>
    </w:div>
    <w:div w:id="181352164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37131367">
      <w:bodyDiv w:val="1"/>
      <w:marLeft w:val="0"/>
      <w:marRight w:val="0"/>
      <w:marTop w:val="0"/>
      <w:marBottom w:val="0"/>
      <w:divBdr>
        <w:top w:val="none" w:sz="0" w:space="0" w:color="auto"/>
        <w:left w:val="none" w:sz="0" w:space="0" w:color="auto"/>
        <w:bottom w:val="none" w:sz="0" w:space="0" w:color="auto"/>
        <w:right w:val="none" w:sz="0" w:space="0" w:color="auto"/>
      </w:divBdr>
    </w:div>
    <w:div w:id="1993169057">
      <w:bodyDiv w:val="1"/>
      <w:marLeft w:val="0"/>
      <w:marRight w:val="0"/>
      <w:marTop w:val="0"/>
      <w:marBottom w:val="0"/>
      <w:divBdr>
        <w:top w:val="none" w:sz="0" w:space="0" w:color="auto"/>
        <w:left w:val="none" w:sz="0" w:space="0" w:color="auto"/>
        <w:bottom w:val="none" w:sz="0" w:space="0" w:color="auto"/>
        <w:right w:val="none" w:sz="0" w:space="0" w:color="auto"/>
      </w:divBdr>
    </w:div>
    <w:div w:id="20705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97AB4E8C84232A6546298BCBD22A0"/>
        <w:category>
          <w:name w:val="General"/>
          <w:gallery w:val="placeholder"/>
        </w:category>
        <w:types>
          <w:type w:val="bbPlcHdr"/>
        </w:types>
        <w:behaviors>
          <w:behavior w:val="content"/>
        </w:behaviors>
        <w:guid w:val="{315E87A5-5D56-4078-88AA-64D939724A56}"/>
      </w:docPartPr>
      <w:docPartBody>
        <w:p w:rsidR="00645D31" w:rsidRDefault="0014694A">
          <w:pPr>
            <w:pStyle w:val="95E97AB4E8C84232A6546298BCBD22A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4A"/>
    <w:rsid w:val="000466DC"/>
    <w:rsid w:val="000D1541"/>
    <w:rsid w:val="001034C5"/>
    <w:rsid w:val="0014694A"/>
    <w:rsid w:val="0021047A"/>
    <w:rsid w:val="002245BE"/>
    <w:rsid w:val="00251F08"/>
    <w:rsid w:val="002552B4"/>
    <w:rsid w:val="00383C78"/>
    <w:rsid w:val="003B64BE"/>
    <w:rsid w:val="00596932"/>
    <w:rsid w:val="005D59FB"/>
    <w:rsid w:val="005E097B"/>
    <w:rsid w:val="005E7F4C"/>
    <w:rsid w:val="005F1D34"/>
    <w:rsid w:val="00601643"/>
    <w:rsid w:val="00645D31"/>
    <w:rsid w:val="00802A44"/>
    <w:rsid w:val="00804F45"/>
    <w:rsid w:val="0082314A"/>
    <w:rsid w:val="008505DB"/>
    <w:rsid w:val="009044E2"/>
    <w:rsid w:val="00923FE4"/>
    <w:rsid w:val="00926440"/>
    <w:rsid w:val="00A75174"/>
    <w:rsid w:val="00C074CC"/>
    <w:rsid w:val="00D343FD"/>
    <w:rsid w:val="00E02CBE"/>
    <w:rsid w:val="00EC1A43"/>
    <w:rsid w:val="00F60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D34"/>
    <w:rPr>
      <w:color w:val="808080"/>
    </w:rPr>
  </w:style>
  <w:style w:type="paragraph" w:customStyle="1" w:styleId="95E97AB4E8C84232A6546298BCBD22A0">
    <w:name w:val="95E97AB4E8C84232A6546298BCBD2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5166B5CDC314AB1D4955822CFE051" ma:contentTypeVersion="22" ma:contentTypeDescription="Create a new document." ma:contentTypeScope="" ma:versionID="4cf9f4b0927b76c2a2c197dac395910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153</Value>
      <Value>3</Value>
      <Value>66</Value>
      <Value>1</Value>
      <Value>28</Value>
    </TaxCatchAll>
    <_dlc_DocId xmlns="fe39d773-a83d-4623-ae74-f25711a76616">5D7SUYYWNZQE-981606584-287</_dlc_DocId>
    <_dlc_DocIdUrl xmlns="fe39d773-a83d-4623-ae74-f25711a76616">
      <Url>https://austreasury.sharepoint.com/sites/leg-meas-function/_layouts/15/DocIdRedir.aspx?ID=5D7SUYYWNZQE-981606584-287</Url>
      <Description>5D7SUYYWNZQE-981606584-287</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TSY/46/860</PT_x002f_Measure_x0020_No.>
    <Keydoc xmlns="a289cb20-8bb9-401f-8d7b-706fb1a2988d" xsi:nil="true"/>
    <Act_x0028_s_x0029_beingamended xmlns="a289cb20-8bb9-401f-8d7b-706fb1a2988d">Superannuation Industry (Supervision) Regulations 1994</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SharedWithUsers xmlns="ff38c824-6e29-4496-8487-69f397e7ed29">
      <UserInfo>
        <DisplayName>Hassan, Roger</DisplayName>
        <AccountId>683</AccountId>
        <AccountType/>
      </UserInfo>
      <UserInfo>
        <DisplayName>Peppercorn, Nicholas</DisplayName>
        <AccountId>533</AccountId>
        <AccountType/>
      </UserInfo>
      <UserInfo>
        <DisplayName>Munsie, Laura</DisplayName>
        <AccountId>177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95A11441-AC0C-4F74-A616-6E2DB7FFB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C2E1F-9734-4048-9545-8D4B7F4605C4}">
  <ds:schemaRefs>
    <ds:schemaRef ds:uri="http://schemas.microsoft.com/sharepoint/event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http://schemas.microsoft.com/sharepoint/v3"/>
    <ds:schemaRef ds:uri="a289cb20-8bb9-401f-8d7b-706fb1a2988d"/>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9</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Explanatory statement - Superannuation Industry (Supervision) Amendment (Your Future, Your Super—Addressing Underperformance in Superannuation) Regulations 2023</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Industry (Supervision) Amendment (Your Future, Your Super—Addressing Underperformance in Superannuation) Regulations 2023</dc:title>
  <dc:subject/>
  <dc:creator>Australian Government</dc:creator>
  <cp:keywords/>
  <cp:lastModifiedBy>Smith, Matthew</cp:lastModifiedBy>
  <cp:revision>4</cp:revision>
  <cp:lastPrinted>2023-04-03T03:52:00Z</cp:lastPrinted>
  <dcterms:created xsi:type="dcterms:W3CDTF">2023-04-03T03:55:00Z</dcterms:created>
  <dcterms:modified xsi:type="dcterms:W3CDTF">2023-04-03T23:40:00Z</dcterms:modified>
</cp:coreProperties>
</file>