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A427" w14:textId="77777777" w:rsidR="006C20A7" w:rsidRDefault="006C20A7" w:rsidP="00781ABF">
      <w:pPr>
        <w:pStyle w:val="ListParagraph"/>
      </w:pPr>
    </w:p>
    <w:sdt>
      <w:sdtPr>
        <w:id w:val="-1442289537"/>
        <w:docPartObj>
          <w:docPartGallery w:val="Cover Pages"/>
          <w:docPartUnique/>
        </w:docPartObj>
      </w:sdtPr>
      <w:sdtContent>
        <w:p w14:paraId="6C1D17F9" w14:textId="39FA140E" w:rsidR="00A97160" w:rsidRPr="006D0240" w:rsidRDefault="00A97160" w:rsidP="00781ABF">
          <w:pPr>
            <w:pStyle w:val="ListParagraph"/>
          </w:pPr>
          <w:r>
            <w:rPr>
              <w:noProof/>
            </w:rPr>
            <w:drawing>
              <wp:anchor distT="0" distB="0" distL="114300" distR="114300" simplePos="0" relativeHeight="251658240" behindDoc="1" locked="0" layoutInCell="1" allowOverlap="1" wp14:anchorId="4AA661A0" wp14:editId="7EC67372">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DA990" w14:textId="77777777" w:rsidR="00A97160" w:rsidRPr="006D0240" w:rsidRDefault="00A97160" w:rsidP="00301755">
          <w:pPr>
            <w:pStyle w:val="Header"/>
            <w:spacing w:after="1200"/>
          </w:pPr>
        </w:p>
        <w:p w14:paraId="79CEC7C2" w14:textId="15CC4143" w:rsidR="00A97160" w:rsidRPr="006923DF" w:rsidRDefault="00F11CEB" w:rsidP="00541259">
          <w:pPr>
            <w:pStyle w:val="Title"/>
            <w:tabs>
              <w:tab w:val="left" w:pos="6379"/>
            </w:tabs>
            <w:spacing w:after="120" w:line="720" w:lineRule="exact"/>
            <w:ind w:right="139"/>
          </w:pPr>
          <w:r>
            <w:t xml:space="preserve">Petroleum Resource Rent Tax: </w:t>
          </w:r>
          <w:r w:rsidR="00687514">
            <w:t>Review of</w:t>
          </w:r>
          <w:r>
            <w:t xml:space="preserve"> Gas Transfer Pricing </w:t>
          </w:r>
          <w:r w:rsidR="00E648F7">
            <w:t>A</w:t>
          </w:r>
          <w:r w:rsidR="00C20E06">
            <w:t>rrangements</w:t>
          </w:r>
          <w:r w:rsidR="00687514">
            <w:t xml:space="preserve"> </w:t>
          </w:r>
        </w:p>
        <w:p w14:paraId="0CD26480" w14:textId="12C05E79" w:rsidR="00A97160" w:rsidRPr="006923DF" w:rsidRDefault="003521D5" w:rsidP="004C2902">
          <w:pPr>
            <w:pStyle w:val="Subtitle"/>
            <w:spacing w:after="360"/>
          </w:pPr>
          <w:r>
            <w:t xml:space="preserve">Final report </w:t>
          </w:r>
          <w:r w:rsidR="00C20E06">
            <w:t>to the Treasurer</w:t>
          </w:r>
        </w:p>
        <w:p w14:paraId="7E664243" w14:textId="3E2E8AFA" w:rsidR="00A97160" w:rsidRPr="00586605" w:rsidRDefault="00B1279D" w:rsidP="006923DF">
          <w:pPr>
            <w:pStyle w:val="ReportDate"/>
          </w:pPr>
          <w:r>
            <w:rPr>
              <w:rStyle w:val="ReportDateChar"/>
              <w:rFonts w:eastAsia="Calibri"/>
            </w:rPr>
            <w:t>May</w:t>
          </w:r>
          <w:r w:rsidR="00C60615">
            <w:rPr>
              <w:rStyle w:val="ReportDateChar"/>
              <w:rFonts w:eastAsia="Calibri"/>
            </w:rPr>
            <w:t xml:space="preserve"> 2023</w:t>
          </w:r>
        </w:p>
        <w:p w14:paraId="3408F449" w14:textId="77777777" w:rsidR="00A97160" w:rsidRDefault="00A97160">
          <w:pPr>
            <w:spacing w:before="0" w:after="160" w:line="259" w:lineRule="auto"/>
            <w:rPr>
              <w:noProof/>
            </w:rPr>
          </w:pPr>
        </w:p>
        <w:p w14:paraId="03A70297" w14:textId="77777777" w:rsidR="00A97160" w:rsidRDefault="00A97160">
          <w:pPr>
            <w:spacing w:before="0" w:after="160" w:line="259" w:lineRule="auto"/>
          </w:pPr>
          <w:r>
            <w:br w:type="page"/>
          </w:r>
        </w:p>
      </w:sdtContent>
    </w:sdt>
    <w:p w14:paraId="42FB65E5" w14:textId="3C1AE688" w:rsidR="000E0B74" w:rsidRDefault="000E0B74" w:rsidP="005877AC">
      <w:pPr>
        <w:spacing w:before="0" w:after="160" w:line="259" w:lineRule="auto"/>
      </w:pPr>
      <w:r w:rsidRPr="00661BF0">
        <w:lastRenderedPageBreak/>
        <w:t>© Commonwealth of Austral</w:t>
      </w:r>
      <w:r w:rsidRPr="00AD47F1">
        <w:t>ia 20</w:t>
      </w:r>
      <w:r w:rsidR="00AD47F1" w:rsidRPr="00AD47F1">
        <w:t>23</w:t>
      </w:r>
    </w:p>
    <w:p w14:paraId="4180D1FE" w14:textId="5CE9C1F3" w:rsidR="006469CC" w:rsidRDefault="006469CC" w:rsidP="005877AC">
      <w:pPr>
        <w:spacing w:before="0" w:after="160" w:line="259" w:lineRule="auto"/>
        <w:rPr>
          <w:noProof/>
        </w:rPr>
      </w:pPr>
      <w:r>
        <w:t>ISBN:</w:t>
      </w:r>
      <w:r w:rsidR="00F16DA5">
        <w:t xml:space="preserve"> </w:t>
      </w:r>
      <w:r w:rsidR="00F16DA5">
        <w:rPr>
          <w:b/>
          <w:bCs/>
        </w:rPr>
        <w:t>978-1-925832-70-9</w:t>
      </w:r>
    </w:p>
    <w:p w14:paraId="0604C1E9" w14:textId="3F2A7CA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F8FC9CD" w14:textId="77777777" w:rsidR="000E0B74" w:rsidRDefault="000E0B74" w:rsidP="000E0B74">
      <w:pPr>
        <w:pStyle w:val="ChartGraphic"/>
        <w:jc w:val="left"/>
      </w:pPr>
      <w:r w:rsidRPr="00E56DFB">
        <w:rPr>
          <w:noProof/>
        </w:rPr>
        <w:drawing>
          <wp:inline distT="0" distB="0" distL="0" distR="0" wp14:anchorId="26793442" wp14:editId="16D4CAB3">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A3DCC96"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3FDE6DEF" w14:textId="77777777" w:rsidR="000E0B74" w:rsidRPr="006469CC" w:rsidRDefault="000E0B74" w:rsidP="006469CC">
      <w:pPr>
        <w:spacing w:before="240"/>
        <w:rPr>
          <w:b/>
        </w:rPr>
      </w:pPr>
      <w:r w:rsidRPr="006469CC">
        <w:rPr>
          <w:b/>
        </w:rPr>
        <w:t>Treasury material used ‘as supplied’</w:t>
      </w:r>
    </w:p>
    <w:p w14:paraId="532C42B0"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407441C" w14:textId="427D9F2B" w:rsidR="000E0B74" w:rsidRPr="00A13A11" w:rsidRDefault="000E0B74" w:rsidP="000E0B74">
      <w:pPr>
        <w:ind w:firstLine="720"/>
      </w:pPr>
      <w:r w:rsidRPr="002F1BC2">
        <w:rPr>
          <w:i/>
        </w:rPr>
        <w:t xml:space="preserve">Source: The </w:t>
      </w:r>
      <w:r w:rsidRPr="002F1BC2">
        <w:rPr>
          <w:i/>
          <w:iCs/>
        </w:rPr>
        <w:t>Australian Government the Treasury</w:t>
      </w:r>
      <w:r w:rsidR="00DA5CF9">
        <w:rPr>
          <w:i/>
          <w:iCs/>
        </w:rPr>
        <w:t>.</w:t>
      </w:r>
    </w:p>
    <w:p w14:paraId="05CCCEC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D254B4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AC602B1" w14:textId="070923F3" w:rsidR="000E0B74" w:rsidRPr="006627B4" w:rsidRDefault="000E0B74" w:rsidP="000E0B74">
      <w:pPr>
        <w:ind w:firstLine="720"/>
      </w:pPr>
      <w:r w:rsidRPr="002F1BC2">
        <w:rPr>
          <w:i/>
        </w:rPr>
        <w:t>Based on The Australian Government the Treasury data</w:t>
      </w:r>
      <w:r w:rsidR="00DA5CF9">
        <w:t>.</w:t>
      </w:r>
    </w:p>
    <w:p w14:paraId="59620B9A" w14:textId="77777777" w:rsidR="000E0B74" w:rsidRPr="006627B4" w:rsidRDefault="000E0B74" w:rsidP="000E0B74">
      <w:pPr>
        <w:spacing w:before="240"/>
        <w:rPr>
          <w:b/>
        </w:rPr>
      </w:pPr>
      <w:r w:rsidRPr="006627B4">
        <w:rPr>
          <w:b/>
        </w:rPr>
        <w:t>Use of the Coat of Arms</w:t>
      </w:r>
    </w:p>
    <w:p w14:paraId="216401D7"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7" w:history="1">
        <w:r w:rsidR="00F669CD">
          <w:rPr>
            <w:rStyle w:val="Hyperlink"/>
          </w:rPr>
          <w:t>http://www.pmc.gov.au/government/commonwealth-coat-arms</w:t>
        </w:r>
      </w:hyperlink>
      <w:r w:rsidRPr="005C503A">
        <w:t>).</w:t>
      </w:r>
    </w:p>
    <w:p w14:paraId="14A7685B" w14:textId="77777777" w:rsidR="000E0B74" w:rsidRPr="006627B4" w:rsidRDefault="000E0B74" w:rsidP="000E0B74">
      <w:pPr>
        <w:spacing w:before="240"/>
        <w:rPr>
          <w:b/>
        </w:rPr>
      </w:pPr>
      <w:r>
        <w:rPr>
          <w:b/>
        </w:rPr>
        <w:t>Other u</w:t>
      </w:r>
      <w:r w:rsidRPr="006627B4">
        <w:rPr>
          <w:b/>
        </w:rPr>
        <w:t>ses</w:t>
      </w:r>
    </w:p>
    <w:p w14:paraId="755B16F7" w14:textId="77777777" w:rsidR="000E0B74" w:rsidRPr="006627B4" w:rsidRDefault="000E0B74" w:rsidP="000E0B74">
      <w:r>
        <w:t>E</w:t>
      </w:r>
      <w:r w:rsidRPr="006627B4">
        <w:t>nquiries regarding this licence and any other use of this document are welcome at:</w:t>
      </w:r>
    </w:p>
    <w:p w14:paraId="428CEC81" w14:textId="0F7888F1"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Parkes</w:t>
      </w:r>
      <w:r w:rsidR="00151767">
        <w:t xml:space="preserve"> </w:t>
      </w:r>
      <w:r w:rsidRPr="006627B4">
        <w:t>ACT</w:t>
      </w:r>
      <w:r w:rsidR="00151767">
        <w:t xml:space="preserve"> </w:t>
      </w:r>
      <w:r w:rsidRPr="006627B4">
        <w:t>2600</w:t>
      </w:r>
      <w:r>
        <w:br/>
      </w:r>
      <w:r w:rsidRPr="006627B4">
        <w:t xml:space="preserve">Email: </w:t>
      </w:r>
      <w:hyperlink r:id="rId18" w:history="1">
        <w:r w:rsidR="00386297">
          <w:rPr>
            <w:rStyle w:val="Hyperlink"/>
          </w:rPr>
          <w:t>media@treasury.gov.au</w:t>
        </w:r>
      </w:hyperlink>
    </w:p>
    <w:p w14:paraId="3359E48F" w14:textId="77777777" w:rsidR="00F836F9" w:rsidRDefault="00F836F9" w:rsidP="000E0B74">
      <w:pPr>
        <w:pStyle w:val="Heading1"/>
        <w:sectPr w:rsidR="00F836F9" w:rsidSect="00A97160">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pgNumType w:fmt="lowerRoman" w:start="0"/>
          <w:cols w:space="708"/>
          <w:titlePg/>
          <w:docGrid w:linePitch="360"/>
        </w:sectPr>
      </w:pPr>
    </w:p>
    <w:p w14:paraId="4725C0A0" w14:textId="0D513A54" w:rsidR="00AB66D9" w:rsidRDefault="000E0B74">
      <w:pPr>
        <w:pStyle w:val="TOC1"/>
      </w:pPr>
      <w:bookmarkStart w:id="0" w:name="_Toc111026801"/>
      <w:r w:rsidRPr="001F1B27">
        <w:lastRenderedPageBreak/>
        <w:t>Contents</w:t>
      </w:r>
      <w:bookmarkStart w:id="1" w:name="_Toc432067103"/>
      <w:bookmarkStart w:id="2" w:name="_Toc452635030"/>
    </w:p>
    <w:bookmarkEnd w:id="0"/>
    <w:p w14:paraId="411283CE" w14:textId="6778218B" w:rsidR="00D11672" w:rsidRDefault="008F2BB5">
      <w:pPr>
        <w:pStyle w:val="TOC1"/>
        <w:rPr>
          <w:rFonts w:asciiTheme="minorHAnsi" w:eastAsiaTheme="minorEastAsia" w:hAnsiTheme="minorHAnsi" w:cstheme="minorBidi"/>
          <w:b w:val="0"/>
          <w:color w:val="auto"/>
        </w:rPr>
      </w:pPr>
      <w:r>
        <w:rPr>
          <w:color w:val="004A7F"/>
        </w:rPr>
        <w:fldChar w:fldCharType="begin"/>
      </w:r>
      <w:r>
        <w:rPr>
          <w:color w:val="004A7F"/>
        </w:rPr>
        <w:instrText xml:space="preserve"> TOC \o "1-2" \h \z \u </w:instrText>
      </w:r>
      <w:r>
        <w:rPr>
          <w:color w:val="004A7F"/>
        </w:rPr>
        <w:fldChar w:fldCharType="separate"/>
      </w:r>
      <w:hyperlink w:anchor="_Toc134273554" w:history="1">
        <w:r w:rsidR="00D11672" w:rsidRPr="00816A2D">
          <w:rPr>
            <w:rStyle w:val="Hyperlink"/>
          </w:rPr>
          <w:t>1. Preface</w:t>
        </w:r>
        <w:r w:rsidR="00D11672">
          <w:rPr>
            <w:webHidden/>
          </w:rPr>
          <w:tab/>
        </w:r>
        <w:r w:rsidR="00D11672">
          <w:rPr>
            <w:webHidden/>
          </w:rPr>
          <w:fldChar w:fldCharType="begin"/>
        </w:r>
        <w:r w:rsidR="00D11672">
          <w:rPr>
            <w:webHidden/>
          </w:rPr>
          <w:instrText xml:space="preserve"> PAGEREF _Toc134273554 \h </w:instrText>
        </w:r>
        <w:r w:rsidR="00D11672">
          <w:rPr>
            <w:webHidden/>
          </w:rPr>
        </w:r>
        <w:r w:rsidR="00D11672">
          <w:rPr>
            <w:webHidden/>
          </w:rPr>
          <w:fldChar w:fldCharType="separate"/>
        </w:r>
        <w:r w:rsidR="00EB6CDB">
          <w:rPr>
            <w:webHidden/>
          </w:rPr>
          <w:t>3</w:t>
        </w:r>
        <w:r w:rsidR="00D11672">
          <w:rPr>
            <w:webHidden/>
          </w:rPr>
          <w:fldChar w:fldCharType="end"/>
        </w:r>
      </w:hyperlink>
    </w:p>
    <w:p w14:paraId="7E574B04" w14:textId="5653BA75" w:rsidR="00D11672" w:rsidRDefault="00000000">
      <w:pPr>
        <w:pStyle w:val="TOC2"/>
        <w:rPr>
          <w:rFonts w:asciiTheme="minorHAnsi" w:eastAsiaTheme="minorEastAsia" w:hAnsiTheme="minorHAnsi" w:cstheme="minorBidi"/>
          <w:color w:val="auto"/>
          <w:szCs w:val="22"/>
        </w:rPr>
      </w:pPr>
      <w:hyperlink w:anchor="_Toc134273555" w:history="1">
        <w:r w:rsidR="00D11672" w:rsidRPr="00816A2D">
          <w:rPr>
            <w:rStyle w:val="Hyperlink"/>
          </w:rPr>
          <w:t>1.1 Background</w:t>
        </w:r>
        <w:r w:rsidR="00D11672">
          <w:rPr>
            <w:webHidden/>
          </w:rPr>
          <w:tab/>
        </w:r>
        <w:r w:rsidR="00D11672">
          <w:rPr>
            <w:webHidden/>
          </w:rPr>
          <w:fldChar w:fldCharType="begin"/>
        </w:r>
        <w:r w:rsidR="00D11672">
          <w:rPr>
            <w:webHidden/>
          </w:rPr>
          <w:instrText xml:space="preserve"> PAGEREF _Toc134273555 \h </w:instrText>
        </w:r>
        <w:r w:rsidR="00D11672">
          <w:rPr>
            <w:webHidden/>
          </w:rPr>
        </w:r>
        <w:r w:rsidR="00D11672">
          <w:rPr>
            <w:webHidden/>
          </w:rPr>
          <w:fldChar w:fldCharType="separate"/>
        </w:r>
        <w:r w:rsidR="00EB6CDB">
          <w:rPr>
            <w:webHidden/>
          </w:rPr>
          <w:t>3</w:t>
        </w:r>
        <w:r w:rsidR="00D11672">
          <w:rPr>
            <w:webHidden/>
          </w:rPr>
          <w:fldChar w:fldCharType="end"/>
        </w:r>
      </w:hyperlink>
    </w:p>
    <w:p w14:paraId="75E5DD86" w14:textId="558F37D0" w:rsidR="00D11672" w:rsidRDefault="00000000">
      <w:pPr>
        <w:pStyle w:val="TOC2"/>
        <w:rPr>
          <w:rFonts w:asciiTheme="minorHAnsi" w:eastAsiaTheme="minorEastAsia" w:hAnsiTheme="minorHAnsi" w:cstheme="minorBidi"/>
          <w:color w:val="auto"/>
          <w:szCs w:val="22"/>
        </w:rPr>
      </w:pPr>
      <w:hyperlink w:anchor="_Toc134273556" w:history="1">
        <w:r w:rsidR="00D11672" w:rsidRPr="00816A2D">
          <w:rPr>
            <w:rStyle w:val="Hyperlink"/>
          </w:rPr>
          <w:t>1.2 Recommendations</w:t>
        </w:r>
        <w:r w:rsidR="00D11672">
          <w:rPr>
            <w:webHidden/>
          </w:rPr>
          <w:tab/>
        </w:r>
        <w:r w:rsidR="00D11672">
          <w:rPr>
            <w:webHidden/>
          </w:rPr>
          <w:fldChar w:fldCharType="begin"/>
        </w:r>
        <w:r w:rsidR="00D11672">
          <w:rPr>
            <w:webHidden/>
          </w:rPr>
          <w:instrText xml:space="preserve"> PAGEREF _Toc134273556 \h </w:instrText>
        </w:r>
        <w:r w:rsidR="00D11672">
          <w:rPr>
            <w:webHidden/>
          </w:rPr>
        </w:r>
        <w:r w:rsidR="00D11672">
          <w:rPr>
            <w:webHidden/>
          </w:rPr>
          <w:fldChar w:fldCharType="separate"/>
        </w:r>
        <w:r w:rsidR="00EB6CDB">
          <w:rPr>
            <w:webHidden/>
          </w:rPr>
          <w:t>4</w:t>
        </w:r>
        <w:r w:rsidR="00D11672">
          <w:rPr>
            <w:webHidden/>
          </w:rPr>
          <w:fldChar w:fldCharType="end"/>
        </w:r>
      </w:hyperlink>
    </w:p>
    <w:p w14:paraId="0E704E4D" w14:textId="740ACAEA" w:rsidR="00D11672" w:rsidRDefault="00000000">
      <w:pPr>
        <w:pStyle w:val="TOC2"/>
        <w:rPr>
          <w:rFonts w:asciiTheme="minorHAnsi" w:eastAsiaTheme="minorEastAsia" w:hAnsiTheme="minorHAnsi" w:cstheme="minorBidi"/>
          <w:color w:val="auto"/>
          <w:szCs w:val="22"/>
        </w:rPr>
      </w:pPr>
      <w:hyperlink w:anchor="_Toc134273557" w:history="1">
        <w:r w:rsidR="00D11672" w:rsidRPr="00816A2D">
          <w:rPr>
            <w:rStyle w:val="Hyperlink"/>
          </w:rPr>
          <w:t>1.3 Consultation process</w:t>
        </w:r>
        <w:r w:rsidR="00D11672">
          <w:rPr>
            <w:webHidden/>
          </w:rPr>
          <w:tab/>
        </w:r>
        <w:r w:rsidR="00D11672">
          <w:rPr>
            <w:webHidden/>
          </w:rPr>
          <w:fldChar w:fldCharType="begin"/>
        </w:r>
        <w:r w:rsidR="00D11672">
          <w:rPr>
            <w:webHidden/>
          </w:rPr>
          <w:instrText xml:space="preserve"> PAGEREF _Toc134273557 \h </w:instrText>
        </w:r>
        <w:r w:rsidR="00D11672">
          <w:rPr>
            <w:webHidden/>
          </w:rPr>
        </w:r>
        <w:r w:rsidR="00D11672">
          <w:rPr>
            <w:webHidden/>
          </w:rPr>
          <w:fldChar w:fldCharType="separate"/>
        </w:r>
        <w:r w:rsidR="00EB6CDB">
          <w:rPr>
            <w:webHidden/>
          </w:rPr>
          <w:t>6</w:t>
        </w:r>
        <w:r w:rsidR="00D11672">
          <w:rPr>
            <w:webHidden/>
          </w:rPr>
          <w:fldChar w:fldCharType="end"/>
        </w:r>
      </w:hyperlink>
    </w:p>
    <w:p w14:paraId="057893C1" w14:textId="6891A604" w:rsidR="00D11672" w:rsidRDefault="00000000">
      <w:pPr>
        <w:pStyle w:val="TOC1"/>
        <w:rPr>
          <w:rFonts w:asciiTheme="minorHAnsi" w:eastAsiaTheme="minorEastAsia" w:hAnsiTheme="minorHAnsi" w:cstheme="minorBidi"/>
          <w:b w:val="0"/>
          <w:color w:val="auto"/>
        </w:rPr>
      </w:pPr>
      <w:hyperlink w:anchor="_Toc134273558" w:history="1">
        <w:r w:rsidR="00D11672" w:rsidRPr="00816A2D">
          <w:rPr>
            <w:rStyle w:val="Hyperlink"/>
          </w:rPr>
          <w:t>2. Executive summary</w:t>
        </w:r>
        <w:r w:rsidR="00D11672">
          <w:rPr>
            <w:webHidden/>
          </w:rPr>
          <w:tab/>
        </w:r>
        <w:r w:rsidR="00D11672">
          <w:rPr>
            <w:webHidden/>
          </w:rPr>
          <w:fldChar w:fldCharType="begin"/>
        </w:r>
        <w:r w:rsidR="00D11672">
          <w:rPr>
            <w:webHidden/>
          </w:rPr>
          <w:instrText xml:space="preserve"> PAGEREF _Toc134273558 \h </w:instrText>
        </w:r>
        <w:r w:rsidR="00D11672">
          <w:rPr>
            <w:webHidden/>
          </w:rPr>
        </w:r>
        <w:r w:rsidR="00D11672">
          <w:rPr>
            <w:webHidden/>
          </w:rPr>
          <w:fldChar w:fldCharType="separate"/>
        </w:r>
        <w:r w:rsidR="00EB6CDB">
          <w:rPr>
            <w:webHidden/>
          </w:rPr>
          <w:t>7</w:t>
        </w:r>
        <w:r w:rsidR="00D11672">
          <w:rPr>
            <w:webHidden/>
          </w:rPr>
          <w:fldChar w:fldCharType="end"/>
        </w:r>
      </w:hyperlink>
    </w:p>
    <w:p w14:paraId="7DC8F3EE" w14:textId="6D4625C4" w:rsidR="00D11672" w:rsidRDefault="00000000">
      <w:pPr>
        <w:pStyle w:val="TOC1"/>
        <w:rPr>
          <w:rFonts w:asciiTheme="minorHAnsi" w:eastAsiaTheme="minorEastAsia" w:hAnsiTheme="minorHAnsi" w:cstheme="minorBidi"/>
          <w:b w:val="0"/>
          <w:color w:val="auto"/>
        </w:rPr>
      </w:pPr>
      <w:hyperlink w:anchor="_Toc134273559" w:history="1">
        <w:r w:rsidR="00D11672" w:rsidRPr="00816A2D">
          <w:rPr>
            <w:rStyle w:val="Hyperlink"/>
          </w:rPr>
          <w:t>3. The gas transfer pricing rules</w:t>
        </w:r>
        <w:r w:rsidR="00D11672">
          <w:rPr>
            <w:webHidden/>
          </w:rPr>
          <w:tab/>
        </w:r>
        <w:r w:rsidR="00D11672">
          <w:rPr>
            <w:webHidden/>
          </w:rPr>
          <w:fldChar w:fldCharType="begin"/>
        </w:r>
        <w:r w:rsidR="00D11672">
          <w:rPr>
            <w:webHidden/>
          </w:rPr>
          <w:instrText xml:space="preserve"> PAGEREF _Toc134273559 \h </w:instrText>
        </w:r>
        <w:r w:rsidR="00D11672">
          <w:rPr>
            <w:webHidden/>
          </w:rPr>
        </w:r>
        <w:r w:rsidR="00D11672">
          <w:rPr>
            <w:webHidden/>
          </w:rPr>
          <w:fldChar w:fldCharType="separate"/>
        </w:r>
        <w:r w:rsidR="00EB6CDB">
          <w:rPr>
            <w:webHidden/>
          </w:rPr>
          <w:t>12</w:t>
        </w:r>
        <w:r w:rsidR="00D11672">
          <w:rPr>
            <w:webHidden/>
          </w:rPr>
          <w:fldChar w:fldCharType="end"/>
        </w:r>
      </w:hyperlink>
    </w:p>
    <w:p w14:paraId="2142E0BB" w14:textId="6FF705E1" w:rsidR="00D11672" w:rsidRDefault="00000000">
      <w:pPr>
        <w:pStyle w:val="TOC2"/>
        <w:rPr>
          <w:rFonts w:asciiTheme="minorHAnsi" w:eastAsiaTheme="minorEastAsia" w:hAnsiTheme="minorHAnsi" w:cstheme="minorBidi"/>
          <w:color w:val="auto"/>
          <w:szCs w:val="22"/>
        </w:rPr>
      </w:pPr>
      <w:hyperlink w:anchor="_Toc134273560" w:history="1">
        <w:r w:rsidR="00D11672" w:rsidRPr="00816A2D">
          <w:rPr>
            <w:rStyle w:val="Hyperlink"/>
          </w:rPr>
          <w:t>3.1 Overview</w:t>
        </w:r>
        <w:r w:rsidR="00D11672">
          <w:rPr>
            <w:webHidden/>
          </w:rPr>
          <w:tab/>
        </w:r>
        <w:r w:rsidR="00D11672">
          <w:rPr>
            <w:webHidden/>
          </w:rPr>
          <w:fldChar w:fldCharType="begin"/>
        </w:r>
        <w:r w:rsidR="00D11672">
          <w:rPr>
            <w:webHidden/>
          </w:rPr>
          <w:instrText xml:space="preserve"> PAGEREF _Toc134273560 \h </w:instrText>
        </w:r>
        <w:r w:rsidR="00D11672">
          <w:rPr>
            <w:webHidden/>
          </w:rPr>
        </w:r>
        <w:r w:rsidR="00D11672">
          <w:rPr>
            <w:webHidden/>
          </w:rPr>
          <w:fldChar w:fldCharType="separate"/>
        </w:r>
        <w:r w:rsidR="00EB6CDB">
          <w:rPr>
            <w:webHidden/>
          </w:rPr>
          <w:t>12</w:t>
        </w:r>
        <w:r w:rsidR="00D11672">
          <w:rPr>
            <w:webHidden/>
          </w:rPr>
          <w:fldChar w:fldCharType="end"/>
        </w:r>
      </w:hyperlink>
    </w:p>
    <w:p w14:paraId="1DB435BC" w14:textId="6A6514FC" w:rsidR="00D11672" w:rsidRDefault="00000000">
      <w:pPr>
        <w:pStyle w:val="TOC2"/>
        <w:rPr>
          <w:rFonts w:asciiTheme="minorHAnsi" w:eastAsiaTheme="minorEastAsia" w:hAnsiTheme="minorHAnsi" w:cstheme="minorBidi"/>
          <w:color w:val="auto"/>
          <w:szCs w:val="22"/>
        </w:rPr>
      </w:pPr>
      <w:hyperlink w:anchor="_Toc134273561" w:history="1">
        <w:r w:rsidR="00D11672" w:rsidRPr="00816A2D">
          <w:rPr>
            <w:rStyle w:val="Hyperlink"/>
          </w:rPr>
          <w:t>3.2 Background</w:t>
        </w:r>
        <w:r w:rsidR="00D11672">
          <w:rPr>
            <w:webHidden/>
          </w:rPr>
          <w:tab/>
        </w:r>
        <w:r w:rsidR="00D11672">
          <w:rPr>
            <w:webHidden/>
          </w:rPr>
          <w:fldChar w:fldCharType="begin"/>
        </w:r>
        <w:r w:rsidR="00D11672">
          <w:rPr>
            <w:webHidden/>
          </w:rPr>
          <w:instrText xml:space="preserve"> PAGEREF _Toc134273561 \h </w:instrText>
        </w:r>
        <w:r w:rsidR="00D11672">
          <w:rPr>
            <w:webHidden/>
          </w:rPr>
        </w:r>
        <w:r w:rsidR="00D11672">
          <w:rPr>
            <w:webHidden/>
          </w:rPr>
          <w:fldChar w:fldCharType="separate"/>
        </w:r>
        <w:r w:rsidR="00EB6CDB">
          <w:rPr>
            <w:webHidden/>
          </w:rPr>
          <w:t>12</w:t>
        </w:r>
        <w:r w:rsidR="00D11672">
          <w:rPr>
            <w:webHidden/>
          </w:rPr>
          <w:fldChar w:fldCharType="end"/>
        </w:r>
      </w:hyperlink>
    </w:p>
    <w:p w14:paraId="257E31EF" w14:textId="1A682587" w:rsidR="00D11672" w:rsidRDefault="00000000">
      <w:pPr>
        <w:pStyle w:val="TOC2"/>
        <w:rPr>
          <w:rFonts w:asciiTheme="minorHAnsi" w:eastAsiaTheme="minorEastAsia" w:hAnsiTheme="minorHAnsi" w:cstheme="minorBidi"/>
          <w:color w:val="auto"/>
          <w:szCs w:val="22"/>
        </w:rPr>
      </w:pPr>
      <w:hyperlink w:anchor="_Toc134273562" w:history="1">
        <w:r w:rsidR="00D11672" w:rsidRPr="00816A2D">
          <w:rPr>
            <w:rStyle w:val="Hyperlink"/>
          </w:rPr>
          <w:t>3.3 International perspective and treatment</w:t>
        </w:r>
        <w:r w:rsidR="00D11672">
          <w:rPr>
            <w:webHidden/>
          </w:rPr>
          <w:tab/>
        </w:r>
        <w:r w:rsidR="00D11672">
          <w:rPr>
            <w:webHidden/>
          </w:rPr>
          <w:fldChar w:fldCharType="begin"/>
        </w:r>
        <w:r w:rsidR="00D11672">
          <w:rPr>
            <w:webHidden/>
          </w:rPr>
          <w:instrText xml:space="preserve"> PAGEREF _Toc134273562 \h </w:instrText>
        </w:r>
        <w:r w:rsidR="00D11672">
          <w:rPr>
            <w:webHidden/>
          </w:rPr>
        </w:r>
        <w:r w:rsidR="00D11672">
          <w:rPr>
            <w:webHidden/>
          </w:rPr>
          <w:fldChar w:fldCharType="separate"/>
        </w:r>
        <w:r w:rsidR="00EB6CDB">
          <w:rPr>
            <w:webHidden/>
          </w:rPr>
          <w:t>16</w:t>
        </w:r>
        <w:r w:rsidR="00D11672">
          <w:rPr>
            <w:webHidden/>
          </w:rPr>
          <w:fldChar w:fldCharType="end"/>
        </w:r>
      </w:hyperlink>
    </w:p>
    <w:p w14:paraId="754E5FFC" w14:textId="16C2DD7D" w:rsidR="00D11672" w:rsidRDefault="00000000">
      <w:pPr>
        <w:pStyle w:val="TOC1"/>
        <w:rPr>
          <w:rFonts w:asciiTheme="minorHAnsi" w:eastAsiaTheme="minorEastAsia" w:hAnsiTheme="minorHAnsi" w:cstheme="minorBidi"/>
          <w:b w:val="0"/>
          <w:color w:val="auto"/>
        </w:rPr>
      </w:pPr>
      <w:hyperlink w:anchor="_Toc134273563" w:history="1">
        <w:r w:rsidR="00D11672" w:rsidRPr="00816A2D">
          <w:rPr>
            <w:rStyle w:val="Hyperlink"/>
          </w:rPr>
          <w:t>4. Industry overview</w:t>
        </w:r>
        <w:r w:rsidR="00D11672">
          <w:rPr>
            <w:webHidden/>
          </w:rPr>
          <w:tab/>
        </w:r>
        <w:r w:rsidR="00D11672">
          <w:rPr>
            <w:webHidden/>
          </w:rPr>
          <w:fldChar w:fldCharType="begin"/>
        </w:r>
        <w:r w:rsidR="00D11672">
          <w:rPr>
            <w:webHidden/>
          </w:rPr>
          <w:instrText xml:space="preserve"> PAGEREF _Toc134273563 \h </w:instrText>
        </w:r>
        <w:r w:rsidR="00D11672">
          <w:rPr>
            <w:webHidden/>
          </w:rPr>
        </w:r>
        <w:r w:rsidR="00D11672">
          <w:rPr>
            <w:webHidden/>
          </w:rPr>
          <w:fldChar w:fldCharType="separate"/>
        </w:r>
        <w:r w:rsidR="00EB6CDB">
          <w:rPr>
            <w:webHidden/>
          </w:rPr>
          <w:t>17</w:t>
        </w:r>
        <w:r w:rsidR="00D11672">
          <w:rPr>
            <w:webHidden/>
          </w:rPr>
          <w:fldChar w:fldCharType="end"/>
        </w:r>
      </w:hyperlink>
    </w:p>
    <w:p w14:paraId="5AC52F4C" w14:textId="3E24DC00" w:rsidR="00D11672" w:rsidRDefault="00000000">
      <w:pPr>
        <w:pStyle w:val="TOC2"/>
        <w:rPr>
          <w:rFonts w:asciiTheme="minorHAnsi" w:eastAsiaTheme="minorEastAsia" w:hAnsiTheme="minorHAnsi" w:cstheme="minorBidi"/>
          <w:color w:val="auto"/>
          <w:szCs w:val="22"/>
        </w:rPr>
      </w:pPr>
      <w:hyperlink w:anchor="_Toc134273564" w:history="1">
        <w:r w:rsidR="00D11672" w:rsidRPr="00816A2D">
          <w:rPr>
            <w:rStyle w:val="Hyperlink"/>
          </w:rPr>
          <w:t>4.1 Australian LNG exports</w:t>
        </w:r>
        <w:r w:rsidR="00D11672">
          <w:rPr>
            <w:webHidden/>
          </w:rPr>
          <w:tab/>
        </w:r>
        <w:r w:rsidR="00D11672">
          <w:rPr>
            <w:webHidden/>
          </w:rPr>
          <w:fldChar w:fldCharType="begin"/>
        </w:r>
        <w:r w:rsidR="00D11672">
          <w:rPr>
            <w:webHidden/>
          </w:rPr>
          <w:instrText xml:space="preserve"> PAGEREF _Toc134273564 \h </w:instrText>
        </w:r>
        <w:r w:rsidR="00D11672">
          <w:rPr>
            <w:webHidden/>
          </w:rPr>
        </w:r>
        <w:r w:rsidR="00D11672">
          <w:rPr>
            <w:webHidden/>
          </w:rPr>
          <w:fldChar w:fldCharType="separate"/>
        </w:r>
        <w:r w:rsidR="00EB6CDB">
          <w:rPr>
            <w:webHidden/>
          </w:rPr>
          <w:t>17</w:t>
        </w:r>
        <w:r w:rsidR="00D11672">
          <w:rPr>
            <w:webHidden/>
          </w:rPr>
          <w:fldChar w:fldCharType="end"/>
        </w:r>
      </w:hyperlink>
    </w:p>
    <w:p w14:paraId="59B44E0D" w14:textId="7C7BD9FF" w:rsidR="00D11672" w:rsidRDefault="00000000">
      <w:pPr>
        <w:pStyle w:val="TOC2"/>
        <w:rPr>
          <w:rFonts w:asciiTheme="minorHAnsi" w:eastAsiaTheme="minorEastAsia" w:hAnsiTheme="minorHAnsi" w:cstheme="minorBidi"/>
          <w:color w:val="auto"/>
          <w:szCs w:val="22"/>
        </w:rPr>
      </w:pPr>
      <w:hyperlink w:anchor="_Toc134273565" w:history="1">
        <w:r w:rsidR="00D11672" w:rsidRPr="00816A2D">
          <w:rPr>
            <w:rStyle w:val="Hyperlink"/>
          </w:rPr>
          <w:t>4.2 The major LNG projects in Australia</w:t>
        </w:r>
        <w:r w:rsidR="00D11672">
          <w:rPr>
            <w:webHidden/>
          </w:rPr>
          <w:tab/>
        </w:r>
        <w:r w:rsidR="00D11672">
          <w:rPr>
            <w:webHidden/>
          </w:rPr>
          <w:fldChar w:fldCharType="begin"/>
        </w:r>
        <w:r w:rsidR="00D11672">
          <w:rPr>
            <w:webHidden/>
          </w:rPr>
          <w:instrText xml:space="preserve"> PAGEREF _Toc134273565 \h </w:instrText>
        </w:r>
        <w:r w:rsidR="00D11672">
          <w:rPr>
            <w:webHidden/>
          </w:rPr>
        </w:r>
        <w:r w:rsidR="00D11672">
          <w:rPr>
            <w:webHidden/>
          </w:rPr>
          <w:fldChar w:fldCharType="separate"/>
        </w:r>
        <w:r w:rsidR="00EB6CDB">
          <w:rPr>
            <w:webHidden/>
          </w:rPr>
          <w:t>18</w:t>
        </w:r>
        <w:r w:rsidR="00D11672">
          <w:rPr>
            <w:webHidden/>
          </w:rPr>
          <w:fldChar w:fldCharType="end"/>
        </w:r>
      </w:hyperlink>
    </w:p>
    <w:p w14:paraId="75232196" w14:textId="2C37F218" w:rsidR="00D11672" w:rsidRDefault="00000000">
      <w:pPr>
        <w:pStyle w:val="TOC2"/>
        <w:rPr>
          <w:rFonts w:asciiTheme="minorHAnsi" w:eastAsiaTheme="minorEastAsia" w:hAnsiTheme="minorHAnsi" w:cstheme="minorBidi"/>
          <w:color w:val="auto"/>
          <w:szCs w:val="22"/>
        </w:rPr>
      </w:pPr>
      <w:hyperlink w:anchor="_Toc134273566" w:history="1">
        <w:r w:rsidR="00D11672" w:rsidRPr="00816A2D">
          <w:rPr>
            <w:rStyle w:val="Hyperlink"/>
          </w:rPr>
          <w:t>4.3 Current LNG projects relevant to the GTP Review</w:t>
        </w:r>
        <w:r w:rsidR="00D11672">
          <w:rPr>
            <w:webHidden/>
          </w:rPr>
          <w:tab/>
        </w:r>
        <w:r w:rsidR="00D11672">
          <w:rPr>
            <w:webHidden/>
          </w:rPr>
          <w:fldChar w:fldCharType="begin"/>
        </w:r>
        <w:r w:rsidR="00D11672">
          <w:rPr>
            <w:webHidden/>
          </w:rPr>
          <w:instrText xml:space="preserve"> PAGEREF _Toc134273566 \h </w:instrText>
        </w:r>
        <w:r w:rsidR="00D11672">
          <w:rPr>
            <w:webHidden/>
          </w:rPr>
        </w:r>
        <w:r w:rsidR="00D11672">
          <w:rPr>
            <w:webHidden/>
          </w:rPr>
          <w:fldChar w:fldCharType="separate"/>
        </w:r>
        <w:r w:rsidR="00EB6CDB">
          <w:rPr>
            <w:webHidden/>
          </w:rPr>
          <w:t>19</w:t>
        </w:r>
        <w:r w:rsidR="00D11672">
          <w:rPr>
            <w:webHidden/>
          </w:rPr>
          <w:fldChar w:fldCharType="end"/>
        </w:r>
      </w:hyperlink>
    </w:p>
    <w:p w14:paraId="5FCC61AA" w14:textId="7062FC60" w:rsidR="00D11672" w:rsidRDefault="00000000">
      <w:pPr>
        <w:pStyle w:val="TOC2"/>
        <w:rPr>
          <w:rFonts w:asciiTheme="minorHAnsi" w:eastAsiaTheme="minorEastAsia" w:hAnsiTheme="minorHAnsi" w:cstheme="minorBidi"/>
          <w:color w:val="auto"/>
          <w:szCs w:val="22"/>
        </w:rPr>
      </w:pPr>
      <w:hyperlink w:anchor="_Toc134273567" w:history="1">
        <w:r w:rsidR="00D11672" w:rsidRPr="00816A2D">
          <w:rPr>
            <w:rStyle w:val="Hyperlink"/>
          </w:rPr>
          <w:t>4.4 The next wave of LNG investment in Australia</w:t>
        </w:r>
        <w:r w:rsidR="00D11672">
          <w:rPr>
            <w:webHidden/>
          </w:rPr>
          <w:tab/>
        </w:r>
        <w:r w:rsidR="00D11672">
          <w:rPr>
            <w:webHidden/>
          </w:rPr>
          <w:fldChar w:fldCharType="begin"/>
        </w:r>
        <w:r w:rsidR="00D11672">
          <w:rPr>
            <w:webHidden/>
          </w:rPr>
          <w:instrText xml:space="preserve"> PAGEREF _Toc134273567 \h </w:instrText>
        </w:r>
        <w:r w:rsidR="00D11672">
          <w:rPr>
            <w:webHidden/>
          </w:rPr>
        </w:r>
        <w:r w:rsidR="00D11672">
          <w:rPr>
            <w:webHidden/>
          </w:rPr>
          <w:fldChar w:fldCharType="separate"/>
        </w:r>
        <w:r w:rsidR="00EB6CDB">
          <w:rPr>
            <w:webHidden/>
          </w:rPr>
          <w:t>20</w:t>
        </w:r>
        <w:r w:rsidR="00D11672">
          <w:rPr>
            <w:webHidden/>
          </w:rPr>
          <w:fldChar w:fldCharType="end"/>
        </w:r>
      </w:hyperlink>
    </w:p>
    <w:p w14:paraId="3ECB9F6F" w14:textId="578785E5" w:rsidR="00D11672" w:rsidRDefault="00000000">
      <w:pPr>
        <w:pStyle w:val="TOC2"/>
        <w:rPr>
          <w:rFonts w:asciiTheme="minorHAnsi" w:eastAsiaTheme="minorEastAsia" w:hAnsiTheme="minorHAnsi" w:cstheme="minorBidi"/>
          <w:color w:val="auto"/>
          <w:szCs w:val="22"/>
        </w:rPr>
      </w:pPr>
      <w:hyperlink w:anchor="_Toc134273568" w:history="1">
        <w:r w:rsidR="00D11672" w:rsidRPr="00816A2D">
          <w:rPr>
            <w:rStyle w:val="Hyperlink"/>
          </w:rPr>
          <w:t>4.5 Broader investment context</w:t>
        </w:r>
        <w:r w:rsidR="00D11672">
          <w:rPr>
            <w:webHidden/>
          </w:rPr>
          <w:tab/>
        </w:r>
        <w:r w:rsidR="00D11672">
          <w:rPr>
            <w:webHidden/>
          </w:rPr>
          <w:fldChar w:fldCharType="begin"/>
        </w:r>
        <w:r w:rsidR="00D11672">
          <w:rPr>
            <w:webHidden/>
          </w:rPr>
          <w:instrText xml:space="preserve"> PAGEREF _Toc134273568 \h </w:instrText>
        </w:r>
        <w:r w:rsidR="00D11672">
          <w:rPr>
            <w:webHidden/>
          </w:rPr>
        </w:r>
        <w:r w:rsidR="00D11672">
          <w:rPr>
            <w:webHidden/>
          </w:rPr>
          <w:fldChar w:fldCharType="separate"/>
        </w:r>
        <w:r w:rsidR="00EB6CDB">
          <w:rPr>
            <w:webHidden/>
          </w:rPr>
          <w:t>21</w:t>
        </w:r>
        <w:r w:rsidR="00D11672">
          <w:rPr>
            <w:webHidden/>
          </w:rPr>
          <w:fldChar w:fldCharType="end"/>
        </w:r>
      </w:hyperlink>
    </w:p>
    <w:p w14:paraId="24B035A6" w14:textId="7EF9DBC1" w:rsidR="00D11672" w:rsidRDefault="00000000">
      <w:pPr>
        <w:pStyle w:val="TOC1"/>
        <w:rPr>
          <w:rFonts w:asciiTheme="minorHAnsi" w:eastAsiaTheme="minorEastAsia" w:hAnsiTheme="minorHAnsi" w:cstheme="minorBidi"/>
          <w:b w:val="0"/>
          <w:color w:val="auto"/>
        </w:rPr>
      </w:pPr>
      <w:hyperlink w:anchor="_Toc134273569" w:history="1">
        <w:r w:rsidR="00D11672" w:rsidRPr="00816A2D">
          <w:rPr>
            <w:rStyle w:val="Hyperlink"/>
          </w:rPr>
          <w:t>5. Stakeholder views</w:t>
        </w:r>
        <w:r w:rsidR="00D11672">
          <w:rPr>
            <w:webHidden/>
          </w:rPr>
          <w:tab/>
        </w:r>
        <w:r w:rsidR="00D11672">
          <w:rPr>
            <w:webHidden/>
          </w:rPr>
          <w:fldChar w:fldCharType="begin"/>
        </w:r>
        <w:r w:rsidR="00D11672">
          <w:rPr>
            <w:webHidden/>
          </w:rPr>
          <w:instrText xml:space="preserve"> PAGEREF _Toc134273569 \h </w:instrText>
        </w:r>
        <w:r w:rsidR="00D11672">
          <w:rPr>
            <w:webHidden/>
          </w:rPr>
        </w:r>
        <w:r w:rsidR="00D11672">
          <w:rPr>
            <w:webHidden/>
          </w:rPr>
          <w:fldChar w:fldCharType="separate"/>
        </w:r>
        <w:r w:rsidR="00EB6CDB">
          <w:rPr>
            <w:webHidden/>
          </w:rPr>
          <w:t>23</w:t>
        </w:r>
        <w:r w:rsidR="00D11672">
          <w:rPr>
            <w:webHidden/>
          </w:rPr>
          <w:fldChar w:fldCharType="end"/>
        </w:r>
      </w:hyperlink>
    </w:p>
    <w:p w14:paraId="1706F05B" w14:textId="3E74588D" w:rsidR="00D11672" w:rsidRDefault="00000000">
      <w:pPr>
        <w:pStyle w:val="TOC1"/>
        <w:rPr>
          <w:rFonts w:asciiTheme="minorHAnsi" w:eastAsiaTheme="minorEastAsia" w:hAnsiTheme="minorHAnsi" w:cstheme="minorBidi"/>
          <w:b w:val="0"/>
          <w:color w:val="auto"/>
        </w:rPr>
      </w:pPr>
      <w:hyperlink w:anchor="_Toc134273570" w:history="1">
        <w:r w:rsidR="00D11672" w:rsidRPr="00816A2D">
          <w:rPr>
            <w:rStyle w:val="Hyperlink"/>
          </w:rPr>
          <w:t>6. Analysis and options</w:t>
        </w:r>
        <w:r w:rsidR="00D11672">
          <w:rPr>
            <w:webHidden/>
          </w:rPr>
          <w:tab/>
        </w:r>
        <w:r w:rsidR="00D11672">
          <w:rPr>
            <w:webHidden/>
          </w:rPr>
          <w:fldChar w:fldCharType="begin"/>
        </w:r>
        <w:r w:rsidR="00D11672">
          <w:rPr>
            <w:webHidden/>
          </w:rPr>
          <w:instrText xml:space="preserve"> PAGEREF _Toc134273570 \h </w:instrText>
        </w:r>
        <w:r w:rsidR="00D11672">
          <w:rPr>
            <w:webHidden/>
          </w:rPr>
        </w:r>
        <w:r w:rsidR="00D11672">
          <w:rPr>
            <w:webHidden/>
          </w:rPr>
          <w:fldChar w:fldCharType="separate"/>
        </w:r>
        <w:r w:rsidR="00EB6CDB">
          <w:rPr>
            <w:webHidden/>
          </w:rPr>
          <w:t>30</w:t>
        </w:r>
        <w:r w:rsidR="00D11672">
          <w:rPr>
            <w:webHidden/>
          </w:rPr>
          <w:fldChar w:fldCharType="end"/>
        </w:r>
      </w:hyperlink>
    </w:p>
    <w:p w14:paraId="003F9EBE" w14:textId="19399022" w:rsidR="00D11672" w:rsidRDefault="00000000">
      <w:pPr>
        <w:pStyle w:val="TOC2"/>
        <w:rPr>
          <w:rFonts w:asciiTheme="minorHAnsi" w:eastAsiaTheme="minorEastAsia" w:hAnsiTheme="minorHAnsi" w:cstheme="minorBidi"/>
          <w:color w:val="auto"/>
          <w:szCs w:val="22"/>
        </w:rPr>
      </w:pPr>
      <w:hyperlink w:anchor="_Toc134273571" w:history="1">
        <w:r w:rsidR="00D11672" w:rsidRPr="00816A2D">
          <w:rPr>
            <w:rStyle w:val="Hyperlink"/>
          </w:rPr>
          <w:t>6.1 The evidence suggests the RPM under-prices gas</w:t>
        </w:r>
        <w:r w:rsidR="00D11672">
          <w:rPr>
            <w:webHidden/>
          </w:rPr>
          <w:tab/>
        </w:r>
        <w:r w:rsidR="00D11672">
          <w:rPr>
            <w:webHidden/>
          </w:rPr>
          <w:fldChar w:fldCharType="begin"/>
        </w:r>
        <w:r w:rsidR="00D11672">
          <w:rPr>
            <w:webHidden/>
          </w:rPr>
          <w:instrText xml:space="preserve"> PAGEREF _Toc134273571 \h </w:instrText>
        </w:r>
        <w:r w:rsidR="00D11672">
          <w:rPr>
            <w:webHidden/>
          </w:rPr>
        </w:r>
        <w:r w:rsidR="00D11672">
          <w:rPr>
            <w:webHidden/>
          </w:rPr>
          <w:fldChar w:fldCharType="separate"/>
        </w:r>
        <w:r w:rsidR="00EB6CDB">
          <w:rPr>
            <w:webHidden/>
          </w:rPr>
          <w:t>30</w:t>
        </w:r>
        <w:r w:rsidR="00D11672">
          <w:rPr>
            <w:webHidden/>
          </w:rPr>
          <w:fldChar w:fldCharType="end"/>
        </w:r>
      </w:hyperlink>
    </w:p>
    <w:p w14:paraId="23B97DAC" w14:textId="52A6416B" w:rsidR="00D11672" w:rsidRDefault="00000000">
      <w:pPr>
        <w:pStyle w:val="TOC2"/>
        <w:rPr>
          <w:rFonts w:asciiTheme="minorHAnsi" w:eastAsiaTheme="minorEastAsia" w:hAnsiTheme="minorHAnsi" w:cstheme="minorBidi"/>
          <w:color w:val="auto"/>
          <w:szCs w:val="22"/>
        </w:rPr>
      </w:pPr>
      <w:hyperlink w:anchor="_Toc134273572" w:history="1">
        <w:r w:rsidR="00D11672" w:rsidRPr="00816A2D">
          <w:rPr>
            <w:rStyle w:val="Hyperlink"/>
          </w:rPr>
          <w:t>6.2 Analysis of the RPM assumptions</w:t>
        </w:r>
        <w:r w:rsidR="00D11672">
          <w:rPr>
            <w:webHidden/>
          </w:rPr>
          <w:tab/>
        </w:r>
        <w:r w:rsidR="00D11672">
          <w:rPr>
            <w:webHidden/>
          </w:rPr>
          <w:fldChar w:fldCharType="begin"/>
        </w:r>
        <w:r w:rsidR="00D11672">
          <w:rPr>
            <w:webHidden/>
          </w:rPr>
          <w:instrText xml:space="preserve"> PAGEREF _Toc134273572 \h </w:instrText>
        </w:r>
        <w:r w:rsidR="00D11672">
          <w:rPr>
            <w:webHidden/>
          </w:rPr>
        </w:r>
        <w:r w:rsidR="00D11672">
          <w:rPr>
            <w:webHidden/>
          </w:rPr>
          <w:fldChar w:fldCharType="separate"/>
        </w:r>
        <w:r w:rsidR="00EB6CDB">
          <w:rPr>
            <w:webHidden/>
          </w:rPr>
          <w:t>33</w:t>
        </w:r>
        <w:r w:rsidR="00D11672">
          <w:rPr>
            <w:webHidden/>
          </w:rPr>
          <w:fldChar w:fldCharType="end"/>
        </w:r>
      </w:hyperlink>
    </w:p>
    <w:p w14:paraId="1E16EE21" w14:textId="6244BD6E" w:rsidR="00D11672" w:rsidRDefault="00000000">
      <w:pPr>
        <w:pStyle w:val="TOC2"/>
        <w:rPr>
          <w:rFonts w:asciiTheme="minorHAnsi" w:eastAsiaTheme="minorEastAsia" w:hAnsiTheme="minorHAnsi" w:cstheme="minorBidi"/>
          <w:color w:val="auto"/>
          <w:szCs w:val="22"/>
        </w:rPr>
      </w:pPr>
      <w:hyperlink w:anchor="_Toc134273573" w:history="1">
        <w:r w:rsidR="00D11672" w:rsidRPr="00816A2D">
          <w:rPr>
            <w:rStyle w:val="Hyperlink"/>
          </w:rPr>
          <w:t>6.3 Options for reform</w:t>
        </w:r>
        <w:r w:rsidR="00D11672">
          <w:rPr>
            <w:webHidden/>
          </w:rPr>
          <w:tab/>
        </w:r>
        <w:r w:rsidR="00D11672">
          <w:rPr>
            <w:webHidden/>
          </w:rPr>
          <w:fldChar w:fldCharType="begin"/>
        </w:r>
        <w:r w:rsidR="00D11672">
          <w:rPr>
            <w:webHidden/>
          </w:rPr>
          <w:instrText xml:space="preserve"> PAGEREF _Toc134273573 \h </w:instrText>
        </w:r>
        <w:r w:rsidR="00D11672">
          <w:rPr>
            <w:webHidden/>
          </w:rPr>
        </w:r>
        <w:r w:rsidR="00D11672">
          <w:rPr>
            <w:webHidden/>
          </w:rPr>
          <w:fldChar w:fldCharType="separate"/>
        </w:r>
        <w:r w:rsidR="00EB6CDB">
          <w:rPr>
            <w:webHidden/>
          </w:rPr>
          <w:t>38</w:t>
        </w:r>
        <w:r w:rsidR="00D11672">
          <w:rPr>
            <w:webHidden/>
          </w:rPr>
          <w:fldChar w:fldCharType="end"/>
        </w:r>
      </w:hyperlink>
    </w:p>
    <w:p w14:paraId="70BA2427" w14:textId="3D6B082F" w:rsidR="00D11672" w:rsidRDefault="00000000">
      <w:pPr>
        <w:pStyle w:val="TOC2"/>
        <w:rPr>
          <w:rFonts w:asciiTheme="minorHAnsi" w:eastAsiaTheme="minorEastAsia" w:hAnsiTheme="minorHAnsi" w:cstheme="minorBidi"/>
          <w:color w:val="auto"/>
          <w:szCs w:val="22"/>
        </w:rPr>
      </w:pPr>
      <w:hyperlink w:anchor="_Toc134273574" w:history="1">
        <w:r w:rsidR="00D11672" w:rsidRPr="00816A2D">
          <w:rPr>
            <w:rStyle w:val="Hyperlink"/>
          </w:rPr>
          <w:t>6.4 Comparable Uncontrolled Price method</w:t>
        </w:r>
        <w:r w:rsidR="00D11672">
          <w:rPr>
            <w:webHidden/>
          </w:rPr>
          <w:tab/>
        </w:r>
        <w:r w:rsidR="00D11672">
          <w:rPr>
            <w:webHidden/>
          </w:rPr>
          <w:fldChar w:fldCharType="begin"/>
        </w:r>
        <w:r w:rsidR="00D11672">
          <w:rPr>
            <w:webHidden/>
          </w:rPr>
          <w:instrText xml:space="preserve"> PAGEREF _Toc134273574 \h </w:instrText>
        </w:r>
        <w:r w:rsidR="00D11672">
          <w:rPr>
            <w:webHidden/>
          </w:rPr>
        </w:r>
        <w:r w:rsidR="00D11672">
          <w:rPr>
            <w:webHidden/>
          </w:rPr>
          <w:fldChar w:fldCharType="separate"/>
        </w:r>
        <w:r w:rsidR="00EB6CDB">
          <w:rPr>
            <w:webHidden/>
          </w:rPr>
          <w:t>45</w:t>
        </w:r>
        <w:r w:rsidR="00D11672">
          <w:rPr>
            <w:webHidden/>
          </w:rPr>
          <w:fldChar w:fldCharType="end"/>
        </w:r>
      </w:hyperlink>
    </w:p>
    <w:p w14:paraId="3009E6E7" w14:textId="1A054344" w:rsidR="00D11672" w:rsidRDefault="00000000">
      <w:pPr>
        <w:pStyle w:val="TOC2"/>
        <w:rPr>
          <w:rFonts w:asciiTheme="minorHAnsi" w:eastAsiaTheme="minorEastAsia" w:hAnsiTheme="minorHAnsi" w:cstheme="minorBidi"/>
          <w:color w:val="auto"/>
          <w:szCs w:val="22"/>
        </w:rPr>
      </w:pPr>
      <w:hyperlink w:anchor="_Toc134273575" w:history="1">
        <w:r w:rsidR="00D11672" w:rsidRPr="00816A2D">
          <w:rPr>
            <w:rStyle w:val="Hyperlink"/>
          </w:rPr>
          <w:t>6.5 Advance Pricing Arrangements</w:t>
        </w:r>
        <w:r w:rsidR="00D11672">
          <w:rPr>
            <w:webHidden/>
          </w:rPr>
          <w:tab/>
        </w:r>
        <w:r w:rsidR="00D11672">
          <w:rPr>
            <w:webHidden/>
          </w:rPr>
          <w:fldChar w:fldCharType="begin"/>
        </w:r>
        <w:r w:rsidR="00D11672">
          <w:rPr>
            <w:webHidden/>
          </w:rPr>
          <w:instrText xml:space="preserve"> PAGEREF _Toc134273575 \h </w:instrText>
        </w:r>
        <w:r w:rsidR="00D11672">
          <w:rPr>
            <w:webHidden/>
          </w:rPr>
        </w:r>
        <w:r w:rsidR="00D11672">
          <w:rPr>
            <w:webHidden/>
          </w:rPr>
          <w:fldChar w:fldCharType="separate"/>
        </w:r>
        <w:r w:rsidR="00EB6CDB">
          <w:rPr>
            <w:webHidden/>
          </w:rPr>
          <w:t>46</w:t>
        </w:r>
        <w:r w:rsidR="00D11672">
          <w:rPr>
            <w:webHidden/>
          </w:rPr>
          <w:fldChar w:fldCharType="end"/>
        </w:r>
      </w:hyperlink>
    </w:p>
    <w:p w14:paraId="06EBF3C7" w14:textId="26032351" w:rsidR="00D11672" w:rsidRDefault="00000000">
      <w:pPr>
        <w:pStyle w:val="TOC2"/>
        <w:rPr>
          <w:rFonts w:asciiTheme="minorHAnsi" w:eastAsiaTheme="minorEastAsia" w:hAnsiTheme="minorHAnsi" w:cstheme="minorBidi"/>
          <w:color w:val="auto"/>
          <w:szCs w:val="22"/>
        </w:rPr>
      </w:pPr>
      <w:hyperlink w:anchor="_Toc134273576" w:history="1">
        <w:r w:rsidR="00D11672" w:rsidRPr="00816A2D">
          <w:rPr>
            <w:rStyle w:val="Hyperlink"/>
          </w:rPr>
          <w:t>6.6 Transparency and simplicity</w:t>
        </w:r>
        <w:r w:rsidR="00D11672">
          <w:rPr>
            <w:webHidden/>
          </w:rPr>
          <w:tab/>
        </w:r>
        <w:r w:rsidR="00D11672">
          <w:rPr>
            <w:webHidden/>
          </w:rPr>
          <w:fldChar w:fldCharType="begin"/>
        </w:r>
        <w:r w:rsidR="00D11672">
          <w:rPr>
            <w:webHidden/>
          </w:rPr>
          <w:instrText xml:space="preserve"> PAGEREF _Toc134273576 \h </w:instrText>
        </w:r>
        <w:r w:rsidR="00D11672">
          <w:rPr>
            <w:webHidden/>
          </w:rPr>
        </w:r>
        <w:r w:rsidR="00D11672">
          <w:rPr>
            <w:webHidden/>
          </w:rPr>
          <w:fldChar w:fldCharType="separate"/>
        </w:r>
        <w:r w:rsidR="00EB6CDB">
          <w:rPr>
            <w:webHidden/>
          </w:rPr>
          <w:t>49</w:t>
        </w:r>
        <w:r w:rsidR="00D11672">
          <w:rPr>
            <w:webHidden/>
          </w:rPr>
          <w:fldChar w:fldCharType="end"/>
        </w:r>
      </w:hyperlink>
    </w:p>
    <w:p w14:paraId="24F3D430" w14:textId="6AD356BE" w:rsidR="00D11672" w:rsidRDefault="00000000">
      <w:pPr>
        <w:pStyle w:val="TOC2"/>
        <w:rPr>
          <w:rFonts w:asciiTheme="minorHAnsi" w:eastAsiaTheme="minorEastAsia" w:hAnsiTheme="minorHAnsi" w:cstheme="minorBidi"/>
          <w:color w:val="auto"/>
          <w:szCs w:val="22"/>
        </w:rPr>
      </w:pPr>
      <w:hyperlink w:anchor="_Toc134273577" w:history="1">
        <w:r w:rsidR="00D11672" w:rsidRPr="00816A2D">
          <w:rPr>
            <w:rStyle w:val="Hyperlink"/>
          </w:rPr>
          <w:t>6.7 Start date of application</w:t>
        </w:r>
        <w:r w:rsidR="00D11672">
          <w:rPr>
            <w:webHidden/>
          </w:rPr>
          <w:tab/>
        </w:r>
        <w:r w:rsidR="00D11672">
          <w:rPr>
            <w:webHidden/>
          </w:rPr>
          <w:fldChar w:fldCharType="begin"/>
        </w:r>
        <w:r w:rsidR="00D11672">
          <w:rPr>
            <w:webHidden/>
          </w:rPr>
          <w:instrText xml:space="preserve"> PAGEREF _Toc134273577 \h </w:instrText>
        </w:r>
        <w:r w:rsidR="00D11672">
          <w:rPr>
            <w:webHidden/>
          </w:rPr>
        </w:r>
        <w:r w:rsidR="00D11672">
          <w:rPr>
            <w:webHidden/>
          </w:rPr>
          <w:fldChar w:fldCharType="separate"/>
        </w:r>
        <w:r w:rsidR="00EB6CDB">
          <w:rPr>
            <w:webHidden/>
          </w:rPr>
          <w:t>50</w:t>
        </w:r>
        <w:r w:rsidR="00D11672">
          <w:rPr>
            <w:webHidden/>
          </w:rPr>
          <w:fldChar w:fldCharType="end"/>
        </w:r>
      </w:hyperlink>
    </w:p>
    <w:p w14:paraId="39200670" w14:textId="2CBAB52C" w:rsidR="00D11672" w:rsidRDefault="00000000">
      <w:pPr>
        <w:pStyle w:val="TOC1"/>
        <w:rPr>
          <w:rFonts w:asciiTheme="minorHAnsi" w:eastAsiaTheme="minorEastAsia" w:hAnsiTheme="minorHAnsi" w:cstheme="minorBidi"/>
          <w:b w:val="0"/>
          <w:color w:val="auto"/>
        </w:rPr>
      </w:pPr>
      <w:hyperlink w:anchor="_Toc134273578" w:history="1">
        <w:r w:rsidR="00D11672" w:rsidRPr="00816A2D">
          <w:rPr>
            <w:rStyle w:val="Hyperlink"/>
          </w:rPr>
          <w:t>7. How the GTP rules should apply to new fields using existing infrastructure</w:t>
        </w:r>
        <w:r w:rsidR="00D11672">
          <w:rPr>
            <w:webHidden/>
          </w:rPr>
          <w:tab/>
        </w:r>
        <w:r w:rsidR="00D11672">
          <w:rPr>
            <w:webHidden/>
          </w:rPr>
          <w:fldChar w:fldCharType="begin"/>
        </w:r>
        <w:r w:rsidR="00D11672">
          <w:rPr>
            <w:webHidden/>
          </w:rPr>
          <w:instrText xml:space="preserve"> PAGEREF _Toc134273578 \h </w:instrText>
        </w:r>
        <w:r w:rsidR="00D11672">
          <w:rPr>
            <w:webHidden/>
          </w:rPr>
        </w:r>
        <w:r w:rsidR="00D11672">
          <w:rPr>
            <w:webHidden/>
          </w:rPr>
          <w:fldChar w:fldCharType="separate"/>
        </w:r>
        <w:r w:rsidR="00EB6CDB">
          <w:rPr>
            <w:webHidden/>
          </w:rPr>
          <w:t>52</w:t>
        </w:r>
        <w:r w:rsidR="00D11672">
          <w:rPr>
            <w:webHidden/>
          </w:rPr>
          <w:fldChar w:fldCharType="end"/>
        </w:r>
      </w:hyperlink>
    </w:p>
    <w:p w14:paraId="1CA3B7BA" w14:textId="505372D7" w:rsidR="00D11672" w:rsidRDefault="00000000">
      <w:pPr>
        <w:pStyle w:val="TOC2"/>
        <w:rPr>
          <w:rFonts w:asciiTheme="minorHAnsi" w:eastAsiaTheme="minorEastAsia" w:hAnsiTheme="minorHAnsi" w:cstheme="minorBidi"/>
          <w:color w:val="auto"/>
          <w:szCs w:val="22"/>
        </w:rPr>
      </w:pPr>
      <w:hyperlink w:anchor="_Toc134273579" w:history="1">
        <w:r w:rsidR="00D11672" w:rsidRPr="00816A2D">
          <w:rPr>
            <w:rStyle w:val="Hyperlink"/>
          </w:rPr>
          <w:t>7.1 Tolling</w:t>
        </w:r>
        <w:r w:rsidR="00D11672">
          <w:rPr>
            <w:webHidden/>
          </w:rPr>
          <w:tab/>
        </w:r>
        <w:r w:rsidR="00D11672">
          <w:rPr>
            <w:webHidden/>
          </w:rPr>
          <w:fldChar w:fldCharType="begin"/>
        </w:r>
        <w:r w:rsidR="00D11672">
          <w:rPr>
            <w:webHidden/>
          </w:rPr>
          <w:instrText xml:space="preserve"> PAGEREF _Toc134273579 \h </w:instrText>
        </w:r>
        <w:r w:rsidR="00D11672">
          <w:rPr>
            <w:webHidden/>
          </w:rPr>
        </w:r>
        <w:r w:rsidR="00D11672">
          <w:rPr>
            <w:webHidden/>
          </w:rPr>
          <w:fldChar w:fldCharType="separate"/>
        </w:r>
        <w:r w:rsidR="00EB6CDB">
          <w:rPr>
            <w:webHidden/>
          </w:rPr>
          <w:t>52</w:t>
        </w:r>
        <w:r w:rsidR="00D11672">
          <w:rPr>
            <w:webHidden/>
          </w:rPr>
          <w:fldChar w:fldCharType="end"/>
        </w:r>
      </w:hyperlink>
    </w:p>
    <w:p w14:paraId="4FCC2785" w14:textId="6560291C" w:rsidR="00D11672" w:rsidRDefault="00000000">
      <w:pPr>
        <w:pStyle w:val="TOC2"/>
        <w:rPr>
          <w:rFonts w:asciiTheme="minorHAnsi" w:eastAsiaTheme="minorEastAsia" w:hAnsiTheme="minorHAnsi" w:cstheme="minorBidi"/>
          <w:color w:val="auto"/>
          <w:szCs w:val="22"/>
        </w:rPr>
      </w:pPr>
      <w:hyperlink w:anchor="_Toc134273580" w:history="1">
        <w:r w:rsidR="00D11672" w:rsidRPr="00816A2D">
          <w:rPr>
            <w:rStyle w:val="Hyperlink"/>
          </w:rPr>
          <w:t>7.2 Combination of PRRT projects</w:t>
        </w:r>
        <w:r w:rsidR="00D11672">
          <w:rPr>
            <w:webHidden/>
          </w:rPr>
          <w:tab/>
        </w:r>
        <w:r w:rsidR="00D11672">
          <w:rPr>
            <w:webHidden/>
          </w:rPr>
          <w:fldChar w:fldCharType="begin"/>
        </w:r>
        <w:r w:rsidR="00D11672">
          <w:rPr>
            <w:webHidden/>
          </w:rPr>
          <w:instrText xml:space="preserve"> PAGEREF _Toc134273580 \h </w:instrText>
        </w:r>
        <w:r w:rsidR="00D11672">
          <w:rPr>
            <w:webHidden/>
          </w:rPr>
        </w:r>
        <w:r w:rsidR="00D11672">
          <w:rPr>
            <w:webHidden/>
          </w:rPr>
          <w:fldChar w:fldCharType="separate"/>
        </w:r>
        <w:r w:rsidR="00EB6CDB">
          <w:rPr>
            <w:webHidden/>
          </w:rPr>
          <w:t>61</w:t>
        </w:r>
        <w:r w:rsidR="00D11672">
          <w:rPr>
            <w:webHidden/>
          </w:rPr>
          <w:fldChar w:fldCharType="end"/>
        </w:r>
      </w:hyperlink>
    </w:p>
    <w:p w14:paraId="6615080F" w14:textId="2A18C03B" w:rsidR="00D11672" w:rsidRDefault="00000000">
      <w:pPr>
        <w:pStyle w:val="TOC2"/>
        <w:rPr>
          <w:rFonts w:asciiTheme="minorHAnsi" w:eastAsiaTheme="minorEastAsia" w:hAnsiTheme="minorHAnsi" w:cstheme="minorBidi"/>
          <w:color w:val="auto"/>
          <w:szCs w:val="22"/>
        </w:rPr>
      </w:pPr>
      <w:hyperlink w:anchor="_Toc134273581" w:history="1">
        <w:r w:rsidR="00D11672" w:rsidRPr="00816A2D">
          <w:rPr>
            <w:rStyle w:val="Hyperlink"/>
          </w:rPr>
          <w:t>7.3 LNG facilities entering the PRRT system</w:t>
        </w:r>
        <w:r w:rsidR="00D11672">
          <w:rPr>
            <w:webHidden/>
          </w:rPr>
          <w:tab/>
        </w:r>
        <w:r w:rsidR="00D11672">
          <w:rPr>
            <w:webHidden/>
          </w:rPr>
          <w:fldChar w:fldCharType="begin"/>
        </w:r>
        <w:r w:rsidR="00D11672">
          <w:rPr>
            <w:webHidden/>
          </w:rPr>
          <w:instrText xml:space="preserve"> PAGEREF _Toc134273581 \h </w:instrText>
        </w:r>
        <w:r w:rsidR="00D11672">
          <w:rPr>
            <w:webHidden/>
          </w:rPr>
        </w:r>
        <w:r w:rsidR="00D11672">
          <w:rPr>
            <w:webHidden/>
          </w:rPr>
          <w:fldChar w:fldCharType="separate"/>
        </w:r>
        <w:r w:rsidR="00EB6CDB">
          <w:rPr>
            <w:webHidden/>
          </w:rPr>
          <w:t>63</w:t>
        </w:r>
        <w:r w:rsidR="00D11672">
          <w:rPr>
            <w:webHidden/>
          </w:rPr>
          <w:fldChar w:fldCharType="end"/>
        </w:r>
      </w:hyperlink>
    </w:p>
    <w:p w14:paraId="4FE3131F" w14:textId="3C8A4652" w:rsidR="00D11672" w:rsidRDefault="00000000">
      <w:pPr>
        <w:pStyle w:val="TOC1"/>
        <w:rPr>
          <w:rFonts w:asciiTheme="minorHAnsi" w:eastAsiaTheme="minorEastAsia" w:hAnsiTheme="minorHAnsi" w:cstheme="minorBidi"/>
          <w:b w:val="0"/>
          <w:color w:val="auto"/>
        </w:rPr>
      </w:pPr>
      <w:hyperlink w:anchor="_Toc134273582" w:history="1">
        <w:r w:rsidR="00D11672" w:rsidRPr="00816A2D">
          <w:rPr>
            <w:rStyle w:val="Hyperlink"/>
          </w:rPr>
          <w:t>8. Impacts on PRRT revenue and investment</w:t>
        </w:r>
        <w:r w:rsidR="00D11672">
          <w:rPr>
            <w:webHidden/>
          </w:rPr>
          <w:tab/>
        </w:r>
        <w:r w:rsidR="00D11672">
          <w:rPr>
            <w:webHidden/>
          </w:rPr>
          <w:fldChar w:fldCharType="begin"/>
        </w:r>
        <w:r w:rsidR="00D11672">
          <w:rPr>
            <w:webHidden/>
          </w:rPr>
          <w:instrText xml:space="preserve"> PAGEREF _Toc134273582 \h </w:instrText>
        </w:r>
        <w:r w:rsidR="00D11672">
          <w:rPr>
            <w:webHidden/>
          </w:rPr>
        </w:r>
        <w:r w:rsidR="00D11672">
          <w:rPr>
            <w:webHidden/>
          </w:rPr>
          <w:fldChar w:fldCharType="separate"/>
        </w:r>
        <w:r w:rsidR="00EB6CDB">
          <w:rPr>
            <w:webHidden/>
          </w:rPr>
          <w:t>64</w:t>
        </w:r>
        <w:r w:rsidR="00D11672">
          <w:rPr>
            <w:webHidden/>
          </w:rPr>
          <w:fldChar w:fldCharType="end"/>
        </w:r>
      </w:hyperlink>
    </w:p>
    <w:p w14:paraId="556166C6" w14:textId="03B261F4" w:rsidR="00D11672" w:rsidRDefault="00000000">
      <w:pPr>
        <w:pStyle w:val="TOC2"/>
        <w:rPr>
          <w:rFonts w:asciiTheme="minorHAnsi" w:eastAsiaTheme="minorEastAsia" w:hAnsiTheme="minorHAnsi" w:cstheme="minorBidi"/>
          <w:color w:val="auto"/>
          <w:szCs w:val="22"/>
        </w:rPr>
      </w:pPr>
      <w:hyperlink w:anchor="_Toc134273583" w:history="1">
        <w:r w:rsidR="00D11672" w:rsidRPr="00816A2D">
          <w:rPr>
            <w:rStyle w:val="Hyperlink"/>
          </w:rPr>
          <w:t>8.1 Modelling approach</w:t>
        </w:r>
        <w:r w:rsidR="00D11672">
          <w:rPr>
            <w:webHidden/>
          </w:rPr>
          <w:tab/>
        </w:r>
        <w:r w:rsidR="00D11672">
          <w:rPr>
            <w:webHidden/>
          </w:rPr>
          <w:fldChar w:fldCharType="begin"/>
        </w:r>
        <w:r w:rsidR="00D11672">
          <w:rPr>
            <w:webHidden/>
          </w:rPr>
          <w:instrText xml:space="preserve"> PAGEREF _Toc134273583 \h </w:instrText>
        </w:r>
        <w:r w:rsidR="00D11672">
          <w:rPr>
            <w:webHidden/>
          </w:rPr>
        </w:r>
        <w:r w:rsidR="00D11672">
          <w:rPr>
            <w:webHidden/>
          </w:rPr>
          <w:fldChar w:fldCharType="separate"/>
        </w:r>
        <w:r w:rsidR="00EB6CDB">
          <w:rPr>
            <w:webHidden/>
          </w:rPr>
          <w:t>64</w:t>
        </w:r>
        <w:r w:rsidR="00D11672">
          <w:rPr>
            <w:webHidden/>
          </w:rPr>
          <w:fldChar w:fldCharType="end"/>
        </w:r>
      </w:hyperlink>
    </w:p>
    <w:p w14:paraId="14B0A3F5" w14:textId="43109533" w:rsidR="00D11672" w:rsidRDefault="00000000">
      <w:pPr>
        <w:pStyle w:val="TOC2"/>
        <w:rPr>
          <w:rFonts w:asciiTheme="minorHAnsi" w:eastAsiaTheme="minorEastAsia" w:hAnsiTheme="minorHAnsi" w:cstheme="minorBidi"/>
          <w:color w:val="auto"/>
          <w:szCs w:val="22"/>
        </w:rPr>
      </w:pPr>
      <w:hyperlink w:anchor="_Toc134273584" w:history="1">
        <w:r w:rsidR="00D11672" w:rsidRPr="00816A2D">
          <w:rPr>
            <w:rStyle w:val="Hyperlink"/>
          </w:rPr>
          <w:t>8.2 New baseline for LNG projects</w:t>
        </w:r>
        <w:r w:rsidR="00D11672">
          <w:rPr>
            <w:webHidden/>
          </w:rPr>
          <w:tab/>
        </w:r>
        <w:r w:rsidR="00D11672">
          <w:rPr>
            <w:webHidden/>
          </w:rPr>
          <w:fldChar w:fldCharType="begin"/>
        </w:r>
        <w:r w:rsidR="00D11672">
          <w:rPr>
            <w:webHidden/>
          </w:rPr>
          <w:instrText xml:space="preserve"> PAGEREF _Toc134273584 \h </w:instrText>
        </w:r>
        <w:r w:rsidR="00D11672">
          <w:rPr>
            <w:webHidden/>
          </w:rPr>
        </w:r>
        <w:r w:rsidR="00D11672">
          <w:rPr>
            <w:webHidden/>
          </w:rPr>
          <w:fldChar w:fldCharType="separate"/>
        </w:r>
        <w:r w:rsidR="00EB6CDB">
          <w:rPr>
            <w:webHidden/>
          </w:rPr>
          <w:t>64</w:t>
        </w:r>
        <w:r w:rsidR="00D11672">
          <w:rPr>
            <w:webHidden/>
          </w:rPr>
          <w:fldChar w:fldCharType="end"/>
        </w:r>
      </w:hyperlink>
    </w:p>
    <w:p w14:paraId="578EA24E" w14:textId="0F299519" w:rsidR="00D11672" w:rsidRDefault="00000000">
      <w:pPr>
        <w:pStyle w:val="TOC2"/>
        <w:rPr>
          <w:rFonts w:asciiTheme="minorHAnsi" w:eastAsiaTheme="minorEastAsia" w:hAnsiTheme="minorHAnsi" w:cstheme="minorBidi"/>
          <w:color w:val="auto"/>
          <w:szCs w:val="22"/>
        </w:rPr>
      </w:pPr>
      <w:hyperlink w:anchor="_Toc134273585" w:history="1">
        <w:r w:rsidR="00D11672" w:rsidRPr="00816A2D">
          <w:rPr>
            <w:rStyle w:val="Hyperlink"/>
          </w:rPr>
          <w:t>8.3 Impacts of proposed changes on existing projects</w:t>
        </w:r>
        <w:r w:rsidR="00D11672">
          <w:rPr>
            <w:webHidden/>
          </w:rPr>
          <w:tab/>
        </w:r>
        <w:r w:rsidR="00D11672">
          <w:rPr>
            <w:webHidden/>
          </w:rPr>
          <w:fldChar w:fldCharType="begin"/>
        </w:r>
        <w:r w:rsidR="00D11672">
          <w:rPr>
            <w:webHidden/>
          </w:rPr>
          <w:instrText xml:space="preserve"> PAGEREF _Toc134273585 \h </w:instrText>
        </w:r>
        <w:r w:rsidR="00D11672">
          <w:rPr>
            <w:webHidden/>
          </w:rPr>
        </w:r>
        <w:r w:rsidR="00D11672">
          <w:rPr>
            <w:webHidden/>
          </w:rPr>
          <w:fldChar w:fldCharType="separate"/>
        </w:r>
        <w:r w:rsidR="00EB6CDB">
          <w:rPr>
            <w:webHidden/>
          </w:rPr>
          <w:t>66</w:t>
        </w:r>
        <w:r w:rsidR="00D11672">
          <w:rPr>
            <w:webHidden/>
          </w:rPr>
          <w:fldChar w:fldCharType="end"/>
        </w:r>
      </w:hyperlink>
    </w:p>
    <w:p w14:paraId="15F55BF0" w14:textId="265E2A3E" w:rsidR="00D11672" w:rsidRDefault="00000000">
      <w:pPr>
        <w:pStyle w:val="TOC2"/>
        <w:rPr>
          <w:rFonts w:asciiTheme="minorHAnsi" w:eastAsiaTheme="minorEastAsia" w:hAnsiTheme="minorHAnsi" w:cstheme="minorBidi"/>
          <w:color w:val="auto"/>
          <w:szCs w:val="22"/>
        </w:rPr>
      </w:pPr>
      <w:hyperlink w:anchor="_Toc134273586" w:history="1">
        <w:r w:rsidR="00D11672" w:rsidRPr="00816A2D">
          <w:rPr>
            <w:rStyle w:val="Hyperlink"/>
          </w:rPr>
          <w:t>8.4 Impacts of proposed changes on new projects</w:t>
        </w:r>
        <w:r w:rsidR="00D11672">
          <w:rPr>
            <w:webHidden/>
          </w:rPr>
          <w:tab/>
        </w:r>
        <w:r w:rsidR="00D11672">
          <w:rPr>
            <w:webHidden/>
          </w:rPr>
          <w:fldChar w:fldCharType="begin"/>
        </w:r>
        <w:r w:rsidR="00D11672">
          <w:rPr>
            <w:webHidden/>
          </w:rPr>
          <w:instrText xml:space="preserve"> PAGEREF _Toc134273586 \h </w:instrText>
        </w:r>
        <w:r w:rsidR="00D11672">
          <w:rPr>
            <w:webHidden/>
          </w:rPr>
        </w:r>
        <w:r w:rsidR="00D11672">
          <w:rPr>
            <w:webHidden/>
          </w:rPr>
          <w:fldChar w:fldCharType="separate"/>
        </w:r>
        <w:r w:rsidR="00EB6CDB">
          <w:rPr>
            <w:webHidden/>
          </w:rPr>
          <w:t>69</w:t>
        </w:r>
        <w:r w:rsidR="00D11672">
          <w:rPr>
            <w:webHidden/>
          </w:rPr>
          <w:fldChar w:fldCharType="end"/>
        </w:r>
      </w:hyperlink>
    </w:p>
    <w:p w14:paraId="1BDDEA1C" w14:textId="00D4B240" w:rsidR="00026263" w:rsidRDefault="008F2BB5" w:rsidP="00026263">
      <w:pPr>
        <w:pStyle w:val="Heading1"/>
        <w:rPr>
          <w:noProof/>
          <w:color w:val="004A7F"/>
          <w:szCs w:val="22"/>
        </w:rPr>
      </w:pPr>
      <w:r>
        <w:rPr>
          <w:noProof/>
          <w:color w:val="004A7F"/>
          <w:szCs w:val="22"/>
        </w:rPr>
        <w:fldChar w:fldCharType="end"/>
      </w:r>
      <w:bookmarkEnd w:id="1"/>
      <w:bookmarkEnd w:id="2"/>
      <w:r w:rsidR="00026263">
        <w:rPr>
          <w:noProof/>
          <w:color w:val="004A7F"/>
          <w:szCs w:val="22"/>
        </w:rPr>
        <w:br w:type="page"/>
      </w:r>
    </w:p>
    <w:p w14:paraId="51815E75" w14:textId="1A85D8E1" w:rsidR="000E16A0" w:rsidRPr="00026263" w:rsidRDefault="000D30FF" w:rsidP="00026263">
      <w:pPr>
        <w:pStyle w:val="Heading1"/>
      </w:pPr>
      <w:bookmarkStart w:id="3" w:name="_Toc134273554"/>
      <w:r w:rsidRPr="00026263">
        <w:lastRenderedPageBreak/>
        <w:t xml:space="preserve">1. </w:t>
      </w:r>
      <w:r w:rsidR="000E747F" w:rsidRPr="00026263">
        <w:t>Preface</w:t>
      </w:r>
      <w:bookmarkEnd w:id="3"/>
    </w:p>
    <w:p w14:paraId="68058527" w14:textId="789CBAC6" w:rsidR="000D30FF" w:rsidRDefault="000D30FF" w:rsidP="0073217E">
      <w:pPr>
        <w:pStyle w:val="Heading2"/>
      </w:pPr>
      <w:bookmarkStart w:id="4" w:name="_Toc134273555"/>
      <w:r>
        <w:t>1.1</w:t>
      </w:r>
      <w:r w:rsidR="00F9029E">
        <w:t xml:space="preserve"> </w:t>
      </w:r>
      <w:r>
        <w:t>Background</w:t>
      </w:r>
      <w:bookmarkEnd w:id="4"/>
    </w:p>
    <w:p w14:paraId="602A1EE7" w14:textId="55895549" w:rsidR="00433041" w:rsidRDefault="00A94085" w:rsidP="00A94085">
      <w:r>
        <w:t xml:space="preserve">On 2 November 2018, the </w:t>
      </w:r>
      <w:r w:rsidR="00DE2C28">
        <w:t xml:space="preserve">former </w:t>
      </w:r>
      <w:r>
        <w:t xml:space="preserve">Government announced </w:t>
      </w:r>
      <w:r w:rsidR="004D0A74">
        <w:t xml:space="preserve">its </w:t>
      </w:r>
      <w:r>
        <w:t xml:space="preserve">final response to the Petroleum Resource Rent Tax </w:t>
      </w:r>
      <w:r w:rsidR="00C5283F">
        <w:t xml:space="preserve">(PRRT) </w:t>
      </w:r>
      <w:r>
        <w:t xml:space="preserve">Review </w:t>
      </w:r>
      <w:r w:rsidR="0065727B">
        <w:t>conducted</w:t>
      </w:r>
      <w:r>
        <w:t xml:space="preserve"> by Michael Callaghan AM PSM</w:t>
      </w:r>
      <w:r w:rsidR="00EE3D67">
        <w:t xml:space="preserve"> (the Callaghan Review)</w:t>
      </w:r>
      <w:r>
        <w:t>.</w:t>
      </w:r>
      <w:r w:rsidR="000913D1">
        <w:t xml:space="preserve"> </w:t>
      </w:r>
    </w:p>
    <w:p w14:paraId="56B48CDC" w14:textId="2031F859" w:rsidR="00433041" w:rsidRDefault="00CD269C" w:rsidP="00A94085">
      <w:r>
        <w:t>The Callaghan</w:t>
      </w:r>
      <w:r w:rsidR="006956A6">
        <w:t xml:space="preserve"> </w:t>
      </w:r>
      <w:r w:rsidR="004F453F">
        <w:t>Review</w:t>
      </w:r>
      <w:r>
        <w:t xml:space="preserve"> </w:t>
      </w:r>
      <w:r w:rsidR="000E0331">
        <w:t xml:space="preserve">made a number of observations and recommendations regarding the overall operation of the PRRT. It also </w:t>
      </w:r>
      <w:r>
        <w:t>identified</w:t>
      </w:r>
      <w:r w:rsidR="008B6797">
        <w:t xml:space="preserve"> </w:t>
      </w:r>
      <w:r w:rsidR="00A13998">
        <w:t>concerns over whether the outcome</w:t>
      </w:r>
      <w:r w:rsidR="0093690A">
        <w:t>s</w:t>
      </w:r>
      <w:r w:rsidR="00A13998">
        <w:t xml:space="preserve"> of the </w:t>
      </w:r>
      <w:r w:rsidR="00D831CB">
        <w:t xml:space="preserve">gas transfer pricing (GTP) </w:t>
      </w:r>
      <w:r w:rsidR="001F7387">
        <w:t>Regulation</w:t>
      </w:r>
      <w:r w:rsidR="00B95D54">
        <w:rPr>
          <w:rStyle w:val="FootnoteReference"/>
        </w:rPr>
        <w:footnoteReference w:id="2"/>
      </w:r>
      <w:r w:rsidR="001F7387">
        <w:t xml:space="preserve"> </w:t>
      </w:r>
      <w:r w:rsidR="00AB0C26">
        <w:t>ensure</w:t>
      </w:r>
      <w:r w:rsidR="001F7387">
        <w:t>s</w:t>
      </w:r>
      <w:r w:rsidR="00AB0C26">
        <w:t xml:space="preserve"> that the Australian community is receiving an equitable share from the gas used in </w:t>
      </w:r>
      <w:r w:rsidR="000E0331">
        <w:t>liquefied natural gas (</w:t>
      </w:r>
      <w:r w:rsidR="00AB0C26">
        <w:t>LNG</w:t>
      </w:r>
      <w:r w:rsidR="000E0331">
        <w:t>)</w:t>
      </w:r>
      <w:r w:rsidR="00AB0C26">
        <w:t xml:space="preserve"> projects.</w:t>
      </w:r>
      <w:r w:rsidR="0046197F">
        <w:t xml:space="preserve"> The </w:t>
      </w:r>
      <w:r w:rsidR="00E714D9">
        <w:t xml:space="preserve">Callaghan </w:t>
      </w:r>
      <w:r w:rsidR="004F453F">
        <w:t>Review</w:t>
      </w:r>
      <w:r w:rsidR="0046197F">
        <w:t xml:space="preserve"> recommended that </w:t>
      </w:r>
      <w:r w:rsidR="00AB52D5">
        <w:t xml:space="preserve">the </w:t>
      </w:r>
      <w:r w:rsidR="00D1791C">
        <w:t>GTP</w:t>
      </w:r>
      <w:r w:rsidR="008544CD">
        <w:t> </w:t>
      </w:r>
      <w:r w:rsidR="00D1791C">
        <w:t>Regulation</w:t>
      </w:r>
      <w:r w:rsidR="00AB52D5">
        <w:t xml:space="preserve"> be examined to </w:t>
      </w:r>
      <w:r w:rsidR="00D2367E">
        <w:t xml:space="preserve">identify possible changes that </w:t>
      </w:r>
      <w:r w:rsidR="00463FC5">
        <w:t>would</w:t>
      </w:r>
      <w:r w:rsidR="00AB045C">
        <w:t xml:space="preserve"> achieve</w:t>
      </w:r>
      <w:r w:rsidR="00A56F41">
        <w:t xml:space="preserve"> greater simplicity and transparency, ease of compliance, and </w:t>
      </w:r>
      <w:r w:rsidR="00433041">
        <w:t>f</w:t>
      </w:r>
      <w:r w:rsidR="00A56F41">
        <w:t xml:space="preserve">air treatment of the economic rent </w:t>
      </w:r>
      <w:r w:rsidR="00433041">
        <w:t>from each stage of an integrated petroleum operation.</w:t>
      </w:r>
    </w:p>
    <w:p w14:paraId="45E03AF8" w14:textId="46B81398" w:rsidR="0029692C" w:rsidRDefault="00A94085" w:rsidP="003136E9">
      <w:r>
        <w:t>As part of its response</w:t>
      </w:r>
      <w:r w:rsidR="00105CB0">
        <w:t xml:space="preserve"> to the Callaghan </w:t>
      </w:r>
      <w:r w:rsidR="000977B3">
        <w:t>Review</w:t>
      </w:r>
      <w:r>
        <w:t xml:space="preserve">, the </w:t>
      </w:r>
      <w:r w:rsidR="00DE2C28">
        <w:t>former</w:t>
      </w:r>
      <w:r>
        <w:t xml:space="preserve"> Government asked Treasury to lead a review of the </w:t>
      </w:r>
      <w:r w:rsidR="00D1791C">
        <w:t>GTP Regulation</w:t>
      </w:r>
      <w:r w:rsidR="00450A09">
        <w:t xml:space="preserve">, </w:t>
      </w:r>
      <w:r w:rsidR="0037053E">
        <w:t>which</w:t>
      </w:r>
      <w:r w:rsidR="00450A09">
        <w:t xml:space="preserve"> determine</w:t>
      </w:r>
      <w:r w:rsidR="00A14AD9">
        <w:t>s</w:t>
      </w:r>
      <w:r w:rsidR="00450A09">
        <w:t xml:space="preserve"> the value of gas </w:t>
      </w:r>
      <w:r w:rsidR="00185AE0">
        <w:t>for PRRT purpose</w:t>
      </w:r>
      <w:r w:rsidR="00185AE0" w:rsidDel="00DC7016">
        <w:t>s</w:t>
      </w:r>
      <w:r w:rsidR="00185AE0">
        <w:t xml:space="preserve"> in </w:t>
      </w:r>
      <w:r w:rsidR="000D68EC">
        <w:t>i</w:t>
      </w:r>
      <w:r w:rsidR="000E5037">
        <w:t xml:space="preserve">ntegrated </w:t>
      </w:r>
      <w:r w:rsidR="005F7F4D">
        <w:t>LNG</w:t>
      </w:r>
      <w:r w:rsidR="000E5037">
        <w:t xml:space="preserve"> projects.</w:t>
      </w:r>
      <w:r w:rsidR="00B06B3D">
        <w:t xml:space="preserve"> </w:t>
      </w:r>
      <w:r w:rsidR="00CB21E5">
        <w:t>O</w:t>
      </w:r>
      <w:r w:rsidR="0029692C">
        <w:t>n 5 April 2019</w:t>
      </w:r>
      <w:r w:rsidR="00B06B3D">
        <w:t>,</w:t>
      </w:r>
      <w:r w:rsidR="0029692C">
        <w:t xml:space="preserve"> the former Assistant Treasurer, the Hon Stuart Robert MP, task</w:t>
      </w:r>
      <w:r w:rsidR="00B06B3D">
        <w:t>ed</w:t>
      </w:r>
      <w:r w:rsidR="0029692C">
        <w:t xml:space="preserve"> </w:t>
      </w:r>
      <w:r w:rsidR="00547F05">
        <w:t xml:space="preserve">Treasury </w:t>
      </w:r>
      <w:r w:rsidR="00BF1E29">
        <w:t xml:space="preserve">to </w:t>
      </w:r>
      <w:r w:rsidR="0029692C">
        <w:t>provid</w:t>
      </w:r>
      <w:r w:rsidR="00BF1E29">
        <w:t>e</w:t>
      </w:r>
      <w:r w:rsidR="0029692C">
        <w:t xml:space="preserve"> advice on:</w:t>
      </w:r>
    </w:p>
    <w:p w14:paraId="570BB2C9" w14:textId="77777777" w:rsidR="009A2C4C" w:rsidRPr="009A2C4C" w:rsidRDefault="009A2C4C" w:rsidP="009A2C4C">
      <w:pPr>
        <w:pStyle w:val="Bullet"/>
      </w:pPr>
      <w:r w:rsidRPr="009A2C4C">
        <w:t>Options to reflect an appropriate distribution of rents, including when resource prices are high,</w:t>
      </w:r>
    </w:p>
    <w:p w14:paraId="76D6A793" w14:textId="77777777" w:rsidR="009A2C4C" w:rsidRPr="009A2C4C" w:rsidRDefault="009A2C4C" w:rsidP="009A2C4C">
      <w:pPr>
        <w:pStyle w:val="Bullet"/>
      </w:pPr>
      <w:r w:rsidRPr="009A2C4C">
        <w:t>Ensuring the regulations are fit for purpose into the future and compatible with emerging developments in the industry, such as LNG tolling arrangements and third-party processing,</w:t>
      </w:r>
    </w:p>
    <w:p w14:paraId="23E7BB73" w14:textId="77777777" w:rsidR="009A2C4C" w:rsidRPr="009A2C4C" w:rsidRDefault="009A2C4C" w:rsidP="009A2C4C">
      <w:pPr>
        <w:pStyle w:val="Bullet"/>
      </w:pPr>
      <w:r w:rsidRPr="009A2C4C">
        <w:t>Whether the evidence of how the regulations are applied in practice reflects an appropriate arm’s length price for gas at the taxing point, including in situations where prices and resource rents are high,</w:t>
      </w:r>
    </w:p>
    <w:p w14:paraId="0C0EE6CC" w14:textId="77777777" w:rsidR="009A2C4C" w:rsidRPr="009A2C4C" w:rsidRDefault="009A2C4C" w:rsidP="009A2C4C">
      <w:pPr>
        <w:pStyle w:val="Bullet"/>
      </w:pPr>
      <w:r w:rsidRPr="009A2C4C">
        <w:t>Ensuring commercial transactions for parts of the LNG production chain are used as far as possible as a reference for establishing a gas transfer price,</w:t>
      </w:r>
    </w:p>
    <w:p w14:paraId="32B8E68B" w14:textId="77777777" w:rsidR="009A2C4C" w:rsidRPr="009A2C4C" w:rsidRDefault="009A2C4C" w:rsidP="009A2C4C">
      <w:pPr>
        <w:pStyle w:val="Bullet"/>
      </w:pPr>
      <w:r w:rsidRPr="009A2C4C">
        <w:t>Ensuring that the regulations are as neutral as possible between operations where the owners (or part owners) of gas process their own gas and where gas is processed by third parties,</w:t>
      </w:r>
    </w:p>
    <w:p w14:paraId="7A713271" w14:textId="77777777" w:rsidR="009A2C4C" w:rsidRPr="009A2C4C" w:rsidRDefault="009A2C4C" w:rsidP="009A2C4C">
      <w:pPr>
        <w:pStyle w:val="Bullet"/>
      </w:pPr>
      <w:r w:rsidRPr="009A2C4C">
        <w:t>Options to improve transparency and reduce complexity in the way in which the rules operate, and</w:t>
      </w:r>
    </w:p>
    <w:p w14:paraId="63A911FC" w14:textId="7A279660" w:rsidR="009A2C4C" w:rsidRPr="009A2C4C" w:rsidRDefault="009A2C4C" w:rsidP="009A2C4C">
      <w:pPr>
        <w:pStyle w:val="Bullet"/>
      </w:pPr>
      <w:r w:rsidRPr="009A2C4C">
        <w:t>Any other related matters.</w:t>
      </w:r>
      <w:r w:rsidR="00F9029E">
        <w:t xml:space="preserve"> </w:t>
      </w:r>
    </w:p>
    <w:p w14:paraId="1A1F1FFD" w14:textId="47F9686B" w:rsidR="00137B02" w:rsidRDefault="00261F49" w:rsidP="00A94085">
      <w:r>
        <w:t xml:space="preserve">The GTP Review was paused in early 2020, as Treasury’s resources were redeployed to focus on the Covid-19 pandemic. </w:t>
      </w:r>
      <w:r w:rsidR="001A1B9D">
        <w:t>Treasury resumed the Review in December 2022.</w:t>
      </w:r>
    </w:p>
    <w:p w14:paraId="5B879062" w14:textId="53D1C93C" w:rsidR="00A32194" w:rsidRDefault="00391A8D" w:rsidP="00A94085">
      <w:r>
        <w:t>There have been</w:t>
      </w:r>
      <w:r w:rsidR="008E0D9E">
        <w:t xml:space="preserve"> </w:t>
      </w:r>
      <w:r w:rsidR="000B3FEC">
        <w:t>significant developments in global energy markets and local energy demand</w:t>
      </w:r>
      <w:r w:rsidR="00F70815">
        <w:t xml:space="preserve"> since the commencement of the Review</w:t>
      </w:r>
      <w:r w:rsidR="000B3FEC">
        <w:t xml:space="preserve">, </w:t>
      </w:r>
      <w:r w:rsidR="00F70815">
        <w:t>including the increasing</w:t>
      </w:r>
      <w:r w:rsidR="000B3FEC">
        <w:t xml:space="preserve"> importance of gas </w:t>
      </w:r>
      <w:r w:rsidR="00F70815">
        <w:t>in supporting the transition to low</w:t>
      </w:r>
      <w:r w:rsidR="00F65178">
        <w:t>-</w:t>
      </w:r>
      <w:r w:rsidR="00F70815">
        <w:t>emissions energy</w:t>
      </w:r>
      <w:r w:rsidR="00B5310A">
        <w:t xml:space="preserve"> generation</w:t>
      </w:r>
      <w:r w:rsidR="00EE2C12">
        <w:t xml:space="preserve"> and the </w:t>
      </w:r>
      <w:r w:rsidR="00EE06FD">
        <w:t xml:space="preserve">changing </w:t>
      </w:r>
      <w:r w:rsidR="008F1BFC">
        <w:t xml:space="preserve">role of LNG in </w:t>
      </w:r>
      <w:r w:rsidR="007E0A59">
        <w:t xml:space="preserve">supplying </w:t>
      </w:r>
      <w:r w:rsidR="00A969AD">
        <w:t>gas to</w:t>
      </w:r>
      <w:r w:rsidR="00EE2C12">
        <w:t xml:space="preserve"> </w:t>
      </w:r>
      <w:r w:rsidR="002F5632">
        <w:t>Western Australia and the Northern Territory</w:t>
      </w:r>
      <w:r w:rsidR="000B3FEC">
        <w:t xml:space="preserve">. </w:t>
      </w:r>
      <w:r w:rsidR="00515BDE">
        <w:t>T</w:t>
      </w:r>
      <w:r w:rsidR="00B45A10">
        <w:t xml:space="preserve">he </w:t>
      </w:r>
      <w:r w:rsidR="002536BA" w:rsidRPr="002536BA">
        <w:t xml:space="preserve">Government has introduced a number of reforms </w:t>
      </w:r>
      <w:r w:rsidR="00B45A10">
        <w:t xml:space="preserve">to </w:t>
      </w:r>
      <w:r w:rsidR="00515BDE">
        <w:t>support</w:t>
      </w:r>
      <w:r w:rsidR="00B45A10">
        <w:t xml:space="preserve"> this transition</w:t>
      </w:r>
      <w:r w:rsidR="002536BA" w:rsidRPr="002536BA">
        <w:t xml:space="preserve">, </w:t>
      </w:r>
      <w:r w:rsidR="00515BDE">
        <w:t>c</w:t>
      </w:r>
      <w:r w:rsidR="00515BDE" w:rsidRPr="002536BA">
        <w:t xml:space="preserve">onsistent with many companies’ plans to achieve net zero emissions, </w:t>
      </w:r>
      <w:r w:rsidR="002536BA" w:rsidRPr="002536BA">
        <w:t xml:space="preserve">while also </w:t>
      </w:r>
      <w:r w:rsidR="00515BDE">
        <w:t>ensuring</w:t>
      </w:r>
      <w:r w:rsidR="002536BA" w:rsidRPr="002536BA">
        <w:t xml:space="preserve"> affordability and certainty of energy for households and businesses.</w:t>
      </w:r>
    </w:p>
    <w:p w14:paraId="281061CA" w14:textId="3E95843F" w:rsidR="0029692C" w:rsidRDefault="00F61932" w:rsidP="00A94085">
      <w:r>
        <w:lastRenderedPageBreak/>
        <w:t xml:space="preserve">Given these </w:t>
      </w:r>
      <w:r w:rsidR="00516EE4">
        <w:t>developments</w:t>
      </w:r>
      <w:r w:rsidR="003524A6">
        <w:t xml:space="preserve">, and the Callaghan </w:t>
      </w:r>
      <w:r w:rsidR="005D6784">
        <w:t>R</w:t>
      </w:r>
      <w:r w:rsidR="003524A6">
        <w:t xml:space="preserve">eview </w:t>
      </w:r>
      <w:r w:rsidR="00306C99">
        <w:t>finding</w:t>
      </w:r>
      <w:r w:rsidR="003524A6">
        <w:t xml:space="preserve"> that ‘</w:t>
      </w:r>
      <w:r w:rsidR="005D3DDE">
        <w:t>a</w:t>
      </w:r>
      <w:r w:rsidR="003524A6" w:rsidRPr="003524A6">
        <w:t xml:space="preserve"> change to the transfer pricing arrangements could have major implications for existing projects</w:t>
      </w:r>
      <w:r w:rsidR="00D77648">
        <w:t>’</w:t>
      </w:r>
      <w:r w:rsidR="005E627E">
        <w:t xml:space="preserve">, </w:t>
      </w:r>
      <w:r w:rsidR="005E627E" w:rsidDel="00196A20">
        <w:t xml:space="preserve">Treasury </w:t>
      </w:r>
      <w:r w:rsidR="00425B2C">
        <w:t xml:space="preserve">has </w:t>
      </w:r>
      <w:r w:rsidR="005E627E" w:rsidDel="00196A20">
        <w:t xml:space="preserve">considered </w:t>
      </w:r>
      <w:r w:rsidR="005D3DDE">
        <w:t>alternative approaches</w:t>
      </w:r>
      <w:r w:rsidR="009D2B92">
        <w:t xml:space="preserve"> </w:t>
      </w:r>
      <w:r w:rsidR="0002022F">
        <w:t xml:space="preserve">consistent with </w:t>
      </w:r>
      <w:r w:rsidR="00425B2C">
        <w:t>the overall intent of the PRRT</w:t>
      </w:r>
      <w:r w:rsidR="0002022F">
        <w:t xml:space="preserve"> to</w:t>
      </w:r>
      <w:r w:rsidR="00425B2C">
        <w:t xml:space="preserve"> ensur</w:t>
      </w:r>
      <w:r w:rsidR="0002022F">
        <w:t>e</w:t>
      </w:r>
      <w:r w:rsidR="00425B2C">
        <w:t xml:space="preserve"> the Australian community receives an equitable return for the extraction of its oil and gas resources, while not discouraging investment in exploration and development in the industry.</w:t>
      </w:r>
      <w:r w:rsidR="008B75FC">
        <w:t xml:space="preserve"> </w:t>
      </w:r>
    </w:p>
    <w:p w14:paraId="55CEAAE8" w14:textId="5342253B" w:rsidR="0029692C" w:rsidRDefault="000D30FF" w:rsidP="0073217E">
      <w:pPr>
        <w:pStyle w:val="Heading2"/>
      </w:pPr>
      <w:bookmarkStart w:id="5" w:name="_Toc134273556"/>
      <w:r>
        <w:t xml:space="preserve">1.2 </w:t>
      </w:r>
      <w:r w:rsidR="00BE7C3F">
        <w:t>Recommendations</w:t>
      </w:r>
      <w:bookmarkEnd w:id="5"/>
    </w:p>
    <w:p w14:paraId="506F4B01" w14:textId="77777777" w:rsidR="008A3056" w:rsidRDefault="008A3056" w:rsidP="008F3685">
      <w:r w:rsidRPr="001D7B29">
        <w:rPr>
          <w:b/>
        </w:rPr>
        <w:t>Recommendation 1:</w:t>
      </w:r>
      <w:r>
        <w:t xml:space="preserve">  Treasury considers that the existing GTP Regulation results in a structural undervaluation of gas at the PRRT taxing point for integrated LNG projects, particularly when resource prices are high.  </w:t>
      </w:r>
    </w:p>
    <w:p w14:paraId="589D4853" w14:textId="77777777" w:rsidR="008A3056" w:rsidRDefault="008A3056" w:rsidP="008A3056">
      <w:r>
        <w:t xml:space="preserve">Modifying the existing ‘safe harbour’ transfer pricing method – the ‘Residual Pricing Method’ (RPM) – to ensure gas is more fairly priced at the PRRT taxing point for integrated LNG projects would address this under-valuation and could be implemented in one of two ways. </w:t>
      </w:r>
    </w:p>
    <w:p w14:paraId="24EC77D6" w14:textId="77777777" w:rsidR="008A3056" w:rsidRDefault="008A3056" w:rsidP="008A3056">
      <w:r>
        <w:t>Recommendation 1a. The RPM could be replaced with a 'Netback only’ method. The rate of return that is provided to downstream assets in this case should be maintained at the current Long Term Bond Rate plus 7 percentage points (LTBR+7) with an additional allowance of LTBR+7 on operating expenditure in the year it is incurred.</w:t>
      </w:r>
    </w:p>
    <w:p w14:paraId="1EBE24DC" w14:textId="77777777" w:rsidR="008A3056" w:rsidRDefault="008A3056" w:rsidP="008A3056">
      <w:r>
        <w:t>Recommendation 1b. Alternatively, the existing safe harbour pricing method – the RPM – could be modified to provide a profit split weighted 80:20 to the notional upstream entity with an additional allowance of LTBR+7 on operating expenditure in the year it is incurred.</w:t>
      </w:r>
    </w:p>
    <w:p w14:paraId="4C20BD33" w14:textId="0693AE06" w:rsidR="005C7472" w:rsidRPr="00696815" w:rsidRDefault="005C7472" w:rsidP="005C7472">
      <w:r>
        <w:t xml:space="preserve">Treasury considers addressing the under-valuation of the resource via the Netback only is likely to raise the overall tax burden on new projects such that it increases risks for future investment in new and existing projects. </w:t>
      </w:r>
      <w:r w:rsidRPr="00696815">
        <w:t>The modified profit split reduces this risk by recognising that some of the rent is attributable to downstream operations.</w:t>
      </w:r>
      <w:r w:rsidR="001E343E" w:rsidRPr="00696815">
        <w:t xml:space="preserve"> </w:t>
      </w:r>
      <w:r w:rsidR="00827753" w:rsidRPr="00696815">
        <w:t>However, t</w:t>
      </w:r>
      <w:r w:rsidR="00C174C8" w:rsidRPr="00696815">
        <w:t xml:space="preserve">he PRRT has been </w:t>
      </w:r>
      <w:r w:rsidR="00827753" w:rsidRPr="00696815">
        <w:t xml:space="preserve">found to </w:t>
      </w:r>
      <w:r w:rsidR="00460584" w:rsidRPr="00696815">
        <w:t xml:space="preserve">be better suited to oil projects </w:t>
      </w:r>
      <w:r w:rsidR="00FF589B" w:rsidRPr="00696815">
        <w:t>rather than LNG projec</w:t>
      </w:r>
      <w:r w:rsidR="00DC090A" w:rsidRPr="00696815">
        <w:t>ts</w:t>
      </w:r>
      <w:r w:rsidR="005F0BA4" w:rsidRPr="00696815">
        <w:t xml:space="preserve"> </w:t>
      </w:r>
      <w:r w:rsidR="00F60B83" w:rsidRPr="00696815">
        <w:t xml:space="preserve">since the </w:t>
      </w:r>
      <w:r w:rsidR="0037435E" w:rsidRPr="00696815">
        <w:t>accumulation of a large stock of carry forward deductions</w:t>
      </w:r>
      <w:r w:rsidR="000B058B" w:rsidRPr="00696815">
        <w:t xml:space="preserve">, compounded by uplifting, </w:t>
      </w:r>
      <w:r w:rsidR="000158A0" w:rsidRPr="00696815">
        <w:t>can defer the payment of PRRT indefinitely.</w:t>
      </w:r>
      <w:r w:rsidR="005F0BA4" w:rsidRPr="00696815">
        <w:t xml:space="preserve"> </w:t>
      </w:r>
      <w:r w:rsidR="001E343E" w:rsidRPr="00696815">
        <w:t xml:space="preserve">Changes to the RPM </w:t>
      </w:r>
      <w:r w:rsidR="003D4727" w:rsidRPr="00696815">
        <w:t>alone</w:t>
      </w:r>
      <w:r w:rsidR="001E343E" w:rsidRPr="00696815">
        <w:t xml:space="preserve"> would not </w:t>
      </w:r>
      <w:r w:rsidR="00736D31" w:rsidRPr="00696815">
        <w:t xml:space="preserve">effectively </w:t>
      </w:r>
      <w:r w:rsidR="001E343E" w:rsidRPr="00696815">
        <w:t>address</w:t>
      </w:r>
      <w:r w:rsidR="007A1415" w:rsidRPr="00696815">
        <w:t xml:space="preserve"> </w:t>
      </w:r>
      <w:r w:rsidR="00736D31" w:rsidRPr="00696815">
        <w:t xml:space="preserve">this </w:t>
      </w:r>
      <w:r w:rsidR="005438C8" w:rsidRPr="00696815">
        <w:t>issue</w:t>
      </w:r>
      <w:r w:rsidR="001C1177" w:rsidRPr="00696815">
        <w:t xml:space="preserve"> </w:t>
      </w:r>
      <w:r w:rsidR="00736D31" w:rsidRPr="00696815">
        <w:t>for</w:t>
      </w:r>
      <w:r w:rsidR="001C1177" w:rsidRPr="00696815">
        <w:t xml:space="preserve"> </w:t>
      </w:r>
      <w:r w:rsidR="003D4727" w:rsidRPr="00696815">
        <w:t>LNG</w:t>
      </w:r>
      <w:r w:rsidR="00736D31" w:rsidRPr="00696815">
        <w:t xml:space="preserve"> projects.</w:t>
      </w:r>
    </w:p>
    <w:p w14:paraId="1CABA3C8" w14:textId="584C7CE3" w:rsidR="00193BD4" w:rsidRDefault="005C7472" w:rsidP="008A3056">
      <w:r w:rsidRPr="00696815">
        <w:t xml:space="preserve">Treasury considers that a cap on the use of deductions to offset assessable income earned by LNG producers under the PRRT could be introduced as an alternative to changing the profit split ratio. This would bring forward PRRT receipts from LNG projects which are yet to pay PRRT and ensure a </w:t>
      </w:r>
      <w:r w:rsidR="00517928" w:rsidRPr="00696815">
        <w:t>minimum</w:t>
      </w:r>
      <w:r w:rsidRPr="00696815">
        <w:t xml:space="preserve"> return </w:t>
      </w:r>
      <w:r w:rsidR="003F1FC7" w:rsidRPr="00696815">
        <w:t>to taxpayers from the offshore LNG industry</w:t>
      </w:r>
      <w:r w:rsidR="00D66D1A" w:rsidRPr="00696815">
        <w:t>, while further limiting negative impacts on investment incentives and risks to future supply.</w:t>
      </w:r>
      <w:r w:rsidR="00AF1138" w:rsidRPr="00696815">
        <w:t xml:space="preserve"> This wou</w:t>
      </w:r>
      <w:r w:rsidR="00206A5A" w:rsidRPr="00696815">
        <w:t>ld be an adaptation of the PRRT</w:t>
      </w:r>
      <w:r w:rsidR="00F33B4F" w:rsidRPr="00696815">
        <w:t xml:space="preserve">’s function as a rent tax, to </w:t>
      </w:r>
      <w:r w:rsidR="0023092B" w:rsidRPr="00696815">
        <w:t>account for the particular economics of LNG projects</w:t>
      </w:r>
      <w:r w:rsidR="00854D0E" w:rsidRPr="00696815">
        <w:t>, by incorporating</w:t>
      </w:r>
      <w:r w:rsidR="00F33B4F" w:rsidRPr="00696815">
        <w:t xml:space="preserve"> a</w:t>
      </w:r>
      <w:r w:rsidR="00D92D74" w:rsidRPr="00696815">
        <w:t xml:space="preserve"> </w:t>
      </w:r>
      <w:r w:rsidR="008B6B50" w:rsidRPr="00696815">
        <w:t>minimum payment linked to project revenues.</w:t>
      </w:r>
    </w:p>
    <w:p w14:paraId="25745561" w14:textId="23CF3AE0" w:rsidR="008A3056" w:rsidRDefault="008A3056" w:rsidP="008A3056">
      <w:r>
        <w:t xml:space="preserve">Recommendation 1c. Limit deductible expenditure to the value of 90 per cent of PRRT assessable receipts in respect of each project in the relevant income year </w:t>
      </w:r>
      <w:r w:rsidR="00185D1A">
        <w:t>(app</w:t>
      </w:r>
      <w:r w:rsidR="004A1580">
        <w:t>lied</w:t>
      </w:r>
      <w:r>
        <w:t xml:space="preserve"> </w:t>
      </w:r>
      <w:r w:rsidRPr="00902A02">
        <w:t>after</w:t>
      </w:r>
      <w:r>
        <w:t xml:space="preserve"> mandatory transfers of exploration expenditure</w:t>
      </w:r>
      <w:r w:rsidR="004A1580">
        <w:t>)</w:t>
      </w:r>
      <w:r>
        <w:t xml:space="preserve">. Unused denied deductions would be carried forward and uplifted at the Government long-term bond rate (LTBR). </w:t>
      </w:r>
    </w:p>
    <w:p w14:paraId="5B2EB49D" w14:textId="28C36633" w:rsidR="00DE56EA" w:rsidRDefault="008A3056" w:rsidP="008A3056">
      <w:r>
        <w:t>This option would only apply to projects that produce LNG. To minimise the impacts of upfront payments on project economics, projects would not be subject to the cap until 7 years after first production. The cap would not apply to certain classes of deductible expenditure in the PRRT</w:t>
      </w:r>
      <w:r w:rsidR="00101FD0">
        <w:t>:</w:t>
      </w:r>
      <w:r>
        <w:t xml:space="preserve"> closing</w:t>
      </w:r>
      <w:r w:rsidR="00DE56EA">
        <w:noBreakHyphen/>
      </w:r>
      <w:r>
        <w:t>down expenditure, starting base expenditure and resource tax expenditure.</w:t>
      </w:r>
      <w:r w:rsidR="003A1795">
        <w:t xml:space="preserve"> </w:t>
      </w:r>
    </w:p>
    <w:p w14:paraId="61A9298A" w14:textId="527417C3" w:rsidR="00B73455" w:rsidRDefault="00FE6EFE" w:rsidP="008A3056">
      <w:r>
        <w:t>To complement th</w:t>
      </w:r>
      <w:r w:rsidR="005756F1">
        <w:t xml:space="preserve">e </w:t>
      </w:r>
      <w:r w:rsidR="004C7CF9">
        <w:t>different</w:t>
      </w:r>
      <w:r w:rsidR="005756F1">
        <w:t xml:space="preserve"> options under </w:t>
      </w:r>
      <w:r>
        <w:t>this</w:t>
      </w:r>
      <w:r w:rsidR="007A6803">
        <w:t xml:space="preserve"> recommendation, </w:t>
      </w:r>
      <w:r w:rsidR="000E16A0" w:rsidRPr="008A4447">
        <w:t xml:space="preserve">Treasury </w:t>
      </w:r>
      <w:r w:rsidR="0051217E">
        <w:t xml:space="preserve">makes </w:t>
      </w:r>
      <w:r w:rsidR="00F6270F">
        <w:t xml:space="preserve">the </w:t>
      </w:r>
      <w:r w:rsidR="00DC27E0">
        <w:t>following</w:t>
      </w:r>
      <w:r w:rsidR="00F6270F">
        <w:t xml:space="preserve"> </w:t>
      </w:r>
      <w:r w:rsidR="0051217E">
        <w:t>recommendations</w:t>
      </w:r>
      <w:r w:rsidR="00F6270F">
        <w:t xml:space="preserve"> </w:t>
      </w:r>
      <w:r w:rsidR="007808EE">
        <w:t xml:space="preserve">for the </w:t>
      </w:r>
      <w:r w:rsidR="00D1791C">
        <w:t>GTP Regulation</w:t>
      </w:r>
      <w:r w:rsidR="00F12AF4">
        <w:t xml:space="preserve"> </w:t>
      </w:r>
      <w:r w:rsidR="007808EE">
        <w:t xml:space="preserve">to </w:t>
      </w:r>
      <w:r w:rsidR="00773193">
        <w:t>better reflect the contributions and risks of the notional entities</w:t>
      </w:r>
      <w:r w:rsidR="001A77E4">
        <w:t xml:space="preserve"> that comprise the </w:t>
      </w:r>
      <w:r w:rsidR="00210140">
        <w:t>LNG</w:t>
      </w:r>
      <w:r w:rsidR="001A77E4">
        <w:t xml:space="preserve"> value chain</w:t>
      </w:r>
      <w:r w:rsidR="00172C71">
        <w:t>:</w:t>
      </w:r>
    </w:p>
    <w:p w14:paraId="0F2132D1" w14:textId="0F0450A8" w:rsidR="002A2CD0" w:rsidRDefault="00ED7FF7" w:rsidP="002A2CD0">
      <w:pPr>
        <w:pStyle w:val="Bullet"/>
        <w:numPr>
          <w:ilvl w:val="0"/>
          <w:numId w:val="0"/>
        </w:numPr>
      </w:pPr>
      <w:r>
        <w:rPr>
          <w:b/>
          <w:bCs/>
        </w:rPr>
        <w:lastRenderedPageBreak/>
        <w:t>Recommendation 2:</w:t>
      </w:r>
      <w:r>
        <w:t xml:space="preserve"> </w:t>
      </w:r>
      <w:r w:rsidR="0091593D">
        <w:t xml:space="preserve">if a </w:t>
      </w:r>
      <w:r w:rsidR="00701236">
        <w:t>N</w:t>
      </w:r>
      <w:r w:rsidR="0091593D">
        <w:t>etback</w:t>
      </w:r>
      <w:r w:rsidR="00701236">
        <w:t xml:space="preserve"> only approach</w:t>
      </w:r>
      <w:r w:rsidR="0091593D">
        <w:t xml:space="preserve"> is adopted</w:t>
      </w:r>
      <w:r w:rsidR="003A1795">
        <w:t xml:space="preserve"> </w:t>
      </w:r>
      <w:r w:rsidR="003A1795" w:rsidRPr="003A1795">
        <w:t>(Recommendation 1 refers</w:t>
      </w:r>
      <w:r w:rsidR="003A1795">
        <w:t>)</w:t>
      </w:r>
      <w:r w:rsidR="0091593D">
        <w:t xml:space="preserve">, </w:t>
      </w:r>
      <w:r w:rsidR="000C0E1D">
        <w:t>r</w:t>
      </w:r>
      <w:r w:rsidR="002A2CD0" w:rsidRPr="002B28F2">
        <w:t>educ</w:t>
      </w:r>
      <w:r w:rsidR="002A2CD0">
        <w:t>e</w:t>
      </w:r>
      <w:r w:rsidR="002A2CD0" w:rsidRPr="002B28F2">
        <w:t xml:space="preserve"> the augmentation rate for the construction and pre-production time periods</w:t>
      </w:r>
      <w:r w:rsidR="002A2CD0">
        <w:t xml:space="preserve"> to </w:t>
      </w:r>
      <w:r w:rsidR="00C308FA">
        <w:t xml:space="preserve">the general PRRT augmentation rate </w:t>
      </w:r>
      <w:r w:rsidR="002A2CD0">
        <w:t xml:space="preserve">to reflect that the methodology should not </w:t>
      </w:r>
      <w:r w:rsidR="00A949FB">
        <w:t>compensate investors with commercial rates of return on</w:t>
      </w:r>
      <w:r w:rsidR="002A2CD0">
        <w:t xml:space="preserve"> </w:t>
      </w:r>
      <w:r w:rsidR="00FF5090">
        <w:t xml:space="preserve">assets </w:t>
      </w:r>
      <w:r w:rsidR="008875CF">
        <w:t>during th</w:t>
      </w:r>
      <w:r w:rsidR="00A3677E">
        <w:t>e</w:t>
      </w:r>
      <w:r w:rsidR="008875CF">
        <w:t xml:space="preserve"> </w:t>
      </w:r>
      <w:r w:rsidR="00A3677E">
        <w:t>pre-earnings</w:t>
      </w:r>
      <w:r w:rsidR="0021512D">
        <w:t xml:space="preserve"> phase.</w:t>
      </w:r>
    </w:p>
    <w:p w14:paraId="17F2EABF" w14:textId="5BA2B1CC" w:rsidR="002A2CD0" w:rsidRPr="002B28F2" w:rsidRDefault="002A2CD0" w:rsidP="002A2CD0">
      <w:r w:rsidRPr="00DC5A45">
        <w:rPr>
          <w:b/>
          <w:bCs/>
        </w:rPr>
        <w:t xml:space="preserve">Recommendation </w:t>
      </w:r>
      <w:r>
        <w:rPr>
          <w:b/>
          <w:bCs/>
        </w:rPr>
        <w:t>3</w:t>
      </w:r>
      <w:r w:rsidRPr="00DC5A45">
        <w:rPr>
          <w:b/>
          <w:bCs/>
        </w:rPr>
        <w:t>:</w:t>
      </w:r>
      <w:r>
        <w:t xml:space="preserve"> </w:t>
      </w:r>
      <w:r w:rsidRPr="002B28F2">
        <w:t>Requir</w:t>
      </w:r>
      <w:r>
        <w:t>e</w:t>
      </w:r>
      <w:r w:rsidRPr="002B28F2">
        <w:t xml:space="preserve"> projects to make an irrevocable election to use the shorter or longer asset life formula to remove the integrity risk that projects change the operating life of capital projects to benefit from higher rates of return allowable under the shorter asset life formula.</w:t>
      </w:r>
    </w:p>
    <w:p w14:paraId="1103F70A" w14:textId="5C8DB202" w:rsidR="00DD3CEF" w:rsidRDefault="00ED7FF7" w:rsidP="00ED7FF7">
      <w:r>
        <w:rPr>
          <w:b/>
          <w:bCs/>
        </w:rPr>
        <w:t xml:space="preserve">Recommendation </w:t>
      </w:r>
      <w:r w:rsidR="002A2CD0">
        <w:rPr>
          <w:b/>
          <w:bCs/>
        </w:rPr>
        <w:t>4</w:t>
      </w:r>
      <w:r>
        <w:rPr>
          <w:b/>
          <w:bCs/>
        </w:rPr>
        <w:t xml:space="preserve">: </w:t>
      </w:r>
      <w:r w:rsidR="00B435BD">
        <w:t xml:space="preserve">If </w:t>
      </w:r>
      <w:r w:rsidR="00701236">
        <w:t>the RPM is retained</w:t>
      </w:r>
      <w:r w:rsidR="00972758">
        <w:t xml:space="preserve">, </w:t>
      </w:r>
      <w:r w:rsidR="00E30085">
        <w:t>i</w:t>
      </w:r>
      <w:r w:rsidR="00A13BE3">
        <w:t>nclude</w:t>
      </w:r>
      <w:r w:rsidR="00DD3CEF">
        <w:t xml:space="preserve"> </w:t>
      </w:r>
      <w:r w:rsidR="00B80DF9">
        <w:t xml:space="preserve">appropriate </w:t>
      </w:r>
      <w:r w:rsidR="00CE1335">
        <w:t xml:space="preserve">exploration </w:t>
      </w:r>
      <w:r w:rsidR="00A13BE3">
        <w:t>and development costs in</w:t>
      </w:r>
      <w:r w:rsidR="00CE1335">
        <w:t xml:space="preserve"> the upstream </w:t>
      </w:r>
      <w:r w:rsidR="00A13BE3">
        <w:t>cost base, with an appropriate way</w:t>
      </w:r>
      <w:r w:rsidR="00364BE0">
        <w:t xml:space="preserve"> of </w:t>
      </w:r>
      <w:r w:rsidR="00A13BE3">
        <w:t>bringing very old expenditure to current values. This could be achieved by applying the GDP deflator to original expenditure</w:t>
      </w:r>
      <w:r w:rsidR="00BE13C4">
        <w:t>.</w:t>
      </w:r>
    </w:p>
    <w:p w14:paraId="45CFB0C1" w14:textId="0F8054B3" w:rsidR="00F60B74" w:rsidRDefault="00972758" w:rsidP="00FA06E7">
      <w:r w:rsidRPr="00972758">
        <w:rPr>
          <w:b/>
          <w:bCs/>
        </w:rPr>
        <w:t xml:space="preserve">Recommendation </w:t>
      </w:r>
      <w:r w:rsidR="002A2CD0">
        <w:rPr>
          <w:b/>
          <w:bCs/>
        </w:rPr>
        <w:t>5</w:t>
      </w:r>
      <w:r w:rsidRPr="00972758">
        <w:rPr>
          <w:b/>
          <w:bCs/>
        </w:rPr>
        <w:t>:</w:t>
      </w:r>
      <w:r>
        <w:t xml:space="preserve"> </w:t>
      </w:r>
      <w:r w:rsidR="006254A3">
        <w:t>If the RP</w:t>
      </w:r>
      <w:r w:rsidR="00701236">
        <w:t>M</w:t>
      </w:r>
      <w:r w:rsidR="006254A3">
        <w:t xml:space="preserve"> is </w:t>
      </w:r>
      <w:r w:rsidR="00701236">
        <w:t>retained</w:t>
      </w:r>
      <w:r w:rsidR="000F7136">
        <w:t>, e</w:t>
      </w:r>
      <w:r w:rsidR="00B50ED7">
        <w:t>qual</w:t>
      </w:r>
      <w:r w:rsidR="00931BAF">
        <w:t>is</w:t>
      </w:r>
      <w:r>
        <w:t>e</w:t>
      </w:r>
      <w:r w:rsidR="00931BAF">
        <w:t xml:space="preserve"> the</w:t>
      </w:r>
      <w:r w:rsidR="00B50ED7">
        <w:t xml:space="preserve"> treatment of the notional upstream and downstream </w:t>
      </w:r>
      <w:r w:rsidR="00931BAF">
        <w:t xml:space="preserve">entities </w:t>
      </w:r>
      <w:r w:rsidR="00EC1ABA">
        <w:t>between</w:t>
      </w:r>
      <w:r w:rsidR="00B50ED7">
        <w:t xml:space="preserve"> loss situations</w:t>
      </w:r>
      <w:r w:rsidR="006A1B09">
        <w:t xml:space="preserve"> </w:t>
      </w:r>
      <w:r w:rsidR="00EC1ABA">
        <w:t>and profit situations</w:t>
      </w:r>
      <w:r w:rsidR="0051470A">
        <w:t xml:space="preserve">. </w:t>
      </w:r>
    </w:p>
    <w:p w14:paraId="6A64D22C" w14:textId="27D6B3D2" w:rsidR="00FA0F41" w:rsidRDefault="00FA0F41" w:rsidP="00F12AF4">
      <w:pPr>
        <w:pStyle w:val="Bullet"/>
        <w:numPr>
          <w:ilvl w:val="0"/>
          <w:numId w:val="0"/>
        </w:numPr>
      </w:pPr>
      <w:r>
        <w:t xml:space="preserve">Treasury also makes the following recommendations about </w:t>
      </w:r>
      <w:r w:rsidR="00F12AF4">
        <w:t>other aspects</w:t>
      </w:r>
      <w:r>
        <w:t xml:space="preserve"> of the </w:t>
      </w:r>
      <w:r w:rsidR="00D1791C">
        <w:t>GTP Regulation</w:t>
      </w:r>
      <w:r>
        <w:t>:</w:t>
      </w:r>
    </w:p>
    <w:p w14:paraId="667A3139" w14:textId="5950803A" w:rsidR="000E16A0" w:rsidRPr="002B28F2" w:rsidRDefault="0056551C" w:rsidP="0056551C">
      <w:r w:rsidRPr="0056551C">
        <w:rPr>
          <w:b/>
          <w:bCs/>
        </w:rPr>
        <w:t>Recommendation 6:</w:t>
      </w:r>
      <w:r>
        <w:t xml:space="preserve"> U</w:t>
      </w:r>
      <w:r w:rsidR="001A78C3">
        <w:t>pdate</w:t>
      </w:r>
      <w:r w:rsidR="000E16A0" w:rsidRPr="002B28F2">
        <w:t xml:space="preserve"> </w:t>
      </w:r>
      <w:r>
        <w:t>the</w:t>
      </w:r>
      <w:r w:rsidRPr="002B28F2">
        <w:t xml:space="preserve"> comparable uncontrolled price (CUP) rules</w:t>
      </w:r>
      <w:r w:rsidR="000E16A0" w:rsidRPr="002B28F2">
        <w:t xml:space="preserve"> to align with the OECD guidelines. In particular, the analysis for the CUP should be broadened to consider all reasonable conditions of a comparable transaction. Reasonably accurate adjustments would continue to be permitted.</w:t>
      </w:r>
    </w:p>
    <w:p w14:paraId="78BF5476" w14:textId="343ADC19" w:rsidR="000E16A0" w:rsidRPr="002B28F2" w:rsidRDefault="00891D04" w:rsidP="00891D04">
      <w:r>
        <w:rPr>
          <w:b/>
          <w:bCs/>
        </w:rPr>
        <w:t xml:space="preserve">Recommendation 7: </w:t>
      </w:r>
      <w:r>
        <w:t>Modify t</w:t>
      </w:r>
      <w:r w:rsidR="004C71F6">
        <w:t>he</w:t>
      </w:r>
      <w:r w:rsidR="000E16A0" w:rsidRPr="002B28F2">
        <w:t xml:space="preserve"> Advance Pricing Arrangement (APA) rules to provide guidance to industry and the Commissioner </w:t>
      </w:r>
      <w:r w:rsidR="00F02F94">
        <w:t>of Taxation</w:t>
      </w:r>
      <w:r w:rsidR="000E16A0" w:rsidRPr="002B28F2">
        <w:t xml:space="preserve"> on the principles that the Commissioner must have regard to in agreeing a</w:t>
      </w:r>
      <w:r w:rsidR="00F02F94">
        <w:t>n</w:t>
      </w:r>
      <w:r w:rsidR="000E16A0" w:rsidRPr="002B28F2">
        <w:t xml:space="preserve"> </w:t>
      </w:r>
      <w:r w:rsidR="00F02F94">
        <w:t>APA</w:t>
      </w:r>
      <w:r w:rsidR="000E16A0" w:rsidRPr="002B28F2">
        <w:t>.</w:t>
      </w:r>
      <w:r w:rsidR="003931D8">
        <w:t xml:space="preserve"> </w:t>
      </w:r>
      <w:r w:rsidR="003931D8" w:rsidRPr="00E41742">
        <w:t xml:space="preserve">If </w:t>
      </w:r>
      <w:r w:rsidR="00F06B0D">
        <w:t>the RPM is retained</w:t>
      </w:r>
      <w:r w:rsidR="003931D8" w:rsidRPr="00E41742">
        <w:t xml:space="preserve">, then the use of an APA should be limited to circumstances where </w:t>
      </w:r>
      <w:r w:rsidR="008C5F41">
        <w:t>it is</w:t>
      </w:r>
      <w:r w:rsidR="003931D8" w:rsidRPr="00E41742">
        <w:t xml:space="preserve"> required to give practical effect to the statutory residual profit split.</w:t>
      </w:r>
    </w:p>
    <w:p w14:paraId="49A31FF2" w14:textId="24CBE3E7" w:rsidR="000E16A0" w:rsidRPr="00C97822" w:rsidRDefault="000E16A0" w:rsidP="002155C4">
      <w:pPr>
        <w:pStyle w:val="Heading3"/>
      </w:pPr>
      <w:r>
        <w:t>Update regulatory t</w:t>
      </w:r>
      <w:r w:rsidRPr="00C97822">
        <w:t xml:space="preserve">reatment of tolling </w:t>
      </w:r>
      <w:r w:rsidR="00F227D6">
        <w:t xml:space="preserve">and backfill </w:t>
      </w:r>
      <w:r w:rsidRPr="00C97822">
        <w:t>arrangements</w:t>
      </w:r>
    </w:p>
    <w:p w14:paraId="04B8A1F3" w14:textId="223262A4" w:rsidR="000E16A0" w:rsidRDefault="00656D24" w:rsidP="000E16A0">
      <w:r>
        <w:t>Treasury</w:t>
      </w:r>
      <w:r w:rsidR="00B531BB" w:rsidDel="00453763">
        <w:t xml:space="preserve"> </w:t>
      </w:r>
      <w:r w:rsidR="00453763">
        <w:t xml:space="preserve">is also making </w:t>
      </w:r>
      <w:r w:rsidR="00B531BB">
        <w:t xml:space="preserve">recommendations to </w:t>
      </w:r>
      <w:r w:rsidR="00EC6004">
        <w:t xml:space="preserve">modernise the regulations for emerging developments </w:t>
      </w:r>
      <w:r w:rsidR="00BB1CAA">
        <w:t>in LNG project structures.</w:t>
      </w:r>
      <w:r>
        <w:t xml:space="preserve"> </w:t>
      </w:r>
      <w:r w:rsidR="00023690">
        <w:t xml:space="preserve">Treasury </w:t>
      </w:r>
      <w:r w:rsidR="00D35744">
        <w:t xml:space="preserve">considers that the current arrangements </w:t>
      </w:r>
      <w:r w:rsidR="00B33E40">
        <w:t xml:space="preserve">may </w:t>
      </w:r>
      <w:r w:rsidR="00EE5C53">
        <w:t xml:space="preserve">lead to widely different </w:t>
      </w:r>
      <w:r w:rsidR="004447CF">
        <w:t xml:space="preserve">tax </w:t>
      </w:r>
      <w:r w:rsidR="00EE5C53">
        <w:t xml:space="preserve">outcomes depending on how </w:t>
      </w:r>
      <w:r w:rsidR="000158A6">
        <w:t xml:space="preserve">a </w:t>
      </w:r>
      <w:r w:rsidR="00EE5C53">
        <w:t>project is</w:t>
      </w:r>
      <w:r w:rsidR="004447CF">
        <w:t xml:space="preserve"> developed</w:t>
      </w:r>
      <w:r w:rsidR="004B4907">
        <w:t>,</w:t>
      </w:r>
      <w:r w:rsidR="004447CF">
        <w:t xml:space="preserve"> potentially leading to </w:t>
      </w:r>
      <w:r w:rsidR="00700D08">
        <w:t xml:space="preserve">distortions in how decisions are made and </w:t>
      </w:r>
      <w:r w:rsidR="0031011D">
        <w:t xml:space="preserve">what </w:t>
      </w:r>
      <w:r w:rsidR="00700D08">
        <w:t>projects are sanctioned.</w:t>
      </w:r>
    </w:p>
    <w:p w14:paraId="6BA3B2F1" w14:textId="3A90ADFB" w:rsidR="000E16A0" w:rsidRDefault="00455CF8" w:rsidP="001D229E">
      <w:r>
        <w:rPr>
          <w:b/>
          <w:bCs/>
        </w:rPr>
        <w:t xml:space="preserve">Recommendation 8: </w:t>
      </w:r>
      <w:r w:rsidR="00DC506E">
        <w:t xml:space="preserve">Update </w:t>
      </w:r>
      <w:r w:rsidR="0006454A">
        <w:t xml:space="preserve">the regulations </w:t>
      </w:r>
      <w:r w:rsidR="00DE2AEA">
        <w:t xml:space="preserve">for tolling arrangements </w:t>
      </w:r>
      <w:r w:rsidR="00B30CDD">
        <w:t xml:space="preserve">to support the effective operation of </w:t>
      </w:r>
      <w:r w:rsidR="005A77B4">
        <w:t xml:space="preserve">the </w:t>
      </w:r>
      <w:r w:rsidR="00E71B5A">
        <w:t xml:space="preserve">RPM </w:t>
      </w:r>
      <w:r w:rsidR="00621ACF">
        <w:t xml:space="preserve">and to </w:t>
      </w:r>
      <w:r w:rsidR="00E74096">
        <w:t>ensure that</w:t>
      </w:r>
      <w:r w:rsidR="001D229E">
        <w:t xml:space="preserve"> </w:t>
      </w:r>
      <w:r w:rsidR="00232CA1">
        <w:t>a</w:t>
      </w:r>
      <w:r w:rsidR="1C468731">
        <w:t>rm’s length</w:t>
      </w:r>
      <w:r w:rsidR="00E74096">
        <w:t>/</w:t>
      </w:r>
      <w:r w:rsidR="000E16A0">
        <w:t xml:space="preserve">commercial transactions for parts of the LNG production chain </w:t>
      </w:r>
      <w:r w:rsidR="00C2269F">
        <w:t>(</w:t>
      </w:r>
      <w:r w:rsidR="0025044E">
        <w:t xml:space="preserve">that reflect the underlying resource ownership and </w:t>
      </w:r>
      <w:r w:rsidR="00DD7075">
        <w:t>risks to parties</w:t>
      </w:r>
      <w:r w:rsidR="00C2269F">
        <w:t>)</w:t>
      </w:r>
      <w:r w:rsidR="00DD7075">
        <w:t xml:space="preserve"> </w:t>
      </w:r>
      <w:r w:rsidR="000E16A0">
        <w:t>are used as far as possible as a reference for establishing a gas transfer price.</w:t>
      </w:r>
    </w:p>
    <w:p w14:paraId="654BE271" w14:textId="643F4219" w:rsidR="00240657" w:rsidRDefault="00052585" w:rsidP="000E16A0">
      <w:r>
        <w:rPr>
          <w:b/>
          <w:bCs/>
        </w:rPr>
        <w:t xml:space="preserve">Recommendation 9: </w:t>
      </w:r>
      <w:r>
        <w:t xml:space="preserve">Update both the </w:t>
      </w:r>
      <w:r w:rsidR="00AD189F">
        <w:t xml:space="preserve">PRRT </w:t>
      </w:r>
      <w:r>
        <w:t xml:space="preserve">general anti-avoidance rule and the arm’s length rule </w:t>
      </w:r>
      <w:r w:rsidR="008450AC">
        <w:t>to</w:t>
      </w:r>
      <w:r w:rsidR="00D70555">
        <w:t xml:space="preserve"> </w:t>
      </w:r>
      <w:r w:rsidR="00D02DD8">
        <w:t xml:space="preserve">clarify </w:t>
      </w:r>
      <w:r w:rsidR="00D70555">
        <w:t xml:space="preserve">that </w:t>
      </w:r>
      <w:r>
        <w:t xml:space="preserve">they apply to the </w:t>
      </w:r>
      <w:r w:rsidR="00D1791C">
        <w:t>GTP Regulation</w:t>
      </w:r>
      <w:r>
        <w:t>.</w:t>
      </w:r>
      <w:r w:rsidR="00D70555">
        <w:t xml:space="preserve"> </w:t>
      </w:r>
      <w:r w:rsidR="0063223E">
        <w:t>This follows a recommendation made by t</w:t>
      </w:r>
      <w:r w:rsidR="00EB67B5">
        <w:t xml:space="preserve">he </w:t>
      </w:r>
      <w:r w:rsidR="003E4170">
        <w:t>Callaghan</w:t>
      </w:r>
      <w:r w:rsidR="00EB67B5">
        <w:t xml:space="preserve"> Review</w:t>
      </w:r>
      <w:r w:rsidR="003E4170">
        <w:t xml:space="preserve"> that the Government amend the PRRT anti-avoidance rules to be in line with the income tax anti-avoidance rules. </w:t>
      </w:r>
    </w:p>
    <w:p w14:paraId="235ACF80" w14:textId="629E295B" w:rsidR="00EC01EA" w:rsidRDefault="0063223E" w:rsidP="000E16A0">
      <w:r w:rsidRPr="0063223E">
        <w:rPr>
          <w:b/>
          <w:bCs/>
        </w:rPr>
        <w:t>Recommendation 10:</w:t>
      </w:r>
      <w:r>
        <w:t xml:space="preserve"> </w:t>
      </w:r>
      <w:r w:rsidR="00570904">
        <w:t>The project combination</w:t>
      </w:r>
      <w:r w:rsidR="001155DE">
        <w:t xml:space="preserve"> rules should </w:t>
      </w:r>
      <w:r w:rsidR="00AA7FC2">
        <w:t>be revisited with a view</w:t>
      </w:r>
      <w:r w:rsidR="002B2180">
        <w:t xml:space="preserve"> to</w:t>
      </w:r>
      <w:r w:rsidR="001155DE">
        <w:t xml:space="preserve"> </w:t>
      </w:r>
      <w:r w:rsidR="00CD251B">
        <w:t>strengthen</w:t>
      </w:r>
      <w:r w:rsidR="002B2180">
        <w:t>ing</w:t>
      </w:r>
      <w:r w:rsidR="00CD251B">
        <w:t xml:space="preserve"> the requirement that the new field have some relevant geological </w:t>
      </w:r>
      <w:r w:rsidR="00377711">
        <w:t>or geochemical</w:t>
      </w:r>
      <w:r w:rsidR="00CD251B">
        <w:t xml:space="preserve"> connection to the </w:t>
      </w:r>
      <w:r w:rsidR="00690AF1">
        <w:t>existing project</w:t>
      </w:r>
      <w:r w:rsidR="006B58FE">
        <w:t>.</w:t>
      </w:r>
    </w:p>
    <w:p w14:paraId="0B71EF0F" w14:textId="77ACF096" w:rsidR="00EC70D4" w:rsidRDefault="00370A09" w:rsidP="00572593">
      <w:pPr>
        <w:pStyle w:val="Bullet"/>
        <w:numPr>
          <w:ilvl w:val="0"/>
          <w:numId w:val="0"/>
        </w:numPr>
        <w:spacing w:line="240" w:lineRule="auto"/>
      </w:pPr>
      <w:r w:rsidRPr="00370A09">
        <w:rPr>
          <w:b/>
          <w:bCs/>
        </w:rPr>
        <w:t>Recommendation 11:</w:t>
      </w:r>
      <w:r>
        <w:t xml:space="preserve"> Update t</w:t>
      </w:r>
      <w:r w:rsidR="00EC70D4" w:rsidRPr="00FA0E9A">
        <w:t xml:space="preserve">he </w:t>
      </w:r>
      <w:r w:rsidR="00D1791C">
        <w:t>GTP Regulation</w:t>
      </w:r>
      <w:r w:rsidR="00EC70D4" w:rsidRPr="00FA0E9A">
        <w:t xml:space="preserve"> to ensure that where an LNG facility enters the PRRT regime (either </w:t>
      </w:r>
      <w:r w:rsidR="00944D25">
        <w:t>solely</w:t>
      </w:r>
      <w:r w:rsidR="00944D25" w:rsidRPr="00FA0E9A">
        <w:t xml:space="preserve"> </w:t>
      </w:r>
      <w:r w:rsidR="00EC70D4" w:rsidRPr="00FA0E9A">
        <w:t xml:space="preserve">for the purposes of the </w:t>
      </w:r>
      <w:r w:rsidR="00D1791C">
        <w:t>GTP Regulation</w:t>
      </w:r>
      <w:r w:rsidR="00FB6726">
        <w:t xml:space="preserve"> </w:t>
      </w:r>
      <w:r w:rsidR="00EC70D4" w:rsidRPr="00FA0E9A">
        <w:t>or for broader PRRT calculations) for the first time for backfill or tolling purposes, the value of the plant for use in PRRT calculations is the historical cost of the LNG facility, uplifted by the GDP deflator to the date of first production for PRRT purposes.</w:t>
      </w:r>
    </w:p>
    <w:p w14:paraId="6AE6C04C" w14:textId="77777777" w:rsidR="000E16A0" w:rsidRPr="00972282" w:rsidRDefault="000E16A0" w:rsidP="002155C4">
      <w:pPr>
        <w:pStyle w:val="Heading3"/>
      </w:pPr>
      <w:bookmarkStart w:id="6" w:name="_Toc30064605"/>
      <w:r w:rsidRPr="00972282">
        <w:lastRenderedPageBreak/>
        <w:t>Date of application</w:t>
      </w:r>
      <w:bookmarkEnd w:id="6"/>
    </w:p>
    <w:p w14:paraId="316C22B0" w14:textId="36F5EEDA" w:rsidR="000E16A0" w:rsidRDefault="00EF7B3A" w:rsidP="000E16A0">
      <w:r>
        <w:t>Treasury</w:t>
      </w:r>
      <w:r w:rsidR="000E16A0" w:rsidRPr="00430E41">
        <w:t xml:space="preserve"> recommend</w:t>
      </w:r>
      <w:r w:rsidR="009B6589">
        <w:t>s</w:t>
      </w:r>
      <w:r w:rsidR="000E16A0" w:rsidRPr="00430E41">
        <w:t xml:space="preserve"> that the proposed changes apply to all </w:t>
      </w:r>
      <w:r w:rsidR="00920A2B">
        <w:t>LNG projects subject to the PRRT</w:t>
      </w:r>
      <w:r w:rsidR="00DA5CCD">
        <w:t xml:space="preserve">, </w:t>
      </w:r>
      <w:r w:rsidR="1515A0A3">
        <w:t xml:space="preserve">as soon as is practical, recognising that more detailed design </w:t>
      </w:r>
      <w:r w:rsidR="00696815">
        <w:t>of new</w:t>
      </w:r>
      <w:r w:rsidR="1515A0A3">
        <w:t xml:space="preserve"> </w:t>
      </w:r>
      <w:r w:rsidR="00920A2B">
        <w:t xml:space="preserve">law </w:t>
      </w:r>
      <w:r w:rsidR="1515A0A3">
        <w:t>will be required.</w:t>
      </w:r>
      <w:r w:rsidR="000E16A0" w:rsidRPr="00430E41">
        <w:t xml:space="preserve"> </w:t>
      </w:r>
    </w:p>
    <w:p w14:paraId="395C1F99" w14:textId="5A7C4F88" w:rsidR="00673711" w:rsidRDefault="005219C8" w:rsidP="00D41F95">
      <w:r>
        <w:t xml:space="preserve">The current </w:t>
      </w:r>
      <w:r w:rsidR="00920A2B">
        <w:t>R</w:t>
      </w:r>
      <w:r>
        <w:t>egulation</w:t>
      </w:r>
      <w:r w:rsidR="00920A2B">
        <w:t xml:space="preserve"> is </w:t>
      </w:r>
      <w:r>
        <w:t xml:space="preserve">due to sunset on 1 April 2026 and </w:t>
      </w:r>
      <w:r w:rsidR="00B51307">
        <w:t xml:space="preserve">while </w:t>
      </w:r>
      <w:r w:rsidR="00CD11D1">
        <w:t xml:space="preserve">it </w:t>
      </w:r>
      <w:r w:rsidR="004C6200">
        <w:t>must be remade by that date</w:t>
      </w:r>
      <w:r w:rsidR="00E500D6">
        <w:t>,</w:t>
      </w:r>
      <w:r w:rsidR="00B51307">
        <w:t xml:space="preserve"> </w:t>
      </w:r>
      <w:r w:rsidR="00665AAD">
        <w:t xml:space="preserve">new </w:t>
      </w:r>
      <w:r w:rsidR="001A19DE">
        <w:t xml:space="preserve">rules </w:t>
      </w:r>
      <w:r w:rsidR="004E1BB9">
        <w:t xml:space="preserve">could be developed to enter </w:t>
      </w:r>
      <w:r w:rsidR="00291E4C">
        <w:t>into force ahead of that time</w:t>
      </w:r>
      <w:r w:rsidR="004C6200">
        <w:t xml:space="preserve">. </w:t>
      </w:r>
      <w:r w:rsidR="00864CC7">
        <w:t>T</w:t>
      </w:r>
      <w:r w:rsidR="003A6D59">
        <w:t>he</w:t>
      </w:r>
      <w:r w:rsidR="003D2078">
        <w:t xml:space="preserve"> </w:t>
      </w:r>
      <w:r w:rsidR="0FB086ED">
        <w:t>deficiencies identified in the current rules</w:t>
      </w:r>
      <w:r w:rsidR="00EB447A">
        <w:t>,</w:t>
      </w:r>
      <w:r w:rsidR="0FB086ED">
        <w:t xml:space="preserve"> </w:t>
      </w:r>
      <w:r w:rsidR="00A10E81">
        <w:t>and the period th</w:t>
      </w:r>
      <w:r w:rsidR="00A4798E">
        <w:t>ey have been in force</w:t>
      </w:r>
      <w:r w:rsidR="00EB447A">
        <w:t>,</w:t>
      </w:r>
      <w:r w:rsidR="00A4798E">
        <w:t xml:space="preserve"> </w:t>
      </w:r>
      <w:r w:rsidR="00864CC7">
        <w:t>suggest</w:t>
      </w:r>
      <w:r w:rsidR="0066159A">
        <w:t>s</w:t>
      </w:r>
      <w:r w:rsidR="00864CC7">
        <w:t xml:space="preserve"> it </w:t>
      </w:r>
      <w:r w:rsidR="0066159A">
        <w:t>would</w:t>
      </w:r>
      <w:r w:rsidR="00864CC7">
        <w:t xml:space="preserve"> be appropriate to </w:t>
      </w:r>
      <w:r w:rsidR="005C2E04">
        <w:t xml:space="preserve">apply any changes </w:t>
      </w:r>
      <w:r w:rsidR="00657D78">
        <w:t>to existing projects</w:t>
      </w:r>
      <w:r w:rsidR="00047B87">
        <w:t xml:space="preserve"> going forward</w:t>
      </w:r>
      <w:r w:rsidR="00D7671F">
        <w:t>.</w:t>
      </w:r>
      <w:r w:rsidR="00151767">
        <w:t xml:space="preserve"> </w:t>
      </w:r>
      <w:bookmarkStart w:id="7" w:name="_Toc30064597"/>
    </w:p>
    <w:p w14:paraId="52C85ACA" w14:textId="53853C03" w:rsidR="008F2BB5" w:rsidRDefault="008F2BB5" w:rsidP="00673711">
      <w:pPr>
        <w:pStyle w:val="Heading2"/>
      </w:pPr>
      <w:bookmarkStart w:id="8" w:name="_Toc134273557"/>
      <w:r>
        <w:t>1.3 Consultation process</w:t>
      </w:r>
      <w:bookmarkEnd w:id="8"/>
    </w:p>
    <w:p w14:paraId="6BFCF078" w14:textId="3762E089" w:rsidR="00431248" w:rsidRDefault="000A3796" w:rsidP="009449C7">
      <w:r>
        <w:t xml:space="preserve">Treasury has </w:t>
      </w:r>
      <w:r w:rsidR="00A0214E">
        <w:t xml:space="preserve">undertaken a </w:t>
      </w:r>
      <w:r w:rsidR="44C8CE28">
        <w:t>substantial</w:t>
      </w:r>
      <w:r w:rsidR="00D56588">
        <w:t xml:space="preserve"> </w:t>
      </w:r>
      <w:r w:rsidR="00A0214E">
        <w:t>consultation process</w:t>
      </w:r>
      <w:bookmarkEnd w:id="7"/>
      <w:r w:rsidR="00BC67C3">
        <w:t>.</w:t>
      </w:r>
    </w:p>
    <w:p w14:paraId="7FA3E153" w14:textId="55840D74" w:rsidR="008D2CFC" w:rsidRDefault="00251682" w:rsidP="009449C7">
      <w:r>
        <w:t>Treasury</w:t>
      </w:r>
      <w:r w:rsidR="001F0103">
        <w:t xml:space="preserve"> </w:t>
      </w:r>
      <w:r>
        <w:t xml:space="preserve">hosted </w:t>
      </w:r>
      <w:r w:rsidR="00383291">
        <w:t>a</w:t>
      </w:r>
      <w:r>
        <w:t xml:space="preserve"> first roundtable with industry participants in January 2019, followed by the release of a </w:t>
      </w:r>
      <w:r w:rsidR="00EE556C">
        <w:t xml:space="preserve">public </w:t>
      </w:r>
      <w:r>
        <w:t xml:space="preserve">consultation paper in April 2019. </w:t>
      </w:r>
    </w:p>
    <w:p w14:paraId="1C021C07" w14:textId="6C679FB5" w:rsidR="00FB2616" w:rsidRDefault="1A180786" w:rsidP="009449C7">
      <w:r>
        <w:t xml:space="preserve">The 2019 Consultation </w:t>
      </w:r>
      <w:r w:rsidR="006E016D">
        <w:t>P</w:t>
      </w:r>
      <w:r>
        <w:t xml:space="preserve">aper </w:t>
      </w:r>
      <w:r w:rsidR="2B4F4C22">
        <w:t>outlined</w:t>
      </w:r>
      <w:r w:rsidR="00251682" w:rsidDel="2B4F4C22">
        <w:t xml:space="preserve"> </w:t>
      </w:r>
      <w:r w:rsidR="2B4F4C22">
        <w:t xml:space="preserve">the operation of the existing </w:t>
      </w:r>
      <w:r w:rsidR="00D1791C">
        <w:t>GTP Regulation</w:t>
      </w:r>
      <w:r w:rsidR="00922E56">
        <w:t xml:space="preserve"> </w:t>
      </w:r>
      <w:r w:rsidR="252CCB9E">
        <w:t>and laid out several key issues for consideration, including existing CUP and RPM methodologies, tolling arrangements</w:t>
      </w:r>
      <w:r w:rsidR="0CA7B46F">
        <w:t xml:space="preserve"> in the industry</w:t>
      </w:r>
      <w:r w:rsidR="252CCB9E">
        <w:t xml:space="preserve"> and APAs.</w:t>
      </w:r>
      <w:r w:rsidR="0CA7B46F">
        <w:t xml:space="preserve"> </w:t>
      </w:r>
      <w:r w:rsidR="00992741">
        <w:t>21</w:t>
      </w:r>
      <w:r w:rsidR="7EFA6C8B">
        <w:t xml:space="preserve"> submissions</w:t>
      </w:r>
      <w:r w:rsidR="252CCB9E">
        <w:t xml:space="preserve"> were received from </w:t>
      </w:r>
      <w:r w:rsidR="006E0145">
        <w:t>the community</w:t>
      </w:r>
      <w:r w:rsidR="0080509F">
        <w:t>, civil society groups</w:t>
      </w:r>
      <w:r w:rsidR="00E877D4">
        <w:t xml:space="preserve">, academics and </w:t>
      </w:r>
      <w:r w:rsidR="252CCB9E">
        <w:t>industry in response, including four confidential submissions.</w:t>
      </w:r>
    </w:p>
    <w:p w14:paraId="3FB2F0B0" w14:textId="7CDA9FC3" w:rsidR="00C97146" w:rsidRDefault="00895D60" w:rsidP="009449C7">
      <w:r>
        <w:t>Between December 2019 and February 2020</w:t>
      </w:r>
      <w:r w:rsidR="009449C7">
        <w:t>, Treasury conducted a</w:t>
      </w:r>
      <w:r w:rsidR="009449C7" w:rsidDel="00FE4796">
        <w:t xml:space="preserve"> </w:t>
      </w:r>
      <w:r w:rsidR="00EB55F7">
        <w:t xml:space="preserve">round of targeted and confidential consultations with industry on a refined set of </w:t>
      </w:r>
      <w:r>
        <w:t xml:space="preserve">GTP reform </w:t>
      </w:r>
      <w:r w:rsidR="009449C7">
        <w:t>options</w:t>
      </w:r>
      <w:r w:rsidR="00FF5087">
        <w:t xml:space="preserve">. </w:t>
      </w:r>
      <w:r w:rsidR="00EB55F7">
        <w:t>This consisted of a second industry roundtable, meetings with individual firms and a further round of written submissions to Treasury.</w:t>
      </w:r>
      <w:r w:rsidR="00FF5087">
        <w:t xml:space="preserve"> </w:t>
      </w:r>
      <w:r w:rsidR="00C45438">
        <w:t>In April 2020,</w:t>
      </w:r>
      <w:r w:rsidR="00586D8B">
        <w:t xml:space="preserve"> the GTP Review was paused to </w:t>
      </w:r>
      <w:r w:rsidR="00825B24">
        <w:t>allow</w:t>
      </w:r>
      <w:r w:rsidR="00586D8B">
        <w:t xml:space="preserve"> Treasury </w:t>
      </w:r>
      <w:r w:rsidR="00377A76">
        <w:t xml:space="preserve">to divert </w:t>
      </w:r>
      <w:r w:rsidR="00586D8B">
        <w:t>resources</w:t>
      </w:r>
      <w:r w:rsidR="00825B24">
        <w:t xml:space="preserve"> to </w:t>
      </w:r>
      <w:r w:rsidR="00586D8B">
        <w:t xml:space="preserve">supporting the </w:t>
      </w:r>
      <w:r w:rsidR="00F4204F">
        <w:t xml:space="preserve">former </w:t>
      </w:r>
      <w:r w:rsidR="00586D8B">
        <w:t xml:space="preserve">Government’s response to the COVID-19 pandemic. </w:t>
      </w:r>
    </w:p>
    <w:p w14:paraId="3FF67C43" w14:textId="5AD0DA02" w:rsidR="00F313BF" w:rsidRDefault="00586D8B" w:rsidP="009449C7">
      <w:r>
        <w:t xml:space="preserve">The </w:t>
      </w:r>
      <w:r w:rsidR="00724B05">
        <w:t>R</w:t>
      </w:r>
      <w:r>
        <w:t>eview recommenced in December 2022</w:t>
      </w:r>
      <w:r w:rsidR="007E572B">
        <w:t xml:space="preserve">. Industry roundtables were held in December 2022 and March 2023, accompanied by </w:t>
      </w:r>
      <w:r w:rsidR="00794A8A">
        <w:t>further targeted consultations with individual firms.</w:t>
      </w:r>
      <w:r w:rsidR="00F675BC">
        <w:t xml:space="preserve"> </w:t>
      </w:r>
      <w:r w:rsidR="007814A8" w:rsidRPr="00E15A08">
        <w:t xml:space="preserve">Treasury </w:t>
      </w:r>
      <w:r w:rsidR="00040ECF" w:rsidRPr="00E15A08">
        <w:t>also</w:t>
      </w:r>
      <w:r w:rsidR="00DD35DC" w:rsidRPr="00E15A08">
        <w:t xml:space="preserve"> </w:t>
      </w:r>
      <w:r w:rsidR="008F5EF6" w:rsidRPr="00E15A08">
        <w:t>undertook consultation</w:t>
      </w:r>
      <w:r w:rsidR="004B3C0B" w:rsidRPr="00E15A08">
        <w:t xml:space="preserve"> with </w:t>
      </w:r>
      <w:r w:rsidR="00F675BC" w:rsidRPr="00E15A08">
        <w:t>independent industry analysts</w:t>
      </w:r>
      <w:r w:rsidR="00B0521B" w:rsidRPr="00E15A08">
        <w:t xml:space="preserve"> and representatives from State and </w:t>
      </w:r>
      <w:r w:rsidR="00FB4D06" w:rsidRPr="00E15A08">
        <w:t>Territory</w:t>
      </w:r>
      <w:r w:rsidR="00B0521B" w:rsidRPr="00E15A08">
        <w:t xml:space="preserve"> Governments</w:t>
      </w:r>
      <w:r w:rsidR="008F5EF6" w:rsidRPr="00E15A08">
        <w:t xml:space="preserve">, </w:t>
      </w:r>
      <w:r w:rsidR="00BB059D" w:rsidRPr="00E15A08">
        <w:t xml:space="preserve">to </w:t>
      </w:r>
      <w:r w:rsidR="00D910D1" w:rsidRPr="00E15A08">
        <w:t>examine</w:t>
      </w:r>
      <w:r w:rsidR="00BB059D" w:rsidRPr="00E15A08">
        <w:t xml:space="preserve"> proposed reforms to the GTP regulation</w:t>
      </w:r>
      <w:r w:rsidR="006765E7" w:rsidRPr="00E15A08">
        <w:t xml:space="preserve"> in </w:t>
      </w:r>
      <w:r w:rsidR="00BB059D" w:rsidRPr="00E15A08">
        <w:t>the context of broader</w:t>
      </w:r>
      <w:r w:rsidR="00E02CA5" w:rsidRPr="00E15A08">
        <w:t xml:space="preserve"> </w:t>
      </w:r>
      <w:r w:rsidR="002F4CC7" w:rsidRPr="00E15A08">
        <w:t>industry, regulatory and economic considerations.</w:t>
      </w:r>
      <w:r w:rsidR="00794A8A">
        <w:t xml:space="preserve"> </w:t>
      </w:r>
    </w:p>
    <w:p w14:paraId="751CA3CB" w14:textId="591E1BDC" w:rsidR="005E2C66" w:rsidRDefault="003E139B" w:rsidP="0013291D">
      <w:r>
        <w:t>M</w:t>
      </w:r>
      <w:r w:rsidR="002A0264">
        <w:t xml:space="preserve">uch of Treasury’s </w:t>
      </w:r>
      <w:r w:rsidR="00C45438">
        <w:t xml:space="preserve">consultation </w:t>
      </w:r>
      <w:r w:rsidR="002A0264">
        <w:t>has</w:t>
      </w:r>
      <w:r w:rsidR="00AC3357">
        <w:t xml:space="preserve"> occurred on a confidential basis to facilitate </w:t>
      </w:r>
      <w:r w:rsidR="00B33C43">
        <w:t xml:space="preserve">frank </w:t>
      </w:r>
      <w:r w:rsidR="005E7F37">
        <w:t>and constructive discussions about the impact of proposed changes on current and future investment</w:t>
      </w:r>
      <w:r w:rsidR="00F653F7">
        <w:t xml:space="preserve">s. </w:t>
      </w:r>
    </w:p>
    <w:p w14:paraId="7DF4E9F6" w14:textId="4B35D8E8" w:rsidR="005E2C66" w:rsidRDefault="005E2C66" w:rsidP="0013291D">
      <w:r>
        <w:t>Over the course of Treasury’s Review, the information and views put forward by industry have been highly valuable in developing Treasury’s understanding of operational issues associated with</w:t>
      </w:r>
      <w:r w:rsidDel="005176B1">
        <w:t xml:space="preserve"> </w:t>
      </w:r>
      <w:r w:rsidR="00C53B4E">
        <w:t xml:space="preserve">the </w:t>
      </w:r>
      <w:r>
        <w:t xml:space="preserve">current </w:t>
      </w:r>
      <w:r w:rsidR="00D1791C">
        <w:t>GTP Regulation</w:t>
      </w:r>
      <w:r>
        <w:t xml:space="preserve"> and </w:t>
      </w:r>
      <w:r w:rsidR="001870A0">
        <w:t>testing</w:t>
      </w:r>
      <w:r>
        <w:t xml:space="preserve"> possible reforms needed to address </w:t>
      </w:r>
      <w:r w:rsidR="00E00978">
        <w:t>issues</w:t>
      </w:r>
      <w:r w:rsidR="00AA5795">
        <w:t xml:space="preserve"> identified by Treasury</w:t>
      </w:r>
      <w:r>
        <w:t xml:space="preserve">. </w:t>
      </w:r>
    </w:p>
    <w:p w14:paraId="480FD0E1" w14:textId="0D62251B" w:rsidR="005C0871" w:rsidRDefault="005C0871" w:rsidP="0013291D"/>
    <w:p w14:paraId="294B2BC9" w14:textId="7A6613D3" w:rsidR="009019C2" w:rsidRDefault="009019C2" w:rsidP="009449C7"/>
    <w:p w14:paraId="391379DE" w14:textId="03F11C11" w:rsidR="007A30E2" w:rsidRDefault="007A30E2" w:rsidP="009449C7"/>
    <w:p w14:paraId="53CE6D13" w14:textId="7C9D39D4" w:rsidR="007A30E2" w:rsidRDefault="007A30E2" w:rsidP="009449C7"/>
    <w:p w14:paraId="36C07E7D" w14:textId="77777777" w:rsidR="007A30E2" w:rsidRDefault="007A30E2" w:rsidP="009449C7"/>
    <w:p w14:paraId="7B0FD8E6" w14:textId="0CC0FB7F" w:rsidR="00895D60" w:rsidRPr="00026263" w:rsidRDefault="00895D60" w:rsidP="00026263">
      <w:pPr>
        <w:pStyle w:val="Heading1"/>
      </w:pPr>
      <w:bookmarkStart w:id="9" w:name="_Toc134273558"/>
      <w:r w:rsidRPr="00026263">
        <w:lastRenderedPageBreak/>
        <w:t>2. Executive summary</w:t>
      </w:r>
      <w:bookmarkEnd w:id="9"/>
    </w:p>
    <w:p w14:paraId="28AFF051" w14:textId="21C42AB4" w:rsidR="002557FD" w:rsidRDefault="002557FD" w:rsidP="002557FD">
      <w:r w:rsidRPr="002557FD">
        <w:t>The P</w:t>
      </w:r>
      <w:r w:rsidR="00EF4AF5">
        <w:t xml:space="preserve">etroleum </w:t>
      </w:r>
      <w:r w:rsidRPr="002557FD">
        <w:t>R</w:t>
      </w:r>
      <w:r w:rsidR="00EF4AF5">
        <w:t>esource Rent Tax</w:t>
      </w:r>
      <w:r w:rsidR="00D4672A">
        <w:t xml:space="preserve"> (</w:t>
      </w:r>
      <w:r w:rsidRPr="002557FD">
        <w:t>PRRT</w:t>
      </w:r>
      <w:r w:rsidR="00FF19E9">
        <w:t>)</w:t>
      </w:r>
      <w:r w:rsidRPr="002557FD">
        <w:t xml:space="preserve"> is a tax on oil and gas projects located offshore in Australian waters. Onshore oil and gas projects pay royalties to state and territory governments instead.</w:t>
      </w:r>
      <w:r w:rsidR="00A94C95">
        <w:t xml:space="preserve"> In 20</w:t>
      </w:r>
      <w:r w:rsidR="00F30B66">
        <w:t>20</w:t>
      </w:r>
      <w:r w:rsidR="00CC39B4">
        <w:noBreakHyphen/>
      </w:r>
      <w:r w:rsidR="00F30B66">
        <w:t>21</w:t>
      </w:r>
      <w:r w:rsidR="00DE5C08">
        <w:t xml:space="preserve">, </w:t>
      </w:r>
      <w:r w:rsidR="0071340A">
        <w:t xml:space="preserve">out of a total of 33 PRRT projects, </w:t>
      </w:r>
      <w:r w:rsidR="00DE5C08">
        <w:t xml:space="preserve">10 entities paid PRRT </w:t>
      </w:r>
      <w:r w:rsidR="0071340A">
        <w:t>in relation to 6 PRRT projects.</w:t>
      </w:r>
      <w:r w:rsidR="00726B4F">
        <w:rPr>
          <w:rStyle w:val="FootnoteReference"/>
        </w:rPr>
        <w:footnoteReference w:id="3"/>
      </w:r>
      <w:r w:rsidR="0071340A">
        <w:t xml:space="preserve"> </w:t>
      </w:r>
    </w:p>
    <w:p w14:paraId="63093B2C" w14:textId="07CF9F41" w:rsidR="002557FD" w:rsidRDefault="00812D1A" w:rsidP="00585026">
      <w:r w:rsidRPr="00812D1A">
        <w:t xml:space="preserve">PRRT is a profits-based tax that only taxes profits </w:t>
      </w:r>
      <w:r>
        <w:t xml:space="preserve">of petroleum projects </w:t>
      </w:r>
      <w:r w:rsidRPr="00812D1A">
        <w:t xml:space="preserve">above a specified rate of return. </w:t>
      </w:r>
      <w:r>
        <w:t xml:space="preserve">Whether a project pays </w:t>
      </w:r>
      <w:r w:rsidRPr="00812D1A">
        <w:t>PRRT will be dependent on a range of factors, including commodity prices, foreign exchange rates and project development and operating costs.</w:t>
      </w:r>
    </w:p>
    <w:p w14:paraId="38EA57D8" w14:textId="48760AC4" w:rsidR="008633ED" w:rsidRDefault="004762C6" w:rsidP="007C33DD">
      <w:r w:rsidRPr="004762C6">
        <w:t xml:space="preserve">PRRT is paid when a petroleum project’s total assessable receipts exceed total </w:t>
      </w:r>
      <w:r w:rsidR="00A50DBF">
        <w:t xml:space="preserve">deductible </w:t>
      </w:r>
      <w:r w:rsidR="00A50DBF" w:rsidRPr="004762C6">
        <w:t>expenditure</w:t>
      </w:r>
      <w:r w:rsidRPr="004762C6">
        <w:t>.</w:t>
      </w:r>
      <w:r w:rsidR="007C33DD" w:rsidRPr="007C33DD">
        <w:t xml:space="preserve"> </w:t>
      </w:r>
      <w:r w:rsidR="007C33DD">
        <w:t>The point at which petroleum, or products produced from petroleum, becomes taxable is commonly referred to as the taxing point. The taxing point signifies the boundary between petroleum project operations, which fall within PRRT, and non-project operations, which do not.</w:t>
      </w:r>
    </w:p>
    <w:p w14:paraId="25988D3B" w14:textId="6038500E" w:rsidR="007C33DD" w:rsidRDefault="00961CFB" w:rsidP="007C33DD">
      <w:r>
        <w:t xml:space="preserve">The </w:t>
      </w:r>
      <w:r w:rsidR="00FC1F57">
        <w:t>g</w:t>
      </w:r>
      <w:r>
        <w:t xml:space="preserve">as transfer pricing </w:t>
      </w:r>
      <w:r w:rsidR="00212788">
        <w:t>(GTP)</w:t>
      </w:r>
      <w:r w:rsidR="00FC1F57" w:rsidRPr="00FC1F57">
        <w:t xml:space="preserve"> </w:t>
      </w:r>
      <w:r w:rsidR="003D7D43">
        <w:t>R</w:t>
      </w:r>
      <w:r w:rsidR="00FC1F57">
        <w:t xml:space="preserve">egulation </w:t>
      </w:r>
      <w:r w:rsidR="003D7D43">
        <w:t>is</w:t>
      </w:r>
      <w:r w:rsidR="00FC1F57">
        <w:t xml:space="preserve"> used to determine the value of </w:t>
      </w:r>
      <w:r w:rsidR="00A1279F">
        <w:t xml:space="preserve">sales </w:t>
      </w:r>
      <w:r w:rsidR="00FC1F57">
        <w:t>gas</w:t>
      </w:r>
      <w:r w:rsidR="00A1279F">
        <w:t xml:space="preserve"> (feedstock natural gas)</w:t>
      </w:r>
      <w:r w:rsidR="00C72CAB">
        <w:t xml:space="preserve"> used to produce LNG</w:t>
      </w:r>
      <w:r w:rsidR="00FC1F57">
        <w:t xml:space="preserve"> </w:t>
      </w:r>
      <w:r w:rsidR="00CF7C07">
        <w:t>at the taxing point in integrated L</w:t>
      </w:r>
      <w:r w:rsidR="00331D81">
        <w:t>iqu</w:t>
      </w:r>
      <w:r w:rsidR="00E36C5F">
        <w:t>e</w:t>
      </w:r>
      <w:r w:rsidR="00331D81">
        <w:t xml:space="preserve">fied Natural Gas (LNG) </w:t>
      </w:r>
      <w:r w:rsidR="00EA580C">
        <w:t>p</w:t>
      </w:r>
      <w:r w:rsidR="00331D81">
        <w:t>rojects</w:t>
      </w:r>
      <w:r w:rsidR="004C2CDD">
        <w:t>, from which the assessable receipts of the petroleum project are calculated.</w:t>
      </w:r>
    </w:p>
    <w:p w14:paraId="03B32506" w14:textId="7112DBEB" w:rsidR="00585026" w:rsidRDefault="00832155" w:rsidP="00585026">
      <w:r>
        <w:t>T</w:t>
      </w:r>
      <w:r w:rsidR="00350DEC">
        <w:t xml:space="preserve">he efficacy of </w:t>
      </w:r>
      <w:r w:rsidR="00B9160A">
        <w:t>the</w:t>
      </w:r>
      <w:r w:rsidR="00350DEC">
        <w:t xml:space="preserve"> </w:t>
      </w:r>
      <w:r w:rsidR="00212788">
        <w:t>GTP</w:t>
      </w:r>
      <w:r w:rsidR="00350DEC">
        <w:t xml:space="preserve"> </w:t>
      </w:r>
      <w:r w:rsidR="00B475A5">
        <w:t xml:space="preserve">Regulation </w:t>
      </w:r>
      <w:r w:rsidR="008558E4">
        <w:t>was</w:t>
      </w:r>
      <w:r w:rsidR="00B9160A">
        <w:t xml:space="preserve"> a </w:t>
      </w:r>
      <w:r w:rsidR="00E16EC0">
        <w:t>si</w:t>
      </w:r>
      <w:r w:rsidR="000A3EF6">
        <w:t>gnificant</w:t>
      </w:r>
      <w:r w:rsidR="00350DEC">
        <w:t xml:space="preserve"> focus </w:t>
      </w:r>
      <w:r w:rsidR="00B9160A">
        <w:t>for</w:t>
      </w:r>
      <w:r w:rsidR="00F6191E">
        <w:t xml:space="preserve"> the </w:t>
      </w:r>
      <w:r w:rsidR="00350DEC">
        <w:t>‘Callaghan Review’</w:t>
      </w:r>
      <w:r w:rsidR="00F6191E">
        <w:t xml:space="preserve"> into the PRRT</w:t>
      </w:r>
      <w:r>
        <w:t>. The</w:t>
      </w:r>
      <w:r w:rsidDel="00CC207E">
        <w:t xml:space="preserve"> </w:t>
      </w:r>
      <w:r>
        <w:t xml:space="preserve">concerns identified </w:t>
      </w:r>
      <w:r w:rsidR="00073ABA">
        <w:t xml:space="preserve">regarding </w:t>
      </w:r>
      <w:r w:rsidR="00E06443">
        <w:t xml:space="preserve">the credibility of the </w:t>
      </w:r>
      <w:r w:rsidR="00D1791C">
        <w:t>GTP Regulation</w:t>
      </w:r>
      <w:r w:rsidR="00B475A5">
        <w:t xml:space="preserve"> </w:t>
      </w:r>
      <w:r w:rsidR="005908E0">
        <w:t xml:space="preserve">and </w:t>
      </w:r>
      <w:r w:rsidR="00E82243">
        <w:t>its</w:t>
      </w:r>
      <w:r w:rsidR="005908E0">
        <w:t xml:space="preserve"> </w:t>
      </w:r>
      <w:r w:rsidR="0079201D">
        <w:t xml:space="preserve">significance </w:t>
      </w:r>
      <w:r w:rsidR="00AF5C78">
        <w:t xml:space="preserve">in determining PRRT </w:t>
      </w:r>
      <w:r w:rsidR="009247E6">
        <w:t xml:space="preserve">outcomes for </w:t>
      </w:r>
      <w:r w:rsidR="008B503E">
        <w:t xml:space="preserve">integrated </w:t>
      </w:r>
      <w:r w:rsidR="00015403">
        <w:t>LNG</w:t>
      </w:r>
      <w:r w:rsidR="009247E6">
        <w:t xml:space="preserve"> projects</w:t>
      </w:r>
      <w:r w:rsidR="00E06443">
        <w:t xml:space="preserve"> </w:t>
      </w:r>
      <w:r w:rsidR="00B9160A">
        <w:t>prompt</w:t>
      </w:r>
      <w:r>
        <w:t>ed</w:t>
      </w:r>
      <w:r w:rsidR="00F6191E">
        <w:t xml:space="preserve"> the former Government </w:t>
      </w:r>
      <w:r w:rsidR="00B9160A">
        <w:t xml:space="preserve">to </w:t>
      </w:r>
      <w:r w:rsidR="00F6191E">
        <w:t xml:space="preserve">establish this </w:t>
      </w:r>
      <w:r w:rsidR="00724B05">
        <w:t>R</w:t>
      </w:r>
      <w:r w:rsidR="00F6191E">
        <w:t>eview</w:t>
      </w:r>
      <w:r w:rsidR="00375092">
        <w:t xml:space="preserve"> </w:t>
      </w:r>
      <w:r w:rsidR="00B9160A">
        <w:t>as part of its formal response</w:t>
      </w:r>
      <w:r w:rsidR="00375092">
        <w:t>.</w:t>
      </w:r>
    </w:p>
    <w:p w14:paraId="2410D9D1" w14:textId="29D6DB52" w:rsidR="00585026" w:rsidRDefault="00585026" w:rsidP="00585026">
      <w:r>
        <w:t>The Callaghan Review identified that t</w:t>
      </w:r>
      <w:r w:rsidRPr="000B4610">
        <w:t>he</w:t>
      </w:r>
      <w:r>
        <w:t xml:space="preserve"> RPM likely significantly undervalues gas prices for PRRT purposes because of the way </w:t>
      </w:r>
      <w:r w:rsidRPr="00116484">
        <w:t>capital is allocated,</w:t>
      </w:r>
      <w:r>
        <w:t xml:space="preserve"> augmented (</w:t>
      </w:r>
      <w:r w:rsidR="00E932D3">
        <w:t xml:space="preserve">via </w:t>
      </w:r>
      <w:r w:rsidR="00282485">
        <w:t xml:space="preserve">the </w:t>
      </w:r>
      <w:r>
        <w:t>capital allowance rate) and rewarded (</w:t>
      </w:r>
      <w:r w:rsidR="00282485">
        <w:t xml:space="preserve">via the </w:t>
      </w:r>
      <w:r>
        <w:t>profit split). This reduces the assessable receipts of integrated LNG projects, and PRRT collected from them.</w:t>
      </w:r>
    </w:p>
    <w:p w14:paraId="29A4876E" w14:textId="79DC4CFD" w:rsidR="00703EAA" w:rsidRDefault="00E06443" w:rsidP="00E05A25">
      <w:r>
        <w:t xml:space="preserve">The fact that </w:t>
      </w:r>
      <w:r w:rsidR="00E05A25">
        <w:t xml:space="preserve">Australia </w:t>
      </w:r>
      <w:r w:rsidR="00DD0CF9">
        <w:t>is now</w:t>
      </w:r>
      <w:r w:rsidR="00E05A25">
        <w:t xml:space="preserve"> the world’s largest exporter of LNG underscores th</w:t>
      </w:r>
      <w:r w:rsidR="00CA65DA">
        <w:t xml:space="preserve">e </w:t>
      </w:r>
      <w:r w:rsidR="00DD0CF9">
        <w:t xml:space="preserve">increasing significance of the </w:t>
      </w:r>
      <w:r w:rsidR="001F36E6">
        <w:t>Callaghan Review’s finding</w:t>
      </w:r>
      <w:r w:rsidR="00DD0CF9">
        <w:t xml:space="preserve">, and thus the </w:t>
      </w:r>
      <w:r w:rsidR="00E05A25">
        <w:t>central premise of th</w:t>
      </w:r>
      <w:r w:rsidR="001F36E6">
        <w:t>is</w:t>
      </w:r>
      <w:r w:rsidR="00E05A25">
        <w:t xml:space="preserve"> </w:t>
      </w:r>
      <w:r w:rsidR="00724B05">
        <w:t>R</w:t>
      </w:r>
      <w:r w:rsidR="00131B55">
        <w:t>eview</w:t>
      </w:r>
      <w:r w:rsidR="00E05A25">
        <w:t xml:space="preserve">: to </w:t>
      </w:r>
      <w:r w:rsidR="00DD0CF9">
        <w:t xml:space="preserve">advise on options for </w:t>
      </w:r>
      <w:r w:rsidR="003C14A1">
        <w:t>ensuring the PRRT’s</w:t>
      </w:r>
      <w:r w:rsidR="006B41D2">
        <w:t xml:space="preserve"> application to integrated LNG projects is </w:t>
      </w:r>
      <w:r w:rsidR="00DD0CF9">
        <w:t>fit-for-purpose into the future.</w:t>
      </w:r>
      <w:r w:rsidR="00151767">
        <w:t xml:space="preserve"> </w:t>
      </w:r>
    </w:p>
    <w:p w14:paraId="3EFD4711" w14:textId="7DB7CAE2" w:rsidR="00E05A25" w:rsidRDefault="00E05A25" w:rsidP="00E05A25">
      <w:r>
        <w:t>A transfer</w:t>
      </w:r>
      <w:r w:rsidR="00171A9C">
        <w:t xml:space="preserve"> or </w:t>
      </w:r>
      <w:r w:rsidR="0096226E">
        <w:t>‘</w:t>
      </w:r>
      <w:r w:rsidR="00171A9C">
        <w:t>sales</w:t>
      </w:r>
      <w:r w:rsidR="0096226E">
        <w:t>’</w:t>
      </w:r>
      <w:r>
        <w:t xml:space="preserve"> price must be determined</w:t>
      </w:r>
      <w:r w:rsidR="00A1279F">
        <w:t xml:space="preserve"> by the GTP </w:t>
      </w:r>
      <w:r w:rsidR="00E61F43">
        <w:t>R</w:t>
      </w:r>
      <w:r w:rsidR="00A1279F">
        <w:t>egulation</w:t>
      </w:r>
      <w:r>
        <w:t xml:space="preserve"> because</w:t>
      </w:r>
      <w:r w:rsidR="00E06CCC">
        <w:t xml:space="preserve"> the PRRT applies to profits generated from the sale of ‘marketable petroleum commodities’ (MPC</w:t>
      </w:r>
      <w:r w:rsidR="003909AF">
        <w:t>s</w:t>
      </w:r>
      <w:r w:rsidR="00E06CCC">
        <w:t xml:space="preserve">) produced or extracted from a reservoir. </w:t>
      </w:r>
      <w:r w:rsidR="00FD55B0">
        <w:t>However, u</w:t>
      </w:r>
      <w:r>
        <w:t xml:space="preserve">nlike natural gas sold to the domestic market through the conventional pipeline network, there is no arm’s length sale in integrated </w:t>
      </w:r>
      <w:r w:rsidR="001F7E81">
        <w:t xml:space="preserve">LNG </w:t>
      </w:r>
      <w:r>
        <w:t xml:space="preserve">operations </w:t>
      </w:r>
      <w:r w:rsidR="001F7E81">
        <w:t>at the PRRT</w:t>
      </w:r>
      <w:r w:rsidR="00CD7A88">
        <w:t xml:space="preserve"> taxing point</w:t>
      </w:r>
      <w:r w:rsidR="00E414C8">
        <w:t>, which is</w:t>
      </w:r>
      <w:r w:rsidR="000E55F1">
        <w:t xml:space="preserve"> the point</w:t>
      </w:r>
      <w:r w:rsidR="00D64024">
        <w:t xml:space="preserve"> </w:t>
      </w:r>
      <w:r w:rsidR="00746B4D">
        <w:t xml:space="preserve">where the </w:t>
      </w:r>
      <w:r w:rsidR="00ED1822">
        <w:t xml:space="preserve">natural </w:t>
      </w:r>
      <w:r w:rsidR="00D64024">
        <w:t xml:space="preserve">gas </w:t>
      </w:r>
      <w:r w:rsidR="008924DD">
        <w:t xml:space="preserve">has been processed </w:t>
      </w:r>
      <w:r w:rsidR="00796FB5">
        <w:t xml:space="preserve">and is </w:t>
      </w:r>
      <w:r w:rsidR="00B97C38">
        <w:t>ready</w:t>
      </w:r>
      <w:r w:rsidR="00783351">
        <w:t xml:space="preserve"> </w:t>
      </w:r>
      <w:r w:rsidR="00C21DA3">
        <w:t>to be</w:t>
      </w:r>
      <w:r w:rsidR="00D64024">
        <w:t xml:space="preserve"> </w:t>
      </w:r>
      <w:r w:rsidR="0044739D">
        <w:t>converted</w:t>
      </w:r>
      <w:r w:rsidR="00D64024">
        <w:t xml:space="preserve"> </w:t>
      </w:r>
      <w:r>
        <w:t xml:space="preserve">into LNG. </w:t>
      </w:r>
    </w:p>
    <w:p w14:paraId="5B18538D" w14:textId="4F9D7224" w:rsidR="00E05A25" w:rsidRDefault="00995D8B" w:rsidP="00871A4E">
      <w:r>
        <w:t>T</w:t>
      </w:r>
      <w:r w:rsidR="006F542B">
        <w:t xml:space="preserve">he </w:t>
      </w:r>
      <w:r w:rsidR="00E63775">
        <w:t xml:space="preserve">GTP </w:t>
      </w:r>
      <w:r w:rsidR="00860ED4">
        <w:t>R</w:t>
      </w:r>
      <w:r w:rsidR="00F95A7F">
        <w:t>egulation</w:t>
      </w:r>
      <w:r w:rsidR="00CA65DA">
        <w:t xml:space="preserve"> ha</w:t>
      </w:r>
      <w:r w:rsidR="0017013F">
        <w:t>s</w:t>
      </w:r>
      <w:r w:rsidR="00CA65DA">
        <w:t xml:space="preserve"> </w:t>
      </w:r>
      <w:r w:rsidR="00552664">
        <w:t xml:space="preserve">a </w:t>
      </w:r>
      <w:r w:rsidR="00877364">
        <w:t xml:space="preserve">significant </w:t>
      </w:r>
      <w:r w:rsidR="00552664">
        <w:t>influence on</w:t>
      </w:r>
      <w:r w:rsidR="00CA65DA">
        <w:t xml:space="preserve"> the </w:t>
      </w:r>
      <w:r w:rsidR="00552664">
        <w:t xml:space="preserve">overall </w:t>
      </w:r>
      <w:r w:rsidR="00CA65DA">
        <w:t xml:space="preserve">PRRT revenue </w:t>
      </w:r>
      <w:r w:rsidR="00552664">
        <w:t>collected on behalf of</w:t>
      </w:r>
      <w:r w:rsidR="004C489A">
        <w:t xml:space="preserve"> </w:t>
      </w:r>
      <w:r w:rsidR="008B2F57">
        <w:t xml:space="preserve">the </w:t>
      </w:r>
      <w:r w:rsidR="004C489A">
        <w:t>Australian community for</w:t>
      </w:r>
      <w:r w:rsidR="00CA65DA">
        <w:t xml:space="preserve"> the recovery of </w:t>
      </w:r>
      <w:r w:rsidR="004C489A">
        <w:t>it</w:t>
      </w:r>
      <w:r w:rsidR="00CA65DA">
        <w:t xml:space="preserve">s </w:t>
      </w:r>
      <w:r w:rsidR="00E63775">
        <w:t xml:space="preserve">offshore </w:t>
      </w:r>
      <w:r w:rsidR="00CA65DA">
        <w:t xml:space="preserve">gas resources. </w:t>
      </w:r>
      <w:r w:rsidR="003B68C5" w:rsidRPr="005D4846">
        <w:t>If</w:t>
      </w:r>
      <w:r w:rsidR="003B68C5">
        <w:t xml:space="preserve"> the </w:t>
      </w:r>
      <w:r w:rsidR="00F10A49">
        <w:t>settings for the primary</w:t>
      </w:r>
      <w:r w:rsidR="005D4846" w:rsidRPr="005D4846">
        <w:t xml:space="preserve"> method </w:t>
      </w:r>
      <w:r w:rsidR="00F10A49">
        <w:t>used</w:t>
      </w:r>
      <w:r w:rsidR="005D4846" w:rsidRPr="005D4846">
        <w:t xml:space="preserve"> for pricing </w:t>
      </w:r>
      <w:r>
        <w:t>sales</w:t>
      </w:r>
      <w:r w:rsidR="003B68C5">
        <w:t xml:space="preserve"> gas</w:t>
      </w:r>
      <w:r w:rsidR="007518F8" w:rsidRPr="005D4846">
        <w:t xml:space="preserve"> </w:t>
      </w:r>
      <w:r w:rsidR="005D4846" w:rsidRPr="005D4846">
        <w:t>are not balanced and appropriate, it</w:t>
      </w:r>
      <w:r w:rsidR="003B68C5">
        <w:t xml:space="preserve"> can </w:t>
      </w:r>
      <w:r w:rsidR="007B7B82">
        <w:t xml:space="preserve">extend the </w:t>
      </w:r>
      <w:r w:rsidR="00FE185B">
        <w:t>time</w:t>
      </w:r>
      <w:r w:rsidR="007B7B82">
        <w:t xml:space="preserve"> before a</w:t>
      </w:r>
      <w:r w:rsidR="007518F8">
        <w:t xml:space="preserve"> project </w:t>
      </w:r>
      <w:r w:rsidR="003B68C5">
        <w:t>pay</w:t>
      </w:r>
      <w:r w:rsidR="0043255E">
        <w:t>s</w:t>
      </w:r>
      <w:r w:rsidR="003B68C5">
        <w:t xml:space="preserve"> off </w:t>
      </w:r>
      <w:r w:rsidR="0043255E">
        <w:t>its</w:t>
      </w:r>
      <w:r w:rsidR="003B68C5">
        <w:t xml:space="preserve"> </w:t>
      </w:r>
      <w:r w:rsidR="00375337">
        <w:t>deductible</w:t>
      </w:r>
      <w:r w:rsidR="00A56DF0">
        <w:t xml:space="preserve"> </w:t>
      </w:r>
      <w:r w:rsidR="00972916">
        <w:t>(</w:t>
      </w:r>
      <w:r w:rsidR="00A56DF0">
        <w:t xml:space="preserve">and typically </w:t>
      </w:r>
      <w:r w:rsidR="003B68C5">
        <w:t>large</w:t>
      </w:r>
      <w:r w:rsidR="00972916">
        <w:t>)</w:t>
      </w:r>
      <w:r w:rsidR="003B68C5">
        <w:t xml:space="preserve"> investment costs and </w:t>
      </w:r>
      <w:r w:rsidR="007518F8">
        <w:t xml:space="preserve">thus </w:t>
      </w:r>
      <w:r w:rsidR="003B68C5">
        <w:t>become</w:t>
      </w:r>
      <w:r w:rsidR="0043255E">
        <w:t>s</w:t>
      </w:r>
      <w:r w:rsidR="003B68C5">
        <w:t xml:space="preserve"> </w:t>
      </w:r>
      <w:r w:rsidR="00A605D1">
        <w:t>profitable</w:t>
      </w:r>
      <w:r w:rsidR="003B68C5">
        <w:t xml:space="preserve"> for PRRT purposes. </w:t>
      </w:r>
      <w:r>
        <w:t>Relative to oil projects, t</w:t>
      </w:r>
      <w:r w:rsidR="00823275">
        <w:t xml:space="preserve">here is already a substantial delay before </w:t>
      </w:r>
      <w:r w:rsidR="007B7B82">
        <w:t>LNG projects</w:t>
      </w:r>
      <w:r w:rsidR="00823275">
        <w:t xml:space="preserve"> start paying PRRT, owing to </w:t>
      </w:r>
      <w:r w:rsidR="00251176">
        <w:t xml:space="preserve">longer and more costly development cycles </w:t>
      </w:r>
      <w:r w:rsidR="005D4846">
        <w:t>that</w:t>
      </w:r>
      <w:r w:rsidR="00D4425A">
        <w:t xml:space="preserve"> can</w:t>
      </w:r>
      <w:r w:rsidR="005D4846">
        <w:t xml:space="preserve"> </w:t>
      </w:r>
      <w:r w:rsidR="00717510">
        <w:t xml:space="preserve">lead to </w:t>
      </w:r>
      <w:r w:rsidR="00EF15C3">
        <w:t>high</w:t>
      </w:r>
      <w:r w:rsidR="00717510">
        <w:t xml:space="preserve"> compounding of </w:t>
      </w:r>
      <w:r w:rsidR="00C56F87">
        <w:t xml:space="preserve">carry-forward </w:t>
      </w:r>
      <w:r w:rsidR="00717510">
        <w:t>deductions</w:t>
      </w:r>
      <w:r w:rsidR="006F542B">
        <w:t>.</w:t>
      </w:r>
      <w:r w:rsidR="007B7B82">
        <w:t xml:space="preserve"> </w:t>
      </w:r>
    </w:p>
    <w:p w14:paraId="1CD24AFA" w14:textId="7AB21A77" w:rsidR="00A605D1" w:rsidRDefault="00211A5E" w:rsidP="001B43C8">
      <w:r>
        <w:t xml:space="preserve">Upon close examination, </w:t>
      </w:r>
      <w:r w:rsidR="006005D3">
        <w:t>Treasury</w:t>
      </w:r>
      <w:r w:rsidR="002D66E8">
        <w:t xml:space="preserve"> considers</w:t>
      </w:r>
      <w:r w:rsidR="00CA65DA">
        <w:t xml:space="preserve"> that</w:t>
      </w:r>
      <w:r w:rsidR="002211C9">
        <w:t xml:space="preserve"> the </w:t>
      </w:r>
      <w:r w:rsidR="006005D3">
        <w:t xml:space="preserve">existing </w:t>
      </w:r>
      <w:r w:rsidR="003B58F4">
        <w:t>safe harbour</w:t>
      </w:r>
      <w:r w:rsidR="00A605D1">
        <w:t xml:space="preserve"> </w:t>
      </w:r>
      <w:r w:rsidR="00995D8B">
        <w:t xml:space="preserve">pricing </w:t>
      </w:r>
      <w:r w:rsidR="00A605D1">
        <w:t xml:space="preserve">method in the </w:t>
      </w:r>
      <w:r w:rsidR="00D1791C">
        <w:t>GTP Regulation</w:t>
      </w:r>
      <w:r w:rsidR="00A605D1">
        <w:t xml:space="preserve">, the ‘residual pricing method’ (RPM), </w:t>
      </w:r>
      <w:r>
        <w:t>is configured</w:t>
      </w:r>
      <w:r w:rsidR="00A605D1">
        <w:t xml:space="preserve"> in </w:t>
      </w:r>
      <w:r w:rsidR="003B58F4">
        <w:t>a</w:t>
      </w:r>
      <w:r w:rsidR="00A605D1">
        <w:t xml:space="preserve"> way </w:t>
      </w:r>
      <w:r w:rsidR="003B58F4">
        <w:t>that</w:t>
      </w:r>
      <w:r w:rsidR="001B43C8">
        <w:t xml:space="preserve"> undervalue</w:t>
      </w:r>
      <w:r w:rsidR="003B58F4">
        <w:t>s</w:t>
      </w:r>
      <w:r w:rsidR="001B43C8">
        <w:t xml:space="preserve"> </w:t>
      </w:r>
      <w:r w:rsidR="002211C9">
        <w:t>the</w:t>
      </w:r>
      <w:r w:rsidR="00EB15EB">
        <w:t xml:space="preserve"> </w:t>
      </w:r>
      <w:r w:rsidR="006B3512">
        <w:t>underlying natural resource</w:t>
      </w:r>
      <w:r w:rsidR="001B43C8">
        <w:t xml:space="preserve"> used </w:t>
      </w:r>
      <w:r w:rsidR="00EB15EB">
        <w:t xml:space="preserve">in </w:t>
      </w:r>
      <w:r w:rsidR="001B43C8">
        <w:t>LNG</w:t>
      </w:r>
      <w:r w:rsidR="002211C9">
        <w:t xml:space="preserve"> </w:t>
      </w:r>
      <w:r w:rsidR="001B43C8">
        <w:t>project</w:t>
      </w:r>
      <w:r w:rsidR="00663BF6">
        <w:t>s</w:t>
      </w:r>
      <w:r w:rsidR="00336CED">
        <w:t>.</w:t>
      </w:r>
      <w:r w:rsidR="00A605D1">
        <w:t xml:space="preserve"> </w:t>
      </w:r>
      <w:r w:rsidR="00A605D1" w:rsidRPr="00B94167">
        <w:t>The central</w:t>
      </w:r>
      <w:r w:rsidR="00A605D1" w:rsidRPr="002B718A">
        <w:t xml:space="preserve"> issue is </w:t>
      </w:r>
      <w:r w:rsidR="007518F8">
        <w:t xml:space="preserve">that </w:t>
      </w:r>
      <w:r w:rsidR="002D6050">
        <w:t xml:space="preserve">under the RPM, </w:t>
      </w:r>
      <w:r w:rsidR="00DF3E62">
        <w:t xml:space="preserve">too much </w:t>
      </w:r>
      <w:r w:rsidR="009D14AA">
        <w:t xml:space="preserve">of </w:t>
      </w:r>
      <w:r w:rsidR="007518F8">
        <w:lastRenderedPageBreak/>
        <w:t xml:space="preserve">the </w:t>
      </w:r>
      <w:r w:rsidR="00A605D1" w:rsidRPr="002B718A">
        <w:t xml:space="preserve">economic rent </w:t>
      </w:r>
      <w:r w:rsidR="00CE701F">
        <w:t xml:space="preserve">generated from </w:t>
      </w:r>
      <w:r w:rsidR="009A4A46">
        <w:t>gas extraction</w:t>
      </w:r>
      <w:r w:rsidR="00A605D1" w:rsidRPr="002B718A">
        <w:t xml:space="preserve"> </w:t>
      </w:r>
      <w:r w:rsidR="007518F8">
        <w:t xml:space="preserve">is </w:t>
      </w:r>
      <w:r w:rsidR="00A573A7">
        <w:t>attributed</w:t>
      </w:r>
      <w:r w:rsidR="002B4E5A">
        <w:t xml:space="preserve"> to the downstream </w:t>
      </w:r>
      <w:r w:rsidR="00C04FED">
        <w:t>operations of the LNG value chain</w:t>
      </w:r>
      <w:r w:rsidR="00934429">
        <w:t>,</w:t>
      </w:r>
      <w:r w:rsidR="00A573A7">
        <w:t xml:space="preserve"> </w:t>
      </w:r>
      <w:r w:rsidR="001A515C">
        <w:t>where it is</w:t>
      </w:r>
      <w:r w:rsidR="00614890">
        <w:t xml:space="preserve"> </w:t>
      </w:r>
      <w:r w:rsidR="00F5786A">
        <w:t xml:space="preserve">outside of the </w:t>
      </w:r>
      <w:r w:rsidR="00614890">
        <w:t>PRRT</w:t>
      </w:r>
      <w:r w:rsidR="000119B7">
        <w:t xml:space="preserve"> </w:t>
      </w:r>
      <w:r w:rsidR="00F14662">
        <w:t xml:space="preserve">tax </w:t>
      </w:r>
      <w:r w:rsidR="000119B7">
        <w:t>calculation</w:t>
      </w:r>
      <w:r w:rsidR="00E142AC">
        <w:t xml:space="preserve">. </w:t>
      </w:r>
      <w:r w:rsidR="00DF3C2E">
        <w:t xml:space="preserve">This is </w:t>
      </w:r>
      <w:r w:rsidR="00A76629">
        <w:t xml:space="preserve">primarily </w:t>
      </w:r>
      <w:r w:rsidR="00DF3C2E">
        <w:t xml:space="preserve">because the </w:t>
      </w:r>
      <w:r w:rsidR="00EA7E8A">
        <w:t>original</w:t>
      </w:r>
      <w:r w:rsidR="00DD127E">
        <w:t xml:space="preserve"> </w:t>
      </w:r>
      <w:r w:rsidR="00291F3A">
        <w:t xml:space="preserve">co-designed </w:t>
      </w:r>
      <w:r w:rsidR="00DF3C2E">
        <w:t xml:space="preserve">RPM was built on </w:t>
      </w:r>
      <w:r w:rsidR="000B7285">
        <w:t>an assumption that</w:t>
      </w:r>
      <w:r w:rsidR="00B01D5A">
        <w:t xml:space="preserve"> the economic rents</w:t>
      </w:r>
      <w:r w:rsidR="003153EB">
        <w:t xml:space="preserve"> were equally split between the upstream and downstream</w:t>
      </w:r>
      <w:r w:rsidR="000B7285">
        <w:t xml:space="preserve"> </w:t>
      </w:r>
      <w:r w:rsidR="005239CD">
        <w:t>parts of the integrated project.</w:t>
      </w:r>
      <w:r w:rsidR="00151767" w:rsidDel="00981C4B">
        <w:t xml:space="preserve"> </w:t>
      </w:r>
      <w:r w:rsidR="005215D4">
        <w:t xml:space="preserve">The </w:t>
      </w:r>
      <w:r w:rsidR="003B7FBC">
        <w:t xml:space="preserve">result </w:t>
      </w:r>
      <w:r w:rsidR="00B91221">
        <w:t>of this undervaluation of the economic rents in the underlying resource</w:t>
      </w:r>
      <w:r w:rsidR="005215D4">
        <w:t xml:space="preserve"> i</w:t>
      </w:r>
      <w:r w:rsidR="00B132BC">
        <w:t>s</w:t>
      </w:r>
      <w:r w:rsidR="005215D4">
        <w:t xml:space="preserve"> </w:t>
      </w:r>
      <w:r w:rsidR="009B145C">
        <w:t>th</w:t>
      </w:r>
      <w:r w:rsidR="00C015F3">
        <w:t xml:space="preserve">at </w:t>
      </w:r>
      <w:r w:rsidR="00646CFB">
        <w:t xml:space="preserve">PRRT receipts </w:t>
      </w:r>
      <w:r w:rsidR="00CE0FC3">
        <w:t xml:space="preserve">collected on behalf of the Australian community from LNG projects </w:t>
      </w:r>
      <w:r w:rsidR="00881D15">
        <w:t xml:space="preserve">are </w:t>
      </w:r>
      <w:r w:rsidR="005215D4">
        <w:t>both delayed and significantly</w:t>
      </w:r>
      <w:r w:rsidR="006D4C5A">
        <w:t xml:space="preserve"> less than should be the case.</w:t>
      </w:r>
    </w:p>
    <w:p w14:paraId="6F1EF867" w14:textId="7ED057B8" w:rsidR="00DE40CE" w:rsidRPr="00DE40CE" w:rsidRDefault="00DE40CE" w:rsidP="00DE40CE">
      <w:r w:rsidRPr="00DE40CE">
        <w:t xml:space="preserve">Treasury analysis </w:t>
      </w:r>
      <w:r w:rsidR="00073ABA">
        <w:t>concludes</w:t>
      </w:r>
      <w:r w:rsidRPr="00DE40CE">
        <w:t xml:space="preserve"> that</w:t>
      </w:r>
      <w:r w:rsidR="0020751C">
        <w:t xml:space="preserve"> e</w:t>
      </w:r>
      <w:r w:rsidRPr="00DE40CE">
        <w:t>conomic rents</w:t>
      </w:r>
      <w:r w:rsidR="00EA11C0">
        <w:t>, to the extent that they exist in projects</w:t>
      </w:r>
      <w:r w:rsidR="00DA16D1">
        <w:t>,</w:t>
      </w:r>
      <w:r w:rsidRPr="00DE40CE">
        <w:t xml:space="preserve"> derive </w:t>
      </w:r>
      <w:r w:rsidR="00DA16D1">
        <w:t>largely</w:t>
      </w:r>
      <w:r w:rsidRPr="00DE40CE">
        <w:t xml:space="preserve"> from the underlying gas resource (upstream)</w:t>
      </w:r>
      <w:r w:rsidR="0020751C">
        <w:t xml:space="preserve">. </w:t>
      </w:r>
      <w:r w:rsidR="00A32595">
        <w:t xml:space="preserve">While </w:t>
      </w:r>
      <w:r w:rsidR="00A32595" w:rsidRPr="00DE40CE">
        <w:t>rents</w:t>
      </w:r>
      <w:r w:rsidRPr="00DE40CE">
        <w:t xml:space="preserve"> </w:t>
      </w:r>
      <w:r w:rsidR="0020751C">
        <w:t>may</w:t>
      </w:r>
      <w:r w:rsidRPr="00DE40CE">
        <w:t xml:space="preserve"> exist in</w:t>
      </w:r>
      <w:r w:rsidR="00672A25">
        <w:t xml:space="preserve"> the</w:t>
      </w:r>
      <w:r w:rsidRPr="00DE40CE">
        <w:t xml:space="preserve"> downstream </w:t>
      </w:r>
      <w:r w:rsidR="00672A25">
        <w:t xml:space="preserve">in some projects at times, </w:t>
      </w:r>
      <w:r w:rsidR="0062098E">
        <w:t xml:space="preserve">they </w:t>
      </w:r>
      <w:r w:rsidR="0042211C">
        <w:t>likely</w:t>
      </w:r>
      <w:r w:rsidR="0062098E">
        <w:t xml:space="preserve"> do not exist in </w:t>
      </w:r>
      <w:r w:rsidRPr="00DE40CE">
        <w:t xml:space="preserve">in every project or for the life of </w:t>
      </w:r>
      <w:r w:rsidR="00A947C9">
        <w:t>every</w:t>
      </w:r>
      <w:r w:rsidRPr="00DE40CE">
        <w:t xml:space="preserve"> project.</w:t>
      </w:r>
      <w:r w:rsidR="00884A08">
        <w:t xml:space="preserve"> </w:t>
      </w:r>
      <w:r w:rsidR="0012298E" w:rsidRPr="00DE40CE">
        <w:t>Downstream processes</w:t>
      </w:r>
      <w:r w:rsidR="00AD3302">
        <w:t xml:space="preserve"> and management of the associated risks</w:t>
      </w:r>
      <w:r w:rsidR="0012298E" w:rsidRPr="00DE40CE">
        <w:t xml:space="preserve"> may capture economic rents in some circumstances</w:t>
      </w:r>
      <w:r w:rsidR="00D259F1" w:rsidRPr="00DE40CE">
        <w:t>,</w:t>
      </w:r>
      <w:r w:rsidR="0012298E">
        <w:t xml:space="preserve"> but those same downstream proc</w:t>
      </w:r>
      <w:r w:rsidR="008573EE">
        <w:t>ess</w:t>
      </w:r>
      <w:r w:rsidR="00132220">
        <w:t>es</w:t>
      </w:r>
      <w:r w:rsidR="008573EE">
        <w:t xml:space="preserve"> can </w:t>
      </w:r>
      <w:r w:rsidR="00614154">
        <w:t xml:space="preserve">erode </w:t>
      </w:r>
      <w:r w:rsidR="003F21EE">
        <w:t xml:space="preserve">project </w:t>
      </w:r>
      <w:r w:rsidR="00614154">
        <w:t>rents through</w:t>
      </w:r>
      <w:r w:rsidR="007A12D1">
        <w:t xml:space="preserve"> </w:t>
      </w:r>
      <w:r w:rsidRPr="00DE40CE">
        <w:t>construction cost overruns</w:t>
      </w:r>
      <w:r w:rsidR="002764EB">
        <w:t>,</w:t>
      </w:r>
      <w:r w:rsidRPr="00DE40CE">
        <w:t xml:space="preserve"> which has </w:t>
      </w:r>
      <w:r w:rsidR="00C94355">
        <w:t xml:space="preserve">occurred in </w:t>
      </w:r>
      <w:r w:rsidR="00A36F1E">
        <w:t>most</w:t>
      </w:r>
      <w:r w:rsidR="003F21EE">
        <w:t xml:space="preserve"> Australian LNG projects. </w:t>
      </w:r>
      <w:r w:rsidRPr="00DE40CE">
        <w:t>The risks associated with notional downstream owner</w:t>
      </w:r>
      <w:r w:rsidR="00E456AA">
        <w:t>ship</w:t>
      </w:r>
      <w:r w:rsidRPr="00DE40CE">
        <w:t xml:space="preserve"> can be </w:t>
      </w:r>
      <w:r w:rsidR="00246CD8">
        <w:t>accounted for</w:t>
      </w:r>
      <w:r w:rsidR="00246CD8" w:rsidRPr="00DE40CE">
        <w:t xml:space="preserve"> </w:t>
      </w:r>
      <w:r w:rsidRPr="00DE40CE">
        <w:t xml:space="preserve">via a </w:t>
      </w:r>
      <w:r w:rsidR="0077054B">
        <w:t>commercial</w:t>
      </w:r>
      <w:r w:rsidRPr="00DE40CE">
        <w:t xml:space="preserve"> </w:t>
      </w:r>
      <w:r w:rsidR="00014B3C">
        <w:t>risk</w:t>
      </w:r>
      <w:r w:rsidR="00C3304B">
        <w:t>-</w:t>
      </w:r>
      <w:r w:rsidR="00014B3C">
        <w:t>adjusted</w:t>
      </w:r>
      <w:r w:rsidRPr="00DE40CE">
        <w:t xml:space="preserve"> return </w:t>
      </w:r>
      <w:r w:rsidR="00014B3C">
        <w:t>in the PRRT,</w:t>
      </w:r>
      <w:r w:rsidRPr="00DE40CE">
        <w:t xml:space="preserve"> </w:t>
      </w:r>
      <w:r w:rsidR="0077054B">
        <w:t xml:space="preserve">rather than </w:t>
      </w:r>
      <w:r w:rsidR="000762C1">
        <w:t xml:space="preserve">a share in the excess profits. </w:t>
      </w:r>
      <w:r w:rsidR="009A6B05">
        <w:t xml:space="preserve">Put another way, the </w:t>
      </w:r>
      <w:r w:rsidRPr="00DE40CE">
        <w:t xml:space="preserve">management of risk is not a contribution that generates </w:t>
      </w:r>
      <w:r w:rsidR="00CA2C15">
        <w:t xml:space="preserve">economic </w:t>
      </w:r>
      <w:r w:rsidRPr="00DE40CE">
        <w:t>rents.</w:t>
      </w:r>
      <w:r w:rsidR="00321AA4" w:rsidRPr="00321AA4">
        <w:t xml:space="preserve"> </w:t>
      </w:r>
      <w:r w:rsidR="000360CB" w:rsidRPr="000360CB">
        <w:t>Treasury considers that integration, shared assumption of risks and value</w:t>
      </w:r>
      <w:r w:rsidR="00C31DAC">
        <w:t>-</w:t>
      </w:r>
      <w:r w:rsidR="000360CB" w:rsidRPr="000360CB">
        <w:t>add at every stage should generally be rewarded by a consistent commercial risk-weighted rate of return on the project rather than a residual profit split.</w:t>
      </w:r>
    </w:p>
    <w:p w14:paraId="42B9EB4E" w14:textId="6774BFD3" w:rsidR="00EA6AC8" w:rsidRDefault="00DE40CE" w:rsidP="004C03B8">
      <w:r w:rsidRPr="00DE40CE">
        <w:t xml:space="preserve">Industry argues the downstream </w:t>
      </w:r>
      <w:r w:rsidR="008A081E">
        <w:t xml:space="preserve">in integrated projects </w:t>
      </w:r>
      <w:r w:rsidRPr="00DE40CE">
        <w:t>deserves more than a commercial return because</w:t>
      </w:r>
      <w:r w:rsidR="00CF1DEE">
        <w:t xml:space="preserve"> </w:t>
      </w:r>
      <w:r w:rsidR="00E71297">
        <w:t xml:space="preserve">these </w:t>
      </w:r>
      <w:r w:rsidR="008A081E">
        <w:t>projects</w:t>
      </w:r>
      <w:r w:rsidR="00FD4E28">
        <w:t xml:space="preserve"> are also interdependen</w:t>
      </w:r>
      <w:r w:rsidR="007E10A0">
        <w:t>t</w:t>
      </w:r>
      <w:r w:rsidR="00E71297">
        <w:t>:</w:t>
      </w:r>
      <w:r w:rsidR="007E10A0">
        <w:t xml:space="preserve"> </w:t>
      </w:r>
      <w:r w:rsidR="00CF1DEE">
        <w:t>w</w:t>
      </w:r>
      <w:r w:rsidRPr="00DE40CE">
        <w:t>ithout the downstream there is no access to foreign markets (and higher international prices)</w:t>
      </w:r>
      <w:r w:rsidR="0029736D">
        <w:t>,</w:t>
      </w:r>
      <w:r w:rsidRPr="00DE40CE">
        <w:t xml:space="preserve"> and so residual profits should be shared</w:t>
      </w:r>
      <w:r w:rsidR="0029736D">
        <w:t xml:space="preserve"> </w:t>
      </w:r>
      <w:r w:rsidR="0035338D">
        <w:t>equally</w:t>
      </w:r>
      <w:r w:rsidRPr="00DE40CE">
        <w:t>.</w:t>
      </w:r>
      <w:r w:rsidR="00F07112">
        <w:t xml:space="preserve"> </w:t>
      </w:r>
      <w:r w:rsidR="00124FB3">
        <w:t>Industry’s</w:t>
      </w:r>
      <w:r w:rsidR="00F07112">
        <w:t xml:space="preserve"> view is that t</w:t>
      </w:r>
      <w:r w:rsidRPr="00DE40CE">
        <w:t xml:space="preserve">he liquefaction plant and associated engineering and </w:t>
      </w:r>
      <w:r w:rsidR="000A5616">
        <w:t>intellectual property (IP)</w:t>
      </w:r>
      <w:r w:rsidRPr="00DE40CE">
        <w:t xml:space="preserve"> know</w:t>
      </w:r>
      <w:r w:rsidR="00C31DAC">
        <w:t>-</w:t>
      </w:r>
      <w:r w:rsidRPr="00DE40CE">
        <w:t xml:space="preserve">how are </w:t>
      </w:r>
      <w:r w:rsidR="009575A0">
        <w:t xml:space="preserve">also </w:t>
      </w:r>
      <w:r w:rsidRPr="00DE40CE">
        <w:t xml:space="preserve">unique and valuable assets that create value beyond a </w:t>
      </w:r>
      <w:r w:rsidR="00E61E9C">
        <w:t xml:space="preserve">normal </w:t>
      </w:r>
      <w:r w:rsidRPr="00DE40CE">
        <w:t>commercial return.</w:t>
      </w:r>
      <w:r w:rsidR="002C4F1F">
        <w:t xml:space="preserve"> </w:t>
      </w:r>
      <w:r w:rsidRPr="00DE40CE">
        <w:t>The</w:t>
      </w:r>
      <w:r w:rsidR="00F07112">
        <w:t>y maintain that the</w:t>
      </w:r>
      <w:r w:rsidRPr="00DE40CE">
        <w:t xml:space="preserve"> risks associated with marketing and selling LNG are significant and the downstream business </w:t>
      </w:r>
      <w:r w:rsidR="00D61554">
        <w:t>des</w:t>
      </w:r>
      <w:r w:rsidR="0010135C">
        <w:t>er</w:t>
      </w:r>
      <w:r w:rsidR="00D61554">
        <w:t>ves</w:t>
      </w:r>
      <w:r w:rsidRPr="00DE40CE">
        <w:t xml:space="preserve"> more than a</w:t>
      </w:r>
      <w:r w:rsidR="007262DD">
        <w:t>n</w:t>
      </w:r>
      <w:r w:rsidRPr="00DE40CE">
        <w:t xml:space="preserve"> infrastructure owner/utility provider commercial return. </w:t>
      </w:r>
    </w:p>
    <w:p w14:paraId="42E8D9AE" w14:textId="4422B3C6" w:rsidR="000360CB" w:rsidRDefault="005D4803" w:rsidP="000360CB">
      <w:r>
        <w:t xml:space="preserve">Treasury </w:t>
      </w:r>
      <w:r w:rsidR="00923FD7">
        <w:t>has formed the view that</w:t>
      </w:r>
      <w:r w:rsidR="00BB6B5C">
        <w:t xml:space="preserve"> </w:t>
      </w:r>
      <w:r w:rsidR="00E1475F">
        <w:t>while</w:t>
      </w:r>
      <w:r w:rsidR="008D1E52">
        <w:t xml:space="preserve"> aspects of</w:t>
      </w:r>
      <w:r w:rsidR="00033330">
        <w:t xml:space="preserve"> industry argument</w:t>
      </w:r>
      <w:r w:rsidR="00C326BA">
        <w:t>s</w:t>
      </w:r>
      <w:r w:rsidR="00844718">
        <w:t xml:space="preserve"> about economic rent</w:t>
      </w:r>
      <w:r w:rsidR="00D9345D">
        <w:t>s in</w:t>
      </w:r>
      <w:r w:rsidR="00BB6B5C">
        <w:t xml:space="preserve"> </w:t>
      </w:r>
      <w:r w:rsidR="007F7C14">
        <w:t xml:space="preserve">the </w:t>
      </w:r>
      <w:r w:rsidR="00BB6B5C">
        <w:t xml:space="preserve">downstream </w:t>
      </w:r>
      <w:r w:rsidR="00C326BA">
        <w:t>are</w:t>
      </w:r>
      <w:r w:rsidR="00953BEE">
        <w:t xml:space="preserve"> </w:t>
      </w:r>
      <w:r w:rsidR="002A18A7">
        <w:t>acknowledged</w:t>
      </w:r>
      <w:r w:rsidR="008A1D64">
        <w:t xml:space="preserve">, a </w:t>
      </w:r>
      <w:r w:rsidR="008A1D64" w:rsidRPr="004C03B8">
        <w:t>50</w:t>
      </w:r>
      <w:r w:rsidR="00E310C9">
        <w:t>:</w:t>
      </w:r>
      <w:r w:rsidR="008A1D64" w:rsidRPr="004C03B8">
        <w:t>50 residual profit split attributes too much rent to the downstream contribution</w:t>
      </w:r>
      <w:r w:rsidR="008A1D64">
        <w:t>. T</w:t>
      </w:r>
      <w:r w:rsidR="004C03B8" w:rsidRPr="004C03B8">
        <w:t>he role of the residual profit method is to identify the source of the residual (excess) profits.</w:t>
      </w:r>
      <w:r w:rsidR="00467244">
        <w:t xml:space="preserve"> </w:t>
      </w:r>
      <w:r w:rsidR="004C03B8" w:rsidRPr="004C03B8">
        <w:t>While the downstream may contribute</w:t>
      </w:r>
      <w:r w:rsidR="00B83BC2">
        <w:t xml:space="preserve"> to the generation of economic rents</w:t>
      </w:r>
      <w:r w:rsidR="004C03B8" w:rsidRPr="004C03B8">
        <w:t xml:space="preserve"> in some </w:t>
      </w:r>
      <w:r w:rsidR="00FB5CB4">
        <w:t>circumstances</w:t>
      </w:r>
      <w:r w:rsidR="004C03B8" w:rsidRPr="004C03B8">
        <w:t xml:space="preserve">, </w:t>
      </w:r>
      <w:r w:rsidR="00083C5B">
        <w:t xml:space="preserve">a key finding is that </w:t>
      </w:r>
      <w:r w:rsidR="004C03B8" w:rsidRPr="004C03B8">
        <w:t>the RPM does not include the value of the resource as an upstream input</w:t>
      </w:r>
      <w:r w:rsidR="005A5B61">
        <w:t xml:space="preserve"> cost</w:t>
      </w:r>
      <w:r w:rsidR="000360CB">
        <w:t xml:space="preserve">. </w:t>
      </w:r>
      <w:r w:rsidR="00701C19">
        <w:t>The attribution of economic rents</w:t>
      </w:r>
      <w:r w:rsidR="00105FA2">
        <w:t xml:space="preserve"> should </w:t>
      </w:r>
      <w:r w:rsidR="008D7770">
        <w:t xml:space="preserve">therefore </w:t>
      </w:r>
      <w:r w:rsidR="005575DA">
        <w:t>be weighted more towards the</w:t>
      </w:r>
      <w:r w:rsidR="00105FA2">
        <w:t xml:space="preserve"> </w:t>
      </w:r>
      <w:r w:rsidR="00A734D5">
        <w:t>upstream process</w:t>
      </w:r>
      <w:r w:rsidR="002716A2">
        <w:t>.</w:t>
      </w:r>
      <w:r w:rsidR="000360CB">
        <w:t xml:space="preserve"> </w:t>
      </w:r>
    </w:p>
    <w:p w14:paraId="34B6F996" w14:textId="12008F3A" w:rsidR="005A5238" w:rsidRDefault="00210275" w:rsidP="00871A4E">
      <w:r>
        <w:t>A</w:t>
      </w:r>
      <w:r w:rsidR="00340ACB">
        <w:t xml:space="preserve">bsent other factors, </w:t>
      </w:r>
      <w:r w:rsidR="00D21309">
        <w:t>Treasury recommends</w:t>
      </w:r>
      <w:r w:rsidR="00B94167">
        <w:t xml:space="preserve"> </w:t>
      </w:r>
      <w:r w:rsidR="0022688C">
        <w:t xml:space="preserve">that </w:t>
      </w:r>
      <w:r w:rsidR="005875E5">
        <w:t xml:space="preserve">the </w:t>
      </w:r>
      <w:r w:rsidR="00D1791C">
        <w:t>GTP Regulation</w:t>
      </w:r>
      <w:r w:rsidR="005875E5">
        <w:t xml:space="preserve"> be</w:t>
      </w:r>
      <w:r w:rsidR="00B954EC" w:rsidDel="00FF5349">
        <w:t xml:space="preserve"> </w:t>
      </w:r>
      <w:r w:rsidR="00FF5349">
        <w:t xml:space="preserve">modified </w:t>
      </w:r>
      <w:r w:rsidR="006C3FA4">
        <w:t xml:space="preserve">to </w:t>
      </w:r>
      <w:r w:rsidR="004E55AB">
        <w:t xml:space="preserve">attribute more of </w:t>
      </w:r>
      <w:r w:rsidR="00E778D4">
        <w:t>the</w:t>
      </w:r>
      <w:r w:rsidR="00E22974">
        <w:t xml:space="preserve"> economic rent</w:t>
      </w:r>
      <w:r w:rsidR="00F16AB9">
        <w:t>s to the resource</w:t>
      </w:r>
      <w:r w:rsidR="00443A65">
        <w:t xml:space="preserve">. This </w:t>
      </w:r>
      <w:r w:rsidR="00315A75">
        <w:t>c</w:t>
      </w:r>
      <w:r w:rsidR="00443A65">
        <w:t xml:space="preserve">ould be </w:t>
      </w:r>
      <w:r w:rsidR="008B25AE">
        <w:t xml:space="preserve">achieved </w:t>
      </w:r>
      <w:r w:rsidR="009644E4">
        <w:t>in</w:t>
      </w:r>
      <w:r w:rsidR="008B25AE">
        <w:t xml:space="preserve"> </w:t>
      </w:r>
      <w:r w:rsidR="003E0F6C">
        <w:t xml:space="preserve">one of two </w:t>
      </w:r>
      <w:r w:rsidR="009644E4">
        <w:t xml:space="preserve">ways. The first option </w:t>
      </w:r>
      <w:r w:rsidR="00315A75">
        <w:t>is to</w:t>
      </w:r>
      <w:r w:rsidR="00F16AB9">
        <w:t xml:space="preserve"> </w:t>
      </w:r>
      <w:r w:rsidR="00B94167">
        <w:t>replac</w:t>
      </w:r>
      <w:r w:rsidR="00315A75">
        <w:t>e</w:t>
      </w:r>
      <w:r w:rsidR="00B94167">
        <w:t xml:space="preserve"> the RPM with a netback </w:t>
      </w:r>
      <w:r w:rsidR="00467A05">
        <w:t>only</w:t>
      </w:r>
      <w:r w:rsidR="00B94167">
        <w:t xml:space="preserve"> pricing method.</w:t>
      </w:r>
      <w:r w:rsidR="00F9029E">
        <w:t xml:space="preserve"> </w:t>
      </w:r>
      <w:r w:rsidR="007455C3">
        <w:t>The</w:t>
      </w:r>
      <w:r w:rsidR="00F6556E">
        <w:t xml:space="preserve"> </w:t>
      </w:r>
      <w:r w:rsidR="008F620B">
        <w:t>n</w:t>
      </w:r>
      <w:r w:rsidR="00F6556E">
        <w:t>etback</w:t>
      </w:r>
      <w:r w:rsidR="00467A05">
        <w:t xml:space="preserve"> only</w:t>
      </w:r>
      <w:r w:rsidR="00F6556E">
        <w:t xml:space="preserve"> methodology</w:t>
      </w:r>
      <w:r w:rsidR="002618EA">
        <w:t xml:space="preserve"> is already a component part of the</w:t>
      </w:r>
      <w:r w:rsidR="004626A2">
        <w:t xml:space="preserve"> </w:t>
      </w:r>
      <w:r w:rsidR="00DA7817">
        <w:t xml:space="preserve">existing </w:t>
      </w:r>
      <w:r w:rsidR="004626A2">
        <w:t>RPM</w:t>
      </w:r>
      <w:r w:rsidR="00D215EC">
        <w:t xml:space="preserve"> and </w:t>
      </w:r>
      <w:r w:rsidR="000A238D">
        <w:t xml:space="preserve">is widely used in taxation and commercial settings for resource valuation </w:t>
      </w:r>
      <w:r w:rsidR="007C2FC5">
        <w:t xml:space="preserve">in a value chain where </w:t>
      </w:r>
      <w:r w:rsidR="009F267F">
        <w:t xml:space="preserve">there is no </w:t>
      </w:r>
      <w:r w:rsidR="007C2FC5">
        <w:t>commercial transaction</w:t>
      </w:r>
      <w:r w:rsidR="009F267F">
        <w:t>.</w:t>
      </w:r>
      <w:r w:rsidR="007C2FC5">
        <w:t xml:space="preserve"> </w:t>
      </w:r>
      <w:r w:rsidR="0000434B">
        <w:t xml:space="preserve">This approach would attribute all of the </w:t>
      </w:r>
      <w:r w:rsidR="002F1E1B">
        <w:t>residual profits</w:t>
      </w:r>
      <w:r w:rsidR="0000434B">
        <w:t xml:space="preserve"> to the upstream</w:t>
      </w:r>
      <w:r w:rsidR="00690960">
        <w:t>, consistent with the view that the source of economic rents is in the underlying resource and</w:t>
      </w:r>
      <w:r w:rsidR="0000434B">
        <w:t xml:space="preserve"> that</w:t>
      </w:r>
      <w:r w:rsidR="00BF2A9F">
        <w:t xml:space="preserve"> </w:t>
      </w:r>
      <w:r w:rsidR="00DF3C2E">
        <w:t xml:space="preserve">downstream </w:t>
      </w:r>
      <w:r w:rsidR="007C2FC5">
        <w:t xml:space="preserve">operations of the LNG value chain </w:t>
      </w:r>
      <w:r w:rsidR="00B30A9B">
        <w:t xml:space="preserve">do not </w:t>
      </w:r>
      <w:r w:rsidR="00DF3C2E">
        <w:t>consistently generate</w:t>
      </w:r>
      <w:r w:rsidR="007C2FC5">
        <w:t xml:space="preserve"> rent</w:t>
      </w:r>
      <w:r w:rsidR="00007B1F">
        <w:t>s</w:t>
      </w:r>
      <w:r w:rsidR="00DF3C2E">
        <w:t xml:space="preserve"> in all projects</w:t>
      </w:r>
      <w:r w:rsidR="007C2FC5">
        <w:t xml:space="preserve">. </w:t>
      </w:r>
      <w:r w:rsidR="005A5238">
        <w:t xml:space="preserve">If the netback only method was to be adopted, the existing ‘Advance Pricing Arrangement’ (APA) method would remain the avenue for companies where they can demonstrate that economic rent is created by downstream operations. This would allow projects to enter into bespoke arrangements that reflect their particular circumstances. </w:t>
      </w:r>
    </w:p>
    <w:p w14:paraId="35E7A680" w14:textId="77777777" w:rsidR="003631A4" w:rsidRDefault="00634878" w:rsidP="00871A4E">
      <w:r>
        <w:t>The</w:t>
      </w:r>
      <w:r w:rsidR="00393FD7">
        <w:t xml:space="preserve"> other option is </w:t>
      </w:r>
      <w:r w:rsidR="00315A75">
        <w:t>to</w:t>
      </w:r>
      <w:r w:rsidR="00315A75" w:rsidRPr="00BD4A19">
        <w:t xml:space="preserve"> </w:t>
      </w:r>
      <w:r w:rsidR="00315A75">
        <w:t xml:space="preserve">modify the RPM by </w:t>
      </w:r>
      <w:r w:rsidR="00F53C45">
        <w:t xml:space="preserve">adjusting </w:t>
      </w:r>
      <w:r w:rsidR="00315A75">
        <w:t xml:space="preserve">the existing profit split between the upstream and downstream parts of the integrated project. This </w:t>
      </w:r>
      <w:r w:rsidR="00F53C45">
        <w:t>adjustment would</w:t>
      </w:r>
      <w:r w:rsidR="00393FD7">
        <w:t xml:space="preserve"> </w:t>
      </w:r>
      <w:r w:rsidR="00282ACC">
        <w:t>attribute</w:t>
      </w:r>
      <w:r w:rsidR="002C41B6">
        <w:t xml:space="preserve"> a small</w:t>
      </w:r>
      <w:r w:rsidR="006C598C">
        <w:t>er</w:t>
      </w:r>
      <w:r w:rsidR="002C41B6">
        <w:t xml:space="preserve"> allocation </w:t>
      </w:r>
      <w:r w:rsidR="009F7812">
        <w:t xml:space="preserve">of </w:t>
      </w:r>
      <w:r w:rsidR="00D36439">
        <w:t>residual profits</w:t>
      </w:r>
      <w:r w:rsidR="009F7812">
        <w:t xml:space="preserve"> to the </w:t>
      </w:r>
      <w:r w:rsidR="00F6049F">
        <w:t xml:space="preserve">untaxed </w:t>
      </w:r>
      <w:r w:rsidR="009F7812">
        <w:t>downstream</w:t>
      </w:r>
      <w:r w:rsidR="00854D29">
        <w:t xml:space="preserve"> </w:t>
      </w:r>
      <w:r w:rsidR="009313CB">
        <w:t>operation</w:t>
      </w:r>
      <w:r w:rsidR="00376908">
        <w:t>s</w:t>
      </w:r>
      <w:r w:rsidR="00E64CDA">
        <w:t xml:space="preserve"> in all projects</w:t>
      </w:r>
      <w:r w:rsidR="005F2539">
        <w:t>,</w:t>
      </w:r>
      <w:r w:rsidR="00376908" w:rsidDel="005F2539">
        <w:t xml:space="preserve"> </w:t>
      </w:r>
      <w:r w:rsidR="00420D28">
        <w:t>reflect</w:t>
      </w:r>
      <w:r w:rsidR="00F53C45">
        <w:t>ing</w:t>
      </w:r>
      <w:r w:rsidR="00420D28">
        <w:t xml:space="preserve"> </w:t>
      </w:r>
      <w:r w:rsidR="00445B6C">
        <w:t>the</w:t>
      </w:r>
      <w:r w:rsidR="00237F2F">
        <w:t xml:space="preserve"> view that</w:t>
      </w:r>
      <w:r w:rsidR="00F85560">
        <w:t xml:space="preserve"> </w:t>
      </w:r>
      <w:r w:rsidR="003A2AB9">
        <w:t xml:space="preserve">while the primary source of economic rents is in the underlying resource, </w:t>
      </w:r>
      <w:r w:rsidR="00F85560">
        <w:t>an</w:t>
      </w:r>
      <w:r w:rsidR="00445B6C">
        <w:t xml:space="preserve"> inconsistent </w:t>
      </w:r>
      <w:r w:rsidR="001705EC">
        <w:t xml:space="preserve">level of </w:t>
      </w:r>
      <w:r w:rsidR="00386567">
        <w:t>economic rents</w:t>
      </w:r>
      <w:r w:rsidR="003A40B0">
        <w:t xml:space="preserve"> </w:t>
      </w:r>
      <w:r w:rsidR="001705EC">
        <w:t xml:space="preserve">may be </w:t>
      </w:r>
      <w:r w:rsidR="00927C33">
        <w:t>generated</w:t>
      </w:r>
      <w:r w:rsidR="005C00EF">
        <w:t xml:space="preserve"> </w:t>
      </w:r>
      <w:r w:rsidR="00F90937">
        <w:t xml:space="preserve">for some projects </w:t>
      </w:r>
      <w:r w:rsidR="005C00EF">
        <w:t>in the</w:t>
      </w:r>
      <w:r w:rsidR="00F90937">
        <w:t>ir</w:t>
      </w:r>
      <w:r w:rsidR="005C00EF">
        <w:t xml:space="preserve"> downstream</w:t>
      </w:r>
      <w:r w:rsidR="00F90937">
        <w:t xml:space="preserve"> activities</w:t>
      </w:r>
      <w:r w:rsidR="005C00EF">
        <w:t>.</w:t>
      </w:r>
      <w:r>
        <w:t xml:space="preserve"> </w:t>
      </w:r>
    </w:p>
    <w:p w14:paraId="273EE1AD" w14:textId="394C0EFC" w:rsidR="00B94167" w:rsidRPr="00430E41" w:rsidRDefault="00644CE7" w:rsidP="00871A4E">
      <w:r>
        <w:lastRenderedPageBreak/>
        <w:t xml:space="preserve">While </w:t>
      </w:r>
      <w:r w:rsidR="008D3B34">
        <w:t xml:space="preserve">both options would potentially raise the overall </w:t>
      </w:r>
      <w:r w:rsidR="008C0E22">
        <w:t xml:space="preserve">level of </w:t>
      </w:r>
      <w:r w:rsidR="008D3B34">
        <w:t>PRRT liabil</w:t>
      </w:r>
      <w:r w:rsidR="00FF3090">
        <w:t xml:space="preserve">ities over the life of </w:t>
      </w:r>
      <w:r w:rsidR="002430BE">
        <w:t>some projects</w:t>
      </w:r>
      <w:r w:rsidR="00394FDC">
        <w:t xml:space="preserve"> and reduce </w:t>
      </w:r>
      <w:r w:rsidR="003469C5">
        <w:t>project re</w:t>
      </w:r>
      <w:r w:rsidR="002065A4">
        <w:t xml:space="preserve">turns to </w:t>
      </w:r>
      <w:r w:rsidR="0090754F">
        <w:t>investors</w:t>
      </w:r>
      <w:r w:rsidR="002430BE">
        <w:t xml:space="preserve">, </w:t>
      </w:r>
      <w:r w:rsidR="00484472">
        <w:t xml:space="preserve">the </w:t>
      </w:r>
      <w:r w:rsidR="00AF14B3">
        <w:t>revised RPM</w:t>
      </w:r>
      <w:r w:rsidR="00837AFD">
        <w:t xml:space="preserve"> would </w:t>
      </w:r>
      <w:r w:rsidR="003A2AB9">
        <w:t xml:space="preserve">also </w:t>
      </w:r>
      <w:r w:rsidR="00837AFD">
        <w:t xml:space="preserve">have a less detrimental effect on new </w:t>
      </w:r>
      <w:r w:rsidR="00535B73">
        <w:t>project investment decisions</w:t>
      </w:r>
      <w:r w:rsidR="001A449B">
        <w:t xml:space="preserve"> and provide greater certainty to industry as a safe harbour</w:t>
      </w:r>
      <w:r w:rsidR="00C7314A">
        <w:t>.</w:t>
      </w:r>
      <w:r w:rsidR="001A449B">
        <w:t xml:space="preserve"> </w:t>
      </w:r>
      <w:r w:rsidR="00C30710">
        <w:t>I</w:t>
      </w:r>
      <w:r w:rsidR="001A449B">
        <w:t>t</w:t>
      </w:r>
      <w:r w:rsidR="00C30710">
        <w:t xml:space="preserve"> would</w:t>
      </w:r>
      <w:r w:rsidR="001A449B">
        <w:t xml:space="preserve"> avoid the need for complex and time-consuming APAs to be negotiated with the</w:t>
      </w:r>
      <w:r w:rsidR="00F9029E">
        <w:t xml:space="preserve"> </w:t>
      </w:r>
      <w:r w:rsidR="00D301E8">
        <w:t>Commissioner</w:t>
      </w:r>
      <w:r w:rsidR="00B2426E">
        <w:t xml:space="preserve"> </w:t>
      </w:r>
      <w:r w:rsidR="003F5984">
        <w:t>of Taxation</w:t>
      </w:r>
      <w:r w:rsidR="00D301E8">
        <w:t>.</w:t>
      </w:r>
      <w:r w:rsidR="00F9029E">
        <w:t xml:space="preserve"> </w:t>
      </w:r>
    </w:p>
    <w:p w14:paraId="4A312BF2" w14:textId="7CACF992" w:rsidR="003937EA" w:rsidRDefault="00CC6239" w:rsidP="00871A4E">
      <w:r>
        <w:t>The Cal</w:t>
      </w:r>
      <w:r w:rsidR="009370A9">
        <w:t>laghan Review estimated that</w:t>
      </w:r>
      <w:r>
        <w:t xml:space="preserve"> </w:t>
      </w:r>
      <w:r w:rsidR="00A05EB8">
        <w:t xml:space="preserve">changing the </w:t>
      </w:r>
      <w:r w:rsidR="00D1791C">
        <w:t>GTP Regulation</w:t>
      </w:r>
      <w:r w:rsidR="00A05EB8">
        <w:t xml:space="preserve"> to</w:t>
      </w:r>
      <w:r w:rsidR="00FC2BC0">
        <w:t xml:space="preserve"> </w:t>
      </w:r>
      <w:r w:rsidR="00A05EB8">
        <w:t xml:space="preserve">a netback only approach would result in an additional $89 </w:t>
      </w:r>
      <w:r w:rsidR="002D73A8">
        <w:t>b</w:t>
      </w:r>
      <w:r w:rsidR="00A05EB8">
        <w:t>illion to 2050</w:t>
      </w:r>
      <w:r w:rsidR="00CD3DA8">
        <w:t xml:space="preserve">. </w:t>
      </w:r>
      <w:r w:rsidR="00542A2F">
        <w:t>However, v</w:t>
      </w:r>
      <w:r w:rsidR="00C24A9A">
        <w:t xml:space="preserve">ariations in </w:t>
      </w:r>
      <w:r w:rsidR="001036F4">
        <w:t>oil</w:t>
      </w:r>
      <w:r w:rsidR="00C24A9A">
        <w:t xml:space="preserve"> </w:t>
      </w:r>
      <w:r w:rsidR="001036F4">
        <w:t>p</w:t>
      </w:r>
      <w:r w:rsidR="00C24A9A">
        <w:t>rice</w:t>
      </w:r>
      <w:r w:rsidR="001036F4">
        <w:t>s</w:t>
      </w:r>
      <w:r w:rsidR="003F3720">
        <w:t xml:space="preserve"> which </w:t>
      </w:r>
      <w:r w:rsidR="008E1D92">
        <w:t>most</w:t>
      </w:r>
      <w:r w:rsidR="003F3720">
        <w:t xml:space="preserve"> LNG contracts are</w:t>
      </w:r>
      <w:r w:rsidR="006E5576">
        <w:t xml:space="preserve"> linked</w:t>
      </w:r>
      <w:r w:rsidR="003F3720">
        <w:t xml:space="preserve"> to</w:t>
      </w:r>
      <w:r w:rsidR="00C24A9A">
        <w:t>,</w:t>
      </w:r>
      <w:r w:rsidR="00855480">
        <w:t xml:space="preserve"> higher </w:t>
      </w:r>
      <w:r w:rsidR="00B42217">
        <w:t xml:space="preserve">construction </w:t>
      </w:r>
      <w:r w:rsidR="00206BA1">
        <w:t>costs,</w:t>
      </w:r>
      <w:r w:rsidR="00C24A9A">
        <w:t xml:space="preserve"> </w:t>
      </w:r>
      <w:r w:rsidR="00A13CF2">
        <w:t xml:space="preserve">and </w:t>
      </w:r>
      <w:r w:rsidR="00C24A9A">
        <w:t xml:space="preserve">continued </w:t>
      </w:r>
      <w:r w:rsidR="00204A6F">
        <w:t xml:space="preserve">compounding </w:t>
      </w:r>
      <w:r w:rsidR="00C24A9A">
        <w:t xml:space="preserve">of </w:t>
      </w:r>
      <w:r w:rsidR="00855480">
        <w:t>deductions</w:t>
      </w:r>
      <w:r w:rsidR="00C24A9A">
        <w:t xml:space="preserve"> since</w:t>
      </w:r>
      <w:r w:rsidR="00C24A9A" w:rsidDel="00891DE3">
        <w:t xml:space="preserve"> </w:t>
      </w:r>
      <w:r w:rsidR="000836FB">
        <w:t xml:space="preserve">the </w:t>
      </w:r>
      <w:r w:rsidR="00C751DE">
        <w:t>modelling undertaken</w:t>
      </w:r>
      <w:r w:rsidR="000836FB">
        <w:t xml:space="preserve"> by </w:t>
      </w:r>
      <w:r w:rsidR="00C751DE">
        <w:t>the</w:t>
      </w:r>
      <w:r w:rsidR="000836FB">
        <w:t xml:space="preserve"> Callaghan</w:t>
      </w:r>
      <w:r w:rsidR="00C24A9A" w:rsidDel="000F4BA4">
        <w:t xml:space="preserve"> </w:t>
      </w:r>
      <w:r w:rsidR="00C751DE">
        <w:t>Review</w:t>
      </w:r>
      <w:r w:rsidR="00C24A9A" w:rsidDel="000F4BA4">
        <w:t xml:space="preserve"> </w:t>
      </w:r>
      <w:r w:rsidR="00040782">
        <w:t xml:space="preserve">mean that </w:t>
      </w:r>
      <w:r w:rsidR="00D71F05">
        <w:t xml:space="preserve">similar </w:t>
      </w:r>
      <w:r w:rsidR="00E14135">
        <w:t xml:space="preserve">policy </w:t>
      </w:r>
      <w:r w:rsidR="00652B11">
        <w:t xml:space="preserve">changes </w:t>
      </w:r>
      <w:r w:rsidR="00D3171B">
        <w:t xml:space="preserve">outlined in this </w:t>
      </w:r>
      <w:r w:rsidR="000F72D4">
        <w:t>R</w:t>
      </w:r>
      <w:r w:rsidR="00D3171B">
        <w:t xml:space="preserve">eview would not have as significant an impact as </w:t>
      </w:r>
      <w:r w:rsidR="00A52F05">
        <w:t xml:space="preserve">previously </w:t>
      </w:r>
      <w:r w:rsidR="00253C09">
        <w:t>forecast</w:t>
      </w:r>
      <w:r w:rsidR="003937EA">
        <w:t>.</w:t>
      </w:r>
    </w:p>
    <w:p w14:paraId="2FA08BB4" w14:textId="419A8F92" w:rsidR="00CA65DA" w:rsidRDefault="003937EA" w:rsidP="00871A4E">
      <w:r>
        <w:t>Structural</w:t>
      </w:r>
      <w:r w:rsidR="00B439BE">
        <w:t xml:space="preserve"> change</w:t>
      </w:r>
      <w:r>
        <w:t>s</w:t>
      </w:r>
      <w:r w:rsidR="00B439BE">
        <w:t xml:space="preserve"> to the </w:t>
      </w:r>
      <w:r w:rsidR="00D1791C">
        <w:t>GTP Regulation</w:t>
      </w:r>
      <w:r w:rsidR="00133699">
        <w:t xml:space="preserve"> </w:t>
      </w:r>
      <w:r w:rsidR="00FB2778" w:rsidRPr="00FB2778">
        <w:t xml:space="preserve">would be expected to lift </w:t>
      </w:r>
      <w:r w:rsidR="00B92FF0" w:rsidRPr="00FB2778">
        <w:t>over</w:t>
      </w:r>
      <w:r w:rsidR="00B92FF0">
        <w:t>all</w:t>
      </w:r>
      <w:r w:rsidR="00FB2778" w:rsidRPr="00FB2778">
        <w:t xml:space="preserve"> PRRT revenue collections under </w:t>
      </w:r>
      <w:r w:rsidR="008F1595">
        <w:t>a range of oil price</w:t>
      </w:r>
      <w:r w:rsidR="00FB2778" w:rsidRPr="00FB2778">
        <w:t xml:space="preserve"> assumptions</w:t>
      </w:r>
      <w:r w:rsidR="00B439BE" w:rsidRPr="00AD73FC">
        <w:t xml:space="preserve">. </w:t>
      </w:r>
      <w:r w:rsidR="00090BBC" w:rsidRPr="00AD73FC">
        <w:t>U</w:t>
      </w:r>
      <w:r w:rsidR="00222603" w:rsidRPr="00AD73FC">
        <w:t>sing</w:t>
      </w:r>
      <w:r w:rsidR="00D92595" w:rsidRPr="00AD73FC">
        <w:t xml:space="preserve"> </w:t>
      </w:r>
      <w:r w:rsidR="0046318C">
        <w:t xml:space="preserve">an </w:t>
      </w:r>
      <w:r w:rsidR="0050634E" w:rsidRPr="00AD73FC">
        <w:t>oil price</w:t>
      </w:r>
      <w:r w:rsidR="008F2B35" w:rsidRPr="00AD73FC">
        <w:t xml:space="preserve"> </w:t>
      </w:r>
      <w:r w:rsidR="0046318C">
        <w:t xml:space="preserve">assumption of </w:t>
      </w:r>
      <w:r w:rsidR="00845A04" w:rsidRPr="00AD73FC">
        <w:t>US</w:t>
      </w:r>
      <w:r w:rsidR="00A457E4" w:rsidRPr="00AD73FC">
        <w:t>$7</w:t>
      </w:r>
      <w:r w:rsidR="006C3AFA" w:rsidRPr="00AD73FC">
        <w:t>2.</w:t>
      </w:r>
      <w:r w:rsidR="00A457E4" w:rsidRPr="00AD73FC">
        <w:t>7</w:t>
      </w:r>
      <w:r w:rsidR="00845A04" w:rsidRPr="00AD73FC">
        <w:t>0</w:t>
      </w:r>
      <w:r w:rsidR="00FF521E" w:rsidRPr="00AD73FC">
        <w:t xml:space="preserve"> </w:t>
      </w:r>
      <w:r w:rsidR="00722F4B" w:rsidRPr="00AD73FC">
        <w:t>W</w:t>
      </w:r>
      <w:r w:rsidR="00006A28" w:rsidRPr="00AD73FC">
        <w:t xml:space="preserve">est Texas Intermediate indexed by CPI beyond </w:t>
      </w:r>
      <w:r w:rsidR="0042231F" w:rsidRPr="00AD73FC">
        <w:t>2026-27</w:t>
      </w:r>
      <w:r w:rsidR="0050634E" w:rsidRPr="00AD73FC">
        <w:t>,</w:t>
      </w:r>
      <w:r w:rsidR="00090BBC" w:rsidRPr="00AD73FC">
        <w:t xml:space="preserve"> </w:t>
      </w:r>
      <w:r w:rsidR="006F542B" w:rsidRPr="00AD73FC">
        <w:t xml:space="preserve">Treasury </w:t>
      </w:r>
      <w:r w:rsidR="00E11B14" w:rsidRPr="00AD73FC">
        <w:t>analysis</w:t>
      </w:r>
      <w:r w:rsidR="00DE04C1" w:rsidRPr="00AD73FC">
        <w:t xml:space="preserve"> </w:t>
      </w:r>
      <w:r w:rsidR="003145AA" w:rsidRPr="00AD73FC">
        <w:t>estimates that changi</w:t>
      </w:r>
      <w:r w:rsidR="00670F8D" w:rsidRPr="00AD73FC">
        <w:t>ng</w:t>
      </w:r>
      <w:r w:rsidR="003145AA" w:rsidRPr="00AD73FC">
        <w:t xml:space="preserve"> </w:t>
      </w:r>
      <w:r w:rsidR="002D19F0" w:rsidRPr="00AD73FC">
        <w:t>the RPM</w:t>
      </w:r>
      <w:r w:rsidR="00670F8D" w:rsidRPr="00AD73FC">
        <w:t xml:space="preserve"> to a netback</w:t>
      </w:r>
      <w:r w:rsidR="002D19F0" w:rsidRPr="00AD73FC">
        <w:t xml:space="preserve"> </w:t>
      </w:r>
      <w:r w:rsidR="008D74F2" w:rsidRPr="00AD73FC">
        <w:t>only method</w:t>
      </w:r>
      <w:r w:rsidR="008E1C2E" w:rsidRPr="00AD73FC">
        <w:t xml:space="preserve">, in concert with </w:t>
      </w:r>
      <w:r w:rsidR="00304BFA" w:rsidRPr="00AD73FC">
        <w:t>several complementary changes to the RPM calculation,</w:t>
      </w:r>
      <w:r w:rsidR="002D19F0" w:rsidRPr="00AD73FC">
        <w:t xml:space="preserve"> c</w:t>
      </w:r>
      <w:r w:rsidR="00670F8D" w:rsidRPr="00AD73FC">
        <w:t>ould</w:t>
      </w:r>
      <w:r w:rsidR="002D19F0" w:rsidRPr="00AD73FC">
        <w:t xml:space="preserve"> result</w:t>
      </w:r>
      <w:r w:rsidR="0090023F" w:rsidRPr="00AD73FC">
        <w:t xml:space="preserve"> </w:t>
      </w:r>
      <w:r w:rsidR="00A0708D" w:rsidRPr="00AD73FC">
        <w:t xml:space="preserve">in </w:t>
      </w:r>
      <w:r w:rsidR="0090023F" w:rsidRPr="00AD73FC">
        <w:t xml:space="preserve">an increase in PRRT </w:t>
      </w:r>
      <w:r w:rsidR="007E26B6" w:rsidRPr="00AD73FC">
        <w:t xml:space="preserve">receipts </w:t>
      </w:r>
      <w:r w:rsidR="0090023F" w:rsidRPr="00AD73FC">
        <w:t xml:space="preserve">of </w:t>
      </w:r>
      <w:r w:rsidR="00C145A0" w:rsidRPr="00AD73FC">
        <w:t xml:space="preserve">around </w:t>
      </w:r>
      <w:r w:rsidR="0090023F" w:rsidRPr="00AD73FC">
        <w:t>$</w:t>
      </w:r>
      <w:r w:rsidR="008B5293" w:rsidRPr="00AD73FC">
        <w:t>4</w:t>
      </w:r>
      <w:r w:rsidR="0090023F" w:rsidRPr="00AD73FC">
        <w:t xml:space="preserve"> billion </w:t>
      </w:r>
      <w:r w:rsidR="00903E35">
        <w:t>over the period</w:t>
      </w:r>
      <w:r w:rsidR="00A375C9" w:rsidRPr="00AD73FC">
        <w:t xml:space="preserve"> to 2033-34</w:t>
      </w:r>
      <w:r w:rsidR="0090023F" w:rsidRPr="00AD73FC">
        <w:t xml:space="preserve"> </w:t>
      </w:r>
      <w:r w:rsidR="00EF7E4F" w:rsidRPr="00AD73FC">
        <w:t xml:space="preserve">and </w:t>
      </w:r>
      <w:r w:rsidR="00D5744D" w:rsidRPr="00AD73FC">
        <w:t xml:space="preserve">around </w:t>
      </w:r>
      <w:r w:rsidR="00D8657D" w:rsidRPr="00AD73FC">
        <w:t>$</w:t>
      </w:r>
      <w:r w:rsidR="00260EF2" w:rsidRPr="00AD73FC">
        <w:t>16</w:t>
      </w:r>
      <w:r w:rsidR="00260EF2">
        <w:t> </w:t>
      </w:r>
      <w:r w:rsidR="00D8657D" w:rsidRPr="00AD73FC">
        <w:t>billion over the period to 20</w:t>
      </w:r>
      <w:r w:rsidR="002A4409" w:rsidRPr="00AD73FC">
        <w:t>49-</w:t>
      </w:r>
      <w:r w:rsidR="00C13AED" w:rsidRPr="00AD73FC">
        <w:t>50</w:t>
      </w:r>
      <w:r w:rsidR="007407C3" w:rsidRPr="00AD73FC">
        <w:t xml:space="preserve"> </w:t>
      </w:r>
      <w:r w:rsidR="00024BC5" w:rsidRPr="00AD73FC">
        <w:t xml:space="preserve">for </w:t>
      </w:r>
      <w:r w:rsidR="0048426B" w:rsidRPr="00AD73FC">
        <w:t>existing LNG</w:t>
      </w:r>
      <w:r w:rsidR="00151767" w:rsidRPr="00AD73FC">
        <w:t xml:space="preserve"> </w:t>
      </w:r>
      <w:r w:rsidR="00DC0442" w:rsidRPr="00AD73FC">
        <w:t>projects</w:t>
      </w:r>
      <w:r w:rsidR="0090023F" w:rsidRPr="00AD73FC">
        <w:t>.</w:t>
      </w:r>
      <w:r w:rsidR="00531F7A" w:rsidRPr="00AD73FC">
        <w:t xml:space="preserve"> </w:t>
      </w:r>
      <w:r w:rsidR="00EA6187">
        <w:t xml:space="preserve">Modifying the RPM to an 80:20 profit split </w:t>
      </w:r>
      <w:r w:rsidR="00B72021">
        <w:t xml:space="preserve">could increase </w:t>
      </w:r>
      <w:r w:rsidR="00F46C7B">
        <w:t xml:space="preserve">PRRT </w:t>
      </w:r>
      <w:r w:rsidR="00B72021">
        <w:t xml:space="preserve">receipts </w:t>
      </w:r>
      <w:r w:rsidR="00F46C7B">
        <w:t xml:space="preserve">by </w:t>
      </w:r>
      <w:r w:rsidR="00C82BB5">
        <w:t>over</w:t>
      </w:r>
      <w:r w:rsidR="00F46C7B">
        <w:t xml:space="preserve"> $2 billion </w:t>
      </w:r>
      <w:r w:rsidR="00F0096C">
        <w:t>over the period</w:t>
      </w:r>
      <w:r w:rsidR="00F46C7B">
        <w:t xml:space="preserve"> to 2033-34 and around</w:t>
      </w:r>
      <w:r w:rsidR="00EA6187">
        <w:t xml:space="preserve"> </w:t>
      </w:r>
      <w:r w:rsidR="004F1CB7">
        <w:t>$10</w:t>
      </w:r>
      <w:r w:rsidR="00B64D42">
        <w:t> </w:t>
      </w:r>
      <w:r w:rsidR="004F1CB7">
        <w:t xml:space="preserve">billion in total </w:t>
      </w:r>
      <w:r w:rsidR="00F0096C">
        <w:t>over the period</w:t>
      </w:r>
      <w:r w:rsidR="004F1CB7">
        <w:t xml:space="preserve"> to 20</w:t>
      </w:r>
      <w:r w:rsidR="004573B4">
        <w:t>49-</w:t>
      </w:r>
      <w:r w:rsidR="004F1CB7">
        <w:t xml:space="preserve">50. </w:t>
      </w:r>
      <w:r w:rsidR="00531F7A">
        <w:t>It is important to emphasis</w:t>
      </w:r>
      <w:r w:rsidR="00A7703C">
        <w:t>e</w:t>
      </w:r>
      <w:r w:rsidR="00531F7A">
        <w:t xml:space="preserve"> that such estimates are not forecasts</w:t>
      </w:r>
      <w:r w:rsidR="0010524A">
        <w:t>,</w:t>
      </w:r>
      <w:r w:rsidR="0090023F">
        <w:t xml:space="preserve"> </w:t>
      </w:r>
      <w:r w:rsidR="00905730">
        <w:t>as PRRT revenue is highly dependent</w:t>
      </w:r>
      <w:r w:rsidR="002A2F9B">
        <w:t xml:space="preserve"> on </w:t>
      </w:r>
      <w:r w:rsidR="00A34BE4">
        <w:t xml:space="preserve">the </w:t>
      </w:r>
      <w:r w:rsidR="002A2F9B">
        <w:t xml:space="preserve">future </w:t>
      </w:r>
      <w:r w:rsidR="00714B37">
        <w:t xml:space="preserve">path of </w:t>
      </w:r>
      <w:r w:rsidR="002A2F9B">
        <w:t>oil and gas prices</w:t>
      </w:r>
      <w:r w:rsidR="00B764B7">
        <w:t xml:space="preserve"> </w:t>
      </w:r>
      <w:r w:rsidR="00017F51">
        <w:t>which is</w:t>
      </w:r>
      <w:r w:rsidR="008828E2">
        <w:t xml:space="preserve"> highly uncertain</w:t>
      </w:r>
      <w:r w:rsidR="00FB5461">
        <w:t>.</w:t>
      </w:r>
      <w:r w:rsidR="003F25E4">
        <w:t xml:space="preserve"> The</w:t>
      </w:r>
      <w:r w:rsidR="00C40008">
        <w:t>se</w:t>
      </w:r>
      <w:r w:rsidR="003F25E4">
        <w:t xml:space="preserve"> estimates </w:t>
      </w:r>
      <w:r w:rsidR="00730756">
        <w:t>are</w:t>
      </w:r>
      <w:r w:rsidR="008A0673">
        <w:t xml:space="preserve"> </w:t>
      </w:r>
      <w:r w:rsidR="00730756">
        <w:t>not</w:t>
      </w:r>
      <w:r w:rsidR="003F25E4">
        <w:t xml:space="preserve"> the equivalent of budget costings as they do not, </w:t>
      </w:r>
      <w:r w:rsidR="00A16250">
        <w:t>for example, take into account other interactions with the tax system.</w:t>
      </w:r>
      <w:r w:rsidR="00151767">
        <w:t xml:space="preserve"> </w:t>
      </w:r>
    </w:p>
    <w:p w14:paraId="092282A7" w14:textId="1F6F43C1" w:rsidR="000205F6" w:rsidRDefault="00B20F5D" w:rsidP="000205F6">
      <w:pPr>
        <w:rPr>
          <w:highlight w:val="green"/>
        </w:rPr>
      </w:pPr>
      <w:r>
        <w:t>Treasury also recommends</w:t>
      </w:r>
      <w:r w:rsidR="00471496">
        <w:t xml:space="preserve"> </w:t>
      </w:r>
      <w:r w:rsidR="00FB7A6B">
        <w:t>clarifying</w:t>
      </w:r>
      <w:r w:rsidR="00471496">
        <w:t xml:space="preserve"> the </w:t>
      </w:r>
      <w:r w:rsidR="002323FD">
        <w:t xml:space="preserve">PRRT settings and </w:t>
      </w:r>
      <w:r w:rsidR="00D1791C">
        <w:t>GTP Regulation</w:t>
      </w:r>
      <w:r w:rsidR="00B93258">
        <w:t xml:space="preserve"> </w:t>
      </w:r>
      <w:r w:rsidR="00471496">
        <w:t xml:space="preserve">for </w:t>
      </w:r>
      <w:r>
        <w:t>‘</w:t>
      </w:r>
      <w:r w:rsidR="000205F6">
        <w:t>tolling</w:t>
      </w:r>
      <w:r>
        <w:t>’</w:t>
      </w:r>
      <w:r w:rsidR="000205F6">
        <w:t xml:space="preserve"> </w:t>
      </w:r>
      <w:r w:rsidR="002323FD">
        <w:t xml:space="preserve">and </w:t>
      </w:r>
      <w:r>
        <w:t>‘</w:t>
      </w:r>
      <w:r w:rsidR="002323FD">
        <w:t>backfill</w:t>
      </w:r>
      <w:r>
        <w:t>’</w:t>
      </w:r>
      <w:r w:rsidR="002323FD">
        <w:t xml:space="preserve"> </w:t>
      </w:r>
      <w:r w:rsidR="000205F6">
        <w:t>arrangements</w:t>
      </w:r>
      <w:r w:rsidR="00471496">
        <w:t xml:space="preserve">. </w:t>
      </w:r>
      <w:r w:rsidR="000205F6">
        <w:t xml:space="preserve">Tolling describes </w:t>
      </w:r>
      <w:r w:rsidR="00024148">
        <w:t xml:space="preserve">an </w:t>
      </w:r>
      <w:r w:rsidR="000205F6">
        <w:t xml:space="preserve">infrastructure </w:t>
      </w:r>
      <w:r w:rsidR="00024148">
        <w:t xml:space="preserve">owner’s </w:t>
      </w:r>
      <w:r w:rsidR="000205F6">
        <w:t>pro</w:t>
      </w:r>
      <w:r w:rsidR="00024148">
        <w:t>vision of liquefaction</w:t>
      </w:r>
      <w:r w:rsidR="00A6459A">
        <w:t xml:space="preserve"> or other infrast</w:t>
      </w:r>
      <w:r w:rsidR="00437558">
        <w:t>ructure services</w:t>
      </w:r>
      <w:r w:rsidR="000205F6">
        <w:t xml:space="preserve"> for a third</w:t>
      </w:r>
      <w:r w:rsidR="003F1035">
        <w:t>-</w:t>
      </w:r>
      <w:r w:rsidR="000205F6">
        <w:t>party</w:t>
      </w:r>
      <w:r w:rsidR="009E1DB1">
        <w:t xml:space="preserve"> resource owner</w:t>
      </w:r>
      <w:r w:rsidR="000205F6">
        <w:t xml:space="preserve">. While the majority of Australia’s </w:t>
      </w:r>
      <w:r w:rsidR="002D0181">
        <w:t xml:space="preserve">existing </w:t>
      </w:r>
      <w:r w:rsidR="000205F6">
        <w:t xml:space="preserve">LNG projects that are subject to PRRT are </w:t>
      </w:r>
      <w:r w:rsidR="00472CA6">
        <w:t xml:space="preserve">fully </w:t>
      </w:r>
      <w:r w:rsidR="000205F6">
        <w:t>integrated</w:t>
      </w:r>
      <w:r w:rsidR="00755D16">
        <w:t>,</w:t>
      </w:r>
      <w:r w:rsidR="000205F6">
        <w:t xml:space="preserve"> it is likely</w:t>
      </w:r>
      <w:r w:rsidR="00980C76">
        <w:t xml:space="preserve"> that</w:t>
      </w:r>
      <w:r w:rsidR="000205F6">
        <w:t xml:space="preserve"> infrastructure and resource ownership will </w:t>
      </w:r>
      <w:r w:rsidR="00924CF4">
        <w:t>increasingly</w:t>
      </w:r>
      <w:r w:rsidR="000205F6">
        <w:t xml:space="preserve"> </w:t>
      </w:r>
      <w:r w:rsidR="00BF2EC3">
        <w:t xml:space="preserve">be </w:t>
      </w:r>
      <w:r w:rsidR="000205F6">
        <w:t xml:space="preserve">separated as </w:t>
      </w:r>
      <w:r w:rsidR="000205F6" w:rsidRPr="008A4447">
        <w:t xml:space="preserve">the LNG industry matures. </w:t>
      </w:r>
      <w:r w:rsidR="007C1976">
        <w:t>Industry has indicated</w:t>
      </w:r>
      <w:r w:rsidR="000205F6" w:rsidRPr="008A4447">
        <w:t xml:space="preserve"> that tolling arrangements will become more prevalent </w:t>
      </w:r>
      <w:r w:rsidR="00131F90">
        <w:t xml:space="preserve">in the future </w:t>
      </w:r>
      <w:r w:rsidR="000205F6" w:rsidRPr="008A4447">
        <w:t xml:space="preserve">to facilitate the processing of new </w:t>
      </w:r>
      <w:r w:rsidR="00DF5D54">
        <w:t xml:space="preserve">gas </w:t>
      </w:r>
      <w:r w:rsidR="000205F6" w:rsidRPr="008A4447">
        <w:t xml:space="preserve">fields </w:t>
      </w:r>
      <w:r w:rsidR="00804FFC">
        <w:t>while minimising the</w:t>
      </w:r>
      <w:r w:rsidR="000205F6" w:rsidRPr="008A4447">
        <w:t xml:space="preserve"> construction of new downstream infrastructure</w:t>
      </w:r>
      <w:r w:rsidR="0044613E">
        <w:t xml:space="preserve"> and </w:t>
      </w:r>
      <w:r w:rsidR="00D567AF">
        <w:t xml:space="preserve">ensuring existing </w:t>
      </w:r>
      <w:r w:rsidR="00606EEF">
        <w:t>liquefaction</w:t>
      </w:r>
      <w:r w:rsidR="00D567AF">
        <w:t xml:space="preserve"> infrastructure </w:t>
      </w:r>
      <w:r w:rsidR="009262F5">
        <w:t>remains utilised</w:t>
      </w:r>
      <w:r w:rsidR="000205F6" w:rsidRPr="008A4447">
        <w:t xml:space="preserve">. </w:t>
      </w:r>
    </w:p>
    <w:p w14:paraId="38FD28F9" w14:textId="2C2C416E" w:rsidR="00CB388B" w:rsidRDefault="00F91D82" w:rsidP="00871A4E">
      <w:r>
        <w:t>Another consideration is</w:t>
      </w:r>
      <w:r w:rsidR="00C80EE8" w:rsidRPr="003349E2">
        <w:t xml:space="preserve"> ensur</w:t>
      </w:r>
      <w:r>
        <w:t>ing</w:t>
      </w:r>
      <w:r w:rsidR="00C80EE8" w:rsidRPr="003349E2">
        <w:t xml:space="preserve"> that </w:t>
      </w:r>
      <w:r w:rsidR="008C49EF" w:rsidRPr="003349E2">
        <w:t>resource</w:t>
      </w:r>
      <w:r w:rsidR="00C80EE8" w:rsidRPr="003349E2">
        <w:t xml:space="preserve"> owners</w:t>
      </w:r>
      <w:r w:rsidR="008C49EF" w:rsidRPr="003349E2">
        <w:t xml:space="preserve"> who </w:t>
      </w:r>
      <w:r w:rsidR="00242808" w:rsidRPr="003349E2">
        <w:t>d</w:t>
      </w:r>
      <w:r w:rsidR="00754074" w:rsidRPr="003349E2">
        <w:t>e</w:t>
      </w:r>
      <w:r w:rsidR="000F2BA2" w:rsidRPr="003349E2">
        <w:t xml:space="preserve">velop new fields </w:t>
      </w:r>
      <w:r w:rsidR="00B56EBD" w:rsidRPr="003349E2">
        <w:t xml:space="preserve">using their own infrastructure are </w:t>
      </w:r>
      <w:r w:rsidR="00482DF4" w:rsidRPr="003349E2">
        <w:t>not advantaged by the existing tax arrangements</w:t>
      </w:r>
      <w:r>
        <w:t xml:space="preserve"> compared with tolling </w:t>
      </w:r>
      <w:r w:rsidR="008E04C5">
        <w:t>arrangements</w:t>
      </w:r>
      <w:r w:rsidR="00482DF4" w:rsidRPr="003349E2">
        <w:t xml:space="preserve">. New discrete fields should </w:t>
      </w:r>
      <w:r w:rsidR="00CA1F39" w:rsidRPr="003349E2">
        <w:t xml:space="preserve">face similar tax </w:t>
      </w:r>
      <w:r w:rsidR="003D02F4" w:rsidRPr="003349E2">
        <w:t>arrangements</w:t>
      </w:r>
      <w:r w:rsidR="00CA1F39" w:rsidRPr="003349E2">
        <w:t xml:space="preserve"> regardless of whether they use a tolling model or are </w:t>
      </w:r>
      <w:r w:rsidR="00CB0A16" w:rsidRPr="003349E2">
        <w:t>otherwise</w:t>
      </w:r>
      <w:r w:rsidR="007A400E" w:rsidRPr="003349E2">
        <w:t xml:space="preserve"> incorporated into </w:t>
      </w:r>
      <w:r w:rsidR="003D02F4" w:rsidRPr="003349E2">
        <w:t>project infrastructure</w:t>
      </w:r>
      <w:r w:rsidR="007A400E" w:rsidRPr="003349E2">
        <w:t>.</w:t>
      </w:r>
      <w:r w:rsidR="003D02F4" w:rsidRPr="003349E2">
        <w:t xml:space="preserve"> </w:t>
      </w:r>
      <w:r w:rsidR="00D1581A">
        <w:t>The PRRT is a project-based tax and losses</w:t>
      </w:r>
      <w:r w:rsidR="008E04C5">
        <w:t xml:space="preserve">, </w:t>
      </w:r>
      <w:r w:rsidR="00272DC9">
        <w:t>except for</w:t>
      </w:r>
      <w:r w:rsidR="008E04C5">
        <w:t xml:space="preserve"> exploration, are</w:t>
      </w:r>
      <w:r w:rsidR="006279E8">
        <w:t xml:space="preserve"> not transferable from unprofitable to profitable </w:t>
      </w:r>
      <w:r w:rsidR="008E04C5">
        <w:t xml:space="preserve">projects. </w:t>
      </w:r>
      <w:r w:rsidR="003D02F4" w:rsidRPr="003349E2">
        <w:t xml:space="preserve">Treasury recommends </w:t>
      </w:r>
      <w:r w:rsidR="0054470C">
        <w:t>consultation</w:t>
      </w:r>
      <w:r w:rsidR="0043193D">
        <w:t xml:space="preserve"> with </w:t>
      </w:r>
      <w:r w:rsidR="00D14D83">
        <w:t>the broader oil and gas industry</w:t>
      </w:r>
      <w:r w:rsidR="0009555E" w:rsidDel="00D14D83">
        <w:t xml:space="preserve"> </w:t>
      </w:r>
      <w:r w:rsidR="0009555E">
        <w:t xml:space="preserve">to establish whether </w:t>
      </w:r>
      <w:r w:rsidR="003D02F4" w:rsidRPr="003349E2">
        <w:t xml:space="preserve">the </w:t>
      </w:r>
      <w:r w:rsidR="00CB0A16" w:rsidRPr="003349E2">
        <w:t xml:space="preserve">project </w:t>
      </w:r>
      <w:r w:rsidR="003D02F4" w:rsidRPr="003349E2">
        <w:t xml:space="preserve">combination rules be revisited </w:t>
      </w:r>
      <w:r w:rsidR="007E1EEB">
        <w:t>with a view</w:t>
      </w:r>
      <w:r w:rsidR="003D02F4" w:rsidRPr="003349E2">
        <w:t xml:space="preserve"> to strengthen</w:t>
      </w:r>
      <w:r w:rsidR="007E1EEB">
        <w:t>ing</w:t>
      </w:r>
      <w:r w:rsidR="003D02F4" w:rsidRPr="003349E2">
        <w:t xml:space="preserve"> </w:t>
      </w:r>
      <w:r w:rsidR="00CB0A16" w:rsidRPr="003349E2">
        <w:t>the requirement for new resources to be treated as separate projects</w:t>
      </w:r>
      <w:r w:rsidR="0056026D">
        <w:t xml:space="preserve">. </w:t>
      </w:r>
      <w:r w:rsidR="00A53C5A">
        <w:t>In the LNG context t</w:t>
      </w:r>
      <w:r w:rsidR="0056026D">
        <w:t xml:space="preserve">his </w:t>
      </w:r>
      <w:r w:rsidR="00A53C5A">
        <w:t xml:space="preserve">may be </w:t>
      </w:r>
      <w:r w:rsidR="0056026D">
        <w:t>necessary</w:t>
      </w:r>
      <w:r w:rsidR="00E044BE" w:rsidRPr="003349E2">
        <w:t xml:space="preserve"> </w:t>
      </w:r>
      <w:r w:rsidR="00CB0A16" w:rsidRPr="003349E2">
        <w:t xml:space="preserve">to stop </w:t>
      </w:r>
      <w:r w:rsidR="004C0284" w:rsidRPr="003349E2">
        <w:t>losses associated with one pro</w:t>
      </w:r>
      <w:r w:rsidR="007A4E57" w:rsidRPr="003349E2">
        <w:t xml:space="preserve">duction licence and associated </w:t>
      </w:r>
      <w:r w:rsidR="009B5810" w:rsidRPr="003349E2">
        <w:t>infrastructure</w:t>
      </w:r>
      <w:r w:rsidR="004C0284" w:rsidRPr="003349E2">
        <w:t xml:space="preserve"> from being </w:t>
      </w:r>
      <w:r w:rsidR="004C7065">
        <w:t xml:space="preserve">able to be </w:t>
      </w:r>
      <w:r w:rsidR="004C0284" w:rsidRPr="003349E2">
        <w:t>offset against revenue from another field</w:t>
      </w:r>
      <w:r w:rsidR="005962BD">
        <w:t>. T</w:t>
      </w:r>
      <w:r w:rsidR="004373EF">
        <w:t xml:space="preserve">he </w:t>
      </w:r>
      <w:r w:rsidR="00842D79">
        <w:t>introduction of a deductions cap</w:t>
      </w:r>
      <w:r w:rsidR="00C11FE2">
        <w:t xml:space="preserve"> (discussed below)</w:t>
      </w:r>
      <w:r w:rsidR="00842D79">
        <w:t xml:space="preserve"> would also </w:t>
      </w:r>
      <w:r w:rsidR="005962BD">
        <w:t>limit the use of such deductions</w:t>
      </w:r>
      <w:r w:rsidR="00CB28B7">
        <w:t xml:space="preserve">. The effect of combination certificate rules </w:t>
      </w:r>
      <w:r w:rsidR="00743E76">
        <w:t>has become a more significant issue</w:t>
      </w:r>
      <w:r w:rsidR="00115D70">
        <w:t xml:space="preserve"> with the emerg</w:t>
      </w:r>
      <w:r w:rsidR="00F4661E">
        <w:t xml:space="preserve">ence of the LNG industry given </w:t>
      </w:r>
      <w:r w:rsidR="00C50F8A">
        <w:t>the increased potential for project losses to compound indefinitely</w:t>
      </w:r>
      <w:r w:rsidR="00D83894">
        <w:t xml:space="preserve">, thus shielding future </w:t>
      </w:r>
      <w:r w:rsidR="004B7359">
        <w:t>projects from PRRT liabilities</w:t>
      </w:r>
      <w:r w:rsidR="00C50F8A">
        <w:t>.</w:t>
      </w:r>
      <w:r w:rsidR="00280BFC">
        <w:t xml:space="preserve"> </w:t>
      </w:r>
    </w:p>
    <w:p w14:paraId="06110E0B" w14:textId="6C2BF51A" w:rsidR="00FE4BCC" w:rsidRPr="003349E2" w:rsidRDefault="00EA1F22" w:rsidP="00871A4E">
      <w:r>
        <w:lastRenderedPageBreak/>
        <w:t xml:space="preserve">In making </w:t>
      </w:r>
      <w:r w:rsidR="000E3FF4">
        <w:t xml:space="preserve">any changes to the </w:t>
      </w:r>
      <w:r w:rsidR="002A6133">
        <w:t>project combination rules</w:t>
      </w:r>
      <w:r w:rsidR="00F04C87">
        <w:t>,</w:t>
      </w:r>
      <w:r>
        <w:t xml:space="preserve"> </w:t>
      </w:r>
      <w:r w:rsidR="00891C49">
        <w:t>consideration should be given to</w:t>
      </w:r>
      <w:r w:rsidR="00BC1B8C">
        <w:t xml:space="preserve"> </w:t>
      </w:r>
      <w:r w:rsidR="00A655D1">
        <w:t xml:space="preserve">several practical and administrative </w:t>
      </w:r>
      <w:r w:rsidR="00273CFB">
        <w:t xml:space="preserve">difficulties that </w:t>
      </w:r>
      <w:r w:rsidR="00280E12">
        <w:t>i</w:t>
      </w:r>
      <w:r w:rsidR="003926DE">
        <w:t xml:space="preserve">ndustry </w:t>
      </w:r>
      <w:r w:rsidR="002930FF">
        <w:t xml:space="preserve">participants </w:t>
      </w:r>
      <w:r w:rsidR="003926DE">
        <w:t>ha</w:t>
      </w:r>
      <w:r w:rsidR="002930FF">
        <w:t>ve</w:t>
      </w:r>
      <w:r w:rsidR="003926DE">
        <w:t xml:space="preserve"> </w:t>
      </w:r>
      <w:r w:rsidR="00FA19FA">
        <w:t xml:space="preserve">submitted </w:t>
      </w:r>
      <w:r w:rsidR="00273CFB">
        <w:t xml:space="preserve">would exist if </w:t>
      </w:r>
      <w:r w:rsidR="00E610E4">
        <w:t xml:space="preserve">projects </w:t>
      </w:r>
      <w:r w:rsidR="00E74D90">
        <w:t>could not combine</w:t>
      </w:r>
      <w:r w:rsidR="000F54C3">
        <w:t>.</w:t>
      </w:r>
      <w:r w:rsidR="006C5E01">
        <w:rPr>
          <w:rStyle w:val="FootnoteReference"/>
        </w:rPr>
        <w:footnoteReference w:id="4"/>
      </w:r>
      <w:r w:rsidR="001B7DD5">
        <w:t xml:space="preserve"> </w:t>
      </w:r>
    </w:p>
    <w:p w14:paraId="1766490D" w14:textId="2631FC75" w:rsidR="009B6048" w:rsidRDefault="0064420A" w:rsidP="00745A71">
      <w:r w:rsidRPr="003349E2">
        <w:t xml:space="preserve">This </w:t>
      </w:r>
      <w:r w:rsidR="000F72D4">
        <w:t>R</w:t>
      </w:r>
      <w:r w:rsidRPr="003349E2">
        <w:t xml:space="preserve">eview </w:t>
      </w:r>
      <w:r w:rsidR="000A1A70" w:rsidRPr="003349E2">
        <w:t>consult</w:t>
      </w:r>
      <w:r w:rsidR="005043A0" w:rsidRPr="003349E2">
        <w:t>ed extensively</w:t>
      </w:r>
      <w:r w:rsidRPr="003349E2">
        <w:t xml:space="preserve"> with </w:t>
      </w:r>
      <w:r w:rsidR="009D311F">
        <w:t xml:space="preserve">LNG </w:t>
      </w:r>
      <w:r w:rsidRPr="003349E2">
        <w:t>industry</w:t>
      </w:r>
      <w:r w:rsidR="000A1A70" w:rsidRPr="003349E2">
        <w:t xml:space="preserve"> participants</w:t>
      </w:r>
      <w:r w:rsidRPr="003349E2">
        <w:t xml:space="preserve"> and </w:t>
      </w:r>
      <w:r w:rsidR="000A1A70" w:rsidRPr="003349E2">
        <w:t xml:space="preserve">other interested parties </w:t>
      </w:r>
      <w:r w:rsidRPr="003349E2">
        <w:t xml:space="preserve">over </w:t>
      </w:r>
      <w:r w:rsidR="00576827" w:rsidRPr="003349E2">
        <w:t>several</w:t>
      </w:r>
      <w:r w:rsidRPr="003349E2">
        <w:t xml:space="preserve"> years and processes</w:t>
      </w:r>
      <w:r w:rsidR="005043A0" w:rsidRPr="003349E2">
        <w:t xml:space="preserve">, beginning with </w:t>
      </w:r>
      <w:r w:rsidRPr="003349E2">
        <w:t xml:space="preserve">the Callaghan Review. </w:t>
      </w:r>
      <w:r w:rsidR="0036294F">
        <w:t>I</w:t>
      </w:r>
      <w:r w:rsidR="00B439BE" w:rsidRPr="003349E2">
        <w:t>ndustry has</w:t>
      </w:r>
      <w:r w:rsidR="00195D8A">
        <w:t xml:space="preserve"> </w:t>
      </w:r>
      <w:r w:rsidR="00BD78FB">
        <w:t xml:space="preserve">largely </w:t>
      </w:r>
      <w:r w:rsidR="004709DB">
        <w:t>maintained</w:t>
      </w:r>
      <w:r w:rsidR="00F741DC">
        <w:t xml:space="preserve"> </w:t>
      </w:r>
      <w:r w:rsidR="00BD78FB">
        <w:t>its</w:t>
      </w:r>
      <w:r w:rsidR="004709DB">
        <w:t xml:space="preserve"> position </w:t>
      </w:r>
      <w:r w:rsidR="00002C33">
        <w:t xml:space="preserve">that </w:t>
      </w:r>
      <w:r w:rsidR="00F902EF">
        <w:t>no changes should be made</w:t>
      </w:r>
      <w:r w:rsidR="00B439BE" w:rsidRPr="003349E2">
        <w:t xml:space="preserve"> to the </w:t>
      </w:r>
      <w:r w:rsidR="009B6048" w:rsidRPr="003349E2">
        <w:t xml:space="preserve">existing GTP </w:t>
      </w:r>
      <w:r w:rsidR="00D73F01">
        <w:t>rules</w:t>
      </w:r>
      <w:r w:rsidR="00DF3C2E" w:rsidRPr="003349E2">
        <w:t xml:space="preserve">, </w:t>
      </w:r>
      <w:r w:rsidR="00A0708D" w:rsidRPr="003349E2">
        <w:t>argu</w:t>
      </w:r>
      <w:r w:rsidR="000A1A70" w:rsidRPr="003349E2">
        <w:t xml:space="preserve">ing that the PRRT is </w:t>
      </w:r>
      <w:r w:rsidR="00551FBD" w:rsidRPr="003349E2">
        <w:t>operating as intended</w:t>
      </w:r>
      <w:r w:rsidR="00612468" w:rsidRPr="003349E2">
        <w:t xml:space="preserve"> </w:t>
      </w:r>
      <w:r w:rsidR="001325AB" w:rsidRPr="003349E2">
        <w:t>in its application to LNG</w:t>
      </w:r>
      <w:r w:rsidR="00A60CBC">
        <w:t xml:space="preserve"> and </w:t>
      </w:r>
      <w:r w:rsidR="00331415">
        <w:t xml:space="preserve">that </w:t>
      </w:r>
      <w:r w:rsidR="000A1A70">
        <w:t xml:space="preserve">current settings </w:t>
      </w:r>
      <w:r w:rsidR="00A60CBC">
        <w:t>are the</w:t>
      </w:r>
      <w:r w:rsidR="00B439BE">
        <w:t xml:space="preserve"> best </w:t>
      </w:r>
      <w:r w:rsidR="009B6048">
        <w:t xml:space="preserve">fit </w:t>
      </w:r>
      <w:r w:rsidR="00551FBD">
        <w:t xml:space="preserve">for future </w:t>
      </w:r>
      <w:r w:rsidR="000A1A70">
        <w:t>LNG</w:t>
      </w:r>
      <w:r w:rsidR="00551FBD">
        <w:t xml:space="preserve"> developments</w:t>
      </w:r>
      <w:r w:rsidR="00A60CBC">
        <w:t xml:space="preserve"> involving brownfield expansion and backfill projects.</w:t>
      </w:r>
      <w:r w:rsidR="008D5E10">
        <w:t xml:space="preserve"> I</w:t>
      </w:r>
      <w:r w:rsidR="005A0D1D">
        <w:t>ndustry</w:t>
      </w:r>
      <w:r w:rsidR="008D5E10">
        <w:t xml:space="preserve"> highlighted that </w:t>
      </w:r>
      <w:r w:rsidR="00E502A8">
        <w:t xml:space="preserve">the current GTP </w:t>
      </w:r>
      <w:r w:rsidR="00294CF5">
        <w:t>r</w:t>
      </w:r>
      <w:r w:rsidR="00D73F01">
        <w:t>ules</w:t>
      </w:r>
      <w:r w:rsidR="00E502A8">
        <w:t>, which resulted</w:t>
      </w:r>
      <w:r w:rsidR="00DE612A">
        <w:t xml:space="preserve"> from a</w:t>
      </w:r>
      <w:r w:rsidR="008D5E10">
        <w:t xml:space="preserve"> co-design process </w:t>
      </w:r>
      <w:r w:rsidR="003522B7">
        <w:t xml:space="preserve">between government and </w:t>
      </w:r>
      <w:r w:rsidR="00A3761C">
        <w:t>industry participants</w:t>
      </w:r>
      <w:r w:rsidR="0016435F">
        <w:t xml:space="preserve"> </w:t>
      </w:r>
      <w:r w:rsidR="00CB7F50">
        <w:t xml:space="preserve">that </w:t>
      </w:r>
      <w:r w:rsidR="00A77C7B">
        <w:t>ran from the mid-1990s to the early 2000s</w:t>
      </w:r>
      <w:r w:rsidR="0074642F">
        <w:t>,</w:t>
      </w:r>
      <w:r w:rsidR="008D5E10">
        <w:t xml:space="preserve"> remain </w:t>
      </w:r>
      <w:r w:rsidR="00FD1AD7">
        <w:t>fit for purpose</w:t>
      </w:r>
      <w:r w:rsidR="00026C13">
        <w:t>,</w:t>
      </w:r>
      <w:r w:rsidR="002657B4">
        <w:t xml:space="preserve"> as </w:t>
      </w:r>
      <w:r w:rsidR="00832689">
        <w:t>do the principles</w:t>
      </w:r>
      <w:r w:rsidR="002657B4">
        <w:t xml:space="preserve"> </w:t>
      </w:r>
      <w:r w:rsidR="00310886">
        <w:t xml:space="preserve">and assumptions </w:t>
      </w:r>
      <w:r w:rsidR="00026C13">
        <w:t>that underpinned</w:t>
      </w:r>
      <w:r w:rsidR="00294CF5">
        <w:t xml:space="preserve"> them.</w:t>
      </w:r>
      <w:r w:rsidR="00151767">
        <w:t xml:space="preserve"> </w:t>
      </w:r>
      <w:r w:rsidR="00520D7F">
        <w:t xml:space="preserve">Some </w:t>
      </w:r>
      <w:r w:rsidR="008A6CEF">
        <w:t>i</w:t>
      </w:r>
      <w:r w:rsidR="009B6048">
        <w:t>ndustry</w:t>
      </w:r>
      <w:r w:rsidR="003E7032">
        <w:t xml:space="preserve"> </w:t>
      </w:r>
      <w:r w:rsidR="008A6CEF">
        <w:t xml:space="preserve">participants </w:t>
      </w:r>
      <w:r w:rsidR="0027698C">
        <w:t>submit that</w:t>
      </w:r>
      <w:r w:rsidR="00C844B3">
        <w:t xml:space="preserve"> although some projects </w:t>
      </w:r>
      <w:r w:rsidR="00732FDD">
        <w:t>will never pay PRRT</w:t>
      </w:r>
      <w:r w:rsidR="00C56BD7">
        <w:t xml:space="preserve"> under existing settings</w:t>
      </w:r>
      <w:r w:rsidR="003B0CC8">
        <w:t>,</w:t>
      </w:r>
      <w:r w:rsidR="00222492">
        <w:t xml:space="preserve"> even with high LNG prices</w:t>
      </w:r>
      <w:r w:rsidR="00A10265">
        <w:t>,</w:t>
      </w:r>
      <w:r w:rsidR="009B6048">
        <w:t xml:space="preserve"> the </w:t>
      </w:r>
      <w:r w:rsidR="00037C09">
        <w:t xml:space="preserve">collections </w:t>
      </w:r>
      <w:r w:rsidR="00C733A8">
        <w:t xml:space="preserve">from </w:t>
      </w:r>
      <w:r w:rsidR="00DF3C2E">
        <w:t>corporate income tax</w:t>
      </w:r>
      <w:r w:rsidR="0006291C">
        <w:t xml:space="preserve"> </w:t>
      </w:r>
      <w:r w:rsidR="008F6AF1">
        <w:t>(</w:t>
      </w:r>
      <w:r w:rsidR="0006291C">
        <w:t>whi</w:t>
      </w:r>
      <w:r w:rsidR="003307E5">
        <w:t>ch ha</w:t>
      </w:r>
      <w:r w:rsidR="00C733A8">
        <w:t>s</w:t>
      </w:r>
      <w:r w:rsidR="003307E5">
        <w:t xml:space="preserve"> a more significant impact on investment</w:t>
      </w:r>
      <w:r w:rsidR="00B940B8">
        <w:t xml:space="preserve"> decisions</w:t>
      </w:r>
      <w:r w:rsidR="008F6AF1">
        <w:t>)</w:t>
      </w:r>
      <w:r w:rsidR="00522EDE">
        <w:t xml:space="preserve"> </w:t>
      </w:r>
      <w:r w:rsidR="008F2657">
        <w:t>a</w:t>
      </w:r>
      <w:r w:rsidR="00A41E4F">
        <w:t>s well as</w:t>
      </w:r>
      <w:r w:rsidR="00183FB6">
        <w:t xml:space="preserve"> the</w:t>
      </w:r>
      <w:r w:rsidR="008F2657">
        <w:t xml:space="preserve"> jobs </w:t>
      </w:r>
      <w:r w:rsidR="00211D94">
        <w:t xml:space="preserve">and other economic spill-over effects </w:t>
      </w:r>
      <w:r w:rsidR="008F2657">
        <w:t xml:space="preserve">associated with LNG projects represent </w:t>
      </w:r>
      <w:r w:rsidR="00DF3C2E">
        <w:t>an</w:t>
      </w:r>
      <w:r w:rsidR="009B6048">
        <w:t xml:space="preserve"> appropriate return to the community </w:t>
      </w:r>
      <w:r w:rsidR="008F2657">
        <w:t>for</w:t>
      </w:r>
      <w:r w:rsidR="009B6048">
        <w:t xml:space="preserve"> the use of Australia’s </w:t>
      </w:r>
      <w:r w:rsidR="008F2657">
        <w:t xml:space="preserve">gas </w:t>
      </w:r>
      <w:r w:rsidR="009B6048">
        <w:t>resources</w:t>
      </w:r>
      <w:r w:rsidR="00A60CBC">
        <w:t xml:space="preserve"> </w:t>
      </w:r>
      <w:r w:rsidR="002D21F5">
        <w:t>where PRRT is not payable</w:t>
      </w:r>
      <w:r w:rsidR="00BF5D54">
        <w:t>. Industry noted that hurdle rates of return for</w:t>
      </w:r>
      <w:r w:rsidR="00DF26F1">
        <w:t xml:space="preserve"> </w:t>
      </w:r>
      <w:r w:rsidR="00147399">
        <w:t xml:space="preserve">project </w:t>
      </w:r>
      <w:r w:rsidR="00DF26F1">
        <w:t>investment</w:t>
      </w:r>
      <w:r w:rsidR="00147399">
        <w:t xml:space="preserve"> decisions</w:t>
      </w:r>
      <w:r w:rsidR="00DF26F1">
        <w:t xml:space="preserve"> are above</w:t>
      </w:r>
      <w:r w:rsidR="006E53A7">
        <w:t xml:space="preserve"> current PRRT uplift rates and that changes to </w:t>
      </w:r>
      <w:r w:rsidR="00D225C7">
        <w:t xml:space="preserve">tax </w:t>
      </w:r>
      <w:r w:rsidR="006E53A7">
        <w:t>settings</w:t>
      </w:r>
      <w:r w:rsidR="00D225C7">
        <w:t xml:space="preserve"> that increased the likelihood of tax being payable</w:t>
      </w:r>
      <w:r w:rsidR="00A627EA">
        <w:t xml:space="preserve"> would risk future investment</w:t>
      </w:r>
      <w:r w:rsidR="00147399">
        <w:t>.</w:t>
      </w:r>
    </w:p>
    <w:p w14:paraId="374AA1E1" w14:textId="79F91905" w:rsidR="00435CC6" w:rsidRDefault="00310886" w:rsidP="00A60CBC">
      <w:r w:rsidRPr="00310886">
        <w:t xml:space="preserve">Submissions from </w:t>
      </w:r>
      <w:r w:rsidR="00AD791B">
        <w:t>others in the community, including academics, civil society groups and policy bodies</w:t>
      </w:r>
      <w:r w:rsidR="008A3A48">
        <w:t>,</w:t>
      </w:r>
      <w:r w:rsidR="00AD791B">
        <w:t xml:space="preserve"> generally considered that reforms to the </w:t>
      </w:r>
      <w:r w:rsidR="00D1791C">
        <w:t>GTP Regulation</w:t>
      </w:r>
      <w:r w:rsidR="00AD791B">
        <w:t xml:space="preserve"> are needed to secure a fairer return to the community</w:t>
      </w:r>
      <w:r w:rsidR="0000099D">
        <w:t>.</w:t>
      </w:r>
      <w:r w:rsidR="00941821">
        <w:t xml:space="preserve"> </w:t>
      </w:r>
      <w:r w:rsidR="00BE0AE2">
        <w:t>T</w:t>
      </w:r>
      <w:r w:rsidR="00B37AA4">
        <w:t>he Tax Justice Network, Uniting Church in Australia</w:t>
      </w:r>
      <w:r w:rsidR="00DB77F6">
        <w:t xml:space="preserve"> (Synod of Victoria and Tasmania)</w:t>
      </w:r>
      <w:r w:rsidR="00C500B0">
        <w:t>, The Australia Institute and the International Transport Workers Federation</w:t>
      </w:r>
      <w:r w:rsidR="00FC074A">
        <w:t>, each</w:t>
      </w:r>
      <w:r w:rsidR="00C500B0">
        <w:t xml:space="preserve"> advocated for a netback only approach to pricing</w:t>
      </w:r>
      <w:r w:rsidR="004E642B">
        <w:t xml:space="preserve"> the value of sales gas used to produce LNG</w:t>
      </w:r>
      <w:r w:rsidR="00C500B0">
        <w:t xml:space="preserve"> </w:t>
      </w:r>
      <w:r w:rsidR="00941821">
        <w:t>for current and future gas projects</w:t>
      </w:r>
      <w:r w:rsidR="00D759D8">
        <w:t>. They consider that a netback only approach would achieve greater simplicity, transparency</w:t>
      </w:r>
      <w:r w:rsidR="003A4D39">
        <w:t>,</w:t>
      </w:r>
      <w:r w:rsidR="00D759D8">
        <w:t xml:space="preserve"> and fairness in </w:t>
      </w:r>
      <w:r w:rsidR="00EF7E35">
        <w:t>the operation of</w:t>
      </w:r>
      <w:r w:rsidR="0018592F">
        <w:t xml:space="preserve"> the </w:t>
      </w:r>
      <w:r w:rsidR="00EF7E35">
        <w:t>PRRT.</w:t>
      </w:r>
    </w:p>
    <w:p w14:paraId="07AFFCE8" w14:textId="41110B5A" w:rsidR="007200DA" w:rsidRDefault="001F799E" w:rsidP="006A3D45">
      <w:r>
        <w:t>The recommendation to amend the GTP Regulation</w:t>
      </w:r>
      <w:r w:rsidR="00785B75">
        <w:t>, either by moving to a netback only method or modifying the profit split in the RPM</w:t>
      </w:r>
      <w:r w:rsidR="009C6928">
        <w:t xml:space="preserve">, </w:t>
      </w:r>
      <w:r w:rsidR="00AC6B88">
        <w:t>is</w:t>
      </w:r>
      <w:r w:rsidR="009C6928">
        <w:t xml:space="preserve"> designed to </w:t>
      </w:r>
      <w:r w:rsidR="00F8285F">
        <w:t xml:space="preserve">address the structural undervaluation of gas at the PRRT taxing point for integrated LNG projects and </w:t>
      </w:r>
      <w:r w:rsidR="009C6928">
        <w:t xml:space="preserve">give the community confidence that the </w:t>
      </w:r>
      <w:r w:rsidR="00E27DF2">
        <w:t>PRRT</w:t>
      </w:r>
      <w:r w:rsidR="00E27DF2" w:rsidDel="00022743">
        <w:t xml:space="preserve"> </w:t>
      </w:r>
      <w:r w:rsidR="009C6928">
        <w:t>is fit</w:t>
      </w:r>
      <w:r w:rsidR="00F8285F">
        <w:t xml:space="preserve"> </w:t>
      </w:r>
      <w:r w:rsidR="009C6928">
        <w:t>for</w:t>
      </w:r>
      <w:r w:rsidR="00F8285F">
        <w:t xml:space="preserve"> </w:t>
      </w:r>
      <w:r w:rsidR="009C6928">
        <w:t xml:space="preserve">purpose </w:t>
      </w:r>
      <w:r w:rsidR="00022743">
        <w:t xml:space="preserve">for the LNG industry </w:t>
      </w:r>
      <w:r w:rsidR="009C6928">
        <w:t>moving forward</w:t>
      </w:r>
      <w:r w:rsidR="00FE6953">
        <w:t>. However,</w:t>
      </w:r>
      <w:r w:rsidR="009C6928">
        <w:t xml:space="preserve"> </w:t>
      </w:r>
      <w:r w:rsidR="004604D9">
        <w:t xml:space="preserve">Treasury acknowledges </w:t>
      </w:r>
      <w:r w:rsidR="006A3D45">
        <w:t xml:space="preserve">that </w:t>
      </w:r>
      <w:r w:rsidR="00297092">
        <w:t>this</w:t>
      </w:r>
      <w:r w:rsidR="00FE6953">
        <w:t xml:space="preserve"> </w:t>
      </w:r>
      <w:r w:rsidR="006A3D45">
        <w:t xml:space="preserve">may not increase revenue from existing </w:t>
      </w:r>
      <w:r w:rsidR="00D22452">
        <w:t xml:space="preserve">LNG </w:t>
      </w:r>
      <w:r w:rsidR="006A3D45">
        <w:t>projects</w:t>
      </w:r>
      <w:r w:rsidR="004F3F7B">
        <w:t xml:space="preserve"> in the medium term</w:t>
      </w:r>
      <w:r w:rsidR="006A3D45">
        <w:t>.</w:t>
      </w:r>
      <w:r w:rsidR="00973F2B">
        <w:t xml:space="preserve"> </w:t>
      </w:r>
      <w:r w:rsidR="00710154">
        <w:t>Indeed,</w:t>
      </w:r>
      <w:r w:rsidR="001A6EDE">
        <w:t xml:space="preserve"> </w:t>
      </w:r>
      <w:r w:rsidR="007D1954">
        <w:t xml:space="preserve">some projects </w:t>
      </w:r>
      <w:r w:rsidR="00455DD0">
        <w:t>may</w:t>
      </w:r>
      <w:r w:rsidR="00EE73E1">
        <w:t xml:space="preserve"> not be sufficiently profitable to pay </w:t>
      </w:r>
      <w:r w:rsidR="00440C21">
        <w:t xml:space="preserve">any </w:t>
      </w:r>
      <w:r w:rsidR="00EE73E1">
        <w:t xml:space="preserve">PRRT </w:t>
      </w:r>
      <w:r w:rsidR="00D73428">
        <w:t>over their project lives</w:t>
      </w:r>
      <w:r w:rsidR="00EE73E1">
        <w:t xml:space="preserve"> </w:t>
      </w:r>
      <w:r w:rsidR="0009391E">
        <w:t>in the event of sustained lower</w:t>
      </w:r>
      <w:r w:rsidR="006A3D45">
        <w:t xml:space="preserve"> </w:t>
      </w:r>
      <w:r w:rsidR="007357BB">
        <w:t xml:space="preserve">LNG </w:t>
      </w:r>
      <w:r w:rsidR="006A3D45">
        <w:t>prices</w:t>
      </w:r>
      <w:r w:rsidR="00CF68A9">
        <w:t>, regardless of the recommended change</w:t>
      </w:r>
      <w:r w:rsidR="004B73F4">
        <w:t xml:space="preserve">. </w:t>
      </w:r>
      <w:r w:rsidR="00C26558">
        <w:t>In such circumstances,</w:t>
      </w:r>
      <w:r w:rsidR="00287119">
        <w:t xml:space="preserve"> </w:t>
      </w:r>
      <w:r w:rsidR="008147EC">
        <w:t>Australian</w:t>
      </w:r>
      <w:r w:rsidR="00AA14C2">
        <w:t>s</w:t>
      </w:r>
      <w:r w:rsidR="008147EC">
        <w:t xml:space="preserve"> </w:t>
      </w:r>
      <w:r w:rsidR="00226314">
        <w:t xml:space="preserve">will </w:t>
      </w:r>
      <w:r w:rsidR="006C76C1">
        <w:t xml:space="preserve">continue to </w:t>
      </w:r>
      <w:r w:rsidR="005F579E">
        <w:t xml:space="preserve">forgo any </w:t>
      </w:r>
      <w:r w:rsidR="008147EC">
        <w:t xml:space="preserve">return </w:t>
      </w:r>
      <w:r w:rsidR="0047233F">
        <w:t xml:space="preserve">attributable to </w:t>
      </w:r>
      <w:r w:rsidR="00AA14C2">
        <w:t>their ownership of the recovered</w:t>
      </w:r>
      <w:r w:rsidR="00932EF4">
        <w:t xml:space="preserve"> gas</w:t>
      </w:r>
      <w:r w:rsidR="004320ED">
        <w:t>.</w:t>
      </w:r>
      <w:r w:rsidR="004320ED">
        <w:rPr>
          <w:rStyle w:val="FootnoteReference"/>
        </w:rPr>
        <w:footnoteReference w:id="5"/>
      </w:r>
      <w:r w:rsidR="005B373B">
        <w:t xml:space="preserve"> </w:t>
      </w:r>
    </w:p>
    <w:p w14:paraId="4F2115FE" w14:textId="4ADE4A96" w:rsidR="00F650B6" w:rsidRDefault="007F5F8E" w:rsidP="006A3D45">
      <w:r w:rsidRPr="002209B4">
        <w:t xml:space="preserve">Treasury </w:t>
      </w:r>
      <w:r w:rsidR="008462BC" w:rsidRPr="002209B4">
        <w:t>has also considered the significant impact</w:t>
      </w:r>
      <w:r w:rsidR="00A91B4F" w:rsidRPr="002209B4">
        <w:t xml:space="preserve"> of </w:t>
      </w:r>
      <w:r w:rsidR="00794D24">
        <w:t>modifications</w:t>
      </w:r>
      <w:r w:rsidR="00A91B4F" w:rsidRPr="002209B4">
        <w:t xml:space="preserve"> to the </w:t>
      </w:r>
      <w:r w:rsidR="006E0BC6" w:rsidRPr="002209B4">
        <w:t xml:space="preserve">GTP </w:t>
      </w:r>
      <w:r w:rsidR="009F2DE3" w:rsidRPr="002209B4">
        <w:t>rules</w:t>
      </w:r>
      <w:r w:rsidR="00890773" w:rsidRPr="002209B4">
        <w:t>,</w:t>
      </w:r>
      <w:r w:rsidR="009F2DE3" w:rsidRPr="002209B4">
        <w:t xml:space="preserve"> </w:t>
      </w:r>
      <w:r w:rsidR="006E0BC6" w:rsidRPr="002209B4">
        <w:t xml:space="preserve">alongside </w:t>
      </w:r>
      <w:r w:rsidR="000D1AC1" w:rsidRPr="002209B4">
        <w:t>other changes</w:t>
      </w:r>
      <w:r w:rsidR="00CA6D0E" w:rsidRPr="002209B4">
        <w:t xml:space="preserve"> </w:t>
      </w:r>
      <w:r w:rsidR="00E36855">
        <w:t xml:space="preserve">affecting the </w:t>
      </w:r>
      <w:r w:rsidR="00DE5D47">
        <w:t>industry which</w:t>
      </w:r>
      <w:r w:rsidR="00FA4959">
        <w:t xml:space="preserve"> may</w:t>
      </w:r>
      <w:r w:rsidR="008462BC" w:rsidRPr="002209B4">
        <w:t xml:space="preserve"> </w:t>
      </w:r>
      <w:r w:rsidR="00FA4959">
        <w:t>impact</w:t>
      </w:r>
      <w:r w:rsidR="008462BC" w:rsidRPr="002209B4">
        <w:t xml:space="preserve"> the </w:t>
      </w:r>
      <w:r w:rsidR="00A91B4F" w:rsidRPr="002209B4">
        <w:t>economics</w:t>
      </w:r>
      <w:r w:rsidR="008462BC" w:rsidRPr="002209B4">
        <w:t xml:space="preserve"> of </w:t>
      </w:r>
      <w:r w:rsidR="009C5F6A" w:rsidRPr="002209B4">
        <w:t xml:space="preserve">current </w:t>
      </w:r>
      <w:r w:rsidR="006F4C9D">
        <w:t xml:space="preserve">and future </w:t>
      </w:r>
      <w:r w:rsidR="008462BC" w:rsidRPr="002209B4">
        <w:t>LNG projects</w:t>
      </w:r>
      <w:r w:rsidR="00B63EB8" w:rsidRPr="002209B4">
        <w:t>.</w:t>
      </w:r>
      <w:r w:rsidR="008462BC">
        <w:t xml:space="preserve"> </w:t>
      </w:r>
    </w:p>
    <w:p w14:paraId="45369154" w14:textId="6CD13C1C" w:rsidR="006A3D45" w:rsidRDefault="007200DA" w:rsidP="006A3D45">
      <w:r>
        <w:t>In light of th</w:t>
      </w:r>
      <w:r w:rsidR="00934B6F">
        <w:t>ese considerations</w:t>
      </w:r>
      <w:r>
        <w:t xml:space="preserve">, Treasury </w:t>
      </w:r>
      <w:r w:rsidR="004A7DCD">
        <w:t xml:space="preserve">canvassed </w:t>
      </w:r>
      <w:r w:rsidR="00E87BAF">
        <w:t>a</w:t>
      </w:r>
      <w:r w:rsidR="004A7DCD">
        <w:t xml:space="preserve"> change to the PRRT design</w:t>
      </w:r>
      <w:r w:rsidR="008F052D">
        <w:t xml:space="preserve"> </w:t>
      </w:r>
      <w:r w:rsidR="00CD7FEB">
        <w:t>outside of the GTP arrangements</w:t>
      </w:r>
      <w:r w:rsidR="008F052D">
        <w:t xml:space="preserve"> </w:t>
      </w:r>
      <w:r w:rsidR="004A7DCD">
        <w:t>with</w:t>
      </w:r>
      <w:r w:rsidR="00744271">
        <w:t xml:space="preserve"> industry participants</w:t>
      </w:r>
      <w:r w:rsidR="004A7DCD">
        <w:t>,</w:t>
      </w:r>
      <w:r w:rsidR="00744271">
        <w:t xml:space="preserve"> </w:t>
      </w:r>
      <w:r w:rsidR="006D35DA">
        <w:t xml:space="preserve">involving </w:t>
      </w:r>
      <w:r w:rsidR="00116401">
        <w:t>a</w:t>
      </w:r>
      <w:r w:rsidR="004A7DCD">
        <w:t xml:space="preserve"> </w:t>
      </w:r>
      <w:r w:rsidR="006D35DA">
        <w:t>cap</w:t>
      </w:r>
      <w:r w:rsidR="004A7DCD">
        <w:t xml:space="preserve"> on</w:t>
      </w:r>
      <w:r w:rsidR="006D35DA">
        <w:t xml:space="preserve"> the use of </w:t>
      </w:r>
      <w:r w:rsidR="00811F44">
        <w:t>carry</w:t>
      </w:r>
      <w:r w:rsidR="00A26311">
        <w:t>-</w:t>
      </w:r>
      <w:r w:rsidR="00811F44">
        <w:t xml:space="preserve">forward deductible expenditure to the value of 90 per cent of </w:t>
      </w:r>
      <w:r w:rsidR="006B498A">
        <w:t xml:space="preserve">assessable PRRT receipts in respect of each project. </w:t>
      </w:r>
      <w:r w:rsidR="00136E90">
        <w:t xml:space="preserve">This would bring forward </w:t>
      </w:r>
      <w:r w:rsidR="00971F02">
        <w:t>PRRT revenue from existing projects</w:t>
      </w:r>
      <w:r w:rsidR="002C17EA">
        <w:t>,</w:t>
      </w:r>
      <w:r w:rsidR="00971F02">
        <w:t xml:space="preserve"> </w:t>
      </w:r>
      <w:r w:rsidR="00ED1E44">
        <w:t>providing</w:t>
      </w:r>
      <w:r w:rsidR="00084F16">
        <w:t xml:space="preserve"> a timely and minimum</w:t>
      </w:r>
      <w:r w:rsidR="0034038E">
        <w:t xml:space="preserve"> </w:t>
      </w:r>
      <w:r w:rsidR="00084F16">
        <w:t>return</w:t>
      </w:r>
      <w:r w:rsidR="002036F1">
        <w:t xml:space="preserve"> </w:t>
      </w:r>
      <w:r w:rsidR="00D80349">
        <w:t xml:space="preserve">through PRRT revenue </w:t>
      </w:r>
      <w:r w:rsidR="002036F1">
        <w:t xml:space="preserve">from </w:t>
      </w:r>
      <w:r w:rsidR="00883DE7">
        <w:t>Australia’s offshore LNG industry</w:t>
      </w:r>
      <w:r w:rsidR="00116401">
        <w:t>.</w:t>
      </w:r>
      <w:r w:rsidR="00151026">
        <w:t xml:space="preserve"> </w:t>
      </w:r>
    </w:p>
    <w:p w14:paraId="1351B999" w14:textId="2CD3EBCD" w:rsidR="00C00CC0" w:rsidRPr="00430E41" w:rsidDel="00815BEA" w:rsidRDefault="004B1696" w:rsidP="00C00CC0">
      <w:bookmarkStart w:id="10" w:name="_Hlk130625703"/>
      <w:r>
        <w:t>A</w:t>
      </w:r>
      <w:r w:rsidDel="00815BEA">
        <w:t xml:space="preserve"> </w:t>
      </w:r>
      <w:r w:rsidR="00C00CC0" w:rsidDel="00815BEA">
        <w:t xml:space="preserve">deduction cap would </w:t>
      </w:r>
      <w:r>
        <w:t>begin generating PRRT receipts immediately and</w:t>
      </w:r>
      <w:r w:rsidR="00897CFF">
        <w:t xml:space="preserve">, at </w:t>
      </w:r>
      <w:r w:rsidR="00C00CC0" w:rsidDel="00815BEA">
        <w:t xml:space="preserve">the oil price </w:t>
      </w:r>
      <w:r w:rsidR="006E2947">
        <w:t xml:space="preserve">assumption </w:t>
      </w:r>
      <w:r w:rsidR="00C00CC0" w:rsidDel="00815BEA">
        <w:t xml:space="preserve">described above, </w:t>
      </w:r>
      <w:r w:rsidR="004E1770">
        <w:t xml:space="preserve">would </w:t>
      </w:r>
      <w:r w:rsidR="00C00CC0" w:rsidDel="00815BEA">
        <w:t xml:space="preserve">raise around $7 billion in </w:t>
      </w:r>
      <w:r w:rsidR="00103F25">
        <w:t xml:space="preserve">PRRT receipts </w:t>
      </w:r>
      <w:r w:rsidR="004E1770">
        <w:t>over the period</w:t>
      </w:r>
      <w:r w:rsidR="00C00CC0" w:rsidDel="00815BEA">
        <w:t xml:space="preserve"> to 2033-34. </w:t>
      </w:r>
      <w:r w:rsidR="00C00CC0" w:rsidDel="00815BEA">
        <w:lastRenderedPageBreak/>
        <w:t>Recognising that the deductions cap operates as a bring forward of PRRT</w:t>
      </w:r>
      <w:r w:rsidR="00095C8F">
        <w:t xml:space="preserve"> </w:t>
      </w:r>
      <w:r w:rsidR="00363EEF">
        <w:t>with</w:t>
      </w:r>
      <w:r w:rsidR="001114A7">
        <w:t xml:space="preserve"> denied </w:t>
      </w:r>
      <w:r w:rsidR="00095C8F">
        <w:t xml:space="preserve">deductions </w:t>
      </w:r>
      <w:r w:rsidR="00363EEF">
        <w:t xml:space="preserve">uplifted </w:t>
      </w:r>
      <w:r w:rsidR="00095C8F">
        <w:t>at LTBR</w:t>
      </w:r>
      <w:r w:rsidR="00C00CC0" w:rsidDel="00815BEA">
        <w:t xml:space="preserve">, it is estimated to </w:t>
      </w:r>
      <w:r w:rsidR="00062C8A">
        <w:t xml:space="preserve">increase PRRT receipts by </w:t>
      </w:r>
      <w:r w:rsidR="00C00CC0" w:rsidDel="00815BEA">
        <w:t>around $</w:t>
      </w:r>
      <w:r w:rsidR="00062CFF">
        <w:t>3</w:t>
      </w:r>
      <w:r w:rsidR="00C91B21">
        <w:t>½</w:t>
      </w:r>
      <w:r w:rsidR="00C00CC0" w:rsidDel="00815BEA">
        <w:t xml:space="preserve"> billion over the </w:t>
      </w:r>
      <w:r w:rsidR="00345E37">
        <w:t xml:space="preserve">whole </w:t>
      </w:r>
      <w:r w:rsidR="00C00CC0" w:rsidDel="00815BEA">
        <w:t xml:space="preserve">period </w:t>
      </w:r>
      <w:r w:rsidR="000B5817">
        <w:t>to</w:t>
      </w:r>
      <w:r w:rsidR="00C00CC0" w:rsidDel="00815BEA">
        <w:t xml:space="preserve"> 2049-50.</w:t>
      </w:r>
      <w:r w:rsidR="00800C38">
        <w:t xml:space="preserve"> </w:t>
      </w:r>
      <w:r w:rsidR="003328D3">
        <w:t>As noted above</w:t>
      </w:r>
      <w:r w:rsidR="00800C38">
        <w:t xml:space="preserve">, these estimates </w:t>
      </w:r>
      <w:r w:rsidR="0065432A">
        <w:t>are not the equivalent of budget costings.</w:t>
      </w:r>
    </w:p>
    <w:p w14:paraId="657FC7F1" w14:textId="3FAC1373" w:rsidR="001F4BA5" w:rsidRDefault="008E5E9C" w:rsidP="00A60CBC">
      <w:r>
        <w:t xml:space="preserve">Treasury acknowledges that recommendations which increase the overall tax burden on projects </w:t>
      </w:r>
      <w:r w:rsidR="007A63BE">
        <w:t xml:space="preserve">also </w:t>
      </w:r>
      <w:r w:rsidR="00E83F37" w:rsidRPr="00D13B03">
        <w:t xml:space="preserve">lower the </w:t>
      </w:r>
      <w:r w:rsidR="00E83F37">
        <w:t>internal rate of return (IRR) to investors</w:t>
      </w:r>
      <w:r w:rsidR="002F4DBE">
        <w:t>.</w:t>
      </w:r>
      <w:r w:rsidR="00E83F37" w:rsidDel="00224E76">
        <w:t xml:space="preserve"> </w:t>
      </w:r>
      <w:r w:rsidR="00EA5527">
        <w:t xml:space="preserve">This </w:t>
      </w:r>
      <w:r w:rsidR="00351173">
        <w:t>could</w:t>
      </w:r>
      <w:r w:rsidR="005E06F0">
        <w:t xml:space="preserve"> </w:t>
      </w:r>
      <w:r w:rsidR="00E426C3">
        <w:t>affect</w:t>
      </w:r>
      <w:r w:rsidR="005E06F0">
        <w:t xml:space="preserve"> future investment decisions</w:t>
      </w:r>
      <w:r w:rsidR="0036031E">
        <w:t xml:space="preserve"> and may mean that</w:t>
      </w:r>
      <w:r w:rsidR="00330997">
        <w:t xml:space="preserve"> some marginal</w:t>
      </w:r>
      <w:r w:rsidR="005F2A87">
        <w:t xml:space="preserve"> investment</w:t>
      </w:r>
      <w:r w:rsidR="00330997">
        <w:t>s</w:t>
      </w:r>
      <w:r w:rsidR="005F2A87">
        <w:t xml:space="preserve"> </w:t>
      </w:r>
      <w:r w:rsidR="00330997">
        <w:t xml:space="preserve">are </w:t>
      </w:r>
      <w:r w:rsidR="005F2A87">
        <w:t xml:space="preserve">less </w:t>
      </w:r>
      <w:r w:rsidR="00FA353B">
        <w:t>likely</w:t>
      </w:r>
      <w:r w:rsidR="005F2A87">
        <w:t xml:space="preserve"> to </w:t>
      </w:r>
      <w:r w:rsidR="00FA353B">
        <w:t>proceed</w:t>
      </w:r>
      <w:r w:rsidR="005F2A87">
        <w:t xml:space="preserve">, </w:t>
      </w:r>
      <w:r w:rsidR="00FA353B">
        <w:t>particularly</w:t>
      </w:r>
      <w:r w:rsidR="005F2A87">
        <w:t xml:space="preserve"> if the </w:t>
      </w:r>
      <w:r w:rsidR="00E84DF7">
        <w:t>after</w:t>
      </w:r>
      <w:r w:rsidR="003A4D39">
        <w:t>-</w:t>
      </w:r>
      <w:r w:rsidR="00E84DF7">
        <w:t xml:space="preserve">tax </w:t>
      </w:r>
      <w:r w:rsidR="00E76929">
        <w:t xml:space="preserve">return on </w:t>
      </w:r>
      <w:r w:rsidR="00E426C3">
        <w:t>an</w:t>
      </w:r>
      <w:r w:rsidR="00E76929">
        <w:t xml:space="preserve"> </w:t>
      </w:r>
      <w:r w:rsidR="005F2A87">
        <w:t xml:space="preserve">investment </w:t>
      </w:r>
      <w:r w:rsidR="005328A9">
        <w:t xml:space="preserve">is </w:t>
      </w:r>
      <w:r w:rsidR="0056097A">
        <w:t xml:space="preserve">less than or close to </w:t>
      </w:r>
      <w:r w:rsidR="007C0125">
        <w:t xml:space="preserve">the hurdle </w:t>
      </w:r>
      <w:r w:rsidR="00FA353B">
        <w:t>rate set by investors.</w:t>
      </w:r>
      <w:r w:rsidR="00404B0D">
        <w:t xml:space="preserve"> </w:t>
      </w:r>
      <w:r w:rsidR="00931D31">
        <w:t>However</w:t>
      </w:r>
      <w:r w:rsidR="0078702F">
        <w:t xml:space="preserve">, </w:t>
      </w:r>
      <w:r w:rsidR="00877B1A">
        <w:t>the PRRT</w:t>
      </w:r>
      <w:r w:rsidR="0078702F">
        <w:t xml:space="preserve"> tax settings should be </w:t>
      </w:r>
      <w:r w:rsidR="001B214C">
        <w:t>designed</w:t>
      </w:r>
      <w:r w:rsidR="00D13B03" w:rsidRPr="00D13B03">
        <w:t xml:space="preserve"> </w:t>
      </w:r>
      <w:r w:rsidR="001B214C">
        <w:t xml:space="preserve">to </w:t>
      </w:r>
      <w:r w:rsidR="00D13B03" w:rsidRPr="00D13B03">
        <w:t>balanc</w:t>
      </w:r>
      <w:r w:rsidR="001B214C">
        <w:t>e a</w:t>
      </w:r>
      <w:r w:rsidR="00D13B03" w:rsidRPr="00D13B03">
        <w:t xml:space="preserve"> fair return </w:t>
      </w:r>
      <w:r w:rsidR="003740FE" w:rsidRPr="00D13B03">
        <w:t xml:space="preserve">for </w:t>
      </w:r>
      <w:r w:rsidR="003740FE">
        <w:t xml:space="preserve">the </w:t>
      </w:r>
      <w:r w:rsidR="003740FE" w:rsidRPr="00D13B03">
        <w:t xml:space="preserve">community </w:t>
      </w:r>
      <w:r w:rsidR="003740FE">
        <w:t>for the use</w:t>
      </w:r>
      <w:r w:rsidR="00FB7088">
        <w:t xml:space="preserve"> of its</w:t>
      </w:r>
      <w:r w:rsidR="00D13B03" w:rsidRPr="00D13B03">
        <w:t xml:space="preserve"> natural resources </w:t>
      </w:r>
      <w:r w:rsidR="00764675">
        <w:t xml:space="preserve">with </w:t>
      </w:r>
      <w:r w:rsidR="00D01BEB">
        <w:t>returns</w:t>
      </w:r>
      <w:r w:rsidR="00867C5F">
        <w:t xml:space="preserve"> to</w:t>
      </w:r>
      <w:r w:rsidR="00764675">
        <w:t xml:space="preserve"> </w:t>
      </w:r>
      <w:r w:rsidR="00D939AF">
        <w:t>invest</w:t>
      </w:r>
      <w:r w:rsidR="00F432E9">
        <w:t>ors</w:t>
      </w:r>
      <w:r w:rsidR="00D939AF">
        <w:t xml:space="preserve">. </w:t>
      </w:r>
    </w:p>
    <w:p w14:paraId="30D106E5" w14:textId="0E0C7A3C" w:rsidR="00F61A86" w:rsidRDefault="00A65B5B" w:rsidP="007F538F">
      <w:r>
        <w:t xml:space="preserve">Some </w:t>
      </w:r>
      <w:r w:rsidR="00CA4593">
        <w:t>i</w:t>
      </w:r>
      <w:r>
        <w:t xml:space="preserve">ndustry </w:t>
      </w:r>
      <w:r w:rsidR="005F067A">
        <w:t>participants</w:t>
      </w:r>
      <w:r w:rsidR="00983C89">
        <w:t xml:space="preserve"> have </w:t>
      </w:r>
      <w:r w:rsidR="008C20E6">
        <w:t xml:space="preserve">shown </w:t>
      </w:r>
      <w:r w:rsidR="00F0794A">
        <w:t>Treasury, on a confidential basis, high level modelling impacts</w:t>
      </w:r>
      <w:r w:rsidR="00B249C4">
        <w:t xml:space="preserve"> for both the netback only option and the </w:t>
      </w:r>
      <w:r w:rsidR="00112CEC">
        <w:t>modifie</w:t>
      </w:r>
      <w:r w:rsidR="00FB07AD">
        <w:t>d RPM option</w:t>
      </w:r>
      <w:r w:rsidR="00263AA3">
        <w:t>,</w:t>
      </w:r>
      <w:r w:rsidR="008C20E6">
        <w:t xml:space="preserve"> </w:t>
      </w:r>
      <w:r w:rsidR="00054AB9">
        <w:t xml:space="preserve">on their </w:t>
      </w:r>
      <w:r w:rsidR="00184585">
        <w:t>sanctioned and potential future projects</w:t>
      </w:r>
      <w:r w:rsidR="00A55628">
        <w:t xml:space="preserve"> that show the</w:t>
      </w:r>
      <w:r w:rsidR="008A4C14">
        <w:t xml:space="preserve"> </w:t>
      </w:r>
      <w:r w:rsidR="00A35EC1">
        <w:t xml:space="preserve">effect of </w:t>
      </w:r>
      <w:r w:rsidR="00777261">
        <w:t>proposed</w:t>
      </w:r>
      <w:r w:rsidR="00A35EC1">
        <w:t xml:space="preserve"> </w:t>
      </w:r>
      <w:r w:rsidR="00A55628">
        <w:t xml:space="preserve">changes </w:t>
      </w:r>
      <w:r w:rsidR="008A4C14">
        <w:t xml:space="preserve">move </w:t>
      </w:r>
      <w:r w:rsidR="00C6670B">
        <w:t xml:space="preserve">some of </w:t>
      </w:r>
      <w:r w:rsidR="008A4C14">
        <w:t xml:space="preserve">the projects from </w:t>
      </w:r>
      <w:r w:rsidR="007774F4">
        <w:t>being investment grade to non-investment grade</w:t>
      </w:r>
      <w:r w:rsidR="00184585">
        <w:t xml:space="preserve">. </w:t>
      </w:r>
      <w:r w:rsidR="000100F5">
        <w:t xml:space="preserve">Treasury </w:t>
      </w:r>
      <w:r w:rsidR="00631C22">
        <w:t>has not</w:t>
      </w:r>
      <w:r w:rsidR="00211FA8">
        <w:t xml:space="preserve"> been able to independently verify these claims.</w:t>
      </w:r>
      <w:r w:rsidR="001907A8">
        <w:t xml:space="preserve"> </w:t>
      </w:r>
    </w:p>
    <w:p w14:paraId="64E8B95C" w14:textId="6EA09910" w:rsidR="008B015A" w:rsidRPr="006A713F" w:rsidRDefault="00F61A86" w:rsidP="00A60CBC">
      <w:r w:rsidRPr="006A713F">
        <w:t>I</w:t>
      </w:r>
      <w:r w:rsidR="007F538F" w:rsidRPr="006A713F">
        <w:t>ndependent industry analysts supported the view that, to the extent changes to the PRRT br</w:t>
      </w:r>
      <w:r w:rsidR="004F5792" w:rsidRPr="006A713F">
        <w:t>ought</w:t>
      </w:r>
      <w:r w:rsidR="007F538F" w:rsidRPr="006A713F">
        <w:t xml:space="preserve"> forward and/or increase</w:t>
      </w:r>
      <w:r w:rsidR="004F5792" w:rsidRPr="006A713F">
        <w:t>d</w:t>
      </w:r>
      <w:r w:rsidR="007F538F" w:rsidRPr="006A713F">
        <w:t xml:space="preserve"> expected PRRT payments, Australia would become </w:t>
      </w:r>
      <w:r w:rsidR="00B25F26" w:rsidRPr="006A713F">
        <w:t xml:space="preserve">a </w:t>
      </w:r>
      <w:r w:rsidR="007F538F" w:rsidRPr="006A713F">
        <w:t xml:space="preserve">relatively less attractive </w:t>
      </w:r>
      <w:r w:rsidR="00C77DE0" w:rsidRPr="006A713F">
        <w:t xml:space="preserve">country </w:t>
      </w:r>
      <w:r w:rsidR="004B44C3" w:rsidRPr="006A713F">
        <w:t xml:space="preserve">for </w:t>
      </w:r>
      <w:r w:rsidR="00863785" w:rsidRPr="006A713F">
        <w:t>investment</w:t>
      </w:r>
      <w:r w:rsidR="007F538F" w:rsidRPr="006A713F">
        <w:t xml:space="preserve"> compared </w:t>
      </w:r>
      <w:r w:rsidR="00296C15" w:rsidRPr="006A713F">
        <w:t>to</w:t>
      </w:r>
      <w:r w:rsidR="007F538F" w:rsidRPr="006A713F">
        <w:t xml:space="preserve"> other destinations</w:t>
      </w:r>
      <w:r w:rsidR="00527E4D" w:rsidRPr="006A713F">
        <w:t>.</w:t>
      </w:r>
      <w:r w:rsidR="00E90F1F" w:rsidRPr="006A713F">
        <w:t xml:space="preserve"> </w:t>
      </w:r>
      <w:r w:rsidR="00252144" w:rsidRPr="006A713F">
        <w:t xml:space="preserve">Further, </w:t>
      </w:r>
      <w:r w:rsidR="00E90F1F" w:rsidRPr="006A713F">
        <w:t xml:space="preserve">PRRT </w:t>
      </w:r>
      <w:r w:rsidR="00527E4D" w:rsidRPr="006A713F">
        <w:t xml:space="preserve">changes </w:t>
      </w:r>
      <w:r w:rsidR="00E90F1F" w:rsidRPr="006A713F">
        <w:t>would be coming</w:t>
      </w:r>
      <w:r w:rsidR="00575AA9" w:rsidRPr="006A713F">
        <w:t xml:space="preserve"> on top of other policy changes</w:t>
      </w:r>
      <w:r w:rsidR="00511AF9" w:rsidRPr="006A713F">
        <w:t xml:space="preserve">. </w:t>
      </w:r>
      <w:r w:rsidR="00DB0C4E">
        <w:t xml:space="preserve">Analysts observed </w:t>
      </w:r>
      <w:r w:rsidR="001C5410">
        <w:t xml:space="preserve">that, </w:t>
      </w:r>
      <w:r w:rsidR="00DB0C4E">
        <w:t>t</w:t>
      </w:r>
      <w:r w:rsidR="00DF3EAC" w:rsidRPr="006A713F">
        <w:t xml:space="preserve">aken </w:t>
      </w:r>
      <w:r w:rsidR="009C3E2E" w:rsidRPr="006A713F">
        <w:t>cumulatively</w:t>
      </w:r>
      <w:r w:rsidR="003735CF">
        <w:t>,</w:t>
      </w:r>
      <w:r w:rsidR="00DC59FD">
        <w:t xml:space="preserve"> </w:t>
      </w:r>
      <w:r w:rsidR="00DB0C4E">
        <w:t>these changes</w:t>
      </w:r>
      <w:r w:rsidR="003735CF">
        <w:t xml:space="preserve"> are </w:t>
      </w:r>
      <w:r w:rsidR="008A1BA0">
        <w:t>creating some uncertainty in the investment climate.</w:t>
      </w:r>
      <w:r w:rsidR="00B80770" w:rsidRPr="006A713F">
        <w:t xml:space="preserve"> </w:t>
      </w:r>
      <w:r w:rsidR="00B37B4A">
        <w:t>However,</w:t>
      </w:r>
      <w:r w:rsidR="00282232">
        <w:t xml:space="preserve"> already sanctioned projects would still be likely to proceed</w:t>
      </w:r>
      <w:r w:rsidR="007F538F" w:rsidRPr="006A713F">
        <w:t xml:space="preserve">. </w:t>
      </w:r>
    </w:p>
    <w:p w14:paraId="75498BD1" w14:textId="3CAE07E1" w:rsidR="00AF617E" w:rsidRDefault="008D6963" w:rsidP="00A60CBC">
      <w:r w:rsidRPr="006A713F">
        <w:t>Independent industry analysts</w:t>
      </w:r>
      <w:r w:rsidR="00983147" w:rsidRPr="006A713F">
        <w:t xml:space="preserve"> </w:t>
      </w:r>
      <w:r w:rsidR="00CB68AF">
        <w:t>also</w:t>
      </w:r>
      <w:r w:rsidR="00983147" w:rsidRPr="006A713F">
        <w:t xml:space="preserve"> noted, w</w:t>
      </w:r>
      <w:r w:rsidR="003F0666" w:rsidRPr="006A713F">
        <w:t>hile tax is an important consideration for compan</w:t>
      </w:r>
      <w:r w:rsidR="00DB5C74" w:rsidRPr="006A713F">
        <w:t xml:space="preserve">y decisions regarding new investments, </w:t>
      </w:r>
      <w:r w:rsidR="00D84705" w:rsidRPr="006A713F">
        <w:t xml:space="preserve">there are many other factors that influence final investment decisions. </w:t>
      </w:r>
      <w:r w:rsidR="00F4648D" w:rsidRPr="006A713F">
        <w:t xml:space="preserve">These </w:t>
      </w:r>
      <w:r w:rsidR="003B5A06" w:rsidRPr="006A713F">
        <w:t xml:space="preserve">include </w:t>
      </w:r>
      <w:r w:rsidR="002F7A1C" w:rsidRPr="006A713F">
        <w:t>uncertainty over project development costs</w:t>
      </w:r>
      <w:r w:rsidR="00E75079" w:rsidRPr="006A713F">
        <w:t xml:space="preserve">, </w:t>
      </w:r>
      <w:r w:rsidR="004F7221" w:rsidRPr="006A713F">
        <w:t>volatility in oil and gas prices</w:t>
      </w:r>
      <w:r w:rsidR="0073596B" w:rsidRPr="006A713F">
        <w:t>,</w:t>
      </w:r>
      <w:r w:rsidR="003F2586" w:rsidRPr="006A713F">
        <w:t xml:space="preserve"> </w:t>
      </w:r>
      <w:r w:rsidR="00407161" w:rsidRPr="006A713F">
        <w:t>compliance with</w:t>
      </w:r>
      <w:r w:rsidR="00A354DC" w:rsidRPr="006A713F">
        <w:t xml:space="preserve"> environmental</w:t>
      </w:r>
      <w:r w:rsidR="00765AB6" w:rsidRPr="006A713F">
        <w:t xml:space="preserve"> and market</w:t>
      </w:r>
      <w:r w:rsidR="00A354DC" w:rsidRPr="006A713F">
        <w:t xml:space="preserve"> </w:t>
      </w:r>
      <w:r w:rsidR="00A354DC" w:rsidRPr="007A6C0A">
        <w:t>regulations</w:t>
      </w:r>
      <w:r w:rsidR="00CC5488" w:rsidRPr="007A6C0A">
        <w:t xml:space="preserve">, </w:t>
      </w:r>
      <w:r w:rsidR="00EC4E66" w:rsidRPr="007A6C0A">
        <w:t xml:space="preserve">global </w:t>
      </w:r>
      <w:r w:rsidR="00CC5488" w:rsidRPr="007A6C0A">
        <w:t xml:space="preserve">demand for gas </w:t>
      </w:r>
      <w:r w:rsidR="00D82275" w:rsidRPr="007A6C0A">
        <w:t>through the energy transition</w:t>
      </w:r>
      <w:r w:rsidR="00407161" w:rsidRPr="007A6C0A">
        <w:t xml:space="preserve"> and</w:t>
      </w:r>
      <w:r w:rsidR="00A354DC" w:rsidRPr="007A6C0A">
        <w:t xml:space="preserve"> </w:t>
      </w:r>
      <w:r w:rsidR="00305B76" w:rsidRPr="007A6C0A">
        <w:t xml:space="preserve">effect of take-up of alternative technologies. </w:t>
      </w:r>
      <w:r w:rsidR="0089719F" w:rsidRPr="007A6C0A">
        <w:t xml:space="preserve">It was also noted that </w:t>
      </w:r>
      <w:r w:rsidR="00F05FE5" w:rsidRPr="007A6C0A">
        <w:t xml:space="preserve">any additional impact on the investment climate </w:t>
      </w:r>
      <w:r w:rsidR="000447CD" w:rsidRPr="007A6C0A">
        <w:t xml:space="preserve">for the LNG industry </w:t>
      </w:r>
      <w:r w:rsidR="00571ED7" w:rsidRPr="007A6C0A">
        <w:t xml:space="preserve">needs to be balanced </w:t>
      </w:r>
      <w:r w:rsidR="00E176EB" w:rsidRPr="007A6C0A">
        <w:t xml:space="preserve">against the fact </w:t>
      </w:r>
      <w:r w:rsidR="009B5B7B" w:rsidRPr="007A6C0A">
        <w:t xml:space="preserve">that </w:t>
      </w:r>
      <w:r w:rsidR="00E93A33" w:rsidRPr="007A6C0A">
        <w:t>the PRRT is not</w:t>
      </w:r>
      <w:r w:rsidR="00BA124A" w:rsidRPr="007A6C0A">
        <w:t xml:space="preserve"> </w:t>
      </w:r>
      <w:r w:rsidR="00B52DF6" w:rsidRPr="007A6C0A">
        <w:t xml:space="preserve">seen as </w:t>
      </w:r>
      <w:r w:rsidR="00BA124A" w:rsidRPr="007A6C0A">
        <w:t>delivering fo</w:t>
      </w:r>
      <w:r w:rsidR="00E93A33" w:rsidRPr="007A6C0A">
        <w:t>r</w:t>
      </w:r>
      <w:r w:rsidR="00BA124A" w:rsidRPr="007A6C0A">
        <w:t xml:space="preserve"> the Australian community</w:t>
      </w:r>
      <w:r w:rsidR="00E93A33" w:rsidRPr="007A6C0A">
        <w:t>.</w:t>
      </w:r>
    </w:p>
    <w:p w14:paraId="451B5827" w14:textId="474D2321" w:rsidR="00732666" w:rsidRDefault="0053798D" w:rsidP="00A60CBC">
      <w:r>
        <w:t>Treasury</w:t>
      </w:r>
      <w:r w:rsidR="008852A4">
        <w:t>’s assessment is that the recommendations</w:t>
      </w:r>
      <w:r w:rsidR="00161C93">
        <w:t xml:space="preserve">, if implemented, will not </w:t>
      </w:r>
      <w:r w:rsidR="00D97159">
        <w:t>on their own determine whether an</w:t>
      </w:r>
      <w:r w:rsidR="00510710">
        <w:t>y</w:t>
      </w:r>
      <w:r w:rsidR="00D97159">
        <w:t xml:space="preserve"> new investment decision proceeds or not. Th</w:t>
      </w:r>
      <w:r w:rsidR="00DC1AF0">
        <w:t xml:space="preserve">ere are other more important factors that </w:t>
      </w:r>
      <w:r w:rsidR="00917853">
        <w:t xml:space="preserve">determine whether a </w:t>
      </w:r>
      <w:r w:rsidR="00CB4279">
        <w:t>project provides sufficient returns to invest</w:t>
      </w:r>
      <w:r w:rsidR="00FA4C8B">
        <w:t xml:space="preserve">, </w:t>
      </w:r>
      <w:r w:rsidR="00E93998">
        <w:t xml:space="preserve">the most important being the </w:t>
      </w:r>
      <w:r w:rsidR="00EA2D23">
        <w:t xml:space="preserve">price of and demand for </w:t>
      </w:r>
      <w:r w:rsidR="0034012D">
        <w:t xml:space="preserve">the </w:t>
      </w:r>
      <w:r w:rsidR="00A110B0">
        <w:t xml:space="preserve">project’s </w:t>
      </w:r>
      <w:r w:rsidR="009550AE">
        <w:t>gas.</w:t>
      </w:r>
      <w:bookmarkEnd w:id="10"/>
    </w:p>
    <w:p w14:paraId="5F5230EF" w14:textId="047EF2FB" w:rsidR="000C0FBA" w:rsidRDefault="00537148" w:rsidP="009F33B2">
      <w:r>
        <w:t xml:space="preserve">Treasury has suggested changes </w:t>
      </w:r>
      <w:r w:rsidR="006721EA">
        <w:t xml:space="preserve">(Netback only </w:t>
      </w:r>
      <w:r w:rsidR="00D87B59">
        <w:t>or</w:t>
      </w:r>
      <w:r w:rsidR="006721EA">
        <w:t xml:space="preserve"> modified RPM) </w:t>
      </w:r>
      <w:r>
        <w:t>that</w:t>
      </w:r>
      <w:r w:rsidR="00442723">
        <w:t xml:space="preserve"> are consistent with the design of the PRRT</w:t>
      </w:r>
      <w:r w:rsidR="00B703CC">
        <w:t xml:space="preserve"> as a </w:t>
      </w:r>
      <w:r w:rsidR="008C7318">
        <w:t>project-based</w:t>
      </w:r>
      <w:r w:rsidR="00B703CC">
        <w:t xml:space="preserve"> tax </w:t>
      </w:r>
      <w:r w:rsidR="00014C6D">
        <w:t>that allows a return to</w:t>
      </w:r>
      <w:r w:rsidR="00A74BA2">
        <w:t xml:space="preserve"> </w:t>
      </w:r>
      <w:r w:rsidR="00793055">
        <w:t xml:space="preserve">investment before PRRT </w:t>
      </w:r>
      <w:r w:rsidR="00D10952">
        <w:t xml:space="preserve">is </w:t>
      </w:r>
      <w:r w:rsidR="00793055">
        <w:t xml:space="preserve">payable, that does not tax the </w:t>
      </w:r>
      <w:r w:rsidR="00331B8B">
        <w:t>‘</w:t>
      </w:r>
      <w:r w:rsidR="00793055">
        <w:t>value add</w:t>
      </w:r>
      <w:r w:rsidR="00331B8B">
        <w:t>’</w:t>
      </w:r>
      <w:r w:rsidR="00793055">
        <w:t xml:space="preserve"> of the downstream</w:t>
      </w:r>
      <w:r w:rsidR="00331B8B">
        <w:t xml:space="preserve"> </w:t>
      </w:r>
      <w:r w:rsidR="00A15A4B">
        <w:t>functions</w:t>
      </w:r>
      <w:r w:rsidR="00290F48">
        <w:t xml:space="preserve"> and ensures that</w:t>
      </w:r>
      <w:r w:rsidR="007A4E62">
        <w:t xml:space="preserve"> </w:t>
      </w:r>
      <w:r w:rsidR="00DA3697">
        <w:t>resulting profits</w:t>
      </w:r>
      <w:r w:rsidR="007A4E62">
        <w:t xml:space="preserve"> are taxed a</w:t>
      </w:r>
      <w:r w:rsidR="006007F9">
        <w:t>t the PRRT tax rate.</w:t>
      </w:r>
      <w:r w:rsidR="006721EA">
        <w:t xml:space="preserve"> Treasury has also </w:t>
      </w:r>
      <w:bookmarkStart w:id="11" w:name="_Toc30064607"/>
      <w:r w:rsidR="00193A05">
        <w:t xml:space="preserve">suggested </w:t>
      </w:r>
      <w:r w:rsidR="00F51EC1">
        <w:t xml:space="preserve">an alternative </w:t>
      </w:r>
      <w:r w:rsidR="00642A1B">
        <w:t xml:space="preserve">change </w:t>
      </w:r>
      <w:r w:rsidR="000E1F3E">
        <w:t>(</w:t>
      </w:r>
      <w:r w:rsidR="00123FDD">
        <w:t xml:space="preserve">deductions </w:t>
      </w:r>
      <w:r w:rsidR="000E1F3E">
        <w:t>cap</w:t>
      </w:r>
      <w:r w:rsidR="00123FDD">
        <w:t>)</w:t>
      </w:r>
      <w:r w:rsidR="00D87B59">
        <w:t>,</w:t>
      </w:r>
      <w:r w:rsidR="000E1F3E">
        <w:t xml:space="preserve"> </w:t>
      </w:r>
      <w:r w:rsidR="00FB1865">
        <w:t>which would be an</w:t>
      </w:r>
      <w:r w:rsidR="000E1F3E">
        <w:t xml:space="preserve"> </w:t>
      </w:r>
      <w:r w:rsidR="00F51EC1">
        <w:t>adaptation of the PRRT’s function as a rent tax</w:t>
      </w:r>
      <w:r w:rsidR="00D87B59">
        <w:t>,</w:t>
      </w:r>
      <w:r w:rsidR="00FE31EE">
        <w:t xml:space="preserve"> as a way of </w:t>
      </w:r>
      <w:r w:rsidR="007B0506" w:rsidRPr="0005767C">
        <w:t>bringing forward PRRT revenue</w:t>
      </w:r>
      <w:r w:rsidR="007B0506">
        <w:t xml:space="preserve"> and ensuring a minimum return to </w:t>
      </w:r>
      <w:r w:rsidR="002E4ACC">
        <w:t>the Australian community</w:t>
      </w:r>
      <w:r w:rsidR="007B0506">
        <w:t xml:space="preserve"> from the offshore LNG industry.</w:t>
      </w:r>
      <w:r w:rsidR="00FE31EE">
        <w:t xml:space="preserve"> </w:t>
      </w:r>
      <w:r w:rsidR="00015F49">
        <w:t xml:space="preserve"> </w:t>
      </w:r>
    </w:p>
    <w:p w14:paraId="741BCE31" w14:textId="49B35696" w:rsidR="00A34F16" w:rsidRDefault="00C02949" w:rsidP="009F33B2">
      <w:r>
        <w:t>Treasury considers t</w:t>
      </w:r>
      <w:r w:rsidRPr="00430E41">
        <w:t>he</w:t>
      </w:r>
      <w:r>
        <w:t xml:space="preserve"> proposed changes should apply to all projects as soon as is practical</w:t>
      </w:r>
      <w:r w:rsidR="00C268A6">
        <w:t xml:space="preserve">, subject to detailed design of new </w:t>
      </w:r>
      <w:r w:rsidR="00F41172">
        <w:t>law</w:t>
      </w:r>
      <w:r>
        <w:t>.</w:t>
      </w:r>
      <w:r w:rsidR="00047474">
        <w:t xml:space="preserve"> </w:t>
      </w:r>
    </w:p>
    <w:p w14:paraId="03F8DF71" w14:textId="2A3D191B" w:rsidR="009449C7" w:rsidRPr="006862EF" w:rsidRDefault="009449C7" w:rsidP="006862EF">
      <w:pPr>
        <w:pStyle w:val="Heading1"/>
      </w:pPr>
      <w:bookmarkStart w:id="12" w:name="_Toc134273559"/>
      <w:bookmarkEnd w:id="11"/>
      <w:r w:rsidRPr="006862EF">
        <w:lastRenderedPageBreak/>
        <w:t xml:space="preserve">3. </w:t>
      </w:r>
      <w:r w:rsidR="00FA3D62">
        <w:t xml:space="preserve">The </w:t>
      </w:r>
      <w:r w:rsidR="00C31FF4">
        <w:t>g</w:t>
      </w:r>
      <w:r w:rsidRPr="006862EF">
        <w:t xml:space="preserve">as </w:t>
      </w:r>
      <w:r w:rsidR="00C31FF4">
        <w:t>t</w:t>
      </w:r>
      <w:r w:rsidRPr="006862EF">
        <w:t xml:space="preserve">ransfer </w:t>
      </w:r>
      <w:r w:rsidR="00C31FF4">
        <w:t>p</w:t>
      </w:r>
      <w:r w:rsidRPr="006862EF">
        <w:t>ricing</w:t>
      </w:r>
      <w:r w:rsidR="00C31FF4">
        <w:t xml:space="preserve"> rules</w:t>
      </w:r>
      <w:bookmarkEnd w:id="12"/>
    </w:p>
    <w:p w14:paraId="7DA091BE" w14:textId="77777777" w:rsidR="009449C7" w:rsidRPr="00C97822" w:rsidRDefault="009449C7" w:rsidP="009449C7">
      <w:pPr>
        <w:pStyle w:val="Heading2"/>
      </w:pPr>
      <w:bookmarkStart w:id="13" w:name="_Toc30064608"/>
      <w:bookmarkStart w:id="14" w:name="_Toc134273560"/>
      <w:r w:rsidRPr="00C97822">
        <w:t>3.1 Overview</w:t>
      </w:r>
      <w:bookmarkEnd w:id="13"/>
      <w:bookmarkEnd w:id="14"/>
    </w:p>
    <w:p w14:paraId="023B61B6" w14:textId="3B718B7E" w:rsidR="009A1E66" w:rsidRDefault="009A1E66" w:rsidP="009A1E66">
      <w:bookmarkStart w:id="15" w:name="_Toc30064610"/>
      <w:r>
        <w:t xml:space="preserve">The purpose of the gas transfer pricing (GTP) </w:t>
      </w:r>
      <w:r w:rsidR="00C31FF4">
        <w:t>rules</w:t>
      </w:r>
      <w:r w:rsidR="00723DE8">
        <w:t xml:space="preserve"> </w:t>
      </w:r>
      <w:r>
        <w:t xml:space="preserve">is to determine the price of </w:t>
      </w:r>
      <w:r w:rsidR="00B53283">
        <w:t xml:space="preserve">feedstock natural </w:t>
      </w:r>
      <w:r w:rsidR="00180E1B">
        <w:t>gas</w:t>
      </w:r>
      <w:r>
        <w:t xml:space="preserve"> (</w:t>
      </w:r>
      <w:r w:rsidR="00B53283">
        <w:t>sales</w:t>
      </w:r>
      <w:r w:rsidR="00095D97">
        <w:t xml:space="preserve"> </w:t>
      </w:r>
      <w:r>
        <w:t>gas) used to produce LNG which, in turn, is used to calculate PRRT revenue from an LNG project.</w:t>
      </w:r>
      <w:r>
        <w:rPr>
          <w:rStyle w:val="FootnoteReference"/>
        </w:rPr>
        <w:footnoteReference w:id="6"/>
      </w:r>
      <w:r w:rsidR="00151767">
        <w:t xml:space="preserve"> </w:t>
      </w:r>
      <w:r>
        <w:t xml:space="preserve">A transfer price must be determined because, unlike natural gas sold to the domestic market through the conventional pipeline network, there is no arm’s length sale in integrated operations </w:t>
      </w:r>
      <w:r w:rsidR="00697131">
        <w:t>that convert</w:t>
      </w:r>
      <w:r>
        <w:t xml:space="preserve"> natural gas </w:t>
      </w:r>
      <w:r w:rsidR="00697131">
        <w:t>in</w:t>
      </w:r>
      <w:r>
        <w:t xml:space="preserve">to LNG. </w:t>
      </w:r>
    </w:p>
    <w:p w14:paraId="3B2035B2" w14:textId="75FB7F9B" w:rsidR="009A1E66" w:rsidRDefault="00697131" w:rsidP="009A1E66">
      <w:r>
        <w:t>T</w:t>
      </w:r>
      <w:r w:rsidR="009A1E66">
        <w:t>he LNG sale price is not used to calculate a PRRT liability because PRRT applies to profits generated from the sale of ‘marketable petroleum commodities’</w:t>
      </w:r>
      <w:r w:rsidR="0041479A">
        <w:t xml:space="preserve"> (MPC)</w:t>
      </w:r>
      <w:r w:rsidR="009A1E66">
        <w:t xml:space="preserve"> produced or extracted from a reservoir. </w:t>
      </w:r>
      <w:r>
        <w:t>In the context of this Review</w:t>
      </w:r>
      <w:r w:rsidR="009A1E66">
        <w:t>, th</w:t>
      </w:r>
      <w:r>
        <w:t>e relevant</w:t>
      </w:r>
      <w:r w:rsidR="009A1E66">
        <w:t xml:space="preserve"> commodity is sales gas, </w:t>
      </w:r>
      <w:r w:rsidR="005A3BA3">
        <w:t xml:space="preserve">which </w:t>
      </w:r>
      <w:r w:rsidR="008375BA">
        <w:t>has been processed to remove liquid petroleum gas</w:t>
      </w:r>
      <w:r w:rsidR="009231A1">
        <w:t>, condensate</w:t>
      </w:r>
      <w:r w:rsidR="007575C5">
        <w:t>,</w:t>
      </w:r>
      <w:r w:rsidR="009231A1">
        <w:t xml:space="preserve"> and carbon dioxide, </w:t>
      </w:r>
      <w:r w:rsidR="009A1E66">
        <w:t xml:space="preserve">whereas LNG is a downstream product made from sales gas. Thus, the applicable input </w:t>
      </w:r>
      <w:r>
        <w:t>for determining</w:t>
      </w:r>
      <w:r w:rsidR="009A1E66">
        <w:t xml:space="preserve"> a PRRT liability is the </w:t>
      </w:r>
      <w:r w:rsidR="00445BAF">
        <w:t xml:space="preserve">sales gas </w:t>
      </w:r>
      <w:r w:rsidR="009A1E66">
        <w:t xml:space="preserve">price, rather than </w:t>
      </w:r>
      <w:r w:rsidR="00660300">
        <w:t xml:space="preserve">the </w:t>
      </w:r>
      <w:r w:rsidR="009A1E66">
        <w:t>LNG</w:t>
      </w:r>
      <w:r w:rsidR="00660300">
        <w:t xml:space="preserve"> price</w:t>
      </w:r>
      <w:r w:rsidR="009A1E66">
        <w:t>.</w:t>
      </w:r>
    </w:p>
    <w:p w14:paraId="5DB8B871" w14:textId="0D1A28D3" w:rsidR="009A1E66" w:rsidRPr="000A2622" w:rsidRDefault="009A1E66" w:rsidP="009A1E66">
      <w:r>
        <w:t xml:space="preserve">The </w:t>
      </w:r>
      <w:r w:rsidR="00D1791C">
        <w:t>GTP Regulation</w:t>
      </w:r>
      <w:r>
        <w:t xml:space="preserve"> w</w:t>
      </w:r>
      <w:r w:rsidR="00E502D7">
        <w:t>as</w:t>
      </w:r>
      <w:r>
        <w:t xml:space="preserve"> originally introduced in 2005 in</w:t>
      </w:r>
      <w:r w:rsidR="009852F3">
        <w:t xml:space="preserve">volving </w:t>
      </w:r>
      <w:r w:rsidR="001C4C39">
        <w:t>a</w:t>
      </w:r>
      <w:r w:rsidR="009852F3">
        <w:t xml:space="preserve"> </w:t>
      </w:r>
      <w:r>
        <w:t>co</w:t>
      </w:r>
      <w:r w:rsidR="001C4C39">
        <w:t>-design</w:t>
      </w:r>
      <w:r w:rsidR="005C1621">
        <w:t xml:space="preserve"> process</w:t>
      </w:r>
      <w:r>
        <w:t xml:space="preserve"> with the industry</w:t>
      </w:r>
      <w:r w:rsidR="005C1621">
        <w:t xml:space="preserve"> and involving </w:t>
      </w:r>
      <w:r w:rsidR="009852F3">
        <w:t xml:space="preserve">an </w:t>
      </w:r>
      <w:r w:rsidR="005C1621">
        <w:t>independent report</w:t>
      </w:r>
      <w:r w:rsidR="001C4C39">
        <w:t xml:space="preserve"> by</w:t>
      </w:r>
      <w:r w:rsidR="00B04C57">
        <w:t xml:space="preserve"> </w:t>
      </w:r>
      <w:r w:rsidR="00D25B3D">
        <w:t>former</w:t>
      </w:r>
      <w:r w:rsidR="00866975">
        <w:t xml:space="preserve"> accounting</w:t>
      </w:r>
      <w:r w:rsidR="00B04C57">
        <w:t xml:space="preserve"> firm,</w:t>
      </w:r>
      <w:r w:rsidR="001C4C39">
        <w:t xml:space="preserve"> Arth</w:t>
      </w:r>
      <w:r w:rsidR="00B04C57">
        <w:t>u</w:t>
      </w:r>
      <w:r w:rsidR="001C4C39">
        <w:t>r Andersen</w:t>
      </w:r>
      <w:r w:rsidR="009852F3">
        <w:t>, the background</w:t>
      </w:r>
      <w:r w:rsidR="00697131">
        <w:t xml:space="preserve"> of which is set out further below</w:t>
      </w:r>
      <w:r w:rsidR="000064FA">
        <w:t>.</w:t>
      </w:r>
      <w:r w:rsidR="00151767">
        <w:t xml:space="preserve"> </w:t>
      </w:r>
    </w:p>
    <w:p w14:paraId="76237D6D" w14:textId="1FEDCBB0" w:rsidR="009449C7" w:rsidRPr="00C97822" w:rsidRDefault="009449C7" w:rsidP="009449C7">
      <w:pPr>
        <w:pStyle w:val="Heading2"/>
      </w:pPr>
      <w:bookmarkStart w:id="16" w:name="_Toc134273561"/>
      <w:r w:rsidRPr="00C97822">
        <w:t>3.2 Background</w:t>
      </w:r>
      <w:bookmarkEnd w:id="15"/>
      <w:bookmarkEnd w:id="16"/>
    </w:p>
    <w:p w14:paraId="03F9554B" w14:textId="6FE2B093" w:rsidR="002E3E83" w:rsidRDefault="00E120C8" w:rsidP="002E3E83">
      <w:pPr>
        <w:pStyle w:val="Heading3"/>
      </w:pPr>
      <w:bookmarkStart w:id="17" w:name="_Hlk127443848"/>
      <w:r>
        <w:t xml:space="preserve">Overview </w:t>
      </w:r>
      <w:r w:rsidR="003A1AF6">
        <w:t xml:space="preserve">and </w:t>
      </w:r>
      <w:r w:rsidR="005377C2">
        <w:t>h</w:t>
      </w:r>
      <w:r w:rsidR="002E3E83">
        <w:t>istorical context of the PRRT</w:t>
      </w:r>
    </w:p>
    <w:bookmarkEnd w:id="17"/>
    <w:p w14:paraId="0D6E9B63" w14:textId="0E6AE483" w:rsidR="005377C2" w:rsidRDefault="00C55EEA" w:rsidP="005377C2">
      <w:r>
        <w:t>T</w:t>
      </w:r>
      <w:r w:rsidR="005377C2">
        <w:t xml:space="preserve">he PRRT is a profit-based tax </w:t>
      </w:r>
      <w:r w:rsidR="00C657D7">
        <w:t>which aims to tax</w:t>
      </w:r>
      <w:r w:rsidR="005377C2">
        <w:t xml:space="preserve"> the economic rents in a petroleum project. </w:t>
      </w:r>
      <w:r w:rsidR="00E10C3D">
        <w:t>As a rent tax it seeks to tax</w:t>
      </w:r>
      <w:r w:rsidR="00E1416A">
        <w:t xml:space="preserve"> the returns to investors after a normal rate of return </w:t>
      </w:r>
      <w:r w:rsidR="001C278B">
        <w:t xml:space="preserve">with the aim of minimising </w:t>
      </w:r>
      <w:r w:rsidR="00127B56">
        <w:t>any distortion o</w:t>
      </w:r>
      <w:r w:rsidR="00585553">
        <w:t>f</w:t>
      </w:r>
      <w:r w:rsidR="00127B56">
        <w:t xml:space="preserve"> investment de</w:t>
      </w:r>
      <w:r w:rsidR="007E7325">
        <w:t>cisions.</w:t>
      </w:r>
      <w:r w:rsidR="00F9029E">
        <w:t xml:space="preserve"> </w:t>
      </w:r>
      <w:r w:rsidR="005377C2">
        <w:t>Unlike other resource taxation mechanisms such as production-based royalties or excises, the PRRT is intended to emulate the tax neutrality benefits, but not the revenue risks, of cash-flow taxation</w:t>
      </w:r>
      <w:r w:rsidR="00B3430F">
        <w:t>.</w:t>
      </w:r>
      <w:r w:rsidR="005377C2">
        <w:t xml:space="preserve"> That is, the PRRT taxes annual positive cash flow, but does not provide general cash rebates for annual tax losses. Instead, tax losses are carried forward and uplifted (or augmented) annually to preserve their value and offset against any future positive cash flow of projects. </w:t>
      </w:r>
    </w:p>
    <w:p w14:paraId="547B55CE" w14:textId="41BFF602" w:rsidR="00E2217E" w:rsidRDefault="004F0D47" w:rsidP="002E3E83">
      <w:r>
        <w:t>T</w:t>
      </w:r>
      <w:r w:rsidR="00DC7187">
        <w:t>he PRRT was introduced</w:t>
      </w:r>
      <w:r w:rsidR="00BF3925">
        <w:t xml:space="preserve"> </w:t>
      </w:r>
      <w:r w:rsidR="00451EA5">
        <w:t>in 1987</w:t>
      </w:r>
      <w:r w:rsidR="00EE253E">
        <w:t xml:space="preserve"> </w:t>
      </w:r>
      <w:r w:rsidR="00FC3DBF">
        <w:t xml:space="preserve">when </w:t>
      </w:r>
      <w:r w:rsidR="00BC2FD9">
        <w:t>development</w:t>
      </w:r>
      <w:r w:rsidR="002F0892">
        <w:t xml:space="preserve"> of petroleum resources was largely focused on o</w:t>
      </w:r>
      <w:r w:rsidR="00AF63E9">
        <w:t>il</w:t>
      </w:r>
      <w:r>
        <w:t xml:space="preserve"> </w:t>
      </w:r>
      <w:r w:rsidR="00AF63E9">
        <w:t>rather than gas.</w:t>
      </w:r>
      <w:r w:rsidR="00151767">
        <w:t xml:space="preserve"> </w:t>
      </w:r>
      <w:r w:rsidR="00955927">
        <w:t xml:space="preserve">Its </w:t>
      </w:r>
      <w:r w:rsidR="00E2217E">
        <w:t xml:space="preserve">policy design reflects key characteristics of </w:t>
      </w:r>
      <w:r w:rsidR="00EB235C">
        <w:t xml:space="preserve">petroleum resource </w:t>
      </w:r>
      <w:r w:rsidR="001E1A41">
        <w:t>development</w:t>
      </w:r>
      <w:r w:rsidR="00EB235C">
        <w:t xml:space="preserve">, namely that </w:t>
      </w:r>
      <w:r w:rsidR="004E22E8">
        <w:t>it</w:t>
      </w:r>
      <w:r w:rsidR="00EB235C">
        <w:t xml:space="preserve"> carr</w:t>
      </w:r>
      <w:r w:rsidR="00CA341B">
        <w:t>ies</w:t>
      </w:r>
      <w:r w:rsidR="00EB235C">
        <w:t xml:space="preserve"> high levels of risk for firms, but also the prospect of high reward in the form of economic rents</w:t>
      </w:r>
      <w:r w:rsidR="00C801FB">
        <w:t xml:space="preserve"> attributable to the resource</w:t>
      </w:r>
      <w:r w:rsidR="00EB235C">
        <w:t>. Key features of the PRRT</w:t>
      </w:r>
      <w:r w:rsidR="00092478">
        <w:t xml:space="preserve"> that reflect the principles</w:t>
      </w:r>
      <w:r w:rsidR="007F6CE7">
        <w:t xml:space="preserve"> of economic rent taxation</w:t>
      </w:r>
      <w:r w:rsidR="00EB235C">
        <w:t xml:space="preserve"> includ</w:t>
      </w:r>
      <w:r w:rsidR="007F6CE7">
        <w:t>e</w:t>
      </w:r>
      <w:r w:rsidR="00EB235C">
        <w:t xml:space="preserve"> </w:t>
      </w:r>
      <w:r w:rsidR="00081B86">
        <w:t xml:space="preserve">immediate </w:t>
      </w:r>
      <w:r w:rsidR="005377C2">
        <w:t xml:space="preserve">deductibility of capital </w:t>
      </w:r>
      <w:r w:rsidR="00233F48">
        <w:t xml:space="preserve">and revenue </w:t>
      </w:r>
      <w:r w:rsidR="005377C2">
        <w:t xml:space="preserve">expenditure, carry-forward and uplifting of </w:t>
      </w:r>
      <w:r w:rsidR="00B617DD">
        <w:t>un</w:t>
      </w:r>
      <w:r w:rsidR="005377C2">
        <w:t xml:space="preserve">deducted expenditure and refundability of </w:t>
      </w:r>
      <w:r w:rsidR="004C0495">
        <w:t>PRRT previously paid</w:t>
      </w:r>
      <w:r w:rsidR="0090559D">
        <w:t xml:space="preserve"> </w:t>
      </w:r>
      <w:r w:rsidR="003D0A5E">
        <w:t xml:space="preserve">for costs incurred </w:t>
      </w:r>
      <w:r w:rsidR="0090559D">
        <w:t xml:space="preserve">when a project is closed. </w:t>
      </w:r>
    </w:p>
    <w:p w14:paraId="3DB786FD" w14:textId="77777777" w:rsidR="001F4BA5" w:rsidRDefault="00CB7EEA" w:rsidP="009A1E66">
      <w:r>
        <w:t xml:space="preserve">The </w:t>
      </w:r>
      <w:r w:rsidR="006F5DED" w:rsidRPr="006F5DED">
        <w:t>pronounced shift away from oil</w:t>
      </w:r>
      <w:r w:rsidR="00766437">
        <w:t xml:space="preserve"> and domestic gas projects</w:t>
      </w:r>
      <w:r w:rsidR="006F5DED" w:rsidRPr="006F5DED">
        <w:t xml:space="preserve"> in favour </w:t>
      </w:r>
      <w:r w:rsidR="000F01AD">
        <w:t xml:space="preserve">of </w:t>
      </w:r>
      <w:r w:rsidR="006F5DED" w:rsidRPr="006F5DED">
        <w:t>large-scale LNG projects</w:t>
      </w:r>
      <w:r w:rsidR="00E423DD">
        <w:t xml:space="preserve"> over the last two decades</w:t>
      </w:r>
      <w:r w:rsidR="00CA6978">
        <w:t xml:space="preserve"> </w:t>
      </w:r>
      <w:r w:rsidR="004E3F9D">
        <w:t>has impor</w:t>
      </w:r>
      <w:r w:rsidR="009A5135">
        <w:t>tant implications for the PRRT.</w:t>
      </w:r>
      <w:r w:rsidR="00BF3B9E">
        <w:t xml:space="preserve"> </w:t>
      </w:r>
      <w:r w:rsidR="004F4FD9">
        <w:t>LNG</w:t>
      </w:r>
      <w:r w:rsidR="006F5DED" w:rsidRPr="006F5DED">
        <w:t xml:space="preserve"> projects have very different PRRT profiles as a result </w:t>
      </w:r>
      <w:r w:rsidR="00EF5AEA">
        <w:t>o</w:t>
      </w:r>
      <w:r w:rsidR="006F5DED" w:rsidRPr="006F5DED">
        <w:t>f different project structures, lifecycle</w:t>
      </w:r>
      <w:r w:rsidR="00CF190B">
        <w:t>s</w:t>
      </w:r>
      <w:r w:rsidR="00376E82">
        <w:t>,</w:t>
      </w:r>
      <w:r w:rsidR="006F5DED" w:rsidRPr="006F5DED">
        <w:t xml:space="preserve"> and levels of capital expenditure. For instance, LNG projects are highly capital intensive and, compared to oil projects, generally take much longer to become cash </w:t>
      </w:r>
      <w:r w:rsidR="009A5135">
        <w:t xml:space="preserve">flow </w:t>
      </w:r>
      <w:r w:rsidR="006F5DED" w:rsidRPr="006F5DED">
        <w:t xml:space="preserve">positive after commencing production. </w:t>
      </w:r>
    </w:p>
    <w:p w14:paraId="1EE2AE87" w14:textId="41DFB1DF" w:rsidR="00046658" w:rsidRDefault="006F5DED" w:rsidP="009A1E66">
      <w:r w:rsidRPr="006F5DED">
        <w:lastRenderedPageBreak/>
        <w:t xml:space="preserve">This has flow-on effects in terms of </w:t>
      </w:r>
      <w:r w:rsidR="004C5DB7" w:rsidRPr="006F5DED">
        <w:t xml:space="preserve">assessable </w:t>
      </w:r>
      <w:r w:rsidRPr="006F5DED">
        <w:t xml:space="preserve">PRRT revenue, particularly where firms have very large </w:t>
      </w:r>
      <w:r w:rsidR="00CE097B">
        <w:t xml:space="preserve">carry-forward </w:t>
      </w:r>
      <w:r w:rsidR="00F879A9">
        <w:t xml:space="preserve">deductions </w:t>
      </w:r>
      <w:r w:rsidR="005C300B">
        <w:t xml:space="preserve">that are uplifted for years, sometimes decades, allowing </w:t>
      </w:r>
      <w:r w:rsidR="00DB6350">
        <w:t>excessive</w:t>
      </w:r>
      <w:r w:rsidR="005C300B">
        <w:t xml:space="preserve"> compounding to occur</w:t>
      </w:r>
      <w:r w:rsidRPr="006F5DED">
        <w:t>.</w:t>
      </w:r>
    </w:p>
    <w:p w14:paraId="2933D1FF" w14:textId="059B8D0C" w:rsidR="007943BA" w:rsidRPr="007943BA" w:rsidRDefault="00822A2E" w:rsidP="00C91009">
      <w:pPr>
        <w:pStyle w:val="Heading3"/>
        <w:rPr>
          <w:rFonts w:ascii="Courier New" w:hAnsi="Courier New"/>
        </w:rPr>
      </w:pPr>
      <w:r>
        <w:t>Development of the Gas Transfer Price methodology</w:t>
      </w:r>
    </w:p>
    <w:p w14:paraId="51306307" w14:textId="0EE9ACE6" w:rsidR="009A1E66" w:rsidRDefault="00442C1E" w:rsidP="009A1E66">
      <w:r>
        <w:t xml:space="preserve">The major expansion </w:t>
      </w:r>
      <w:r w:rsidR="00737EF6">
        <w:t>of</w:t>
      </w:r>
      <w:r>
        <w:t xml:space="preserve"> the Australian LNG industry</w:t>
      </w:r>
      <w:r w:rsidR="009D0398">
        <w:t xml:space="preserve"> began in the 2000s</w:t>
      </w:r>
      <w:r w:rsidR="0038023B">
        <w:t>,</w:t>
      </w:r>
      <w:r w:rsidR="00870373">
        <w:t xml:space="preserve"> following expectations</w:t>
      </w:r>
      <w:r w:rsidR="00F20A39">
        <w:t xml:space="preserve"> of growing international demand for gas</w:t>
      </w:r>
      <w:r w:rsidR="007D7850">
        <w:t>. This</w:t>
      </w:r>
      <w:r w:rsidR="00210EA7">
        <w:t xml:space="preserve"> made</w:t>
      </w:r>
      <w:r w:rsidR="0074778A">
        <w:t xml:space="preserve"> the</w:t>
      </w:r>
      <w:r w:rsidR="00B34A39">
        <w:t xml:space="preserve"> significant</w:t>
      </w:r>
      <w:r w:rsidR="0033494A">
        <w:t xml:space="preserve"> discover</w:t>
      </w:r>
      <w:r w:rsidR="004E1257">
        <w:t>ies of gas</w:t>
      </w:r>
      <w:r w:rsidR="00761727">
        <w:t xml:space="preserve"> fields in </w:t>
      </w:r>
      <w:r w:rsidR="00972D1B">
        <w:t>remote</w:t>
      </w:r>
      <w:r w:rsidR="009676CA">
        <w:t xml:space="preserve"> Commonwealth waters</w:t>
      </w:r>
      <w:r w:rsidR="00505CB8">
        <w:t>, among others,</w:t>
      </w:r>
      <w:r w:rsidR="00210EA7">
        <w:t xml:space="preserve"> economic to exploit</w:t>
      </w:r>
      <w:r w:rsidR="0023771E">
        <w:t>.</w:t>
      </w:r>
      <w:r w:rsidR="00697131">
        <w:t xml:space="preserve"> </w:t>
      </w:r>
      <w:r w:rsidR="00BC5FEB">
        <w:t>By default</w:t>
      </w:r>
      <w:r w:rsidR="00C37FD2">
        <w:t>,</w:t>
      </w:r>
      <w:r w:rsidR="00BC5FEB">
        <w:t xml:space="preserve"> offshore </w:t>
      </w:r>
      <w:r w:rsidR="00697131">
        <w:t xml:space="preserve">projects </w:t>
      </w:r>
      <w:r w:rsidR="00BC5FEB">
        <w:t>are</w:t>
      </w:r>
      <w:r w:rsidR="00697131">
        <w:t xml:space="preserve"> subject to PRRT </w:t>
      </w:r>
      <w:r w:rsidR="00B82073">
        <w:t>but</w:t>
      </w:r>
      <w:r w:rsidR="008350A1">
        <w:t>,</w:t>
      </w:r>
      <w:r w:rsidR="009A1E66">
        <w:t xml:space="preserve"> </w:t>
      </w:r>
      <w:r w:rsidR="006C6D02">
        <w:t>at the time</w:t>
      </w:r>
      <w:r w:rsidR="008350A1">
        <w:t>,</w:t>
      </w:r>
      <w:r w:rsidR="006C6D02">
        <w:t xml:space="preserve"> </w:t>
      </w:r>
      <w:r w:rsidR="009A1E66">
        <w:t xml:space="preserve">there was uncertainty as to how </w:t>
      </w:r>
      <w:r w:rsidR="00232084">
        <w:t>PRRT</w:t>
      </w:r>
      <w:r w:rsidR="0041479A">
        <w:t xml:space="preserve"> would apply </w:t>
      </w:r>
      <w:r w:rsidR="009A1E66">
        <w:t xml:space="preserve">given the relevant </w:t>
      </w:r>
      <w:r w:rsidR="0041479A">
        <w:t xml:space="preserve">MPC </w:t>
      </w:r>
      <w:r w:rsidR="009A1E66">
        <w:t>is sales gas and not LNG.</w:t>
      </w:r>
      <w:r w:rsidR="008350A1">
        <w:rPr>
          <w:rStyle w:val="FootnoteReference"/>
        </w:rPr>
        <w:footnoteReference w:id="7"/>
      </w:r>
      <w:r w:rsidR="009A1E66">
        <w:t xml:space="preserve"> </w:t>
      </w:r>
    </w:p>
    <w:p w14:paraId="4853E3AD" w14:textId="19DC091D" w:rsidR="009A1E66" w:rsidRDefault="009A1E66" w:rsidP="009A1E66">
      <w:r>
        <w:t xml:space="preserve">In the late 1990s, the Government worked with industry to agree on a set of principles for determining a way to price the </w:t>
      </w:r>
      <w:r w:rsidR="00B64F86">
        <w:t xml:space="preserve">sales </w:t>
      </w:r>
      <w:r>
        <w:t xml:space="preserve">gas </w:t>
      </w:r>
      <w:r w:rsidR="00AE26AC">
        <w:t xml:space="preserve">used </w:t>
      </w:r>
      <w:r>
        <w:t>in LNG operations, which comprised the following:</w:t>
      </w:r>
    </w:p>
    <w:p w14:paraId="55523F69" w14:textId="49DAF839" w:rsidR="009A1E66" w:rsidRDefault="009A1E66" w:rsidP="008C7318">
      <w:pPr>
        <w:pStyle w:val="Bullet"/>
      </w:pPr>
      <w:r>
        <w:t xml:space="preserve">Only upstream activities </w:t>
      </w:r>
      <w:r w:rsidR="00B64F86">
        <w:t>(extraction</w:t>
      </w:r>
      <w:r w:rsidR="006553ED">
        <w:t xml:space="preserve"> and processing to sales gas</w:t>
      </w:r>
      <w:r w:rsidR="00B64F86">
        <w:t xml:space="preserve">) </w:t>
      </w:r>
      <w:r>
        <w:t>would be liable for PRRT</w:t>
      </w:r>
    </w:p>
    <w:p w14:paraId="4F5777A2" w14:textId="77777777" w:rsidR="009A1E66" w:rsidRDefault="009A1E66" w:rsidP="008C7318">
      <w:pPr>
        <w:pStyle w:val="Bullet"/>
      </w:pPr>
      <w:r>
        <w:t>Outcomes should be assessed against economic efficiency criteria</w:t>
      </w:r>
    </w:p>
    <w:p w14:paraId="69956F8B" w14:textId="77777777" w:rsidR="009A1E66" w:rsidRDefault="009A1E66" w:rsidP="008C7318">
      <w:pPr>
        <w:pStyle w:val="Bullet"/>
      </w:pPr>
      <w:r>
        <w:t>GTP methodology should apply to all integrated LNG projects</w:t>
      </w:r>
      <w:r>
        <w:rPr>
          <w:rStyle w:val="FootnoteReference"/>
        </w:rPr>
        <w:footnoteReference w:id="8"/>
      </w:r>
    </w:p>
    <w:p w14:paraId="24E524B4" w14:textId="77777777" w:rsidR="009A1E66" w:rsidRDefault="009A1E66" w:rsidP="008C7318">
      <w:pPr>
        <w:pStyle w:val="Bullet"/>
      </w:pPr>
      <w:r>
        <w:t>Project risks should be equitably reflected on all cost centres</w:t>
      </w:r>
    </w:p>
    <w:p w14:paraId="05BDD4E0" w14:textId="77777777" w:rsidR="009A1E66" w:rsidRDefault="009A1E66" w:rsidP="008C7318">
      <w:pPr>
        <w:pStyle w:val="Bullet"/>
      </w:pPr>
      <w:r>
        <w:t>The transfer price should reference the first commercial third-party price for derivative products</w:t>
      </w:r>
    </w:p>
    <w:p w14:paraId="5E9C53CA" w14:textId="77777777" w:rsidR="009A1E66" w:rsidRDefault="009A1E66" w:rsidP="008C7318">
      <w:pPr>
        <w:pStyle w:val="Bullet"/>
      </w:pPr>
      <w:r>
        <w:t xml:space="preserve">The transfer price should be transparent, equitable, auditable, and simple to administer. </w:t>
      </w:r>
    </w:p>
    <w:p w14:paraId="01211614" w14:textId="03DA2DD9" w:rsidR="009A1E66" w:rsidRDefault="009A1E66" w:rsidP="009A1E66">
      <w:pPr>
        <w:spacing w:before="0" w:after="0"/>
      </w:pPr>
      <w:r>
        <w:t>The Government commissioned a report</w:t>
      </w:r>
      <w:r w:rsidR="00736496">
        <w:rPr>
          <w:rStyle w:val="FootnoteReference"/>
        </w:rPr>
        <w:footnoteReference w:id="9"/>
      </w:r>
      <w:r>
        <w:t xml:space="preserve"> from </w:t>
      </w:r>
      <w:r w:rsidR="00AE26AC">
        <w:t xml:space="preserve">the </w:t>
      </w:r>
      <w:r w:rsidR="005160DA">
        <w:t>former accounting</w:t>
      </w:r>
      <w:r w:rsidR="00AE26AC">
        <w:t xml:space="preserve"> firm, </w:t>
      </w:r>
      <w:r>
        <w:t>Arthur Anders</w:t>
      </w:r>
      <w:r w:rsidR="005160DA">
        <w:t>e</w:t>
      </w:r>
      <w:r>
        <w:t>n</w:t>
      </w:r>
      <w:r w:rsidR="00AE26AC">
        <w:t>,</w:t>
      </w:r>
      <w:r>
        <w:t xml:space="preserve"> in 1998 to perform an analysis of the LNG industry and recommend </w:t>
      </w:r>
      <w:r w:rsidR="00232084">
        <w:t>a</w:t>
      </w:r>
      <w:r>
        <w:t xml:space="preserve"> methodology that would determine </w:t>
      </w:r>
      <w:r w:rsidR="00232084">
        <w:t>the</w:t>
      </w:r>
      <w:r>
        <w:t xml:space="preserve"> price that would be arrived at in otherwise arm’s length commercial negotiations and consistent </w:t>
      </w:r>
      <w:r w:rsidR="00232084">
        <w:t xml:space="preserve">with </w:t>
      </w:r>
      <w:r>
        <w:t xml:space="preserve">the agreed principles set out above. </w:t>
      </w:r>
    </w:p>
    <w:p w14:paraId="4A8FB7D5" w14:textId="75EC5222" w:rsidR="009449C7" w:rsidRPr="00133074" w:rsidRDefault="009A1E66" w:rsidP="009449C7">
      <w:r>
        <w:t xml:space="preserve">This process resulted in the </w:t>
      </w:r>
      <w:r w:rsidR="00606A04">
        <w:t xml:space="preserve">adoption of the </w:t>
      </w:r>
      <w:r>
        <w:t xml:space="preserve">following </w:t>
      </w:r>
      <w:r w:rsidR="009449C7" w:rsidRPr="00133074">
        <w:t>three methods for calculating the gas transfer price:</w:t>
      </w:r>
    </w:p>
    <w:p w14:paraId="1223F690" w14:textId="27378E73" w:rsidR="0084558E" w:rsidRDefault="006A4DE5" w:rsidP="006A4DE5">
      <w:r>
        <w:rPr>
          <w:b/>
          <w:bCs/>
        </w:rPr>
        <w:t xml:space="preserve">Method 1 </w:t>
      </w:r>
      <w:r w:rsidR="009449C7" w:rsidRPr="00C97822">
        <w:rPr>
          <w:b/>
          <w:bCs/>
        </w:rPr>
        <w:t>Comparable Uncontrolled Price (CUP)</w:t>
      </w:r>
      <w:r w:rsidR="009449C7" w:rsidRPr="00133074">
        <w:t xml:space="preserve"> </w:t>
      </w:r>
      <w:r w:rsidR="00690572">
        <w:t>–</w:t>
      </w:r>
      <w:r w:rsidR="009449C7" w:rsidRPr="00133074">
        <w:t xml:space="preserve"> The CUP is a shadow pricing method in which the transfer price is determined by finding a comparable ‘uncontrolled’ transaction in similar circumstances. </w:t>
      </w:r>
    </w:p>
    <w:p w14:paraId="4CF2FCBD" w14:textId="721F5094" w:rsidR="009449C7" w:rsidRPr="00133074" w:rsidRDefault="009449C7" w:rsidP="006A4DE5">
      <w:r w:rsidRPr="00133074">
        <w:t>While this method is considered best practice</w:t>
      </w:r>
      <w:r w:rsidR="009D16FD">
        <w:t>,</w:t>
      </w:r>
      <w:r w:rsidRPr="00133074">
        <w:t xml:space="preserve"> when it is available, there are no CUPs currently used</w:t>
      </w:r>
      <w:r w:rsidR="00D40FD7">
        <w:t xml:space="preserve"> as there </w:t>
      </w:r>
      <w:r w:rsidR="00B22EC7">
        <w:t xml:space="preserve">are no </w:t>
      </w:r>
      <w:r w:rsidR="00FB0E43">
        <w:t xml:space="preserve">observable </w:t>
      </w:r>
      <w:r w:rsidR="00B22EC7">
        <w:t>sales</w:t>
      </w:r>
      <w:r w:rsidR="005D417E">
        <w:t xml:space="preserve"> at the tax</w:t>
      </w:r>
      <w:r w:rsidR="003B108A">
        <w:t>ing point</w:t>
      </w:r>
      <w:r w:rsidR="009A7FEA">
        <w:t>,</w:t>
      </w:r>
      <w:r w:rsidR="003B108A">
        <w:t xml:space="preserve"> which is usually within the liqu</w:t>
      </w:r>
      <w:r w:rsidR="00B5363D">
        <w:t>e</w:t>
      </w:r>
      <w:r w:rsidR="003B108A">
        <w:t>f</w:t>
      </w:r>
      <w:r w:rsidR="00B5363D">
        <w:t>ac</w:t>
      </w:r>
      <w:r w:rsidR="003B108A">
        <w:t>tion plant.</w:t>
      </w:r>
      <w:r w:rsidR="00151767">
        <w:t xml:space="preserve"> </w:t>
      </w:r>
      <w:r w:rsidR="00F73A2F">
        <w:t>I</w:t>
      </w:r>
      <w:r w:rsidR="00BE2347">
        <w:t xml:space="preserve">t is unlikely </w:t>
      </w:r>
      <w:r w:rsidR="00E831B7">
        <w:t xml:space="preserve">a CUP </w:t>
      </w:r>
      <w:r w:rsidR="00BE2347" w:rsidRPr="00133074">
        <w:t xml:space="preserve">will arise in the foreseeable future </w:t>
      </w:r>
      <w:r w:rsidR="00BE2347">
        <w:t>unless there are significant changes to the way that LNG projects are structured</w:t>
      </w:r>
      <w:r w:rsidRPr="00133074">
        <w:t>.</w:t>
      </w:r>
    </w:p>
    <w:p w14:paraId="385183A4" w14:textId="502A09C7" w:rsidR="0084558E" w:rsidRDefault="006A4DE5" w:rsidP="006A4DE5">
      <w:r>
        <w:rPr>
          <w:b/>
          <w:bCs/>
        </w:rPr>
        <w:t xml:space="preserve">Method 2 </w:t>
      </w:r>
      <w:r w:rsidR="0084558E" w:rsidRPr="00603D43">
        <w:rPr>
          <w:b/>
          <w:bCs/>
        </w:rPr>
        <w:t>A</w:t>
      </w:r>
      <w:r w:rsidR="00603D43" w:rsidRPr="00603D43">
        <w:rPr>
          <w:b/>
          <w:bCs/>
        </w:rPr>
        <w:t>dvance Pricing Arrangement (A</w:t>
      </w:r>
      <w:r w:rsidR="0084558E" w:rsidRPr="00603D43">
        <w:rPr>
          <w:b/>
          <w:bCs/>
        </w:rPr>
        <w:t>PA</w:t>
      </w:r>
      <w:r w:rsidR="00603D43" w:rsidRPr="00603D43">
        <w:rPr>
          <w:b/>
          <w:bCs/>
        </w:rPr>
        <w:t>)</w:t>
      </w:r>
      <w:r w:rsidR="0084558E" w:rsidRPr="00603D43">
        <w:t xml:space="preserve"> –</w:t>
      </w:r>
      <w:r w:rsidR="0084558E" w:rsidRPr="00133074">
        <w:t xml:space="preserve"> </w:t>
      </w:r>
      <w:r w:rsidR="00FD5741">
        <w:t>This method is based on</w:t>
      </w:r>
      <w:r w:rsidR="0084558E" w:rsidRPr="00133074">
        <w:t xml:space="preserve"> </w:t>
      </w:r>
      <w:r w:rsidR="00FD5741">
        <w:t>agreement</w:t>
      </w:r>
      <w:r w:rsidR="0084558E" w:rsidRPr="00133074">
        <w:t xml:space="preserve"> between the Commissioner of Taxation and a taxpayer for calculating an arm’s length price. </w:t>
      </w:r>
      <w:r w:rsidR="00480B5D">
        <w:t>It</w:t>
      </w:r>
      <w:r w:rsidR="0084558E" w:rsidRPr="00133074">
        <w:t xml:space="preserve"> provides flexibility to consider any specific (or possibly unique) facts and circumstances of a particular taxpayer.</w:t>
      </w:r>
      <w:r w:rsidR="0084558E">
        <w:t xml:space="preserve"> </w:t>
      </w:r>
    </w:p>
    <w:p w14:paraId="789BEC6C" w14:textId="77777777" w:rsidR="001F4BA5" w:rsidRPr="0084558E" w:rsidRDefault="001F4BA5" w:rsidP="006A4DE5"/>
    <w:p w14:paraId="3D37EF8D" w14:textId="779252FD" w:rsidR="0084558E" w:rsidRDefault="006A4DE5" w:rsidP="006A4DE5">
      <w:r>
        <w:rPr>
          <w:b/>
          <w:bCs/>
        </w:rPr>
        <w:lastRenderedPageBreak/>
        <w:t>Method 3</w:t>
      </w:r>
      <w:r w:rsidR="000C0FBA">
        <w:rPr>
          <w:b/>
          <w:bCs/>
        </w:rPr>
        <w:t xml:space="preserve"> </w:t>
      </w:r>
      <w:r w:rsidR="009449C7" w:rsidRPr="00C97822">
        <w:rPr>
          <w:b/>
          <w:bCs/>
        </w:rPr>
        <w:t>Residual Pricing Method (RPM)</w:t>
      </w:r>
      <w:r w:rsidR="009449C7" w:rsidRPr="00133074">
        <w:t xml:space="preserve"> – This method is based on a hypothetical bargaining position reached between a notional upstream entity (the PRRT</w:t>
      </w:r>
      <w:r w:rsidR="004229D6">
        <w:t xml:space="preserve"> </w:t>
      </w:r>
      <w:r w:rsidR="009449C7" w:rsidRPr="00133074">
        <w:t xml:space="preserve">project) that sells </w:t>
      </w:r>
      <w:r w:rsidR="009449C7">
        <w:t xml:space="preserve">sales </w:t>
      </w:r>
      <w:r w:rsidR="009449C7" w:rsidRPr="00133074">
        <w:t>gas to a notional downstream entity (liquefaction plant, marketing</w:t>
      </w:r>
      <w:r w:rsidR="00141596" w:rsidRPr="00133074">
        <w:t>,</w:t>
      </w:r>
      <w:r w:rsidR="009449C7" w:rsidRPr="00133074">
        <w:t xml:space="preserve"> and shipping; all outside the PRRT </w:t>
      </w:r>
      <w:r w:rsidR="0084558E">
        <w:t>tax net</w:t>
      </w:r>
      <w:r w:rsidR="009449C7" w:rsidRPr="00133074">
        <w:t xml:space="preserve">) at the taxing point. </w:t>
      </w:r>
    </w:p>
    <w:p w14:paraId="236E1ADC" w14:textId="72A87E84" w:rsidR="0084558E" w:rsidRDefault="00D105CE" w:rsidP="006A4DE5">
      <w:r>
        <w:t xml:space="preserve">Capital </w:t>
      </w:r>
      <w:r w:rsidR="00B1649B">
        <w:t xml:space="preserve">and </w:t>
      </w:r>
      <w:r w:rsidR="00D03A75">
        <w:t>operating costs are a</w:t>
      </w:r>
      <w:r w:rsidR="003D1A2B">
        <w:t>llocated to the upstream and downstream</w:t>
      </w:r>
      <w:r w:rsidR="008E2774">
        <w:t xml:space="preserve"> as well as</w:t>
      </w:r>
      <w:r w:rsidR="001F773A">
        <w:t xml:space="preserve"> </w:t>
      </w:r>
      <w:r w:rsidR="008E2774">
        <w:t>a</w:t>
      </w:r>
      <w:r w:rsidR="009449C7" w:rsidRPr="00133074">
        <w:t xml:space="preserve"> return on </w:t>
      </w:r>
      <w:r w:rsidR="00B1649B">
        <w:t xml:space="preserve">the </w:t>
      </w:r>
      <w:r w:rsidR="009449C7" w:rsidRPr="00133074">
        <w:t>capital</w:t>
      </w:r>
      <w:r w:rsidR="00E15A65">
        <w:t xml:space="preserve"> </w:t>
      </w:r>
      <w:r w:rsidR="00B1649B">
        <w:t>costs</w:t>
      </w:r>
      <w:r w:rsidR="009449C7" w:rsidRPr="00133074">
        <w:t>. For the upstream, this is a ‘cost</w:t>
      </w:r>
      <w:r w:rsidR="00246A53">
        <w:t>-</w:t>
      </w:r>
      <w:r w:rsidR="009449C7" w:rsidRPr="00133074">
        <w:t xml:space="preserve">plus’ calculation and </w:t>
      </w:r>
      <w:r w:rsidR="009449C7">
        <w:t xml:space="preserve">is intended to </w:t>
      </w:r>
      <w:r w:rsidR="009449C7" w:rsidRPr="00133074">
        <w:t>reflect the minimum price the upstream entity would sell feedstock gas from the PRRT project.</w:t>
      </w:r>
      <w:r w:rsidR="00F9029E">
        <w:t xml:space="preserve"> </w:t>
      </w:r>
      <w:r w:rsidR="00DA12F9">
        <w:t xml:space="preserve">The </w:t>
      </w:r>
      <w:r w:rsidR="00D506D7">
        <w:t xml:space="preserve">underlying resource is not included in </w:t>
      </w:r>
      <w:r w:rsidR="000B5C08">
        <w:t>the cost</w:t>
      </w:r>
      <w:r w:rsidR="005449AA">
        <w:t>-</w:t>
      </w:r>
      <w:r w:rsidR="00231860">
        <w:t>plus calculation.</w:t>
      </w:r>
      <w:r w:rsidR="00F9029E">
        <w:t xml:space="preserve"> </w:t>
      </w:r>
      <w:r w:rsidR="009449C7" w:rsidRPr="00133074">
        <w:t>For the downstream, the ‘netback’ calculation</w:t>
      </w:r>
      <w:r w:rsidR="009449C7">
        <w:t xml:space="preserve"> is intended to</w:t>
      </w:r>
      <w:r w:rsidR="009449C7" w:rsidRPr="00133074">
        <w:t xml:space="preserve"> reflect the maximum price they would pay for the feedstock gas.</w:t>
      </w:r>
    </w:p>
    <w:p w14:paraId="7A56AFDE" w14:textId="0F2E6981" w:rsidR="0084558E" w:rsidRDefault="009449C7" w:rsidP="006A4DE5">
      <w:r w:rsidRPr="00133074">
        <w:t>If there is any residual value</w:t>
      </w:r>
      <w:r w:rsidR="00107C21">
        <w:t xml:space="preserve"> (</w:t>
      </w:r>
      <w:r>
        <w:t>that is</w:t>
      </w:r>
      <w:r w:rsidR="00107C21">
        <w:t>,</w:t>
      </w:r>
      <w:r>
        <w:t xml:space="preserve"> where the netback price is higher than the cost</w:t>
      </w:r>
      <w:r w:rsidR="006F373A">
        <w:t>-</w:t>
      </w:r>
      <w:r>
        <w:t>plus price</w:t>
      </w:r>
      <w:r w:rsidR="00107C21">
        <w:t>)</w:t>
      </w:r>
      <w:r w:rsidRPr="00133074">
        <w:t xml:space="preserve"> th</w:t>
      </w:r>
      <w:r>
        <w:t>e RPM price is set at the mid-point of the two prices.</w:t>
      </w:r>
      <w:r w:rsidRPr="00133074">
        <w:t xml:space="preserve"> </w:t>
      </w:r>
      <w:r>
        <w:t>H</w:t>
      </w:r>
      <w:r w:rsidRPr="00133074">
        <w:t>owever</w:t>
      </w:r>
      <w:r>
        <w:t>,</w:t>
      </w:r>
      <w:r w:rsidRPr="00133074">
        <w:t xml:space="preserve"> when the project is in a notional loss situation</w:t>
      </w:r>
      <w:r>
        <w:t xml:space="preserve"> </w:t>
      </w:r>
      <w:r w:rsidR="00107C21">
        <w:t>(</w:t>
      </w:r>
      <w:r>
        <w:t>that is, the netback price is lower than the cost</w:t>
      </w:r>
      <w:r w:rsidR="00373806">
        <w:t>-plus</w:t>
      </w:r>
      <w:r>
        <w:t xml:space="preserve"> price</w:t>
      </w:r>
      <w:r w:rsidR="00107C21">
        <w:t>)</w:t>
      </w:r>
      <w:r w:rsidRPr="00133074">
        <w:t xml:space="preserve"> the loss is attributed solely to the </w:t>
      </w:r>
      <w:r w:rsidR="00EE07B5">
        <w:t>upstream part of the project</w:t>
      </w:r>
      <w:r w:rsidRPr="00133074">
        <w:t xml:space="preserve"> and the price is derived with reference to the downstream portion only (netback price).</w:t>
      </w:r>
      <w:r w:rsidR="00107C21">
        <w:t xml:space="preserve"> This asymmetric treatment of profit and loss situations is further discussed in chapter</w:t>
      </w:r>
      <w:r w:rsidR="00B352EF">
        <w:t> </w:t>
      </w:r>
      <w:r w:rsidR="00AF12E2">
        <w:t>6.</w:t>
      </w:r>
    </w:p>
    <w:p w14:paraId="15A6F1CB" w14:textId="4F6B9481" w:rsidR="009449C7" w:rsidRPr="00F05FCB" w:rsidRDefault="009449C7" w:rsidP="00F05FCB">
      <w:pPr>
        <w:pStyle w:val="Heading3"/>
        <w:rPr>
          <w:b w:val="0"/>
          <w:bCs/>
        </w:rPr>
      </w:pPr>
      <w:r w:rsidRPr="00F05FCB">
        <w:rPr>
          <w:b w:val="0"/>
          <w:bCs/>
        </w:rPr>
        <w:t>A stylised representation of the RPM, where the project is in a profit situation</w:t>
      </w:r>
      <w:r w:rsidR="00F9043F" w:rsidRPr="00F05FCB">
        <w:rPr>
          <w:b w:val="0"/>
          <w:bCs/>
        </w:rPr>
        <w:t>:</w:t>
      </w:r>
    </w:p>
    <w:p w14:paraId="289973A9" w14:textId="5DE9EC71" w:rsidR="00804452" w:rsidRDefault="00804452" w:rsidP="006A4DE5"/>
    <w:p w14:paraId="7220A2DC" w14:textId="4CA49159" w:rsidR="00804452" w:rsidRDefault="00804452" w:rsidP="006A4DE5">
      <w:r>
        <w:rPr>
          <w:noProof/>
        </w:rPr>
        <w:drawing>
          <wp:inline distT="0" distB="0" distL="0" distR="0" wp14:anchorId="325671F6" wp14:editId="75A06BB5">
            <wp:extent cx="4073392" cy="3577133"/>
            <wp:effectExtent l="0" t="0" r="0" b="4445"/>
            <wp:docPr id="23" name="Picture 23" descr="A diagram demonstrating the operation of the residual pricing mechanism when the project is in a profit situation. It describes how the RPM calculates the LNG price by first determining the netback price and the cost-plus price. One this is determined, the difference between the netback price and the cost-plus price is determined - this is the total residual profit. The total residual profit is then split 50:50 between the upstream and the downstream to generate the GTP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diagram demonstrating the operation of the residual pricing mechanism when the project is in a profit situation. It describes how the RPM calculates the LNG price by first determining the netback price and the cost-plus price. One this is determined, the difference between the netback price and the cost-plus price is determined - this is the total residual profit. The total residual profit is then split 50:50 between the upstream and the downstream to generate the GTP pri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1685" cy="3584416"/>
                    </a:xfrm>
                    <a:prstGeom prst="rect">
                      <a:avLst/>
                    </a:prstGeom>
                    <a:noFill/>
                  </pic:spPr>
                </pic:pic>
              </a:graphicData>
            </a:graphic>
          </wp:inline>
        </w:drawing>
      </w:r>
    </w:p>
    <w:p w14:paraId="4096A5A1" w14:textId="23ADD30C" w:rsidR="009449C7" w:rsidRDefault="009449C7" w:rsidP="006A4DE5"/>
    <w:p w14:paraId="1548C923" w14:textId="2D841DFD" w:rsidR="0082231F" w:rsidRPr="00F9043F" w:rsidRDefault="00E652BA" w:rsidP="00E56253">
      <w:pPr>
        <w:pStyle w:val="Heading4"/>
      </w:pPr>
      <w:bookmarkStart w:id="18" w:name="_Hlk124856809"/>
      <w:r w:rsidRPr="00F9043F">
        <w:lastRenderedPageBreak/>
        <w:t xml:space="preserve">A stylised representation </w:t>
      </w:r>
      <w:r w:rsidR="002E6C1F" w:rsidRPr="00F9043F">
        <w:t xml:space="preserve">of the RPM, where the project </w:t>
      </w:r>
      <w:r w:rsidR="0082231F" w:rsidRPr="00F9043F">
        <w:t>is in a notional loss situation</w:t>
      </w:r>
      <w:r w:rsidR="00F9043F" w:rsidRPr="00F9043F">
        <w:t>:</w:t>
      </w:r>
    </w:p>
    <w:p w14:paraId="16A3EC11" w14:textId="21BF8762" w:rsidR="0082231F" w:rsidRDefault="00C17B35" w:rsidP="006A4DE5">
      <w:pPr>
        <w:keepNext/>
        <w:keepLines/>
      </w:pPr>
      <w:r>
        <w:rPr>
          <w:noProof/>
        </w:rPr>
        <w:drawing>
          <wp:inline distT="0" distB="0" distL="0" distR="0" wp14:anchorId="7C4E802E" wp14:editId="704E776E">
            <wp:extent cx="6193725" cy="3145553"/>
            <wp:effectExtent l="0" t="0" r="0" b="0"/>
            <wp:docPr id="10" name="Picture 10" descr="A diagram demonstrating how the residual pricing mechanism operates when the project is in a notional loss si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demonstrating how the residual pricing mechanism operates when the project is in a notional loss situat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09194" cy="3153409"/>
                    </a:xfrm>
                    <a:prstGeom prst="rect">
                      <a:avLst/>
                    </a:prstGeom>
                    <a:noFill/>
                  </pic:spPr>
                </pic:pic>
              </a:graphicData>
            </a:graphic>
          </wp:inline>
        </w:drawing>
      </w:r>
    </w:p>
    <w:p w14:paraId="2F9A5572" w14:textId="77777777" w:rsidR="006E0292" w:rsidRDefault="006E0292" w:rsidP="006A4DE5">
      <w:pPr>
        <w:keepNext/>
        <w:keepLines/>
      </w:pPr>
    </w:p>
    <w:p w14:paraId="1894B51C" w14:textId="09FEFFB1" w:rsidR="0084558E" w:rsidRDefault="0084558E" w:rsidP="006A4DE5">
      <w:r w:rsidRPr="00133074">
        <w:t xml:space="preserve">If an APA has not been agreed, and a CUP does not </w:t>
      </w:r>
      <w:r>
        <w:t>exist</w:t>
      </w:r>
      <w:r w:rsidRPr="00133074">
        <w:t>, the RPM is used to determine the price of gas at the taxing point.</w:t>
      </w:r>
      <w:r w:rsidR="00151767">
        <w:t xml:space="preserve"> </w:t>
      </w:r>
      <w:r w:rsidR="00254627">
        <w:t xml:space="preserve">For this reason, the RPM </w:t>
      </w:r>
      <w:r w:rsidR="00F04ECB">
        <w:t>is considered</w:t>
      </w:r>
      <w:r w:rsidR="00254627">
        <w:t xml:space="preserve"> the </w:t>
      </w:r>
      <w:r w:rsidR="00F04ECB">
        <w:t>‘</w:t>
      </w:r>
      <w:r w:rsidR="00254627">
        <w:t>safe harbour</w:t>
      </w:r>
      <w:r w:rsidR="00F04ECB">
        <w:t>’</w:t>
      </w:r>
      <w:r w:rsidR="00254627">
        <w:t xml:space="preserve"> pricing method.</w:t>
      </w:r>
      <w:r w:rsidR="00F9029E">
        <w:t xml:space="preserve"> </w:t>
      </w:r>
    </w:p>
    <w:p w14:paraId="14936EAB" w14:textId="211BA33D" w:rsidR="00232084" w:rsidRDefault="00B25C07" w:rsidP="006A4DE5">
      <w:r>
        <w:t xml:space="preserve">In practice, the </w:t>
      </w:r>
      <w:r w:rsidR="009852F3">
        <w:t>RPM</w:t>
      </w:r>
      <w:r>
        <w:t xml:space="preserve"> is almost universally used due to a lack of commercial transactions</w:t>
      </w:r>
      <w:r w:rsidR="009852F3">
        <w:t xml:space="preserve"> necessary for a CUP analysis</w:t>
      </w:r>
      <w:r w:rsidR="000B7C93">
        <w:t xml:space="preserve"> and because the RPM provides generous outcomes to taxpayers, negating the need to enter APAs with the ATO. </w:t>
      </w:r>
      <w:r w:rsidR="00033291">
        <w:t>F</w:t>
      </w:r>
      <w:r w:rsidR="00AF406A">
        <w:t>eedback from industry and the ATO is that</w:t>
      </w:r>
      <w:r w:rsidR="00B75646">
        <w:t xml:space="preserve"> establishing a gas transfer price through</w:t>
      </w:r>
      <w:r w:rsidR="00AF406A">
        <w:t xml:space="preserve"> t</w:t>
      </w:r>
      <w:r w:rsidR="00AF4462">
        <w:t xml:space="preserve">he existing APA process </w:t>
      </w:r>
      <w:r w:rsidR="00033291">
        <w:t>can be a</w:t>
      </w:r>
      <w:r w:rsidR="00840E04">
        <w:t xml:space="preserve"> significant compliance burden for taxpayers and </w:t>
      </w:r>
      <w:r w:rsidR="00DC304E">
        <w:t>is</w:t>
      </w:r>
      <w:r w:rsidR="00840E04">
        <w:t xml:space="preserve"> resource-intensive for the Commissioner of Taxation.</w:t>
      </w:r>
    </w:p>
    <w:p w14:paraId="2ED45445" w14:textId="23D21A43" w:rsidR="00B25C07" w:rsidRDefault="00A37742" w:rsidP="009449C7">
      <w:r>
        <w:t>Underpinning the Arthur Anders</w:t>
      </w:r>
      <w:r w:rsidR="00C4378A">
        <w:t>e</w:t>
      </w:r>
      <w:r>
        <w:t xml:space="preserve">n recommendation to adopt the RPM were </w:t>
      </w:r>
      <w:r w:rsidR="002841A5">
        <w:t>several</w:t>
      </w:r>
      <w:r>
        <w:t xml:space="preserve"> assumptions, namely that the:</w:t>
      </w:r>
    </w:p>
    <w:p w14:paraId="69604D62" w14:textId="54300BD4" w:rsidR="00A37742" w:rsidRDefault="00A37742" w:rsidP="0009042A">
      <w:pPr>
        <w:pStyle w:val="Bullet"/>
      </w:pPr>
      <w:r>
        <w:t>LNG integrated project is run as a single project</w:t>
      </w:r>
      <w:r w:rsidR="003C7151">
        <w:t>,</w:t>
      </w:r>
    </w:p>
    <w:p w14:paraId="289FBAA1" w14:textId="4190C5CC" w:rsidR="00A37742" w:rsidRDefault="00A37742" w:rsidP="0009042A">
      <w:pPr>
        <w:pStyle w:val="Bullet"/>
      </w:pPr>
      <w:r>
        <w:t>LNG project is already integrated when the price for the gas is being determined</w:t>
      </w:r>
      <w:r w:rsidR="003C7151">
        <w:t>,</w:t>
      </w:r>
    </w:p>
    <w:p w14:paraId="0F3CE83D" w14:textId="229C83A1" w:rsidR="00A37742" w:rsidRDefault="003C7151" w:rsidP="0009042A">
      <w:pPr>
        <w:pStyle w:val="Bullet"/>
      </w:pPr>
      <w:r>
        <w:t>R</w:t>
      </w:r>
      <w:r w:rsidR="00A37742">
        <w:t>isks associated with exploration activities are not a relevant concern for the upstream operations</w:t>
      </w:r>
      <w:r>
        <w:t>,</w:t>
      </w:r>
    </w:p>
    <w:p w14:paraId="02E18799" w14:textId="555BC45F" w:rsidR="00A37742" w:rsidRDefault="00A37742" w:rsidP="0009042A">
      <w:pPr>
        <w:pStyle w:val="Bullet"/>
      </w:pPr>
      <w:r>
        <w:t>Upstream and downstream operations carry the same level of risk and expect the same level of returns</w:t>
      </w:r>
      <w:r w:rsidR="003C7151">
        <w:t>, and</w:t>
      </w:r>
    </w:p>
    <w:p w14:paraId="1C12AEA7" w14:textId="520F13F5" w:rsidR="00A37742" w:rsidRDefault="00A37742" w:rsidP="0009042A">
      <w:pPr>
        <w:pStyle w:val="Bullet"/>
      </w:pPr>
      <w:r>
        <w:t xml:space="preserve">Upstream </w:t>
      </w:r>
      <w:r w:rsidR="00277077">
        <w:t>operators</w:t>
      </w:r>
      <w:r>
        <w:t xml:space="preserve"> would consider that the economic rents inherent in the resource </w:t>
      </w:r>
      <w:r w:rsidR="002F4F54">
        <w:t>plus</w:t>
      </w:r>
      <w:r>
        <w:t xml:space="preserve"> the rents attributable to their extraction</w:t>
      </w:r>
      <w:r w:rsidR="00451C4A">
        <w:t xml:space="preserve"> and processing</w:t>
      </w:r>
      <w:r>
        <w:t xml:space="preserve"> know-how are equ</w:t>
      </w:r>
      <w:r w:rsidR="002F4F54">
        <w:t>al</w:t>
      </w:r>
      <w:r>
        <w:t xml:space="preserve"> to rents attributable to the downstream operat</w:t>
      </w:r>
      <w:r w:rsidR="001D570B">
        <w:t>or</w:t>
      </w:r>
      <w:r>
        <w:t>s’ know-how for liquefaction, marketing</w:t>
      </w:r>
      <w:r w:rsidR="002841A5">
        <w:t>,</w:t>
      </w:r>
      <w:r>
        <w:t xml:space="preserve"> and shipping. </w:t>
      </w:r>
    </w:p>
    <w:p w14:paraId="0CC3A1CD" w14:textId="44DCE8FA" w:rsidR="009449C7" w:rsidRDefault="00554128" w:rsidP="009449C7">
      <w:r>
        <w:t>Arthur Anders</w:t>
      </w:r>
      <w:r w:rsidR="00241AF1">
        <w:t>e</w:t>
      </w:r>
      <w:r>
        <w:t xml:space="preserve">n </w:t>
      </w:r>
      <w:r w:rsidR="00232084">
        <w:t xml:space="preserve">acknowledged </w:t>
      </w:r>
      <w:r w:rsidR="00A60ADB">
        <w:t>several</w:t>
      </w:r>
      <w:r w:rsidR="00232084">
        <w:t xml:space="preserve"> caveats to their </w:t>
      </w:r>
      <w:r>
        <w:t xml:space="preserve">analysis, </w:t>
      </w:r>
      <w:r w:rsidR="009449C7">
        <w:t>including that an arm’s length price</w:t>
      </w:r>
      <w:r>
        <w:t xml:space="preserve"> determined under legislation</w:t>
      </w:r>
      <w:r w:rsidR="009449C7">
        <w:t xml:space="preserve"> should </w:t>
      </w:r>
      <w:r>
        <w:t xml:space="preserve">always </w:t>
      </w:r>
      <w:r w:rsidR="009449C7">
        <w:t xml:space="preserve">dominate </w:t>
      </w:r>
      <w:r w:rsidR="00853415">
        <w:t xml:space="preserve">the RPM </w:t>
      </w:r>
      <w:r>
        <w:t xml:space="preserve">approach. Importantly, it acknowledged that the </w:t>
      </w:r>
      <w:r w:rsidR="00853415">
        <w:t>RPM</w:t>
      </w:r>
      <w:r>
        <w:t xml:space="preserve">, developed for an emerging industry, </w:t>
      </w:r>
      <w:r w:rsidR="009449C7">
        <w:t>may not be suitable</w:t>
      </w:r>
      <w:r>
        <w:t xml:space="preserve"> once more specific information became available</w:t>
      </w:r>
      <w:r w:rsidR="009449C7">
        <w:t>.</w:t>
      </w:r>
      <w:r w:rsidR="00DF68FE">
        <w:t xml:space="preserve"> </w:t>
      </w:r>
      <w:r w:rsidR="00232084">
        <w:t>A</w:t>
      </w:r>
      <w:r w:rsidR="009449C7">
        <w:t>lso acknowledged</w:t>
      </w:r>
      <w:r w:rsidR="00232084">
        <w:t xml:space="preserve"> was the arbitrariness of some of the </w:t>
      </w:r>
      <w:r w:rsidR="00853415">
        <w:t xml:space="preserve">RPM </w:t>
      </w:r>
      <w:r w:rsidR="00232084">
        <w:t xml:space="preserve">design features, </w:t>
      </w:r>
      <w:r w:rsidR="009449C7">
        <w:t xml:space="preserve">such as the </w:t>
      </w:r>
      <w:r w:rsidR="000B7C93">
        <w:t xml:space="preserve">central </w:t>
      </w:r>
      <w:r w:rsidR="009449C7">
        <w:t>50:50 profit split</w:t>
      </w:r>
      <w:r w:rsidR="000B7C93">
        <w:t xml:space="preserve"> feature</w:t>
      </w:r>
      <w:r w:rsidR="009449C7">
        <w:t xml:space="preserve">. </w:t>
      </w:r>
    </w:p>
    <w:p w14:paraId="574BB5F8" w14:textId="009C3ADD" w:rsidR="00FD0703" w:rsidRDefault="002F6455" w:rsidP="009449C7">
      <w:r>
        <w:lastRenderedPageBreak/>
        <w:t>The</w:t>
      </w:r>
      <w:r w:rsidR="00FD0703">
        <w:t xml:space="preserve"> regulations</w:t>
      </w:r>
      <w:r>
        <w:t xml:space="preserve"> </w:t>
      </w:r>
      <w:r w:rsidRPr="00133074">
        <w:t>were</w:t>
      </w:r>
      <w:r>
        <w:t xml:space="preserve"> </w:t>
      </w:r>
      <w:r w:rsidRPr="00133074">
        <w:t>adapted</w:t>
      </w:r>
      <w:r>
        <w:t xml:space="preserve"> in 2013</w:t>
      </w:r>
      <w:r w:rsidRPr="00133074">
        <w:t xml:space="preserve"> to </w:t>
      </w:r>
      <w:r>
        <w:t>factor in</w:t>
      </w:r>
      <w:r w:rsidRPr="00133074">
        <w:t xml:space="preserve"> the extension of the PRRT to the </w:t>
      </w:r>
      <w:r>
        <w:t>N</w:t>
      </w:r>
      <w:r w:rsidR="009A463E">
        <w:t xml:space="preserve">orth </w:t>
      </w:r>
      <w:r>
        <w:t>W</w:t>
      </w:r>
      <w:r w:rsidR="009A463E">
        <w:t xml:space="preserve">est </w:t>
      </w:r>
      <w:r>
        <w:t>S</w:t>
      </w:r>
      <w:r w:rsidR="009A463E">
        <w:t>helf (NWS)</w:t>
      </w:r>
      <w:r>
        <w:t xml:space="preserve"> project and extend them to cover integrated gas-to-electricity operations.</w:t>
      </w:r>
    </w:p>
    <w:p w14:paraId="4822DE75" w14:textId="0D88B095" w:rsidR="009449C7" w:rsidRPr="00133074" w:rsidRDefault="00FD0703" w:rsidP="009449C7">
      <w:r>
        <w:t>T</w:t>
      </w:r>
      <w:r w:rsidR="00554128">
        <w:t xml:space="preserve">he </w:t>
      </w:r>
      <w:r w:rsidR="009449C7" w:rsidRPr="00133074">
        <w:t>regulations were</w:t>
      </w:r>
      <w:r w:rsidR="008B65E9">
        <w:t xml:space="preserve"> also</w:t>
      </w:r>
      <w:r w:rsidR="009449C7" w:rsidRPr="00133074">
        <w:t xml:space="preserve"> remade in 2015</w:t>
      </w:r>
      <w:r w:rsidR="00624ED8">
        <w:t xml:space="preserve"> prior to sunsetting on </w:t>
      </w:r>
      <w:r w:rsidR="00624ED8" w:rsidRPr="00133074">
        <w:t>1 April 2016</w:t>
      </w:r>
      <w:r w:rsidR="00624ED8">
        <w:t>.</w:t>
      </w:r>
      <w:r w:rsidR="00554128">
        <w:t xml:space="preserve"> </w:t>
      </w:r>
      <w:r w:rsidR="00624ED8">
        <w:t xml:space="preserve">However, </w:t>
      </w:r>
      <w:r w:rsidR="0041479A">
        <w:t>the efficacy of the GTP methods was not considered</w:t>
      </w:r>
      <w:r w:rsidR="00C12D3E">
        <w:t xml:space="preserve"> at that time</w:t>
      </w:r>
      <w:r w:rsidR="0041479A">
        <w:t xml:space="preserve">. </w:t>
      </w:r>
      <w:r w:rsidR="005D2556">
        <w:t>Rather</w:t>
      </w:r>
      <w:r w:rsidR="009A463E">
        <w:t>,</w:t>
      </w:r>
      <w:r w:rsidR="005D2556">
        <w:t xml:space="preserve"> changes</w:t>
      </w:r>
      <w:r w:rsidR="00232084">
        <w:t xml:space="preserve"> only</w:t>
      </w:r>
      <w:r w:rsidR="00DF68FE">
        <w:t xml:space="preserve"> </w:t>
      </w:r>
      <w:r w:rsidR="009449C7" w:rsidRPr="00133074">
        <w:t>modernise</w:t>
      </w:r>
      <w:r w:rsidR="005D2556">
        <w:t>d</w:t>
      </w:r>
      <w:r w:rsidR="009449C7" w:rsidRPr="00133074">
        <w:t xml:space="preserve"> the drafting style and</w:t>
      </w:r>
      <w:r w:rsidR="00DF68FE">
        <w:t xml:space="preserve"> </w:t>
      </w:r>
      <w:r w:rsidR="00181759">
        <w:t>incorporate</w:t>
      </w:r>
      <w:r w:rsidR="005D2556">
        <w:t>d</w:t>
      </w:r>
      <w:r w:rsidR="00DF68FE">
        <w:t xml:space="preserve"> minor amendments t</w:t>
      </w:r>
      <w:r w:rsidR="0041479A">
        <w:t>o</w:t>
      </w:r>
      <w:r w:rsidR="00DF68FE">
        <w:t xml:space="preserve"> reduce compliance costs for industry</w:t>
      </w:r>
      <w:r w:rsidR="009449C7" w:rsidRPr="00133074">
        <w:t>, consistent with the</w:t>
      </w:r>
      <w:r w:rsidR="00DF68FE">
        <w:t xml:space="preserve"> then-</w:t>
      </w:r>
      <w:r w:rsidR="009449C7" w:rsidRPr="00133074">
        <w:t xml:space="preserve">Government’s deregulation agenda. </w:t>
      </w:r>
    </w:p>
    <w:p w14:paraId="270BDA11" w14:textId="463B192B" w:rsidR="00554128" w:rsidRPr="00133074" w:rsidRDefault="00554128" w:rsidP="009449C7">
      <w:r>
        <w:t>The current regulations are due to sunset</w:t>
      </w:r>
      <w:r w:rsidR="00232084">
        <w:t xml:space="preserve"> again</w:t>
      </w:r>
      <w:r>
        <w:t xml:space="preserve"> on 1 April 2026.</w:t>
      </w:r>
    </w:p>
    <w:p w14:paraId="4B26FA1B" w14:textId="6651372B" w:rsidR="006F1F34" w:rsidRPr="00C97822" w:rsidRDefault="00AF37B8" w:rsidP="00844E64">
      <w:pPr>
        <w:pStyle w:val="Heading2"/>
      </w:pPr>
      <w:bookmarkStart w:id="19" w:name="_Toc134273562"/>
      <w:r>
        <w:t xml:space="preserve">3.3 </w:t>
      </w:r>
      <w:r w:rsidR="006F1F34" w:rsidRPr="00C97822">
        <w:t>International perspective and treatment</w:t>
      </w:r>
      <w:bookmarkEnd w:id="19"/>
    </w:p>
    <w:p w14:paraId="1AD6FACF" w14:textId="46046AA6" w:rsidR="00EF3F62" w:rsidRDefault="003627F0" w:rsidP="006F1F34">
      <w:r>
        <w:t>Australia</w:t>
      </w:r>
      <w:r w:rsidR="007500C3">
        <w:t xml:space="preserve">’s </w:t>
      </w:r>
      <w:r w:rsidR="00D1791C">
        <w:t>GTP Regulation</w:t>
      </w:r>
      <w:r w:rsidR="001764D0">
        <w:t xml:space="preserve"> </w:t>
      </w:r>
      <w:r w:rsidR="00E502D7">
        <w:t>is</w:t>
      </w:r>
      <w:r w:rsidR="007500C3">
        <w:t xml:space="preserve"> </w:t>
      </w:r>
      <w:r>
        <w:t>unique</w:t>
      </w:r>
      <w:r w:rsidR="002059BF">
        <w:t xml:space="preserve"> </w:t>
      </w:r>
      <w:r w:rsidR="00DC3B6B">
        <w:t xml:space="preserve">in adopting a </w:t>
      </w:r>
      <w:r w:rsidR="00FB6D06">
        <w:t>statutory</w:t>
      </w:r>
      <w:r w:rsidR="00DC3B6B">
        <w:t xml:space="preserve"> taxing point </w:t>
      </w:r>
      <w:r w:rsidR="001764D0">
        <w:t xml:space="preserve">for LNG </w:t>
      </w:r>
      <w:r w:rsidR="00DC3B6B">
        <w:t xml:space="preserve">where there is no </w:t>
      </w:r>
      <w:r w:rsidR="001764D0">
        <w:t xml:space="preserve">commercial </w:t>
      </w:r>
      <w:r w:rsidR="00DC3B6B">
        <w:t>transaction</w:t>
      </w:r>
      <w:r w:rsidR="004A09BC">
        <w:t xml:space="preserve"> and, as</w:t>
      </w:r>
      <w:r w:rsidR="002679F9">
        <w:t xml:space="preserve"> one submission to the Review note</w:t>
      </w:r>
      <w:r w:rsidR="00D112D2">
        <w:t>d</w:t>
      </w:r>
      <w:r w:rsidR="002679F9">
        <w:t>, no other country in the world uses the bespoke RPM method to determine a gas transfer price.</w:t>
      </w:r>
      <w:r w:rsidR="002679F9">
        <w:rPr>
          <w:rStyle w:val="FootnoteReference"/>
        </w:rPr>
        <w:footnoteReference w:id="10"/>
      </w:r>
      <w:r w:rsidR="002679F9">
        <w:t xml:space="preserve"> </w:t>
      </w:r>
      <w:r w:rsidR="00765026">
        <w:t xml:space="preserve">Australia’s main international competitors </w:t>
      </w:r>
      <w:r w:rsidR="00331EF8">
        <w:t xml:space="preserve">for LNG </w:t>
      </w:r>
      <w:r w:rsidR="00765026">
        <w:t xml:space="preserve">have very different </w:t>
      </w:r>
      <w:r w:rsidR="006D7EC8">
        <w:t xml:space="preserve">fiscal </w:t>
      </w:r>
      <w:r w:rsidR="00765026">
        <w:t xml:space="preserve">regimes and markets. </w:t>
      </w:r>
    </w:p>
    <w:p w14:paraId="052B34F0" w14:textId="4F603E4C" w:rsidR="00EB2911" w:rsidRDefault="00EB2911" w:rsidP="006F1F34">
      <w:r>
        <w:t xml:space="preserve">The US </w:t>
      </w:r>
      <w:r w:rsidR="004E2D54">
        <w:t>–</w:t>
      </w:r>
      <w:r>
        <w:t xml:space="preserve"> soon to </w:t>
      </w:r>
      <w:r w:rsidR="00541D9C">
        <w:t>overtake Australia and Qatar as the world’s largest exporter of LNG</w:t>
      </w:r>
      <w:r w:rsidR="004E2D54">
        <w:t xml:space="preserve"> –</w:t>
      </w:r>
      <w:r w:rsidR="00F7363D">
        <w:t xml:space="preserve"> has no need </w:t>
      </w:r>
      <w:r w:rsidR="00AB2589">
        <w:t xml:space="preserve">for </w:t>
      </w:r>
      <w:r w:rsidR="00B14B89">
        <w:t>an RPM-</w:t>
      </w:r>
      <w:r w:rsidR="008B1456">
        <w:t xml:space="preserve">like pricing method, </w:t>
      </w:r>
      <w:r w:rsidR="00B24E8F">
        <w:t xml:space="preserve">given </w:t>
      </w:r>
      <w:r w:rsidR="00D0071F">
        <w:t>its</w:t>
      </w:r>
      <w:r w:rsidR="00DF6B7D">
        <w:t xml:space="preserve"> </w:t>
      </w:r>
      <w:r w:rsidR="00B753E6">
        <w:t>structurally</w:t>
      </w:r>
      <w:r w:rsidR="009A3B2E">
        <w:t xml:space="preserve"> different LNG mar</w:t>
      </w:r>
      <w:r w:rsidR="001E2B3F">
        <w:t>ket</w:t>
      </w:r>
      <w:r w:rsidR="00B753E6">
        <w:t xml:space="preserve"> and </w:t>
      </w:r>
      <w:r w:rsidR="0041021A">
        <w:t>the various</w:t>
      </w:r>
      <w:r w:rsidR="00DF6B7D">
        <w:t xml:space="preserve"> </w:t>
      </w:r>
      <w:r w:rsidR="003E2556">
        <w:t>state</w:t>
      </w:r>
      <w:r w:rsidR="0041021A">
        <w:t>-based</w:t>
      </w:r>
      <w:r w:rsidR="003E2556">
        <w:t xml:space="preserve"> </w:t>
      </w:r>
      <w:r w:rsidR="006D7EC8">
        <w:t>royalty</w:t>
      </w:r>
      <w:r w:rsidR="00B753E6">
        <w:t xml:space="preserve"> </w:t>
      </w:r>
      <w:r w:rsidR="003E2556">
        <w:t xml:space="preserve">regimes </w:t>
      </w:r>
      <w:r w:rsidR="00B71F4C">
        <w:t>applying to its</w:t>
      </w:r>
      <w:r w:rsidR="003E2556">
        <w:t xml:space="preserve"> oil and gas</w:t>
      </w:r>
      <w:r w:rsidR="00B71F4C">
        <w:t xml:space="preserve"> industry</w:t>
      </w:r>
      <w:r w:rsidR="001E2B3F">
        <w:t>.</w:t>
      </w:r>
      <w:r w:rsidR="00B71F4C">
        <w:t xml:space="preserve"> </w:t>
      </w:r>
      <w:r w:rsidR="00796785">
        <w:t>LNG e</w:t>
      </w:r>
      <w:r w:rsidR="00B71F4C">
        <w:t>xporters in the</w:t>
      </w:r>
      <w:r w:rsidR="00DF6B7D">
        <w:t xml:space="preserve"> US </w:t>
      </w:r>
      <w:r w:rsidR="00B71F4C">
        <w:t xml:space="preserve">can draw </w:t>
      </w:r>
      <w:r w:rsidR="00BF7607">
        <w:t>feedstock natural gas from</w:t>
      </w:r>
      <w:r w:rsidR="00DF6B7D">
        <w:t xml:space="preserve"> a </w:t>
      </w:r>
      <w:r w:rsidR="00BF7607">
        <w:t>vast</w:t>
      </w:r>
      <w:r w:rsidR="00540E16">
        <w:t xml:space="preserve"> and</w:t>
      </w:r>
      <w:r w:rsidR="00BF7607">
        <w:t xml:space="preserve"> </w:t>
      </w:r>
      <w:r w:rsidR="00540E16">
        <w:t>geographically dispersed</w:t>
      </w:r>
      <w:r w:rsidR="00DF6B7D">
        <w:t xml:space="preserve"> </w:t>
      </w:r>
      <w:r w:rsidR="00796785">
        <w:t>net</w:t>
      </w:r>
      <w:r w:rsidR="006466FB">
        <w:t xml:space="preserve">work of </w:t>
      </w:r>
      <w:r w:rsidR="00DF6B7D">
        <w:t xml:space="preserve">domestic gas </w:t>
      </w:r>
      <w:r w:rsidR="006466FB">
        <w:t>supply</w:t>
      </w:r>
      <w:r w:rsidR="00C31691">
        <w:t>.</w:t>
      </w:r>
      <w:r w:rsidR="001A0428">
        <w:t xml:space="preserve"> </w:t>
      </w:r>
      <w:r w:rsidR="00DE6CEC">
        <w:t xml:space="preserve">This </w:t>
      </w:r>
      <w:r w:rsidR="007F299B">
        <w:t>market</w:t>
      </w:r>
      <w:r w:rsidR="00DE6CEC">
        <w:t xml:space="preserve"> </w:t>
      </w:r>
      <w:r w:rsidR="001A0428">
        <w:t xml:space="preserve">provides </w:t>
      </w:r>
      <w:r w:rsidR="00072EFE">
        <w:t>observable</w:t>
      </w:r>
      <w:r w:rsidR="00F700D3">
        <w:t xml:space="preserve"> arm’s length</w:t>
      </w:r>
      <w:r w:rsidR="00072EFE">
        <w:t xml:space="preserve"> reference prices (</w:t>
      </w:r>
      <w:r w:rsidR="00BE0DE0">
        <w:t xml:space="preserve">that is, </w:t>
      </w:r>
      <w:r w:rsidR="00072EFE">
        <w:t xml:space="preserve">CUPs) </w:t>
      </w:r>
      <w:r w:rsidR="00423AB0">
        <w:t xml:space="preserve">that can be used </w:t>
      </w:r>
      <w:r w:rsidR="00B319F5">
        <w:t xml:space="preserve">as inputs for </w:t>
      </w:r>
      <w:r w:rsidR="00A0277D">
        <w:t xml:space="preserve">determining </w:t>
      </w:r>
      <w:r w:rsidR="009B6BA1">
        <w:t>royalty</w:t>
      </w:r>
      <w:r w:rsidR="00A0277D">
        <w:t xml:space="preserve"> liabilities.</w:t>
      </w:r>
      <w:r w:rsidR="00E000C0">
        <w:t xml:space="preserve"> </w:t>
      </w:r>
    </w:p>
    <w:p w14:paraId="6B6A01DA" w14:textId="1C6E4BE8" w:rsidR="00F357A9" w:rsidRDefault="004A501C" w:rsidP="00186D7A">
      <w:r>
        <w:t xml:space="preserve">Qatar </w:t>
      </w:r>
      <w:r w:rsidR="00211A0D">
        <w:t>has</w:t>
      </w:r>
      <w:r>
        <w:t xml:space="preserve"> </w:t>
      </w:r>
      <w:r w:rsidR="0072421D">
        <w:t>a</w:t>
      </w:r>
      <w:r w:rsidR="001C4BA8">
        <w:t xml:space="preserve"> very different </w:t>
      </w:r>
      <w:r w:rsidR="0072421D">
        <w:t xml:space="preserve">fiscal </w:t>
      </w:r>
      <w:r w:rsidR="001C4BA8">
        <w:t xml:space="preserve">regime </w:t>
      </w:r>
      <w:r w:rsidR="00211A0D">
        <w:t xml:space="preserve">applying </w:t>
      </w:r>
      <w:r w:rsidR="001C4BA8">
        <w:t xml:space="preserve">to </w:t>
      </w:r>
      <w:r w:rsidR="00211A0D">
        <w:t>its</w:t>
      </w:r>
      <w:r w:rsidR="00C731B9">
        <w:t xml:space="preserve"> oil and gas industry </w:t>
      </w:r>
      <w:r w:rsidR="00211A0D">
        <w:t>compared to</w:t>
      </w:r>
      <w:r w:rsidR="001C4BA8">
        <w:t xml:space="preserve"> Australia’s </w:t>
      </w:r>
      <w:r w:rsidR="00682D00">
        <w:t>profit</w:t>
      </w:r>
      <w:r w:rsidR="00B00BCE">
        <w:t>-</w:t>
      </w:r>
      <w:r w:rsidR="00682D00">
        <w:t xml:space="preserve">based </w:t>
      </w:r>
      <w:r w:rsidR="001C4BA8">
        <w:t>PRRT</w:t>
      </w:r>
      <w:r w:rsidR="003E7462">
        <w:t xml:space="preserve">. </w:t>
      </w:r>
      <w:r w:rsidR="0072421D">
        <w:t>It</w:t>
      </w:r>
      <w:r w:rsidR="00F357A9">
        <w:t xml:space="preserve"> has a state-owned corporation with a direct interest in all stages of the gas production value chain, and various production sharing contracts (and other fiscal arrangements) are in place with the Qatari Government for individual gas projects. Such arrangements mean that </w:t>
      </w:r>
      <w:r w:rsidR="0088554C">
        <w:t>Qatar</w:t>
      </w:r>
      <w:r w:rsidR="00F357A9">
        <w:t xml:space="preserve"> can be </w:t>
      </w:r>
      <w:r w:rsidR="00F357A9" w:rsidRPr="00527902">
        <w:t xml:space="preserve">indifferent as to whether the benefits of gas production are realised by way of dividends from the </w:t>
      </w:r>
      <w:r w:rsidR="00F357A9">
        <w:t>state-owned corporation</w:t>
      </w:r>
      <w:r w:rsidR="00F357A9" w:rsidRPr="00527902">
        <w:t xml:space="preserve"> or through </w:t>
      </w:r>
      <w:r w:rsidR="00370E8B">
        <w:t>its</w:t>
      </w:r>
      <w:r w:rsidR="00F357A9" w:rsidRPr="00527902">
        <w:t xml:space="preserve"> </w:t>
      </w:r>
      <w:r w:rsidR="00370E8B">
        <w:t>taxation arrangements</w:t>
      </w:r>
      <w:r w:rsidR="00F357A9">
        <w:t>.</w:t>
      </w:r>
      <w:r w:rsidR="009B1226">
        <w:t xml:space="preserve"> </w:t>
      </w:r>
    </w:p>
    <w:p w14:paraId="23B8C598" w14:textId="7DD3BD4F" w:rsidR="00370E8B" w:rsidRDefault="00763D9A" w:rsidP="00186D7A">
      <w:r>
        <w:t>The</w:t>
      </w:r>
      <w:r w:rsidR="004E2D54">
        <w:t xml:space="preserve"> Callaghan Review</w:t>
      </w:r>
      <w:r w:rsidR="0030322B">
        <w:t xml:space="preserve"> </w:t>
      </w:r>
      <w:r w:rsidR="00405894">
        <w:t xml:space="preserve">considered </w:t>
      </w:r>
      <w:r w:rsidR="00413052">
        <w:t>a wider range of resource tax arrangements and</w:t>
      </w:r>
      <w:r>
        <w:t xml:space="preserve"> </w:t>
      </w:r>
      <w:r w:rsidR="00CB0AF2">
        <w:t>found</w:t>
      </w:r>
      <w:r w:rsidR="004E2D54">
        <w:t xml:space="preserve"> it is difficult to analyse jurisdictions on a comparable basis</w:t>
      </w:r>
      <w:r>
        <w:t xml:space="preserve"> g</w:t>
      </w:r>
      <w:r w:rsidR="00DA3DE0">
        <w:t>iven t</w:t>
      </w:r>
      <w:r w:rsidR="00C82CAF">
        <w:t xml:space="preserve">he significant variety in </w:t>
      </w:r>
      <w:r w:rsidR="00CC6DDF">
        <w:t>approaches</w:t>
      </w:r>
      <w:r w:rsidR="00931863">
        <w:t xml:space="preserve"> taken</w:t>
      </w:r>
      <w:r w:rsidR="00DA36D1">
        <w:t>.</w:t>
      </w:r>
    </w:p>
    <w:p w14:paraId="26600B6B" w14:textId="563206D9" w:rsidR="006F1F34" w:rsidRDefault="006F1F34" w:rsidP="006F1F34"/>
    <w:p w14:paraId="3A19844D" w14:textId="0C8A96A0" w:rsidR="005C4D35" w:rsidRPr="006862EF" w:rsidRDefault="00224CD6" w:rsidP="006862EF">
      <w:pPr>
        <w:pStyle w:val="Heading1"/>
      </w:pPr>
      <w:bookmarkStart w:id="20" w:name="_Toc30064611"/>
      <w:bookmarkEnd w:id="18"/>
      <w:r>
        <w:br w:type="page"/>
      </w:r>
      <w:bookmarkStart w:id="21" w:name="_Toc134273563"/>
      <w:r w:rsidR="005C4D35" w:rsidRPr="006862EF">
        <w:lastRenderedPageBreak/>
        <w:t>4. Industry overview</w:t>
      </w:r>
      <w:bookmarkEnd w:id="20"/>
      <w:bookmarkEnd w:id="21"/>
    </w:p>
    <w:p w14:paraId="74334A9C" w14:textId="5FE701BF" w:rsidR="00BD0264" w:rsidRPr="00BD0264" w:rsidRDefault="008F2BB5" w:rsidP="00BD0264">
      <w:pPr>
        <w:pStyle w:val="Heading2"/>
      </w:pPr>
      <w:bookmarkStart w:id="22" w:name="_Toc134273564"/>
      <w:bookmarkStart w:id="23" w:name="_Hlk123890678"/>
      <w:r>
        <w:t xml:space="preserve">4.1 </w:t>
      </w:r>
      <w:r w:rsidR="00BD0264" w:rsidRPr="00BD0264">
        <w:t>Australian LNG exports</w:t>
      </w:r>
      <w:bookmarkEnd w:id="22"/>
    </w:p>
    <w:p w14:paraId="6EC24233" w14:textId="04CD0012" w:rsidR="00BD0264" w:rsidRDefault="00BD0264" w:rsidP="00BD0264">
      <w:r>
        <w:t xml:space="preserve">Global LNG </w:t>
      </w:r>
      <w:r w:rsidR="00181759">
        <w:t>supply</w:t>
      </w:r>
      <w:r>
        <w:t xml:space="preserve"> capacity expanded significantly as a result of Australia’s $230 billion LNG investment boom between 2007 and 2012, when final investment decisions were taken on eight major LNG projects. With the last of the projects becoming operational in 2019, Australia now has 10</w:t>
      </w:r>
      <w:r w:rsidR="00B00BCE">
        <w:t> </w:t>
      </w:r>
      <w:r>
        <w:t xml:space="preserve">LNG facilities with a total liquefaction capacity of around 88 million tonnes per annum (mtpa). </w:t>
      </w:r>
    </w:p>
    <w:p w14:paraId="2D727E5D" w14:textId="77777777" w:rsidR="00BD0264" w:rsidRDefault="00BD0264" w:rsidP="00BD0264">
      <w:pPr>
        <w:pStyle w:val="Heading3"/>
      </w:pPr>
      <w:r>
        <w:t>Figure 4.1 – Australia’s major LNG projects</w:t>
      </w:r>
    </w:p>
    <w:p w14:paraId="1C66758D" w14:textId="3D78C104" w:rsidR="00BD0264" w:rsidRDefault="002E477F" w:rsidP="00BD0264">
      <w:r>
        <w:rPr>
          <w:noProof/>
          <w:sz w:val="18"/>
          <w:szCs w:val="16"/>
        </w:rPr>
        <w:drawing>
          <wp:anchor distT="0" distB="0" distL="114300" distR="114300" simplePos="0" relativeHeight="251658241" behindDoc="0" locked="1" layoutInCell="1" allowOverlap="1" wp14:anchorId="5A41EAF8" wp14:editId="58EAE6FB">
            <wp:simplePos x="0" y="0"/>
            <wp:positionH relativeFrom="column">
              <wp:posOffset>471805</wp:posOffset>
            </wp:positionH>
            <wp:positionV relativeFrom="paragraph">
              <wp:posOffset>2673985</wp:posOffset>
            </wp:positionV>
            <wp:extent cx="1897200" cy="622800"/>
            <wp:effectExtent l="0" t="0" r="825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97200" cy="622800"/>
                    </a:xfrm>
                    <a:prstGeom prst="rect">
                      <a:avLst/>
                    </a:prstGeom>
                  </pic:spPr>
                </pic:pic>
              </a:graphicData>
            </a:graphic>
            <wp14:sizeRelH relativeFrom="page">
              <wp14:pctWidth>0</wp14:pctWidth>
            </wp14:sizeRelH>
            <wp14:sizeRelV relativeFrom="page">
              <wp14:pctHeight>0</wp14:pctHeight>
            </wp14:sizeRelV>
          </wp:anchor>
        </w:drawing>
      </w:r>
      <w:r w:rsidR="00BD0264">
        <w:rPr>
          <w:noProof/>
        </w:rPr>
        <w:drawing>
          <wp:inline distT="0" distB="0" distL="0" distR="0" wp14:anchorId="19415AAD" wp14:editId="2AF7817F">
            <wp:extent cx="5727702" cy="3576119"/>
            <wp:effectExtent l="0" t="0" r="6350" b="5715"/>
            <wp:docPr id="21" name="Picture 21" descr="A map of Australia's major LNG projects, including which gas basins they are located wi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map of Australia's major LNG projects, including which gas basins they are located within."/>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5766204" cy="3600158"/>
                    </a:xfrm>
                    <a:prstGeom prst="rect">
                      <a:avLst/>
                    </a:prstGeom>
                    <a:ln>
                      <a:noFill/>
                    </a:ln>
                    <a:extLst>
                      <a:ext uri="{53640926-AAD7-44D8-BBD7-CCE9431645EC}">
                        <a14:shadowObscured xmlns:a14="http://schemas.microsoft.com/office/drawing/2010/main"/>
                      </a:ext>
                    </a:extLst>
                  </pic:spPr>
                </pic:pic>
              </a:graphicData>
            </a:graphic>
          </wp:inline>
        </w:drawing>
      </w:r>
    </w:p>
    <w:p w14:paraId="52A513B3" w14:textId="260E9909" w:rsidR="0019603E" w:rsidRPr="0019603E" w:rsidRDefault="0019603E" w:rsidP="00BD0264">
      <w:pPr>
        <w:rPr>
          <w:sz w:val="18"/>
          <w:szCs w:val="16"/>
        </w:rPr>
      </w:pPr>
      <w:r w:rsidRPr="0019603E">
        <w:rPr>
          <w:sz w:val="18"/>
          <w:szCs w:val="16"/>
        </w:rPr>
        <w:t>Source: Resources and energy quarterly</w:t>
      </w:r>
      <w:r w:rsidR="0011484A">
        <w:rPr>
          <w:sz w:val="18"/>
          <w:szCs w:val="16"/>
        </w:rPr>
        <w:t xml:space="preserve">, </w:t>
      </w:r>
      <w:r w:rsidRPr="0019603E">
        <w:rPr>
          <w:sz w:val="18"/>
          <w:szCs w:val="16"/>
        </w:rPr>
        <w:t xml:space="preserve">December </w:t>
      </w:r>
      <w:r w:rsidR="0011484A">
        <w:rPr>
          <w:sz w:val="18"/>
          <w:szCs w:val="16"/>
        </w:rPr>
        <w:t>2022</w:t>
      </w:r>
      <w:r w:rsidRPr="0019603E">
        <w:rPr>
          <w:sz w:val="18"/>
          <w:szCs w:val="16"/>
        </w:rPr>
        <w:t xml:space="preserve">: </w:t>
      </w:r>
      <w:r>
        <w:rPr>
          <w:sz w:val="18"/>
          <w:szCs w:val="16"/>
        </w:rPr>
        <w:br/>
      </w:r>
      <w:r w:rsidRPr="0019603E">
        <w:rPr>
          <w:sz w:val="18"/>
          <w:szCs w:val="16"/>
        </w:rPr>
        <w:t>https://www.industry.gov.au/</w:t>
      </w:r>
      <w:r w:rsidR="0011484A" w:rsidRPr="0011484A">
        <w:rPr>
          <w:sz w:val="18"/>
          <w:szCs w:val="16"/>
        </w:rPr>
        <w:t>sites/default/files/2022-12</w:t>
      </w:r>
      <w:r w:rsidRPr="0019603E">
        <w:rPr>
          <w:sz w:val="18"/>
          <w:szCs w:val="16"/>
        </w:rPr>
        <w:t>/resources</w:t>
      </w:r>
      <w:r w:rsidR="0011484A" w:rsidRPr="0011484A">
        <w:rPr>
          <w:sz w:val="18"/>
          <w:szCs w:val="16"/>
        </w:rPr>
        <w:t>-</w:t>
      </w:r>
      <w:r w:rsidRPr="0019603E">
        <w:rPr>
          <w:sz w:val="18"/>
          <w:szCs w:val="16"/>
        </w:rPr>
        <w:t>and</w:t>
      </w:r>
      <w:r w:rsidR="0011484A" w:rsidRPr="0011484A">
        <w:rPr>
          <w:sz w:val="18"/>
          <w:szCs w:val="16"/>
        </w:rPr>
        <w:t>-</w:t>
      </w:r>
      <w:r w:rsidRPr="0019603E">
        <w:rPr>
          <w:sz w:val="18"/>
          <w:szCs w:val="16"/>
        </w:rPr>
        <w:t>energy</w:t>
      </w:r>
      <w:r w:rsidR="0011484A" w:rsidRPr="0011484A">
        <w:rPr>
          <w:sz w:val="18"/>
          <w:szCs w:val="16"/>
        </w:rPr>
        <w:t>-</w:t>
      </w:r>
      <w:r w:rsidRPr="0019603E">
        <w:rPr>
          <w:sz w:val="18"/>
          <w:szCs w:val="16"/>
        </w:rPr>
        <w:t>quarterly</w:t>
      </w:r>
      <w:r w:rsidR="0011484A" w:rsidRPr="0011484A">
        <w:rPr>
          <w:sz w:val="18"/>
          <w:szCs w:val="16"/>
        </w:rPr>
        <w:t>-december-2022.pdf</w:t>
      </w:r>
    </w:p>
    <w:p w14:paraId="3B0C7F8C" w14:textId="777C3CCA" w:rsidR="00BD0264" w:rsidRDefault="00BD0264" w:rsidP="00BD0264">
      <w:r>
        <w:t xml:space="preserve">LNG is produced </w:t>
      </w:r>
      <w:r w:rsidR="0067474B">
        <w:t>solely</w:t>
      </w:r>
      <w:r>
        <w:t xml:space="preserve"> for the purposes of </w:t>
      </w:r>
      <w:r w:rsidR="00E56E2D">
        <w:t xml:space="preserve">transportation to market </w:t>
      </w:r>
      <w:r w:rsidR="004A179D">
        <w:t>by ship.</w:t>
      </w:r>
      <w:r>
        <w:t xml:space="preserve"> </w:t>
      </w:r>
      <w:r w:rsidR="009C1616">
        <w:t>Liquefaction cools natural gas to its liquid form, reducing to 1/600</w:t>
      </w:r>
      <w:r w:rsidR="009C1616" w:rsidRPr="00A1697C">
        <w:rPr>
          <w:vertAlign w:val="superscript"/>
        </w:rPr>
        <w:t>th</w:t>
      </w:r>
      <w:r w:rsidR="009C1616">
        <w:t xml:space="preserve"> of its volume, thereby enabling it to be shipped. </w:t>
      </w:r>
      <w:r>
        <w:t xml:space="preserve">The geographical distance between Australia and key export markets prevents trade through conventional pipelines like those used for domestic gas consumption. </w:t>
      </w:r>
    </w:p>
    <w:p w14:paraId="69860329" w14:textId="4776A02F" w:rsidR="00BD0264" w:rsidRDefault="00BD0264" w:rsidP="00BD0264">
      <w:r>
        <w:t xml:space="preserve">In 2021-22, Australia became the world’s largest LNG exporter with a record 83.2 million tonnes exported, comprising 21 per cent of global trade. </w:t>
      </w:r>
      <w:r w:rsidR="009A31BD">
        <w:t>Industry e</w:t>
      </w:r>
      <w:r>
        <w:t xml:space="preserve">arnings reached $70 billion, thus making LNG Australia’s second largest commodity export by value behind </w:t>
      </w:r>
      <w:r w:rsidR="001F0F91">
        <w:t>i</w:t>
      </w:r>
      <w:r>
        <w:t xml:space="preserve">ron </w:t>
      </w:r>
      <w:r w:rsidR="001F0F91">
        <w:t>o</w:t>
      </w:r>
      <w:r>
        <w:t>re (Department of Industry, Science and Resources, 2022)</w:t>
      </w:r>
      <w:r>
        <w:rPr>
          <w:rStyle w:val="FootnoteReference"/>
        </w:rPr>
        <w:footnoteReference w:id="11"/>
      </w:r>
      <w:r>
        <w:t>. LNG export earnings are forecast to reach over $90 billion in 2022</w:t>
      </w:r>
      <w:r w:rsidR="00441C87">
        <w:noBreakHyphen/>
      </w:r>
      <w:r>
        <w:t>23, although the volume of LNG exports is forecast to decline slightly to around 81 million tonnes and stabilise at that level going forward (Department of Industry, Science and Resources, 2022).</w:t>
      </w:r>
      <w:r>
        <w:rPr>
          <w:rStyle w:val="FootnoteReference"/>
        </w:rPr>
        <w:footnoteReference w:id="12"/>
      </w:r>
      <w:r>
        <w:t xml:space="preserve"> </w:t>
      </w:r>
    </w:p>
    <w:p w14:paraId="55342BE9" w14:textId="4C53230B" w:rsidR="00BD0264" w:rsidRDefault="00BD0264" w:rsidP="00BD0264">
      <w:r>
        <w:lastRenderedPageBreak/>
        <w:t xml:space="preserve">The vast majority of Australia’s LNG is exported to the Asia </w:t>
      </w:r>
      <w:r w:rsidR="00B10DB3">
        <w:t>P</w:t>
      </w:r>
      <w:r>
        <w:t>acific market, primarily to Japan, China</w:t>
      </w:r>
      <w:r w:rsidR="00D633F0">
        <w:t>,</w:t>
      </w:r>
      <w:r>
        <w:t xml:space="preserve"> and South Korea. Almost three quarters of Australian LNG exports are sold under oil-linked long-term contracts</w:t>
      </w:r>
      <w:r w:rsidR="003222CE">
        <w:t xml:space="preserve">, </w:t>
      </w:r>
      <w:r>
        <w:t>typically</w:t>
      </w:r>
      <w:r w:rsidR="003222CE">
        <w:t xml:space="preserve"> of </w:t>
      </w:r>
      <w:r>
        <w:t>20 years</w:t>
      </w:r>
      <w:r w:rsidR="003222CE">
        <w:t xml:space="preserve"> duration</w:t>
      </w:r>
      <w:r>
        <w:t>. These contracts link the price of LNG sold to the price of oil (commonly the Japan customs-cleared crude, JCC) with a time lag of around three to six months, depending on the contractual arrangements. The remaining LNG is sold at spot prices or on short-term contracts.</w:t>
      </w:r>
      <w:r w:rsidR="00151767">
        <w:t xml:space="preserve"> </w:t>
      </w:r>
    </w:p>
    <w:p w14:paraId="4D8578B0" w14:textId="648AE6CA" w:rsidR="00BD0264" w:rsidRPr="00BD0264" w:rsidRDefault="008F2BB5" w:rsidP="00BD0264">
      <w:pPr>
        <w:pStyle w:val="Heading2"/>
      </w:pPr>
      <w:bookmarkStart w:id="24" w:name="_Toc134273565"/>
      <w:r>
        <w:t xml:space="preserve">4.2 </w:t>
      </w:r>
      <w:r w:rsidR="00BD0264" w:rsidRPr="00BD0264">
        <w:t>The major LNG projects</w:t>
      </w:r>
      <w:r w:rsidR="00BD0264">
        <w:t xml:space="preserve"> in Australia</w:t>
      </w:r>
      <w:bookmarkEnd w:id="24"/>
    </w:p>
    <w:p w14:paraId="1473D91F" w14:textId="22E6D7E6" w:rsidR="00BD0264" w:rsidRDefault="00BD0264" w:rsidP="00BD0264">
      <w:r>
        <w:t xml:space="preserve">Australia’s LNG industry began with the NWS LNG project exporting to Japan in 1989. The </w:t>
      </w:r>
      <w:r w:rsidR="00E41D71">
        <w:t xml:space="preserve">second LNG project – </w:t>
      </w:r>
      <w:r>
        <w:t xml:space="preserve">Darwin LNG </w:t>
      </w:r>
      <w:r w:rsidR="00E41D71">
        <w:t xml:space="preserve">– </w:t>
      </w:r>
      <w:r>
        <w:t>was completed in 2006, processing and exporting gas from the Bayu-Undan field in the</w:t>
      </w:r>
      <w:r w:rsidR="00AF6B11">
        <w:t xml:space="preserve"> former</w:t>
      </w:r>
      <w:r>
        <w:t xml:space="preserve"> Joint Petroleum Development Area (JP</w:t>
      </w:r>
      <w:r w:rsidR="00695C56">
        <w:t>D</w:t>
      </w:r>
      <w:r>
        <w:t>A) shared between Australia and Timor</w:t>
      </w:r>
      <w:r w:rsidR="00EF5B4F">
        <w:t>-</w:t>
      </w:r>
      <w:r>
        <w:t xml:space="preserve">Leste. </w:t>
      </w:r>
    </w:p>
    <w:p w14:paraId="3B5D444B" w14:textId="05DAD139" w:rsidR="00BD0264" w:rsidRDefault="00F153C0" w:rsidP="00BD0264">
      <w:r>
        <w:t>The</w:t>
      </w:r>
      <w:r w:rsidR="00BD0264">
        <w:t xml:space="preserve"> </w:t>
      </w:r>
      <w:r w:rsidR="00E51B54">
        <w:t>LNG investment boom</w:t>
      </w:r>
      <w:r w:rsidR="00BD0264">
        <w:t xml:space="preserve"> </w:t>
      </w:r>
      <w:r w:rsidR="00DB0249">
        <w:t>that followed</w:t>
      </w:r>
      <w:r w:rsidR="00BD0264">
        <w:t xml:space="preserve"> </w:t>
      </w:r>
      <w:r w:rsidR="003D52CE">
        <w:t>was</w:t>
      </w:r>
      <w:r w:rsidR="00CC72E1">
        <w:t xml:space="preserve"> </w:t>
      </w:r>
      <w:r w:rsidR="00BD0264">
        <w:t>spurred on by a prolonged period of tightness in the global LNG market and a period of high and rising oil prices. Pluto LNG was the first to come online in 2012, followed by the t</w:t>
      </w:r>
      <w:r w:rsidR="00BD0264" w:rsidRPr="009A4E11">
        <w:t>hree unconventional</w:t>
      </w:r>
      <w:r w:rsidR="00BD0264">
        <w:t xml:space="preserve"> coal-seam gas </w:t>
      </w:r>
      <w:r w:rsidR="008E3FDC">
        <w:t>(CSG)</w:t>
      </w:r>
      <w:r w:rsidR="00BD0264">
        <w:t xml:space="preserve"> projects onshore in Queensland over 2015 and 2016</w:t>
      </w:r>
      <w:r w:rsidR="0001284F">
        <w:t>.</w:t>
      </w:r>
      <w:r w:rsidR="00284505">
        <w:rPr>
          <w:rStyle w:val="FootnoteReference"/>
        </w:rPr>
        <w:footnoteReference w:id="13"/>
      </w:r>
      <w:r w:rsidR="00BD0264">
        <w:t xml:space="preserve"> Gorgon – one of the </w:t>
      </w:r>
      <w:r w:rsidR="00D53548">
        <w:t xml:space="preserve">world’s </w:t>
      </w:r>
      <w:r w:rsidR="00BD0264">
        <w:t xml:space="preserve">largest </w:t>
      </w:r>
      <w:r w:rsidR="00814D32">
        <w:t>LNG projects</w:t>
      </w:r>
      <w:r w:rsidR="00BD0264">
        <w:t xml:space="preserve"> – shipped its first cargo in March 2016</w:t>
      </w:r>
      <w:r w:rsidR="00A22E60">
        <w:t xml:space="preserve">. </w:t>
      </w:r>
      <w:r w:rsidR="00BD0264">
        <w:t xml:space="preserve">Wheatstone </w:t>
      </w:r>
      <w:r w:rsidR="001A05E9">
        <w:t xml:space="preserve">commenced production </w:t>
      </w:r>
      <w:r w:rsidR="00BD0264">
        <w:t>in 2017</w:t>
      </w:r>
      <w:r w:rsidR="00100952">
        <w:t>, Ichthys in 2018,</w:t>
      </w:r>
      <w:r w:rsidR="00BD0264">
        <w:t xml:space="preserve"> and, lastly, Prelude in 2019 – </w:t>
      </w:r>
      <w:r w:rsidR="004F600B">
        <w:t xml:space="preserve">one </w:t>
      </w:r>
      <w:r w:rsidR="00E276A8">
        <w:t xml:space="preserve">of </w:t>
      </w:r>
      <w:r w:rsidR="00BD0264">
        <w:t xml:space="preserve">the world’s first floating LNG </w:t>
      </w:r>
      <w:r w:rsidR="00E276A8">
        <w:t>facilities</w:t>
      </w:r>
      <w:r w:rsidR="00BD0264">
        <w:t>. The location and scale of these projects is shown in Figure</w:t>
      </w:r>
      <w:r w:rsidR="00D12F73">
        <w:t> </w:t>
      </w:r>
      <w:r w:rsidR="00BD0264">
        <w:t xml:space="preserve">4.1. </w:t>
      </w:r>
    </w:p>
    <w:p w14:paraId="0411B669" w14:textId="04973C13" w:rsidR="00BD0264" w:rsidRDefault="00BD0264" w:rsidP="00BD0264">
      <w:r>
        <w:t xml:space="preserve">For </w:t>
      </w:r>
      <w:r w:rsidR="006C0B8D">
        <w:t>a period</w:t>
      </w:r>
      <w:r>
        <w:t>,</w:t>
      </w:r>
      <w:r w:rsidR="00FC2A2B">
        <w:t xml:space="preserve"> the last</w:t>
      </w:r>
      <w:r>
        <w:t xml:space="preserve"> seven of these major LNG projects were under construction at the same time, represent</w:t>
      </w:r>
      <w:r w:rsidR="00761FED">
        <w:t>ing</w:t>
      </w:r>
      <w:r>
        <w:t xml:space="preserve"> more than half of the LNG projects under construction globally. This </w:t>
      </w:r>
      <w:r w:rsidR="007A34B3">
        <w:t xml:space="preserve">put upwards pressure on labour and material costs and </w:t>
      </w:r>
      <w:r>
        <w:t xml:space="preserve">contributed to a substantial increase in total project development costs. </w:t>
      </w:r>
      <w:r w:rsidR="00A85181">
        <w:t>Some i</w:t>
      </w:r>
      <w:r w:rsidR="00FA5090">
        <w:t xml:space="preserve">ndustry </w:t>
      </w:r>
      <w:r w:rsidR="00A85181">
        <w:t xml:space="preserve">participants </w:t>
      </w:r>
      <w:r w:rsidR="00FA5090">
        <w:t>ha</w:t>
      </w:r>
      <w:r w:rsidR="00A85181">
        <w:t>ve</w:t>
      </w:r>
      <w:r w:rsidR="00FA5090">
        <w:t xml:space="preserve"> stated that</w:t>
      </w:r>
      <w:r w:rsidR="00761FED">
        <w:t xml:space="preserve"> </w:t>
      </w:r>
      <w:r>
        <w:t>projects</w:t>
      </w:r>
      <w:r w:rsidR="00FA5090">
        <w:t xml:space="preserve"> tended to</w:t>
      </w:r>
      <w:r>
        <w:t xml:space="preserve"> suffer cost overruns relative to expectations at the time </w:t>
      </w:r>
      <w:r w:rsidR="004A5172">
        <w:t xml:space="preserve">final investment </w:t>
      </w:r>
      <w:r>
        <w:t>decisions were taken</w:t>
      </w:r>
      <w:r w:rsidR="00E75809">
        <w:t xml:space="preserve">, which </w:t>
      </w:r>
      <w:r w:rsidR="00363227">
        <w:t xml:space="preserve">has </w:t>
      </w:r>
      <w:r>
        <w:t>significantly impacted project economics and their competitiveness.</w:t>
      </w:r>
      <w:r w:rsidR="00320CB9">
        <w:t xml:space="preserve"> </w:t>
      </w:r>
      <w:r w:rsidR="00E1161B">
        <w:t>Treasury</w:t>
      </w:r>
      <w:r w:rsidR="00320CB9">
        <w:t xml:space="preserve"> heard from the</w:t>
      </w:r>
      <w:r w:rsidR="00D927E3">
        <w:t xml:space="preserve"> industry that most, if not all, </w:t>
      </w:r>
      <w:r w:rsidR="005E40E8">
        <w:t xml:space="preserve">projects </w:t>
      </w:r>
      <w:r w:rsidR="00D927E3">
        <w:t xml:space="preserve">have turned out to be </w:t>
      </w:r>
      <w:r w:rsidR="00E276A8">
        <w:t>less profitable than</w:t>
      </w:r>
      <w:r w:rsidR="00D927E3">
        <w:t xml:space="preserve"> </w:t>
      </w:r>
      <w:r w:rsidR="00031D28">
        <w:t>envisaged</w:t>
      </w:r>
      <w:r w:rsidR="00925861">
        <w:t>, confirming the observations made in the Callaghan Review</w:t>
      </w:r>
      <w:r w:rsidR="00B10DB3">
        <w:t>.</w:t>
      </w:r>
      <w:r w:rsidR="00E97CEA">
        <w:rPr>
          <w:rStyle w:val="FootnoteReference"/>
        </w:rPr>
        <w:footnoteReference w:id="14"/>
      </w:r>
      <w:r w:rsidR="00D927E3">
        <w:t xml:space="preserve"> </w:t>
      </w:r>
      <w:r w:rsidR="00C72C81">
        <w:t>By way of example, t</w:t>
      </w:r>
      <w:r>
        <w:t>otal project costs for Gorgon were progressively revised from US$37 billion at FID in 2009 to US$54 billion in 2013. Consultancy firm Wood Mackenzie‘s asset report estimates total development costs until the end of 2017 to be US$60</w:t>
      </w:r>
      <w:r w:rsidR="003606B3">
        <w:t> </w:t>
      </w:r>
      <w:r>
        <w:t xml:space="preserve">billion. </w:t>
      </w:r>
      <w:r w:rsidR="00DD7B26">
        <w:t xml:space="preserve">Other projects, for example </w:t>
      </w:r>
      <w:r>
        <w:t xml:space="preserve">Wheatstone </w:t>
      </w:r>
      <w:r w:rsidR="00DD7B26">
        <w:t xml:space="preserve">and </w:t>
      </w:r>
      <w:r>
        <w:t>Ichthys</w:t>
      </w:r>
      <w:r w:rsidR="00305087">
        <w:t>,</w:t>
      </w:r>
      <w:r w:rsidR="00DD7B26">
        <w:t xml:space="preserve"> also </w:t>
      </w:r>
      <w:r w:rsidR="00A53039">
        <w:t>saw significant cost increases during construction</w:t>
      </w:r>
      <w:r>
        <w:t xml:space="preserve">. </w:t>
      </w:r>
    </w:p>
    <w:p w14:paraId="3A3C1553" w14:textId="6309E453" w:rsidR="00BD0264" w:rsidRDefault="003221F4" w:rsidP="00BD0264">
      <w:r>
        <w:t>The p</w:t>
      </w:r>
      <w:r w:rsidR="00BD0264">
        <w:t xml:space="preserve">roject economics have also been impacted by the resultant LNG supply glut. </w:t>
      </w:r>
      <w:r w:rsidR="006E66FE">
        <w:t>The LNG investment boom</w:t>
      </w:r>
      <w:r w:rsidR="00BD0264">
        <w:t xml:space="preserve"> represented not just a major expansion in Australian liquefaction capacity, but also in </w:t>
      </w:r>
      <w:r w:rsidR="00BD0264" w:rsidRPr="002C13D4">
        <w:rPr>
          <w:i/>
          <w:iCs/>
        </w:rPr>
        <w:t xml:space="preserve">global </w:t>
      </w:r>
      <w:r w:rsidR="00BD0264">
        <w:t>capacity, thus significantly transforming the global LNG market.</w:t>
      </w:r>
      <w:r w:rsidR="00BD0264">
        <w:rPr>
          <w:rStyle w:val="FootnoteReference"/>
        </w:rPr>
        <w:footnoteReference w:id="15"/>
      </w:r>
      <w:r w:rsidR="00BD0264">
        <w:t xml:space="preserve"> The supply glut coincided with a fall in oil prices, accentuating pressures on the projects. </w:t>
      </w:r>
    </w:p>
    <w:p w14:paraId="1E4CB8E9" w14:textId="77777777" w:rsidR="0019603E" w:rsidRDefault="00BD0264" w:rsidP="00BD0264">
      <w:r>
        <w:t>Industry submissions to the Callaghan Review noted that most of the large LNG projects had expectations of high rates of return when investment decisions were taken.</w:t>
      </w:r>
      <w:r w:rsidR="0085236D">
        <w:rPr>
          <w:rStyle w:val="FootnoteReference"/>
        </w:rPr>
        <w:footnoteReference w:id="16"/>
      </w:r>
      <w:r>
        <w:t xml:space="preserve"> However, the cost overruns alongside a difficult price environment as projects transitioned to production resulted in lower rates of return than expected – at least until the surge in oil prices </w:t>
      </w:r>
      <w:r w:rsidR="00946FDB">
        <w:t xml:space="preserve">in 2022, </w:t>
      </w:r>
      <w:r>
        <w:t>arising from Russia’s invasion of Ukraine.</w:t>
      </w:r>
    </w:p>
    <w:p w14:paraId="2E0AEB11" w14:textId="06E2C3B1" w:rsidR="00BD0264" w:rsidRDefault="00BD0264" w:rsidP="00BD0264">
      <w:r>
        <w:lastRenderedPageBreak/>
        <w:t xml:space="preserve">Lower overall profitability </w:t>
      </w:r>
      <w:r w:rsidR="00F5003D">
        <w:t>of projects</w:t>
      </w:r>
      <w:r>
        <w:t xml:space="preserve"> has had implications for returns to the community through PRRT revenue, which will be lower and collected later than expected, particularly given the interaction with carry</w:t>
      </w:r>
      <w:r w:rsidR="00F86979">
        <w:t>-</w:t>
      </w:r>
      <w:r>
        <w:t>forward uplift rates for undeducted capital expenditure</w:t>
      </w:r>
      <w:r w:rsidR="004F728E">
        <w:t xml:space="preserve">, which </w:t>
      </w:r>
      <w:r w:rsidR="00A90487">
        <w:t>remains</w:t>
      </w:r>
      <w:r w:rsidR="004F728E">
        <w:t xml:space="preserve"> su</w:t>
      </w:r>
      <w:r w:rsidR="00F61175">
        <w:t>bstantial</w:t>
      </w:r>
      <w:r>
        <w:t xml:space="preserve"> </w:t>
      </w:r>
      <w:r w:rsidR="00E57644">
        <w:t>(</w:t>
      </w:r>
      <w:r w:rsidR="00E57644" w:rsidRPr="00687A30">
        <w:t>r</w:t>
      </w:r>
      <w:r w:rsidRPr="00687A30">
        <w:t xml:space="preserve">efer </w:t>
      </w:r>
      <w:r w:rsidR="001369D3" w:rsidRPr="00687A30">
        <w:t xml:space="preserve">to </w:t>
      </w:r>
      <w:r w:rsidR="00E57644" w:rsidRPr="00687A30">
        <w:t>Chapter 8</w:t>
      </w:r>
      <w:r w:rsidR="001369D3">
        <w:t xml:space="preserve"> for further information</w:t>
      </w:r>
      <w:r w:rsidR="00E57644">
        <w:t>)</w:t>
      </w:r>
      <w:r>
        <w:t xml:space="preserve">. </w:t>
      </w:r>
    </w:p>
    <w:p w14:paraId="73E8C3D0" w14:textId="44073967" w:rsidR="00BD0264" w:rsidRDefault="008F2BB5" w:rsidP="00BD0264">
      <w:pPr>
        <w:pStyle w:val="Heading2"/>
      </w:pPr>
      <w:bookmarkStart w:id="25" w:name="_Toc134273566"/>
      <w:r>
        <w:t xml:space="preserve">4.3 </w:t>
      </w:r>
      <w:r w:rsidR="0080342F">
        <w:t xml:space="preserve">Current </w:t>
      </w:r>
      <w:r w:rsidR="00BD0264">
        <w:t xml:space="preserve">LNG </w:t>
      </w:r>
      <w:r w:rsidR="00BD0264" w:rsidRPr="00BD0264">
        <w:t xml:space="preserve">projects relevant to the GTP </w:t>
      </w:r>
      <w:r w:rsidR="000F72D4">
        <w:t>R</w:t>
      </w:r>
      <w:r w:rsidR="00BD0264" w:rsidRPr="00BD0264">
        <w:t>eview</w:t>
      </w:r>
      <w:bookmarkEnd w:id="25"/>
    </w:p>
    <w:p w14:paraId="5EA092EA" w14:textId="6C3DAC90" w:rsidR="00BD0264" w:rsidRDefault="00BD0264" w:rsidP="003E669F">
      <w:r>
        <w:t xml:space="preserve">Only five of the 10 </w:t>
      </w:r>
      <w:r w:rsidR="00C936F4">
        <w:t>current</w:t>
      </w:r>
      <w:r>
        <w:t xml:space="preserve"> major LNG projects </w:t>
      </w:r>
      <w:r w:rsidR="004E01D5">
        <w:t xml:space="preserve">are subject to PRRT and thus </w:t>
      </w:r>
      <w:r w:rsidR="000C3AB1">
        <w:t>would be impacted by</w:t>
      </w:r>
      <w:r>
        <w:t xml:space="preserve"> </w:t>
      </w:r>
      <w:r w:rsidR="00364A08">
        <w:t xml:space="preserve">any </w:t>
      </w:r>
      <w:r>
        <w:t>change</w:t>
      </w:r>
      <w:r w:rsidR="000C3AB1">
        <w:t>s</w:t>
      </w:r>
      <w:r w:rsidR="0090501F">
        <w:t xml:space="preserve"> </w:t>
      </w:r>
      <w:r w:rsidR="00B50DAD">
        <w:t>proposed by this Review</w:t>
      </w:r>
      <w:r w:rsidR="001D21B2">
        <w:t>.</w:t>
      </w:r>
      <w:r>
        <w:t xml:space="preserve"> </w:t>
      </w:r>
      <w:r w:rsidR="001D21B2">
        <w:t>A</w:t>
      </w:r>
      <w:r>
        <w:t xml:space="preserve">ll of </w:t>
      </w:r>
      <w:r w:rsidR="001D21B2">
        <w:t xml:space="preserve">these five projects </w:t>
      </w:r>
      <w:r>
        <w:t xml:space="preserve">are located off the northwest coast of Australia – Pluto, Gorgon, Wheatstone, Ichthys and Prelude. These projects are subject to the PRRT because the gas </w:t>
      </w:r>
      <w:r w:rsidR="008055DE">
        <w:t>fields</w:t>
      </w:r>
      <w:r>
        <w:t xml:space="preserve"> </w:t>
      </w:r>
      <w:r w:rsidR="0020346A">
        <w:t>supportin</w:t>
      </w:r>
      <w:r>
        <w:t xml:space="preserve">g </w:t>
      </w:r>
      <w:r w:rsidR="004E01D5">
        <w:t xml:space="preserve">LNG </w:t>
      </w:r>
      <w:r w:rsidR="008055DE">
        <w:t>production</w:t>
      </w:r>
      <w:r>
        <w:t xml:space="preserve"> </w:t>
      </w:r>
      <w:r w:rsidR="00AB743E">
        <w:t>are</w:t>
      </w:r>
      <w:r w:rsidR="00D60286">
        <w:t xml:space="preserve"> offshore</w:t>
      </w:r>
      <w:r w:rsidR="00AB743E">
        <w:t xml:space="preserve"> in</w:t>
      </w:r>
      <w:r>
        <w:t xml:space="preserve"> Commonwealth waters</w:t>
      </w:r>
      <w:r w:rsidR="004A3DAA">
        <w:t xml:space="preserve"> and not subject to other </w:t>
      </w:r>
      <w:r w:rsidR="007A46A7">
        <w:t xml:space="preserve">resource </w:t>
      </w:r>
      <w:r w:rsidR="004A3DAA">
        <w:t>tax arrangements</w:t>
      </w:r>
      <w:r>
        <w:t xml:space="preserve">. </w:t>
      </w:r>
    </w:p>
    <w:p w14:paraId="587A02FE" w14:textId="766B4E00" w:rsidR="00545EBC" w:rsidRDefault="00D43CC1" w:rsidP="00BD0264">
      <w:r>
        <w:t>While the</w:t>
      </w:r>
      <w:r w:rsidR="00934128">
        <w:t xml:space="preserve"> NWS project was brought within scope of the PRRT in 2012, certain transitional arrangements were introduced at the time to ensure recognition of </w:t>
      </w:r>
      <w:r w:rsidR="00862307">
        <w:t>past</w:t>
      </w:r>
      <w:r w:rsidR="00934128">
        <w:t xml:space="preserve"> capital investment as well as the significant federal royalties and excise </w:t>
      </w:r>
      <w:r w:rsidR="00495088">
        <w:t xml:space="preserve">that the project </w:t>
      </w:r>
      <w:r w:rsidR="00934128">
        <w:t>p</w:t>
      </w:r>
      <w:r w:rsidR="00495088">
        <w:t>ays</w:t>
      </w:r>
      <w:r w:rsidR="00934128">
        <w:t xml:space="preserve">. </w:t>
      </w:r>
      <w:r w:rsidR="00695C56">
        <w:t>T</w:t>
      </w:r>
      <w:r w:rsidR="00DE6DF7">
        <w:t>he way in which th</w:t>
      </w:r>
      <w:r w:rsidR="00BE0856">
        <w:t>ose</w:t>
      </w:r>
      <w:r w:rsidR="00DE6DF7">
        <w:t xml:space="preserve"> arrangements were designed </w:t>
      </w:r>
      <w:r w:rsidR="00D07CEE">
        <w:t>largely eliminate</w:t>
      </w:r>
      <w:r w:rsidR="001F25F2">
        <w:t>s</w:t>
      </w:r>
      <w:r w:rsidR="00D07CEE">
        <w:t xml:space="preserve"> the possibility</w:t>
      </w:r>
      <w:r w:rsidR="002B6B30">
        <w:t xml:space="preserve"> that </w:t>
      </w:r>
      <w:r w:rsidR="00EF77EA">
        <w:t xml:space="preserve">the </w:t>
      </w:r>
      <w:r w:rsidR="00D22FB3">
        <w:t>NWS</w:t>
      </w:r>
      <w:r w:rsidR="00A34166">
        <w:t xml:space="preserve"> </w:t>
      </w:r>
      <w:r w:rsidR="00EF77EA">
        <w:t>project</w:t>
      </w:r>
      <w:r w:rsidR="00D07CEE">
        <w:t xml:space="preserve"> will</w:t>
      </w:r>
      <w:r w:rsidR="00DE6DF7">
        <w:t xml:space="preserve"> ever pay PRRT,</w:t>
      </w:r>
      <w:r w:rsidR="003E669F">
        <w:t xml:space="preserve"> even with changes to the </w:t>
      </w:r>
      <w:r w:rsidR="00D1791C">
        <w:t>GTP Regulation</w:t>
      </w:r>
      <w:r w:rsidR="003E669F">
        <w:t>.</w:t>
      </w:r>
    </w:p>
    <w:p w14:paraId="47B4B19E" w14:textId="76B409B7" w:rsidR="008F2A69" w:rsidRDefault="004138F5" w:rsidP="00BD0264">
      <w:r>
        <w:t xml:space="preserve">The </w:t>
      </w:r>
      <w:r w:rsidR="00BA0B13">
        <w:t>Bayu</w:t>
      </w:r>
      <w:r w:rsidR="00916144">
        <w:t>-</w:t>
      </w:r>
      <w:r w:rsidR="00BA0B13">
        <w:t>Und</w:t>
      </w:r>
      <w:r w:rsidR="005C109F">
        <w:t>a</w:t>
      </w:r>
      <w:r w:rsidR="00BA0B13">
        <w:t>n/</w:t>
      </w:r>
      <w:r w:rsidR="00695C56">
        <w:t xml:space="preserve">Darwin LNG </w:t>
      </w:r>
      <w:r>
        <w:t>project</w:t>
      </w:r>
      <w:r w:rsidR="00695C56">
        <w:t xml:space="preserve"> is not a PRRT taxpayer. Instead, LNG produced from gas fields</w:t>
      </w:r>
      <w:r w:rsidR="008E5DDF">
        <w:t xml:space="preserve"> from</w:t>
      </w:r>
      <w:r w:rsidR="00695C56">
        <w:t xml:space="preserve"> within the </w:t>
      </w:r>
      <w:r w:rsidR="003F65D3">
        <w:t xml:space="preserve">former </w:t>
      </w:r>
      <w:r w:rsidR="00695C56">
        <w:t>J</w:t>
      </w:r>
      <w:r w:rsidR="00FE6C9B">
        <w:t xml:space="preserve">oint </w:t>
      </w:r>
      <w:r w:rsidR="00695C56">
        <w:t>P</w:t>
      </w:r>
      <w:r w:rsidR="00FE6C9B">
        <w:t xml:space="preserve">etroleum </w:t>
      </w:r>
      <w:r w:rsidR="00695C56">
        <w:t>D</w:t>
      </w:r>
      <w:r w:rsidR="00FE6C9B">
        <w:t xml:space="preserve">evelopment </w:t>
      </w:r>
      <w:r w:rsidR="00695C56">
        <w:t>A</w:t>
      </w:r>
      <w:r w:rsidR="00FE6C9B">
        <w:t>rea (JDPA)</w:t>
      </w:r>
      <w:r w:rsidR="00695C56">
        <w:t xml:space="preserve"> in the Timor Sea is subject to a Production Sharing Contract (PSC) between the producer and the governments of Australia and Timor</w:t>
      </w:r>
      <w:r w:rsidR="00C811DF">
        <w:t>-</w:t>
      </w:r>
      <w:r w:rsidR="00695C56">
        <w:t>Leste.</w:t>
      </w:r>
      <w:r w:rsidR="00151767">
        <w:t xml:space="preserve"> </w:t>
      </w:r>
    </w:p>
    <w:p w14:paraId="19C660DE" w14:textId="592CB3BD" w:rsidR="003E669F" w:rsidRDefault="003E669F" w:rsidP="003E669F">
      <w:r>
        <w:t xml:space="preserve">The three major LNG producers that source unconventional </w:t>
      </w:r>
      <w:r w:rsidR="008E3FDC">
        <w:t>CSG</w:t>
      </w:r>
      <w:r>
        <w:t xml:space="preserve"> in Queensland are also not subject to the PRRT following the removal of onshore projects from the PRRT regime in 2019</w:t>
      </w:r>
      <w:r w:rsidR="004C704B">
        <w:t xml:space="preserve"> as part of the Government’s response to the Callaghan Review</w:t>
      </w:r>
      <w:r>
        <w:t>. Instead, these</w:t>
      </w:r>
      <w:r w:rsidDel="00B3563A">
        <w:t xml:space="preserve"> </w:t>
      </w:r>
      <w:r>
        <w:t xml:space="preserve">projects deliver a return to the Queensland community for the use of its resources via the State royalty regime. </w:t>
      </w:r>
    </w:p>
    <w:p w14:paraId="6A7EE8AE" w14:textId="41CF8E3B" w:rsidR="003E669F" w:rsidRDefault="003E669F" w:rsidP="003E669F">
      <w:r>
        <w:t xml:space="preserve">The key implication </w:t>
      </w:r>
      <w:r w:rsidR="00455F7D">
        <w:t xml:space="preserve">of </w:t>
      </w:r>
      <w:r w:rsidR="00443133">
        <w:t>the above</w:t>
      </w:r>
      <w:r>
        <w:t xml:space="preserve"> is that </w:t>
      </w:r>
      <w:r w:rsidR="00443133">
        <w:t>any</w:t>
      </w:r>
      <w:r>
        <w:t xml:space="preserve"> change </w:t>
      </w:r>
      <w:r w:rsidR="00C839D7">
        <w:t xml:space="preserve">to </w:t>
      </w:r>
      <w:r>
        <w:t xml:space="preserve">the </w:t>
      </w:r>
      <w:r w:rsidR="00BF79BE">
        <w:t>PRRT for LNG projects</w:t>
      </w:r>
      <w:r w:rsidR="000B125F">
        <w:t xml:space="preserve"> </w:t>
      </w:r>
      <w:r>
        <w:t>should have no impact on gas supply and gas prices for the East coast gas market, as the five impacted LNG projects off the western and northern coasts of WA do not supply the East coast gas market and the three LNG projects</w:t>
      </w:r>
      <w:r w:rsidR="003E156B">
        <w:t xml:space="preserve"> in Queensland</w:t>
      </w:r>
      <w:r>
        <w:t xml:space="preserve"> </w:t>
      </w:r>
      <w:r w:rsidR="00B25054">
        <w:t>are</w:t>
      </w:r>
      <w:r>
        <w:t xml:space="preserve"> not </w:t>
      </w:r>
      <w:r w:rsidR="00B25054">
        <w:t xml:space="preserve">subject to </w:t>
      </w:r>
      <w:r w:rsidR="00260A41">
        <w:t xml:space="preserve">the </w:t>
      </w:r>
      <w:r w:rsidR="00B25054">
        <w:t>PRRT</w:t>
      </w:r>
      <w:r w:rsidR="00260A41">
        <w:t xml:space="preserve"> regime</w:t>
      </w:r>
      <w:r>
        <w:t xml:space="preserve">. </w:t>
      </w:r>
    </w:p>
    <w:p w14:paraId="4F33444F" w14:textId="31F6C66E" w:rsidR="00BD2353" w:rsidRDefault="00F553B9" w:rsidP="00BD0264">
      <w:r>
        <w:t>Treasury</w:t>
      </w:r>
      <w:r w:rsidR="007A3445">
        <w:t xml:space="preserve"> also</w:t>
      </w:r>
      <w:r>
        <w:t xml:space="preserve"> considers that</w:t>
      </w:r>
      <w:r w:rsidR="00672E1D">
        <w:t xml:space="preserve"> any changes </w:t>
      </w:r>
      <w:r w:rsidR="007210F1">
        <w:t>proposed in this Review</w:t>
      </w:r>
      <w:r w:rsidR="00672E1D">
        <w:t xml:space="preserve"> </w:t>
      </w:r>
      <w:r w:rsidR="00026F8C">
        <w:t>will not put at risk the</w:t>
      </w:r>
      <w:r w:rsidR="008F2A69">
        <w:t xml:space="preserve"> supply of</w:t>
      </w:r>
      <w:r w:rsidR="00BD0264" w:rsidRPr="00B224C9">
        <w:t xml:space="preserve"> natural gas for domestic consumption</w:t>
      </w:r>
      <w:r w:rsidR="003E669F">
        <w:t xml:space="preserve"> in the WA </w:t>
      </w:r>
      <w:r w:rsidR="0095008A">
        <w:t xml:space="preserve">and NT </w:t>
      </w:r>
      <w:r w:rsidR="003E669F">
        <w:t>gas market</w:t>
      </w:r>
      <w:r w:rsidR="0095008A">
        <w:t>s</w:t>
      </w:r>
      <w:r w:rsidR="00636A04">
        <w:t>.</w:t>
      </w:r>
      <w:r w:rsidR="00552228">
        <w:t xml:space="preserve"> </w:t>
      </w:r>
      <w:r w:rsidR="00C851DD">
        <w:t xml:space="preserve">The </w:t>
      </w:r>
      <w:r w:rsidR="00ED59A8">
        <w:t>NWS</w:t>
      </w:r>
      <w:r w:rsidR="00C851DD">
        <w:t>,</w:t>
      </w:r>
      <w:r w:rsidR="00BD0264">
        <w:t xml:space="preserve"> Gorgon, Pluto and Wheatstone</w:t>
      </w:r>
      <w:r w:rsidR="00BD0264" w:rsidDel="00401727">
        <w:t xml:space="preserve"> </w:t>
      </w:r>
      <w:r w:rsidR="00BD0264">
        <w:t xml:space="preserve">supply gas to the WA gas market in accordance with Domestic Market Obligations (DMOs) </w:t>
      </w:r>
      <w:r w:rsidR="003E669F">
        <w:t>under</w:t>
      </w:r>
      <w:r w:rsidR="00BD0264">
        <w:t xml:space="preserve"> WA’s domestic gas reservation policy</w:t>
      </w:r>
      <w:r w:rsidR="00305A2D">
        <w:t>.</w:t>
      </w:r>
      <w:r w:rsidR="00BD0264">
        <w:rPr>
          <w:rStyle w:val="FootnoteReference"/>
        </w:rPr>
        <w:footnoteReference w:id="17"/>
      </w:r>
      <w:r w:rsidR="00636A04">
        <w:t xml:space="preserve"> </w:t>
      </w:r>
      <w:r w:rsidR="00E85B5E">
        <w:t xml:space="preserve">There are strong commercial reasons for these projects to continue to maximise </w:t>
      </w:r>
      <w:r w:rsidR="00043F02">
        <w:t>their</w:t>
      </w:r>
      <w:r w:rsidR="00BD0264">
        <w:t xml:space="preserve"> overall LNG production</w:t>
      </w:r>
      <w:r w:rsidR="00043F02">
        <w:t>, which flows</w:t>
      </w:r>
      <w:r w:rsidR="00BD0264">
        <w:t xml:space="preserve"> </w:t>
      </w:r>
      <w:r w:rsidR="00D50880">
        <w:t>through to their WA supply</w:t>
      </w:r>
      <w:r w:rsidR="002E5ED9">
        <w:t>.</w:t>
      </w:r>
      <w:r w:rsidR="00BD0264">
        <w:t xml:space="preserve"> </w:t>
      </w:r>
      <w:r w:rsidR="002E5ED9">
        <w:t>In particular, these projects have long</w:t>
      </w:r>
      <w:r w:rsidR="00F30C37">
        <w:t>-</w:t>
      </w:r>
      <w:r w:rsidR="002E5ED9">
        <w:t xml:space="preserve">term </w:t>
      </w:r>
      <w:r w:rsidR="00243011">
        <w:t xml:space="preserve">contracted </w:t>
      </w:r>
      <w:r w:rsidR="00F80C46">
        <w:t xml:space="preserve">export </w:t>
      </w:r>
      <w:r w:rsidR="00243011">
        <w:t xml:space="preserve">commitments and </w:t>
      </w:r>
      <w:r w:rsidR="00F80C46">
        <w:t>a commercial imperative to</w:t>
      </w:r>
      <w:r w:rsidR="00F80C46" w:rsidDel="00630052">
        <w:t xml:space="preserve"> </w:t>
      </w:r>
      <w:r w:rsidR="00F80C46">
        <w:t xml:space="preserve">make efficient use of their LNG infrastructure and </w:t>
      </w:r>
      <w:r w:rsidR="00243011">
        <w:t>maintain project cashflows</w:t>
      </w:r>
      <w:r w:rsidR="00BD0264">
        <w:t>.</w:t>
      </w:r>
      <w:r w:rsidR="00B3701D">
        <w:t xml:space="preserve"> </w:t>
      </w:r>
      <w:r w:rsidR="00826AAD">
        <w:t xml:space="preserve">This would also apply to the </w:t>
      </w:r>
      <w:r w:rsidR="005F6370">
        <w:t xml:space="preserve">Ichthys project which supplies </w:t>
      </w:r>
      <w:r w:rsidR="00580472">
        <w:t>some gas to the NT</w:t>
      </w:r>
      <w:r w:rsidR="00300941">
        <w:t xml:space="preserve"> </w:t>
      </w:r>
      <w:r w:rsidR="00BB5BCC">
        <w:t xml:space="preserve">under emergency </w:t>
      </w:r>
      <w:r w:rsidR="00BB5BCC">
        <w:lastRenderedPageBreak/>
        <w:t xml:space="preserve">arrangements </w:t>
      </w:r>
      <w:r w:rsidR="00300941">
        <w:t xml:space="preserve">when there are disruptions to </w:t>
      </w:r>
      <w:r w:rsidR="00BB5BCC">
        <w:t>it</w:t>
      </w:r>
      <w:r w:rsidR="0090615F">
        <w:t>s</w:t>
      </w:r>
      <w:r w:rsidR="00300941">
        <w:t xml:space="preserve"> gas supply</w:t>
      </w:r>
      <w:r w:rsidR="0090615F">
        <w:t xml:space="preserve"> from the Blacktip</w:t>
      </w:r>
      <w:r w:rsidR="00BB33CE">
        <w:t xml:space="preserve"> non-LNG</w:t>
      </w:r>
      <w:r w:rsidR="00567DFA">
        <w:t xml:space="preserve"> projec</w:t>
      </w:r>
      <w:r w:rsidR="00633C15">
        <w:t>t which is the primary suppl</w:t>
      </w:r>
      <w:r w:rsidR="00B24E5D">
        <w:t>ier</w:t>
      </w:r>
      <w:r w:rsidR="00633C15">
        <w:t xml:space="preserve"> of </w:t>
      </w:r>
      <w:r w:rsidR="00B24E5D">
        <w:t>domestic gas for NT</w:t>
      </w:r>
      <w:r w:rsidR="003F7DAC">
        <w:t>.</w:t>
      </w:r>
      <w:r w:rsidR="00B3701D">
        <w:t xml:space="preserve"> </w:t>
      </w:r>
    </w:p>
    <w:p w14:paraId="5DA120D7" w14:textId="28CD0C7A" w:rsidR="00BD0264" w:rsidRDefault="000A45FA" w:rsidP="00BD0264">
      <w:r>
        <w:t xml:space="preserve">However, </w:t>
      </w:r>
      <w:r w:rsidR="00D60991">
        <w:t xml:space="preserve">a key policy consideration </w:t>
      </w:r>
      <w:r w:rsidR="007D3D9C">
        <w:t>is the impact</w:t>
      </w:r>
      <w:r w:rsidR="003509BC">
        <w:t xml:space="preserve"> of</w:t>
      </w:r>
      <w:r w:rsidR="00381BA6">
        <w:t xml:space="preserve"> any changes</w:t>
      </w:r>
      <w:r w:rsidR="007D3D9C">
        <w:t xml:space="preserve"> </w:t>
      </w:r>
      <w:r w:rsidR="00381BA6">
        <w:t>on the</w:t>
      </w:r>
      <w:r>
        <w:t xml:space="preserve"> </w:t>
      </w:r>
      <w:r w:rsidR="003E669F">
        <w:t xml:space="preserve">scheduled </w:t>
      </w:r>
      <w:r w:rsidR="00BD0264" w:rsidRPr="00B25D35">
        <w:t xml:space="preserve">commencement of </w:t>
      </w:r>
      <w:r w:rsidR="00BD0264">
        <w:t xml:space="preserve">the </w:t>
      </w:r>
      <w:r w:rsidR="00BD0264" w:rsidRPr="00B25D35">
        <w:t>Scarborough</w:t>
      </w:r>
      <w:r w:rsidR="00BD0264">
        <w:t xml:space="preserve"> project</w:t>
      </w:r>
      <w:r w:rsidR="00BD0264" w:rsidRPr="00B25D35">
        <w:t xml:space="preserve"> in 2026</w:t>
      </w:r>
      <w:r w:rsidR="00CB4E75">
        <w:t>, which</w:t>
      </w:r>
      <w:r w:rsidR="00BD0264">
        <w:t xml:space="preserve"> </w:t>
      </w:r>
      <w:r w:rsidR="00BD0264" w:rsidRPr="00B25D35">
        <w:t>is important for the</w:t>
      </w:r>
      <w:r w:rsidR="003E669F">
        <w:t xml:space="preserve"> </w:t>
      </w:r>
      <w:r w:rsidR="00BD0264" w:rsidRPr="00B25D35">
        <w:t>WA domestic gas market</w:t>
      </w:r>
      <w:r w:rsidR="0099549E">
        <w:t xml:space="preserve"> in the medium term</w:t>
      </w:r>
      <w:r w:rsidR="00CB4E75">
        <w:t>.</w:t>
      </w:r>
      <w:r w:rsidR="00281F0D">
        <w:t xml:space="preserve"> </w:t>
      </w:r>
      <w:r w:rsidR="00CB4E75">
        <w:t>T</w:t>
      </w:r>
      <w:r w:rsidR="00BD0264" w:rsidRPr="00B25D35">
        <w:t xml:space="preserve">he Australian Energy Market Operator (AEMO) </w:t>
      </w:r>
      <w:r w:rsidR="00CB4E75">
        <w:t>has</w:t>
      </w:r>
      <w:r w:rsidR="00BD0264" w:rsidRPr="00B25D35">
        <w:t xml:space="preserve"> project</w:t>
      </w:r>
      <w:r w:rsidR="00CB4E75">
        <w:t>ed</w:t>
      </w:r>
      <w:r w:rsidR="00BD0264" w:rsidRPr="00B25D35">
        <w:t xml:space="preserve"> </w:t>
      </w:r>
      <w:r w:rsidR="008F2A69">
        <w:t xml:space="preserve">a </w:t>
      </w:r>
      <w:r w:rsidR="00BD0264" w:rsidRPr="00B25D35">
        <w:t xml:space="preserve">supply </w:t>
      </w:r>
      <w:r w:rsidR="008F2A69">
        <w:t>shortfall</w:t>
      </w:r>
      <w:r w:rsidR="00BD0264" w:rsidRPr="00B25D35">
        <w:t xml:space="preserve"> in a tightly balanced </w:t>
      </w:r>
      <w:r w:rsidR="00281F0D">
        <w:t xml:space="preserve">WA </w:t>
      </w:r>
      <w:r w:rsidR="00BD0264" w:rsidRPr="00B25D35">
        <w:t>market through to 2029.</w:t>
      </w:r>
      <w:r w:rsidR="00BD0264" w:rsidRPr="00B25D35">
        <w:rPr>
          <w:rStyle w:val="FootnoteReference"/>
        </w:rPr>
        <w:footnoteReference w:id="18"/>
      </w:r>
      <w:r w:rsidR="00151767">
        <w:t xml:space="preserve"> </w:t>
      </w:r>
      <w:r w:rsidR="00514250">
        <w:t xml:space="preserve">Similarly, </w:t>
      </w:r>
      <w:r>
        <w:t xml:space="preserve">Treasury understands </w:t>
      </w:r>
      <w:r w:rsidR="00797DEE">
        <w:t xml:space="preserve">that </w:t>
      </w:r>
      <w:r w:rsidR="00B81438">
        <w:t xml:space="preserve">the development of </w:t>
      </w:r>
      <w:r w:rsidR="00797DEE">
        <w:t>Browse</w:t>
      </w:r>
      <w:r w:rsidR="00B81438">
        <w:t xml:space="preserve"> </w:t>
      </w:r>
      <w:r w:rsidR="00BF447C">
        <w:t>c</w:t>
      </w:r>
      <w:r w:rsidR="009C085C">
        <w:t>ould</w:t>
      </w:r>
      <w:r w:rsidR="00B81438">
        <w:t xml:space="preserve"> be an important source of </w:t>
      </w:r>
      <w:r w:rsidR="00C874CD">
        <w:t xml:space="preserve">energy supply </w:t>
      </w:r>
      <w:r w:rsidR="00514250">
        <w:t>beyond the medium term</w:t>
      </w:r>
      <w:r w:rsidR="00BF447C">
        <w:t xml:space="preserve"> for WA</w:t>
      </w:r>
      <w:r w:rsidR="00121CC7">
        <w:t>,</w:t>
      </w:r>
      <w:r w:rsidR="00C874CD">
        <w:t xml:space="preserve"> </w:t>
      </w:r>
      <w:r w:rsidR="0004622A">
        <w:t xml:space="preserve">and </w:t>
      </w:r>
      <w:r w:rsidR="00121CC7">
        <w:t>that</w:t>
      </w:r>
      <w:r w:rsidR="0004622A">
        <w:t xml:space="preserve"> Barossa</w:t>
      </w:r>
      <w:r w:rsidR="00514250">
        <w:t xml:space="preserve"> </w:t>
      </w:r>
      <w:r w:rsidR="007E5718">
        <w:t xml:space="preserve">is expected to make </w:t>
      </w:r>
      <w:r w:rsidR="00276A7F">
        <w:t xml:space="preserve">an important </w:t>
      </w:r>
      <w:r w:rsidR="002A5163">
        <w:t xml:space="preserve">economic contribution to </w:t>
      </w:r>
      <w:r w:rsidR="003B332F">
        <w:t>NT</w:t>
      </w:r>
      <w:r w:rsidR="002A5163">
        <w:t xml:space="preserve">, including </w:t>
      </w:r>
      <w:r w:rsidR="007E5718">
        <w:t xml:space="preserve">to </w:t>
      </w:r>
      <w:r w:rsidR="002A5163">
        <w:t>employment outcomes</w:t>
      </w:r>
      <w:r w:rsidR="003B332F">
        <w:t xml:space="preserve">. </w:t>
      </w:r>
      <w:r w:rsidR="00D17CC7">
        <w:t>These p</w:t>
      </w:r>
      <w:r w:rsidR="00A4418F">
        <w:t xml:space="preserve">roposed projects are further discussed below. </w:t>
      </w:r>
    </w:p>
    <w:p w14:paraId="0975BB9D" w14:textId="3EEE3612" w:rsidR="00BD0264" w:rsidRDefault="008F2BB5" w:rsidP="00BD0264">
      <w:pPr>
        <w:pStyle w:val="Heading2"/>
      </w:pPr>
      <w:bookmarkStart w:id="26" w:name="_Toc134273567"/>
      <w:r>
        <w:t>4.</w:t>
      </w:r>
      <w:r w:rsidR="00603C0A">
        <w:t>4</w:t>
      </w:r>
      <w:r>
        <w:t xml:space="preserve"> </w:t>
      </w:r>
      <w:r w:rsidR="00BD0264">
        <w:t>The next wave of LNG investment in Australia</w:t>
      </w:r>
      <w:bookmarkEnd w:id="26"/>
    </w:p>
    <w:p w14:paraId="24692F7C" w14:textId="6E74D4CA" w:rsidR="00BD0264" w:rsidRDefault="003E31F0" w:rsidP="004A35EC">
      <w:r>
        <w:t xml:space="preserve">The Australian </w:t>
      </w:r>
      <w:r w:rsidR="00BD0264">
        <w:t>LNG</w:t>
      </w:r>
      <w:r>
        <w:t xml:space="preserve"> industry</w:t>
      </w:r>
      <w:r w:rsidR="00BD0264">
        <w:t xml:space="preserve"> </w:t>
      </w:r>
      <w:r>
        <w:t xml:space="preserve">expects future </w:t>
      </w:r>
      <w:r w:rsidR="00BD0264">
        <w:t>investment is likely to</w:t>
      </w:r>
      <w:r w:rsidR="00302CEB">
        <w:t xml:space="preserve"> be in </w:t>
      </w:r>
      <w:r w:rsidR="00964E7D">
        <w:t>‘backfill’</w:t>
      </w:r>
      <w:r w:rsidR="003B6A66">
        <w:t xml:space="preserve"> projects</w:t>
      </w:r>
      <w:r w:rsidR="00BD0264">
        <w:t xml:space="preserve"> involv</w:t>
      </w:r>
      <w:r w:rsidR="003B6A66">
        <w:t>ing</w:t>
      </w:r>
      <w:r w:rsidR="00BD0264">
        <w:t xml:space="preserve"> </w:t>
      </w:r>
      <w:r w:rsidR="00D37608">
        <w:t xml:space="preserve">the use </w:t>
      </w:r>
      <w:r w:rsidR="00CC4637">
        <w:t xml:space="preserve">(and in some cases, expansion) </w:t>
      </w:r>
      <w:r w:rsidR="00D37608">
        <w:t>of</w:t>
      </w:r>
      <w:r w:rsidR="00EB76DA" w:rsidDel="005D1B2A">
        <w:t xml:space="preserve"> </w:t>
      </w:r>
      <w:r w:rsidR="00EB76DA">
        <w:t xml:space="preserve">infrastructure from existing LNG projects </w:t>
      </w:r>
      <w:r w:rsidR="003903E4">
        <w:t>for new gas fields</w:t>
      </w:r>
      <w:r w:rsidR="0040522E">
        <w:t>,</w:t>
      </w:r>
      <w:r w:rsidR="00EB3775">
        <w:t xml:space="preserve"> </w:t>
      </w:r>
      <w:r w:rsidR="009220E6">
        <w:t>many of which will operate under a tolling structure,</w:t>
      </w:r>
      <w:r w:rsidR="00BD0264">
        <w:t xml:space="preserve"> rather than the large-scale </w:t>
      </w:r>
      <w:r w:rsidR="00B20920">
        <w:t>integrated</w:t>
      </w:r>
      <w:r w:rsidR="00BD0264">
        <w:t xml:space="preserve"> developments that characterised </w:t>
      </w:r>
      <w:r w:rsidR="00B70149">
        <w:t xml:space="preserve">the </w:t>
      </w:r>
      <w:r w:rsidR="00E764D7">
        <w:t xml:space="preserve">previous </w:t>
      </w:r>
      <w:r w:rsidR="00BD0264">
        <w:t xml:space="preserve">LNG investment </w:t>
      </w:r>
      <w:r w:rsidR="00E764D7">
        <w:t>phase</w:t>
      </w:r>
      <w:r w:rsidR="00BD0264">
        <w:t>. This type of investment is expected to be more cost</w:t>
      </w:r>
      <w:r w:rsidR="00B81969">
        <w:t xml:space="preserve"> </w:t>
      </w:r>
      <w:r w:rsidR="00BD0264">
        <w:t xml:space="preserve">competitive </w:t>
      </w:r>
      <w:r w:rsidR="004B5460">
        <w:t xml:space="preserve">as it </w:t>
      </w:r>
      <w:r w:rsidR="00413ADF">
        <w:t>can</w:t>
      </w:r>
      <w:r w:rsidR="004B5460">
        <w:t xml:space="preserve"> make use of existing liquefaction</w:t>
      </w:r>
      <w:r w:rsidR="00BD0264">
        <w:t xml:space="preserve"> </w:t>
      </w:r>
      <w:r w:rsidR="004B5460">
        <w:t>capacity</w:t>
      </w:r>
      <w:r w:rsidR="00E4734F">
        <w:t>, as current fields</w:t>
      </w:r>
      <w:r w:rsidR="00785D68">
        <w:t xml:space="preserve"> become depleted</w:t>
      </w:r>
      <w:r w:rsidR="00BD0264">
        <w:t>.</w:t>
      </w:r>
      <w:r w:rsidR="00C35305">
        <w:t xml:space="preserve"> </w:t>
      </w:r>
      <w:r w:rsidR="00BD0264">
        <w:t>In a submission to this Review, the Australian Petroleum Production and Exploration Association (APPEA) stated:</w:t>
      </w:r>
    </w:p>
    <w:p w14:paraId="724F79DE" w14:textId="0E41CD64" w:rsidR="00BD0264" w:rsidRPr="00731F50" w:rsidRDefault="004B7E2C" w:rsidP="00731F50">
      <w:pPr>
        <w:pStyle w:val="Quote"/>
        <w:jc w:val="center"/>
        <w:rPr>
          <w:rFonts w:ascii="Calibri Light" w:hAnsi="Calibri Light"/>
          <w:b/>
          <w:smallCaps/>
          <w:color w:val="auto"/>
        </w:rPr>
      </w:pPr>
      <w:r w:rsidRPr="00731F50">
        <w:rPr>
          <w:rFonts w:ascii="Calibri Light" w:hAnsi="Calibri Light" w:cs="Calibri Light"/>
          <w:color w:val="auto"/>
        </w:rPr>
        <w:t>LNG development in Australia in the short and medium</w:t>
      </w:r>
      <w:r w:rsidRPr="00731F50">
        <w:rPr>
          <w:rFonts w:ascii="Calibri Light" w:hAnsi="Calibri Light" w:cs="Calibri Light"/>
          <w:color w:val="auto"/>
        </w:rPr>
        <w:noBreakHyphen/>
        <w:t>term future is likely to involve maximising use of existing infrastructure. This includes toll processing of currently undeveloped offshore resources through existing infrastructure and in some cases, expansion of these existing facilities</w:t>
      </w:r>
      <w:r w:rsidR="00BD0264" w:rsidRPr="00731F50">
        <w:rPr>
          <w:rFonts w:ascii="Calibri Light" w:hAnsi="Calibri Light" w:cs="Calibri Light"/>
          <w:color w:val="auto"/>
        </w:rPr>
        <w:t>.</w:t>
      </w:r>
      <w:r w:rsidR="00A9582A" w:rsidRPr="00731F50">
        <w:rPr>
          <w:rStyle w:val="FootnoteReference"/>
          <w:rFonts w:ascii="Calibri Light" w:hAnsi="Calibri Light" w:cs="Calibri Light"/>
          <w:color w:val="auto"/>
        </w:rPr>
        <w:footnoteReference w:id="19"/>
      </w:r>
    </w:p>
    <w:p w14:paraId="6E0320F9" w14:textId="1C9AEBAA" w:rsidR="00BD0264" w:rsidRDefault="00BD0264" w:rsidP="00BD0264">
      <w:r>
        <w:t xml:space="preserve">The first of these arrangements commenced in March 2022, with the announcement that gas from the Pluto fields would be processed through the NWS LNG facility for the period 2022-2025, absorbing the spare capacity arising from the depletion </w:t>
      </w:r>
      <w:r w:rsidR="001212C9">
        <w:t xml:space="preserve">of the </w:t>
      </w:r>
      <w:r>
        <w:t xml:space="preserve">NWS </w:t>
      </w:r>
      <w:r w:rsidR="009A794E">
        <w:t>gas fields</w:t>
      </w:r>
      <w:r>
        <w:t>.</w:t>
      </w:r>
      <w:r>
        <w:rPr>
          <w:rStyle w:val="FootnoteReference"/>
        </w:rPr>
        <w:footnoteReference w:id="20"/>
      </w:r>
      <w:r>
        <w:t xml:space="preserve"> In addition, announcements have been made for the supply of Waitsia gas to access the spare capacity at the NWS facility from 2025 to 2028. This represents the first time that</w:t>
      </w:r>
      <w:r w:rsidR="00FA16E8">
        <w:t xml:space="preserve"> WA</w:t>
      </w:r>
      <w:r>
        <w:t xml:space="preserve"> onshore gas will be exported as LNG.</w:t>
      </w:r>
      <w:r>
        <w:rPr>
          <w:rStyle w:val="FootnoteReference"/>
        </w:rPr>
        <w:footnoteReference w:id="21"/>
      </w:r>
      <w:r>
        <w:t xml:space="preserve"> Beyond 2028, large scale backfill projects are earmarked for NWS LNG</w:t>
      </w:r>
      <w:r w:rsidR="00904B39">
        <w:t xml:space="preserve"> to extend the life of the facility</w:t>
      </w:r>
      <w:r>
        <w:t>.</w:t>
      </w:r>
      <w:r w:rsidR="00F9029E">
        <w:t xml:space="preserve"> </w:t>
      </w:r>
      <w:r w:rsidR="002244FE">
        <w:t>For example, development of the gas fields that lie in the Browse Basin is under active consideration as backfill for the NWS facility, with first gas expected from 2030</w:t>
      </w:r>
      <w:r w:rsidR="00972B6B">
        <w:t>, pending final investment decision</w:t>
      </w:r>
      <w:r w:rsidR="008B6DB4">
        <w:t>s</w:t>
      </w:r>
      <w:r w:rsidR="002244FE">
        <w:t>.</w:t>
      </w:r>
    </w:p>
    <w:p w14:paraId="0914DCE2" w14:textId="5BFF8B94" w:rsidR="00BD0264" w:rsidRDefault="00BD0264" w:rsidP="00BD0264">
      <w:pPr>
        <w:spacing w:after="0"/>
        <w:textAlignment w:val="center"/>
      </w:pPr>
      <w:r w:rsidRPr="00BD0264">
        <w:t xml:space="preserve">Exploration of the Greater Gorgon area has resulted in numerous discoveries which are expected to be developed as backfill projects to the Gorgon LNG plant beyond 2035. In addition, Wood Mackenzie assumes several Greater Gorgon fields will be developed to backfill the Gorgon LNG facility and extend the life of the project out beyond 2064. </w:t>
      </w:r>
    </w:p>
    <w:p w14:paraId="0F6EF34E" w14:textId="2454671E" w:rsidR="00BD0264" w:rsidRDefault="00BD0264" w:rsidP="00BD0264">
      <w:pPr>
        <w:spacing w:after="0"/>
        <w:textAlignment w:val="center"/>
      </w:pPr>
      <w:r>
        <w:t xml:space="preserve">Woodside commenced development of the $12 billion brownfield expansion of Pluto LNG </w:t>
      </w:r>
      <w:r w:rsidR="00904B39">
        <w:t>onshore facilities</w:t>
      </w:r>
      <w:r w:rsidR="004721FC" w:rsidRPr="004721FC">
        <w:t xml:space="preserve"> </w:t>
      </w:r>
      <w:r w:rsidR="004721FC">
        <w:t>in August 2022</w:t>
      </w:r>
      <w:r w:rsidR="00904B39">
        <w:t xml:space="preserve">, including construction of a second LNG train, </w:t>
      </w:r>
      <w:r>
        <w:t xml:space="preserve">and </w:t>
      </w:r>
      <w:r w:rsidR="00980927">
        <w:t xml:space="preserve">development of the </w:t>
      </w:r>
      <w:r>
        <w:t>associated Scarborough gas field, targeting first LNG for 2026.</w:t>
      </w:r>
      <w:r>
        <w:rPr>
          <w:rStyle w:val="FootnoteReference"/>
        </w:rPr>
        <w:footnoteReference w:id="22"/>
      </w:r>
      <w:r>
        <w:t xml:space="preserve"> Some of the Scarborough gas is also </w:t>
      </w:r>
      <w:r>
        <w:lastRenderedPageBreak/>
        <w:t>expected to backfill the NWS LNG facility.</w:t>
      </w:r>
      <w:r>
        <w:rPr>
          <w:rStyle w:val="FootnoteReference"/>
        </w:rPr>
        <w:footnoteReference w:id="23"/>
      </w:r>
      <w:r>
        <w:t xml:space="preserve"> </w:t>
      </w:r>
      <w:r w:rsidR="00904B39">
        <w:t xml:space="preserve">Expansion of the Pluto onshore facility provides the development potential </w:t>
      </w:r>
      <w:r w:rsidR="00E547E5">
        <w:t>for</w:t>
      </w:r>
      <w:r w:rsidR="00904B39">
        <w:t xml:space="preserve"> other third-party gas resources. </w:t>
      </w:r>
    </w:p>
    <w:p w14:paraId="6B884288" w14:textId="77777777" w:rsidR="00C312A8" w:rsidRDefault="00503CF4" w:rsidP="00BC7BF8">
      <w:pPr>
        <w:rPr>
          <w:rStyle w:val="FootnoteReference"/>
        </w:rPr>
      </w:pPr>
      <w:r>
        <w:t>Santos announced a</w:t>
      </w:r>
      <w:r w:rsidR="00BD0264">
        <w:t xml:space="preserve"> final investment decision was taken for the Barossa gas field in March 2021 to backfill the Darwin LNG plant, extending the life of that facility by around 20 years.</w:t>
      </w:r>
      <w:r w:rsidR="00BD0264" w:rsidRPr="00EE2A94">
        <w:rPr>
          <w:rStyle w:val="FootnoteReference"/>
        </w:rPr>
        <w:footnoteReference w:id="24"/>
      </w:r>
      <w:r w:rsidR="00BD0264" w:rsidRPr="00EE2A94">
        <w:rPr>
          <w:rStyle w:val="FootnoteReference"/>
        </w:rPr>
        <w:t xml:space="preserve"> </w:t>
      </w:r>
    </w:p>
    <w:p w14:paraId="664F09F5" w14:textId="7F5B458E" w:rsidR="00BD0264" w:rsidRDefault="00BD0264" w:rsidP="00BC7BF8">
      <w:r>
        <w:t xml:space="preserve">This follows a drilling program in the Bayu-Undan field which extended the capacity utilisation of Darwin LNG by around a year. </w:t>
      </w:r>
    </w:p>
    <w:p w14:paraId="538675C4" w14:textId="2244AF3C" w:rsidR="00490F94" w:rsidRDefault="00490F94" w:rsidP="00BC7BF8">
      <w:r>
        <w:t xml:space="preserve">Final investment approval has also been given for development of the Crux gas field as a backfill project for Prelude, with first gas expected in 2026. With the Crux joint venture having a different commercial structure to Prelude, </w:t>
      </w:r>
      <w:r w:rsidR="003E7EBA">
        <w:t xml:space="preserve">it is expected that a tolling </w:t>
      </w:r>
      <w:r w:rsidR="00F80DEE">
        <w:t>arrangement</w:t>
      </w:r>
      <w:r w:rsidR="003E7EBA">
        <w:t xml:space="preserve"> will be agreed for the use of the Prelude facility. </w:t>
      </w:r>
    </w:p>
    <w:p w14:paraId="406D7122" w14:textId="12059845" w:rsidR="00BD0264" w:rsidRDefault="00BD0264" w:rsidP="00BC7BF8">
      <w:r w:rsidRPr="00BC7BF8">
        <w:t xml:space="preserve">The nature of this next wave of investment </w:t>
      </w:r>
      <w:r w:rsidR="005A1B9D">
        <w:t xml:space="preserve">is likely to </w:t>
      </w:r>
      <w:r w:rsidR="00AA007C">
        <w:t xml:space="preserve">have different effects on employment than </w:t>
      </w:r>
      <w:r w:rsidR="00E31F18">
        <w:t>the previous investment cycle</w:t>
      </w:r>
      <w:r w:rsidRPr="00BC7BF8">
        <w:t xml:space="preserve">. The </w:t>
      </w:r>
      <w:r w:rsidR="006D73CC">
        <w:t>scale of</w:t>
      </w:r>
      <w:r w:rsidRPr="00BC7BF8">
        <w:t xml:space="preserve"> employment growth that materialised over the period between 2007 and 2014 is unlikely to be repeated. </w:t>
      </w:r>
      <w:r w:rsidR="006E0B66">
        <w:t>E</w:t>
      </w:r>
      <w:r w:rsidRPr="00BC7BF8">
        <w:t>mployment in the oil and gas sector more than doubled from around 12,000 people on average in 2007-08 to around an average of 28,000 by 2014-15,</w:t>
      </w:r>
      <w:r w:rsidR="0035387A">
        <w:rPr>
          <w:rStyle w:val="FootnoteReference"/>
        </w:rPr>
        <w:footnoteReference w:id="25"/>
      </w:r>
      <w:r w:rsidRPr="00BC7BF8">
        <w:t xml:space="preserve"> but this was largely a result of the greenfield development and construction of eight major LNG projects. </w:t>
      </w:r>
    </w:p>
    <w:p w14:paraId="56EA8AA3" w14:textId="107E6FFA" w:rsidR="009943AF" w:rsidRDefault="00555E0B" w:rsidP="00BC7BF8">
      <w:r w:rsidRPr="00BC7BF8">
        <w:t>By contrast,</w:t>
      </w:r>
      <w:r w:rsidR="00E91528" w:rsidRPr="00BC7BF8" w:rsidDel="00A2706F">
        <w:t xml:space="preserve"> </w:t>
      </w:r>
      <w:r w:rsidR="00E91528" w:rsidRPr="00BC7BF8">
        <w:t>employment averaged around 22,000 people</w:t>
      </w:r>
      <w:r w:rsidR="00F469EF">
        <w:rPr>
          <w:rStyle w:val="FootnoteReference"/>
        </w:rPr>
        <w:footnoteReference w:id="26"/>
      </w:r>
      <w:r w:rsidR="00E91528" w:rsidRPr="00BC7BF8">
        <w:t xml:space="preserve"> </w:t>
      </w:r>
      <w:r w:rsidR="00E91528">
        <w:t>i</w:t>
      </w:r>
      <w:r w:rsidR="00E91528" w:rsidRPr="00BC7BF8">
        <w:t>n 2021-22, the year in which Australia exported a record 83 million tonnes</w:t>
      </w:r>
      <w:r w:rsidR="00EF6C5A">
        <w:t xml:space="preserve"> of LNG</w:t>
      </w:r>
      <w:r w:rsidR="00E91528" w:rsidRPr="00BC7BF8">
        <w:t>,</w:t>
      </w:r>
      <w:r w:rsidR="00EA6862">
        <w:t xml:space="preserve"> demonstrating</w:t>
      </w:r>
      <w:r w:rsidRPr="00BC7BF8">
        <w:t xml:space="preserve"> the production phase of the investment cycle </w:t>
      </w:r>
      <w:r w:rsidR="00EA6862">
        <w:t xml:space="preserve">is </w:t>
      </w:r>
      <w:r w:rsidR="00140BAF">
        <w:t xml:space="preserve">generally </w:t>
      </w:r>
      <w:r w:rsidR="00EA6862">
        <w:t>less labour-intensive.</w:t>
      </w:r>
      <w:r w:rsidRPr="00BC7BF8">
        <w:t xml:space="preserve"> It is likely that investment in backfill projects will </w:t>
      </w:r>
      <w:r w:rsidR="00F61AA0">
        <w:t xml:space="preserve">not see employment </w:t>
      </w:r>
      <w:r w:rsidR="00290588">
        <w:t xml:space="preserve">rise </w:t>
      </w:r>
      <w:r w:rsidR="00996CC3">
        <w:t>as much as was</w:t>
      </w:r>
      <w:r w:rsidR="00EA6862">
        <w:t xml:space="preserve"> seen during </w:t>
      </w:r>
      <w:r w:rsidR="00910FB8">
        <w:t>the LNG investment boom</w:t>
      </w:r>
      <w:r w:rsidR="008854A0">
        <w:t xml:space="preserve"> where </w:t>
      </w:r>
      <w:r w:rsidR="00D30467">
        <w:t xml:space="preserve">labour requirements for construction of liquefaction facilities </w:t>
      </w:r>
      <w:r w:rsidR="002170A3">
        <w:t>were significant</w:t>
      </w:r>
      <w:r w:rsidRPr="00BC7BF8">
        <w:t>.</w:t>
      </w:r>
      <w:bookmarkEnd w:id="23"/>
    </w:p>
    <w:p w14:paraId="5C6F5ABE" w14:textId="1333747A" w:rsidR="002E4946" w:rsidRDefault="008F2BB5" w:rsidP="00A95E2F">
      <w:pPr>
        <w:pStyle w:val="Heading2"/>
      </w:pPr>
      <w:bookmarkStart w:id="27" w:name="_Toc134273568"/>
      <w:r>
        <w:t>4.</w:t>
      </w:r>
      <w:r w:rsidR="00603C0A">
        <w:t>5</w:t>
      </w:r>
      <w:r>
        <w:t xml:space="preserve"> </w:t>
      </w:r>
      <w:r w:rsidR="009943AF">
        <w:t>Broader investment context</w:t>
      </w:r>
      <w:bookmarkEnd w:id="27"/>
    </w:p>
    <w:p w14:paraId="178421C7" w14:textId="24D39044" w:rsidR="00100D02" w:rsidRPr="004E3BF6" w:rsidRDefault="00100D02" w:rsidP="00100D02">
      <w:r w:rsidRPr="004E3BF6">
        <w:t xml:space="preserve">Since the release of the Callaghan Review in 2017, </w:t>
      </w:r>
      <w:r w:rsidR="00E31E2E" w:rsidRPr="004E3BF6">
        <w:t>g</w:t>
      </w:r>
      <w:r w:rsidR="006932B8" w:rsidRPr="004E3BF6">
        <w:t xml:space="preserve">lobal LNG markets </w:t>
      </w:r>
      <w:r w:rsidR="000F1181" w:rsidRPr="004E3BF6">
        <w:t xml:space="preserve">have experienced a high level of volatility, </w:t>
      </w:r>
      <w:r w:rsidR="00C57A05" w:rsidRPr="004E3BF6">
        <w:t xml:space="preserve">which is </w:t>
      </w:r>
      <w:r w:rsidR="009A7F4C">
        <w:t>expected</w:t>
      </w:r>
      <w:r w:rsidR="009A7F4C" w:rsidRPr="004E3BF6">
        <w:t xml:space="preserve"> </w:t>
      </w:r>
      <w:r w:rsidR="00C57A05" w:rsidRPr="004E3BF6">
        <w:t>to continue. O</w:t>
      </w:r>
      <w:r w:rsidRPr="004E3BF6">
        <w:t xml:space="preserve">il prices have been below the </w:t>
      </w:r>
      <w:r w:rsidR="00D466D3" w:rsidRPr="004E3BF6">
        <w:t xml:space="preserve">Callaghan </w:t>
      </w:r>
      <w:r w:rsidR="006024B0" w:rsidRPr="004E3BF6">
        <w:t xml:space="preserve">Review’s </w:t>
      </w:r>
      <w:r w:rsidRPr="004E3BF6">
        <w:t xml:space="preserve">baseline </w:t>
      </w:r>
      <w:r w:rsidR="00197BD5" w:rsidRPr="004E3BF6">
        <w:t xml:space="preserve">oil price </w:t>
      </w:r>
      <w:r w:rsidR="00BD602C" w:rsidRPr="004E3BF6">
        <w:t xml:space="preserve">projection </w:t>
      </w:r>
      <w:r w:rsidR="00197BD5" w:rsidRPr="004E3BF6">
        <w:t>of</w:t>
      </w:r>
      <w:r w:rsidRPr="004E3BF6">
        <w:t xml:space="preserve"> $US65 </w:t>
      </w:r>
      <w:r w:rsidR="00A52E96">
        <w:t>per barrel</w:t>
      </w:r>
      <w:r w:rsidRPr="004E3BF6">
        <w:t xml:space="preserve"> </w:t>
      </w:r>
      <w:r w:rsidR="00BD3B5B" w:rsidRPr="004E3BF6">
        <w:t>(WTI)</w:t>
      </w:r>
      <w:r w:rsidRPr="004E3BF6">
        <w:t xml:space="preserve"> for</w:t>
      </w:r>
      <w:r w:rsidR="00593EFE">
        <w:t xml:space="preserve"> some </w:t>
      </w:r>
      <w:r w:rsidR="002013CA">
        <w:t xml:space="preserve">of the </w:t>
      </w:r>
      <w:r w:rsidRPr="00100D02">
        <w:t>period</w:t>
      </w:r>
      <w:r w:rsidR="002013CA">
        <w:t xml:space="preserve"> since 2017</w:t>
      </w:r>
      <w:r w:rsidR="00F87801">
        <w:t>,</w:t>
      </w:r>
      <w:r w:rsidRPr="00100D02">
        <w:t xml:space="preserve"> </w:t>
      </w:r>
      <w:r w:rsidRPr="004E3BF6">
        <w:t xml:space="preserve">with prices </w:t>
      </w:r>
      <w:r w:rsidR="00593EFE">
        <w:t xml:space="preserve">falling </w:t>
      </w:r>
      <w:r w:rsidRPr="004E3BF6">
        <w:t>during the start of the Covid-19 pandemic</w:t>
      </w:r>
      <w:r w:rsidR="009F422F" w:rsidRPr="004E3BF6">
        <w:t xml:space="preserve">. More recently, </w:t>
      </w:r>
      <w:r w:rsidR="00103AB8" w:rsidRPr="004E3BF6">
        <w:t>significant dis</w:t>
      </w:r>
      <w:r w:rsidR="00564102" w:rsidRPr="004E3BF6">
        <w:t xml:space="preserve">ruptions to global natural gas </w:t>
      </w:r>
      <w:r w:rsidRPr="004E3BF6">
        <w:t xml:space="preserve">supply relating to </w:t>
      </w:r>
      <w:r w:rsidR="00C26DC1" w:rsidRPr="004E3BF6">
        <w:t xml:space="preserve">Russia’s invasion </w:t>
      </w:r>
      <w:r w:rsidR="00C649D8" w:rsidRPr="004E3BF6">
        <w:t>of</w:t>
      </w:r>
      <w:r w:rsidR="00C26DC1" w:rsidRPr="004E3BF6">
        <w:t xml:space="preserve"> </w:t>
      </w:r>
      <w:r w:rsidRPr="004E3BF6">
        <w:t>Ukraine</w:t>
      </w:r>
      <w:r w:rsidR="004B2BF1" w:rsidRPr="004E3BF6">
        <w:t xml:space="preserve"> </w:t>
      </w:r>
      <w:r w:rsidR="00F97401" w:rsidRPr="004E3BF6">
        <w:t>resulted in</w:t>
      </w:r>
      <w:r w:rsidR="00295379" w:rsidRPr="004E3BF6">
        <w:t xml:space="preserve"> a major restructuring </w:t>
      </w:r>
      <w:r w:rsidR="00F97401" w:rsidRPr="004E3BF6">
        <w:t>of</w:t>
      </w:r>
      <w:r w:rsidR="009A265B" w:rsidRPr="004E3BF6">
        <w:t xml:space="preserve"> global energy markets</w:t>
      </w:r>
      <w:r w:rsidR="00F97401" w:rsidRPr="004E3BF6">
        <w:t xml:space="preserve"> and </w:t>
      </w:r>
      <w:r w:rsidR="006D0518" w:rsidRPr="004E3BF6">
        <w:t xml:space="preserve">very high </w:t>
      </w:r>
      <w:r w:rsidR="00313171" w:rsidRPr="004E3BF6">
        <w:t>prices</w:t>
      </w:r>
      <w:r w:rsidR="00CA33C1" w:rsidRPr="004E3BF6">
        <w:t xml:space="preserve">. </w:t>
      </w:r>
      <w:r w:rsidR="00140E2E">
        <w:t xml:space="preserve">LNG </w:t>
      </w:r>
      <w:r w:rsidR="004D6707">
        <w:t>netback prices</w:t>
      </w:r>
      <w:r w:rsidR="00B84377">
        <w:t xml:space="preserve">, which averaged </w:t>
      </w:r>
      <w:r w:rsidR="001C3A00">
        <w:t>$7.</w:t>
      </w:r>
      <w:r w:rsidR="00DB469E">
        <w:t>91</w:t>
      </w:r>
      <w:r w:rsidR="001C3A00">
        <w:t xml:space="preserve"> per Gigajoule during the period spanning 2016-2020</w:t>
      </w:r>
      <w:r w:rsidR="00E3545F">
        <w:t xml:space="preserve">, rose significantly </w:t>
      </w:r>
      <w:r w:rsidR="003B0C9A">
        <w:t>to an average of $29.08 per Gigajoule during the 202</w:t>
      </w:r>
      <w:r w:rsidR="00D933A1">
        <w:t>1</w:t>
      </w:r>
      <w:r w:rsidR="003B0C9A">
        <w:t>-2022 period</w:t>
      </w:r>
      <w:r w:rsidR="00CA33C1" w:rsidRPr="00FC52A2">
        <w:t>.</w:t>
      </w:r>
      <w:r w:rsidR="00CA33C1" w:rsidRPr="00FC52A2">
        <w:rPr>
          <w:rStyle w:val="FootnoteReference"/>
        </w:rPr>
        <w:footnoteReference w:id="27"/>
      </w:r>
    </w:p>
    <w:p w14:paraId="777FB60A" w14:textId="7F9EAFB5" w:rsidR="00E538B1" w:rsidRPr="004E3BF6" w:rsidRDefault="00362FCE" w:rsidP="00557116">
      <w:r w:rsidRPr="004E3BF6">
        <w:t>While global prices have fallen</w:t>
      </w:r>
      <w:r w:rsidR="00EE12C6" w:rsidRPr="004E3BF6">
        <w:t xml:space="preserve">, partly in response to rebalancing of European gas inventories </w:t>
      </w:r>
      <w:r w:rsidR="00D33E12" w:rsidRPr="004E3BF6">
        <w:t>and</w:t>
      </w:r>
      <w:r w:rsidR="004C0635" w:rsidRPr="004E3BF6">
        <w:t xml:space="preserve"> behavioural responses to reduce gas consumption by consumers</w:t>
      </w:r>
      <w:r w:rsidR="00246046" w:rsidRPr="004E3BF6">
        <w:t>, global gas prices</w:t>
      </w:r>
      <w:r w:rsidR="008C5D18" w:rsidRPr="004E3BF6">
        <w:t xml:space="preserve"> remain significantly higher than historical averages</w:t>
      </w:r>
      <w:r w:rsidR="00EF1A04">
        <w:t xml:space="preserve">. </w:t>
      </w:r>
      <w:r w:rsidR="007058BC">
        <w:t xml:space="preserve">The </w:t>
      </w:r>
      <w:r w:rsidR="00F1684A">
        <w:t xml:space="preserve">International Energy Agency </w:t>
      </w:r>
      <w:r w:rsidR="008C5D18" w:rsidRPr="004E3BF6">
        <w:t>expec</w:t>
      </w:r>
      <w:r w:rsidR="00362B64">
        <w:t>ts</w:t>
      </w:r>
      <w:r w:rsidR="00E75A45">
        <w:t xml:space="preserve"> </w:t>
      </w:r>
      <w:r w:rsidR="00F82026">
        <w:t>global gas pr</w:t>
      </w:r>
      <w:r w:rsidR="002B2A42">
        <w:t xml:space="preserve">ices to remain significantly higher than historical averages </w:t>
      </w:r>
      <w:r w:rsidR="008C5D18" w:rsidRPr="004E3BF6">
        <w:t>for the next few years</w:t>
      </w:r>
      <w:r w:rsidR="00322B02">
        <w:t>, with t</w:t>
      </w:r>
      <w:r w:rsidR="00DD4608" w:rsidRPr="004E3BF6">
        <w:t xml:space="preserve">ightness in the global gas </w:t>
      </w:r>
      <w:r w:rsidR="00DD4608" w:rsidRPr="004E3BF6">
        <w:lastRenderedPageBreak/>
        <w:t>market not expected to ease until the mid-2020-30s, when new and large LNG projects (particularly in the United States) come online</w:t>
      </w:r>
      <w:r w:rsidR="00E538B1" w:rsidRPr="004E3BF6">
        <w:t>.</w:t>
      </w:r>
      <w:r w:rsidR="0015483A" w:rsidRPr="004E3BF6">
        <w:rPr>
          <w:rStyle w:val="FootnoteReference"/>
        </w:rPr>
        <w:footnoteReference w:id="28"/>
      </w:r>
      <w:r w:rsidR="00E538B1" w:rsidRPr="004E3BF6">
        <w:t xml:space="preserve"> </w:t>
      </w:r>
    </w:p>
    <w:p w14:paraId="513560D0" w14:textId="4E8CB6E8" w:rsidR="006026D6" w:rsidRDefault="000670ED" w:rsidP="00817F43">
      <w:r w:rsidRPr="004E3BF6">
        <w:t>The future of LNG demand after 2030 is uncertain</w:t>
      </w:r>
      <w:r w:rsidR="008401B9" w:rsidRPr="004E3BF6">
        <w:t xml:space="preserve">. </w:t>
      </w:r>
      <w:r w:rsidR="00507350" w:rsidRPr="004E3BF6">
        <w:t>While</w:t>
      </w:r>
      <w:r w:rsidR="00507350">
        <w:t xml:space="preserve"> </w:t>
      </w:r>
      <w:r w:rsidR="008401B9">
        <w:t>Australia’s gas resources are expected to have a major role in the world’s energy transition</w:t>
      </w:r>
      <w:r w:rsidR="00084590">
        <w:t>,</w:t>
      </w:r>
      <w:r w:rsidR="00817F43">
        <w:t xml:space="preserve"> it is not clear</w:t>
      </w:r>
      <w:r w:rsidR="008401B9">
        <w:t xml:space="preserve"> </w:t>
      </w:r>
      <w:r w:rsidR="00A469C6">
        <w:t>how long the transition will be</w:t>
      </w:r>
      <w:r w:rsidR="00BA09A5">
        <w:t xml:space="preserve">. BP’s </w:t>
      </w:r>
      <w:r w:rsidR="00851CD6">
        <w:t>2023 Energy Outlook considers a range of scenarios for LNG</w:t>
      </w:r>
      <w:r w:rsidR="00106368">
        <w:t xml:space="preserve"> and notes that</w:t>
      </w:r>
      <w:r w:rsidR="006026D6">
        <w:t>:</w:t>
      </w:r>
    </w:p>
    <w:p w14:paraId="4075C873" w14:textId="02E9BFA7" w:rsidR="008401B9" w:rsidRPr="00EF0CA1" w:rsidRDefault="00084590" w:rsidP="00946662">
      <w:pPr>
        <w:pStyle w:val="Quote"/>
        <w:jc w:val="center"/>
        <w:rPr>
          <w:rFonts w:ascii="Calibri Light" w:hAnsi="Calibri Light" w:cs="Calibri Light"/>
          <w:color w:val="auto"/>
        </w:rPr>
      </w:pPr>
      <w:r w:rsidRPr="00EF0CA1">
        <w:rPr>
          <w:rFonts w:ascii="Calibri Light" w:hAnsi="Calibri Light" w:cs="Calibri Light"/>
          <w:color w:val="auto"/>
        </w:rPr>
        <w:t>‘</w:t>
      </w:r>
      <w:r w:rsidR="009C303E" w:rsidRPr="00EF0CA1">
        <w:rPr>
          <w:rFonts w:ascii="Calibri Light" w:hAnsi="Calibri Light" w:cs="Calibri Light"/>
          <w:color w:val="auto"/>
        </w:rPr>
        <w:t>P</w:t>
      </w:r>
      <w:r w:rsidR="009856AE" w:rsidRPr="00EF0CA1">
        <w:rPr>
          <w:rFonts w:ascii="Calibri Light" w:hAnsi="Calibri Light" w:cs="Calibri Light"/>
          <w:color w:val="auto"/>
        </w:rPr>
        <w:t xml:space="preserve">rospects for natural gas depend on the </w:t>
      </w:r>
      <w:r w:rsidR="007A31FB" w:rsidRPr="00EF0CA1">
        <w:rPr>
          <w:rFonts w:ascii="Calibri Light" w:hAnsi="Calibri Light" w:cs="Calibri Light"/>
          <w:color w:val="auto"/>
        </w:rPr>
        <w:t>outcome of two significant but opposing trends</w:t>
      </w:r>
      <w:r w:rsidR="003D6A07" w:rsidRPr="00EF0CA1">
        <w:rPr>
          <w:rFonts w:ascii="Calibri Light" w:hAnsi="Calibri Light" w:cs="Calibri Light"/>
          <w:color w:val="auto"/>
        </w:rPr>
        <w:t xml:space="preserve">; increasing demand in emerging economies as they grow and </w:t>
      </w:r>
      <w:r w:rsidR="006026D6" w:rsidRPr="00EF0CA1">
        <w:rPr>
          <w:rFonts w:ascii="Calibri Light" w:hAnsi="Calibri Light" w:cs="Calibri Light"/>
          <w:color w:val="auto"/>
        </w:rPr>
        <w:t>industrialize</w:t>
      </w:r>
      <w:r w:rsidR="003D6A07" w:rsidRPr="00EF0CA1">
        <w:rPr>
          <w:rFonts w:ascii="Calibri Light" w:hAnsi="Calibri Light" w:cs="Calibri Light"/>
          <w:color w:val="auto"/>
        </w:rPr>
        <w:t xml:space="preserve">, offset by a shift away from natural gas to lower-carbon energy led by the </w:t>
      </w:r>
      <w:r w:rsidR="00324D71" w:rsidRPr="00EF0CA1">
        <w:rPr>
          <w:rFonts w:ascii="Calibri Light" w:hAnsi="Calibri Light" w:cs="Calibri Light"/>
          <w:color w:val="auto"/>
        </w:rPr>
        <w:t>developed world.</w:t>
      </w:r>
      <w:r w:rsidRPr="00EF0CA1">
        <w:rPr>
          <w:rFonts w:ascii="Calibri Light" w:hAnsi="Calibri Light" w:cs="Calibri Light"/>
          <w:color w:val="auto"/>
        </w:rPr>
        <w:t>’</w:t>
      </w:r>
      <w:r w:rsidR="006026D6" w:rsidRPr="00EF0CA1">
        <w:rPr>
          <w:rStyle w:val="FootnoteReference"/>
          <w:rFonts w:ascii="Calibri Light" w:hAnsi="Calibri Light" w:cs="Calibri Light"/>
          <w:color w:val="auto"/>
        </w:rPr>
        <w:footnoteReference w:id="29"/>
      </w:r>
    </w:p>
    <w:p w14:paraId="137BD51B" w14:textId="1EAA5C71" w:rsidR="00CE4C12" w:rsidRDefault="00C975B0" w:rsidP="00C975B0">
      <w:r>
        <w:t xml:space="preserve">Similarly, the </w:t>
      </w:r>
      <w:r w:rsidR="00F41698">
        <w:t xml:space="preserve">2022 edition of the International Energy Agency’s </w:t>
      </w:r>
      <w:r w:rsidR="00A34EF6" w:rsidRPr="00CE4C12">
        <w:rPr>
          <w:i/>
        </w:rPr>
        <w:t>World Energy Outlook</w:t>
      </w:r>
      <w:r w:rsidR="00A34EF6">
        <w:t xml:space="preserve"> </w:t>
      </w:r>
      <w:r w:rsidR="003653C4">
        <w:t xml:space="preserve">forecasts that </w:t>
      </w:r>
      <w:r w:rsidR="00CE4C12">
        <w:t>the era of rapid global growth in natural gas demand is drawing to a close</w:t>
      </w:r>
      <w:r w:rsidR="00687DE1">
        <w:t>.</w:t>
      </w:r>
      <w:r w:rsidR="00687DE1">
        <w:rPr>
          <w:rStyle w:val="FootnoteReference"/>
        </w:rPr>
        <w:footnoteReference w:id="30"/>
      </w:r>
    </w:p>
    <w:p w14:paraId="7920F2E0" w14:textId="484A1FCF" w:rsidR="00E93667" w:rsidRDefault="008401B9" w:rsidP="00304889">
      <w:r>
        <w:t>Aust</w:t>
      </w:r>
      <w:r w:rsidR="006E44F6">
        <w:t>ralia’s main LNG export markets are to</w:t>
      </w:r>
      <w:r w:rsidR="00192FE8">
        <w:t xml:space="preserve"> China</w:t>
      </w:r>
      <w:r w:rsidR="006E44F6">
        <w:t xml:space="preserve">, Japan and Korea, all of whom have made commitments </w:t>
      </w:r>
      <w:r w:rsidR="009C303E">
        <w:t xml:space="preserve">to </w:t>
      </w:r>
      <w:r w:rsidR="001128F9">
        <w:t>change</w:t>
      </w:r>
      <w:r w:rsidR="00247216">
        <w:t xml:space="preserve"> emissions </w:t>
      </w:r>
      <w:r w:rsidR="001128F9">
        <w:t>profiles</w:t>
      </w:r>
      <w:r w:rsidR="00247216">
        <w:t xml:space="preserve"> before 2030 </w:t>
      </w:r>
      <w:r w:rsidR="001B188A">
        <w:t xml:space="preserve">and </w:t>
      </w:r>
      <w:r w:rsidR="001128F9">
        <w:t>r</w:t>
      </w:r>
      <w:r w:rsidR="00947866">
        <w:t xml:space="preserve">each </w:t>
      </w:r>
      <w:r w:rsidR="001B188A">
        <w:t xml:space="preserve">net zero emissions </w:t>
      </w:r>
      <w:r w:rsidR="00CA78BC">
        <w:t xml:space="preserve">by </w:t>
      </w:r>
      <w:r w:rsidR="001128F9">
        <w:t xml:space="preserve">the second half of the </w:t>
      </w:r>
      <w:r w:rsidR="00947866">
        <w:t>century</w:t>
      </w:r>
      <w:r w:rsidR="001D3980">
        <w:t xml:space="preserve">. </w:t>
      </w:r>
      <w:r w:rsidR="00301626">
        <w:t xml:space="preserve">Future </w:t>
      </w:r>
      <w:r w:rsidR="00C04AF0">
        <w:t xml:space="preserve">LNG investments will need to deal with a range of </w:t>
      </w:r>
      <w:r w:rsidR="005765D1">
        <w:t xml:space="preserve">regulatory and environmental hurdles </w:t>
      </w:r>
      <w:r w:rsidR="00CB0977">
        <w:t xml:space="preserve">to </w:t>
      </w:r>
      <w:r w:rsidR="00CC4E9E">
        <w:t xml:space="preserve">meet the emissions requirements </w:t>
      </w:r>
      <w:r w:rsidR="001977D9">
        <w:t xml:space="preserve">of both </w:t>
      </w:r>
      <w:r w:rsidR="009C6AE2">
        <w:t>Australia</w:t>
      </w:r>
      <w:r w:rsidR="001977D9">
        <w:t xml:space="preserve"> and </w:t>
      </w:r>
      <w:r w:rsidR="009C6AE2">
        <w:t>the proposed export market</w:t>
      </w:r>
      <w:r w:rsidR="00770AA1">
        <w:t>(</w:t>
      </w:r>
      <w:r w:rsidR="009C6AE2">
        <w:t>s</w:t>
      </w:r>
      <w:r w:rsidR="00770AA1">
        <w:t>)</w:t>
      </w:r>
      <w:r w:rsidR="009C6AE2">
        <w:t xml:space="preserve">. </w:t>
      </w:r>
      <w:r w:rsidR="006E1907">
        <w:t xml:space="preserve">The Government’s </w:t>
      </w:r>
      <w:r w:rsidR="00462F52">
        <w:t>recently legislated Safeguard Mechanism</w:t>
      </w:r>
      <w:r w:rsidR="00416A97">
        <w:t xml:space="preserve">, which </w:t>
      </w:r>
      <w:r w:rsidR="00B373C5">
        <w:t>is</w:t>
      </w:r>
      <w:r w:rsidR="00416A97">
        <w:t xml:space="preserve"> expected to take effect from 1 July 2023</w:t>
      </w:r>
      <w:r w:rsidR="00625A2C">
        <w:t>,</w:t>
      </w:r>
      <w:r w:rsidR="00745070">
        <w:t xml:space="preserve"> </w:t>
      </w:r>
      <w:r w:rsidR="00650AAB">
        <w:t xml:space="preserve">put Australia on a path to net zero, but </w:t>
      </w:r>
      <w:r w:rsidR="00252889">
        <w:t>mean</w:t>
      </w:r>
      <w:r w:rsidR="00E63A8A">
        <w:t>s</w:t>
      </w:r>
      <w:r w:rsidR="00252889">
        <w:t xml:space="preserve"> </w:t>
      </w:r>
      <w:r w:rsidR="00FF6375">
        <w:t xml:space="preserve">LNG projects </w:t>
      </w:r>
      <w:r w:rsidR="00E04C94">
        <w:t xml:space="preserve">will face additional costs for compliance activities associated with emission </w:t>
      </w:r>
      <w:r w:rsidR="00727FFA">
        <w:t>reduction</w:t>
      </w:r>
      <w:r w:rsidR="0091628A">
        <w:t>s and offsetting costs.</w:t>
      </w:r>
      <w:r w:rsidR="00462F52">
        <w:t xml:space="preserve"> </w:t>
      </w:r>
    </w:p>
    <w:p w14:paraId="6DE69CE0" w14:textId="77777777" w:rsidR="007F272B" w:rsidRDefault="007F272B">
      <w:pPr>
        <w:spacing w:before="0" w:after="160" w:line="259" w:lineRule="auto"/>
        <w:rPr>
          <w:rFonts w:ascii="Courier New" w:hAnsi="Courier New" w:cs="Yu Mincho Light"/>
          <w:b/>
          <w:color w:val="5D779D" w:themeColor="accent3"/>
          <w:kern w:val="32"/>
          <w:sz w:val="36"/>
          <w:szCs w:val="36"/>
        </w:rPr>
      </w:pPr>
      <w:bookmarkStart w:id="28" w:name="_Toc6499386"/>
      <w:bookmarkStart w:id="29" w:name="_Toc30064619"/>
      <w:r>
        <w:rPr>
          <w:sz w:val="36"/>
        </w:rPr>
        <w:br w:type="page"/>
      </w:r>
    </w:p>
    <w:p w14:paraId="646020F6" w14:textId="052B32FF" w:rsidR="005C4D35" w:rsidRPr="006862EF" w:rsidRDefault="00BE41EB" w:rsidP="006862EF">
      <w:pPr>
        <w:pStyle w:val="Heading1"/>
      </w:pPr>
      <w:bookmarkStart w:id="30" w:name="_Toc134273569"/>
      <w:r w:rsidRPr="006862EF">
        <w:lastRenderedPageBreak/>
        <w:t>5</w:t>
      </w:r>
      <w:r w:rsidR="005C4D35" w:rsidRPr="006862EF">
        <w:t>. Stakeholder views</w:t>
      </w:r>
      <w:bookmarkEnd w:id="28"/>
      <w:bookmarkEnd w:id="29"/>
      <w:bookmarkEnd w:id="30"/>
    </w:p>
    <w:p w14:paraId="50955992" w14:textId="6CC9AC4A" w:rsidR="005951E8" w:rsidRDefault="00C53174" w:rsidP="00CC0D70">
      <w:r>
        <w:t xml:space="preserve">As set out in </w:t>
      </w:r>
      <w:r w:rsidR="00481EA3">
        <w:t>section 1.3,</w:t>
      </w:r>
      <w:r>
        <w:t xml:space="preserve"> </w:t>
      </w:r>
      <w:r w:rsidR="005951E8">
        <w:t xml:space="preserve">Treasury has undertaken a substantial consultation process with industry stakeholders </w:t>
      </w:r>
      <w:r w:rsidR="00147420">
        <w:t xml:space="preserve">since </w:t>
      </w:r>
      <w:r w:rsidR="005951E8">
        <w:t xml:space="preserve">commencing </w:t>
      </w:r>
      <w:r w:rsidR="007B1D51">
        <w:t>the Review in 2019</w:t>
      </w:r>
      <w:r w:rsidR="005951E8">
        <w:t>.</w:t>
      </w:r>
      <w:r w:rsidR="00F9029E">
        <w:t xml:space="preserve"> </w:t>
      </w:r>
      <w:r w:rsidR="00E00E4D">
        <w:t>T</w:t>
      </w:r>
      <w:r w:rsidR="005951E8">
        <w:t>he information and views put forward by industry have been highly valuable in developing Treasury’s understanding of operational issues associated with</w:t>
      </w:r>
      <w:r w:rsidR="005951E8" w:rsidDel="005176B1">
        <w:t xml:space="preserve"> </w:t>
      </w:r>
      <w:r w:rsidR="00071954">
        <w:t xml:space="preserve">the </w:t>
      </w:r>
      <w:r w:rsidR="005951E8">
        <w:t xml:space="preserve">current </w:t>
      </w:r>
      <w:r w:rsidR="00D1791C">
        <w:t>GTP Regulation</w:t>
      </w:r>
      <w:r w:rsidR="005951E8">
        <w:t xml:space="preserve"> and testing possible reforms needed to address issues identified by Treasury. </w:t>
      </w:r>
    </w:p>
    <w:p w14:paraId="28220527" w14:textId="54F964E4" w:rsidR="00CC0D70" w:rsidRDefault="00CC0D70" w:rsidP="00CC0D70">
      <w:r>
        <w:t xml:space="preserve">Set out below is a summary of the key issues raised </w:t>
      </w:r>
      <w:r w:rsidR="00F23F08">
        <w:t>with Treasury</w:t>
      </w:r>
      <w:r w:rsidR="000703DF">
        <w:t xml:space="preserve"> </w:t>
      </w:r>
      <w:r w:rsidR="00DB341F">
        <w:t xml:space="preserve">about the GTP Regulation </w:t>
      </w:r>
      <w:r w:rsidR="000703DF">
        <w:t>over</w:t>
      </w:r>
      <w:r w:rsidR="00F925BE">
        <w:t xml:space="preserve"> </w:t>
      </w:r>
      <w:r w:rsidR="00A958C3">
        <w:t xml:space="preserve">the </w:t>
      </w:r>
      <w:r w:rsidR="000703DF">
        <w:t>course of</w:t>
      </w:r>
      <w:r w:rsidR="00F14330" w:rsidDel="00A958C3">
        <w:t xml:space="preserve"> </w:t>
      </w:r>
      <w:r w:rsidR="00A958C3">
        <w:t>the Review</w:t>
      </w:r>
      <w:r w:rsidR="00F14330">
        <w:t xml:space="preserve">. </w:t>
      </w:r>
    </w:p>
    <w:p w14:paraId="6E607C97" w14:textId="4778D8A6" w:rsidR="005C4D35" w:rsidRPr="004719C1" w:rsidRDefault="00AC332B" w:rsidP="009B6048">
      <w:pPr>
        <w:pStyle w:val="Heading3"/>
      </w:pPr>
      <w:r>
        <w:t>E</w:t>
      </w:r>
      <w:r w:rsidR="00B90A15">
        <w:t xml:space="preserve">xisting </w:t>
      </w:r>
      <w:r w:rsidR="00D1791C">
        <w:t>GTP Regulation</w:t>
      </w:r>
      <w:r w:rsidR="00555781">
        <w:t xml:space="preserve"> and </w:t>
      </w:r>
      <w:r w:rsidR="003F0CE6">
        <w:t xml:space="preserve">potential reforms </w:t>
      </w:r>
    </w:p>
    <w:p w14:paraId="6472D56D" w14:textId="20469618" w:rsidR="0056474C" w:rsidRDefault="00B37CE1" w:rsidP="0056474C">
      <w:pPr>
        <w:pStyle w:val="Bullet"/>
        <w:numPr>
          <w:ilvl w:val="0"/>
          <w:numId w:val="0"/>
        </w:numPr>
        <w:tabs>
          <w:tab w:val="clear" w:pos="720"/>
        </w:tabs>
        <w:spacing w:line="240" w:lineRule="auto"/>
      </w:pPr>
      <w:r>
        <w:t xml:space="preserve">Broadly, </w:t>
      </w:r>
      <w:r w:rsidR="00DA7658">
        <w:t xml:space="preserve">academics, civil society groups and policy bodies </w:t>
      </w:r>
      <w:r w:rsidR="00450A33">
        <w:t xml:space="preserve">argue </w:t>
      </w:r>
      <w:r w:rsidR="00AC332B">
        <w:t xml:space="preserve">that the existing </w:t>
      </w:r>
      <w:r w:rsidR="00D1791C">
        <w:t>GTP Regulation</w:t>
      </w:r>
      <w:r w:rsidR="00AC332B">
        <w:t xml:space="preserve"> </w:t>
      </w:r>
      <w:r w:rsidR="00CB4836">
        <w:t>is</w:t>
      </w:r>
      <w:r w:rsidR="00AC332B">
        <w:t xml:space="preserve"> </w:t>
      </w:r>
      <w:r w:rsidR="005F70A2">
        <w:t>not fit-for</w:t>
      </w:r>
      <w:r w:rsidR="0042085D">
        <w:t>-purpose and require reform to</w:t>
      </w:r>
      <w:r w:rsidR="00EB6B86">
        <w:t xml:space="preserve"> ensure a fairer return for the community </w:t>
      </w:r>
      <w:r w:rsidR="00463079">
        <w:t>for t</w:t>
      </w:r>
      <w:r w:rsidR="00CB0249">
        <w:t xml:space="preserve">he use of its gas resources </w:t>
      </w:r>
      <w:r w:rsidR="00EB6B86">
        <w:t xml:space="preserve">while also </w:t>
      </w:r>
      <w:r w:rsidR="00691E37">
        <w:t xml:space="preserve">enhancing regulatory security and sustainability for the oil and gas sector. </w:t>
      </w:r>
      <w:r w:rsidR="0056474C">
        <w:t>Stakeholders</w:t>
      </w:r>
      <w:r w:rsidR="0056474C" w:rsidDel="005B65F7">
        <w:t xml:space="preserve"> </w:t>
      </w:r>
      <w:r w:rsidR="0056474C">
        <w:t xml:space="preserve">drew comparisons between Australia’s growth as a major LNG exporter into global markets and declining levels of PRRT revenues payable to conclude the existing </w:t>
      </w:r>
      <w:r w:rsidR="008A65DF">
        <w:t xml:space="preserve">GTP </w:t>
      </w:r>
      <w:r w:rsidR="0056474C">
        <w:t>settings are no longer appropriate.</w:t>
      </w:r>
    </w:p>
    <w:p w14:paraId="2472AF62" w14:textId="77777777" w:rsidR="0056474C" w:rsidRDefault="0056474C" w:rsidP="0056474C">
      <w:pPr>
        <w:pStyle w:val="Bullet"/>
        <w:numPr>
          <w:ilvl w:val="0"/>
          <w:numId w:val="0"/>
        </w:numPr>
        <w:tabs>
          <w:tab w:val="clear" w:pos="720"/>
        </w:tabs>
        <w:spacing w:line="240" w:lineRule="auto"/>
      </w:pPr>
      <w:r>
        <w:t>The Tax Justice Network – Australia characterised Australia’s PRRT regime as ‘</w:t>
      </w:r>
      <w:r w:rsidRPr="000B5E00">
        <w:rPr>
          <w:i/>
          <w:iCs/>
        </w:rPr>
        <w:t>remarkably generous by global standards</w:t>
      </w:r>
      <w:r>
        <w:t xml:space="preserve">’ and submitted: </w:t>
      </w:r>
    </w:p>
    <w:p w14:paraId="5EBF14F2" w14:textId="701F24E1" w:rsidR="0056474C" w:rsidRPr="0031151D" w:rsidRDefault="0056474C" w:rsidP="0031151D">
      <w:pPr>
        <w:pStyle w:val="Quote"/>
        <w:jc w:val="center"/>
        <w:rPr>
          <w:rFonts w:ascii="Calibri Light" w:hAnsi="Calibri Light" w:cs="Calibri Light"/>
          <w:color w:val="auto"/>
        </w:rPr>
      </w:pPr>
      <w:r w:rsidRPr="0031151D">
        <w:rPr>
          <w:rFonts w:ascii="Calibri Light" w:hAnsi="Calibri Light" w:cs="Calibri Light"/>
          <w:color w:val="auto"/>
        </w:rPr>
        <w:t>It is a major national policy failure that while Australia becomes one of the world’s largest exporters of LNG, there is no increase in government revenues.</w:t>
      </w:r>
      <w:r w:rsidRPr="0031151D">
        <w:rPr>
          <w:rStyle w:val="FootnoteReference"/>
          <w:rFonts w:ascii="Calibri Light" w:hAnsi="Calibri Light" w:cs="Calibri Light"/>
          <w:color w:val="auto"/>
        </w:rPr>
        <w:footnoteReference w:id="31"/>
      </w:r>
    </w:p>
    <w:p w14:paraId="31E7C08A" w14:textId="6D7FC90A" w:rsidR="00954177" w:rsidRDefault="00954177" w:rsidP="00954177">
      <w:pPr>
        <w:pStyle w:val="Bullet"/>
        <w:numPr>
          <w:ilvl w:val="0"/>
          <w:numId w:val="0"/>
        </w:numPr>
        <w:tabs>
          <w:tab w:val="clear" w:pos="720"/>
        </w:tabs>
        <w:spacing w:line="240" w:lineRule="auto"/>
        <w:ind w:left="284" w:hanging="284"/>
      </w:pPr>
      <w:r>
        <w:t xml:space="preserve">Professor Richard Eccleston and Mr Lachlan Johnson in their joint submission </w:t>
      </w:r>
      <w:r w:rsidR="00830011">
        <w:t>noted that:</w:t>
      </w:r>
      <w:r>
        <w:t xml:space="preserve"> </w:t>
      </w:r>
    </w:p>
    <w:p w14:paraId="6DB3D446" w14:textId="10535FA6" w:rsidR="00830011" w:rsidRPr="00EF0CA1" w:rsidRDefault="00830011" w:rsidP="0031151D">
      <w:pPr>
        <w:pStyle w:val="Quote"/>
        <w:jc w:val="center"/>
        <w:rPr>
          <w:rFonts w:ascii="Calibri Light" w:hAnsi="Calibri Light" w:cs="Calibri Light"/>
          <w:color w:val="auto"/>
        </w:rPr>
      </w:pPr>
      <w:r w:rsidRPr="00EF0CA1">
        <w:rPr>
          <w:rFonts w:ascii="Calibri Light" w:hAnsi="Calibri Light" w:cs="Calibri Light"/>
          <w:color w:val="auto"/>
        </w:rPr>
        <w:t>The volume of revenue forgone by the Australian government represents poor value to taxpayers and an unfair return on the exploitation of a commonly-owned resource.</w:t>
      </w:r>
      <w:r w:rsidR="003A1C4F" w:rsidRPr="00EF0CA1">
        <w:rPr>
          <w:rStyle w:val="FootnoteReference"/>
          <w:rFonts w:ascii="Calibri Light" w:hAnsi="Calibri Light" w:cs="Calibri Light"/>
          <w:color w:val="auto"/>
        </w:rPr>
        <w:footnoteReference w:id="32"/>
      </w:r>
    </w:p>
    <w:p w14:paraId="639379A7" w14:textId="2F19C6F9" w:rsidR="0056474C" w:rsidRDefault="0056474C" w:rsidP="004E5E30">
      <w:r>
        <w:t>The Australia Institute submitted that, in the interests of ensuring a fair return for the community, the primary goal should be to tax as much of the economic rents from PRRT projects as possible.</w:t>
      </w:r>
      <w:r>
        <w:rPr>
          <w:rStyle w:val="FootnoteReference"/>
        </w:rPr>
        <w:footnoteReference w:id="33"/>
      </w:r>
      <w:r>
        <w:t xml:space="preserve"> </w:t>
      </w:r>
    </w:p>
    <w:p w14:paraId="33F3E916" w14:textId="5EBECC0A" w:rsidR="00137705" w:rsidRDefault="0068217C" w:rsidP="004E5E30">
      <w:r>
        <w:t>Unlike submissions to the Callaghan Review</w:t>
      </w:r>
      <w:r w:rsidR="00A45DA5">
        <w:rPr>
          <w:rStyle w:val="FootnoteReference"/>
        </w:rPr>
        <w:footnoteReference w:id="34"/>
      </w:r>
      <w:r>
        <w:t xml:space="preserve">, </w:t>
      </w:r>
      <w:r w:rsidR="003B3560">
        <w:t>submissions to this Review</w:t>
      </w:r>
      <w:r w:rsidR="007B28BE">
        <w:t xml:space="preserve"> did not call </w:t>
      </w:r>
      <w:r w:rsidR="005F4FE4">
        <w:t>for</w:t>
      </w:r>
      <w:r w:rsidR="003B4A9F">
        <w:t xml:space="preserve"> </w:t>
      </w:r>
      <w:r w:rsidR="002D1016">
        <w:t>a</w:t>
      </w:r>
      <w:r w:rsidR="00823FC0">
        <w:t>dditional royalt</w:t>
      </w:r>
      <w:r w:rsidR="002D1016">
        <w:t>ies</w:t>
      </w:r>
      <w:r w:rsidR="00696C75">
        <w:t xml:space="preserve"> for LNG projects</w:t>
      </w:r>
      <w:r w:rsidR="002D1016">
        <w:t xml:space="preserve"> to provide a more reliable and stable flow of revenue</w:t>
      </w:r>
      <w:r w:rsidR="009038B9">
        <w:t xml:space="preserve">, </w:t>
      </w:r>
      <w:r w:rsidR="00696C75">
        <w:t>and</w:t>
      </w:r>
      <w:r w:rsidR="002628B4">
        <w:t xml:space="preserve"> thus</w:t>
      </w:r>
      <w:r w:rsidR="00696C75">
        <w:t xml:space="preserve"> guarantee a return </w:t>
      </w:r>
      <w:r w:rsidR="00BE73C6">
        <w:t xml:space="preserve">to the Australian community </w:t>
      </w:r>
      <w:r w:rsidR="001850D2">
        <w:t xml:space="preserve">as </w:t>
      </w:r>
      <w:r w:rsidR="000C4906">
        <w:t>owners of gas resources</w:t>
      </w:r>
      <w:r>
        <w:t xml:space="preserve">. </w:t>
      </w:r>
      <w:r w:rsidR="00A45DA5">
        <w:t>However,</w:t>
      </w:r>
      <w:r w:rsidR="007B28BE">
        <w:t xml:space="preserve"> some noted</w:t>
      </w:r>
      <w:r w:rsidR="00354114">
        <w:t xml:space="preserve"> royalty arrangements would be more </w:t>
      </w:r>
      <w:r w:rsidR="009F6289">
        <w:t>advantageous</w:t>
      </w:r>
      <w:r w:rsidR="004B3D63">
        <w:t>,</w:t>
      </w:r>
      <w:r w:rsidR="009F6289">
        <w:t xml:space="preserve"> pointing to the effectiveness of </w:t>
      </w:r>
      <w:r w:rsidR="008C13CC">
        <w:t xml:space="preserve">royalty regimes applying </w:t>
      </w:r>
      <w:r w:rsidR="005605FB">
        <w:t xml:space="preserve">to the </w:t>
      </w:r>
      <w:r w:rsidR="00290CA4">
        <w:t xml:space="preserve">NWS </w:t>
      </w:r>
      <w:r w:rsidR="007A0A4F">
        <w:t xml:space="preserve">project </w:t>
      </w:r>
      <w:r w:rsidR="00290CA4">
        <w:t xml:space="preserve">and to the three LNG </w:t>
      </w:r>
      <w:r w:rsidR="005718F2">
        <w:t>projects onshore in Queensland.</w:t>
      </w:r>
    </w:p>
    <w:p w14:paraId="141BA502" w14:textId="7B1F4B99" w:rsidR="009B723C" w:rsidRPr="0031151D" w:rsidRDefault="009B723C" w:rsidP="0031151D">
      <w:pPr>
        <w:pStyle w:val="Quote"/>
        <w:jc w:val="center"/>
        <w:rPr>
          <w:rFonts w:ascii="Calibri Light" w:hAnsi="Calibri Light" w:cs="Calibri Light"/>
          <w:color w:val="auto"/>
        </w:rPr>
      </w:pPr>
      <w:r w:rsidRPr="0031151D">
        <w:rPr>
          <w:rFonts w:ascii="Calibri Light" w:hAnsi="Calibri Light" w:cs="Calibri Light"/>
          <w:color w:val="auto"/>
        </w:rPr>
        <w:t xml:space="preserve">Given it is outside the terms of reference for this Treasury inquiry to repeal the PRRT and reintroduce royalties, there should at least be more uniformity in Commonwealth taxation of petroleum resources. </w:t>
      </w:r>
      <w:r w:rsidR="00B25E11" w:rsidRPr="0031151D">
        <w:rPr>
          <w:rFonts w:ascii="Calibri Light" w:hAnsi="Calibri Light" w:cs="Calibri Light"/>
          <w:color w:val="auto"/>
        </w:rPr>
        <w:t xml:space="preserve">For example, the [NWS] gas project </w:t>
      </w:r>
      <w:r w:rsidR="003B1386" w:rsidRPr="0031151D">
        <w:rPr>
          <w:rFonts w:ascii="Calibri Light" w:hAnsi="Calibri Light" w:cs="Calibri Light"/>
          <w:color w:val="auto"/>
        </w:rPr>
        <w:t>uses the Netback method for royalty calculation.</w:t>
      </w:r>
      <w:r w:rsidR="003B1386" w:rsidRPr="0031151D">
        <w:rPr>
          <w:rStyle w:val="FootnoteReference"/>
          <w:rFonts w:ascii="Calibri Light" w:hAnsi="Calibri Light" w:cs="Calibri Light"/>
          <w:color w:val="auto"/>
        </w:rPr>
        <w:footnoteReference w:id="35"/>
      </w:r>
    </w:p>
    <w:p w14:paraId="289E8448" w14:textId="77777777" w:rsidR="0031151D" w:rsidRDefault="0031151D" w:rsidP="00C3487D"/>
    <w:p w14:paraId="786D64CA" w14:textId="77777777" w:rsidR="0031151D" w:rsidRDefault="0031151D" w:rsidP="00C3487D"/>
    <w:p w14:paraId="13FE1D37" w14:textId="68A59CE6" w:rsidR="00C3487D" w:rsidRDefault="003C5595" w:rsidP="00C3487D">
      <w:r>
        <w:lastRenderedPageBreak/>
        <w:t xml:space="preserve">In respect of the specific design of the </w:t>
      </w:r>
      <w:r w:rsidR="009E5E4D">
        <w:t>GTP rules, n</w:t>
      </w:r>
      <w:r w:rsidR="00C3487D">
        <w:t xml:space="preserve">on-industry submissions generally contended the </w:t>
      </w:r>
      <w:r w:rsidR="00C3487D" w:rsidDel="00D977F0">
        <w:t>existing RPM</w:t>
      </w:r>
      <w:r w:rsidR="00C3487D">
        <w:t xml:space="preserve"> is fundamentally </w:t>
      </w:r>
      <w:r w:rsidR="004537A9">
        <w:t>’flawed’</w:t>
      </w:r>
      <w:r w:rsidR="00C3487D">
        <w:t xml:space="preserve"> and should be replaced with a netback-only pricing model.</w:t>
      </w:r>
      <w:r w:rsidR="00F9029E">
        <w:t xml:space="preserve"> </w:t>
      </w:r>
    </w:p>
    <w:p w14:paraId="16B38C4B" w14:textId="7792051A" w:rsidR="00C3487D" w:rsidRPr="0031151D" w:rsidRDefault="00C3487D" w:rsidP="0031151D">
      <w:pPr>
        <w:pStyle w:val="Quote"/>
        <w:jc w:val="center"/>
        <w:rPr>
          <w:rFonts w:ascii="Calibri Light" w:hAnsi="Calibri Light" w:cs="Calibri Light"/>
          <w:color w:val="auto"/>
        </w:rPr>
      </w:pPr>
      <w:r w:rsidRPr="0031151D">
        <w:rPr>
          <w:rFonts w:ascii="Calibri Light" w:hAnsi="Calibri Light" w:cs="Calibri Light"/>
          <w:color w:val="auto"/>
        </w:rPr>
        <w:t>[T]he RPM considers the ‘transfer price’ to be half way between the netback price and the cost</w:t>
      </w:r>
      <w:r w:rsidR="00D336D2" w:rsidRPr="0031151D">
        <w:rPr>
          <w:rFonts w:ascii="Calibri Light" w:hAnsi="Calibri Light" w:cs="Calibri Light"/>
          <w:color w:val="auto"/>
        </w:rPr>
        <w:t>-</w:t>
      </w:r>
      <w:r w:rsidRPr="0031151D">
        <w:rPr>
          <w:rFonts w:ascii="Calibri Light" w:hAnsi="Calibri Light" w:cs="Calibri Light"/>
          <w:color w:val="auto"/>
        </w:rPr>
        <w:t>plus price. This gives away half the rent for free and taxes the remaining half at the internationally-low level of 40%.</w:t>
      </w:r>
      <w:r w:rsidRPr="0031151D">
        <w:rPr>
          <w:rStyle w:val="FootnoteReference"/>
          <w:rFonts w:ascii="Calibri Light" w:hAnsi="Calibri Light" w:cs="Calibri Light"/>
          <w:color w:val="auto"/>
        </w:rPr>
        <w:footnoteReference w:id="36"/>
      </w:r>
    </w:p>
    <w:p w14:paraId="65E71783" w14:textId="77777777" w:rsidR="00184EF7" w:rsidRDefault="00184EF7" w:rsidP="004E5E30">
      <w:r>
        <w:t>Dr Diane Kraal noted:</w:t>
      </w:r>
    </w:p>
    <w:p w14:paraId="6D7DEEC7" w14:textId="77777777" w:rsidR="00184EF7" w:rsidRPr="0031151D" w:rsidRDefault="00184EF7" w:rsidP="0031151D">
      <w:pPr>
        <w:pStyle w:val="Quote"/>
        <w:jc w:val="center"/>
        <w:rPr>
          <w:rFonts w:ascii="Calibri Light" w:hAnsi="Calibri Light" w:cs="Calibri Light"/>
          <w:color w:val="auto"/>
        </w:rPr>
      </w:pPr>
      <w:r w:rsidRPr="0031151D">
        <w:rPr>
          <w:rFonts w:ascii="Calibri Light" w:hAnsi="Calibri Light" w:cs="Calibri Light"/>
          <w:color w:val="auto"/>
        </w:rPr>
        <w:t>The RPM is a key causal factor to the problem of low PRRT revenues, and a change in method is required for remediation…</w:t>
      </w:r>
    </w:p>
    <w:p w14:paraId="133E419B" w14:textId="77777777" w:rsidR="00184EF7" w:rsidRPr="0031151D" w:rsidRDefault="00184EF7" w:rsidP="0031151D">
      <w:pPr>
        <w:pStyle w:val="Quote"/>
        <w:jc w:val="center"/>
        <w:rPr>
          <w:rFonts w:ascii="Calibri Light" w:hAnsi="Calibri Light" w:cs="Calibri Light"/>
          <w:color w:val="auto"/>
        </w:rPr>
      </w:pPr>
      <w:r w:rsidRPr="0031151D">
        <w:rPr>
          <w:rFonts w:ascii="Calibri Light" w:hAnsi="Calibri Light" w:cs="Calibri Light"/>
          <w:color w:val="auto"/>
        </w:rPr>
        <w:t>…The Australian government (on behalf of the community-owners) allows a zero valuation of gas reserves at the wellhead under the Cost-Plus method...</w:t>
      </w:r>
    </w:p>
    <w:p w14:paraId="56678DC8" w14:textId="4EE01946" w:rsidR="00184EF7" w:rsidRPr="0031151D" w:rsidRDefault="00184EF7" w:rsidP="0031151D">
      <w:pPr>
        <w:pStyle w:val="Quote"/>
        <w:jc w:val="center"/>
        <w:rPr>
          <w:rFonts w:ascii="Calibri Light" w:hAnsi="Calibri Light" w:cs="Calibri Light"/>
          <w:color w:val="auto"/>
        </w:rPr>
      </w:pPr>
      <w:r w:rsidRPr="0031151D">
        <w:rPr>
          <w:rFonts w:ascii="Calibri Light" w:hAnsi="Calibri Light" w:cs="Calibri Light"/>
          <w:color w:val="auto"/>
        </w:rPr>
        <w:t xml:space="preserve">…The RPM clearly disadvantages the wider Australian community as the owners of gas resources. The flaws in the RPM have resulted in the Australian government missing out on millions of dollars in tax since the </w:t>
      </w:r>
      <w:r w:rsidR="00901996">
        <w:rPr>
          <w:rFonts w:ascii="Calibri Light" w:hAnsi="Calibri Light" w:cs="Calibri Light"/>
          <w:color w:val="auto"/>
        </w:rPr>
        <w:t>[GTP]</w:t>
      </w:r>
      <w:r w:rsidRPr="0031151D">
        <w:rPr>
          <w:rFonts w:ascii="Calibri Light" w:hAnsi="Calibri Light" w:cs="Calibri Light"/>
          <w:color w:val="auto"/>
        </w:rPr>
        <w:t xml:space="preserve"> Regulations were first introduced in 2005.</w:t>
      </w:r>
      <w:r w:rsidRPr="0031151D">
        <w:rPr>
          <w:rStyle w:val="FootnoteReference"/>
          <w:rFonts w:ascii="Calibri Light" w:hAnsi="Calibri Light" w:cs="Calibri Light"/>
          <w:color w:val="auto"/>
        </w:rPr>
        <w:footnoteReference w:id="37"/>
      </w:r>
    </w:p>
    <w:p w14:paraId="0119CD66" w14:textId="77777777" w:rsidR="00C3487D" w:rsidRDefault="00C3487D" w:rsidP="00C3487D">
      <w:r>
        <w:t>Tax Justice Network – Australia noted that the current RPM creates ample opportunity for transfer mispricing by companies in integrated gas projects.</w:t>
      </w:r>
      <w:r>
        <w:rPr>
          <w:rStyle w:val="FootnoteReference"/>
        </w:rPr>
        <w:footnoteReference w:id="38"/>
      </w:r>
    </w:p>
    <w:p w14:paraId="55E985B7" w14:textId="1DE55BB2" w:rsidR="00C3487D" w:rsidRDefault="00630D20" w:rsidP="00C3487D">
      <w:r>
        <w:t>Some</w:t>
      </w:r>
      <w:r w:rsidR="00C3487D">
        <w:t xml:space="preserve"> noted that the 50:50 </w:t>
      </w:r>
      <w:r w:rsidR="00D032CC">
        <w:t xml:space="preserve">residual </w:t>
      </w:r>
      <w:r w:rsidR="00C3487D">
        <w:t xml:space="preserve">profit split is not based in economics, logic or principle and the netback represents a fairer and simpler approach. </w:t>
      </w:r>
    </w:p>
    <w:p w14:paraId="7ABB9824" w14:textId="4A0918FC" w:rsidR="00C3487D" w:rsidRPr="0031151D" w:rsidRDefault="00C3487D" w:rsidP="0031151D">
      <w:pPr>
        <w:pStyle w:val="Quote"/>
        <w:jc w:val="center"/>
        <w:rPr>
          <w:rFonts w:ascii="Calibri Light" w:hAnsi="Calibri Light" w:cs="Calibri Light"/>
          <w:color w:val="auto"/>
        </w:rPr>
      </w:pPr>
      <w:r w:rsidRPr="0031151D">
        <w:rPr>
          <w:rFonts w:ascii="Calibri Light" w:hAnsi="Calibri Light" w:cs="Calibri Light"/>
          <w:color w:val="auto"/>
        </w:rPr>
        <w:t>There is no reason to believe the RPM’s 50</w:t>
      </w:r>
      <w:r w:rsidR="006541CE" w:rsidRPr="0031151D">
        <w:rPr>
          <w:rFonts w:ascii="Calibri Light" w:hAnsi="Calibri Light" w:cs="Calibri Light"/>
          <w:color w:val="auto"/>
        </w:rPr>
        <w:t>:</w:t>
      </w:r>
      <w:r w:rsidRPr="0031151D">
        <w:rPr>
          <w:rFonts w:ascii="Calibri Light" w:hAnsi="Calibri Light" w:cs="Calibri Light"/>
          <w:color w:val="auto"/>
        </w:rPr>
        <w:t>50 profit split genuinely reflects an economically valid allocation of risks between upstream and downstream business units.</w:t>
      </w:r>
      <w:r w:rsidRPr="0031151D">
        <w:rPr>
          <w:rStyle w:val="FootnoteReference"/>
          <w:rFonts w:ascii="Calibri Light" w:hAnsi="Calibri Light" w:cs="Calibri Light"/>
          <w:color w:val="auto"/>
        </w:rPr>
        <w:footnoteReference w:id="39"/>
      </w:r>
    </w:p>
    <w:p w14:paraId="09C8A082" w14:textId="08B8165B" w:rsidR="00C3487D" w:rsidRDefault="00C3487D" w:rsidP="00C3487D">
      <w:r>
        <w:t>Non-industry stakeholders also considered that a netback-only pricing methodology would facilitate greater transparency and thereby enhance integrity of the PRRT.</w:t>
      </w:r>
      <w:r w:rsidR="00F9029E">
        <w:t xml:space="preserve"> </w:t>
      </w:r>
      <w:r>
        <w:t xml:space="preserve">This would provide assurance to the Australian community that they are getting a fair return, noting </w:t>
      </w:r>
      <w:r w:rsidR="00BD39EA">
        <w:t xml:space="preserve">the </w:t>
      </w:r>
      <w:r>
        <w:t xml:space="preserve">PRRT’s vulnerability to profit shifting and transfer mispricing. </w:t>
      </w:r>
    </w:p>
    <w:p w14:paraId="70C23F6A" w14:textId="2524D5AC" w:rsidR="00C3487D" w:rsidRPr="0031151D" w:rsidRDefault="00C3487D" w:rsidP="0031151D">
      <w:pPr>
        <w:pStyle w:val="Quote"/>
        <w:jc w:val="center"/>
        <w:rPr>
          <w:rFonts w:ascii="Calibri Light" w:hAnsi="Calibri Light" w:cs="Calibri Light"/>
          <w:color w:val="auto"/>
        </w:rPr>
      </w:pPr>
      <w:r w:rsidRPr="0031151D">
        <w:rPr>
          <w:rFonts w:ascii="Calibri Light" w:hAnsi="Calibri Light" w:cs="Calibri Light"/>
          <w:color w:val="auto"/>
        </w:rPr>
        <w:t>Much needed reform of the current transfer pricing rules has the potential to generate a significant increase in PRRT revenue and boost public confidence in the probity and effectiveness of the system without compromising the [oil and gas] sector’s competitiveness or investor confidence.</w:t>
      </w:r>
      <w:r w:rsidRPr="0031151D">
        <w:rPr>
          <w:rStyle w:val="FootnoteReference"/>
          <w:rFonts w:ascii="Calibri Light" w:hAnsi="Calibri Light" w:cs="Calibri Light"/>
          <w:color w:val="auto"/>
        </w:rPr>
        <w:t xml:space="preserve"> </w:t>
      </w:r>
      <w:r w:rsidRPr="0031151D">
        <w:rPr>
          <w:rStyle w:val="FootnoteReference"/>
          <w:rFonts w:ascii="Calibri Light" w:hAnsi="Calibri Light" w:cs="Calibri Light"/>
          <w:color w:val="auto"/>
        </w:rPr>
        <w:footnoteReference w:id="40"/>
      </w:r>
    </w:p>
    <w:p w14:paraId="3BABF77D" w14:textId="125F0F1A" w:rsidR="00C3487D" w:rsidRDefault="00C3487D" w:rsidP="00C54976">
      <w:r>
        <w:t xml:space="preserve">One </w:t>
      </w:r>
      <w:r w:rsidR="00215254">
        <w:t>non-industry</w:t>
      </w:r>
      <w:r>
        <w:t xml:space="preserve"> submission advocated to shift the taxing point</w:t>
      </w:r>
      <w:r w:rsidR="008E5B5B">
        <w:t>,</w:t>
      </w:r>
      <w:r>
        <w:t xml:space="preserve"> so it aligned with an arm’s length sale of LNG, noting the interdependent and integrated nature of the product.</w:t>
      </w:r>
      <w:r>
        <w:rPr>
          <w:rStyle w:val="FootnoteReference"/>
        </w:rPr>
        <w:footnoteReference w:id="41"/>
      </w:r>
    </w:p>
    <w:p w14:paraId="1114D346" w14:textId="077752B0" w:rsidR="005C5ABC" w:rsidRDefault="0082406C" w:rsidP="00C54976">
      <w:r>
        <w:t xml:space="preserve">The point was made </w:t>
      </w:r>
      <w:r w:rsidR="000611D3">
        <w:t xml:space="preserve">that pressure on the Government to change the </w:t>
      </w:r>
      <w:r w:rsidR="00D1791C">
        <w:t>GTP Regulation</w:t>
      </w:r>
      <w:r w:rsidR="00D523A8">
        <w:t xml:space="preserve"> </w:t>
      </w:r>
      <w:r w:rsidR="000611D3">
        <w:t>will remain for as long as t</w:t>
      </w:r>
      <w:r w:rsidR="00450A33">
        <w:t xml:space="preserve">he Australian community </w:t>
      </w:r>
      <w:r w:rsidR="000611D3">
        <w:t>lacks</w:t>
      </w:r>
      <w:r w:rsidR="00450A33">
        <w:t xml:space="preserve"> confidence </w:t>
      </w:r>
      <w:r w:rsidR="000611D3">
        <w:t xml:space="preserve">that </w:t>
      </w:r>
      <w:r w:rsidR="00DF64B1">
        <w:t>it is</w:t>
      </w:r>
      <w:r w:rsidR="00450A33">
        <w:t xml:space="preserve"> receiving a fair return from the use of its gas resources.</w:t>
      </w:r>
      <w:r w:rsidR="00D507DE">
        <w:t xml:space="preserve"> </w:t>
      </w:r>
      <w:r w:rsidR="00450A33">
        <w:t>In th</w:t>
      </w:r>
      <w:r w:rsidR="000611D3">
        <w:t xml:space="preserve">is </w:t>
      </w:r>
      <w:r w:rsidR="00450A33">
        <w:t xml:space="preserve">regard, it is argued that </w:t>
      </w:r>
      <w:r w:rsidR="000611D3">
        <w:t>GTP reforms</w:t>
      </w:r>
      <w:r w:rsidR="00450A33">
        <w:t xml:space="preserve"> </w:t>
      </w:r>
      <w:r w:rsidR="005537C4">
        <w:t xml:space="preserve">that </w:t>
      </w:r>
      <w:r w:rsidR="00084E6F">
        <w:t>ensure</w:t>
      </w:r>
      <w:r w:rsidR="000726C3">
        <w:t xml:space="preserve"> </w:t>
      </w:r>
      <w:r w:rsidR="005537C4">
        <w:t xml:space="preserve">a fairer and more transparent mechanism for allocating profits between the upstream and downstream activities </w:t>
      </w:r>
      <w:r w:rsidR="00450A33">
        <w:t xml:space="preserve">will enhance </w:t>
      </w:r>
      <w:r w:rsidR="003B44B7">
        <w:t xml:space="preserve">fiscal </w:t>
      </w:r>
      <w:r w:rsidR="00450A33">
        <w:t>stability for the oil and gas sector</w:t>
      </w:r>
      <w:r w:rsidR="003B44B7">
        <w:t xml:space="preserve"> </w:t>
      </w:r>
      <w:r w:rsidR="00A95E2F">
        <w:t>into the future</w:t>
      </w:r>
      <w:r w:rsidR="00450A33">
        <w:t>.</w:t>
      </w:r>
      <w:r w:rsidR="00065A67">
        <w:rPr>
          <w:rStyle w:val="FootnoteReference"/>
        </w:rPr>
        <w:footnoteReference w:id="42"/>
      </w:r>
      <w:r w:rsidR="00450A33">
        <w:t xml:space="preserve"> </w:t>
      </w:r>
    </w:p>
    <w:p w14:paraId="336B4B58" w14:textId="520E7E6C" w:rsidR="00884FB8" w:rsidRDefault="00C42C6A" w:rsidP="00C54976">
      <w:r>
        <w:lastRenderedPageBreak/>
        <w:t>One non</w:t>
      </w:r>
      <w:r w:rsidR="00215254">
        <w:t xml:space="preserve">-industry submission </w:t>
      </w:r>
      <w:r w:rsidR="00510B2E">
        <w:t xml:space="preserve">was </w:t>
      </w:r>
      <w:r w:rsidR="007468B5">
        <w:t xml:space="preserve">not supportive of </w:t>
      </w:r>
      <w:r w:rsidR="00F544A9">
        <w:t>change</w:t>
      </w:r>
      <w:r w:rsidR="000E10B6">
        <w:t>s</w:t>
      </w:r>
      <w:r w:rsidR="007E4C2F">
        <w:t xml:space="preserve"> </w:t>
      </w:r>
      <w:r w:rsidR="002A5277">
        <w:t xml:space="preserve">to the </w:t>
      </w:r>
      <w:r w:rsidR="00F10469">
        <w:t>RPM</w:t>
      </w:r>
      <w:r w:rsidR="002A5277">
        <w:t>.</w:t>
      </w:r>
      <w:r w:rsidR="002A5277">
        <w:rPr>
          <w:rStyle w:val="FootnoteReference"/>
        </w:rPr>
        <w:footnoteReference w:id="43"/>
      </w:r>
      <w:r w:rsidR="00F9029E">
        <w:t xml:space="preserve"> </w:t>
      </w:r>
    </w:p>
    <w:p w14:paraId="3D48A1D9" w14:textId="439B1C3D" w:rsidR="009E1DB0" w:rsidRDefault="00D507DE" w:rsidP="00C54976">
      <w:r>
        <w:t xml:space="preserve">By contrast, the </w:t>
      </w:r>
      <w:r w:rsidR="0078382F">
        <w:t xml:space="preserve">collective view of the industry </w:t>
      </w:r>
      <w:r w:rsidR="009D6D4D">
        <w:t xml:space="preserve">– </w:t>
      </w:r>
      <w:r w:rsidR="004C0DD1">
        <w:t>larg</w:t>
      </w:r>
      <w:r w:rsidR="001B53E9">
        <w:t>ely</w:t>
      </w:r>
      <w:r w:rsidR="00A95E2F">
        <w:t xml:space="preserve"> </w:t>
      </w:r>
      <w:r w:rsidR="00992330">
        <w:t>maintained</w:t>
      </w:r>
      <w:r w:rsidR="009D6D4D">
        <w:t xml:space="preserve"> </w:t>
      </w:r>
      <w:r w:rsidR="00992330">
        <w:t>throughout</w:t>
      </w:r>
      <w:r w:rsidR="009D6D4D">
        <w:t xml:space="preserve"> </w:t>
      </w:r>
      <w:r w:rsidR="00A95E2F">
        <w:t>all PRRT</w:t>
      </w:r>
      <w:r w:rsidR="009D6D4D">
        <w:t xml:space="preserve"> consultative processes</w:t>
      </w:r>
      <w:r w:rsidR="00A95E2F">
        <w:t>, beginning</w:t>
      </w:r>
      <w:r w:rsidR="009D6D4D">
        <w:t xml:space="preserve"> with the Callaghan Review –</w:t>
      </w:r>
      <w:r w:rsidR="003B44B7">
        <w:t xml:space="preserve"> is</w:t>
      </w:r>
      <w:r w:rsidR="009D6D4D">
        <w:t xml:space="preserve"> </w:t>
      </w:r>
      <w:r w:rsidR="000F19DB">
        <w:t xml:space="preserve">that the </w:t>
      </w:r>
      <w:r w:rsidR="00D1791C">
        <w:t>GTP Regulation</w:t>
      </w:r>
      <w:r w:rsidR="002F3165">
        <w:t xml:space="preserve"> </w:t>
      </w:r>
      <w:r w:rsidR="00CB4836">
        <w:t>is</w:t>
      </w:r>
      <w:r w:rsidR="00E17BCD">
        <w:t xml:space="preserve"> working as intended and remain</w:t>
      </w:r>
      <w:r w:rsidR="009906C7">
        <w:t>s</w:t>
      </w:r>
      <w:r w:rsidR="00BC0E4B">
        <w:t xml:space="preserve"> best practice for the industry</w:t>
      </w:r>
      <w:r w:rsidR="00E17BCD">
        <w:t>.</w:t>
      </w:r>
      <w:r w:rsidR="007F668B">
        <w:t xml:space="preserve"> </w:t>
      </w:r>
      <w:r w:rsidR="009D0CA3">
        <w:t>Submissions from industry representatives</w:t>
      </w:r>
      <w:r w:rsidR="004059F9">
        <w:t>,</w:t>
      </w:r>
      <w:r w:rsidR="009D0CA3">
        <w:t xml:space="preserve"> such as APPEA</w:t>
      </w:r>
      <w:r w:rsidR="004059F9">
        <w:t>,</w:t>
      </w:r>
      <w:r w:rsidR="009D0CA3">
        <w:t xml:space="preserve"> </w:t>
      </w:r>
      <w:r w:rsidR="00F9231E">
        <w:t>called att</w:t>
      </w:r>
      <w:r w:rsidR="00EC56ED">
        <w:t>ention to</w:t>
      </w:r>
      <w:r w:rsidR="00432DF3">
        <w:t xml:space="preserve"> </w:t>
      </w:r>
      <w:r w:rsidR="001F1EAA">
        <w:t>the 1998 Report by former accounting firm Arthur Andersen</w:t>
      </w:r>
      <w:r w:rsidR="00BF6DF6">
        <w:t xml:space="preserve"> and </w:t>
      </w:r>
      <w:r w:rsidR="00C66CB2">
        <w:t>the</w:t>
      </w:r>
      <w:r w:rsidR="000F19DB">
        <w:t xml:space="preserve"> </w:t>
      </w:r>
      <w:r w:rsidR="00DB18EE">
        <w:t xml:space="preserve">co-design </w:t>
      </w:r>
      <w:r w:rsidR="000F19DB">
        <w:t>process between government</w:t>
      </w:r>
      <w:r w:rsidR="00123A0E">
        <w:t xml:space="preserve"> and the</w:t>
      </w:r>
      <w:r w:rsidR="000F19DB">
        <w:t xml:space="preserve"> industry </w:t>
      </w:r>
      <w:r w:rsidR="00C66CB2">
        <w:t>that followed.</w:t>
      </w:r>
      <w:r w:rsidR="000F19DB">
        <w:t xml:space="preserve"> </w:t>
      </w:r>
    </w:p>
    <w:p w14:paraId="76D75680" w14:textId="1AF3950E" w:rsidR="007E149D" w:rsidRDefault="009E1DB0" w:rsidP="00C54976">
      <w:r>
        <w:t>Industry contends that the conclusions a</w:t>
      </w:r>
      <w:r w:rsidR="006E18BD">
        <w:t xml:space="preserve">nd analysis outlined in the 1998 Report </w:t>
      </w:r>
      <w:r w:rsidR="007E149D">
        <w:t xml:space="preserve">still form a sound basis for the </w:t>
      </w:r>
      <w:r w:rsidR="00D1791C">
        <w:t>GTP Regulation</w:t>
      </w:r>
      <w:r w:rsidR="007E149D">
        <w:t xml:space="preserve"> 20 years on</w:t>
      </w:r>
      <w:r w:rsidR="00C64FD6">
        <w:t>, particularly the RPM</w:t>
      </w:r>
      <w:r w:rsidR="00D67F48">
        <w:t xml:space="preserve"> and residual profit-splitting methodology.</w:t>
      </w:r>
      <w:r w:rsidR="004815AB">
        <w:t xml:space="preserve"> APPEA submitted:</w:t>
      </w:r>
    </w:p>
    <w:p w14:paraId="78DF6542" w14:textId="51B4F0A7" w:rsidR="00247225" w:rsidRPr="0031151D" w:rsidRDefault="004815AB" w:rsidP="0031151D">
      <w:pPr>
        <w:pStyle w:val="Quote"/>
        <w:jc w:val="center"/>
        <w:rPr>
          <w:rFonts w:ascii="Calibri Light" w:hAnsi="Calibri Light" w:cs="Calibri Light"/>
          <w:color w:val="auto"/>
        </w:rPr>
      </w:pPr>
      <w:r w:rsidRPr="0031151D">
        <w:rPr>
          <w:rFonts w:ascii="Calibri Light" w:hAnsi="Calibri Light" w:cs="Calibri Light"/>
          <w:color w:val="auto"/>
        </w:rPr>
        <w:t>The residual profit split of 50</w:t>
      </w:r>
      <w:r w:rsidR="006541CE" w:rsidRPr="0031151D">
        <w:rPr>
          <w:rFonts w:ascii="Calibri Light" w:hAnsi="Calibri Light" w:cs="Calibri Light"/>
          <w:color w:val="auto"/>
        </w:rPr>
        <w:t>:</w:t>
      </w:r>
      <w:r w:rsidRPr="0031151D">
        <w:rPr>
          <w:rFonts w:ascii="Calibri Light" w:hAnsi="Calibri Light" w:cs="Calibri Light"/>
          <w:color w:val="auto"/>
        </w:rPr>
        <w:t>50 remains the most equitable and balanced approach to the sharing of residual profits (assuming such profits exist). The split reflects the integrated nature of many LNG projects and the fact that risks are inherent in both the upstream and downstream phases of such projects.</w:t>
      </w:r>
      <w:r w:rsidR="007E6DD2" w:rsidRPr="0031151D">
        <w:rPr>
          <w:rStyle w:val="FootnoteReference"/>
          <w:rFonts w:ascii="Calibri Light" w:hAnsi="Calibri Light" w:cs="Calibri Light"/>
          <w:color w:val="auto"/>
        </w:rPr>
        <w:t xml:space="preserve"> </w:t>
      </w:r>
      <w:r w:rsidR="007E6DD2" w:rsidRPr="0031151D">
        <w:rPr>
          <w:rStyle w:val="FootnoteReference"/>
          <w:rFonts w:ascii="Calibri Light" w:hAnsi="Calibri Light" w:cs="Calibri Light"/>
          <w:color w:val="auto"/>
        </w:rPr>
        <w:footnoteReference w:id="44"/>
      </w:r>
    </w:p>
    <w:p w14:paraId="7CB4F6F7" w14:textId="77777777" w:rsidR="00A47200" w:rsidRPr="0031151D" w:rsidRDefault="00A47200" w:rsidP="0031151D">
      <w:pPr>
        <w:pStyle w:val="Quote"/>
        <w:ind w:left="720"/>
        <w:jc w:val="center"/>
        <w:rPr>
          <w:rFonts w:ascii="Calibri Light" w:hAnsi="Calibri Light" w:cs="Calibri Light"/>
          <w:color w:val="auto"/>
        </w:rPr>
      </w:pPr>
      <w:r w:rsidRPr="0031151D">
        <w:rPr>
          <w:rFonts w:ascii="Calibri Light" w:hAnsi="Calibri Light" w:cs="Calibri Light"/>
          <w:color w:val="auto"/>
        </w:rPr>
        <w:t>A key threshold question related to the allocation of rent between the upstream and downstream segments of an integrated project […] the PRRT is designed to only tax rents up to the point where a marketable petroleum commodity is deemed to exist (that is, it is a tax on the underlying resource).While this is broadly achieved within the mechanics of the PRRT legislation by denying taxpayers the ability to deduct costs incurred after the taxing point, it is also necessary to ensure that the price at the taxing point reflects the correct allocation of rents.</w:t>
      </w:r>
      <w:r w:rsidRPr="0031151D">
        <w:rPr>
          <w:rStyle w:val="FootnoteReference"/>
          <w:rFonts w:ascii="Calibri Light" w:hAnsi="Calibri Light" w:cs="Calibri Light"/>
          <w:color w:val="auto"/>
        </w:rPr>
        <w:footnoteReference w:id="45"/>
      </w:r>
    </w:p>
    <w:p w14:paraId="3C09FF68" w14:textId="73BD6E48" w:rsidR="00217286" w:rsidRDefault="0033713B" w:rsidP="00C54976">
      <w:r>
        <w:t>Industry participants</w:t>
      </w:r>
      <w:r w:rsidR="00A47200">
        <w:t xml:space="preserve"> acknowledged the arbitrary nature of the 50:50 profit-split</w:t>
      </w:r>
      <w:r w:rsidR="0072365C">
        <w:t xml:space="preserve"> </w:t>
      </w:r>
      <w:r w:rsidR="005C7003">
        <w:t xml:space="preserve">and </w:t>
      </w:r>
      <w:r w:rsidR="0017164B">
        <w:t>its asymmetric application to</w:t>
      </w:r>
      <w:r w:rsidR="007B030C">
        <w:t xml:space="preserve"> a notional loss</w:t>
      </w:r>
      <w:r w:rsidR="00A47200">
        <w:t xml:space="preserve">, </w:t>
      </w:r>
      <w:r w:rsidR="0016512A">
        <w:t xml:space="preserve">but </w:t>
      </w:r>
      <w:r w:rsidR="00A47200">
        <w:t>proposed that it nonetheless constituted a ‘a workable solution to calculating proxy transfer prices in line with the PRRT legislation’</w:t>
      </w:r>
      <w:r w:rsidR="00A47200">
        <w:rPr>
          <w:rStyle w:val="FootnoteReference"/>
        </w:rPr>
        <w:footnoteReference w:id="46"/>
      </w:r>
      <w:r w:rsidR="00A47200">
        <w:t xml:space="preserve"> and should be retained on that basis. </w:t>
      </w:r>
      <w:r w:rsidR="00217286">
        <w:t>P</w:t>
      </w:r>
      <w:r w:rsidR="005019D2">
        <w:t>w</w:t>
      </w:r>
      <w:r w:rsidR="00217286">
        <w:t>C submitted that the general complexity associated with applying transfer pricing principles means that the existing RPM is the method that ‘provides the greatest transparency and simplicity for what is a complicated issue’.</w:t>
      </w:r>
      <w:r w:rsidR="00217286">
        <w:rPr>
          <w:rStyle w:val="FootnoteReference"/>
        </w:rPr>
        <w:footnoteReference w:id="47"/>
      </w:r>
    </w:p>
    <w:p w14:paraId="57C4328B" w14:textId="4B294CD1" w:rsidR="004358C6" w:rsidRDefault="004358C6" w:rsidP="00C54976">
      <w:r>
        <w:t>Both MIMI</w:t>
      </w:r>
      <w:r>
        <w:rPr>
          <w:rStyle w:val="FootnoteReference"/>
        </w:rPr>
        <w:footnoteReference w:id="48"/>
      </w:r>
      <w:r>
        <w:t xml:space="preserve"> and Shell</w:t>
      </w:r>
      <w:r>
        <w:rPr>
          <w:rStyle w:val="FootnoteReference"/>
        </w:rPr>
        <w:footnoteReference w:id="49"/>
      </w:r>
      <w:r>
        <w:t xml:space="preserve"> submitted that the </w:t>
      </w:r>
      <w:r w:rsidR="00D1791C">
        <w:t>GTP Regulation</w:t>
      </w:r>
      <w:r>
        <w:t xml:space="preserve"> </w:t>
      </w:r>
      <w:r w:rsidR="007B653C">
        <w:t>is</w:t>
      </w:r>
      <w:r>
        <w:t xml:space="preserve"> working as intended and remain</w:t>
      </w:r>
      <w:r w:rsidR="00ED55C7">
        <w:t>s</w:t>
      </w:r>
      <w:r>
        <w:t xml:space="preserve"> appropriate for existing and future projects. Woodside submitted that the existing </w:t>
      </w:r>
      <w:r w:rsidR="00D1791C">
        <w:t>GTP Regulation</w:t>
      </w:r>
      <w:r>
        <w:t xml:space="preserve"> </w:t>
      </w:r>
      <w:r w:rsidR="007B653C">
        <w:t>has</w:t>
      </w:r>
      <w:r>
        <w:t xml:space="preserve"> provided certainty for industry and have underpinned the record levels of investment in Australian LNG projects.</w:t>
      </w:r>
      <w:r>
        <w:rPr>
          <w:rStyle w:val="FootnoteReference"/>
        </w:rPr>
        <w:footnoteReference w:id="50"/>
      </w:r>
    </w:p>
    <w:p w14:paraId="1CD3E261" w14:textId="77777777" w:rsidR="004358C6" w:rsidRDefault="004358C6" w:rsidP="004358C6">
      <w:r>
        <w:t>Industry supported the proposition put forward in the 1998 Arthur Andersen Report that the gas itself is worth little without a mechanism to get it to market (through liquefaction), and the processing infrastructure is worth little without access to a large and sustainable supply of cost-effective gas.</w:t>
      </w:r>
      <w:r>
        <w:rPr>
          <w:rStyle w:val="FootnoteReference"/>
        </w:rPr>
        <w:footnoteReference w:id="51"/>
      </w:r>
      <w:r>
        <w:t xml:space="preserve"> </w:t>
      </w:r>
    </w:p>
    <w:p w14:paraId="0E8DB8E3" w14:textId="77777777" w:rsidR="0031151D" w:rsidRDefault="0031151D" w:rsidP="004358C6"/>
    <w:p w14:paraId="748455D9" w14:textId="77777777" w:rsidR="0031151D" w:rsidRDefault="0031151D" w:rsidP="004358C6"/>
    <w:p w14:paraId="07A05B97" w14:textId="77777777" w:rsidR="004358C6" w:rsidRDefault="004358C6" w:rsidP="004358C6">
      <w:r>
        <w:lastRenderedPageBreak/>
        <w:t xml:space="preserve">For instance, MIMI submitted: </w:t>
      </w:r>
    </w:p>
    <w:p w14:paraId="2DE653BF" w14:textId="77777777" w:rsidR="004358C6" w:rsidRPr="0031151D" w:rsidRDefault="004358C6" w:rsidP="0031151D">
      <w:pPr>
        <w:pStyle w:val="Quote"/>
        <w:jc w:val="center"/>
        <w:rPr>
          <w:rFonts w:ascii="Calibri Light" w:hAnsi="Calibri Light" w:cs="Calibri Light"/>
          <w:color w:val="auto"/>
        </w:rPr>
      </w:pPr>
      <w:r w:rsidRPr="0031151D">
        <w:rPr>
          <w:rFonts w:ascii="Calibri Light" w:hAnsi="Calibri Light" w:cs="Calibri Light"/>
          <w:color w:val="auto"/>
        </w:rPr>
        <w:t>The risk sharing and interrelationship of the upstream and downstream portion of integrated projects is a key characteristic of LNG production. The gas has limited commercial value without access to a market, and the significant operational excellence and intellectual property brought to the downstream portion of LNG production creates the opportunity to market that gas (via liquefaction). Conversely, the processing operations are worth little without a significant and reliable source of feedstock gas.</w:t>
      </w:r>
      <w:r w:rsidRPr="0031151D">
        <w:rPr>
          <w:rStyle w:val="FootnoteReference"/>
          <w:rFonts w:ascii="Calibri Light" w:hAnsi="Calibri Light" w:cs="Calibri Light"/>
          <w:color w:val="auto"/>
        </w:rPr>
        <w:footnoteReference w:id="52"/>
      </w:r>
    </w:p>
    <w:p w14:paraId="51563747" w14:textId="7B567A97" w:rsidR="00A47200" w:rsidRDefault="00A47200" w:rsidP="00A47200">
      <w:r>
        <w:t>Industry’s view is therefore that value is created at all steps in an integrated project, and that any attempt to allocate any value-creation and risk drivers to different parts of the supply chain would be ‘conceptually flawed’.</w:t>
      </w:r>
      <w:r>
        <w:rPr>
          <w:rStyle w:val="FootnoteReference"/>
        </w:rPr>
        <w:footnoteReference w:id="53"/>
      </w:r>
      <w:r w:rsidR="00196231">
        <w:t xml:space="preserve"> </w:t>
      </w:r>
      <w:r>
        <w:t xml:space="preserve">Industry argues that there is no evidence available to underpin any </w:t>
      </w:r>
      <w:r w:rsidR="00196231">
        <w:t>rationale for</w:t>
      </w:r>
      <w:r>
        <w:t xml:space="preserve"> change. </w:t>
      </w:r>
    </w:p>
    <w:p w14:paraId="05E11D42" w14:textId="1BC8A05C" w:rsidR="002A0F0F" w:rsidRDefault="00142A5F" w:rsidP="004E5E30">
      <w:r>
        <w:t xml:space="preserve">The unanimous view of industry was that the </w:t>
      </w:r>
      <w:r w:rsidR="002A0F0F">
        <w:t xml:space="preserve">adoption of a netback only approach in the </w:t>
      </w:r>
      <w:r w:rsidR="00D1791C">
        <w:t>GTP Regulation</w:t>
      </w:r>
      <w:r w:rsidR="002A0F0F">
        <w:t xml:space="preserve"> </w:t>
      </w:r>
      <w:r>
        <w:t>w</w:t>
      </w:r>
      <w:r w:rsidR="002A0F0F">
        <w:t xml:space="preserve">ould have </w:t>
      </w:r>
      <w:r w:rsidR="0055569D" w:rsidRPr="009A095A">
        <w:t>detrimental</w:t>
      </w:r>
      <w:r w:rsidR="0055569D">
        <w:t xml:space="preserve"> </w:t>
      </w:r>
      <w:r w:rsidR="002A0F0F">
        <w:t xml:space="preserve">impacts on future investment, including with respect to increases in supply costs and attraction of project capital. </w:t>
      </w:r>
      <w:r w:rsidR="00133640">
        <w:t xml:space="preserve">Industry participants who considered </w:t>
      </w:r>
      <w:r w:rsidR="000F7613">
        <w:t xml:space="preserve">modifying the RPM by revising the </w:t>
      </w:r>
      <w:r w:rsidR="005B4C86">
        <w:t xml:space="preserve">50:50 </w:t>
      </w:r>
      <w:r w:rsidR="000F7613">
        <w:t xml:space="preserve">profit split to 80:20 </w:t>
      </w:r>
      <w:r w:rsidR="00343D22">
        <w:t xml:space="preserve">preferred this option over the netback only approach, </w:t>
      </w:r>
      <w:r w:rsidR="00393E3A">
        <w:t>noting</w:t>
      </w:r>
      <w:r w:rsidR="002A0F0F">
        <w:t xml:space="preserve"> concerns that a netback only approach would not appropriately reward contributions from the downstream. </w:t>
      </w:r>
      <w:r w:rsidR="009166F1">
        <w:t>It was noted, however,</w:t>
      </w:r>
      <w:r w:rsidR="00533C7C">
        <w:t xml:space="preserve"> </w:t>
      </w:r>
      <w:r w:rsidR="009166F1">
        <w:t xml:space="preserve">that </w:t>
      </w:r>
      <w:r w:rsidR="00533C7C">
        <w:t xml:space="preserve">modifying the RPM to 80:20 </w:t>
      </w:r>
      <w:r w:rsidR="009657F0">
        <w:t>could still</w:t>
      </w:r>
      <w:r w:rsidR="009166F1">
        <w:t xml:space="preserve"> curtail investment</w:t>
      </w:r>
      <w:r w:rsidR="002812F0">
        <w:t xml:space="preserve"> given the sensitivity of new projects to </w:t>
      </w:r>
      <w:r w:rsidR="0091466F">
        <w:t>PRRT changes, as</w:t>
      </w:r>
      <w:r w:rsidR="000D1B54">
        <w:t xml:space="preserve"> discussed further below. </w:t>
      </w:r>
      <w:r w:rsidR="009166F1">
        <w:t xml:space="preserve"> </w:t>
      </w:r>
    </w:p>
    <w:p w14:paraId="282C1C7C" w14:textId="2F745C97" w:rsidR="002A0F0F" w:rsidRDefault="002A0F0F" w:rsidP="004E5E30">
      <w:r>
        <w:t>Submissions also noted the relationship between commodity prices and PRRT payable. For instance, MIMI submitted that current low PRRT receipts are not attributable to an inappropriate gas transfer pricing mechanism but are instead ‘due to both the relatively</w:t>
      </w:r>
      <w:r w:rsidDel="00A6192A">
        <w:t xml:space="preserve"> </w:t>
      </w:r>
      <w:r>
        <w:t>low commodity prices in recent years, and the early stage of the lifecycle of many of Australia’s LNG</w:t>
      </w:r>
      <w:r w:rsidR="004B376B">
        <w:t xml:space="preserve"> projects</w:t>
      </w:r>
      <w:r w:rsidR="003378E2">
        <w:t>’</w:t>
      </w:r>
      <w:r>
        <w:t>.</w:t>
      </w:r>
      <w:r>
        <w:rPr>
          <w:rStyle w:val="FootnoteReference"/>
        </w:rPr>
        <w:footnoteReference w:id="54"/>
      </w:r>
    </w:p>
    <w:p w14:paraId="73938C09" w14:textId="5FE3D55E" w:rsidR="00A47200" w:rsidRDefault="002A0F0F" w:rsidP="00A47200">
      <w:r>
        <w:t xml:space="preserve">Industry also noted that the PRRT was a secondary tax and considered a significant tax contribution would be provided from projects through corporate tax. They considered that the combined effects of corporate tax and PRRT, as well as other factors, meant Australia was a </w:t>
      </w:r>
      <w:r w:rsidR="00D316AC">
        <w:t>high-cost</w:t>
      </w:r>
      <w:r>
        <w:t xml:space="preserve"> country in which to invest and if projects did not go ahead, not only would Australia lose </w:t>
      </w:r>
      <w:r w:rsidR="00DC02E2">
        <w:t xml:space="preserve">revenue from </w:t>
      </w:r>
      <w:r>
        <w:t>PRRT but corporate tax as well.</w:t>
      </w:r>
      <w:r w:rsidR="00DC02E2">
        <w:t xml:space="preserve"> </w:t>
      </w:r>
      <w:r w:rsidR="00EF7453">
        <w:t>Industry also highlighted the further risks to future domestic supply</w:t>
      </w:r>
      <w:r w:rsidR="00614D4C">
        <w:t xml:space="preserve">, particularly for WA, should </w:t>
      </w:r>
      <w:r w:rsidR="00B30818">
        <w:t>new projects not proceed.</w:t>
      </w:r>
    </w:p>
    <w:p w14:paraId="7E702F06" w14:textId="795548CD" w:rsidR="00A47200" w:rsidRDefault="00A47200" w:rsidP="00A47200">
      <w:r>
        <w:t xml:space="preserve">Industry </w:t>
      </w:r>
      <w:r w:rsidR="00E72B3E">
        <w:t xml:space="preserve">argued </w:t>
      </w:r>
      <w:r>
        <w:t xml:space="preserve">that </w:t>
      </w:r>
      <w:r w:rsidR="006E64FC">
        <w:t>replacing the RPM with</w:t>
      </w:r>
      <w:r>
        <w:t xml:space="preserve"> a netback method would represent a fundamental shift in scope of the PRRT as it would have the effect of levying PRRT on the value-adding contributions of the downstream activities – tantamount to imposing a new tax on downstream activities. Moving to a netback dismisses the contribution of the downstream activities whereas value is created at every stage of the LNG process and economic rent cannot be assigned to any particular stage. It was also noted that moving away from a predictable self-assessment mechanism would result in additional compliance and substantiation issues. </w:t>
      </w:r>
    </w:p>
    <w:p w14:paraId="42456EA7" w14:textId="0257CCBE" w:rsidR="000F19DB" w:rsidRPr="0031151D" w:rsidRDefault="00A47200" w:rsidP="004F371E">
      <w:r w:rsidRPr="0031151D">
        <w:t xml:space="preserve">Industry views on the components of the RPM that raise issues are set out further as part of the analysis </w:t>
      </w:r>
      <w:r w:rsidR="00E46F20" w:rsidRPr="0031151D">
        <w:t>in</w:t>
      </w:r>
      <w:r w:rsidR="00EA6E6D" w:rsidRPr="0031151D">
        <w:t xml:space="preserve"> </w:t>
      </w:r>
      <w:r w:rsidR="00E46F20" w:rsidRPr="0031151D">
        <w:t>section 6.2 below</w:t>
      </w:r>
      <w:r w:rsidRPr="0031151D">
        <w:t>.</w:t>
      </w:r>
    </w:p>
    <w:p w14:paraId="0B1E3DA3" w14:textId="04F6FC0C" w:rsidR="00B90A15" w:rsidRDefault="00B90A15" w:rsidP="009B6048">
      <w:pPr>
        <w:pStyle w:val="Heading3"/>
      </w:pPr>
      <w:r>
        <w:lastRenderedPageBreak/>
        <w:t>Effect of change on LNG Investment</w:t>
      </w:r>
    </w:p>
    <w:p w14:paraId="00642D06" w14:textId="6D5A3B73" w:rsidR="00F771EF" w:rsidRDefault="00B800D3" w:rsidP="004E5E30">
      <w:r>
        <w:t xml:space="preserve">The unanimous view of </w:t>
      </w:r>
      <w:r w:rsidR="001D05A1">
        <w:t xml:space="preserve">industry </w:t>
      </w:r>
      <w:r w:rsidR="00762586">
        <w:t xml:space="preserve">was </w:t>
      </w:r>
      <w:r w:rsidR="001D05A1">
        <w:t xml:space="preserve">that any changes to the </w:t>
      </w:r>
      <w:r w:rsidR="00D1791C">
        <w:t>GTP Regulation</w:t>
      </w:r>
      <w:r w:rsidR="00E31F3C">
        <w:t xml:space="preserve"> </w:t>
      </w:r>
      <w:r w:rsidR="001D05A1">
        <w:t>would have significant impacts on future investment in Australian LNG projects</w:t>
      </w:r>
      <w:r w:rsidR="00557637">
        <w:t xml:space="preserve">, with some projects </w:t>
      </w:r>
      <w:r w:rsidR="00F771EF">
        <w:t>potentially</w:t>
      </w:r>
      <w:r w:rsidR="008403A6">
        <w:t xml:space="preserve"> being</w:t>
      </w:r>
      <w:r w:rsidR="00F771EF">
        <w:t xml:space="preserve"> discouraged from proceeding.</w:t>
      </w:r>
    </w:p>
    <w:p w14:paraId="03BE9F01" w14:textId="77777777" w:rsidR="008555F7" w:rsidRPr="0031151D" w:rsidRDefault="008555F7" w:rsidP="0031151D">
      <w:pPr>
        <w:pStyle w:val="Quote"/>
        <w:jc w:val="center"/>
        <w:rPr>
          <w:rFonts w:ascii="Calibri Light" w:hAnsi="Calibri Light" w:cs="Calibri Light"/>
          <w:color w:val="auto"/>
        </w:rPr>
      </w:pPr>
      <w:r w:rsidRPr="0031151D">
        <w:rPr>
          <w:rFonts w:ascii="Calibri Light" w:hAnsi="Calibri Light" w:cs="Calibri Light"/>
          <w:color w:val="auto"/>
        </w:rPr>
        <w:t>Any structural change in approach to integrated LNG taxation which negatively impacts project economics or increases administrative burden, could derail the progress to final investment decision of a number of new LNG projects in Australia.</w:t>
      </w:r>
      <w:r w:rsidRPr="0031151D">
        <w:rPr>
          <w:rStyle w:val="FootnoteReference"/>
          <w:rFonts w:ascii="Calibri Light" w:hAnsi="Calibri Light" w:cs="Calibri Light"/>
          <w:color w:val="auto"/>
        </w:rPr>
        <w:footnoteReference w:id="55"/>
      </w:r>
    </w:p>
    <w:p w14:paraId="42E6A9E0" w14:textId="77777777" w:rsidR="008555F7" w:rsidRPr="0031151D" w:rsidRDefault="008555F7" w:rsidP="0031151D">
      <w:pPr>
        <w:pStyle w:val="Quote"/>
        <w:jc w:val="center"/>
        <w:rPr>
          <w:rFonts w:ascii="Calibri Light" w:hAnsi="Calibri Light" w:cs="Calibri Light"/>
          <w:color w:val="auto"/>
        </w:rPr>
      </w:pPr>
      <w:r w:rsidRPr="0031151D">
        <w:rPr>
          <w:rFonts w:ascii="Calibri Light" w:hAnsi="Calibri Light" w:cs="Calibri Light"/>
          <w:color w:val="auto"/>
        </w:rPr>
        <w:t>A stable and neutral taxation regime is essential to encourage development of resources by allowing a return on investment commensurate with the risk of exploration and development. Adverse fiscal regime changes may discourage already challenging projects to remain undeveloped. MIMI is particularly keen to ensure that changes to the PRRT regime do not risk the economic viability of the Browse project.</w:t>
      </w:r>
      <w:r w:rsidRPr="0031151D">
        <w:rPr>
          <w:rStyle w:val="FootnoteReference"/>
          <w:rFonts w:ascii="Calibri Light" w:hAnsi="Calibri Light" w:cs="Calibri Light"/>
          <w:color w:val="auto"/>
        </w:rPr>
        <w:footnoteReference w:id="56"/>
      </w:r>
    </w:p>
    <w:p w14:paraId="6242FF4E" w14:textId="622AA7F5" w:rsidR="003223DF" w:rsidRDefault="00CB3C3D" w:rsidP="004E5E30">
      <w:r>
        <w:t xml:space="preserve">Comments on </w:t>
      </w:r>
      <w:r w:rsidR="00EB61A7">
        <w:t xml:space="preserve">the </w:t>
      </w:r>
      <w:r w:rsidR="00E66912" w:rsidDel="0002658C">
        <w:t xml:space="preserve">impact on investment </w:t>
      </w:r>
      <w:r>
        <w:t>were provided in the</w:t>
      </w:r>
      <w:r w:rsidR="00627FDA">
        <w:t xml:space="preserve"> context of </w:t>
      </w:r>
      <w:r>
        <w:t xml:space="preserve">an </w:t>
      </w:r>
      <w:r w:rsidR="00627FDA">
        <w:t xml:space="preserve">increasing </w:t>
      </w:r>
      <w:r w:rsidR="00447EC3">
        <w:t xml:space="preserve">trend towards </w:t>
      </w:r>
      <w:r w:rsidR="00F07760">
        <w:t xml:space="preserve">tolling and backfill projects (which use existing </w:t>
      </w:r>
      <w:r w:rsidR="002B0780">
        <w:t xml:space="preserve">liquefaction </w:t>
      </w:r>
      <w:r w:rsidR="00F07760">
        <w:t>infrastructure) rather than new greenfield projects</w:t>
      </w:r>
      <w:r w:rsidR="00BA5879">
        <w:t>.</w:t>
      </w:r>
      <w:r w:rsidR="008D0C9E">
        <w:t xml:space="preserve"> It was highlighted that the economics of such projects are likely to be more sensitive to PRRT changes (including to the GTP methodology) given their lower capital expenditure profiles</w:t>
      </w:r>
      <w:r w:rsidR="00F543C1">
        <w:t xml:space="preserve">, </w:t>
      </w:r>
      <w:r w:rsidR="008D0C9E">
        <w:t>and thus lower deductions</w:t>
      </w:r>
      <w:r w:rsidR="00F543C1">
        <w:t xml:space="preserve"> to offset assessable PRRT receipts</w:t>
      </w:r>
      <w:r w:rsidR="000B0A47">
        <w:t xml:space="preserve">. </w:t>
      </w:r>
      <w:r w:rsidR="00711B5C">
        <w:t xml:space="preserve">Industry argued that these projects </w:t>
      </w:r>
      <w:r w:rsidR="00C771ED">
        <w:t>are likely to pay earlier and materially higher PRRT amounts than the foundational major LNG projects</w:t>
      </w:r>
      <w:r w:rsidR="00447DA5">
        <w:t>.</w:t>
      </w:r>
      <w:r w:rsidR="00F9029E">
        <w:t xml:space="preserve"> </w:t>
      </w:r>
      <w:r w:rsidR="00447DA5">
        <w:t>B</w:t>
      </w:r>
      <w:r w:rsidR="005C63D8">
        <w:t xml:space="preserve">ut </w:t>
      </w:r>
      <w:r w:rsidR="00447DA5">
        <w:t>given tax, in</w:t>
      </w:r>
      <w:r w:rsidR="003C079B">
        <w:t>cluding</w:t>
      </w:r>
      <w:r w:rsidR="00992578">
        <w:t xml:space="preserve"> PRRT, makes up a larger proportion of costs for these projects, </w:t>
      </w:r>
      <w:r w:rsidR="00237627">
        <w:t xml:space="preserve">they </w:t>
      </w:r>
      <w:r w:rsidR="00560662">
        <w:t xml:space="preserve">would be put at risk if </w:t>
      </w:r>
      <w:r w:rsidR="00E43AE1">
        <w:t>GTP changes were made.</w:t>
      </w:r>
      <w:r w:rsidR="00F9029E">
        <w:t xml:space="preserve"> </w:t>
      </w:r>
    </w:p>
    <w:p w14:paraId="2E5BC99A" w14:textId="3FB6E477" w:rsidR="00636307" w:rsidRPr="006A713F" w:rsidRDefault="00636307" w:rsidP="00636307">
      <w:r w:rsidRPr="006A713F">
        <w:t xml:space="preserve">Independent industry analysts supported the view that, to the extent changes to the PRRT brought forward and/or increased expected PRRT payments, Australia would inevitably become a relatively less attractive country for </w:t>
      </w:r>
      <w:r w:rsidR="001D67FB">
        <w:t>fut</w:t>
      </w:r>
      <w:r w:rsidR="00754500">
        <w:t xml:space="preserve">ure </w:t>
      </w:r>
      <w:r w:rsidRPr="006A713F">
        <w:t xml:space="preserve">investment compared to other destinations. </w:t>
      </w:r>
      <w:r w:rsidR="00783FDA">
        <w:t>They noted</w:t>
      </w:r>
      <w:r w:rsidRPr="006A713F">
        <w:t xml:space="preserve"> PRRT changes would be coming on top of other significant policy changes</w:t>
      </w:r>
      <w:r w:rsidR="00035158">
        <w:t xml:space="preserve"> and</w:t>
      </w:r>
      <w:r w:rsidRPr="006A713F">
        <w:t xml:space="preserve"> while each policy change might be justified on its own, when taken cumulatively, they could be expected to have a</w:t>
      </w:r>
      <w:r w:rsidR="005539BC">
        <w:t>n</w:t>
      </w:r>
      <w:r w:rsidRPr="006A713F">
        <w:t xml:space="preserve"> impact</w:t>
      </w:r>
      <w:r w:rsidR="0012485E">
        <w:t xml:space="preserve"> on the investment climate</w:t>
      </w:r>
      <w:r w:rsidRPr="006A713F">
        <w:t xml:space="preserve">. </w:t>
      </w:r>
      <w:r w:rsidR="001406A0">
        <w:t>T</w:t>
      </w:r>
      <w:r w:rsidR="008F3460">
        <w:t xml:space="preserve">hey </w:t>
      </w:r>
      <w:r w:rsidR="00551317">
        <w:t>considered</w:t>
      </w:r>
      <w:r w:rsidR="000848B4">
        <w:t>, however, that</w:t>
      </w:r>
      <w:r w:rsidR="00365184">
        <w:t xml:space="preserve"> already sanctioned projects would still</w:t>
      </w:r>
      <w:r w:rsidR="00757612">
        <w:t xml:space="preserve"> </w:t>
      </w:r>
      <w:r w:rsidR="00365184">
        <w:t>be likely to proceed.</w:t>
      </w:r>
    </w:p>
    <w:p w14:paraId="4C700D51" w14:textId="7DC69FFA" w:rsidR="00636307" w:rsidRDefault="00A21529" w:rsidP="00636307">
      <w:r w:rsidRPr="006A713F">
        <w:t>Independent industry analysts</w:t>
      </w:r>
      <w:r w:rsidR="00636307" w:rsidRPr="006A713F">
        <w:t xml:space="preserve"> </w:t>
      </w:r>
      <w:r w:rsidR="001160B6">
        <w:t xml:space="preserve">also </w:t>
      </w:r>
      <w:r w:rsidR="00636307" w:rsidRPr="006A713F">
        <w:t>noted that the tax and regulatory environment are just some of the factors that contribute to whether a project goes ahead, and other factors were also important if not more so. The most important of these include the price of and demand for the project’s gas and expected project costs.</w:t>
      </w:r>
      <w:r w:rsidR="00DA57AD">
        <w:t xml:space="preserve"> </w:t>
      </w:r>
      <w:r w:rsidR="00605E52" w:rsidRPr="000D185C">
        <w:t xml:space="preserve">It was also noted that any additional impact on the investment climate for the LNG industry needs to be balanced against the fact that the PRRT is not </w:t>
      </w:r>
      <w:r w:rsidR="005C4879" w:rsidRPr="000D185C">
        <w:t xml:space="preserve">seen as </w:t>
      </w:r>
      <w:r w:rsidR="00605E52" w:rsidRPr="000D185C">
        <w:t>delivering for the Australian community.</w:t>
      </w:r>
    </w:p>
    <w:p w14:paraId="45F0E7CD" w14:textId="25044080" w:rsidR="00B90A15" w:rsidRDefault="00B90A15" w:rsidP="00B93DC7">
      <w:pPr>
        <w:pStyle w:val="Heading3"/>
      </w:pPr>
      <w:r>
        <w:t>Fitness of existing rules for future industry arrangements</w:t>
      </w:r>
      <w:r w:rsidR="008A2F53">
        <w:t xml:space="preserve"> </w:t>
      </w:r>
      <w:r w:rsidR="00F37C04">
        <w:t>(including tolling)</w:t>
      </w:r>
    </w:p>
    <w:p w14:paraId="429D4079" w14:textId="70DB6AFB" w:rsidR="00CA4B01" w:rsidRDefault="000A707E" w:rsidP="003C7C26">
      <w:r>
        <w:t>Community</w:t>
      </w:r>
      <w:r w:rsidR="00CA4B01">
        <w:t xml:space="preserve"> groups and academics were generally of the view that the existing PRRT settings, including the </w:t>
      </w:r>
      <w:r w:rsidR="00D1791C">
        <w:t>GTP Regulation</w:t>
      </w:r>
      <w:r w:rsidR="00CA4B01">
        <w:t>, are no longer fit-for-purpose</w:t>
      </w:r>
      <w:r>
        <w:t>.</w:t>
      </w:r>
      <w:r w:rsidR="000F34F9">
        <w:t xml:space="preserve"> </w:t>
      </w:r>
    </w:p>
    <w:p w14:paraId="63CEF5DA" w14:textId="0AAE577E" w:rsidR="001729D0" w:rsidRDefault="00A934C6" w:rsidP="009A39BA">
      <w:r>
        <w:lastRenderedPageBreak/>
        <w:t>T</w:t>
      </w:r>
      <w:r w:rsidR="00721DEF">
        <w:t xml:space="preserve">he </w:t>
      </w:r>
      <w:r w:rsidR="003A31B5">
        <w:t xml:space="preserve">Tax </w:t>
      </w:r>
      <w:r w:rsidR="009C3824">
        <w:t>Justice Networ</w:t>
      </w:r>
      <w:r w:rsidR="00E616D4">
        <w:t xml:space="preserve">k – Australia </w:t>
      </w:r>
      <w:r w:rsidR="00F91F8E">
        <w:t xml:space="preserve">submitted that </w:t>
      </w:r>
      <w:r w:rsidR="00ED4CC5">
        <w:t>‘a fair and fundamental change to the gas transfer pricing arrangements for current and future projects would enhance regulatory security and stability for the oil and gas sector.’</w:t>
      </w:r>
      <w:r w:rsidR="003D42F6">
        <w:rPr>
          <w:rStyle w:val="FootnoteReference"/>
        </w:rPr>
        <w:footnoteReference w:id="57"/>
      </w:r>
    </w:p>
    <w:p w14:paraId="01C76A33" w14:textId="44C2F5AC" w:rsidR="009A39BA" w:rsidRDefault="00FF6B99" w:rsidP="009A39BA">
      <w:r>
        <w:t xml:space="preserve">The overarching industry view </w:t>
      </w:r>
      <w:r w:rsidR="004F0E3F">
        <w:t xml:space="preserve">was </w:t>
      </w:r>
      <w:r>
        <w:t>that the existing rules are well-suited for future arrangements</w:t>
      </w:r>
      <w:r w:rsidR="0080055F">
        <w:t xml:space="preserve">, and that current </w:t>
      </w:r>
      <w:r w:rsidR="00E60C19">
        <w:t xml:space="preserve">the </w:t>
      </w:r>
      <w:r w:rsidR="00D1791C">
        <w:t>GTP Regulation</w:t>
      </w:r>
      <w:r w:rsidR="003C7C26">
        <w:t xml:space="preserve"> accommodate</w:t>
      </w:r>
      <w:r w:rsidR="00E60C19">
        <w:t>s</w:t>
      </w:r>
      <w:r w:rsidR="003C7C26">
        <w:t xml:space="preserve"> tolling and third-party processing arrangements</w:t>
      </w:r>
      <w:r w:rsidR="0080055F">
        <w:t xml:space="preserve">. </w:t>
      </w:r>
    </w:p>
    <w:p w14:paraId="5A41E9BD" w14:textId="77777777" w:rsidR="009A39BA" w:rsidRPr="00D67230" w:rsidRDefault="009A39BA" w:rsidP="00D67230">
      <w:pPr>
        <w:pStyle w:val="Quote"/>
        <w:jc w:val="center"/>
        <w:rPr>
          <w:rFonts w:ascii="Calibri Light" w:hAnsi="Calibri Light" w:cs="Calibri Light"/>
          <w:color w:val="auto"/>
        </w:rPr>
      </w:pPr>
      <w:r w:rsidRPr="00D67230">
        <w:rPr>
          <w:rFonts w:ascii="Calibri Light" w:hAnsi="Calibri Light" w:cs="Calibri Light"/>
          <w:color w:val="auto"/>
        </w:rPr>
        <w:t>It is clear the multiple use of infrastructure which may occur as a result of tolling and other processing arrangements was considered in the original design of RPM […] The RPM in its current form largely works well where there is expanded use of existing infrastructure and support its continued application.</w:t>
      </w:r>
      <w:r w:rsidRPr="00D67230">
        <w:rPr>
          <w:rStyle w:val="FootnoteReference"/>
          <w:rFonts w:ascii="Calibri Light" w:hAnsi="Calibri Light" w:cs="Calibri Light"/>
          <w:color w:val="auto"/>
        </w:rPr>
        <w:footnoteReference w:id="58"/>
      </w:r>
    </w:p>
    <w:p w14:paraId="201ADDEE" w14:textId="3CD99145" w:rsidR="001B0BAF" w:rsidRDefault="001B0BAF" w:rsidP="001B0BAF">
      <w:r>
        <w:t xml:space="preserve">Woodside submitted: </w:t>
      </w:r>
    </w:p>
    <w:p w14:paraId="568AD8F3" w14:textId="27E47505" w:rsidR="001B0BAF" w:rsidRPr="00D67230" w:rsidRDefault="008A2F53" w:rsidP="00D67230">
      <w:pPr>
        <w:pStyle w:val="Quote"/>
        <w:jc w:val="center"/>
        <w:rPr>
          <w:rFonts w:ascii="Calibri Light" w:hAnsi="Calibri Light" w:cs="Calibri Light"/>
          <w:color w:val="auto"/>
        </w:rPr>
      </w:pPr>
      <w:r w:rsidRPr="00D67230">
        <w:rPr>
          <w:rFonts w:ascii="Calibri Light" w:hAnsi="Calibri Light" w:cs="Calibri Light"/>
          <w:color w:val="auto"/>
        </w:rPr>
        <w:t>[T]</w:t>
      </w:r>
      <w:r w:rsidR="004B13E6" w:rsidRPr="00D67230">
        <w:rPr>
          <w:rFonts w:ascii="Calibri Light" w:hAnsi="Calibri Light" w:cs="Calibri Light"/>
          <w:color w:val="auto"/>
        </w:rPr>
        <w:t>hat the existing regulations provide appropriate technical and practical outcomes for projects involving tolling arrangements.</w:t>
      </w:r>
      <w:r w:rsidR="004B13E6" w:rsidRPr="00D67230">
        <w:rPr>
          <w:rStyle w:val="FootnoteReference"/>
          <w:rFonts w:ascii="Calibri Light" w:hAnsi="Calibri Light" w:cs="Calibri Light"/>
          <w:color w:val="auto"/>
        </w:rPr>
        <w:footnoteReference w:id="59"/>
      </w:r>
    </w:p>
    <w:p w14:paraId="0DF32721" w14:textId="59C07071" w:rsidR="00D038F1" w:rsidRDefault="00FA31E7" w:rsidP="003C7C26">
      <w:r>
        <w:t xml:space="preserve">Some industry submissions also raised the view that </w:t>
      </w:r>
      <w:r w:rsidR="00F942E1">
        <w:t xml:space="preserve">the </w:t>
      </w:r>
      <w:r w:rsidR="008A70EA">
        <w:t xml:space="preserve">existing </w:t>
      </w:r>
      <w:r w:rsidR="00D1791C">
        <w:t>GTP Regulation</w:t>
      </w:r>
      <w:r w:rsidR="008A70EA">
        <w:t>, while generally appropriate for tolling arrangements, would benefit from further clarification</w:t>
      </w:r>
      <w:r w:rsidR="009625D5">
        <w:t>.</w:t>
      </w:r>
      <w:r w:rsidR="00151767">
        <w:t xml:space="preserve"> </w:t>
      </w:r>
      <w:r w:rsidR="006259A5">
        <w:t xml:space="preserve">In the broader context of tolling </w:t>
      </w:r>
      <w:r w:rsidR="00D07433">
        <w:t xml:space="preserve">and shared infrastructure </w:t>
      </w:r>
      <w:r w:rsidR="006259A5">
        <w:t xml:space="preserve">arrangements, </w:t>
      </w:r>
      <w:r w:rsidR="006016BF">
        <w:t xml:space="preserve">submissions also raised concerns around the </w:t>
      </w:r>
      <w:r w:rsidR="0007148B">
        <w:t xml:space="preserve">potential </w:t>
      </w:r>
      <w:r w:rsidR="00DD109F">
        <w:t>n</w:t>
      </w:r>
      <w:r w:rsidR="0007148B">
        <w:t>eed for</w:t>
      </w:r>
      <w:r w:rsidR="00DD109F">
        <w:t xml:space="preserve"> commercially sensitive information to be shared </w:t>
      </w:r>
      <w:r w:rsidR="00D07433">
        <w:t xml:space="preserve">amongst </w:t>
      </w:r>
      <w:r w:rsidR="00CF4BD6">
        <w:t>unrelated parties</w:t>
      </w:r>
      <w:r w:rsidR="0041070C">
        <w:t xml:space="preserve"> (</w:t>
      </w:r>
      <w:r w:rsidR="00CF4BD6">
        <w:t>including where they are third-party competitors</w:t>
      </w:r>
      <w:r w:rsidR="0041070C">
        <w:t>) on the basis this would likely be commercially and practically difficult.</w:t>
      </w:r>
    </w:p>
    <w:p w14:paraId="7E58E0A3" w14:textId="2F9C2817" w:rsidR="009F7DDD" w:rsidRPr="00B10860" w:rsidRDefault="009F7DDD" w:rsidP="009F7DDD">
      <w:pPr>
        <w:pStyle w:val="Heading3"/>
      </w:pPr>
      <w:r>
        <w:t>The use of CUPs</w:t>
      </w:r>
    </w:p>
    <w:p w14:paraId="36F43C2C" w14:textId="0AE7934A" w:rsidR="009A2EF2" w:rsidRDefault="001F125A" w:rsidP="00B36A86">
      <w:r>
        <w:t xml:space="preserve">Broadly, all stakeholders identified that there are no </w:t>
      </w:r>
      <w:r w:rsidR="006F7001">
        <w:t>feasible</w:t>
      </w:r>
      <w:r>
        <w:t xml:space="preserve"> </w:t>
      </w:r>
      <w:r w:rsidR="00C4097E">
        <w:t xml:space="preserve">CUPs </w:t>
      </w:r>
      <w:r w:rsidR="00132F63">
        <w:t xml:space="preserve">in the market for LNG feedstock gas which </w:t>
      </w:r>
      <w:r w:rsidR="006F7001">
        <w:t>could be readily employed in the co</w:t>
      </w:r>
      <w:r w:rsidR="00FA526F">
        <w:t xml:space="preserve">ntext of the GTP </w:t>
      </w:r>
      <w:r w:rsidR="00BC0D6C">
        <w:t xml:space="preserve">methodology. </w:t>
      </w:r>
      <w:r w:rsidR="002E5166">
        <w:t xml:space="preserve">Furthermore, </w:t>
      </w:r>
      <w:r w:rsidR="0031195B">
        <w:t>s</w:t>
      </w:r>
      <w:r w:rsidR="001F2825">
        <w:t xml:space="preserve">everal stakeholders, including </w:t>
      </w:r>
      <w:r w:rsidR="00EA42A5">
        <w:t>APPEA</w:t>
      </w:r>
      <w:r w:rsidR="001E7534">
        <w:t>,</w:t>
      </w:r>
      <w:r w:rsidR="001E7534">
        <w:rPr>
          <w:rStyle w:val="FootnoteReference"/>
        </w:rPr>
        <w:footnoteReference w:id="60"/>
      </w:r>
      <w:r w:rsidR="00EA42A5">
        <w:t xml:space="preserve"> MIMI,</w:t>
      </w:r>
      <w:r w:rsidR="00EA42A5">
        <w:rPr>
          <w:rStyle w:val="FootnoteReference"/>
        </w:rPr>
        <w:footnoteReference w:id="61"/>
      </w:r>
      <w:r w:rsidR="00BE2694">
        <w:t xml:space="preserve"> </w:t>
      </w:r>
      <w:r w:rsidR="00F03D6C">
        <w:t>Woodside</w:t>
      </w:r>
      <w:r w:rsidR="002C0E4D">
        <w:t>,</w:t>
      </w:r>
      <w:r w:rsidR="002C0E4D">
        <w:rPr>
          <w:rStyle w:val="FootnoteReference"/>
        </w:rPr>
        <w:footnoteReference w:id="62"/>
      </w:r>
      <w:r w:rsidR="007C67BA">
        <w:t xml:space="preserve"> </w:t>
      </w:r>
      <w:r w:rsidR="00583127">
        <w:t>P</w:t>
      </w:r>
      <w:r w:rsidR="005019D2">
        <w:t>w</w:t>
      </w:r>
      <w:r w:rsidR="00583127">
        <w:t>C</w:t>
      </w:r>
      <w:r w:rsidR="00583127">
        <w:rPr>
          <w:rStyle w:val="FootnoteReference"/>
        </w:rPr>
        <w:footnoteReference w:id="63"/>
      </w:r>
      <w:r w:rsidR="003A4227">
        <w:t xml:space="preserve"> and KPMG</w:t>
      </w:r>
      <w:r w:rsidR="008A716F">
        <w:rPr>
          <w:rStyle w:val="FootnoteReference"/>
        </w:rPr>
        <w:footnoteReference w:id="64"/>
      </w:r>
      <w:r w:rsidR="009A2EF2">
        <w:t xml:space="preserve"> each </w:t>
      </w:r>
      <w:r w:rsidR="007C67BA">
        <w:t xml:space="preserve">made representations to the effect that </w:t>
      </w:r>
      <w:r w:rsidR="001D340C">
        <w:t xml:space="preserve">comparable uncontrolled prices </w:t>
      </w:r>
      <w:r w:rsidR="009A2EF2">
        <w:t>(which would allow for meaningful comparison) are highly unlikely to exist in future.</w:t>
      </w:r>
    </w:p>
    <w:p w14:paraId="149071A8" w14:textId="6C0D8655" w:rsidR="00392737" w:rsidRDefault="00B36A86" w:rsidP="00B36A86">
      <w:r>
        <w:t>Using a CUP</w:t>
      </w:r>
      <w:r w:rsidR="009F7DDD">
        <w:t xml:space="preserve"> would require unique modifications departing from OECD principles, inserting additional complexity and uncertainty, and consequently, increasing compliance costs. </w:t>
      </w:r>
      <w:r>
        <w:t>Some submissions noted that it is a</w:t>
      </w:r>
      <w:r w:rsidR="009F7DDD">
        <w:t>rguably impossible to obtain all the information on the CUP to make the necessary and sufficiently reliable comparability adjustments</w:t>
      </w:r>
      <w:r w:rsidR="00235AF0">
        <w:t xml:space="preserve"> for each particular LNG project.</w:t>
      </w:r>
      <w:r w:rsidR="00235AF0">
        <w:rPr>
          <w:rStyle w:val="FootnoteReference"/>
        </w:rPr>
        <w:footnoteReference w:id="65"/>
      </w:r>
    </w:p>
    <w:p w14:paraId="27DF689F" w14:textId="57D4E46E" w:rsidR="00B93DC7" w:rsidRDefault="00B93DC7" w:rsidP="00B93DC7">
      <w:pPr>
        <w:pStyle w:val="Heading3"/>
      </w:pPr>
      <w:r>
        <w:t>Start date of changes</w:t>
      </w:r>
    </w:p>
    <w:p w14:paraId="1D4C46E0" w14:textId="06FA4CB4" w:rsidR="00B93DC7" w:rsidRPr="00B93DC7" w:rsidRDefault="00B93DC7" w:rsidP="001C6A7E">
      <w:r>
        <w:t xml:space="preserve">Industry </w:t>
      </w:r>
      <w:r w:rsidR="00F20893">
        <w:t xml:space="preserve">was </w:t>
      </w:r>
      <w:r>
        <w:t xml:space="preserve">of the view that </w:t>
      </w:r>
      <w:r w:rsidR="001C6A7E">
        <w:t xml:space="preserve">if </w:t>
      </w:r>
      <w:r>
        <w:t xml:space="preserve">any changes </w:t>
      </w:r>
      <w:r w:rsidR="001C6A7E">
        <w:t>are adopted, they</w:t>
      </w:r>
      <w:r>
        <w:t xml:space="preserve"> should apply to new production licences issued after the start date of enabling legislation. In addition, some submissions argue</w:t>
      </w:r>
      <w:r w:rsidR="00F20893">
        <w:t>d</w:t>
      </w:r>
      <w:r>
        <w:t xml:space="preserve"> that </w:t>
      </w:r>
      <w:r>
        <w:lastRenderedPageBreak/>
        <w:t xml:space="preserve">projects that have already received final investment approval should not be impacted </w:t>
      </w:r>
      <w:r w:rsidR="00A02D12">
        <w:t xml:space="preserve">if </w:t>
      </w:r>
      <w:r w:rsidR="001C6A7E">
        <w:t xml:space="preserve">subsequently </w:t>
      </w:r>
      <w:r w:rsidR="00A02D12">
        <w:t>combined with production licences issued after the effective date for GTP changes.</w:t>
      </w:r>
      <w:r w:rsidR="00DA0420">
        <w:rPr>
          <w:rStyle w:val="FootnoteReference"/>
        </w:rPr>
        <w:footnoteReference w:id="66"/>
      </w:r>
      <w:r w:rsidR="00151767">
        <w:t xml:space="preserve"> </w:t>
      </w:r>
    </w:p>
    <w:p w14:paraId="5FAE08FB" w14:textId="6988222F" w:rsidR="00802F50" w:rsidRPr="00B93DC7" w:rsidRDefault="001C6A7E" w:rsidP="001C6A7E">
      <w:r>
        <w:t>By contrast,</w:t>
      </w:r>
      <w:r w:rsidR="00802F50" w:rsidDel="002A43EC">
        <w:t xml:space="preserve"> </w:t>
      </w:r>
      <w:r w:rsidR="002A43EC">
        <w:t xml:space="preserve">non-industry </w:t>
      </w:r>
      <w:r w:rsidR="00802F50">
        <w:t xml:space="preserve">groups consider that </w:t>
      </w:r>
      <w:r>
        <w:t>changes</w:t>
      </w:r>
      <w:r w:rsidR="00D45637">
        <w:t xml:space="preserve"> should be applied to all existing projects as well </w:t>
      </w:r>
      <w:r>
        <w:t xml:space="preserve">as future investments </w:t>
      </w:r>
      <w:r w:rsidR="00D45637">
        <w:t xml:space="preserve">to ensure a fair return to the Australian community for the exploitation of its gas resources, and to maintain a consistent and transparent approach across all LNG projects covered by the PRRT. </w:t>
      </w:r>
    </w:p>
    <w:p w14:paraId="15310F67" w14:textId="77777777" w:rsidR="00981B30" w:rsidRDefault="00981B30">
      <w:pPr>
        <w:spacing w:before="0" w:after="160" w:line="259" w:lineRule="auto"/>
        <w:rPr>
          <w:rFonts w:ascii="Courier New" w:hAnsi="Courier New" w:cs="Yu Mincho Light"/>
          <w:b/>
          <w:color w:val="5D779D" w:themeColor="accent3"/>
          <w:kern w:val="32"/>
          <w:sz w:val="36"/>
          <w:szCs w:val="36"/>
        </w:rPr>
      </w:pPr>
      <w:r>
        <w:rPr>
          <w:sz w:val="36"/>
        </w:rPr>
        <w:br w:type="page"/>
      </w:r>
    </w:p>
    <w:p w14:paraId="7766ADEF" w14:textId="2084756E" w:rsidR="005C4D35" w:rsidRPr="006862EF" w:rsidRDefault="00985A56" w:rsidP="006862EF">
      <w:pPr>
        <w:pStyle w:val="Heading1"/>
      </w:pPr>
      <w:bookmarkStart w:id="31" w:name="_Toc134273570"/>
      <w:bookmarkStart w:id="32" w:name="_Toc30064623"/>
      <w:r w:rsidRPr="006862EF">
        <w:lastRenderedPageBreak/>
        <w:t>6</w:t>
      </w:r>
      <w:r w:rsidR="005C4D35" w:rsidRPr="006862EF">
        <w:t>. Analysis</w:t>
      </w:r>
      <w:r w:rsidR="00BC7224" w:rsidRPr="006862EF">
        <w:t xml:space="preserve"> </w:t>
      </w:r>
      <w:r w:rsidR="005C4D35" w:rsidRPr="006862EF">
        <w:t>and options</w:t>
      </w:r>
      <w:bookmarkEnd w:id="31"/>
      <w:r w:rsidR="005C4D35" w:rsidRPr="006862EF">
        <w:t xml:space="preserve"> </w:t>
      </w:r>
      <w:bookmarkEnd w:id="32"/>
    </w:p>
    <w:p w14:paraId="5559D904" w14:textId="7F83372E" w:rsidR="00250CC4" w:rsidRDefault="008A2D90" w:rsidP="001F59FF">
      <w:r>
        <w:t>Treasury</w:t>
      </w:r>
      <w:r w:rsidR="009B6589">
        <w:t xml:space="preserve"> has</w:t>
      </w:r>
      <w:r w:rsidR="00854A09">
        <w:t xml:space="preserve"> examined the GTP </w:t>
      </w:r>
      <w:r w:rsidR="00221C8D">
        <w:t>R</w:t>
      </w:r>
      <w:r w:rsidR="00F95A7F">
        <w:t>egulation</w:t>
      </w:r>
      <w:r w:rsidR="00B220C7">
        <w:t xml:space="preserve"> </w:t>
      </w:r>
      <w:r w:rsidR="00854A09">
        <w:t xml:space="preserve">with reference to </w:t>
      </w:r>
      <w:r w:rsidR="000A39BF">
        <w:t xml:space="preserve">the appropriateness of </w:t>
      </w:r>
      <w:r w:rsidR="00854A09">
        <w:t xml:space="preserve">the initial </w:t>
      </w:r>
      <w:r w:rsidR="00AC1E72">
        <w:t>analysis</w:t>
      </w:r>
      <w:r w:rsidR="00CE0446">
        <w:t xml:space="preserve"> of the Arthur Anders</w:t>
      </w:r>
      <w:r w:rsidR="00C4378A">
        <w:t>e</w:t>
      </w:r>
      <w:r w:rsidR="00CE0446">
        <w:t>n process, the pattern of LNG development observed in Australia</w:t>
      </w:r>
      <w:r w:rsidR="00603C78">
        <w:t xml:space="preserve"> to date and likely </w:t>
      </w:r>
      <w:r w:rsidR="00945C6F">
        <w:t xml:space="preserve">LNG </w:t>
      </w:r>
      <w:r w:rsidR="00603C78">
        <w:t>developments into the future</w:t>
      </w:r>
      <w:r w:rsidR="00250CC4">
        <w:t xml:space="preserve">, and feedback through consultations. </w:t>
      </w:r>
    </w:p>
    <w:p w14:paraId="2E61D327" w14:textId="3596D511" w:rsidR="00DF73B7" w:rsidRDefault="008A2D90" w:rsidP="001F59FF">
      <w:r>
        <w:t>Treasury</w:t>
      </w:r>
      <w:r w:rsidR="009B6589">
        <w:t xml:space="preserve"> </w:t>
      </w:r>
      <w:r w:rsidR="00910401">
        <w:t>con</w:t>
      </w:r>
      <w:r w:rsidR="00515CEB">
        <w:t>sider</w:t>
      </w:r>
      <w:r w:rsidR="009B6589">
        <w:t>s</w:t>
      </w:r>
      <w:r w:rsidR="00250CC4">
        <w:t xml:space="preserve"> that the assumptions</w:t>
      </w:r>
      <w:r w:rsidR="00945C6F">
        <w:t xml:space="preserve"> </w:t>
      </w:r>
      <w:r w:rsidR="00A425EA">
        <w:t xml:space="preserve">and analysis </w:t>
      </w:r>
      <w:r w:rsidR="00D767FA">
        <w:t xml:space="preserve">underpinning </w:t>
      </w:r>
      <w:r w:rsidR="009301F6">
        <w:t xml:space="preserve">the </w:t>
      </w:r>
      <w:r w:rsidR="00E16481">
        <w:t>current</w:t>
      </w:r>
      <w:r w:rsidR="008239A7">
        <w:t xml:space="preserve"> </w:t>
      </w:r>
      <w:r w:rsidR="009301F6">
        <w:t xml:space="preserve">design of the RPM </w:t>
      </w:r>
      <w:r w:rsidR="008E796B">
        <w:t xml:space="preserve">are </w:t>
      </w:r>
      <w:r w:rsidR="00A44E7F">
        <w:t>no</w:t>
      </w:r>
      <w:r w:rsidR="00E5224E">
        <w:t xml:space="preserve"> </w:t>
      </w:r>
      <w:r w:rsidR="00FF7FF0">
        <w:t>longer appropriate and do not align with modern transfer pricing principles</w:t>
      </w:r>
      <w:r w:rsidR="005D1B8A">
        <w:t>,</w:t>
      </w:r>
      <w:r w:rsidR="009301F6">
        <w:t xml:space="preserve"> </w:t>
      </w:r>
      <w:r w:rsidR="006F1F53">
        <w:t xml:space="preserve">with the </w:t>
      </w:r>
      <w:r w:rsidR="008273A1">
        <w:t xml:space="preserve">consequence that the </w:t>
      </w:r>
      <w:r w:rsidR="004C7559">
        <w:t xml:space="preserve">current configuration </w:t>
      </w:r>
      <w:r w:rsidR="008273A1">
        <w:t xml:space="preserve">of the RPM does not deliver an arm’s length price for gas used in LNG production. </w:t>
      </w:r>
      <w:r w:rsidR="009C069C">
        <w:t xml:space="preserve">For that reason, </w:t>
      </w:r>
      <w:r w:rsidR="00DD7E67">
        <w:t xml:space="preserve">to the extent that there </w:t>
      </w:r>
      <w:r w:rsidR="009540F5">
        <w:t>are</w:t>
      </w:r>
      <w:r w:rsidR="00DD7E67">
        <w:t xml:space="preserve"> </w:t>
      </w:r>
      <w:r w:rsidR="00E14A2B">
        <w:t>profit</w:t>
      </w:r>
      <w:r w:rsidR="009540F5">
        <w:t>s</w:t>
      </w:r>
      <w:r w:rsidR="00E14A2B">
        <w:t xml:space="preserve"> attributable </w:t>
      </w:r>
      <w:r w:rsidR="00326494">
        <w:t xml:space="preserve">to </w:t>
      </w:r>
      <w:r w:rsidR="0017538B">
        <w:t>resource</w:t>
      </w:r>
      <w:r w:rsidR="00F61BC5">
        <w:t xml:space="preserve"> rents</w:t>
      </w:r>
      <w:r w:rsidR="00966DBB">
        <w:t xml:space="preserve"> in LNG production</w:t>
      </w:r>
      <w:r w:rsidR="001419F9">
        <w:t>,</w:t>
      </w:r>
      <w:r w:rsidR="00DF73B7">
        <w:t xml:space="preserve"> </w:t>
      </w:r>
      <w:r w:rsidR="00242CE6">
        <w:t>they are</w:t>
      </w:r>
      <w:r w:rsidR="00DF73B7">
        <w:t xml:space="preserve"> escaping </w:t>
      </w:r>
      <w:r w:rsidR="003A38C3">
        <w:t xml:space="preserve">the </w:t>
      </w:r>
      <w:r w:rsidR="00DF73B7">
        <w:t>PRRT</w:t>
      </w:r>
      <w:r w:rsidR="00C80E57">
        <w:t xml:space="preserve"> net</w:t>
      </w:r>
      <w:r w:rsidR="00DF73B7">
        <w:t xml:space="preserve">. </w:t>
      </w:r>
    </w:p>
    <w:p w14:paraId="29B2B45A" w14:textId="2E19ED8D" w:rsidR="00193BD4" w:rsidRDefault="008A2D90" w:rsidP="001F59FF">
      <w:r>
        <w:t>T</w:t>
      </w:r>
      <w:r w:rsidR="0071317C">
        <w:t xml:space="preserve">o address this structural undervaluation of gas, </w:t>
      </w:r>
      <w:r>
        <w:t>Treasury</w:t>
      </w:r>
      <w:r w:rsidR="00EB2053">
        <w:t xml:space="preserve"> </w:t>
      </w:r>
      <w:r w:rsidR="00DF73B7">
        <w:t>recommend</w:t>
      </w:r>
      <w:r w:rsidR="00EB2053">
        <w:t>s</w:t>
      </w:r>
      <w:r w:rsidR="00DF73B7">
        <w:t xml:space="preserve"> replacing the RPM with</w:t>
      </w:r>
      <w:r w:rsidR="007B1171">
        <w:t xml:space="preserve"> either</w:t>
      </w:r>
      <w:r w:rsidR="00DF73B7">
        <w:t xml:space="preserve"> a netback only method</w:t>
      </w:r>
      <w:r w:rsidR="00B76F66">
        <w:t xml:space="preserve"> or a modified RPM</w:t>
      </w:r>
      <w:r w:rsidR="0000602C">
        <w:t xml:space="preserve">. </w:t>
      </w:r>
      <w:r w:rsidR="00215D01">
        <w:t xml:space="preserve">Treasury acknowledges that such a change would </w:t>
      </w:r>
      <w:r w:rsidR="00DC5A1D">
        <w:t xml:space="preserve">impact </w:t>
      </w:r>
      <w:r w:rsidR="00215D01">
        <w:t xml:space="preserve">existing projects that were sanctioned and constructed </w:t>
      </w:r>
      <w:r w:rsidR="00A75B6A">
        <w:t>based on</w:t>
      </w:r>
      <w:r w:rsidR="00215D01">
        <w:t xml:space="preserve"> current settings. Such a change could also </w:t>
      </w:r>
      <w:r w:rsidR="00AF7FC9">
        <w:t>impact</w:t>
      </w:r>
      <w:r w:rsidR="00215D01">
        <w:t xml:space="preserve"> the economics of future projects </w:t>
      </w:r>
      <w:r w:rsidR="00FC12BF">
        <w:t xml:space="preserve">that are likely to have lower </w:t>
      </w:r>
      <w:r w:rsidR="00D34EF5">
        <w:t>overall construction costs as they leverage existing infrastructure.</w:t>
      </w:r>
      <w:r w:rsidR="00193BD4">
        <w:t xml:space="preserve"> As an alternative</w:t>
      </w:r>
      <w:r w:rsidR="00D040AC">
        <w:t xml:space="preserve">, </w:t>
      </w:r>
      <w:r w:rsidR="00A90787">
        <w:t>a</w:t>
      </w:r>
      <w:r w:rsidR="0043375B">
        <w:t xml:space="preserve"> cap on the use of deductions to offset assessable PRRT income earned by LNG producers could be introduced</w:t>
      </w:r>
      <w:r w:rsidR="00EC36EC">
        <w:t xml:space="preserve"> to address issues around the </w:t>
      </w:r>
      <w:r w:rsidR="00885AFC">
        <w:t xml:space="preserve">timeliness </w:t>
      </w:r>
      <w:r w:rsidR="00D86494">
        <w:t>of PRRT payments and ensur</w:t>
      </w:r>
      <w:r w:rsidR="00A20C31">
        <w:t>e</w:t>
      </w:r>
      <w:r w:rsidR="00D86494">
        <w:t xml:space="preserve"> a minimum return to the community from the offshore LNG industry</w:t>
      </w:r>
      <w:r w:rsidR="0043375B">
        <w:t xml:space="preserve">. </w:t>
      </w:r>
    </w:p>
    <w:p w14:paraId="714BF51E" w14:textId="0B6480ED" w:rsidR="00184ED4" w:rsidRDefault="0000532B" w:rsidP="001F59FF">
      <w:r>
        <w:t>These approaches will ensure the PRRT is fit-for-purpose in respect of LNG production into the future</w:t>
      </w:r>
      <w:r w:rsidR="0007621A">
        <w:t>.</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6F10D1" w14:paraId="6A7198ED"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49FD088F" w14:textId="16A25C67" w:rsidR="006F10D1" w:rsidRDefault="006F10D1">
            <w:pPr>
              <w:pStyle w:val="BoxHeading"/>
              <w:rPr>
                <w:sz w:val="28"/>
                <w:szCs w:val="28"/>
                <w:lang w:eastAsia="en-US"/>
              </w:rPr>
            </w:pPr>
            <w:r>
              <w:rPr>
                <w:sz w:val="28"/>
                <w:szCs w:val="28"/>
                <w:lang w:eastAsia="en-US"/>
              </w:rPr>
              <w:t>Recommendation 1</w:t>
            </w:r>
          </w:p>
          <w:p w14:paraId="3DE60B2A" w14:textId="77777777" w:rsidR="006F10D1" w:rsidRDefault="00EE6EA4" w:rsidP="00EE6EA4">
            <w:pPr>
              <w:rPr>
                <w:b w:val="0"/>
              </w:rPr>
            </w:pPr>
            <w:r>
              <w:t xml:space="preserve">Modify the existing ‘safe harbour’ transfer pricing method – the ‘Residual Pricing Method’ (RPM) – to ensure gas is more fairly priced at the PRRT taxing point for integrated LNG projects. </w:t>
            </w:r>
            <w:r w:rsidR="00CA2125">
              <w:t xml:space="preserve">Treasury recommends </w:t>
            </w:r>
            <w:r w:rsidR="00E21BE5">
              <w:t xml:space="preserve">either a netback-only approach or </w:t>
            </w:r>
            <w:r w:rsidR="00CA2125">
              <w:t>modified RPM (80:20 profit split) be adopted.</w:t>
            </w:r>
          </w:p>
          <w:p w14:paraId="0B3E272D" w14:textId="7954DB2C" w:rsidR="00D515C1" w:rsidRDefault="00A71EAA" w:rsidP="00EE6EA4">
            <w:r>
              <w:t>Alternatively,</w:t>
            </w:r>
            <w:r w:rsidR="00FC0317">
              <w:t xml:space="preserve"> </w:t>
            </w:r>
            <w:r w:rsidR="00700158">
              <w:t>l</w:t>
            </w:r>
            <w:r w:rsidR="00FC0317" w:rsidRPr="00FC0317">
              <w:t xml:space="preserve">imit deductible expenditure to the value of 90 per cent </w:t>
            </w:r>
            <w:r w:rsidR="009F6157" w:rsidRPr="009F6157">
              <w:t xml:space="preserve">of </w:t>
            </w:r>
            <w:r w:rsidR="00FC0317" w:rsidRPr="00FC0317">
              <w:t xml:space="preserve">PRRT assessable receipts in respect of each project in the relevant income year </w:t>
            </w:r>
            <w:r w:rsidR="009F6157" w:rsidRPr="009F6157">
              <w:t>(applied</w:t>
            </w:r>
            <w:r w:rsidR="00FC0317" w:rsidRPr="00FC0317">
              <w:t xml:space="preserve"> after mandatory transfers of exploration expenditure</w:t>
            </w:r>
            <w:r w:rsidR="009F6157" w:rsidRPr="009F6157">
              <w:t>).</w:t>
            </w:r>
            <w:r w:rsidR="00FC0317" w:rsidRPr="00FC0317">
              <w:t xml:space="preserve"> Unused denied deductions would be carried forward and uplifted at the Government long-term bond rate</w:t>
            </w:r>
            <w:r w:rsidR="00FE682C">
              <w:t xml:space="preserve">. </w:t>
            </w:r>
          </w:p>
        </w:tc>
      </w:tr>
    </w:tbl>
    <w:p w14:paraId="26C075C4" w14:textId="3B393008" w:rsidR="004B51A8" w:rsidRDefault="008F2BB5" w:rsidP="004B51A8">
      <w:pPr>
        <w:pStyle w:val="Heading2"/>
      </w:pPr>
      <w:bookmarkStart w:id="33" w:name="_Toc134273571"/>
      <w:r>
        <w:t xml:space="preserve">6.1 </w:t>
      </w:r>
      <w:r w:rsidR="00597BB3">
        <w:t>The evidence suggests the RPM</w:t>
      </w:r>
      <w:r w:rsidR="004B51A8">
        <w:t xml:space="preserve"> </w:t>
      </w:r>
      <w:r w:rsidR="00923077">
        <w:t>under-prices</w:t>
      </w:r>
      <w:r w:rsidR="004B51A8">
        <w:t xml:space="preserve"> gas</w:t>
      </w:r>
      <w:bookmarkEnd w:id="33"/>
    </w:p>
    <w:p w14:paraId="132189B6" w14:textId="60F93ED1" w:rsidR="00D43598" w:rsidRDefault="00D43598" w:rsidP="00440F28">
      <w:pPr>
        <w:pStyle w:val="Heading3"/>
      </w:pPr>
      <w:r>
        <w:t xml:space="preserve">The cost-plus component of the RPM </w:t>
      </w:r>
      <w:r w:rsidR="00ED484D">
        <w:t>excludes</w:t>
      </w:r>
      <w:r w:rsidR="00440F28">
        <w:t xml:space="preserve"> the </w:t>
      </w:r>
      <w:r w:rsidR="0084315B">
        <w:t>value</w:t>
      </w:r>
      <w:r w:rsidR="00440F28">
        <w:t xml:space="preserve"> of the resource</w:t>
      </w:r>
    </w:p>
    <w:p w14:paraId="29483C41" w14:textId="5D80C780" w:rsidR="00DA6612" w:rsidRDefault="00DA6612" w:rsidP="00DA6612">
      <w:r>
        <w:t>Economic rents refer to returns that are greater than economically necessary to keep assets and/or labour deployed in their current activity. That is, returns beyond those received from normal commercial value adding in a competitive market.</w:t>
      </w:r>
      <w:r w:rsidR="00151767">
        <w:t xml:space="preserve"> </w:t>
      </w:r>
    </w:p>
    <w:p w14:paraId="27D85092" w14:textId="49DC8C95" w:rsidR="00AF6704" w:rsidRDefault="00AF6704" w:rsidP="00AF6704">
      <w:r w:rsidRPr="00703A93">
        <w:t xml:space="preserve">For </w:t>
      </w:r>
      <w:r w:rsidR="000C024D">
        <w:t xml:space="preserve">non-renewable </w:t>
      </w:r>
      <w:r w:rsidRPr="00703A93">
        <w:t>resources, economic rents occur because not all deposits are the same and usually the best/lowest cost ones are developed first.</w:t>
      </w:r>
      <w:r w:rsidR="002228E7">
        <w:t xml:space="preserve"> Lower cost resources are </w:t>
      </w:r>
      <w:r w:rsidR="00BA1DD2">
        <w:t>typically</w:t>
      </w:r>
      <w:r w:rsidR="002228E7">
        <w:t xml:space="preserve"> advantaged in some way</w:t>
      </w:r>
      <w:r w:rsidR="00703BD9">
        <w:t>, for example</w:t>
      </w:r>
      <w:r w:rsidR="002228E7">
        <w:t xml:space="preserve"> they </w:t>
      </w:r>
      <w:r w:rsidR="00703BD9">
        <w:t xml:space="preserve">may </w:t>
      </w:r>
      <w:r w:rsidR="002228E7">
        <w:t>have lower extraction costs</w:t>
      </w:r>
      <w:r w:rsidR="00FF3AC6">
        <w:t>, fewer impurities, lower carbon storage requirements/costs</w:t>
      </w:r>
      <w:r w:rsidR="00BA1DD2">
        <w:t xml:space="preserve">, </w:t>
      </w:r>
      <w:r w:rsidR="00A56EA0">
        <w:t xml:space="preserve">lower costs per unit because of size or </w:t>
      </w:r>
      <w:r w:rsidR="000C4BE3">
        <w:t xml:space="preserve">proximity to </w:t>
      </w:r>
      <w:r w:rsidR="003F14A9">
        <w:t>existing infrastructure.</w:t>
      </w:r>
      <w:r w:rsidRPr="00703A93">
        <w:t xml:space="preserve"> </w:t>
      </w:r>
      <w:r w:rsidR="00FC2606">
        <w:t>Investors aim to develop</w:t>
      </w:r>
      <w:r w:rsidR="005D6B96">
        <w:t xml:space="preserve"> inframarginal</w:t>
      </w:r>
      <w:r w:rsidR="00190191">
        <w:t xml:space="preserve"> </w:t>
      </w:r>
      <w:r w:rsidR="00D71E44">
        <w:t xml:space="preserve">projects </w:t>
      </w:r>
      <w:r w:rsidR="00190191">
        <w:t>or those deposits</w:t>
      </w:r>
      <w:r w:rsidR="00E94BBC">
        <w:t xml:space="preserve"> with the highest</w:t>
      </w:r>
      <w:r w:rsidR="00055A00">
        <w:t xml:space="preserve"> expected profits first</w:t>
      </w:r>
      <w:r w:rsidR="003B3629">
        <w:t>. Hence most resource</w:t>
      </w:r>
      <w:r w:rsidR="009E2FBE">
        <w:t xml:space="preserve"> </w:t>
      </w:r>
      <w:r w:rsidR="00AD4A36">
        <w:t xml:space="preserve">developments </w:t>
      </w:r>
      <w:r w:rsidR="003B3629">
        <w:t xml:space="preserve">are </w:t>
      </w:r>
      <w:r w:rsidR="00AD4A36">
        <w:t>undertaken</w:t>
      </w:r>
      <w:r w:rsidR="00A733A6">
        <w:t xml:space="preserve"> with the expectation of</w:t>
      </w:r>
      <w:r w:rsidR="00852B29">
        <w:t xml:space="preserve"> rents</w:t>
      </w:r>
      <w:r w:rsidR="00176C03">
        <w:t xml:space="preserve"> </w:t>
      </w:r>
      <w:r w:rsidR="00584FA0">
        <w:t>or above normal returns.</w:t>
      </w:r>
    </w:p>
    <w:p w14:paraId="5F4798EE" w14:textId="6DE555B6" w:rsidR="00FD7F34" w:rsidRDefault="00EC6750" w:rsidP="00AF6704">
      <w:r>
        <w:lastRenderedPageBreak/>
        <w:t>General</w:t>
      </w:r>
      <w:r w:rsidR="00FD7F34">
        <w:t xml:space="preserve"> market dynamics and </w:t>
      </w:r>
      <w:r>
        <w:t>commodity</w:t>
      </w:r>
      <w:r w:rsidR="00FD7F34">
        <w:t xml:space="preserve"> cycles also </w:t>
      </w:r>
      <w:r w:rsidR="00E04965">
        <w:t>play a role in industry profitability</w:t>
      </w:r>
      <w:r w:rsidR="00991D05">
        <w:t xml:space="preserve"> and creation of economic rents</w:t>
      </w:r>
      <w:r w:rsidR="00E04965">
        <w:t xml:space="preserve">. </w:t>
      </w:r>
      <w:r w:rsidR="00034FC3">
        <w:t>When commodity</w:t>
      </w:r>
      <w:r w:rsidR="00FD7F34" w:rsidRPr="00FD7F34">
        <w:t xml:space="preserve"> prices </w:t>
      </w:r>
      <w:r w:rsidR="00034FC3">
        <w:t xml:space="preserve">are </w:t>
      </w:r>
      <w:r w:rsidR="00FD7F34" w:rsidRPr="00FD7F34">
        <w:t>higher</w:t>
      </w:r>
      <w:r w:rsidR="00034FC3">
        <w:t xml:space="preserve">, they </w:t>
      </w:r>
      <w:r w:rsidR="00FD7F34" w:rsidRPr="00FD7F34">
        <w:t xml:space="preserve">deliver greater profitability than might be required to receive a ‘normal’ </w:t>
      </w:r>
      <w:r w:rsidR="00CA07EF">
        <w:t xml:space="preserve">commercial </w:t>
      </w:r>
      <w:r w:rsidR="00FD7F34" w:rsidRPr="00FD7F34">
        <w:t>rate of return on an investment</w:t>
      </w:r>
      <w:r w:rsidR="00E04965">
        <w:t xml:space="preserve">, </w:t>
      </w:r>
      <w:r w:rsidR="0076150C">
        <w:t>t</w:t>
      </w:r>
      <w:r w:rsidR="0076150C" w:rsidRPr="00FD7F34">
        <w:t>hat is, create economic rents</w:t>
      </w:r>
      <w:r w:rsidR="0076150C">
        <w:t xml:space="preserve">, </w:t>
      </w:r>
      <w:r w:rsidR="00E04965">
        <w:t xml:space="preserve">especially for lower </w:t>
      </w:r>
      <w:r w:rsidR="0076150C">
        <w:t>cost projects</w:t>
      </w:r>
      <w:r w:rsidR="00FD7F34" w:rsidRPr="00FD7F34">
        <w:t xml:space="preserve">. </w:t>
      </w:r>
    </w:p>
    <w:p w14:paraId="539EF749" w14:textId="77777777" w:rsidR="00D67230" w:rsidRDefault="00DA3AF6" w:rsidP="00AF6704">
      <w:r>
        <w:t xml:space="preserve">The logic underpinning the RPM is to allocate a </w:t>
      </w:r>
      <w:r w:rsidR="00991D05">
        <w:t xml:space="preserve">notional </w:t>
      </w:r>
      <w:r>
        <w:t>commercial return</w:t>
      </w:r>
      <w:r w:rsidR="001925FB">
        <w:t xml:space="preserve">, </w:t>
      </w:r>
      <w:r w:rsidR="002C6000">
        <w:t xml:space="preserve">which </w:t>
      </w:r>
      <w:r w:rsidR="001925FB">
        <w:t>includ</w:t>
      </w:r>
      <w:r w:rsidR="002C6000">
        <w:t>es</w:t>
      </w:r>
      <w:r w:rsidR="001925FB">
        <w:t xml:space="preserve"> a </w:t>
      </w:r>
      <w:r w:rsidR="00F0539C">
        <w:t>degree</w:t>
      </w:r>
      <w:r w:rsidR="001925FB">
        <w:t xml:space="preserve"> of </w:t>
      </w:r>
      <w:r w:rsidR="00934E2C">
        <w:t xml:space="preserve">normal </w:t>
      </w:r>
      <w:r w:rsidR="00F0539C">
        <w:t>profit</w:t>
      </w:r>
      <w:r w:rsidR="00991D05">
        <w:t xml:space="preserve"> </w:t>
      </w:r>
      <w:r w:rsidR="006E4091">
        <w:t>(</w:t>
      </w:r>
      <w:r w:rsidR="00991D05">
        <w:t xml:space="preserve">adjusted for </w:t>
      </w:r>
      <w:r w:rsidR="00BC6EA4">
        <w:t>reasonable risk</w:t>
      </w:r>
      <w:r w:rsidR="006E4091">
        <w:t>)</w:t>
      </w:r>
      <w:r w:rsidR="00207698">
        <w:t>,</w:t>
      </w:r>
      <w:r w:rsidR="00785B2D">
        <w:t xml:space="preserve"> to all identifiable</w:t>
      </w:r>
      <w:r w:rsidR="005A7029">
        <w:t xml:space="preserve"> </w:t>
      </w:r>
      <w:r w:rsidR="00363283">
        <w:t xml:space="preserve">functions in the </w:t>
      </w:r>
      <w:r w:rsidR="00C412DF">
        <w:t>project</w:t>
      </w:r>
      <w:r w:rsidR="008A6188">
        <w:t xml:space="preserve"> </w:t>
      </w:r>
      <w:r w:rsidR="009979F6">
        <w:t xml:space="preserve">with the exception of the </w:t>
      </w:r>
      <w:r w:rsidR="00031179">
        <w:t>resource</w:t>
      </w:r>
      <w:r w:rsidR="008A6188">
        <w:t xml:space="preserve"> </w:t>
      </w:r>
      <w:r w:rsidR="00347FF8">
        <w:t xml:space="preserve">in order </w:t>
      </w:r>
      <w:r w:rsidR="008A6188">
        <w:t>to identify</w:t>
      </w:r>
      <w:r w:rsidR="00371F73">
        <w:t xml:space="preserve"> </w:t>
      </w:r>
      <w:r w:rsidR="007D3455">
        <w:t>if there is any</w:t>
      </w:r>
      <w:r w:rsidR="00371F73">
        <w:t xml:space="preserve"> residual profit </w:t>
      </w:r>
      <w:r w:rsidR="00991D05">
        <w:t xml:space="preserve">(economic rent) </w:t>
      </w:r>
      <w:r w:rsidR="00371F73">
        <w:t>remaining</w:t>
      </w:r>
      <w:r w:rsidR="00241DAF">
        <w:t>.</w:t>
      </w:r>
      <w:r w:rsidR="00294810">
        <w:t xml:space="preserve"> </w:t>
      </w:r>
    </w:p>
    <w:p w14:paraId="06AAE9BF" w14:textId="3363FC63" w:rsidR="001D3278" w:rsidRDefault="00294810" w:rsidP="00AF6704">
      <w:r>
        <w:t>To the extent there is residual</w:t>
      </w:r>
      <w:r w:rsidR="00175D4A">
        <w:t xml:space="preserve"> profit</w:t>
      </w:r>
      <w:r w:rsidR="00F276F9">
        <w:t>, this could be attribut</w:t>
      </w:r>
      <w:r w:rsidR="003D44F7">
        <w:t>able to the resource</w:t>
      </w:r>
      <w:r w:rsidR="00CA4268">
        <w:t xml:space="preserve">, which is treated </w:t>
      </w:r>
      <w:r w:rsidR="00BC6EA4">
        <w:t xml:space="preserve">as </w:t>
      </w:r>
      <w:r w:rsidR="00CA4268">
        <w:t xml:space="preserve">a </w:t>
      </w:r>
      <w:r w:rsidR="005B2559">
        <w:t>zero</w:t>
      </w:r>
      <w:r w:rsidR="00EF1FF8">
        <w:t>-</w:t>
      </w:r>
      <w:r w:rsidR="005B2559">
        <w:t>cost input</w:t>
      </w:r>
      <w:r w:rsidR="00995249">
        <w:t xml:space="preserve"> into the RPM calculation</w:t>
      </w:r>
      <w:r w:rsidR="00B972CC">
        <w:t>, or it could be attributable to other parts of the production</w:t>
      </w:r>
      <w:r w:rsidR="002E6EE9">
        <w:t xml:space="preserve"> chain</w:t>
      </w:r>
      <w:r w:rsidR="00EB6D1D">
        <w:t xml:space="preserve"> to the extent they add value beyond normal commercial value adding</w:t>
      </w:r>
      <w:r w:rsidR="002E5BCB">
        <w:t xml:space="preserve"> </w:t>
      </w:r>
      <w:r w:rsidR="0085415D">
        <w:t>(</w:t>
      </w:r>
      <w:r w:rsidR="002E5BCB">
        <w:t>which has already been accounted for</w:t>
      </w:r>
      <w:r w:rsidR="0085415D">
        <w:t xml:space="preserve"> in the </w:t>
      </w:r>
      <w:r w:rsidR="00202A41">
        <w:t>initial allocation</w:t>
      </w:r>
      <w:r w:rsidR="00A817FE">
        <w:t xml:space="preserve"> of profits)</w:t>
      </w:r>
      <w:r w:rsidR="00773418">
        <w:t>.</w:t>
      </w:r>
      <w:r w:rsidR="002558AF">
        <w:t xml:space="preserve"> The question </w:t>
      </w:r>
      <w:r w:rsidR="009F51CE">
        <w:t>Treasury</w:t>
      </w:r>
      <w:r w:rsidR="002558AF">
        <w:t xml:space="preserve"> has had to grapple with</w:t>
      </w:r>
      <w:r w:rsidR="00AB7AD9">
        <w:t>,</w:t>
      </w:r>
      <w:r w:rsidR="005C3B0A">
        <w:t xml:space="preserve"> and has questioned industry </w:t>
      </w:r>
      <w:r w:rsidR="00583CE6">
        <w:t xml:space="preserve">and other interested stakeholders </w:t>
      </w:r>
      <w:r w:rsidR="005C3B0A">
        <w:t>on</w:t>
      </w:r>
      <w:r w:rsidR="00AB7AD9">
        <w:t>,</w:t>
      </w:r>
      <w:r w:rsidR="0040358D">
        <w:t xml:space="preserve"> is what are the </w:t>
      </w:r>
      <w:r w:rsidR="00006687">
        <w:t xml:space="preserve">clearly identifiable </w:t>
      </w:r>
      <w:r w:rsidR="0040358D">
        <w:t>factors</w:t>
      </w:r>
      <w:r w:rsidR="00CE7ECA">
        <w:t xml:space="preserve"> in the production chain </w:t>
      </w:r>
      <w:r w:rsidR="00A817FE">
        <w:t xml:space="preserve">other than the resource </w:t>
      </w:r>
      <w:r w:rsidR="00CE7ECA">
        <w:t>that could account</w:t>
      </w:r>
      <w:r w:rsidR="00D35AFD">
        <w:t xml:space="preserve"> for residual profits</w:t>
      </w:r>
      <w:r w:rsidR="002D5C82">
        <w:t>.</w:t>
      </w:r>
    </w:p>
    <w:p w14:paraId="218A897B" w14:textId="27278AD9" w:rsidR="005E03A8" w:rsidRDefault="001C63DA" w:rsidP="00AF6704">
      <w:r>
        <w:t>As noted</w:t>
      </w:r>
      <w:r w:rsidR="00914B35">
        <w:t xml:space="preserve"> </w:t>
      </w:r>
      <w:r w:rsidR="00241B2C">
        <w:t xml:space="preserve">in </w:t>
      </w:r>
      <w:r w:rsidR="00914B35">
        <w:t>chapter three</w:t>
      </w:r>
      <w:r>
        <w:t>, t</w:t>
      </w:r>
      <w:r w:rsidR="00543DD6">
        <w:t xml:space="preserve">he </w:t>
      </w:r>
      <w:r w:rsidR="00142D8C">
        <w:t xml:space="preserve">value of the upstream </w:t>
      </w:r>
      <w:r w:rsidR="00914B35">
        <w:t>activit</w:t>
      </w:r>
      <w:r w:rsidR="004D1DE7">
        <w:t>ies</w:t>
      </w:r>
      <w:r w:rsidR="00914B35">
        <w:t xml:space="preserve"> </w:t>
      </w:r>
      <w:r w:rsidR="00D13676">
        <w:t>is</w:t>
      </w:r>
      <w:r w:rsidR="00914B35">
        <w:t xml:space="preserve"> determined using the </w:t>
      </w:r>
      <w:r w:rsidR="00241B2C">
        <w:t>‘</w:t>
      </w:r>
      <w:r w:rsidR="00543DD6">
        <w:t>cost</w:t>
      </w:r>
      <w:r w:rsidR="008C7C07">
        <w:t>-</w:t>
      </w:r>
      <w:r w:rsidR="00543DD6">
        <w:t>plus</w:t>
      </w:r>
      <w:r w:rsidR="00241B2C">
        <w:t>’</w:t>
      </w:r>
      <w:r w:rsidR="00543DD6">
        <w:t xml:space="preserve"> method</w:t>
      </w:r>
      <w:r w:rsidR="00914B35">
        <w:t xml:space="preserve">, </w:t>
      </w:r>
      <w:r w:rsidR="0024088B">
        <w:t xml:space="preserve">which </w:t>
      </w:r>
      <w:r w:rsidR="0088095D">
        <w:t>in</w:t>
      </w:r>
      <w:r w:rsidR="00820B33">
        <w:t>cludes</w:t>
      </w:r>
      <w:r w:rsidR="0088095D">
        <w:t xml:space="preserve"> </w:t>
      </w:r>
      <w:r w:rsidR="0024088B">
        <w:t xml:space="preserve">the upstream operating costs associated with </w:t>
      </w:r>
      <w:r w:rsidR="00D13676">
        <w:t>producing</w:t>
      </w:r>
      <w:r w:rsidR="0024088B">
        <w:t xml:space="preserve"> natural gas</w:t>
      </w:r>
      <w:r w:rsidR="00135D90">
        <w:t xml:space="preserve"> </w:t>
      </w:r>
      <w:r w:rsidR="00754BE5">
        <w:t>as well as</w:t>
      </w:r>
      <w:r w:rsidR="00185382">
        <w:t xml:space="preserve"> </w:t>
      </w:r>
      <w:r w:rsidR="00283BCD">
        <w:t xml:space="preserve">an appropriate amount </w:t>
      </w:r>
      <w:r w:rsidR="0088095D">
        <w:t xml:space="preserve">reflecting </w:t>
      </w:r>
      <w:r w:rsidR="00283BCD">
        <w:t xml:space="preserve">a </w:t>
      </w:r>
      <w:r w:rsidR="00131B2D">
        <w:t xml:space="preserve">notional and fixed </w:t>
      </w:r>
      <w:r w:rsidR="006E2B0C" w:rsidDel="00131B2D">
        <w:t>gross</w:t>
      </w:r>
      <w:r w:rsidR="006E2B0C">
        <w:t xml:space="preserve"> profit on those</w:t>
      </w:r>
      <w:r w:rsidR="00754BE5">
        <w:t xml:space="preserve"> </w:t>
      </w:r>
      <w:r w:rsidR="006E2B0C">
        <w:t>costs</w:t>
      </w:r>
      <w:r w:rsidR="00EE0C45">
        <w:t xml:space="preserve"> (</w:t>
      </w:r>
      <w:r w:rsidR="00630CA7">
        <w:t>that is,</w:t>
      </w:r>
      <w:r w:rsidR="00EE0C45">
        <w:t xml:space="preserve"> the ‘normal’ return required by a gas producer to sustain the operations)</w:t>
      </w:r>
      <w:r w:rsidR="00553351">
        <w:t xml:space="preserve">, represented by </w:t>
      </w:r>
      <w:r w:rsidR="00C574DF">
        <w:t>the Government long-term bond rate (</w:t>
      </w:r>
      <w:r w:rsidR="004413B1">
        <w:t>LTBR</w:t>
      </w:r>
      <w:r w:rsidR="00C574DF">
        <w:t>)</w:t>
      </w:r>
      <w:r w:rsidR="004413B1">
        <w:t xml:space="preserve"> plus 7 percentage points</w:t>
      </w:r>
      <w:r w:rsidR="004D1DE7">
        <w:t>.</w:t>
      </w:r>
      <w:r w:rsidR="00E80F92">
        <w:t xml:space="preserve"> </w:t>
      </w:r>
      <w:r w:rsidR="0092024F">
        <w:t>Using</w:t>
      </w:r>
      <w:r w:rsidR="00B462F6">
        <w:t xml:space="preserve"> </w:t>
      </w:r>
      <w:r w:rsidR="003D3EB9">
        <w:t>a</w:t>
      </w:r>
      <w:r w:rsidR="00F72FC0">
        <w:t xml:space="preserve"> standard</w:t>
      </w:r>
      <w:r w:rsidR="0078057C">
        <w:t xml:space="preserve">, </w:t>
      </w:r>
      <w:r w:rsidR="00FE50A8">
        <w:t>notional and fixed</w:t>
      </w:r>
      <w:r w:rsidR="00AF4A4C">
        <w:t xml:space="preserve"> gross </w:t>
      </w:r>
      <w:r w:rsidR="00F72FC0">
        <w:t>profit margin</w:t>
      </w:r>
      <w:r w:rsidR="0092024F">
        <w:t xml:space="preserve"> </w:t>
      </w:r>
      <w:r w:rsidR="005B44DA">
        <w:t>only applying</w:t>
      </w:r>
      <w:r w:rsidR="00522829">
        <w:t xml:space="preserve"> to upstream</w:t>
      </w:r>
      <w:r w:rsidR="00B60F0A">
        <w:t xml:space="preserve"> </w:t>
      </w:r>
      <w:r w:rsidR="00BF0573">
        <w:t>infrastructure and running costs</w:t>
      </w:r>
      <w:r w:rsidR="00C144CD">
        <w:t xml:space="preserve"> </w:t>
      </w:r>
      <w:r w:rsidR="00923D2A">
        <w:t xml:space="preserve">means that </w:t>
      </w:r>
      <w:r w:rsidR="008750EA">
        <w:t xml:space="preserve">no </w:t>
      </w:r>
      <w:r w:rsidR="00820C5E">
        <w:t>account</w:t>
      </w:r>
      <w:r w:rsidR="008750EA">
        <w:t xml:space="preserve"> is made </w:t>
      </w:r>
      <w:r w:rsidR="00820C5E">
        <w:t xml:space="preserve">for </w:t>
      </w:r>
      <w:r w:rsidR="008750EA">
        <w:t>the</w:t>
      </w:r>
      <w:r w:rsidR="00873A95">
        <w:t xml:space="preserve"> </w:t>
      </w:r>
      <w:r w:rsidR="008750EA">
        <w:t>gas resource</w:t>
      </w:r>
      <w:r w:rsidR="00FD5297">
        <w:t xml:space="preserve"> </w:t>
      </w:r>
      <w:r w:rsidR="00387A2F">
        <w:t>used as an input</w:t>
      </w:r>
      <w:r w:rsidR="00FD5297">
        <w:t xml:space="preserve"> </w:t>
      </w:r>
      <w:r w:rsidR="00ED2BD1">
        <w:t>to</w:t>
      </w:r>
      <w:r w:rsidR="00986224">
        <w:t xml:space="preserve"> that production</w:t>
      </w:r>
      <w:r w:rsidR="00C52B81">
        <w:t xml:space="preserve">; </w:t>
      </w:r>
      <w:r w:rsidR="00FD5297">
        <w:t>instead</w:t>
      </w:r>
      <w:r w:rsidR="00192825">
        <w:t>,</w:t>
      </w:r>
      <w:r w:rsidR="00C52B81">
        <w:t xml:space="preserve"> </w:t>
      </w:r>
      <w:r w:rsidR="00192825">
        <w:t>that value</w:t>
      </w:r>
      <w:r w:rsidR="00FD5297">
        <w:t xml:space="preserve"> </w:t>
      </w:r>
      <w:r w:rsidR="003A1173">
        <w:t xml:space="preserve">is incorporated into the residual profit determined at the end </w:t>
      </w:r>
      <w:r w:rsidR="00C52B81">
        <w:t xml:space="preserve">of the </w:t>
      </w:r>
      <w:r w:rsidR="00863F5B">
        <w:t xml:space="preserve">RPM </w:t>
      </w:r>
      <w:r w:rsidR="00C52B81">
        <w:t>calculation</w:t>
      </w:r>
      <w:r w:rsidR="00863F5B">
        <w:t xml:space="preserve"> and subject to the</w:t>
      </w:r>
      <w:r w:rsidR="006762DE">
        <w:t xml:space="preserve"> 50:50</w:t>
      </w:r>
      <w:r w:rsidR="00863F5B">
        <w:t xml:space="preserve"> profit split</w:t>
      </w:r>
      <w:r w:rsidR="00C52B81">
        <w:t xml:space="preserve">. </w:t>
      </w:r>
      <w:r w:rsidR="00857318">
        <w:t>Th</w:t>
      </w:r>
      <w:r w:rsidR="00A11942">
        <w:t>us</w:t>
      </w:r>
      <w:r w:rsidR="003419AA">
        <w:t>,</w:t>
      </w:r>
      <w:r w:rsidR="00A11942">
        <w:t xml:space="preserve"> the RPM</w:t>
      </w:r>
      <w:r w:rsidR="00067C1A">
        <w:t xml:space="preserve"> assumes that the </w:t>
      </w:r>
      <w:r w:rsidR="007632C7">
        <w:t xml:space="preserve">value of </w:t>
      </w:r>
      <w:r w:rsidR="00A2664C">
        <w:t xml:space="preserve">the underlying </w:t>
      </w:r>
      <w:r w:rsidR="00067C1A">
        <w:t xml:space="preserve">resource can at most account for 50 per cent of the </w:t>
      </w:r>
      <w:r w:rsidR="00B346EA">
        <w:t>residual profit</w:t>
      </w:r>
      <w:r w:rsidR="000225CB">
        <w:t xml:space="preserve"> or rent</w:t>
      </w:r>
      <w:r w:rsidR="00B346EA">
        <w:t>.</w:t>
      </w:r>
    </w:p>
    <w:p w14:paraId="2D262ABE" w14:textId="1905AEA1" w:rsidR="00B2257E" w:rsidRDefault="00684E2C" w:rsidP="00AF6704">
      <w:r>
        <w:t xml:space="preserve">In a project </w:t>
      </w:r>
      <w:r w:rsidR="003A4ACF">
        <w:t xml:space="preserve">where the return on upstream </w:t>
      </w:r>
      <w:r w:rsidR="002A3E67">
        <w:t>plus return on downstream equals the observed LNG price</w:t>
      </w:r>
      <w:r>
        <w:t>, then</w:t>
      </w:r>
      <w:r w:rsidR="00A921DA">
        <w:t xml:space="preserve"> at that point in time,</w:t>
      </w:r>
      <w:r>
        <w:t xml:space="preserve"> there </w:t>
      </w:r>
      <w:r w:rsidR="00CB5BB8">
        <w:t>is no residual profit</w:t>
      </w:r>
      <w:r w:rsidR="00DF2FBE">
        <w:t>/economic rent in the project</w:t>
      </w:r>
      <w:r w:rsidR="002A3E67">
        <w:t>.</w:t>
      </w:r>
      <w:r w:rsidR="00602306">
        <w:t xml:space="preserve"> If supply and demand conditions </w:t>
      </w:r>
      <w:r w:rsidR="006A008C">
        <w:t xml:space="preserve">change such that </w:t>
      </w:r>
      <w:r w:rsidR="00602306">
        <w:t xml:space="preserve">the price of LNG increases above the </w:t>
      </w:r>
      <w:r w:rsidR="006A008C">
        <w:t>neutral</w:t>
      </w:r>
      <w:r w:rsidR="00602306">
        <w:t xml:space="preserve"> price, </w:t>
      </w:r>
      <w:r w:rsidR="00FE7145">
        <w:t>economic rent</w:t>
      </w:r>
      <w:r w:rsidR="0011199E">
        <w:t xml:space="preserve"> </w:t>
      </w:r>
      <w:r w:rsidR="00A921DA">
        <w:t>is</w:t>
      </w:r>
      <w:r w:rsidR="0011199E">
        <w:t xml:space="preserve"> </w:t>
      </w:r>
      <w:r w:rsidR="00FE7145">
        <w:t xml:space="preserve">generated in the project without </w:t>
      </w:r>
      <w:r w:rsidR="00E8139F">
        <w:t xml:space="preserve">anything different or special having been done in the upstream or downstream activity. </w:t>
      </w:r>
      <w:r w:rsidR="00CE43D7">
        <w:t>Th</w:t>
      </w:r>
      <w:r w:rsidR="006A008C">
        <w:t xml:space="preserve">is underpins the </w:t>
      </w:r>
      <w:r w:rsidR="002233E8">
        <w:t xml:space="preserve">central </w:t>
      </w:r>
      <w:r w:rsidR="006A008C">
        <w:t>argument that the</w:t>
      </w:r>
      <w:r w:rsidR="00CE43D7">
        <w:t xml:space="preserve"> </w:t>
      </w:r>
      <w:r w:rsidR="00231729">
        <w:t xml:space="preserve">primary source of </w:t>
      </w:r>
      <w:r w:rsidR="00CE43D7">
        <w:t xml:space="preserve">economic rents </w:t>
      </w:r>
      <w:r w:rsidR="00D01B50">
        <w:t>vest in the resource</w:t>
      </w:r>
      <w:r w:rsidR="0011199E">
        <w:t>.</w:t>
      </w:r>
      <w:r w:rsidR="006A008C">
        <w:t xml:space="preserve"> </w:t>
      </w:r>
      <w:r w:rsidR="00902C1F">
        <w:t xml:space="preserve">It is above this </w:t>
      </w:r>
      <w:r w:rsidR="00D90D25">
        <w:t>neutral</w:t>
      </w:r>
      <w:r w:rsidR="00902C1F">
        <w:t xml:space="preserve"> point where the economic rents are created that the community should </w:t>
      </w:r>
      <w:r w:rsidR="00C9199B">
        <w:t>share in this value. At present, the RPM limits this to no more than half the value</w:t>
      </w:r>
      <w:r w:rsidR="00016C32">
        <w:t xml:space="preserve"> being shared with the community</w:t>
      </w:r>
      <w:r w:rsidR="00C9199B">
        <w:t>.</w:t>
      </w:r>
    </w:p>
    <w:p w14:paraId="30B446B9" w14:textId="3A3EA622" w:rsidR="00AF6704" w:rsidRDefault="00AF6704" w:rsidP="00AF6704">
      <w:pPr>
        <w:pStyle w:val="Heading3"/>
      </w:pPr>
      <w:r>
        <w:t>The RPM attributes 50 per cent of economic rents to the downstream activities</w:t>
      </w:r>
      <w:r w:rsidR="000C6A70">
        <w:t xml:space="preserve"> in all cases</w:t>
      </w:r>
    </w:p>
    <w:p w14:paraId="533C658D" w14:textId="303A5396" w:rsidR="00DA6612" w:rsidRDefault="00F947C9" w:rsidP="00DA6612">
      <w:r>
        <w:t>E</w:t>
      </w:r>
      <w:r w:rsidR="00DA6612">
        <w:t xml:space="preserve">conomic rents </w:t>
      </w:r>
      <w:r w:rsidR="00A40DA8">
        <w:t xml:space="preserve">other than those attributable to the value of a resource </w:t>
      </w:r>
      <w:r w:rsidR="007B5777">
        <w:t xml:space="preserve">might </w:t>
      </w:r>
      <w:r w:rsidR="007F7F50">
        <w:t>commonly</w:t>
      </w:r>
      <w:r w:rsidR="00DA6612">
        <w:t xml:space="preserve"> occur </w:t>
      </w:r>
      <w:r w:rsidR="00703A93">
        <w:t>due to</w:t>
      </w:r>
      <w:r w:rsidR="00A338E5">
        <w:t xml:space="preserve"> such </w:t>
      </w:r>
      <w:r w:rsidR="002A0E78">
        <w:t xml:space="preserve">factors </w:t>
      </w:r>
      <w:r w:rsidR="00A338E5">
        <w:t>as</w:t>
      </w:r>
      <w:r w:rsidR="00703A93">
        <w:t>:</w:t>
      </w:r>
    </w:p>
    <w:p w14:paraId="4F10A731" w14:textId="758464B9" w:rsidR="00DA6612" w:rsidRDefault="00DA6612" w:rsidP="00DA6612">
      <w:pPr>
        <w:pStyle w:val="Bullet"/>
      </w:pPr>
      <w:r>
        <w:t>regulatory restrictions, for example certain qualifications being required to perform particular activities,</w:t>
      </w:r>
    </w:p>
    <w:p w14:paraId="00567C27" w14:textId="77777777" w:rsidR="007B5E1A" w:rsidRDefault="00DA6612" w:rsidP="00DA6612">
      <w:pPr>
        <w:pStyle w:val="Bullet"/>
      </w:pPr>
      <w:r>
        <w:t>significant product differentiation of manufactured goods attracting a brand premium,</w:t>
      </w:r>
    </w:p>
    <w:p w14:paraId="4CEADBE4" w14:textId="7DE46775" w:rsidR="00DA6612" w:rsidRDefault="007B5E1A" w:rsidP="00DA6612">
      <w:pPr>
        <w:pStyle w:val="Bullet"/>
      </w:pPr>
      <w:r>
        <w:t>geographic factors such as a conveniently located business that can</w:t>
      </w:r>
      <w:r w:rsidR="00CE42B7">
        <w:t xml:space="preserve"> </w:t>
      </w:r>
      <w:r>
        <w:t>charge higher</w:t>
      </w:r>
      <w:r w:rsidR="00DA6612">
        <w:t xml:space="preserve"> </w:t>
      </w:r>
      <w:r w:rsidR="00CE42B7">
        <w:t>prices</w:t>
      </w:r>
      <w:r w:rsidR="00623D94">
        <w:t>,</w:t>
      </w:r>
      <w:r w:rsidR="00DA6612">
        <w:t xml:space="preserve"> </w:t>
      </w:r>
      <w:r w:rsidR="00623D94">
        <w:t>and</w:t>
      </w:r>
      <w:r w:rsidR="00DA6612">
        <w:t xml:space="preserve"> </w:t>
      </w:r>
    </w:p>
    <w:p w14:paraId="6902928B" w14:textId="2D8F3B4C" w:rsidR="00DA6612" w:rsidRDefault="00703A93" w:rsidP="00DA6612">
      <w:pPr>
        <w:pStyle w:val="Bullet"/>
      </w:pPr>
      <w:r>
        <w:t>t</w:t>
      </w:r>
      <w:r w:rsidR="00DA6612">
        <w:t>he use of closely held technology that lowers production costs more than competitors. This cannot apply to an industry as a whole, only those whose cost of production is lower than average.</w:t>
      </w:r>
      <w:r w:rsidR="00151767">
        <w:t xml:space="preserve"> </w:t>
      </w:r>
    </w:p>
    <w:p w14:paraId="00D715BD" w14:textId="2DF2B537" w:rsidR="00A7054F" w:rsidRDefault="00C65521" w:rsidP="00863CB1">
      <w:r>
        <w:t>For PRRT purposes, t</w:t>
      </w:r>
      <w:r w:rsidR="003E22BE">
        <w:t xml:space="preserve">he downstream component of LNG production comprises all the functions from the point at which sales gas is produced and up until the point where LNG is sold. This </w:t>
      </w:r>
      <w:r w:rsidR="009007BE">
        <w:t>endpoint</w:t>
      </w:r>
      <w:r w:rsidR="003E22BE">
        <w:t xml:space="preserve"> </w:t>
      </w:r>
      <w:r w:rsidR="004B58E6">
        <w:t xml:space="preserve">is </w:t>
      </w:r>
      <w:r w:rsidR="004B58E6">
        <w:lastRenderedPageBreak/>
        <w:t xml:space="preserve">typically the adjacent </w:t>
      </w:r>
      <w:r w:rsidR="001751A6">
        <w:t>‘</w:t>
      </w:r>
      <w:r w:rsidR="00370BD6">
        <w:t>free-on-board</w:t>
      </w:r>
      <w:r w:rsidR="001751A6">
        <w:t>’</w:t>
      </w:r>
      <w:r w:rsidR="00370BD6">
        <w:t xml:space="preserve"> (FOB</w:t>
      </w:r>
      <w:r w:rsidR="001751A6">
        <w:t>)</w:t>
      </w:r>
      <w:r w:rsidR="00370BD6">
        <w:t xml:space="preserve"> shipping point</w:t>
      </w:r>
      <w:r w:rsidR="001751A6">
        <w:t>.</w:t>
      </w:r>
      <w:r w:rsidR="00024C20">
        <w:t xml:space="preserve"> The main functions </w:t>
      </w:r>
      <w:r w:rsidR="00B401E5">
        <w:t xml:space="preserve">of this downstream </w:t>
      </w:r>
      <w:r w:rsidR="00024C20">
        <w:t>are liquefaction, storage</w:t>
      </w:r>
      <w:r w:rsidR="000B7A69">
        <w:t xml:space="preserve"> prior to shipping</w:t>
      </w:r>
      <w:r w:rsidR="00F063C9" w:rsidRPr="00F063C9">
        <w:t xml:space="preserve"> </w:t>
      </w:r>
      <w:r w:rsidR="00F063C9">
        <w:t xml:space="preserve">and </w:t>
      </w:r>
      <w:r w:rsidR="003D1E61">
        <w:t>loading onto the ship</w:t>
      </w:r>
    </w:p>
    <w:p w14:paraId="64F1086F" w14:textId="16DFEDF2" w:rsidR="00C026A5" w:rsidRDefault="0091290E" w:rsidP="00863CB1">
      <w:r>
        <w:t xml:space="preserve">It is not in dispute </w:t>
      </w:r>
      <w:r w:rsidR="00DE240A">
        <w:t>that each function in the downstream add</w:t>
      </w:r>
      <w:r w:rsidR="00F47B90">
        <w:t>s</w:t>
      </w:r>
      <w:r w:rsidR="00DE240A">
        <w:t xml:space="preserve"> value</w:t>
      </w:r>
      <w:r w:rsidR="00A1758C">
        <w:t xml:space="preserve">, but value-adding is not the same as generating economic rent. </w:t>
      </w:r>
    </w:p>
    <w:p w14:paraId="0EF5F264" w14:textId="3DC71B71" w:rsidR="00941957" w:rsidRDefault="005963FD" w:rsidP="00863CB1">
      <w:r>
        <w:t>T</w:t>
      </w:r>
      <w:r w:rsidR="00D0337F">
        <w:t xml:space="preserve">reasury considers </w:t>
      </w:r>
      <w:r w:rsidR="00E94877">
        <w:t>th</w:t>
      </w:r>
      <w:r w:rsidR="00ED1B87">
        <w:t>at the 50:50 profit split</w:t>
      </w:r>
      <w:r w:rsidR="00202A0C">
        <w:t xml:space="preserve"> attributes too much rent to the downstream</w:t>
      </w:r>
      <w:r w:rsidR="004A5398">
        <w:t xml:space="preserve"> for the following </w:t>
      </w:r>
      <w:r w:rsidR="00BF44B2">
        <w:t xml:space="preserve">reasons: </w:t>
      </w:r>
    </w:p>
    <w:p w14:paraId="343E1180" w14:textId="49022339" w:rsidR="00BF44B2" w:rsidRDefault="00BF44B2" w:rsidP="00BF44B2">
      <w:pPr>
        <w:pStyle w:val="Bullet"/>
      </w:pPr>
      <w:r>
        <w:t>LNG is</w:t>
      </w:r>
      <w:r w:rsidR="00EF13C0">
        <w:t xml:space="preserve"> highly commoditised</w:t>
      </w:r>
      <w:r w:rsidR="006F5222">
        <w:t xml:space="preserve">, and so there is </w:t>
      </w:r>
      <w:r w:rsidR="00D11C75">
        <w:t>likely to be little</w:t>
      </w:r>
      <w:r w:rsidR="006F5222">
        <w:t xml:space="preserve"> brand premium </w:t>
      </w:r>
      <w:r w:rsidR="004A6661">
        <w:t xml:space="preserve">associated with </w:t>
      </w:r>
      <w:r w:rsidR="009F4A23">
        <w:t>every</w:t>
      </w:r>
      <w:r w:rsidR="004A6661">
        <w:t xml:space="preserve"> company’s </w:t>
      </w:r>
      <w:r w:rsidR="0044713B">
        <w:t>L</w:t>
      </w:r>
      <w:r w:rsidR="004A6661">
        <w:t>NG</w:t>
      </w:r>
      <w:r w:rsidR="00090DF0">
        <w:t>.</w:t>
      </w:r>
      <w:r w:rsidR="009F4A23">
        <w:t xml:space="preserve"> </w:t>
      </w:r>
      <w:r w:rsidR="008F5FA2">
        <w:t xml:space="preserve">While </w:t>
      </w:r>
      <w:r w:rsidR="009F4A23">
        <w:t xml:space="preserve">some LNG producers </w:t>
      </w:r>
      <w:r w:rsidR="008D2E66">
        <w:t xml:space="preserve">provide LNG to the </w:t>
      </w:r>
      <w:r w:rsidR="009725A6">
        <w:t xml:space="preserve">particular </w:t>
      </w:r>
      <w:r w:rsidR="008D2E66">
        <w:t xml:space="preserve">specifications of </w:t>
      </w:r>
      <w:r w:rsidR="00D40099">
        <w:t>customers</w:t>
      </w:r>
      <w:r w:rsidR="00DD3ECC">
        <w:t>,</w:t>
      </w:r>
      <w:r w:rsidR="00F6201C">
        <w:t xml:space="preserve"> and </w:t>
      </w:r>
      <w:r w:rsidR="00D45C1F">
        <w:t xml:space="preserve">thus </w:t>
      </w:r>
      <w:r w:rsidR="00F6201C">
        <w:t xml:space="preserve">may attract a brand premium </w:t>
      </w:r>
      <w:r w:rsidR="00B152E7">
        <w:t>as a result</w:t>
      </w:r>
      <w:r w:rsidR="00472454">
        <w:t>, t</w:t>
      </w:r>
      <w:r w:rsidR="00DF23FA">
        <w:t xml:space="preserve">hat brand premium may </w:t>
      </w:r>
      <w:r w:rsidR="004D3ABC">
        <w:t>be attributable to</w:t>
      </w:r>
      <w:r w:rsidR="003512D6">
        <w:t xml:space="preserve"> reliability of supply or </w:t>
      </w:r>
      <w:r w:rsidR="00EB7C50">
        <w:t xml:space="preserve">to </w:t>
      </w:r>
      <w:r w:rsidR="00E66180">
        <w:t>particular qualities of the resource and subsequent processing.</w:t>
      </w:r>
    </w:p>
    <w:p w14:paraId="5557783C" w14:textId="4061E2B2" w:rsidR="002562C4" w:rsidRDefault="002562C4" w:rsidP="00BF44B2">
      <w:pPr>
        <w:pStyle w:val="Bullet"/>
      </w:pPr>
      <w:r>
        <w:t xml:space="preserve">Marketing activities of </w:t>
      </w:r>
      <w:r w:rsidR="000B6004">
        <w:t xml:space="preserve">LNG companies are highly varied </w:t>
      </w:r>
      <w:r w:rsidR="0097089F">
        <w:t>and operate o</w:t>
      </w:r>
      <w:r w:rsidR="001B7C65">
        <w:t>n</w:t>
      </w:r>
      <w:r w:rsidR="0097089F">
        <w:t xml:space="preserve"> a range of different models</w:t>
      </w:r>
      <w:r w:rsidR="000F3562">
        <w:t xml:space="preserve">. Some LNG </w:t>
      </w:r>
      <w:r w:rsidR="001B7C65">
        <w:t>producers</w:t>
      </w:r>
      <w:r w:rsidR="00D4549D">
        <w:t xml:space="preserve"> utilise marketing or trading hubs </w:t>
      </w:r>
      <w:r w:rsidR="0008481E">
        <w:t xml:space="preserve">that purchase LNG from Australian operations </w:t>
      </w:r>
      <w:r w:rsidR="00FE6AAC">
        <w:t xml:space="preserve">to </w:t>
      </w:r>
      <w:r w:rsidR="0008481E">
        <w:t xml:space="preserve">on </w:t>
      </w:r>
      <w:r w:rsidR="00FE6AAC">
        <w:t>sell to third part</w:t>
      </w:r>
      <w:r w:rsidR="0008481E">
        <w:t xml:space="preserve">ies. These hubs are often located in foreign jurisdictions and the profits attributed to </w:t>
      </w:r>
      <w:r w:rsidR="00E01738">
        <w:t>this part of the value chain</w:t>
      </w:r>
      <w:r w:rsidR="007766CF">
        <w:t xml:space="preserve"> </w:t>
      </w:r>
      <w:r w:rsidR="009125B6">
        <w:t>ar</w:t>
      </w:r>
      <w:r w:rsidR="003B6D8A">
        <w:t>e generally not captured in Australia’s income tax or PRRT bases.</w:t>
      </w:r>
      <w:r w:rsidR="00F32B99">
        <w:rPr>
          <w:rStyle w:val="FootnoteReference"/>
        </w:rPr>
        <w:footnoteReference w:id="67"/>
      </w:r>
      <w:r w:rsidR="003B6D8A">
        <w:t xml:space="preserve"> </w:t>
      </w:r>
      <w:r w:rsidR="000C48A9">
        <w:t>A</w:t>
      </w:r>
      <w:r w:rsidR="00121F80">
        <w:t xml:space="preserve">ttribution of further residual profits to these </w:t>
      </w:r>
      <w:r w:rsidR="006A7443">
        <w:t>activities</w:t>
      </w:r>
      <w:r w:rsidR="00121F80">
        <w:t xml:space="preserve"> </w:t>
      </w:r>
      <w:r w:rsidR="006A7443">
        <w:t xml:space="preserve">is </w:t>
      </w:r>
      <w:r w:rsidR="00454FBC">
        <w:t>therefore</w:t>
      </w:r>
      <w:r w:rsidR="006A7443">
        <w:t xml:space="preserve"> unnecessary.</w:t>
      </w:r>
      <w:r w:rsidR="00F9029E">
        <w:t xml:space="preserve"> </w:t>
      </w:r>
    </w:p>
    <w:p w14:paraId="20AF17B6" w14:textId="7EA545B0" w:rsidR="0044713B" w:rsidRDefault="0044713B" w:rsidP="00BF44B2">
      <w:pPr>
        <w:pStyle w:val="Bullet"/>
      </w:pPr>
      <w:r>
        <w:t xml:space="preserve">While </w:t>
      </w:r>
      <w:r w:rsidR="008A0110">
        <w:t>shipping is outside of the notional downstream entity,</w:t>
      </w:r>
      <w:r w:rsidR="00AB5FE4">
        <w:t xml:space="preserve"> the </w:t>
      </w:r>
      <w:r w:rsidR="004C5C4D">
        <w:t>costs of shipping are an important component</w:t>
      </w:r>
      <w:r w:rsidR="00E96FF6">
        <w:t xml:space="preserve"> calculating PRRT revenue when </w:t>
      </w:r>
      <w:r w:rsidR="00FE0BD2">
        <w:t>the price received for LNG includes shipping.</w:t>
      </w:r>
      <w:r w:rsidR="008A0110">
        <w:t xml:space="preserve"> </w:t>
      </w:r>
      <w:r w:rsidR="00FE0BD2">
        <w:t>T</w:t>
      </w:r>
      <w:r>
        <w:t>here may be monopoly rents attributable to shipping at particular times in the LNG investment cycle,</w:t>
      </w:r>
      <w:r w:rsidR="003C6A61">
        <w:t xml:space="preserve"> </w:t>
      </w:r>
      <w:r w:rsidR="005E3CBD">
        <w:t xml:space="preserve">however </w:t>
      </w:r>
      <w:r>
        <w:t>it is unlikely that there are consistent rents over the longer term</w:t>
      </w:r>
      <w:r w:rsidR="0051015E">
        <w:t>.</w:t>
      </w:r>
    </w:p>
    <w:p w14:paraId="68755332" w14:textId="77777777" w:rsidR="004E5A16" w:rsidRDefault="00CB47F1">
      <w:pPr>
        <w:pStyle w:val="Bullet"/>
      </w:pPr>
      <w:r>
        <w:t xml:space="preserve">All projects cannot have lower production costs than every other project through the use of closely held </w:t>
      </w:r>
      <w:r w:rsidR="00417A11">
        <w:t>liquefaction technology. Lower costs of production cannot apply to an industry as a whole, only to those whose cost of production is lower than average.</w:t>
      </w:r>
    </w:p>
    <w:p w14:paraId="069B8312" w14:textId="3CB67F1A" w:rsidR="004B51A8" w:rsidRDefault="004E5A16">
      <w:pPr>
        <w:pStyle w:val="Bullet"/>
      </w:pPr>
      <w:r>
        <w:t xml:space="preserve">LNG plants </w:t>
      </w:r>
      <w:r w:rsidR="00FF43BA">
        <w:t xml:space="preserve">are </w:t>
      </w:r>
      <w:r w:rsidR="00E72D35">
        <w:t>unique, valuable and highly specialised pieces of infrastructure</w:t>
      </w:r>
      <w:r w:rsidR="0019388E">
        <w:t xml:space="preserve"> </w:t>
      </w:r>
      <w:r w:rsidR="001F73C8">
        <w:t>incorporating</w:t>
      </w:r>
      <w:r w:rsidR="00F039BB">
        <w:t xml:space="preserve"> complex engineering and intellectual property</w:t>
      </w:r>
      <w:r w:rsidR="008F266C">
        <w:t xml:space="preserve">. They </w:t>
      </w:r>
      <w:r w:rsidR="0019388E">
        <w:t>may be a potential source of economic rents, but not to the extent of 50 per cent</w:t>
      </w:r>
      <w:r w:rsidR="00E72D35">
        <w:t xml:space="preserve">. </w:t>
      </w:r>
      <w:r w:rsidR="00F459AA">
        <w:t xml:space="preserve">LNG plants </w:t>
      </w:r>
      <w:r w:rsidR="00E72D35">
        <w:t>are designed to process</w:t>
      </w:r>
      <w:r w:rsidR="002219AD">
        <w:t xml:space="preserve"> particular gas reserves and to liqu</w:t>
      </w:r>
      <w:r w:rsidR="003623F5">
        <w:t>e</w:t>
      </w:r>
      <w:r w:rsidR="002219AD">
        <w:t xml:space="preserve">fy that gas to the specifications of the </w:t>
      </w:r>
      <w:r w:rsidR="00D86D1C">
        <w:t xml:space="preserve">particular market or </w:t>
      </w:r>
      <w:r w:rsidR="007839DE">
        <w:t>global</w:t>
      </w:r>
      <w:r w:rsidR="00D86D1C">
        <w:t xml:space="preserve"> market to which they sell.</w:t>
      </w:r>
      <w:r w:rsidR="002219AD">
        <w:t xml:space="preserve"> </w:t>
      </w:r>
      <w:r w:rsidR="004B12AB">
        <w:t xml:space="preserve">The value of the LNG plant will be reflected in the return provided to compensate for the costs of construction </w:t>
      </w:r>
      <w:r w:rsidR="00376CEC">
        <w:t>(</w:t>
      </w:r>
      <w:r w:rsidR="004B12AB">
        <w:t>including if the construction of complex parts of the plant were outsourced to a third party</w:t>
      </w:r>
      <w:r w:rsidR="001C6C8F">
        <w:t xml:space="preserve"> or reflected intellectual property</w:t>
      </w:r>
      <w:r w:rsidR="00C3624A">
        <w:t>)</w:t>
      </w:r>
      <w:r w:rsidR="004B12AB">
        <w:t xml:space="preserve">, wages and materials. </w:t>
      </w:r>
      <w:r w:rsidR="007839DE">
        <w:t xml:space="preserve">The notional upstream component of the LNG plant </w:t>
      </w:r>
      <w:r w:rsidR="0011474B">
        <w:t>comprises</w:t>
      </w:r>
      <w:r w:rsidR="00A76A16">
        <w:t xml:space="preserve"> those process</w:t>
      </w:r>
      <w:r w:rsidR="005C405A">
        <w:t>es</w:t>
      </w:r>
      <w:r w:rsidR="00A76A16">
        <w:t xml:space="preserve"> to remove impurities from the gas for liquefaction, </w:t>
      </w:r>
      <w:r w:rsidR="007233EE">
        <w:t xml:space="preserve">while </w:t>
      </w:r>
      <w:r w:rsidR="00A76A16">
        <w:t xml:space="preserve">the notional downstream </w:t>
      </w:r>
      <w:r w:rsidR="007233EE">
        <w:t xml:space="preserve">component </w:t>
      </w:r>
      <w:r w:rsidR="00A76A16">
        <w:t>of the p</w:t>
      </w:r>
      <w:r w:rsidR="005C405A">
        <w:t>l</w:t>
      </w:r>
      <w:r w:rsidR="00A76A16">
        <w:t>ant comprise</w:t>
      </w:r>
      <w:r w:rsidR="0011474B">
        <w:t>s those part</w:t>
      </w:r>
      <w:r w:rsidR="005C405A">
        <w:t>s</w:t>
      </w:r>
      <w:r w:rsidR="0011474B">
        <w:t xml:space="preserve"> of the p</w:t>
      </w:r>
      <w:r w:rsidR="005C405A">
        <w:t>l</w:t>
      </w:r>
      <w:r w:rsidR="0011474B">
        <w:t>ant used for liqu</w:t>
      </w:r>
      <w:r w:rsidR="003623F5">
        <w:t>e</w:t>
      </w:r>
      <w:r w:rsidR="0011474B">
        <w:t>fying the gas.</w:t>
      </w:r>
      <w:r w:rsidR="00374F2D">
        <w:t xml:space="preserve"> </w:t>
      </w:r>
    </w:p>
    <w:p w14:paraId="3FACA4FE" w14:textId="45FF586C" w:rsidR="004352C6" w:rsidRDefault="00E04D98" w:rsidP="005F658A">
      <w:pPr>
        <w:pStyle w:val="Bullet"/>
      </w:pPr>
      <w:r w:rsidRPr="00E04D98">
        <w:t xml:space="preserve">Some downstream operations may rely on licenced liquefaction technology or other intangibles for which payments are made and included as part of the netback. Any rents attributable to these unique and valuable intangibles will be effectively captured in the netback as a downstream cost. Likewise, any payments made by a taxpayer to related </w:t>
      </w:r>
      <w:r w:rsidR="00AE3110">
        <w:t>pa</w:t>
      </w:r>
      <w:r w:rsidR="00FD645A">
        <w:t xml:space="preserve">rties under a cost sharing </w:t>
      </w:r>
      <w:r w:rsidR="00570A38">
        <w:t xml:space="preserve">arrangement </w:t>
      </w:r>
      <w:r w:rsidRPr="00E04D98">
        <w:t xml:space="preserve">or </w:t>
      </w:r>
      <w:r w:rsidRPr="00E04D98">
        <w:lastRenderedPageBreak/>
        <w:t xml:space="preserve">unrelated parties that transfer profits out of the project would similarly be recognised by the netback. A profit split that assigns </w:t>
      </w:r>
      <w:r w:rsidR="00032860">
        <w:t>residual profits</w:t>
      </w:r>
      <w:r w:rsidRPr="00E04D98">
        <w:t xml:space="preserve"> to the downstream may be assigning value to intangibles or other functions that have already been </w:t>
      </w:r>
      <w:r w:rsidR="00DA413F">
        <w:t>accounted for</w:t>
      </w:r>
      <w:r w:rsidRPr="00E04D98">
        <w:t xml:space="preserve"> through the netback, artificially reducing the value of the upstream operation.</w:t>
      </w:r>
    </w:p>
    <w:p w14:paraId="0FA0DC9C" w14:textId="204A2699" w:rsidR="00780990" w:rsidRDefault="00861B3C" w:rsidP="00861B3E">
      <w:r>
        <w:t xml:space="preserve">The </w:t>
      </w:r>
      <w:r w:rsidR="007540DC">
        <w:t>nature</w:t>
      </w:r>
      <w:r w:rsidR="00B24EB4">
        <w:t xml:space="preserve"> of f</w:t>
      </w:r>
      <w:r w:rsidR="00524797">
        <w:t xml:space="preserve">uture </w:t>
      </w:r>
      <w:r>
        <w:t xml:space="preserve">LNG development </w:t>
      </w:r>
      <w:r w:rsidR="00A37AC5">
        <w:t xml:space="preserve">in Australia is also evidence </w:t>
      </w:r>
      <w:r w:rsidR="00706514">
        <w:t xml:space="preserve">that </w:t>
      </w:r>
      <w:r w:rsidR="00924563">
        <w:t>there is likely to be l</w:t>
      </w:r>
      <w:r w:rsidR="00A626A2">
        <w:t>ess</w:t>
      </w:r>
      <w:r w:rsidR="00950832">
        <w:t xml:space="preserve"> economic </w:t>
      </w:r>
      <w:r w:rsidR="00706514">
        <w:t>rent</w:t>
      </w:r>
      <w:r w:rsidR="00706514" w:rsidDel="00924563">
        <w:t xml:space="preserve"> </w:t>
      </w:r>
      <w:r w:rsidR="00706514">
        <w:t xml:space="preserve">in the </w:t>
      </w:r>
      <w:r w:rsidR="000256C3">
        <w:t>down</w:t>
      </w:r>
      <w:r w:rsidR="00706514">
        <w:t xml:space="preserve">stream. </w:t>
      </w:r>
      <w:r w:rsidR="00E34208">
        <w:t xml:space="preserve">The ability </w:t>
      </w:r>
      <w:r w:rsidR="00ED01BB">
        <w:t>to exploit new deposits at lower</w:t>
      </w:r>
      <w:r w:rsidR="00F56A8C">
        <w:t xml:space="preserve"> cos</w:t>
      </w:r>
      <w:r w:rsidR="00DE3DC2">
        <w:t xml:space="preserve">t </w:t>
      </w:r>
      <w:r w:rsidR="00386DD5">
        <w:t xml:space="preserve">and to prevent </w:t>
      </w:r>
      <w:r w:rsidR="0090691B">
        <w:t>LNG processing assets from being str</w:t>
      </w:r>
      <w:r w:rsidR="009E5068">
        <w:t>anded</w:t>
      </w:r>
      <w:r w:rsidR="00320CAF">
        <w:t xml:space="preserve"> </w:t>
      </w:r>
      <w:r w:rsidR="00FD14F9">
        <w:t xml:space="preserve">is reflected in recent </w:t>
      </w:r>
      <w:r w:rsidR="00A064DE">
        <w:t>investme</w:t>
      </w:r>
      <w:r w:rsidR="00FD6D94">
        <w:t>nt</w:t>
      </w:r>
      <w:r w:rsidR="00FD14F9">
        <w:t xml:space="preserve"> decisions in new projects. </w:t>
      </w:r>
      <w:r w:rsidR="004B7E69">
        <w:t>New investments have highlighted</w:t>
      </w:r>
      <w:r w:rsidR="009C7615">
        <w:t xml:space="preserve"> </w:t>
      </w:r>
      <w:r w:rsidR="004B0706">
        <w:t>t</w:t>
      </w:r>
      <w:r w:rsidR="00FC2DFE">
        <w:t>he preference of gas owners</w:t>
      </w:r>
      <w:r w:rsidR="00B622D5">
        <w:t xml:space="preserve"> </w:t>
      </w:r>
      <w:r w:rsidR="00870ACD">
        <w:t xml:space="preserve">is </w:t>
      </w:r>
      <w:r w:rsidR="00B622D5">
        <w:t xml:space="preserve">to retain ownership </w:t>
      </w:r>
      <w:r w:rsidR="0081546B">
        <w:t xml:space="preserve">of the gas while </w:t>
      </w:r>
      <w:r w:rsidR="00CF71B4">
        <w:t xml:space="preserve">potentially </w:t>
      </w:r>
      <w:r w:rsidR="0081546B">
        <w:t>outsourcing downstream activitie</w:t>
      </w:r>
      <w:r w:rsidR="00015A88">
        <w:t>s</w:t>
      </w:r>
      <w:r w:rsidR="0081546B">
        <w:t>, including liquefaction, shipping</w:t>
      </w:r>
      <w:r w:rsidR="00BB0D7A">
        <w:t>,</w:t>
      </w:r>
      <w:r w:rsidR="0081546B">
        <w:t xml:space="preserve"> and marketing</w:t>
      </w:r>
      <w:r w:rsidR="009A09BE">
        <w:t xml:space="preserve"> on a fee-for-service basis (tolling)</w:t>
      </w:r>
      <w:r w:rsidR="004B0706">
        <w:t xml:space="preserve">. </w:t>
      </w:r>
      <w:r w:rsidR="00484295">
        <w:t xml:space="preserve">That 50 per cent of any residual profit </w:t>
      </w:r>
      <w:r w:rsidR="007B146C">
        <w:t>will be</w:t>
      </w:r>
      <w:r w:rsidR="00484295">
        <w:t xml:space="preserve"> allocated to the downstream </w:t>
      </w:r>
      <w:r w:rsidR="00530BE0">
        <w:t xml:space="preserve">(and consequently </w:t>
      </w:r>
      <w:r w:rsidR="007B146C">
        <w:t>excluded</w:t>
      </w:r>
      <w:r w:rsidR="00530BE0">
        <w:t xml:space="preserve"> from the</w:t>
      </w:r>
      <w:r w:rsidR="007A3FBB">
        <w:t xml:space="preserve"> PRRT net) </w:t>
      </w:r>
      <w:r w:rsidR="00130680">
        <w:t xml:space="preserve">under the current RPM configuration </w:t>
      </w:r>
      <w:r w:rsidR="007A3FBB">
        <w:t xml:space="preserve">despite the taxpayer outsourcing those functions is clear evidence </w:t>
      </w:r>
      <w:r w:rsidR="00475CE7">
        <w:t xml:space="preserve">that the </w:t>
      </w:r>
      <w:r w:rsidR="001C2DB5">
        <w:t xml:space="preserve">current </w:t>
      </w:r>
      <w:r w:rsidR="00475CE7">
        <w:t xml:space="preserve">RPM </w:t>
      </w:r>
      <w:r w:rsidR="006673DF">
        <w:t xml:space="preserve">is not </w:t>
      </w:r>
      <w:r w:rsidR="00C95E5C">
        <w:t>a</w:t>
      </w:r>
      <w:r w:rsidR="009E7BD7">
        <w:t>n appropriate</w:t>
      </w:r>
      <w:r w:rsidR="00C95E5C">
        <w:t xml:space="preserve"> </w:t>
      </w:r>
      <w:r w:rsidR="00A2654B">
        <w:t>approach</w:t>
      </w:r>
      <w:r w:rsidR="009B6127">
        <w:t xml:space="preserve"> for all projects</w:t>
      </w:r>
      <w:r w:rsidR="00D841BA">
        <w:t>.</w:t>
      </w:r>
    </w:p>
    <w:p w14:paraId="0ABA3CB9" w14:textId="3C20B382" w:rsidR="00575460" w:rsidRPr="00DE60B7" w:rsidRDefault="00575460" w:rsidP="00DE60B7">
      <w:pPr>
        <w:pStyle w:val="Heading2"/>
      </w:pPr>
      <w:bookmarkStart w:id="34" w:name="_Toc134273572"/>
      <w:r w:rsidRPr="00DE60B7">
        <w:t xml:space="preserve">6.2 </w:t>
      </w:r>
      <w:r w:rsidR="00C40503" w:rsidRPr="00DE60B7">
        <w:t xml:space="preserve">Analysis of the </w:t>
      </w:r>
      <w:r w:rsidRPr="00DE60B7">
        <w:t xml:space="preserve">RPM </w:t>
      </w:r>
      <w:r w:rsidR="00C40503" w:rsidRPr="00DE60B7">
        <w:t>assumptions</w:t>
      </w:r>
      <w:bookmarkEnd w:id="34"/>
      <w:r w:rsidR="00C40503" w:rsidRPr="00DE60B7">
        <w:t xml:space="preserve"> </w:t>
      </w:r>
    </w:p>
    <w:p w14:paraId="25B84CC4" w14:textId="637C829B" w:rsidR="00575460" w:rsidRPr="00881687" w:rsidRDefault="00575460" w:rsidP="00874A84">
      <w:pPr>
        <w:pStyle w:val="Heading3"/>
      </w:pPr>
      <w:r w:rsidRPr="00881687">
        <w:t xml:space="preserve">The RPM </w:t>
      </w:r>
      <w:r w:rsidR="00AB3DC8" w:rsidRPr="00881687">
        <w:t xml:space="preserve">is based on </w:t>
      </w:r>
      <w:r w:rsidRPr="00881687">
        <w:t>the OECD</w:t>
      </w:r>
      <w:r w:rsidR="005F4C71" w:rsidRPr="00881687">
        <w:t>’</w:t>
      </w:r>
      <w:r w:rsidRPr="00881687">
        <w:t>s ‘residual profit split’ method</w:t>
      </w:r>
    </w:p>
    <w:p w14:paraId="2A65C097" w14:textId="4EE90E23" w:rsidR="00575460" w:rsidRPr="00575460" w:rsidRDefault="00575460" w:rsidP="00575460">
      <w:r w:rsidRPr="00575460">
        <w:t xml:space="preserve">The RPM is not an internationally recognised transfer pricing method. Rather it is modelled on a ‘residual profit split’ analysis in the OECD Transfer Pricing Guidelines. Transfer pricing methodology has </w:t>
      </w:r>
      <w:r w:rsidR="00FE08AE">
        <w:t xml:space="preserve">progressed </w:t>
      </w:r>
      <w:r w:rsidR="00AB177B">
        <w:t>significantly</w:t>
      </w:r>
      <w:r w:rsidRPr="00575460">
        <w:t xml:space="preserve"> since the RPM was conceived. The OECD published revised guidance on residual profit splits in June 2018.</w:t>
      </w:r>
    </w:p>
    <w:p w14:paraId="1C9A1BFA" w14:textId="77777777" w:rsidR="00575460" w:rsidRPr="00575460" w:rsidRDefault="00575460" w:rsidP="00575460">
      <w:r w:rsidRPr="00575460">
        <w:t>A profit split is generally used as a solution:</w:t>
      </w:r>
    </w:p>
    <w:p w14:paraId="5F30055C" w14:textId="19817DDD" w:rsidR="00575460" w:rsidRPr="00575460" w:rsidRDefault="00575460" w:rsidP="00C3658C">
      <w:pPr>
        <w:pStyle w:val="Bullet"/>
      </w:pPr>
      <w:r w:rsidRPr="00575460">
        <w:t>Where both parties to a transaction make unique and valuable contributions (</w:t>
      </w:r>
      <w:r w:rsidR="0033762E">
        <w:t>that is</w:t>
      </w:r>
      <w:r w:rsidRPr="00575460">
        <w:t xml:space="preserve">, contribute unique and valuable intangibles) to the transaction. Contributions are considered unique and valuable where they are not comparable to contributions made by uncontrolled parties in comparable circumstances, and they represent a key source of actual or potential economic business operations. </w:t>
      </w:r>
    </w:p>
    <w:p w14:paraId="504A7576" w14:textId="77777777" w:rsidR="00575460" w:rsidRPr="00575460" w:rsidRDefault="00575460" w:rsidP="00C3658C">
      <w:pPr>
        <w:pStyle w:val="Bullet"/>
      </w:pPr>
      <w:r w:rsidRPr="00575460">
        <w:t>For highly integrated operations where a one-sided method would not be appropriate. A high degree of integration means that the way in which one party to a transaction performs functions, uses assets and assumes risks is interlinked and cannot reliably be evaluated in isolation from the performance of another party. Another example may be a high degree of interdependency.</w:t>
      </w:r>
    </w:p>
    <w:p w14:paraId="5388FDF1" w14:textId="77777777" w:rsidR="00575460" w:rsidRPr="00575460" w:rsidRDefault="00575460" w:rsidP="00575460">
      <w:r w:rsidRPr="00575460">
        <w:t>As described by the OECD, a residual analysis divides the relevant profits from the controlled transaction under examination into two categories.</w:t>
      </w:r>
    </w:p>
    <w:p w14:paraId="4982EABB" w14:textId="2F0F7400" w:rsidR="00575460" w:rsidRPr="00575460" w:rsidRDefault="00575460" w:rsidP="00575460">
      <w:r w:rsidRPr="00575460">
        <w:t xml:space="preserve">In the first category </w:t>
      </w:r>
      <w:r w:rsidR="00340D2E">
        <w:t>is</w:t>
      </w:r>
      <w:r w:rsidR="00340D2E" w:rsidRPr="00575460">
        <w:t xml:space="preserve"> </w:t>
      </w:r>
      <w:r w:rsidRPr="00575460">
        <w:t>profit attributable to contributions which can be reliably benchmarked, typically being less complex contributions for which reliable comparables can be found. In the second category is the allocation of any residual profit (or loss) remaining after allowing for the profits attributable to the first category of contributions. Typically, this would be based on an analysis of the relative value of the second category of contributions, supplemented where possible by external market data that indicates how independent enterprises would have divided profits in similar circumstances.</w:t>
      </w:r>
    </w:p>
    <w:p w14:paraId="3E73DC27" w14:textId="77777777" w:rsidR="00575460" w:rsidRPr="00575460" w:rsidRDefault="00575460" w:rsidP="00575460">
      <w:r w:rsidRPr="00575460">
        <w:t>The first category would generally not account for the return generated by the second category of contributions which may be unique and valuable, and/or are attributable to a high level of integration, or the shared assumption of economically significant risks.</w:t>
      </w:r>
    </w:p>
    <w:p w14:paraId="605A00EA" w14:textId="0DDE81AE" w:rsidR="00DA7C4D" w:rsidRDefault="00575460" w:rsidP="00575460">
      <w:r w:rsidRPr="00575460">
        <w:lastRenderedPageBreak/>
        <w:t xml:space="preserve">The residual profit approach was considered by Arthur Andersen to be appropriate because projects were designed and planned as </w:t>
      </w:r>
      <w:r w:rsidR="00206CB6">
        <w:t>“</w:t>
      </w:r>
      <w:r w:rsidRPr="00575460">
        <w:t>highly integrated</w:t>
      </w:r>
      <w:r w:rsidR="00206CB6">
        <w:t>”</w:t>
      </w:r>
      <w:r w:rsidRPr="00575460">
        <w:t xml:space="preserve"> projects and because value would be added at all stages of the value chain. </w:t>
      </w:r>
      <w:r w:rsidR="002864C4">
        <w:t>Treasury</w:t>
      </w:r>
      <w:r w:rsidR="00EB2053">
        <w:t xml:space="preserve"> considers</w:t>
      </w:r>
      <w:r w:rsidRPr="00575460">
        <w:t xml:space="preserve"> that while projects may be integrated in the engineering sense, it does not follow that they are</w:t>
      </w:r>
      <w:r w:rsidR="00F76408">
        <w:t xml:space="preserve"> or need to be</w:t>
      </w:r>
      <w:r w:rsidRPr="00575460">
        <w:t xml:space="preserve"> highly integrated from an economic analysis and commercial perspective. </w:t>
      </w:r>
      <w:r w:rsidR="00EE45A8">
        <w:t>The emergence of tolling</w:t>
      </w:r>
      <w:r w:rsidR="008A6C96">
        <w:t xml:space="preserve"> demonstrates</w:t>
      </w:r>
      <w:r w:rsidR="009D10EA">
        <w:t xml:space="preserve"> that</w:t>
      </w:r>
      <w:r w:rsidR="00E6788A">
        <w:t xml:space="preserve"> project functions which are integrated in an engineering sense</w:t>
      </w:r>
      <w:r w:rsidR="00EE3F25">
        <w:t xml:space="preserve"> can be commercially contracted out. </w:t>
      </w:r>
    </w:p>
    <w:p w14:paraId="6E98F988" w14:textId="7916A79B" w:rsidR="00575460" w:rsidRPr="00575460" w:rsidRDefault="00A460EF" w:rsidP="00575460">
      <w:r w:rsidRPr="00731978">
        <w:t>Moreover</w:t>
      </w:r>
      <w:r w:rsidR="00DA7C4D" w:rsidRPr="00731978">
        <w:t>, in designing the RPM as the default method for use across the industry, the relevant analysis was</w:t>
      </w:r>
      <w:r w:rsidR="00C45749">
        <w:t xml:space="preserve"> not</w:t>
      </w:r>
      <w:r w:rsidR="00DA7C4D" w:rsidRPr="00731978">
        <w:t xml:space="preserve"> done on an individual project basis – as the OECD guidelines prescribe in respect of a residual profit method – but rather industry as a whole</w:t>
      </w:r>
      <w:r w:rsidR="00914B7D">
        <w:t>. Therefore</w:t>
      </w:r>
      <w:r w:rsidR="0092717F">
        <w:t>,</w:t>
      </w:r>
      <w:r w:rsidR="00914B7D">
        <w:t xml:space="preserve"> the assumptions that the profit split is based </w:t>
      </w:r>
      <w:r w:rsidR="0008049F">
        <w:t xml:space="preserve">on </w:t>
      </w:r>
      <w:r w:rsidR="00914B7D">
        <w:t xml:space="preserve">need to hold true </w:t>
      </w:r>
      <w:r w:rsidR="0008049F">
        <w:t>not just for one project but for all projects</w:t>
      </w:r>
      <w:r w:rsidR="00E323D8">
        <w:t xml:space="preserve">. </w:t>
      </w:r>
      <w:r w:rsidR="0050159A">
        <w:t>W</w:t>
      </w:r>
      <w:r w:rsidR="0050159A" w:rsidRPr="00731978">
        <w:t xml:space="preserve">hile value may be added at every stage in an </w:t>
      </w:r>
      <w:r w:rsidR="0050159A">
        <w:t>integrated</w:t>
      </w:r>
      <w:r w:rsidR="0050159A" w:rsidRPr="00731978">
        <w:t xml:space="preserve"> operation, the identification of residual profits attributable to </w:t>
      </w:r>
      <w:r w:rsidR="0050159A" w:rsidRPr="00731978">
        <w:rPr>
          <w:i/>
          <w:iCs/>
        </w:rPr>
        <w:t>unique and valuable</w:t>
      </w:r>
      <w:r w:rsidR="0050159A" w:rsidRPr="00731978">
        <w:t xml:space="preserve"> contributions from parts of the operation is a different inquiry.</w:t>
      </w:r>
      <w:r w:rsidR="0050159A">
        <w:t xml:space="preserve"> </w:t>
      </w:r>
      <w:r w:rsidR="00924C44" w:rsidRPr="00731978">
        <w:t>As outlined above</w:t>
      </w:r>
      <w:r w:rsidR="003672D5" w:rsidRPr="00731978">
        <w:t xml:space="preserve">, </w:t>
      </w:r>
      <w:r w:rsidR="00186C97" w:rsidRPr="00731978">
        <w:t xml:space="preserve">there does not appear to </w:t>
      </w:r>
      <w:r w:rsidR="00F13104">
        <w:t xml:space="preserve">be </w:t>
      </w:r>
      <w:r w:rsidR="00C539DF">
        <w:t xml:space="preserve">strong justification for the </w:t>
      </w:r>
      <w:r w:rsidR="00CF5902">
        <w:t>use of a transactional profit split</w:t>
      </w:r>
      <w:r w:rsidR="00BC746B" w:rsidRPr="00731978">
        <w:t xml:space="preserve"> beyond </w:t>
      </w:r>
      <w:r w:rsidR="00E70E07" w:rsidRPr="00731978">
        <w:t xml:space="preserve">the </w:t>
      </w:r>
      <w:r w:rsidR="00CF5902">
        <w:t>integration of the projects</w:t>
      </w:r>
      <w:r w:rsidR="000B67F0" w:rsidRPr="00731978">
        <w:t>.</w:t>
      </w:r>
      <w:r w:rsidR="00610BAF" w:rsidRPr="00731978">
        <w:t xml:space="preserve"> </w:t>
      </w:r>
    </w:p>
    <w:p w14:paraId="7DA9D568" w14:textId="5B7B5DC6" w:rsidR="00575460" w:rsidRPr="00674BDE" w:rsidRDefault="00575460" w:rsidP="00674BDE">
      <w:pPr>
        <w:pStyle w:val="Heading3"/>
      </w:pPr>
      <w:r w:rsidRPr="00674BDE">
        <w:t>The</w:t>
      </w:r>
      <w:r w:rsidR="00C67F63" w:rsidRPr="00674BDE">
        <w:t xml:space="preserve"> assumptions that </w:t>
      </w:r>
      <w:r w:rsidR="00BE74E8" w:rsidRPr="00674BDE">
        <w:t xml:space="preserve">informed the </w:t>
      </w:r>
      <w:r w:rsidR="00C85F04" w:rsidRPr="00674BDE">
        <w:t>o</w:t>
      </w:r>
      <w:r w:rsidR="008247A9" w:rsidRPr="00674BDE">
        <w:t xml:space="preserve">riginal </w:t>
      </w:r>
      <w:r w:rsidR="00C85F04" w:rsidRPr="00674BDE">
        <w:t>d</w:t>
      </w:r>
      <w:r w:rsidR="008247A9" w:rsidRPr="00674BDE">
        <w:t>esign</w:t>
      </w:r>
      <w:r w:rsidR="00C85F04" w:rsidRPr="00674BDE">
        <w:t xml:space="preserve"> of </w:t>
      </w:r>
      <w:r w:rsidR="00F13104" w:rsidRPr="00674BDE">
        <w:t xml:space="preserve">the </w:t>
      </w:r>
      <w:r w:rsidR="00C85F04" w:rsidRPr="00674BDE">
        <w:t>RPM</w:t>
      </w:r>
      <w:r w:rsidR="008E2684" w:rsidRPr="00674BDE">
        <w:t xml:space="preserve"> </w:t>
      </w:r>
      <w:r w:rsidR="0035386D" w:rsidRPr="00674BDE">
        <w:t>have not proven to be correct</w:t>
      </w:r>
      <w:r w:rsidRPr="00674BDE">
        <w:t xml:space="preserve"> </w:t>
      </w:r>
    </w:p>
    <w:p w14:paraId="776CF27C" w14:textId="7ADA7B9C" w:rsidR="00575460" w:rsidRPr="00575460" w:rsidRDefault="00364BA1" w:rsidP="00575460">
      <w:r>
        <w:t xml:space="preserve">The original RPM was designed before any of the </w:t>
      </w:r>
      <w:r w:rsidR="005A43BD">
        <w:t>LNG projects that used them had been sanctioned</w:t>
      </w:r>
      <w:r w:rsidR="00E150FD">
        <w:t xml:space="preserve"> or built. </w:t>
      </w:r>
      <w:r w:rsidR="00477829">
        <w:t xml:space="preserve">The </w:t>
      </w:r>
      <w:r w:rsidR="005719ED">
        <w:t>design</w:t>
      </w:r>
      <w:r w:rsidR="00575460" w:rsidRPr="00575460">
        <w:t xml:space="preserve"> of the RPM</w:t>
      </w:r>
      <w:r w:rsidR="00166CF9">
        <w:t xml:space="preserve"> and the underlying assumptions</w:t>
      </w:r>
      <w:r w:rsidR="00BC3478">
        <w:t xml:space="preserve"> warrant re-consideration</w:t>
      </w:r>
      <w:r w:rsidR="00166CF9">
        <w:t xml:space="preserve"> </w:t>
      </w:r>
      <w:r w:rsidR="003F39B6">
        <w:t xml:space="preserve">given the time </w:t>
      </w:r>
      <w:r>
        <w:t>that has passed since their original design and the number of projects that</w:t>
      </w:r>
      <w:r w:rsidR="00E150FD">
        <w:t xml:space="preserve"> </w:t>
      </w:r>
      <w:r>
        <w:t>now use t</w:t>
      </w:r>
      <w:r w:rsidR="009664D4">
        <w:t xml:space="preserve">he </w:t>
      </w:r>
      <w:r w:rsidR="00D1791C">
        <w:t>GTP Regulation</w:t>
      </w:r>
      <w:r w:rsidR="00575460" w:rsidRPr="00575460">
        <w:t xml:space="preserve">. </w:t>
      </w:r>
    </w:p>
    <w:p w14:paraId="299F7B0E" w14:textId="12113D8A" w:rsidR="00575460" w:rsidRPr="00575460" w:rsidRDefault="004758A9" w:rsidP="00575460">
      <w:r>
        <w:t>The f</w:t>
      </w:r>
      <w:r w:rsidR="00575460" w:rsidRPr="00575460">
        <w:t xml:space="preserve">irst </w:t>
      </w:r>
      <w:r>
        <w:t>issue is that</w:t>
      </w:r>
      <w:r w:rsidR="00575460" w:rsidRPr="00575460">
        <w:t xml:space="preserve"> the analysis sets the RPM up as a hypothetical negotiation after both the upstream and downstream have been built</w:t>
      </w:r>
      <w:r w:rsidR="00820AA6">
        <w:t>, which then</w:t>
      </w:r>
      <w:r w:rsidR="00575460" w:rsidRPr="00575460">
        <w:t xml:space="preserve"> </w:t>
      </w:r>
      <w:r w:rsidR="000964CE">
        <w:t>makes no distinction between</w:t>
      </w:r>
      <w:r w:rsidR="00575460" w:rsidRPr="00575460">
        <w:t xml:space="preserve"> the potential for the downstream business in this scenario to capture economic rents (by virtue of being a monopoly buyer) </w:t>
      </w:r>
      <w:r w:rsidR="00F92EB6">
        <w:t>and</w:t>
      </w:r>
      <w:r w:rsidR="00575460" w:rsidRPr="00575460">
        <w:t xml:space="preserve"> </w:t>
      </w:r>
      <w:r w:rsidR="00575460" w:rsidRPr="00575460">
        <w:rPr>
          <w:i/>
          <w:iCs/>
        </w:rPr>
        <w:t xml:space="preserve">creating </w:t>
      </w:r>
      <w:r w:rsidR="00575460" w:rsidRPr="00575460">
        <w:t xml:space="preserve">economic rent. </w:t>
      </w:r>
      <w:r w:rsidR="00AE0B8F">
        <w:t>This</w:t>
      </w:r>
      <w:r w:rsidR="00BB4F55">
        <w:t xml:space="preserve"> starting point</w:t>
      </w:r>
      <w:r w:rsidR="00575460" w:rsidRPr="00575460">
        <w:t xml:space="preserve"> </w:t>
      </w:r>
      <w:r w:rsidR="002843AB">
        <w:t>is</w:t>
      </w:r>
      <w:r w:rsidR="007D0250">
        <w:t xml:space="preserve"> not consistent with</w:t>
      </w:r>
      <w:r w:rsidR="00575460" w:rsidRPr="00575460">
        <w:t xml:space="preserve"> </w:t>
      </w:r>
      <w:r w:rsidR="000046B3">
        <w:t>a</w:t>
      </w:r>
      <w:r w:rsidR="00327F8A">
        <w:t xml:space="preserve"> profit-maximising</w:t>
      </w:r>
      <w:r w:rsidR="00936649">
        <w:t xml:space="preserve"> </w:t>
      </w:r>
      <w:r w:rsidR="00575460" w:rsidRPr="00575460">
        <w:t xml:space="preserve">commercial strategy by the upstream owner in terms of resource development. An upstream owner, with a potentially valuable resource, would not develop a gas field to allow an independent downstream buyer to capture the economic rent. A realistic assumption is that the upstream owner would pursue a vertically integrated model to retain the rents – exactly the development concept we have seen the industry pursue to date. </w:t>
      </w:r>
    </w:p>
    <w:p w14:paraId="0AD27508" w14:textId="7308003F" w:rsidR="00FE7DD1" w:rsidRDefault="00575460" w:rsidP="00575460">
      <w:r w:rsidRPr="00575460">
        <w:t xml:space="preserve">Second, the Arthur Andersen analysis </w:t>
      </w:r>
      <w:r w:rsidR="00E634E2">
        <w:t>states that</w:t>
      </w:r>
      <w:r w:rsidR="005A3BCA">
        <w:t xml:space="preserve"> </w:t>
      </w:r>
      <w:r w:rsidRPr="00575460">
        <w:t xml:space="preserve">the gas is not worth anything without a means to get it to market, while the downstream is not worth anything without a resource to process, and so </w:t>
      </w:r>
      <w:r w:rsidR="008B2DFF">
        <w:t xml:space="preserve">concludes that </w:t>
      </w:r>
      <w:r w:rsidRPr="00575460">
        <w:t xml:space="preserve">the residual rents might as well be equally shared. </w:t>
      </w:r>
      <w:r w:rsidR="00350CCF">
        <w:t>This assumes</w:t>
      </w:r>
      <w:r w:rsidR="005D5575">
        <w:t xml:space="preserve"> that</w:t>
      </w:r>
      <w:r w:rsidRPr="00575460">
        <w:t xml:space="preserve"> dependency </w:t>
      </w:r>
      <w:r w:rsidR="005D5575">
        <w:t>means</w:t>
      </w:r>
      <w:r w:rsidRPr="00575460">
        <w:t xml:space="preserve"> value</w:t>
      </w:r>
      <w:r w:rsidR="005D5575">
        <w:t xml:space="preserve"> should be shared equally</w:t>
      </w:r>
      <w:r w:rsidR="009D1738">
        <w:t>, an assumption that does not always hold true</w:t>
      </w:r>
      <w:r w:rsidR="005D5575">
        <w:t>.</w:t>
      </w:r>
      <w:r w:rsidR="001249A6">
        <w:t xml:space="preserve"> </w:t>
      </w:r>
      <w:r w:rsidR="00FE7DD1">
        <w:t>For example,</w:t>
      </w:r>
      <w:r w:rsidR="00CE3457">
        <w:t xml:space="preserve"> highly</w:t>
      </w:r>
      <w:r w:rsidR="00FE7DD1">
        <w:t xml:space="preserve"> profitable enterprises may depend on services such as transportation to get products to market</w:t>
      </w:r>
      <w:r w:rsidR="0097225F">
        <w:t>.</w:t>
      </w:r>
      <w:r w:rsidR="00FE7DD1" w:rsidRPr="00FE7DD1">
        <w:t xml:space="preserve"> </w:t>
      </w:r>
      <w:r w:rsidR="00FE7DD1">
        <w:t>It does not follow that transportation providers would automatically share in such profits beyond receiving a standard commercial return.</w:t>
      </w:r>
    </w:p>
    <w:p w14:paraId="603923E1" w14:textId="4072D07D" w:rsidR="00EB3A23" w:rsidRDefault="00FE7DD1" w:rsidP="00FE7DD1">
      <w:r>
        <w:t xml:space="preserve">The </w:t>
      </w:r>
      <w:r w:rsidR="00530D95">
        <w:t>liquefaction</w:t>
      </w:r>
      <w:r>
        <w:t xml:space="preserve"> process does have the benefit of transforming the underlying gas resource into a product that can be exported and, therefore, access to global markets (demand) and prices that may be higher than if supplied domestically (since oversupply domestically would force prices lower to a point that it would not be economic to develop new supply). This is not</w:t>
      </w:r>
      <w:r w:rsidR="00EB08B7">
        <w:t xml:space="preserve"> necessarily</w:t>
      </w:r>
      <w:r>
        <w:t xml:space="preserve"> the same as creation of </w:t>
      </w:r>
      <w:r w:rsidR="001174A9">
        <w:t xml:space="preserve">substantial </w:t>
      </w:r>
      <w:r>
        <w:t xml:space="preserve">economic rents, in the same way that shipping – which also opens access to export markets </w:t>
      </w:r>
      <w:r w:rsidR="00387AE5">
        <w:t>–</w:t>
      </w:r>
      <w:r>
        <w:t xml:space="preserve"> does</w:t>
      </w:r>
      <w:r w:rsidR="00387AE5">
        <w:t xml:space="preserve"> </w:t>
      </w:r>
      <w:r>
        <w:t xml:space="preserve">not. </w:t>
      </w:r>
      <w:r w:rsidR="0074726D">
        <w:t>It is noted that l</w:t>
      </w:r>
      <w:r w:rsidR="006A7ABE">
        <w:t>iquefaction</w:t>
      </w:r>
      <w:r>
        <w:t xml:space="preserve"> does involve different risks to shipping. </w:t>
      </w:r>
      <w:r w:rsidR="00DB12C6">
        <w:t>For example, t</w:t>
      </w:r>
      <w:r>
        <w:t>he</w:t>
      </w:r>
      <w:r w:rsidDel="0097791A">
        <w:t xml:space="preserve"> </w:t>
      </w:r>
      <w:r w:rsidR="0097791A">
        <w:t xml:space="preserve">liquefaction </w:t>
      </w:r>
      <w:r>
        <w:t xml:space="preserve">facility is generally immovable (with some exceptions) and is closely tied to the location of the resource and could be left stranded and not redeployed when the resource is depleted. In contrast, a shipping fleet can be redeployed elsewhere. </w:t>
      </w:r>
      <w:r w:rsidR="00DB12C6">
        <w:t>However, t</w:t>
      </w:r>
      <w:r>
        <w:t xml:space="preserve">his different risk profile </w:t>
      </w:r>
      <w:r w:rsidR="00CD1BDA">
        <w:t>should</w:t>
      </w:r>
      <w:r>
        <w:t xml:space="preserve"> </w:t>
      </w:r>
      <w:r w:rsidR="00A0244D">
        <w:t xml:space="preserve">primarily </w:t>
      </w:r>
      <w:r w:rsidR="00CD1BDA">
        <w:t>be</w:t>
      </w:r>
      <w:r w:rsidR="00A0244D">
        <w:t xml:space="preserve"> </w:t>
      </w:r>
      <w:r>
        <w:t xml:space="preserve">reflected in the risk-adjusted rate of return on the assets that provide the </w:t>
      </w:r>
      <w:r>
        <w:lastRenderedPageBreak/>
        <w:t xml:space="preserve">services </w:t>
      </w:r>
      <w:r w:rsidR="00202781">
        <w:t xml:space="preserve">and </w:t>
      </w:r>
      <w:r>
        <w:t xml:space="preserve">does not itself provide a justification for a </w:t>
      </w:r>
      <w:r w:rsidR="0098649B">
        <w:t xml:space="preserve">significant </w:t>
      </w:r>
      <w:r>
        <w:t>share in the economic rents</w:t>
      </w:r>
      <w:r w:rsidR="003A23C6">
        <w:t xml:space="preserve">, particularly to the extent of 50 per cent </w:t>
      </w:r>
      <w:r w:rsidR="00BA153F">
        <w:t>for all projects</w:t>
      </w:r>
      <w:r>
        <w:t>.</w:t>
      </w:r>
    </w:p>
    <w:p w14:paraId="6640933D" w14:textId="1E88C3D3" w:rsidR="00575460" w:rsidRPr="00575460" w:rsidRDefault="00DB3220" w:rsidP="00575460">
      <w:r>
        <w:t>T</w:t>
      </w:r>
      <w:r w:rsidR="00EB3A23">
        <w:t xml:space="preserve">he comparison to shipping is not </w:t>
      </w:r>
      <w:r w:rsidR="0066503F">
        <w:t>to demonstrate</w:t>
      </w:r>
      <w:r w:rsidR="00EB3A23">
        <w:t xml:space="preserve"> </w:t>
      </w:r>
      <w:r w:rsidR="005A6A8B">
        <w:t xml:space="preserve">that there are </w:t>
      </w:r>
      <w:r w:rsidR="005A6A8B" w:rsidRPr="001C1AB0">
        <w:rPr>
          <w:i/>
        </w:rPr>
        <w:t>no</w:t>
      </w:r>
      <w:r w:rsidR="005A6A8B">
        <w:t xml:space="preserve"> rents in the downstream</w:t>
      </w:r>
      <w:r w:rsidR="006E2D8B">
        <w:t>. Rather it</w:t>
      </w:r>
      <w:r w:rsidR="005A6A8B">
        <w:t xml:space="preserve"> illustrate</w:t>
      </w:r>
      <w:r w:rsidR="006E2D8B">
        <w:t>s</w:t>
      </w:r>
      <w:r w:rsidR="005A6A8B">
        <w:t xml:space="preserve"> the </w:t>
      </w:r>
      <w:r w:rsidR="00546BC4">
        <w:t>inaccuracy</w:t>
      </w:r>
      <w:r w:rsidR="005A6A8B">
        <w:t xml:space="preserve"> </w:t>
      </w:r>
      <w:r w:rsidR="002F03BF">
        <w:t>of</w:t>
      </w:r>
      <w:r w:rsidR="005A6A8B">
        <w:t xml:space="preserve"> the assumption that </w:t>
      </w:r>
      <w:r w:rsidR="00861A54">
        <w:t>because there is integration and dependence</w:t>
      </w:r>
      <w:r w:rsidR="00151767">
        <w:t xml:space="preserve"> </w:t>
      </w:r>
      <w:r w:rsidR="00874BCD">
        <w:t xml:space="preserve">in all </w:t>
      </w:r>
      <w:r w:rsidR="00CC2338">
        <w:t>projects</w:t>
      </w:r>
      <w:r w:rsidR="005873B9">
        <w:t>,</w:t>
      </w:r>
      <w:r w:rsidR="00874BCD">
        <w:t xml:space="preserve"> </w:t>
      </w:r>
      <w:r w:rsidR="002B4740">
        <w:t>there must also be a</w:t>
      </w:r>
      <w:r w:rsidR="00CA52E7">
        <w:t>n equ</w:t>
      </w:r>
      <w:r w:rsidR="00C11F13">
        <w:t>al</w:t>
      </w:r>
      <w:r w:rsidR="002B4740">
        <w:t xml:space="preserve"> share of rent in the downstream</w:t>
      </w:r>
      <w:r w:rsidR="00BE6075">
        <w:t xml:space="preserve"> in all </w:t>
      </w:r>
      <w:r w:rsidR="00CC2338">
        <w:t>projects</w:t>
      </w:r>
      <w:r w:rsidR="002B4740">
        <w:t>.</w:t>
      </w:r>
      <w:r w:rsidR="009F6919">
        <w:t xml:space="preserve"> </w:t>
      </w:r>
      <w:r w:rsidR="002C52FA">
        <w:t xml:space="preserve">As the assumption does not hold in all cases, it is inappropriate to conclude without </w:t>
      </w:r>
      <w:r w:rsidR="00B377D9">
        <w:t xml:space="preserve">further </w:t>
      </w:r>
      <w:r w:rsidR="00AF0776">
        <w:t>analysis</w:t>
      </w:r>
      <w:r w:rsidR="002C52FA">
        <w:t xml:space="preserve"> </w:t>
      </w:r>
      <w:r w:rsidR="00AF0776">
        <w:t xml:space="preserve">that </w:t>
      </w:r>
      <w:r w:rsidR="00B377D9">
        <w:t xml:space="preserve">dependency is justification for </w:t>
      </w:r>
      <w:r w:rsidR="00AF0776">
        <w:t xml:space="preserve">assuming </w:t>
      </w:r>
      <w:r w:rsidR="002519A8">
        <w:t>an equal split of</w:t>
      </w:r>
      <w:r w:rsidR="00D47741">
        <w:t xml:space="preserve"> residual profit.</w:t>
      </w:r>
      <w:r w:rsidR="000B626E">
        <w:t xml:space="preserve"> </w:t>
      </w:r>
      <w:r w:rsidR="00575460" w:rsidRPr="00575460">
        <w:t xml:space="preserve">It is </w:t>
      </w:r>
      <w:r w:rsidR="003D34B5">
        <w:t>not obvious</w:t>
      </w:r>
      <w:r w:rsidR="00575460" w:rsidRPr="00575460">
        <w:t xml:space="preserve"> that the downstream LNG conversion ‘know-how’ and marketing expertise is of equal value to the value of the gas as well as the upstream expertise and know-how for finding and developing the gas reserve, extracting the gas and processing it so that it is ready for liquefaction. </w:t>
      </w:r>
    </w:p>
    <w:p w14:paraId="162BFCC3" w14:textId="62D39546" w:rsidR="00120E4A" w:rsidRDefault="00575460" w:rsidP="00575460">
      <w:r w:rsidRPr="00575460">
        <w:t xml:space="preserve">Third, it assumes upstream and downstream developers face the same risks and expect the same level of returns. In </w:t>
      </w:r>
      <w:r w:rsidR="007063F3">
        <w:t>practice</w:t>
      </w:r>
      <w:r w:rsidRPr="00575460">
        <w:t xml:space="preserve">, the risks of operating an LNG plant, transportation and marketing </w:t>
      </w:r>
      <w:r w:rsidR="008D5A3C">
        <w:t>would appear different to</w:t>
      </w:r>
      <w:r w:rsidRPr="00575460">
        <w:t xml:space="preserve"> those associated with upstream petroleum development and extraction.</w:t>
      </w:r>
    </w:p>
    <w:p w14:paraId="565D6C1E" w14:textId="2B89BADD" w:rsidR="00575460" w:rsidRDefault="002864C4" w:rsidP="00575460">
      <w:r>
        <w:t>Treasury</w:t>
      </w:r>
      <w:r w:rsidR="00F722CF">
        <w:t xml:space="preserve"> understand</w:t>
      </w:r>
      <w:r w:rsidR="00D72393">
        <w:t>s</w:t>
      </w:r>
      <w:r w:rsidR="00F722CF">
        <w:t xml:space="preserve"> that</w:t>
      </w:r>
      <w:r w:rsidR="00F722CF" w:rsidDel="00885A3D">
        <w:t xml:space="preserve"> </w:t>
      </w:r>
      <w:r w:rsidR="00F722CF">
        <w:t>projects were designed and financed as a single project and</w:t>
      </w:r>
      <w:r w:rsidR="00FB3F0C">
        <w:t>,</w:t>
      </w:r>
      <w:r w:rsidR="00F722CF">
        <w:t xml:space="preserve"> as a result, the</w:t>
      </w:r>
      <w:r w:rsidR="00F36E7E">
        <w:t xml:space="preserve"> entities involved do not differentiate the return required from different parts of the </w:t>
      </w:r>
      <w:r w:rsidR="00EC75D6">
        <w:t xml:space="preserve">LNG </w:t>
      </w:r>
      <w:r w:rsidR="00F36E7E">
        <w:t>production process.</w:t>
      </w:r>
      <w:r w:rsidR="00AC4715">
        <w:t xml:space="preserve"> </w:t>
      </w:r>
      <w:r w:rsidR="00170319">
        <w:t>However,</w:t>
      </w:r>
      <w:r w:rsidR="00A35932">
        <w:t xml:space="preserve"> </w:t>
      </w:r>
      <w:r w:rsidR="003C695A">
        <w:t>i</w:t>
      </w:r>
      <w:r w:rsidR="00AC4715">
        <w:t xml:space="preserve">t does not follow that the tax settings </w:t>
      </w:r>
      <w:r w:rsidR="003641F0">
        <w:t xml:space="preserve">which </w:t>
      </w:r>
      <w:r w:rsidR="007015F1">
        <w:t>target only part of the production chain</w:t>
      </w:r>
      <w:r w:rsidR="00AC4715">
        <w:t xml:space="preserve"> should also make this same assumption. The way a project is </w:t>
      </w:r>
      <w:r w:rsidR="001B75E1">
        <w:t>structured</w:t>
      </w:r>
      <w:r w:rsidR="00D57020">
        <w:t xml:space="preserve"> and conceived by its owner</w:t>
      </w:r>
      <w:r w:rsidR="00AC4715">
        <w:t xml:space="preserve"> should not drive </w:t>
      </w:r>
      <w:r w:rsidR="00EA0AB3">
        <w:t xml:space="preserve">the </w:t>
      </w:r>
      <w:r w:rsidR="00600BE1">
        <w:t>sales gas pricing</w:t>
      </w:r>
      <w:r w:rsidR="0081710B">
        <w:t xml:space="preserve"> analysis or the tax settings </w:t>
      </w:r>
      <w:r w:rsidR="006C2996">
        <w:t>that</w:t>
      </w:r>
      <w:r w:rsidR="0081710B">
        <w:t xml:space="preserve"> determine the value </w:t>
      </w:r>
      <w:r w:rsidR="002A4E03">
        <w:t xml:space="preserve">at the taxing point. </w:t>
      </w:r>
      <w:r w:rsidR="00494764">
        <w:t>T</w:t>
      </w:r>
      <w:r w:rsidR="006419A3">
        <w:t xml:space="preserve">he current settings reflect an approach to </w:t>
      </w:r>
      <w:r w:rsidR="001E0CB6">
        <w:t>pricing</w:t>
      </w:r>
      <w:r w:rsidR="00C107F4">
        <w:t xml:space="preserve"> where the project design choice of </w:t>
      </w:r>
      <w:r w:rsidR="005A1127">
        <w:t>i</w:t>
      </w:r>
      <w:r w:rsidR="00C107F4">
        <w:t xml:space="preserve">ndustry </w:t>
      </w:r>
      <w:r w:rsidR="00AF0E49">
        <w:t>participants</w:t>
      </w:r>
      <w:r w:rsidR="00C107F4">
        <w:t xml:space="preserve"> ha</w:t>
      </w:r>
      <w:r w:rsidR="00826A26">
        <w:t>s</w:t>
      </w:r>
      <w:r w:rsidR="00C107F4">
        <w:t xml:space="preserve"> dictated</w:t>
      </w:r>
      <w:r w:rsidR="00407B85">
        <w:t xml:space="preserve"> the </w:t>
      </w:r>
      <w:r w:rsidR="001115A8">
        <w:t>design of the RPM</w:t>
      </w:r>
      <w:r w:rsidR="00407B85">
        <w:t xml:space="preserve"> and</w:t>
      </w:r>
      <w:r w:rsidR="001115A8">
        <w:t>,</w:t>
      </w:r>
      <w:r w:rsidR="00407B85">
        <w:t xml:space="preserve"> </w:t>
      </w:r>
      <w:r w:rsidR="00AF0E49">
        <w:t>ultimate</w:t>
      </w:r>
      <w:r w:rsidR="001115A8">
        <w:t>ly,</w:t>
      </w:r>
      <w:r w:rsidR="00407B85">
        <w:t xml:space="preserve"> the amount of </w:t>
      </w:r>
      <w:r w:rsidR="001115A8">
        <w:t>PRRT</w:t>
      </w:r>
      <w:r w:rsidR="00407B85">
        <w:t xml:space="preserve"> pay</w:t>
      </w:r>
      <w:r w:rsidR="001115A8">
        <w:t>able</w:t>
      </w:r>
      <w:r w:rsidR="00407B85">
        <w:t>.</w:t>
      </w:r>
      <w:r w:rsidR="00AF0E49" w:rsidDel="00AA69A7">
        <w:t xml:space="preserve"> </w:t>
      </w:r>
      <w:r w:rsidR="00C256E5">
        <w:t xml:space="preserve">The </w:t>
      </w:r>
      <w:r w:rsidR="00833ED5">
        <w:t xml:space="preserve">credible approach is to design a </w:t>
      </w:r>
      <w:r w:rsidR="00AA69A7">
        <w:t xml:space="preserve">pricing method </w:t>
      </w:r>
      <w:r w:rsidR="00611189">
        <w:t>based on</w:t>
      </w:r>
      <w:r w:rsidR="00AA69A7">
        <w:t xml:space="preserve"> </w:t>
      </w:r>
      <w:r w:rsidR="00AF0E49">
        <w:t>an economic analysis of what would happen between two notional entities.</w:t>
      </w:r>
      <w:r w:rsidR="007F6083">
        <w:t xml:space="preserve"> In conclusion, Treasury does not </w:t>
      </w:r>
      <w:r w:rsidR="004907B1">
        <w:t>consider</w:t>
      </w:r>
      <w:r w:rsidR="007F6083">
        <w:t xml:space="preserve"> that there are no rents in the downstream</w:t>
      </w:r>
      <w:r w:rsidR="00A700F5">
        <w:t xml:space="preserve">, rather </w:t>
      </w:r>
      <w:r w:rsidR="000335A1">
        <w:t xml:space="preserve">that </w:t>
      </w:r>
      <w:r w:rsidR="00663205">
        <w:t>the primary source of rents</w:t>
      </w:r>
      <w:r w:rsidR="00FE0B64">
        <w:t>,</w:t>
      </w:r>
      <w:r w:rsidR="00663205">
        <w:t xml:space="preserve"> </w:t>
      </w:r>
      <w:r w:rsidR="00184ABB">
        <w:t>to the extent they exist</w:t>
      </w:r>
      <w:r w:rsidR="00FE0B64">
        <w:t>,</w:t>
      </w:r>
      <w:r w:rsidR="00663205">
        <w:t xml:space="preserve"> </w:t>
      </w:r>
      <w:r w:rsidR="00184ABB">
        <w:t>derive from</w:t>
      </w:r>
      <w:r w:rsidR="00FE0B64">
        <w:t xml:space="preserve"> </w:t>
      </w:r>
      <w:r w:rsidR="00663205">
        <w:t xml:space="preserve">the underlying </w:t>
      </w:r>
      <w:r w:rsidR="0047200D">
        <w:t xml:space="preserve">resource and that rents </w:t>
      </w:r>
      <w:r w:rsidR="000335A1">
        <w:t xml:space="preserve">should not be assumed </w:t>
      </w:r>
      <w:r w:rsidR="00A700F5">
        <w:t>to be consis</w:t>
      </w:r>
      <w:r w:rsidR="00065C4D">
        <w:t>tent or large</w:t>
      </w:r>
      <w:r w:rsidR="00347DEC">
        <w:t xml:space="preserve"> in</w:t>
      </w:r>
      <w:r w:rsidR="00D56954">
        <w:t xml:space="preserve"> the downstream for</w:t>
      </w:r>
      <w:r w:rsidR="00347DEC">
        <w:t xml:space="preserve"> all projects</w:t>
      </w:r>
      <w:r w:rsidR="00065C4D">
        <w:t>.</w:t>
      </w:r>
    </w:p>
    <w:p w14:paraId="7345B261" w14:textId="68E52205" w:rsidR="004B51A8" w:rsidRDefault="002B42C2" w:rsidP="004B51A8">
      <w:pPr>
        <w:pStyle w:val="Heading3"/>
      </w:pPr>
      <w:r>
        <w:t>The RPM attributes a notional project loss to the upstream part of the business only</w:t>
      </w:r>
    </w:p>
    <w:p w14:paraId="03CAC0E6" w14:textId="45C4C3FF" w:rsidR="00E42D3D" w:rsidRDefault="002B42C2" w:rsidP="004B51A8">
      <w:r>
        <w:t>A</w:t>
      </w:r>
      <w:r w:rsidR="002459A0">
        <w:t>nother</w:t>
      </w:r>
      <w:r>
        <w:t xml:space="preserve"> </w:t>
      </w:r>
      <w:r w:rsidR="009C48F9">
        <w:t xml:space="preserve">outcome </w:t>
      </w:r>
      <w:r w:rsidR="0095798C">
        <w:t xml:space="preserve">of the RPM is that the upstream part of the business bears all the project losses in the event of low LNG prices but receives </w:t>
      </w:r>
      <w:r w:rsidR="00A40FB5">
        <w:t xml:space="preserve">only half of the upside profits when LNG prices are high. This occurs </w:t>
      </w:r>
      <w:r w:rsidR="00B10164">
        <w:t>because</w:t>
      </w:r>
      <w:r w:rsidR="00A40FB5">
        <w:t xml:space="preserve"> the netback price </w:t>
      </w:r>
      <w:r w:rsidR="0022624C">
        <w:t>is</w:t>
      </w:r>
      <w:r w:rsidR="00E42D3D">
        <w:t xml:space="preserve"> deemed </w:t>
      </w:r>
      <w:r w:rsidR="0022624C">
        <w:t xml:space="preserve">as </w:t>
      </w:r>
      <w:r w:rsidR="00E42D3D">
        <w:t xml:space="preserve">the gas transfer price when it is lower than the cost-plus price. </w:t>
      </w:r>
    </w:p>
    <w:p w14:paraId="4F9CDC1A" w14:textId="12C94C63" w:rsidR="004B51A8" w:rsidRDefault="004B51A8" w:rsidP="004B51A8">
      <w:r>
        <w:t xml:space="preserve">This </w:t>
      </w:r>
      <w:r w:rsidR="006B640C">
        <w:t xml:space="preserve">asymmetric treatment of notional losses in the RPM </w:t>
      </w:r>
      <w:r w:rsidR="00EA2092">
        <w:t>is inconsistent with</w:t>
      </w:r>
      <w:r>
        <w:t xml:space="preserve"> the guidance provided by the OECD on the application of the transactional profit split. </w:t>
      </w:r>
    </w:p>
    <w:p w14:paraId="4FB4C163" w14:textId="35464BCA" w:rsidR="004B51A8" w:rsidRDefault="004B51A8" w:rsidP="00D67230">
      <w:pPr>
        <w:ind w:left="720"/>
        <w:jc w:val="center"/>
      </w:pPr>
      <w:r>
        <w:t>‘</w:t>
      </w:r>
      <w:r w:rsidRPr="00A647B0">
        <w:t xml:space="preserve">The determination of the relevant profits to be split and of the profit splitting factors should generally be used consistently over the </w:t>
      </w:r>
      <w:r w:rsidR="004D666E" w:rsidRPr="00A647B0">
        <w:t>lifetime</w:t>
      </w:r>
      <w:r w:rsidRPr="00A647B0">
        <w:t xml:space="preserve"> of the arrangement, including during loss years, unless the rationale for using differing relevant profits or profit splitting factors over time is supported by the facts and circumstances and is documented. </w:t>
      </w:r>
      <w:r>
        <w:t xml:space="preserve">(OECD transfer Pricing Guidelines </w:t>
      </w:r>
      <w:r w:rsidRPr="00A647B0">
        <w:t>2.148</w:t>
      </w:r>
      <w:r>
        <w:t>,</w:t>
      </w:r>
      <w:r w:rsidRPr="00A647B0">
        <w:t xml:space="preserve"> p 137</w:t>
      </w:r>
      <w:r>
        <w:t>’)</w:t>
      </w:r>
    </w:p>
    <w:p w14:paraId="646BDB0A" w14:textId="42DFD716" w:rsidR="004B51A8" w:rsidRDefault="002864C4" w:rsidP="004B51A8">
      <w:r>
        <w:t>Treasury</w:t>
      </w:r>
      <w:r w:rsidR="00947E87">
        <w:t xml:space="preserve"> could not identify a</w:t>
      </w:r>
      <w:r w:rsidR="00B83C7B">
        <w:t xml:space="preserve"> </w:t>
      </w:r>
      <w:r w:rsidR="00CB6A20">
        <w:t>rationale for the asymmetric treatment of notional losses in the RPM</w:t>
      </w:r>
      <w:r w:rsidR="004C5380">
        <w:t xml:space="preserve"> and does not consider there to be a </w:t>
      </w:r>
      <w:r w:rsidR="00A32788">
        <w:t xml:space="preserve">compelling reason in principle </w:t>
      </w:r>
      <w:r w:rsidR="004C5380">
        <w:t>to deviate from the OECD</w:t>
      </w:r>
      <w:r w:rsidR="006C6102">
        <w:t xml:space="preserve">’s guidance. </w:t>
      </w:r>
    </w:p>
    <w:p w14:paraId="18BEF3F0" w14:textId="7959D035" w:rsidR="004B51A8" w:rsidRDefault="007130A8" w:rsidP="00803FC6">
      <w:pPr>
        <w:pStyle w:val="Heading3"/>
      </w:pPr>
      <w:r>
        <w:lastRenderedPageBreak/>
        <w:t xml:space="preserve">Other </w:t>
      </w:r>
      <w:r w:rsidR="00F946AA">
        <w:t xml:space="preserve">features </w:t>
      </w:r>
      <w:r w:rsidR="00237535">
        <w:t>in</w:t>
      </w:r>
      <w:r w:rsidR="006454DD">
        <w:t xml:space="preserve"> the </w:t>
      </w:r>
      <w:r w:rsidR="00F946AA">
        <w:t xml:space="preserve">RPM </w:t>
      </w:r>
      <w:r w:rsidR="00237535">
        <w:t>design</w:t>
      </w:r>
    </w:p>
    <w:p w14:paraId="3006269A" w14:textId="04BA0761" w:rsidR="00F90157" w:rsidRDefault="00F90157" w:rsidP="00D67230">
      <w:pPr>
        <w:pStyle w:val="Heading4"/>
      </w:pPr>
      <w:r>
        <w:t>E</w:t>
      </w:r>
      <w:r w:rsidR="00D546C4">
        <w:t>xploration and early development costs are excluded from the upstream cost base</w:t>
      </w:r>
    </w:p>
    <w:p w14:paraId="70A107D7" w14:textId="6FC19B9F" w:rsidR="004B51A8" w:rsidRDefault="006454DD" w:rsidP="004B51A8">
      <w:r>
        <w:t>T</w:t>
      </w:r>
      <w:r w:rsidR="009719CC">
        <w:t xml:space="preserve">he RPM </w:t>
      </w:r>
      <w:r w:rsidR="004B51A8">
        <w:t>currently excludes some early development costs, including exploration costs and the costs of feasibility or environmental studies prior to production of sales gas. Th</w:t>
      </w:r>
      <w:r w:rsidR="004E1628">
        <w:t>is is inconsistent with the</w:t>
      </w:r>
      <w:r w:rsidR="00785836">
        <w:t xml:space="preserve"> OECD Transfer Pricing Guidelines </w:t>
      </w:r>
      <w:r w:rsidR="004E39ED">
        <w:t>and with the application of the cost</w:t>
      </w:r>
      <w:r w:rsidR="008C7C07">
        <w:t>-</w:t>
      </w:r>
      <w:r w:rsidR="004E39ED">
        <w:t>plus and transactional profit split methods in practice.</w:t>
      </w:r>
    </w:p>
    <w:p w14:paraId="689FBF0A" w14:textId="6241453E" w:rsidR="00D808C5" w:rsidRDefault="00D808C5" w:rsidP="004B51A8">
      <w:r>
        <w:t>The OECD guidelines suggest that:</w:t>
      </w:r>
    </w:p>
    <w:p w14:paraId="6CB6B226" w14:textId="6786632C" w:rsidR="004B51A8" w:rsidRDefault="004B51A8" w:rsidP="0009042A">
      <w:pPr>
        <w:pStyle w:val="Bullet"/>
      </w:pPr>
      <w:r>
        <w:t>an incremental cost</w:t>
      </w:r>
      <w:r w:rsidR="008C7C07">
        <w:t>-</w:t>
      </w:r>
      <w:r>
        <w:t>plus should only be used in cases where ‘transactions represent a disposal of marginal production’ (OECD Transfer Pricing Guidelines, 2.57 page 110). Given that the cost</w:t>
      </w:r>
      <w:r w:rsidR="008C7C07">
        <w:t>-</w:t>
      </w:r>
      <w:r>
        <w:t xml:space="preserve">plus method is being applied to the major output of these projects it is difficult to </w:t>
      </w:r>
      <w:r w:rsidR="00AC4C0F">
        <w:t xml:space="preserve">see how the exclusion of some costs </w:t>
      </w:r>
      <w:r w:rsidR="008E5466">
        <w:t>is appropriate</w:t>
      </w:r>
      <w:r>
        <w:t>.</w:t>
      </w:r>
      <w:r w:rsidR="008E5466">
        <w:t xml:space="preserve"> Further, a cost</w:t>
      </w:r>
      <w:r w:rsidR="008C7C07">
        <w:t>-</w:t>
      </w:r>
      <w:r w:rsidR="008E5466">
        <w:t>plus method that only rewards marginal expenses is generally not appropriate for</w:t>
      </w:r>
      <w:r w:rsidR="00D16ED5">
        <w:t xml:space="preserve"> a business that is </w:t>
      </w:r>
      <w:r w:rsidR="008A41D9">
        <w:t>under</w:t>
      </w:r>
      <w:r w:rsidR="00D16ED5">
        <w:t>taking entr</w:t>
      </w:r>
      <w:r w:rsidR="00F376D5">
        <w:t>epren</w:t>
      </w:r>
      <w:r w:rsidR="00862CAA">
        <w:t xml:space="preserve">eurial </w:t>
      </w:r>
      <w:r w:rsidR="00D81141">
        <w:t xml:space="preserve">activities </w:t>
      </w:r>
      <w:r w:rsidR="00CC36EB">
        <w:t>and</w:t>
      </w:r>
      <w:r w:rsidR="00EB6A94">
        <w:t xml:space="preserve"> assuming</w:t>
      </w:r>
      <w:r w:rsidR="008E5466">
        <w:t xml:space="preserve"> </w:t>
      </w:r>
      <w:r w:rsidR="004D666E">
        <w:t>higher risk</w:t>
      </w:r>
      <w:r w:rsidR="00284075">
        <w:t xml:space="preserve"> </w:t>
      </w:r>
      <w:r w:rsidR="008E5466">
        <w:t>such as upstream petroleum operations</w:t>
      </w:r>
      <w:r w:rsidR="003040A0">
        <w:t>.</w:t>
      </w:r>
    </w:p>
    <w:p w14:paraId="37DD3D23" w14:textId="181C5D51" w:rsidR="004B51A8" w:rsidRDefault="004B51A8" w:rsidP="0009042A">
      <w:pPr>
        <w:pStyle w:val="Bullet"/>
      </w:pPr>
      <w:r>
        <w:t>The guidance on the transactional profit split method also factors development costs into both the contribution</w:t>
      </w:r>
      <w:r w:rsidRPr="006C6F27">
        <w:t xml:space="preserve"> </w:t>
      </w:r>
      <w:r>
        <w:t>(</w:t>
      </w:r>
      <w:r w:rsidRPr="006C6F27">
        <w:t>OECD Transfer Pricing Guidelines, 2.1</w:t>
      </w:r>
      <w:r>
        <w:t>5</w:t>
      </w:r>
      <w:r w:rsidRPr="006C6F27">
        <w:t>1</w:t>
      </w:r>
      <w:r>
        <w:t>,</w:t>
      </w:r>
      <w:r w:rsidRPr="006C6F27">
        <w:t xml:space="preserve"> page 1</w:t>
      </w:r>
      <w:r>
        <w:t>38</w:t>
      </w:r>
      <w:r w:rsidRPr="006C6F27">
        <w:t>.)</w:t>
      </w:r>
      <w:r>
        <w:t xml:space="preserve"> and cost-based profit splitting factors analysis (</w:t>
      </w:r>
      <w:r w:rsidRPr="00D25FB1">
        <w:t>OECD Transfer Pricing Guidelines, 2.</w:t>
      </w:r>
      <w:r>
        <w:t>181 – 2.182</w:t>
      </w:r>
      <w:r w:rsidRPr="00D25FB1">
        <w:t xml:space="preserve"> page 1</w:t>
      </w:r>
      <w:r>
        <w:t>46.). The guidelines note that as part of cost-based profit splitting factors</w:t>
      </w:r>
      <w:r w:rsidR="00350FB2">
        <w:t>,</w:t>
      </w:r>
      <w:r>
        <w:t xml:space="preserve"> development costs may have been incurred several years in the past and it may be necessary to bring historic costs to current values.</w:t>
      </w:r>
    </w:p>
    <w:p w14:paraId="0694A7F4" w14:textId="7836C507" w:rsidR="003F2695" w:rsidRDefault="003F2695" w:rsidP="003F2695">
      <w:r w:rsidRPr="003F2695">
        <w:t xml:space="preserve">The cost-plus method currently undervalues the contribution of the upstream business </w:t>
      </w:r>
      <w:r w:rsidR="00C94C3A" w:rsidRPr="003F2695">
        <w:t>because</w:t>
      </w:r>
      <w:r w:rsidRPr="003F2695">
        <w:t xml:space="preserve"> </w:t>
      </w:r>
      <w:r w:rsidR="00355446">
        <w:t>it</w:t>
      </w:r>
      <w:r w:rsidRPr="003F2695">
        <w:t xml:space="preserve"> exclud</w:t>
      </w:r>
      <w:r w:rsidR="00355446">
        <w:t>es</w:t>
      </w:r>
      <w:r w:rsidRPr="003F2695">
        <w:t xml:space="preserve"> exploration and other early development costs. The current cost</w:t>
      </w:r>
      <w:r w:rsidR="008C7C07">
        <w:t>-</w:t>
      </w:r>
      <w:r w:rsidRPr="003F2695">
        <w:t>plus method is an incremental cost</w:t>
      </w:r>
      <w:r w:rsidR="008C7C07" w:rsidRPr="003F2695">
        <w:t>-</w:t>
      </w:r>
      <w:r w:rsidRPr="003F2695">
        <w:t xml:space="preserve">plus method as it only considers the necessary costs to produce gas and to move it to the liquefaction plant. As a result, it has an inbuilt assumption that the notional sale of gas at the taxing point represents ‘a disposal of marginal production’. As a result, the cost-plus method, in its current form, is an inappropriate method for valuing the contribution of an upstream commodity business which is selling the commodity </w:t>
      </w:r>
      <w:r w:rsidR="007761F9" w:rsidRPr="003F2695">
        <w:t>based on</w:t>
      </w:r>
      <w:r w:rsidRPr="003F2695">
        <w:t xml:space="preserve"> which the project was designed and funded. If the cost</w:t>
      </w:r>
      <w:r w:rsidR="008C7C07">
        <w:t>-</w:t>
      </w:r>
      <w:r w:rsidRPr="003F2695">
        <w:t>plus is maintained as an input into the profit split, then it should be modified to ensure it better reflects the whole contribution of the</w:t>
      </w:r>
      <w:r w:rsidR="00EA34C9">
        <w:t xml:space="preserve"> notional</w:t>
      </w:r>
      <w:r w:rsidRPr="003F2695">
        <w:t xml:space="preserve"> upstream business, including early development costs.</w:t>
      </w:r>
      <w:r w:rsidR="00151767">
        <w:t xml:space="preserve"> </w:t>
      </w:r>
    </w:p>
    <w:p w14:paraId="6A7CEDFD" w14:textId="6B127252" w:rsidR="004B51A8" w:rsidRDefault="00B66EBD" w:rsidP="00D67230">
      <w:pPr>
        <w:pStyle w:val="Heading4"/>
      </w:pPr>
      <w:r>
        <w:t xml:space="preserve">The RPM </w:t>
      </w:r>
      <w:r w:rsidR="003570F1">
        <w:t xml:space="preserve">inappropriately </w:t>
      </w:r>
      <w:r>
        <w:t>depreciates upstream assets</w:t>
      </w:r>
    </w:p>
    <w:p w14:paraId="5C3D2A03" w14:textId="050119E3" w:rsidR="00360EC1" w:rsidRDefault="0011190E" w:rsidP="004B51A8">
      <w:r>
        <w:t xml:space="preserve">In some </w:t>
      </w:r>
      <w:r w:rsidR="00C2794F">
        <w:t>cases,</w:t>
      </w:r>
      <w:r>
        <w:t xml:space="preserve"> the upstream assets are depreciated each year</w:t>
      </w:r>
      <w:r w:rsidR="00D17A17">
        <w:t xml:space="preserve">. This occurs </w:t>
      </w:r>
      <w:r w:rsidR="006D11B8">
        <w:t xml:space="preserve">when there is </w:t>
      </w:r>
      <w:r w:rsidR="004A3ADF">
        <w:t xml:space="preserve">oil or condensate </w:t>
      </w:r>
      <w:r w:rsidR="00AB243C">
        <w:t>(</w:t>
      </w:r>
      <w:r w:rsidR="00630CA7">
        <w:t>that is,</w:t>
      </w:r>
      <w:r w:rsidR="00AB243C">
        <w:t xml:space="preserve"> other MPCs) </w:t>
      </w:r>
      <w:r w:rsidR="004A3ADF">
        <w:t>extracted</w:t>
      </w:r>
      <w:r>
        <w:t xml:space="preserve"> </w:t>
      </w:r>
      <w:r w:rsidR="005D7A22">
        <w:t>prior to the production of project sales gas</w:t>
      </w:r>
      <w:r w:rsidR="002A743D">
        <w:t>, and occurs in addition to</w:t>
      </w:r>
      <w:r w:rsidR="004B51A8">
        <w:t xml:space="preserve"> </w:t>
      </w:r>
      <w:r w:rsidR="00536B86">
        <w:t>a pro-rata</w:t>
      </w:r>
      <w:r w:rsidR="004B51A8">
        <w:t xml:space="preserve"> </w:t>
      </w:r>
      <w:r w:rsidR="00536B86">
        <w:t xml:space="preserve">reduction of </w:t>
      </w:r>
      <w:r w:rsidR="004B51A8">
        <w:t xml:space="preserve">relevant </w:t>
      </w:r>
      <w:r w:rsidR="006361FE">
        <w:t xml:space="preserve">capital </w:t>
      </w:r>
      <w:r w:rsidR="004B51A8">
        <w:t>costs to account for the</w:t>
      </w:r>
      <w:r w:rsidR="00CA3CC7">
        <w:t>ir</w:t>
      </w:r>
      <w:r w:rsidR="004B51A8">
        <w:t xml:space="preserve"> use</w:t>
      </w:r>
      <w:r w:rsidR="00CA3CC7">
        <w:t xml:space="preserve"> in</w:t>
      </w:r>
      <w:r w:rsidR="0050373C">
        <w:t xml:space="preserve"> produc</w:t>
      </w:r>
      <w:r w:rsidR="00CA3CC7">
        <w:t>ing those other MPCs.</w:t>
      </w:r>
      <w:r w:rsidR="004B51A8">
        <w:t xml:space="preserve"> </w:t>
      </w:r>
      <w:r w:rsidR="00360EC1">
        <w:t xml:space="preserve">By contrast, capital costs for assets used solely for project sales gas and LNG continue to be uplifted over the same pre-production period as they are not used. </w:t>
      </w:r>
    </w:p>
    <w:p w14:paraId="133DA7B7" w14:textId="70BA451C" w:rsidR="004B51A8" w:rsidRDefault="004B51A8" w:rsidP="004B51A8">
      <w:r w:rsidRPr="00F503CB">
        <w:t xml:space="preserve">The practical effect of this is that the </w:t>
      </w:r>
      <w:r w:rsidR="005A6A78">
        <w:t xml:space="preserve">upstream </w:t>
      </w:r>
      <w:r w:rsidRPr="00F503CB">
        <w:t xml:space="preserve">capital costs </w:t>
      </w:r>
      <w:r w:rsidR="005A6A78">
        <w:t>are reduced</w:t>
      </w:r>
      <w:r w:rsidRPr="00F503CB">
        <w:t xml:space="preserve"> over the period in which the other MPCs are produced while the capital costs for the downstream infrastructure </w:t>
      </w:r>
      <w:r w:rsidR="00FF2674">
        <w:t>are</w:t>
      </w:r>
      <w:r w:rsidRPr="00F503CB">
        <w:t xml:space="preserve"> uplifted</w:t>
      </w:r>
      <w:r w:rsidR="00894207">
        <w:t xml:space="preserve"> (sometimes to an inappropriate extent, as noted below)</w:t>
      </w:r>
      <w:r w:rsidRPr="00F503CB">
        <w:t>.</w:t>
      </w:r>
    </w:p>
    <w:p w14:paraId="262329E7" w14:textId="78EF5CA7" w:rsidR="004B51A8" w:rsidRDefault="005E4576" w:rsidP="000E79A6">
      <w:r>
        <w:t xml:space="preserve">This design feature </w:t>
      </w:r>
      <w:r w:rsidR="00EA2149">
        <w:t xml:space="preserve">would </w:t>
      </w:r>
      <w:r w:rsidR="004B51A8">
        <w:t xml:space="preserve">appear to reflect the incremental cost assumption </w:t>
      </w:r>
      <w:r w:rsidR="00EA2149">
        <w:t xml:space="preserve">underpinning the </w:t>
      </w:r>
      <w:r w:rsidR="00F26623">
        <w:br/>
      </w:r>
      <w:r w:rsidR="00EA2149">
        <w:t>cost</w:t>
      </w:r>
      <w:r w:rsidR="008C7C07">
        <w:t>-</w:t>
      </w:r>
      <w:r w:rsidR="00EA2149">
        <w:t>plus method</w:t>
      </w:r>
      <w:r w:rsidR="00C51DE2">
        <w:t xml:space="preserve">, but this would only be valid </w:t>
      </w:r>
      <w:r w:rsidR="00274200">
        <w:t xml:space="preserve">if the upstream assets were built for the purpose of extracting the other MPCs and the LNG production reflected a late decision to monetise gas. </w:t>
      </w:r>
      <w:r w:rsidR="000E79A6">
        <w:t>This was not the intention for the RPM</w:t>
      </w:r>
      <w:r w:rsidR="00AE7FB9">
        <w:t>’</w:t>
      </w:r>
      <w:r w:rsidR="000E79A6">
        <w:t xml:space="preserve">s application to Australia’s major projects, which were built to produce LNG from the outset. </w:t>
      </w:r>
    </w:p>
    <w:p w14:paraId="2E0B4395" w14:textId="77028D3C" w:rsidR="004B51A8" w:rsidRPr="00D67230" w:rsidRDefault="0066720B" w:rsidP="00D67230">
      <w:pPr>
        <w:pStyle w:val="Heading4"/>
      </w:pPr>
      <w:r w:rsidRPr="00D67230">
        <w:lastRenderedPageBreak/>
        <w:t>RPM augmentation rules inappropriately inflate capital costs</w:t>
      </w:r>
    </w:p>
    <w:p w14:paraId="012C7B9B" w14:textId="430D486A" w:rsidR="004B51A8" w:rsidRDefault="004B51A8" w:rsidP="004B51A8">
      <w:r>
        <w:t xml:space="preserve">The rules </w:t>
      </w:r>
      <w:r w:rsidRPr="002C486A">
        <w:t xml:space="preserve">provide for the augmentation of capital costs </w:t>
      </w:r>
      <w:r>
        <w:t>in situations where:</w:t>
      </w:r>
    </w:p>
    <w:p w14:paraId="228E9FEF" w14:textId="697C1B47" w:rsidR="004B51A8" w:rsidRDefault="004B51A8" w:rsidP="0009042A">
      <w:pPr>
        <w:pStyle w:val="Bullet"/>
      </w:pPr>
      <w:r w:rsidRPr="002C486A">
        <w:t xml:space="preserve"> </w:t>
      </w:r>
      <w:r w:rsidR="00997F9E">
        <w:t>A</w:t>
      </w:r>
      <w:r w:rsidRPr="002C486A">
        <w:t xml:space="preserve"> unit of </w:t>
      </w:r>
      <w:r w:rsidR="0066720B" w:rsidRPr="002C486A">
        <w:t>property is</w:t>
      </w:r>
      <w:r w:rsidRPr="002C486A">
        <w:t xml:space="preserve"> constructed over a period of time and completed after the production year.</w:t>
      </w:r>
      <w:r w:rsidR="00151767">
        <w:t xml:space="preserve"> </w:t>
      </w:r>
      <w:r w:rsidR="0018097B">
        <w:t>I</w:t>
      </w:r>
      <w:r w:rsidR="006276AF">
        <w:t xml:space="preserve">t </w:t>
      </w:r>
      <w:r w:rsidR="00C428EE">
        <w:t>became</w:t>
      </w:r>
      <w:r w:rsidR="00C05A10">
        <w:t xml:space="preserve"> apparent </w:t>
      </w:r>
      <w:r w:rsidR="00B57915">
        <w:t>during</w:t>
      </w:r>
      <w:r w:rsidR="00C05A10">
        <w:t xml:space="preserve"> this </w:t>
      </w:r>
      <w:r w:rsidR="00A60033">
        <w:t>R</w:t>
      </w:r>
      <w:r w:rsidR="00C05A10">
        <w:t xml:space="preserve">eview that </w:t>
      </w:r>
      <w:r w:rsidR="002C57FB">
        <w:t xml:space="preserve">it is possible to arrive at two </w:t>
      </w:r>
      <w:r w:rsidR="00AD61C8">
        <w:t xml:space="preserve">interpretations </w:t>
      </w:r>
      <w:r w:rsidR="0047261B">
        <w:t>of</w:t>
      </w:r>
      <w:r w:rsidR="005D2C67">
        <w:t xml:space="preserve"> how</w:t>
      </w:r>
      <w:r w:rsidR="002C57FB">
        <w:t xml:space="preserve"> the included capital cost </w:t>
      </w:r>
      <w:r w:rsidR="005D2C67">
        <w:t>is</w:t>
      </w:r>
      <w:r w:rsidR="002C57FB">
        <w:t xml:space="preserve"> calculated.</w:t>
      </w:r>
      <w:r w:rsidR="00151767">
        <w:t xml:space="preserve"> </w:t>
      </w:r>
      <w:r w:rsidR="00697F72">
        <w:t xml:space="preserve">The first </w:t>
      </w:r>
      <w:r w:rsidR="009376CE">
        <w:t xml:space="preserve">way </w:t>
      </w:r>
      <w:r w:rsidR="00697F72">
        <w:t>i</w:t>
      </w:r>
      <w:r w:rsidR="00B33730">
        <w:t>s that</w:t>
      </w:r>
      <w:r w:rsidR="00151767">
        <w:t xml:space="preserve"> </w:t>
      </w:r>
      <w:r w:rsidR="00B33730">
        <w:t>t</w:t>
      </w:r>
      <w:r>
        <w:t xml:space="preserve">he final total cost of the unit is </w:t>
      </w:r>
      <w:r w:rsidRPr="002C486A">
        <w:t>augmented for the number of calendar years between the start</w:t>
      </w:r>
      <w:r>
        <w:t xml:space="preserve"> of construction and the </w:t>
      </w:r>
      <w:r w:rsidRPr="002C486A">
        <w:t>final cost year.</w:t>
      </w:r>
      <w:r w:rsidR="00151767">
        <w:t xml:space="preserve"> </w:t>
      </w:r>
      <w:r w:rsidR="00B33730">
        <w:t xml:space="preserve">The second </w:t>
      </w:r>
      <w:r w:rsidR="009376CE">
        <w:t xml:space="preserve">way </w:t>
      </w:r>
      <w:r w:rsidR="00B33730">
        <w:t>is that the costs that are incurred in each year between the start of construction and the final cost is augmented</w:t>
      </w:r>
      <w:r w:rsidR="00023BFF">
        <w:t>, and the total is included as the final cost</w:t>
      </w:r>
      <w:r w:rsidR="00F61EB2">
        <w:t>.</w:t>
      </w:r>
      <w:r w:rsidR="00151767">
        <w:t xml:space="preserve"> </w:t>
      </w:r>
      <w:r w:rsidR="00F61EB2">
        <w:t xml:space="preserve">Industry </w:t>
      </w:r>
      <w:r w:rsidR="00520403">
        <w:t xml:space="preserve">has </w:t>
      </w:r>
      <w:r w:rsidR="00F61EB2">
        <w:t xml:space="preserve">submitted that </w:t>
      </w:r>
      <w:r w:rsidR="007A2FC8">
        <w:t>i</w:t>
      </w:r>
      <w:r w:rsidR="00EA17DC">
        <w:t xml:space="preserve">n practice the second </w:t>
      </w:r>
      <w:r w:rsidR="009376CE">
        <w:t>approach</w:t>
      </w:r>
      <w:r w:rsidR="00EA17DC">
        <w:t xml:space="preserve"> has been applied.</w:t>
      </w:r>
      <w:r w:rsidRPr="002C486A">
        <w:t xml:space="preserve"> </w:t>
      </w:r>
    </w:p>
    <w:p w14:paraId="549A5743" w14:textId="6B06B07F" w:rsidR="004B51A8" w:rsidRDefault="004B51A8" w:rsidP="0009042A">
      <w:pPr>
        <w:pStyle w:val="Bullet"/>
      </w:pPr>
      <w:r w:rsidRPr="002C486A">
        <w:t xml:space="preserve">Where a depreciating asset is completed and all its costs have been incurred, but its use in an integrated </w:t>
      </w:r>
      <w:r w:rsidR="001A701F">
        <w:t>LNG</w:t>
      </w:r>
      <w:r w:rsidRPr="002C486A">
        <w:t xml:space="preserve"> operation has not commenced, capital costs are augmented to provide a return to capital for costs incurred prior to the commencement of the operational use.</w:t>
      </w:r>
      <w:r w:rsidR="00151767">
        <w:t xml:space="preserve"> </w:t>
      </w:r>
    </w:p>
    <w:p w14:paraId="4012769A" w14:textId="37DA0EBD" w:rsidR="004B51A8" w:rsidRDefault="004B51A8" w:rsidP="004B51A8">
      <w:r>
        <w:t>These rules appear designed to provide a return on capital for the period prior to first use of the asset and for the period once the capital is committed but not yet used. The</w:t>
      </w:r>
      <w:r w:rsidR="006D77C3">
        <w:t xml:space="preserve">y </w:t>
      </w:r>
      <w:r>
        <w:t xml:space="preserve">result in the value of the assets being inflated, in some circumstances significantly, prior to the calculation of the relevant capital return. </w:t>
      </w:r>
    </w:p>
    <w:p w14:paraId="1F5CB83B" w14:textId="507D10F7" w:rsidR="004B51A8" w:rsidRPr="00BC7224" w:rsidRDefault="00E210EC" w:rsidP="004B51A8">
      <w:r>
        <w:t xml:space="preserve">While these rules apply equally to both upstream and downstream assets, the practical </w:t>
      </w:r>
      <w:r w:rsidR="004120AC">
        <w:t xml:space="preserve">effect </w:t>
      </w:r>
      <w:r w:rsidR="004B51A8" w:rsidRPr="00FC5E2B">
        <w:t xml:space="preserve">where other MPCs are produced first is that the capital costs for much of the upstream infrastructure will be reduced </w:t>
      </w:r>
      <w:r w:rsidR="00894207">
        <w:t xml:space="preserve">(because of the depreciation anomaly described above) </w:t>
      </w:r>
      <w:r w:rsidR="004B51A8" w:rsidRPr="00FC5E2B">
        <w:t>while the capital costs for the downstream infrastructure will continue to be uplifted.</w:t>
      </w:r>
    </w:p>
    <w:p w14:paraId="3E80D88D" w14:textId="64BE1B46" w:rsidR="00166B2C" w:rsidRDefault="009A2805" w:rsidP="004B51A8">
      <w:r>
        <w:t>Conceptually, augmentation should apply to costs incurred each year rather than to the total cost of the asset.</w:t>
      </w:r>
      <w:r w:rsidR="00151767">
        <w:t xml:space="preserve"> </w:t>
      </w:r>
      <w:r w:rsidR="009A3830">
        <w:t xml:space="preserve">It is recommended </w:t>
      </w:r>
      <w:r w:rsidR="001127DD">
        <w:t xml:space="preserve">that the augmentation rules be </w:t>
      </w:r>
      <w:r w:rsidR="00DA6203">
        <w:t xml:space="preserve">revised </w:t>
      </w:r>
      <w:r w:rsidR="001127DD">
        <w:t xml:space="preserve">to ensure that the costs incurred </w:t>
      </w:r>
      <w:r w:rsidR="00F74DA6">
        <w:t>during</w:t>
      </w:r>
      <w:r w:rsidR="00544DE3">
        <w:t xml:space="preserve"> the</w:t>
      </w:r>
      <w:r w:rsidR="001127DD">
        <w:t xml:space="preserve"> start of construction of a unit property</w:t>
      </w:r>
      <w:r w:rsidR="00142EEE">
        <w:t xml:space="preserve"> until </w:t>
      </w:r>
      <w:r w:rsidR="0037541E">
        <w:t>the final cost year</w:t>
      </w:r>
      <w:r w:rsidR="003D3859">
        <w:t xml:space="preserve"> is augmented</w:t>
      </w:r>
      <w:r w:rsidR="000F29DA">
        <w:t xml:space="preserve"> </w:t>
      </w:r>
      <w:r w:rsidR="00EF1A6B">
        <w:t xml:space="preserve">each year (the year the cost is incurred) </w:t>
      </w:r>
      <w:r w:rsidR="0071728F">
        <w:t xml:space="preserve">and the total of these amounts </w:t>
      </w:r>
      <w:r w:rsidR="006D29B5">
        <w:t xml:space="preserve">be included as the final cost </w:t>
      </w:r>
      <w:r w:rsidR="00527ADB">
        <w:t>for that unit of property.</w:t>
      </w:r>
    </w:p>
    <w:p w14:paraId="43147172" w14:textId="15D8E65C" w:rsidR="004B51A8" w:rsidRDefault="00166B2C" w:rsidP="004B51A8">
      <w:r>
        <w:t>A</w:t>
      </w:r>
      <w:r w:rsidR="004B51A8">
        <w:t xml:space="preserve"> return on capital prior to </w:t>
      </w:r>
      <w:r w:rsidR="00866A09">
        <w:t xml:space="preserve">a capital outlay or the </w:t>
      </w:r>
      <w:r w:rsidR="004B51A8">
        <w:t xml:space="preserve">use of assets to generate income </w:t>
      </w:r>
      <w:r w:rsidR="0014764D">
        <w:t>is commercially unrealistic</w:t>
      </w:r>
      <w:r w:rsidR="004B51A8">
        <w:t xml:space="preserve">. </w:t>
      </w:r>
      <w:r w:rsidR="000B3A5C">
        <w:t>By contrast, p</w:t>
      </w:r>
      <w:r w:rsidR="004B51A8">
        <w:t>reser</w:t>
      </w:r>
      <w:r w:rsidR="00D06194">
        <w:t xml:space="preserve">vation </w:t>
      </w:r>
      <w:r w:rsidR="00EF20E5">
        <w:t>of</w:t>
      </w:r>
      <w:r w:rsidR="004B51A8">
        <w:t xml:space="preserve"> the value of the asset over multiple years </w:t>
      </w:r>
      <w:r w:rsidR="00997AE2">
        <w:t xml:space="preserve">(for example, at the GDP deflator) </w:t>
      </w:r>
      <w:r w:rsidR="007851DA">
        <w:t xml:space="preserve">would better reflect a commercial arrangement between upstream and downstream, where each party is responsible </w:t>
      </w:r>
      <w:r w:rsidR="004B51A8">
        <w:t>for an efficient allocation of capital prior to the project commencing.</w:t>
      </w:r>
    </w:p>
    <w:p w14:paraId="009A1CC2" w14:textId="67505554" w:rsidR="002908AB" w:rsidRDefault="003457DF" w:rsidP="003457DF">
      <w:pPr>
        <w:pStyle w:val="Heading3"/>
      </w:pPr>
      <w:r w:rsidRPr="003457DF">
        <w:t xml:space="preserve">Consideration of </w:t>
      </w:r>
      <w:r w:rsidR="007922C9">
        <w:t xml:space="preserve">the </w:t>
      </w:r>
      <w:r w:rsidRPr="003457DF">
        <w:t>main arguments against change</w:t>
      </w:r>
    </w:p>
    <w:p w14:paraId="4BE6CAE7" w14:textId="75764B76" w:rsidR="002908AB" w:rsidRDefault="002908AB" w:rsidP="002908AB">
      <w:r>
        <w:t xml:space="preserve">Industry submissions have not identified </w:t>
      </w:r>
      <w:r w:rsidR="009D5EED">
        <w:t xml:space="preserve">a </w:t>
      </w:r>
      <w:r>
        <w:t>consistent source of economic rents across the industry in the downstream components of the business</w:t>
      </w:r>
      <w:r w:rsidR="002673C9">
        <w:t xml:space="preserve"> </w:t>
      </w:r>
      <w:r w:rsidR="00BA7439">
        <w:t>that match the economic rents in the underlying resource</w:t>
      </w:r>
      <w:r w:rsidR="00CF6031">
        <w:t xml:space="preserve"> and justif</w:t>
      </w:r>
      <w:r w:rsidR="00F63161">
        <w:t>y</w:t>
      </w:r>
      <w:r w:rsidR="00CF6031">
        <w:t xml:space="preserve"> an equal share</w:t>
      </w:r>
      <w:r w:rsidR="00B50674">
        <w:t xml:space="preserve"> of the overall rents</w:t>
      </w:r>
      <w:r w:rsidR="005F1E73">
        <w:t xml:space="preserve"> in a project</w:t>
      </w:r>
      <w:r>
        <w:t xml:space="preserve">. Instead, the submissions have largely relied on three points to argue why the current arrangements are </w:t>
      </w:r>
      <w:r w:rsidR="00A22A4A">
        <w:t>appropriate</w:t>
      </w:r>
      <w:r>
        <w:t>:</w:t>
      </w:r>
    </w:p>
    <w:p w14:paraId="7002CC44" w14:textId="27A2BCDB" w:rsidR="002908AB" w:rsidRDefault="002908AB" w:rsidP="00A5002E">
      <w:pPr>
        <w:pStyle w:val="Bullet"/>
      </w:pPr>
      <w:r>
        <w:t xml:space="preserve">The projects were planned as integrated projects and therefore all risks and rewards </w:t>
      </w:r>
      <w:r w:rsidR="004B4560">
        <w:t>should be</w:t>
      </w:r>
      <w:r>
        <w:t xml:space="preserve"> shared equally across the entire project.</w:t>
      </w:r>
    </w:p>
    <w:p w14:paraId="3663506E" w14:textId="6B4B1C28" w:rsidR="002908AB" w:rsidRDefault="002908AB" w:rsidP="00A5002E">
      <w:pPr>
        <w:pStyle w:val="Bullet"/>
      </w:pPr>
      <w:r>
        <w:t>Value is added at each and every stage of the project</w:t>
      </w:r>
      <w:r w:rsidR="00E63978">
        <w:t>.</w:t>
      </w:r>
    </w:p>
    <w:p w14:paraId="1B114C07" w14:textId="2933E57E" w:rsidR="002908AB" w:rsidRDefault="00F37DBD" w:rsidP="00A5002E">
      <w:pPr>
        <w:pStyle w:val="Bullet"/>
      </w:pPr>
      <w:r>
        <w:t>There is n</w:t>
      </w:r>
      <w:r w:rsidR="002908AB">
        <w:t>o compelling actual or theoretical basis to determine how residual profits should be split or that change should be made.</w:t>
      </w:r>
    </w:p>
    <w:p w14:paraId="019E67A3" w14:textId="6409C9B2" w:rsidR="002908AB" w:rsidRDefault="002908AB" w:rsidP="002908AB">
      <w:r>
        <w:t>Industry also argue</w:t>
      </w:r>
      <w:r w:rsidR="00746D00">
        <w:t>s</w:t>
      </w:r>
      <w:r>
        <w:t xml:space="preserve"> that as these rules were subject to an extensive design process when they were developed and that nothing of significance has changed since then that warrants changes to the rules.</w:t>
      </w:r>
    </w:p>
    <w:p w14:paraId="34FA8972" w14:textId="51849417" w:rsidR="002908AB" w:rsidRDefault="002908AB" w:rsidP="002908AB">
      <w:r>
        <w:lastRenderedPageBreak/>
        <w:t xml:space="preserve">Treasury is of the view that these arguments </w:t>
      </w:r>
      <w:r w:rsidR="00D11789">
        <w:t xml:space="preserve">fall short of </w:t>
      </w:r>
      <w:r>
        <w:t>support</w:t>
      </w:r>
      <w:r w:rsidR="00D11789">
        <w:t>ing</w:t>
      </w:r>
      <w:r>
        <w:t xml:space="preserve"> the continued application of </w:t>
      </w:r>
      <w:r w:rsidR="0098314B">
        <w:t xml:space="preserve">the current </w:t>
      </w:r>
      <w:r>
        <w:t>model.</w:t>
      </w:r>
    </w:p>
    <w:p w14:paraId="0A779ADB" w14:textId="0BF11DEE" w:rsidR="002908AB" w:rsidRDefault="002908AB" w:rsidP="002908AB">
      <w:r>
        <w:t>Treasury agrees that the projects were planned from an engineering and commercial perspective as integrated projects but do</w:t>
      </w:r>
      <w:r w:rsidR="000A3E76">
        <w:t>es</w:t>
      </w:r>
      <w:r>
        <w:t xml:space="preserve"> not agree that this should drive the allocation of value for tax purposes. The allocation of value for tax purposes should follow economic principles of what produces </w:t>
      </w:r>
      <w:r w:rsidR="00A5002E">
        <w:t>value</w:t>
      </w:r>
      <w:r>
        <w:t xml:space="preserve"> within the project.</w:t>
      </w:r>
    </w:p>
    <w:p w14:paraId="297C8AA1" w14:textId="77E0B118" w:rsidR="002908AB" w:rsidRDefault="002908AB" w:rsidP="002908AB">
      <w:r>
        <w:t xml:space="preserve">Treasury agrees that value is added at every stage of the project but that </w:t>
      </w:r>
      <w:r w:rsidR="004E2E51">
        <w:t xml:space="preserve">is not </w:t>
      </w:r>
      <w:r w:rsidR="00D564FE">
        <w:t xml:space="preserve">necessarily </w:t>
      </w:r>
      <w:r w:rsidR="00FD6E86">
        <w:t xml:space="preserve">equivalent to </w:t>
      </w:r>
      <w:r w:rsidR="000C2F50">
        <w:t xml:space="preserve">creating </w:t>
      </w:r>
      <w:r w:rsidR="00FD6E86">
        <w:t xml:space="preserve">economic rent. </w:t>
      </w:r>
      <w:r w:rsidR="00621C8D">
        <w:t xml:space="preserve">Where no </w:t>
      </w:r>
      <w:r w:rsidR="004E1E36">
        <w:t xml:space="preserve">rent exits, the </w:t>
      </w:r>
      <w:r w:rsidR="007B046C">
        <w:t>value</w:t>
      </w:r>
      <w:r w:rsidR="00B84DFA">
        <w:t xml:space="preserve"> </w:t>
      </w:r>
      <w:r>
        <w:t>should be reflected in the ordinary</w:t>
      </w:r>
      <w:r w:rsidR="00C73ED8">
        <w:t xml:space="preserve"> risk adjusted</w:t>
      </w:r>
      <w:r>
        <w:t xml:space="preserve"> return attributed to downstream functions rather than receiving a share of economic rents on top of the </w:t>
      </w:r>
      <w:r w:rsidR="00987098">
        <w:t>commercial rate of return</w:t>
      </w:r>
      <w:r>
        <w:t>.</w:t>
      </w:r>
    </w:p>
    <w:p w14:paraId="24545CCE" w14:textId="04967AC9" w:rsidR="002908AB" w:rsidRPr="00621FAB" w:rsidRDefault="002908AB" w:rsidP="002908AB">
      <w:r>
        <w:t xml:space="preserve">Treasury considers that no compelling case or theoretical basis exists for consistently allocating </w:t>
      </w:r>
      <w:r w:rsidR="007600F8">
        <w:t>50 per </w:t>
      </w:r>
      <w:r w:rsidR="009648EF">
        <w:t>cent</w:t>
      </w:r>
      <w:r w:rsidR="00E77812">
        <w:t xml:space="preserve"> of the </w:t>
      </w:r>
      <w:r w:rsidR="006418F0">
        <w:t xml:space="preserve">residual </w:t>
      </w:r>
      <w:r>
        <w:t>profits to the downstream. If there was a consistent source of rents</w:t>
      </w:r>
      <w:r w:rsidR="00D14964">
        <w:t>,</w:t>
      </w:r>
      <w:r>
        <w:t xml:space="preserve"> then it would be possible to develop a sound basis on which to analyse an appropriate split of </w:t>
      </w:r>
      <w:r w:rsidR="00200399">
        <w:t xml:space="preserve">residual </w:t>
      </w:r>
      <w:r>
        <w:t xml:space="preserve">profits. It is the lack of ability to </w:t>
      </w:r>
      <w:r w:rsidR="00273DB0">
        <w:t xml:space="preserve">readily </w:t>
      </w:r>
      <w:r>
        <w:t xml:space="preserve">identify a </w:t>
      </w:r>
      <w:r w:rsidR="003324A6">
        <w:t xml:space="preserve">consistent </w:t>
      </w:r>
      <w:r>
        <w:t>source of residual profit in the downstream that results in the difficulty in determining how residual profits should be split</w:t>
      </w:r>
      <w:r w:rsidR="00EC1AF4">
        <w:t>.</w:t>
      </w:r>
    </w:p>
    <w:p w14:paraId="71800AB9" w14:textId="1EBE23D7" w:rsidR="001D63CF" w:rsidRDefault="003777EA" w:rsidP="001144FB">
      <w:pPr>
        <w:pStyle w:val="Heading2"/>
      </w:pPr>
      <w:bookmarkStart w:id="35" w:name="_Toc134273573"/>
      <w:r>
        <w:t xml:space="preserve">6.3 </w:t>
      </w:r>
      <w:r w:rsidR="00B31EE1">
        <w:t xml:space="preserve">Options for </w:t>
      </w:r>
      <w:r w:rsidR="00BB3C72">
        <w:t>reform</w:t>
      </w:r>
      <w:bookmarkEnd w:id="35"/>
    </w:p>
    <w:p w14:paraId="7982CEE7" w14:textId="2FA75564" w:rsidR="00B31EE1" w:rsidRDefault="00B534EC" w:rsidP="001144FB">
      <w:pPr>
        <w:pStyle w:val="Heading3"/>
      </w:pPr>
      <w:r>
        <w:t xml:space="preserve">The Role of PRRT in </w:t>
      </w:r>
      <w:r w:rsidR="00124ACC">
        <w:t>tax contributions of LNG Industry</w:t>
      </w:r>
    </w:p>
    <w:p w14:paraId="5D9917E3" w14:textId="3E831F39" w:rsidR="00922424" w:rsidRPr="00124ACC" w:rsidRDefault="00876BDE" w:rsidP="00124ACC">
      <w:r>
        <w:t>PRRT is a</w:t>
      </w:r>
      <w:r w:rsidR="00E269E9">
        <w:t xml:space="preserve">n industry specific, </w:t>
      </w:r>
      <w:r>
        <w:t>secondary resource tax</w:t>
      </w:r>
      <w:r w:rsidR="00E269E9">
        <w:t>,</w:t>
      </w:r>
      <w:r>
        <w:t xml:space="preserve"> that is designed to apply </w:t>
      </w:r>
      <w:r w:rsidR="00F81D72">
        <w:t xml:space="preserve">once projects have achieved a </w:t>
      </w:r>
      <w:r w:rsidR="00D43BAE">
        <w:t xml:space="preserve">certain </w:t>
      </w:r>
      <w:r w:rsidR="00F81D72">
        <w:t>return</w:t>
      </w:r>
      <w:r w:rsidR="0080622B">
        <w:t xml:space="preserve">. The </w:t>
      </w:r>
      <w:r w:rsidR="00860FB3">
        <w:t>p</w:t>
      </w:r>
      <w:r w:rsidR="0080622B">
        <w:t>rimary return to the community</w:t>
      </w:r>
      <w:r w:rsidR="00481D05">
        <w:t>,</w:t>
      </w:r>
      <w:r w:rsidR="00922424">
        <w:t xml:space="preserve"> as with all other economic activity in Australia</w:t>
      </w:r>
      <w:r w:rsidR="000B4077">
        <w:t>,</w:t>
      </w:r>
      <w:r w:rsidR="00922424">
        <w:t xml:space="preserve"> is via the </w:t>
      </w:r>
      <w:r w:rsidR="00AC5184">
        <w:t xml:space="preserve">corporate </w:t>
      </w:r>
      <w:r w:rsidR="00922424">
        <w:t>income tax system.</w:t>
      </w:r>
    </w:p>
    <w:p w14:paraId="5B65FF64" w14:textId="59E6C715" w:rsidR="00F16526" w:rsidRDefault="00F16526" w:rsidP="00124ACC">
      <w:r>
        <w:t>I</w:t>
      </w:r>
      <w:r w:rsidR="009C7249">
        <w:t>n</w:t>
      </w:r>
      <w:r>
        <w:t xml:space="preserve"> thinking about the </w:t>
      </w:r>
      <w:r w:rsidR="00685881">
        <w:t>appropriate return to the community</w:t>
      </w:r>
      <w:r w:rsidR="00481D05">
        <w:t>,</w:t>
      </w:r>
      <w:r w:rsidR="00685881">
        <w:t xml:space="preserve"> it is important to consider the combined impact of income tax, which </w:t>
      </w:r>
      <w:r w:rsidR="00DD56A4">
        <w:t>is</w:t>
      </w:r>
      <w:r w:rsidR="00685881">
        <w:t xml:space="preserve"> often paid early in proj</w:t>
      </w:r>
      <w:r w:rsidR="009C2D01">
        <w:t xml:space="preserve">ect lifetimes, before projects have become cash flow positive, and PRRT </w:t>
      </w:r>
      <w:r w:rsidR="00617D64">
        <w:t>which is often paid later in project lifetimes after projects have earned a minimum return</w:t>
      </w:r>
      <w:r w:rsidR="00B34101">
        <w:t xml:space="preserve">. The combined </w:t>
      </w:r>
      <w:r w:rsidR="00D930C3">
        <w:t>marginal</w:t>
      </w:r>
      <w:r w:rsidR="00B34101">
        <w:t xml:space="preserve"> rate of tax once PRRT starts being paid is </w:t>
      </w:r>
      <w:r w:rsidR="00D620F7">
        <w:t>58 per</w:t>
      </w:r>
      <w:r w:rsidR="000B4077">
        <w:t xml:space="preserve"> </w:t>
      </w:r>
      <w:r w:rsidR="00D620F7">
        <w:t>cent</w:t>
      </w:r>
      <w:r w:rsidR="00DA0353">
        <w:t xml:space="preserve"> </w:t>
      </w:r>
      <w:r w:rsidR="00C50BA1">
        <w:t xml:space="preserve">of </w:t>
      </w:r>
      <w:r w:rsidR="00D930C3">
        <w:t xml:space="preserve">income </w:t>
      </w:r>
      <w:r w:rsidR="00D930C3" w:rsidRPr="007F63A2">
        <w:rPr>
          <w:i/>
          <w:iCs/>
        </w:rPr>
        <w:t>within</w:t>
      </w:r>
      <w:r w:rsidR="00D930C3">
        <w:t xml:space="preserve"> the PRRT ringfence</w:t>
      </w:r>
      <w:r w:rsidR="00C50BA1">
        <w:t xml:space="preserve"> (reflecting </w:t>
      </w:r>
      <w:r w:rsidR="000909C8">
        <w:t xml:space="preserve">the </w:t>
      </w:r>
      <w:r w:rsidR="00F95A97">
        <w:t xml:space="preserve">policy position that PRRT is deductible for </w:t>
      </w:r>
      <w:r w:rsidR="00AC5184">
        <w:t xml:space="preserve">corporate </w:t>
      </w:r>
      <w:r w:rsidR="00F95A97">
        <w:t>income tax purposes).</w:t>
      </w:r>
    </w:p>
    <w:p w14:paraId="7E2C1DC1" w14:textId="364DD5FA" w:rsidR="00740B3E" w:rsidRDefault="00C4473D" w:rsidP="00124ACC">
      <w:r>
        <w:t>I</w:t>
      </w:r>
      <w:r w:rsidR="003759D0">
        <w:t>n suggesting changes</w:t>
      </w:r>
      <w:r w:rsidR="00AC5184">
        <w:t>,</w:t>
      </w:r>
      <w:r w:rsidR="003759D0">
        <w:t xml:space="preserve"> </w:t>
      </w:r>
      <w:r w:rsidR="005F671C">
        <w:t xml:space="preserve">Treasury </w:t>
      </w:r>
      <w:r w:rsidR="00AC5184">
        <w:t xml:space="preserve">has </w:t>
      </w:r>
      <w:r w:rsidR="005F671C">
        <w:t>sought to provide options which balance</w:t>
      </w:r>
      <w:r w:rsidR="00740B3E">
        <w:t>:</w:t>
      </w:r>
    </w:p>
    <w:p w14:paraId="7B770B6F" w14:textId="31BEB328" w:rsidR="005A204F" w:rsidRDefault="0082386A" w:rsidP="00306DD8">
      <w:pPr>
        <w:pStyle w:val="Bullet"/>
      </w:pPr>
      <w:r>
        <w:t>impact</w:t>
      </w:r>
      <w:r w:rsidR="007B7371">
        <w:t>s</w:t>
      </w:r>
      <w:r>
        <w:t xml:space="preserve"> on existing projects</w:t>
      </w:r>
      <w:r w:rsidR="007B7371">
        <w:t xml:space="preserve">, </w:t>
      </w:r>
      <w:r w:rsidR="00E74FF4">
        <w:t>those</w:t>
      </w:r>
      <w:r w:rsidR="001676CF">
        <w:t xml:space="preserve"> approved</w:t>
      </w:r>
      <w:r w:rsidR="005A204F">
        <w:t xml:space="preserve"> but not yet constructed</w:t>
      </w:r>
      <w:r w:rsidR="009E064A">
        <w:t xml:space="preserve"> and </w:t>
      </w:r>
      <w:r w:rsidR="00EA6790">
        <w:t xml:space="preserve">investment decisions for </w:t>
      </w:r>
      <w:r w:rsidR="005A204F">
        <w:t>projects that are yet to be sanctioned</w:t>
      </w:r>
      <w:r w:rsidR="00CD40CD">
        <w:t>;</w:t>
      </w:r>
    </w:p>
    <w:p w14:paraId="58E3CB1E" w14:textId="2E1A77C9" w:rsidR="00A23ACC" w:rsidRDefault="00925075" w:rsidP="00306DD8">
      <w:pPr>
        <w:pStyle w:val="Bullet"/>
      </w:pPr>
      <w:r>
        <w:t xml:space="preserve">uncertainty </w:t>
      </w:r>
      <w:r w:rsidR="00995F7B">
        <w:t xml:space="preserve">of future </w:t>
      </w:r>
      <w:r w:rsidR="00A57CCC">
        <w:t>oil and gas prices and demand</w:t>
      </w:r>
      <w:r w:rsidR="00CD40CD">
        <w:t>;</w:t>
      </w:r>
    </w:p>
    <w:p w14:paraId="71B7E421" w14:textId="691147BF" w:rsidR="00CD40CD" w:rsidRDefault="00D44AF5" w:rsidP="00306DD8">
      <w:pPr>
        <w:pStyle w:val="Bullet"/>
      </w:pPr>
      <w:r>
        <w:t>ensuring that the PRRT continues to opera</w:t>
      </w:r>
      <w:r w:rsidR="003A5AC6">
        <w:t xml:space="preserve">te as a </w:t>
      </w:r>
      <w:r w:rsidR="00FC57BB">
        <w:t xml:space="preserve">tax which applies once the project has achieved a </w:t>
      </w:r>
      <w:r w:rsidR="001F259C">
        <w:t>commercial return</w:t>
      </w:r>
      <w:r w:rsidR="00CD40CD">
        <w:t>;</w:t>
      </w:r>
      <w:r w:rsidR="007127AA">
        <w:t xml:space="preserve"> and</w:t>
      </w:r>
    </w:p>
    <w:p w14:paraId="2507C28A" w14:textId="3AC818E9" w:rsidR="00D44AF5" w:rsidRDefault="00DC70E7" w:rsidP="00306DD8">
      <w:pPr>
        <w:pStyle w:val="Bullet"/>
      </w:pPr>
      <w:r>
        <w:t xml:space="preserve">ensuring an appropriate return to the community for the exploitation of </w:t>
      </w:r>
      <w:r w:rsidR="005C03A7">
        <w:t>its</w:t>
      </w:r>
      <w:r w:rsidR="004C0B10">
        <w:t xml:space="preserve"> resource</w:t>
      </w:r>
      <w:r w:rsidR="005C03A7">
        <w:t>s</w:t>
      </w:r>
      <w:r w:rsidR="001F259C">
        <w:t>.</w:t>
      </w:r>
    </w:p>
    <w:p w14:paraId="3F10E14D" w14:textId="7D9BC5A7" w:rsidR="00B62D36" w:rsidRDefault="0037588A" w:rsidP="00747A6B">
      <w:r>
        <w:t xml:space="preserve">The PRRT operates differently for large scale gas and LNG projects than it does for oil projects. Oil projects generally require less </w:t>
      </w:r>
      <w:r w:rsidR="00CA094E">
        <w:t xml:space="preserve">infrastructure, reach peak production very quickly </w:t>
      </w:r>
      <w:r w:rsidR="00D242C5">
        <w:t>with an early production spike</w:t>
      </w:r>
      <w:r w:rsidR="005C7FA5">
        <w:t>,</w:t>
      </w:r>
      <w:r w:rsidR="00D242C5">
        <w:t xml:space="preserve"> followed by a long production tail. As a result</w:t>
      </w:r>
      <w:r w:rsidR="0021108F">
        <w:t>,</w:t>
      </w:r>
      <w:r w:rsidR="00D242C5">
        <w:t xml:space="preserve"> they become cash flow positive and </w:t>
      </w:r>
      <w:r w:rsidR="00AE2151">
        <w:t xml:space="preserve">pay back the initial investment </w:t>
      </w:r>
      <w:r w:rsidR="00A12218">
        <w:t>relatively</w:t>
      </w:r>
      <w:r w:rsidR="00AE2151">
        <w:t xml:space="preserve"> quickly. LNG projects have long lead time</w:t>
      </w:r>
      <w:r w:rsidR="000C03BC">
        <w:t xml:space="preserve">s, high construction costs and long construction periods. Production is often limited to </w:t>
      </w:r>
      <w:r w:rsidR="000A2E82">
        <w:t xml:space="preserve">what the </w:t>
      </w:r>
      <w:r w:rsidR="00A12218">
        <w:t>infrastructure</w:t>
      </w:r>
      <w:r w:rsidR="000A2E82">
        <w:t xml:space="preserve"> can process</w:t>
      </w:r>
      <w:r w:rsidR="005C7FA5">
        <w:t>,</w:t>
      </w:r>
      <w:r w:rsidR="000A2E82">
        <w:t xml:space="preserve"> resulting in </w:t>
      </w:r>
      <w:r w:rsidR="00A12218">
        <w:t xml:space="preserve">relatively </w:t>
      </w:r>
      <w:r w:rsidR="00712F8F">
        <w:t xml:space="preserve">consistent </w:t>
      </w:r>
      <w:r w:rsidR="00A12218">
        <w:t>production levels</w:t>
      </w:r>
      <w:r w:rsidR="000E3513">
        <w:t xml:space="preserve"> (that is, there are no early </w:t>
      </w:r>
      <w:r w:rsidR="002E7380">
        <w:t xml:space="preserve">production </w:t>
      </w:r>
      <w:r w:rsidR="000E3513">
        <w:t>spikes)</w:t>
      </w:r>
      <w:r w:rsidR="00F710F3">
        <w:t xml:space="preserve">. These factors result in longer payback periods before a project becomes </w:t>
      </w:r>
      <w:r w:rsidR="004F2AE9">
        <w:t>cash</w:t>
      </w:r>
      <w:r w:rsidR="00FB0377">
        <w:t xml:space="preserve"> </w:t>
      </w:r>
      <w:r w:rsidR="004F2AE9">
        <w:t>flow positive and even longer periods before they make the required level of return to pay PRRT.</w:t>
      </w:r>
    </w:p>
    <w:p w14:paraId="700FEAAB" w14:textId="1310331B" w:rsidR="0019602F" w:rsidRDefault="004E169C" w:rsidP="00747A6B">
      <w:r>
        <w:lastRenderedPageBreak/>
        <w:t>Any change</w:t>
      </w:r>
      <w:r w:rsidR="00CA095D">
        <w:t xml:space="preserve"> to</w:t>
      </w:r>
      <w:r>
        <w:t xml:space="preserve"> the GTP that </w:t>
      </w:r>
      <w:r w:rsidR="00F73BF9">
        <w:t>a</w:t>
      </w:r>
      <w:r w:rsidR="00977AED">
        <w:t>ttributes</w:t>
      </w:r>
      <w:r w:rsidR="00F73BF9">
        <w:t xml:space="preserve"> more of the economic rent to the upstream than the current settings is likely to bring forward revenue and increase tax payments once PRRT is payable from LNG projects. </w:t>
      </w:r>
      <w:r w:rsidR="00274CB5">
        <w:t xml:space="preserve">However, </w:t>
      </w:r>
      <w:r w:rsidR="003D695C">
        <w:t xml:space="preserve">even </w:t>
      </w:r>
      <w:r w:rsidR="008B556C">
        <w:t xml:space="preserve">significant </w:t>
      </w:r>
      <w:r w:rsidR="00274CB5">
        <w:t xml:space="preserve">GTP changes are not likely to bring revenue forward </w:t>
      </w:r>
      <w:r w:rsidR="003D695C">
        <w:t>more than a few years</w:t>
      </w:r>
      <w:r w:rsidR="00D03C01">
        <w:t>,</w:t>
      </w:r>
      <w:r w:rsidR="00C07833">
        <w:t xml:space="preserve"> and if LNG prices</w:t>
      </w:r>
      <w:r w:rsidR="006653A7">
        <w:t xml:space="preserve"> are low for an extensive period</w:t>
      </w:r>
      <w:r w:rsidR="00D03C01">
        <w:t>,</w:t>
      </w:r>
      <w:r w:rsidR="0026585C">
        <w:t xml:space="preserve"> then projects may not pay PRRT at all</w:t>
      </w:r>
      <w:r w:rsidR="003D695C">
        <w:t>.</w:t>
      </w:r>
    </w:p>
    <w:p w14:paraId="09D530F3" w14:textId="63CDC402" w:rsidR="00B31EE1" w:rsidRDefault="007F59C5" w:rsidP="001144FB">
      <w:pPr>
        <w:pStyle w:val="Heading3"/>
      </w:pPr>
      <w:r>
        <w:t xml:space="preserve">Modifying the </w:t>
      </w:r>
      <w:r w:rsidR="00D1791C">
        <w:t>GTP Regulation</w:t>
      </w:r>
    </w:p>
    <w:p w14:paraId="569A8029" w14:textId="67C9FC13" w:rsidR="00C55F59" w:rsidRDefault="00117A8A" w:rsidP="00AD0EC6">
      <w:r>
        <w:t xml:space="preserve">The </w:t>
      </w:r>
      <w:r w:rsidR="009F69D4">
        <w:t>r</w:t>
      </w:r>
      <w:r>
        <w:t xml:space="preserve">eview of the </w:t>
      </w:r>
      <w:r w:rsidR="00D1791C">
        <w:t>GTP Regulation</w:t>
      </w:r>
      <w:r w:rsidR="00F44B5A">
        <w:t xml:space="preserve"> has show</w:t>
      </w:r>
      <w:r w:rsidR="002922B5">
        <w:t>n</w:t>
      </w:r>
      <w:r w:rsidR="000040AC">
        <w:t xml:space="preserve"> </w:t>
      </w:r>
      <w:r w:rsidR="000A4CB1">
        <w:t>deficiencies</w:t>
      </w:r>
      <w:r w:rsidR="00871C7C">
        <w:t xml:space="preserve"> in the </w:t>
      </w:r>
      <w:r w:rsidR="00C04432">
        <w:t>regulations including</w:t>
      </w:r>
      <w:r w:rsidR="00C55F59">
        <w:t>:</w:t>
      </w:r>
    </w:p>
    <w:p w14:paraId="0AA96E50" w14:textId="75543E72" w:rsidR="00C55F59" w:rsidRDefault="00C55F59" w:rsidP="00C55F59">
      <w:pPr>
        <w:pStyle w:val="Bullet"/>
      </w:pPr>
      <w:r>
        <w:t>T</w:t>
      </w:r>
      <w:r w:rsidR="00A0285A">
        <w:t>he 50</w:t>
      </w:r>
      <w:r w:rsidR="004274AF">
        <w:t>:</w:t>
      </w:r>
      <w:r w:rsidR="00A0285A">
        <w:t>50 profit sp</w:t>
      </w:r>
      <w:r w:rsidR="0066444A">
        <w:t>lit allocation</w:t>
      </w:r>
      <w:r>
        <w:t xml:space="preserve"> to upstream and downstream operations.</w:t>
      </w:r>
    </w:p>
    <w:p w14:paraId="24C5ABE1" w14:textId="558025FB" w:rsidR="00C55F59" w:rsidRDefault="00C55F59" w:rsidP="00C55F59">
      <w:pPr>
        <w:pStyle w:val="Bullet"/>
      </w:pPr>
      <w:r>
        <w:t>T</w:t>
      </w:r>
      <w:r w:rsidR="00C07C4A">
        <w:t xml:space="preserve">he exclusion of </w:t>
      </w:r>
      <w:r w:rsidR="00D03866">
        <w:t xml:space="preserve">exploration expenditure and </w:t>
      </w:r>
      <w:r w:rsidR="007D566C">
        <w:t>development costs from the upstream cost base</w:t>
      </w:r>
      <w:r>
        <w:t>.</w:t>
      </w:r>
    </w:p>
    <w:p w14:paraId="496166B3" w14:textId="38D82E8F" w:rsidR="00AD0EC6" w:rsidRPr="00AD0EC6" w:rsidRDefault="00C55F59" w:rsidP="00C55F59">
      <w:pPr>
        <w:pStyle w:val="Bullet"/>
      </w:pPr>
      <w:r>
        <w:t>T</w:t>
      </w:r>
      <w:r w:rsidR="00C966E5">
        <w:t xml:space="preserve">he </w:t>
      </w:r>
      <w:r w:rsidR="000025C5">
        <w:t xml:space="preserve">upstream part of the business </w:t>
      </w:r>
      <w:r w:rsidR="00FD21C8">
        <w:t xml:space="preserve">bears all the project loss in the event of </w:t>
      </w:r>
      <w:r w:rsidR="00FA5918">
        <w:t>low LNG prices</w:t>
      </w:r>
      <w:r w:rsidR="00763201">
        <w:t xml:space="preserve"> </w:t>
      </w:r>
      <w:r w:rsidR="00485A0B">
        <w:t>but</w:t>
      </w:r>
      <w:r w:rsidR="00763201">
        <w:t xml:space="preserve"> </w:t>
      </w:r>
      <w:r w:rsidR="00694354">
        <w:t>receives only 50</w:t>
      </w:r>
      <w:r w:rsidR="006C44D0">
        <w:t xml:space="preserve"> per cent</w:t>
      </w:r>
      <w:r w:rsidR="00694354">
        <w:t xml:space="preserve"> of the profits</w:t>
      </w:r>
      <w:r w:rsidR="00FD72E6" w:rsidRPr="00FD72E6">
        <w:t xml:space="preserve"> </w:t>
      </w:r>
      <w:r w:rsidR="00FD72E6">
        <w:t>when LNG prices are high</w:t>
      </w:r>
      <w:r w:rsidR="00694354">
        <w:t>.</w:t>
      </w:r>
    </w:p>
    <w:p w14:paraId="1200B240" w14:textId="587EFFF6" w:rsidR="00694354" w:rsidRPr="00AD0EC6" w:rsidRDefault="00355733" w:rsidP="00A20C31">
      <w:r>
        <w:t>The</w:t>
      </w:r>
      <w:r w:rsidR="008437C5">
        <w:t>se deficiencies in the</w:t>
      </w:r>
      <w:r>
        <w:t xml:space="preserve"> </w:t>
      </w:r>
      <w:r w:rsidR="00D1791C">
        <w:t>GTP Regulation</w:t>
      </w:r>
      <w:r w:rsidR="002E3A83">
        <w:t xml:space="preserve"> </w:t>
      </w:r>
      <w:r w:rsidR="00BD165F">
        <w:t xml:space="preserve">lead to an inappropriate </w:t>
      </w:r>
      <w:r w:rsidR="004D5D8A">
        <w:t>over-</w:t>
      </w:r>
      <w:r w:rsidR="00986A57">
        <w:t>allocation</w:t>
      </w:r>
      <w:r w:rsidR="00BD0472">
        <w:t xml:space="preserve"> of rents to the downstream operations.</w:t>
      </w:r>
      <w:r w:rsidR="00F9029E">
        <w:t xml:space="preserve"> </w:t>
      </w:r>
      <w:r w:rsidR="00FE5513">
        <w:t>Treasury</w:t>
      </w:r>
      <w:r w:rsidR="00E23DF5">
        <w:t xml:space="preserve"> considers that there are two options </w:t>
      </w:r>
      <w:r w:rsidR="00060BE4">
        <w:t xml:space="preserve">that Government should consider </w:t>
      </w:r>
      <w:r w:rsidR="008866E7">
        <w:t xml:space="preserve">that would allocate </w:t>
      </w:r>
      <w:r w:rsidR="00B631FB">
        <w:t>appropriate</w:t>
      </w:r>
      <w:r w:rsidR="008866E7">
        <w:t xml:space="preserve"> rent</w:t>
      </w:r>
      <w:r w:rsidR="00F63D36">
        <w:t>s</w:t>
      </w:r>
      <w:r w:rsidR="008866E7">
        <w:t xml:space="preserve"> to the </w:t>
      </w:r>
      <w:r w:rsidR="00530688">
        <w:t xml:space="preserve">upstream </w:t>
      </w:r>
      <w:r w:rsidR="00771062">
        <w:t>operations.</w:t>
      </w:r>
      <w:r w:rsidR="00F9029E">
        <w:t xml:space="preserve"> </w:t>
      </w:r>
      <w:r w:rsidR="00771062">
        <w:t>The first option</w:t>
      </w:r>
      <w:r w:rsidR="00FE5513">
        <w:t xml:space="preserve"> </w:t>
      </w:r>
      <w:r w:rsidR="00490554">
        <w:t>is</w:t>
      </w:r>
      <w:r w:rsidR="00682CC8">
        <w:t xml:space="preserve"> to </w:t>
      </w:r>
      <w:r w:rsidR="002D172B">
        <w:t>replac</w:t>
      </w:r>
      <w:r w:rsidR="00490554">
        <w:t>e</w:t>
      </w:r>
      <w:r w:rsidR="002D172B">
        <w:t xml:space="preserve"> the RPM with a netback</w:t>
      </w:r>
      <w:r w:rsidR="004D5D8A">
        <w:t>-</w:t>
      </w:r>
      <w:r w:rsidR="002D172B">
        <w:t>only method</w:t>
      </w:r>
      <w:r w:rsidR="00490554">
        <w:t>.</w:t>
      </w:r>
      <w:r w:rsidR="00F9029E">
        <w:t xml:space="preserve"> </w:t>
      </w:r>
      <w:r w:rsidR="00490554">
        <w:t xml:space="preserve">The second option is to </w:t>
      </w:r>
      <w:r w:rsidR="007D3374">
        <w:t>retain the RPM</w:t>
      </w:r>
      <w:r w:rsidR="00A60A3B">
        <w:t xml:space="preserve"> with a </w:t>
      </w:r>
      <w:r w:rsidR="002D172B">
        <w:t>revis</w:t>
      </w:r>
      <w:r w:rsidR="00490554">
        <w:t>e</w:t>
      </w:r>
      <w:r w:rsidR="00A60A3B">
        <w:t>d</w:t>
      </w:r>
      <w:r w:rsidR="002D172B">
        <w:t xml:space="preserve"> </w:t>
      </w:r>
      <w:r w:rsidR="00314FF1">
        <w:t xml:space="preserve">profit split </w:t>
      </w:r>
      <w:r w:rsidR="00A60A3B">
        <w:t xml:space="preserve">and </w:t>
      </w:r>
      <w:r w:rsidR="00F75A04">
        <w:t xml:space="preserve">fix the </w:t>
      </w:r>
      <w:r w:rsidR="00157F1E">
        <w:t xml:space="preserve">existing asymmetries </w:t>
      </w:r>
      <w:r w:rsidR="00964AF1">
        <w:t>in the method.</w:t>
      </w:r>
      <w:r w:rsidR="00F9029E">
        <w:t xml:space="preserve"> </w:t>
      </w:r>
      <w:r w:rsidR="00B269A3">
        <w:t>Both</w:t>
      </w:r>
      <w:r w:rsidR="00964AF1">
        <w:t xml:space="preserve"> options are outlined further below</w:t>
      </w:r>
      <w:r w:rsidR="000970A0">
        <w:t>.</w:t>
      </w:r>
    </w:p>
    <w:p w14:paraId="2F47C1FC" w14:textId="11D1D7A3" w:rsidR="001144FB" w:rsidRDefault="00DE7D0C" w:rsidP="001144FB">
      <w:pPr>
        <w:pStyle w:val="Heading3"/>
      </w:pPr>
      <w:r>
        <w:t xml:space="preserve">Option 1 - </w:t>
      </w:r>
      <w:r w:rsidR="001144FB">
        <w:t xml:space="preserve">A netback </w:t>
      </w:r>
      <w:r w:rsidR="00BD4A3F">
        <w:t xml:space="preserve">only </w:t>
      </w:r>
      <w:r w:rsidR="001144FB">
        <w:t xml:space="preserve">method </w:t>
      </w:r>
    </w:p>
    <w:p w14:paraId="4334FAF1" w14:textId="4D5B55A3" w:rsidR="00404AAD" w:rsidRDefault="005C7C22" w:rsidP="001144FB">
      <w:r>
        <w:t xml:space="preserve">The netback method is widely used in taxation and commercial settings for resource valuation at a mid-point in the value chain where there are no commercial transactions occurring. </w:t>
      </w:r>
      <w:r w:rsidR="004131F4">
        <w:t xml:space="preserve">It represents a better basis for a safe harbour because it </w:t>
      </w:r>
      <w:r w:rsidR="003E65D7">
        <w:t xml:space="preserve">addresses the </w:t>
      </w:r>
      <w:r w:rsidR="00C259C8">
        <w:t xml:space="preserve">inappropriate </w:t>
      </w:r>
      <w:r w:rsidR="003E65D7">
        <w:t xml:space="preserve">assumption that the </w:t>
      </w:r>
      <w:r w:rsidR="004131F4">
        <w:t>downstream functions of liquefaction, transport and marketing consistently generate economic rents</w:t>
      </w:r>
      <w:r w:rsidR="003E65D7">
        <w:t xml:space="preserve"> in all cases, and thus removes the risk of gas owned by the Australian community being </w:t>
      </w:r>
      <w:r w:rsidR="00923077">
        <w:t>under-priced</w:t>
      </w:r>
      <w:r w:rsidR="003E65D7">
        <w:t xml:space="preserve">. </w:t>
      </w:r>
      <w:r w:rsidR="008E3B6F">
        <w:t>It will ensure that the above normal profits attributable to the gas resource are brought back into the PRRT tax net</w:t>
      </w:r>
      <w:r w:rsidR="00807428">
        <w:t xml:space="preserve"> </w:t>
      </w:r>
      <w:r w:rsidR="00291D4F">
        <w:t xml:space="preserve">by attributing all of the </w:t>
      </w:r>
      <w:r w:rsidR="003038CC">
        <w:t>residual profits</w:t>
      </w:r>
      <w:r w:rsidR="00291D4F">
        <w:t xml:space="preserve"> to the upstream activity</w:t>
      </w:r>
      <w:r w:rsidR="008E3B6F">
        <w:t xml:space="preserve">. </w:t>
      </w:r>
    </w:p>
    <w:p w14:paraId="5531963A" w14:textId="65389433" w:rsidR="004F651E" w:rsidRDefault="008E3B6F" w:rsidP="001144FB">
      <w:r>
        <w:t xml:space="preserve">To ensure project participants </w:t>
      </w:r>
      <w:r w:rsidR="00BD66F0">
        <w:t xml:space="preserve">can continue </w:t>
      </w:r>
      <w:r>
        <w:t xml:space="preserve">to plan with certainty, </w:t>
      </w:r>
      <w:r w:rsidR="00987216">
        <w:t xml:space="preserve">the </w:t>
      </w:r>
      <w:r>
        <w:t xml:space="preserve">netback </w:t>
      </w:r>
      <w:r w:rsidR="00AF33CF">
        <w:t>method can be</w:t>
      </w:r>
      <w:r>
        <w:t xml:space="preserve"> based on the existing model and the way the projects have been designed to this point. That is,</w:t>
      </w:r>
      <w:r w:rsidR="00F5201E">
        <w:t xml:space="preserve"> the </w:t>
      </w:r>
      <w:r w:rsidR="001C6284">
        <w:br/>
      </w:r>
      <w:r w:rsidR="00F5201E">
        <w:t xml:space="preserve">value-add of </w:t>
      </w:r>
      <w:r w:rsidR="005C7C22">
        <w:t>downstream</w:t>
      </w:r>
      <w:r w:rsidR="00F5201E">
        <w:t xml:space="preserve"> activities </w:t>
      </w:r>
      <w:r>
        <w:t xml:space="preserve">should </w:t>
      </w:r>
      <w:r w:rsidR="00A81F79">
        <w:t xml:space="preserve">continue to </w:t>
      </w:r>
      <w:r>
        <w:t>be</w:t>
      </w:r>
      <w:r w:rsidR="00F5201E">
        <w:t xml:space="preserve"> appropriately recognised </w:t>
      </w:r>
      <w:r w:rsidR="00133AE1">
        <w:t xml:space="preserve">through a </w:t>
      </w:r>
      <w:r w:rsidR="00345988">
        <w:t xml:space="preserve">statutory </w:t>
      </w:r>
      <w:r w:rsidR="00133AE1">
        <w:t xml:space="preserve">commercial </w:t>
      </w:r>
      <w:r w:rsidR="00345988">
        <w:t>return</w:t>
      </w:r>
      <w:r w:rsidR="005C7C22">
        <w:t>.</w:t>
      </w:r>
      <w:r w:rsidR="007A2204">
        <w:t xml:space="preserve"> </w:t>
      </w:r>
    </w:p>
    <w:p w14:paraId="5024258D" w14:textId="5394937C" w:rsidR="00687E34" w:rsidRDefault="00B340BA" w:rsidP="00CA1F92">
      <w:r>
        <w:t>If the netback</w:t>
      </w:r>
      <w:r w:rsidR="00CF412A">
        <w:t xml:space="preserve"> </w:t>
      </w:r>
      <w:r w:rsidR="009A356F">
        <w:t>only</w:t>
      </w:r>
      <w:r>
        <w:t xml:space="preserve"> method is adopted, </w:t>
      </w:r>
      <w:r w:rsidR="00151EAD">
        <w:t xml:space="preserve">it is </w:t>
      </w:r>
      <w:r w:rsidR="00032445">
        <w:t>implied that</w:t>
      </w:r>
      <w:r w:rsidR="00E5629B">
        <w:t xml:space="preserve"> </w:t>
      </w:r>
      <w:r w:rsidR="00CF412A">
        <w:t xml:space="preserve">the </w:t>
      </w:r>
      <w:r w:rsidR="00E5629B">
        <w:t>current rate of return</w:t>
      </w:r>
      <w:r w:rsidR="009A356F">
        <w:t xml:space="preserve"> provided in the RPM</w:t>
      </w:r>
      <w:r w:rsidR="00E5629B" w:rsidDel="009A356F">
        <w:t xml:space="preserve"> </w:t>
      </w:r>
      <w:r w:rsidR="00E5629B">
        <w:t xml:space="preserve">is </w:t>
      </w:r>
      <w:r w:rsidR="00F00B4A">
        <w:t>sufficient to provide a suitable commercial return</w:t>
      </w:r>
      <w:r w:rsidR="00563FEA">
        <w:t xml:space="preserve"> for the notional downstream entity</w:t>
      </w:r>
      <w:r w:rsidR="00F1796C">
        <w:t xml:space="preserve"> under a netback methodology</w:t>
      </w:r>
      <w:r w:rsidR="006107C6">
        <w:t>, which do</w:t>
      </w:r>
      <w:r w:rsidR="00203072">
        <w:t>es</w:t>
      </w:r>
      <w:r w:rsidR="006107C6">
        <w:t xml:space="preserve"> not provide for a sharing of project losses</w:t>
      </w:r>
      <w:r w:rsidR="002E0E55">
        <w:t xml:space="preserve">. </w:t>
      </w:r>
      <w:r w:rsidR="00935F3C">
        <w:t>This rate of return should be extended to operating expenditure</w:t>
      </w:r>
      <w:r w:rsidR="00867DBC">
        <w:t xml:space="preserve"> as well,</w:t>
      </w:r>
      <w:r w:rsidR="00935F3C">
        <w:t xml:space="preserve"> </w:t>
      </w:r>
      <w:r w:rsidR="00565D16">
        <w:t xml:space="preserve">to ensure a commercial return </w:t>
      </w:r>
      <w:r w:rsidR="00E24A68">
        <w:t xml:space="preserve">is </w:t>
      </w:r>
      <w:r w:rsidR="00723A86">
        <w:t>received for all downstream costs</w:t>
      </w:r>
      <w:r w:rsidR="00A33104">
        <w:t xml:space="preserve"> before PRRT is payable.</w:t>
      </w:r>
      <w:r w:rsidR="00F9029E">
        <w:t xml:space="preserve"> </w:t>
      </w:r>
      <w:r w:rsidR="009E79DB">
        <w:t>The</w:t>
      </w:r>
      <w:r w:rsidR="00707A22">
        <w:t xml:space="preserve"> current rate should be </w:t>
      </w:r>
      <w:r w:rsidR="00687E34">
        <w:t>retained</w:t>
      </w:r>
      <w:r w:rsidR="00707A22">
        <w:t xml:space="preserve"> for the following reasons</w:t>
      </w:r>
      <w:r w:rsidR="00DB781B">
        <w:t>:</w:t>
      </w:r>
    </w:p>
    <w:p w14:paraId="2CD566BF" w14:textId="04F7B6F9" w:rsidR="00052EBD" w:rsidRDefault="002A5B65" w:rsidP="00DB781B">
      <w:pPr>
        <w:pStyle w:val="Bullet"/>
      </w:pPr>
      <w:r>
        <w:t xml:space="preserve">The </w:t>
      </w:r>
      <w:r w:rsidR="00687E34">
        <w:t>rate</w:t>
      </w:r>
      <w:r>
        <w:t xml:space="preserve"> </w:t>
      </w:r>
      <w:r w:rsidR="00687E34">
        <w:t>exceeds</w:t>
      </w:r>
      <w:r>
        <w:t xml:space="preserve"> </w:t>
      </w:r>
      <w:r w:rsidR="00706349">
        <w:t xml:space="preserve">the statutory PRRT </w:t>
      </w:r>
      <w:r w:rsidR="00CA64CC">
        <w:t>augmentation</w:t>
      </w:r>
      <w:r w:rsidR="00706349">
        <w:t xml:space="preserve"> rate for </w:t>
      </w:r>
      <w:r w:rsidR="00687E34">
        <w:t>determining</w:t>
      </w:r>
      <w:r w:rsidR="00706349">
        <w:t xml:space="preserve"> whether </w:t>
      </w:r>
      <w:r w:rsidR="00AF36C0">
        <w:t xml:space="preserve">a business is </w:t>
      </w:r>
      <w:r w:rsidR="00687E34">
        <w:t>sufficiently</w:t>
      </w:r>
      <w:r w:rsidR="00AF36C0">
        <w:t xml:space="preserve"> </w:t>
      </w:r>
      <w:r w:rsidR="00687E34">
        <w:t>profitable</w:t>
      </w:r>
      <w:r w:rsidR="00AF36C0">
        <w:t xml:space="preserve"> to pay PRRT</w:t>
      </w:r>
      <w:r w:rsidR="00052EBD">
        <w:t>.</w:t>
      </w:r>
    </w:p>
    <w:p w14:paraId="7A9DA6D1" w14:textId="77AC4C32" w:rsidR="00763FC6" w:rsidRDefault="00052EBD" w:rsidP="00DB781B">
      <w:pPr>
        <w:pStyle w:val="Bullet"/>
      </w:pPr>
      <w:r>
        <w:t xml:space="preserve">The </w:t>
      </w:r>
      <w:r w:rsidR="00FB0089">
        <w:t xml:space="preserve">return is given for the life of the project and is increased where the asset is going to be used </w:t>
      </w:r>
      <w:r w:rsidR="00BA1E94">
        <w:t>for</w:t>
      </w:r>
      <w:r w:rsidR="00FB0089">
        <w:t xml:space="preserve"> 15 years or less</w:t>
      </w:r>
      <w:r w:rsidR="00763FC6">
        <w:t>.</w:t>
      </w:r>
    </w:p>
    <w:p w14:paraId="09BA3DB6" w14:textId="78705F46" w:rsidR="00B33DE0" w:rsidRDefault="00763FC6" w:rsidP="00BD0654">
      <w:pPr>
        <w:pStyle w:val="Bullet"/>
      </w:pPr>
      <w:r>
        <w:lastRenderedPageBreak/>
        <w:t xml:space="preserve">Modelling indicates that </w:t>
      </w:r>
      <w:r w:rsidR="00F92C4C">
        <w:t xml:space="preserve">some </w:t>
      </w:r>
      <w:r w:rsidR="00271544">
        <w:t xml:space="preserve">projects are already </w:t>
      </w:r>
      <w:r w:rsidR="00920E5B">
        <w:t xml:space="preserve">expected to </w:t>
      </w:r>
      <w:r w:rsidR="00271544">
        <w:t>us</w:t>
      </w:r>
      <w:r w:rsidR="00920E5B">
        <w:t>e</w:t>
      </w:r>
      <w:r w:rsidR="00271544">
        <w:t xml:space="preserve"> the netback price</w:t>
      </w:r>
      <w:r w:rsidR="001D0ED1">
        <w:t xml:space="preserve"> as the gas transfer price</w:t>
      </w:r>
      <w:r w:rsidR="00B902F1">
        <w:t xml:space="preserve"> </w:t>
      </w:r>
      <w:r w:rsidR="00272225">
        <w:t>under certain price scenarios.</w:t>
      </w:r>
      <w:r w:rsidR="00CF412A">
        <w:rPr>
          <w:rStyle w:val="FootnoteReference"/>
        </w:rPr>
        <w:footnoteReference w:id="68"/>
      </w:r>
      <w:r w:rsidR="001D0ED1">
        <w:t xml:space="preserve"> </w:t>
      </w:r>
      <w:r w:rsidR="00B902F1">
        <w:t>In such situations a</w:t>
      </w:r>
      <w:r w:rsidR="001D0ED1">
        <w:t>n increase to the netback rate of return would result in lower PRRT payments than the existing system.</w:t>
      </w:r>
    </w:p>
    <w:p w14:paraId="52C376D8" w14:textId="689AE2D0" w:rsidR="000738A4" w:rsidRDefault="008E3B6F" w:rsidP="000738A4">
      <w:r>
        <w:t xml:space="preserve">In circumstances where a </w:t>
      </w:r>
      <w:r w:rsidR="000738A4">
        <w:t>taxpayer</w:t>
      </w:r>
      <w:r>
        <w:t xml:space="preserve"> can demonstrate that above normal profits relate to downstream functions, it </w:t>
      </w:r>
      <w:r w:rsidR="002D5A2C">
        <w:t>would</w:t>
      </w:r>
      <w:r>
        <w:t xml:space="preserve"> be </w:t>
      </w:r>
      <w:r w:rsidR="004C477C">
        <w:t>open t</w:t>
      </w:r>
      <w:r>
        <w:t xml:space="preserve">o them </w:t>
      </w:r>
      <w:r w:rsidR="004C477C">
        <w:t>to</w:t>
      </w:r>
      <w:r w:rsidR="000738A4">
        <w:t xml:space="preserve"> continue to be able to</w:t>
      </w:r>
      <w:r w:rsidR="004C477C">
        <w:t xml:space="preserve"> approach the ATO </w:t>
      </w:r>
      <w:r w:rsidR="00886E7B">
        <w:t>and agree adjustments to the netback</w:t>
      </w:r>
      <w:r w:rsidR="001E3377">
        <w:t xml:space="preserve"> method</w:t>
      </w:r>
      <w:r w:rsidR="00886E7B">
        <w:t xml:space="preserve"> to take account of such returns</w:t>
      </w:r>
      <w:r w:rsidR="00A07EA3">
        <w:t xml:space="preserve"> through an APA</w:t>
      </w:r>
      <w:r w:rsidR="00886E7B">
        <w:t xml:space="preserve">. </w:t>
      </w:r>
      <w:r w:rsidR="000738A4">
        <w:t xml:space="preserve">One of the existing </w:t>
      </w:r>
      <w:r w:rsidR="00374BA1">
        <w:t>attractions</w:t>
      </w:r>
      <w:r w:rsidR="000738A4">
        <w:t xml:space="preserve"> of the </w:t>
      </w:r>
      <w:r w:rsidR="00641EFE">
        <w:t xml:space="preserve">current </w:t>
      </w:r>
      <w:r w:rsidR="000738A4">
        <w:t>RPM is that by providing a</w:t>
      </w:r>
      <w:r w:rsidR="00641EFE">
        <w:t xml:space="preserve">n </w:t>
      </w:r>
      <w:r w:rsidR="00246923">
        <w:t>overly</w:t>
      </w:r>
      <w:r w:rsidR="000738A4">
        <w:t xml:space="preserve"> generous safe harbour, it removes the need for companies to commit resources to valuing the various contributions of their functions and assets to the project and avoid disput</w:t>
      </w:r>
      <w:r w:rsidR="00D43AFC">
        <w:t>es</w:t>
      </w:r>
      <w:r w:rsidR="000738A4">
        <w:t xml:space="preserve"> with the Commissioner about that analysis. In practice, this has resulted in a high degree of certainty for industry to undertake investment </w:t>
      </w:r>
      <w:r w:rsidR="00E33A16">
        <w:t>decisions but</w:t>
      </w:r>
      <w:r w:rsidR="00036EC2">
        <w:t xml:space="preserve"> </w:t>
      </w:r>
      <w:r w:rsidR="0008229B">
        <w:t xml:space="preserve">has come at the </w:t>
      </w:r>
      <w:r w:rsidR="00BE1424">
        <w:t>longer-term</w:t>
      </w:r>
      <w:r w:rsidR="00A64C78">
        <w:t xml:space="preserve"> </w:t>
      </w:r>
      <w:r w:rsidR="0008229B">
        <w:t>cost of</w:t>
      </w:r>
      <w:r w:rsidR="00A64C78">
        <w:t xml:space="preserve"> reduced PRRT revenue</w:t>
      </w:r>
      <w:r w:rsidR="0053282C">
        <w:t xml:space="preserve"> for Government</w:t>
      </w:r>
      <w:r w:rsidR="00861C1C">
        <w:t>.</w:t>
      </w:r>
      <w:r w:rsidR="00151767">
        <w:t xml:space="preserve"> </w:t>
      </w:r>
    </w:p>
    <w:p w14:paraId="7F48C86D" w14:textId="09392D6C" w:rsidR="00325681" w:rsidRDefault="0060106F" w:rsidP="00886E7B">
      <w:r>
        <w:t>A signif</w:t>
      </w:r>
      <w:r w:rsidR="00060EB4">
        <w:t>icant</w:t>
      </w:r>
      <w:r w:rsidR="00411F43" w:rsidRPr="003444A5">
        <w:t xml:space="preserve"> drawback of moving to a </w:t>
      </w:r>
      <w:r w:rsidR="009D001D" w:rsidRPr="003444A5">
        <w:t xml:space="preserve">netback only approach </w:t>
      </w:r>
      <w:r w:rsidR="00972167" w:rsidRPr="003444A5">
        <w:t xml:space="preserve">is that </w:t>
      </w:r>
      <w:r w:rsidR="00120828">
        <w:t xml:space="preserve">there is potential for </w:t>
      </w:r>
      <w:r w:rsidR="000738A4" w:rsidRPr="003444A5">
        <w:t>multiple companies</w:t>
      </w:r>
      <w:r w:rsidR="00972167" w:rsidRPr="003444A5">
        <w:t xml:space="preserve"> </w:t>
      </w:r>
      <w:r w:rsidR="00120828">
        <w:t>to</w:t>
      </w:r>
      <w:r w:rsidR="000738A4" w:rsidRPr="003444A5">
        <w:t xml:space="preserve"> approach the ATO for an APA</w:t>
      </w:r>
      <w:r w:rsidR="000B1097">
        <w:t xml:space="preserve"> with a view to demonstrating </w:t>
      </w:r>
      <w:r w:rsidR="00DE1679">
        <w:t xml:space="preserve">economic rents </w:t>
      </w:r>
      <w:r w:rsidR="00C13B2E">
        <w:t>are attributable to</w:t>
      </w:r>
      <w:r w:rsidR="009729E5">
        <w:t xml:space="preserve"> the downstream </w:t>
      </w:r>
      <w:r w:rsidR="00C13B2E">
        <w:t xml:space="preserve">activities of </w:t>
      </w:r>
      <w:r w:rsidR="00BD34F1">
        <w:t>their LNG projects</w:t>
      </w:r>
      <w:r w:rsidR="000738A4" w:rsidRPr="003444A5">
        <w:t xml:space="preserve">. </w:t>
      </w:r>
      <w:r w:rsidR="00BD34F1">
        <w:t xml:space="preserve">This may </w:t>
      </w:r>
      <w:r w:rsidR="005B0DB8">
        <w:t>in</w:t>
      </w:r>
      <w:r w:rsidR="008329DE">
        <w:t xml:space="preserve">crease </w:t>
      </w:r>
      <w:r w:rsidR="00DC5D8A">
        <w:t xml:space="preserve">the compliance burden </w:t>
      </w:r>
      <w:r w:rsidR="00064FCC">
        <w:t>for taxpayers and administrative burden for the ATO, particularly to the extent it involve</w:t>
      </w:r>
      <w:r w:rsidR="00C13B2E">
        <w:t xml:space="preserve">s </w:t>
      </w:r>
      <w:r w:rsidR="000B5E52">
        <w:t xml:space="preserve">experts on both sides to </w:t>
      </w:r>
      <w:r w:rsidR="005426E0">
        <w:t xml:space="preserve">settle an approach or </w:t>
      </w:r>
      <w:r w:rsidR="00164044">
        <w:t xml:space="preserve">as part of protracted litigation. </w:t>
      </w:r>
      <w:r w:rsidR="00886E7B" w:rsidRPr="003444A5">
        <w:t>Set out below</w:t>
      </w:r>
      <w:r w:rsidR="000738A4" w:rsidRPr="003444A5">
        <w:t xml:space="preserve"> </w:t>
      </w:r>
      <w:r w:rsidR="009D7184" w:rsidRPr="003444A5">
        <w:t>(</w:t>
      </w:r>
      <w:r w:rsidR="00CE1710" w:rsidRPr="003444A5">
        <w:t>section 6.5</w:t>
      </w:r>
      <w:r w:rsidR="009D7184" w:rsidRPr="003444A5">
        <w:t>)</w:t>
      </w:r>
      <w:r w:rsidR="00886E7B" w:rsidRPr="003444A5">
        <w:t xml:space="preserve"> </w:t>
      </w:r>
      <w:r w:rsidR="009D7184" w:rsidRPr="003444A5">
        <w:t>are</w:t>
      </w:r>
      <w:r w:rsidR="00886E7B" w:rsidRPr="003444A5">
        <w:t xml:space="preserve"> a number of principles </w:t>
      </w:r>
      <w:r w:rsidR="00294F4D">
        <w:t xml:space="preserve">Treasury has developed </w:t>
      </w:r>
      <w:r w:rsidR="00886E7B" w:rsidRPr="003444A5">
        <w:t xml:space="preserve">to guide </w:t>
      </w:r>
      <w:r w:rsidR="00B7715F">
        <w:t>future APA</w:t>
      </w:r>
      <w:r w:rsidR="00B7715F" w:rsidRPr="003444A5">
        <w:t xml:space="preserve"> </w:t>
      </w:r>
      <w:r w:rsidR="00886E7B" w:rsidRPr="003444A5">
        <w:t>interactions</w:t>
      </w:r>
      <w:r w:rsidR="00B7715F">
        <w:t xml:space="preserve"> </w:t>
      </w:r>
      <w:r w:rsidR="00374E33">
        <w:t>with a view to minimis</w:t>
      </w:r>
      <w:r w:rsidR="00742753">
        <w:t>ing</w:t>
      </w:r>
      <w:r w:rsidR="00374E33">
        <w:t xml:space="preserve"> </w:t>
      </w:r>
      <w:r w:rsidR="00A53B53">
        <w:t>these burdens</w:t>
      </w:r>
      <w:r w:rsidR="000443B2">
        <w:t xml:space="preserve"> in the event the netback </w:t>
      </w:r>
      <w:r w:rsidR="00A37936">
        <w:t>only</w:t>
      </w:r>
      <w:r w:rsidR="000443B2">
        <w:t xml:space="preserve"> method is adopted</w:t>
      </w:r>
      <w:r w:rsidR="00886E7B" w:rsidRPr="003444A5">
        <w:t xml:space="preserve">. </w:t>
      </w:r>
    </w:p>
    <w:p w14:paraId="692AE634" w14:textId="77777777" w:rsidR="006E116B" w:rsidRDefault="006E116B" w:rsidP="00070B9F">
      <w:pPr>
        <w:pStyle w:val="Heading3noTOC"/>
      </w:pPr>
      <w:r w:rsidRPr="006E116B">
        <w:t>RPM augmentation rules inappropriately inflate capital costs</w:t>
      </w:r>
    </w:p>
    <w:p w14:paraId="7B8FFE2B" w14:textId="68548172" w:rsidR="000443B2" w:rsidRDefault="00891942" w:rsidP="000443B2">
      <w:r>
        <w:t>I</w:t>
      </w:r>
      <w:r w:rsidR="000443B2" w:rsidRPr="003444A5">
        <w:t xml:space="preserve">t will be necessary to fix several identified problems to ensure that </w:t>
      </w:r>
      <w:r w:rsidR="000443B2" w:rsidRPr="003444A5" w:rsidDel="005A5167">
        <w:t xml:space="preserve">the </w:t>
      </w:r>
      <w:r w:rsidR="000443B2" w:rsidRPr="003444A5">
        <w:t>downstream contribution to the LNG production</w:t>
      </w:r>
      <w:r w:rsidR="005A5167">
        <w:t xml:space="preserve"> is not overvalued</w:t>
      </w:r>
      <w:r w:rsidR="000443B2" w:rsidRPr="003444A5">
        <w:t>.</w:t>
      </w:r>
    </w:p>
    <w:p w14:paraId="65938727" w14:textId="5DDDD18D" w:rsidR="006E116B" w:rsidRDefault="00D32D29" w:rsidP="00D32D29">
      <w:r w:rsidRPr="00D32D29">
        <w:t xml:space="preserve">In order to calculate how much capital cost is allocated to a particular year, capital costs incurred for a unit of property over several years (section 39 </w:t>
      </w:r>
      <w:r w:rsidR="002E77CE">
        <w:t>GTP</w:t>
      </w:r>
      <w:r w:rsidRPr="00D32D29">
        <w:t xml:space="preserve"> Regulation) and capital costs incurred before the production year (section 40 </w:t>
      </w:r>
      <w:r w:rsidR="002E77CE">
        <w:t>GTP</w:t>
      </w:r>
      <w:r w:rsidRPr="00D32D29">
        <w:t xml:space="preserve"> Regulation) are uplifted.</w:t>
      </w:r>
      <w:r w:rsidR="00151767">
        <w:t xml:space="preserve"> </w:t>
      </w:r>
      <w:r w:rsidR="00210EE3">
        <w:t>As noted above</w:t>
      </w:r>
      <w:r w:rsidR="00864A29">
        <w:t xml:space="preserve">, </w:t>
      </w:r>
      <w:r w:rsidR="003D38EF">
        <w:t xml:space="preserve">there </w:t>
      </w:r>
      <w:r w:rsidR="00EA24F9">
        <w:t xml:space="preserve">are possibly two </w:t>
      </w:r>
      <w:r w:rsidR="000E51B1">
        <w:t xml:space="preserve">ways of </w:t>
      </w:r>
      <w:r w:rsidR="00EA24F9">
        <w:t>interpretat</w:t>
      </w:r>
      <w:r w:rsidR="00C30CB5">
        <w:t>ing the augmentation rules</w:t>
      </w:r>
      <w:r w:rsidR="005E1E5A">
        <w:t>.</w:t>
      </w:r>
      <w:r w:rsidR="00151767">
        <w:t xml:space="preserve"> </w:t>
      </w:r>
      <w:r w:rsidR="00534846">
        <w:t>One</w:t>
      </w:r>
      <w:r w:rsidR="00EA24F9">
        <w:t xml:space="preserve"> </w:t>
      </w:r>
      <w:r w:rsidR="00534846">
        <w:t>interpretation is that the</w:t>
      </w:r>
      <w:r w:rsidRPr="00D32D29">
        <w:t xml:space="preserve"> uplift applies to the final cost of the unit even if most of the expenditure is incurred in later years</w:t>
      </w:r>
      <w:r w:rsidR="00CB49BC">
        <w:t>.</w:t>
      </w:r>
      <w:r w:rsidR="00151767">
        <w:t xml:space="preserve"> </w:t>
      </w:r>
      <w:r w:rsidR="00852776">
        <w:t xml:space="preserve">Another </w:t>
      </w:r>
      <w:r w:rsidR="00B4245E">
        <w:t>way is</w:t>
      </w:r>
      <w:r w:rsidR="00B4245E" w:rsidRPr="00B4245E">
        <w:t xml:space="preserve"> </w:t>
      </w:r>
      <w:r w:rsidR="00B4245E">
        <w:t>the costs that are incurred in each year between the start of construction and the final cost is augmented, and the total is included as the final cost.</w:t>
      </w:r>
      <w:r w:rsidR="00151767">
        <w:t xml:space="preserve"> </w:t>
      </w:r>
      <w:r w:rsidR="000C6217">
        <w:t xml:space="preserve">It is the later </w:t>
      </w:r>
      <w:r w:rsidR="001555CC">
        <w:t>approach that has been adopted by industry in applying these rules.</w:t>
      </w:r>
      <w:r w:rsidR="00151767">
        <w:t xml:space="preserve"> </w:t>
      </w:r>
      <w:r w:rsidR="00CB49BC">
        <w:t xml:space="preserve">The </w:t>
      </w:r>
      <w:r w:rsidR="00555E6A">
        <w:t>capital costs</w:t>
      </w:r>
      <w:r w:rsidRPr="00D32D29">
        <w:t xml:space="preserve"> a</w:t>
      </w:r>
      <w:r w:rsidR="00555E6A">
        <w:t>re</w:t>
      </w:r>
      <w:r w:rsidRPr="00D32D29">
        <w:t xml:space="preserve"> augmented at the same rate as the capital cost allowance – currently LTBR + 7</w:t>
      </w:r>
      <w:r w:rsidR="009E0C67">
        <w:t xml:space="preserve"> percentage points</w:t>
      </w:r>
      <w:r w:rsidRPr="00D32D29">
        <w:t>, which is higher than the general PRRT augmentation rate.</w:t>
      </w:r>
    </w:p>
    <w:p w14:paraId="21E9E3A8" w14:textId="74071DE5" w:rsidR="00A04D9B" w:rsidRDefault="00A04D9B" w:rsidP="00D32D29">
      <w:r>
        <w:t xml:space="preserve">In the </w:t>
      </w:r>
      <w:r w:rsidR="00BA06F4">
        <w:t xml:space="preserve">RPM the higher augmentation rate is not problematic as it applies to </w:t>
      </w:r>
      <w:r w:rsidR="00310B33">
        <w:t xml:space="preserve">both the upstream and downstream notional entities in the same way. </w:t>
      </w:r>
      <w:r w:rsidR="0056347C">
        <w:t>In the case where a netback only approach is used, the current rules result in the overvaluation of the downstream contribution.</w:t>
      </w:r>
      <w:r w:rsidR="00BA06F4">
        <w:t xml:space="preserve"> </w:t>
      </w:r>
    </w:p>
    <w:p w14:paraId="47A94600" w14:textId="106B49E1" w:rsidR="00832E14" w:rsidRDefault="0056347C" w:rsidP="00D32D29">
      <w:r>
        <w:t xml:space="preserve">If a </w:t>
      </w:r>
      <w:r w:rsidR="005109D6">
        <w:t>n</w:t>
      </w:r>
      <w:r>
        <w:t>etback only approach is adopted</w:t>
      </w:r>
      <w:r w:rsidR="000F5181">
        <w:t>,</w:t>
      </w:r>
      <w:r>
        <w:t xml:space="preserve"> then </w:t>
      </w:r>
      <w:r w:rsidR="000F5181">
        <w:t>t</w:t>
      </w:r>
      <w:r w:rsidR="00310AAC">
        <w:t xml:space="preserve">he augmentation rules </w:t>
      </w:r>
      <w:r w:rsidR="008D5766">
        <w:t>should</w:t>
      </w:r>
      <w:r w:rsidR="00310AAC">
        <w:t xml:space="preserve"> be </w:t>
      </w:r>
      <w:r w:rsidR="00841A9F">
        <w:t>clarified</w:t>
      </w:r>
      <w:r w:rsidR="00310AAC">
        <w:t xml:space="preserve"> to ensure that the costs incurred during the start of construction of a unit property until the final cost year is augmented each year (the year the cost is incurred) and the total of these amounts be included as the final cost for that unit of property.</w:t>
      </w:r>
      <w:r w:rsidR="00151767">
        <w:t xml:space="preserve"> </w:t>
      </w:r>
      <w:r w:rsidR="00E01427">
        <w:t>Treasury recommends t</w:t>
      </w:r>
      <w:r w:rsidR="00150AE9">
        <w:t>he</w:t>
      </w:r>
      <w:r w:rsidR="00D75D16" w:rsidRPr="00D75D16">
        <w:t xml:space="preserve"> augment</w:t>
      </w:r>
      <w:r w:rsidR="00321CE9">
        <w:t>ation</w:t>
      </w:r>
      <w:r w:rsidR="00D75D16" w:rsidRPr="00D75D16">
        <w:t xml:space="preserve"> rate </w:t>
      </w:r>
      <w:r w:rsidR="00520D4E">
        <w:t>prior to production</w:t>
      </w:r>
      <w:r w:rsidR="00D75D16" w:rsidRPr="00D75D16">
        <w:t xml:space="preserve"> </w:t>
      </w:r>
      <w:r w:rsidR="00A30236">
        <w:t>should be</w:t>
      </w:r>
      <w:r w:rsidR="00D75D16" w:rsidRPr="00D75D16">
        <w:t xml:space="preserve"> consistent with the general PRRT augmentation rate,</w:t>
      </w:r>
      <w:r w:rsidR="00AD4DC8">
        <w:t xml:space="preserve"> i.e</w:t>
      </w:r>
      <w:r w:rsidR="00E14F67">
        <w:t>.</w:t>
      </w:r>
      <w:r w:rsidR="00B14A24">
        <w:t>,</w:t>
      </w:r>
      <w:r w:rsidR="00D75D16" w:rsidRPr="00D75D16">
        <w:t xml:space="preserve"> LTBR</w:t>
      </w:r>
      <w:r w:rsidR="009E0C67">
        <w:t xml:space="preserve"> </w:t>
      </w:r>
      <w:r w:rsidR="00D75D16" w:rsidRPr="00D75D16">
        <w:t>+</w:t>
      </w:r>
      <w:r w:rsidR="009E0C67">
        <w:t xml:space="preserve"> </w:t>
      </w:r>
      <w:r w:rsidR="00D75D16" w:rsidRPr="00D75D16">
        <w:t>5 percentage points.</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940F5F" w14:paraId="07556858"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5315A17F" w14:textId="55205E0E" w:rsidR="00940F5F" w:rsidRDefault="00940F5F">
            <w:pPr>
              <w:pStyle w:val="BoxHeading"/>
              <w:rPr>
                <w:sz w:val="28"/>
                <w:szCs w:val="28"/>
                <w:lang w:eastAsia="en-US"/>
              </w:rPr>
            </w:pPr>
            <w:r>
              <w:rPr>
                <w:sz w:val="28"/>
                <w:szCs w:val="28"/>
                <w:lang w:eastAsia="en-US"/>
              </w:rPr>
              <w:lastRenderedPageBreak/>
              <w:t>Recommendation 2:</w:t>
            </w:r>
          </w:p>
          <w:p w14:paraId="7FE17513" w14:textId="40688957" w:rsidR="00940F5F" w:rsidRDefault="0056347C">
            <w:pPr>
              <w:pStyle w:val="BoxText"/>
            </w:pPr>
            <w:r>
              <w:t xml:space="preserve">If a </w:t>
            </w:r>
            <w:r w:rsidR="005109D6">
              <w:t>n</w:t>
            </w:r>
            <w:r>
              <w:t>etback only approach is adopted, r</w:t>
            </w:r>
            <w:r w:rsidR="004E7337" w:rsidRPr="002B28F2">
              <w:t>educ</w:t>
            </w:r>
            <w:r w:rsidR="004E7337">
              <w:t>e</w:t>
            </w:r>
            <w:r w:rsidR="004E7337" w:rsidRPr="002B28F2">
              <w:t xml:space="preserve"> the augmentation rate for the construction and pre-production time periods</w:t>
            </w:r>
            <w:r w:rsidR="004E7337">
              <w:t xml:space="preserve"> to </w:t>
            </w:r>
            <w:r w:rsidR="00F06D0C">
              <w:t xml:space="preserve">the general PRRT augmentation rate </w:t>
            </w:r>
            <w:r w:rsidR="004E7337">
              <w:t xml:space="preserve">to reflect that the methodology should not </w:t>
            </w:r>
            <w:r w:rsidR="004B0EEF">
              <w:t>compensate investors with commercial rates of return on assets during the pre-earnings phase</w:t>
            </w:r>
            <w:r w:rsidR="004E7337">
              <w:t>.</w:t>
            </w:r>
          </w:p>
        </w:tc>
      </w:tr>
    </w:tbl>
    <w:p w14:paraId="0DA67DA1" w14:textId="36F85B18" w:rsidR="002F02C2" w:rsidRDefault="00323DD6" w:rsidP="00A7455D">
      <w:pPr>
        <w:pStyle w:val="Heading3"/>
      </w:pPr>
      <w:r>
        <w:t xml:space="preserve">Option 2 </w:t>
      </w:r>
      <w:r w:rsidR="00162102">
        <w:t>–</w:t>
      </w:r>
      <w:r>
        <w:t xml:space="preserve"> </w:t>
      </w:r>
      <w:r w:rsidR="00162102">
        <w:t>Retain</w:t>
      </w:r>
      <w:r>
        <w:t xml:space="preserve"> </w:t>
      </w:r>
      <w:r w:rsidR="00971147">
        <w:t>RPM</w:t>
      </w:r>
      <w:r w:rsidR="0082697D">
        <w:t xml:space="preserve"> but</w:t>
      </w:r>
      <w:r w:rsidR="00971147">
        <w:t xml:space="preserve"> </w:t>
      </w:r>
      <w:r w:rsidR="00B95B64">
        <w:t>modify profit split and fix the existing as</w:t>
      </w:r>
      <w:r w:rsidR="00427EFC">
        <w:t>y</w:t>
      </w:r>
      <w:r w:rsidR="00817211">
        <w:t xml:space="preserve">mmetries </w:t>
      </w:r>
      <w:r w:rsidR="00B9019A">
        <w:t xml:space="preserve">in the model </w:t>
      </w:r>
    </w:p>
    <w:p w14:paraId="64C06789" w14:textId="44508DA9" w:rsidR="00D4713F" w:rsidRDefault="0082697D" w:rsidP="0049294B">
      <w:r>
        <w:t>As noted above, r</w:t>
      </w:r>
      <w:r w:rsidR="00B97702">
        <w:t xml:space="preserve">equiring a taxpayer to seek an APA to demonstrate a consistent source of economic rent resides in the downstream </w:t>
      </w:r>
      <w:r w:rsidR="003874AB">
        <w:t>c</w:t>
      </w:r>
      <w:r w:rsidR="000B3677">
        <w:t>ould</w:t>
      </w:r>
      <w:r w:rsidR="00B97702">
        <w:t xml:space="preserve"> represent a significant compliance burden for taxpayers and </w:t>
      </w:r>
      <w:r w:rsidR="002D7BA0">
        <w:t>be</w:t>
      </w:r>
      <w:r w:rsidR="00B97702">
        <w:t xml:space="preserve"> resource-intensive for the Commissioner of Taxation. </w:t>
      </w:r>
    </w:p>
    <w:p w14:paraId="77D189DE" w14:textId="488DEA65" w:rsidR="006540D4" w:rsidRPr="00D67230" w:rsidRDefault="006540D4" w:rsidP="00D67230">
      <w:pPr>
        <w:pStyle w:val="Quote"/>
        <w:jc w:val="center"/>
        <w:rPr>
          <w:rFonts w:ascii="Calibri Light" w:hAnsi="Calibri Light" w:cs="Calibri Light"/>
          <w:color w:val="auto"/>
        </w:rPr>
      </w:pPr>
      <w:r w:rsidRPr="00D67230">
        <w:rPr>
          <w:rStyle w:val="QuoteChar"/>
          <w:rFonts w:ascii="Calibri Light" w:hAnsi="Calibri Light" w:cs="Calibri Light"/>
          <w:i/>
          <w:color w:val="auto"/>
        </w:rPr>
        <w:t>The existing APA process can be a complicated, expensive and time-consuming process. The agreement lasts for a limited period of time and needs to be consistently renegotiated with the ATO over the long life of such projects. In our experience, the outcomes are not generally agreed on a timely basis, meaning taxpayers are operating with ongoing uncertainty for an extended period of time</w:t>
      </w:r>
      <w:r w:rsidRPr="00D67230">
        <w:rPr>
          <w:rStyle w:val="QuoteChar"/>
          <w:rFonts w:ascii="Calibri Light" w:hAnsi="Calibri Light" w:cs="Calibri Light"/>
          <w:i/>
          <w:iCs/>
          <w:color w:val="auto"/>
        </w:rPr>
        <w:t>.</w:t>
      </w:r>
      <w:r w:rsidR="00707A05" w:rsidRPr="00D67230">
        <w:rPr>
          <w:rStyle w:val="FootnoteReference"/>
          <w:rFonts w:ascii="Calibri Light" w:hAnsi="Calibri Light" w:cs="Calibri Light"/>
          <w:color w:val="auto"/>
        </w:rPr>
        <w:footnoteReference w:id="69"/>
      </w:r>
    </w:p>
    <w:p w14:paraId="03A1333E" w14:textId="5D22F55B" w:rsidR="009D13A3" w:rsidRDefault="00B97702" w:rsidP="0049294B">
      <w:r>
        <w:t xml:space="preserve">This </w:t>
      </w:r>
      <w:r w:rsidR="00A12064">
        <w:t>issue</w:t>
      </w:r>
      <w:r>
        <w:t xml:space="preserve"> is amplified when the economic rent is not significant or is only there for a </w:t>
      </w:r>
      <w:r w:rsidR="00CF0064">
        <w:t>limited</w:t>
      </w:r>
      <w:r>
        <w:t xml:space="preserve"> period of time. </w:t>
      </w:r>
      <w:r w:rsidR="000738A4">
        <w:t>An</w:t>
      </w:r>
      <w:r w:rsidR="00A7455D">
        <w:t xml:space="preserve"> alternative</w:t>
      </w:r>
      <w:r w:rsidR="000738A4">
        <w:t xml:space="preserve"> to moving to a netback method</w:t>
      </w:r>
      <w:r w:rsidR="0049294B">
        <w:t xml:space="preserve"> </w:t>
      </w:r>
      <w:r w:rsidR="00A7455D">
        <w:t xml:space="preserve">would be to </w:t>
      </w:r>
      <w:r w:rsidR="00917B2D">
        <w:t xml:space="preserve">attribute </w:t>
      </w:r>
      <w:r w:rsidR="00042015">
        <w:t>some</w:t>
      </w:r>
      <w:r w:rsidR="00A7455D">
        <w:t xml:space="preserve"> allocation of rent to the downstream </w:t>
      </w:r>
      <w:r w:rsidR="004A51FD">
        <w:t xml:space="preserve">activities </w:t>
      </w:r>
      <w:r w:rsidR="00A7455D">
        <w:t>as a safe harbour</w:t>
      </w:r>
      <w:r w:rsidR="0049294B">
        <w:t xml:space="preserve">, subject to fixing the asymmetries that result in the contribution of the resource owner being undervalued and change the profit split to a ratio that </w:t>
      </w:r>
      <w:r w:rsidR="000738A4">
        <w:t>reflects</w:t>
      </w:r>
      <w:r w:rsidR="0049294B">
        <w:t xml:space="preserve"> that</w:t>
      </w:r>
      <w:r w:rsidR="009D13A3">
        <w:t xml:space="preserve"> significant </w:t>
      </w:r>
      <w:r w:rsidR="0049294B">
        <w:t xml:space="preserve">economic rents </w:t>
      </w:r>
      <w:r w:rsidR="009D13A3">
        <w:t xml:space="preserve">are not consistently generated </w:t>
      </w:r>
      <w:r w:rsidR="0049294B">
        <w:t xml:space="preserve">in downstream activities in all projects at all times. </w:t>
      </w:r>
      <w:r w:rsidR="009D13A3">
        <w:t>This would</w:t>
      </w:r>
      <w:r w:rsidR="00CB6552">
        <w:t xml:space="preserve"> provide a safe harbour pricing method that</w:t>
      </w:r>
      <w:r w:rsidR="0049294B">
        <w:t xml:space="preserve"> recognise</w:t>
      </w:r>
      <w:r w:rsidR="00CB6552">
        <w:t>s</w:t>
      </w:r>
      <w:r w:rsidR="0049294B">
        <w:t xml:space="preserve"> there are potentially economic rents in the downstream activities but </w:t>
      </w:r>
      <w:r w:rsidR="009D13A3">
        <w:t>withou</w:t>
      </w:r>
      <w:r w:rsidR="0049294B">
        <w:t>t requir</w:t>
      </w:r>
      <w:r w:rsidR="009D13A3">
        <w:t>ing</w:t>
      </w:r>
      <w:r w:rsidR="0049294B">
        <w:t xml:space="preserve"> every </w:t>
      </w:r>
      <w:r w:rsidR="009D13A3">
        <w:t>taxpayer</w:t>
      </w:r>
      <w:r w:rsidR="0049294B">
        <w:t xml:space="preserve"> to demonstrate it.</w:t>
      </w:r>
    </w:p>
    <w:p w14:paraId="1264B2B6" w14:textId="70165FFB" w:rsidR="00A7455D" w:rsidRDefault="00F7676C" w:rsidP="00A7455D">
      <w:r>
        <w:t>A</w:t>
      </w:r>
      <w:r w:rsidR="0065117F">
        <w:t>n 80:20 profit split would allow for recognition of limited rents in downstream operations while operating as a</w:t>
      </w:r>
      <w:r w:rsidR="0087136E">
        <w:t>n appropriate</w:t>
      </w:r>
      <w:r w:rsidR="0065117F">
        <w:t xml:space="preserve"> safe harbour</w:t>
      </w:r>
      <w:r w:rsidR="0087136E">
        <w:t xml:space="preserve">. </w:t>
      </w:r>
      <w:r w:rsidR="009D13A3">
        <w:t>T</w:t>
      </w:r>
      <w:r w:rsidR="0049294B">
        <w:t xml:space="preserve">he </w:t>
      </w:r>
      <w:r w:rsidR="00050FBA">
        <w:t>split</w:t>
      </w:r>
      <w:r w:rsidR="00F4439C">
        <w:t xml:space="preserve"> </w:t>
      </w:r>
      <w:r w:rsidR="003F4615">
        <w:t xml:space="preserve">would provide a reasonable </w:t>
      </w:r>
      <w:r w:rsidR="00D31C85">
        <w:t>balance</w:t>
      </w:r>
      <w:r w:rsidR="00F446EE">
        <w:t xml:space="preserve"> </w:t>
      </w:r>
      <w:r w:rsidR="007E20A3">
        <w:t xml:space="preserve">between the </w:t>
      </w:r>
      <w:r w:rsidR="00D31C85">
        <w:t xml:space="preserve">trade-off </w:t>
      </w:r>
      <w:r w:rsidR="00026021">
        <w:t>of</w:t>
      </w:r>
      <w:r w:rsidR="00856D7D">
        <w:t xml:space="preserve"> acknowledging </w:t>
      </w:r>
      <w:r w:rsidR="00D31C85">
        <w:t xml:space="preserve">that </w:t>
      </w:r>
      <w:r w:rsidR="00BE4F8C" w:rsidRPr="004C03B8">
        <w:t xml:space="preserve">downstream </w:t>
      </w:r>
      <w:r w:rsidR="00E14D3D">
        <w:t xml:space="preserve">functions </w:t>
      </w:r>
      <w:r w:rsidR="00BE4F8C" w:rsidRPr="004C03B8">
        <w:t>may contribute</w:t>
      </w:r>
      <w:r w:rsidR="00BE4F8C">
        <w:t xml:space="preserve"> to the generation of economic rents</w:t>
      </w:r>
      <w:r w:rsidR="00BE4F8C" w:rsidRPr="004C03B8">
        <w:t xml:space="preserve"> in some </w:t>
      </w:r>
      <w:r w:rsidR="00BE4F8C">
        <w:t>circumstances</w:t>
      </w:r>
      <w:r w:rsidR="00E4017F">
        <w:t>,</w:t>
      </w:r>
      <w:r w:rsidR="00BE4F8C">
        <w:t xml:space="preserve"> </w:t>
      </w:r>
      <w:r w:rsidR="00A7455D">
        <w:t>with the p</w:t>
      </w:r>
      <w:r w:rsidR="00234E80">
        <w:t>ossibility</w:t>
      </w:r>
      <w:r w:rsidR="00A7455D">
        <w:t xml:space="preserve"> that industry participants </w:t>
      </w:r>
      <w:r w:rsidR="00234E80">
        <w:t xml:space="preserve">may </w:t>
      </w:r>
      <w:r w:rsidR="00A7455D">
        <w:t xml:space="preserve">face costs and uncertainty </w:t>
      </w:r>
      <w:r w:rsidR="00AE5AEB">
        <w:t>if they are required</w:t>
      </w:r>
      <w:r w:rsidR="00A7455D">
        <w:t xml:space="preserve"> </w:t>
      </w:r>
      <w:r w:rsidR="00A567FB">
        <w:t>to</w:t>
      </w:r>
      <w:r w:rsidR="00A7455D">
        <w:t xml:space="preserve"> demonstrate that </w:t>
      </w:r>
      <w:r w:rsidR="00A567FB">
        <w:t>particular downstream functions do generate economic rents.</w:t>
      </w:r>
      <w:r w:rsidR="005925C1">
        <w:t xml:space="preserve"> In some cases, these costs </w:t>
      </w:r>
      <w:r w:rsidR="00ED480E">
        <w:t>could be significant</w:t>
      </w:r>
      <w:r w:rsidR="00B42F46">
        <w:t>, both for the taxpayer and the Com</w:t>
      </w:r>
      <w:r w:rsidR="000B481E">
        <w:t>missioner of Taxation,</w:t>
      </w:r>
      <w:r w:rsidR="002257FE">
        <w:t xml:space="preserve"> particularly</w:t>
      </w:r>
      <w:r w:rsidR="000B481E">
        <w:t xml:space="preserve"> </w:t>
      </w:r>
      <w:r w:rsidR="0049681A">
        <w:t xml:space="preserve">as it is likely to involve </w:t>
      </w:r>
      <w:r w:rsidR="00C52554">
        <w:t xml:space="preserve">the </w:t>
      </w:r>
      <w:r w:rsidR="002257FE">
        <w:t xml:space="preserve">commissioning </w:t>
      </w:r>
      <w:r w:rsidR="00C52554">
        <w:t xml:space="preserve">of </w:t>
      </w:r>
      <w:r w:rsidR="008D61F7">
        <w:t>experts on both sides to settle issue</w:t>
      </w:r>
      <w:r w:rsidR="000C0B8C">
        <w:t>s</w:t>
      </w:r>
      <w:r w:rsidR="00C52554">
        <w:t xml:space="preserve"> in dispute</w:t>
      </w:r>
      <w:r w:rsidR="008D61F7">
        <w:t>.</w:t>
      </w:r>
      <w:r w:rsidR="00E505AB">
        <w:t xml:space="preserve"> </w:t>
      </w:r>
      <w:r w:rsidR="00636374">
        <w:t>An 80:20 profit split would als</w:t>
      </w:r>
      <w:r w:rsidR="00A3286B">
        <w:t xml:space="preserve">o </w:t>
      </w:r>
      <w:r w:rsidR="00D46AFB">
        <w:t xml:space="preserve">moderate </w:t>
      </w:r>
      <w:r w:rsidR="00EB6A8C">
        <w:t xml:space="preserve">the impact of the </w:t>
      </w:r>
      <w:r w:rsidR="002440B5">
        <w:t>PRRT</w:t>
      </w:r>
      <w:r w:rsidR="00BD7492">
        <w:t xml:space="preserve"> </w:t>
      </w:r>
      <w:r w:rsidR="00D57765">
        <w:t xml:space="preserve">on new investment, compared to the </w:t>
      </w:r>
      <w:r w:rsidR="00CE52E4">
        <w:t>netback only approach.</w:t>
      </w:r>
      <w:r w:rsidR="00E505AB">
        <w:t xml:space="preserve"> </w:t>
      </w:r>
    </w:p>
    <w:p w14:paraId="7DFEF10D" w14:textId="51603BAC" w:rsidR="00A7455D" w:rsidRDefault="00A7455D" w:rsidP="00A7455D">
      <w:r>
        <w:t xml:space="preserve">The choice </w:t>
      </w:r>
      <w:r w:rsidR="007B618E">
        <w:t xml:space="preserve">about whether to opt for </w:t>
      </w:r>
      <w:r w:rsidR="00B371AC">
        <w:t>the</w:t>
      </w:r>
      <w:r w:rsidR="00737EDB">
        <w:t xml:space="preserve"> modified </w:t>
      </w:r>
      <w:r w:rsidR="00B371AC">
        <w:t>RPM</w:t>
      </w:r>
      <w:r w:rsidR="00737EDB">
        <w:t xml:space="preserve"> as the safe harbour </w:t>
      </w:r>
      <w:r w:rsidR="007B618E">
        <w:t>is</w:t>
      </w:r>
      <w:r>
        <w:t xml:space="preserve"> a matter for Government.</w:t>
      </w:r>
      <w:r w:rsidR="00151767">
        <w:t xml:space="preserve"> </w:t>
      </w:r>
      <w:r w:rsidR="00166D27">
        <w:t>On the one hand</w:t>
      </w:r>
      <w:r w:rsidR="00DD23F7">
        <w:t>,</w:t>
      </w:r>
      <w:r w:rsidR="00166D27">
        <w:t xml:space="preserve"> adopting </w:t>
      </w:r>
      <w:r w:rsidR="00103111">
        <w:t xml:space="preserve">a </w:t>
      </w:r>
      <w:r w:rsidR="008D6B2B">
        <w:t>revised</w:t>
      </w:r>
      <w:r w:rsidR="00103111">
        <w:t xml:space="preserve"> profit</w:t>
      </w:r>
      <w:r w:rsidR="008D6B2B">
        <w:t xml:space="preserve"> split</w:t>
      </w:r>
      <w:r>
        <w:t xml:space="preserve"> </w:t>
      </w:r>
      <w:r w:rsidR="00DD23F7">
        <w:t>may still</w:t>
      </w:r>
      <w:r>
        <w:t xml:space="preserve"> </w:t>
      </w:r>
      <w:r w:rsidR="00653083">
        <w:t>provide</w:t>
      </w:r>
      <w:r>
        <w:t xml:space="preserve"> a tax benefit to a number of industry participants</w:t>
      </w:r>
      <w:r w:rsidR="00DD23F7">
        <w:t xml:space="preserve"> who do not generate economic rents in the downstream part of their project,</w:t>
      </w:r>
      <w:r w:rsidR="00717401" w:rsidRPr="00717401">
        <w:t xml:space="preserve"> </w:t>
      </w:r>
      <w:r w:rsidR="00717401">
        <w:t>particularly if resource prices are high over the medium to longer term</w:t>
      </w:r>
      <w:r>
        <w:t xml:space="preserve">. </w:t>
      </w:r>
      <w:r w:rsidR="00166D27">
        <w:t>On the other hand</w:t>
      </w:r>
      <w:r w:rsidR="00304174">
        <w:t>, a revised</w:t>
      </w:r>
      <w:r w:rsidR="008D6B2B">
        <w:t xml:space="preserve"> profit</w:t>
      </w:r>
      <w:r w:rsidR="00F348D4">
        <w:t xml:space="preserve"> split </w:t>
      </w:r>
      <w:r w:rsidR="00F936E5">
        <w:t>may impact less</w:t>
      </w:r>
      <w:r w:rsidR="00D82A99">
        <w:t xml:space="preserve"> on the </w:t>
      </w:r>
      <w:r w:rsidR="00970B95">
        <w:t xml:space="preserve">economics of </w:t>
      </w:r>
      <w:r w:rsidR="00B2423B">
        <w:t xml:space="preserve">existing, recently </w:t>
      </w:r>
      <w:r w:rsidR="003C4F42">
        <w:t xml:space="preserve">sanctioned and new proposed </w:t>
      </w:r>
      <w:r w:rsidR="006D13AC">
        <w:t>projects</w:t>
      </w:r>
      <w:r w:rsidR="00B47417">
        <w:t xml:space="preserve"> a</w:t>
      </w:r>
      <w:r w:rsidR="008A2936">
        <w:t xml:space="preserve">s well as </w:t>
      </w:r>
      <w:r w:rsidR="00AA7D1C">
        <w:t>reducing the potentia</w:t>
      </w:r>
      <w:r w:rsidR="002F56B5">
        <w:t xml:space="preserve">l for protracted </w:t>
      </w:r>
      <w:r w:rsidR="00456D51">
        <w:t xml:space="preserve">and costly </w:t>
      </w:r>
      <w:r w:rsidR="008B36EC">
        <w:t xml:space="preserve">APA </w:t>
      </w:r>
      <w:r w:rsidR="002F56B5">
        <w:t xml:space="preserve">disputes between taxpayers </w:t>
      </w:r>
      <w:r w:rsidR="00FE6049">
        <w:t xml:space="preserve">and the Commissioner of Taxation </w:t>
      </w:r>
      <w:r w:rsidR="00463785">
        <w:t>that may arise with the adoption of the netback only method</w:t>
      </w:r>
      <w:r w:rsidR="00020309">
        <w:t>.</w:t>
      </w:r>
      <w:r w:rsidR="003C4F42">
        <w:t xml:space="preserve"> </w:t>
      </w:r>
      <w:r w:rsidR="000D256A">
        <w:t>If a revised profit split is adopted</w:t>
      </w:r>
      <w:r w:rsidR="007C413B">
        <w:t>,</w:t>
      </w:r>
      <w:r w:rsidR="000D256A">
        <w:t xml:space="preserve"> then the scope for APA</w:t>
      </w:r>
      <w:r w:rsidR="00A4231A">
        <w:t>s</w:t>
      </w:r>
      <w:r w:rsidR="000D256A">
        <w:t xml:space="preserve"> should also be reduced</w:t>
      </w:r>
      <w:r>
        <w:t xml:space="preserve"> to a </w:t>
      </w:r>
      <w:r>
        <w:lastRenderedPageBreak/>
        <w:t xml:space="preserve">relatively narrow group of circumstances primarily aimed at giving practical effect to the </w:t>
      </w:r>
      <w:r w:rsidR="000D256A">
        <w:t xml:space="preserve">default </w:t>
      </w:r>
      <w:r w:rsidR="008932DA">
        <w:t>methodology</w:t>
      </w:r>
      <w:r>
        <w:t>.</w:t>
      </w:r>
    </w:p>
    <w:p w14:paraId="38727E34" w14:textId="553774AB" w:rsidR="00A7455D" w:rsidRDefault="00A7455D" w:rsidP="00A7455D">
      <w:r>
        <w:t>Given the significance of the proposed changes, Treasury has not proposed changes to the rate of return in the cost-plus or netback of LTBR</w:t>
      </w:r>
      <w:r w:rsidR="009E0C67">
        <w:t xml:space="preserve"> </w:t>
      </w:r>
      <w:r>
        <w:t>+</w:t>
      </w:r>
      <w:r w:rsidR="009E0C67">
        <w:t xml:space="preserve"> </w:t>
      </w:r>
      <w:r>
        <w:t>7</w:t>
      </w:r>
      <w:r w:rsidR="009E0C67">
        <w:t xml:space="preserve"> percentage points</w:t>
      </w:r>
      <w:r>
        <w:t>. This is despite the PRRT settings which indicate an appropriate calculation of rent should approximate something equal to or less than LTBR</w:t>
      </w:r>
      <w:r w:rsidR="009E0C67">
        <w:t xml:space="preserve"> </w:t>
      </w:r>
      <w:r>
        <w:t>+</w:t>
      </w:r>
      <w:r w:rsidR="009E0C67">
        <w:t xml:space="preserve"> </w:t>
      </w:r>
      <w:r>
        <w:t>5</w:t>
      </w:r>
      <w:r w:rsidR="009E0C67">
        <w:t xml:space="preserve"> percentage points</w:t>
      </w:r>
      <w:r>
        <w:t>. Treasury recommends that as the industry develops and models emerge of standalone downstream owners who both do and don’t assume ownership of the gas at the taxing point, that the netback rate of return be benchmarked against these business model</w:t>
      </w:r>
      <w:r w:rsidR="002D6B1F">
        <w:t>s</w:t>
      </w:r>
      <w:r>
        <w:t xml:space="preserve"> to determine whether the rate is appropriate for an infrastructure owner, who</w:t>
      </w:r>
      <w:r w:rsidR="00CE586E">
        <w:t xml:space="preserve"> takes ownership of</w:t>
      </w:r>
      <w:r>
        <w:t xml:space="preserve"> the gas between the taxing point and when the </w:t>
      </w:r>
      <w:r w:rsidR="002D6B1F">
        <w:t>LNG</w:t>
      </w:r>
      <w:r>
        <w:t xml:space="preserve"> is sold.</w:t>
      </w:r>
    </w:p>
    <w:p w14:paraId="5353D60C" w14:textId="79069C4A" w:rsidR="00DE756A" w:rsidRDefault="00DE756A" w:rsidP="000E4B1F">
      <w:pPr>
        <w:pStyle w:val="Heading3"/>
      </w:pPr>
      <w:r>
        <w:t xml:space="preserve">Option 3 </w:t>
      </w:r>
      <w:r w:rsidR="00725DF2">
        <w:t>–</w:t>
      </w:r>
      <w:r>
        <w:t xml:space="preserve"> </w:t>
      </w:r>
      <w:r w:rsidR="00F14CE4">
        <w:t>Cap the use of</w:t>
      </w:r>
      <w:r>
        <w:t xml:space="preserve"> deductions for LNG projects </w:t>
      </w:r>
    </w:p>
    <w:p w14:paraId="57228BF6" w14:textId="66178E0E" w:rsidR="00123406" w:rsidRDefault="00E16D7C" w:rsidP="00E16D7C">
      <w:r>
        <w:t>Option</w:t>
      </w:r>
      <w:r w:rsidR="000C063C">
        <w:t>s</w:t>
      </w:r>
      <w:r>
        <w:t xml:space="preserve"> 1 and 2 </w:t>
      </w:r>
      <w:r w:rsidR="00D036C1">
        <w:t xml:space="preserve">are designed to </w:t>
      </w:r>
      <w:r w:rsidR="006724C1">
        <w:t>address the undervaluation of the underlying gas</w:t>
      </w:r>
      <w:r w:rsidR="007E6C18">
        <w:t xml:space="preserve"> resource in the existing GTP Regulation</w:t>
      </w:r>
      <w:r w:rsidR="00D036C1">
        <w:t xml:space="preserve">, particularly if LNG prices are high. However, Treasury acknowledges that </w:t>
      </w:r>
      <w:r w:rsidR="00F934A2">
        <w:t xml:space="preserve">neither option </w:t>
      </w:r>
      <w:r w:rsidR="00E02E55">
        <w:t xml:space="preserve">is certain to </w:t>
      </w:r>
      <w:r w:rsidR="00421CB8">
        <w:t>substantially</w:t>
      </w:r>
      <w:r w:rsidR="00E02E55">
        <w:t xml:space="preserve"> </w:t>
      </w:r>
      <w:r w:rsidR="00D036C1">
        <w:t xml:space="preserve">increase revenue from the </w:t>
      </w:r>
      <w:r w:rsidR="00421CB8">
        <w:t>offshore</w:t>
      </w:r>
      <w:r w:rsidR="00D036C1">
        <w:t xml:space="preserve"> LNG </w:t>
      </w:r>
      <w:r w:rsidR="00421CB8">
        <w:t xml:space="preserve">industry </w:t>
      </w:r>
      <w:r w:rsidR="00D036C1">
        <w:t xml:space="preserve">in the medium term. </w:t>
      </w:r>
      <w:r w:rsidR="00F934A2">
        <w:t>S</w:t>
      </w:r>
      <w:r w:rsidR="00D036C1">
        <w:t xml:space="preserve">ome </w:t>
      </w:r>
      <w:r w:rsidR="00F43765">
        <w:t xml:space="preserve">existing </w:t>
      </w:r>
      <w:r w:rsidR="00D036C1">
        <w:t>projects may not be sufficiently profitable to pay any PRRT over their project lives</w:t>
      </w:r>
      <w:r w:rsidR="00176F8E">
        <w:t>,</w:t>
      </w:r>
      <w:r>
        <w:t xml:space="preserve"> </w:t>
      </w:r>
      <w:r w:rsidR="00B7366E">
        <w:t xml:space="preserve">particularly under lower oil and gas prices, </w:t>
      </w:r>
      <w:r>
        <w:t xml:space="preserve">unless accompanied by </w:t>
      </w:r>
      <w:r w:rsidR="007E5714">
        <w:t xml:space="preserve">broader </w:t>
      </w:r>
      <w:r>
        <w:t>changes to the PRRT settings to address the large stock of carry</w:t>
      </w:r>
      <w:r w:rsidR="00C35363">
        <w:t>-</w:t>
      </w:r>
      <w:r>
        <w:t xml:space="preserve">forward </w:t>
      </w:r>
      <w:r w:rsidR="00CD7193">
        <w:t>deductions</w:t>
      </w:r>
      <w:r>
        <w:t xml:space="preserve"> accumulated by the LNG industry </w:t>
      </w:r>
      <w:r w:rsidR="00F43765">
        <w:t>as a result of</w:t>
      </w:r>
      <w:r>
        <w:t xml:space="preserve"> historically high uplift rates applicable prior to 2019.</w:t>
      </w:r>
      <w:r w:rsidR="0006188A">
        <w:rPr>
          <w:rStyle w:val="FootnoteReference"/>
        </w:rPr>
        <w:footnoteReference w:id="70"/>
      </w:r>
      <w:r>
        <w:t xml:space="preserve"> </w:t>
      </w:r>
    </w:p>
    <w:p w14:paraId="5BD3FCB7" w14:textId="11329A01" w:rsidR="00C33912" w:rsidRDefault="00123406" w:rsidP="00E16D7C">
      <w:r>
        <w:t xml:space="preserve">Treasury also acknowledges that </w:t>
      </w:r>
      <w:r w:rsidR="009F61F0">
        <w:t>n</w:t>
      </w:r>
      <w:r w:rsidR="00DC2C1C">
        <w:t xml:space="preserve">ew LNG investments </w:t>
      </w:r>
      <w:r>
        <w:t>may be</w:t>
      </w:r>
      <w:r w:rsidR="00DC2C1C">
        <w:t xml:space="preserve"> </w:t>
      </w:r>
      <w:r w:rsidR="00EC5529">
        <w:t xml:space="preserve">more sensitive to </w:t>
      </w:r>
      <w:r w:rsidR="007046CB">
        <w:t>Options 1 and 2</w:t>
      </w:r>
      <w:r w:rsidR="0022356D">
        <w:t xml:space="preserve">. </w:t>
      </w:r>
      <w:r w:rsidR="004C3D3E">
        <w:t xml:space="preserve">This is because </w:t>
      </w:r>
      <w:r w:rsidR="00363FAF">
        <w:t>projects</w:t>
      </w:r>
      <w:r w:rsidR="003C301C">
        <w:t xml:space="preserve"> under development</w:t>
      </w:r>
      <w:r w:rsidR="0061168C">
        <w:t xml:space="preserve">, such as Scarborough, Crux </w:t>
      </w:r>
      <w:r w:rsidR="003C301C">
        <w:t>and</w:t>
      </w:r>
      <w:r w:rsidR="0061168C">
        <w:t xml:space="preserve"> B</w:t>
      </w:r>
      <w:r w:rsidR="009C0513">
        <w:t>arossa</w:t>
      </w:r>
      <w:r w:rsidR="003C301C">
        <w:t>,</w:t>
      </w:r>
      <w:r w:rsidR="009C0513">
        <w:t xml:space="preserve"> and</w:t>
      </w:r>
      <w:r w:rsidR="003C301C">
        <w:t xml:space="preserve"> </w:t>
      </w:r>
      <w:r w:rsidR="005D1F01">
        <w:t>future possible projects such as</w:t>
      </w:r>
      <w:r w:rsidR="009C0513">
        <w:t xml:space="preserve"> Browse,</w:t>
      </w:r>
      <w:r w:rsidR="004C3D3E">
        <w:t xml:space="preserve"> are expected to </w:t>
      </w:r>
      <w:r w:rsidR="0022356D">
        <w:t>have lower upfront construction costs than the LNG projects constructed last decade, given their use of existing downstream infrastructure.</w:t>
      </w:r>
      <w:r w:rsidR="00D926EA">
        <w:rPr>
          <w:rStyle w:val="FootnoteReference"/>
        </w:rPr>
        <w:footnoteReference w:id="71"/>
      </w:r>
      <w:r w:rsidR="0022356D">
        <w:t xml:space="preserve"> </w:t>
      </w:r>
      <w:r w:rsidR="009E5432">
        <w:t xml:space="preserve">In addition, </w:t>
      </w:r>
      <w:r w:rsidR="00184152">
        <w:t xml:space="preserve">they will not </w:t>
      </w:r>
      <w:r w:rsidR="00434659">
        <w:t xml:space="preserve">generally </w:t>
      </w:r>
      <w:r w:rsidR="00184152">
        <w:t xml:space="preserve">benefit to the same degree from the historically high uplift rates, changed in 2019 in response to the Callaghan Review. </w:t>
      </w:r>
      <w:r w:rsidR="0022356D">
        <w:t xml:space="preserve">  </w:t>
      </w:r>
    </w:p>
    <w:p w14:paraId="796EA99B" w14:textId="5B291822" w:rsidR="00C13699" w:rsidRPr="002722B5" w:rsidRDefault="00C13699" w:rsidP="006B48D1">
      <w:r w:rsidRPr="006B48D1">
        <w:t xml:space="preserve">LNG projects in Western Australia and the Northern Territory play an important role in domestic supply. In Western Australia, LNG projects underpin the majority of the State’s domestic gas supply. In the Northern Territory, they </w:t>
      </w:r>
      <w:r w:rsidR="00781DE6" w:rsidRPr="006B48D1">
        <w:t>supplement</w:t>
      </w:r>
      <w:r w:rsidRPr="006B48D1">
        <w:t xml:space="preserve"> domestic supply when there are disruptions to </w:t>
      </w:r>
      <w:r w:rsidR="008E25A8">
        <w:t>regular</w:t>
      </w:r>
      <w:r w:rsidRPr="006B48D1">
        <w:t xml:space="preserve"> sources</w:t>
      </w:r>
      <w:r w:rsidR="006A69A1">
        <w:t xml:space="preserve"> of gas</w:t>
      </w:r>
      <w:r w:rsidRPr="006B48D1">
        <w:t>.</w:t>
      </w:r>
      <w:r>
        <w:t xml:space="preserve"> </w:t>
      </w:r>
      <w:r w:rsidR="006250A5">
        <w:t xml:space="preserve">Investment in new LNG projects will support continued supply to these markets as other sources of energy </w:t>
      </w:r>
      <w:r w:rsidR="00781DE6">
        <w:t>diminish, and, in turn, support the transmission to lower-emissions energy production</w:t>
      </w:r>
      <w:r w:rsidRPr="006B48D1">
        <w:t xml:space="preserve">. LNG expansion projects also provide important employment opportunities for skilled workers and </w:t>
      </w:r>
      <w:r w:rsidR="006A69A1">
        <w:t>have</w:t>
      </w:r>
      <w:r w:rsidRPr="002722B5">
        <w:t xml:space="preserve"> spill-over effects</w:t>
      </w:r>
      <w:r>
        <w:t xml:space="preserve"> </w:t>
      </w:r>
      <w:r w:rsidR="006A69A1">
        <w:t>to</w:t>
      </w:r>
      <w:r w:rsidRPr="002722B5" w:rsidDel="006A69A1">
        <w:t xml:space="preserve"> </w:t>
      </w:r>
      <w:r w:rsidRPr="002722B5">
        <w:t>the state and territory economies.</w:t>
      </w:r>
    </w:p>
    <w:p w14:paraId="7B8377D6" w14:textId="6C953875" w:rsidR="004A7A9D" w:rsidRPr="009139CF" w:rsidRDefault="007E5714" w:rsidP="00E16D7C">
      <w:r w:rsidRPr="009139CF">
        <w:t xml:space="preserve">Accordingly, consideration has been given to </w:t>
      </w:r>
      <w:r w:rsidR="00924664" w:rsidRPr="009139CF">
        <w:t>an alternate reform outside of the GTP rules</w:t>
      </w:r>
      <w:r w:rsidR="00D54A0F" w:rsidRPr="009139CF">
        <w:t xml:space="preserve">, involving a </w:t>
      </w:r>
      <w:r w:rsidRPr="009139CF">
        <w:t xml:space="preserve">cap </w:t>
      </w:r>
      <w:r w:rsidR="00D54A0F" w:rsidRPr="009139CF">
        <w:t xml:space="preserve">on </w:t>
      </w:r>
      <w:r w:rsidRPr="009139CF">
        <w:t xml:space="preserve">the use of deductions for the </w:t>
      </w:r>
      <w:r w:rsidR="001314B4" w:rsidRPr="009139CF">
        <w:t xml:space="preserve">offshore </w:t>
      </w:r>
      <w:r w:rsidRPr="009139CF">
        <w:t>LNG industry</w:t>
      </w:r>
      <w:r w:rsidR="0023113F" w:rsidRPr="009139CF">
        <w:t xml:space="preserve"> </w:t>
      </w:r>
      <w:r w:rsidR="00751D25" w:rsidRPr="009139CF">
        <w:t xml:space="preserve">to </w:t>
      </w:r>
      <w:r w:rsidR="009C38CD" w:rsidRPr="009139CF">
        <w:t>some proportion</w:t>
      </w:r>
      <w:r w:rsidR="00751D25" w:rsidRPr="009139CF">
        <w:t xml:space="preserve"> of assessable PRRT receipts, with PRRT paid on the remaining amount.</w:t>
      </w:r>
      <w:r w:rsidR="002E2FAC" w:rsidRPr="009139CF">
        <w:t xml:space="preserve"> Treasury has considered the </w:t>
      </w:r>
      <w:r w:rsidR="005836B0" w:rsidRPr="009139CF">
        <w:t xml:space="preserve">impact of the </w:t>
      </w:r>
      <w:r w:rsidR="009919A7" w:rsidRPr="009139CF">
        <w:t>deductions cap on both existing and future investments</w:t>
      </w:r>
      <w:r w:rsidR="00EF445E" w:rsidRPr="009139CF">
        <w:t xml:space="preserve">. For those </w:t>
      </w:r>
      <w:r w:rsidR="00AD1BB9" w:rsidRPr="009139CF">
        <w:t xml:space="preserve">projects already </w:t>
      </w:r>
      <w:r w:rsidR="00670449" w:rsidRPr="009139CF">
        <w:t xml:space="preserve">producing or </w:t>
      </w:r>
      <w:r w:rsidR="00FE656E" w:rsidRPr="009139CF">
        <w:t>which</w:t>
      </w:r>
      <w:r w:rsidR="00670449" w:rsidRPr="009139CF">
        <w:t xml:space="preserve"> have commenced con</w:t>
      </w:r>
      <w:r w:rsidR="00FA5B24" w:rsidRPr="009139CF">
        <w:t>s</w:t>
      </w:r>
      <w:r w:rsidR="00670449" w:rsidRPr="009139CF">
        <w:t xml:space="preserve">truction, the cap </w:t>
      </w:r>
      <w:r w:rsidR="009C38CD" w:rsidRPr="009139CF">
        <w:t>should</w:t>
      </w:r>
      <w:r w:rsidR="00670449" w:rsidRPr="009139CF">
        <w:t xml:space="preserve"> be designed in a way where it </w:t>
      </w:r>
      <w:r w:rsidR="00DF26FD" w:rsidRPr="009139CF">
        <w:t>can be managed by joint venture partic</w:t>
      </w:r>
      <w:r w:rsidR="00FA5B24" w:rsidRPr="009139CF">
        <w:t>i</w:t>
      </w:r>
      <w:r w:rsidR="00DF26FD" w:rsidRPr="009139CF">
        <w:t>pants within existing cash-flows</w:t>
      </w:r>
      <w:r w:rsidR="00EF5E03" w:rsidRPr="009139CF">
        <w:t xml:space="preserve"> at reasonable price levels</w:t>
      </w:r>
      <w:r w:rsidR="00DF26FD" w:rsidRPr="009139CF">
        <w:t xml:space="preserve">. </w:t>
      </w:r>
      <w:r w:rsidR="00C85A1B" w:rsidRPr="009139CF">
        <w:t>While</w:t>
      </w:r>
      <w:r w:rsidR="00DF26FD" w:rsidRPr="009139CF">
        <w:t xml:space="preserve"> the cap is sensitive to </w:t>
      </w:r>
      <w:r w:rsidR="00C85A1B" w:rsidRPr="009139CF">
        <w:t>realised prices for petroleum</w:t>
      </w:r>
      <w:r w:rsidR="00581C77" w:rsidRPr="009139CF">
        <w:t xml:space="preserve">, it needs to take into account cash-flows at both the </w:t>
      </w:r>
      <w:r w:rsidR="00BA3C12" w:rsidRPr="009139CF">
        <w:t>low and high end of price cyc</w:t>
      </w:r>
      <w:r w:rsidR="002359FB" w:rsidRPr="009139CF">
        <w:t xml:space="preserve">les. </w:t>
      </w:r>
      <w:r w:rsidR="00CA272B" w:rsidRPr="009139CF">
        <w:t xml:space="preserve">Cost overruns on </w:t>
      </w:r>
      <w:r w:rsidR="00667CC7" w:rsidRPr="009139CF">
        <w:t>some</w:t>
      </w:r>
      <w:r w:rsidR="00CA272B" w:rsidRPr="009139CF">
        <w:t xml:space="preserve"> existing projects</w:t>
      </w:r>
      <w:r w:rsidR="006659C1" w:rsidRPr="009139CF">
        <w:t xml:space="preserve"> means they</w:t>
      </w:r>
      <w:r w:rsidR="00437F13" w:rsidRPr="009139CF">
        <w:t xml:space="preserve"> </w:t>
      </w:r>
      <w:r w:rsidR="00667CC7" w:rsidRPr="009139CF">
        <w:t xml:space="preserve">may </w:t>
      </w:r>
      <w:r w:rsidR="00437F13" w:rsidRPr="009139CF">
        <w:t>face high break</w:t>
      </w:r>
      <w:r w:rsidR="006659C1" w:rsidRPr="009139CF">
        <w:t>-</w:t>
      </w:r>
      <w:r w:rsidR="00437F13" w:rsidRPr="009139CF">
        <w:t>even costs</w:t>
      </w:r>
      <w:r w:rsidR="006659C1" w:rsidRPr="009139CF">
        <w:t xml:space="preserve">. </w:t>
      </w:r>
      <w:r w:rsidR="00191826" w:rsidRPr="009139CF">
        <w:t>For new projects</w:t>
      </w:r>
      <w:r w:rsidR="00667CC7" w:rsidRPr="009139CF">
        <w:t>,</w:t>
      </w:r>
      <w:r w:rsidR="00191826" w:rsidRPr="009139CF">
        <w:t xml:space="preserve"> the deductions cap </w:t>
      </w:r>
      <w:r w:rsidR="00487D3D" w:rsidRPr="009139CF">
        <w:t>can</w:t>
      </w:r>
      <w:r w:rsidR="00AC1C96" w:rsidRPr="009139CF">
        <w:t xml:space="preserve"> be </w:t>
      </w:r>
      <w:r w:rsidR="00B23427" w:rsidRPr="009139CF">
        <w:t>facto</w:t>
      </w:r>
      <w:r w:rsidR="00A252BE" w:rsidRPr="009139CF">
        <w:t xml:space="preserve">red </w:t>
      </w:r>
      <w:r w:rsidR="00AC1C96" w:rsidRPr="009139CF">
        <w:t>in</w:t>
      </w:r>
      <w:r w:rsidR="00B83619" w:rsidRPr="009139CF">
        <w:t xml:space="preserve">to </w:t>
      </w:r>
      <w:r w:rsidR="00AC1C96" w:rsidRPr="009139CF">
        <w:t xml:space="preserve">planning, but still needs to be </w:t>
      </w:r>
      <w:r w:rsidR="00635F96" w:rsidRPr="009139CF">
        <w:lastRenderedPageBreak/>
        <w:t>set</w:t>
      </w:r>
      <w:r w:rsidR="0094692C" w:rsidRPr="009139CF">
        <w:t xml:space="preserve"> at a level where the combined impacts of company tax</w:t>
      </w:r>
      <w:r w:rsidR="00A046CF" w:rsidRPr="009139CF">
        <w:t>, the deductions cap and the usual operation of the PRRT result in a</w:t>
      </w:r>
      <w:r w:rsidR="000D0B3A" w:rsidRPr="009139CF">
        <w:t xml:space="preserve">n appropriate government share </w:t>
      </w:r>
      <w:r w:rsidR="00760FBB" w:rsidRPr="009139CF">
        <w:t xml:space="preserve">while still </w:t>
      </w:r>
      <w:r w:rsidR="000D0B3A" w:rsidRPr="009139CF">
        <w:t>support</w:t>
      </w:r>
      <w:r w:rsidR="00760FBB" w:rsidRPr="009139CF">
        <w:t>ing</w:t>
      </w:r>
      <w:r w:rsidR="000D0B3A" w:rsidRPr="009139CF">
        <w:t xml:space="preserve"> invest</w:t>
      </w:r>
      <w:r w:rsidR="009A1528" w:rsidRPr="009139CF">
        <w:t xml:space="preserve">ment. </w:t>
      </w:r>
    </w:p>
    <w:p w14:paraId="1E96ACF7" w14:textId="18819CBC" w:rsidR="00EA4297" w:rsidRDefault="009A1528" w:rsidP="00E16D7C">
      <w:r w:rsidRPr="009139CF">
        <w:t xml:space="preserve">On balance and taking into account the role of a deductions cap in bringing forward PRRT, </w:t>
      </w:r>
      <w:r w:rsidR="00D94B45" w:rsidRPr="009139CF">
        <w:t>T</w:t>
      </w:r>
      <w:r w:rsidR="00BD12F5" w:rsidRPr="009139CF">
        <w:t xml:space="preserve">reasury considers that </w:t>
      </w:r>
      <w:r w:rsidR="0020043B" w:rsidRPr="009139CF">
        <w:t>setting the cap at 90</w:t>
      </w:r>
      <w:r w:rsidR="008D6525" w:rsidRPr="009139CF">
        <w:t xml:space="preserve"> per cent </w:t>
      </w:r>
      <w:r w:rsidR="0020043B" w:rsidRPr="009139CF">
        <w:t xml:space="preserve">of total PRRT </w:t>
      </w:r>
      <w:r w:rsidR="0001745C" w:rsidRPr="009139CF">
        <w:t>assessable</w:t>
      </w:r>
      <w:r w:rsidR="0020043B" w:rsidRPr="009139CF">
        <w:t xml:space="preserve"> receipts is appropriate.</w:t>
      </w:r>
      <w:r w:rsidR="00437F13" w:rsidRPr="009139CF">
        <w:t xml:space="preserve"> </w:t>
      </w:r>
      <w:r w:rsidR="009C374E" w:rsidRPr="009139CF">
        <w:t>A</w:t>
      </w:r>
      <w:r w:rsidR="003B116A" w:rsidRPr="009139CF">
        <w:t xml:space="preserve"> cap</w:t>
      </w:r>
      <w:r w:rsidR="008D3403" w:rsidRPr="009139CF">
        <w:t xml:space="preserve"> of this magnitude</w:t>
      </w:r>
      <w:r w:rsidR="003B116A" w:rsidRPr="009139CF">
        <w:t xml:space="preserve"> would equate to </w:t>
      </w:r>
      <w:r w:rsidR="00E40B80" w:rsidRPr="009139CF">
        <w:t xml:space="preserve">PRRT payable equivalent to 4 per cent of </w:t>
      </w:r>
      <w:r w:rsidR="00EB4911" w:rsidRPr="009139CF">
        <w:t>assessable PRRT receipts (</w:t>
      </w:r>
      <w:r w:rsidR="002942ED" w:rsidRPr="009139CF">
        <w:t xml:space="preserve">tax paid on 10 per cent of revenues at the 40 per cent </w:t>
      </w:r>
      <w:r w:rsidR="00426350" w:rsidRPr="009139CF">
        <w:t>PRRT</w:t>
      </w:r>
      <w:r w:rsidR="009C374E" w:rsidRPr="009139CF">
        <w:t xml:space="preserve"> rate)</w:t>
      </w:r>
      <w:r w:rsidR="00832B4B" w:rsidRPr="009139CF">
        <w:t>, which is relatively modest</w:t>
      </w:r>
      <w:r w:rsidR="009C374E" w:rsidRPr="009139CF">
        <w:t xml:space="preserve">. </w:t>
      </w:r>
      <w:r w:rsidR="00006F45" w:rsidRPr="009139CF">
        <w:t>A</w:t>
      </w:r>
      <w:r w:rsidR="00B96ADE" w:rsidRPr="009139CF">
        <w:t xml:space="preserve"> </w:t>
      </w:r>
      <w:r w:rsidR="00FD77CA" w:rsidRPr="009139CF">
        <w:t>cap of 90</w:t>
      </w:r>
      <w:r w:rsidR="00006F45" w:rsidRPr="009139CF">
        <w:t> </w:t>
      </w:r>
      <w:r w:rsidR="00FD77CA" w:rsidRPr="009139CF">
        <w:t>per cent</w:t>
      </w:r>
      <w:r w:rsidR="00B65E4B" w:rsidRPr="009139CF">
        <w:t xml:space="preserve"> </w:t>
      </w:r>
      <w:r w:rsidR="00FD77CA" w:rsidRPr="009139CF">
        <w:t>largely retains</w:t>
      </w:r>
      <w:r w:rsidR="005F7266" w:rsidRPr="009139CF">
        <w:t xml:space="preserve"> the current structure and operation of the PRRT</w:t>
      </w:r>
      <w:r w:rsidR="00764BD8" w:rsidRPr="009139CF">
        <w:t xml:space="preserve"> as a rent tax</w:t>
      </w:r>
      <w:r w:rsidR="0059673E" w:rsidRPr="009139CF">
        <w:t xml:space="preserve">, while adapting </w:t>
      </w:r>
      <w:r w:rsidR="007E1DD3" w:rsidRPr="009139CF">
        <w:t xml:space="preserve">the PRRT to include a </w:t>
      </w:r>
      <w:r w:rsidR="005F6B60" w:rsidRPr="009139CF">
        <w:t>minimum return for the recover</w:t>
      </w:r>
      <w:r w:rsidR="006E4778" w:rsidRPr="009139CF">
        <w:t xml:space="preserve">y </w:t>
      </w:r>
      <w:r w:rsidR="00292A83" w:rsidRPr="009139CF">
        <w:t>of the natural gas resource</w:t>
      </w:r>
      <w:r w:rsidR="000F5181" w:rsidRPr="009139CF">
        <w:t>s</w:t>
      </w:r>
      <w:r w:rsidR="00292A83" w:rsidRPr="009139CF">
        <w:t xml:space="preserve"> owned by the Australian community</w:t>
      </w:r>
      <w:r w:rsidR="00667CEE" w:rsidRPr="009139CF">
        <w:t xml:space="preserve">, regardless of </w:t>
      </w:r>
      <w:r w:rsidR="000C3685" w:rsidRPr="009139CF">
        <w:t xml:space="preserve">the </w:t>
      </w:r>
      <w:r w:rsidR="00667CEE" w:rsidRPr="009139CF">
        <w:t xml:space="preserve">prevailing </w:t>
      </w:r>
      <w:r w:rsidR="000C3685" w:rsidRPr="009139CF">
        <w:t>LNG prices</w:t>
      </w:r>
      <w:r w:rsidR="00292A83" w:rsidRPr="009139CF">
        <w:t xml:space="preserve">. </w:t>
      </w:r>
      <w:r w:rsidR="0059673E" w:rsidRPr="009139CF">
        <w:t>This</w:t>
      </w:r>
      <w:r w:rsidR="00084821" w:rsidRPr="009139CF">
        <w:t xml:space="preserve"> </w:t>
      </w:r>
      <w:r w:rsidR="0059673E" w:rsidRPr="009139CF">
        <w:t>takes into account the particular economics of LNG projects and addresses some of the concerns with the current operation of the PRRT as it applies to LNG projects</w:t>
      </w:r>
      <w:r w:rsidR="00343428" w:rsidRPr="009139CF">
        <w:t>.</w:t>
      </w:r>
    </w:p>
    <w:p w14:paraId="3FC5D154" w14:textId="3FF6BAD0" w:rsidR="00CA37DA" w:rsidRDefault="00924664" w:rsidP="00E16D7C">
      <w:r>
        <w:t>The option considered</w:t>
      </w:r>
      <w:r w:rsidR="00CB31D4">
        <w:t xml:space="preserve"> incorporate</w:t>
      </w:r>
      <w:r>
        <w:t>s</w:t>
      </w:r>
      <w:r w:rsidR="00CB31D4">
        <w:t xml:space="preserve"> </w:t>
      </w:r>
      <w:r w:rsidR="00854D9C">
        <w:t>a seven-year grace period to allow time for new projects to recoup upfront construction costs</w:t>
      </w:r>
      <w:r w:rsidR="006B5769">
        <w:t xml:space="preserve"> before </w:t>
      </w:r>
      <w:r w:rsidR="00FE18E7">
        <w:t>the cap applies</w:t>
      </w:r>
      <w:r w:rsidR="00567491">
        <w:t>, designed to</w:t>
      </w:r>
      <w:r w:rsidR="00D57A7E">
        <w:t xml:space="preserve"> balance </w:t>
      </w:r>
      <w:r w:rsidR="00CA139C">
        <w:t>securing</w:t>
      </w:r>
      <w:r w:rsidR="00D57A7E">
        <w:t xml:space="preserve"> a minimum PRRT return with</w:t>
      </w:r>
      <w:r w:rsidR="00567491" w:rsidDel="00D57A7E">
        <w:t xml:space="preserve"> </w:t>
      </w:r>
      <w:r w:rsidR="00D57A7E">
        <w:t>the</w:t>
      </w:r>
      <w:r w:rsidR="00567491">
        <w:t xml:space="preserve"> economics of </w:t>
      </w:r>
      <w:r w:rsidR="00D57A7E">
        <w:t>new</w:t>
      </w:r>
      <w:r w:rsidR="00E46448">
        <w:t xml:space="preserve"> LNG</w:t>
      </w:r>
      <w:r w:rsidR="00D57A7E" w:rsidDel="00E46448">
        <w:t xml:space="preserve"> </w:t>
      </w:r>
      <w:r w:rsidR="00D57A7E">
        <w:t>projects</w:t>
      </w:r>
      <w:r w:rsidR="00FE18E7" w:rsidDel="00567491">
        <w:t>.</w:t>
      </w:r>
    </w:p>
    <w:p w14:paraId="28C96422" w14:textId="2D001639" w:rsidR="00E16D7C" w:rsidRDefault="00472265" w:rsidP="00E16D7C">
      <w:r>
        <w:t>D</w:t>
      </w:r>
      <w:r w:rsidR="00D409E5">
        <w:t>eductions</w:t>
      </w:r>
      <w:r>
        <w:t xml:space="preserve"> denied under the cap would</w:t>
      </w:r>
      <w:r w:rsidR="00E16D7C">
        <w:t xml:space="preserve"> be carried forward </w:t>
      </w:r>
      <w:r w:rsidR="00E20E14">
        <w:t xml:space="preserve">and </w:t>
      </w:r>
      <w:r w:rsidR="00E16D7C">
        <w:t>uplifted at LTBR</w:t>
      </w:r>
      <w:r w:rsidR="00E20E14">
        <w:t>. This</w:t>
      </w:r>
      <w:r w:rsidR="00E16D7C">
        <w:t xml:space="preserve"> </w:t>
      </w:r>
      <w:r w:rsidR="00C04A9A">
        <w:t xml:space="preserve">uplift rate </w:t>
      </w:r>
      <w:r w:rsidR="00E16D7C">
        <w:t xml:space="preserve">would avoid </w:t>
      </w:r>
      <w:r w:rsidR="00A06339">
        <w:t>excessive compounding of deductions</w:t>
      </w:r>
      <w:r w:rsidR="007E4B74">
        <w:t xml:space="preserve"> and </w:t>
      </w:r>
      <w:r w:rsidR="00F54329">
        <w:t>reduce</w:t>
      </w:r>
      <w:r w:rsidR="0008721A">
        <w:t xml:space="preserve"> the risk of</w:t>
      </w:r>
      <w:r w:rsidR="007E4B74">
        <w:t xml:space="preserve"> a</w:t>
      </w:r>
      <w:r w:rsidR="00E16D7C">
        <w:t xml:space="preserve"> net </w:t>
      </w:r>
      <w:r w:rsidR="00B92F85">
        <w:t>reduction in</w:t>
      </w:r>
      <w:r w:rsidR="00E16D7C">
        <w:t xml:space="preserve"> PRRT receipts in the long</w:t>
      </w:r>
      <w:r w:rsidR="001F577D">
        <w:t>er</w:t>
      </w:r>
      <w:r w:rsidR="00E16D7C">
        <w:t>-term</w:t>
      </w:r>
      <w:r w:rsidR="0008721A">
        <w:t>, relative to a higher uplift rate</w:t>
      </w:r>
      <w:r w:rsidR="00E16D7C">
        <w:t>.</w:t>
      </w:r>
    </w:p>
    <w:p w14:paraId="770C81DA" w14:textId="1FC0739B" w:rsidR="001107B1" w:rsidRDefault="00DD06FD" w:rsidP="001107B1">
      <w:r>
        <w:t xml:space="preserve">As the cap would also </w:t>
      </w:r>
      <w:r w:rsidR="00512C4F">
        <w:t xml:space="preserve">function as a minimum return on </w:t>
      </w:r>
      <w:r w:rsidR="00B90FC9">
        <w:t>the recovery of Australia’s natural gas</w:t>
      </w:r>
      <w:r w:rsidR="00543327">
        <w:t>, it would be inappropriate to apply the cap to projects that are already making a minimum contribution via royalty and excise arrangements.</w:t>
      </w:r>
      <w:r w:rsidR="008511A7">
        <w:t xml:space="preserve"> As discussed in chapter 4</w:t>
      </w:r>
      <w:r w:rsidR="000F5181">
        <w:t>,</w:t>
      </w:r>
      <w:r w:rsidR="001107B1" w:rsidRPr="001107B1">
        <w:t xml:space="preserve"> </w:t>
      </w:r>
      <w:r w:rsidR="001107B1">
        <w:t xml:space="preserve">when the NWS project was brought within scope of the PRRT in 2012, certain transitional arrangements were introduced at the time to ensure recognition of past capital investment as well as the significant royalties and excise that the project pays. </w:t>
      </w:r>
      <w:r w:rsidR="00E30D77">
        <w:t xml:space="preserve">In recognition of these factors the deductions cap should not apply </w:t>
      </w:r>
      <w:r w:rsidR="00923834">
        <w:t xml:space="preserve">to either starting base expenditure or resource </w:t>
      </w:r>
      <w:r w:rsidR="00E32AC6">
        <w:t>tax expenditure</w:t>
      </w:r>
      <w:r w:rsidR="00EC6B6F">
        <w:t xml:space="preserve"> to ensure it does not apply to the NWS project in practice.</w:t>
      </w:r>
    </w:p>
    <w:p w14:paraId="0C568429" w14:textId="4F048FAB" w:rsidR="00DD06FD" w:rsidRDefault="005164F1" w:rsidP="00E16D7C">
      <w:r>
        <w:t>I</w:t>
      </w:r>
      <w:r w:rsidR="00250BEE">
        <w:t>n</w:t>
      </w:r>
      <w:r>
        <w:t xml:space="preserve"> order to</w:t>
      </w:r>
      <w:r w:rsidR="008E4DB7" w:rsidDel="00A05FA8">
        <w:t xml:space="preserve"> </w:t>
      </w:r>
      <w:r w:rsidR="008E4DB7">
        <w:t>avoid the cap apply</w:t>
      </w:r>
      <w:r w:rsidR="00050A40">
        <w:t xml:space="preserve">ing in a way that incentivises projects to </w:t>
      </w:r>
      <w:r w:rsidR="004917D4">
        <w:t xml:space="preserve">close down early, </w:t>
      </w:r>
      <w:r w:rsidR="00C838F0">
        <w:t>the deductions cap should not apply to closing</w:t>
      </w:r>
      <w:r w:rsidR="008358FC">
        <w:t>-</w:t>
      </w:r>
      <w:r w:rsidR="00C838F0">
        <w:t>down expenditure under the PRRT.</w:t>
      </w:r>
      <w:r w:rsidR="00A05FA8">
        <w:t xml:space="preserve"> This would preserve the full refundability of closing-down expenditure </w:t>
      </w:r>
      <w:r w:rsidR="008930F5">
        <w:t>against prior</w:t>
      </w:r>
      <w:r w:rsidR="00A05FA8">
        <w:t xml:space="preserve"> PRRT</w:t>
      </w:r>
      <w:r w:rsidR="008930F5">
        <w:t xml:space="preserve"> liabilities</w:t>
      </w:r>
      <w:r w:rsidR="00A05FA8">
        <w:t>.</w:t>
      </w:r>
    </w:p>
    <w:p w14:paraId="0C4826BF" w14:textId="4136C648" w:rsidR="005F227A" w:rsidRPr="005F227A" w:rsidRDefault="00895039" w:rsidP="00434967">
      <w:pPr>
        <w:pStyle w:val="Heading4"/>
      </w:pPr>
      <w:r>
        <w:t>A</w:t>
      </w:r>
      <w:r w:rsidRPr="00895039">
        <w:t>ssur</w:t>
      </w:r>
      <w:r>
        <w:t>ing</w:t>
      </w:r>
      <w:r w:rsidRPr="00895039">
        <w:t xml:space="preserve"> ongoing integrity</w:t>
      </w:r>
      <w:r>
        <w:t xml:space="preserve"> -</w:t>
      </w:r>
      <w:r w:rsidR="000119EE">
        <w:t xml:space="preserve"> </w:t>
      </w:r>
      <w:r w:rsidR="005F227A" w:rsidRPr="005F227A">
        <w:t>Effective lives of assets are able to be changed</w:t>
      </w:r>
    </w:p>
    <w:p w14:paraId="47032DAD" w14:textId="0E05A5A7" w:rsidR="005F227A" w:rsidRPr="005F227A" w:rsidRDefault="005F227A" w:rsidP="005F227A">
      <w:r w:rsidRPr="005F227A">
        <w:t>Projects can apply a special formula for the annual allocation of capital cost</w:t>
      </w:r>
      <w:r w:rsidR="0024486E">
        <w:t>s</w:t>
      </w:r>
      <w:r w:rsidRPr="005F227A">
        <w:t xml:space="preserve"> where they initially expect an asset to have a life of less than 15 years. This formula effectively provides higher rates of return than LTBR + 7 percentage points. If businesses subsequently elect to extend the life of assets beyond 15 years, no adjustments are required to be made.</w:t>
      </w:r>
    </w:p>
    <w:p w14:paraId="5FFC2558" w14:textId="77777777" w:rsidR="005F227A" w:rsidRDefault="005F227A" w:rsidP="005F227A">
      <w:r w:rsidRPr="005F227A">
        <w:t>This treatment poses an integrity risk as projects can (where asset lives are extended) change the expected operating life to beyond 15 years after benefiting first from the higher rate of return. It is recommended that projects be required to make an irrevocable election to use the shorter or longer asset life formula. Where the shorter life formula is elected, this change will restrict the period of annual allocations for the capital allowance to the operating life of the unit, but no more than 15 years.</w:t>
      </w:r>
    </w:p>
    <w:p w14:paraId="44CEFBE6" w14:textId="2642ABA9" w:rsidR="00E17D06" w:rsidRPr="005F227A" w:rsidRDefault="00E17D06" w:rsidP="005F227A">
      <w:r>
        <w:t xml:space="preserve">Treasury recommends proceeding with this change </w:t>
      </w:r>
      <w:r w:rsidR="00FF5892">
        <w:t>both if the RPM is retained or a netback only method is adopted.</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9D7E4C" w:rsidRPr="005F227A" w14:paraId="7D10364A" w14:textId="77777777" w:rsidTr="00256A7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70A376E1" w14:textId="417789C4" w:rsidR="00953A10" w:rsidRDefault="00953A10" w:rsidP="00953A10">
            <w:pPr>
              <w:pStyle w:val="BoxHeading"/>
              <w:rPr>
                <w:sz w:val="28"/>
                <w:szCs w:val="28"/>
                <w:lang w:eastAsia="en-US"/>
              </w:rPr>
            </w:pPr>
            <w:r>
              <w:rPr>
                <w:sz w:val="28"/>
                <w:szCs w:val="28"/>
                <w:lang w:eastAsia="en-US"/>
              </w:rPr>
              <w:lastRenderedPageBreak/>
              <w:t>Recommendation 3</w:t>
            </w:r>
          </w:p>
          <w:p w14:paraId="704408BD" w14:textId="77777777" w:rsidR="005F227A" w:rsidRPr="00953A10" w:rsidRDefault="005F227A" w:rsidP="005F227A">
            <w:pPr>
              <w:rPr>
                <w:color w:val="auto"/>
              </w:rPr>
            </w:pPr>
            <w:r w:rsidRPr="0076411A">
              <w:t>Require projects to make an irrevocable election to use the shorter or longer asset life formula to remove the integrity risk that projects change the operating life of capital projects to benefit from higher rates of return allowable under the shorter asset life formula.</w:t>
            </w:r>
          </w:p>
        </w:tc>
      </w:tr>
    </w:tbl>
    <w:p w14:paraId="10CFCA2D" w14:textId="77777777" w:rsidR="005F227A" w:rsidRDefault="005F227A" w:rsidP="005F227A">
      <w:pPr>
        <w:pStyle w:val="Heading4"/>
      </w:pPr>
      <w:r>
        <w:t>Fixing the asymmetries of the RPM</w:t>
      </w:r>
    </w:p>
    <w:p w14:paraId="0E8BD241" w14:textId="694906F9" w:rsidR="005F227A" w:rsidRDefault="000119EE" w:rsidP="005F227A">
      <w:r w:rsidRPr="000119EE">
        <w:t>If the RPM is retained, Treasury recommends proceeding with recommendations 3, 4 and 5 to ensure the ongoing integrity of the GTP Regulation. It would be important not to proceed with recommendation 2, as this is appropriate only if moving to a netback only GTP method.</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9D7E4C" w14:paraId="120BA277" w14:textId="77777777" w:rsidTr="00256A7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50DBA0B" w14:textId="77777777" w:rsidR="005F227A" w:rsidRDefault="005F227A" w:rsidP="00256A7B">
            <w:pPr>
              <w:pStyle w:val="BoxHeading"/>
              <w:rPr>
                <w:sz w:val="28"/>
                <w:szCs w:val="28"/>
                <w:lang w:eastAsia="en-US"/>
              </w:rPr>
            </w:pPr>
            <w:r>
              <w:rPr>
                <w:sz w:val="28"/>
                <w:szCs w:val="28"/>
                <w:lang w:eastAsia="en-US"/>
              </w:rPr>
              <w:t>Recommendation 4</w:t>
            </w:r>
          </w:p>
          <w:p w14:paraId="1AA6F4D7" w14:textId="77777777" w:rsidR="005F227A" w:rsidRDefault="005F227A" w:rsidP="00256A7B">
            <w:r>
              <w:t>Include appropriate exploration and development costs in the upstream cost base, with an appropriate way of bringing very old expenditure to current values. This could be achieved by applying the GDP deflator to original expenditure.</w:t>
            </w:r>
          </w:p>
        </w:tc>
      </w:tr>
    </w:tbl>
    <w:p w14:paraId="63647835" w14:textId="77777777" w:rsidR="005F227A" w:rsidRDefault="005F227A" w:rsidP="005F227A">
      <w:r>
        <w:t>Recommendation 4 addresses the concerns identified in section 6.2 above that the existing cost-plus calculation undervalues the contribution of the upstream business because it excludes exploration and other early development costs involved in the recovery of gas.</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9D7E4C" w14:paraId="3DFD7B54" w14:textId="77777777" w:rsidTr="00256A7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0648650" w14:textId="77777777" w:rsidR="005F227A" w:rsidRDefault="005F227A" w:rsidP="00256A7B">
            <w:pPr>
              <w:pStyle w:val="BoxHeading"/>
              <w:rPr>
                <w:sz w:val="28"/>
                <w:szCs w:val="28"/>
                <w:lang w:eastAsia="en-US"/>
              </w:rPr>
            </w:pPr>
            <w:r>
              <w:rPr>
                <w:sz w:val="28"/>
                <w:szCs w:val="28"/>
                <w:lang w:eastAsia="en-US"/>
              </w:rPr>
              <w:t>Recommendation 5</w:t>
            </w:r>
          </w:p>
          <w:p w14:paraId="4B81649B" w14:textId="77777777" w:rsidR="005F227A" w:rsidRDefault="005F227A" w:rsidP="00256A7B">
            <w:r>
              <w:t>Equalise the treatment of the notional upstream and downstream entities between loss situations and profit situations.</w:t>
            </w:r>
          </w:p>
        </w:tc>
      </w:tr>
    </w:tbl>
    <w:p w14:paraId="40712A5F" w14:textId="77777777" w:rsidR="005F227A" w:rsidRDefault="005F227A" w:rsidP="005F227A">
      <w:r>
        <w:t xml:space="preserve">Recommendation 5 will ensure project losses are split in proportion to the sharing of economic rents, correcting the asymmetry identified in section 6.2 above.   </w:t>
      </w:r>
    </w:p>
    <w:p w14:paraId="507344B8" w14:textId="77777777" w:rsidR="005F227A" w:rsidRDefault="005F227A" w:rsidP="005F227A">
      <w:r>
        <w:t xml:space="preserve">It should be noted that in addition to opposing change to the GTP method, industry participants did not support the changes proposed in recommendations 2 to 5, primarily on the basis that the issues in question were previously considered as part of the Arthur Andersen co-design process, with the resultant “fit-for-purpose” GTP Regulation remaining fit-for-purpose.  </w:t>
      </w:r>
    </w:p>
    <w:p w14:paraId="0EA1FE6A" w14:textId="69350ACE" w:rsidR="00A703AA" w:rsidRDefault="00A703AA" w:rsidP="00A703AA">
      <w:pPr>
        <w:pStyle w:val="Heading3"/>
      </w:pPr>
      <w:r>
        <w:t>Other approaches considered</w:t>
      </w:r>
    </w:p>
    <w:p w14:paraId="30213AA5" w14:textId="7006E0EF" w:rsidR="009E4F21" w:rsidRDefault="001561E1" w:rsidP="00D67230">
      <w:pPr>
        <w:pStyle w:val="Heading4"/>
      </w:pPr>
      <w:r>
        <w:t>M</w:t>
      </w:r>
      <w:r w:rsidR="000E4B1F">
        <w:t>oving</w:t>
      </w:r>
      <w:r w:rsidR="0049294B">
        <w:t xml:space="preserve"> the PRRT taxing point for LNG to point of third</w:t>
      </w:r>
      <w:r>
        <w:t>-</w:t>
      </w:r>
      <w:r w:rsidR="0049294B">
        <w:t>party sale</w:t>
      </w:r>
    </w:p>
    <w:p w14:paraId="5337DCFE" w14:textId="44F5FE0C" w:rsidR="009E4F21" w:rsidRDefault="001F377F" w:rsidP="009E4F21">
      <w:r>
        <w:t>Treasury has</w:t>
      </w:r>
      <w:r w:rsidR="00A567FB">
        <w:t xml:space="preserve"> considered r</w:t>
      </w:r>
      <w:r w:rsidR="009E4F21">
        <w:t>emov</w:t>
      </w:r>
      <w:r w:rsidR="00A567FB">
        <w:t>ing</w:t>
      </w:r>
      <w:r w:rsidR="009E4F21">
        <w:t xml:space="preserve"> the need for</w:t>
      </w:r>
      <w:r w:rsidR="003B3C40">
        <w:t xml:space="preserve"> arti</w:t>
      </w:r>
      <w:r w:rsidR="00210C12">
        <w:t>ficially</w:t>
      </w:r>
      <w:r w:rsidR="009E4F21">
        <w:t xml:space="preserve"> pricing </w:t>
      </w:r>
      <w:r w:rsidR="00A567FB">
        <w:t xml:space="preserve">sales </w:t>
      </w:r>
      <w:r w:rsidR="009E4F21">
        <w:t>gas by moving the taxing point to the end of the LNG value chain. This option would be a fundamental change to the design of the PRRT for LNG projects. Making this change to exi</w:t>
      </w:r>
      <w:r w:rsidR="00A567FB">
        <w:t>s</w:t>
      </w:r>
      <w:r w:rsidR="009E4F21">
        <w:t xml:space="preserve">ting projects would be difficult from a record keeping perspective and would be a retrospective change to the design of the tax. Making this change to new projects only would be highly complex and </w:t>
      </w:r>
      <w:r w:rsidR="00A567FB">
        <w:t>likely un</w:t>
      </w:r>
      <w:r w:rsidR="009E4F21">
        <w:t>sustainable because of the interaction between new and future projects</w:t>
      </w:r>
      <w:r w:rsidR="00A567FB">
        <w:t xml:space="preserve"> and combinations</w:t>
      </w:r>
      <w:r w:rsidR="009E4F21">
        <w:t xml:space="preserve">. </w:t>
      </w:r>
    </w:p>
    <w:p w14:paraId="064157CC" w14:textId="362A7540" w:rsidR="0049294B" w:rsidRDefault="00E94C1F" w:rsidP="0076411A">
      <w:pPr>
        <w:rPr>
          <w:rFonts w:ascii="Courier New" w:hAnsi="Courier New" w:cs="Yu Mincho Light"/>
          <w:color w:val="2C384A" w:themeColor="accent1"/>
          <w:kern w:val="32"/>
          <w:sz w:val="28"/>
          <w:szCs w:val="28"/>
        </w:rPr>
      </w:pPr>
      <w:r>
        <w:lastRenderedPageBreak/>
        <w:t>Given the significan</w:t>
      </w:r>
      <w:r w:rsidR="00A567FB">
        <w:t>ce of this</w:t>
      </w:r>
      <w:r>
        <w:t xml:space="preserve"> change to</w:t>
      </w:r>
      <w:r w:rsidR="00A567FB">
        <w:t xml:space="preserve"> existing</w:t>
      </w:r>
      <w:r>
        <w:t xml:space="preserve"> policy settings, </w:t>
      </w:r>
      <w:r w:rsidR="00A567FB">
        <w:t xml:space="preserve">the </w:t>
      </w:r>
      <w:r w:rsidR="00E01BCB">
        <w:t xml:space="preserve">impacts on project economics and </w:t>
      </w:r>
      <w:r>
        <w:t>the practical difficulties</w:t>
      </w:r>
      <w:r w:rsidR="00E01BCB">
        <w:t xml:space="preserve"> of implementation</w:t>
      </w:r>
      <w:r w:rsidR="00A567FB">
        <w:t>, we have not recommended this option</w:t>
      </w:r>
      <w:r w:rsidR="00E01BCB">
        <w:t>.</w:t>
      </w:r>
    </w:p>
    <w:p w14:paraId="631C8A18" w14:textId="0D455CB4" w:rsidR="005C4D35" w:rsidRPr="00C97822" w:rsidRDefault="00985A56" w:rsidP="005C4D35">
      <w:pPr>
        <w:pStyle w:val="Heading2"/>
      </w:pPr>
      <w:bookmarkStart w:id="36" w:name="_Toc6499393"/>
      <w:bookmarkStart w:id="37" w:name="_Toc30064625"/>
      <w:bookmarkStart w:id="38" w:name="_Toc131595561"/>
      <w:bookmarkStart w:id="39" w:name="_Toc134273574"/>
      <w:r>
        <w:t>6</w:t>
      </w:r>
      <w:r w:rsidR="005C4D35" w:rsidRPr="00C97822">
        <w:t>.</w:t>
      </w:r>
      <w:r w:rsidR="003777EA">
        <w:t>4</w:t>
      </w:r>
      <w:r w:rsidR="005C4D35" w:rsidRPr="00C97822">
        <w:t xml:space="preserve"> C</w:t>
      </w:r>
      <w:r w:rsidR="003077C1">
        <w:t xml:space="preserve">omparable </w:t>
      </w:r>
      <w:r w:rsidR="005C4D35" w:rsidRPr="00C97822">
        <w:t>U</w:t>
      </w:r>
      <w:r w:rsidR="003077C1">
        <w:t xml:space="preserve">ncontrolled </w:t>
      </w:r>
      <w:bookmarkEnd w:id="36"/>
      <w:bookmarkEnd w:id="37"/>
      <w:bookmarkEnd w:id="38"/>
      <w:r w:rsidR="005C4D35" w:rsidRPr="00C97822">
        <w:t>P</w:t>
      </w:r>
      <w:r w:rsidR="003077C1">
        <w:t>ric</w:t>
      </w:r>
      <w:r w:rsidR="009C2E90">
        <w:t>e</w:t>
      </w:r>
      <w:r w:rsidR="006B301C">
        <w:t xml:space="preserve"> method</w:t>
      </w:r>
      <w:bookmarkEnd w:id="39"/>
    </w:p>
    <w:p w14:paraId="58EAB2FA" w14:textId="5ABB5DF0" w:rsidR="005C4D35" w:rsidRPr="008A1CC1" w:rsidRDefault="005C4D35" w:rsidP="005C4D35">
      <w:r w:rsidRPr="008A1CC1">
        <w:t xml:space="preserve">The </w:t>
      </w:r>
      <w:r w:rsidR="0094260B">
        <w:t>comparable uncontrolled price (</w:t>
      </w:r>
      <w:r w:rsidRPr="008A1CC1">
        <w:t>CUP</w:t>
      </w:r>
      <w:r w:rsidR="0094260B">
        <w:t>)</w:t>
      </w:r>
      <w:r w:rsidRPr="008A1CC1">
        <w:t xml:space="preserve"> shadow pricing method is recognised internationally as the best practice transfer pricing valuation methodology when available. When available, </w:t>
      </w:r>
      <w:r>
        <w:t>CUPs</w:t>
      </w:r>
      <w:r w:rsidRPr="008A1CC1">
        <w:t xml:space="preserve"> represent an objective arm’s length price that is relevant and comparable to the circumstances of the transfer to which it is applied.</w:t>
      </w:r>
    </w:p>
    <w:p w14:paraId="530C0EFD" w14:textId="3E04B9B1" w:rsidR="00C120B5" w:rsidRPr="00C120B5" w:rsidRDefault="00F06942" w:rsidP="00AA6E01">
      <w:pPr>
        <w:rPr>
          <w:rFonts w:ascii="Cambria Math" w:hAnsi="Cambria Math"/>
        </w:rPr>
      </w:pPr>
      <w:r w:rsidRPr="00C120B5">
        <w:t xml:space="preserve">Under the current </w:t>
      </w:r>
      <w:r w:rsidR="00D936AF">
        <w:t>GTP rules</w:t>
      </w:r>
      <w:r w:rsidRPr="00C120B5">
        <w:t>, in order for a price for sales gas to be accepted as a CUP, the Commissioner of Taxation must be satisfied that:</w:t>
      </w:r>
    </w:p>
    <w:p w14:paraId="4A0B9440" w14:textId="77777777" w:rsidR="00C120B5" w:rsidRPr="00C120B5" w:rsidRDefault="00F06942">
      <w:pPr>
        <w:pStyle w:val="Bullet"/>
      </w:pPr>
      <w:r w:rsidRPr="00C120B5">
        <w:t>it was obtained for a sale in a market relevant to the transaction, and</w:t>
      </w:r>
    </w:p>
    <w:p w14:paraId="5EC414F9" w14:textId="67D4E8BF" w:rsidR="00F06942" w:rsidRPr="00C120B5" w:rsidRDefault="00F06942" w:rsidP="00C120B5">
      <w:pPr>
        <w:pStyle w:val="Bullet"/>
      </w:pPr>
      <w:r w:rsidRPr="00C120B5">
        <w:t xml:space="preserve">it was an observable arm’s length price, allowing for reasonably accurate adjustments. </w:t>
      </w:r>
    </w:p>
    <w:p w14:paraId="5B0DB3C2" w14:textId="77777777" w:rsidR="005C4D35" w:rsidRPr="008A1CC1" w:rsidRDefault="005C4D35" w:rsidP="005C4D35">
      <w:r w:rsidRPr="008A1CC1">
        <w:t>At the time the regulations were developed, there was no competitive market in Australia for feedstock (sales) gas</w:t>
      </w:r>
      <w:r>
        <w:t>.</w:t>
      </w:r>
      <w:r w:rsidRPr="008A1CC1">
        <w:t xml:space="preserve"> </w:t>
      </w:r>
      <w:r>
        <w:t>H</w:t>
      </w:r>
      <w:r w:rsidRPr="008A1CC1">
        <w:t>owever</w:t>
      </w:r>
      <w:r>
        <w:t>,</w:t>
      </w:r>
      <w:r w:rsidRPr="008A1CC1">
        <w:t xml:space="preserve"> the option for determining a CUP was included in the regulation, reflecting its advantages</w:t>
      </w:r>
      <w:r>
        <w:t xml:space="preserve"> as a means of determining an accurate gas transfer price</w:t>
      </w:r>
      <w:r w:rsidRPr="008A1CC1">
        <w:t xml:space="preserve">. The power to determine the existence of a CUP was given to the Commissioner of Taxation. </w:t>
      </w:r>
    </w:p>
    <w:p w14:paraId="37B60CB8" w14:textId="4B2036FC" w:rsidR="005C4D35" w:rsidRPr="008A1CC1" w:rsidRDefault="005C4D35" w:rsidP="005C4D35">
      <w:r w:rsidRPr="008A1CC1">
        <w:t>It remains challenging to apply a CUP in current market conditions as there are no realistic observable third</w:t>
      </w:r>
      <w:r w:rsidR="008B707A">
        <w:t>-</w:t>
      </w:r>
      <w:r w:rsidRPr="008A1CC1">
        <w:t>party transactions for LNG operations in North</w:t>
      </w:r>
      <w:r w:rsidR="00024951">
        <w:t>-</w:t>
      </w:r>
      <w:r w:rsidRPr="008A1CC1">
        <w:t xml:space="preserve">Western Australia. While this is not expected to change markedly in the near future, LNG operations have long </w:t>
      </w:r>
      <w:r w:rsidR="00024951" w:rsidRPr="008A1CC1">
        <w:t>lives,</w:t>
      </w:r>
      <w:r w:rsidRPr="008A1CC1">
        <w:t xml:space="preserve"> and we see benefits in retaining this best practice option for potential use or consideration in the future.</w:t>
      </w:r>
    </w:p>
    <w:p w14:paraId="5E12B041" w14:textId="758A6D2D" w:rsidR="005C4D35" w:rsidRPr="008A1CC1" w:rsidRDefault="005C4D35" w:rsidP="003777EA">
      <w:pPr>
        <w:pStyle w:val="Heading3"/>
      </w:pPr>
      <w:r w:rsidRPr="008A1CC1">
        <w:t>Improvements to CUP methodology</w:t>
      </w:r>
    </w:p>
    <w:p w14:paraId="0E009D69" w14:textId="77777777" w:rsidR="005C4D35" w:rsidRPr="008A1CC1" w:rsidRDefault="005C4D35" w:rsidP="005C4D35">
      <w:r w:rsidRPr="008A1CC1">
        <w:t xml:space="preserve">The current CUP rules have some inconsistencies with the OECD guidelines. </w:t>
      </w:r>
    </w:p>
    <w:p w14:paraId="48A378EB" w14:textId="51F2DBFC" w:rsidR="005C4D35" w:rsidRPr="008A1CC1" w:rsidRDefault="00D5709D" w:rsidP="005C4D35">
      <w:r w:rsidRPr="008A1CC1">
        <w:t>When</w:t>
      </w:r>
      <w:r w:rsidR="00EF5AFB">
        <w:t xml:space="preserve"> considering a CUP </w:t>
      </w:r>
      <w:r w:rsidR="00EA44FD">
        <w:t xml:space="preserve">one of the factors </w:t>
      </w:r>
      <w:r w:rsidR="009E1053">
        <w:t>that the</w:t>
      </w:r>
      <w:r w:rsidR="005C4D35" w:rsidRPr="008A1CC1">
        <w:t xml:space="preserve"> Commissioner needs to be satisfied of is currently the market the gas is sold into</w:t>
      </w:r>
      <w:r w:rsidR="008D3D63">
        <w:t>.</w:t>
      </w:r>
      <w:r w:rsidR="00E000C0">
        <w:t xml:space="preserve"> </w:t>
      </w:r>
      <w:r w:rsidR="002500A3">
        <w:t>This</w:t>
      </w:r>
      <w:r w:rsidR="005C4D35" w:rsidRPr="008A1CC1">
        <w:t xml:space="preserve"> is narrower in scope than in the OECD guidelines which allows all reasonable conditions of a comparable transaction to be considered.</w:t>
      </w:r>
    </w:p>
    <w:p w14:paraId="4262BCEB" w14:textId="77777777" w:rsidR="005C4D35" w:rsidRPr="008A1CC1" w:rsidRDefault="005C4D35" w:rsidP="005C4D35">
      <w:r w:rsidRPr="008A1CC1">
        <w:t>We recommend updating the CUP rules to fix any inconsistencies with the OECD guidelines. This could be achieved by including the OECD principles in the regulations:</w:t>
      </w:r>
    </w:p>
    <w:p w14:paraId="60F64C46" w14:textId="77777777" w:rsidR="005C4D35" w:rsidRPr="008A1CC1" w:rsidRDefault="005C4D35" w:rsidP="0009042A">
      <w:pPr>
        <w:numPr>
          <w:ilvl w:val="0"/>
          <w:numId w:val="14"/>
        </w:numPr>
        <w:spacing w:before="0"/>
        <w:ind w:left="284" w:hanging="284"/>
      </w:pPr>
      <w:r w:rsidRPr="008A1CC1">
        <w:t>Contractual terms of the transaction.</w:t>
      </w:r>
    </w:p>
    <w:p w14:paraId="63D90F84" w14:textId="355C53A7" w:rsidR="005C4D35" w:rsidRPr="008A1CC1" w:rsidRDefault="005C4D35" w:rsidP="0009042A">
      <w:pPr>
        <w:numPr>
          <w:ilvl w:val="1"/>
          <w:numId w:val="14"/>
        </w:numPr>
        <w:spacing w:before="0"/>
        <w:ind w:left="568"/>
      </w:pPr>
      <w:r w:rsidRPr="008A1CC1">
        <w:t xml:space="preserve">In the context of the </w:t>
      </w:r>
      <w:r w:rsidR="00D936AF">
        <w:t>GTP</w:t>
      </w:r>
      <w:r w:rsidRPr="008A1CC1">
        <w:t xml:space="preserve"> </w:t>
      </w:r>
      <w:r w:rsidR="00E41FA8">
        <w:t>rules</w:t>
      </w:r>
      <w:r w:rsidRPr="008A1CC1">
        <w:t>, this could include volumes traded, discounts, exchange exposures, foreign currency terms, period of the arrangements, timing and terms of delivery (at the taxing point), shipping, insurance, and other relevant terms and conditions that would reasonably be considered to affect the price.</w:t>
      </w:r>
    </w:p>
    <w:p w14:paraId="19351EFC" w14:textId="77777777" w:rsidR="005C4D35" w:rsidRPr="008A1CC1" w:rsidRDefault="005C4D35" w:rsidP="0009042A">
      <w:pPr>
        <w:numPr>
          <w:ilvl w:val="0"/>
          <w:numId w:val="14"/>
        </w:numPr>
        <w:spacing w:before="0"/>
        <w:ind w:left="284" w:hanging="284"/>
      </w:pPr>
      <w:r w:rsidRPr="008A1CC1">
        <w:t xml:space="preserve">Functions performed by each of the parties to the transaction, taking into account assets used and risks assumed, including how those functions relate to the wider generation of value by the </w:t>
      </w:r>
      <w:r w:rsidRPr="00625774">
        <w:t>taxpayer (and the broader multinational enterprise group to which it may belong),</w:t>
      </w:r>
      <w:r w:rsidRPr="008A1CC1">
        <w:t xml:space="preserve"> the circumstances surrounding the transaction, and industry practices.</w:t>
      </w:r>
    </w:p>
    <w:p w14:paraId="25F26FD5" w14:textId="773D7C92" w:rsidR="005C4D35" w:rsidRPr="008A1CC1" w:rsidRDefault="005C4D35" w:rsidP="0009042A">
      <w:pPr>
        <w:numPr>
          <w:ilvl w:val="0"/>
          <w:numId w:val="14"/>
        </w:numPr>
        <w:spacing w:before="0"/>
        <w:ind w:left="284" w:hanging="284"/>
      </w:pPr>
      <w:r w:rsidRPr="008A1CC1">
        <w:t xml:space="preserve">The characteristics of property </w:t>
      </w:r>
      <w:r w:rsidR="00330047" w:rsidRPr="008A1CC1">
        <w:t>transferred,</w:t>
      </w:r>
      <w:r w:rsidRPr="008A1CC1">
        <w:t xml:space="preserve"> or services provided (for example, the composition of the feedstock gas).</w:t>
      </w:r>
    </w:p>
    <w:p w14:paraId="60B90064" w14:textId="77777777" w:rsidR="005C4D35" w:rsidRPr="008A1CC1" w:rsidRDefault="005C4D35" w:rsidP="0009042A">
      <w:pPr>
        <w:numPr>
          <w:ilvl w:val="0"/>
          <w:numId w:val="14"/>
        </w:numPr>
        <w:spacing w:before="0"/>
        <w:ind w:left="284" w:hanging="284"/>
      </w:pPr>
      <w:r w:rsidRPr="008A1CC1">
        <w:t>The economic circumstances of the parties and of the market in which the parties operate.</w:t>
      </w:r>
    </w:p>
    <w:p w14:paraId="3450D724" w14:textId="77777777" w:rsidR="005C4D35" w:rsidRPr="008A1CC1" w:rsidRDefault="005C4D35" w:rsidP="0009042A">
      <w:pPr>
        <w:numPr>
          <w:ilvl w:val="1"/>
          <w:numId w:val="14"/>
        </w:numPr>
        <w:spacing w:before="0"/>
        <w:ind w:left="568"/>
      </w:pPr>
      <w:r w:rsidRPr="008A1CC1">
        <w:lastRenderedPageBreak/>
        <w:t>This could include characteristics of relevant market, for example size of markets, extent of competition in markets, relative competitive positions between buyers and sellers, extent of substitute goods and services, levels of supply and demand in the market as a whole and in particular regions; extent of government regulation, level of operation; availability of other resources (upstream) or other downstream facilities); customer the LNG is sold to.</w:t>
      </w:r>
    </w:p>
    <w:p w14:paraId="1C5A5F9D" w14:textId="77777777" w:rsidR="005C4D35" w:rsidRPr="008A1CC1" w:rsidRDefault="005C4D35" w:rsidP="0009042A">
      <w:pPr>
        <w:numPr>
          <w:ilvl w:val="0"/>
          <w:numId w:val="14"/>
        </w:numPr>
        <w:spacing w:before="0"/>
        <w:ind w:left="284" w:hanging="284"/>
      </w:pPr>
      <w:r w:rsidRPr="008A1CC1">
        <w:t xml:space="preserve">Business strategies pursued by the parties (how the enterprise uses innovation, degree of diversification, assessment of political changes, market penetration schemes, other factors affecting daily conduct of business). </w:t>
      </w:r>
    </w:p>
    <w:p w14:paraId="26C3AB3A" w14:textId="69C93113" w:rsidR="008854F3" w:rsidRDefault="005C4D35" w:rsidP="00683DD2">
      <w:pPr>
        <w:spacing w:before="0"/>
        <w:ind w:left="284" w:hanging="284"/>
      </w:pPr>
      <w:r w:rsidRPr="008A1CC1">
        <w:t>This would supplement and build on the factors outlined in the regulations.</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8854F3" w14:paraId="05C5A73C"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3B8C9F58" w14:textId="2FC6F9AF" w:rsidR="008854F3" w:rsidRDefault="008854F3">
            <w:pPr>
              <w:pStyle w:val="BoxHeading"/>
              <w:rPr>
                <w:sz w:val="28"/>
                <w:szCs w:val="28"/>
                <w:lang w:eastAsia="en-US"/>
              </w:rPr>
            </w:pPr>
            <w:r>
              <w:rPr>
                <w:sz w:val="28"/>
                <w:szCs w:val="28"/>
                <w:lang w:eastAsia="en-US"/>
              </w:rPr>
              <w:t>Recommendation 6</w:t>
            </w:r>
          </w:p>
          <w:p w14:paraId="1CC9D38E" w14:textId="1A17D175" w:rsidR="008854F3" w:rsidRDefault="00683DD2" w:rsidP="00683DD2">
            <w:r>
              <w:t>Update</w:t>
            </w:r>
            <w:r w:rsidRPr="002B28F2">
              <w:t xml:space="preserve"> </w:t>
            </w:r>
            <w:r>
              <w:t>the</w:t>
            </w:r>
            <w:r w:rsidRPr="002B28F2">
              <w:t xml:space="preserve"> comparable uncontrolled price (CUP) rules to align with the OECD guidelines. In particular, the analysis for the CUP should be broadened to consider all reasonable conditions of a comparable transaction. Reasonably accurate adjustments would continue to be permitted.</w:t>
            </w:r>
          </w:p>
        </w:tc>
      </w:tr>
    </w:tbl>
    <w:p w14:paraId="202A5EA0" w14:textId="2DF5B820" w:rsidR="005C4D35" w:rsidRPr="00C97822" w:rsidRDefault="009E2F75" w:rsidP="005C4D35">
      <w:pPr>
        <w:pStyle w:val="Heading2"/>
      </w:pPr>
      <w:bookmarkStart w:id="40" w:name="_Toc134273575"/>
      <w:r>
        <w:t>6</w:t>
      </w:r>
      <w:r w:rsidR="005C4D35" w:rsidRPr="00C97822">
        <w:rPr>
          <w:szCs w:val="24"/>
        </w:rPr>
        <w:t>.</w:t>
      </w:r>
      <w:bookmarkStart w:id="41" w:name="_Toc30064629"/>
      <w:r w:rsidR="002E4BA4">
        <w:rPr>
          <w:szCs w:val="24"/>
        </w:rPr>
        <w:t>5</w:t>
      </w:r>
      <w:r w:rsidR="005C4D35" w:rsidRPr="00C97822">
        <w:t xml:space="preserve"> A</w:t>
      </w:r>
      <w:r w:rsidR="00794826">
        <w:t>d</w:t>
      </w:r>
      <w:r w:rsidR="00653B10">
        <w:t xml:space="preserve">vance </w:t>
      </w:r>
      <w:r w:rsidR="005C4D35" w:rsidRPr="00C97822">
        <w:t>P</w:t>
      </w:r>
      <w:r w:rsidR="00653B10">
        <w:t xml:space="preserve">ricing </w:t>
      </w:r>
      <w:r w:rsidR="005C4D35" w:rsidRPr="00C97822">
        <w:t>A</w:t>
      </w:r>
      <w:r w:rsidR="00653B10">
        <w:t>rrangements</w:t>
      </w:r>
      <w:bookmarkEnd w:id="40"/>
      <w:r w:rsidR="005C4D35" w:rsidRPr="00C97822">
        <w:t xml:space="preserve"> </w:t>
      </w:r>
      <w:bookmarkEnd w:id="41"/>
    </w:p>
    <w:p w14:paraId="18F8D121" w14:textId="26F742FB" w:rsidR="005C4D35" w:rsidRPr="00430E41" w:rsidRDefault="005C4D35" w:rsidP="005C4D35">
      <w:r w:rsidRPr="00430E41">
        <w:t>In the context of the regulations, the APA is an agreement between the Commissioner of Taxation and a taxpayer that establishes a</w:t>
      </w:r>
      <w:r w:rsidR="00A32676">
        <w:t>n agreed</w:t>
      </w:r>
      <w:r w:rsidRPr="00430E41">
        <w:t xml:space="preserve"> method to calculate </w:t>
      </w:r>
      <w:r w:rsidR="00983FD2">
        <w:t>the</w:t>
      </w:r>
      <w:r w:rsidR="00A57FBF">
        <w:t xml:space="preserve"> </w:t>
      </w:r>
      <w:r w:rsidR="00F775C0">
        <w:t xml:space="preserve">amount of </w:t>
      </w:r>
      <w:r w:rsidR="00150ADB">
        <w:t>assessable PRRT receipts for the</w:t>
      </w:r>
      <w:r w:rsidR="00A57FBF">
        <w:t xml:space="preserve"> </w:t>
      </w:r>
      <w:r w:rsidR="002A5A5C">
        <w:t>sales gas</w:t>
      </w:r>
      <w:r w:rsidR="00D515B2">
        <w:t xml:space="preserve"> </w:t>
      </w:r>
      <w:r w:rsidRPr="00430E41">
        <w:t xml:space="preserve">in an integrated </w:t>
      </w:r>
      <w:r w:rsidR="00E97D7F">
        <w:t>LNG</w:t>
      </w:r>
      <w:r w:rsidRPr="00430E41">
        <w:t xml:space="preserve"> operation for PRRT purposes. </w:t>
      </w:r>
    </w:p>
    <w:p w14:paraId="1C7BA87F" w14:textId="6DBF37FE" w:rsidR="005C4D35" w:rsidRPr="00430E41" w:rsidRDefault="005C4D35" w:rsidP="005C4D35">
      <w:r w:rsidRPr="00430E41">
        <w:t xml:space="preserve">While </w:t>
      </w:r>
      <w:r w:rsidR="0057278D" w:rsidRPr="00430E41">
        <w:t>APAs</w:t>
      </w:r>
      <w:r w:rsidRPr="00430E41">
        <w:t xml:space="preserve"> are typically used in cross-border international dealings to manage transfer pricing risks, in the PRRT context, the main aim of the APA is to find agreement on the appropriate method, assumptions and information to calculate the </w:t>
      </w:r>
      <w:r w:rsidR="00C65528">
        <w:t xml:space="preserve">gas </w:t>
      </w:r>
      <w:r w:rsidRPr="00430E41">
        <w:t xml:space="preserve">price at the PRRT taxing point. </w:t>
      </w:r>
    </w:p>
    <w:p w14:paraId="4EFBCAE1" w14:textId="2D255BED" w:rsidR="005C4D35" w:rsidRPr="00430E41" w:rsidRDefault="005C4D35" w:rsidP="005C4D35">
      <w:r w:rsidRPr="00430E41">
        <w:t xml:space="preserve">It also provides flexibility to </w:t>
      </w:r>
      <w:r w:rsidR="00BE329D" w:rsidRPr="00430E41">
        <w:t>consider</w:t>
      </w:r>
      <w:r w:rsidRPr="00430E41">
        <w:t xml:space="preserve"> specific, and possibly unique, facts and circumstances of a particular taxpayer</w:t>
      </w:r>
      <w:r w:rsidR="00BE650F">
        <w:t xml:space="preserve"> </w:t>
      </w:r>
      <w:r w:rsidRPr="00430E41">
        <w:t>and what independent enterprises would reasonably have done in similar circumstances.</w:t>
      </w:r>
    </w:p>
    <w:p w14:paraId="2CA3032A" w14:textId="4C02168D" w:rsidR="005C4D35" w:rsidRPr="00430E41" w:rsidRDefault="00541301" w:rsidP="005C4D35">
      <w:r>
        <w:t>Industry has informed us</w:t>
      </w:r>
      <w:r w:rsidR="00E772BE">
        <w:t xml:space="preserve"> that the </w:t>
      </w:r>
      <w:r w:rsidR="005C4D35" w:rsidRPr="00430E41">
        <w:t xml:space="preserve">APAs that </w:t>
      </w:r>
      <w:r w:rsidR="00DA7E61">
        <w:t xml:space="preserve">are </w:t>
      </w:r>
      <w:r w:rsidR="005C4D35" w:rsidRPr="00430E41">
        <w:t xml:space="preserve">currently in place are based on the safe harbour method. </w:t>
      </w:r>
    </w:p>
    <w:p w14:paraId="04BD2B8B" w14:textId="395E6DA7" w:rsidR="005C4D35" w:rsidRPr="00430E41" w:rsidRDefault="005C4D35" w:rsidP="005C4D35">
      <w:r w:rsidRPr="00430E41">
        <w:t xml:space="preserve">Beyond indicating that the APA must specify (1) the terms of the agreement; (2) how assessable receipts of the participant are to be calculated; (3) conditions under which the arrangement will apply, the regulations do not outline </w:t>
      </w:r>
      <w:r w:rsidR="0047395D" w:rsidRPr="00430E41">
        <w:t>factors</w:t>
      </w:r>
      <w:r w:rsidRPr="00430E41">
        <w:t xml:space="preserve"> that the Commissioner and industry participants must </w:t>
      </w:r>
      <w:r w:rsidR="00DA7E61" w:rsidRPr="00430E41">
        <w:t>consider</w:t>
      </w:r>
      <w:r w:rsidRPr="00430E41">
        <w:t>.</w:t>
      </w:r>
    </w:p>
    <w:p w14:paraId="683C1955" w14:textId="3E1CE32B" w:rsidR="005C4D35" w:rsidRPr="00430E41" w:rsidRDefault="005C4D35" w:rsidP="005C4D35">
      <w:r w:rsidRPr="00430E41">
        <w:t xml:space="preserve">The 2005 explanatory statement outlines that ‘An APA may adopt </w:t>
      </w:r>
      <w:r>
        <w:t>a</w:t>
      </w:r>
      <w:r w:rsidRPr="00430E41">
        <w:t xml:space="preserve"> specific methodology, several methodologies, a mixture of commonly used methodologies (as the RPM does), or some other methodology or methodologies. Without limiting the scope for other methodologies to be used, the gas transfer price delivered by a CUP (where it exists) and by the RPM methodology is to be considered in setting an APA for the purpose of the regulations</w:t>
      </w:r>
      <w:r w:rsidR="00584186">
        <w:t>.</w:t>
      </w:r>
    </w:p>
    <w:p w14:paraId="64A4C7AA" w14:textId="266D2E2F" w:rsidR="005C4D35" w:rsidRPr="00C97822" w:rsidRDefault="005C4D35" w:rsidP="003777EA">
      <w:pPr>
        <w:pStyle w:val="Heading3"/>
      </w:pPr>
      <w:r w:rsidRPr="00C97822">
        <w:t>Improvements to APAs</w:t>
      </w:r>
    </w:p>
    <w:p w14:paraId="2EB7FFA6" w14:textId="44BCD214" w:rsidR="001B4878" w:rsidRPr="00AF6EB1" w:rsidRDefault="005C4D35" w:rsidP="00114BF2">
      <w:r w:rsidRPr="00D0232A">
        <w:t xml:space="preserve">The current framework is designed so that if taxpayers have unusual circumstances or downstream operations that generate greater than normal profits, then they can </w:t>
      </w:r>
      <w:r w:rsidR="00B24122">
        <w:t>enter into</w:t>
      </w:r>
      <w:r w:rsidRPr="00D0232A">
        <w:t xml:space="preserve"> a specific arrangement with the Commissioner, through an APA, to apply an agreed method to value the</w:t>
      </w:r>
      <w:r w:rsidR="00A42857">
        <w:t xml:space="preserve"> sales</w:t>
      </w:r>
      <w:r w:rsidRPr="00D0232A">
        <w:t xml:space="preserve"> gas at the taxing point.</w:t>
      </w:r>
    </w:p>
    <w:p w14:paraId="5DC650CA" w14:textId="668222D9" w:rsidR="001B4878" w:rsidRPr="001B4878" w:rsidRDefault="00631F2D" w:rsidP="001B4878">
      <w:r>
        <w:lastRenderedPageBreak/>
        <w:t>If</w:t>
      </w:r>
      <w:r w:rsidR="00F531DC">
        <w:t xml:space="preserve"> </w:t>
      </w:r>
      <w:r w:rsidR="001B4878" w:rsidRPr="001B4878">
        <w:t xml:space="preserve">the </w:t>
      </w:r>
      <w:r w:rsidR="00B61428" w:rsidRPr="001B4878">
        <w:t>existing</w:t>
      </w:r>
      <w:r w:rsidR="001B4878" w:rsidRPr="001B4878">
        <w:t xml:space="preserve"> RPM </w:t>
      </w:r>
      <w:r w:rsidR="007C11D4">
        <w:t>is</w:t>
      </w:r>
      <w:r w:rsidR="009D493C">
        <w:t xml:space="preserve"> replaced with </w:t>
      </w:r>
      <w:r w:rsidR="00350F2B">
        <w:t>a</w:t>
      </w:r>
      <w:r w:rsidR="001B4878" w:rsidRPr="001B4878">
        <w:t xml:space="preserve"> less generous </w:t>
      </w:r>
      <w:r w:rsidR="00CE2E0E">
        <w:t xml:space="preserve">netback </w:t>
      </w:r>
      <w:r w:rsidR="001B4878" w:rsidRPr="001B4878">
        <w:t>method</w:t>
      </w:r>
      <w:r w:rsidR="00350F2B">
        <w:t>,</w:t>
      </w:r>
      <w:r w:rsidR="001B4878" w:rsidRPr="001B4878">
        <w:t xml:space="preserve"> </w:t>
      </w:r>
      <w:r w:rsidR="00B32ADE">
        <w:t xml:space="preserve">this </w:t>
      </w:r>
      <w:r w:rsidR="001B4878" w:rsidRPr="001B4878">
        <w:t xml:space="preserve">may increase the demand for </w:t>
      </w:r>
      <w:r w:rsidR="008B7B92" w:rsidRPr="001B4878">
        <w:t>APAs</w:t>
      </w:r>
      <w:r w:rsidR="001B4878" w:rsidRPr="001B4878">
        <w:t xml:space="preserve"> by industry participants </w:t>
      </w:r>
      <w:r w:rsidR="00EA70FC" w:rsidRPr="001B4878">
        <w:t>to</w:t>
      </w:r>
      <w:r w:rsidR="001B4878" w:rsidRPr="001B4878">
        <w:t xml:space="preserve"> </w:t>
      </w:r>
      <w:r w:rsidR="00ED4084" w:rsidRPr="001B4878">
        <w:t>achieve a</w:t>
      </w:r>
      <w:r w:rsidR="001B4878" w:rsidRPr="001B4878">
        <w:t xml:space="preserve"> better outcome than what is provided by the default methodology. </w:t>
      </w:r>
    </w:p>
    <w:p w14:paraId="294CC208" w14:textId="77777777" w:rsidR="00D67230" w:rsidRDefault="001B4878" w:rsidP="001B4878">
      <w:r w:rsidRPr="001B4878">
        <w:t>One option which is</w:t>
      </w:r>
      <w:r>
        <w:t xml:space="preserve"> </w:t>
      </w:r>
      <w:r w:rsidR="66B12F75">
        <w:t>in</w:t>
      </w:r>
      <w:r w:rsidRPr="001B4878">
        <w:t xml:space="preserve"> line with the current setting is </w:t>
      </w:r>
      <w:r w:rsidR="004D79D5" w:rsidRPr="001B4878">
        <w:t xml:space="preserve">for </w:t>
      </w:r>
      <w:r w:rsidR="00B61428" w:rsidRPr="001B4878">
        <w:t>APAs</w:t>
      </w:r>
      <w:r w:rsidRPr="001B4878">
        <w:t xml:space="preserve"> to continue to be available as a pricing option for all taxpayers in all circumstances and with the scope of an APA not being limited in any way. A consequence of this is that it would allow industry participants to effectively relitigate </w:t>
      </w:r>
      <w:r w:rsidR="00AF1D0C">
        <w:t>PRRT rules</w:t>
      </w:r>
      <w:r w:rsidRPr="001B4878">
        <w:t xml:space="preserve"> on a </w:t>
      </w:r>
      <w:r w:rsidR="00707854" w:rsidRPr="001B4878">
        <w:t>case-by-case</w:t>
      </w:r>
      <w:r w:rsidRPr="001B4878">
        <w:t xml:space="preserve"> basis, through complex</w:t>
      </w:r>
      <w:r w:rsidR="00D45CE3">
        <w:t xml:space="preserve">, </w:t>
      </w:r>
      <w:r w:rsidRPr="001B4878">
        <w:t>intensive</w:t>
      </w:r>
      <w:r w:rsidR="00D45CE3">
        <w:t xml:space="preserve"> and bespoke</w:t>
      </w:r>
      <w:r w:rsidRPr="001B4878">
        <w:t xml:space="preserve"> APA negotiations</w:t>
      </w:r>
      <w:r w:rsidR="00462DB0">
        <w:t>.</w:t>
      </w:r>
      <w:r w:rsidR="00F9029E">
        <w:t xml:space="preserve"> </w:t>
      </w:r>
      <w:r w:rsidR="00462DB0">
        <w:t>The</w:t>
      </w:r>
      <w:r w:rsidRPr="001B4878" w:rsidDel="00470387">
        <w:t xml:space="preserve"> </w:t>
      </w:r>
      <w:r w:rsidRPr="001B4878">
        <w:t>potential</w:t>
      </w:r>
      <w:r w:rsidR="004B5E2C">
        <w:t xml:space="preserve"> for</w:t>
      </w:r>
      <w:r w:rsidRPr="001B4878">
        <w:t xml:space="preserve"> disputes and litigation</w:t>
      </w:r>
      <w:r w:rsidR="0076163B">
        <w:t xml:space="preserve"> w</w:t>
      </w:r>
      <w:r w:rsidR="00966E16">
        <w:t>ould</w:t>
      </w:r>
      <w:r w:rsidR="0076163B">
        <w:t xml:space="preserve"> increase</w:t>
      </w:r>
      <w:r w:rsidRPr="001B4878">
        <w:t>.</w:t>
      </w:r>
      <w:r w:rsidR="00E000C0">
        <w:t xml:space="preserve"> </w:t>
      </w:r>
      <w:r w:rsidR="005F0D0C">
        <w:t xml:space="preserve">Protracted </w:t>
      </w:r>
      <w:r w:rsidR="00041E04">
        <w:t>APA nego</w:t>
      </w:r>
      <w:r w:rsidR="000E1CC2">
        <w:t>tiations</w:t>
      </w:r>
      <w:r w:rsidR="00D02ACE">
        <w:t xml:space="preserve"> and disputes w</w:t>
      </w:r>
      <w:r w:rsidR="00AB12A4">
        <w:t>ould</w:t>
      </w:r>
      <w:r w:rsidR="00D02ACE">
        <w:t xml:space="preserve"> be a source of uncertainty </w:t>
      </w:r>
      <w:r w:rsidR="008156CF">
        <w:t>to</w:t>
      </w:r>
      <w:r w:rsidR="00E86B7E">
        <w:t xml:space="preserve"> taxpayer</w:t>
      </w:r>
      <w:r w:rsidR="00CB7C31">
        <w:t xml:space="preserve">s, the administrator </w:t>
      </w:r>
      <w:r w:rsidR="00894C9F">
        <w:t>and the community.</w:t>
      </w:r>
      <w:r w:rsidR="00F9029E">
        <w:t xml:space="preserve"> </w:t>
      </w:r>
      <w:r w:rsidRPr="001B4878">
        <w:t>This could be costly both from an administrative and revenue perspective.</w:t>
      </w:r>
      <w:r w:rsidR="00151767">
        <w:t xml:space="preserve"> </w:t>
      </w:r>
    </w:p>
    <w:p w14:paraId="1C163DAF" w14:textId="36EFD1B4" w:rsidR="001B4878" w:rsidRPr="001B4878" w:rsidRDefault="001B4878" w:rsidP="001B4878">
      <w:r w:rsidRPr="001B4878">
        <w:t>Valuation based agreements are subjective by their nature and are often based on the differing views of multiple experts</w:t>
      </w:r>
      <w:r w:rsidR="00A34D71">
        <w:t xml:space="preserve"> of which there is a limited </w:t>
      </w:r>
      <w:r w:rsidR="00E50300">
        <w:t>pool</w:t>
      </w:r>
      <w:r w:rsidRPr="001B4878">
        <w:t xml:space="preserve">. There is the risk </w:t>
      </w:r>
      <w:r w:rsidR="002F3309">
        <w:t>that</w:t>
      </w:r>
      <w:r w:rsidRPr="001B4878">
        <w:t xml:space="preserve"> </w:t>
      </w:r>
      <w:r w:rsidR="00F16736" w:rsidRPr="001B4878">
        <w:t>expert opinions will differ and be the source of protracted disputes</w:t>
      </w:r>
      <w:r w:rsidR="004A2436">
        <w:t>.</w:t>
      </w:r>
      <w:r w:rsidR="00573AFD">
        <w:t xml:space="preserve"> A way of limiting this risk is through a</w:t>
      </w:r>
      <w:r w:rsidR="00E22BF5">
        <w:t xml:space="preserve"> </w:t>
      </w:r>
      <w:r w:rsidRPr="001B4878">
        <w:t>robust statutory framework for determining the sales gas price</w:t>
      </w:r>
      <w:r w:rsidR="00573AFD">
        <w:t xml:space="preserve"> and </w:t>
      </w:r>
      <w:r w:rsidRPr="001B4878">
        <w:t>clear guidance on what methodologies are available</w:t>
      </w:r>
      <w:r w:rsidR="00573AFD">
        <w:t>.</w:t>
      </w:r>
      <w:r w:rsidRPr="001B4878">
        <w:t xml:space="preserve"> </w:t>
      </w:r>
    </w:p>
    <w:p w14:paraId="1C49366C" w14:textId="2B2573B2" w:rsidR="001B4878" w:rsidRPr="001B4878" w:rsidRDefault="001B4878" w:rsidP="001B4878">
      <w:r w:rsidRPr="001B4878">
        <w:t xml:space="preserve">A second option for APAs is to clarify their role in the system and restrict their use to ensure the proper functioning of the default methodology. </w:t>
      </w:r>
      <w:r w:rsidR="00FC694D">
        <w:t>Limiting APAs in this way</w:t>
      </w:r>
      <w:r w:rsidR="00DB1148">
        <w:t xml:space="preserve"> would mean they would </w:t>
      </w:r>
      <w:r w:rsidRPr="001B4878">
        <w:t>present fewer administrative or revenue risks but would result in industry participants being unable to depart from the default methodology</w:t>
      </w:r>
      <w:r w:rsidR="00700074">
        <w:t>, unless</w:t>
      </w:r>
      <w:r w:rsidRPr="001B4878">
        <w:t xml:space="preserve"> there was an agreed CUP between the participant and the Commissioner of Taxation. Given that CUP</w:t>
      </w:r>
      <w:r w:rsidR="003F4005">
        <w:t>s</w:t>
      </w:r>
      <w:r w:rsidRPr="001B4878">
        <w:t xml:space="preserve"> are unlikely to exist in the foreseeable future, this would result in all industry participants being limited to using the new default methodology.</w:t>
      </w:r>
    </w:p>
    <w:p w14:paraId="3FB98A87" w14:textId="097BA76B" w:rsidR="001B4878" w:rsidRPr="001B4878" w:rsidRDefault="007A0D9E" w:rsidP="001B4878">
      <w:r>
        <w:t xml:space="preserve">If a netback only approach is adopted, </w:t>
      </w:r>
      <w:r w:rsidR="001B4878" w:rsidRPr="001B4878">
        <w:t>Treasury’s preferred option is to retain the use of APAs but limit their use to specific circumstances so that they are available to taxpayers that can demonstrate that economic rents are being consistently generated by downstream activities. An example</w:t>
      </w:r>
      <w:r w:rsidR="00FC2B36">
        <w:t xml:space="preserve"> of this</w:t>
      </w:r>
      <w:r w:rsidR="001B4878" w:rsidRPr="001B4878">
        <w:t xml:space="preserve"> is where the liquefaction processing, plant and equipment used to liquefy the sales gas incorporates technology that contains unique and valuable intangible assets owned by the notional downstream entity which leads to </w:t>
      </w:r>
      <w:r w:rsidR="007B01DC">
        <w:t xml:space="preserve">a significantly </w:t>
      </w:r>
      <w:r w:rsidR="001B4878" w:rsidRPr="001B4878">
        <w:t>lower cost of production of compar</w:t>
      </w:r>
      <w:r w:rsidR="00484289">
        <w:t>ed</w:t>
      </w:r>
      <w:r w:rsidR="001B4878" w:rsidRPr="001B4878">
        <w:t xml:space="preserve"> to other LNG projects</w:t>
      </w:r>
      <w:r w:rsidR="00122D6E">
        <w:t>, a</w:t>
      </w:r>
      <w:r w:rsidR="001B4878" w:rsidRPr="001B4878">
        <w:t>nd the notional downstream entity is not separately rewarded through the receipt of licence/royalty payments. APAs would not be available to modify or alter other parts of the settings.</w:t>
      </w:r>
      <w:r w:rsidR="00151767">
        <w:t xml:space="preserve"> </w:t>
      </w:r>
    </w:p>
    <w:p w14:paraId="1881A3E3" w14:textId="52E9BE30" w:rsidR="00056AA7" w:rsidRPr="00056AA7" w:rsidRDefault="008E5F05" w:rsidP="00707854">
      <w:r>
        <w:t xml:space="preserve">In these circumstances </w:t>
      </w:r>
      <w:r w:rsidR="001B4878" w:rsidRPr="001B4878">
        <w:t xml:space="preserve">Treasury proposes the following </w:t>
      </w:r>
      <w:r w:rsidR="00707854">
        <w:t>high-level</w:t>
      </w:r>
      <w:r w:rsidR="001B4878" w:rsidRPr="001B4878">
        <w:t xml:space="preserve"> principles to guide the formulation of an APA between the Commissioner and a participant in an integrated project</w:t>
      </w:r>
      <w:r w:rsidR="00707854">
        <w:t>:</w:t>
      </w:r>
    </w:p>
    <w:p w14:paraId="502609B0" w14:textId="2959297B" w:rsidR="00835126" w:rsidRDefault="00056AA7" w:rsidP="00AC0BC7">
      <w:pPr>
        <w:pStyle w:val="Bullet"/>
        <w:rPr>
          <w:rFonts w:eastAsia="Calibri"/>
          <w:lang w:eastAsia="en-US"/>
        </w:rPr>
      </w:pPr>
      <w:r w:rsidRPr="00056AA7">
        <w:rPr>
          <w:rFonts w:eastAsia="Calibri"/>
          <w:lang w:eastAsia="en-US"/>
        </w:rPr>
        <w:t>An APA is</w:t>
      </w:r>
      <w:r w:rsidR="00F9029E">
        <w:rPr>
          <w:rFonts w:eastAsia="Calibri"/>
          <w:lang w:eastAsia="en-US"/>
        </w:rPr>
        <w:t xml:space="preserve"> </w:t>
      </w:r>
      <w:r w:rsidRPr="00056AA7">
        <w:rPr>
          <w:rFonts w:eastAsia="Calibri"/>
          <w:lang w:eastAsia="en-US"/>
        </w:rPr>
        <w:t xml:space="preserve">based on </w:t>
      </w:r>
      <w:r w:rsidR="001F3D68">
        <w:rPr>
          <w:rFonts w:eastAsia="Calibri"/>
          <w:lang w:eastAsia="en-US"/>
        </w:rPr>
        <w:t xml:space="preserve">the assumption that </w:t>
      </w:r>
      <w:r w:rsidR="00FC71C6">
        <w:rPr>
          <w:rFonts w:eastAsia="Calibri"/>
          <w:lang w:eastAsia="en-US"/>
        </w:rPr>
        <w:t xml:space="preserve">the economic rent is </w:t>
      </w:r>
      <w:r w:rsidR="006B5BFE">
        <w:rPr>
          <w:rFonts w:eastAsia="Calibri"/>
          <w:lang w:eastAsia="en-US"/>
        </w:rPr>
        <w:t xml:space="preserve">primarily </w:t>
      </w:r>
      <w:r w:rsidR="00FC71C6">
        <w:rPr>
          <w:rFonts w:eastAsia="Calibri"/>
          <w:lang w:eastAsia="en-US"/>
        </w:rPr>
        <w:t>a</w:t>
      </w:r>
      <w:r w:rsidR="00666250">
        <w:rPr>
          <w:rFonts w:eastAsia="Calibri"/>
          <w:lang w:eastAsia="en-US"/>
        </w:rPr>
        <w:t>ttributed to the underlying resource</w:t>
      </w:r>
      <w:r w:rsidRPr="00056AA7">
        <w:rPr>
          <w:rFonts w:eastAsia="Calibri"/>
          <w:lang w:eastAsia="en-US"/>
        </w:rPr>
        <w:t xml:space="preserve"> </w:t>
      </w:r>
    </w:p>
    <w:p w14:paraId="4078F84F" w14:textId="7816153A" w:rsidR="00056AA7" w:rsidRPr="00056AA7" w:rsidRDefault="00056AA7" w:rsidP="00AC0BC7">
      <w:pPr>
        <w:pStyle w:val="Bullet"/>
        <w:rPr>
          <w:rFonts w:eastAsia="Calibri"/>
          <w:lang w:eastAsia="en-US"/>
        </w:rPr>
      </w:pPr>
      <w:r w:rsidRPr="00056AA7">
        <w:rPr>
          <w:rFonts w:eastAsia="Calibri"/>
          <w:lang w:eastAsia="en-US"/>
        </w:rPr>
        <w:t xml:space="preserve">An APA between a taxpayer and the Commissioner establishes a methodology to determine a </w:t>
      </w:r>
      <w:r w:rsidR="00864602">
        <w:rPr>
          <w:rFonts w:eastAsia="Calibri"/>
          <w:lang w:eastAsia="en-US"/>
        </w:rPr>
        <w:t>sales gas</w:t>
      </w:r>
      <w:r w:rsidR="00F9029E">
        <w:rPr>
          <w:rFonts w:eastAsia="Calibri"/>
          <w:lang w:eastAsia="en-US"/>
        </w:rPr>
        <w:t xml:space="preserve"> </w:t>
      </w:r>
      <w:r w:rsidRPr="00056AA7">
        <w:rPr>
          <w:rFonts w:eastAsia="Calibri"/>
          <w:lang w:eastAsia="en-US"/>
        </w:rPr>
        <w:t xml:space="preserve">price between related parties in an integrated </w:t>
      </w:r>
      <w:r w:rsidR="00E97D7F">
        <w:rPr>
          <w:rFonts w:eastAsia="Calibri"/>
          <w:lang w:eastAsia="en-US"/>
        </w:rPr>
        <w:t>LNG</w:t>
      </w:r>
      <w:r w:rsidRPr="00056AA7">
        <w:rPr>
          <w:rFonts w:eastAsia="Calibri"/>
          <w:lang w:eastAsia="en-US"/>
        </w:rPr>
        <w:t xml:space="preserve"> operation for PRRT purposes</w:t>
      </w:r>
    </w:p>
    <w:p w14:paraId="7BDAB50E" w14:textId="02393A86" w:rsidR="00056AA7" w:rsidRPr="00056AA7" w:rsidRDefault="00056AA7" w:rsidP="00AC0BC7">
      <w:pPr>
        <w:pStyle w:val="Bullet"/>
        <w:rPr>
          <w:rFonts w:eastAsia="Calibri"/>
          <w:lang w:eastAsia="en-US"/>
        </w:rPr>
      </w:pPr>
      <w:r w:rsidRPr="00056AA7">
        <w:rPr>
          <w:rFonts w:eastAsia="Calibri"/>
          <w:lang w:eastAsia="en-US"/>
        </w:rPr>
        <w:t>An APA may alter the default methodology to provide an additional return to the downstream</w:t>
      </w:r>
      <w:r w:rsidR="00037AFE">
        <w:rPr>
          <w:rFonts w:eastAsia="Calibri"/>
          <w:lang w:eastAsia="en-US"/>
        </w:rPr>
        <w:t xml:space="preserve"> activities</w:t>
      </w:r>
      <w:r w:rsidRPr="00056AA7">
        <w:rPr>
          <w:rFonts w:eastAsia="Calibri"/>
          <w:lang w:eastAsia="en-US"/>
        </w:rPr>
        <w:t xml:space="preserve"> where a project participant is able to demonstrate the existence of a unique and valuable intangible that creates economic rents in the downstream function</w:t>
      </w:r>
    </w:p>
    <w:p w14:paraId="1060C96F" w14:textId="6886E23F" w:rsidR="00056AA7" w:rsidRPr="00056AA7" w:rsidRDefault="00056AA7" w:rsidP="00AC0BC7">
      <w:pPr>
        <w:pStyle w:val="Bullet"/>
        <w:rPr>
          <w:rFonts w:eastAsia="Calibri"/>
          <w:lang w:eastAsia="en-US"/>
        </w:rPr>
      </w:pPr>
      <w:r w:rsidRPr="00056AA7">
        <w:rPr>
          <w:rFonts w:eastAsia="Calibri"/>
          <w:lang w:eastAsia="en-US"/>
        </w:rPr>
        <w:t>The taxpayer would have to demonstrate that the unique and valuable intangible is not being sufficiently rewarded by the default methodology and that the unique and valuable intangible is owned and exploited by the notional downstream entity. It is inadequate for the entity to show that these parts of the LNG value chain merely ‘add value’ to the product</w:t>
      </w:r>
    </w:p>
    <w:p w14:paraId="58B7DC05" w14:textId="19A2743E" w:rsidR="00B94CD8" w:rsidRDefault="00056AA7" w:rsidP="00AC0BC7">
      <w:pPr>
        <w:pStyle w:val="Bullet"/>
        <w:rPr>
          <w:rFonts w:eastAsia="Calibri"/>
          <w:lang w:eastAsia="en-US"/>
        </w:rPr>
      </w:pPr>
      <w:r w:rsidRPr="00056AA7">
        <w:rPr>
          <w:rFonts w:eastAsia="Calibri"/>
          <w:lang w:eastAsia="en-US"/>
        </w:rPr>
        <w:t>The APA must specify the term of the arrangement. It should be for a period supported by the information provided to reach the agreement</w:t>
      </w:r>
    </w:p>
    <w:p w14:paraId="3F3225C1" w14:textId="0852217A" w:rsidR="0090216C" w:rsidRDefault="009A0F5A" w:rsidP="00AC0BC7">
      <w:pPr>
        <w:pStyle w:val="Bullet"/>
        <w:rPr>
          <w:rFonts w:eastAsia="Calibri"/>
          <w:lang w:eastAsia="en-US"/>
        </w:rPr>
      </w:pPr>
      <w:r>
        <w:rPr>
          <w:rFonts w:eastAsia="Calibri"/>
          <w:lang w:eastAsia="en-US"/>
        </w:rPr>
        <w:lastRenderedPageBreak/>
        <w:t>T</w:t>
      </w:r>
      <w:r w:rsidR="00311034">
        <w:rPr>
          <w:rFonts w:eastAsia="Calibri"/>
          <w:lang w:eastAsia="en-US"/>
        </w:rPr>
        <w:t xml:space="preserve">he taxpayer </w:t>
      </w:r>
      <w:r w:rsidR="00E013EB">
        <w:rPr>
          <w:rFonts w:eastAsia="Calibri"/>
          <w:lang w:eastAsia="en-US"/>
        </w:rPr>
        <w:t xml:space="preserve">would need to make </w:t>
      </w:r>
      <w:r w:rsidR="008A2AD0">
        <w:rPr>
          <w:rFonts w:eastAsia="Calibri"/>
          <w:lang w:eastAsia="en-US"/>
        </w:rPr>
        <w:t>an irrevocable choice specifying the effective life of the downstream assets</w:t>
      </w:r>
    </w:p>
    <w:p w14:paraId="6C1C57CD" w14:textId="6CB9ADD9" w:rsidR="00056AA7" w:rsidRPr="00CA0BB5" w:rsidRDefault="00CA0BB5" w:rsidP="00CA0BB5">
      <w:pPr>
        <w:pStyle w:val="Bullet"/>
        <w:rPr>
          <w:rFonts w:eastAsia="Calibri"/>
          <w:lang w:eastAsia="en-US"/>
        </w:rPr>
      </w:pPr>
      <w:r>
        <w:rPr>
          <w:rFonts w:eastAsia="Calibri"/>
          <w:lang w:eastAsia="en-US"/>
        </w:rPr>
        <w:t>To the extent the taxpayer has, or can reasonably obtain access to</w:t>
      </w:r>
      <w:r w:rsidR="003F4005">
        <w:rPr>
          <w:rFonts w:eastAsia="Calibri"/>
          <w:lang w:eastAsia="en-US"/>
        </w:rPr>
        <w:t>,</w:t>
      </w:r>
      <w:r>
        <w:rPr>
          <w:rFonts w:eastAsia="Calibri"/>
          <w:lang w:eastAsia="en-US"/>
        </w:rPr>
        <w:t xml:space="preserve"> information that is relevant to calculate </w:t>
      </w:r>
      <w:r w:rsidR="003964BD">
        <w:rPr>
          <w:rFonts w:eastAsia="Calibri"/>
          <w:lang w:eastAsia="en-US"/>
        </w:rPr>
        <w:t>the sales gas</w:t>
      </w:r>
      <w:r>
        <w:rPr>
          <w:rFonts w:eastAsia="Calibri"/>
          <w:lang w:eastAsia="en-US"/>
        </w:rPr>
        <w:t xml:space="preserve"> price</w:t>
      </w:r>
      <w:r w:rsidR="00354142">
        <w:rPr>
          <w:rFonts w:eastAsia="Calibri"/>
          <w:lang w:eastAsia="en-US"/>
        </w:rPr>
        <w:t>,</w:t>
      </w:r>
      <w:r>
        <w:rPr>
          <w:rFonts w:eastAsia="Calibri"/>
          <w:lang w:eastAsia="en-US"/>
        </w:rPr>
        <w:t xml:space="preserve"> this source information should be relied upon to arrive at </w:t>
      </w:r>
      <w:r w:rsidR="003964BD">
        <w:rPr>
          <w:rFonts w:eastAsia="Calibri"/>
          <w:lang w:eastAsia="en-US"/>
        </w:rPr>
        <w:t xml:space="preserve">the sales gas </w:t>
      </w:r>
      <w:r>
        <w:rPr>
          <w:rFonts w:eastAsia="Calibri"/>
          <w:lang w:eastAsia="en-US"/>
        </w:rPr>
        <w:t>pric</w:t>
      </w:r>
      <w:r w:rsidR="009D683C">
        <w:rPr>
          <w:rFonts w:eastAsia="Calibri"/>
          <w:lang w:eastAsia="en-US"/>
        </w:rPr>
        <w:t>e</w:t>
      </w:r>
    </w:p>
    <w:p w14:paraId="16614152" w14:textId="60F9E42D" w:rsidR="00056AA7" w:rsidRPr="00056AA7" w:rsidRDefault="00056AA7" w:rsidP="00AC0BC7">
      <w:pPr>
        <w:pStyle w:val="Bullet"/>
        <w:rPr>
          <w:rFonts w:eastAsia="Calibri"/>
          <w:lang w:eastAsia="en-US"/>
        </w:rPr>
      </w:pPr>
      <w:r w:rsidRPr="00056AA7">
        <w:rPr>
          <w:rFonts w:eastAsia="Calibri"/>
          <w:lang w:eastAsia="en-US"/>
        </w:rPr>
        <w:t xml:space="preserve">The APA must specify the conditions under which the APA is to apply. An APA can only be valid </w:t>
      </w:r>
      <w:r w:rsidR="00EA56F6" w:rsidRPr="00056AA7">
        <w:rPr>
          <w:rFonts w:eastAsia="Calibri"/>
          <w:lang w:eastAsia="en-US"/>
        </w:rPr>
        <w:t>if</w:t>
      </w:r>
      <w:r w:rsidRPr="00056AA7">
        <w:rPr>
          <w:rFonts w:eastAsia="Calibri"/>
          <w:lang w:eastAsia="en-US"/>
        </w:rPr>
        <w:t xml:space="preserve"> certain critical assumptions hold and so outcomes remain within a contemplated range or context.</w:t>
      </w:r>
      <w:r w:rsidR="00151767">
        <w:rPr>
          <w:rFonts w:eastAsia="Calibri"/>
          <w:lang w:eastAsia="en-US"/>
        </w:rPr>
        <w:t xml:space="preserve"> </w:t>
      </w:r>
    </w:p>
    <w:p w14:paraId="178E1816" w14:textId="44E05057" w:rsidR="00056AA7" w:rsidRPr="00056AA7" w:rsidRDefault="00056AA7" w:rsidP="00056AA7">
      <w:pPr>
        <w:spacing w:before="0" w:after="160" w:line="259" w:lineRule="auto"/>
        <w:rPr>
          <w:rFonts w:eastAsia="Calibri"/>
          <w:lang w:eastAsia="en-US"/>
        </w:rPr>
      </w:pPr>
      <w:r w:rsidRPr="00056AA7">
        <w:rPr>
          <w:rFonts w:eastAsia="Calibri"/>
          <w:lang w:eastAsia="en-US"/>
        </w:rPr>
        <w:t>An APA would not be available for:</w:t>
      </w:r>
    </w:p>
    <w:p w14:paraId="413EBCF0" w14:textId="257842CE" w:rsidR="00056AA7" w:rsidRPr="00056AA7" w:rsidRDefault="00056AA7" w:rsidP="00AC0BC7">
      <w:pPr>
        <w:pStyle w:val="Bullet"/>
        <w:rPr>
          <w:rFonts w:eastAsia="Calibri"/>
          <w:lang w:eastAsia="en-US"/>
        </w:rPr>
      </w:pPr>
      <w:r w:rsidRPr="00056AA7">
        <w:rPr>
          <w:rFonts w:eastAsia="Calibri"/>
          <w:lang w:eastAsia="en-US"/>
        </w:rPr>
        <w:t>Proposing market valuation or other transfer pricing methodologies or other industry pricing models not provided for in the Regulations</w:t>
      </w:r>
    </w:p>
    <w:p w14:paraId="1EE31ED4" w14:textId="11A7A185" w:rsidR="00056AA7" w:rsidRPr="00056AA7" w:rsidRDefault="006353CF" w:rsidP="00AC0BC7">
      <w:pPr>
        <w:pStyle w:val="Bullet"/>
        <w:rPr>
          <w:rFonts w:eastAsia="Calibri"/>
          <w:lang w:eastAsia="en-US"/>
        </w:rPr>
      </w:pPr>
      <w:r>
        <w:rPr>
          <w:rFonts w:eastAsia="Calibri"/>
          <w:lang w:eastAsia="en-US"/>
        </w:rPr>
        <w:t>Other than</w:t>
      </w:r>
      <w:r w:rsidR="0033127D">
        <w:rPr>
          <w:rFonts w:eastAsia="Calibri"/>
          <w:lang w:eastAsia="en-US"/>
        </w:rPr>
        <w:t xml:space="preserve"> altering</w:t>
      </w:r>
      <w:r w:rsidR="00DE716A">
        <w:rPr>
          <w:rFonts w:eastAsia="Calibri"/>
          <w:lang w:eastAsia="en-US"/>
        </w:rPr>
        <w:t xml:space="preserve"> the netback method</w:t>
      </w:r>
      <w:r w:rsidR="006B2167">
        <w:rPr>
          <w:rFonts w:eastAsia="Calibri"/>
          <w:lang w:eastAsia="en-US"/>
        </w:rPr>
        <w:t xml:space="preserve"> to allow for unique and valuable intangibles owned and exploited by the notional downstream entity</w:t>
      </w:r>
      <w:r w:rsidR="00264505">
        <w:rPr>
          <w:rFonts w:eastAsia="Calibri"/>
          <w:lang w:eastAsia="en-US"/>
        </w:rPr>
        <w:t>, th</w:t>
      </w:r>
      <w:r w:rsidR="00B0171C">
        <w:rPr>
          <w:rFonts w:eastAsia="Calibri"/>
          <w:lang w:eastAsia="en-US"/>
        </w:rPr>
        <w:t>e APA cannot be used</w:t>
      </w:r>
      <w:r w:rsidR="00CD3FE9">
        <w:rPr>
          <w:rFonts w:eastAsia="Calibri"/>
          <w:lang w:eastAsia="en-US"/>
        </w:rPr>
        <w:t xml:space="preserve"> to p</w:t>
      </w:r>
      <w:r w:rsidR="00056AA7" w:rsidRPr="00056AA7">
        <w:rPr>
          <w:rFonts w:eastAsia="Calibri"/>
          <w:lang w:eastAsia="en-US"/>
        </w:rPr>
        <w:t>ropos</w:t>
      </w:r>
      <w:r w:rsidR="00CD3FE9">
        <w:rPr>
          <w:rFonts w:eastAsia="Calibri"/>
          <w:lang w:eastAsia="en-US"/>
        </w:rPr>
        <w:t>e</w:t>
      </w:r>
      <w:r w:rsidR="00056AA7" w:rsidRPr="00056AA7">
        <w:rPr>
          <w:rFonts w:eastAsia="Calibri"/>
          <w:lang w:eastAsia="en-US"/>
        </w:rPr>
        <w:t xml:space="preserve"> an alternative</w:t>
      </w:r>
      <w:r w:rsidR="00056AA7" w:rsidRPr="00056AA7" w:rsidDel="00B27071">
        <w:rPr>
          <w:rFonts w:eastAsia="Calibri"/>
          <w:lang w:eastAsia="en-US"/>
        </w:rPr>
        <w:t xml:space="preserve"> </w:t>
      </w:r>
      <w:r w:rsidR="00056AA7" w:rsidRPr="00056AA7">
        <w:rPr>
          <w:rFonts w:eastAsia="Calibri"/>
          <w:lang w:eastAsia="en-US"/>
        </w:rPr>
        <w:t>method</w:t>
      </w:r>
    </w:p>
    <w:p w14:paraId="0A22641D" w14:textId="66EC2622" w:rsidR="00056AA7" w:rsidRPr="00056AA7" w:rsidRDefault="00056AA7" w:rsidP="00AC0BC7">
      <w:pPr>
        <w:pStyle w:val="Bullet"/>
        <w:rPr>
          <w:rFonts w:eastAsia="Calibri"/>
          <w:lang w:eastAsia="en-US"/>
        </w:rPr>
      </w:pPr>
      <w:r w:rsidRPr="00056AA7">
        <w:rPr>
          <w:rFonts w:eastAsia="Calibri"/>
          <w:lang w:eastAsia="en-US"/>
        </w:rPr>
        <w:t>Expand</w:t>
      </w:r>
      <w:r w:rsidR="00F916F7">
        <w:rPr>
          <w:rFonts w:eastAsia="Calibri"/>
          <w:lang w:eastAsia="en-US"/>
        </w:rPr>
        <w:t>ing</w:t>
      </w:r>
      <w:r w:rsidRPr="00056AA7">
        <w:rPr>
          <w:rFonts w:eastAsia="Calibri"/>
          <w:lang w:eastAsia="en-US"/>
        </w:rPr>
        <w:t xml:space="preserve"> the allowable costs under the default methodology</w:t>
      </w:r>
    </w:p>
    <w:p w14:paraId="64676FBE" w14:textId="0C7FD6BF" w:rsidR="00056AA7" w:rsidRPr="00056AA7" w:rsidRDefault="00056AA7" w:rsidP="00AC0BC7">
      <w:pPr>
        <w:pStyle w:val="Bullet"/>
        <w:rPr>
          <w:rFonts w:eastAsia="Calibri"/>
          <w:lang w:eastAsia="en-US"/>
        </w:rPr>
      </w:pPr>
      <w:r w:rsidRPr="00056AA7">
        <w:rPr>
          <w:rFonts w:eastAsia="Calibri"/>
          <w:lang w:eastAsia="en-US"/>
        </w:rPr>
        <w:t>Altering the netback rate of return</w:t>
      </w:r>
      <w:r w:rsidR="004C4FED">
        <w:rPr>
          <w:rFonts w:eastAsia="Calibri"/>
          <w:lang w:eastAsia="en-US"/>
        </w:rPr>
        <w:t xml:space="preserve"> for </w:t>
      </w:r>
      <w:r w:rsidR="008C70E0">
        <w:rPr>
          <w:rFonts w:eastAsia="Calibri"/>
          <w:lang w:eastAsia="en-US"/>
        </w:rPr>
        <w:t>any asset</w:t>
      </w:r>
      <w:r w:rsidRPr="00056AA7">
        <w:rPr>
          <w:rFonts w:eastAsia="Calibri"/>
          <w:lang w:eastAsia="en-US"/>
        </w:rPr>
        <w:t xml:space="preserve"> beyond what is required to compensate the unique and valuable intangibles owned and exploited by the notional downstream entity</w:t>
      </w:r>
    </w:p>
    <w:p w14:paraId="6F36C99A" w14:textId="1F5E228C" w:rsidR="00056AA7" w:rsidRPr="00056AA7" w:rsidRDefault="00056AA7" w:rsidP="00AC0BC7">
      <w:pPr>
        <w:pStyle w:val="Bullet"/>
        <w:rPr>
          <w:rFonts w:eastAsia="Calibri"/>
          <w:lang w:eastAsia="en-US"/>
        </w:rPr>
      </w:pPr>
      <w:r w:rsidRPr="00056AA7">
        <w:rPr>
          <w:rFonts w:eastAsia="Calibri"/>
          <w:lang w:eastAsia="en-US"/>
        </w:rPr>
        <w:t>Attribution of a higher return to the downstream based on a high level of integration, the joint assumption of risks between the upstream and the downstream</w:t>
      </w:r>
      <w:r w:rsidR="00CD63A6">
        <w:rPr>
          <w:rFonts w:eastAsia="Calibri"/>
          <w:lang w:eastAsia="en-US"/>
        </w:rPr>
        <w:t>,</w:t>
      </w:r>
      <w:r w:rsidRPr="00056AA7">
        <w:rPr>
          <w:rFonts w:eastAsia="Calibri"/>
          <w:lang w:eastAsia="en-US"/>
        </w:rPr>
        <w:t xml:space="preserve"> or the exposure of the downstream to upstream supply risk</w:t>
      </w:r>
    </w:p>
    <w:p w14:paraId="23E10345" w14:textId="7960216F" w:rsidR="00056AA7" w:rsidRPr="00056AA7" w:rsidRDefault="00056AA7" w:rsidP="00AC0BC7">
      <w:pPr>
        <w:pStyle w:val="Bullet"/>
        <w:rPr>
          <w:rFonts w:eastAsia="Calibri"/>
          <w:lang w:eastAsia="en-US"/>
        </w:rPr>
      </w:pPr>
      <w:r w:rsidRPr="00056AA7">
        <w:rPr>
          <w:rFonts w:eastAsia="Calibri"/>
          <w:lang w:eastAsia="en-US"/>
        </w:rPr>
        <w:t>Justification of a higher return for the downstream based on assumptions that downstream infrastructure would be able to extract rents from the upstream because the upstream is dependent on the downstream</w:t>
      </w:r>
    </w:p>
    <w:p w14:paraId="669C537E" w14:textId="5A8CDD18" w:rsidR="001B4878" w:rsidRPr="00471B33" w:rsidRDefault="00056AA7" w:rsidP="00114BF2">
      <w:pPr>
        <w:pStyle w:val="Bullet"/>
      </w:pPr>
      <w:r w:rsidRPr="00056AA7">
        <w:rPr>
          <w:rFonts w:eastAsia="Calibri"/>
          <w:lang w:eastAsia="en-US"/>
        </w:rPr>
        <w:t xml:space="preserve">Attribution of additional value to a downstream asset or contract arrangement that results in a more efficient operation because the asset was constructed at a lower cost than competitors or service contracted at a lower rate </w:t>
      </w:r>
      <w:r w:rsidR="00AC0BC7" w:rsidRPr="00056AA7">
        <w:rPr>
          <w:rFonts w:eastAsia="Calibri"/>
          <w:lang w:eastAsia="en-US"/>
        </w:rPr>
        <w:t>than</w:t>
      </w:r>
      <w:r w:rsidRPr="00056AA7">
        <w:rPr>
          <w:rFonts w:eastAsia="Calibri"/>
          <w:lang w:eastAsia="en-US"/>
        </w:rPr>
        <w:t xml:space="preserve"> competitors</w:t>
      </w:r>
      <w:r w:rsidR="00471B33">
        <w:rPr>
          <w:rFonts w:eastAsia="Calibri"/>
          <w:lang w:eastAsia="en-US"/>
        </w:rPr>
        <w:t>.</w:t>
      </w:r>
    </w:p>
    <w:p w14:paraId="25714757" w14:textId="7F298B21" w:rsidR="00471B33" w:rsidRPr="00AC0BC7" w:rsidRDefault="00681B21" w:rsidP="00BF55C0">
      <w:pPr>
        <w:rPr>
          <w:rFonts w:eastAsia="Calibri"/>
        </w:rPr>
      </w:pPr>
      <w:r>
        <w:rPr>
          <w:rFonts w:eastAsia="Calibri"/>
          <w:lang w:eastAsia="en-US"/>
        </w:rPr>
        <w:t>If</w:t>
      </w:r>
      <w:r w:rsidR="003A6791">
        <w:rPr>
          <w:rFonts w:eastAsia="Calibri"/>
          <w:lang w:eastAsia="en-US"/>
        </w:rPr>
        <w:t xml:space="preserve"> a </w:t>
      </w:r>
      <w:r w:rsidR="00BF55C0">
        <w:rPr>
          <w:rFonts w:eastAsia="Calibri"/>
          <w:lang w:eastAsia="en-US"/>
        </w:rPr>
        <w:t>modified</w:t>
      </w:r>
      <w:r w:rsidR="003A6791">
        <w:rPr>
          <w:rFonts w:eastAsia="Calibri"/>
          <w:lang w:eastAsia="en-US"/>
        </w:rPr>
        <w:t xml:space="preserve"> RPM is </w:t>
      </w:r>
      <w:r w:rsidR="00BF55C0">
        <w:rPr>
          <w:rFonts w:eastAsia="Calibri"/>
          <w:lang w:eastAsia="en-US"/>
        </w:rPr>
        <w:t>adopted</w:t>
      </w:r>
      <w:r w:rsidR="00344313">
        <w:rPr>
          <w:rFonts w:eastAsia="Calibri"/>
          <w:lang w:eastAsia="en-US"/>
        </w:rPr>
        <w:t>,</w:t>
      </w:r>
      <w:r w:rsidR="003A6791">
        <w:rPr>
          <w:rFonts w:eastAsia="Calibri"/>
          <w:lang w:eastAsia="en-US"/>
        </w:rPr>
        <w:t xml:space="preserve"> then </w:t>
      </w:r>
      <w:r w:rsidR="00BF55C0">
        <w:rPr>
          <w:rFonts w:eastAsia="Calibri"/>
          <w:lang w:eastAsia="en-US"/>
        </w:rPr>
        <w:t xml:space="preserve">the use of </w:t>
      </w:r>
      <w:r w:rsidR="00544956">
        <w:rPr>
          <w:rFonts w:eastAsia="Calibri"/>
          <w:lang w:eastAsia="en-US"/>
        </w:rPr>
        <w:t xml:space="preserve">an </w:t>
      </w:r>
      <w:r w:rsidR="00BF55C0">
        <w:rPr>
          <w:rFonts w:eastAsia="Calibri"/>
          <w:lang w:eastAsia="en-US"/>
        </w:rPr>
        <w:t xml:space="preserve">APA should be limited to circumstances where they are required to give practical effect to the </w:t>
      </w:r>
      <w:r w:rsidR="00E84436">
        <w:rPr>
          <w:rFonts w:eastAsia="Calibri"/>
          <w:lang w:eastAsia="en-US"/>
        </w:rPr>
        <w:t xml:space="preserve">statutory </w:t>
      </w:r>
      <w:r w:rsidR="006E20FC">
        <w:rPr>
          <w:rFonts w:eastAsia="Calibri"/>
          <w:lang w:eastAsia="en-US"/>
        </w:rPr>
        <w:t xml:space="preserve">residual </w:t>
      </w:r>
      <w:r w:rsidR="00E84436">
        <w:rPr>
          <w:rFonts w:eastAsia="Calibri"/>
          <w:lang w:eastAsia="en-US"/>
        </w:rPr>
        <w:t xml:space="preserve">profit split. </w:t>
      </w:r>
      <w:r w:rsidR="00B645FD">
        <w:rPr>
          <w:rFonts w:eastAsia="Calibri"/>
          <w:lang w:eastAsia="en-US"/>
        </w:rPr>
        <w:t xml:space="preserve">This is because </w:t>
      </w:r>
      <w:r w:rsidR="00DC2B58">
        <w:rPr>
          <w:rFonts w:eastAsia="Calibri"/>
          <w:lang w:eastAsia="en-US"/>
        </w:rPr>
        <w:t>a</w:t>
      </w:r>
      <w:r w:rsidR="0078764D">
        <w:rPr>
          <w:rFonts w:eastAsia="Calibri"/>
          <w:lang w:eastAsia="en-US"/>
        </w:rPr>
        <w:t xml:space="preserve">n 80:20 </w:t>
      </w:r>
      <w:r w:rsidR="0078764D">
        <w:t>profit split allow</w:t>
      </w:r>
      <w:r w:rsidR="00022CAB">
        <w:t>s</w:t>
      </w:r>
      <w:r w:rsidR="0078764D">
        <w:t xml:space="preserve"> for </w:t>
      </w:r>
      <w:r w:rsidR="00022CAB">
        <w:t xml:space="preserve">appropriate </w:t>
      </w:r>
      <w:r w:rsidR="0078764D">
        <w:t>recognition of limited rents in downstream operations</w:t>
      </w:r>
      <w:r w:rsidR="0003338E">
        <w:rPr>
          <w:rFonts w:eastAsia="Calibri"/>
          <w:lang w:eastAsia="en-US"/>
        </w:rPr>
        <w:t>.</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2B3D01" w14:paraId="180E7BAD"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062EF220" w14:textId="55CC497E" w:rsidR="002B3D01" w:rsidRDefault="002B3D01">
            <w:pPr>
              <w:pStyle w:val="BoxHeading"/>
              <w:rPr>
                <w:sz w:val="28"/>
                <w:szCs w:val="28"/>
                <w:lang w:eastAsia="en-US"/>
              </w:rPr>
            </w:pPr>
            <w:r>
              <w:rPr>
                <w:sz w:val="28"/>
                <w:szCs w:val="28"/>
                <w:lang w:eastAsia="en-US"/>
              </w:rPr>
              <w:lastRenderedPageBreak/>
              <w:t>Recommendation 7</w:t>
            </w:r>
          </w:p>
          <w:p w14:paraId="62F699AB" w14:textId="77777777" w:rsidR="00A0463C" w:rsidRDefault="004C4F27" w:rsidP="00A0463C">
            <w:pPr>
              <w:spacing w:after="0"/>
              <w:ind w:right="-79"/>
              <w:rPr>
                <w:b w:val="0"/>
              </w:rPr>
            </w:pPr>
            <w:r>
              <w:t>Modify the</w:t>
            </w:r>
            <w:r w:rsidRPr="002B28F2">
              <w:t xml:space="preserve"> Advance Pricing Arrangement (APA) rules to provide guidance to industry and the Commissioner </w:t>
            </w:r>
            <w:r>
              <w:t>of Taxation</w:t>
            </w:r>
            <w:r w:rsidRPr="002B28F2">
              <w:t xml:space="preserve"> on the principles that the Commissioner must have regard to in agreeing a</w:t>
            </w:r>
            <w:r>
              <w:t>n</w:t>
            </w:r>
            <w:r w:rsidRPr="002B28F2">
              <w:t xml:space="preserve"> </w:t>
            </w:r>
            <w:r>
              <w:t>APA</w:t>
            </w:r>
            <w:r w:rsidRPr="002B28F2">
              <w:t>.</w:t>
            </w:r>
          </w:p>
          <w:p w14:paraId="520B56D1" w14:textId="278073D4" w:rsidR="002B3D01" w:rsidRPr="00A0463C" w:rsidRDefault="00E41742" w:rsidP="00A0463C">
            <w:pPr>
              <w:ind w:right="-81"/>
              <w:rPr>
                <w:b w:val="0"/>
              </w:rPr>
            </w:pPr>
            <w:r w:rsidRPr="00E41742">
              <w:t xml:space="preserve">If </w:t>
            </w:r>
            <w:r w:rsidR="00911AB8">
              <w:t xml:space="preserve">the </w:t>
            </w:r>
            <w:r w:rsidRPr="00E41742">
              <w:t xml:space="preserve">RPM is </w:t>
            </w:r>
            <w:r w:rsidR="00911AB8">
              <w:t>retain</w:t>
            </w:r>
            <w:r w:rsidR="00E17657">
              <w:t>ed</w:t>
            </w:r>
            <w:r w:rsidRPr="00E41742">
              <w:t xml:space="preserve">, the use of an APA should be limited to circumstances where </w:t>
            </w:r>
            <w:r w:rsidR="0063527D">
              <w:t>it is</w:t>
            </w:r>
            <w:r w:rsidRPr="00E41742">
              <w:t xml:space="preserve"> required to give practical effect to the statutory residual profit split.</w:t>
            </w:r>
          </w:p>
        </w:tc>
      </w:tr>
    </w:tbl>
    <w:p w14:paraId="67C8BDE5" w14:textId="1ED336D4" w:rsidR="00A413F2" w:rsidRPr="00C97822" w:rsidRDefault="00A413F2" w:rsidP="00A413F2">
      <w:pPr>
        <w:pStyle w:val="Heading2"/>
      </w:pPr>
      <w:bookmarkStart w:id="42" w:name="_Toc134273576"/>
      <w:r>
        <w:t>6.</w:t>
      </w:r>
      <w:r w:rsidR="002E4BA4">
        <w:t>6</w:t>
      </w:r>
      <w:r w:rsidRPr="00C97822">
        <w:t xml:space="preserve"> Transparency and simplicity</w:t>
      </w:r>
      <w:bookmarkEnd w:id="42"/>
      <w:r w:rsidRPr="00C97822">
        <w:t xml:space="preserve"> </w:t>
      </w:r>
    </w:p>
    <w:p w14:paraId="0FB59CE0" w14:textId="498D9904" w:rsidR="00DF15E9" w:rsidRPr="009B2A27" w:rsidRDefault="00DF15E9" w:rsidP="00DF15E9">
      <w:pPr>
        <w:rPr>
          <w:rFonts w:cs="Calibri"/>
        </w:rPr>
      </w:pPr>
      <w:r>
        <w:t xml:space="preserve">Current transparency measures within the PRRT regime include the </w:t>
      </w:r>
      <w:r w:rsidRPr="009B2A27">
        <w:rPr>
          <w:rFonts w:cs="Calibri"/>
        </w:rPr>
        <w:t xml:space="preserve">annual </w:t>
      </w:r>
      <w:r w:rsidRPr="009B2A27">
        <w:rPr>
          <w:rFonts w:cs="Calibri"/>
          <w:i/>
        </w:rPr>
        <w:t xml:space="preserve">Report on entity tax information </w:t>
      </w:r>
      <w:r w:rsidRPr="009B2A27">
        <w:rPr>
          <w:rFonts w:cs="Calibri"/>
        </w:rPr>
        <w:t>published by the ATO on data.gov.au, which shows the names of all the entities that have paid PRRT in each year and the amounts paid. The ATO also publishes PRRT tax gap data which estimates the difference between the amount that the ATO collects and what it would have collected if every taxpayer was compliant with the law.</w:t>
      </w:r>
      <w:r w:rsidRPr="009B2A27">
        <w:rPr>
          <w:rStyle w:val="FootnoteReference"/>
          <w:rFonts w:cs="Calibri"/>
        </w:rPr>
        <w:footnoteReference w:id="72"/>
      </w:r>
      <w:r w:rsidR="00E000C0">
        <w:rPr>
          <w:rFonts w:cs="Calibri"/>
        </w:rPr>
        <w:t xml:space="preserve"> </w:t>
      </w:r>
      <w:r w:rsidR="00B900AF">
        <w:rPr>
          <w:rFonts w:cs="Calibri"/>
        </w:rPr>
        <w:t xml:space="preserve">As part of the </w:t>
      </w:r>
      <w:r w:rsidR="003617D0">
        <w:rPr>
          <w:rFonts w:cs="Calibri"/>
        </w:rPr>
        <w:t xml:space="preserve">annual release of </w:t>
      </w:r>
      <w:r w:rsidR="00835E4D">
        <w:rPr>
          <w:rFonts w:cs="Calibri"/>
        </w:rPr>
        <w:t>the</w:t>
      </w:r>
      <w:r w:rsidR="00BA4490">
        <w:rPr>
          <w:rFonts w:cs="Calibri"/>
        </w:rPr>
        <w:t xml:space="preserve"> corporate tax transparency data</w:t>
      </w:r>
      <w:r w:rsidR="0096057E">
        <w:rPr>
          <w:rFonts w:cs="Calibri"/>
        </w:rPr>
        <w:t xml:space="preserve"> the ATO releases </w:t>
      </w:r>
      <w:r w:rsidR="0045544B">
        <w:rPr>
          <w:rFonts w:cs="Calibri"/>
        </w:rPr>
        <w:t xml:space="preserve">information that provides </w:t>
      </w:r>
      <w:r w:rsidR="00654F4E">
        <w:rPr>
          <w:rFonts w:cs="Calibri"/>
        </w:rPr>
        <w:t xml:space="preserve">contextual information </w:t>
      </w:r>
      <w:r w:rsidR="000D37BF">
        <w:rPr>
          <w:rFonts w:cs="Calibri"/>
        </w:rPr>
        <w:t>in the corporate tax transpa</w:t>
      </w:r>
      <w:r w:rsidR="005479D4">
        <w:rPr>
          <w:rFonts w:cs="Calibri"/>
        </w:rPr>
        <w:t>rency report.</w:t>
      </w:r>
    </w:p>
    <w:p w14:paraId="3EA68653" w14:textId="781FC60E" w:rsidR="001D5CFD" w:rsidRDefault="001D5CFD" w:rsidP="001D5CFD">
      <w:r>
        <w:t>A</w:t>
      </w:r>
      <w:r w:rsidRPr="00C96F82">
        <w:t xml:space="preserve"> key issue raised in most submissions</w:t>
      </w:r>
      <w:r>
        <w:t xml:space="preserve"> from community groups</w:t>
      </w:r>
      <w:r w:rsidRPr="00C96F82">
        <w:t xml:space="preserve"> </w:t>
      </w:r>
      <w:r>
        <w:t>was a</w:t>
      </w:r>
      <w:r w:rsidRPr="00C96F82">
        <w:t xml:space="preserve"> desire for greater transparency </w:t>
      </w:r>
      <w:r>
        <w:t xml:space="preserve">within the </w:t>
      </w:r>
      <w:r w:rsidR="00D936AF">
        <w:t>GTP rules</w:t>
      </w:r>
      <w:r w:rsidRPr="00C96F82">
        <w:t>, with the aim of providing the</w:t>
      </w:r>
      <w:r>
        <w:t xml:space="preserve"> Australian community</w:t>
      </w:r>
      <w:r w:rsidRPr="00C96F82">
        <w:t xml:space="preserve"> with confidence that </w:t>
      </w:r>
      <w:r>
        <w:t>it</w:t>
      </w:r>
      <w:r w:rsidRPr="00C96F82">
        <w:t xml:space="preserve"> was receiving an adequate return for its gas resources</w:t>
      </w:r>
      <w:r>
        <w:t xml:space="preserve">. </w:t>
      </w:r>
    </w:p>
    <w:p w14:paraId="350780D6" w14:textId="4B6B334B" w:rsidR="00FD67FB" w:rsidRPr="006574D7" w:rsidRDefault="00FD67FB" w:rsidP="006574D7">
      <w:pPr>
        <w:pStyle w:val="Quote"/>
        <w:jc w:val="center"/>
        <w:rPr>
          <w:rFonts w:ascii="Calibri Light" w:hAnsi="Calibri Light" w:cs="Calibri Light"/>
          <w:color w:val="auto"/>
        </w:rPr>
      </w:pPr>
      <w:r w:rsidRPr="006574D7">
        <w:rPr>
          <w:rFonts w:ascii="Calibri Light" w:hAnsi="Calibri Light" w:cs="Calibri Light"/>
          <w:color w:val="auto"/>
        </w:rPr>
        <w:t>While the ATO may have sufficient visibility into the operations of major players in the LNG industry, there is a distinct lack of public visibility and transparency which will continue to undermine public confidence that the Australian community is getting a fair return.</w:t>
      </w:r>
      <w:r w:rsidR="002A2CD0" w:rsidRPr="006574D7">
        <w:rPr>
          <w:rStyle w:val="FootnoteReference"/>
          <w:rFonts w:ascii="Calibri Light" w:hAnsi="Calibri Light" w:cs="Calibri Light"/>
          <w:color w:val="auto"/>
        </w:rPr>
        <w:footnoteReference w:id="73"/>
      </w:r>
      <w:r w:rsidRPr="006574D7">
        <w:rPr>
          <w:rFonts w:ascii="Calibri Light" w:hAnsi="Calibri Light" w:cs="Calibri Light"/>
          <w:color w:val="auto"/>
        </w:rPr>
        <w:br/>
      </w:r>
    </w:p>
    <w:p w14:paraId="5163C8AE" w14:textId="72E1AC2E" w:rsidR="00FD67FB" w:rsidRPr="006574D7" w:rsidRDefault="00946BA2" w:rsidP="006574D7">
      <w:pPr>
        <w:pStyle w:val="Quote"/>
        <w:jc w:val="center"/>
        <w:rPr>
          <w:rFonts w:ascii="Calibri Light" w:hAnsi="Calibri Light" w:cs="Calibri Light"/>
          <w:color w:val="auto"/>
        </w:rPr>
      </w:pPr>
      <w:r w:rsidRPr="006574D7">
        <w:rPr>
          <w:rFonts w:ascii="Calibri Light" w:hAnsi="Calibri Light" w:cs="Calibri Light"/>
          <w:color w:val="auto"/>
        </w:rPr>
        <w:t>[A]</w:t>
      </w:r>
      <w:r w:rsidR="00FD67FB" w:rsidRPr="006574D7">
        <w:rPr>
          <w:rFonts w:ascii="Calibri Light" w:hAnsi="Calibri Light" w:cs="Calibri Light"/>
          <w:color w:val="auto"/>
        </w:rPr>
        <w:t xml:space="preserve"> lack of transparency undermines the public’s ability to judge for itself the probity and value of transfer pricing arrangements. Many of the firms involved in offshore gas exploration and extraction in Australia ha</w:t>
      </w:r>
      <w:r w:rsidR="0040271A" w:rsidRPr="006574D7">
        <w:rPr>
          <w:rFonts w:ascii="Calibri Light" w:hAnsi="Calibri Light" w:cs="Calibri Light"/>
          <w:color w:val="auto"/>
        </w:rPr>
        <w:t>ve</w:t>
      </w:r>
      <w:r w:rsidR="00FD67FB" w:rsidRPr="006574D7">
        <w:rPr>
          <w:rFonts w:ascii="Calibri Light" w:hAnsi="Calibri Light" w:cs="Calibri Light"/>
          <w:color w:val="auto"/>
        </w:rPr>
        <w:t xml:space="preserve"> a long track record of using transfer mispricing – as well as other aggressive tax planning strategies…</w:t>
      </w:r>
      <w:r w:rsidRPr="006574D7">
        <w:rPr>
          <w:rStyle w:val="FootnoteReference"/>
          <w:rFonts w:ascii="Calibri Light" w:hAnsi="Calibri Light" w:cs="Calibri Light"/>
          <w:color w:val="auto"/>
        </w:rPr>
        <w:footnoteReference w:id="74"/>
      </w:r>
      <w:r w:rsidR="00FD67FB" w:rsidRPr="006574D7">
        <w:rPr>
          <w:rFonts w:ascii="Calibri Light" w:hAnsi="Calibri Light" w:cs="Calibri Light"/>
          <w:color w:val="auto"/>
        </w:rPr>
        <w:br/>
      </w:r>
    </w:p>
    <w:p w14:paraId="0A97576E" w14:textId="2DFF286A" w:rsidR="00FD67FB" w:rsidRPr="006574D7" w:rsidRDefault="00CD2E71" w:rsidP="006574D7">
      <w:pPr>
        <w:pStyle w:val="Quote"/>
        <w:jc w:val="center"/>
        <w:rPr>
          <w:rFonts w:ascii="Calibri Light" w:hAnsi="Calibri Light" w:cs="Calibri Light"/>
          <w:color w:val="auto"/>
        </w:rPr>
      </w:pPr>
      <w:r w:rsidRPr="006574D7">
        <w:rPr>
          <w:rFonts w:ascii="Calibri Light" w:hAnsi="Calibri Light" w:cs="Calibri Light"/>
          <w:color w:val="auto"/>
        </w:rPr>
        <w:t>[B]</w:t>
      </w:r>
      <w:r w:rsidR="00FD67FB" w:rsidRPr="006574D7">
        <w:rPr>
          <w:rFonts w:ascii="Calibri Light" w:hAnsi="Calibri Light" w:cs="Calibri Light"/>
          <w:color w:val="auto"/>
        </w:rPr>
        <w:t xml:space="preserve">usinesses should be required to publicly report on the price of gas at the taxing </w:t>
      </w:r>
      <w:r w:rsidR="001B2BDE" w:rsidRPr="006574D7">
        <w:rPr>
          <w:rFonts w:ascii="Calibri Light" w:hAnsi="Calibri Light" w:cs="Calibri Light"/>
          <w:color w:val="auto"/>
        </w:rPr>
        <w:t>point and</w:t>
      </w:r>
      <w:r w:rsidR="00FD67FB" w:rsidRPr="006574D7">
        <w:rPr>
          <w:rFonts w:ascii="Calibri Light" w:hAnsi="Calibri Light" w:cs="Calibri Light"/>
          <w:color w:val="auto"/>
        </w:rPr>
        <w:t xml:space="preserve"> show reasonable calculation details.</w:t>
      </w:r>
      <w:r w:rsidRPr="006574D7">
        <w:rPr>
          <w:rStyle w:val="FootnoteReference"/>
          <w:rFonts w:ascii="Calibri Light" w:hAnsi="Calibri Light" w:cs="Calibri Light"/>
          <w:color w:val="auto"/>
        </w:rPr>
        <w:footnoteReference w:id="75"/>
      </w:r>
    </w:p>
    <w:p w14:paraId="6B01D96C" w14:textId="2F9C2817" w:rsidR="00FD67FB" w:rsidRDefault="00FD67FB" w:rsidP="00FD67FB">
      <w:r w:rsidRPr="00C96F82">
        <w:t>The industry view</w:t>
      </w:r>
      <w:r w:rsidR="008A0D36">
        <w:t>,</w:t>
      </w:r>
      <w:r w:rsidRPr="00C96F82">
        <w:t xml:space="preserve"> on the other hand</w:t>
      </w:r>
      <w:r w:rsidR="008A0D36">
        <w:t>,</w:t>
      </w:r>
      <w:r w:rsidRPr="00C96F82">
        <w:t xml:space="preserve"> was that </w:t>
      </w:r>
      <w:r w:rsidR="00CE4471">
        <w:t xml:space="preserve">the </w:t>
      </w:r>
      <w:r w:rsidR="00E436D2">
        <w:t xml:space="preserve">community’s confidence </w:t>
      </w:r>
      <w:r w:rsidR="00D75BA7">
        <w:t xml:space="preserve">in the </w:t>
      </w:r>
      <w:r w:rsidR="007D3F88">
        <w:t>efficacy of the PRRT regime is best served</w:t>
      </w:r>
      <w:r w:rsidR="00E436D2">
        <w:t xml:space="preserve"> </w:t>
      </w:r>
      <w:r w:rsidR="00C142FF">
        <w:t xml:space="preserve">through </w:t>
      </w:r>
      <w:r w:rsidR="00F33311">
        <w:t>ATO compliance activity</w:t>
      </w:r>
      <w:r w:rsidR="00400178">
        <w:t>, noting the ATO</w:t>
      </w:r>
      <w:r w:rsidR="0028288F">
        <w:t xml:space="preserve">’s existing powers </w:t>
      </w:r>
      <w:r w:rsidR="00E91EAE">
        <w:t xml:space="preserve">to </w:t>
      </w:r>
      <w:r w:rsidR="00DC373B">
        <w:t>ensure compliance and</w:t>
      </w:r>
      <w:r w:rsidR="0075684B">
        <w:t xml:space="preserve"> </w:t>
      </w:r>
      <w:r w:rsidR="00325E06">
        <w:t xml:space="preserve">increased </w:t>
      </w:r>
      <w:r w:rsidR="00ED0962">
        <w:t>understanding of the LNG industry</w:t>
      </w:r>
      <w:r w:rsidR="00325E06">
        <w:t xml:space="preserve"> </w:t>
      </w:r>
      <w:r w:rsidR="00065225">
        <w:t>means</w:t>
      </w:r>
      <w:r w:rsidR="00A70A26">
        <w:t xml:space="preserve"> i</w:t>
      </w:r>
      <w:r w:rsidR="000968CF">
        <w:t>t is effective in monitoring industry</w:t>
      </w:r>
      <w:r w:rsidR="001A772C">
        <w:t xml:space="preserve"> activities.</w:t>
      </w:r>
    </w:p>
    <w:p w14:paraId="3D589953" w14:textId="4FA617C4" w:rsidR="00CE4FAB" w:rsidRPr="006574D7" w:rsidRDefault="00A70CF7" w:rsidP="006574D7">
      <w:pPr>
        <w:pStyle w:val="Quote"/>
        <w:jc w:val="center"/>
        <w:rPr>
          <w:rFonts w:ascii="Calibri Light" w:hAnsi="Calibri Light" w:cs="Calibri Light"/>
          <w:color w:val="auto"/>
        </w:rPr>
      </w:pPr>
      <w:r w:rsidRPr="006574D7">
        <w:rPr>
          <w:rFonts w:ascii="Calibri Light" w:hAnsi="Calibri Light" w:cs="Calibri Light"/>
          <w:color w:val="auto"/>
        </w:rPr>
        <w:lastRenderedPageBreak/>
        <w:t>The further release of information by the ATO without important supporting contextual information has the potential to cause more confusion rather than providing clarity.</w:t>
      </w:r>
      <w:r w:rsidR="00537BA1" w:rsidRPr="006574D7">
        <w:rPr>
          <w:rFonts w:ascii="Calibri Light" w:hAnsi="Calibri Light" w:cs="Calibri Light"/>
          <w:color w:val="auto"/>
        </w:rPr>
        <w:t>..</w:t>
      </w:r>
    </w:p>
    <w:p w14:paraId="60E436E7" w14:textId="095605B4" w:rsidR="00752332" w:rsidRPr="006574D7" w:rsidRDefault="006845C6" w:rsidP="006574D7">
      <w:pPr>
        <w:pStyle w:val="Quote"/>
        <w:jc w:val="center"/>
        <w:rPr>
          <w:rFonts w:ascii="Calibri Light" w:hAnsi="Calibri Light" w:cs="Calibri Light"/>
          <w:color w:val="auto"/>
        </w:rPr>
      </w:pPr>
      <w:r w:rsidRPr="006574D7">
        <w:rPr>
          <w:rFonts w:ascii="Calibri Light" w:hAnsi="Calibri Light" w:cs="Calibri Light"/>
          <w:color w:val="auto"/>
        </w:rPr>
        <w:t>… Suggestions that taxpayers should be compelled to release pricing information associated with PRRT calculations would present significant challenges. In terms of the GTP, there will be a range of factors leading to variations in prices for different projects (and in some cases, for participants within projects). These factors are likely to be understood by the ATO, however public disclosure would merely create confusion with little or no public benefit. Furthermore, Australia’s ability to effectively compete in global markets would be significantly eroded if taxpayers we required to publicly release price or cost information.</w:t>
      </w:r>
      <w:r w:rsidR="00CD2E71" w:rsidRPr="00BA46DC">
        <w:rPr>
          <w:rStyle w:val="FootnoteReference"/>
        </w:rPr>
        <w:footnoteReference w:id="76"/>
      </w:r>
    </w:p>
    <w:p w14:paraId="66DFD7E8" w14:textId="6A29CE82" w:rsidR="004A205F" w:rsidRPr="00C97822" w:rsidRDefault="004A205F" w:rsidP="004A205F">
      <w:pPr>
        <w:pStyle w:val="Heading3"/>
      </w:pPr>
      <w:r>
        <w:t>Increasing</w:t>
      </w:r>
      <w:r w:rsidRPr="00C97822">
        <w:t xml:space="preserve"> transparency and simplicity</w:t>
      </w:r>
    </w:p>
    <w:p w14:paraId="42B7B8A6" w14:textId="4C9C8B73" w:rsidR="004A205F" w:rsidRPr="00C96F82" w:rsidRDefault="0006311C" w:rsidP="00FD67FB">
      <w:r>
        <w:t xml:space="preserve">The PRRT, and </w:t>
      </w:r>
      <w:r w:rsidR="00806411">
        <w:t>especially</w:t>
      </w:r>
      <w:r>
        <w:t xml:space="preserve"> g</w:t>
      </w:r>
      <w:r w:rsidR="00F001DC">
        <w:t>as transfer pricing</w:t>
      </w:r>
      <w:r w:rsidR="006D671E">
        <w:t>,</w:t>
      </w:r>
      <w:r w:rsidR="00F001DC">
        <w:t xml:space="preserve"> </w:t>
      </w:r>
      <w:r w:rsidR="00806411">
        <w:t>is</w:t>
      </w:r>
      <w:r w:rsidR="008C3A47">
        <w:t xml:space="preserve"> inherently complex</w:t>
      </w:r>
      <w:r w:rsidR="001E358B">
        <w:t>.</w:t>
      </w:r>
      <w:r w:rsidR="006513F4">
        <w:t xml:space="preserve"> </w:t>
      </w:r>
      <w:r w:rsidR="001E358B">
        <w:t xml:space="preserve">Whereas </w:t>
      </w:r>
      <w:r w:rsidR="00517F24">
        <w:t>royal</w:t>
      </w:r>
      <w:r w:rsidR="00D9478A">
        <w:t>ty</w:t>
      </w:r>
      <w:r w:rsidR="00517F24">
        <w:t xml:space="preserve"> and excise </w:t>
      </w:r>
      <w:r w:rsidR="003953EC">
        <w:t xml:space="preserve">arrangements have been recognised as easier to administer and a more transparent means of </w:t>
      </w:r>
      <w:r w:rsidR="00753739">
        <w:t xml:space="preserve">demonstrating </w:t>
      </w:r>
      <w:r w:rsidR="001F6F9E">
        <w:t xml:space="preserve">to the community </w:t>
      </w:r>
      <w:r w:rsidR="001D161A">
        <w:t>that it</w:t>
      </w:r>
      <w:r w:rsidR="001F6F9E">
        <w:t xml:space="preserve"> </w:t>
      </w:r>
      <w:r w:rsidR="00FC14B6">
        <w:t xml:space="preserve">is getting a return for the development of its resources, </w:t>
      </w:r>
      <w:r w:rsidR="00225D72">
        <w:t>t</w:t>
      </w:r>
      <w:r w:rsidR="00C5523D" w:rsidRPr="00CA04E3">
        <w:rPr>
          <w:rFonts w:cs="Calibri"/>
        </w:rPr>
        <w:t xml:space="preserve">ransfer pricing specialists </w:t>
      </w:r>
      <w:r w:rsidR="00C5523D">
        <w:rPr>
          <w:rFonts w:cs="Calibri"/>
        </w:rPr>
        <w:t>may be</w:t>
      </w:r>
      <w:r w:rsidR="00C5523D" w:rsidRPr="00CA04E3">
        <w:rPr>
          <w:rFonts w:cs="Calibri"/>
        </w:rPr>
        <w:t xml:space="preserve"> required to apply the </w:t>
      </w:r>
      <w:r w:rsidR="00D1791C">
        <w:rPr>
          <w:rFonts w:cs="Calibri"/>
        </w:rPr>
        <w:t>GTP Regulation</w:t>
      </w:r>
      <w:r w:rsidR="00C5523D" w:rsidRPr="00CA04E3">
        <w:rPr>
          <w:rFonts w:cs="Calibri"/>
        </w:rPr>
        <w:t xml:space="preserve"> and</w:t>
      </w:r>
      <w:r w:rsidR="00E9194A">
        <w:rPr>
          <w:rFonts w:cs="Calibri"/>
        </w:rPr>
        <w:t>,</w:t>
      </w:r>
      <w:r w:rsidR="00C5523D" w:rsidRPr="00CA04E3">
        <w:rPr>
          <w:rFonts w:cs="Calibri"/>
        </w:rPr>
        <w:t xml:space="preserve"> </w:t>
      </w:r>
      <w:r w:rsidR="00E9194A">
        <w:rPr>
          <w:rFonts w:cs="Calibri"/>
        </w:rPr>
        <w:t>similarly,</w:t>
      </w:r>
      <w:r w:rsidR="00C5523D" w:rsidRPr="00CA04E3">
        <w:rPr>
          <w:rFonts w:cs="Calibri"/>
        </w:rPr>
        <w:t xml:space="preserve"> the ATO require</w:t>
      </w:r>
      <w:r w:rsidR="00E9194A">
        <w:rPr>
          <w:rFonts w:cs="Calibri"/>
        </w:rPr>
        <w:t>s</w:t>
      </w:r>
      <w:r w:rsidR="00C5523D" w:rsidRPr="00CA04E3">
        <w:rPr>
          <w:rFonts w:cs="Calibri"/>
        </w:rPr>
        <w:t xml:space="preserve"> specialist expertise </w:t>
      </w:r>
      <w:r w:rsidR="004142D6">
        <w:rPr>
          <w:rFonts w:cs="Calibri"/>
        </w:rPr>
        <w:t>to</w:t>
      </w:r>
      <w:r w:rsidR="00C5523D" w:rsidRPr="00CA04E3">
        <w:rPr>
          <w:rFonts w:cs="Calibri"/>
        </w:rPr>
        <w:t xml:space="preserve"> administer the </w:t>
      </w:r>
      <w:r w:rsidR="00225D72">
        <w:rPr>
          <w:rFonts w:cs="Calibri"/>
        </w:rPr>
        <w:t xml:space="preserve">PRRT </w:t>
      </w:r>
      <w:r w:rsidR="00C5523D" w:rsidRPr="00CA04E3">
        <w:rPr>
          <w:rFonts w:cs="Calibri"/>
        </w:rPr>
        <w:t>system</w:t>
      </w:r>
      <w:r w:rsidR="002C6E10">
        <w:rPr>
          <w:rFonts w:cs="Calibri"/>
        </w:rPr>
        <w:t xml:space="preserve">. </w:t>
      </w:r>
    </w:p>
    <w:p w14:paraId="355E72EE" w14:textId="2D0696E2" w:rsidR="00C21CD6" w:rsidRDefault="00941537" w:rsidP="00FD67FB">
      <w:pPr>
        <w:rPr>
          <w:rFonts w:cs="Calibri"/>
        </w:rPr>
      </w:pPr>
      <w:r>
        <w:rPr>
          <w:rFonts w:cs="Calibri"/>
        </w:rPr>
        <w:t xml:space="preserve">Given the inherent complexity, </w:t>
      </w:r>
      <w:r w:rsidR="006E5B94">
        <w:rPr>
          <w:rFonts w:cs="Calibri"/>
        </w:rPr>
        <w:t>Treasury</w:t>
      </w:r>
      <w:r w:rsidR="004D7A9E">
        <w:rPr>
          <w:rFonts w:cs="Calibri"/>
        </w:rPr>
        <w:t xml:space="preserve"> tend</w:t>
      </w:r>
      <w:r w:rsidR="006E5B94">
        <w:rPr>
          <w:rFonts w:cs="Calibri"/>
        </w:rPr>
        <w:t>s</w:t>
      </w:r>
      <w:r>
        <w:rPr>
          <w:rFonts w:cs="Calibri"/>
        </w:rPr>
        <w:t xml:space="preserve"> to </w:t>
      </w:r>
      <w:r w:rsidR="004D7A9E">
        <w:rPr>
          <w:rFonts w:cs="Calibri"/>
        </w:rPr>
        <w:t xml:space="preserve">agree with the </w:t>
      </w:r>
      <w:r w:rsidR="00C71AC3">
        <w:rPr>
          <w:rFonts w:cs="Calibri"/>
        </w:rPr>
        <w:t>industry</w:t>
      </w:r>
      <w:r w:rsidR="004D7A9E">
        <w:rPr>
          <w:rFonts w:cs="Calibri"/>
        </w:rPr>
        <w:t xml:space="preserve"> view that</w:t>
      </w:r>
      <w:r>
        <w:rPr>
          <w:rFonts w:cs="Calibri"/>
        </w:rPr>
        <w:t xml:space="preserve"> </w:t>
      </w:r>
      <w:r w:rsidR="00035170">
        <w:rPr>
          <w:rFonts w:cs="Calibri"/>
        </w:rPr>
        <w:t>the release of further i</w:t>
      </w:r>
      <w:r w:rsidR="00940454">
        <w:rPr>
          <w:rFonts w:cs="Calibri"/>
        </w:rPr>
        <w:t xml:space="preserve">nformation would </w:t>
      </w:r>
      <w:r w:rsidR="00A82673">
        <w:rPr>
          <w:rFonts w:cs="Calibri"/>
        </w:rPr>
        <w:t>not</w:t>
      </w:r>
      <w:r w:rsidR="00940454">
        <w:rPr>
          <w:rFonts w:cs="Calibri"/>
        </w:rPr>
        <w:t xml:space="preserve"> improve transparency for the general public</w:t>
      </w:r>
      <w:r w:rsidR="00035170">
        <w:rPr>
          <w:rFonts w:cs="Calibri"/>
        </w:rPr>
        <w:t xml:space="preserve"> </w:t>
      </w:r>
      <w:r w:rsidR="00EE654F">
        <w:rPr>
          <w:rFonts w:cs="Calibri"/>
        </w:rPr>
        <w:t>unless it is accompanied by detailed</w:t>
      </w:r>
      <w:r w:rsidR="00035170">
        <w:rPr>
          <w:rFonts w:cs="Calibri"/>
        </w:rPr>
        <w:t xml:space="preserve"> </w:t>
      </w:r>
      <w:r w:rsidR="00F05CA9">
        <w:rPr>
          <w:rFonts w:cs="Calibri"/>
        </w:rPr>
        <w:t xml:space="preserve">explanatory information, significantly </w:t>
      </w:r>
      <w:r w:rsidR="00035170">
        <w:rPr>
          <w:rFonts w:cs="Calibri"/>
        </w:rPr>
        <w:t>increasing compliance burden</w:t>
      </w:r>
      <w:r w:rsidR="00F97954">
        <w:rPr>
          <w:rFonts w:cs="Calibri"/>
        </w:rPr>
        <w:t>s</w:t>
      </w:r>
      <w:r w:rsidR="00F05CA9">
        <w:rPr>
          <w:rFonts w:cs="Calibri"/>
        </w:rPr>
        <w:t>.</w:t>
      </w:r>
      <w:r w:rsidR="00BB38D5">
        <w:rPr>
          <w:rFonts w:cs="Calibri"/>
        </w:rPr>
        <w:t xml:space="preserve"> </w:t>
      </w:r>
      <w:r w:rsidR="004E47F0">
        <w:rPr>
          <w:rFonts w:cs="Calibri"/>
        </w:rPr>
        <w:t xml:space="preserve">Moreover, </w:t>
      </w:r>
      <w:r w:rsidR="00DD46AC">
        <w:rPr>
          <w:rFonts w:cs="Calibri"/>
        </w:rPr>
        <w:t xml:space="preserve">requiring companies to </w:t>
      </w:r>
      <w:r w:rsidR="00B22501">
        <w:rPr>
          <w:rFonts w:cs="Calibri"/>
        </w:rPr>
        <w:t>releas</w:t>
      </w:r>
      <w:r w:rsidR="00DD46AC">
        <w:rPr>
          <w:rFonts w:cs="Calibri"/>
        </w:rPr>
        <w:t>e</w:t>
      </w:r>
      <w:r w:rsidR="00B22501">
        <w:rPr>
          <w:rFonts w:cs="Calibri"/>
        </w:rPr>
        <w:t xml:space="preserve"> the </w:t>
      </w:r>
      <w:r w:rsidR="00232397">
        <w:rPr>
          <w:rFonts w:cs="Calibri"/>
        </w:rPr>
        <w:t xml:space="preserve">gas transfer price and </w:t>
      </w:r>
      <w:r w:rsidR="00C44288">
        <w:rPr>
          <w:rFonts w:cs="Calibri"/>
        </w:rPr>
        <w:t>accompanying</w:t>
      </w:r>
      <w:r w:rsidR="004E47F0">
        <w:rPr>
          <w:rFonts w:cs="Calibri"/>
        </w:rPr>
        <w:t xml:space="preserve"> </w:t>
      </w:r>
      <w:r w:rsidR="00DD46AC">
        <w:rPr>
          <w:rFonts w:cs="Calibri"/>
        </w:rPr>
        <w:t>calculation details</w:t>
      </w:r>
      <w:r w:rsidR="00C21CD6">
        <w:rPr>
          <w:rFonts w:cs="Calibri"/>
        </w:rPr>
        <w:t xml:space="preserve"> </w:t>
      </w:r>
      <w:r w:rsidR="00BD09CD">
        <w:rPr>
          <w:rFonts w:cs="Calibri"/>
        </w:rPr>
        <w:t xml:space="preserve">may be damaging to the commercial </w:t>
      </w:r>
      <w:r w:rsidR="009A1F34">
        <w:rPr>
          <w:rFonts w:cs="Calibri"/>
        </w:rPr>
        <w:t>interests</w:t>
      </w:r>
      <w:r w:rsidR="00BD09CD">
        <w:rPr>
          <w:rFonts w:cs="Calibri"/>
        </w:rPr>
        <w:t xml:space="preserve"> of LNG companies. Information about the GTP calculations is not currently released because </w:t>
      </w:r>
      <w:r w:rsidR="009D7195">
        <w:rPr>
          <w:rFonts w:cs="Calibri"/>
        </w:rPr>
        <w:t xml:space="preserve">they rely on contractual arrangements and internal costs that would usually be </w:t>
      </w:r>
      <w:r w:rsidR="00F151F5">
        <w:rPr>
          <w:rFonts w:cs="Calibri"/>
        </w:rPr>
        <w:t>commercial</w:t>
      </w:r>
      <w:r w:rsidR="0096562B">
        <w:rPr>
          <w:rFonts w:cs="Calibri"/>
        </w:rPr>
        <w:t>-in-confidence informat</w:t>
      </w:r>
      <w:r w:rsidR="00DD46AC">
        <w:rPr>
          <w:rFonts w:cs="Calibri"/>
        </w:rPr>
        <w:t>i</w:t>
      </w:r>
      <w:r w:rsidR="0096562B">
        <w:rPr>
          <w:rFonts w:cs="Calibri"/>
        </w:rPr>
        <w:t xml:space="preserve">on. </w:t>
      </w:r>
    </w:p>
    <w:p w14:paraId="33A46F92" w14:textId="2CE7DC93" w:rsidR="00BB04E1" w:rsidRDefault="005B33C1" w:rsidP="00BB04E1">
      <w:r>
        <w:rPr>
          <w:rFonts w:cs="Calibri"/>
        </w:rPr>
        <w:t xml:space="preserve">There is a fundamental difference between the visibility the ATO has over the </w:t>
      </w:r>
      <w:r w:rsidR="00B776FA">
        <w:rPr>
          <w:rFonts w:cs="Calibri"/>
        </w:rPr>
        <w:t xml:space="preserve">appropriate </w:t>
      </w:r>
      <w:r w:rsidR="00DD46AC">
        <w:rPr>
          <w:rFonts w:cs="Calibri"/>
        </w:rPr>
        <w:t>gas transfer price</w:t>
      </w:r>
      <w:r>
        <w:rPr>
          <w:rFonts w:cs="Calibri"/>
        </w:rPr>
        <w:t xml:space="preserve"> </w:t>
      </w:r>
      <w:r w:rsidR="005616EF">
        <w:rPr>
          <w:rFonts w:cs="Calibri"/>
        </w:rPr>
        <w:t>companies arrive at</w:t>
      </w:r>
      <w:r>
        <w:rPr>
          <w:rFonts w:cs="Calibri"/>
        </w:rPr>
        <w:t xml:space="preserve"> and the information that should be </w:t>
      </w:r>
      <w:r w:rsidR="00F05CA9">
        <w:rPr>
          <w:rFonts w:cs="Calibri"/>
        </w:rPr>
        <w:t>disclosed</w:t>
      </w:r>
      <w:r>
        <w:rPr>
          <w:rFonts w:cs="Calibri"/>
        </w:rPr>
        <w:t xml:space="preserve"> to the public.</w:t>
      </w:r>
      <w:r w:rsidR="00893627">
        <w:rPr>
          <w:rFonts w:cs="Calibri"/>
        </w:rPr>
        <w:t xml:space="preserve"> </w:t>
      </w:r>
      <w:r w:rsidR="00115D50">
        <w:rPr>
          <w:rFonts w:cs="Calibri"/>
        </w:rPr>
        <w:t>Treasury is</w:t>
      </w:r>
      <w:r w:rsidR="00893627">
        <w:rPr>
          <w:rFonts w:cs="Calibri"/>
        </w:rPr>
        <w:t xml:space="preserve"> confident the ATO </w:t>
      </w:r>
      <w:r w:rsidR="004D56C5">
        <w:rPr>
          <w:rFonts w:cs="Calibri"/>
        </w:rPr>
        <w:t xml:space="preserve">is able to </w:t>
      </w:r>
      <w:r w:rsidR="002B0FDC">
        <w:rPr>
          <w:rFonts w:cs="Calibri"/>
        </w:rPr>
        <w:t>access the information it needs</w:t>
      </w:r>
      <w:r w:rsidR="004463C5">
        <w:rPr>
          <w:rFonts w:cs="Calibri"/>
        </w:rPr>
        <w:t xml:space="preserve"> </w:t>
      </w:r>
      <w:r w:rsidR="00374209">
        <w:rPr>
          <w:rFonts w:cs="Calibri"/>
        </w:rPr>
        <w:t xml:space="preserve">to provide assurance to the Australian Community </w:t>
      </w:r>
      <w:r w:rsidR="00542CAF">
        <w:rPr>
          <w:rFonts w:cs="Calibri"/>
        </w:rPr>
        <w:t>that the appropriate GTP price is calculated and the right amount of PRRT is collected</w:t>
      </w:r>
      <w:r w:rsidR="002B0FDC">
        <w:rPr>
          <w:rFonts w:cs="Calibri"/>
        </w:rPr>
        <w:t xml:space="preserve">. </w:t>
      </w:r>
      <w:r w:rsidR="009F3DDF">
        <w:rPr>
          <w:rFonts w:cs="Calibri"/>
        </w:rPr>
        <w:t>T</w:t>
      </w:r>
      <w:r w:rsidR="004A1B41">
        <w:rPr>
          <w:rFonts w:cs="Calibri"/>
        </w:rPr>
        <w:t xml:space="preserve">he </w:t>
      </w:r>
      <w:r w:rsidR="00690BC4">
        <w:rPr>
          <w:rFonts w:cs="Calibri"/>
        </w:rPr>
        <w:t>reform of the current GTP rules</w:t>
      </w:r>
      <w:r w:rsidR="00DF56B8">
        <w:rPr>
          <w:rFonts w:cs="Calibri"/>
        </w:rPr>
        <w:t xml:space="preserve"> should</w:t>
      </w:r>
      <w:r w:rsidR="008C1530">
        <w:rPr>
          <w:rFonts w:cs="Calibri"/>
        </w:rPr>
        <w:t xml:space="preserve"> </w:t>
      </w:r>
      <w:r w:rsidR="00542CAF">
        <w:rPr>
          <w:rFonts w:cs="Calibri"/>
        </w:rPr>
        <w:t>enhance</w:t>
      </w:r>
      <w:r w:rsidR="008C1530">
        <w:rPr>
          <w:rFonts w:cs="Calibri"/>
        </w:rPr>
        <w:t xml:space="preserve"> </w:t>
      </w:r>
      <w:r w:rsidR="00542CAF">
        <w:rPr>
          <w:rFonts w:cs="Calibri"/>
        </w:rPr>
        <w:t>transparency for the ATO</w:t>
      </w:r>
      <w:r w:rsidR="004A1B41">
        <w:rPr>
          <w:rFonts w:cs="Calibri"/>
        </w:rPr>
        <w:t xml:space="preserve">, while </w:t>
      </w:r>
      <w:r w:rsidR="004D7941">
        <w:rPr>
          <w:rFonts w:cs="Calibri"/>
        </w:rPr>
        <w:t xml:space="preserve">the </w:t>
      </w:r>
      <w:r w:rsidR="00F16435">
        <w:rPr>
          <w:rFonts w:cs="Calibri"/>
        </w:rPr>
        <w:t xml:space="preserve">revised APA process </w:t>
      </w:r>
      <w:r w:rsidR="002860F3">
        <w:rPr>
          <w:rFonts w:cs="Calibri"/>
        </w:rPr>
        <w:t>ensures</w:t>
      </w:r>
      <w:r w:rsidR="00F16435">
        <w:rPr>
          <w:rFonts w:cs="Calibri"/>
        </w:rPr>
        <w:t xml:space="preserve"> the ATO</w:t>
      </w:r>
      <w:r w:rsidR="002860F3">
        <w:rPr>
          <w:rFonts w:cs="Calibri"/>
        </w:rPr>
        <w:t xml:space="preserve"> has</w:t>
      </w:r>
      <w:r w:rsidR="00F16435">
        <w:rPr>
          <w:rFonts w:cs="Calibri"/>
        </w:rPr>
        <w:t xml:space="preserve"> visibility over </w:t>
      </w:r>
      <w:r w:rsidR="00D072D0">
        <w:rPr>
          <w:rFonts w:cs="Calibri"/>
        </w:rPr>
        <w:t xml:space="preserve">companies’ claims of any </w:t>
      </w:r>
      <w:r w:rsidR="004A1B41">
        <w:rPr>
          <w:rFonts w:cs="Calibri"/>
        </w:rPr>
        <w:t>economic rent</w:t>
      </w:r>
      <w:r w:rsidR="00D072D0">
        <w:rPr>
          <w:rFonts w:cs="Calibri"/>
        </w:rPr>
        <w:t xml:space="preserve"> </w:t>
      </w:r>
      <w:r w:rsidR="002860F3">
        <w:rPr>
          <w:rFonts w:cs="Calibri"/>
        </w:rPr>
        <w:t xml:space="preserve">residing </w:t>
      </w:r>
      <w:r w:rsidR="00D072D0">
        <w:rPr>
          <w:rFonts w:cs="Calibri"/>
        </w:rPr>
        <w:t>in the downstream part of their respective</w:t>
      </w:r>
      <w:r w:rsidR="004A1B41">
        <w:rPr>
          <w:rFonts w:cs="Calibri"/>
        </w:rPr>
        <w:t xml:space="preserve"> LNG </w:t>
      </w:r>
      <w:r w:rsidR="006A492A">
        <w:rPr>
          <w:rFonts w:cs="Calibri"/>
        </w:rPr>
        <w:t>production</w:t>
      </w:r>
      <w:r w:rsidR="004A1B41">
        <w:rPr>
          <w:rFonts w:cs="Calibri"/>
        </w:rPr>
        <w:t>.</w:t>
      </w:r>
      <w:r w:rsidR="00BB04E1" w:rsidRPr="00BB04E1">
        <w:t xml:space="preserve"> </w:t>
      </w:r>
    </w:p>
    <w:p w14:paraId="03215E2B" w14:textId="77777777" w:rsidR="004C4F27" w:rsidRDefault="00BB04E1" w:rsidP="00FD67FB">
      <w:r>
        <w:t xml:space="preserve">A </w:t>
      </w:r>
      <w:r w:rsidRPr="0011140B">
        <w:t>balance needs to be st</w:t>
      </w:r>
      <w:r w:rsidR="002F389E">
        <w:t>r</w:t>
      </w:r>
      <w:r w:rsidRPr="0011140B">
        <w:t xml:space="preserve">uck between commercial in confidence information and transparency. Publishing gas transfer prices would potentially create scenarios where commercial information could be reconstructed. </w:t>
      </w:r>
    </w:p>
    <w:p w14:paraId="5A54CD14" w14:textId="5B277BA8" w:rsidR="004A1B41" w:rsidRDefault="00BB04E1" w:rsidP="00FD67FB">
      <w:r w:rsidRPr="0011140B">
        <w:t>As such</w:t>
      </w:r>
      <w:r w:rsidR="004C4F27">
        <w:t>,</w:t>
      </w:r>
      <w:r w:rsidRPr="0011140B">
        <w:t xml:space="preserve"> additional transparency measures are not recommended</w:t>
      </w:r>
      <w:r w:rsidR="005C6F39">
        <w:t xml:space="preserve"> at this time</w:t>
      </w:r>
      <w:r w:rsidRPr="0011140B">
        <w:t>.</w:t>
      </w:r>
    </w:p>
    <w:p w14:paraId="50351D56" w14:textId="2413BAFA" w:rsidR="00A413F2" w:rsidRPr="00C97822" w:rsidRDefault="00A413F2" w:rsidP="005E6317">
      <w:pPr>
        <w:pStyle w:val="Heading2"/>
      </w:pPr>
      <w:bookmarkStart w:id="43" w:name="_Toc134273577"/>
      <w:r>
        <w:t>6</w:t>
      </w:r>
      <w:r w:rsidRPr="00C97822">
        <w:t>.</w:t>
      </w:r>
      <w:r w:rsidR="002E4BA4">
        <w:t>7</w:t>
      </w:r>
      <w:r w:rsidRPr="00C97822">
        <w:t xml:space="preserve"> </w:t>
      </w:r>
      <w:r w:rsidR="00925BF3">
        <w:t xml:space="preserve">Start </w:t>
      </w:r>
      <w:r w:rsidR="00511B1C">
        <w:t>date of application</w:t>
      </w:r>
      <w:bookmarkEnd w:id="43"/>
    </w:p>
    <w:p w14:paraId="54012B6A" w14:textId="016482BF" w:rsidR="0088343E" w:rsidRDefault="00A413F2" w:rsidP="00C954B7">
      <w:r w:rsidRPr="0044317E">
        <w:t xml:space="preserve">We recommend that the proposed changes </w:t>
      </w:r>
      <w:r w:rsidR="00B4096C">
        <w:t>to the GTP Regulation</w:t>
      </w:r>
      <w:r w:rsidRPr="0044317E">
        <w:t xml:space="preserve"> apply to </w:t>
      </w:r>
      <w:r w:rsidR="00C5596E">
        <w:t xml:space="preserve">all </w:t>
      </w:r>
      <w:r w:rsidR="00DB1BA5">
        <w:t>LNG proj</w:t>
      </w:r>
      <w:r w:rsidR="00C5596E">
        <w:t>ects subject to PRRT</w:t>
      </w:r>
      <w:r w:rsidRPr="00D30AEE">
        <w:t xml:space="preserve"> </w:t>
      </w:r>
      <w:r w:rsidR="00AB29E5">
        <w:t>as soon as possible and ideally</w:t>
      </w:r>
      <w:r w:rsidRPr="00D30AEE">
        <w:t xml:space="preserve"> from 1 </w:t>
      </w:r>
      <w:r w:rsidR="00702A4E">
        <w:t>July</w:t>
      </w:r>
      <w:r w:rsidR="00702A4E" w:rsidRPr="00D30AEE">
        <w:t xml:space="preserve"> </w:t>
      </w:r>
      <w:r w:rsidR="00FD2462" w:rsidRPr="00D30AEE">
        <w:t>2024</w:t>
      </w:r>
      <w:r w:rsidRPr="00D30AEE">
        <w:t>.</w:t>
      </w:r>
      <w:r w:rsidRPr="0044317E">
        <w:t xml:space="preserve"> </w:t>
      </w:r>
      <w:r w:rsidR="002D0E45">
        <w:t>Given tha</w:t>
      </w:r>
      <w:r w:rsidR="00E34D7A">
        <w:t xml:space="preserve">t this is a pricing methodology </w:t>
      </w:r>
      <w:r w:rsidR="00785385">
        <w:t xml:space="preserve">and to give effect to the way the PRRT is supposed to operate, it </w:t>
      </w:r>
      <w:r w:rsidR="006A04F9">
        <w:t xml:space="preserve">would be appropriate to apply the same </w:t>
      </w:r>
      <w:r w:rsidR="006A04F9">
        <w:lastRenderedPageBreak/>
        <w:t xml:space="preserve">treatment across all </w:t>
      </w:r>
      <w:r w:rsidR="00E95807">
        <w:t xml:space="preserve">LNG </w:t>
      </w:r>
      <w:r w:rsidR="006A04F9">
        <w:t>projects regardless of when they commenced.</w:t>
      </w:r>
      <w:r w:rsidR="00097140">
        <w:t xml:space="preserve"> </w:t>
      </w:r>
      <w:r w:rsidR="002043FD">
        <w:t>T</w:t>
      </w:r>
      <w:r w:rsidR="002043FD" w:rsidRPr="0044317E">
        <w:t xml:space="preserve">he </w:t>
      </w:r>
      <w:r w:rsidR="00E95807">
        <w:t>Regulation is</w:t>
      </w:r>
      <w:r w:rsidR="002043FD" w:rsidRPr="0044317E">
        <w:t xml:space="preserve"> scheduled to sunset on 1 April 2026, </w:t>
      </w:r>
      <w:r w:rsidR="00E95807">
        <w:t xml:space="preserve">and is </w:t>
      </w:r>
      <w:r w:rsidR="002043FD" w:rsidRPr="0044317E">
        <w:t>requir</w:t>
      </w:r>
      <w:r w:rsidR="00E95807">
        <w:t>ed</w:t>
      </w:r>
      <w:r w:rsidR="0061510D">
        <w:t xml:space="preserve"> </w:t>
      </w:r>
      <w:r w:rsidR="002043FD" w:rsidRPr="0044317E">
        <w:t xml:space="preserve">to be remade. </w:t>
      </w:r>
    </w:p>
    <w:p w14:paraId="61B8BEA9" w14:textId="5815103A" w:rsidR="00A413F2" w:rsidRDefault="0088343E" w:rsidP="00C954B7">
      <w:r>
        <w:t xml:space="preserve">Delaying changes until the </w:t>
      </w:r>
      <w:r w:rsidR="00792BF4">
        <w:t xml:space="preserve">Regulation </w:t>
      </w:r>
      <w:r>
        <w:t>sunset</w:t>
      </w:r>
      <w:r w:rsidR="00792BF4">
        <w:t>s</w:t>
      </w:r>
      <w:r w:rsidR="004C56BA">
        <w:t xml:space="preserve">, </w:t>
      </w:r>
      <w:r w:rsidR="0027189B">
        <w:t xml:space="preserve">will </w:t>
      </w:r>
      <w:r w:rsidR="00BB38E0">
        <w:t>result in the existing pricing mechanism impacting future revenues</w:t>
      </w:r>
      <w:r w:rsidR="0003532F">
        <w:t xml:space="preserve">, and potentially result in delayed and </w:t>
      </w:r>
      <w:r w:rsidR="001A4C96">
        <w:t>overall lower PRRT collections</w:t>
      </w:r>
      <w:r w:rsidR="00BC546C">
        <w:t>.</w:t>
      </w:r>
    </w:p>
    <w:p w14:paraId="41227612" w14:textId="56C3A971" w:rsidR="006A04F9" w:rsidRPr="0044317E" w:rsidRDefault="003A38D9" w:rsidP="00C954B7">
      <w:r>
        <w:t>Further, a</w:t>
      </w:r>
      <w:r w:rsidR="00B730C8">
        <w:t>s new fields are developed there will also be significant interaction between these fields and existing projects, through tolling an</w:t>
      </w:r>
      <w:r w:rsidR="003C7864">
        <w:t xml:space="preserve">d </w:t>
      </w:r>
      <w:r w:rsidR="00B730C8">
        <w:t xml:space="preserve">combination certificates and use of existing infrastructure. In these circumstances it would be distortionary to provide significant differences in </w:t>
      </w:r>
      <w:r w:rsidR="001E2558">
        <w:t>pricing methodologies across projects.</w:t>
      </w:r>
    </w:p>
    <w:p w14:paraId="7B85666F" w14:textId="161B7E27" w:rsidR="00D73254" w:rsidRPr="0044317E" w:rsidRDefault="00301935" w:rsidP="00C954B7">
      <w:r>
        <w:t>If the deductions cap is adopted, we recommend a start date of 1 July 2023</w:t>
      </w:r>
      <w:r w:rsidR="00555079">
        <w:t xml:space="preserve"> or 7 years after </w:t>
      </w:r>
      <w:r w:rsidR="00F87B1E">
        <w:t xml:space="preserve">the year of first production, whichever is later. </w:t>
      </w:r>
    </w:p>
    <w:p w14:paraId="047F9BC7" w14:textId="4A248FED" w:rsidR="00A413F2" w:rsidRPr="00436A9B" w:rsidRDefault="00A413F2" w:rsidP="00436A9B"/>
    <w:p w14:paraId="7A4FD19C" w14:textId="77777777" w:rsidR="00060968" w:rsidRDefault="00060968">
      <w:pPr>
        <w:spacing w:before="0" w:after="160" w:line="259" w:lineRule="auto"/>
        <w:rPr>
          <w:rFonts w:asciiTheme="majorHAnsi" w:hAnsiTheme="majorHAnsi" w:cs="Yu Mincho Light"/>
          <w:b/>
          <w:color w:val="5D779D" w:themeColor="accent3"/>
          <w:kern w:val="32"/>
          <w:sz w:val="44"/>
          <w:szCs w:val="36"/>
        </w:rPr>
      </w:pPr>
      <w:r>
        <w:br w:type="page"/>
      </w:r>
    </w:p>
    <w:p w14:paraId="1B912CB8" w14:textId="56549426" w:rsidR="00C211C3" w:rsidRDefault="00502E0E" w:rsidP="00502E0E">
      <w:pPr>
        <w:pStyle w:val="Heading1"/>
      </w:pPr>
      <w:bookmarkStart w:id="44" w:name="_Toc134273578"/>
      <w:r>
        <w:lastRenderedPageBreak/>
        <w:t>7</w:t>
      </w:r>
      <w:r w:rsidR="00DE60B7">
        <w:t>.</w:t>
      </w:r>
      <w:r w:rsidR="00C211C3">
        <w:t xml:space="preserve"> </w:t>
      </w:r>
      <w:r w:rsidR="00CC0A0A">
        <w:t xml:space="preserve">How </w:t>
      </w:r>
      <w:r w:rsidR="002341B9">
        <w:t>the</w:t>
      </w:r>
      <w:r w:rsidR="00CC0A0A">
        <w:t xml:space="preserve"> </w:t>
      </w:r>
      <w:r w:rsidR="00D1791C">
        <w:t xml:space="preserve">GTP </w:t>
      </w:r>
      <w:r w:rsidR="001853A5">
        <w:t>rules</w:t>
      </w:r>
      <w:r w:rsidR="00CC0A0A">
        <w:t xml:space="preserve"> should apply to new fields using existing infrastructure</w:t>
      </w:r>
      <w:bookmarkEnd w:id="44"/>
    </w:p>
    <w:p w14:paraId="4762DF89" w14:textId="6CD97622" w:rsidR="00262BBF" w:rsidRPr="003777EA" w:rsidRDefault="00136355" w:rsidP="00262BBF">
      <w:r>
        <w:t>Most</w:t>
      </w:r>
      <w:r w:rsidR="00DE22A7">
        <w:t xml:space="preserve"> </w:t>
      </w:r>
      <w:r w:rsidR="00262BBF" w:rsidRPr="003777EA">
        <w:t xml:space="preserve">LNG projects in Australia have historically been designed as integrated joint venture projects with the same ownership of the resources, the upstream </w:t>
      </w:r>
      <w:r w:rsidR="00CD0EB9">
        <w:t xml:space="preserve">extraction </w:t>
      </w:r>
      <w:r w:rsidR="00262BBF" w:rsidRPr="003777EA">
        <w:t xml:space="preserve">and downstream </w:t>
      </w:r>
      <w:r w:rsidR="001C20C9">
        <w:t xml:space="preserve">liquefaction </w:t>
      </w:r>
      <w:r w:rsidR="00262BBF" w:rsidRPr="003777EA">
        <w:t>infrastructure.</w:t>
      </w:r>
      <w:r w:rsidR="00151767">
        <w:t xml:space="preserve"> </w:t>
      </w:r>
      <w:r w:rsidR="00262BBF" w:rsidRPr="003777EA">
        <w:t xml:space="preserve">However, future </w:t>
      </w:r>
      <w:r w:rsidR="0096168B">
        <w:t>upstream</w:t>
      </w:r>
      <w:r w:rsidR="00BF48C9">
        <w:t xml:space="preserve"> </w:t>
      </w:r>
      <w:r w:rsidR="00262BBF" w:rsidRPr="003777EA">
        <w:t xml:space="preserve">developments are </w:t>
      </w:r>
      <w:r w:rsidR="000C77BC">
        <w:t xml:space="preserve">expected to </w:t>
      </w:r>
      <w:r w:rsidR="00F23A17">
        <w:t>use</w:t>
      </w:r>
      <w:r w:rsidR="00262BBF" w:rsidRPr="003777EA">
        <w:t xml:space="preserve"> </w:t>
      </w:r>
      <w:r w:rsidR="00A40FF1">
        <w:t xml:space="preserve">existing </w:t>
      </w:r>
      <w:r w:rsidR="00262BBF" w:rsidRPr="003777EA">
        <w:t xml:space="preserve">downstream infrastructure </w:t>
      </w:r>
      <w:r w:rsidR="00A40FF1">
        <w:t>as far as possible</w:t>
      </w:r>
      <w:r w:rsidR="00262BBF" w:rsidRPr="003777EA">
        <w:t xml:space="preserve"> to </w:t>
      </w:r>
      <w:r w:rsidR="008256CE">
        <w:t>maximise economic returns</w:t>
      </w:r>
      <w:r w:rsidR="00262BBF" w:rsidRPr="003777EA">
        <w:t xml:space="preserve">. </w:t>
      </w:r>
      <w:r w:rsidR="001C20C9">
        <w:t xml:space="preserve">At the same time, downstream operators seek new upstream supply to </w:t>
      </w:r>
      <w:r w:rsidR="006C3F9D">
        <w:t xml:space="preserve">backfill and extend the productive life of their liquefaction infrastructure. </w:t>
      </w:r>
      <w:r w:rsidR="00C32A95">
        <w:t>W</w:t>
      </w:r>
      <w:r w:rsidR="00C32A95" w:rsidRPr="003777EA">
        <w:t>here there</w:t>
      </w:r>
      <w:r w:rsidR="00C32A95">
        <w:t xml:space="preserve"> are</w:t>
      </w:r>
      <w:r w:rsidR="00C32A95" w:rsidRPr="003777EA">
        <w:t xml:space="preserve"> </w:t>
      </w:r>
      <w:r w:rsidR="00C32A95">
        <w:t xml:space="preserve">different </w:t>
      </w:r>
      <w:r w:rsidR="00C32A95" w:rsidRPr="003777EA">
        <w:t>ownership</w:t>
      </w:r>
      <w:r w:rsidR="00C32A95">
        <w:t xml:space="preserve"> interests</w:t>
      </w:r>
      <w:r w:rsidR="00C32A95" w:rsidRPr="003777EA">
        <w:t xml:space="preserve"> for the upstream and downstream parts of project</w:t>
      </w:r>
      <w:r w:rsidR="00026C0B">
        <w:t>s</w:t>
      </w:r>
      <w:r w:rsidR="00262BBF" w:rsidRPr="003777EA">
        <w:t xml:space="preserve"> this </w:t>
      </w:r>
      <w:r w:rsidR="009A7A06">
        <w:t xml:space="preserve">will </w:t>
      </w:r>
      <w:r w:rsidR="00262BBF" w:rsidRPr="003777EA">
        <w:t xml:space="preserve">require a tolling </w:t>
      </w:r>
      <w:r w:rsidR="00472AA7" w:rsidRPr="003777EA">
        <w:t>arrangement</w:t>
      </w:r>
      <w:r w:rsidR="00025261">
        <w:t>.</w:t>
      </w:r>
      <w:r w:rsidR="00B30F9C">
        <w:rPr>
          <w:rStyle w:val="FootnoteReference"/>
        </w:rPr>
        <w:footnoteReference w:id="77"/>
      </w:r>
      <w:r w:rsidR="00262BBF" w:rsidRPr="003777EA">
        <w:t xml:space="preserve"> </w:t>
      </w:r>
      <w:r w:rsidR="00662CB3">
        <w:t xml:space="preserve">In some circumstances </w:t>
      </w:r>
      <w:r w:rsidR="002B5413">
        <w:t xml:space="preserve">this may </w:t>
      </w:r>
      <w:r w:rsidR="00662CB3">
        <w:t>involve linking new fields to an existing commercial project</w:t>
      </w:r>
      <w:r w:rsidR="001E6CC2">
        <w:t xml:space="preserve"> and processing the gas as if it were part of the original project</w:t>
      </w:r>
      <w:r w:rsidR="00B014F0">
        <w:t>.</w:t>
      </w:r>
      <w:r w:rsidR="00662CB3">
        <w:t xml:space="preserve"> </w:t>
      </w:r>
    </w:p>
    <w:p w14:paraId="3E53A714" w14:textId="2F9C2817" w:rsidR="007C7417" w:rsidRDefault="00585A75" w:rsidP="00585A75">
      <w:pPr>
        <w:pStyle w:val="Heading2"/>
      </w:pPr>
      <w:bookmarkStart w:id="45" w:name="_Toc134273579"/>
      <w:r>
        <w:t xml:space="preserve">7.1 </w:t>
      </w:r>
      <w:r w:rsidR="007C7417">
        <w:t>Tolling</w:t>
      </w:r>
      <w:bookmarkEnd w:id="45"/>
    </w:p>
    <w:p w14:paraId="37266F66" w14:textId="0B775264" w:rsidR="00262BBF" w:rsidRPr="003777EA" w:rsidRDefault="00262BBF" w:rsidP="00262BBF">
      <w:r w:rsidRPr="003777EA">
        <w:t>Although there are references to tolling type arrangements in the original explanatory materials, and it may be possible</w:t>
      </w:r>
      <w:r w:rsidR="006F6FD5">
        <w:t xml:space="preserve"> for</w:t>
      </w:r>
      <w:r w:rsidRPr="003777EA">
        <w:t xml:space="preserve"> the existing rules to </w:t>
      </w:r>
      <w:r w:rsidR="00335FB7">
        <w:t>apply</w:t>
      </w:r>
      <w:r w:rsidRPr="003777EA">
        <w:t xml:space="preserve"> to tolling arrangements, the problems previously identified with the assumptions underpinning the development of the RPM are even more pronounced when it comes to tolling.</w:t>
      </w:r>
    </w:p>
    <w:p w14:paraId="588C73B8" w14:textId="17C3A8C7" w:rsidR="00262BBF" w:rsidRPr="003777EA" w:rsidRDefault="00262BBF" w:rsidP="00262BBF">
      <w:r w:rsidRPr="003777EA">
        <w:t xml:space="preserve">The </w:t>
      </w:r>
      <w:r w:rsidR="00480036">
        <w:t>current RPM</w:t>
      </w:r>
      <w:r w:rsidRPr="003777EA">
        <w:t xml:space="preserve"> a</w:t>
      </w:r>
      <w:r w:rsidR="00A37C03">
        <w:t>llocate</w:t>
      </w:r>
      <w:r w:rsidR="00480036">
        <w:t>s</w:t>
      </w:r>
      <w:r w:rsidRPr="003777EA">
        <w:t xml:space="preserve"> economic rents to downstream functions conducted by the petroleum companies even if they are not generating them via those activities. If the existing rules applied to tolling arrangements, they would attribute </w:t>
      </w:r>
      <w:r w:rsidR="00956669">
        <w:t>residual profits</w:t>
      </w:r>
      <w:r w:rsidRPr="003777EA">
        <w:t xml:space="preserve"> to functions the companies </w:t>
      </w:r>
      <w:r w:rsidR="00425E7D">
        <w:t>may be</w:t>
      </w:r>
      <w:r w:rsidR="00425E7D" w:rsidRPr="003777EA">
        <w:t xml:space="preserve"> </w:t>
      </w:r>
      <w:r w:rsidRPr="003777EA">
        <w:t>outsourcing and not undertaking.</w:t>
      </w:r>
    </w:p>
    <w:p w14:paraId="1F40479E" w14:textId="788559A0" w:rsidR="00262BBF" w:rsidRDefault="00262BBF" w:rsidP="00262BBF">
      <w:r w:rsidRPr="003777EA">
        <w:t>The approach to tolling should reflect the broader approach to reduce the assumed economic rents in the downstream</w:t>
      </w:r>
      <w:r w:rsidR="00F670CC">
        <w:t>. A</w:t>
      </w:r>
      <w:r w:rsidRPr="003777EA">
        <w:t>dditionally</w:t>
      </w:r>
      <w:r w:rsidR="00F670CC">
        <w:t>, it</w:t>
      </w:r>
      <w:r w:rsidRPr="003777EA">
        <w:t xml:space="preserve"> should reflect the actual amount paid by the resource owner for activities they have outsourced such as processing and liquefaction.</w:t>
      </w:r>
    </w:p>
    <w:p w14:paraId="23BC10D8" w14:textId="083C1A4A" w:rsidR="00262BBF" w:rsidRDefault="00262BBF" w:rsidP="00585A75">
      <w:pPr>
        <w:pStyle w:val="Heading3"/>
      </w:pPr>
      <w:r>
        <w:t>Principles of a tolling arrangement within a netback calculation</w:t>
      </w:r>
    </w:p>
    <w:p w14:paraId="1279712D" w14:textId="2C8726AD" w:rsidR="00262BBF" w:rsidRDefault="00262BBF" w:rsidP="00262BBF">
      <w:r>
        <w:t>Tolling arrangements will vary depending on the ownership structure of the upstream and downstream facilities of the LNG project.</w:t>
      </w:r>
      <w:r w:rsidR="00151767">
        <w:t xml:space="preserve"> </w:t>
      </w:r>
      <w:r>
        <w:t>In many projects</w:t>
      </w:r>
      <w:r w:rsidR="006B229C">
        <w:t>,</w:t>
      </w:r>
      <w:r>
        <w:t xml:space="preserve"> the taxing point of the sales gas is within the liquefaction plant</w:t>
      </w:r>
      <w:r w:rsidR="004D7C62">
        <w:t xml:space="preserve">, and so </w:t>
      </w:r>
      <w:r>
        <w:t>a portion of the toll fee will be related to the upstream PRRT project and a portion to the downstream facilities.</w:t>
      </w:r>
      <w:r w:rsidR="00151767">
        <w:t xml:space="preserve"> </w:t>
      </w:r>
      <w:r>
        <w:t xml:space="preserve">Apportionment principles are discussed further below. The treatment for </w:t>
      </w:r>
      <w:r w:rsidR="00810828">
        <w:t>tolling</w:t>
      </w:r>
      <w:r>
        <w:t xml:space="preserve"> does not cover an arrangement where the gas was sold at or prior to the taxing point.</w:t>
      </w:r>
    </w:p>
    <w:p w14:paraId="40CC3584" w14:textId="080E0B1D" w:rsidR="00C211C3" w:rsidRDefault="00361BFD" w:rsidP="00E3733D">
      <w:pPr>
        <w:keepNext/>
        <w:keepLines/>
        <w:widowControl w:val="0"/>
      </w:pPr>
      <w:r>
        <w:rPr>
          <w:noProof/>
        </w:rPr>
        <w:lastRenderedPageBreak/>
        <mc:AlternateContent>
          <mc:Choice Requires="wpg">
            <w:drawing>
              <wp:anchor distT="0" distB="0" distL="114300" distR="114300" simplePos="0" relativeHeight="251658242" behindDoc="0" locked="0" layoutInCell="1" allowOverlap="1" wp14:anchorId="5CCD5BAE" wp14:editId="46E97A98">
                <wp:simplePos x="0" y="0"/>
                <wp:positionH relativeFrom="column">
                  <wp:posOffset>-87808</wp:posOffset>
                </wp:positionH>
                <wp:positionV relativeFrom="paragraph">
                  <wp:posOffset>278105</wp:posOffset>
                </wp:positionV>
                <wp:extent cx="5364866" cy="2831007"/>
                <wp:effectExtent l="0" t="0" r="26670" b="26670"/>
                <wp:wrapNone/>
                <wp:docPr id="2" name="Group 2" descr="A sample tolling arrangements. It demonstrates how a tolling fee is paid for the use of downstream gas processing facilities by the Host Project and the Shipper Project."/>
                <wp:cNvGraphicFramePr/>
                <a:graphic xmlns:a="http://schemas.openxmlformats.org/drawingml/2006/main">
                  <a:graphicData uri="http://schemas.microsoft.com/office/word/2010/wordprocessingGroup">
                    <wpg:wgp>
                      <wpg:cNvGrpSpPr/>
                      <wpg:grpSpPr>
                        <a:xfrm>
                          <a:off x="0" y="0"/>
                          <a:ext cx="5364866" cy="2831007"/>
                          <a:chOff x="0" y="0"/>
                          <a:chExt cx="5364866" cy="2831007"/>
                        </a:xfrm>
                      </wpg:grpSpPr>
                      <wps:wsp>
                        <wps:cNvPr id="217" name="Text Box 2"/>
                        <wps:cNvSpPr txBox="1">
                          <a:spLocks noChangeArrowheads="1"/>
                        </wps:cNvSpPr>
                        <wps:spPr bwMode="auto">
                          <a:xfrm>
                            <a:off x="3738067" y="1207008"/>
                            <a:ext cx="1082040" cy="372745"/>
                          </a:xfrm>
                          <a:prstGeom prst="rect">
                            <a:avLst/>
                          </a:prstGeom>
                          <a:solidFill>
                            <a:srgbClr val="FFFFFF"/>
                          </a:solidFill>
                          <a:ln w="9525">
                            <a:noFill/>
                            <a:miter lim="800000"/>
                            <a:headEnd/>
                            <a:tailEnd/>
                          </a:ln>
                        </wps:spPr>
                        <wps:txbx>
                          <w:txbxContent>
                            <w:p w14:paraId="370B34F0" w14:textId="1594AC2B" w:rsidR="009C67A5" w:rsidRPr="009928D1" w:rsidRDefault="009C67A5">
                              <w:pPr>
                                <w:rPr>
                                  <w:b/>
                                  <w:bCs/>
                                </w:rPr>
                              </w:pPr>
                              <w:r w:rsidRPr="009928D1">
                                <w:rPr>
                                  <w:b/>
                                  <w:bCs/>
                                </w:rPr>
                                <w:t>Tolling fee paid</w:t>
                              </w:r>
                            </w:p>
                          </w:txbxContent>
                        </wps:txbx>
                        <wps:bodyPr rot="0" vert="horz" wrap="square" lIns="91440" tIns="45720" rIns="91440" bIns="45720" anchor="t" anchorCtr="0">
                          <a:noAutofit/>
                        </wps:bodyPr>
                      </wps:wsp>
                      <wpg:grpSp>
                        <wpg:cNvPr id="6" name="Group 1"/>
                        <wpg:cNvGrpSpPr/>
                        <wpg:grpSpPr>
                          <a:xfrm>
                            <a:off x="0" y="0"/>
                            <a:ext cx="5364866" cy="2831007"/>
                            <a:chOff x="0" y="0"/>
                            <a:chExt cx="5035296" cy="2977946"/>
                          </a:xfrm>
                        </wpg:grpSpPr>
                        <wps:wsp>
                          <wps:cNvPr id="34" name="Rectangle 34"/>
                          <wps:cNvSpPr/>
                          <wps:spPr>
                            <a:xfrm>
                              <a:off x="0" y="9525"/>
                              <a:ext cx="2029460" cy="10119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FA9D59" w14:textId="77777777" w:rsidR="00C211C3" w:rsidRPr="00053D7B" w:rsidRDefault="00C211C3" w:rsidP="00C211C3">
                                <w:pPr>
                                  <w:jc w:val="center"/>
                                  <w:rPr>
                                    <w:b/>
                                  </w:rPr>
                                </w:pPr>
                                <w:r w:rsidRPr="00053D7B">
                                  <w:rPr>
                                    <w:b/>
                                  </w:rPr>
                                  <w:t>Project A (Host Project)</w:t>
                                </w:r>
                              </w:p>
                              <w:p w14:paraId="00734816" w14:textId="039DB029" w:rsidR="00C211C3" w:rsidRPr="00FA788B" w:rsidRDefault="00C211C3" w:rsidP="00C211C3">
                                <w:pPr>
                                  <w:jc w:val="center"/>
                                </w:pPr>
                                <w:r w:rsidRPr="00FA788B">
                                  <w:rPr>
                                    <w:sz w:val="20"/>
                                  </w:rPr>
                                  <w:t xml:space="preserve">Gas fields and upstream facilities owned by Company A and Company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3048000" y="0"/>
                              <a:ext cx="1987296" cy="9692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A124EB" w14:textId="77777777" w:rsidR="00C211C3" w:rsidRPr="00053D7B" w:rsidRDefault="00C211C3" w:rsidP="00C211C3">
                                <w:pPr>
                                  <w:jc w:val="center"/>
                                  <w:rPr>
                                    <w:b/>
                                  </w:rPr>
                                </w:pPr>
                                <w:r w:rsidRPr="00053D7B">
                                  <w:rPr>
                                    <w:b/>
                                  </w:rPr>
                                  <w:t>Project B (Shipper Project)</w:t>
                                </w:r>
                              </w:p>
                              <w:p w14:paraId="7E123CA9" w14:textId="77777777" w:rsidR="00C211C3" w:rsidRPr="00FA788B" w:rsidRDefault="00C211C3" w:rsidP="00C211C3">
                                <w:pPr>
                                  <w:jc w:val="center"/>
                                  <w:rPr>
                                    <w:sz w:val="20"/>
                                  </w:rPr>
                                </w:pPr>
                                <w:r w:rsidRPr="00FA788B">
                                  <w:rPr>
                                    <w:sz w:val="20"/>
                                  </w:rPr>
                                  <w:t xml:space="preserve"> Gas fields and part of the upstream facilities owned by Company C and Company D</w:t>
                                </w:r>
                              </w:p>
                              <w:p w14:paraId="1CAE1D47" w14:textId="77777777" w:rsidR="00C211C3" w:rsidRDefault="00C211C3" w:rsidP="00C211C3">
                                <w:pPr>
                                  <w:jc w:val="center"/>
                                </w:pPr>
                              </w:p>
                              <w:p w14:paraId="5EA5E643" w14:textId="77777777" w:rsidR="00C211C3" w:rsidRDefault="00C211C3" w:rsidP="00C211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1304925" y="1504949"/>
                              <a:ext cx="2090928" cy="14729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7F7E65" w14:textId="77777777" w:rsidR="00C211C3" w:rsidRPr="000F17E5" w:rsidRDefault="00C211C3" w:rsidP="00C211C3">
                                <w:pPr>
                                  <w:jc w:val="center"/>
                                  <w:rPr>
                                    <w:b/>
                                  </w:rPr>
                                </w:pPr>
                                <w:r w:rsidRPr="000F17E5">
                                  <w:rPr>
                                    <w:b/>
                                  </w:rPr>
                                  <w:t>Downstream Facilities</w:t>
                                </w:r>
                              </w:p>
                              <w:p w14:paraId="3F20AB4E" w14:textId="537BD3C2" w:rsidR="00C211C3" w:rsidRPr="000F17E5" w:rsidRDefault="00C211C3" w:rsidP="00C211C3">
                                <w:pPr>
                                  <w:jc w:val="center"/>
                                  <w:rPr>
                                    <w:sz w:val="20"/>
                                    <w:szCs w:val="18"/>
                                  </w:rPr>
                                </w:pPr>
                                <w:r w:rsidRPr="000F17E5">
                                  <w:rPr>
                                    <w:sz w:val="20"/>
                                    <w:szCs w:val="18"/>
                                  </w:rPr>
                                  <w:t>Owned by Company A and Company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flipH="1">
                              <a:off x="3231932" y="1000062"/>
                              <a:ext cx="615892" cy="820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942908" y="1000062"/>
                              <a:ext cx="491092" cy="8688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w14:anchorId="716457A2">
              <v:group id="Group 2" style="position:absolute;margin-left:-6.9pt;margin-top:21.9pt;width:422.45pt;height:222.9pt;z-index:251658242" alt="A sample tolling arrangements. It demonstrates how a tolling fee is paid for the use of downstream gas processing facilities by the Host Project and the Shipper Project." coordsize="53648,28310" o:spid="_x0000_s1026" w14:anchorId="5CCD5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">
                <v:shapetype id="_x0000_t202" coordsize="21600,21600" o:spt="202" path="m,l,21600r21600,l21600,xe">
                  <v:stroke joinstyle="miter"/>
                  <v:path gradientshapeok="t" o:connecttype="rect"/>
                </v:shapetype>
                <v:shape id="Text Box 2" style="position:absolute;left:37380;top:12070;width:10821;height:372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9928D1" w:rsidR="009C67A5" w:rsidRDefault="009C67A5" w14:paraId="417E6340" w14:textId="1594AC2B">
                        <w:pPr>
                          <w:rPr>
                            <w:b/>
                            <w:bCs/>
                          </w:rPr>
                        </w:pPr>
                        <w:r w:rsidRPr="009928D1">
                          <w:rPr>
                            <w:b/>
                            <w:bCs/>
                          </w:rPr>
                          <w:t>Tolling fee paid</w:t>
                        </w:r>
                      </w:p>
                    </w:txbxContent>
                  </v:textbox>
                </v:shape>
                <v:group id="Group 1" style="position:absolute;width:53648;height:28310" coordsize="50352,2977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34" style="position:absolute;top:95;width:20294;height:10119;visibility:visible;mso-wrap-style:square;v-text-anchor:middle" o:spid="_x0000_s1029" fillcolor="#2c384a [3204]" strokecolor="#161b24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">
                    <v:textbox>
                      <w:txbxContent>
                        <w:p w:rsidRPr="00053D7B" w:rsidR="00C211C3" w:rsidP="00C211C3" w:rsidRDefault="00C211C3" w14:paraId="27C88109" w14:textId="77777777">
                          <w:pPr>
                            <w:jc w:val="center"/>
                            <w:rPr>
                              <w:b/>
                            </w:rPr>
                          </w:pPr>
                          <w:r w:rsidRPr="00053D7B">
                            <w:rPr>
                              <w:b/>
                            </w:rPr>
                            <w:t>Project A (Host Project)</w:t>
                          </w:r>
                        </w:p>
                        <w:p w:rsidRPr="00FA788B" w:rsidR="00C211C3" w:rsidP="00C211C3" w:rsidRDefault="00C211C3" w14:paraId="77EA6BF4" w14:textId="039DB029">
                          <w:pPr>
                            <w:jc w:val="center"/>
                          </w:pPr>
                          <w:r w:rsidRPr="00FA788B">
                            <w:rPr>
                              <w:sz w:val="20"/>
                            </w:rPr>
                            <w:t xml:space="preserve">Gas fields and upstream facilities owned by Company A and Company B </w:t>
                          </w:r>
                        </w:p>
                      </w:txbxContent>
                    </v:textbox>
                  </v:rect>
                  <v:rect id="Rectangle 33" style="position:absolute;left:30480;width:19872;height:9692;visibility:visible;mso-wrap-style:square;v-text-anchor:middle" o:spid="_x0000_s1030" fillcolor="#2c384a [3204]" strokecolor="#161b24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">
                    <v:textbox>
                      <w:txbxContent>
                        <w:p w:rsidRPr="00053D7B" w:rsidR="00C211C3" w:rsidP="00C211C3" w:rsidRDefault="00C211C3" w14:paraId="4128347B" w14:textId="77777777">
                          <w:pPr>
                            <w:jc w:val="center"/>
                            <w:rPr>
                              <w:b/>
                            </w:rPr>
                          </w:pPr>
                          <w:r w:rsidRPr="00053D7B">
                            <w:rPr>
                              <w:b/>
                            </w:rPr>
                            <w:t>Project B (Shipper Project)</w:t>
                          </w:r>
                        </w:p>
                        <w:p w:rsidRPr="00FA788B" w:rsidR="00C211C3" w:rsidP="00C211C3" w:rsidRDefault="00C211C3" w14:paraId="5371D8B6" w14:textId="77777777">
                          <w:pPr>
                            <w:jc w:val="center"/>
                            <w:rPr>
                              <w:sz w:val="20"/>
                            </w:rPr>
                          </w:pPr>
                          <w:r w:rsidRPr="00FA788B">
                            <w:rPr>
                              <w:sz w:val="20"/>
                            </w:rPr>
                            <w:t xml:space="preserve"> Gas fields and part of the upstream facilities owned by Company C and Company D</w:t>
                          </w:r>
                        </w:p>
                        <w:p w:rsidR="00C211C3" w:rsidP="00C211C3" w:rsidRDefault="00C211C3" w14:paraId="672A6659" w14:textId="77777777">
                          <w:pPr>
                            <w:jc w:val="center"/>
                          </w:pPr>
                        </w:p>
                        <w:p w:rsidR="00C211C3" w:rsidP="00C211C3" w:rsidRDefault="00C211C3" w14:paraId="0A37501D" w14:textId="77777777">
                          <w:pPr>
                            <w:jc w:val="center"/>
                          </w:pPr>
                        </w:p>
                      </w:txbxContent>
                    </v:textbox>
                  </v:rect>
                  <v:oval id="Oval 37" style="position:absolute;left:13049;top:15049;width:20909;height:14730;visibility:visible;mso-wrap-style:square;v-text-anchor:middle" o:spid="_x0000_s1031" fillcolor="#2c384a [3204]" strokecolor="#161b24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">
                    <v:textbox>
                      <w:txbxContent>
                        <w:p w:rsidRPr="000F17E5" w:rsidR="00C211C3" w:rsidP="00C211C3" w:rsidRDefault="00C211C3" w14:paraId="643928D8" w14:textId="77777777">
                          <w:pPr>
                            <w:jc w:val="center"/>
                            <w:rPr>
                              <w:b/>
                            </w:rPr>
                          </w:pPr>
                          <w:r w:rsidRPr="000F17E5">
                            <w:rPr>
                              <w:b/>
                            </w:rPr>
                            <w:t>Downstream Facilities</w:t>
                          </w:r>
                        </w:p>
                        <w:p w:rsidRPr="000F17E5" w:rsidR="00C211C3" w:rsidP="00C211C3" w:rsidRDefault="00C211C3" w14:paraId="4F4DDB51" w14:textId="537BD3C2">
                          <w:pPr>
                            <w:jc w:val="center"/>
                            <w:rPr>
                              <w:sz w:val="20"/>
                              <w:szCs w:val="18"/>
                            </w:rPr>
                          </w:pPr>
                          <w:r w:rsidRPr="000F17E5">
                            <w:rPr>
                              <w:sz w:val="20"/>
                              <w:szCs w:val="18"/>
                            </w:rPr>
                            <w:t>Owned by Company A and Company B</w:t>
                          </w:r>
                        </w:p>
                      </w:txbxContent>
                    </v:textbox>
                  </v:oval>
                  <v:shapetype id="_x0000_t32" coordsize="21600,21600" o:oned="t" filled="f" o:spt="32" path="m,l21600,21600e">
                    <v:path fillok="f" arrowok="t" o:connecttype="none"/>
                    <o:lock v:ext="edit" shapetype="t"/>
                  </v:shapetype>
                  <v:shape id="Straight Arrow Connector 36" style="position:absolute;left:32319;top:10000;width:6159;height:8202;flip:x;visibility:visible;mso-wrap-style:square" o:spid="_x0000_s1032" strokecolor="#293545 [3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">
                    <v:stroke endarrow="block"/>
                  </v:shape>
                  <v:shape id="Straight Arrow Connector 35" style="position:absolute;left:9429;top:10000;width:4911;height:8689;visibility:visible;mso-wrap-style:square" o:spid="_x0000_s1033" strokecolor="#293545 [3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">
                    <v:stroke endarrow="block"/>
                  </v:shape>
                </v:group>
              </v:group>
            </w:pict>
          </mc:Fallback>
        </mc:AlternateContent>
      </w:r>
      <w:r w:rsidR="00C211C3">
        <w:t>Below is a</w:t>
      </w:r>
      <w:r w:rsidR="006A5283">
        <w:t xml:space="preserve"> simple</w:t>
      </w:r>
      <w:r w:rsidR="00C211C3">
        <w:t xml:space="preserve"> example of a tolling arrangement.</w:t>
      </w:r>
    </w:p>
    <w:p w14:paraId="1ABB8742" w14:textId="7A8F38F3" w:rsidR="00C211C3" w:rsidRPr="00C211C3" w:rsidRDefault="00C211C3" w:rsidP="00E3733D">
      <w:pPr>
        <w:keepNext/>
        <w:keepLines/>
        <w:widowControl w:val="0"/>
      </w:pPr>
    </w:p>
    <w:p w14:paraId="2740A214" w14:textId="4E050E5A" w:rsidR="00C211C3" w:rsidRPr="00C211C3" w:rsidRDefault="00C211C3" w:rsidP="00E3733D">
      <w:pPr>
        <w:keepNext/>
        <w:keepLines/>
        <w:widowControl w:val="0"/>
      </w:pPr>
    </w:p>
    <w:p w14:paraId="7596AE75" w14:textId="77777777" w:rsidR="00C211C3" w:rsidRPr="00C211C3" w:rsidRDefault="00C211C3" w:rsidP="00E3733D">
      <w:pPr>
        <w:keepNext/>
        <w:keepLines/>
        <w:widowControl w:val="0"/>
      </w:pPr>
      <w:r w:rsidRPr="00C211C3">
        <w:tab/>
      </w:r>
    </w:p>
    <w:p w14:paraId="01825B00" w14:textId="77777777" w:rsidR="009C67A5" w:rsidRDefault="00E000C0" w:rsidP="00C906FD">
      <w:pPr>
        <w:keepNext/>
        <w:keepLines/>
        <w:widowControl w:val="0"/>
      </w:pPr>
      <w:r>
        <w:t xml:space="preserve">  </w:t>
      </w:r>
    </w:p>
    <w:p w14:paraId="74D1668E" w14:textId="74D155BC" w:rsidR="00C211C3" w:rsidRPr="00C211C3" w:rsidRDefault="00B0446A" w:rsidP="00C906FD">
      <w:pPr>
        <w:keepNext/>
        <w:keepLines/>
        <w:widowControl w:val="0"/>
      </w:pPr>
      <w:r>
        <w:t xml:space="preserve"> </w:t>
      </w:r>
    </w:p>
    <w:p w14:paraId="218CBC48" w14:textId="7277649E" w:rsidR="00C211C3" w:rsidRPr="00C211C3" w:rsidRDefault="00E000C0" w:rsidP="00CD68D2">
      <w:pPr>
        <w:keepNext/>
        <w:keepLines/>
        <w:rPr>
          <w:sz w:val="20"/>
        </w:rPr>
      </w:pPr>
      <w:r>
        <w:t xml:space="preserve">             </w:t>
      </w:r>
      <w:r w:rsidR="00C211C3">
        <w:tab/>
      </w:r>
      <w:r w:rsidR="00C211C3">
        <w:tab/>
      </w:r>
    </w:p>
    <w:p w14:paraId="5AB4E888" w14:textId="2D42CF5F" w:rsidR="00C211C3" w:rsidRDefault="00C211C3" w:rsidP="00CD68D2">
      <w:pPr>
        <w:keepNext/>
        <w:keepLines/>
      </w:pPr>
      <w:r w:rsidRPr="00C211C3">
        <w:tab/>
      </w:r>
      <w:r w:rsidR="00E000C0">
        <w:t xml:space="preserve"> </w:t>
      </w:r>
    </w:p>
    <w:p w14:paraId="60E08905" w14:textId="2F9C2817" w:rsidR="00C2125F" w:rsidRDefault="00C2125F" w:rsidP="00CD68D2">
      <w:pPr>
        <w:keepNext/>
        <w:keepLines/>
      </w:pPr>
    </w:p>
    <w:p w14:paraId="32DDF08C" w14:textId="2F9C2817" w:rsidR="00C2125F" w:rsidRDefault="00C2125F" w:rsidP="00CD68D2">
      <w:pPr>
        <w:keepNext/>
        <w:keepLines/>
      </w:pPr>
    </w:p>
    <w:p w14:paraId="5242EC3B" w14:textId="77777777" w:rsidR="00CD68D2" w:rsidRDefault="00CD68D2" w:rsidP="00E3733D">
      <w:pPr>
        <w:keepNext/>
        <w:keepLines/>
      </w:pPr>
    </w:p>
    <w:p w14:paraId="7148FC07" w14:textId="77777777" w:rsidR="008B19D8" w:rsidRDefault="008B19D8" w:rsidP="00CD68D2">
      <w:pPr>
        <w:keepNext/>
        <w:keepLines/>
      </w:pPr>
    </w:p>
    <w:p w14:paraId="26D3F4F8" w14:textId="77777777" w:rsidR="008B19D8" w:rsidRDefault="008B19D8" w:rsidP="00CD68D2">
      <w:pPr>
        <w:keepNext/>
        <w:keepLines/>
      </w:pPr>
    </w:p>
    <w:p w14:paraId="29266F47" w14:textId="4490570A" w:rsidR="00CC7399" w:rsidRPr="00FB3F76" w:rsidRDefault="00CC7399" w:rsidP="00CD68D2">
      <w:pPr>
        <w:keepNext/>
        <w:keepLines/>
      </w:pPr>
      <w:r>
        <w:t xml:space="preserve">In the example above </w:t>
      </w:r>
      <w:r w:rsidR="002E1A08">
        <w:t>involving</w:t>
      </w:r>
      <w:r>
        <w:t xml:space="preserve"> two PRRT projects</w:t>
      </w:r>
      <w:r w:rsidR="002E1A08">
        <w:t xml:space="preserve">, </w:t>
      </w:r>
      <w:r>
        <w:t xml:space="preserve">Project B (Shipper Project) is paying a tolling fee to Project A (Host Project) to have its gas processed and </w:t>
      </w:r>
      <w:r w:rsidR="00C15D58">
        <w:t>transformed</w:t>
      </w:r>
      <w:r>
        <w:t xml:space="preserve"> into LNG. </w:t>
      </w:r>
    </w:p>
    <w:p w14:paraId="5332F6FC" w14:textId="065AE124" w:rsidR="008D4FBC" w:rsidRDefault="00CC7399" w:rsidP="00CD68D2">
      <w:pPr>
        <w:keepNext/>
        <w:keepLines/>
      </w:pPr>
      <w:r>
        <w:t xml:space="preserve">Treasury recommends that </w:t>
      </w:r>
      <w:r w:rsidRPr="00730411">
        <w:t>in circumstances where</w:t>
      </w:r>
      <w:r w:rsidR="005F1824">
        <w:t xml:space="preserve"> </w:t>
      </w:r>
      <w:r w:rsidR="00B7087A">
        <w:t>a third</w:t>
      </w:r>
      <w:r w:rsidR="006D7F9E">
        <w:t>-</w:t>
      </w:r>
      <w:r w:rsidR="00B7087A">
        <w:t xml:space="preserve">party toll paid </w:t>
      </w:r>
      <w:r w:rsidRPr="00730411">
        <w:t xml:space="preserve">or </w:t>
      </w:r>
      <w:r>
        <w:t xml:space="preserve">a </w:t>
      </w:r>
      <w:r w:rsidRPr="00730411">
        <w:t>commercially driven price</w:t>
      </w:r>
      <w:r w:rsidR="00FE4B60">
        <w:t xml:space="preserve"> is reached </w:t>
      </w:r>
      <w:r w:rsidR="009B2AFC">
        <w:t>through joint</w:t>
      </w:r>
      <w:r w:rsidR="00594A3E">
        <w:t xml:space="preserve"> venture negotiations</w:t>
      </w:r>
      <w:r w:rsidRPr="00730411">
        <w:t xml:space="preserve"> to process the sales gas into LNG</w:t>
      </w:r>
      <w:r w:rsidR="00E7175F">
        <w:t>, that</w:t>
      </w:r>
      <w:r w:rsidRPr="00730411">
        <w:t xml:space="preserve"> this amount </w:t>
      </w:r>
      <w:r w:rsidR="00E7175F">
        <w:t xml:space="preserve">should </w:t>
      </w:r>
      <w:r w:rsidRPr="00730411">
        <w:t xml:space="preserve">be included in the calculation of the GTP for the entity paying the toll. In working out the netback price the following components would apply for the shipper project/person paying the toll: </w:t>
      </w:r>
    </w:p>
    <w:p w14:paraId="62467E34" w14:textId="7A135B5C" w:rsidR="008D4FBC" w:rsidRDefault="00CC7399" w:rsidP="005D28FB">
      <w:pPr>
        <w:keepNext/>
        <w:keepLines/>
      </w:pPr>
      <w:r w:rsidRPr="009D6D50">
        <w:rPr>
          <w:b/>
        </w:rPr>
        <w:t xml:space="preserve">Netback price = (LNG </w:t>
      </w:r>
      <w:r w:rsidR="00C532EF" w:rsidRPr="009D6D50">
        <w:rPr>
          <w:b/>
        </w:rPr>
        <w:t>price</w:t>
      </w:r>
      <w:r w:rsidRPr="009D6D50">
        <w:rPr>
          <w:b/>
        </w:rPr>
        <w:t xml:space="preserve">) – (transport </w:t>
      </w:r>
      <w:r w:rsidR="00465708">
        <w:rPr>
          <w:b/>
        </w:rPr>
        <w:t xml:space="preserve">cost </w:t>
      </w:r>
      <w:r w:rsidRPr="009D6D50">
        <w:rPr>
          <w:b/>
        </w:rPr>
        <w:t>if relevant) – (marketing</w:t>
      </w:r>
      <w:r w:rsidR="00465708">
        <w:rPr>
          <w:b/>
        </w:rPr>
        <w:t xml:space="preserve"> cost</w:t>
      </w:r>
      <w:r w:rsidRPr="009D6D50">
        <w:rPr>
          <w:b/>
        </w:rPr>
        <w:t>) – (proportion of the tolling fee that is allocated to the downstream processing)</w:t>
      </w:r>
    </w:p>
    <w:p w14:paraId="4287CFBC" w14:textId="321B7439" w:rsidR="00CC7399" w:rsidRPr="003E6043" w:rsidRDefault="00CC7399" w:rsidP="00CD68D2">
      <w:pPr>
        <w:keepNext/>
        <w:keepLines/>
      </w:pPr>
      <w:r w:rsidRPr="00730411">
        <w:t xml:space="preserve">This arrangement would be consistent with the principle that the PRRT should be calculated on the basis </w:t>
      </w:r>
      <w:r>
        <w:t>that</w:t>
      </w:r>
      <w:r w:rsidRPr="00730411">
        <w:t xml:space="preserve"> the costs </w:t>
      </w:r>
      <w:r>
        <w:t xml:space="preserve">are </w:t>
      </w:r>
      <w:r w:rsidRPr="00730411">
        <w:t>attributable to the owners of the gas.</w:t>
      </w:r>
    </w:p>
    <w:p w14:paraId="6F392A13" w14:textId="77777777" w:rsidR="00CC7399" w:rsidRPr="00FB3F76" w:rsidRDefault="00CC7399" w:rsidP="00CC7399">
      <w:r w:rsidRPr="00730411">
        <w:t>There may be some situations where there is common ownership in both the petroleum project and the liquefaction plant by one or more companies. In these cases, a test should be developed to determine whether there is enough commercial tension between the two groups of owners to be confident that the price is arm’s length/commercially driven.</w:t>
      </w:r>
    </w:p>
    <w:p w14:paraId="40FA2964" w14:textId="206281BC" w:rsidR="005651FA" w:rsidRDefault="00CC7399" w:rsidP="00CC7399">
      <w:r w:rsidRPr="003E6043">
        <w:t xml:space="preserve">The strong preference of the petroleum Industry is that tolling arrangements continue to be subject to the current </w:t>
      </w:r>
      <w:r w:rsidR="00D1791C">
        <w:t>GTP Regulation</w:t>
      </w:r>
      <w:r w:rsidRPr="003E6043">
        <w:t xml:space="preserve"> as reflected in the RPM. However, as outlined above</w:t>
      </w:r>
      <w:r w:rsidR="001A16E9">
        <w:t>,</w:t>
      </w:r>
      <w:r w:rsidRPr="003E6043">
        <w:t xml:space="preserve"> the case for attribution of residual profit in the downstream is weaker in a tolling arrangement than in a fully integrated project. </w:t>
      </w:r>
      <w:r w:rsidR="00CD0A04" w:rsidRPr="003E6043">
        <w:t>Like</w:t>
      </w:r>
      <w:r w:rsidRPr="003E6043">
        <w:t xml:space="preserve"> an integrated project, tolling reflects a deliberate decision by the resource owner to retain ownership of the gas rather than sell it to a third party and as such it would not be appropriate to assign</w:t>
      </w:r>
      <w:r w:rsidR="0030657F">
        <w:t xml:space="preserve"> significant</w:t>
      </w:r>
      <w:r w:rsidRPr="003E6043">
        <w:t xml:space="preserve"> economic rents to the downstream </w:t>
      </w:r>
      <w:r w:rsidR="0030657F">
        <w:t>‘</w:t>
      </w:r>
      <w:r w:rsidRPr="003E6043">
        <w:t>marketing</w:t>
      </w:r>
      <w:r w:rsidR="0030657F">
        <w:t>’</w:t>
      </w:r>
      <w:r w:rsidRPr="003E6043">
        <w:t xml:space="preserve"> function</w:t>
      </w:r>
      <w:r w:rsidR="00FB30EA">
        <w:t xml:space="preserve"> or for the risk inherent in owning the resource through th</w:t>
      </w:r>
      <w:r w:rsidR="00B80626">
        <w:t>e downstream</w:t>
      </w:r>
      <w:r w:rsidR="00FB30EA">
        <w:t xml:space="preserve"> phase</w:t>
      </w:r>
      <w:r w:rsidRPr="003E6043">
        <w:t xml:space="preserve">. As a result, Treasury recommends that the default methodology applied </w:t>
      </w:r>
      <w:r w:rsidR="009752E7">
        <w:t xml:space="preserve">to </w:t>
      </w:r>
      <w:r w:rsidRPr="003E6043">
        <w:t>tolling arrangements is the netback only option</w:t>
      </w:r>
      <w:r w:rsidR="00521F05">
        <w:t>, w</w:t>
      </w:r>
      <w:r w:rsidRPr="003E6043">
        <w:t>here no residual profit is allocated to the downstream.</w:t>
      </w:r>
    </w:p>
    <w:p w14:paraId="4C95D58F" w14:textId="77777777" w:rsidR="008A0F82" w:rsidRDefault="008A0F82" w:rsidP="00CC7399"/>
    <w:p w14:paraId="504BE0ED" w14:textId="77777777" w:rsidR="008A0F82" w:rsidRDefault="008A0F82" w:rsidP="00CC7399"/>
    <w:p w14:paraId="11AA77DF" w14:textId="555194EE" w:rsidR="00DC5C2B" w:rsidRPr="00DC5C2B" w:rsidRDefault="005651FA" w:rsidP="009C5811">
      <w:pPr>
        <w:pStyle w:val="Heading3"/>
      </w:pPr>
      <w:r>
        <w:lastRenderedPageBreak/>
        <w:t xml:space="preserve">Principles of tolling </w:t>
      </w:r>
      <w:r w:rsidR="00652CE2">
        <w:t xml:space="preserve">in </w:t>
      </w:r>
      <w:r w:rsidR="00E12D2B">
        <w:t>the</w:t>
      </w:r>
      <w:r w:rsidR="00652CE2">
        <w:t xml:space="preserve"> RPM calculation</w:t>
      </w:r>
    </w:p>
    <w:p w14:paraId="23C51C68" w14:textId="73ED29F5" w:rsidR="00CC7399" w:rsidRPr="004C53FA" w:rsidRDefault="009A31D6" w:rsidP="00CC7399">
      <w:r>
        <w:t>I</w:t>
      </w:r>
      <w:r w:rsidR="00CC7399">
        <w:t xml:space="preserve">f the Government were to </w:t>
      </w:r>
      <w:r w:rsidR="00E12D2B">
        <w:t>retain the</w:t>
      </w:r>
      <w:r w:rsidR="00CC7399">
        <w:t xml:space="preserve"> RPM for integrated projects, the same approach should be applied to tolling projects in recognition that tolling type arrangements are more sensitive to PRRT changes due to their lower capital expenditures requirements and that they should not have fundamentally different tax settings that will change how companies decide to design their projects.</w:t>
      </w:r>
    </w:p>
    <w:p w14:paraId="5BDF9879" w14:textId="5BDF0C3B" w:rsidR="00CC7399" w:rsidRPr="003E6043" w:rsidRDefault="00CC7399" w:rsidP="00CC7399">
      <w:r>
        <w:t xml:space="preserve">This recommendation is consistent with the </w:t>
      </w:r>
      <w:r w:rsidR="00A60033">
        <w:t>T</w:t>
      </w:r>
      <w:r>
        <w:t xml:space="preserve">erms of </w:t>
      </w:r>
      <w:r w:rsidR="00A60033">
        <w:t>R</w:t>
      </w:r>
      <w:r>
        <w:t xml:space="preserve">eference for the </w:t>
      </w:r>
      <w:r w:rsidR="00A60033">
        <w:t>R</w:t>
      </w:r>
      <w:r>
        <w:t>eview which asked for advice on</w:t>
      </w:r>
      <w:r w:rsidRPr="003E6043">
        <w:t>:</w:t>
      </w:r>
    </w:p>
    <w:p w14:paraId="2BE939DE" w14:textId="77777777" w:rsidR="00CC7399" w:rsidRPr="00CC7399" w:rsidRDefault="00CC7399" w:rsidP="00CC7399">
      <w:pPr>
        <w:pStyle w:val="Bullet"/>
      </w:pPr>
      <w:r w:rsidRPr="00CC7399">
        <w:t xml:space="preserve">ensuring commercial transactions for parts of the LNG production chain are used as far as possible as a reference for establishing a gas transfer price </w:t>
      </w:r>
    </w:p>
    <w:p w14:paraId="2D5DC04F" w14:textId="77777777" w:rsidR="00CC7399" w:rsidRPr="00CC7399" w:rsidRDefault="00CC7399" w:rsidP="00CC7399">
      <w:pPr>
        <w:pStyle w:val="Bullet"/>
      </w:pPr>
      <w:r w:rsidRPr="00CC7399">
        <w:t>ensuring that the regulations are neutral as far as possible between operations where the owners (or part owners) of gas process their own gas and where gas is processed by third parties</w:t>
      </w:r>
    </w:p>
    <w:p w14:paraId="54616828" w14:textId="60679569" w:rsidR="00901701" w:rsidRDefault="00C26DBF" w:rsidP="00CC7399">
      <w:bookmarkStart w:id="46" w:name="_Hlk126852367"/>
      <w:r>
        <w:t xml:space="preserve">If the RPM </w:t>
      </w:r>
      <w:r w:rsidR="00C33680">
        <w:t>is</w:t>
      </w:r>
      <w:r>
        <w:t xml:space="preserve"> </w:t>
      </w:r>
      <w:r w:rsidR="00362D19">
        <w:t>retained</w:t>
      </w:r>
      <w:r w:rsidR="007E0002">
        <w:t>,</w:t>
      </w:r>
      <w:r>
        <w:t xml:space="preserve"> then it is recommended that </w:t>
      </w:r>
      <w:r w:rsidRPr="00730411">
        <w:t xml:space="preserve">in circumstances where </w:t>
      </w:r>
      <w:r>
        <w:t>an</w:t>
      </w:r>
      <w:r w:rsidRPr="00730411">
        <w:t xml:space="preserve"> arm’s length or </w:t>
      </w:r>
      <w:r>
        <w:t xml:space="preserve">a </w:t>
      </w:r>
      <w:r w:rsidRPr="00730411">
        <w:t>commercially driven price is paid to process the sales gas into LNG then this amount be included in the</w:t>
      </w:r>
      <w:r w:rsidR="00782A69">
        <w:t xml:space="preserve"> RPM</w:t>
      </w:r>
      <w:r w:rsidRPr="00730411">
        <w:t xml:space="preserve"> calculation for the entity paying the toll.</w:t>
      </w:r>
      <w:r w:rsidR="00F9029E">
        <w:t xml:space="preserve"> </w:t>
      </w:r>
      <w:r w:rsidR="007B117E">
        <w:t xml:space="preserve">As the RPM method </w:t>
      </w:r>
      <w:r w:rsidR="00BC571B">
        <w:t xml:space="preserve">attributes costs </w:t>
      </w:r>
      <w:r w:rsidR="00694CBC">
        <w:t>to the cost</w:t>
      </w:r>
      <w:r w:rsidR="008C7C07">
        <w:t>-</w:t>
      </w:r>
      <w:r w:rsidR="00694CBC">
        <w:t>plus calculation (upstream costs) and the netback calculation (downstream</w:t>
      </w:r>
      <w:r w:rsidR="00D679B3">
        <w:t xml:space="preserve"> costs) </w:t>
      </w:r>
      <w:r w:rsidR="00B537FC">
        <w:t>th</w:t>
      </w:r>
      <w:r w:rsidR="00782B28">
        <w:t xml:space="preserve">e toll paid </w:t>
      </w:r>
      <w:r w:rsidR="00C23BC3">
        <w:t>will need to be reasonably apportioned</w:t>
      </w:r>
      <w:r w:rsidR="00DA363F">
        <w:t>.</w:t>
      </w:r>
      <w:r w:rsidR="00F9029E">
        <w:t xml:space="preserve"> </w:t>
      </w:r>
      <w:r w:rsidR="00790C41">
        <w:t>W</w:t>
      </w:r>
      <w:r w:rsidR="00DA363F" w:rsidRPr="00730411">
        <w:t xml:space="preserve">orking out the </w:t>
      </w:r>
      <w:r w:rsidR="00FE014F">
        <w:t xml:space="preserve">RPM </w:t>
      </w:r>
      <w:r w:rsidR="00DA363F" w:rsidRPr="00730411">
        <w:t xml:space="preserve">the following components would apply for the shipper project/person paying the toll: </w:t>
      </w:r>
    </w:p>
    <w:p w14:paraId="5ABDF389" w14:textId="7C0C5BE7" w:rsidR="00901701" w:rsidRDefault="00DA0F56" w:rsidP="009C5811">
      <w:pPr>
        <w:pStyle w:val="Bullet"/>
      </w:pPr>
      <w:r>
        <w:t>Cost</w:t>
      </w:r>
      <w:r w:rsidR="008C7C07">
        <w:t>-</w:t>
      </w:r>
      <w:r w:rsidR="00BA4065">
        <w:t xml:space="preserve">plus </w:t>
      </w:r>
      <w:r w:rsidR="0082751C">
        <w:t>price</w:t>
      </w:r>
      <w:r w:rsidR="00DB3C46">
        <w:t xml:space="preserve"> =</w:t>
      </w:r>
      <w:r w:rsidR="00E369DA">
        <w:t xml:space="preserve"> </w:t>
      </w:r>
      <w:r w:rsidR="00EB585D">
        <w:t>(</w:t>
      </w:r>
      <w:r w:rsidR="004C2BB1">
        <w:t>u</w:t>
      </w:r>
      <w:r w:rsidR="00EB585D">
        <w:t xml:space="preserve">pstream capital costs) </w:t>
      </w:r>
      <w:r w:rsidR="00EC7DB7">
        <w:t xml:space="preserve">+ </w:t>
      </w:r>
      <w:r w:rsidR="00E075D2">
        <w:t>(</w:t>
      </w:r>
      <w:r w:rsidR="00EC7DB7">
        <w:t>upstream operating costs</w:t>
      </w:r>
      <w:r w:rsidR="008907A9">
        <w:t xml:space="preserve"> including proportion of the arms-</w:t>
      </w:r>
      <w:r w:rsidR="000660DF">
        <w:t>length tolling fee that is allocated to the upstream processing</w:t>
      </w:r>
      <w:r w:rsidR="00E075D2">
        <w:t>).</w:t>
      </w:r>
    </w:p>
    <w:p w14:paraId="563AE4AF" w14:textId="26EB549F" w:rsidR="007E42E2" w:rsidRDefault="00DA363F" w:rsidP="009C5811">
      <w:pPr>
        <w:pStyle w:val="Bullet"/>
      </w:pPr>
      <w:r w:rsidRPr="00730411">
        <w:t xml:space="preserve">Netback </w:t>
      </w:r>
      <w:r w:rsidR="0082751C">
        <w:t>price</w:t>
      </w:r>
      <w:r w:rsidRPr="00730411">
        <w:t xml:space="preserve"> = (LNG </w:t>
      </w:r>
      <w:r>
        <w:t>price</w:t>
      </w:r>
      <w:r w:rsidRPr="00730411">
        <w:t>) – (transport</w:t>
      </w:r>
      <w:r>
        <w:t xml:space="preserve"> </w:t>
      </w:r>
      <w:r w:rsidR="00EA18B0">
        <w:t>cost</w:t>
      </w:r>
      <w:r>
        <w:t xml:space="preserve"> if relevant</w:t>
      </w:r>
      <w:r w:rsidRPr="00730411">
        <w:t>) – (marketing</w:t>
      </w:r>
      <w:r w:rsidR="00EA18B0">
        <w:t xml:space="preserve"> cost</w:t>
      </w:r>
      <w:r w:rsidRPr="00730411">
        <w:t>) – (proportion of the arms-length tolling fee that is allocated to the downstream processing).</w:t>
      </w:r>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FE79A0" w14:paraId="7FF47BFB" w14:textId="77777777" w:rsidTr="00F23A4D">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61F9A288" w14:textId="77777777" w:rsidR="00FE79A0" w:rsidRDefault="00FE79A0" w:rsidP="00F23A4D">
            <w:pPr>
              <w:pStyle w:val="BoxHeading"/>
              <w:rPr>
                <w:sz w:val="28"/>
                <w:szCs w:val="28"/>
                <w:lang w:eastAsia="en-US"/>
              </w:rPr>
            </w:pPr>
            <w:r>
              <w:rPr>
                <w:sz w:val="28"/>
                <w:szCs w:val="28"/>
                <w:lang w:eastAsia="en-US"/>
              </w:rPr>
              <w:t>Recommendation 8</w:t>
            </w:r>
          </w:p>
          <w:p w14:paraId="40DD2C2C" w14:textId="7DFFD678" w:rsidR="00FE79A0" w:rsidRPr="001942AD" w:rsidRDefault="00FE79A0" w:rsidP="00F23A4D">
            <w:r>
              <w:t xml:space="preserve">Update the regulations for tolling arrangements in alignment </w:t>
            </w:r>
            <w:r w:rsidR="00E42749">
              <w:t>to support the effective operation of</w:t>
            </w:r>
            <w:r>
              <w:t xml:space="preserve"> the RPM and to ensure that arm’s length/commercial transactions for parts of the LNG production chain (that reflect the underlying resource ownership and risks to parties) are used as far as possible as a reference for establishing a gas transfer price.</w:t>
            </w:r>
          </w:p>
        </w:tc>
      </w:tr>
    </w:tbl>
    <w:p w14:paraId="6D786F7D" w14:textId="15A30875" w:rsidR="006A07FA" w:rsidRDefault="00761E65" w:rsidP="009C5811">
      <w:pPr>
        <w:pStyle w:val="Heading3"/>
      </w:pPr>
      <w:r>
        <w:t>Insufficient evidence and anti</w:t>
      </w:r>
      <w:r w:rsidR="00BC5615">
        <w:t>-avoidance provisions</w:t>
      </w:r>
    </w:p>
    <w:p w14:paraId="00A75532" w14:textId="3826ED7F" w:rsidR="00CC7399" w:rsidRDefault="00CC7399" w:rsidP="00CC7399">
      <w:r>
        <w:t xml:space="preserve">Where there is insufficient evidence </w:t>
      </w:r>
      <w:r w:rsidR="006B00C1">
        <w:t xml:space="preserve">that the toll </w:t>
      </w:r>
      <w:r w:rsidR="00ED67F4">
        <w:t xml:space="preserve">paid </w:t>
      </w:r>
      <w:r w:rsidR="00C46461">
        <w:t xml:space="preserve">is </w:t>
      </w:r>
      <w:r>
        <w:t>an arm</w:t>
      </w:r>
      <w:r w:rsidR="00F26F62">
        <w:t>’</w:t>
      </w:r>
      <w:r>
        <w:t>s-length price/commercially driven price</w:t>
      </w:r>
      <w:r w:rsidR="001321F6">
        <w:t>,</w:t>
      </w:r>
      <w:r>
        <w:t xml:space="preserve"> the netback price </w:t>
      </w:r>
      <w:r w:rsidR="001321F6">
        <w:t xml:space="preserve">should </w:t>
      </w:r>
      <w:r>
        <w:t xml:space="preserve">be calculated using the process in section 25 of the </w:t>
      </w:r>
      <w:r w:rsidR="00482ACF">
        <w:t xml:space="preserve">GTP </w:t>
      </w:r>
      <w:r>
        <w:t>Regulation:</w:t>
      </w:r>
    </w:p>
    <w:p w14:paraId="65F2D122" w14:textId="547CF473" w:rsidR="00CC7399" w:rsidRDefault="00CC7399" w:rsidP="003777EA">
      <w:pPr>
        <w:pStyle w:val="ListParagraph"/>
        <w:numPr>
          <w:ilvl w:val="0"/>
          <w:numId w:val="20"/>
        </w:numPr>
        <w:spacing w:after="200"/>
      </w:pPr>
      <w:r>
        <w:t xml:space="preserve">The </w:t>
      </w:r>
      <w:r w:rsidR="0062605C">
        <w:t xml:space="preserve">taxpayer </w:t>
      </w:r>
      <w:r>
        <w:t xml:space="preserve">and the Commissioner agreeing on the netback price; or </w:t>
      </w:r>
    </w:p>
    <w:p w14:paraId="2F4DEFCA" w14:textId="77777777" w:rsidR="00CC7399" w:rsidRDefault="00CC7399" w:rsidP="003777EA">
      <w:pPr>
        <w:pStyle w:val="ListParagraph"/>
        <w:numPr>
          <w:ilvl w:val="0"/>
          <w:numId w:val="20"/>
        </w:numPr>
        <w:spacing w:after="200"/>
      </w:pPr>
      <w:r>
        <w:t>Where an agreement on the netback price cannot be reached, when the Commissioner is satisfied that a fair and reasonable price can be worked out using information available to the Commissioner.</w:t>
      </w:r>
    </w:p>
    <w:p w14:paraId="5C3D0610" w14:textId="0D223051" w:rsidR="00CC7399" w:rsidRPr="00256F1C" w:rsidRDefault="00CC7399" w:rsidP="00CC7399">
      <w:r w:rsidRPr="00256F1C">
        <w:t xml:space="preserve">In line with the Government response to Recommendation 12 of the Callaghan Report that supports amending PRRT anti-avoidance rules, </w:t>
      </w:r>
      <w:bookmarkStart w:id="47" w:name="_Hlk126842573"/>
      <w:r w:rsidRPr="00256F1C">
        <w:t xml:space="preserve">anti-avoidance provisions </w:t>
      </w:r>
      <w:r w:rsidR="001321F6">
        <w:t xml:space="preserve">should </w:t>
      </w:r>
      <w:r w:rsidRPr="00256F1C">
        <w:t xml:space="preserve">apply in circumstances where entities structure the tolling arrangement to </w:t>
      </w:r>
      <w:r w:rsidRPr="00FB12D5">
        <w:t xml:space="preserve">artificially shift value to the Host </w:t>
      </w:r>
      <w:r w:rsidR="00154E80">
        <w:t>P</w:t>
      </w:r>
      <w:r w:rsidRPr="00FB12D5">
        <w:t>roject</w:t>
      </w:r>
      <w:r>
        <w:t xml:space="preserve"> or</w:t>
      </w:r>
      <w:r w:rsidRPr="00FB12D5">
        <w:t xml:space="preserve"> </w:t>
      </w:r>
      <w:r w:rsidRPr="00256F1C">
        <w:t xml:space="preserve">artificially shift the toll fee either to the upstream or downstream part of the project. </w:t>
      </w:r>
      <w:bookmarkEnd w:id="47"/>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CE553D" w14:paraId="4D578250"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bookmarkEnd w:id="46"/>
          <w:p w14:paraId="6141608F" w14:textId="5E260A76" w:rsidR="00CE553D" w:rsidRDefault="00030FD3">
            <w:pPr>
              <w:pStyle w:val="BoxHeading"/>
              <w:rPr>
                <w:sz w:val="28"/>
                <w:szCs w:val="28"/>
                <w:lang w:eastAsia="en-US"/>
              </w:rPr>
            </w:pPr>
            <w:r>
              <w:rPr>
                <w:sz w:val="28"/>
                <w:szCs w:val="28"/>
                <w:lang w:eastAsia="en-US"/>
              </w:rPr>
              <w:lastRenderedPageBreak/>
              <w:t>Recommendation</w:t>
            </w:r>
            <w:r w:rsidR="00FE79A0">
              <w:rPr>
                <w:sz w:val="28"/>
                <w:szCs w:val="28"/>
                <w:lang w:eastAsia="en-US"/>
              </w:rPr>
              <w:t xml:space="preserve"> 9</w:t>
            </w:r>
          </w:p>
          <w:p w14:paraId="242227A4" w14:textId="71021A78" w:rsidR="00CE553D" w:rsidRDefault="007D78E9">
            <w:pPr>
              <w:pStyle w:val="BoxText"/>
            </w:pPr>
            <w:r>
              <w:t xml:space="preserve">Update both the PRRT general anti-avoidance rule and the arm’s length rule and put beyond doubt that they apply to the </w:t>
            </w:r>
            <w:r w:rsidR="00D1791C">
              <w:t>GTP Regulation</w:t>
            </w:r>
            <w:r>
              <w:t>. This follows a recommendation made by the Callaghan Review that the Government amend the PRRT anti-avoidance rules to be in line with the income tax anti-avoidance rules.</w:t>
            </w:r>
          </w:p>
        </w:tc>
      </w:tr>
    </w:tbl>
    <w:p w14:paraId="16B379C3" w14:textId="77777777" w:rsidR="00C211C3" w:rsidRDefault="00C211C3" w:rsidP="00A651DA">
      <w:pPr>
        <w:pStyle w:val="Heading3"/>
      </w:pPr>
      <w:r>
        <w:t>Commercial tension test</w:t>
      </w:r>
    </w:p>
    <w:p w14:paraId="69DCE2C0" w14:textId="08AB8969" w:rsidR="00A71354" w:rsidRDefault="00A71354" w:rsidP="00A71354">
      <w:r>
        <w:t>Due to the significant economic investment in LNG projects, it is common for there to be joint venture operations with more than one entity having an interest in the project.</w:t>
      </w:r>
      <w:r w:rsidR="00151767">
        <w:t xml:space="preserve"> </w:t>
      </w:r>
      <w:r>
        <w:t>Joint venture agreements vary</w:t>
      </w:r>
      <w:r w:rsidR="00735F55">
        <w:t>. However,</w:t>
      </w:r>
      <w:r>
        <w:t xml:space="preserve"> standard clauses often include:</w:t>
      </w:r>
    </w:p>
    <w:p w14:paraId="790F05E6" w14:textId="77777777" w:rsidR="00A71354" w:rsidRDefault="00A71354" w:rsidP="006A1A4F">
      <w:pPr>
        <w:pStyle w:val="ListParagraph"/>
        <w:numPr>
          <w:ilvl w:val="0"/>
          <w:numId w:val="22"/>
        </w:numPr>
        <w:spacing w:after="200"/>
      </w:pPr>
      <w:r>
        <w:t>The percentage share interest in the project which includes the resource, the upstream assets and/or downstream assets.</w:t>
      </w:r>
    </w:p>
    <w:p w14:paraId="50624B01" w14:textId="77777777" w:rsidR="00A71354" w:rsidRPr="00947298" w:rsidRDefault="00A71354" w:rsidP="006A1A4F">
      <w:pPr>
        <w:pStyle w:val="ListParagraph"/>
        <w:numPr>
          <w:ilvl w:val="0"/>
          <w:numId w:val="22"/>
        </w:numPr>
        <w:spacing w:after="200"/>
      </w:pPr>
      <w:r>
        <w:t>The percentage share interest in expenses and liabilities.</w:t>
      </w:r>
    </w:p>
    <w:p w14:paraId="65E44857" w14:textId="7216B19F" w:rsidR="00A71354" w:rsidRDefault="00A71354" w:rsidP="006A1A4F">
      <w:pPr>
        <w:pStyle w:val="ListParagraph"/>
        <w:numPr>
          <w:ilvl w:val="0"/>
          <w:numId w:val="22"/>
        </w:numPr>
        <w:spacing w:after="200"/>
      </w:pPr>
      <w:r>
        <w:t>The rights and duties of the operator of the project.</w:t>
      </w:r>
    </w:p>
    <w:p w14:paraId="01B82FCA" w14:textId="77777777" w:rsidR="00A71354" w:rsidRDefault="00A71354" w:rsidP="006A1A4F">
      <w:pPr>
        <w:pStyle w:val="ListParagraph"/>
        <w:numPr>
          <w:ilvl w:val="0"/>
          <w:numId w:val="22"/>
        </w:numPr>
        <w:spacing w:after="200"/>
      </w:pPr>
      <w:r>
        <w:t xml:space="preserve">The decision-making process such as the composition of an Operating Committee, the matters that require approval from an Operating Committee and the voting rights of each party. </w:t>
      </w:r>
    </w:p>
    <w:p w14:paraId="3F3D505B" w14:textId="6E385D57" w:rsidR="00A71354" w:rsidRDefault="00A71354" w:rsidP="00A71354">
      <w:r>
        <w:t xml:space="preserve">The commercial context that led to the tolling price should be factored in when determining whether </w:t>
      </w:r>
      <w:r w:rsidR="00211192">
        <w:t>it</w:t>
      </w:r>
      <w:r>
        <w:t xml:space="preserve"> is an appropriate amount to include in the </w:t>
      </w:r>
      <w:r w:rsidR="007A177C">
        <w:t>GTP</w:t>
      </w:r>
      <w:r>
        <w:t xml:space="preserve"> calculation.</w:t>
      </w:r>
      <w:r w:rsidR="00151767">
        <w:t xml:space="preserve"> </w:t>
      </w:r>
      <w:r>
        <w:t>It may be reasonable to include such an amount in circumstances where the parties to a tolling a</w:t>
      </w:r>
      <w:r w:rsidR="00211192">
        <w:t xml:space="preserve">rrangement </w:t>
      </w:r>
      <w:r>
        <w:t>are third parties and each party has influence in negotiating the terms of the a</w:t>
      </w:r>
      <w:r w:rsidR="00211192">
        <w:t>rrangement</w:t>
      </w:r>
      <w:r>
        <w:t>.</w:t>
      </w:r>
      <w:r w:rsidR="00151767">
        <w:t xml:space="preserve"> </w:t>
      </w:r>
    </w:p>
    <w:p w14:paraId="3ED0039A" w14:textId="45BB1060" w:rsidR="00A71354" w:rsidRPr="005F5544" w:rsidRDefault="00A71354" w:rsidP="008654D2">
      <w:r w:rsidRPr="005F5544">
        <w:t>In considering whether an arms-length price</w:t>
      </w:r>
      <w:r w:rsidR="007863A8">
        <w:t>/commercially driven</w:t>
      </w:r>
      <w:r w:rsidRPr="005F5544">
        <w:t xml:space="preserve"> </w:t>
      </w:r>
      <w:r w:rsidR="0001240C">
        <w:t>price</w:t>
      </w:r>
      <w:r w:rsidRPr="005F5544">
        <w:t xml:space="preserve"> has been paid in a tolling arrangement</w:t>
      </w:r>
      <w:r w:rsidR="003148D2">
        <w:t xml:space="preserve">, </w:t>
      </w:r>
      <w:r w:rsidRPr="005F5544">
        <w:t xml:space="preserve">an objective test that allows companies to determine whether </w:t>
      </w:r>
      <w:r w:rsidR="00EE350D">
        <w:t>there was</w:t>
      </w:r>
      <w:r w:rsidR="00793D32">
        <w:t xml:space="preserve"> sufficient commercial tension</w:t>
      </w:r>
      <w:r w:rsidR="00EE350D">
        <w:t xml:space="preserve"> should be used</w:t>
      </w:r>
      <w:r w:rsidRPr="005F5544">
        <w:t>.</w:t>
      </w:r>
      <w:r w:rsidR="00151767">
        <w:t xml:space="preserve"> </w:t>
      </w:r>
      <w:r w:rsidRPr="005F5544">
        <w:t>Principles that could be included in the test are:</w:t>
      </w:r>
    </w:p>
    <w:p w14:paraId="68C341EF" w14:textId="6A2F6C2B" w:rsidR="0091517D" w:rsidRDefault="0091517D" w:rsidP="006A1A4F">
      <w:pPr>
        <w:pStyle w:val="ListParagraph"/>
        <w:numPr>
          <w:ilvl w:val="0"/>
          <w:numId w:val="44"/>
        </w:numPr>
        <w:spacing w:after="200"/>
      </w:pPr>
      <w:r>
        <w:t>Ea</w:t>
      </w:r>
      <w:r w:rsidR="00026795">
        <w:t>ch taxpayer of the Host Project</w:t>
      </w:r>
      <w:r w:rsidR="00C45958">
        <w:t xml:space="preserve"> and the Shipper Project needs to demonstrate the toll charged is an unrelated third</w:t>
      </w:r>
      <w:r w:rsidR="009F2240">
        <w:t>-</w:t>
      </w:r>
      <w:r w:rsidR="00C45958">
        <w:t>party toll or calculated by reference to an unrelated third</w:t>
      </w:r>
      <w:r w:rsidR="009F2240">
        <w:t>-</w:t>
      </w:r>
      <w:r w:rsidR="00C45958">
        <w:t xml:space="preserve">party toll. </w:t>
      </w:r>
    </w:p>
    <w:p w14:paraId="4D26FFB0" w14:textId="6EDE7F37" w:rsidR="00A71354" w:rsidRPr="005F5544" w:rsidRDefault="00A71354" w:rsidP="006A1A4F">
      <w:pPr>
        <w:pStyle w:val="ListParagraph"/>
        <w:numPr>
          <w:ilvl w:val="0"/>
          <w:numId w:val="44"/>
        </w:numPr>
        <w:spacing w:after="200"/>
      </w:pPr>
      <w:r w:rsidRPr="005F5544">
        <w:t xml:space="preserve">Each party of the </w:t>
      </w:r>
      <w:r>
        <w:t>H</w:t>
      </w:r>
      <w:r w:rsidRPr="005F5544">
        <w:t xml:space="preserve">ost </w:t>
      </w:r>
      <w:r>
        <w:t>P</w:t>
      </w:r>
      <w:r w:rsidRPr="005F5544">
        <w:t xml:space="preserve">roject and the </w:t>
      </w:r>
      <w:r>
        <w:t>S</w:t>
      </w:r>
      <w:r w:rsidRPr="005F5544">
        <w:t xml:space="preserve">hipper </w:t>
      </w:r>
      <w:r>
        <w:t>P</w:t>
      </w:r>
      <w:r w:rsidRPr="005F5544">
        <w:t xml:space="preserve">roject </w:t>
      </w:r>
      <w:r>
        <w:t xml:space="preserve">can </w:t>
      </w:r>
      <w:r w:rsidRPr="005F5544">
        <w:t>demonstrate that any common ownership between the two projects did not control the terms of the tolling agreement</w:t>
      </w:r>
      <w:r w:rsidR="00630CA7">
        <w:t xml:space="preserve">. That is, </w:t>
      </w:r>
      <w:r w:rsidRPr="005F5544">
        <w:t>through each party having voting rights</w:t>
      </w:r>
      <w:r>
        <w:t xml:space="preserve"> or negotiation powers in the respective projects</w:t>
      </w:r>
      <w:r w:rsidRPr="005F5544">
        <w:t>.</w:t>
      </w:r>
      <w:r w:rsidR="00151767">
        <w:t xml:space="preserve"> </w:t>
      </w:r>
    </w:p>
    <w:p w14:paraId="6C2BED7C" w14:textId="77777777" w:rsidR="00A71354" w:rsidRDefault="00A71354" w:rsidP="006A1A4F">
      <w:pPr>
        <w:pStyle w:val="ListParagraph"/>
        <w:numPr>
          <w:ilvl w:val="0"/>
          <w:numId w:val="44"/>
        </w:numPr>
        <w:spacing w:after="200"/>
      </w:pPr>
      <w:r w:rsidRPr="005F5544">
        <w:t xml:space="preserve">When considering common ownership this includes </w:t>
      </w:r>
      <w:r>
        <w:t xml:space="preserve">affiliated entities or </w:t>
      </w:r>
      <w:r w:rsidRPr="005F5544">
        <w:t>associated entities of either the Host Project or the Shipper Project.</w:t>
      </w:r>
    </w:p>
    <w:p w14:paraId="6C42931F" w14:textId="77777777" w:rsidR="00A71354" w:rsidRPr="005F5544" w:rsidRDefault="00A71354" w:rsidP="006A1A4F">
      <w:pPr>
        <w:pStyle w:val="ListParagraph"/>
        <w:numPr>
          <w:ilvl w:val="0"/>
          <w:numId w:val="44"/>
        </w:numPr>
        <w:spacing w:after="200"/>
      </w:pPr>
      <w:r>
        <w:t>If an entity and its affiliated entities/associated entities has the power of veto and the entity controls the business decisions of the project, then there isn’t sufficient commercial tension between the entities.</w:t>
      </w:r>
    </w:p>
    <w:p w14:paraId="51130DD0" w14:textId="77777777" w:rsidR="00A71354" w:rsidRPr="005F5544" w:rsidRDefault="00A71354" w:rsidP="006A1A4F">
      <w:pPr>
        <w:pStyle w:val="ListParagraph"/>
        <w:numPr>
          <w:ilvl w:val="0"/>
          <w:numId w:val="44"/>
        </w:numPr>
        <w:spacing w:after="200"/>
      </w:pPr>
      <w:r w:rsidRPr="005F5544">
        <w:t xml:space="preserve">There is no evidence of any of the parties working </w:t>
      </w:r>
      <w:r>
        <w:t xml:space="preserve">together </w:t>
      </w:r>
      <w:r w:rsidRPr="005F5544">
        <w:t>to reach an agreed tolling price.</w:t>
      </w:r>
    </w:p>
    <w:p w14:paraId="0A637D44" w14:textId="14559D16" w:rsidR="00C211C3" w:rsidRDefault="00C211C3" w:rsidP="00A651DA">
      <w:pPr>
        <w:pStyle w:val="Heading3"/>
      </w:pPr>
      <w:r>
        <w:lastRenderedPageBreak/>
        <w:t>Treatment of Upstream and Downstream portions of a tolling fee</w:t>
      </w:r>
      <w:r w:rsidR="005C26F5">
        <w:t xml:space="preserve"> if netback only option is adopted</w:t>
      </w:r>
    </w:p>
    <w:p w14:paraId="4B01DE6D" w14:textId="1CB93056" w:rsidR="00030C84" w:rsidRDefault="00056F10" w:rsidP="00C211C3">
      <w:r w:rsidRPr="00056F10">
        <w:t>In many projects the taxing point of the sales gas is within the liquefaction plant</w:t>
      </w:r>
      <w:r w:rsidR="009733A2">
        <w:t>. This means that e</w:t>
      </w:r>
      <w:r w:rsidRPr="00056F10">
        <w:t xml:space="preserve">ven where the toll arrangement is only for the </w:t>
      </w:r>
      <w:r w:rsidR="00E946E4">
        <w:t>processing and li</w:t>
      </w:r>
      <w:r w:rsidR="002D2406">
        <w:t>quefaction</w:t>
      </w:r>
      <w:r w:rsidRPr="00056F10">
        <w:t xml:space="preserve"> facilities</w:t>
      </w:r>
      <w:r w:rsidR="009733A2">
        <w:t>,</w:t>
      </w:r>
      <w:r w:rsidRPr="00056F10">
        <w:t xml:space="preserve"> a portion of the toll fee will be related to the upstream PRRT project and a portion to the downstream facilities.</w:t>
      </w:r>
      <w:r w:rsidR="00151767">
        <w:t xml:space="preserve"> </w:t>
      </w:r>
      <w:r w:rsidRPr="00056F10">
        <w:t xml:space="preserve">In some instances, a toll fee may also include an amount for </w:t>
      </w:r>
      <w:r w:rsidR="0038173E">
        <w:t xml:space="preserve">use of </w:t>
      </w:r>
      <w:r w:rsidRPr="00056F10">
        <w:t>upstream infrastructure such as pipelines that transport the gas to the LNG facility.</w:t>
      </w:r>
      <w:r w:rsidR="00151767">
        <w:t xml:space="preserve"> </w:t>
      </w:r>
      <w:r w:rsidRPr="00056F10">
        <w:t>The toll fee may</w:t>
      </w:r>
      <w:r w:rsidR="0078490B">
        <w:t xml:space="preserve"> </w:t>
      </w:r>
      <w:r w:rsidRPr="00056F10">
        <w:t xml:space="preserve">be charged for multiple </w:t>
      </w:r>
      <w:r w:rsidR="009957B6">
        <w:t>MPCs</w:t>
      </w:r>
      <w:r w:rsidRPr="00056F10">
        <w:t xml:space="preserve"> which are processed through the upstream infrastructure.</w:t>
      </w:r>
    </w:p>
    <w:p w14:paraId="615467ED" w14:textId="3065C34B" w:rsidR="00F90DA9" w:rsidRDefault="00F90DA9" w:rsidP="00C211C3">
      <w:r>
        <w:rPr>
          <w:noProof/>
        </w:rPr>
        <w:drawing>
          <wp:inline distT="0" distB="0" distL="0" distR="0" wp14:anchorId="03EF8C65" wp14:editId="2EB73317">
            <wp:extent cx="5789330" cy="4207497"/>
            <wp:effectExtent l="0" t="0" r="1905" b="3175"/>
            <wp:docPr id="8" name="Picture 8" descr="A diagram that describes the PRRT taxing point for integrated LNG projects. The PRRT applies to Marketable Petroleum Commodities. This means the PRRT applies to the precursor product - sales gas - used to produce LNG. The transfer price for sales gas is calculated at the point where the sales gas has been extracted, transported and processed, but before it is liquefied and later sold as L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that describes the PRRT taxing point for integrated LNG projects. The PRRT applies to Marketable Petroleum Commodities. This means the PRRT applies to the precursor product - sales gas - used to produce LNG. The transfer price for sales gas is calculated at the point where the sales gas has been extracted, transported and processed, but before it is liquefied and later sold as L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33569" cy="4239649"/>
                    </a:xfrm>
                    <a:prstGeom prst="rect">
                      <a:avLst/>
                    </a:prstGeom>
                    <a:noFill/>
                    <a:ln>
                      <a:noFill/>
                    </a:ln>
                  </pic:spPr>
                </pic:pic>
              </a:graphicData>
            </a:graphic>
          </wp:inline>
        </w:drawing>
      </w:r>
    </w:p>
    <w:p w14:paraId="219A7EC9" w14:textId="64FDD2CF" w:rsidR="00677C64" w:rsidRPr="00677C64" w:rsidRDefault="00677C64" w:rsidP="00677C64">
      <w:r w:rsidRPr="00677C64">
        <w:t>When a liquefaction plant owner enters a tolling agreement, they may also be required to spend money either optimising their existing infrastructure for the new gas or building new infrastructure to manage the new volumes. Under the existing PRRT framework, the upstream component of a liquefaction plant may be part of an existing petroleum project.</w:t>
      </w:r>
    </w:p>
    <w:p w14:paraId="4BB68912" w14:textId="77777777" w:rsidR="00677C64" w:rsidRPr="00677C64" w:rsidRDefault="00677C64" w:rsidP="00677C64">
      <w:r w:rsidRPr="00677C64">
        <w:t>There are various options for the treatment of the upstream and downstream portions of the tolling fee:</w:t>
      </w:r>
    </w:p>
    <w:p w14:paraId="34B55726" w14:textId="49233967" w:rsidR="00677C64" w:rsidRPr="00677C64" w:rsidRDefault="00677C64" w:rsidP="00677C64">
      <w:pPr>
        <w:pStyle w:val="Bullet"/>
      </w:pPr>
      <w:r w:rsidRPr="00677C64">
        <w:t>Option 1</w:t>
      </w:r>
      <w:r w:rsidR="00245954">
        <w:t>:</w:t>
      </w:r>
      <w:r w:rsidRPr="00677C64">
        <w:t xml:space="preserve"> </w:t>
      </w:r>
      <w:r w:rsidR="005C3C01">
        <w:t>r</w:t>
      </w:r>
      <w:r w:rsidRPr="00677C64">
        <w:t xml:space="preserve">easonable apportionment with the upstream </w:t>
      </w:r>
      <w:r w:rsidR="00210EF2">
        <w:t>component of the</w:t>
      </w:r>
      <w:r w:rsidRPr="00677C64">
        <w:t xml:space="preserve"> toll included in the PRRT ringfence when the liquefaction plant is linked to a petroleum project.</w:t>
      </w:r>
    </w:p>
    <w:p w14:paraId="2BDD1DF4" w14:textId="192DF30D" w:rsidR="00677C64" w:rsidRPr="00677C64" w:rsidRDefault="00677C64" w:rsidP="00677C64">
      <w:pPr>
        <w:pStyle w:val="Bullet"/>
      </w:pPr>
      <w:r w:rsidRPr="00677C64">
        <w:t>Option 2</w:t>
      </w:r>
      <w:r w:rsidR="00546504">
        <w:t>:</w:t>
      </w:r>
      <w:r w:rsidRPr="00677C64">
        <w:t xml:space="preserve"> </w:t>
      </w:r>
      <w:r w:rsidR="005C3C01">
        <w:t>c</w:t>
      </w:r>
      <w:r w:rsidRPr="00677C64">
        <w:t>reation of a separate petroleum project for each tolling arrangement the host enters into.</w:t>
      </w:r>
    </w:p>
    <w:p w14:paraId="5CD2E89D" w14:textId="15F07534" w:rsidR="00677C64" w:rsidRDefault="00677C64" w:rsidP="00677C64">
      <w:pPr>
        <w:pStyle w:val="Bullet"/>
      </w:pPr>
      <w:r w:rsidRPr="00677C64">
        <w:t>Option 3</w:t>
      </w:r>
      <w:r w:rsidR="00546504">
        <w:t>:</w:t>
      </w:r>
      <w:r w:rsidRPr="00677C64">
        <w:t xml:space="preserve"> </w:t>
      </w:r>
      <w:r w:rsidR="00E61EAE">
        <w:t xml:space="preserve">treat </w:t>
      </w:r>
      <w:r w:rsidR="005C3C01">
        <w:t>t</w:t>
      </w:r>
      <w:r w:rsidRPr="00677C64">
        <w:t>he toll for a plant that includes liquefaction as part of the downstream of both the host and shipper projects.</w:t>
      </w:r>
    </w:p>
    <w:p w14:paraId="03D70F19" w14:textId="24F5309B" w:rsidR="00803E69" w:rsidRPr="00677C64" w:rsidRDefault="00803E69" w:rsidP="00803E69">
      <w:pPr>
        <w:pStyle w:val="Bullet"/>
        <w:numPr>
          <w:ilvl w:val="0"/>
          <w:numId w:val="0"/>
        </w:numPr>
      </w:pPr>
      <w:r>
        <w:lastRenderedPageBreak/>
        <w:t xml:space="preserve">Treasury recommends the adoption of option 1 </w:t>
      </w:r>
      <w:r w:rsidR="00A64282">
        <w:t>for reasons outlined below.</w:t>
      </w:r>
    </w:p>
    <w:p w14:paraId="6F2CF54F" w14:textId="4C3A925B" w:rsidR="00C211C3" w:rsidRDefault="00605823" w:rsidP="00975E1A">
      <w:pPr>
        <w:pStyle w:val="Heading3"/>
      </w:pPr>
      <w:r>
        <w:t xml:space="preserve">Option 1 - </w:t>
      </w:r>
      <w:r w:rsidR="005032D0">
        <w:t xml:space="preserve">Recommended </w:t>
      </w:r>
      <w:r w:rsidR="00D033C6">
        <w:t>o</w:t>
      </w:r>
      <w:r w:rsidR="00C211C3">
        <w:t>ption</w:t>
      </w:r>
      <w:r w:rsidR="003B2A90">
        <w:t>:</w:t>
      </w:r>
      <w:r w:rsidR="00C211C3">
        <w:t xml:space="preserve"> </w:t>
      </w:r>
      <w:r w:rsidR="00D033C6">
        <w:t>r</w:t>
      </w:r>
      <w:r w:rsidR="00C211C3">
        <w:t xml:space="preserve">easonable apportionment with the upstream </w:t>
      </w:r>
      <w:r w:rsidR="00210EF2">
        <w:t xml:space="preserve">component of the </w:t>
      </w:r>
      <w:r w:rsidR="00C211C3">
        <w:t>toll included in the PRRT ringfence when the liquefaction plant is linked to a petroleum project</w:t>
      </w:r>
    </w:p>
    <w:p w14:paraId="2ACBCE03" w14:textId="77777777" w:rsidR="00C211C3" w:rsidRDefault="00C211C3" w:rsidP="00A651DA">
      <w:pPr>
        <w:pStyle w:val="Heading4"/>
      </w:pPr>
      <w:bookmarkStart w:id="48" w:name="_Hlk130199095"/>
      <w:r>
        <w:t>Apportionment of toll fees when Host Project and Shipper Project are both PRRT Projects</w:t>
      </w:r>
    </w:p>
    <w:p w14:paraId="5873D1B6" w14:textId="61147582" w:rsidR="00BF2F8C" w:rsidRDefault="00CE43DA" w:rsidP="00BF2F8C">
      <w:r>
        <w:t xml:space="preserve">Treasury’s </w:t>
      </w:r>
      <w:r w:rsidR="004F5ECB">
        <w:t>recommendation is that w</w:t>
      </w:r>
      <w:r w:rsidR="00BF2F8C">
        <w:t>hen the Host Project and the Shipper Project are both PRRT projects</w:t>
      </w:r>
      <w:r w:rsidR="001049F0">
        <w:t xml:space="preserve">, the following </w:t>
      </w:r>
      <w:r w:rsidR="00BF2F8C">
        <w:t xml:space="preserve">method </w:t>
      </w:r>
      <w:r w:rsidR="004F5ECB">
        <w:t>is</w:t>
      </w:r>
      <w:r w:rsidR="00BF2F8C">
        <w:t xml:space="preserve"> used to apportion the arms-length toll paid into upstream and downstream components</w:t>
      </w:r>
      <w:r w:rsidR="0009691B">
        <w:t>:</w:t>
      </w:r>
      <w:r w:rsidR="00BF2F8C">
        <w:t xml:space="preserve"> </w:t>
      </w:r>
    </w:p>
    <w:p w14:paraId="6E411DBD" w14:textId="77777777" w:rsidR="00BF2F8C" w:rsidRPr="00967644" w:rsidRDefault="00BF2F8C" w:rsidP="003777EA">
      <w:pPr>
        <w:pStyle w:val="ListParagraph"/>
        <w:numPr>
          <w:ilvl w:val="0"/>
          <w:numId w:val="23"/>
        </w:numPr>
        <w:spacing w:after="200"/>
      </w:pPr>
      <w:r>
        <w:t>The Shipper Project would claim the upstream portion of the toll paid as a general deduction and the downstream portion of the toll paid would be included in the netback calculation.</w:t>
      </w:r>
    </w:p>
    <w:p w14:paraId="531EC7B5" w14:textId="77777777" w:rsidR="00BF2F8C" w:rsidRDefault="00BF2F8C" w:rsidP="003777EA">
      <w:pPr>
        <w:pStyle w:val="ListParagraph"/>
        <w:numPr>
          <w:ilvl w:val="0"/>
          <w:numId w:val="23"/>
        </w:numPr>
        <w:spacing w:after="200"/>
      </w:pPr>
      <w:r>
        <w:t>Where the infrastructure used is part of an existing PRRT project, the Host Project would treat the upstream portion of the toll as an assessable tolling receipt. Any modifications to the upstream plant would likewise be deductible to the host project. The downstream portion of the toll would not be an assessable tolling receipt and the Host Project includes the operating costs and capital costs for the downstream infrastructure in the netback calculation.</w:t>
      </w:r>
    </w:p>
    <w:bookmarkEnd w:id="48"/>
    <w:p w14:paraId="455AC6C8" w14:textId="03D03A57" w:rsidR="00C211C3" w:rsidRDefault="00C211C3" w:rsidP="00BF2F8C">
      <w:pPr>
        <w:pStyle w:val="Heading4"/>
      </w:pPr>
      <w:r>
        <w:t xml:space="preserve">Apportionment of toll fees when </w:t>
      </w:r>
      <w:r w:rsidR="00210EF2">
        <w:t>i</w:t>
      </w:r>
      <w:r w:rsidR="00F42A0A">
        <w:t>nfrastructure owner</w:t>
      </w:r>
      <w:r>
        <w:t xml:space="preserve"> is not a PRRT Project</w:t>
      </w:r>
    </w:p>
    <w:p w14:paraId="49B6318D" w14:textId="5637F099" w:rsidR="00803A9C" w:rsidRPr="00803A9C" w:rsidRDefault="00803A9C" w:rsidP="00803A9C">
      <w:r w:rsidRPr="00803A9C">
        <w:t xml:space="preserve">There are examples of tolling arrangements where the </w:t>
      </w:r>
      <w:r w:rsidR="00171826">
        <w:t>infrastructure</w:t>
      </w:r>
      <w:r w:rsidR="00B47C58">
        <w:t xml:space="preserve"> owner</w:t>
      </w:r>
      <w:r w:rsidRPr="00803A9C">
        <w:t xml:space="preserve"> is not a PRRT Project</w:t>
      </w:r>
      <w:r w:rsidR="003360B7">
        <w:t>. T</w:t>
      </w:r>
      <w:r w:rsidR="0035632C">
        <w:t xml:space="preserve">his would occur when </w:t>
      </w:r>
      <w:r w:rsidR="005501E7">
        <w:t>they do</w:t>
      </w:r>
      <w:r w:rsidRPr="00803A9C">
        <w:t xml:space="preserve"> not hav</w:t>
      </w:r>
      <w:r w:rsidR="005501E7">
        <w:t>e</w:t>
      </w:r>
      <w:r w:rsidRPr="00803A9C">
        <w:t xml:space="preserve"> an interest in an offshore exploration permit, retention lease or production licence.</w:t>
      </w:r>
      <w:r w:rsidR="00F9029E">
        <w:t xml:space="preserve"> </w:t>
      </w:r>
      <w:r w:rsidRPr="00803A9C">
        <w:t>Where the Shipper Project is a PRRT Project it is recommended that where a reasonable method has been used to apportion the arms-length toll paid into the upstream and downstream components of the project</w:t>
      </w:r>
      <w:r w:rsidR="00544E4A">
        <w:t>,</w:t>
      </w:r>
      <w:r w:rsidRPr="00803A9C">
        <w:t xml:space="preserve"> the toll payment can be treated in the following way:</w:t>
      </w:r>
    </w:p>
    <w:p w14:paraId="72B201AE" w14:textId="73EF5E3C" w:rsidR="00803A9C" w:rsidRPr="00803A9C" w:rsidRDefault="00803A9C" w:rsidP="003777EA">
      <w:pPr>
        <w:pStyle w:val="ListParagraph"/>
        <w:numPr>
          <w:ilvl w:val="0"/>
          <w:numId w:val="24"/>
        </w:numPr>
        <w:spacing w:after="200"/>
      </w:pPr>
      <w:r w:rsidRPr="00803A9C">
        <w:t>The Shipper Project would claim the upstream portion of the toll paid as a general deduction and the downstream portion of the toll paid would be included in the netback price calculation.</w:t>
      </w:r>
      <w:r w:rsidR="00151767">
        <w:t xml:space="preserve"> </w:t>
      </w:r>
    </w:p>
    <w:p w14:paraId="31F7695F" w14:textId="2B995687" w:rsidR="00803A9C" w:rsidRPr="00803A9C" w:rsidRDefault="00803A9C" w:rsidP="003777EA">
      <w:pPr>
        <w:pStyle w:val="ListParagraph"/>
        <w:numPr>
          <w:ilvl w:val="0"/>
          <w:numId w:val="24"/>
        </w:numPr>
        <w:spacing w:after="200"/>
      </w:pPr>
      <w:r w:rsidRPr="00803A9C">
        <w:t xml:space="preserve">As the </w:t>
      </w:r>
      <w:r w:rsidR="00210EF2">
        <w:t>i</w:t>
      </w:r>
      <w:r w:rsidR="00970C5E">
        <w:t>nfrastructure owner</w:t>
      </w:r>
      <w:r w:rsidRPr="00803A9C">
        <w:t xml:space="preserve"> is not a PRRT Project, the tolling payment would not be treated as an assessable receipt </w:t>
      </w:r>
      <w:r w:rsidR="00DA4837">
        <w:t xml:space="preserve">for PRRT purposes </w:t>
      </w:r>
      <w:r w:rsidRPr="00803A9C">
        <w:t xml:space="preserve">and there would be no deductions for any of the infrastructure. The income and deductions for the </w:t>
      </w:r>
      <w:r w:rsidR="00171826">
        <w:t>infrastructure</w:t>
      </w:r>
      <w:r w:rsidR="008202ED">
        <w:t xml:space="preserve"> owner</w:t>
      </w:r>
      <w:r w:rsidRPr="00803A9C">
        <w:t xml:space="preserve"> would be included in the </w:t>
      </w:r>
      <w:r w:rsidR="00DA4837">
        <w:t xml:space="preserve">corporate </w:t>
      </w:r>
      <w:r w:rsidRPr="00803A9C">
        <w:t>income tax regime.</w:t>
      </w:r>
    </w:p>
    <w:p w14:paraId="1CEC5A01" w14:textId="2A3B6D2F" w:rsidR="00544E4A" w:rsidRDefault="00803A9C" w:rsidP="00544E4A">
      <w:r w:rsidRPr="00803A9C">
        <w:t xml:space="preserve">This treatment of the toll paid is symmetric for PRRT purposes as the PRRT taxable profit for Shipper </w:t>
      </w:r>
      <w:r w:rsidR="004360C1">
        <w:t>Project would be calculated as follows:</w:t>
      </w:r>
    </w:p>
    <w:p w14:paraId="14FEB048" w14:textId="62EEA61B" w:rsidR="00544E4A" w:rsidRDefault="00803A9C" w:rsidP="00975E1A">
      <w:r w:rsidRPr="00544E4A">
        <w:rPr>
          <w:b/>
          <w:bCs/>
        </w:rPr>
        <w:t>(Assessable receipts based on the netback price) – (Deductible expenditure associated with the upstream</w:t>
      </w:r>
      <w:r w:rsidR="002973B0" w:rsidRPr="00544E4A">
        <w:rPr>
          <w:b/>
          <w:bCs/>
        </w:rPr>
        <w:t xml:space="preserve"> such as</w:t>
      </w:r>
      <w:r w:rsidR="002407C0" w:rsidRPr="00544E4A">
        <w:rPr>
          <w:b/>
          <w:bCs/>
        </w:rPr>
        <w:t xml:space="preserve"> </w:t>
      </w:r>
      <w:r w:rsidRPr="00544E4A">
        <w:rPr>
          <w:b/>
          <w:bCs/>
        </w:rPr>
        <w:t>wellheads, pipes, exploration and proportion of the tolling fee that is allocated to upstream processing)</w:t>
      </w:r>
    </w:p>
    <w:p w14:paraId="32581040" w14:textId="17651024" w:rsidR="00803A9C" w:rsidRPr="00803A9C" w:rsidRDefault="004E175F" w:rsidP="00544E4A">
      <w:r>
        <w:t>T</w:t>
      </w:r>
      <w:r w:rsidR="00803A9C" w:rsidRPr="00803A9C">
        <w:t xml:space="preserve">here would be no PRRT income or deductions for the </w:t>
      </w:r>
      <w:r w:rsidR="00736468">
        <w:t>infrastructure owner</w:t>
      </w:r>
      <w:r w:rsidR="00803A9C" w:rsidRPr="00803A9C">
        <w:t xml:space="preserve"> for the toll fee or the infrastructure.</w:t>
      </w:r>
    </w:p>
    <w:p w14:paraId="000B27DE" w14:textId="49D489EB" w:rsidR="00C211C3" w:rsidRDefault="00C211C3" w:rsidP="00975E1A">
      <w:pPr>
        <w:pStyle w:val="Heading4"/>
      </w:pPr>
      <w:r>
        <w:lastRenderedPageBreak/>
        <w:t>Option 2</w:t>
      </w:r>
      <w:r w:rsidR="009534C9">
        <w:t>:</w:t>
      </w:r>
      <w:r>
        <w:t xml:space="preserve"> Tolling receipts to be treated as a separate PRRT project</w:t>
      </w:r>
    </w:p>
    <w:p w14:paraId="4333AA53" w14:textId="623B2EC2" w:rsidR="00F54158" w:rsidRDefault="00F54158" w:rsidP="00F54158">
      <w:r>
        <w:t xml:space="preserve">Treasury considered this option </w:t>
      </w:r>
      <w:r w:rsidR="00E0617C">
        <w:t>as</w:t>
      </w:r>
      <w:r>
        <w:t xml:space="preserve"> PRRT is a project</w:t>
      </w:r>
      <w:r w:rsidR="003C3985">
        <w:t>-</w:t>
      </w:r>
      <w:r>
        <w:t xml:space="preserve">based tax, but in recognition that current industry trends make it likely that the same </w:t>
      </w:r>
      <w:r w:rsidR="00060831">
        <w:t>i</w:t>
      </w:r>
      <w:r>
        <w:t>nfrastructure will be used over multiple projects.</w:t>
      </w:r>
    </w:p>
    <w:p w14:paraId="74D483B7" w14:textId="137DB906" w:rsidR="00F54158" w:rsidRPr="000526D1" w:rsidRDefault="00F54158" w:rsidP="00F54158">
      <w:r>
        <w:t>This</w:t>
      </w:r>
      <w:r w:rsidRPr="000526D1">
        <w:t xml:space="preserve"> option </w:t>
      </w:r>
      <w:r>
        <w:t>would ensure</w:t>
      </w:r>
      <w:r w:rsidRPr="000526D1">
        <w:t xml:space="preserve"> tolling receipts received by the Host Project </w:t>
      </w:r>
      <w:r w:rsidR="00023DB4">
        <w:t>are</w:t>
      </w:r>
      <w:r w:rsidRPr="000526D1">
        <w:t xml:space="preserve"> treated as a separate PRRT project.</w:t>
      </w:r>
      <w:r w:rsidR="00151767">
        <w:t xml:space="preserve"> </w:t>
      </w:r>
      <w:r>
        <w:t>It would ensure that tolling arrangements are not entered into or negotiated in a way that shifts value from a new PRRT project to a</w:t>
      </w:r>
      <w:r w:rsidRPr="000526D1">
        <w:t xml:space="preserve"> Host Project</w:t>
      </w:r>
      <w:r>
        <w:t xml:space="preserve"> that</w:t>
      </w:r>
      <w:r w:rsidRPr="000526D1">
        <w:t xml:space="preserve"> has carried forward losses (</w:t>
      </w:r>
      <w:r w:rsidR="005C1445">
        <w:t>that is,</w:t>
      </w:r>
      <w:r w:rsidRPr="000526D1">
        <w:t xml:space="preserve"> are not yet in a PRRT paying position)</w:t>
      </w:r>
      <w:r>
        <w:t xml:space="preserve">. Such arrangements could be used to </w:t>
      </w:r>
      <w:r w:rsidRPr="000526D1">
        <w:t>shield</w:t>
      </w:r>
      <w:r>
        <w:t xml:space="preserve"> the PRRT attributable to one project from the</w:t>
      </w:r>
      <w:r w:rsidRPr="000526D1">
        <w:t xml:space="preserve"> losses relating to another project.</w:t>
      </w:r>
      <w:r w:rsidR="00151767">
        <w:t xml:space="preserve"> </w:t>
      </w:r>
    </w:p>
    <w:p w14:paraId="53C6B576" w14:textId="77777777" w:rsidR="00F54158" w:rsidRDefault="00F54158" w:rsidP="00F54158">
      <w:r w:rsidRPr="000526D1">
        <w:t>This option would add significant complexity to the regime and lift the regulatory burden</w:t>
      </w:r>
      <w:r>
        <w:t xml:space="preserve"> with every infrastructure owner in every tolling arrangement being required to create a separate nominal project including pure infrastructure owners who previously had no PRRT obligations.</w:t>
      </w:r>
      <w:r w:rsidRPr="000526D1">
        <w:t xml:space="preserve"> It would create a complex interaction with the key components of the PRRT Act such as how the taxable profit would be calculated for this project</w:t>
      </w:r>
      <w:r>
        <w:t xml:space="preserve"> and how closing down expenditure would be apportioned and refunded. It would also create different treatment for different types of infrastructure owners with similar principles applying to other types of infrastructure such as pipelines.</w:t>
      </w:r>
    </w:p>
    <w:p w14:paraId="037911E7" w14:textId="0339B5CE" w:rsidR="00F54158" w:rsidRPr="000526D1" w:rsidRDefault="00F54158" w:rsidP="00F54158">
      <w:r>
        <w:t xml:space="preserve">Instead of recommending this approach, Treasury’s recommendation, consistent with the Callaghan </w:t>
      </w:r>
      <w:r w:rsidR="00A60033">
        <w:t>R</w:t>
      </w:r>
      <w:r>
        <w:t xml:space="preserve">eview, is to strengthen the anti-avoidance provisions in the PRRT to ensure that </w:t>
      </w:r>
      <w:r w:rsidR="00161FE8">
        <w:t xml:space="preserve">the </w:t>
      </w:r>
      <w:r w:rsidRPr="00FB12D5">
        <w:t>anti-avoidance provisions apply in circumstances where entities structure the tolling arrangement</w:t>
      </w:r>
      <w:r>
        <w:t xml:space="preserve"> to artificially shift value to the Host project</w:t>
      </w:r>
      <w:r w:rsidRPr="00FB12D5">
        <w:t xml:space="preserve"> </w:t>
      </w:r>
      <w:r w:rsidR="00FE7F67">
        <w:t>by</w:t>
      </w:r>
      <w:r w:rsidRPr="00FB12D5">
        <w:t xml:space="preserve"> artificially shift</w:t>
      </w:r>
      <w:r w:rsidR="00FE7F67">
        <w:t>ing</w:t>
      </w:r>
      <w:r w:rsidRPr="00FB12D5">
        <w:t xml:space="preserve"> the toll fee either to the upstream or downstream part of the project.</w:t>
      </w:r>
    </w:p>
    <w:p w14:paraId="19A139CB" w14:textId="61F44FAE" w:rsidR="00C211C3" w:rsidRDefault="00C211C3" w:rsidP="00975E1A">
      <w:pPr>
        <w:pStyle w:val="Heading4"/>
      </w:pPr>
      <w:r>
        <w:t xml:space="preserve">Option 3: No </w:t>
      </w:r>
      <w:r w:rsidR="004E175F">
        <w:t>a</w:t>
      </w:r>
      <w:r>
        <w:t>pportionment of liquefaction fees</w:t>
      </w:r>
      <w:r w:rsidR="004E175F">
        <w:t>,</w:t>
      </w:r>
      <w:r>
        <w:t xml:space="preserve"> as allocated to the downstream</w:t>
      </w:r>
      <w:r w:rsidR="00F9029E">
        <w:t xml:space="preserve"> </w:t>
      </w:r>
    </w:p>
    <w:p w14:paraId="7A8F3DB6" w14:textId="05A67191" w:rsidR="00F83E66" w:rsidRDefault="00F83E66" w:rsidP="00F83E66">
      <w:r>
        <w:t>A long</w:t>
      </w:r>
      <w:r w:rsidR="002E64DB">
        <w:t>-</w:t>
      </w:r>
      <w:r>
        <w:t>standing issue in the PRRT has been the sharing of commercially sensitive information between companies that is required for tax purposes. The need to apportion a tolling fee between upstream and downstream builds on the existing design of the PRRT and the obligation to apportion the plant and equipment across the project and share that information between the owners of the infrastructure.</w:t>
      </w:r>
      <w:r w:rsidR="00151767">
        <w:t xml:space="preserve"> </w:t>
      </w:r>
      <w:r>
        <w:t xml:space="preserve">Apportionment of the tolling fee will require both the shipper and host project to agree on the apportionment of the toll to ensure that the tax symmetry outcome is met. </w:t>
      </w:r>
    </w:p>
    <w:p w14:paraId="6E318A78" w14:textId="55C0FB52" w:rsidR="00F83E66" w:rsidRPr="00C70E16" w:rsidRDefault="00F83E66" w:rsidP="00F83E66">
      <w:r>
        <w:t xml:space="preserve">Treasury considered treating a toll relating to a liquefaction plant as a </w:t>
      </w:r>
      <w:r w:rsidR="007C5743">
        <w:t xml:space="preserve">wholly </w:t>
      </w:r>
      <w:r>
        <w:t>downstream toll for the purposes of removing th</w:t>
      </w:r>
      <w:r w:rsidR="00DA4C21">
        <w:t>e</w:t>
      </w:r>
      <w:r>
        <w:t xml:space="preserve"> additional valuation point and need to share potentially commercially sensitive information between infrastructure owners and those accessing the infrastructure. </w:t>
      </w:r>
      <w:r w:rsidRPr="00C70E16">
        <w:t>This option would be to have no apportionment of the tolling fee and to treat any arm’s length price paid for a tolling service that includes liquefaction as part of the downstream.</w:t>
      </w:r>
      <w:r w:rsidR="00151767">
        <w:t xml:space="preserve"> </w:t>
      </w:r>
      <w:r w:rsidRPr="00C70E16">
        <w:t xml:space="preserve">This would remove the need to apportion the upstream component of the toll fee and treat it as an assessable receipt or deductible expenditure. </w:t>
      </w:r>
    </w:p>
    <w:p w14:paraId="18DB3673" w14:textId="587273A8" w:rsidR="00F83E66" w:rsidRPr="00320AB5" w:rsidRDefault="00F83E66" w:rsidP="00F83E66">
      <w:r w:rsidRPr="00320AB5">
        <w:t xml:space="preserve">Such an approach would </w:t>
      </w:r>
      <w:r>
        <w:t xml:space="preserve">also </w:t>
      </w:r>
      <w:r w:rsidRPr="00320AB5">
        <w:t xml:space="preserve">alleviate the potential for mismatches between assessable income and deductible expenditure in both the host and shipper projects. It would also ensure that there is no difference in treatment for liquefaction plants </w:t>
      </w:r>
      <w:r w:rsidR="00890E43">
        <w:t>based on whether they are</w:t>
      </w:r>
      <w:r w:rsidRPr="00320AB5">
        <w:t xml:space="preserve"> linked to petroleum projects.</w:t>
      </w:r>
    </w:p>
    <w:p w14:paraId="0A7A5327" w14:textId="47C170CD" w:rsidR="00F83E66" w:rsidRDefault="00890E43" w:rsidP="00F83E66">
      <w:r>
        <w:t>In practice</w:t>
      </w:r>
      <w:r w:rsidR="00F83E66">
        <w:t xml:space="preserve">, this </w:t>
      </w:r>
      <w:r w:rsidR="00F83E66" w:rsidRPr="005A7EEA">
        <w:t>would shift the taxing point to an earlier point of the process</w:t>
      </w:r>
      <w:r w:rsidR="00F83E66">
        <w:t xml:space="preserve"> for tolling projects. The toll fee may still need to be apportioned to account for</w:t>
      </w:r>
      <w:r w:rsidR="00F83E66" w:rsidRPr="005A7EEA">
        <w:t xml:space="preserve"> multiple commodities</w:t>
      </w:r>
      <w:r w:rsidR="00F83E66">
        <w:t xml:space="preserve"> still in the process at th</w:t>
      </w:r>
      <w:r w:rsidR="009D1386">
        <w:t>at</w:t>
      </w:r>
      <w:r w:rsidR="00F83E66">
        <w:t xml:space="preserve"> point. </w:t>
      </w:r>
      <w:r w:rsidR="00F83E66" w:rsidRPr="005A7EEA">
        <w:t xml:space="preserve">For example, where the tolling arrangement includes </w:t>
      </w:r>
      <w:r w:rsidR="00F83E66">
        <w:t>part of the</w:t>
      </w:r>
      <w:r w:rsidR="00F83E66" w:rsidRPr="005A7EEA">
        <w:t xml:space="preserve"> onshore facilities </w:t>
      </w:r>
      <w:r w:rsidR="00F83E66">
        <w:t>where</w:t>
      </w:r>
      <w:r w:rsidR="00F83E66" w:rsidRPr="005A7EEA">
        <w:t xml:space="preserve"> the gas stream includes multiple commodities such as domestic sales gas, </w:t>
      </w:r>
      <w:r w:rsidR="00C15FE9">
        <w:t>Liquid Petroleum Gas (LPG)</w:t>
      </w:r>
      <w:r w:rsidR="00F83E66" w:rsidRPr="005A7EEA">
        <w:t xml:space="preserve"> and condensate. </w:t>
      </w:r>
      <w:r w:rsidR="00F83E66">
        <w:t>As a result, it may not achieve the simplicity or remove the requirement to share information.</w:t>
      </w:r>
    </w:p>
    <w:p w14:paraId="3A21AE4B" w14:textId="18DEF575" w:rsidR="00632A49" w:rsidRDefault="00F83E66" w:rsidP="00F83E66">
      <w:r>
        <w:lastRenderedPageBreak/>
        <w:t>Feedback</w:t>
      </w:r>
      <w:r w:rsidR="00247094">
        <w:t xml:space="preserve"> provided</w:t>
      </w:r>
      <w:r>
        <w:t xml:space="preserve"> from </w:t>
      </w:r>
      <w:r w:rsidR="00247094">
        <w:t>i</w:t>
      </w:r>
      <w:r>
        <w:t>ndustry participants through</w:t>
      </w:r>
      <w:r w:rsidR="00247094">
        <w:t>out</w:t>
      </w:r>
      <w:r>
        <w:t xml:space="preserve"> the </w:t>
      </w:r>
      <w:r w:rsidR="00A60033">
        <w:t>R</w:t>
      </w:r>
      <w:r>
        <w:t>eview</w:t>
      </w:r>
      <w:r w:rsidR="00CE22FD">
        <w:t>’s consultation</w:t>
      </w:r>
      <w:r>
        <w:t xml:space="preserve"> process revealed a preference for Option 1 and a commitment to share the relevant information, rather than to proceed </w:t>
      </w:r>
      <w:r w:rsidR="0085287C">
        <w:t>on the basis of Option 3</w:t>
      </w:r>
      <w:r>
        <w:t xml:space="preserve">. Treasury agrees with this </w:t>
      </w:r>
      <w:r w:rsidR="0085287C">
        <w:t>approach</w:t>
      </w:r>
      <w:r>
        <w:t>.</w:t>
      </w:r>
    </w:p>
    <w:p w14:paraId="17D468C8" w14:textId="14F79972" w:rsidR="00D82FC6" w:rsidRDefault="00D82FC6" w:rsidP="00D82FC6">
      <w:pPr>
        <w:pStyle w:val="Heading3"/>
      </w:pPr>
      <w:r>
        <w:t xml:space="preserve">Treatment of Upstream and Downstream portions of a tolling fee if </w:t>
      </w:r>
      <w:r w:rsidR="00BE6C49">
        <w:t>RPM</w:t>
      </w:r>
      <w:r>
        <w:t xml:space="preserve"> </w:t>
      </w:r>
      <w:r w:rsidR="00BC2868">
        <w:t>is retained</w:t>
      </w:r>
    </w:p>
    <w:p w14:paraId="06772587" w14:textId="25016BC5" w:rsidR="00D82FC6" w:rsidRDefault="005A251F" w:rsidP="00F83E66">
      <w:r>
        <w:t>If the</w:t>
      </w:r>
      <w:r w:rsidR="002371C3">
        <w:t xml:space="preserve"> RPM method </w:t>
      </w:r>
      <w:r w:rsidR="006F6A53">
        <w:t xml:space="preserve">is </w:t>
      </w:r>
      <w:r w:rsidR="00A02855">
        <w:t>retained</w:t>
      </w:r>
      <w:r w:rsidR="002371C3">
        <w:t xml:space="preserve"> then it i</w:t>
      </w:r>
      <w:r w:rsidR="00C059C4">
        <w:t xml:space="preserve">s recommended that </w:t>
      </w:r>
      <w:r w:rsidR="00E62546">
        <w:t xml:space="preserve">where </w:t>
      </w:r>
      <w:r w:rsidR="007E2804">
        <w:t xml:space="preserve">a reasonable method </w:t>
      </w:r>
      <w:r w:rsidR="0025586D">
        <w:t xml:space="preserve">has been used to apportion </w:t>
      </w:r>
      <w:r w:rsidR="00C25FE7">
        <w:t>the arm</w:t>
      </w:r>
      <w:r w:rsidR="00D04877">
        <w:t>s-length toll paid</w:t>
      </w:r>
      <w:r w:rsidR="003C600E">
        <w:t xml:space="preserve"> into </w:t>
      </w:r>
      <w:r w:rsidR="00C56181">
        <w:t>upstream costs and the downstream costs, th</w:t>
      </w:r>
      <w:r w:rsidR="00CD53F2">
        <w:t>en the toll paid</w:t>
      </w:r>
      <w:r w:rsidR="00C56181">
        <w:t xml:space="preserve"> be used </w:t>
      </w:r>
      <w:r w:rsidR="001D5CB2">
        <w:t xml:space="preserve">in the RPM calculation. </w:t>
      </w:r>
    </w:p>
    <w:p w14:paraId="2C4C10DF" w14:textId="77777777" w:rsidR="0024673E" w:rsidRDefault="0024673E" w:rsidP="0024673E">
      <w:pPr>
        <w:pStyle w:val="Heading4"/>
      </w:pPr>
      <w:r>
        <w:t>Apportionment of toll fees when Host Project and Shipper Project are both PRRT Projects</w:t>
      </w:r>
    </w:p>
    <w:p w14:paraId="7D301645" w14:textId="5228E021" w:rsidR="0024673E" w:rsidRDefault="0024673E" w:rsidP="0024673E">
      <w:r>
        <w:t>When the Host Project and the Shipper Project are both PRRT projects</w:t>
      </w:r>
      <w:r w:rsidR="005A193D">
        <w:t>,</w:t>
      </w:r>
      <w:r>
        <w:t xml:space="preserve"> a reasonable method is used to apportion the arms-length toll paid into upstream and downstream components: </w:t>
      </w:r>
    </w:p>
    <w:p w14:paraId="38D35E69" w14:textId="32B105F1" w:rsidR="0024673E" w:rsidRPr="00967644" w:rsidRDefault="0024673E" w:rsidP="00C65A64">
      <w:pPr>
        <w:pStyle w:val="ListParagraph"/>
        <w:numPr>
          <w:ilvl w:val="0"/>
          <w:numId w:val="32"/>
        </w:numPr>
        <w:spacing w:after="200"/>
      </w:pPr>
      <w:r>
        <w:t xml:space="preserve">The Shipper Project would claim the upstream portion of the toll paid as a general deduction and </w:t>
      </w:r>
      <w:r w:rsidR="00D44984">
        <w:t xml:space="preserve">would include </w:t>
      </w:r>
      <w:r w:rsidR="00C8191C">
        <w:t xml:space="preserve">this as an </w:t>
      </w:r>
      <w:r w:rsidR="00BE3A11">
        <w:t>operational cost in the cost</w:t>
      </w:r>
      <w:r w:rsidR="008C7C07">
        <w:t>-</w:t>
      </w:r>
      <w:r w:rsidR="00BE3A11">
        <w:t>plus price of the RPM</w:t>
      </w:r>
      <w:r w:rsidR="005A193D">
        <w:t>.</w:t>
      </w:r>
      <w:r w:rsidR="00F9029E">
        <w:t xml:space="preserve"> </w:t>
      </w:r>
      <w:r w:rsidR="005A193D">
        <w:t>T</w:t>
      </w:r>
      <w:r>
        <w:t>he downstream portion of the toll paid would be included in the netback calculation.</w:t>
      </w:r>
    </w:p>
    <w:p w14:paraId="1FD9BA0A" w14:textId="79C1B00C" w:rsidR="0024673E" w:rsidRDefault="0024673E" w:rsidP="00DE1066">
      <w:pPr>
        <w:pStyle w:val="ListParagraph"/>
        <w:numPr>
          <w:ilvl w:val="0"/>
          <w:numId w:val="32"/>
        </w:numPr>
        <w:spacing w:after="200"/>
      </w:pPr>
      <w:r>
        <w:t>Where the infrastructure used is part of an existing PRRT project, the Host Project would treat the upstream portion of the toll as an assessable tolling receipt. Any modifications to the upstream plant would likewise be deductible to the host project. The downstream portion of the toll would not be an assessable tolling receipt</w:t>
      </w:r>
      <w:r w:rsidR="00102D31">
        <w:t>.</w:t>
      </w:r>
      <w:r w:rsidR="00F9029E">
        <w:t xml:space="preserve"> </w:t>
      </w:r>
      <w:r w:rsidR="00102D31">
        <w:t>T</w:t>
      </w:r>
      <w:r w:rsidRPr="00C65A64">
        <w:t>he</w:t>
      </w:r>
      <w:r>
        <w:t xml:space="preserve"> Host Project includes </w:t>
      </w:r>
      <w:r w:rsidR="00DC08DC">
        <w:t>its</w:t>
      </w:r>
      <w:r>
        <w:t xml:space="preserve"> operating costs and capital costs for the </w:t>
      </w:r>
      <w:r w:rsidR="00DC08DC">
        <w:t>RPM</w:t>
      </w:r>
      <w:r>
        <w:t xml:space="preserve"> calculation.</w:t>
      </w:r>
    </w:p>
    <w:p w14:paraId="1DA6822C" w14:textId="77777777" w:rsidR="00DA5567" w:rsidRDefault="00DA5567" w:rsidP="00DA5567">
      <w:pPr>
        <w:pStyle w:val="Heading4"/>
      </w:pPr>
      <w:r>
        <w:t>Apportionment of toll fees when Infrastructure owner is not a PRRT Project</w:t>
      </w:r>
    </w:p>
    <w:p w14:paraId="17DC9247" w14:textId="3FD83989" w:rsidR="00DA5567" w:rsidRPr="00803A9C" w:rsidRDefault="00DA5567" w:rsidP="00DA5567">
      <w:r>
        <w:t>Where the in</w:t>
      </w:r>
      <w:r w:rsidR="00CF7CC8">
        <w:t>frastructure owner is not a PRRT project</w:t>
      </w:r>
      <w:r w:rsidR="00133256">
        <w:t>,</w:t>
      </w:r>
      <w:r w:rsidR="001A4B5A">
        <w:t xml:space="preserve"> and</w:t>
      </w:r>
      <w:r w:rsidRPr="00803A9C">
        <w:t xml:space="preserve"> a reasonable method has been used to apportion the arms-length toll paid into the upstream and downstream components of the project the toll payment can be treated in the following way:</w:t>
      </w:r>
    </w:p>
    <w:p w14:paraId="03E45B6E" w14:textId="2DD9BC97" w:rsidR="00DA5567" w:rsidRPr="00803A9C" w:rsidRDefault="00DA5567" w:rsidP="00473DDE">
      <w:pPr>
        <w:pStyle w:val="ListParagraph"/>
        <w:numPr>
          <w:ilvl w:val="0"/>
          <w:numId w:val="39"/>
        </w:numPr>
        <w:spacing w:after="200"/>
      </w:pPr>
      <w:r w:rsidRPr="00803A9C">
        <w:t xml:space="preserve">The Shipper Project would claim the upstream portion of the toll paid as a general deduction and </w:t>
      </w:r>
      <w:r w:rsidR="006615CC">
        <w:t xml:space="preserve">include </w:t>
      </w:r>
      <w:r w:rsidR="006615CC" w:rsidRPr="00C65A64">
        <w:t>th</w:t>
      </w:r>
      <w:r w:rsidR="00133256">
        <w:t>is</w:t>
      </w:r>
      <w:r w:rsidR="006615CC" w:rsidRPr="00C65A64">
        <w:t xml:space="preserve"> as an operational cost in the cost</w:t>
      </w:r>
      <w:r w:rsidR="008C7C07" w:rsidRPr="00C65A64">
        <w:t>-</w:t>
      </w:r>
      <w:r w:rsidR="006615CC" w:rsidRPr="00C65A64">
        <w:t>plus price of the RPM.</w:t>
      </w:r>
      <w:r w:rsidR="00E000C0">
        <w:t xml:space="preserve"> </w:t>
      </w:r>
      <w:r w:rsidR="00133256">
        <w:t>A</w:t>
      </w:r>
      <w:r w:rsidRPr="00803A9C">
        <w:t xml:space="preserve">nd the downstream portion of the toll paid would be included in the netback price calculation. </w:t>
      </w:r>
    </w:p>
    <w:p w14:paraId="52E59AC8" w14:textId="32AB0FE2" w:rsidR="0024673E" w:rsidRDefault="00DA5567" w:rsidP="00473DDE">
      <w:pPr>
        <w:pStyle w:val="ListParagraph"/>
        <w:numPr>
          <w:ilvl w:val="0"/>
          <w:numId w:val="39"/>
        </w:numPr>
        <w:spacing w:after="200"/>
      </w:pPr>
      <w:r w:rsidRPr="00803A9C">
        <w:t xml:space="preserve">As the </w:t>
      </w:r>
      <w:r>
        <w:t>Infrastructure owner</w:t>
      </w:r>
      <w:r w:rsidRPr="00803A9C">
        <w:t xml:space="preserve"> is not a PRRT Project, the tolling payment would not be treated as an assessable receipt and there would be no deductions for any of the infrastructure.</w:t>
      </w:r>
      <w:r w:rsidR="00F9029E">
        <w:t xml:space="preserve"> </w:t>
      </w:r>
      <w:r w:rsidR="00CD0371">
        <w:t>The infrast</w:t>
      </w:r>
      <w:r w:rsidR="003B47CC">
        <w:t xml:space="preserve">ructure owner would not be required to complete the RPM calculation </w:t>
      </w:r>
      <w:r w:rsidR="005C7A5D">
        <w:t xml:space="preserve">as they are </w:t>
      </w:r>
      <w:r w:rsidR="0021328C">
        <w:t>a PRRT Project.</w:t>
      </w:r>
      <w:r w:rsidR="00F9029E">
        <w:t xml:space="preserve"> </w:t>
      </w:r>
      <w:r w:rsidRPr="00803A9C">
        <w:t xml:space="preserve">The income and deductions for the </w:t>
      </w:r>
      <w:r>
        <w:t>infrastructure owner</w:t>
      </w:r>
      <w:r w:rsidRPr="00803A9C">
        <w:t xml:space="preserve"> would be included in the income tax regime.</w:t>
      </w:r>
    </w:p>
    <w:p w14:paraId="6EB3D389" w14:textId="77777777" w:rsidR="00975E1A" w:rsidRDefault="00975E1A" w:rsidP="00975E1A">
      <w:pPr>
        <w:spacing w:after="200"/>
      </w:pPr>
    </w:p>
    <w:p w14:paraId="4CFBDA02" w14:textId="77777777" w:rsidR="00975E1A" w:rsidRDefault="00975E1A" w:rsidP="00975E1A">
      <w:pPr>
        <w:spacing w:after="200"/>
      </w:pPr>
    </w:p>
    <w:p w14:paraId="0B301572" w14:textId="77777777" w:rsidR="00975E1A" w:rsidRDefault="00975E1A" w:rsidP="00975E1A">
      <w:pPr>
        <w:spacing w:after="200"/>
      </w:pPr>
    </w:p>
    <w:p w14:paraId="31AF21FC" w14:textId="77777777" w:rsidR="00975E1A" w:rsidRPr="00CD53F2" w:rsidRDefault="00975E1A" w:rsidP="00975E1A">
      <w:pPr>
        <w:spacing w:after="200"/>
      </w:pPr>
    </w:p>
    <w:p w14:paraId="16BD1489" w14:textId="429168E8" w:rsidR="00D66412" w:rsidRDefault="00D66412" w:rsidP="00692BCD">
      <w:pPr>
        <w:pStyle w:val="Heading3"/>
      </w:pPr>
      <w:r>
        <w:lastRenderedPageBreak/>
        <w:t>Recommended Principles for tolling arrangements</w:t>
      </w:r>
    </w:p>
    <w:p w14:paraId="2B96943A" w14:textId="6A5C4559" w:rsidR="00D66412" w:rsidRDefault="008A152F" w:rsidP="008C1C46">
      <w:r>
        <w:t xml:space="preserve">Below is a summary of the </w:t>
      </w:r>
      <w:r w:rsidR="008C1C46">
        <w:t xml:space="preserve">recommended principles </w:t>
      </w:r>
      <w:r>
        <w:t>for tolling arrangements</w:t>
      </w:r>
      <w:r w:rsidR="008C1C46">
        <w:t>:</w:t>
      </w:r>
    </w:p>
    <w:p w14:paraId="2CDBA2D0" w14:textId="5326D5D8" w:rsidR="008C1C46" w:rsidRDefault="008D2CB3" w:rsidP="008C1C46">
      <w:pPr>
        <w:pStyle w:val="ListParagraph"/>
        <w:numPr>
          <w:ilvl w:val="0"/>
          <w:numId w:val="18"/>
        </w:numPr>
      </w:pPr>
      <w:r>
        <w:t>W</w:t>
      </w:r>
      <w:r w:rsidR="008C1C46">
        <w:t>here an arm’s length price/commercially driven price is paid for a tolling service that includes liquefaction, in the netback-only option the toll should be included in the netback calculation for the Shipper Project.</w:t>
      </w:r>
      <w:r w:rsidR="00F9029E">
        <w:t xml:space="preserve"> </w:t>
      </w:r>
      <w:r w:rsidR="008C1C46">
        <w:t xml:space="preserve">And in the </w:t>
      </w:r>
      <w:r w:rsidR="00F63F48">
        <w:t>retained</w:t>
      </w:r>
      <w:r w:rsidR="008C1C46">
        <w:t xml:space="preserve"> RPM option the upstream component of the toll should be included in the cost-plus price and the downstream component in the netback price.</w:t>
      </w:r>
    </w:p>
    <w:p w14:paraId="0101C7A7" w14:textId="60906061" w:rsidR="008C1C46" w:rsidRDefault="008C1C46" w:rsidP="008C1C46">
      <w:pPr>
        <w:pStyle w:val="ListParagraph"/>
        <w:numPr>
          <w:ilvl w:val="0"/>
          <w:numId w:val="18"/>
        </w:numPr>
      </w:pPr>
      <w:r>
        <w:t xml:space="preserve">Where the Host Project (person owns the infrastructure) and the Shipper Project (person purchasing tolling services) are both PRRT projects, a reasonable method is used to apportion the toll paid with the upstream toll included in the PRRT project and treated as operating cost in the cost-plus price for the </w:t>
      </w:r>
      <w:r w:rsidR="00D03E6E">
        <w:t>retained</w:t>
      </w:r>
      <w:r>
        <w:t xml:space="preserve"> RPM option. The downstream component of the toll is included in the netback price for the Shipper project.</w:t>
      </w:r>
      <w:r w:rsidR="00F9029E">
        <w:t xml:space="preserve"> </w:t>
      </w:r>
    </w:p>
    <w:p w14:paraId="3C550D16" w14:textId="0F6A2D11" w:rsidR="008C1C46" w:rsidRDefault="008C1C46" w:rsidP="008C1C46">
      <w:pPr>
        <w:pStyle w:val="ListParagraph"/>
        <w:numPr>
          <w:ilvl w:val="0"/>
          <w:numId w:val="18"/>
        </w:numPr>
      </w:pPr>
      <w:r>
        <w:t xml:space="preserve">Where the infrastructure owner is not a PRRT project, the toll payment would not be treated as assessable revenue and there would be no deductions for the infrastructure as PRRT does not apply to the infrastructure owner. The Shipper Project would be required to use a reasonable apportionment method for the toll with the upstream component being included in the PRRT project and the cost-plus price for the </w:t>
      </w:r>
      <w:r w:rsidR="00D03E6E">
        <w:t>retained</w:t>
      </w:r>
      <w:r>
        <w:t xml:space="preserve"> RPM option.</w:t>
      </w:r>
      <w:r w:rsidR="00E000C0">
        <w:t xml:space="preserve"> </w:t>
      </w:r>
      <w:r>
        <w:t xml:space="preserve">And the downstream component in the netback price. </w:t>
      </w:r>
    </w:p>
    <w:p w14:paraId="25E3E068" w14:textId="7590EA72" w:rsidR="008C1C46" w:rsidRDefault="008C1C46" w:rsidP="008C1C46">
      <w:pPr>
        <w:pStyle w:val="ListParagraph"/>
        <w:numPr>
          <w:ilvl w:val="0"/>
          <w:numId w:val="18"/>
        </w:numPr>
      </w:pPr>
      <w:r>
        <w:t>Where there is no arm’s length</w:t>
      </w:r>
      <w:r w:rsidR="00775347">
        <w:t>/commercially driven</w:t>
      </w:r>
      <w:r>
        <w:t xml:space="preserve"> price the netback will be calculated using the process in section 25 of the </w:t>
      </w:r>
      <w:r w:rsidR="00482ACF">
        <w:t>GTP</w:t>
      </w:r>
      <w:r>
        <w:t xml:space="preserve"> </w:t>
      </w:r>
      <w:r w:rsidR="00BF7744">
        <w:t>R</w:t>
      </w:r>
      <w:r>
        <w:t>egulation.</w:t>
      </w:r>
    </w:p>
    <w:p w14:paraId="3224CBCD" w14:textId="77777777" w:rsidR="008C1C46" w:rsidRPr="00430E41" w:rsidRDefault="008C1C46" w:rsidP="008C1C46">
      <w:pPr>
        <w:pStyle w:val="ListParagraph"/>
        <w:numPr>
          <w:ilvl w:val="0"/>
          <w:numId w:val="18"/>
        </w:numPr>
      </w:pPr>
      <w:r>
        <w:t>The determination of whether a tolling fee is arm’s length/commercially driven should be based on an objective test involving a list of relevant factors, including being able to demonstrate that the common ownership between two joint venture projects does not give those entities control of the terms in the tolling agreement and that each party to the agreement has voting rights or negotiation powers</w:t>
      </w:r>
      <w:r w:rsidDel="004211DE">
        <w:t xml:space="preserve"> </w:t>
      </w:r>
      <w:r>
        <w:t>in the respective projects. The Commissioner should have the power to determine whether a toll is arm’s length.</w:t>
      </w:r>
    </w:p>
    <w:p w14:paraId="48AB3F07" w14:textId="324CF3E5" w:rsidR="008C1C46" w:rsidRDefault="008C1C46" w:rsidP="008C1C46">
      <w:r>
        <w:t>The result is that where</w:t>
      </w:r>
      <w:r w:rsidRPr="00430E41">
        <w:t xml:space="preserve"> an arm’s length tolling transaction for LNG processing occurs, </w:t>
      </w:r>
      <w:r>
        <w:t xml:space="preserve">Treasury recommends this </w:t>
      </w:r>
      <w:r w:rsidRPr="00430E41">
        <w:t>should be used by the shipper project to calculate the gas transfer price</w:t>
      </w:r>
      <w:r>
        <w:t xml:space="preserve"> for either the netback only option or </w:t>
      </w:r>
      <w:r w:rsidR="00CB1992">
        <w:t>a</w:t>
      </w:r>
      <w:r>
        <w:t xml:space="preserve"> re</w:t>
      </w:r>
      <w:r w:rsidR="00CB1992">
        <w:t>tained</w:t>
      </w:r>
      <w:r>
        <w:t xml:space="preserve"> RPM option</w:t>
      </w:r>
      <w:r w:rsidRPr="00430E41">
        <w:t>.</w:t>
      </w:r>
    </w:p>
    <w:p w14:paraId="6C9DDB4A" w14:textId="137FE3A5" w:rsidR="008C1C46" w:rsidRDefault="008C1C46" w:rsidP="008C1C46">
      <w:pPr>
        <w:pStyle w:val="Bullet"/>
        <w:rPr>
          <w:i/>
        </w:rPr>
      </w:pPr>
      <w:r w:rsidRPr="00EC70D4">
        <w:rPr>
          <w:b/>
          <w:i/>
        </w:rPr>
        <w:t xml:space="preserve">For netback only option </w:t>
      </w:r>
      <w:r w:rsidRPr="00EC70D4">
        <w:rPr>
          <w:i/>
        </w:rPr>
        <w:t>the netback price (arm’s length toll exists) = (LNG price) – (shipping</w:t>
      </w:r>
      <w:r w:rsidR="00045AD9">
        <w:rPr>
          <w:i/>
        </w:rPr>
        <w:t xml:space="preserve"> cost</w:t>
      </w:r>
      <w:r w:rsidRPr="00EC70D4">
        <w:rPr>
          <w:i/>
        </w:rPr>
        <w:t>) – (marketing</w:t>
      </w:r>
      <w:r w:rsidR="00045AD9">
        <w:rPr>
          <w:i/>
        </w:rPr>
        <w:t xml:space="preserve"> cost</w:t>
      </w:r>
      <w:r w:rsidRPr="00EC70D4">
        <w:rPr>
          <w:i/>
        </w:rPr>
        <w:t>) – (tolling fee).</w:t>
      </w:r>
    </w:p>
    <w:p w14:paraId="7EF2875C" w14:textId="61A0E840" w:rsidR="008C1C46" w:rsidRPr="00EC70D4" w:rsidRDefault="008C1C46" w:rsidP="008C1C46">
      <w:pPr>
        <w:pStyle w:val="Bullet"/>
        <w:rPr>
          <w:i/>
        </w:rPr>
      </w:pPr>
      <w:r w:rsidRPr="00EC70D4">
        <w:rPr>
          <w:b/>
          <w:i/>
        </w:rPr>
        <w:t xml:space="preserve">For the </w:t>
      </w:r>
      <w:r w:rsidR="00D03E6E">
        <w:rPr>
          <w:b/>
          <w:i/>
        </w:rPr>
        <w:t>retained</w:t>
      </w:r>
      <w:r w:rsidRPr="00EC70D4">
        <w:rPr>
          <w:b/>
          <w:i/>
        </w:rPr>
        <w:t xml:space="preserve"> RPM </w:t>
      </w:r>
      <w:r>
        <w:rPr>
          <w:b/>
          <w:bCs/>
          <w:i/>
          <w:iCs/>
        </w:rPr>
        <w:t>option</w:t>
      </w:r>
      <w:r>
        <w:rPr>
          <w:b/>
          <w:i/>
        </w:rPr>
        <w:t xml:space="preserve"> </w:t>
      </w:r>
      <w:r w:rsidRPr="00C77FAC">
        <w:rPr>
          <w:i/>
        </w:rPr>
        <w:t>the cost</w:t>
      </w:r>
      <w:r w:rsidR="008C7C07">
        <w:rPr>
          <w:i/>
        </w:rPr>
        <w:t>-</w:t>
      </w:r>
      <w:r w:rsidRPr="00C77FAC">
        <w:rPr>
          <w:i/>
        </w:rPr>
        <w:t xml:space="preserve">plus price </w:t>
      </w:r>
      <w:r w:rsidRPr="007D34B2">
        <w:rPr>
          <w:i/>
        </w:rPr>
        <w:t xml:space="preserve">(arm’s length toll exists) = </w:t>
      </w:r>
      <w:r>
        <w:rPr>
          <w:i/>
          <w:iCs/>
        </w:rPr>
        <w:t>(</w:t>
      </w:r>
      <w:r w:rsidRPr="00EC70D4">
        <w:rPr>
          <w:i/>
          <w:iCs/>
        </w:rPr>
        <w:t xml:space="preserve">upstream capital costs) + (upstream operating costs including proportion </w:t>
      </w:r>
      <w:r>
        <w:rPr>
          <w:i/>
          <w:iCs/>
        </w:rPr>
        <w:t xml:space="preserve">of the toll paid </w:t>
      </w:r>
      <w:r w:rsidRPr="00EC70D4">
        <w:rPr>
          <w:i/>
          <w:iCs/>
        </w:rPr>
        <w:t>allocated to the upstream processing).</w:t>
      </w:r>
      <w:r w:rsidR="00F9029E">
        <w:rPr>
          <w:i/>
        </w:rPr>
        <w:t xml:space="preserve"> </w:t>
      </w:r>
      <w:r>
        <w:rPr>
          <w:i/>
          <w:iCs/>
        </w:rPr>
        <w:t>The netback price would be the calculated as noted above.</w:t>
      </w:r>
    </w:p>
    <w:p w14:paraId="393FE0C3" w14:textId="18C09AD6" w:rsidR="008C1C46" w:rsidRPr="00430E41" w:rsidRDefault="008C1C46" w:rsidP="008C1C46">
      <w:r w:rsidRPr="00430E41">
        <w:t xml:space="preserve">Where no arm’s length toll is present, the current practice of </w:t>
      </w:r>
      <w:r>
        <w:t xml:space="preserve">either </w:t>
      </w:r>
      <w:r w:rsidRPr="00430E41">
        <w:t xml:space="preserve">making </w:t>
      </w:r>
      <w:r>
        <w:t xml:space="preserve">agreed adjustments with the Commissioner, through the </w:t>
      </w:r>
      <w:r w:rsidR="009C7B9B">
        <w:t>APA</w:t>
      </w:r>
      <w:r>
        <w:t xml:space="preserve"> process, or where an agreement cannot be reached a fair and reasonable price, using information available to the Commissioner, being worked out should continue</w:t>
      </w:r>
      <w:r w:rsidRPr="00430E41">
        <w:t>.</w:t>
      </w:r>
    </w:p>
    <w:p w14:paraId="629E7AEB" w14:textId="77777777" w:rsidR="008C1C46" w:rsidRDefault="008C1C46" w:rsidP="008C1C46">
      <w:pPr>
        <w:pStyle w:val="Bullet"/>
        <w:rPr>
          <w:i/>
        </w:rPr>
      </w:pPr>
      <w:r w:rsidRPr="00EC70D4">
        <w:rPr>
          <w:b/>
          <w:bCs/>
          <w:i/>
          <w:iCs/>
        </w:rPr>
        <w:t>For the netback only option</w:t>
      </w:r>
      <w:r>
        <w:rPr>
          <w:i/>
          <w:iCs/>
        </w:rPr>
        <w:t xml:space="preserve"> t</w:t>
      </w:r>
      <w:r w:rsidRPr="00EC70D4">
        <w:rPr>
          <w:i/>
        </w:rPr>
        <w:t xml:space="preserve">he netback price (no arm’s length toll) = (LNG price) – (shipping) – (marketing) – (agreed amount or fair and reasonable price for processing to be included). </w:t>
      </w:r>
    </w:p>
    <w:p w14:paraId="00CDFAB9" w14:textId="0276B2D3" w:rsidR="00A34C1C" w:rsidRPr="00975E1A" w:rsidRDefault="008C1C46" w:rsidP="00D03E6E">
      <w:pPr>
        <w:pStyle w:val="Bullet"/>
        <w:rPr>
          <w:i/>
        </w:rPr>
      </w:pPr>
      <w:r w:rsidRPr="00C4028C">
        <w:rPr>
          <w:b/>
          <w:bCs/>
          <w:i/>
          <w:iCs/>
        </w:rPr>
        <w:lastRenderedPageBreak/>
        <w:t xml:space="preserve">For the </w:t>
      </w:r>
      <w:r w:rsidR="00D03E6E" w:rsidRPr="00D03E6E">
        <w:rPr>
          <w:b/>
          <w:bCs/>
          <w:i/>
          <w:iCs/>
        </w:rPr>
        <w:t>retained</w:t>
      </w:r>
      <w:r w:rsidRPr="00C4028C">
        <w:rPr>
          <w:b/>
          <w:bCs/>
          <w:i/>
          <w:iCs/>
        </w:rPr>
        <w:t xml:space="preserve"> RPM </w:t>
      </w:r>
      <w:r>
        <w:rPr>
          <w:b/>
          <w:bCs/>
          <w:i/>
          <w:iCs/>
        </w:rPr>
        <w:t xml:space="preserve">option </w:t>
      </w:r>
      <w:r w:rsidRPr="00C4028C">
        <w:rPr>
          <w:i/>
          <w:iCs/>
        </w:rPr>
        <w:t>the cost</w:t>
      </w:r>
      <w:r w:rsidR="008C7C07">
        <w:rPr>
          <w:i/>
          <w:iCs/>
        </w:rPr>
        <w:t>-</w:t>
      </w:r>
      <w:r w:rsidRPr="00C4028C">
        <w:rPr>
          <w:i/>
          <w:iCs/>
        </w:rPr>
        <w:t xml:space="preserve">plus price (arm’s length toll exists) = </w:t>
      </w:r>
      <w:r>
        <w:rPr>
          <w:i/>
          <w:iCs/>
        </w:rPr>
        <w:t>(</w:t>
      </w:r>
      <w:r w:rsidRPr="00C4028C">
        <w:rPr>
          <w:i/>
          <w:iCs/>
        </w:rPr>
        <w:t xml:space="preserve">upstream capital costs) + (upstream operating costs including </w:t>
      </w:r>
      <w:r>
        <w:rPr>
          <w:i/>
          <w:iCs/>
        </w:rPr>
        <w:t>an agreed amount or fair and reasonable price for the processing</w:t>
      </w:r>
      <w:r w:rsidRPr="00C4028C">
        <w:rPr>
          <w:i/>
          <w:iCs/>
        </w:rPr>
        <w:t>).</w:t>
      </w:r>
      <w:r w:rsidR="00F9029E">
        <w:rPr>
          <w:i/>
          <w:iCs/>
        </w:rPr>
        <w:t xml:space="preserve"> </w:t>
      </w:r>
      <w:r>
        <w:rPr>
          <w:i/>
          <w:iCs/>
        </w:rPr>
        <w:t>The netback price would be the calculated as noted above.</w:t>
      </w:r>
    </w:p>
    <w:p w14:paraId="32E38006" w14:textId="6E2E17B3" w:rsidR="00F83E66" w:rsidRDefault="00142ADE" w:rsidP="00142ADE">
      <w:pPr>
        <w:pStyle w:val="Heading2"/>
      </w:pPr>
      <w:bookmarkStart w:id="49" w:name="_Toc134273580"/>
      <w:r>
        <w:t xml:space="preserve">7.2 </w:t>
      </w:r>
      <w:r w:rsidR="00971B6C">
        <w:t>Combination of</w:t>
      </w:r>
      <w:r w:rsidR="57A6E9CA">
        <w:t xml:space="preserve"> PRRT </w:t>
      </w:r>
      <w:r w:rsidR="00FB0980">
        <w:t>projects</w:t>
      </w:r>
      <w:bookmarkEnd w:id="49"/>
    </w:p>
    <w:p w14:paraId="5B850101" w14:textId="5815E0BC" w:rsidR="0071521D" w:rsidRDefault="00127F5F" w:rsidP="1481ADAF">
      <w:pPr>
        <w:spacing w:line="276" w:lineRule="auto"/>
      </w:pPr>
      <w:r>
        <w:t xml:space="preserve">In some circumstances a </w:t>
      </w:r>
      <w:r w:rsidR="00705804">
        <w:t>j</w:t>
      </w:r>
      <w:r>
        <w:t xml:space="preserve">oint </w:t>
      </w:r>
      <w:r w:rsidR="00705804">
        <w:t>v</w:t>
      </w:r>
      <w:r>
        <w:t xml:space="preserve">enture may seek to </w:t>
      </w:r>
      <w:r w:rsidR="00BA1855">
        <w:t xml:space="preserve">leverage </w:t>
      </w:r>
      <w:r w:rsidR="00DC13F8">
        <w:t>its</w:t>
      </w:r>
      <w:r w:rsidR="00BA1855">
        <w:t xml:space="preserve"> existing </w:t>
      </w:r>
      <w:r w:rsidR="00D9162F">
        <w:t>infrastructure</w:t>
      </w:r>
      <w:r w:rsidR="00BA1855">
        <w:t xml:space="preserve"> by </w:t>
      </w:r>
      <w:r w:rsidR="00D9162F">
        <w:t>incorporating</w:t>
      </w:r>
      <w:r w:rsidR="00BA1855">
        <w:t xml:space="preserve"> new fields into </w:t>
      </w:r>
      <w:r w:rsidR="00D9162F">
        <w:t xml:space="preserve">the existing commercial project. </w:t>
      </w:r>
      <w:r w:rsidR="00AB56A3">
        <w:t xml:space="preserve">Companies may </w:t>
      </w:r>
      <w:r w:rsidR="00F03E84">
        <w:t>combine</w:t>
      </w:r>
      <w:r w:rsidR="00AB56A3">
        <w:t xml:space="preserve"> these new fields </w:t>
      </w:r>
      <w:r w:rsidR="00D9162F">
        <w:t>commercially and treat</w:t>
      </w:r>
      <w:r w:rsidR="00AB56A3">
        <w:t xml:space="preserve"> them as one project. </w:t>
      </w:r>
      <w:r w:rsidR="00876544">
        <w:t xml:space="preserve">However, </w:t>
      </w:r>
      <w:r w:rsidR="00636FA0">
        <w:t>for PRRT purposes</w:t>
      </w:r>
      <w:r w:rsidR="00876544">
        <w:t>,</w:t>
      </w:r>
      <w:r w:rsidR="00636FA0">
        <w:t xml:space="preserve"> </w:t>
      </w:r>
      <w:r w:rsidR="00FD561C">
        <w:t xml:space="preserve">each new petroleum </w:t>
      </w:r>
      <w:r w:rsidR="00957720">
        <w:t xml:space="preserve">field </w:t>
      </w:r>
      <w:r w:rsidR="005605DF">
        <w:t xml:space="preserve">is </w:t>
      </w:r>
      <w:r w:rsidR="00636FA0">
        <w:t xml:space="preserve">reflected in the </w:t>
      </w:r>
      <w:r w:rsidR="005605DF">
        <w:t xml:space="preserve">issuance </w:t>
      </w:r>
      <w:r w:rsidR="00636FA0">
        <w:t xml:space="preserve">of a new production </w:t>
      </w:r>
      <w:r w:rsidR="00F03E84">
        <w:t>licence,</w:t>
      </w:r>
      <w:r w:rsidR="00876544">
        <w:t xml:space="preserve"> and its associated</w:t>
      </w:r>
      <w:r w:rsidR="009C2D91">
        <w:t xml:space="preserve"> incremental</w:t>
      </w:r>
      <w:r w:rsidR="00876544">
        <w:t xml:space="preserve"> </w:t>
      </w:r>
      <w:r w:rsidR="009C2D91">
        <w:t xml:space="preserve">upstream </w:t>
      </w:r>
      <w:r w:rsidR="00F03E84">
        <w:t>infrastructure</w:t>
      </w:r>
      <w:r w:rsidR="00636FA0">
        <w:t xml:space="preserve"> is treated a</w:t>
      </w:r>
      <w:r w:rsidR="00AF60AE">
        <w:t xml:space="preserve">s </w:t>
      </w:r>
      <w:r w:rsidR="00636FA0">
        <w:t>a</w:t>
      </w:r>
      <w:r w:rsidR="00D9162F">
        <w:t xml:space="preserve"> </w:t>
      </w:r>
      <w:r w:rsidR="009C2D91">
        <w:t>separate PRRT project unless</w:t>
      </w:r>
      <w:r w:rsidR="008047AD">
        <w:t xml:space="preserve"> a combination certificate is provided by the Minister for </w:t>
      </w:r>
      <w:r w:rsidR="003C13AC">
        <w:t>R</w:t>
      </w:r>
      <w:r w:rsidR="008047AD">
        <w:t>esources.</w:t>
      </w:r>
      <w:r w:rsidR="00B06F9F">
        <w:t xml:space="preserve"> </w:t>
      </w:r>
      <w:r w:rsidR="57A6E9CA" w:rsidRPr="46E2E771">
        <w:t xml:space="preserve">As future developments are </w:t>
      </w:r>
      <w:r w:rsidR="00B06F9F">
        <w:t>prioritising using</w:t>
      </w:r>
      <w:r w:rsidR="57A6E9CA" w:rsidRPr="46E2E771">
        <w:t xml:space="preserve"> the infrastructure of existing LNG projects this may </w:t>
      </w:r>
      <w:r w:rsidR="5233ADC1" w:rsidRPr="626727CD">
        <w:t xml:space="preserve">lead to </w:t>
      </w:r>
      <w:r w:rsidR="57A6E9CA" w:rsidRPr="626727CD">
        <w:t>the</w:t>
      </w:r>
      <w:r w:rsidR="57A6E9CA" w:rsidRPr="46E2E771">
        <w:t xml:space="preserve"> increase in LNG Projects applying to be combined and treated as a single project for PRRT purposes.</w:t>
      </w:r>
      <w:r w:rsidR="00151767">
        <w:t xml:space="preserve"> </w:t>
      </w:r>
    </w:p>
    <w:p w14:paraId="16CA0136" w14:textId="2DAE6A00" w:rsidR="00091E25" w:rsidRDefault="57A6E9CA" w:rsidP="1481ADAF">
      <w:pPr>
        <w:spacing w:line="276" w:lineRule="auto"/>
      </w:pPr>
      <w:r w:rsidRPr="46E2E771">
        <w:t xml:space="preserve">The </w:t>
      </w:r>
      <w:r w:rsidRPr="38972521">
        <w:t>benefit</w:t>
      </w:r>
      <w:r w:rsidR="00091E25">
        <w:t>s</w:t>
      </w:r>
      <w:r w:rsidRPr="46E2E771">
        <w:t xml:space="preserve"> of combining the projects </w:t>
      </w:r>
      <w:r w:rsidR="00091E25">
        <w:t>are:</w:t>
      </w:r>
    </w:p>
    <w:p w14:paraId="1C7F958A" w14:textId="29973CFD" w:rsidR="00345F49" w:rsidRDefault="007C2457" w:rsidP="00091E25">
      <w:pPr>
        <w:pStyle w:val="Bullet"/>
      </w:pPr>
      <w:r>
        <w:t>E</w:t>
      </w:r>
      <w:r w:rsidR="57A6E9CA" w:rsidRPr="46E2E771">
        <w:t xml:space="preserve">xpenditure/losses that have been incurred in the existing LNG infrastructure are able to be offset with assessable receipts earned in the new </w:t>
      </w:r>
      <w:r w:rsidR="007C7ABE">
        <w:t>gas field</w:t>
      </w:r>
      <w:r w:rsidR="007C7ABE" w:rsidRPr="46E2E771">
        <w:t xml:space="preserve"> </w:t>
      </w:r>
      <w:r w:rsidR="57A6E9CA" w:rsidRPr="46E2E771">
        <w:t>development</w:t>
      </w:r>
      <w:r>
        <w:t>.</w:t>
      </w:r>
      <w:r w:rsidR="57A6E9CA" w:rsidRPr="46E2E771">
        <w:t xml:space="preserve"> </w:t>
      </w:r>
    </w:p>
    <w:p w14:paraId="6311E463" w14:textId="003BA5E1" w:rsidR="00F83E66" w:rsidRDefault="007C2457" w:rsidP="00091E25">
      <w:pPr>
        <w:pStyle w:val="Bullet"/>
      </w:pPr>
      <w:r>
        <w:t>Practical adminis</w:t>
      </w:r>
      <w:r w:rsidR="009038BC">
        <w:t xml:space="preserve">trative benefits of </w:t>
      </w:r>
      <w:r w:rsidR="00D14644">
        <w:t>including</w:t>
      </w:r>
      <w:r w:rsidR="009038BC">
        <w:t xml:space="preserve"> </w:t>
      </w:r>
      <w:r w:rsidR="0021077F">
        <w:t xml:space="preserve">all the assessable receipts and expenses in the one PRRT </w:t>
      </w:r>
      <w:r w:rsidR="00236081">
        <w:t>tax return.</w:t>
      </w:r>
      <w:r w:rsidR="57A6E9CA" w:rsidRPr="46E2E771">
        <w:t xml:space="preserve"> </w:t>
      </w:r>
    </w:p>
    <w:p w14:paraId="5AE11F5F" w14:textId="07763C12" w:rsidR="00114115" w:rsidRDefault="00AE62F0" w:rsidP="00114115">
      <w:pPr>
        <w:pStyle w:val="Bullet"/>
      </w:pPr>
      <w:r>
        <w:t>Removal of requirements to trace</w:t>
      </w:r>
      <w:r w:rsidR="00640C00">
        <w:t xml:space="preserve"> how much each field is contributing to the hydrocarbons measured at key points in the project</w:t>
      </w:r>
      <w:r w:rsidR="005F54AD">
        <w:t>.</w:t>
      </w:r>
    </w:p>
    <w:p w14:paraId="71E96558" w14:textId="1DA0E08E" w:rsidR="00F83E66" w:rsidRDefault="57A6E9CA" w:rsidP="1481ADAF">
      <w:pPr>
        <w:spacing w:line="276" w:lineRule="auto"/>
      </w:pPr>
      <w:r w:rsidRPr="1481ADAF">
        <w:rPr>
          <w:szCs w:val="22"/>
        </w:rPr>
        <w:t xml:space="preserve">Entities that hold an interest in two or more petroleum projects can apply for a combination certificate from the Minister </w:t>
      </w:r>
      <w:r w:rsidR="00F83077">
        <w:rPr>
          <w:szCs w:val="22"/>
        </w:rPr>
        <w:t xml:space="preserve">for </w:t>
      </w:r>
      <w:r w:rsidR="00F83077" w:rsidRPr="7A4695DB">
        <w:t>Resources</w:t>
      </w:r>
      <w:r w:rsidR="00F83077" w:rsidRPr="1481ADAF">
        <w:rPr>
          <w:szCs w:val="22"/>
        </w:rPr>
        <w:t xml:space="preserve"> </w:t>
      </w:r>
      <w:r w:rsidRPr="1481ADAF">
        <w:rPr>
          <w:szCs w:val="22"/>
        </w:rPr>
        <w:t>where the projects are sufficiently related to one another. The criteria considered are:</w:t>
      </w:r>
    </w:p>
    <w:p w14:paraId="52AA55F2" w14:textId="22735D1B" w:rsidR="00DB439A" w:rsidRDefault="57A6E9CA" w:rsidP="00DB439A">
      <w:pPr>
        <w:pStyle w:val="ListParagraph"/>
        <w:numPr>
          <w:ilvl w:val="0"/>
          <w:numId w:val="38"/>
        </w:numPr>
      </w:pPr>
      <w:r w:rsidRPr="00DB439A">
        <w:t>the operations</w:t>
      </w:r>
      <w:r w:rsidR="00B618C9" w:rsidRPr="00DB439A">
        <w:t xml:space="preserve"> and</w:t>
      </w:r>
      <w:r w:rsidRPr="00DB439A">
        <w:t xml:space="preserve"> facilities of the petroleum projects</w:t>
      </w:r>
    </w:p>
    <w:p w14:paraId="2F13C4BF" w14:textId="77777777" w:rsidR="00DB439A" w:rsidRDefault="57A6E9CA" w:rsidP="00DB439A">
      <w:pPr>
        <w:pStyle w:val="ListParagraph"/>
        <w:numPr>
          <w:ilvl w:val="0"/>
          <w:numId w:val="38"/>
        </w:numPr>
      </w:pPr>
      <w:r w:rsidRPr="00DB439A">
        <w:t>the entities that carry on or provide the operations</w:t>
      </w:r>
      <w:r w:rsidR="006640EE" w:rsidRPr="00DB439A">
        <w:t xml:space="preserve"> and</w:t>
      </w:r>
      <w:r w:rsidRPr="00DB439A">
        <w:t xml:space="preserve"> facilities of the petroleum projects; and </w:t>
      </w:r>
    </w:p>
    <w:p w14:paraId="71D32753" w14:textId="4026B311" w:rsidR="0FA88181" w:rsidRPr="00DB439A" w:rsidRDefault="6B355320" w:rsidP="00DB439A">
      <w:pPr>
        <w:pStyle w:val="ListParagraph"/>
        <w:numPr>
          <w:ilvl w:val="0"/>
          <w:numId w:val="38"/>
        </w:numPr>
        <w:spacing w:line="240" w:lineRule="auto"/>
      </w:pPr>
      <w:r w:rsidRPr="00DB439A">
        <w:t>the geological, geophysical and geochemical features of the production licence areas in</w:t>
      </w:r>
      <w:r w:rsidR="00E000C0" w:rsidRPr="00DB439A">
        <w:t xml:space="preserve"> </w:t>
      </w:r>
      <w:r w:rsidRPr="00DB439A">
        <w:t>relation to the petroleum projects.</w:t>
      </w:r>
      <w:r w:rsidR="00254A2E">
        <w:rPr>
          <w:rStyle w:val="FootnoteReference"/>
        </w:rPr>
        <w:footnoteReference w:id="78"/>
      </w:r>
      <w:r w:rsidR="00F9029E" w:rsidRPr="00DB439A">
        <w:t xml:space="preserve"> </w:t>
      </w:r>
    </w:p>
    <w:p w14:paraId="74553980" w14:textId="61A3ACD3" w:rsidR="00F83E66" w:rsidRDefault="1C3304FF" w:rsidP="0EC89A61">
      <w:pPr>
        <w:spacing w:line="276" w:lineRule="auto"/>
      </w:pPr>
      <w:r w:rsidRPr="06BC598C">
        <w:t>At the time when PRRT was first enacted the explanatory memorandum</w:t>
      </w:r>
      <w:r w:rsidR="66A7A5C2" w:rsidRPr="06BC598C">
        <w:t xml:space="preserve"> provided an example </w:t>
      </w:r>
      <w:r w:rsidR="7629B97C" w:rsidRPr="2FD174C9">
        <w:t>for the third criteria being</w:t>
      </w:r>
      <w:r w:rsidR="7629B97C" w:rsidRPr="00CBE69A">
        <w:t>;</w:t>
      </w:r>
      <w:r w:rsidR="5AB5B852" w:rsidRPr="2FD174C9">
        <w:t xml:space="preserve"> </w:t>
      </w:r>
      <w:r w:rsidR="67982690" w:rsidRPr="1B88FCDE">
        <w:t>where</w:t>
      </w:r>
      <w:r w:rsidR="66A7A5C2" w:rsidRPr="06BC598C">
        <w:t xml:space="preserve"> </w:t>
      </w:r>
      <w:r w:rsidR="1B612913" w:rsidRPr="1EF1FBD8">
        <w:t>two</w:t>
      </w:r>
      <w:r w:rsidR="22A22504" w:rsidRPr="66A31336">
        <w:t xml:space="preserve"> production licences </w:t>
      </w:r>
      <w:r w:rsidR="77E86FC5" w:rsidRPr="1017EBEF">
        <w:t xml:space="preserve">entitle the licence holders to recover </w:t>
      </w:r>
      <w:r w:rsidR="77E86FC5" w:rsidRPr="534017C4">
        <w:t xml:space="preserve">petroleum </w:t>
      </w:r>
      <w:r w:rsidR="77E86FC5" w:rsidRPr="09FCB122">
        <w:t xml:space="preserve">from </w:t>
      </w:r>
      <w:r w:rsidR="77E86FC5" w:rsidRPr="0EC89A61">
        <w:t>the same discrete petroleum pool.</w:t>
      </w:r>
      <w:r w:rsidR="00151767">
        <w:t xml:space="preserve"> </w:t>
      </w:r>
      <w:r w:rsidR="33187714" w:rsidRPr="00D534E6">
        <w:t xml:space="preserve">However, </w:t>
      </w:r>
      <w:r w:rsidR="2A1B49B4" w:rsidRPr="00D534E6">
        <w:t>as</w:t>
      </w:r>
      <w:r w:rsidR="6809046B" w:rsidRPr="00D534E6">
        <w:t xml:space="preserve"> </w:t>
      </w:r>
      <w:r w:rsidR="2A1B49B4" w:rsidRPr="00D534E6">
        <w:t xml:space="preserve">consideration </w:t>
      </w:r>
      <w:r w:rsidR="4DAF1951" w:rsidRPr="70978D14">
        <w:t>is</w:t>
      </w:r>
      <w:r w:rsidR="2A1B49B4" w:rsidRPr="00D534E6">
        <w:t xml:space="preserve"> given to all three criteria in </w:t>
      </w:r>
      <w:r w:rsidR="2A1B49B4" w:rsidRPr="146DE4AE">
        <w:t>determining whether the projects are sufficiently related to one another</w:t>
      </w:r>
      <w:r w:rsidR="33187714" w:rsidRPr="1D0E6769">
        <w:t xml:space="preserve"> </w:t>
      </w:r>
      <w:r w:rsidR="05062746" w:rsidRPr="1D0E6769">
        <w:t xml:space="preserve">it </w:t>
      </w:r>
      <w:r w:rsidR="00B441E2">
        <w:t>may be</w:t>
      </w:r>
      <w:r w:rsidR="00151767">
        <w:t xml:space="preserve"> </w:t>
      </w:r>
      <w:r w:rsidR="05062746" w:rsidRPr="1D0E6769">
        <w:t xml:space="preserve">possible </w:t>
      </w:r>
      <w:r w:rsidR="6BC84882" w:rsidRPr="3DFCA37E">
        <w:t xml:space="preserve">for two </w:t>
      </w:r>
      <w:r w:rsidR="1445527A" w:rsidRPr="754A6F1E">
        <w:t>or more</w:t>
      </w:r>
      <w:r w:rsidR="562485B5" w:rsidRPr="754A6F1E">
        <w:t xml:space="preserve"> </w:t>
      </w:r>
      <w:r w:rsidR="6BC84882" w:rsidRPr="3DFCA37E">
        <w:t xml:space="preserve">production </w:t>
      </w:r>
      <w:r w:rsidR="6BC84882" w:rsidRPr="78A86075">
        <w:t xml:space="preserve">licences to be combined </w:t>
      </w:r>
      <w:r w:rsidR="076A7308" w:rsidRPr="78A86075">
        <w:t>where</w:t>
      </w:r>
      <w:r w:rsidR="027A3D2B" w:rsidRPr="40417E67">
        <w:t xml:space="preserve"> the same </w:t>
      </w:r>
      <w:r w:rsidR="027A3D2B" w:rsidRPr="6119052F">
        <w:t xml:space="preserve">infrastructure is being used by the same production licence </w:t>
      </w:r>
      <w:r w:rsidR="027A3D2B" w:rsidRPr="150AC838">
        <w:t>holders</w:t>
      </w:r>
      <w:r w:rsidR="4AD30B47" w:rsidRPr="1958AABB">
        <w:t xml:space="preserve"> for</w:t>
      </w:r>
      <w:r w:rsidR="4AD30B47" w:rsidRPr="3128A1CF">
        <w:t xml:space="preserve"> </w:t>
      </w:r>
      <w:r w:rsidR="00712001">
        <w:t xml:space="preserve">completely </w:t>
      </w:r>
      <w:r w:rsidR="4AD30B47" w:rsidRPr="62A6C604">
        <w:t>different</w:t>
      </w:r>
      <w:r w:rsidR="4AD30B47" w:rsidRPr="59CF8190">
        <w:t xml:space="preserve"> </w:t>
      </w:r>
      <w:r w:rsidR="57C92315" w:rsidRPr="59CF8190">
        <w:t>fields</w:t>
      </w:r>
      <w:r w:rsidR="5A6E7FAF" w:rsidRPr="28F70ADA">
        <w:t>.</w:t>
      </w:r>
      <w:r w:rsidR="00151767">
        <w:t xml:space="preserve"> </w:t>
      </w:r>
    </w:p>
    <w:p w14:paraId="648DDDE6" w14:textId="21F1364F" w:rsidR="00443930" w:rsidRDefault="475B188A" w:rsidP="1481ADAF">
      <w:pPr>
        <w:spacing w:line="276" w:lineRule="auto"/>
      </w:pPr>
      <w:r w:rsidRPr="66A31336">
        <w:t>When</w:t>
      </w:r>
      <w:r w:rsidR="57A6E9CA" w:rsidRPr="4F38FABD">
        <w:t xml:space="preserve"> the </w:t>
      </w:r>
      <w:r w:rsidR="00CF75D3">
        <w:t>NWS</w:t>
      </w:r>
      <w:r w:rsidR="57A6E9CA" w:rsidRPr="4F38FABD">
        <w:t xml:space="preserve"> </w:t>
      </w:r>
      <w:r w:rsidR="003A2720">
        <w:t>Project</w:t>
      </w:r>
      <w:r w:rsidR="00720859">
        <w:t xml:space="preserve"> </w:t>
      </w:r>
      <w:r w:rsidR="57A6E9CA" w:rsidRPr="4F38FABD">
        <w:t xml:space="preserve">was included in the PRRT regime the provision on combining projects was amended to ensure that </w:t>
      </w:r>
      <w:r w:rsidR="00720859">
        <w:t>it</w:t>
      </w:r>
      <w:r w:rsidR="57A6E9CA" w:rsidRPr="4F38FABD">
        <w:t xml:space="preserve"> was not able to be combined with any other project.</w:t>
      </w:r>
      <w:r w:rsidR="00151767">
        <w:t xml:space="preserve"> </w:t>
      </w:r>
      <w:r w:rsidR="57A6E9CA" w:rsidRPr="4F38FABD">
        <w:t xml:space="preserve">This provision was </w:t>
      </w:r>
      <w:r w:rsidR="57A6E9CA" w:rsidRPr="4F38FABD">
        <w:lastRenderedPageBreak/>
        <w:t>amended to ensure that the starting base expenditure could not be used to shield other offshore petroleum project</w:t>
      </w:r>
      <w:r w:rsidR="000430DE">
        <w:t>s</w:t>
      </w:r>
      <w:r w:rsidR="57A6E9CA" w:rsidRPr="4F38FABD">
        <w:t xml:space="preserve"> from its PRRT liability.</w:t>
      </w:r>
    </w:p>
    <w:p w14:paraId="33626D4E" w14:textId="6CB0BC0A" w:rsidR="00AF0491" w:rsidRDefault="00443930" w:rsidP="1481ADAF">
      <w:pPr>
        <w:spacing w:line="276" w:lineRule="auto"/>
      </w:pPr>
      <w:r w:rsidRPr="67CDF5DD">
        <w:t xml:space="preserve">It is appropriate to ensure that resource owners who develop new fields using their own infrastructure are not advantaged by the existing tax arrangements. New discrete fields should </w:t>
      </w:r>
      <w:r w:rsidRPr="29BFC5B1">
        <w:t>have</w:t>
      </w:r>
      <w:r w:rsidRPr="67CDF5DD">
        <w:t xml:space="preserve"> similar tax arrangements regardless of whether they use a tolling model or are otherwise incorporated into project infrastructure.</w:t>
      </w:r>
      <w:r w:rsidR="00F9029E">
        <w:t xml:space="preserve"> </w:t>
      </w:r>
      <w:r w:rsidR="008F74FE">
        <w:t>It is proposed that</w:t>
      </w:r>
      <w:r w:rsidR="00AE5620">
        <w:t xml:space="preserve"> the project combination rules </w:t>
      </w:r>
      <w:r w:rsidR="00856BA1">
        <w:t xml:space="preserve">be revisited </w:t>
      </w:r>
      <w:r w:rsidR="00B70274">
        <w:t>to ensure they do</w:t>
      </w:r>
      <w:r w:rsidR="00AE5620">
        <w:t xml:space="preserve"> not apply</w:t>
      </w:r>
      <w:r w:rsidR="008F74FE">
        <w:t xml:space="preserve"> </w:t>
      </w:r>
      <w:r w:rsidR="009D6FE7">
        <w:t xml:space="preserve">in circumstances where the </w:t>
      </w:r>
      <w:r w:rsidR="00156656">
        <w:t xml:space="preserve">expansion of </w:t>
      </w:r>
      <w:r w:rsidR="004A518A">
        <w:t xml:space="preserve">LNG projects involves </w:t>
      </w:r>
      <w:r w:rsidR="00BB13D2">
        <w:t xml:space="preserve">the extraction of </w:t>
      </w:r>
      <w:r w:rsidR="007F6B54">
        <w:t xml:space="preserve">resources from discrete </w:t>
      </w:r>
      <w:r w:rsidR="00CE2248">
        <w:t xml:space="preserve">new </w:t>
      </w:r>
      <w:r w:rsidR="007F6B54">
        <w:t>fields</w:t>
      </w:r>
      <w:r w:rsidR="00900B6E">
        <w:t>.</w:t>
      </w:r>
      <w:r w:rsidR="00151767">
        <w:t xml:space="preserve"> </w:t>
      </w:r>
      <w:r w:rsidR="00C05616">
        <w:t>This is consistent with the</w:t>
      </w:r>
      <w:r w:rsidR="005E57B2">
        <w:t xml:space="preserve"> PRRT </w:t>
      </w:r>
      <w:r w:rsidR="00A30123">
        <w:t>being a project</w:t>
      </w:r>
      <w:r w:rsidR="00CE2248">
        <w:t>-</w:t>
      </w:r>
      <w:r w:rsidR="00A30123">
        <w:t>based tax.</w:t>
      </w:r>
      <w:r w:rsidR="007F6B54">
        <w:t xml:space="preserve"> </w:t>
      </w:r>
    </w:p>
    <w:p w14:paraId="604D72D4" w14:textId="77777777" w:rsidR="00A23356" w:rsidRDefault="008C2E63" w:rsidP="1481ADAF">
      <w:pPr>
        <w:spacing w:line="276" w:lineRule="auto"/>
      </w:pPr>
      <w:r>
        <w:t>In</w:t>
      </w:r>
      <w:r w:rsidR="002E5441">
        <w:t xml:space="preserve">dustry </w:t>
      </w:r>
      <w:r w:rsidR="00CE2248">
        <w:t>has</w:t>
      </w:r>
      <w:r w:rsidR="002E5441">
        <w:t xml:space="preserve"> submitted </w:t>
      </w:r>
      <w:r w:rsidR="00B24BAC">
        <w:t xml:space="preserve">as part of this </w:t>
      </w:r>
      <w:r w:rsidR="00A60033">
        <w:t>R</w:t>
      </w:r>
      <w:r w:rsidR="00B24BAC">
        <w:t>eview</w:t>
      </w:r>
      <w:r w:rsidR="00497D87">
        <w:t xml:space="preserve"> that</w:t>
      </w:r>
      <w:r w:rsidR="57A6E9CA" w:rsidRPr="4F38FABD">
        <w:t xml:space="preserve"> </w:t>
      </w:r>
      <w:r w:rsidR="003602E3">
        <w:t xml:space="preserve">if projects </w:t>
      </w:r>
      <w:r w:rsidR="004E0946">
        <w:t>were not able to be combined</w:t>
      </w:r>
      <w:r w:rsidR="00A23356">
        <w:t xml:space="preserve">: </w:t>
      </w:r>
    </w:p>
    <w:p w14:paraId="1B5A74DC" w14:textId="40125595" w:rsidR="00CD1D7F" w:rsidRDefault="006C5004" w:rsidP="00D53BF0">
      <w:pPr>
        <w:pStyle w:val="Quote"/>
        <w:jc w:val="center"/>
        <w:rPr>
          <w:rFonts w:ascii="Calibri Light" w:eastAsia="Yu Mincho Demibold" w:hAnsi="Calibri Light" w:cs="Calibri Light"/>
          <w:color w:val="auto"/>
        </w:rPr>
      </w:pPr>
      <w:r w:rsidRPr="00975E1A">
        <w:rPr>
          <w:rFonts w:ascii="Calibri Light" w:eastAsia="Yu Mincho Demibold" w:hAnsi="Calibri Light" w:cs="Calibri Light"/>
          <w:color w:val="auto"/>
        </w:rPr>
        <w:t>‘</w:t>
      </w:r>
      <w:r w:rsidR="00FC4C54" w:rsidRPr="00975E1A">
        <w:rPr>
          <w:rFonts w:ascii="Calibri Light" w:eastAsia="Yu Mincho Demibold" w:hAnsi="Calibri Light" w:cs="Calibri Light"/>
          <w:color w:val="auto"/>
        </w:rPr>
        <w:t>…</w:t>
      </w:r>
      <w:r w:rsidR="004C1C57" w:rsidRPr="00975E1A">
        <w:rPr>
          <w:rFonts w:ascii="Calibri Light" w:eastAsia="Yu Mincho Demibold" w:hAnsi="Calibri Light" w:cs="Calibri Light"/>
          <w:color w:val="auto"/>
        </w:rPr>
        <w:t>there are several pr</w:t>
      </w:r>
      <w:r w:rsidR="00775C17" w:rsidRPr="00975E1A">
        <w:rPr>
          <w:rFonts w:ascii="Calibri Light" w:eastAsia="Yu Mincho Demibold" w:hAnsi="Calibri Light" w:cs="Calibri Light"/>
          <w:color w:val="auto"/>
        </w:rPr>
        <w:t>actical</w:t>
      </w:r>
      <w:r w:rsidR="00557A63" w:rsidRPr="00975E1A">
        <w:rPr>
          <w:rFonts w:ascii="Calibri Light" w:eastAsia="Yu Mincho Demibold" w:hAnsi="Calibri Light" w:cs="Calibri Light"/>
          <w:color w:val="auto"/>
        </w:rPr>
        <w:t xml:space="preserve"> and administrative diff</w:t>
      </w:r>
      <w:r w:rsidR="003515E4" w:rsidRPr="00975E1A">
        <w:rPr>
          <w:rFonts w:ascii="Calibri Light" w:eastAsia="Yu Mincho Demibold" w:hAnsi="Calibri Light" w:cs="Calibri Light"/>
          <w:color w:val="auto"/>
        </w:rPr>
        <w:t>iculties</w:t>
      </w:r>
      <w:r w:rsidR="00262AC1" w:rsidRPr="00975E1A">
        <w:rPr>
          <w:rFonts w:ascii="Calibri Light" w:eastAsia="Yu Mincho Demibold" w:hAnsi="Calibri Light" w:cs="Calibri Light"/>
          <w:color w:val="auto"/>
        </w:rPr>
        <w:t xml:space="preserve"> and technical difficulties in how the RPM will operate, including:</w:t>
      </w:r>
    </w:p>
    <w:p w14:paraId="419457BC" w14:textId="088C11A1" w:rsidR="00CD1D7F" w:rsidRDefault="00CD1D7F" w:rsidP="00D53BF0">
      <w:pPr>
        <w:pStyle w:val="Quote"/>
        <w:jc w:val="center"/>
        <w:rPr>
          <w:rFonts w:ascii="Calibri Light" w:eastAsia="Yu Mincho Demibold" w:hAnsi="Calibri Light" w:cs="Calibri Light"/>
          <w:color w:val="auto"/>
        </w:rPr>
      </w:pPr>
      <w:r w:rsidRPr="00D53BF0">
        <w:rPr>
          <w:rFonts w:ascii="Symbol" w:eastAsia="Symbol" w:hAnsi="Symbol" w:cs="Symbol"/>
          <w:color w:val="auto"/>
          <w:sz w:val="32"/>
          <w:szCs w:val="32"/>
        </w:rPr>
        <w:t>×</w:t>
      </w:r>
      <w:r>
        <w:rPr>
          <w:rFonts w:ascii="Calibri Light" w:eastAsia="Yu Mincho Demibold" w:hAnsi="Calibri Light" w:cs="Calibri Light"/>
          <w:color w:val="auto"/>
        </w:rPr>
        <w:t xml:space="preserve"> </w:t>
      </w:r>
      <w:r w:rsidR="00BB5E18" w:rsidRPr="00975E1A">
        <w:rPr>
          <w:rFonts w:ascii="Calibri Light" w:eastAsia="Yu Mincho Demibold" w:hAnsi="Calibri Light" w:cs="Calibri Light"/>
          <w:color w:val="auto"/>
        </w:rPr>
        <w:t>Production from each</w:t>
      </w:r>
      <w:r w:rsidR="005D7AAC" w:rsidRPr="00975E1A">
        <w:rPr>
          <w:rFonts w:ascii="Calibri Light" w:eastAsia="Yu Mincho Demibold" w:hAnsi="Calibri Light" w:cs="Calibri Light"/>
          <w:color w:val="auto"/>
        </w:rPr>
        <w:t xml:space="preserve"> individual field will need to be tracked separately</w:t>
      </w:r>
      <w:r w:rsidR="007C4C31" w:rsidRPr="00975E1A">
        <w:rPr>
          <w:rFonts w:ascii="Calibri Light" w:eastAsia="Yu Mincho Demibold" w:hAnsi="Calibri Light" w:cs="Calibri Light"/>
          <w:color w:val="auto"/>
        </w:rPr>
        <w:t>;</w:t>
      </w:r>
    </w:p>
    <w:p w14:paraId="1682197C" w14:textId="4EE763F2" w:rsidR="00322680" w:rsidRPr="00975E1A" w:rsidRDefault="00D53BF0" w:rsidP="00D53BF0">
      <w:pPr>
        <w:pStyle w:val="Quote"/>
        <w:jc w:val="center"/>
        <w:rPr>
          <w:rFonts w:ascii="Calibri Light" w:eastAsia="Yu Mincho Demibold" w:hAnsi="Calibri Light" w:cs="Calibri Light"/>
          <w:color w:val="auto"/>
        </w:rPr>
      </w:pPr>
      <w:r w:rsidRPr="00D53BF0">
        <w:rPr>
          <w:rFonts w:ascii="Symbol" w:eastAsia="Symbol" w:hAnsi="Symbol" w:cs="Symbol"/>
          <w:color w:val="auto"/>
          <w:sz w:val="32"/>
          <w:szCs w:val="32"/>
        </w:rPr>
        <w:t>×</w:t>
      </w:r>
      <w:r>
        <w:rPr>
          <w:rFonts w:ascii="Calibri Light" w:eastAsia="Yu Mincho Demibold" w:hAnsi="Calibri Light" w:cs="Calibri Light"/>
          <w:color w:val="auto"/>
        </w:rPr>
        <w:t xml:space="preserve"> </w:t>
      </w:r>
      <w:r w:rsidR="007C4C31" w:rsidRPr="00975E1A">
        <w:rPr>
          <w:rFonts w:ascii="Calibri Light" w:eastAsia="Yu Mincho Demibold" w:hAnsi="Calibri Light" w:cs="Calibri Light"/>
          <w:color w:val="auto"/>
        </w:rPr>
        <w:t>Currently</w:t>
      </w:r>
      <w:r w:rsidR="006046D7" w:rsidRPr="00975E1A">
        <w:rPr>
          <w:rFonts w:ascii="Calibri Light" w:eastAsia="Yu Mincho Demibold" w:hAnsi="Calibri Light" w:cs="Calibri Light"/>
          <w:color w:val="auto"/>
        </w:rPr>
        <w:t>, when products are sold, sales are not allocated to each individual field, but treated as one.</w:t>
      </w:r>
      <w:r w:rsidR="00151767" w:rsidRPr="00975E1A">
        <w:rPr>
          <w:rFonts w:ascii="Calibri Light" w:eastAsia="Yu Mincho Demibold" w:hAnsi="Calibri Light" w:cs="Calibri Light"/>
          <w:color w:val="auto"/>
        </w:rPr>
        <w:t xml:space="preserve"> </w:t>
      </w:r>
      <w:r w:rsidR="006046D7" w:rsidRPr="00975E1A">
        <w:rPr>
          <w:rFonts w:ascii="Calibri Light" w:eastAsia="Yu Mincho Demibold" w:hAnsi="Calibri Light" w:cs="Calibri Light"/>
          <w:color w:val="auto"/>
        </w:rPr>
        <w:t xml:space="preserve">Without </w:t>
      </w:r>
      <w:r w:rsidR="00265FA1" w:rsidRPr="00975E1A">
        <w:rPr>
          <w:rFonts w:ascii="Calibri Light" w:eastAsia="Yu Mincho Demibold" w:hAnsi="Calibri Light" w:cs="Calibri Light"/>
          <w:color w:val="auto"/>
        </w:rPr>
        <w:t xml:space="preserve">project combinations, singular </w:t>
      </w:r>
      <w:r w:rsidR="00946386" w:rsidRPr="00975E1A">
        <w:rPr>
          <w:rFonts w:ascii="Calibri Light" w:eastAsia="Yu Mincho Demibold" w:hAnsi="Calibri Light" w:cs="Calibri Light"/>
          <w:color w:val="auto"/>
        </w:rPr>
        <w:t>sales invoice will need to be split by</w:t>
      </w:r>
      <w:r w:rsidR="00A61AED" w:rsidRPr="00975E1A">
        <w:rPr>
          <w:rFonts w:ascii="Calibri Light" w:eastAsia="Yu Mincho Demibold" w:hAnsi="Calibri Light" w:cs="Calibri Light"/>
          <w:color w:val="auto"/>
        </w:rPr>
        <w:t xml:space="preserve"> PRRT </w:t>
      </w:r>
      <w:r w:rsidR="00FF426A" w:rsidRPr="00975E1A">
        <w:rPr>
          <w:rFonts w:ascii="Calibri Light" w:eastAsia="Yu Mincho Demibold" w:hAnsi="Calibri Light" w:cs="Calibri Light"/>
          <w:color w:val="auto"/>
        </w:rPr>
        <w:t>project.</w:t>
      </w:r>
      <w:r w:rsidR="00024166" w:rsidRPr="00975E1A">
        <w:rPr>
          <w:rFonts w:ascii="Calibri Light" w:eastAsia="Yu Mincho Demibold" w:hAnsi="Calibri Light" w:cs="Calibri Light"/>
          <w:color w:val="auto"/>
        </w:rPr>
        <w:t xml:space="preserve"> As sales contracts</w:t>
      </w:r>
      <w:r w:rsidR="00A728A5" w:rsidRPr="00975E1A">
        <w:rPr>
          <w:rFonts w:ascii="Calibri Light" w:eastAsia="Yu Mincho Demibold" w:hAnsi="Calibri Light" w:cs="Calibri Light"/>
          <w:color w:val="auto"/>
        </w:rPr>
        <w:t xml:space="preserve"> do not exist for individual fields</w:t>
      </w:r>
      <w:r w:rsidR="00A57589" w:rsidRPr="00975E1A">
        <w:rPr>
          <w:rFonts w:ascii="Calibri Light" w:eastAsia="Yu Mincho Demibold" w:hAnsi="Calibri Light" w:cs="Calibri Light"/>
          <w:color w:val="auto"/>
        </w:rPr>
        <w:t xml:space="preserve">, the split of revenue between PRRT projects could be based on an </w:t>
      </w:r>
      <w:r w:rsidR="00F52787" w:rsidRPr="00975E1A">
        <w:rPr>
          <w:rFonts w:ascii="Calibri Light" w:eastAsia="Yu Mincho Demibold" w:hAnsi="Calibri Light" w:cs="Calibri Light"/>
          <w:color w:val="auto"/>
        </w:rPr>
        <w:t xml:space="preserve">arbitrary method and depending on the PRRT profile of each individual taxpayer, </w:t>
      </w:r>
      <w:r w:rsidR="001E627F" w:rsidRPr="00975E1A">
        <w:rPr>
          <w:rFonts w:ascii="Calibri Light" w:eastAsia="Yu Mincho Demibold" w:hAnsi="Calibri Light" w:cs="Calibri Light"/>
          <w:color w:val="auto"/>
        </w:rPr>
        <w:t>split methodologies may be different for each joint venture partner</w:t>
      </w:r>
      <w:r w:rsidR="00322680" w:rsidRPr="00975E1A">
        <w:rPr>
          <w:rFonts w:ascii="Calibri Light" w:eastAsia="Yu Mincho Demibold" w:hAnsi="Calibri Light" w:cs="Calibri Light"/>
          <w:color w:val="auto"/>
        </w:rPr>
        <w:t>;</w:t>
      </w:r>
    </w:p>
    <w:p w14:paraId="4EF0CA9B" w14:textId="538380BD" w:rsidR="009235ED" w:rsidRPr="00975E1A" w:rsidRDefault="00D53BF0" w:rsidP="00D53BF0">
      <w:pPr>
        <w:pStyle w:val="Quote"/>
        <w:jc w:val="center"/>
        <w:rPr>
          <w:rFonts w:ascii="Calibri Light" w:eastAsia="Yu Mincho Demibold" w:hAnsi="Calibri Light" w:cs="Calibri Light"/>
          <w:color w:val="auto"/>
        </w:rPr>
      </w:pPr>
      <w:r w:rsidRPr="00D53BF0">
        <w:rPr>
          <w:rFonts w:ascii="Symbol" w:eastAsia="Symbol" w:hAnsi="Symbol" w:cs="Symbol"/>
          <w:color w:val="auto"/>
          <w:sz w:val="32"/>
          <w:szCs w:val="32"/>
        </w:rPr>
        <w:t>×</w:t>
      </w:r>
      <w:r>
        <w:rPr>
          <w:rFonts w:ascii="Calibri Light" w:eastAsia="Yu Mincho Demibold" w:hAnsi="Calibri Light" w:cs="Calibri Light"/>
          <w:color w:val="auto"/>
        </w:rPr>
        <w:t xml:space="preserve"> </w:t>
      </w:r>
      <w:r w:rsidR="00322680" w:rsidRPr="00975E1A">
        <w:rPr>
          <w:rFonts w:ascii="Calibri Light" w:eastAsia="Yu Mincho Demibold" w:hAnsi="Calibri Light" w:cs="Calibri Light"/>
          <w:color w:val="auto"/>
        </w:rPr>
        <w:t xml:space="preserve">Capital and operating costs would </w:t>
      </w:r>
      <w:r w:rsidR="009E2B22" w:rsidRPr="00975E1A">
        <w:rPr>
          <w:rFonts w:ascii="Calibri Light" w:eastAsia="Yu Mincho Demibold" w:hAnsi="Calibri Light" w:cs="Calibri Light"/>
          <w:color w:val="auto"/>
        </w:rPr>
        <w:t>require allocation to individual fields</w:t>
      </w:r>
      <w:r w:rsidR="00287996" w:rsidRPr="00975E1A">
        <w:rPr>
          <w:rFonts w:ascii="Calibri Light" w:eastAsia="Yu Mincho Demibold" w:hAnsi="Calibri Light" w:cs="Calibri Light"/>
          <w:color w:val="auto"/>
        </w:rPr>
        <w:t xml:space="preserve">, which is contrary to operational </w:t>
      </w:r>
      <w:r w:rsidR="009235ED" w:rsidRPr="00975E1A">
        <w:rPr>
          <w:rFonts w:ascii="Calibri Light" w:eastAsia="Yu Mincho Demibold" w:hAnsi="Calibri Light" w:cs="Calibri Light"/>
          <w:color w:val="auto"/>
        </w:rPr>
        <w:t>reality;</w:t>
      </w:r>
    </w:p>
    <w:p w14:paraId="7D54A2B0" w14:textId="00335F50" w:rsidR="00EA6D4F" w:rsidRPr="00975E1A" w:rsidRDefault="00D53BF0" w:rsidP="00D53BF0">
      <w:pPr>
        <w:pStyle w:val="Quote"/>
        <w:jc w:val="center"/>
        <w:rPr>
          <w:rFonts w:ascii="Calibri Light" w:eastAsia="Yu Mincho Demibold" w:hAnsi="Calibri Light" w:cs="Calibri Light"/>
          <w:color w:val="auto"/>
        </w:rPr>
      </w:pPr>
      <w:r w:rsidRPr="00D53BF0">
        <w:rPr>
          <w:rFonts w:ascii="Symbol" w:eastAsia="Symbol" w:hAnsi="Symbol" w:cs="Symbol"/>
          <w:color w:val="auto"/>
          <w:sz w:val="32"/>
          <w:szCs w:val="32"/>
        </w:rPr>
        <w:t>×</w:t>
      </w:r>
      <w:r>
        <w:rPr>
          <w:rFonts w:ascii="Calibri Light" w:eastAsia="Yu Mincho Demibold" w:hAnsi="Calibri Light" w:cs="Calibri Light"/>
          <w:color w:val="auto"/>
        </w:rPr>
        <w:t xml:space="preserve">  </w:t>
      </w:r>
      <w:r w:rsidR="009235ED" w:rsidRPr="00975E1A">
        <w:rPr>
          <w:rFonts w:ascii="Calibri Light" w:eastAsia="Yu Mincho Demibold" w:hAnsi="Calibri Light" w:cs="Calibri Light"/>
          <w:color w:val="auto"/>
        </w:rPr>
        <w:t>Signi</w:t>
      </w:r>
      <w:r w:rsidR="00193406" w:rsidRPr="00975E1A">
        <w:rPr>
          <w:rFonts w:ascii="Calibri Light" w:eastAsia="Yu Mincho Demibold" w:hAnsi="Calibri Light" w:cs="Calibri Light"/>
          <w:color w:val="auto"/>
        </w:rPr>
        <w:t>ficant increase and duplication of work for taxpayers and ATO due to the increase uncertainty in tax lodgement</w:t>
      </w:r>
      <w:r w:rsidR="008757FC" w:rsidRPr="00975E1A">
        <w:rPr>
          <w:rFonts w:ascii="Calibri Light" w:eastAsia="Yu Mincho Demibold" w:hAnsi="Calibri Light" w:cs="Calibri Light"/>
          <w:color w:val="auto"/>
        </w:rPr>
        <w:t xml:space="preserve"> positions due to the additional complex</w:t>
      </w:r>
      <w:r w:rsidR="00AD4D5E" w:rsidRPr="00975E1A">
        <w:rPr>
          <w:rFonts w:ascii="Calibri Light" w:eastAsia="Yu Mincho Demibold" w:hAnsi="Calibri Light" w:cs="Calibri Light"/>
          <w:color w:val="auto"/>
        </w:rPr>
        <w:t>ities</w:t>
      </w:r>
      <w:r w:rsidR="00EA6D4F" w:rsidRPr="00975E1A">
        <w:rPr>
          <w:rFonts w:ascii="Calibri Light" w:eastAsia="Yu Mincho Demibold" w:hAnsi="Calibri Light" w:cs="Calibri Light"/>
          <w:color w:val="auto"/>
        </w:rPr>
        <w:t>;</w:t>
      </w:r>
    </w:p>
    <w:p w14:paraId="59030D36" w14:textId="5979A395" w:rsidR="00192F51" w:rsidRPr="00975E1A" w:rsidRDefault="00D53BF0" w:rsidP="00D53BF0">
      <w:pPr>
        <w:pStyle w:val="Quote"/>
        <w:jc w:val="center"/>
        <w:rPr>
          <w:rFonts w:ascii="Calibri Light" w:eastAsia="Yu Mincho Demibold" w:hAnsi="Calibri Light" w:cs="Calibri Light"/>
          <w:color w:val="auto"/>
        </w:rPr>
      </w:pPr>
      <w:r w:rsidRPr="00D53BF0">
        <w:rPr>
          <w:rFonts w:ascii="Symbol" w:eastAsia="Symbol" w:hAnsi="Symbol" w:cs="Symbol"/>
          <w:color w:val="auto"/>
          <w:sz w:val="32"/>
          <w:szCs w:val="32"/>
        </w:rPr>
        <w:t>×</w:t>
      </w:r>
      <w:r>
        <w:rPr>
          <w:rFonts w:ascii="Calibri Light" w:eastAsia="Yu Mincho Demibold" w:hAnsi="Calibri Light" w:cs="Calibri Light"/>
          <w:color w:val="auto"/>
        </w:rPr>
        <w:t xml:space="preserve"> </w:t>
      </w:r>
      <w:r w:rsidR="00EA6D4F" w:rsidRPr="00975E1A">
        <w:rPr>
          <w:rFonts w:ascii="Calibri Light" w:eastAsia="Yu Mincho Demibold" w:hAnsi="Calibri Light" w:cs="Calibri Light"/>
          <w:color w:val="auto"/>
        </w:rPr>
        <w:t>Taxpayers IT systems will need to be redeveloped, significantly</w:t>
      </w:r>
      <w:r w:rsidR="0013136A" w:rsidRPr="00975E1A">
        <w:rPr>
          <w:rFonts w:ascii="Calibri Light" w:eastAsia="Yu Mincho Demibold" w:hAnsi="Calibri Light" w:cs="Calibri Light"/>
          <w:color w:val="auto"/>
        </w:rPr>
        <w:t xml:space="preserve"> increasing the cost of compliance</w:t>
      </w:r>
      <w:r w:rsidR="003E6DEE" w:rsidRPr="00975E1A">
        <w:rPr>
          <w:rFonts w:ascii="Calibri Light" w:eastAsia="Yu Mincho Demibold" w:hAnsi="Calibri Light" w:cs="Calibri Light"/>
          <w:color w:val="auto"/>
        </w:rPr>
        <w:t>.</w:t>
      </w:r>
      <w:r w:rsidR="00995A35" w:rsidRPr="00975E1A">
        <w:rPr>
          <w:rFonts w:ascii="Calibri Light" w:eastAsia="Yu Mincho Demibold" w:hAnsi="Calibri Light" w:cs="Calibri Light"/>
          <w:color w:val="auto"/>
        </w:rPr>
        <w:t>’</w:t>
      </w:r>
      <w:r w:rsidR="00362651" w:rsidRPr="00975E1A">
        <w:rPr>
          <w:rStyle w:val="FootnoteReference"/>
          <w:rFonts w:ascii="Calibri Light" w:eastAsia="Yu Mincho Demibold" w:hAnsi="Calibri Light" w:cs="Calibri Light"/>
          <w:color w:val="auto"/>
        </w:rPr>
        <w:footnoteReference w:id="79"/>
      </w:r>
    </w:p>
    <w:p w14:paraId="33F4A6D5" w14:textId="24DD4E54" w:rsidR="00C91176" w:rsidRDefault="00CF2087" w:rsidP="00192F51">
      <w:r w:rsidRPr="008F5357">
        <w:t xml:space="preserve">The current </w:t>
      </w:r>
      <w:r w:rsidR="00D1791C">
        <w:t>GTP Regulation</w:t>
      </w:r>
      <w:r w:rsidRPr="008F5357">
        <w:t xml:space="preserve"> requires the</w:t>
      </w:r>
      <w:r w:rsidR="00135310">
        <w:t xml:space="preserve"> i</w:t>
      </w:r>
      <w:r w:rsidR="006F79EB">
        <w:t>dentification and</w:t>
      </w:r>
      <w:r w:rsidRPr="008F5357">
        <w:t xml:space="preserve"> allocation of operating and capital expenditure to multiple phase</w:t>
      </w:r>
      <w:r w:rsidR="006F79EB">
        <w:t xml:space="preserve"> points</w:t>
      </w:r>
      <w:r w:rsidRPr="008F5357">
        <w:t xml:space="preserve"> and </w:t>
      </w:r>
      <w:r w:rsidR="00937F80">
        <w:t xml:space="preserve">to </w:t>
      </w:r>
      <w:r w:rsidRPr="008F5357">
        <w:t>multiple petroleum products.</w:t>
      </w:r>
      <w:r w:rsidR="00F9029E">
        <w:t xml:space="preserve"> </w:t>
      </w:r>
      <w:r w:rsidRPr="008F5357">
        <w:t xml:space="preserve">The ability of industry to apply the current </w:t>
      </w:r>
      <w:r w:rsidR="00D1791C">
        <w:t>GTP Regulation</w:t>
      </w:r>
      <w:r w:rsidRPr="008F5357">
        <w:t xml:space="preserve"> would appear to demonstrate that the administrative burdens </w:t>
      </w:r>
      <w:r w:rsidR="00CC2214">
        <w:t>outlined</w:t>
      </w:r>
      <w:r w:rsidRPr="008F5357">
        <w:t xml:space="preserve"> by industry may need to be </w:t>
      </w:r>
      <w:r w:rsidR="0082105E">
        <w:t>confirmed through further consultation</w:t>
      </w:r>
      <w:r w:rsidRPr="008F5357">
        <w:t>.</w:t>
      </w:r>
    </w:p>
    <w:p w14:paraId="7EC70F8C" w14:textId="77777777" w:rsidR="001D229E" w:rsidRDefault="1804E7E1">
      <w:r w:rsidRPr="5D253CFB">
        <w:t>T</w:t>
      </w:r>
      <w:r w:rsidR="045746C8" w:rsidRPr="5D253CFB">
        <w:t>he</w:t>
      </w:r>
      <w:r w:rsidR="47D1D3C9" w:rsidRPr="5D253CFB">
        <w:t xml:space="preserve"> developments in technology </w:t>
      </w:r>
      <w:r w:rsidR="03119569" w:rsidRPr="7016FBF3">
        <w:t>and</w:t>
      </w:r>
      <w:r w:rsidR="47D1D3C9" w:rsidRPr="5D253CFB">
        <w:t xml:space="preserve"> </w:t>
      </w:r>
      <w:r w:rsidR="001700AC">
        <w:t>the</w:t>
      </w:r>
      <w:r w:rsidR="47D1D3C9" w:rsidRPr="5D253CFB">
        <w:t xml:space="preserve"> infrastructure </w:t>
      </w:r>
      <w:r w:rsidR="7F1298B8" w:rsidRPr="5D253CFB">
        <w:t>being used</w:t>
      </w:r>
      <w:r w:rsidR="045746C8" w:rsidRPr="5D253CFB">
        <w:t xml:space="preserve"> </w:t>
      </w:r>
      <w:r w:rsidR="47D1D3C9" w:rsidRPr="5D253CFB">
        <w:t xml:space="preserve">for </w:t>
      </w:r>
      <w:r w:rsidR="3F5D50A6" w:rsidRPr="29BFC5B1">
        <w:t>multiple</w:t>
      </w:r>
      <w:r w:rsidR="1A08C497" w:rsidRPr="29BFC5B1">
        <w:t xml:space="preserve"> </w:t>
      </w:r>
      <w:r w:rsidR="47D1D3C9" w:rsidRPr="5D253CFB">
        <w:t>LNG projects was not contemplated when the criteria for the combination of petroleum projects</w:t>
      </w:r>
      <w:r w:rsidR="7DC3472A" w:rsidRPr="5D253CFB">
        <w:t xml:space="preserve"> was established</w:t>
      </w:r>
      <w:r w:rsidR="045746C8" w:rsidRPr="5D253CFB">
        <w:t>.</w:t>
      </w:r>
      <w:r w:rsidR="00151767">
        <w:t xml:space="preserve"> </w:t>
      </w:r>
      <w:r w:rsidR="051823CC" w:rsidRPr="67CDF5DD">
        <w:t xml:space="preserve">Treasury recommends the project combination rules be revisited to strengthen the requirement for new resources to be treated as separate projects and to </w:t>
      </w:r>
      <w:r w:rsidR="00CD3586">
        <w:t>prevent</w:t>
      </w:r>
      <w:r w:rsidR="051823CC" w:rsidRPr="67CDF5DD">
        <w:t xml:space="preserve"> losses associated with one project from being offset against revenue from another field.</w:t>
      </w:r>
      <w:r w:rsidR="00F9029E">
        <w:t xml:space="preserve"> </w:t>
      </w:r>
      <w:r w:rsidR="005939CC">
        <w:t>The</w:t>
      </w:r>
      <w:r w:rsidR="005A7543">
        <w:t xml:space="preserve"> </w:t>
      </w:r>
      <w:r w:rsidR="00963C23">
        <w:t xml:space="preserve">administrative and practical issues raised by industry should also be </w:t>
      </w:r>
      <w:r w:rsidR="008B10F6">
        <w:t>considered</w:t>
      </w:r>
      <w:r w:rsidR="005939CC">
        <w:t xml:space="preserve"> </w:t>
      </w:r>
      <w:r w:rsidR="00FD1CC9">
        <w:t>when making these changes to the project combination rules.</w:t>
      </w:r>
    </w:p>
    <w:p w14:paraId="66C25BF5" w14:textId="77777777" w:rsidR="004E00D5" w:rsidRDefault="004E00D5"/>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4E00D5" w14:paraId="2D37843F"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494EB280" w14:textId="1FB5CC13" w:rsidR="004E00D5" w:rsidRDefault="004E00D5">
            <w:pPr>
              <w:pStyle w:val="BoxHeading"/>
              <w:rPr>
                <w:sz w:val="28"/>
                <w:szCs w:val="28"/>
                <w:lang w:eastAsia="en-US"/>
              </w:rPr>
            </w:pPr>
            <w:r>
              <w:rPr>
                <w:sz w:val="28"/>
                <w:szCs w:val="28"/>
                <w:lang w:eastAsia="en-US"/>
              </w:rPr>
              <w:lastRenderedPageBreak/>
              <w:t>Recommendation 10</w:t>
            </w:r>
          </w:p>
          <w:p w14:paraId="6B22B2F0" w14:textId="397AA6FE" w:rsidR="004E00D5" w:rsidRDefault="007D4AEC">
            <w:pPr>
              <w:pStyle w:val="BoxText"/>
            </w:pPr>
            <w:r>
              <w:t>The project combination rules should be revisited with a view to strengthening the requirement that the new field have some relevant geological or geochemical connection to the existing project.</w:t>
            </w:r>
          </w:p>
        </w:tc>
      </w:tr>
    </w:tbl>
    <w:p w14:paraId="50642510" w14:textId="059C57F8" w:rsidR="051823CC" w:rsidRDefault="051823CC" w:rsidP="00192F51"/>
    <w:p w14:paraId="1E165284" w14:textId="08E9188B" w:rsidR="000A3F0F" w:rsidRDefault="000A3F0F" w:rsidP="000A3F0F">
      <w:pPr>
        <w:pStyle w:val="Heading2"/>
      </w:pPr>
      <w:bookmarkStart w:id="50" w:name="_Toc134273581"/>
      <w:r>
        <w:t xml:space="preserve">7.3 </w:t>
      </w:r>
      <w:r w:rsidR="00822F66">
        <w:t>LNG facilities entering the PRRT system</w:t>
      </w:r>
      <w:bookmarkEnd w:id="50"/>
    </w:p>
    <w:p w14:paraId="14AD1585" w14:textId="0BCF2140" w:rsidR="006C2507" w:rsidRDefault="0043796F" w:rsidP="008C044B">
      <w:r>
        <w:t xml:space="preserve">Another aspect where the </w:t>
      </w:r>
      <w:r w:rsidR="008C044B" w:rsidRPr="008C044B">
        <w:t xml:space="preserve">current </w:t>
      </w:r>
      <w:r w:rsidR="00D1791C">
        <w:t>GTP Regulation</w:t>
      </w:r>
      <w:r w:rsidR="008C044B" w:rsidRPr="008C044B">
        <w:t xml:space="preserve"> </w:t>
      </w:r>
      <w:r w:rsidR="00A5704D">
        <w:t>is</w:t>
      </w:r>
      <w:r>
        <w:t xml:space="preserve"> </w:t>
      </w:r>
      <w:r w:rsidR="008C044B" w:rsidRPr="008C044B">
        <w:t xml:space="preserve">not clear is </w:t>
      </w:r>
      <w:r w:rsidR="003574DC">
        <w:t>the basis of the</w:t>
      </w:r>
      <w:r w:rsidR="003574DC" w:rsidRPr="008C044B">
        <w:t xml:space="preserve"> </w:t>
      </w:r>
      <w:r w:rsidR="008C044B" w:rsidRPr="008C044B">
        <w:t xml:space="preserve">capital cost </w:t>
      </w:r>
      <w:r w:rsidR="00290D3B">
        <w:t>to</w:t>
      </w:r>
      <w:r w:rsidR="00290D3B" w:rsidRPr="008C044B">
        <w:t xml:space="preserve"> </w:t>
      </w:r>
      <w:r w:rsidR="008C044B" w:rsidRPr="008C044B">
        <w:t>be used where a</w:t>
      </w:r>
      <w:r>
        <w:t>n LNG</w:t>
      </w:r>
      <w:r w:rsidR="008C044B" w:rsidRPr="008C044B">
        <w:t xml:space="preserve"> facility </w:t>
      </w:r>
      <w:r w:rsidR="00FB6C26">
        <w:t>that is not currently subject to PRRT</w:t>
      </w:r>
      <w:r w:rsidR="008C044B" w:rsidRPr="008C044B">
        <w:t xml:space="preserve"> </w:t>
      </w:r>
      <w:r w:rsidR="008F7303">
        <w:t xml:space="preserve">enters the PRRT regime for </w:t>
      </w:r>
      <w:r w:rsidR="008C044B" w:rsidRPr="008C044B">
        <w:t>backfill purposes.</w:t>
      </w:r>
      <w:r w:rsidR="006C2507">
        <w:t xml:space="preserve"> </w:t>
      </w:r>
    </w:p>
    <w:p w14:paraId="4091D241" w14:textId="08E81BD2" w:rsidR="008C044B" w:rsidRPr="008C044B" w:rsidRDefault="00720B62" w:rsidP="008C044B">
      <w:r>
        <w:t xml:space="preserve">As part of the </w:t>
      </w:r>
      <w:r w:rsidR="00BB0A58">
        <w:t>changes to the GTP method</w:t>
      </w:r>
      <w:r w:rsidR="00960450">
        <w:t xml:space="preserve">, Treasury recommends </w:t>
      </w:r>
      <w:r w:rsidR="00BB0A58">
        <w:t>updating the regulations to</w:t>
      </w:r>
      <w:r w:rsidR="008C044B" w:rsidRPr="008C044B">
        <w:t xml:space="preserve"> use historical cost of the LNG facility</w:t>
      </w:r>
      <w:r w:rsidR="00BB0A58">
        <w:t>,</w:t>
      </w:r>
      <w:r w:rsidR="008C044B" w:rsidRPr="008C044B">
        <w:t xml:space="preserve"> uplifted by the GDP deflator to the date of first production</w:t>
      </w:r>
      <w:r w:rsidR="009C0C9C">
        <w:t>.</w:t>
      </w:r>
    </w:p>
    <w:p w14:paraId="353BCDF9" w14:textId="09270435" w:rsidR="008C044B" w:rsidRPr="008C044B" w:rsidRDefault="008C044B" w:rsidP="008C044B">
      <w:r w:rsidRPr="008C044B">
        <w:t xml:space="preserve">Any incremental expenditure necessary to prepare the facility for gas from the new </w:t>
      </w:r>
      <w:r w:rsidR="009C0C9C">
        <w:t xml:space="preserve">backfill </w:t>
      </w:r>
      <w:r w:rsidRPr="008C044B">
        <w:t>PRRT project</w:t>
      </w:r>
      <w:r w:rsidR="009C0C9C">
        <w:t>,</w:t>
      </w:r>
      <w:r w:rsidRPr="008C044B">
        <w:t xml:space="preserve"> such as a new train or other costs</w:t>
      </w:r>
      <w:r w:rsidR="00090384">
        <w:t>,</w:t>
      </w:r>
      <w:r w:rsidRPr="008C044B">
        <w:t xml:space="preserve"> would be treated as new expenditure consistent with other new expenditure under the netback approach. </w:t>
      </w:r>
    </w:p>
    <w:p w14:paraId="52599270" w14:textId="77777777" w:rsidR="008C044B" w:rsidRPr="008C044B" w:rsidRDefault="008C044B" w:rsidP="008C044B">
      <w:r w:rsidRPr="008C044B">
        <w:t xml:space="preserve">This approach is attractive as it has a verified cost, does not include the risk of valuing the resource within the asset and is consistent with cash flow tax principles. </w:t>
      </w:r>
    </w:p>
    <w:p w14:paraId="1A78BAF7" w14:textId="5330AC7B" w:rsidR="00F83E66" w:rsidRDefault="008C044B" w:rsidP="521F61E7">
      <w:r w:rsidRPr="008C044B">
        <w:t xml:space="preserve">Where historical cost information is unavailable to a purchaser, section 25 of the </w:t>
      </w:r>
      <w:r w:rsidR="009718B4">
        <w:t>GTP</w:t>
      </w:r>
      <w:r w:rsidRPr="008C044B">
        <w:t xml:space="preserve"> Regulation will be used to determine the amount to include in the netback</w:t>
      </w:r>
      <w:r w:rsidR="00037929">
        <w:t xml:space="preserve"> price</w:t>
      </w:r>
      <w:r w:rsidRPr="008C044B">
        <w:t>.</w:t>
      </w:r>
      <w:r w:rsidR="00151767">
        <w:t xml:space="preserve"> </w:t>
      </w:r>
      <w:bookmarkStart w:id="51" w:name="_Toc30064631"/>
    </w:p>
    <w:bookmarkEnd w:id="51"/>
    <w:p w14:paraId="5BCED1FD" w14:textId="77777777" w:rsidR="002E6C96" w:rsidRDefault="002E6C96"/>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2E6C96" w14:paraId="47655E03"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85ACA87" w14:textId="23B0B630" w:rsidR="002E6C96" w:rsidRDefault="002E6C96">
            <w:pPr>
              <w:pStyle w:val="BoxHeading"/>
              <w:rPr>
                <w:sz w:val="28"/>
                <w:szCs w:val="28"/>
                <w:lang w:eastAsia="en-US"/>
              </w:rPr>
            </w:pPr>
            <w:r>
              <w:rPr>
                <w:sz w:val="28"/>
                <w:szCs w:val="28"/>
                <w:lang w:eastAsia="en-US"/>
              </w:rPr>
              <w:t>Recommendation 11</w:t>
            </w:r>
          </w:p>
          <w:p w14:paraId="3E185AEF" w14:textId="1E573749" w:rsidR="002E6C96" w:rsidRDefault="00197C80" w:rsidP="00197C80">
            <w:pPr>
              <w:pStyle w:val="Bullet"/>
              <w:numPr>
                <w:ilvl w:val="0"/>
                <w:numId w:val="0"/>
              </w:numPr>
            </w:pPr>
            <w:r>
              <w:t>Update t</w:t>
            </w:r>
            <w:r w:rsidRPr="00FA0E9A">
              <w:t xml:space="preserve">he </w:t>
            </w:r>
            <w:r w:rsidR="00D1791C">
              <w:t>GTP Regulation</w:t>
            </w:r>
            <w:r w:rsidRPr="00FA0E9A">
              <w:t xml:space="preserve"> to ensure that where an LNG facility enters the PRRT regime (either just for the purposes of the </w:t>
            </w:r>
            <w:r w:rsidR="00D1791C">
              <w:t>GTP Regulation</w:t>
            </w:r>
            <w:r>
              <w:t xml:space="preserve"> </w:t>
            </w:r>
            <w:r w:rsidRPr="00FA0E9A">
              <w:t>or for broader PRRT calculations) for the first time for backfill or tolling purposes, the value of the plant for use in PRRT calculations is the historical cost of the LNG facility, uplifted by the GDP deflator to the date of first production for PRRT purposes.</w:t>
            </w:r>
          </w:p>
        </w:tc>
      </w:tr>
    </w:tbl>
    <w:p w14:paraId="16D4751B" w14:textId="77777777" w:rsidR="002E6C96" w:rsidRDefault="002E6C96"/>
    <w:p w14:paraId="62450B13" w14:textId="77777777" w:rsidR="002E6C96" w:rsidRDefault="002E6C96" w:rsidP="002E6C96"/>
    <w:p w14:paraId="4C371582" w14:textId="77777777" w:rsidR="005C4D35" w:rsidRPr="000B71A2" w:rsidRDefault="005C4D35" w:rsidP="005C4D35"/>
    <w:p w14:paraId="6F742FE5" w14:textId="77777777" w:rsidR="00A413F2" w:rsidRDefault="00A413F2">
      <w:pPr>
        <w:spacing w:before="0" w:after="160" w:line="259" w:lineRule="auto"/>
        <w:rPr>
          <w:rFonts w:ascii="Courier New" w:hAnsi="Courier New" w:cs="Yu Mincho Light"/>
          <w:b/>
          <w:color w:val="5D779D" w:themeColor="accent3"/>
          <w:kern w:val="32"/>
          <w:sz w:val="44"/>
          <w:szCs w:val="36"/>
        </w:rPr>
      </w:pPr>
      <w:r>
        <w:br w:type="page"/>
      </w:r>
    </w:p>
    <w:p w14:paraId="35CCA5D8" w14:textId="3AAAEE68" w:rsidR="000205F6" w:rsidRDefault="005C4D35" w:rsidP="000205F6">
      <w:pPr>
        <w:pStyle w:val="Heading1"/>
      </w:pPr>
      <w:bookmarkStart w:id="52" w:name="_Toc134273582"/>
      <w:r>
        <w:lastRenderedPageBreak/>
        <w:t xml:space="preserve">8. </w:t>
      </w:r>
      <w:r w:rsidR="00703F31">
        <w:t>Impacts on</w:t>
      </w:r>
      <w:r w:rsidR="006B7295">
        <w:t xml:space="preserve"> </w:t>
      </w:r>
      <w:r w:rsidR="00CE5A4E">
        <w:t xml:space="preserve">PRRT </w:t>
      </w:r>
      <w:r w:rsidR="009332D5">
        <w:t xml:space="preserve">revenue </w:t>
      </w:r>
      <w:r w:rsidR="006B7295">
        <w:t xml:space="preserve">and </w:t>
      </w:r>
      <w:r w:rsidR="009332D5">
        <w:t>investment</w:t>
      </w:r>
      <w:bookmarkEnd w:id="52"/>
    </w:p>
    <w:p w14:paraId="22CD1EF9" w14:textId="4FA8C221" w:rsidR="00D928E6" w:rsidRDefault="00A413F2" w:rsidP="00DF0737">
      <w:pPr>
        <w:pStyle w:val="Heading2"/>
      </w:pPr>
      <w:bookmarkStart w:id="53" w:name="_Toc134273583"/>
      <w:r>
        <w:t>8</w:t>
      </w:r>
      <w:r w:rsidR="00DF0737">
        <w:t xml:space="preserve">.1 </w:t>
      </w:r>
      <w:r w:rsidR="00CE5A4E">
        <w:t>Modelling approach</w:t>
      </w:r>
      <w:bookmarkEnd w:id="53"/>
      <w:r w:rsidR="00CE5A4E">
        <w:t xml:space="preserve"> </w:t>
      </w:r>
    </w:p>
    <w:p w14:paraId="544805FB" w14:textId="6882F22C" w:rsidR="006B7295" w:rsidRDefault="000367C2" w:rsidP="006B7295">
      <w:r>
        <w:t>Treasury has</w:t>
      </w:r>
      <w:r w:rsidR="006B7295">
        <w:t xml:space="preserve"> undertaken scenario analysis on </w:t>
      </w:r>
      <w:r w:rsidR="007B0E06">
        <w:t>the</w:t>
      </w:r>
      <w:r w:rsidR="006B7295">
        <w:t xml:space="preserve"> </w:t>
      </w:r>
      <w:r w:rsidR="00D7184A">
        <w:t xml:space="preserve">impact of changes </w:t>
      </w:r>
      <w:r w:rsidR="00FA5BBA">
        <w:t>to the PRRT</w:t>
      </w:r>
      <w:r w:rsidR="00105566">
        <w:t xml:space="preserve">, including </w:t>
      </w:r>
      <w:r w:rsidR="006B7295">
        <w:t xml:space="preserve">changes to the </w:t>
      </w:r>
      <w:r w:rsidR="00D1791C">
        <w:t>GTP Regulation</w:t>
      </w:r>
      <w:r w:rsidR="00105566">
        <w:t>,</w:t>
      </w:r>
      <w:r w:rsidR="00B006A4">
        <w:t xml:space="preserve"> for the five major offshore LNG projects</w:t>
      </w:r>
      <w:r w:rsidR="006B7295">
        <w:t>. This</w:t>
      </w:r>
      <w:r w:rsidR="00B006A4">
        <w:t xml:space="preserve"> analysis</w:t>
      </w:r>
      <w:r w:rsidR="006B7295" w:rsidDel="00B006A4">
        <w:t xml:space="preserve"> </w:t>
      </w:r>
      <w:r w:rsidR="006B7295">
        <w:t xml:space="preserve">incorporates the main features of the PRRT system, including the carry-forward of undeducted expenditure at the varying rates applying to different categories of expenditure, the ordering of deductions and the GTP settings. </w:t>
      </w:r>
      <w:r w:rsidR="00B006A4">
        <w:t xml:space="preserve">The model also incorporates </w:t>
      </w:r>
      <w:r w:rsidR="001945F1">
        <w:t xml:space="preserve">policy changes in the PRRT in response to the Callaghan </w:t>
      </w:r>
      <w:r w:rsidR="00552A0D">
        <w:t>R</w:t>
      </w:r>
      <w:r w:rsidR="001945F1">
        <w:t xml:space="preserve">eview, including </w:t>
      </w:r>
      <w:r w:rsidR="00396B7B">
        <w:t xml:space="preserve">the </w:t>
      </w:r>
      <w:r w:rsidR="3A2CB8D2">
        <w:t>lowe</w:t>
      </w:r>
      <w:r w:rsidR="50C4256E">
        <w:t>r</w:t>
      </w:r>
      <w:r w:rsidR="00396B7B">
        <w:t xml:space="preserve"> rates applying to carry forward expenditure. </w:t>
      </w:r>
    </w:p>
    <w:p w14:paraId="68C4CDEA" w14:textId="21E0DE61" w:rsidR="009C5609" w:rsidRDefault="00396B7B" w:rsidP="006B7295">
      <w:r>
        <w:t>I</w:t>
      </w:r>
      <w:r w:rsidR="006B7295">
        <w:t xml:space="preserve">mpacts </w:t>
      </w:r>
      <w:r>
        <w:t xml:space="preserve">have only been modelled for </w:t>
      </w:r>
      <w:r w:rsidR="006B7295">
        <w:t xml:space="preserve">existing </w:t>
      </w:r>
      <w:r w:rsidR="008D1391">
        <w:t xml:space="preserve">PRRT </w:t>
      </w:r>
      <w:r w:rsidR="006B7295">
        <w:t>LNG projects that are in production</w:t>
      </w:r>
      <w:r w:rsidR="00631B49">
        <w:t xml:space="preserve">. </w:t>
      </w:r>
      <w:r w:rsidR="00637E87">
        <w:t>T</w:t>
      </w:r>
      <w:r>
        <w:t>he</w:t>
      </w:r>
      <w:r w:rsidR="006B7295">
        <w:t xml:space="preserve"> NWS LNG project </w:t>
      </w:r>
      <w:r>
        <w:t xml:space="preserve">has been excluded </w:t>
      </w:r>
      <w:r w:rsidR="006B7295">
        <w:t xml:space="preserve">given its </w:t>
      </w:r>
      <w:r w:rsidR="001B2CA6">
        <w:t xml:space="preserve">ongoing royalty payments and </w:t>
      </w:r>
      <w:r w:rsidR="006B7295">
        <w:t>unique tax arrangements that largely eliminate the possibility that it wil</w:t>
      </w:r>
      <w:r w:rsidR="00212843">
        <w:t>l</w:t>
      </w:r>
      <w:r w:rsidR="006B7295">
        <w:t xml:space="preserve"> pay PRRT.</w:t>
      </w:r>
      <w:r w:rsidR="004620CD">
        <w:rPr>
          <w:rStyle w:val="FootnoteReference"/>
        </w:rPr>
        <w:footnoteReference w:id="80"/>
      </w:r>
    </w:p>
    <w:p w14:paraId="18B2149A" w14:textId="77777777" w:rsidR="009D3BA6" w:rsidRDefault="002E3723" w:rsidP="006B7295">
      <w:r>
        <w:t>Assumptions about project revenues and costs over the modelled period are based on data from Wood Mackenzie</w:t>
      </w:r>
      <w:r w:rsidR="00D82221">
        <w:t xml:space="preserve">, </w:t>
      </w:r>
      <w:r w:rsidR="00A530EF">
        <w:t>Treasury forecasts</w:t>
      </w:r>
      <w:r w:rsidR="00885F19">
        <w:t>,</w:t>
      </w:r>
      <w:r>
        <w:t xml:space="preserve"> and </w:t>
      </w:r>
      <w:r w:rsidR="00885F19">
        <w:t xml:space="preserve">supplementary information from </w:t>
      </w:r>
      <w:r>
        <w:t>the ATO.</w:t>
      </w:r>
      <w:r w:rsidR="004B25B9">
        <w:t xml:space="preserve"> </w:t>
      </w:r>
    </w:p>
    <w:p w14:paraId="53B87558" w14:textId="04D7E564" w:rsidR="002E3723" w:rsidRDefault="00B21E63" w:rsidP="006B7295">
      <w:r>
        <w:t xml:space="preserve">Estimates of PRRT revenue are highly sensitive to assumptions for key economic parameters, such as oil prices. For the purposes of illustrating </w:t>
      </w:r>
      <w:r w:rsidR="009A6904">
        <w:t>this sensitivity, we</w:t>
      </w:r>
      <w:r w:rsidR="004B25B9">
        <w:t xml:space="preserve"> have </w:t>
      </w:r>
      <w:r w:rsidR="007366A8">
        <w:t xml:space="preserve">carried out </w:t>
      </w:r>
      <w:r w:rsidR="00CC4EC6">
        <w:t xml:space="preserve">scenario </w:t>
      </w:r>
      <w:r w:rsidR="007366A8">
        <w:t>modelling using</w:t>
      </w:r>
      <w:r w:rsidR="004B25B9">
        <w:t xml:space="preserve"> three </w:t>
      </w:r>
      <w:r w:rsidR="009A6904">
        <w:t xml:space="preserve">different </w:t>
      </w:r>
      <w:r w:rsidR="004B25B9">
        <w:t xml:space="preserve">oil price </w:t>
      </w:r>
      <w:r w:rsidR="009A6904">
        <w:t>assumptions</w:t>
      </w:r>
      <w:r w:rsidR="003D046E">
        <w:t>:</w:t>
      </w:r>
      <w:r w:rsidR="004B25B9">
        <w:t xml:space="preserve">  </w:t>
      </w:r>
      <w:r w:rsidR="009026EC">
        <w:t xml:space="preserve">a </w:t>
      </w:r>
      <w:r w:rsidR="009026EC" w:rsidRPr="00182035">
        <w:t>US$72.7</w:t>
      </w:r>
      <w:r w:rsidR="009026EC">
        <w:t>0</w:t>
      </w:r>
      <w:r w:rsidR="009026EC" w:rsidRPr="00182035">
        <w:t xml:space="preserve"> </w:t>
      </w:r>
      <w:r w:rsidR="009026EC">
        <w:t xml:space="preserve">per barrel </w:t>
      </w:r>
      <w:r w:rsidR="009026EC" w:rsidRPr="00182035">
        <w:t>W</w:t>
      </w:r>
      <w:r w:rsidR="009026EC">
        <w:t xml:space="preserve">est </w:t>
      </w:r>
      <w:r w:rsidR="009026EC" w:rsidRPr="0051318E">
        <w:t>Texas Intermediate (WTI)</w:t>
      </w:r>
      <w:r w:rsidR="009026EC">
        <w:t xml:space="preserve"> </w:t>
      </w:r>
      <w:r w:rsidR="009026EC" w:rsidRPr="0051318E">
        <w:t>oil price</w:t>
      </w:r>
      <w:r w:rsidR="00D05856">
        <w:t xml:space="preserve"> (central </w:t>
      </w:r>
      <w:r w:rsidR="00EF3FEA">
        <w:t xml:space="preserve">price </w:t>
      </w:r>
      <w:r w:rsidR="00D05856">
        <w:t xml:space="preserve">scenario), </w:t>
      </w:r>
      <w:r w:rsidR="0024150B">
        <w:t xml:space="preserve">US$92 </w:t>
      </w:r>
      <w:r w:rsidR="006C21AF">
        <w:t xml:space="preserve">per barrel </w:t>
      </w:r>
      <w:r w:rsidR="00EF3FEA">
        <w:t>WTI (high price scenario) and $US62</w:t>
      </w:r>
      <w:r w:rsidR="006C21AF">
        <w:t xml:space="preserve"> per barrel</w:t>
      </w:r>
      <w:r w:rsidR="00EF3FEA">
        <w:t xml:space="preserve"> WTI (low price scenario).</w:t>
      </w:r>
      <w:r w:rsidR="002215C4">
        <w:t xml:space="preserve"> </w:t>
      </w:r>
      <w:r w:rsidR="00E32855">
        <w:t>Under all</w:t>
      </w:r>
      <w:r w:rsidR="00CC4EC6">
        <w:t xml:space="preserve"> three scenarios</w:t>
      </w:r>
      <w:r w:rsidR="00E32855">
        <w:t>, oil prices are indexed by CPI beyond 2026-27.</w:t>
      </w:r>
    </w:p>
    <w:p w14:paraId="1694A38E" w14:textId="61DA3909" w:rsidR="009C5609" w:rsidRDefault="00CB5020" w:rsidP="006B7295">
      <w:r>
        <w:t xml:space="preserve">As </w:t>
      </w:r>
      <w:r w:rsidR="00F92B0B">
        <w:t xml:space="preserve">Treasury </w:t>
      </w:r>
      <w:r>
        <w:t xml:space="preserve">is </w:t>
      </w:r>
      <w:r w:rsidR="00737E92">
        <w:t xml:space="preserve">not privy to the actual commercial arrangements between the joint venture </w:t>
      </w:r>
      <w:r w:rsidR="00412928">
        <w:t>participants</w:t>
      </w:r>
      <w:r w:rsidR="00AB0657">
        <w:t>, there</w:t>
      </w:r>
      <w:r>
        <w:t xml:space="preserve"> are many </w:t>
      </w:r>
      <w:r w:rsidR="00A70936">
        <w:t>project</w:t>
      </w:r>
      <w:r w:rsidR="00F07411">
        <w:t>-</w:t>
      </w:r>
      <w:r w:rsidR="00A70936">
        <w:t xml:space="preserve">specific </w:t>
      </w:r>
      <w:r>
        <w:t>features</w:t>
      </w:r>
      <w:r w:rsidR="00AB0657">
        <w:t xml:space="preserve"> that </w:t>
      </w:r>
      <w:r w:rsidR="001A14FE">
        <w:t xml:space="preserve">Treasury’s </w:t>
      </w:r>
      <w:r w:rsidR="00AB0657">
        <w:t xml:space="preserve">modelling </w:t>
      </w:r>
      <w:r w:rsidR="002A0ECA">
        <w:t xml:space="preserve">may not accurately </w:t>
      </w:r>
      <w:r w:rsidR="00AB0657">
        <w:t>capture</w:t>
      </w:r>
      <w:r w:rsidR="00C74043">
        <w:t>,</w:t>
      </w:r>
      <w:r w:rsidR="00AB0657">
        <w:t xml:space="preserve"> including:</w:t>
      </w:r>
    </w:p>
    <w:p w14:paraId="19B9BB9F" w14:textId="2FE24B9A" w:rsidR="00265160" w:rsidRDefault="00AB0657" w:rsidP="00C176EF">
      <w:pPr>
        <w:pStyle w:val="Bullet"/>
      </w:pPr>
      <w:r>
        <w:t xml:space="preserve">contract </w:t>
      </w:r>
      <w:r w:rsidR="00805520">
        <w:t xml:space="preserve">sales prices for </w:t>
      </w:r>
      <w:r w:rsidR="00AB0A34">
        <w:t>petroleum</w:t>
      </w:r>
      <w:r w:rsidR="00246C4E">
        <w:t xml:space="preserve"> products</w:t>
      </w:r>
      <w:r w:rsidR="001638C2">
        <w:t>;</w:t>
      </w:r>
    </w:p>
    <w:p w14:paraId="5E70DE80" w14:textId="50A7A853" w:rsidR="00A15ED6" w:rsidRDefault="00944297" w:rsidP="005F6917">
      <w:pPr>
        <w:pStyle w:val="Bullet"/>
      </w:pPr>
      <w:r>
        <w:t xml:space="preserve">deviations of </w:t>
      </w:r>
      <w:r w:rsidR="008F4E62">
        <w:t xml:space="preserve">actual </w:t>
      </w:r>
      <w:r w:rsidR="001B07BC">
        <w:t>planned forward expenditure</w:t>
      </w:r>
      <w:r w:rsidR="003A24FE">
        <w:t xml:space="preserve">, maintenance </w:t>
      </w:r>
      <w:r w:rsidR="00EE2326">
        <w:t>schedules and production levels</w:t>
      </w:r>
      <w:r>
        <w:t xml:space="preserve"> from those </w:t>
      </w:r>
      <w:r w:rsidR="000C72D7">
        <w:t>assumed</w:t>
      </w:r>
      <w:r w:rsidR="00144B48">
        <w:t xml:space="preserve"> by Wood Mackenzie</w:t>
      </w:r>
      <w:r w:rsidR="00A15ED6">
        <w:t>; and</w:t>
      </w:r>
    </w:p>
    <w:p w14:paraId="6A1A3E0E" w14:textId="6E856ECD" w:rsidR="006B7295" w:rsidRDefault="00AE38F2" w:rsidP="005F6917">
      <w:pPr>
        <w:pStyle w:val="Bullet"/>
      </w:pPr>
      <w:r>
        <w:t xml:space="preserve">unique </w:t>
      </w:r>
      <w:r w:rsidR="00A15ED6">
        <w:t xml:space="preserve">arrangements </w:t>
      </w:r>
      <w:r w:rsidR="001865F4">
        <w:t>within or between PRRT projects/project partners</w:t>
      </w:r>
      <w:r w:rsidR="00B72A72">
        <w:t xml:space="preserve"> that differ from modelled</w:t>
      </w:r>
      <w:r w:rsidR="008F4E62">
        <w:t xml:space="preserve"> assumptions</w:t>
      </w:r>
      <w:r w:rsidR="00624E4F">
        <w:t>.</w:t>
      </w:r>
    </w:p>
    <w:p w14:paraId="65FFEF0B" w14:textId="26C5F4E9" w:rsidR="00CE5A4E" w:rsidRDefault="00CE5A4E" w:rsidP="00997E85">
      <w:r w:rsidRPr="00997E85">
        <w:rPr>
          <w:b/>
        </w:rPr>
        <w:t xml:space="preserve">The modelling contained in this report should not be interpreted </w:t>
      </w:r>
      <w:r w:rsidR="008D64CD" w:rsidRPr="00997E85">
        <w:rPr>
          <w:b/>
        </w:rPr>
        <w:t xml:space="preserve">as the equivalent of </w:t>
      </w:r>
      <w:r w:rsidR="00524CFC">
        <w:rPr>
          <w:b/>
          <w:bCs/>
        </w:rPr>
        <w:t xml:space="preserve">a </w:t>
      </w:r>
      <w:r w:rsidR="008D64CD" w:rsidRPr="00997E85">
        <w:rPr>
          <w:b/>
        </w:rPr>
        <w:t>budget costing.</w:t>
      </w:r>
      <w:r w:rsidR="008D64CD">
        <w:t xml:space="preserve"> </w:t>
      </w:r>
      <w:r w:rsidR="0012727F">
        <w:t xml:space="preserve">As in the Callaghan Review, </w:t>
      </w:r>
      <w:r w:rsidR="00D13275">
        <w:t xml:space="preserve">the modelling presents </w:t>
      </w:r>
      <w:r w:rsidR="0028152F">
        <w:t xml:space="preserve">estimated </w:t>
      </w:r>
      <w:r w:rsidR="000D280B">
        <w:t>impacts</w:t>
      </w:r>
      <w:r w:rsidR="001101CB">
        <w:t xml:space="preserve"> of </w:t>
      </w:r>
      <w:r w:rsidR="007E7FF6">
        <w:t>policy options</w:t>
      </w:r>
      <w:r w:rsidR="000D280B">
        <w:t xml:space="preserve"> on</w:t>
      </w:r>
      <w:r w:rsidR="00444A33">
        <w:t xml:space="preserve"> PRRT receipts</w:t>
      </w:r>
      <w:r w:rsidR="00DF02B1">
        <w:t xml:space="preserve"> only</w:t>
      </w:r>
      <w:r w:rsidR="00444A33">
        <w:t xml:space="preserve">. </w:t>
      </w:r>
      <w:r w:rsidR="00D13275">
        <w:t>The modelling does</w:t>
      </w:r>
      <w:r w:rsidR="00BD65A2">
        <w:t xml:space="preserve"> not </w:t>
      </w:r>
      <w:r w:rsidR="00372EF6">
        <w:t xml:space="preserve">take </w:t>
      </w:r>
      <w:r w:rsidR="00D13275">
        <w:t>into</w:t>
      </w:r>
      <w:r w:rsidR="00372EF6">
        <w:t xml:space="preserve"> account other interactions with the tax system</w:t>
      </w:r>
      <w:r w:rsidR="00262EBB">
        <w:t xml:space="preserve">, </w:t>
      </w:r>
      <w:r w:rsidR="00D13275">
        <w:t>such as</w:t>
      </w:r>
      <w:r w:rsidR="00262EBB">
        <w:t xml:space="preserve"> deductibility of PRRT payments against company tax.</w:t>
      </w:r>
      <w:r w:rsidR="002F7C13">
        <w:t xml:space="preserve"> The modelling for some options incorporates additional recommendations of this Review as set out below</w:t>
      </w:r>
      <w:r w:rsidR="00262EBB">
        <w:t>.</w:t>
      </w:r>
      <w:r w:rsidR="004B63E6">
        <w:t xml:space="preserve"> </w:t>
      </w:r>
    </w:p>
    <w:p w14:paraId="5F79A979" w14:textId="69B97473" w:rsidR="00D7184A" w:rsidRDefault="00D7184A" w:rsidP="00D7184A">
      <w:pPr>
        <w:pStyle w:val="Heading2"/>
      </w:pPr>
      <w:bookmarkStart w:id="54" w:name="_Toc134273584"/>
      <w:r w:rsidRPr="00060968">
        <w:t>8.2</w:t>
      </w:r>
      <w:r>
        <w:t xml:space="preserve"> New baseline for LNG projects</w:t>
      </w:r>
      <w:bookmarkEnd w:id="54"/>
      <w:r>
        <w:t xml:space="preserve"> </w:t>
      </w:r>
    </w:p>
    <w:p w14:paraId="4D053FE4" w14:textId="492039C5" w:rsidR="00B637E5" w:rsidRDefault="006D30CB" w:rsidP="00645011">
      <w:pPr>
        <w:pStyle w:val="Bullet"/>
        <w:numPr>
          <w:ilvl w:val="0"/>
          <w:numId w:val="0"/>
        </w:numPr>
        <w:spacing w:line="240" w:lineRule="auto"/>
      </w:pPr>
      <w:r>
        <w:t>In 2017, u</w:t>
      </w:r>
      <w:r w:rsidR="009255C4">
        <w:t xml:space="preserve">nder </w:t>
      </w:r>
      <w:r w:rsidR="003A5C62">
        <w:t>a</w:t>
      </w:r>
      <w:r w:rsidR="009255C4">
        <w:t xml:space="preserve"> </w:t>
      </w:r>
      <w:r>
        <w:t>long-run</w:t>
      </w:r>
      <w:r w:rsidR="009255C4" w:rsidDel="00001010">
        <w:t xml:space="preserve"> </w:t>
      </w:r>
      <w:r w:rsidR="00677A4D">
        <w:t xml:space="preserve">oil price </w:t>
      </w:r>
      <w:r w:rsidR="0048121C">
        <w:t xml:space="preserve">assumption of </w:t>
      </w:r>
      <w:r w:rsidR="003A5C62">
        <w:t xml:space="preserve">US$65 per barrel </w:t>
      </w:r>
      <w:r w:rsidR="00342AF2">
        <w:t>Brent</w:t>
      </w:r>
      <w:r w:rsidR="006513F9">
        <w:t xml:space="preserve"> </w:t>
      </w:r>
      <w:r w:rsidR="00550C77">
        <w:t>(</w:t>
      </w:r>
      <w:r w:rsidR="003A5C62">
        <w:t xml:space="preserve">indexed to </w:t>
      </w:r>
      <w:r w:rsidR="000C5588">
        <w:t>a 2</w:t>
      </w:r>
      <w:r w:rsidR="007D00CE">
        <w:t xml:space="preserve"> per cent</w:t>
      </w:r>
      <w:r w:rsidR="003A5C62">
        <w:t xml:space="preserve"> C</w:t>
      </w:r>
      <w:r w:rsidR="00B3172E">
        <w:t>P</w:t>
      </w:r>
      <w:r w:rsidR="00690572">
        <w:t>I</w:t>
      </w:r>
      <w:r w:rsidR="00550C77">
        <w:t>)</w:t>
      </w:r>
      <w:r w:rsidR="00A3507A">
        <w:t>,</w:t>
      </w:r>
      <w:r w:rsidR="008169DE">
        <w:t xml:space="preserve"> t</w:t>
      </w:r>
      <w:r w:rsidR="00B637E5">
        <w:t xml:space="preserve">he Callaghan Review modelling indicated total PRRT revenue to be $12 billion over the 10 years to 2027, and $106 billion </w:t>
      </w:r>
      <w:r w:rsidR="00EF166B">
        <w:t>over</w:t>
      </w:r>
      <w:r w:rsidR="00B637E5">
        <w:t xml:space="preserve"> the period to 2050. </w:t>
      </w:r>
      <w:r w:rsidR="005458B2">
        <w:t>For the</w:t>
      </w:r>
      <w:r w:rsidR="00B637E5">
        <w:t xml:space="preserve"> medium-term</w:t>
      </w:r>
      <w:r w:rsidR="00FE3F04">
        <w:t>, the</w:t>
      </w:r>
      <w:r w:rsidR="00B637E5">
        <w:t xml:space="preserve"> projection included </w:t>
      </w:r>
      <w:r w:rsidR="00FE3F04">
        <w:t xml:space="preserve">PRRT </w:t>
      </w:r>
      <w:r w:rsidR="00795EDB">
        <w:lastRenderedPageBreak/>
        <w:t xml:space="preserve">collections </w:t>
      </w:r>
      <w:r w:rsidR="00B637E5">
        <w:t xml:space="preserve">from LNG projects as well as domestic gas and oil projects. </w:t>
      </w:r>
      <w:r w:rsidR="00346E6D">
        <w:t>However, i</w:t>
      </w:r>
      <w:r w:rsidR="00B637E5">
        <w:t>n the longer</w:t>
      </w:r>
      <w:r w:rsidR="007F1D66">
        <w:t xml:space="preserve"> </w:t>
      </w:r>
      <w:r w:rsidR="00B637E5">
        <w:t>term out to 2050, domestic gas and oil projects were not expected to be a significant source of PRRT. Most LNG projects were expected to pay PRRT during their project life cycles.</w:t>
      </w:r>
    </w:p>
    <w:p w14:paraId="38150F8A" w14:textId="105BF1B0" w:rsidR="00523D22" w:rsidRDefault="00B52152" w:rsidP="00A41F8F">
      <w:r>
        <w:t xml:space="preserve">Since </w:t>
      </w:r>
      <w:r w:rsidR="00117DD2">
        <w:t>the Callaghan Review</w:t>
      </w:r>
      <w:r>
        <w:t xml:space="preserve">, several developments have impacted </w:t>
      </w:r>
      <w:r w:rsidR="009658DF">
        <w:t>the outlook for PRRT</w:t>
      </w:r>
      <w:r w:rsidR="00CB7991">
        <w:t>,</w:t>
      </w:r>
      <w:r w:rsidR="00D52B48">
        <w:t xml:space="preserve"> in particular</w:t>
      </w:r>
      <w:r>
        <w:t>:</w:t>
      </w:r>
    </w:p>
    <w:p w14:paraId="47919E2E" w14:textId="2EF2F625" w:rsidR="004F49B1" w:rsidRPr="00B22900" w:rsidRDefault="00B52152" w:rsidP="004F49B1">
      <w:pPr>
        <w:pStyle w:val="Bullet"/>
        <w:numPr>
          <w:ilvl w:val="0"/>
          <w:numId w:val="28"/>
        </w:numPr>
        <w:tabs>
          <w:tab w:val="clear" w:pos="720"/>
        </w:tabs>
        <w:spacing w:after="160" w:line="259" w:lineRule="auto"/>
      </w:pPr>
      <w:r>
        <w:t>P</w:t>
      </w:r>
      <w:r w:rsidR="004F49B1">
        <w:t>roject costs have exceed</w:t>
      </w:r>
      <w:r w:rsidR="00C64E25">
        <w:t>ed</w:t>
      </w:r>
      <w:r w:rsidR="004F49B1">
        <w:t xml:space="preserve"> expectations. </w:t>
      </w:r>
      <w:r w:rsidR="00A4231F">
        <w:t>T</w:t>
      </w:r>
      <w:r w:rsidR="0057177D">
        <w:t>his is discussed further in Chapter Four.</w:t>
      </w:r>
      <w:r w:rsidR="004F49B1">
        <w:t xml:space="preserve"> </w:t>
      </w:r>
      <w:r w:rsidR="00B915E5">
        <w:t>Higher</w:t>
      </w:r>
      <w:r w:rsidR="004F49B1">
        <w:t xml:space="preserve"> costs </w:t>
      </w:r>
      <w:r w:rsidR="00B915E5">
        <w:t>in</w:t>
      </w:r>
      <w:r w:rsidR="004F49B1">
        <w:t xml:space="preserve"> the downstream parts of the business </w:t>
      </w:r>
      <w:r w:rsidR="007D0E02">
        <w:t>reduce</w:t>
      </w:r>
      <w:r w:rsidR="004F49B1">
        <w:t xml:space="preserve"> the GTP price </w:t>
      </w:r>
      <w:r w:rsidR="007936C4">
        <w:t>via</w:t>
      </w:r>
      <w:r w:rsidR="004F49B1">
        <w:t xml:space="preserve"> the netback price</w:t>
      </w:r>
      <w:r w:rsidR="007D500C">
        <w:t xml:space="preserve"> calculation</w:t>
      </w:r>
      <w:r w:rsidR="000E28D5">
        <w:t>.</w:t>
      </w:r>
    </w:p>
    <w:p w14:paraId="7512802B" w14:textId="3747F1F0" w:rsidR="004F49B1" w:rsidRDefault="004F49B1" w:rsidP="004F49B1">
      <w:pPr>
        <w:pStyle w:val="Bullet"/>
        <w:numPr>
          <w:ilvl w:val="0"/>
          <w:numId w:val="28"/>
        </w:numPr>
        <w:tabs>
          <w:tab w:val="clear" w:pos="720"/>
        </w:tabs>
        <w:spacing w:after="160" w:line="259" w:lineRule="auto"/>
      </w:pPr>
      <w:r>
        <w:t xml:space="preserve">In the </w:t>
      </w:r>
      <w:r w:rsidR="007D500C">
        <w:t>five</w:t>
      </w:r>
      <w:r w:rsidR="009D516B">
        <w:t>-</w:t>
      </w:r>
      <w:r w:rsidR="007D500C">
        <w:t>year</w:t>
      </w:r>
      <w:r>
        <w:t xml:space="preserve"> period between the Callaghan </w:t>
      </w:r>
      <w:r w:rsidR="00A60033">
        <w:t>R</w:t>
      </w:r>
      <w:r>
        <w:t>eview and now, oil prices have been highly volatile. Although high</w:t>
      </w:r>
      <w:r w:rsidR="00960228">
        <w:t xml:space="preserve"> across much of 2022</w:t>
      </w:r>
      <w:r>
        <w:t xml:space="preserve">, oil prices </w:t>
      </w:r>
      <w:r w:rsidR="00B52152">
        <w:t>were</w:t>
      </w:r>
      <w:r w:rsidR="00960228">
        <w:t xml:space="preserve"> </w:t>
      </w:r>
      <w:r>
        <w:t>below the Callaghan Review</w:t>
      </w:r>
      <w:r w:rsidR="00F22EA1">
        <w:t>’s</w:t>
      </w:r>
      <w:r>
        <w:t xml:space="preserve"> baseline </w:t>
      </w:r>
      <w:r w:rsidR="00326370">
        <w:t xml:space="preserve">oil </w:t>
      </w:r>
      <w:r w:rsidR="006C65C4">
        <w:t xml:space="preserve">price assumption </w:t>
      </w:r>
      <w:r>
        <w:t xml:space="preserve">for </w:t>
      </w:r>
      <w:r w:rsidR="00D62638">
        <w:t xml:space="preserve">some of the </w:t>
      </w:r>
      <w:r w:rsidR="0095696E">
        <w:t>period</w:t>
      </w:r>
      <w:r w:rsidR="00D62638">
        <w:t xml:space="preserve"> since 2017</w:t>
      </w:r>
      <w:r w:rsidR="00E92676">
        <w:t xml:space="preserve">, </w:t>
      </w:r>
      <w:r w:rsidR="00D62638">
        <w:t xml:space="preserve">which </w:t>
      </w:r>
      <w:r w:rsidR="00640619">
        <w:t>contribut</w:t>
      </w:r>
      <w:r w:rsidR="00D62638">
        <w:t>e</w:t>
      </w:r>
      <w:r w:rsidR="00E635DD">
        <w:t>s</w:t>
      </w:r>
      <w:r w:rsidR="00D62638">
        <w:t xml:space="preserve"> </w:t>
      </w:r>
      <w:r w:rsidR="00E92676">
        <w:t xml:space="preserve">to </w:t>
      </w:r>
      <w:r w:rsidR="004F629F">
        <w:t xml:space="preserve">lower </w:t>
      </w:r>
      <w:r w:rsidR="00640619">
        <w:t>realised</w:t>
      </w:r>
      <w:r w:rsidR="004F629F">
        <w:t xml:space="preserve"> </w:t>
      </w:r>
      <w:r w:rsidR="00AA3A4C">
        <w:t xml:space="preserve">PRRT assessable </w:t>
      </w:r>
      <w:r w:rsidR="0096088A">
        <w:t xml:space="preserve">receipts </w:t>
      </w:r>
      <w:r w:rsidR="004F629F">
        <w:t xml:space="preserve">than </w:t>
      </w:r>
      <w:r w:rsidR="00E15199">
        <w:t>expected</w:t>
      </w:r>
      <w:r>
        <w:t xml:space="preserve">. </w:t>
      </w:r>
    </w:p>
    <w:p w14:paraId="16371D46" w14:textId="2BE98A8B" w:rsidR="009954D7" w:rsidRPr="009954D7" w:rsidRDefault="0057392F" w:rsidP="00025A79">
      <w:pPr>
        <w:pStyle w:val="Heading4"/>
        <w:jc w:val="center"/>
      </w:pPr>
      <w:r w:rsidRPr="0057392F">
        <w:t xml:space="preserve">Chart </w:t>
      </w:r>
      <w:r w:rsidR="00FB4763">
        <w:t>8</w:t>
      </w:r>
      <w:r w:rsidR="007760D7">
        <w:t>.</w:t>
      </w:r>
      <w:r w:rsidRPr="0057392F">
        <w:t>1</w:t>
      </w:r>
      <w:r w:rsidR="009954D7">
        <w:t xml:space="preserve">: </w:t>
      </w:r>
      <w:r w:rsidR="009954D7" w:rsidRPr="009954D7">
        <w:t>Quarterly Oil Price 2017-2022</w:t>
      </w:r>
    </w:p>
    <w:p w14:paraId="44E7BFFB" w14:textId="4E24BDEA" w:rsidR="00AA7046" w:rsidRPr="00AA7046" w:rsidRDefault="00AA7046" w:rsidP="00645011">
      <w:pPr>
        <w:jc w:val="center"/>
      </w:pPr>
      <w:r>
        <w:rPr>
          <w:noProof/>
        </w:rPr>
        <w:drawing>
          <wp:inline distT="0" distB="0" distL="0" distR="0" wp14:anchorId="7296A9CC" wp14:editId="6B1A41C9">
            <wp:extent cx="5579745" cy="2720051"/>
            <wp:effectExtent l="0" t="0" r="0" b="0"/>
            <wp:docPr id="13" name="Chart 13">
              <a:extLst xmlns:a="http://schemas.openxmlformats.org/drawingml/2006/main">
                <a:ext uri="{FF2B5EF4-FFF2-40B4-BE49-F238E27FC236}">
                  <a16:creationId xmlns:a16="http://schemas.microsoft.com/office/drawing/2014/main" id="{B0BC8407-805A-43AB-B441-9EAC83116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CBDAE5" w14:textId="5E94DB4D" w:rsidR="004F49B1" w:rsidRDefault="000A392C" w:rsidP="001B7716">
      <w:pPr>
        <w:pStyle w:val="Bullet"/>
        <w:numPr>
          <w:ilvl w:val="0"/>
          <w:numId w:val="0"/>
        </w:numPr>
      </w:pPr>
      <w:r w:rsidRPr="000D48C9">
        <w:rPr>
          <w:sz w:val="18"/>
          <w:szCs w:val="16"/>
        </w:rPr>
        <w:t xml:space="preserve">Data from </w:t>
      </w:r>
      <w:r w:rsidR="00C41EF7" w:rsidRPr="000D48C9">
        <w:rPr>
          <w:sz w:val="18"/>
          <w:szCs w:val="16"/>
        </w:rPr>
        <w:t>Department of Industry, Sci</w:t>
      </w:r>
      <w:r w:rsidR="00244760" w:rsidRPr="000D48C9">
        <w:rPr>
          <w:sz w:val="18"/>
          <w:szCs w:val="16"/>
        </w:rPr>
        <w:t>ence and Resource</w:t>
      </w:r>
      <w:r w:rsidR="00D154FA" w:rsidRPr="000D48C9">
        <w:rPr>
          <w:sz w:val="18"/>
          <w:szCs w:val="16"/>
        </w:rPr>
        <w:t>s</w:t>
      </w:r>
      <w:r w:rsidR="00244760" w:rsidRPr="000D48C9">
        <w:rPr>
          <w:sz w:val="18"/>
          <w:szCs w:val="16"/>
        </w:rPr>
        <w:t xml:space="preserve">, Resource and </w:t>
      </w:r>
      <w:r w:rsidR="001028CF" w:rsidRPr="000D48C9">
        <w:rPr>
          <w:sz w:val="18"/>
          <w:szCs w:val="16"/>
        </w:rPr>
        <w:t>energy quarterly: March 2023</w:t>
      </w:r>
      <w:r w:rsidR="001028CF" w:rsidRPr="000D48C9">
        <w:rPr>
          <w:rStyle w:val="FootnoteReference"/>
          <w:sz w:val="16"/>
          <w:szCs w:val="16"/>
        </w:rPr>
        <w:footnoteReference w:id="81"/>
      </w:r>
      <w:r w:rsidRPr="000D48C9">
        <w:rPr>
          <w:sz w:val="18"/>
          <w:szCs w:val="16"/>
        </w:rPr>
        <w:t xml:space="preserve"> </w:t>
      </w:r>
    </w:p>
    <w:p w14:paraId="30CBA214" w14:textId="6643F85E" w:rsidR="00B86584" w:rsidRDefault="00CF7C7A" w:rsidP="00112156">
      <w:r>
        <w:t xml:space="preserve">As a result, </w:t>
      </w:r>
      <w:r w:rsidR="00FF79C6">
        <w:t>most</w:t>
      </w:r>
      <w:r w:rsidR="007130C8">
        <w:t xml:space="preserve"> </w:t>
      </w:r>
      <w:r w:rsidR="0005651A">
        <w:t>LNG projects</w:t>
      </w:r>
      <w:r w:rsidR="003D65B3">
        <w:t xml:space="preserve"> are</w:t>
      </w:r>
      <w:r>
        <w:t xml:space="preserve"> now not expected to </w:t>
      </w:r>
      <w:r w:rsidR="0005651A">
        <w:t xml:space="preserve">pay </w:t>
      </w:r>
      <w:r w:rsidR="002B4B47">
        <w:t>significant amounts of</w:t>
      </w:r>
      <w:r w:rsidR="0005651A">
        <w:t xml:space="preserve"> </w:t>
      </w:r>
      <w:r w:rsidR="00902482">
        <w:t xml:space="preserve">PRRT </w:t>
      </w:r>
      <w:r w:rsidR="00FA75D8">
        <w:t>before 2030</w:t>
      </w:r>
      <w:r w:rsidR="00195B7D">
        <w:t>.</w:t>
      </w:r>
      <w:r w:rsidR="00FA75D8">
        <w:t xml:space="preserve"> </w:t>
      </w:r>
      <w:r w:rsidR="00CC5CE0">
        <w:t>C</w:t>
      </w:r>
      <w:r w:rsidR="0074094F" w:rsidRPr="0051318E">
        <w:t xml:space="preserve">ompanies </w:t>
      </w:r>
      <w:r w:rsidR="00CC5CE0">
        <w:t>are now expected to</w:t>
      </w:r>
      <w:r w:rsidR="0074094F" w:rsidRPr="0051318E">
        <w:t xml:space="preserve"> pay PRRT in respect of their LNG projects later, and overall PRRT receipts across the medium and long</w:t>
      </w:r>
      <w:r w:rsidR="00DE52A7">
        <w:t xml:space="preserve"> </w:t>
      </w:r>
      <w:r w:rsidR="0074094F" w:rsidRPr="0051318E">
        <w:t>term will be lower than projected by the modelling undertaken for the Callaghan Review.</w:t>
      </w:r>
    </w:p>
    <w:p w14:paraId="6FC25973" w14:textId="2E0A3A8F" w:rsidR="0077559F" w:rsidRPr="003D46CD" w:rsidRDefault="00094BA2" w:rsidP="00A41F8F">
      <w:r>
        <w:t>Specifically, u</w:t>
      </w:r>
      <w:r w:rsidR="00EC28CC">
        <w:t>nder</w:t>
      </w:r>
      <w:r w:rsidR="0068226D" w:rsidDel="0050575B">
        <w:t xml:space="preserve"> </w:t>
      </w:r>
      <w:r w:rsidR="00FF6672">
        <w:t xml:space="preserve">a </w:t>
      </w:r>
      <w:r w:rsidR="00182035" w:rsidRPr="00182035">
        <w:t>US$72.7</w:t>
      </w:r>
      <w:r w:rsidR="0052329A">
        <w:t>0</w:t>
      </w:r>
      <w:r w:rsidR="009E7ECB">
        <w:t xml:space="preserve"> per barrel</w:t>
      </w:r>
      <w:r w:rsidR="00182035" w:rsidRPr="00182035">
        <w:t xml:space="preserve"> </w:t>
      </w:r>
      <w:r w:rsidR="00BB658D">
        <w:t>WTI</w:t>
      </w:r>
      <w:r w:rsidR="00967A5F">
        <w:t xml:space="preserve"> </w:t>
      </w:r>
      <w:r w:rsidR="00182035" w:rsidRPr="0051318E">
        <w:t>oil price</w:t>
      </w:r>
      <w:r w:rsidR="004A54EC">
        <w:rPr>
          <w:rStyle w:val="FootnoteReference"/>
        </w:rPr>
        <w:footnoteReference w:id="82"/>
      </w:r>
      <w:r w:rsidR="000D57E7">
        <w:t xml:space="preserve"> that is</w:t>
      </w:r>
      <w:r w:rsidR="00182035" w:rsidRPr="0051318E">
        <w:t xml:space="preserve"> indexed by CPI beyond </w:t>
      </w:r>
      <w:r w:rsidR="001D4F4F">
        <w:t>2026-27</w:t>
      </w:r>
      <w:r w:rsidR="00CB28E8" w:rsidRPr="0051318E">
        <w:t xml:space="preserve">, </w:t>
      </w:r>
      <w:r w:rsidR="00182035" w:rsidRPr="0051318E">
        <w:t xml:space="preserve">Treasury </w:t>
      </w:r>
      <w:r w:rsidR="004A6B69" w:rsidRPr="0051318E">
        <w:t>estimate</w:t>
      </w:r>
      <w:r w:rsidR="00182035" w:rsidRPr="0051318E">
        <w:t>s</w:t>
      </w:r>
      <w:r w:rsidR="004A6B69" w:rsidRPr="0051318E">
        <w:t xml:space="preserve"> </w:t>
      </w:r>
      <w:r w:rsidR="009C37C2">
        <w:t xml:space="preserve">PRRT receipts </w:t>
      </w:r>
      <w:r w:rsidR="001619C1">
        <w:t>from the five LNG projects will</w:t>
      </w:r>
      <w:r w:rsidR="009C37C2">
        <w:t xml:space="preserve"> </w:t>
      </w:r>
      <w:r w:rsidR="00CC7391">
        <w:t>total</w:t>
      </w:r>
      <w:r w:rsidR="009C37C2">
        <w:t xml:space="preserve"> </w:t>
      </w:r>
      <w:r w:rsidR="00B17B3B" w:rsidRPr="0051318E">
        <w:t xml:space="preserve">around </w:t>
      </w:r>
      <w:r w:rsidR="002D3FDB" w:rsidRPr="0051318E">
        <w:t>$</w:t>
      </w:r>
      <w:r w:rsidR="001D4C2F" w:rsidRPr="0051318E">
        <w:t>5</w:t>
      </w:r>
      <w:r w:rsidR="001D4C2F">
        <w:t> </w:t>
      </w:r>
      <w:r w:rsidR="00B17B3B" w:rsidRPr="0051318E">
        <w:t>billion</w:t>
      </w:r>
      <w:r w:rsidR="00B75762" w:rsidRPr="0051318E">
        <w:t xml:space="preserve"> </w:t>
      </w:r>
      <w:r w:rsidR="00E363DE">
        <w:t>over</w:t>
      </w:r>
      <w:r w:rsidR="00003DE3">
        <w:t xml:space="preserve"> the </w:t>
      </w:r>
      <w:r w:rsidR="00A21690">
        <w:t>period</w:t>
      </w:r>
      <w:r w:rsidR="00003DE3">
        <w:t xml:space="preserve"> to </w:t>
      </w:r>
      <w:r w:rsidR="002D3FDB" w:rsidRPr="0051318E">
        <w:t>2033</w:t>
      </w:r>
      <w:r w:rsidR="00774230">
        <w:noBreakHyphen/>
      </w:r>
      <w:r w:rsidR="002D3FDB" w:rsidRPr="0051318E">
        <w:t xml:space="preserve">34 </w:t>
      </w:r>
      <w:r w:rsidR="00E039DB" w:rsidRPr="0051318E">
        <w:t xml:space="preserve">and </w:t>
      </w:r>
      <w:r w:rsidR="0002552B" w:rsidRPr="0051318E">
        <w:t xml:space="preserve">around </w:t>
      </w:r>
      <w:r w:rsidR="00E039DB" w:rsidRPr="0051318E">
        <w:t>$</w:t>
      </w:r>
      <w:r w:rsidR="0002552B" w:rsidRPr="0051318E">
        <w:t>53</w:t>
      </w:r>
      <w:r w:rsidR="00E039DB" w:rsidRPr="0051318E">
        <w:t xml:space="preserve"> billion </w:t>
      </w:r>
      <w:r w:rsidR="002F6A72">
        <w:t xml:space="preserve">over the </w:t>
      </w:r>
      <w:r w:rsidR="00AA09F9">
        <w:t>period</w:t>
      </w:r>
      <w:r w:rsidR="00E039DB" w:rsidRPr="0051318E">
        <w:t xml:space="preserve"> to 20</w:t>
      </w:r>
      <w:r w:rsidR="002E4ED6">
        <w:t>49-</w:t>
      </w:r>
      <w:r w:rsidR="00E039DB" w:rsidRPr="0051318E">
        <w:t>50.</w:t>
      </w:r>
      <w:r w:rsidR="002051AA">
        <w:t xml:space="preserve"> </w:t>
      </w:r>
      <w:r w:rsidR="008C0805" w:rsidRPr="0051318E">
        <w:t xml:space="preserve">Consistent with the </w:t>
      </w:r>
      <w:r w:rsidR="008C0805" w:rsidRPr="003D46CD">
        <w:t xml:space="preserve">design of a rent tax, </w:t>
      </w:r>
      <w:r w:rsidR="00DF266C">
        <w:t xml:space="preserve">oil </w:t>
      </w:r>
      <w:r w:rsidR="00C26746" w:rsidRPr="003D46CD">
        <w:t xml:space="preserve">prices below </w:t>
      </w:r>
      <w:r w:rsidR="008C0805" w:rsidRPr="003D46CD">
        <w:t xml:space="preserve">this </w:t>
      </w:r>
      <w:r w:rsidR="000C06A0">
        <w:t>level</w:t>
      </w:r>
      <w:r w:rsidR="00E62FB2" w:rsidRPr="003D46CD">
        <w:t xml:space="preserve"> </w:t>
      </w:r>
      <w:r w:rsidR="008C0805" w:rsidRPr="003D46CD">
        <w:t xml:space="preserve">would </w:t>
      </w:r>
      <w:r w:rsidR="00DD3783" w:rsidRPr="003D46CD">
        <w:t xml:space="preserve">extend the delay and reduce PRRT collections over the longer term, with PRRT payments not expected to pick up until the </w:t>
      </w:r>
      <w:r w:rsidR="00C01E94" w:rsidRPr="003D46CD">
        <w:t xml:space="preserve">mid to </w:t>
      </w:r>
      <w:r w:rsidR="00DD3783" w:rsidRPr="003D46CD">
        <w:t xml:space="preserve">late 2030s. </w:t>
      </w:r>
      <w:r w:rsidR="004B162B" w:rsidRPr="003D46CD">
        <w:t xml:space="preserve">Treasury modelling at a </w:t>
      </w:r>
      <w:r w:rsidR="00814812" w:rsidRPr="003D46CD">
        <w:t>US</w:t>
      </w:r>
      <w:r w:rsidR="004B162B" w:rsidRPr="003D46CD">
        <w:t>$6</w:t>
      </w:r>
      <w:r w:rsidR="00DD0020" w:rsidRPr="003D46CD">
        <w:t>2</w:t>
      </w:r>
      <w:r w:rsidR="004B162B" w:rsidRPr="003D46CD">
        <w:t xml:space="preserve"> </w:t>
      </w:r>
      <w:r w:rsidR="0096516E">
        <w:t>per barrel</w:t>
      </w:r>
      <w:r w:rsidR="004B162B" w:rsidRPr="003D46CD">
        <w:t xml:space="preserve"> </w:t>
      </w:r>
      <w:r w:rsidR="00DD0020" w:rsidRPr="003D46CD">
        <w:t xml:space="preserve">WTI </w:t>
      </w:r>
      <w:r w:rsidR="004B162B" w:rsidRPr="003D46CD">
        <w:t xml:space="preserve">price </w:t>
      </w:r>
      <w:r w:rsidR="00DD0020" w:rsidRPr="003D46CD">
        <w:t>(</w:t>
      </w:r>
      <w:r w:rsidR="004B162B" w:rsidRPr="003D46CD">
        <w:t>indexed</w:t>
      </w:r>
      <w:r w:rsidR="0096516E">
        <w:t xml:space="preserve"> to CPI </w:t>
      </w:r>
      <w:r w:rsidR="0064548D">
        <w:t xml:space="preserve">beyond </w:t>
      </w:r>
      <w:r w:rsidR="002E2760">
        <w:t>2026-27</w:t>
      </w:r>
      <w:r w:rsidR="00DD0020" w:rsidRPr="003D46CD">
        <w:t xml:space="preserve">) shows PRRT collections </w:t>
      </w:r>
      <w:r w:rsidR="00363D76">
        <w:t>will be lower,</w:t>
      </w:r>
      <w:r w:rsidR="00DD0020" w:rsidRPr="003D46CD">
        <w:t xml:space="preserve"> </w:t>
      </w:r>
      <w:r w:rsidR="00C06D10">
        <w:t xml:space="preserve">totalling </w:t>
      </w:r>
      <w:r w:rsidR="003D46CD" w:rsidRPr="003D46CD">
        <w:t xml:space="preserve">less than </w:t>
      </w:r>
      <w:r w:rsidR="00DD0020" w:rsidRPr="003D46CD">
        <w:t>$</w:t>
      </w:r>
      <w:r w:rsidR="003D46CD" w:rsidRPr="003D46CD">
        <w:t>1</w:t>
      </w:r>
      <w:r w:rsidR="00DD0020" w:rsidRPr="003D46CD">
        <w:t xml:space="preserve"> </w:t>
      </w:r>
      <w:r w:rsidR="00E41F0E" w:rsidRPr="003D46CD">
        <w:t>b</w:t>
      </w:r>
      <w:r w:rsidR="00DD0020" w:rsidRPr="003D46CD">
        <w:t xml:space="preserve">illion </w:t>
      </w:r>
      <w:r w:rsidR="00610FEF">
        <w:t xml:space="preserve">over the </w:t>
      </w:r>
      <w:r w:rsidR="00935812">
        <w:t>period</w:t>
      </w:r>
      <w:r w:rsidR="000567A2">
        <w:t xml:space="preserve"> </w:t>
      </w:r>
      <w:r w:rsidR="00DD0020" w:rsidRPr="003D46CD">
        <w:t xml:space="preserve">to 2033-34 and </w:t>
      </w:r>
      <w:r w:rsidR="001B20EC" w:rsidRPr="003D46CD">
        <w:t>around $</w:t>
      </w:r>
      <w:r w:rsidR="003D46CD" w:rsidRPr="003D46CD">
        <w:t>20</w:t>
      </w:r>
      <w:r w:rsidR="007A26B4">
        <w:t> </w:t>
      </w:r>
      <w:r w:rsidR="00E41F0E" w:rsidRPr="003D46CD">
        <w:t>b</w:t>
      </w:r>
      <w:r w:rsidR="001B20EC" w:rsidRPr="003D46CD">
        <w:t xml:space="preserve">illion </w:t>
      </w:r>
      <w:r w:rsidR="0049406D">
        <w:t xml:space="preserve">over the </w:t>
      </w:r>
      <w:r w:rsidR="00ED7FB1">
        <w:t>period</w:t>
      </w:r>
      <w:r w:rsidR="0049406D">
        <w:t xml:space="preserve"> </w:t>
      </w:r>
      <w:r w:rsidR="002C3DD8" w:rsidRPr="003D46CD">
        <w:t>to 20</w:t>
      </w:r>
      <w:r w:rsidR="00DC2FBE">
        <w:t>49-</w:t>
      </w:r>
      <w:r w:rsidR="002C3DD8" w:rsidRPr="003D46CD">
        <w:t>50.</w:t>
      </w:r>
    </w:p>
    <w:p w14:paraId="2A99BB91" w14:textId="34F68958" w:rsidR="00B64ECA" w:rsidRDefault="00282108" w:rsidP="00B37A0F">
      <w:r w:rsidRPr="003D46CD">
        <w:lastRenderedPageBreak/>
        <w:t xml:space="preserve">Based </w:t>
      </w:r>
      <w:r w:rsidR="00DC4FFC" w:rsidRPr="003D46CD">
        <w:t xml:space="preserve">on consultations with </w:t>
      </w:r>
      <w:r w:rsidR="00F41E6E">
        <w:t>i</w:t>
      </w:r>
      <w:r w:rsidR="00F41E6E" w:rsidRPr="003D46CD">
        <w:t>ndustry</w:t>
      </w:r>
      <w:r w:rsidR="00DC4FFC" w:rsidRPr="003D46CD">
        <w:t xml:space="preserve"> </w:t>
      </w:r>
      <w:r w:rsidR="00690333" w:rsidRPr="003D46CD">
        <w:t>participants</w:t>
      </w:r>
      <w:r w:rsidR="006829B2" w:rsidRPr="003D46CD">
        <w:t xml:space="preserve"> and </w:t>
      </w:r>
      <w:r w:rsidR="00690333" w:rsidRPr="003D46CD">
        <w:t xml:space="preserve">data from Wood </w:t>
      </w:r>
      <w:r w:rsidR="00BF2EAA" w:rsidRPr="003D46CD">
        <w:t>Mackenzie</w:t>
      </w:r>
      <w:r w:rsidR="006829B2" w:rsidRPr="003D46CD">
        <w:t xml:space="preserve">, </w:t>
      </w:r>
      <w:r w:rsidR="00C46F7B">
        <w:t xml:space="preserve">if </w:t>
      </w:r>
      <w:r w:rsidR="00314182">
        <w:t xml:space="preserve">the </w:t>
      </w:r>
      <w:r w:rsidR="00C46F7B">
        <w:t>oil price stays flat at</w:t>
      </w:r>
      <w:r w:rsidR="00C46F7B" w:rsidRPr="003D46CD">
        <w:t xml:space="preserve"> US$65 </w:t>
      </w:r>
      <w:r w:rsidR="00BB01AE">
        <w:t>p</w:t>
      </w:r>
      <w:r w:rsidR="00C46F7B" w:rsidRPr="003D46CD">
        <w:t>er barrel</w:t>
      </w:r>
      <w:r w:rsidR="00BB01AE">
        <w:t xml:space="preserve"> (Brent)</w:t>
      </w:r>
      <w:r w:rsidR="00C46F7B">
        <w:t xml:space="preserve"> over the long term,</w:t>
      </w:r>
      <w:r w:rsidR="00C46F7B" w:rsidRPr="003D46CD">
        <w:t xml:space="preserve"> </w:t>
      </w:r>
      <w:r w:rsidR="0033004D" w:rsidRPr="003D46CD">
        <w:t xml:space="preserve">most </w:t>
      </w:r>
      <w:r w:rsidR="007560B0" w:rsidRPr="003D46CD">
        <w:t xml:space="preserve">existing </w:t>
      </w:r>
      <w:r w:rsidR="00B37A0F" w:rsidRPr="003D46CD">
        <w:t xml:space="preserve">LNG projects subject to the PRRT are </w:t>
      </w:r>
      <w:r w:rsidR="005A19D1">
        <w:t xml:space="preserve">expected </w:t>
      </w:r>
      <w:r w:rsidR="00B37A0F" w:rsidRPr="003D46CD">
        <w:t>to make overall returns on investment of less than 10</w:t>
      </w:r>
      <w:r w:rsidR="001A3443" w:rsidRPr="003D46CD">
        <w:t xml:space="preserve"> per cent</w:t>
      </w:r>
      <w:r w:rsidR="00607E2D">
        <w:t>.</w:t>
      </w:r>
      <w:r w:rsidR="00B37A0F" w:rsidRPr="003D46CD">
        <w:t xml:space="preserve"> </w:t>
      </w:r>
      <w:r w:rsidR="00B64ECA">
        <w:t xml:space="preserve">This return </w:t>
      </w:r>
      <w:r w:rsidR="00FC78B4">
        <w:t>would</w:t>
      </w:r>
      <w:r w:rsidR="00B64ECA">
        <w:t xml:space="preserve"> not be sufficient to </w:t>
      </w:r>
      <w:r w:rsidR="008B21DD">
        <w:t>result in</w:t>
      </w:r>
      <w:r w:rsidR="00B64ECA">
        <w:t xml:space="preserve"> these LNG projects</w:t>
      </w:r>
      <w:r w:rsidR="00F03AE1">
        <w:t xml:space="preserve"> paying PRRT over their expected lives</w:t>
      </w:r>
      <w:r w:rsidR="00B64ECA">
        <w:t>. As noted earlier, the PRRT recognises the capital costs of investment and allows them to be carried forward at uplifted rates</w:t>
      </w:r>
      <w:r w:rsidR="003E102F">
        <w:t xml:space="preserve"> until </w:t>
      </w:r>
      <w:r w:rsidR="0071744B">
        <w:t>these losses have been absorbed</w:t>
      </w:r>
      <w:r w:rsidR="00B64ECA">
        <w:t xml:space="preserve">, generally at LTBR plus 5 percentage points (equating to between 6 and 10 per cent since 2011). Similarly, the netback allows a return on downstream assets of LTBR plus 7 percentage points (equating to between 8 and 12 percent since 2011) each year. </w:t>
      </w:r>
    </w:p>
    <w:p w14:paraId="3787FE5F" w14:textId="61BAFFA6" w:rsidR="000D48C9" w:rsidRDefault="00B37A0F" w:rsidP="00B37A0F">
      <w:r w:rsidRPr="005D0C8C">
        <w:t xml:space="preserve">At </w:t>
      </w:r>
      <w:r w:rsidR="00C11C00" w:rsidRPr="005D0C8C">
        <w:t>a</w:t>
      </w:r>
      <w:r w:rsidRPr="005D0C8C">
        <w:t xml:space="preserve"> higher oil price of </w:t>
      </w:r>
      <w:r w:rsidR="00665449" w:rsidRPr="005D0C8C">
        <w:t>US</w:t>
      </w:r>
      <w:r w:rsidRPr="005D0C8C">
        <w:t>$</w:t>
      </w:r>
      <w:r w:rsidR="00CC7EA9" w:rsidRPr="005D0C8C">
        <w:t>9</w:t>
      </w:r>
      <w:r w:rsidR="003457B5" w:rsidRPr="005D0C8C">
        <w:t>2</w:t>
      </w:r>
      <w:r w:rsidR="00CC7EA9" w:rsidRPr="005D0C8C">
        <w:t xml:space="preserve"> </w:t>
      </w:r>
      <w:r w:rsidR="000732BC" w:rsidRPr="005D0C8C">
        <w:t xml:space="preserve">per barrel </w:t>
      </w:r>
      <w:r w:rsidR="00CC7EA9" w:rsidRPr="005D0C8C">
        <w:t xml:space="preserve">WTI </w:t>
      </w:r>
      <w:r w:rsidR="00967A5F" w:rsidRPr="005D0C8C">
        <w:t>(</w:t>
      </w:r>
      <w:r w:rsidR="00CC7EA9" w:rsidRPr="005D0C8C">
        <w:t>indexed</w:t>
      </w:r>
      <w:r w:rsidR="00AA67C4">
        <w:t xml:space="preserve"> </w:t>
      </w:r>
      <w:r w:rsidR="00242298">
        <w:t xml:space="preserve">to CPI beyond </w:t>
      </w:r>
      <w:r w:rsidR="002E2760">
        <w:t>2026-27</w:t>
      </w:r>
      <w:r w:rsidR="00F32DC5" w:rsidRPr="005D0C8C">
        <w:t>)</w:t>
      </w:r>
      <w:r w:rsidR="00665449" w:rsidRPr="005D0C8C">
        <w:t xml:space="preserve">, </w:t>
      </w:r>
      <w:r w:rsidR="00242298">
        <w:t>Treasury modelling suggests that</w:t>
      </w:r>
      <w:r w:rsidR="00665449" w:rsidRPr="005D0C8C">
        <w:t xml:space="preserve"> </w:t>
      </w:r>
      <w:r w:rsidR="00D35506">
        <w:t>these</w:t>
      </w:r>
      <w:r w:rsidR="00140179">
        <w:t xml:space="preserve"> </w:t>
      </w:r>
      <w:r w:rsidRPr="005D0C8C">
        <w:t xml:space="preserve">projects </w:t>
      </w:r>
      <w:r w:rsidR="0074409F" w:rsidRPr="005D0C8C">
        <w:t xml:space="preserve">will pay sooner and </w:t>
      </w:r>
      <w:r w:rsidR="009A3E00" w:rsidRPr="005D0C8C">
        <w:t xml:space="preserve">more PRRT over their lifetimes with significant </w:t>
      </w:r>
      <w:r w:rsidR="008522F9" w:rsidRPr="005D0C8C">
        <w:t>revenue</w:t>
      </w:r>
      <w:r w:rsidR="009A3E00" w:rsidRPr="005D0C8C">
        <w:t xml:space="preserve"> brought forward</w:t>
      </w:r>
      <w:r w:rsidR="005D0C8C" w:rsidRPr="005D0C8C">
        <w:t xml:space="preserve">. PRRT </w:t>
      </w:r>
      <w:r w:rsidR="00581FA0">
        <w:t>c</w:t>
      </w:r>
      <w:r w:rsidR="005D0C8C" w:rsidRPr="005D0C8C">
        <w:t xml:space="preserve">ollections would </w:t>
      </w:r>
      <w:r w:rsidR="00176340">
        <w:t>total</w:t>
      </w:r>
      <w:r w:rsidR="005D0C8C" w:rsidRPr="005D0C8C">
        <w:t xml:space="preserve"> about $18 </w:t>
      </w:r>
      <w:r w:rsidR="00A73C4D">
        <w:t>b</w:t>
      </w:r>
      <w:r w:rsidR="005D0C8C" w:rsidRPr="005D0C8C">
        <w:t>illion</w:t>
      </w:r>
      <w:r w:rsidR="009A3E00" w:rsidRPr="005D0C8C">
        <w:t xml:space="preserve"> </w:t>
      </w:r>
      <w:r w:rsidR="007440A5">
        <w:t xml:space="preserve">over </w:t>
      </w:r>
      <w:r w:rsidR="00176340">
        <w:t xml:space="preserve">the </w:t>
      </w:r>
      <w:r w:rsidR="00566BF8">
        <w:t>period</w:t>
      </w:r>
      <w:r w:rsidR="009A3E00" w:rsidRPr="005D0C8C">
        <w:t xml:space="preserve"> to </w:t>
      </w:r>
      <w:r w:rsidR="00316FAE" w:rsidRPr="005D0C8C">
        <w:t>2033-34</w:t>
      </w:r>
      <w:r w:rsidR="008522F9" w:rsidRPr="005D0C8C">
        <w:t xml:space="preserve"> and about $</w:t>
      </w:r>
      <w:r w:rsidR="005D0C8C" w:rsidRPr="005D0C8C">
        <w:t>99</w:t>
      </w:r>
      <w:r w:rsidR="00AA507D" w:rsidRPr="005D0C8C">
        <w:t xml:space="preserve"> </w:t>
      </w:r>
      <w:r w:rsidR="00E41F0E" w:rsidRPr="005D0C8C">
        <w:t>b</w:t>
      </w:r>
      <w:r w:rsidR="00AA507D" w:rsidRPr="005D0C8C">
        <w:t xml:space="preserve">illion </w:t>
      </w:r>
      <w:r w:rsidR="00176340">
        <w:t xml:space="preserve">over the </w:t>
      </w:r>
      <w:r w:rsidR="00566BF8">
        <w:t>period</w:t>
      </w:r>
      <w:r w:rsidR="00176340">
        <w:t xml:space="preserve"> </w:t>
      </w:r>
      <w:r w:rsidR="00AA507D" w:rsidRPr="005D0C8C">
        <w:t>to 20</w:t>
      </w:r>
      <w:r w:rsidR="009F7350">
        <w:t>49-</w:t>
      </w:r>
      <w:r w:rsidR="00AA507D" w:rsidRPr="005D0C8C">
        <w:t>50.</w:t>
      </w:r>
      <w:r w:rsidR="00665449">
        <w:t xml:space="preserve"> </w:t>
      </w:r>
    </w:p>
    <w:p w14:paraId="2E3F1833" w14:textId="72BF6DEB" w:rsidR="00B37A0F" w:rsidRDefault="00A93730" w:rsidP="00B37A0F">
      <w:r>
        <w:t xml:space="preserve">In addition to the </w:t>
      </w:r>
      <w:r w:rsidR="00061E00">
        <w:t>very high</w:t>
      </w:r>
      <w:r w:rsidR="003A300A">
        <w:t xml:space="preserve"> </w:t>
      </w:r>
      <w:r w:rsidR="000F4746">
        <w:t xml:space="preserve">sensitivity </w:t>
      </w:r>
      <w:r w:rsidR="00061E00">
        <w:t xml:space="preserve">of the modelled PRRT </w:t>
      </w:r>
      <w:r w:rsidR="00FB61AE">
        <w:t xml:space="preserve">collections </w:t>
      </w:r>
      <w:r w:rsidR="000F4746">
        <w:t>to</w:t>
      </w:r>
      <w:r w:rsidR="003A300A">
        <w:t xml:space="preserve"> oil price</w:t>
      </w:r>
      <w:r w:rsidR="000F4746">
        <w:t>s</w:t>
      </w:r>
      <w:r w:rsidR="003A300A">
        <w:t xml:space="preserve">, </w:t>
      </w:r>
      <w:r w:rsidR="00CD3467">
        <w:t xml:space="preserve">there </w:t>
      </w:r>
      <w:r w:rsidR="00671197">
        <w:t xml:space="preserve">are several other sources of significant uncertainty given the long </w:t>
      </w:r>
      <w:r w:rsidR="00E72941">
        <w:t xml:space="preserve">modelling horizon. For example, </w:t>
      </w:r>
      <w:r w:rsidR="00F8787A">
        <w:t xml:space="preserve">the modelled outcomes are </w:t>
      </w:r>
      <w:r w:rsidR="00CD3467">
        <w:t>d</w:t>
      </w:r>
      <w:r w:rsidR="00B37A0F">
        <w:t>epend</w:t>
      </w:r>
      <w:r w:rsidR="002932D2">
        <w:t>en</w:t>
      </w:r>
      <w:r w:rsidR="00FB48A8">
        <w:t>t</w:t>
      </w:r>
      <w:r w:rsidR="00B37A0F">
        <w:t xml:space="preserve"> on</w:t>
      </w:r>
      <w:r w:rsidR="005F733B">
        <w:t xml:space="preserve"> </w:t>
      </w:r>
      <w:r w:rsidR="00CC278B">
        <w:t xml:space="preserve">assumptions </w:t>
      </w:r>
      <w:r w:rsidR="009A23FF">
        <w:t>in relation to</w:t>
      </w:r>
      <w:r w:rsidR="003B0CCD">
        <w:t xml:space="preserve"> economic</w:t>
      </w:r>
      <w:r w:rsidR="00B37A0F">
        <w:t xml:space="preserve"> </w:t>
      </w:r>
      <w:r w:rsidR="002932D2">
        <w:t>parameters</w:t>
      </w:r>
      <w:r w:rsidR="00F97ADF">
        <w:t xml:space="preserve"> such as exchange rates</w:t>
      </w:r>
      <w:r w:rsidR="00B37A0F">
        <w:t xml:space="preserve">, the </w:t>
      </w:r>
      <w:r w:rsidR="00D64A7E">
        <w:t xml:space="preserve">potential for </w:t>
      </w:r>
      <w:r w:rsidR="00B37A0F">
        <w:t xml:space="preserve">extension of </w:t>
      </w:r>
      <w:r w:rsidR="006B6B9E">
        <w:t xml:space="preserve">asset </w:t>
      </w:r>
      <w:r w:rsidR="00B37A0F">
        <w:t>production lives at the price assumed</w:t>
      </w:r>
      <w:r w:rsidR="006B6B9E">
        <w:t>,</w:t>
      </w:r>
      <w:r w:rsidR="00B37A0F">
        <w:t xml:space="preserve"> and continued global appetite for Australian LNG. </w:t>
      </w:r>
      <w:r w:rsidR="006B6B9E">
        <w:t>In this regard,</w:t>
      </w:r>
      <w:r w:rsidR="00B37A0F">
        <w:t xml:space="preserve"> BP’s </w:t>
      </w:r>
      <w:r w:rsidR="00B37A0F" w:rsidRPr="003D2721">
        <w:rPr>
          <w:i/>
          <w:iCs/>
        </w:rPr>
        <w:t>Energy Outlook 2023</w:t>
      </w:r>
      <w:r w:rsidR="00B37A0F">
        <w:t xml:space="preserve"> forecasts considerable uncertainty for global LNG demand after 2030.</w:t>
      </w:r>
      <w:r w:rsidR="006B6B9E">
        <w:rPr>
          <w:rStyle w:val="FootnoteReference"/>
        </w:rPr>
        <w:footnoteReference w:id="83"/>
      </w:r>
    </w:p>
    <w:p w14:paraId="45901E3D" w14:textId="31986E42" w:rsidR="00B37A0F" w:rsidRDefault="00B36C51" w:rsidP="00B37A0F">
      <w:r>
        <w:t>T</w:t>
      </w:r>
      <w:r w:rsidR="00AB734F">
        <w:t>he</w:t>
      </w:r>
      <w:r w:rsidR="00900D14">
        <w:t xml:space="preserve"> m</w:t>
      </w:r>
      <w:r w:rsidR="002140BF">
        <w:t>odelling outcomes</w:t>
      </w:r>
      <w:r w:rsidR="00186D94">
        <w:t xml:space="preserve"> should be </w:t>
      </w:r>
      <w:r w:rsidR="00865DC0">
        <w:t>treat</w:t>
      </w:r>
      <w:r w:rsidR="007754A2">
        <w:t xml:space="preserve">ed as </w:t>
      </w:r>
      <w:r w:rsidR="00BB110D">
        <w:t xml:space="preserve">indicative </w:t>
      </w:r>
      <w:r w:rsidR="00CA249A">
        <w:t xml:space="preserve">of the </w:t>
      </w:r>
      <w:r>
        <w:t xml:space="preserve">relative </w:t>
      </w:r>
      <w:r w:rsidR="00CA249A">
        <w:t>impacts of different reform options</w:t>
      </w:r>
      <w:r w:rsidR="00EE293B">
        <w:t xml:space="preserve"> on PRRT</w:t>
      </w:r>
      <w:r w:rsidR="00CA249A">
        <w:t xml:space="preserve"> </w:t>
      </w:r>
      <w:r w:rsidR="00897E35">
        <w:t xml:space="preserve">receipts </w:t>
      </w:r>
      <w:r w:rsidR="008A7AA3">
        <w:t xml:space="preserve">and not as </w:t>
      </w:r>
      <w:r w:rsidR="00A67F6D">
        <w:t xml:space="preserve">net </w:t>
      </w:r>
      <w:r w:rsidR="00897E35">
        <w:t xml:space="preserve">impacts on </w:t>
      </w:r>
      <w:r w:rsidR="004C439D">
        <w:t>Commonwealth</w:t>
      </w:r>
      <w:r w:rsidR="007D310A" w:rsidDel="00D2388D">
        <w:t xml:space="preserve"> </w:t>
      </w:r>
      <w:r w:rsidR="00423207" w:rsidDel="00D2388D">
        <w:t>revenue</w:t>
      </w:r>
      <w:r w:rsidR="00423207">
        <w:t>.</w:t>
      </w:r>
      <w:r w:rsidR="00CA249A">
        <w:t xml:space="preserve"> </w:t>
      </w:r>
    </w:p>
    <w:p w14:paraId="3AC877F3" w14:textId="300732A5" w:rsidR="0023659A" w:rsidRDefault="00F467FF" w:rsidP="00645011">
      <w:pPr>
        <w:pStyle w:val="Heading2"/>
        <w:spacing w:before="240"/>
      </w:pPr>
      <w:bookmarkStart w:id="55" w:name="_Toc134273585"/>
      <w:r>
        <w:t>8.</w:t>
      </w:r>
      <w:r w:rsidR="00060968">
        <w:t>3</w:t>
      </w:r>
      <w:r>
        <w:t xml:space="preserve"> Impacts </w:t>
      </w:r>
      <w:bookmarkStart w:id="56" w:name="_Hlk134209254"/>
      <w:r>
        <w:t xml:space="preserve">of proposed changes </w:t>
      </w:r>
      <w:bookmarkEnd w:id="56"/>
      <w:r>
        <w:t>on existing projects</w:t>
      </w:r>
      <w:bookmarkEnd w:id="55"/>
    </w:p>
    <w:p w14:paraId="03CBC82D" w14:textId="04CFCFBB" w:rsidR="0094504E" w:rsidRDefault="00D23AED" w:rsidP="00F44F1C">
      <w:r>
        <w:t xml:space="preserve">The Callaghan Review </w:t>
      </w:r>
      <w:r w:rsidR="00650FC9">
        <w:t xml:space="preserve">included analysis that </w:t>
      </w:r>
      <w:r w:rsidR="00F44F1C">
        <w:t xml:space="preserve">showed </w:t>
      </w:r>
      <w:r w:rsidR="00620712">
        <w:t>moving to a netback would result in:</w:t>
      </w:r>
    </w:p>
    <w:p w14:paraId="6DBC5C9A" w14:textId="7C4F67D7" w:rsidR="00F44F1C" w:rsidRPr="000D48C9" w:rsidRDefault="0094504E" w:rsidP="000D48C9">
      <w:pPr>
        <w:pStyle w:val="Quote"/>
        <w:jc w:val="center"/>
        <w:rPr>
          <w:rFonts w:ascii="Calibri Light" w:hAnsi="Calibri Light" w:cs="Calibri Light"/>
          <w:color w:val="auto"/>
        </w:rPr>
      </w:pPr>
      <w:r w:rsidRPr="000D48C9">
        <w:rPr>
          <w:rFonts w:ascii="Calibri Light" w:hAnsi="Calibri Light" w:cs="Calibri Light"/>
          <w:color w:val="auto"/>
        </w:rPr>
        <w:t>‘</w:t>
      </w:r>
      <w:r w:rsidR="004E3BBE" w:rsidRPr="000D48C9">
        <w:rPr>
          <w:rFonts w:ascii="Calibri Light" w:hAnsi="Calibri Light" w:cs="Calibri Light"/>
          <w:color w:val="auto"/>
        </w:rPr>
        <w:t>[I]</w:t>
      </w:r>
      <w:r w:rsidR="00F44F1C" w:rsidRPr="000D48C9">
        <w:rPr>
          <w:rFonts w:ascii="Calibri Light" w:hAnsi="Calibri Light" w:cs="Calibri Light"/>
          <w:color w:val="auto"/>
        </w:rPr>
        <w:t>ncreased PRRT revenue from 2023 to 2050 (totalling around $89 billion) with a particularly strong increase between 2027 and 2039 (totalling around $68 billion).</w:t>
      </w:r>
    </w:p>
    <w:p w14:paraId="14A447F8" w14:textId="19FE8AD0" w:rsidR="00642755" w:rsidRPr="000D48C9" w:rsidRDefault="00F44F1C" w:rsidP="000D48C9">
      <w:pPr>
        <w:pStyle w:val="Quote"/>
        <w:jc w:val="center"/>
        <w:rPr>
          <w:rFonts w:ascii="Calibri Light" w:hAnsi="Calibri Light" w:cs="Calibri Light"/>
          <w:color w:val="auto"/>
        </w:rPr>
      </w:pPr>
      <w:r w:rsidRPr="000D48C9">
        <w:rPr>
          <w:rFonts w:ascii="Calibri Light" w:hAnsi="Calibri Light" w:cs="Calibri Light"/>
          <w:color w:val="auto"/>
        </w:rPr>
        <w:t>This outcome is achieved by increasing the transfer price in cases where there are residual profits, and allocating associated residual profits 100 per cent to the upstream to be taxed at 40 per cent, while allowing a return of LTBR plus 7 percentage points to the downstream. The higher revenue is from a combination of:</w:t>
      </w:r>
      <w:r w:rsidR="00772A06" w:rsidRPr="000D48C9">
        <w:rPr>
          <w:rFonts w:ascii="Calibri Light" w:hAnsi="Calibri Light" w:cs="Calibri Light"/>
          <w:color w:val="auto"/>
        </w:rPr>
        <w:t xml:space="preserve"> </w:t>
      </w:r>
      <w:r w:rsidRPr="000D48C9">
        <w:rPr>
          <w:rFonts w:ascii="Calibri Light" w:hAnsi="Calibri Light" w:cs="Calibri Light"/>
          <w:color w:val="auto"/>
        </w:rPr>
        <w:t>projects that were already paying PRRT in the baseline scenario, paying a higher amount of PRRT sooner; and</w:t>
      </w:r>
      <w:r w:rsidR="00642755" w:rsidRPr="000D48C9">
        <w:rPr>
          <w:rFonts w:ascii="Calibri Light" w:hAnsi="Calibri Light" w:cs="Calibri Light"/>
          <w:color w:val="auto"/>
        </w:rPr>
        <w:t xml:space="preserve"> p</w:t>
      </w:r>
      <w:r w:rsidRPr="000D48C9">
        <w:rPr>
          <w:rFonts w:ascii="Calibri Light" w:hAnsi="Calibri Light" w:cs="Calibri Light"/>
          <w:color w:val="auto"/>
        </w:rPr>
        <w:t>rojects paying PRRT that were not paying PRRT in the baseline scenario.</w:t>
      </w:r>
      <w:r w:rsidR="0023659A" w:rsidRPr="000D48C9">
        <w:rPr>
          <w:rFonts w:ascii="Calibri Light" w:hAnsi="Calibri Light" w:cs="Calibri Light"/>
          <w:color w:val="auto"/>
        </w:rPr>
        <w:t>’</w:t>
      </w:r>
    </w:p>
    <w:p w14:paraId="66597964" w14:textId="5054B340" w:rsidR="001B0472" w:rsidRDefault="000B6250" w:rsidP="00997BC1">
      <w:pPr>
        <w:rPr>
          <w:lang w:eastAsia="en-US"/>
        </w:rPr>
      </w:pPr>
      <w:r w:rsidRPr="009E544E">
        <w:rPr>
          <w:rFonts w:eastAsiaTheme="minorHAnsi"/>
        </w:rPr>
        <w:t>Treasury modelling indicates that a change to a netback</w:t>
      </w:r>
      <w:r w:rsidR="00F91CFD">
        <w:rPr>
          <w:rFonts w:eastAsiaTheme="minorHAnsi"/>
        </w:rPr>
        <w:t xml:space="preserve"> only approach</w:t>
      </w:r>
      <w:r w:rsidRPr="009E544E">
        <w:rPr>
          <w:rFonts w:eastAsiaTheme="minorHAnsi"/>
        </w:rPr>
        <w:t xml:space="preserve"> will no longer produce</w:t>
      </w:r>
      <w:r w:rsidR="00DF405D" w:rsidRPr="009E544E">
        <w:rPr>
          <w:rFonts w:eastAsiaTheme="minorHAnsi"/>
        </w:rPr>
        <w:t xml:space="preserve"> revenu</w:t>
      </w:r>
      <w:r w:rsidR="000A06AA" w:rsidRPr="009E544E">
        <w:rPr>
          <w:rFonts w:eastAsiaTheme="minorHAnsi"/>
        </w:rPr>
        <w:t>e impacts</w:t>
      </w:r>
      <w:r w:rsidR="009627DB">
        <w:rPr>
          <w:rFonts w:eastAsiaTheme="minorHAnsi"/>
        </w:rPr>
        <w:t xml:space="preserve"> of this magnitude</w:t>
      </w:r>
      <w:r w:rsidR="000A06AA">
        <w:rPr>
          <w:rFonts w:asciiTheme="minorHAnsi" w:eastAsiaTheme="minorHAnsi" w:hAnsiTheme="minorHAnsi" w:cstheme="minorBidi"/>
          <w:i/>
          <w:color w:val="1750A9" w:themeColor="accent5" w:themeShade="80"/>
          <w:szCs w:val="22"/>
        </w:rPr>
        <w:t>.</w:t>
      </w:r>
      <w:r w:rsidR="000A06AA">
        <w:rPr>
          <w:lang w:eastAsia="en-US"/>
        </w:rPr>
        <w:t xml:space="preserve"> The decrease in the </w:t>
      </w:r>
      <w:r w:rsidR="00942814">
        <w:rPr>
          <w:lang w:eastAsia="en-US"/>
        </w:rPr>
        <w:t xml:space="preserve">revenue </w:t>
      </w:r>
      <w:r w:rsidR="000A06AA">
        <w:rPr>
          <w:lang w:eastAsia="en-US"/>
        </w:rPr>
        <w:t>baseline</w:t>
      </w:r>
      <w:r w:rsidR="00F9029E">
        <w:rPr>
          <w:lang w:eastAsia="en-US"/>
        </w:rPr>
        <w:t xml:space="preserve"> </w:t>
      </w:r>
      <w:r w:rsidR="0014536A">
        <w:rPr>
          <w:lang w:eastAsia="en-US"/>
        </w:rPr>
        <w:t>flows through to</w:t>
      </w:r>
      <w:r w:rsidR="00D3397E">
        <w:rPr>
          <w:lang w:eastAsia="en-US"/>
        </w:rPr>
        <w:t xml:space="preserve"> </w:t>
      </w:r>
      <w:r w:rsidR="00E05A5D">
        <w:rPr>
          <w:lang w:eastAsia="en-US"/>
        </w:rPr>
        <w:t xml:space="preserve">estimates of </w:t>
      </w:r>
      <w:r w:rsidR="00C45CDE">
        <w:rPr>
          <w:lang w:eastAsia="en-US"/>
        </w:rPr>
        <w:t xml:space="preserve">additional </w:t>
      </w:r>
      <w:r w:rsidR="00E05A5D">
        <w:rPr>
          <w:lang w:eastAsia="en-US"/>
        </w:rPr>
        <w:t>revenue</w:t>
      </w:r>
      <w:r w:rsidR="001117C7">
        <w:rPr>
          <w:lang w:eastAsia="en-US"/>
        </w:rPr>
        <w:t xml:space="preserve"> that would follow</w:t>
      </w:r>
      <w:r w:rsidR="00D3397E">
        <w:rPr>
          <w:lang w:eastAsia="en-US"/>
        </w:rPr>
        <w:t xml:space="preserve"> </w:t>
      </w:r>
      <w:r w:rsidR="00381BDD">
        <w:rPr>
          <w:lang w:eastAsia="en-US"/>
        </w:rPr>
        <w:t xml:space="preserve">GTP </w:t>
      </w:r>
      <w:r w:rsidR="001117C7">
        <w:rPr>
          <w:lang w:eastAsia="en-US"/>
        </w:rPr>
        <w:t>rule</w:t>
      </w:r>
      <w:r w:rsidR="00381BDD">
        <w:rPr>
          <w:lang w:eastAsia="en-US"/>
        </w:rPr>
        <w:t xml:space="preserve"> changes (whether it be adopting a </w:t>
      </w:r>
      <w:r w:rsidR="00123C7D">
        <w:rPr>
          <w:lang w:eastAsia="en-US"/>
        </w:rPr>
        <w:t xml:space="preserve">netback </w:t>
      </w:r>
      <w:r w:rsidR="008D1C84">
        <w:rPr>
          <w:lang w:eastAsia="en-US"/>
        </w:rPr>
        <w:t>only approach</w:t>
      </w:r>
      <w:r w:rsidR="00123C7D">
        <w:rPr>
          <w:lang w:eastAsia="en-US"/>
        </w:rPr>
        <w:t xml:space="preserve"> </w:t>
      </w:r>
      <w:r w:rsidR="00D3397E">
        <w:rPr>
          <w:lang w:eastAsia="en-US"/>
        </w:rPr>
        <w:t>or modified RPM</w:t>
      </w:r>
      <w:r w:rsidR="00381BDD">
        <w:rPr>
          <w:lang w:eastAsia="en-US"/>
        </w:rPr>
        <w:t>)</w:t>
      </w:r>
      <w:r w:rsidR="000C4177">
        <w:rPr>
          <w:lang w:eastAsia="en-US"/>
        </w:rPr>
        <w:t>.</w:t>
      </w:r>
    </w:p>
    <w:p w14:paraId="64E1BE9D" w14:textId="1BA26300" w:rsidR="001037CB" w:rsidRDefault="001037CB" w:rsidP="00997BC1">
      <w:pPr>
        <w:rPr>
          <w:lang w:eastAsia="en-US"/>
        </w:rPr>
      </w:pPr>
      <w:r>
        <w:rPr>
          <w:lang w:eastAsia="en-US"/>
        </w:rPr>
        <w:t xml:space="preserve">The Treasury modelling below for the </w:t>
      </w:r>
      <w:r w:rsidR="00A70768">
        <w:rPr>
          <w:lang w:eastAsia="en-US"/>
        </w:rPr>
        <w:t xml:space="preserve">‘netback only’ approach incorporates modelled impacts of </w:t>
      </w:r>
      <w:r w:rsidR="007C7C60">
        <w:rPr>
          <w:lang w:eastAsia="en-US"/>
        </w:rPr>
        <w:t xml:space="preserve">the following complementary changes recommended in this report: </w:t>
      </w:r>
      <w:r w:rsidR="004C783A">
        <w:rPr>
          <w:lang w:eastAsia="en-US"/>
        </w:rPr>
        <w:t>providing an additional downstream operating cost to the netback calculation</w:t>
      </w:r>
      <w:r w:rsidR="007C7C60">
        <w:rPr>
          <w:lang w:eastAsia="en-US"/>
        </w:rPr>
        <w:t xml:space="preserve"> and </w:t>
      </w:r>
      <w:r w:rsidR="00CE1097" w:rsidRPr="004C6D70">
        <w:rPr>
          <w:lang w:eastAsia="en-US"/>
        </w:rPr>
        <w:t>reducing the augmentation of pre-production capital expenditure from LTBR</w:t>
      </w:r>
      <w:r w:rsidR="00E0025A" w:rsidRPr="004C6D70">
        <w:rPr>
          <w:lang w:eastAsia="en-US"/>
        </w:rPr>
        <w:t xml:space="preserve"> </w:t>
      </w:r>
      <w:r w:rsidR="00CE1097" w:rsidRPr="004C6D70">
        <w:rPr>
          <w:lang w:eastAsia="en-US"/>
        </w:rPr>
        <w:t>+</w:t>
      </w:r>
      <w:r w:rsidR="00E0025A" w:rsidRPr="004C6D70">
        <w:rPr>
          <w:lang w:eastAsia="en-US"/>
        </w:rPr>
        <w:t xml:space="preserve"> </w:t>
      </w:r>
      <w:r w:rsidR="00CE1097" w:rsidRPr="004C6D70">
        <w:rPr>
          <w:lang w:eastAsia="en-US"/>
        </w:rPr>
        <w:t>7</w:t>
      </w:r>
      <w:r w:rsidR="00E0025A" w:rsidRPr="004C6D70">
        <w:rPr>
          <w:lang w:eastAsia="en-US"/>
        </w:rPr>
        <w:t xml:space="preserve"> percentage points</w:t>
      </w:r>
      <w:r w:rsidR="00CE1097" w:rsidRPr="004C6D70">
        <w:rPr>
          <w:lang w:eastAsia="en-US"/>
        </w:rPr>
        <w:t xml:space="preserve"> to LTBR</w:t>
      </w:r>
      <w:r w:rsidR="00E0025A" w:rsidRPr="004C6D70">
        <w:rPr>
          <w:lang w:eastAsia="en-US"/>
        </w:rPr>
        <w:t xml:space="preserve"> </w:t>
      </w:r>
      <w:r w:rsidR="00CE1097" w:rsidRPr="004C6D70">
        <w:rPr>
          <w:lang w:eastAsia="en-US"/>
        </w:rPr>
        <w:t>+</w:t>
      </w:r>
      <w:r w:rsidR="00E0025A" w:rsidRPr="004C6D70">
        <w:rPr>
          <w:lang w:eastAsia="en-US"/>
        </w:rPr>
        <w:t xml:space="preserve"> </w:t>
      </w:r>
      <w:r w:rsidR="00CE1097" w:rsidRPr="004C6D70">
        <w:rPr>
          <w:lang w:eastAsia="en-US"/>
        </w:rPr>
        <w:t>5</w:t>
      </w:r>
      <w:r w:rsidR="00E0025A" w:rsidRPr="004C6D70">
        <w:rPr>
          <w:lang w:eastAsia="en-US"/>
        </w:rPr>
        <w:t xml:space="preserve"> percentage points</w:t>
      </w:r>
      <w:r w:rsidR="007C7C60" w:rsidRPr="004C6D70">
        <w:rPr>
          <w:lang w:eastAsia="en-US"/>
        </w:rPr>
        <w:t>.</w:t>
      </w:r>
      <w:r w:rsidR="007C7C60">
        <w:rPr>
          <w:lang w:eastAsia="en-US"/>
        </w:rPr>
        <w:t xml:space="preserve"> </w:t>
      </w:r>
      <w:r w:rsidR="001E1602">
        <w:rPr>
          <w:lang w:eastAsia="en-US"/>
        </w:rPr>
        <w:t>In addition</w:t>
      </w:r>
      <w:r w:rsidR="007C7C60">
        <w:rPr>
          <w:lang w:eastAsia="en-US"/>
        </w:rPr>
        <w:t xml:space="preserve">, the modelling results presented below for the ‘modified RPM’ approach </w:t>
      </w:r>
      <w:r w:rsidR="00FA1D75">
        <w:rPr>
          <w:lang w:eastAsia="en-US"/>
        </w:rPr>
        <w:t xml:space="preserve">also </w:t>
      </w:r>
      <w:r w:rsidR="007C7C60">
        <w:rPr>
          <w:lang w:eastAsia="en-US"/>
        </w:rPr>
        <w:t>incorporate</w:t>
      </w:r>
      <w:r w:rsidR="008F2F5B">
        <w:rPr>
          <w:lang w:eastAsia="en-US"/>
        </w:rPr>
        <w:t xml:space="preserve"> </w:t>
      </w:r>
      <w:r w:rsidR="001E7C36" w:rsidRPr="00990E1D">
        <w:rPr>
          <w:lang w:eastAsia="en-US"/>
        </w:rPr>
        <w:t>the inclusion of exploration expenditure into the cost-plus calculation</w:t>
      </w:r>
      <w:r w:rsidR="008F2F5B" w:rsidRPr="00990E1D">
        <w:rPr>
          <w:lang w:eastAsia="en-US"/>
        </w:rPr>
        <w:t xml:space="preserve"> </w:t>
      </w:r>
      <w:r w:rsidR="009F14A5">
        <w:rPr>
          <w:lang w:eastAsia="en-US"/>
        </w:rPr>
        <w:t xml:space="preserve">and equalising the RPM split under both profit </w:t>
      </w:r>
      <w:r w:rsidR="009F14A5">
        <w:rPr>
          <w:lang w:eastAsia="en-US"/>
        </w:rPr>
        <w:lastRenderedPageBreak/>
        <w:t>and loss</w:t>
      </w:r>
      <w:r w:rsidR="008F2F5B" w:rsidRPr="00990E1D">
        <w:rPr>
          <w:lang w:eastAsia="en-US"/>
        </w:rPr>
        <w:t xml:space="preserve"> as recommended in this report</w:t>
      </w:r>
      <w:r w:rsidR="008F2F5B">
        <w:rPr>
          <w:lang w:eastAsia="en-US"/>
        </w:rPr>
        <w:t xml:space="preserve">. </w:t>
      </w:r>
      <w:r w:rsidR="001E1602">
        <w:rPr>
          <w:lang w:eastAsia="en-US"/>
        </w:rPr>
        <w:t xml:space="preserve">The modelling of a deductions </w:t>
      </w:r>
      <w:r w:rsidR="002948C1">
        <w:rPr>
          <w:lang w:eastAsia="en-US"/>
        </w:rPr>
        <w:t xml:space="preserve">cap </w:t>
      </w:r>
      <w:r w:rsidR="00B130B8">
        <w:rPr>
          <w:lang w:eastAsia="en-US"/>
        </w:rPr>
        <w:t>does not incorporate any of</w:t>
      </w:r>
      <w:r w:rsidR="001E7C36">
        <w:rPr>
          <w:lang w:eastAsia="en-US"/>
        </w:rPr>
        <w:t xml:space="preserve"> the </w:t>
      </w:r>
      <w:r w:rsidR="00D27016">
        <w:rPr>
          <w:lang w:eastAsia="en-US"/>
        </w:rPr>
        <w:t xml:space="preserve">other GTP recommendations that could be </w:t>
      </w:r>
      <w:r w:rsidR="002E30D4">
        <w:rPr>
          <w:lang w:eastAsia="en-US"/>
        </w:rPr>
        <w:t>implemented alongside a cap.</w:t>
      </w:r>
      <w:r w:rsidR="008F2F5B">
        <w:rPr>
          <w:lang w:eastAsia="en-US"/>
        </w:rPr>
        <w:t xml:space="preserve"> </w:t>
      </w:r>
      <w:r w:rsidR="00BA0C4A">
        <w:rPr>
          <w:lang w:eastAsia="en-US"/>
        </w:rPr>
        <w:t>The modelling</w:t>
      </w:r>
      <w:r w:rsidR="00765336">
        <w:rPr>
          <w:lang w:eastAsia="en-US"/>
        </w:rPr>
        <w:t xml:space="preserve"> covers five major offshore LNG projects and</w:t>
      </w:r>
      <w:r w:rsidR="00BA0C4A">
        <w:rPr>
          <w:lang w:eastAsia="en-US"/>
        </w:rPr>
        <w:t xml:space="preserve"> assumes that the changes </w:t>
      </w:r>
      <w:r w:rsidR="001B380C">
        <w:rPr>
          <w:lang w:eastAsia="en-US"/>
        </w:rPr>
        <w:t xml:space="preserve">to the GTP rules would </w:t>
      </w:r>
      <w:r w:rsidR="00BA0C4A">
        <w:rPr>
          <w:lang w:eastAsia="en-US"/>
        </w:rPr>
        <w:t>commence from 1 July 2024</w:t>
      </w:r>
      <w:r w:rsidR="00765336">
        <w:rPr>
          <w:lang w:eastAsia="en-US"/>
        </w:rPr>
        <w:t>.</w:t>
      </w:r>
    </w:p>
    <w:p w14:paraId="797903BF" w14:textId="1FBBFEAF" w:rsidR="00F64CA0" w:rsidRDefault="00BF1099" w:rsidP="00EA0AFB">
      <w:pPr>
        <w:rPr>
          <w:lang w:eastAsia="en-US"/>
        </w:rPr>
      </w:pPr>
      <w:r>
        <w:rPr>
          <w:lang w:eastAsia="en-US"/>
        </w:rPr>
        <w:t xml:space="preserve">Treasury modelling </w:t>
      </w:r>
      <w:r w:rsidR="0009375A">
        <w:rPr>
          <w:lang w:eastAsia="en-US"/>
        </w:rPr>
        <w:t>shows</w:t>
      </w:r>
      <w:r>
        <w:rPr>
          <w:lang w:eastAsia="en-US"/>
        </w:rPr>
        <w:t xml:space="preserve"> that </w:t>
      </w:r>
      <w:r w:rsidR="009E3F03">
        <w:rPr>
          <w:lang w:eastAsia="en-US"/>
        </w:rPr>
        <w:t xml:space="preserve">the </w:t>
      </w:r>
      <w:r w:rsidR="00531564">
        <w:rPr>
          <w:lang w:eastAsia="en-US"/>
        </w:rPr>
        <w:t xml:space="preserve">PRRT </w:t>
      </w:r>
      <w:r w:rsidR="0009375A">
        <w:rPr>
          <w:lang w:eastAsia="en-US"/>
        </w:rPr>
        <w:t xml:space="preserve">gains are higher </w:t>
      </w:r>
      <w:r w:rsidR="00963184">
        <w:rPr>
          <w:lang w:eastAsia="en-US"/>
        </w:rPr>
        <w:t xml:space="preserve">for a netback </w:t>
      </w:r>
      <w:r w:rsidR="00F8448B">
        <w:rPr>
          <w:lang w:eastAsia="en-US"/>
        </w:rPr>
        <w:t>only</w:t>
      </w:r>
      <w:r w:rsidR="00963184">
        <w:rPr>
          <w:lang w:eastAsia="en-US"/>
        </w:rPr>
        <w:t xml:space="preserve"> approach than for a </w:t>
      </w:r>
      <w:r w:rsidR="00F066C6">
        <w:rPr>
          <w:lang w:eastAsia="en-US"/>
        </w:rPr>
        <w:t>modified RPM</w:t>
      </w:r>
      <w:r w:rsidR="009E3F03">
        <w:rPr>
          <w:lang w:eastAsia="en-US"/>
        </w:rPr>
        <w:t xml:space="preserve"> </w:t>
      </w:r>
      <w:r w:rsidR="00EC751D">
        <w:rPr>
          <w:lang w:eastAsia="en-US"/>
        </w:rPr>
        <w:t xml:space="preserve">in </w:t>
      </w:r>
      <w:r w:rsidR="007E4BD0">
        <w:rPr>
          <w:lang w:eastAsia="en-US"/>
        </w:rPr>
        <w:t xml:space="preserve">a range of </w:t>
      </w:r>
      <w:r w:rsidR="00D74C5D">
        <w:rPr>
          <w:lang w:eastAsia="en-US"/>
        </w:rPr>
        <w:t xml:space="preserve">oil price </w:t>
      </w:r>
      <w:r w:rsidR="00EC751D">
        <w:rPr>
          <w:lang w:eastAsia="en-US"/>
        </w:rPr>
        <w:t>scenarios</w:t>
      </w:r>
      <w:r w:rsidR="00862875">
        <w:rPr>
          <w:lang w:eastAsia="en-US"/>
        </w:rPr>
        <w:t>.</w:t>
      </w:r>
      <w:r w:rsidR="00262A67">
        <w:rPr>
          <w:lang w:eastAsia="en-US"/>
        </w:rPr>
        <w:t xml:space="preserve"> </w:t>
      </w:r>
      <w:r w:rsidR="00E55A94">
        <w:rPr>
          <w:lang w:eastAsia="en-US"/>
        </w:rPr>
        <w:t xml:space="preserve">A </w:t>
      </w:r>
      <w:r w:rsidR="00A0263D">
        <w:rPr>
          <w:lang w:eastAsia="en-US"/>
        </w:rPr>
        <w:t>GTP</w:t>
      </w:r>
      <w:r w:rsidR="00E55A94">
        <w:rPr>
          <w:lang w:eastAsia="en-US"/>
        </w:rPr>
        <w:t xml:space="preserve"> change</w:t>
      </w:r>
      <w:r w:rsidR="00A0263D">
        <w:rPr>
          <w:lang w:eastAsia="en-US"/>
        </w:rPr>
        <w:t xml:space="preserve"> to netback only</w:t>
      </w:r>
      <w:r w:rsidR="00E55A94">
        <w:rPr>
          <w:lang w:eastAsia="en-US"/>
        </w:rPr>
        <w:t xml:space="preserve"> would </w:t>
      </w:r>
      <w:r w:rsidR="00913897">
        <w:rPr>
          <w:lang w:eastAsia="en-US"/>
        </w:rPr>
        <w:t>still</w:t>
      </w:r>
      <w:r w:rsidR="00C7550B">
        <w:rPr>
          <w:lang w:eastAsia="en-US"/>
        </w:rPr>
        <w:t xml:space="preserve"> mean that</w:t>
      </w:r>
      <w:r w:rsidR="007E2A9F">
        <w:rPr>
          <w:lang w:eastAsia="en-US"/>
        </w:rPr>
        <w:t xml:space="preserve"> existing projects</w:t>
      </w:r>
      <w:r w:rsidR="00C7550B">
        <w:rPr>
          <w:lang w:eastAsia="en-US"/>
        </w:rPr>
        <w:t xml:space="preserve"> do not pay PRRT until after they have</w:t>
      </w:r>
      <w:r w:rsidR="007E2A9F">
        <w:rPr>
          <w:lang w:eastAsia="en-US"/>
        </w:rPr>
        <w:t xml:space="preserve"> </w:t>
      </w:r>
      <w:r w:rsidR="000B56E5">
        <w:rPr>
          <w:lang w:eastAsia="en-US"/>
        </w:rPr>
        <w:t>r</w:t>
      </w:r>
      <w:r w:rsidR="00284CF4">
        <w:rPr>
          <w:lang w:eastAsia="en-US"/>
        </w:rPr>
        <w:t>eceived a m</w:t>
      </w:r>
      <w:r w:rsidR="00284CF4" w:rsidRPr="00284CF4">
        <w:rPr>
          <w:lang w:eastAsia="en-US"/>
        </w:rPr>
        <w:t>inimum return of 7-8</w:t>
      </w:r>
      <w:r w:rsidR="00286358">
        <w:rPr>
          <w:lang w:eastAsia="en-US"/>
        </w:rPr>
        <w:t xml:space="preserve"> per cent</w:t>
      </w:r>
      <w:r w:rsidR="00286358" w:rsidRPr="00284CF4">
        <w:rPr>
          <w:lang w:eastAsia="en-US"/>
        </w:rPr>
        <w:t xml:space="preserve"> </w:t>
      </w:r>
      <w:r w:rsidR="00284CF4" w:rsidRPr="00284CF4">
        <w:rPr>
          <w:lang w:eastAsia="en-US"/>
        </w:rPr>
        <w:t xml:space="preserve">on </w:t>
      </w:r>
      <w:r w:rsidR="007E32D4">
        <w:rPr>
          <w:lang w:eastAsia="en-US"/>
        </w:rPr>
        <w:t xml:space="preserve">total </w:t>
      </w:r>
      <w:r w:rsidR="00284CF4" w:rsidRPr="00284CF4">
        <w:rPr>
          <w:lang w:eastAsia="en-US"/>
        </w:rPr>
        <w:t>upstream</w:t>
      </w:r>
      <w:r w:rsidR="00630F35">
        <w:rPr>
          <w:lang w:eastAsia="en-US"/>
        </w:rPr>
        <w:t xml:space="preserve"> project spend (compounded annually)</w:t>
      </w:r>
      <w:r w:rsidR="00284CF4" w:rsidRPr="00284CF4">
        <w:rPr>
          <w:lang w:eastAsia="en-US"/>
        </w:rPr>
        <w:t xml:space="preserve"> </w:t>
      </w:r>
      <w:r w:rsidR="00284CF4">
        <w:rPr>
          <w:lang w:eastAsia="en-US"/>
        </w:rPr>
        <w:t>and a m</w:t>
      </w:r>
      <w:r w:rsidR="00284CF4" w:rsidRPr="00284CF4">
        <w:rPr>
          <w:lang w:eastAsia="en-US"/>
        </w:rPr>
        <w:t>inimum return of 9-10</w:t>
      </w:r>
      <w:r w:rsidR="00286358">
        <w:rPr>
          <w:lang w:eastAsia="en-US"/>
        </w:rPr>
        <w:t xml:space="preserve"> per cent</w:t>
      </w:r>
      <w:r w:rsidR="00286358" w:rsidRPr="00284CF4">
        <w:rPr>
          <w:lang w:eastAsia="en-US"/>
        </w:rPr>
        <w:t xml:space="preserve"> </w:t>
      </w:r>
      <w:r w:rsidR="00284CF4" w:rsidRPr="00284CF4">
        <w:rPr>
          <w:lang w:eastAsia="en-US"/>
        </w:rPr>
        <w:t>on downstream</w:t>
      </w:r>
      <w:r w:rsidR="00CF1B59">
        <w:rPr>
          <w:lang w:eastAsia="en-US"/>
        </w:rPr>
        <w:t xml:space="preserve">. </w:t>
      </w:r>
      <w:bookmarkStart w:id="57" w:name="_Hlk126580436"/>
    </w:p>
    <w:p w14:paraId="6DF4DA25" w14:textId="5BA96519" w:rsidR="00B37A0F" w:rsidRPr="003A3C99" w:rsidRDefault="00F4030C" w:rsidP="00F233CA">
      <w:r w:rsidRPr="003A3C99">
        <w:t>At the US$72.</w:t>
      </w:r>
      <w:r>
        <w:t>7</w:t>
      </w:r>
      <w:r w:rsidR="006277CC">
        <w:t>0</w:t>
      </w:r>
      <w:r w:rsidRPr="003A3C99">
        <w:t xml:space="preserve"> </w:t>
      </w:r>
      <w:r w:rsidR="000572CA">
        <w:t>per barrel</w:t>
      </w:r>
      <w:r w:rsidRPr="003A3C99">
        <w:t xml:space="preserve"> WTI oil price</w:t>
      </w:r>
      <w:r w:rsidR="00C27F2C">
        <w:t xml:space="preserve"> (indexed to CPI </w:t>
      </w:r>
      <w:r w:rsidR="009878C4">
        <w:t xml:space="preserve">beyond </w:t>
      </w:r>
      <w:r w:rsidR="006277CC">
        <w:t>2026-27</w:t>
      </w:r>
      <w:r w:rsidR="00C27F2C">
        <w:t>)</w:t>
      </w:r>
      <w:r w:rsidRPr="003A3C99">
        <w:t xml:space="preserve">, the </w:t>
      </w:r>
      <w:r w:rsidR="001E0936">
        <w:t>n</w:t>
      </w:r>
      <w:r w:rsidRPr="003A3C99">
        <w:t xml:space="preserve">etback </w:t>
      </w:r>
      <w:r w:rsidR="001875CE">
        <w:t xml:space="preserve">only </w:t>
      </w:r>
      <w:r w:rsidR="001E0936">
        <w:t xml:space="preserve">option </w:t>
      </w:r>
      <w:r w:rsidR="00B77C91">
        <w:t>is estimated to</w:t>
      </w:r>
      <w:r w:rsidR="0040008B">
        <w:t xml:space="preserve"> </w:t>
      </w:r>
      <w:r w:rsidR="00486F47">
        <w:t>raise an additional</w:t>
      </w:r>
      <w:r w:rsidR="008958C1" w:rsidRPr="003A3C99">
        <w:t xml:space="preserve"> $</w:t>
      </w:r>
      <w:r w:rsidR="00CA106D">
        <w:t>3.9</w:t>
      </w:r>
      <w:r w:rsidR="00CA106D" w:rsidRPr="003A3C99">
        <w:t xml:space="preserve"> </w:t>
      </w:r>
      <w:r w:rsidRPr="003A3C99">
        <w:t xml:space="preserve">billion </w:t>
      </w:r>
      <w:r w:rsidR="00E8566D">
        <w:t xml:space="preserve">in PRRT collections </w:t>
      </w:r>
      <w:r w:rsidRPr="003A3C99">
        <w:t xml:space="preserve">over the </w:t>
      </w:r>
      <w:r w:rsidR="00332C48">
        <w:t>period</w:t>
      </w:r>
      <w:r w:rsidRPr="003A3C99">
        <w:t xml:space="preserve"> to 2033</w:t>
      </w:r>
      <w:r w:rsidR="00AB4BED">
        <w:noBreakHyphen/>
      </w:r>
      <w:r w:rsidRPr="003A3C99">
        <w:t>34 and</w:t>
      </w:r>
      <w:r w:rsidR="0038213E" w:rsidRPr="003A3C99">
        <w:t xml:space="preserve"> </w:t>
      </w:r>
      <w:r w:rsidRPr="003A3C99">
        <w:t>$</w:t>
      </w:r>
      <w:r w:rsidR="008958C1" w:rsidRPr="003A3C99">
        <w:t>16</w:t>
      </w:r>
      <w:r w:rsidR="0038213E" w:rsidRPr="003A3C99">
        <w:t>.</w:t>
      </w:r>
      <w:r w:rsidR="0046287C">
        <w:t>3</w:t>
      </w:r>
      <w:r w:rsidR="00883F9D">
        <w:t> </w:t>
      </w:r>
      <w:r w:rsidR="00041994">
        <w:t>b</w:t>
      </w:r>
      <w:r w:rsidRPr="003A3C99">
        <w:t xml:space="preserve">illion </w:t>
      </w:r>
      <w:r w:rsidR="00EA663A">
        <w:t xml:space="preserve">over the </w:t>
      </w:r>
      <w:r w:rsidR="009A2B21">
        <w:t>period</w:t>
      </w:r>
      <w:r w:rsidR="00EA663A">
        <w:t xml:space="preserve"> to</w:t>
      </w:r>
      <w:r w:rsidRPr="003A3C99">
        <w:t xml:space="preserve"> 20</w:t>
      </w:r>
      <w:r w:rsidR="00844777">
        <w:t>49-</w:t>
      </w:r>
      <w:r w:rsidRPr="003A3C99">
        <w:t xml:space="preserve">50. </w:t>
      </w:r>
      <w:r w:rsidR="002F34D9">
        <w:t>By contrast,</w:t>
      </w:r>
      <w:r w:rsidR="002F34D9" w:rsidRPr="003A3C99">
        <w:t xml:space="preserve"> </w:t>
      </w:r>
      <w:r w:rsidRPr="003A3C99">
        <w:t xml:space="preserve">the revised RPM </w:t>
      </w:r>
      <w:r w:rsidR="00B77C91">
        <w:t>is estimated to</w:t>
      </w:r>
      <w:r w:rsidR="00B77C91" w:rsidRPr="003A3C99">
        <w:t xml:space="preserve"> </w:t>
      </w:r>
      <w:r w:rsidRPr="003A3C99">
        <w:t xml:space="preserve">raise </w:t>
      </w:r>
      <w:r w:rsidR="00CB78BB">
        <w:t xml:space="preserve">an additional </w:t>
      </w:r>
      <w:r w:rsidR="00071F9F" w:rsidRPr="003A3C99">
        <w:t>$</w:t>
      </w:r>
      <w:r w:rsidR="008958C1" w:rsidRPr="003A3C99">
        <w:t>2.</w:t>
      </w:r>
      <w:r w:rsidR="00411040">
        <w:t xml:space="preserve">4 </w:t>
      </w:r>
      <w:r w:rsidR="00041994">
        <w:t>b</w:t>
      </w:r>
      <w:r>
        <w:t>illion</w:t>
      </w:r>
      <w:r w:rsidRPr="003A3C99">
        <w:t xml:space="preserve"> </w:t>
      </w:r>
      <w:r w:rsidR="00B34C92">
        <w:t>in PRRT collections</w:t>
      </w:r>
      <w:r>
        <w:t xml:space="preserve"> </w:t>
      </w:r>
      <w:r w:rsidR="003737DA">
        <w:t xml:space="preserve">over the </w:t>
      </w:r>
      <w:r w:rsidR="006565C6">
        <w:t>period</w:t>
      </w:r>
      <w:r w:rsidR="003737DA" w:rsidDel="006565C6">
        <w:t xml:space="preserve"> </w:t>
      </w:r>
      <w:r w:rsidRPr="003A3C99">
        <w:t xml:space="preserve">to </w:t>
      </w:r>
      <w:r w:rsidR="00D93F61" w:rsidRPr="003A3C99">
        <w:t>2033-34 and $10</w:t>
      </w:r>
      <w:r w:rsidR="00CA106D">
        <w:t>.2</w:t>
      </w:r>
      <w:r w:rsidR="00D93F61" w:rsidRPr="003A3C99">
        <w:t xml:space="preserve"> </w:t>
      </w:r>
      <w:r w:rsidR="00041994">
        <w:t>b</w:t>
      </w:r>
      <w:r w:rsidR="00D93F61">
        <w:t>illion</w:t>
      </w:r>
      <w:r w:rsidR="00D93F61" w:rsidRPr="003A3C99">
        <w:t xml:space="preserve"> </w:t>
      </w:r>
      <w:r w:rsidR="00C556EE">
        <w:t>over the period to</w:t>
      </w:r>
      <w:r w:rsidR="003737DA" w:rsidRPr="003A3C99">
        <w:t xml:space="preserve"> </w:t>
      </w:r>
      <w:r w:rsidR="00D93F61" w:rsidRPr="003A3C99">
        <w:t>2049</w:t>
      </w:r>
      <w:r w:rsidR="00136226">
        <w:noBreakHyphen/>
      </w:r>
      <w:r w:rsidR="00D93F61" w:rsidRPr="003A3C99">
        <w:t>50</w:t>
      </w:r>
      <w:r w:rsidRPr="003A3C99">
        <w:t>.</w:t>
      </w:r>
      <w:r w:rsidR="00087244">
        <w:rPr>
          <w:rStyle w:val="FootnoteReference"/>
        </w:rPr>
        <w:footnoteReference w:id="84"/>
      </w:r>
      <w:r w:rsidR="00087244" w:rsidRPr="003A3C99">
        <w:t xml:space="preserve"> </w:t>
      </w:r>
    </w:p>
    <w:p w14:paraId="6D0F2A3A" w14:textId="76D49978" w:rsidR="00B37A0F" w:rsidRDefault="00B37A0F" w:rsidP="00B37A0F">
      <w:r>
        <w:t xml:space="preserve">At </w:t>
      </w:r>
      <w:r w:rsidR="002F7B31">
        <w:t>a</w:t>
      </w:r>
      <w:r w:rsidRPr="00DF50AA">
        <w:t xml:space="preserve"> lower oil price of US$</w:t>
      </w:r>
      <w:r w:rsidR="00087792">
        <w:t xml:space="preserve">62 </w:t>
      </w:r>
      <w:r w:rsidR="00E70B70" w:rsidRPr="00DF50AA">
        <w:t>per barrel</w:t>
      </w:r>
      <w:r w:rsidR="00E70B70">
        <w:t xml:space="preserve"> </w:t>
      </w:r>
      <w:r w:rsidR="00087792">
        <w:t>WTI</w:t>
      </w:r>
      <w:r w:rsidRPr="00DF50AA">
        <w:t xml:space="preserve"> </w:t>
      </w:r>
      <w:r w:rsidR="009878C4">
        <w:t xml:space="preserve">(indexed to CPI beyond </w:t>
      </w:r>
      <w:r w:rsidR="002F7B31">
        <w:t>2026-27</w:t>
      </w:r>
      <w:r w:rsidR="009878C4">
        <w:t>)</w:t>
      </w:r>
      <w:r w:rsidRPr="00DF50AA">
        <w:t xml:space="preserve">, </w:t>
      </w:r>
      <w:r w:rsidR="0011464E">
        <w:t>Treasury estimates</w:t>
      </w:r>
      <w:r w:rsidRPr="00DF50AA">
        <w:t xml:space="preserve"> there is </w:t>
      </w:r>
      <w:r w:rsidR="0091513E">
        <w:t>very little additional</w:t>
      </w:r>
      <w:r w:rsidRPr="00DF50AA">
        <w:t xml:space="preserve"> </w:t>
      </w:r>
      <w:r w:rsidR="00E8566D">
        <w:t>PRRT</w:t>
      </w:r>
      <w:r w:rsidR="00E8566D" w:rsidRPr="00DF50AA">
        <w:t xml:space="preserve"> </w:t>
      </w:r>
      <w:r w:rsidRPr="00DF50AA">
        <w:t xml:space="preserve">gain </w:t>
      </w:r>
      <w:r w:rsidR="001A1AAF">
        <w:t xml:space="preserve">over the </w:t>
      </w:r>
      <w:r w:rsidR="004A7733">
        <w:t xml:space="preserve">period </w:t>
      </w:r>
      <w:r w:rsidR="001E0936">
        <w:t>to 2033-34</w:t>
      </w:r>
      <w:r w:rsidR="00F71EC3">
        <w:t xml:space="preserve"> </w:t>
      </w:r>
      <w:r w:rsidRPr="00DF50AA">
        <w:t xml:space="preserve">from </w:t>
      </w:r>
      <w:r w:rsidR="008771FE">
        <w:t xml:space="preserve">changing </w:t>
      </w:r>
      <w:r w:rsidR="00510ECB">
        <w:t xml:space="preserve">to a </w:t>
      </w:r>
      <w:r w:rsidR="001E0936">
        <w:t>n</w:t>
      </w:r>
      <w:r w:rsidR="0012736C">
        <w:t>etback</w:t>
      </w:r>
      <w:r w:rsidR="003016F3">
        <w:t xml:space="preserve"> only approach</w:t>
      </w:r>
      <w:r w:rsidR="00F71EC3">
        <w:t>.</w:t>
      </w:r>
      <w:r w:rsidR="00087792">
        <w:t xml:space="preserve"> </w:t>
      </w:r>
      <w:r w:rsidR="00E641B7">
        <w:t>This is because t</w:t>
      </w:r>
      <w:r w:rsidRPr="00DF50AA">
        <w:t xml:space="preserve">he existing </w:t>
      </w:r>
      <w:r w:rsidR="00E641B7">
        <w:t xml:space="preserve">RPM </w:t>
      </w:r>
      <w:r w:rsidRPr="00DF50AA">
        <w:t xml:space="preserve">allows for the netback price to be used when it falls below the cost-plus price. Under the lower oil price scenario, most projects are assumed to be using a netback price </w:t>
      </w:r>
      <w:r w:rsidR="001334D4">
        <w:t xml:space="preserve">already and </w:t>
      </w:r>
      <w:r w:rsidRPr="00DF50AA">
        <w:t>so</w:t>
      </w:r>
      <w:r w:rsidR="002A420B">
        <w:t xml:space="preserve"> the</w:t>
      </w:r>
      <w:r w:rsidRPr="00DF50AA">
        <w:t xml:space="preserve"> change </w:t>
      </w:r>
      <w:r w:rsidR="002A420B">
        <w:t>to the netback</w:t>
      </w:r>
      <w:r w:rsidRPr="00DF50AA">
        <w:t xml:space="preserve"> </w:t>
      </w:r>
      <w:r w:rsidR="00631C37">
        <w:t>only approach</w:t>
      </w:r>
      <w:r w:rsidRPr="00DF50AA">
        <w:t xml:space="preserve"> raises </w:t>
      </w:r>
      <w:r w:rsidR="00307E7E">
        <w:t>negligible</w:t>
      </w:r>
      <w:r w:rsidR="002A420B">
        <w:t xml:space="preserve"> additional</w:t>
      </w:r>
      <w:r w:rsidRPr="00DF50AA">
        <w:t xml:space="preserve"> </w:t>
      </w:r>
      <w:r w:rsidR="00B34C92">
        <w:t>PRRT</w:t>
      </w:r>
      <w:r w:rsidR="00A07E24">
        <w:t xml:space="preserve">, </w:t>
      </w:r>
      <w:r w:rsidR="00C54BF1">
        <w:t>estimated to be</w:t>
      </w:r>
      <w:r w:rsidR="00A07E24">
        <w:t xml:space="preserve"> about $3.</w:t>
      </w:r>
      <w:r w:rsidR="00C378CD">
        <w:t xml:space="preserve">3 </w:t>
      </w:r>
      <w:r w:rsidR="00A07E24">
        <w:t xml:space="preserve">billion </w:t>
      </w:r>
      <w:r w:rsidR="00206F60">
        <w:t xml:space="preserve">over the period </w:t>
      </w:r>
      <w:r w:rsidR="00A07E24">
        <w:t>to 20</w:t>
      </w:r>
      <w:r w:rsidR="00161BD9">
        <w:t>49-</w:t>
      </w:r>
      <w:r w:rsidR="00A07E24">
        <w:t>50</w:t>
      </w:r>
      <w:r w:rsidR="00AD50EF">
        <w:t>.</w:t>
      </w:r>
      <w:r w:rsidR="008179C8">
        <w:t xml:space="preserve"> </w:t>
      </w:r>
      <w:r>
        <w:t>This is consistent with the assumptions in the current uplift rates and netback rate</w:t>
      </w:r>
      <w:r w:rsidR="00046C59">
        <w:t xml:space="preserve"> of return</w:t>
      </w:r>
      <w:r>
        <w:t xml:space="preserve"> for PRRT purposes that assume there are no rents to be taxed in a project that is generating lower returns.</w:t>
      </w:r>
    </w:p>
    <w:p w14:paraId="36058D15" w14:textId="03A4B045" w:rsidR="00A07E24" w:rsidRPr="003A3C99" w:rsidRDefault="0089324E" w:rsidP="00B37A0F">
      <w:r>
        <w:t>A</w:t>
      </w:r>
      <w:r w:rsidR="006220A6">
        <w:t>t this lower oil price</w:t>
      </w:r>
      <w:r w:rsidR="00F71EC3">
        <w:t>,</w:t>
      </w:r>
      <w:r w:rsidR="006220A6">
        <w:t xml:space="preserve"> the revised RPM </w:t>
      </w:r>
      <w:r w:rsidR="00B77C91">
        <w:t xml:space="preserve">is estimated to </w:t>
      </w:r>
      <w:r w:rsidR="006220A6">
        <w:t xml:space="preserve">raise </w:t>
      </w:r>
      <w:r w:rsidR="00D4262E">
        <w:t>very little</w:t>
      </w:r>
      <w:r w:rsidR="006220A6">
        <w:t xml:space="preserve"> </w:t>
      </w:r>
      <w:r w:rsidR="00B34C92">
        <w:t>additional</w:t>
      </w:r>
      <w:r w:rsidR="006220A6">
        <w:t xml:space="preserve"> </w:t>
      </w:r>
      <w:r w:rsidR="00B34C92">
        <w:t xml:space="preserve">PRRT </w:t>
      </w:r>
      <w:r w:rsidR="009C5F65">
        <w:t xml:space="preserve">over the </w:t>
      </w:r>
      <w:r w:rsidR="00197C08">
        <w:t>period</w:t>
      </w:r>
      <w:r w:rsidR="00CD5D39">
        <w:t xml:space="preserve"> </w:t>
      </w:r>
      <w:r w:rsidR="00ED0AD1">
        <w:t xml:space="preserve">to 2033-34 and </w:t>
      </w:r>
      <w:r w:rsidR="002B5B75">
        <w:t xml:space="preserve">approximately </w:t>
      </w:r>
      <w:r w:rsidR="00ED0AD1">
        <w:t>$6</w:t>
      </w:r>
      <w:r w:rsidR="00096E1F">
        <w:t>.2</w:t>
      </w:r>
      <w:r w:rsidR="00A647C7">
        <w:t> </w:t>
      </w:r>
      <w:r w:rsidR="00ED0AD1">
        <w:t xml:space="preserve">billion </w:t>
      </w:r>
      <w:r w:rsidR="00CD5D39">
        <w:t xml:space="preserve">over the period </w:t>
      </w:r>
      <w:r w:rsidR="00ED0AD1">
        <w:t xml:space="preserve">to </w:t>
      </w:r>
      <w:r w:rsidR="00357768">
        <w:t>2049-50</w:t>
      </w:r>
      <w:r w:rsidR="00963F29">
        <w:t>. This</w:t>
      </w:r>
      <w:r w:rsidR="003A121F">
        <w:t xml:space="preserve"> </w:t>
      </w:r>
      <w:r w:rsidR="006078E7">
        <w:t xml:space="preserve">is higher than the </w:t>
      </w:r>
      <w:r w:rsidR="00963F29">
        <w:t xml:space="preserve">estimated </w:t>
      </w:r>
      <w:r w:rsidR="00B34C92">
        <w:t>PRRT collections</w:t>
      </w:r>
      <w:r w:rsidR="00963F29">
        <w:t xml:space="preserve"> under </w:t>
      </w:r>
      <w:r w:rsidR="006078E7">
        <w:t xml:space="preserve">the </w:t>
      </w:r>
      <w:r w:rsidR="006078E7" w:rsidRPr="003A3C99">
        <w:t>netback</w:t>
      </w:r>
      <w:r w:rsidR="006078E7">
        <w:t xml:space="preserve"> only</w:t>
      </w:r>
      <w:r w:rsidR="006078E7" w:rsidRPr="003A3C99">
        <w:t xml:space="preserve"> </w:t>
      </w:r>
      <w:r w:rsidR="006078E7">
        <w:t>option</w:t>
      </w:r>
      <w:r w:rsidR="0091639A">
        <w:t xml:space="preserve"> </w:t>
      </w:r>
      <w:r w:rsidR="00357768">
        <w:t xml:space="preserve">as the </w:t>
      </w:r>
      <w:r w:rsidR="00DB684C">
        <w:t xml:space="preserve">shared losses under the revised </w:t>
      </w:r>
      <w:r w:rsidR="008653E1">
        <w:t>profit split</w:t>
      </w:r>
      <w:r w:rsidR="00AB6249">
        <w:t xml:space="preserve"> </w:t>
      </w:r>
      <w:r w:rsidR="00C36DB2">
        <w:t>results in higher gas transfer prices</w:t>
      </w:r>
      <w:r w:rsidR="00E26C9A" w:rsidRPr="003A3C99">
        <w:t>.</w:t>
      </w:r>
    </w:p>
    <w:bookmarkEnd w:id="57"/>
    <w:p w14:paraId="563982AC" w14:textId="56A41C2F" w:rsidR="00E26C9A" w:rsidRDefault="008437D5" w:rsidP="00B37A0F">
      <w:r w:rsidRPr="003A3C99">
        <w:t>Conversely, a</w:t>
      </w:r>
      <w:r w:rsidR="00CD19B8" w:rsidRPr="003A3C99">
        <w:t xml:space="preserve">t higher prices the </w:t>
      </w:r>
      <w:r w:rsidR="00832062">
        <w:t>n</w:t>
      </w:r>
      <w:r w:rsidR="00CD19B8" w:rsidRPr="003A3C99">
        <w:t xml:space="preserve">etback </w:t>
      </w:r>
      <w:r w:rsidR="00A463B6">
        <w:t xml:space="preserve">only approach </w:t>
      </w:r>
      <w:r w:rsidR="00D84954">
        <w:t>is estimated to</w:t>
      </w:r>
      <w:r w:rsidR="00D84954" w:rsidRPr="003A3C99">
        <w:t xml:space="preserve"> </w:t>
      </w:r>
      <w:r w:rsidR="00343814" w:rsidRPr="003A3C99">
        <w:t xml:space="preserve">result in higher </w:t>
      </w:r>
      <w:r w:rsidR="00165879">
        <w:t>PRRT collections</w:t>
      </w:r>
      <w:r w:rsidR="00343814" w:rsidRPr="003A3C99">
        <w:t xml:space="preserve"> over a longer period </w:t>
      </w:r>
      <w:r w:rsidR="00944163">
        <w:t>from these existing projects</w:t>
      </w:r>
      <w:r w:rsidR="00343814" w:rsidRPr="003A3C99">
        <w:t xml:space="preserve"> than a revised </w:t>
      </w:r>
      <w:r w:rsidR="001838E0">
        <w:t>RPM</w:t>
      </w:r>
      <w:r w:rsidR="000C4958" w:rsidRPr="003A3C99">
        <w:t xml:space="preserve">. </w:t>
      </w:r>
      <w:r w:rsidR="000106CB" w:rsidRPr="003A3C99">
        <w:t>In</w:t>
      </w:r>
      <w:r w:rsidR="00630EDA" w:rsidRPr="003A3C99">
        <w:t xml:space="preserve"> the US</w:t>
      </w:r>
      <w:r w:rsidR="00306054">
        <w:t>$</w:t>
      </w:r>
      <w:r w:rsidR="000106CB" w:rsidRPr="003A3C99">
        <w:t>92</w:t>
      </w:r>
      <w:r w:rsidR="00306054">
        <w:t xml:space="preserve"> per barrel</w:t>
      </w:r>
      <w:r w:rsidR="000106CB" w:rsidRPr="003A3C99">
        <w:t xml:space="preserve"> WTI </w:t>
      </w:r>
      <w:r w:rsidR="00306054">
        <w:t>oil price</w:t>
      </w:r>
      <w:r w:rsidR="000106CB" w:rsidRPr="003A3C99">
        <w:t xml:space="preserve"> scenario</w:t>
      </w:r>
      <w:r w:rsidR="00B34C92">
        <w:t xml:space="preserve"> (indexed to CPI beyond 2026-27)</w:t>
      </w:r>
      <w:r w:rsidR="000106CB">
        <w:t>,</w:t>
      </w:r>
      <w:r w:rsidR="000106CB" w:rsidRPr="003A3C99">
        <w:t xml:space="preserve"> the </w:t>
      </w:r>
      <w:r w:rsidR="00832062">
        <w:t>n</w:t>
      </w:r>
      <w:r w:rsidR="000106CB" w:rsidRPr="003A3C99">
        <w:t xml:space="preserve">etback </w:t>
      </w:r>
      <w:r w:rsidR="00306054">
        <w:t>only</w:t>
      </w:r>
      <w:r w:rsidR="000106CB" w:rsidRPr="003A3C99">
        <w:t xml:space="preserve"> approach </w:t>
      </w:r>
      <w:r w:rsidR="00B77C91">
        <w:t xml:space="preserve">is estimated to </w:t>
      </w:r>
      <w:r w:rsidR="00BB2D42" w:rsidRPr="003A3C99">
        <w:t xml:space="preserve">result in </w:t>
      </w:r>
      <w:r w:rsidR="002A420B">
        <w:t>an additional</w:t>
      </w:r>
      <w:r w:rsidR="00BB2D42" w:rsidRPr="003A3C99">
        <w:t xml:space="preserve"> </w:t>
      </w:r>
      <w:r w:rsidR="0014320F" w:rsidRPr="003A3C99">
        <w:t>$</w:t>
      </w:r>
      <w:r w:rsidR="0014320F">
        <w:t>2</w:t>
      </w:r>
      <w:r w:rsidR="00817BEE">
        <w:t>1.9</w:t>
      </w:r>
      <w:r w:rsidR="0014320F" w:rsidRPr="003A3C99">
        <w:t xml:space="preserve"> </w:t>
      </w:r>
      <w:r w:rsidR="00041994">
        <w:t>b</w:t>
      </w:r>
      <w:r w:rsidR="0014320F">
        <w:t>illion</w:t>
      </w:r>
      <w:r w:rsidR="0014320F" w:rsidRPr="003A3C99">
        <w:t xml:space="preserve"> </w:t>
      </w:r>
      <w:r w:rsidR="00B34C92">
        <w:t>of PRRT collections</w:t>
      </w:r>
      <w:r w:rsidR="0014320F" w:rsidRPr="003A3C99">
        <w:t xml:space="preserve"> </w:t>
      </w:r>
      <w:r w:rsidR="009C5F65">
        <w:t xml:space="preserve">over the </w:t>
      </w:r>
      <w:r w:rsidR="00127A78">
        <w:t>period</w:t>
      </w:r>
      <w:r w:rsidR="0014320F" w:rsidRPr="003A3C99">
        <w:t xml:space="preserve"> to 2033-34 and </w:t>
      </w:r>
      <w:r w:rsidR="001C5348" w:rsidRPr="003A3C99">
        <w:t>$48</w:t>
      </w:r>
      <w:r w:rsidR="0090461B">
        <w:t> </w:t>
      </w:r>
      <w:r w:rsidR="00041994">
        <w:t>b</w:t>
      </w:r>
      <w:r w:rsidR="001C5348">
        <w:t>illion</w:t>
      </w:r>
      <w:r w:rsidR="001C5348" w:rsidRPr="003A3C99">
        <w:t xml:space="preserve"> </w:t>
      </w:r>
      <w:r w:rsidR="00A4572A">
        <w:t xml:space="preserve">over the period </w:t>
      </w:r>
      <w:r w:rsidR="001C5348" w:rsidRPr="003A3C99">
        <w:t xml:space="preserve">to </w:t>
      </w:r>
      <w:r w:rsidR="00070C09" w:rsidRPr="003A3C99">
        <w:t>2049-50</w:t>
      </w:r>
      <w:r w:rsidR="00F14854">
        <w:t xml:space="preserve">, whereas </w:t>
      </w:r>
      <w:r w:rsidR="00324B7D" w:rsidRPr="003A3C99">
        <w:t xml:space="preserve">the revised RPM </w:t>
      </w:r>
      <w:r w:rsidR="00B77C91">
        <w:t>is estimated</w:t>
      </w:r>
      <w:r w:rsidR="00B77C91" w:rsidRPr="003A3C99">
        <w:t xml:space="preserve"> </w:t>
      </w:r>
      <w:r w:rsidR="00E67395">
        <w:t xml:space="preserve">to </w:t>
      </w:r>
      <w:r w:rsidR="00324B7D" w:rsidRPr="003A3C99">
        <w:t>result in</w:t>
      </w:r>
      <w:r w:rsidR="00B30E9D" w:rsidRPr="003A3C99">
        <w:t xml:space="preserve"> </w:t>
      </w:r>
      <w:r w:rsidR="002A420B">
        <w:t>an additional</w:t>
      </w:r>
      <w:r w:rsidR="00324B7D" w:rsidRPr="003A3C99">
        <w:t xml:space="preserve"> </w:t>
      </w:r>
      <w:r w:rsidR="00B30E9D" w:rsidRPr="003A3C99">
        <w:t>$13.</w:t>
      </w:r>
      <w:r w:rsidR="00F24F33">
        <w:t>3</w:t>
      </w:r>
      <w:r w:rsidR="00B34C92">
        <w:t> </w:t>
      </w:r>
      <w:r w:rsidR="00041994">
        <w:t>b</w:t>
      </w:r>
      <w:r w:rsidR="00B30E9D">
        <w:t>illion</w:t>
      </w:r>
      <w:r w:rsidR="00B30E9D" w:rsidRPr="003A3C99">
        <w:t xml:space="preserve"> </w:t>
      </w:r>
      <w:r w:rsidR="00B34C92">
        <w:t>of PRRT collections</w:t>
      </w:r>
      <w:r w:rsidR="00B30E9D">
        <w:t xml:space="preserve"> </w:t>
      </w:r>
      <w:r w:rsidR="009C5F65">
        <w:t xml:space="preserve">over the </w:t>
      </w:r>
      <w:r w:rsidR="00FA5AC0">
        <w:t>period</w:t>
      </w:r>
      <w:r w:rsidR="006342A3">
        <w:t xml:space="preserve"> </w:t>
      </w:r>
      <w:r w:rsidR="00B30E9D" w:rsidRPr="003A3C99">
        <w:t xml:space="preserve">to 2033-34 and </w:t>
      </w:r>
      <w:r w:rsidR="00C52962" w:rsidRPr="003A3C99">
        <w:t>$</w:t>
      </w:r>
      <w:r w:rsidR="00E97D88" w:rsidRPr="003A3C99">
        <w:t>26</w:t>
      </w:r>
      <w:r w:rsidR="00C52962" w:rsidRPr="003A3C99">
        <w:t>.</w:t>
      </w:r>
      <w:r w:rsidR="00F24F33">
        <w:t>4</w:t>
      </w:r>
      <w:r w:rsidR="00B34C92">
        <w:t> </w:t>
      </w:r>
      <w:r w:rsidR="00041994">
        <w:t>b</w:t>
      </w:r>
      <w:r w:rsidR="00C52962">
        <w:t>illion</w:t>
      </w:r>
      <w:r w:rsidR="00C52962" w:rsidRPr="003A3C99">
        <w:t xml:space="preserve"> </w:t>
      </w:r>
      <w:r w:rsidR="00590905">
        <w:t xml:space="preserve">over the </w:t>
      </w:r>
      <w:r w:rsidR="00A54813">
        <w:t xml:space="preserve">period </w:t>
      </w:r>
      <w:r w:rsidR="00C52962" w:rsidRPr="003A3C99">
        <w:t>to 2049</w:t>
      </w:r>
      <w:r w:rsidR="00105E9A">
        <w:noBreakHyphen/>
      </w:r>
      <w:r w:rsidR="00C52962" w:rsidRPr="003A3C99">
        <w:t>50</w:t>
      </w:r>
      <w:r w:rsidR="001C4F1C">
        <w:t>,</w:t>
      </w:r>
      <w:r w:rsidR="001122CD" w:rsidRPr="003A3C99">
        <w:t xml:space="preserve"> reflecting a lower attribution of residual profits to the upstream when prices are high</w:t>
      </w:r>
      <w:r w:rsidR="003F1D74">
        <w:t xml:space="preserve"> (relative to the netback</w:t>
      </w:r>
      <w:r w:rsidR="00590EEC">
        <w:t xml:space="preserve"> back only approach</w:t>
      </w:r>
      <w:r w:rsidR="003F1D74">
        <w:t>)</w:t>
      </w:r>
      <w:r w:rsidR="003A3C99" w:rsidRPr="003A3C99">
        <w:t>.</w:t>
      </w:r>
    </w:p>
    <w:p w14:paraId="016CEBBE" w14:textId="0C0BE4B2" w:rsidR="00574EAE" w:rsidRDefault="00526844" w:rsidP="006E17D3">
      <w:r>
        <w:t xml:space="preserve">Treasury’s assessment is that </w:t>
      </w:r>
      <w:r w:rsidR="005C42A2">
        <w:t xml:space="preserve">existing </w:t>
      </w:r>
      <w:r w:rsidR="000C554A">
        <w:t xml:space="preserve">projects will </w:t>
      </w:r>
      <w:r w:rsidR="002847F2">
        <w:t xml:space="preserve">not become uneconomic as a </w:t>
      </w:r>
      <w:r w:rsidR="004F69DB">
        <w:t>result of either cha</w:t>
      </w:r>
      <w:r w:rsidR="0018611E">
        <w:t>n</w:t>
      </w:r>
      <w:r w:rsidR="004F69DB">
        <w:t xml:space="preserve">ge to the GTP </w:t>
      </w:r>
      <w:r w:rsidR="00145264">
        <w:t>R</w:t>
      </w:r>
      <w:r w:rsidR="007F7E3B">
        <w:t xml:space="preserve">egulation. </w:t>
      </w:r>
      <w:r w:rsidR="008C49C7">
        <w:t>Existing projects are continuing to operate at returns lower than industry expected when they invested</w:t>
      </w:r>
      <w:r w:rsidR="00471ADD">
        <w:t>.</w:t>
      </w:r>
      <w:r w:rsidR="007F7E3B">
        <w:t xml:space="preserve"> </w:t>
      </w:r>
      <w:r w:rsidR="00E23595">
        <w:t>Most e</w:t>
      </w:r>
      <w:r w:rsidR="007F7E3B">
        <w:t xml:space="preserve">xisting projects are not expected to pay PRRT </w:t>
      </w:r>
      <w:r w:rsidR="008609E1">
        <w:t>for a number of years</w:t>
      </w:r>
      <w:r w:rsidR="00F16A65">
        <w:t>,</w:t>
      </w:r>
      <w:r w:rsidR="008609E1">
        <w:t xml:space="preserve"> even with the changes</w:t>
      </w:r>
      <w:r w:rsidR="00F16A65">
        <w:t>,</w:t>
      </w:r>
      <w:r w:rsidR="00471ADD">
        <w:t xml:space="preserve"> and</w:t>
      </w:r>
      <w:r w:rsidR="008609E1">
        <w:t xml:space="preserve"> are only likely to pay </w:t>
      </w:r>
      <w:r w:rsidR="00471ADD">
        <w:t xml:space="preserve">PRRT </w:t>
      </w:r>
      <w:r w:rsidR="00833F52">
        <w:t>if they become more profi</w:t>
      </w:r>
      <w:r w:rsidR="00475845">
        <w:t xml:space="preserve">table </w:t>
      </w:r>
      <w:r w:rsidR="007F2829">
        <w:t xml:space="preserve">over the long term. Existing projects are likely to make a range of investment </w:t>
      </w:r>
      <w:r w:rsidR="00471ADD">
        <w:t>decisions</w:t>
      </w:r>
      <w:r w:rsidR="007F2829">
        <w:t xml:space="preserve"> over the next few years to </w:t>
      </w:r>
      <w:r w:rsidR="00FE10D1">
        <w:t xml:space="preserve">ensure </w:t>
      </w:r>
      <w:r w:rsidR="002B7FD0">
        <w:t>stable</w:t>
      </w:r>
      <w:r w:rsidR="00FE10D1">
        <w:t xml:space="preserve"> supply to their LNG plants</w:t>
      </w:r>
      <w:r w:rsidR="00392E04">
        <w:t xml:space="preserve">. </w:t>
      </w:r>
      <w:r w:rsidR="00410567">
        <w:t xml:space="preserve">The </w:t>
      </w:r>
      <w:r w:rsidR="004A0686">
        <w:t>recommendations</w:t>
      </w:r>
      <w:r w:rsidR="00410567">
        <w:t xml:space="preserve"> in this report </w:t>
      </w:r>
      <w:r w:rsidR="004A0686">
        <w:t xml:space="preserve">on </w:t>
      </w:r>
      <w:r w:rsidR="004A0686">
        <w:lastRenderedPageBreak/>
        <w:t xml:space="preserve">tolling and combinations </w:t>
      </w:r>
      <w:r w:rsidR="00410567">
        <w:t xml:space="preserve">seek to ensure that those </w:t>
      </w:r>
      <w:r w:rsidR="00F671FF">
        <w:t xml:space="preserve">decisions </w:t>
      </w:r>
      <w:r w:rsidR="004A0686">
        <w:t xml:space="preserve">are made on the best </w:t>
      </w:r>
      <w:r w:rsidR="004A0686" w:rsidRPr="00F16A65">
        <w:rPr>
          <w:i/>
          <w:iCs/>
        </w:rPr>
        <w:t>economic</w:t>
      </w:r>
      <w:r w:rsidR="004A0686">
        <w:t xml:space="preserve"> case for development rather than the best </w:t>
      </w:r>
      <w:r w:rsidR="004A0686" w:rsidRPr="00F16A65">
        <w:rPr>
          <w:i/>
          <w:iCs/>
        </w:rPr>
        <w:t xml:space="preserve">tax </w:t>
      </w:r>
      <w:r w:rsidR="004A0686">
        <w:t>case for investment.</w:t>
      </w:r>
    </w:p>
    <w:p w14:paraId="61EFB363" w14:textId="09B9E4F2" w:rsidR="00526B0D" w:rsidRDefault="00526B0D" w:rsidP="006E17D3">
      <w:r>
        <w:t xml:space="preserve">Treasury modelling shows that a deductions cap option is expected to bring forward PRRT receipts </w:t>
      </w:r>
      <w:r w:rsidR="002F6085">
        <w:t>relati</w:t>
      </w:r>
      <w:r w:rsidR="00961751">
        <w:t>ve</w:t>
      </w:r>
      <w:r w:rsidR="002F6085">
        <w:t xml:space="preserve"> to the</w:t>
      </w:r>
      <w:r>
        <w:t xml:space="preserve"> baseline under each oil price scenario, particularly over the period to 2033-34. Consistent with the intent of the deductions cap, longer term impacts to 2049-50 are lower compared with the changes to the GTP arrangements, but PRRT receipts are still higher compared to the baseline over this period. For most LNG projects the deductions cap operates as a bring forward of PRRT, while for some others it </w:t>
      </w:r>
      <w:r w:rsidR="002A0CA0">
        <w:t xml:space="preserve">may </w:t>
      </w:r>
      <w:r>
        <w:t>represent a minimum payment to the Australian community for the natural resource.</w:t>
      </w:r>
      <w:r w:rsidDel="00526B0D">
        <w:t xml:space="preserve"> </w:t>
      </w:r>
    </w:p>
    <w:p w14:paraId="77BFC90F" w14:textId="254DEA19" w:rsidR="00F50DCA" w:rsidRDefault="00C24518" w:rsidP="00F50DCA">
      <w:r w:rsidRPr="003C4D7C">
        <w:t xml:space="preserve">A deductions cap would begin generating PRRT receipts immediately. </w:t>
      </w:r>
      <w:r w:rsidR="00F50DCA">
        <w:t xml:space="preserve">At the US$72.70 per barrel WTI oil price (indexed to CPI beyond 2026-27), </w:t>
      </w:r>
      <w:r w:rsidRPr="003C4D7C">
        <w:t>it</w:t>
      </w:r>
      <w:r w:rsidR="00F16A65">
        <w:t xml:space="preserve"> is</w:t>
      </w:r>
      <w:r w:rsidR="00F50DCA">
        <w:t xml:space="preserve"> estimated to raise</w:t>
      </w:r>
      <w:r w:rsidR="00E53477">
        <w:t xml:space="preserve"> </w:t>
      </w:r>
      <w:r w:rsidR="002573C4">
        <w:t>an additional $</w:t>
      </w:r>
      <w:r w:rsidR="00A82C25">
        <w:t>7</w:t>
      </w:r>
      <w:r w:rsidR="00F50DCA">
        <w:t xml:space="preserve"> billion over the </w:t>
      </w:r>
      <w:r w:rsidR="008B0DC0">
        <w:t>period</w:t>
      </w:r>
      <w:r w:rsidR="00F50DCA">
        <w:t xml:space="preserve"> to 2033</w:t>
      </w:r>
      <w:r w:rsidR="00A82C25">
        <w:t>-</w:t>
      </w:r>
      <w:r w:rsidR="00F50DCA">
        <w:t>34 and $3</w:t>
      </w:r>
      <w:r w:rsidR="00647E07">
        <w:t>.7</w:t>
      </w:r>
      <w:r w:rsidR="00975D7C">
        <w:t> </w:t>
      </w:r>
      <w:r w:rsidR="00F50DCA">
        <w:t xml:space="preserve">billion </w:t>
      </w:r>
      <w:r w:rsidR="002B1CD0">
        <w:t xml:space="preserve">in total </w:t>
      </w:r>
      <w:r w:rsidR="009166D8">
        <w:t xml:space="preserve">over the </w:t>
      </w:r>
      <w:r w:rsidR="00AA44AC">
        <w:t>period</w:t>
      </w:r>
      <w:r w:rsidR="009166D8">
        <w:t xml:space="preserve"> to</w:t>
      </w:r>
      <w:r w:rsidR="00F50DCA">
        <w:t xml:space="preserve"> 2049-50.</w:t>
      </w:r>
      <w:r w:rsidR="00D56BB4">
        <w:rPr>
          <w:rStyle w:val="FootnoteReference"/>
        </w:rPr>
        <w:footnoteReference w:id="85"/>
      </w:r>
      <w:r w:rsidR="00F50DCA">
        <w:t xml:space="preserve"> </w:t>
      </w:r>
    </w:p>
    <w:p w14:paraId="2FE239B1" w14:textId="07619BD0" w:rsidR="008871D9" w:rsidRDefault="00F50DCA" w:rsidP="00F50DCA">
      <w:r>
        <w:t xml:space="preserve">At a lower oil price of US$62 per barrel WTI (indexed to CPI beyond 2026-27), Treasury estimates </w:t>
      </w:r>
      <w:r w:rsidR="00F20EAD">
        <w:t>a</w:t>
      </w:r>
      <w:r w:rsidR="00144D5F">
        <w:t>n additional</w:t>
      </w:r>
      <w:r w:rsidR="00F20EAD">
        <w:t xml:space="preserve"> $</w:t>
      </w:r>
      <w:r w:rsidR="00624020">
        <w:t xml:space="preserve">8.1 billion gain to </w:t>
      </w:r>
      <w:r w:rsidR="00230546">
        <w:t>PRRT</w:t>
      </w:r>
      <w:r w:rsidR="00624020">
        <w:t xml:space="preserve"> </w:t>
      </w:r>
      <w:r w:rsidR="00D24C63">
        <w:t>receipts</w:t>
      </w:r>
      <w:r w:rsidR="006477E2">
        <w:t xml:space="preserve"> </w:t>
      </w:r>
      <w:r w:rsidR="00500B17">
        <w:t xml:space="preserve">over the </w:t>
      </w:r>
      <w:r w:rsidR="00823C46">
        <w:t>period</w:t>
      </w:r>
      <w:r w:rsidR="00F1696F">
        <w:t xml:space="preserve"> </w:t>
      </w:r>
      <w:r w:rsidR="006477E2">
        <w:t xml:space="preserve">to 2033-34. </w:t>
      </w:r>
      <w:r>
        <w:t>This is because</w:t>
      </w:r>
      <w:r w:rsidR="00D20B1A">
        <w:t>, at lower prices,</w:t>
      </w:r>
      <w:r>
        <w:t xml:space="preserve"> the </w:t>
      </w:r>
      <w:r w:rsidR="006477E2">
        <w:t xml:space="preserve">deductions cap will bring forward PRRT </w:t>
      </w:r>
      <w:r w:rsidR="00D24C63">
        <w:t>receipts</w:t>
      </w:r>
      <w:r w:rsidR="006477E2">
        <w:t xml:space="preserve"> </w:t>
      </w:r>
      <w:r w:rsidR="00D20B1A">
        <w:t xml:space="preserve">from </w:t>
      </w:r>
      <w:r w:rsidR="008C5076">
        <w:t>projects not expected to pay substantial PRRT over the medium term</w:t>
      </w:r>
      <w:r w:rsidR="006477E2">
        <w:t>. Over the longer term</w:t>
      </w:r>
      <w:r w:rsidR="00C86C47">
        <w:t xml:space="preserve"> to 2049-50</w:t>
      </w:r>
      <w:r w:rsidR="008441FF">
        <w:t>,</w:t>
      </w:r>
      <w:r w:rsidR="00C86C47">
        <w:t xml:space="preserve"> there is</w:t>
      </w:r>
      <w:r w:rsidR="00D63EDC">
        <w:t xml:space="preserve"> a </w:t>
      </w:r>
      <w:r w:rsidR="00F16A65">
        <w:t>s</w:t>
      </w:r>
      <w:r w:rsidR="004D37B5">
        <w:t>maller</w:t>
      </w:r>
      <w:r w:rsidR="00F16A65">
        <w:t xml:space="preserve"> </w:t>
      </w:r>
      <w:r w:rsidR="00CF323F">
        <w:t xml:space="preserve">increase in PRRT </w:t>
      </w:r>
      <w:r w:rsidR="00D24C63">
        <w:t>receipts</w:t>
      </w:r>
      <w:r w:rsidR="00AE57A8">
        <w:t xml:space="preserve"> </w:t>
      </w:r>
      <w:r w:rsidR="001906BD">
        <w:t>(</w:t>
      </w:r>
      <w:r w:rsidR="00AE57A8">
        <w:t>$3.0 billion in total</w:t>
      </w:r>
      <w:r w:rsidR="001906BD">
        <w:t>)</w:t>
      </w:r>
      <w:r w:rsidR="00CF323F">
        <w:t>, compared</w:t>
      </w:r>
      <w:r w:rsidR="00D63EDC">
        <w:t xml:space="preserve"> </w:t>
      </w:r>
      <w:r w:rsidR="001A71F2">
        <w:t>with</w:t>
      </w:r>
      <w:r w:rsidR="00D63EDC">
        <w:t xml:space="preserve"> the </w:t>
      </w:r>
      <w:r w:rsidR="0047505F">
        <w:t xml:space="preserve">central </w:t>
      </w:r>
      <w:r w:rsidR="00D63EDC">
        <w:t>US</w:t>
      </w:r>
      <w:r w:rsidR="00A33DD0">
        <w:t>$72.70</w:t>
      </w:r>
      <w:r w:rsidR="00803824">
        <w:t xml:space="preserve"> per barrel WTI oil price</w:t>
      </w:r>
      <w:r w:rsidR="00A33DD0">
        <w:t xml:space="preserve"> scenario.</w:t>
      </w:r>
    </w:p>
    <w:p w14:paraId="256316E6" w14:textId="70DA1C00" w:rsidR="00117FC1" w:rsidRDefault="00117FC1" w:rsidP="00F50DCA">
      <w:r>
        <w:t>At higher prices</w:t>
      </w:r>
      <w:r w:rsidR="00F37302">
        <w:t>,</w:t>
      </w:r>
      <w:r>
        <w:t xml:space="preserve"> the deductions cap</w:t>
      </w:r>
      <w:r w:rsidRPr="00117FC1">
        <w:t xml:space="preserve"> is estimated to result in </w:t>
      </w:r>
      <w:r w:rsidR="00CF323F">
        <w:t xml:space="preserve">less of an increase in </w:t>
      </w:r>
      <w:r w:rsidRPr="00117FC1">
        <w:t xml:space="preserve">PRRT </w:t>
      </w:r>
      <w:r w:rsidR="005D45D8">
        <w:t>receipts</w:t>
      </w:r>
      <w:r w:rsidRPr="00117FC1">
        <w:t xml:space="preserve"> over </w:t>
      </w:r>
      <w:r>
        <w:t>the medium term</w:t>
      </w:r>
      <w:r w:rsidR="006D0C6B">
        <w:t xml:space="preserve"> </w:t>
      </w:r>
      <w:r w:rsidR="001055DD">
        <w:t xml:space="preserve">compared </w:t>
      </w:r>
      <w:r w:rsidR="00932E7C">
        <w:t>with</w:t>
      </w:r>
      <w:r w:rsidR="006D0C6B">
        <w:t xml:space="preserve"> the lower and central price scenarios. This is because</w:t>
      </w:r>
      <w:r w:rsidR="00F80B34">
        <w:t>, under current arrangements,</w:t>
      </w:r>
      <w:r w:rsidR="00E51C67">
        <w:t xml:space="preserve"> projects will pay PRRT earlier under a higher </w:t>
      </w:r>
      <w:r w:rsidR="00F80B34">
        <w:t>oil price, and hence</w:t>
      </w:r>
      <w:r w:rsidR="006D0C6B">
        <w:t xml:space="preserve"> the cap has less of a role to play in bringing PRRT revenues forward. </w:t>
      </w:r>
      <w:r w:rsidRPr="00117FC1">
        <w:t xml:space="preserve">In the US$92 per barrel WTI oil price scenario (indexed to CPI beyond 2026-27), </w:t>
      </w:r>
      <w:r w:rsidRPr="00ED42B8">
        <w:t xml:space="preserve">the </w:t>
      </w:r>
      <w:r w:rsidR="006D0C6B" w:rsidRPr="00ED42B8">
        <w:t>deductions cap</w:t>
      </w:r>
      <w:r w:rsidRPr="00ED42B8">
        <w:t xml:space="preserve"> is estimated to </w:t>
      </w:r>
      <w:r w:rsidR="00D766C0" w:rsidRPr="00ED42B8">
        <w:t>raise</w:t>
      </w:r>
      <w:r w:rsidRPr="00ED42B8">
        <w:t xml:space="preserve"> an additional</w:t>
      </w:r>
      <w:r w:rsidR="009E22EF" w:rsidRPr="00ED42B8">
        <w:t xml:space="preserve"> </w:t>
      </w:r>
      <w:r w:rsidR="009E22EF" w:rsidRPr="00117FC1">
        <w:t>$</w:t>
      </w:r>
      <w:r w:rsidR="006D0C6B">
        <w:t>5.6</w:t>
      </w:r>
      <w:r w:rsidRPr="00117FC1">
        <w:t xml:space="preserve"> billion</w:t>
      </w:r>
      <w:r w:rsidR="00ED42B8">
        <w:t xml:space="preserve"> in PRRT receipts</w:t>
      </w:r>
      <w:r w:rsidRPr="00117FC1">
        <w:t xml:space="preserve"> </w:t>
      </w:r>
      <w:r w:rsidR="00D61CBD">
        <w:t xml:space="preserve">over the </w:t>
      </w:r>
      <w:r w:rsidR="0025702F">
        <w:t>period</w:t>
      </w:r>
      <w:r w:rsidR="00034177">
        <w:t xml:space="preserve"> </w:t>
      </w:r>
      <w:r w:rsidRPr="00117FC1">
        <w:t>to 2033-34 and $</w:t>
      </w:r>
      <w:r w:rsidR="006D0C6B">
        <w:t>3.</w:t>
      </w:r>
      <w:r w:rsidRPr="00117FC1">
        <w:t xml:space="preserve">8 billion </w:t>
      </w:r>
      <w:r w:rsidR="009166D8">
        <w:t xml:space="preserve">over the long term </w:t>
      </w:r>
      <w:r w:rsidRPr="00117FC1">
        <w:t>to 2049-50</w:t>
      </w:r>
      <w:r w:rsidR="006D0C6B">
        <w:t>.</w:t>
      </w:r>
    </w:p>
    <w:p w14:paraId="3BB5AEC1" w14:textId="79794FA8" w:rsidR="008871D9" w:rsidRDefault="00FB4763" w:rsidP="00572222">
      <w:pPr>
        <w:pStyle w:val="Heading4"/>
      </w:pPr>
      <w:r>
        <w:t>Table 8.1</w:t>
      </w:r>
      <w:r w:rsidR="00293823" w:rsidDel="0091770E">
        <w:t xml:space="preserve"> </w:t>
      </w:r>
      <w:r w:rsidR="008871D9">
        <w:t xml:space="preserve">Estimated change in PRRT receipts from five major offshore LNG projects </w:t>
      </w:r>
    </w:p>
    <w:tbl>
      <w:tblPr>
        <w:tblStyle w:val="PlainTable1"/>
        <w:tblW w:w="9067" w:type="dxa"/>
        <w:tblLook w:val="04A0" w:firstRow="1" w:lastRow="0" w:firstColumn="1" w:lastColumn="0" w:noHBand="0" w:noVBand="1"/>
      </w:tblPr>
      <w:tblGrid>
        <w:gridCol w:w="1535"/>
        <w:gridCol w:w="1437"/>
        <w:gridCol w:w="2031"/>
        <w:gridCol w:w="2032"/>
        <w:gridCol w:w="2032"/>
      </w:tblGrid>
      <w:tr w:rsidR="00390A86" w14:paraId="10C5AE9B" w14:textId="77777777" w:rsidTr="00977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shd w:val="clear" w:color="auto" w:fill="BCD2F6" w:themeFill="accent5" w:themeFillTint="99"/>
          </w:tcPr>
          <w:p w14:paraId="044D1BAF" w14:textId="77777777" w:rsidR="00390A86" w:rsidRDefault="00390A86" w:rsidP="00256A7B"/>
        </w:tc>
        <w:tc>
          <w:tcPr>
            <w:tcW w:w="1437" w:type="dxa"/>
            <w:shd w:val="clear" w:color="auto" w:fill="BCD2F6" w:themeFill="accent5" w:themeFillTint="99"/>
          </w:tcPr>
          <w:p w14:paraId="1D2BAFC4" w14:textId="77777777" w:rsidR="00390A86" w:rsidRDefault="00390A86" w:rsidP="000D4AB1">
            <w:pPr>
              <w:jc w:val="center"/>
              <w:cnfStyle w:val="100000000000" w:firstRow="1" w:lastRow="0" w:firstColumn="0" w:lastColumn="0" w:oddVBand="0" w:evenVBand="0" w:oddHBand="0" w:evenHBand="0" w:firstRowFirstColumn="0" w:firstRowLastColumn="0" w:lastRowFirstColumn="0" w:lastRowLastColumn="0"/>
            </w:pPr>
            <w:r>
              <w:t>Oil Price</w:t>
            </w:r>
          </w:p>
        </w:tc>
        <w:tc>
          <w:tcPr>
            <w:tcW w:w="6095" w:type="dxa"/>
            <w:gridSpan w:val="3"/>
            <w:shd w:val="clear" w:color="auto" w:fill="BCD2F6" w:themeFill="accent5" w:themeFillTint="99"/>
          </w:tcPr>
          <w:p w14:paraId="7097F602" w14:textId="1458ACDC" w:rsidR="00390A86" w:rsidRDefault="00867A7F" w:rsidP="00256A7B">
            <w:pPr>
              <w:jc w:val="center"/>
              <w:cnfStyle w:val="100000000000" w:firstRow="1" w:lastRow="0" w:firstColumn="0" w:lastColumn="0" w:oddVBand="0" w:evenVBand="0" w:oddHBand="0" w:evenHBand="0" w:firstRowFirstColumn="0" w:firstRowLastColumn="0" w:lastRowFirstColumn="0" w:lastRowLastColumn="0"/>
            </w:pPr>
            <w:r>
              <w:t xml:space="preserve">Policy option </w:t>
            </w:r>
            <w:r w:rsidR="008407FE" w:rsidRPr="00275657">
              <w:t xml:space="preserve">(impact </w:t>
            </w:r>
            <w:r w:rsidR="00521AB6" w:rsidRPr="00275657">
              <w:t>on PRRT receipts</w:t>
            </w:r>
            <w:r w:rsidR="00275657">
              <w:rPr>
                <w:b w:val="0"/>
                <w:bCs w:val="0"/>
              </w:rPr>
              <w:t>*</w:t>
            </w:r>
            <w:r w:rsidR="00521AB6" w:rsidRPr="00275657">
              <w:t xml:space="preserve"> </w:t>
            </w:r>
            <w:r w:rsidR="008407FE" w:rsidRPr="00275657">
              <w:t>to 2033-34</w:t>
            </w:r>
            <w:r w:rsidR="00521AB6" w:rsidRPr="00275657">
              <w:t>, $m</w:t>
            </w:r>
            <w:r w:rsidR="008407FE" w:rsidRPr="00275657">
              <w:t>)</w:t>
            </w:r>
          </w:p>
        </w:tc>
      </w:tr>
      <w:tr w:rsidR="003353A6" w14:paraId="1BDAA9D8" w14:textId="77777777" w:rsidTr="00977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14:paraId="0AC817CD" w14:textId="77777777" w:rsidR="00B8171B" w:rsidRDefault="00B8171B" w:rsidP="000D4AB1">
            <w:pPr>
              <w:jc w:val="center"/>
            </w:pPr>
            <w:r>
              <w:t>Price scenario</w:t>
            </w:r>
          </w:p>
        </w:tc>
        <w:tc>
          <w:tcPr>
            <w:tcW w:w="1437" w:type="dxa"/>
          </w:tcPr>
          <w:p w14:paraId="3945BC62" w14:textId="77777777" w:rsidR="00B8171B" w:rsidRDefault="00B8171B" w:rsidP="000D4AB1">
            <w:pPr>
              <w:jc w:val="center"/>
              <w:cnfStyle w:val="000000100000" w:firstRow="0" w:lastRow="0" w:firstColumn="0" w:lastColumn="0" w:oddVBand="0" w:evenVBand="0" w:oddHBand="1" w:evenHBand="0" w:firstRowFirstColumn="0" w:firstRowLastColumn="0" w:lastRowFirstColumn="0" w:lastRowLastColumn="0"/>
            </w:pPr>
            <w:r>
              <w:t>WTI (US$, indexed)</w:t>
            </w:r>
          </w:p>
        </w:tc>
        <w:tc>
          <w:tcPr>
            <w:tcW w:w="2031" w:type="dxa"/>
          </w:tcPr>
          <w:p w14:paraId="4303D615" w14:textId="6C72C8C2" w:rsidR="00B8171B" w:rsidRPr="000D4AB1" w:rsidRDefault="00A644CF" w:rsidP="000D4AB1">
            <w:pPr>
              <w:jc w:val="center"/>
              <w:cnfStyle w:val="000000100000" w:firstRow="0" w:lastRow="0" w:firstColumn="0" w:lastColumn="0" w:oddVBand="0" w:evenVBand="0" w:oddHBand="1" w:evenHBand="0" w:firstRowFirstColumn="0" w:firstRowLastColumn="0" w:lastRowFirstColumn="0" w:lastRowLastColumn="0"/>
              <w:rPr>
                <w:b/>
              </w:rPr>
            </w:pPr>
            <w:r w:rsidRPr="000D4AB1">
              <w:rPr>
                <w:b/>
              </w:rPr>
              <w:t xml:space="preserve">Netback </w:t>
            </w:r>
            <w:r w:rsidRPr="000D4AB1">
              <w:rPr>
                <w:b/>
                <w:bCs/>
              </w:rPr>
              <w:t>only</w:t>
            </w:r>
            <w:r w:rsidR="00E61EC4">
              <w:rPr>
                <w:b/>
                <w:bCs/>
              </w:rPr>
              <w:t xml:space="preserve"> </w:t>
            </w:r>
            <w:r w:rsidR="00E61EC4" w:rsidRPr="000D4AB1">
              <w:rPr>
                <w:vertAlign w:val="superscript"/>
              </w:rPr>
              <w:t>#</w:t>
            </w:r>
          </w:p>
        </w:tc>
        <w:tc>
          <w:tcPr>
            <w:tcW w:w="2032" w:type="dxa"/>
          </w:tcPr>
          <w:p w14:paraId="6EA0E10E" w14:textId="326803BC" w:rsidR="00B8171B" w:rsidRDefault="00A644CF" w:rsidP="000D4AB1">
            <w:pPr>
              <w:jc w:val="center"/>
              <w:cnfStyle w:val="000000100000" w:firstRow="0" w:lastRow="0" w:firstColumn="0" w:lastColumn="0" w:oddVBand="0" w:evenVBand="0" w:oddHBand="1" w:evenHBand="0" w:firstRowFirstColumn="0" w:firstRowLastColumn="0" w:lastRowFirstColumn="0" w:lastRowLastColumn="0"/>
            </w:pPr>
            <w:r w:rsidRPr="000D4AB1">
              <w:rPr>
                <w:b/>
              </w:rPr>
              <w:t>Modified RPM</w:t>
            </w:r>
            <w:r>
              <w:t xml:space="preserve"> </w:t>
            </w:r>
            <w:r w:rsidR="00E61EC4" w:rsidRPr="00C54EDA">
              <w:rPr>
                <w:vertAlign w:val="superscript"/>
              </w:rPr>
              <w:t>#</w:t>
            </w:r>
            <w:r w:rsidR="00E61EC4">
              <w:t xml:space="preserve"> </w:t>
            </w:r>
            <w:r>
              <w:t>(80:20)</w:t>
            </w:r>
          </w:p>
        </w:tc>
        <w:tc>
          <w:tcPr>
            <w:tcW w:w="2032" w:type="dxa"/>
          </w:tcPr>
          <w:p w14:paraId="2B1A1046" w14:textId="4BDF44B6" w:rsidR="00B8171B" w:rsidRDefault="00867A7F" w:rsidP="000D4AB1">
            <w:pPr>
              <w:jc w:val="center"/>
              <w:cnfStyle w:val="000000100000" w:firstRow="0" w:lastRow="0" w:firstColumn="0" w:lastColumn="0" w:oddVBand="0" w:evenVBand="0" w:oddHBand="1" w:evenHBand="0" w:firstRowFirstColumn="0" w:firstRowLastColumn="0" w:lastRowFirstColumn="0" w:lastRowLastColumn="0"/>
            </w:pPr>
            <w:r w:rsidRPr="000D4AB1">
              <w:rPr>
                <w:b/>
              </w:rPr>
              <w:t>Deductions cap</w:t>
            </w:r>
            <w:r>
              <w:t xml:space="preserve"> (90%, LTBR uplift, 7</w:t>
            </w:r>
            <w:r>
              <w:noBreakHyphen/>
              <w:t>year grace period)</w:t>
            </w:r>
          </w:p>
        </w:tc>
      </w:tr>
      <w:tr w:rsidR="00D102AF" w14:paraId="44086269" w14:textId="77777777" w:rsidTr="00FB4763">
        <w:tc>
          <w:tcPr>
            <w:cnfStyle w:val="001000000000" w:firstRow="0" w:lastRow="0" w:firstColumn="1" w:lastColumn="0" w:oddVBand="0" w:evenVBand="0" w:oddHBand="0" w:evenHBand="0" w:firstRowFirstColumn="0" w:firstRowLastColumn="0" w:lastRowFirstColumn="0" w:lastRowLastColumn="0"/>
            <w:tcW w:w="1535" w:type="dxa"/>
            <w:shd w:val="clear" w:color="auto" w:fill="F2F2F2" w:themeFill="background1" w:themeFillShade="F2"/>
          </w:tcPr>
          <w:p w14:paraId="5ABB5F28" w14:textId="77777777" w:rsidR="00B8171B" w:rsidRDefault="00B8171B" w:rsidP="000D4AB1">
            <w:pPr>
              <w:jc w:val="center"/>
            </w:pPr>
            <w:r>
              <w:t>High</w:t>
            </w:r>
          </w:p>
        </w:tc>
        <w:tc>
          <w:tcPr>
            <w:tcW w:w="1437" w:type="dxa"/>
            <w:shd w:val="clear" w:color="auto" w:fill="F2F2F2" w:themeFill="background1" w:themeFillShade="F2"/>
          </w:tcPr>
          <w:p w14:paraId="613E6662" w14:textId="77777777" w:rsidR="00B8171B" w:rsidRDefault="00B8171B" w:rsidP="000D4AB1">
            <w:pPr>
              <w:jc w:val="center"/>
              <w:cnfStyle w:val="000000000000" w:firstRow="0" w:lastRow="0" w:firstColumn="0" w:lastColumn="0" w:oddVBand="0" w:evenVBand="0" w:oddHBand="0" w:evenHBand="0" w:firstRowFirstColumn="0" w:firstRowLastColumn="0" w:lastRowFirstColumn="0" w:lastRowLastColumn="0"/>
            </w:pPr>
            <w:r>
              <w:t>$92</w:t>
            </w:r>
          </w:p>
        </w:tc>
        <w:tc>
          <w:tcPr>
            <w:tcW w:w="2031" w:type="dxa"/>
            <w:shd w:val="clear" w:color="auto" w:fill="FFFFFF" w:themeFill="background1"/>
          </w:tcPr>
          <w:p w14:paraId="31EAAA2D" w14:textId="14012B99" w:rsidR="00B8171B" w:rsidRDefault="00990192" w:rsidP="000D4AB1">
            <w:pPr>
              <w:jc w:val="right"/>
              <w:cnfStyle w:val="000000000000" w:firstRow="0" w:lastRow="0" w:firstColumn="0" w:lastColumn="0" w:oddVBand="0" w:evenVBand="0" w:oddHBand="0" w:evenHBand="0" w:firstRowFirstColumn="0" w:firstRowLastColumn="0" w:lastRowFirstColumn="0" w:lastRowLastColumn="0"/>
            </w:pPr>
            <w:r>
              <w:t>21,900</w:t>
            </w:r>
          </w:p>
        </w:tc>
        <w:tc>
          <w:tcPr>
            <w:tcW w:w="2032" w:type="dxa"/>
            <w:shd w:val="clear" w:color="auto" w:fill="FFFFFF" w:themeFill="background1"/>
          </w:tcPr>
          <w:p w14:paraId="128F3B65" w14:textId="720005B7" w:rsidR="00B8171B" w:rsidRDefault="00990192" w:rsidP="000D4AB1">
            <w:pPr>
              <w:jc w:val="right"/>
              <w:cnfStyle w:val="000000000000" w:firstRow="0" w:lastRow="0" w:firstColumn="0" w:lastColumn="0" w:oddVBand="0" w:evenVBand="0" w:oddHBand="0" w:evenHBand="0" w:firstRowFirstColumn="0" w:firstRowLastColumn="0" w:lastRowFirstColumn="0" w:lastRowLastColumn="0"/>
            </w:pPr>
            <w:r>
              <w:t>13,300</w:t>
            </w:r>
          </w:p>
        </w:tc>
        <w:tc>
          <w:tcPr>
            <w:tcW w:w="2032" w:type="dxa"/>
            <w:shd w:val="clear" w:color="auto" w:fill="FFFFFF" w:themeFill="background1"/>
          </w:tcPr>
          <w:p w14:paraId="1BE64A44" w14:textId="58765E5F" w:rsidR="00B8171B" w:rsidRDefault="006D5CDC" w:rsidP="000D4AB1">
            <w:pPr>
              <w:jc w:val="right"/>
              <w:cnfStyle w:val="000000000000" w:firstRow="0" w:lastRow="0" w:firstColumn="0" w:lastColumn="0" w:oddVBand="0" w:evenVBand="0" w:oddHBand="0" w:evenHBand="0" w:firstRowFirstColumn="0" w:firstRowLastColumn="0" w:lastRowFirstColumn="0" w:lastRowLastColumn="0"/>
            </w:pPr>
            <w:r>
              <w:t>5,600</w:t>
            </w:r>
          </w:p>
        </w:tc>
      </w:tr>
      <w:tr w:rsidR="00D102AF" w14:paraId="560CD4CC" w14:textId="77777777" w:rsidTr="0099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shd w:val="clear" w:color="auto" w:fill="FFFFFF" w:themeFill="background1"/>
          </w:tcPr>
          <w:p w14:paraId="2E6C7B4E" w14:textId="77777777" w:rsidR="00B8171B" w:rsidRDefault="00B8171B" w:rsidP="000D4AB1">
            <w:pPr>
              <w:jc w:val="center"/>
            </w:pPr>
            <w:r>
              <w:t>Central</w:t>
            </w:r>
          </w:p>
        </w:tc>
        <w:tc>
          <w:tcPr>
            <w:tcW w:w="1437" w:type="dxa"/>
            <w:shd w:val="clear" w:color="auto" w:fill="FFFFFF" w:themeFill="background1"/>
          </w:tcPr>
          <w:p w14:paraId="12C328D8" w14:textId="77777777" w:rsidR="00B8171B" w:rsidRDefault="00B8171B" w:rsidP="000D4AB1">
            <w:pPr>
              <w:jc w:val="center"/>
              <w:cnfStyle w:val="000000100000" w:firstRow="0" w:lastRow="0" w:firstColumn="0" w:lastColumn="0" w:oddVBand="0" w:evenVBand="0" w:oddHBand="1" w:evenHBand="0" w:firstRowFirstColumn="0" w:firstRowLastColumn="0" w:lastRowFirstColumn="0" w:lastRowLastColumn="0"/>
            </w:pPr>
            <w:r>
              <w:t>$72.70</w:t>
            </w:r>
          </w:p>
        </w:tc>
        <w:tc>
          <w:tcPr>
            <w:tcW w:w="2031" w:type="dxa"/>
            <w:shd w:val="clear" w:color="auto" w:fill="FFFFFF" w:themeFill="background1"/>
          </w:tcPr>
          <w:p w14:paraId="6402A136" w14:textId="500F597F" w:rsidR="00B8171B" w:rsidRDefault="00787A5F" w:rsidP="000D4AB1">
            <w:pPr>
              <w:jc w:val="right"/>
              <w:cnfStyle w:val="000000100000" w:firstRow="0" w:lastRow="0" w:firstColumn="0" w:lastColumn="0" w:oddVBand="0" w:evenVBand="0" w:oddHBand="1" w:evenHBand="0" w:firstRowFirstColumn="0" w:firstRowLastColumn="0" w:lastRowFirstColumn="0" w:lastRowLastColumn="0"/>
            </w:pPr>
            <w:r w:rsidDel="009E2A5A">
              <w:t>3,</w:t>
            </w:r>
            <w:r w:rsidR="00521AB6">
              <w:t>900</w:t>
            </w:r>
          </w:p>
        </w:tc>
        <w:tc>
          <w:tcPr>
            <w:tcW w:w="2032" w:type="dxa"/>
            <w:shd w:val="clear" w:color="auto" w:fill="FFFFFF" w:themeFill="background1"/>
          </w:tcPr>
          <w:p w14:paraId="53EF7E0A" w14:textId="77E9480E" w:rsidR="00B8171B" w:rsidRDefault="00521AB6" w:rsidP="000D4AB1">
            <w:pPr>
              <w:jc w:val="right"/>
              <w:cnfStyle w:val="000000100000" w:firstRow="0" w:lastRow="0" w:firstColumn="0" w:lastColumn="0" w:oddVBand="0" w:evenVBand="0" w:oddHBand="1" w:evenHBand="0" w:firstRowFirstColumn="0" w:firstRowLastColumn="0" w:lastRowFirstColumn="0" w:lastRowLastColumn="0"/>
            </w:pPr>
            <w:r>
              <w:t>2,400</w:t>
            </w:r>
          </w:p>
        </w:tc>
        <w:tc>
          <w:tcPr>
            <w:tcW w:w="2032" w:type="dxa"/>
            <w:shd w:val="clear" w:color="auto" w:fill="FFFFFF" w:themeFill="background1"/>
          </w:tcPr>
          <w:p w14:paraId="25C33547" w14:textId="4B7E4901" w:rsidR="00B8171B" w:rsidRDefault="00A644CF" w:rsidP="000D4AB1">
            <w:pPr>
              <w:jc w:val="right"/>
              <w:cnfStyle w:val="000000100000" w:firstRow="0" w:lastRow="0" w:firstColumn="0" w:lastColumn="0" w:oddVBand="0" w:evenVBand="0" w:oddHBand="1" w:evenHBand="0" w:firstRowFirstColumn="0" w:firstRowLastColumn="0" w:lastRowFirstColumn="0" w:lastRowLastColumn="0"/>
            </w:pPr>
            <w:r>
              <w:t>7,000</w:t>
            </w:r>
          </w:p>
        </w:tc>
      </w:tr>
      <w:tr w:rsidR="00D102AF" w14:paraId="78585BBB" w14:textId="77777777" w:rsidTr="00FB4763">
        <w:tc>
          <w:tcPr>
            <w:cnfStyle w:val="001000000000" w:firstRow="0" w:lastRow="0" w:firstColumn="1" w:lastColumn="0" w:oddVBand="0" w:evenVBand="0" w:oddHBand="0" w:evenHBand="0" w:firstRowFirstColumn="0" w:firstRowLastColumn="0" w:lastRowFirstColumn="0" w:lastRowLastColumn="0"/>
            <w:tcW w:w="1535" w:type="dxa"/>
            <w:shd w:val="clear" w:color="auto" w:fill="F2F2F2" w:themeFill="background1" w:themeFillShade="F2"/>
          </w:tcPr>
          <w:p w14:paraId="600D8BF8" w14:textId="77777777" w:rsidR="00B8171B" w:rsidRDefault="00B8171B" w:rsidP="000D4AB1">
            <w:pPr>
              <w:jc w:val="center"/>
            </w:pPr>
            <w:r>
              <w:t>Low</w:t>
            </w:r>
          </w:p>
        </w:tc>
        <w:tc>
          <w:tcPr>
            <w:tcW w:w="1437" w:type="dxa"/>
            <w:shd w:val="clear" w:color="auto" w:fill="F2F2F2" w:themeFill="background1" w:themeFillShade="F2"/>
          </w:tcPr>
          <w:p w14:paraId="02BF7FDD" w14:textId="77777777" w:rsidR="00B8171B" w:rsidRDefault="00B8171B" w:rsidP="000D4AB1">
            <w:pPr>
              <w:jc w:val="center"/>
              <w:cnfStyle w:val="000000000000" w:firstRow="0" w:lastRow="0" w:firstColumn="0" w:lastColumn="0" w:oddVBand="0" w:evenVBand="0" w:oddHBand="0" w:evenHBand="0" w:firstRowFirstColumn="0" w:firstRowLastColumn="0" w:lastRowFirstColumn="0" w:lastRowLastColumn="0"/>
            </w:pPr>
            <w:r>
              <w:t>$62</w:t>
            </w:r>
          </w:p>
        </w:tc>
        <w:tc>
          <w:tcPr>
            <w:tcW w:w="2031" w:type="dxa"/>
            <w:shd w:val="clear" w:color="auto" w:fill="FFFFFF" w:themeFill="background1"/>
          </w:tcPr>
          <w:p w14:paraId="079901CD" w14:textId="58B9CC74" w:rsidR="00B8171B" w:rsidRDefault="00990192" w:rsidP="000D4AB1">
            <w:pPr>
              <w:jc w:val="right"/>
              <w:cnfStyle w:val="000000000000" w:firstRow="0" w:lastRow="0" w:firstColumn="0" w:lastColumn="0" w:oddVBand="0" w:evenVBand="0" w:oddHBand="0" w:evenHBand="0" w:firstRowFirstColumn="0" w:firstRowLastColumn="0" w:lastRowFirstColumn="0" w:lastRowLastColumn="0"/>
            </w:pPr>
            <w:r>
              <w:t>200</w:t>
            </w:r>
          </w:p>
        </w:tc>
        <w:tc>
          <w:tcPr>
            <w:tcW w:w="2032" w:type="dxa"/>
            <w:shd w:val="clear" w:color="auto" w:fill="FFFFFF" w:themeFill="background1"/>
          </w:tcPr>
          <w:p w14:paraId="13E6D804" w14:textId="19CB5E46" w:rsidR="00B8171B" w:rsidRDefault="00990192" w:rsidP="000D4AB1">
            <w:pPr>
              <w:jc w:val="right"/>
              <w:cnfStyle w:val="000000000000" w:firstRow="0" w:lastRow="0" w:firstColumn="0" w:lastColumn="0" w:oddVBand="0" w:evenVBand="0" w:oddHBand="0" w:evenHBand="0" w:firstRowFirstColumn="0" w:firstRowLastColumn="0" w:lastRowFirstColumn="0" w:lastRowLastColumn="0"/>
            </w:pPr>
            <w:r>
              <w:t>300</w:t>
            </w:r>
          </w:p>
        </w:tc>
        <w:tc>
          <w:tcPr>
            <w:tcW w:w="2032" w:type="dxa"/>
            <w:shd w:val="clear" w:color="auto" w:fill="FFFFFF" w:themeFill="background1"/>
          </w:tcPr>
          <w:p w14:paraId="19F9C0F3" w14:textId="19EB4ABF" w:rsidR="00B8171B" w:rsidRDefault="006D5CDC" w:rsidP="000D4AB1">
            <w:pPr>
              <w:jc w:val="right"/>
              <w:cnfStyle w:val="000000000000" w:firstRow="0" w:lastRow="0" w:firstColumn="0" w:lastColumn="0" w:oddVBand="0" w:evenVBand="0" w:oddHBand="0" w:evenHBand="0" w:firstRowFirstColumn="0" w:firstRowLastColumn="0" w:lastRowFirstColumn="0" w:lastRowLastColumn="0"/>
            </w:pPr>
            <w:r>
              <w:t>8,100</w:t>
            </w:r>
          </w:p>
        </w:tc>
      </w:tr>
    </w:tbl>
    <w:p w14:paraId="32716836" w14:textId="77777777" w:rsidR="001A740C" w:rsidRPr="00917235" w:rsidRDefault="00AB0BF7" w:rsidP="00917235">
      <w:pPr>
        <w:spacing w:before="0" w:after="0"/>
        <w:rPr>
          <w:sz w:val="18"/>
          <w:szCs w:val="18"/>
        </w:rPr>
      </w:pPr>
      <w:r w:rsidRPr="00917235">
        <w:rPr>
          <w:sz w:val="18"/>
          <w:szCs w:val="18"/>
        </w:rPr>
        <w:t>*</w:t>
      </w:r>
      <w:r w:rsidRPr="00917235" w:rsidDel="00CC420C">
        <w:rPr>
          <w:sz w:val="18"/>
          <w:szCs w:val="18"/>
        </w:rPr>
        <w:t xml:space="preserve"> </w:t>
      </w:r>
      <w:r w:rsidRPr="00917235">
        <w:rPr>
          <w:sz w:val="18"/>
          <w:szCs w:val="18"/>
        </w:rPr>
        <w:t>The results are the projected impact on PRRT receipts only</w:t>
      </w:r>
      <w:r w:rsidR="00060968" w:rsidRPr="00917235">
        <w:rPr>
          <w:sz w:val="18"/>
          <w:szCs w:val="18"/>
        </w:rPr>
        <w:t>. They are not budget costings and do not take into account the net impact on Commonwealth revenue arising from the deductibility of PRRT payments against company tax payable</w:t>
      </w:r>
      <w:r w:rsidRPr="00917235">
        <w:rPr>
          <w:sz w:val="18"/>
          <w:szCs w:val="18"/>
        </w:rPr>
        <w:t>.</w:t>
      </w:r>
    </w:p>
    <w:p w14:paraId="05B5C4FF" w14:textId="5D4B726B" w:rsidR="00E61EC4" w:rsidRPr="00917235" w:rsidRDefault="00E61EC4" w:rsidP="00917235">
      <w:pPr>
        <w:spacing w:before="0" w:after="0"/>
        <w:rPr>
          <w:sz w:val="18"/>
          <w:szCs w:val="18"/>
        </w:rPr>
      </w:pPr>
      <w:r w:rsidRPr="00917235">
        <w:rPr>
          <w:sz w:val="18"/>
          <w:szCs w:val="18"/>
        </w:rPr>
        <w:t>#</w:t>
      </w:r>
      <w:r w:rsidR="007C505A" w:rsidRPr="00917235">
        <w:rPr>
          <w:sz w:val="18"/>
          <w:szCs w:val="18"/>
        </w:rPr>
        <w:t xml:space="preserve"> Policy options to modify the RPM incorporate </w:t>
      </w:r>
      <w:r w:rsidR="000933FF" w:rsidRPr="00917235">
        <w:rPr>
          <w:sz w:val="18"/>
          <w:szCs w:val="18"/>
        </w:rPr>
        <w:t xml:space="preserve">additional </w:t>
      </w:r>
      <w:r w:rsidR="007C505A" w:rsidRPr="00917235">
        <w:rPr>
          <w:sz w:val="18"/>
          <w:szCs w:val="18"/>
        </w:rPr>
        <w:t xml:space="preserve">changes to the </w:t>
      </w:r>
      <w:r w:rsidR="000933FF" w:rsidRPr="00917235">
        <w:rPr>
          <w:sz w:val="18"/>
          <w:szCs w:val="18"/>
        </w:rPr>
        <w:t xml:space="preserve">GTP rules </w:t>
      </w:r>
      <w:r w:rsidR="00B531FE" w:rsidRPr="00917235">
        <w:rPr>
          <w:sz w:val="18"/>
          <w:szCs w:val="18"/>
        </w:rPr>
        <w:t>as set out in the text above</w:t>
      </w:r>
      <w:r w:rsidR="000933FF" w:rsidRPr="00917235">
        <w:rPr>
          <w:sz w:val="18"/>
          <w:szCs w:val="18"/>
        </w:rPr>
        <w:t>. These changes are not included in the deductions cap option presented.</w:t>
      </w:r>
    </w:p>
    <w:p w14:paraId="511A8DC4" w14:textId="5FC7F1CD" w:rsidR="00405999" w:rsidRDefault="00A413F2" w:rsidP="00405999">
      <w:pPr>
        <w:pStyle w:val="Heading2"/>
      </w:pPr>
      <w:bookmarkStart w:id="58" w:name="_Toc134273586"/>
      <w:r>
        <w:lastRenderedPageBreak/>
        <w:t>8</w:t>
      </w:r>
      <w:r w:rsidR="00F9025F">
        <w:t>.</w:t>
      </w:r>
      <w:r w:rsidR="00FD3D0F">
        <w:t>4</w:t>
      </w:r>
      <w:r w:rsidR="00F9025F">
        <w:t xml:space="preserve"> </w:t>
      </w:r>
      <w:r w:rsidR="00F56ACC">
        <w:t xml:space="preserve">Impacts </w:t>
      </w:r>
      <w:r w:rsidR="00FD3D0F">
        <w:t xml:space="preserve">of proposed changes </w:t>
      </w:r>
      <w:r w:rsidR="00F56ACC">
        <w:t>on new projects</w:t>
      </w:r>
      <w:bookmarkEnd w:id="58"/>
    </w:p>
    <w:p w14:paraId="36654A4C" w14:textId="1FC4F528" w:rsidR="00432A0B" w:rsidRDefault="00432A0B" w:rsidP="00432A0B">
      <w:r>
        <w:t xml:space="preserve">Treasury </w:t>
      </w:r>
      <w:r w:rsidR="00FF7C66">
        <w:t>not</w:t>
      </w:r>
      <w:r>
        <w:t xml:space="preserve">es that recommendations which increase the overall tax burden on projects also </w:t>
      </w:r>
      <w:r w:rsidRPr="00D13B03">
        <w:t xml:space="preserve">lower the </w:t>
      </w:r>
      <w:r>
        <w:t>internal rate of return (IRR) to investors.</w:t>
      </w:r>
      <w:r w:rsidDel="00224E76">
        <w:t xml:space="preserve"> </w:t>
      </w:r>
      <w:r>
        <w:t xml:space="preserve">This </w:t>
      </w:r>
      <w:r w:rsidR="008947AC">
        <w:t>could</w:t>
      </w:r>
      <w:r>
        <w:t xml:space="preserve"> affect future investment decisions and may mean that some marginal investments are less likely to proceed, particularly if the </w:t>
      </w:r>
      <w:r w:rsidR="003A3C99">
        <w:t>after-tax</w:t>
      </w:r>
      <w:r>
        <w:t xml:space="preserve"> return on an investment is less than or close to the hurdle rate set by investors. However, the PRRT tax settings should be designed</w:t>
      </w:r>
      <w:r w:rsidRPr="00D13B03">
        <w:t xml:space="preserve"> </w:t>
      </w:r>
      <w:r>
        <w:t xml:space="preserve">to </w:t>
      </w:r>
      <w:r w:rsidRPr="00D13B03">
        <w:t>balanc</w:t>
      </w:r>
      <w:r>
        <w:t>e a</w:t>
      </w:r>
      <w:r w:rsidRPr="00D13B03">
        <w:t xml:space="preserve"> fair return on natural resources for </w:t>
      </w:r>
      <w:r>
        <w:t xml:space="preserve">the </w:t>
      </w:r>
      <w:r w:rsidRPr="00D13B03">
        <w:t xml:space="preserve">community </w:t>
      </w:r>
      <w:r>
        <w:t>with investment. They should</w:t>
      </w:r>
      <w:r w:rsidRPr="00D13B03">
        <w:t xml:space="preserve"> </w:t>
      </w:r>
      <w:r>
        <w:t xml:space="preserve">not go so far as to support </w:t>
      </w:r>
      <w:r w:rsidRPr="00D13B03">
        <w:t>projects that do</w:t>
      </w:r>
      <w:r>
        <w:t xml:space="preserve"> not </w:t>
      </w:r>
      <w:r w:rsidRPr="00D13B03">
        <w:t xml:space="preserve">reach </w:t>
      </w:r>
      <w:r>
        <w:t xml:space="preserve">a </w:t>
      </w:r>
      <w:r w:rsidRPr="00D13B03">
        <w:t>risk-adjusted IRR to proceed</w:t>
      </w:r>
      <w:r>
        <w:t>.</w:t>
      </w:r>
    </w:p>
    <w:p w14:paraId="19BBCC33" w14:textId="262B2CEE" w:rsidR="007D7FB4" w:rsidRDefault="004D1A92" w:rsidP="00432A0B">
      <w:r>
        <w:t xml:space="preserve">Feedback from </w:t>
      </w:r>
      <w:r w:rsidR="00C91197">
        <w:t>i</w:t>
      </w:r>
      <w:r>
        <w:t>ndustry participants is that n</w:t>
      </w:r>
      <w:r w:rsidR="007D7FB4">
        <w:t xml:space="preserve">ew projects are </w:t>
      </w:r>
      <w:r w:rsidR="00A91A3E">
        <w:t>likely t</w:t>
      </w:r>
      <w:r w:rsidR="00643197">
        <w:t>o</w:t>
      </w:r>
      <w:r w:rsidR="00B103F2">
        <w:t xml:space="preserve"> be</w:t>
      </w:r>
      <w:r w:rsidR="00643197">
        <w:t xml:space="preserve"> more sensitive to changes to the GTP </w:t>
      </w:r>
      <w:r w:rsidR="00C12D43">
        <w:t>R</w:t>
      </w:r>
      <w:r w:rsidR="00643197">
        <w:t>egulation</w:t>
      </w:r>
      <w:r w:rsidR="005F5B16">
        <w:t xml:space="preserve"> </w:t>
      </w:r>
      <w:r w:rsidR="00073BB7">
        <w:t>than existing projects</w:t>
      </w:r>
      <w:r w:rsidR="005F5B16">
        <w:t xml:space="preserve">. </w:t>
      </w:r>
      <w:r w:rsidR="00774EA2">
        <w:t xml:space="preserve">As a result of </w:t>
      </w:r>
      <w:r w:rsidR="00DA43C2">
        <w:t xml:space="preserve">policy </w:t>
      </w:r>
      <w:r w:rsidR="00774EA2">
        <w:t>changes</w:t>
      </w:r>
      <w:r w:rsidR="00DA43C2">
        <w:t xml:space="preserve"> </w:t>
      </w:r>
      <w:r w:rsidR="0004363C">
        <w:t>implemented in response to</w:t>
      </w:r>
      <w:r w:rsidR="00DA43C2">
        <w:t xml:space="preserve"> the Callaghan Review</w:t>
      </w:r>
      <w:r w:rsidR="00774EA2">
        <w:t>, new</w:t>
      </w:r>
      <w:r w:rsidR="005F5B16">
        <w:t xml:space="preserve"> projects do not benefit from the same uplift </w:t>
      </w:r>
      <w:r w:rsidR="000A6C85">
        <w:t>rates on carried-forward</w:t>
      </w:r>
      <w:r w:rsidR="005F5B16">
        <w:t xml:space="preserve"> </w:t>
      </w:r>
      <w:r w:rsidR="00E21F95">
        <w:t>expenditure</w:t>
      </w:r>
      <w:r w:rsidR="005F5B16">
        <w:t xml:space="preserve"> as </w:t>
      </w:r>
      <w:r w:rsidR="00DE3917">
        <w:t xml:space="preserve">existing projects. </w:t>
      </w:r>
      <w:r w:rsidR="002006BB">
        <w:t xml:space="preserve">Moreover, </w:t>
      </w:r>
      <w:r w:rsidR="00B574B3">
        <w:t>industry in</w:t>
      </w:r>
      <w:r w:rsidR="00F85511">
        <w:t xml:space="preserve">dicated through consultation that </w:t>
      </w:r>
      <w:r w:rsidR="002006BB">
        <w:t>n</w:t>
      </w:r>
      <w:r w:rsidR="00DE3917">
        <w:t xml:space="preserve">ew projects are more likely to use existing infrastructure than the </w:t>
      </w:r>
      <w:r w:rsidR="00C03E24">
        <w:t xml:space="preserve">LNG projects constructed last </w:t>
      </w:r>
      <w:r>
        <w:t>decade,</w:t>
      </w:r>
      <w:r w:rsidR="000C60A5">
        <w:t xml:space="preserve"> and this may be via tolling arrangements. These types of arrangements </w:t>
      </w:r>
      <w:r w:rsidR="00E61791">
        <w:t xml:space="preserve">may </w:t>
      </w:r>
      <w:r w:rsidR="000C60A5">
        <w:t xml:space="preserve">result in lower capital expenditure </w:t>
      </w:r>
      <w:r w:rsidR="00E61791">
        <w:t>but higher operating costs that are not subject to augmentation.</w:t>
      </w:r>
      <w:r w:rsidR="00995DC2">
        <w:t xml:space="preserve"> The combination of lower capital cost and </w:t>
      </w:r>
      <w:r w:rsidR="00714A5A">
        <w:t xml:space="preserve">reduced </w:t>
      </w:r>
      <w:r w:rsidR="00995DC2">
        <w:t xml:space="preserve">augmentation </w:t>
      </w:r>
      <w:r w:rsidR="00714A5A">
        <w:t xml:space="preserve">relative </w:t>
      </w:r>
      <w:r w:rsidR="006C0A52">
        <w:t xml:space="preserve">to existing </w:t>
      </w:r>
      <w:r w:rsidR="00C7532E">
        <w:t>LNG projects</w:t>
      </w:r>
      <w:r w:rsidR="00714A5A">
        <w:t xml:space="preserve"> </w:t>
      </w:r>
      <w:r w:rsidR="00995DC2">
        <w:t>m</w:t>
      </w:r>
      <w:r w:rsidR="00CA0EDB">
        <w:t>ean</w:t>
      </w:r>
      <w:r w:rsidR="00B25A45">
        <w:t>s</w:t>
      </w:r>
      <w:r w:rsidR="00CA0EDB">
        <w:t xml:space="preserve"> these </w:t>
      </w:r>
      <w:r w:rsidR="00F86763">
        <w:t>new</w:t>
      </w:r>
      <w:r w:rsidR="00CA0EDB">
        <w:t xml:space="preserve"> projects are more likely to pay PRRT</w:t>
      </w:r>
      <w:r w:rsidR="002F10DD">
        <w:t xml:space="preserve"> </w:t>
      </w:r>
      <w:r w:rsidR="00495937">
        <w:t>within 7 to 10 years,</w:t>
      </w:r>
      <w:r w:rsidR="00BE5B81">
        <w:t xml:space="preserve"> </w:t>
      </w:r>
      <w:r w:rsidR="00CA0EDB">
        <w:t>provided they do</w:t>
      </w:r>
      <w:r w:rsidR="00BE5B81">
        <w:t xml:space="preserve"> not</w:t>
      </w:r>
      <w:r w:rsidR="00CA0EDB">
        <w:t xml:space="preserve"> suffer </w:t>
      </w:r>
      <w:r w:rsidR="00F90717">
        <w:t>significant</w:t>
      </w:r>
      <w:r w:rsidR="00BE5B81">
        <w:t xml:space="preserve"> cost overruns</w:t>
      </w:r>
      <w:r w:rsidR="003D0798">
        <w:t xml:space="preserve"> on remaining capital expenditure,</w:t>
      </w:r>
      <w:r w:rsidR="00BE5B81">
        <w:t xml:space="preserve"> or long periods of low prices</w:t>
      </w:r>
      <w:r w:rsidR="00495937">
        <w:t>.</w:t>
      </w:r>
    </w:p>
    <w:p w14:paraId="387C2263" w14:textId="65984249" w:rsidR="000E3554" w:rsidRDefault="000E3554" w:rsidP="000E3554">
      <w:r>
        <w:t xml:space="preserve">Joint venture participants continue to assess the feasibility of the </w:t>
      </w:r>
      <w:r w:rsidR="0017780D">
        <w:t>new</w:t>
      </w:r>
      <w:r>
        <w:t xml:space="preserve"> project</w:t>
      </w:r>
      <w:r w:rsidR="0017780D">
        <w:t>s</w:t>
      </w:r>
      <w:r>
        <w:t xml:space="preserve"> and argue that any change to the GTP </w:t>
      </w:r>
      <w:r w:rsidR="00E62C4E">
        <w:t>R</w:t>
      </w:r>
      <w:r w:rsidR="00F95A7F">
        <w:t>egulation</w:t>
      </w:r>
      <w:r>
        <w:t xml:space="preserve"> may result in </w:t>
      </w:r>
      <w:r w:rsidR="0017780D">
        <w:t xml:space="preserve">projects </w:t>
      </w:r>
      <w:r>
        <w:t>remaining undeveloped as it</w:t>
      </w:r>
      <w:r w:rsidR="00377F89">
        <w:t xml:space="preserve"> </w:t>
      </w:r>
      <w:r w:rsidR="00A9257F">
        <w:t xml:space="preserve">may </w:t>
      </w:r>
      <w:r>
        <w:t xml:space="preserve">erode project returns to below required investment returns. </w:t>
      </w:r>
    </w:p>
    <w:p w14:paraId="0D4002FD" w14:textId="52489966" w:rsidR="000E3554" w:rsidRDefault="000E3554" w:rsidP="000E3554">
      <w:r>
        <w:t>We note that final investment approvals for</w:t>
      </w:r>
      <w:r w:rsidR="005618CA">
        <w:t xml:space="preserve"> </w:t>
      </w:r>
      <w:r w:rsidR="00DD6E6F">
        <w:t>new projects</w:t>
      </w:r>
      <w:r w:rsidR="00395EF7">
        <w:t xml:space="preserve"> </w:t>
      </w:r>
      <w:r>
        <w:t xml:space="preserve">have taken place recently in the context of a more favourable price environment and outlook for the LNG industry. This is despite the 2019 changes to the uplift rates and the possibility of </w:t>
      </w:r>
      <w:r w:rsidR="00962A32">
        <w:t>other</w:t>
      </w:r>
      <w:r>
        <w:t xml:space="preserve"> changes to the GTP </w:t>
      </w:r>
      <w:r w:rsidR="00962A32">
        <w:t>R</w:t>
      </w:r>
      <w:r w:rsidR="00F95A7F">
        <w:t>egulation</w:t>
      </w:r>
      <w:r>
        <w:t xml:space="preserve"> being signalled since the Callaghan Review.</w:t>
      </w:r>
    </w:p>
    <w:p w14:paraId="7B5548C9" w14:textId="6EE72E74" w:rsidR="005461CC" w:rsidRDefault="00432A0B" w:rsidP="005461CC">
      <w:r>
        <w:t xml:space="preserve">Some </w:t>
      </w:r>
      <w:r w:rsidR="00A44841">
        <w:t>i</w:t>
      </w:r>
      <w:r>
        <w:t xml:space="preserve">ndustry participants have shown Treasury, on a confidential basis, high level </w:t>
      </w:r>
      <w:r w:rsidR="00FA451B">
        <w:t xml:space="preserve">results from </w:t>
      </w:r>
      <w:r w:rsidR="00782AD3">
        <w:t xml:space="preserve">their own </w:t>
      </w:r>
      <w:r>
        <w:t xml:space="preserve">modelling </w:t>
      </w:r>
      <w:r w:rsidR="003502A4">
        <w:t>that show the effect of proposed changes</w:t>
      </w:r>
      <w:r>
        <w:t xml:space="preserve">. </w:t>
      </w:r>
      <w:r w:rsidR="000F4670">
        <w:t xml:space="preserve">Although </w:t>
      </w:r>
      <w:r w:rsidR="000A2B6E">
        <w:t>t</w:t>
      </w:r>
      <w:r w:rsidR="000F4670">
        <w:t xml:space="preserve">he </w:t>
      </w:r>
      <w:r w:rsidR="00E51770">
        <w:t>results</w:t>
      </w:r>
      <w:r w:rsidR="000F4670">
        <w:t xml:space="preserve"> were shared</w:t>
      </w:r>
      <w:r w:rsidR="000A2B6E">
        <w:t>,</w:t>
      </w:r>
      <w:r w:rsidR="00850BF1">
        <w:t xml:space="preserve"> </w:t>
      </w:r>
      <w:r>
        <w:t xml:space="preserve">Treasury has been </w:t>
      </w:r>
      <w:r w:rsidR="00850BF1">
        <w:t>unable</w:t>
      </w:r>
      <w:r>
        <w:t xml:space="preserve"> to verify </w:t>
      </w:r>
      <w:r w:rsidR="00B42136">
        <w:t xml:space="preserve">or test the </w:t>
      </w:r>
      <w:r w:rsidR="000901B7">
        <w:t>impacts on investment described</w:t>
      </w:r>
      <w:r w:rsidR="00AB2C91">
        <w:t xml:space="preserve"> as we are not privy to </w:t>
      </w:r>
      <w:r w:rsidR="006C34DA">
        <w:t>underlying model assumptions</w:t>
      </w:r>
      <w:r>
        <w:t>.</w:t>
      </w:r>
      <w:r w:rsidR="005461CC" w:rsidRPr="005461CC">
        <w:t xml:space="preserve"> </w:t>
      </w:r>
      <w:r w:rsidR="005461CC">
        <w:t xml:space="preserve">While there is no reason to doubt the impacts, it </w:t>
      </w:r>
      <w:r w:rsidR="002177BC">
        <w:t>is</w:t>
      </w:r>
      <w:r w:rsidR="005461CC">
        <w:t xml:space="preserve"> difficult to base decisions on these re</w:t>
      </w:r>
      <w:r w:rsidR="00C41BBD">
        <w:t>sults</w:t>
      </w:r>
      <w:r w:rsidR="005461CC">
        <w:t xml:space="preserve"> as PRRT payments are highly sensitive to assumptions</w:t>
      </w:r>
      <w:r w:rsidR="00C92F86">
        <w:t>, especially</w:t>
      </w:r>
      <w:r w:rsidR="005461CC">
        <w:t xml:space="preserve"> </w:t>
      </w:r>
      <w:r w:rsidR="00C92F86">
        <w:t xml:space="preserve">the </w:t>
      </w:r>
      <w:r w:rsidR="003E49E9">
        <w:t xml:space="preserve">assumed </w:t>
      </w:r>
      <w:r w:rsidR="005461CC">
        <w:t>oil</w:t>
      </w:r>
      <w:r w:rsidR="00C92F86">
        <w:t xml:space="preserve"> price</w:t>
      </w:r>
      <w:r w:rsidR="00DC5AAB">
        <w:t>s</w:t>
      </w:r>
      <w:r w:rsidR="00277E0D">
        <w:t xml:space="preserve"> </w:t>
      </w:r>
      <w:r w:rsidR="008A652A">
        <w:t>and</w:t>
      </w:r>
      <w:r w:rsidR="00277E0D">
        <w:t xml:space="preserve"> project discount rates</w:t>
      </w:r>
      <w:r w:rsidR="005461CC">
        <w:t>.</w:t>
      </w:r>
    </w:p>
    <w:p w14:paraId="34F325DC" w14:textId="2BD5AC9E" w:rsidR="00736804" w:rsidRDefault="00A4247A" w:rsidP="00FA30EE">
      <w:r>
        <w:t xml:space="preserve">While </w:t>
      </w:r>
      <w:r w:rsidR="00B33DB4">
        <w:t>moving to a</w:t>
      </w:r>
      <w:r>
        <w:t xml:space="preserve"> netback </w:t>
      </w:r>
      <w:r w:rsidR="00F91CFD">
        <w:t xml:space="preserve">only </w:t>
      </w:r>
      <w:r>
        <w:t xml:space="preserve">method may raise more </w:t>
      </w:r>
      <w:r w:rsidR="00495BF6">
        <w:t xml:space="preserve">revenue </w:t>
      </w:r>
      <w:r>
        <w:t xml:space="preserve">from </w:t>
      </w:r>
      <w:r w:rsidR="00221B72">
        <w:t>future</w:t>
      </w:r>
      <w:r>
        <w:t xml:space="preserve"> projects, it</w:t>
      </w:r>
      <w:r w:rsidR="006715D8">
        <w:t xml:space="preserve"> has higher </w:t>
      </w:r>
      <w:r w:rsidR="00593C8C">
        <w:t xml:space="preserve">economic </w:t>
      </w:r>
      <w:r w:rsidR="006715D8">
        <w:t xml:space="preserve">impacts </w:t>
      </w:r>
      <w:r w:rsidR="00305B73">
        <w:t xml:space="preserve">and may result in some </w:t>
      </w:r>
      <w:r w:rsidR="00734596">
        <w:t xml:space="preserve">marginal </w:t>
      </w:r>
      <w:r w:rsidR="00305B73">
        <w:t xml:space="preserve">projects not </w:t>
      </w:r>
      <w:r w:rsidR="0012079A">
        <w:t>proceeding</w:t>
      </w:r>
      <w:r w:rsidR="00305B73">
        <w:t>.</w:t>
      </w:r>
      <w:r w:rsidR="001614C9">
        <w:t xml:space="preserve"> </w:t>
      </w:r>
      <w:r w:rsidR="0065450C">
        <w:t xml:space="preserve">The revised </w:t>
      </w:r>
      <w:r w:rsidR="00D93380">
        <w:t>RPM</w:t>
      </w:r>
      <w:r w:rsidR="0065450C">
        <w:t xml:space="preserve"> will </w:t>
      </w:r>
      <w:r w:rsidR="001614C9">
        <w:t>likely</w:t>
      </w:r>
      <w:r w:rsidR="0065450C">
        <w:t xml:space="preserve"> raise less </w:t>
      </w:r>
      <w:r w:rsidR="00AA6071">
        <w:t xml:space="preserve">revenue </w:t>
      </w:r>
      <w:r w:rsidR="0065450C">
        <w:t xml:space="preserve">from </w:t>
      </w:r>
      <w:r w:rsidR="001614C9">
        <w:t xml:space="preserve">existing and </w:t>
      </w:r>
      <w:r w:rsidR="0065450C">
        <w:t>new projects, but it</w:t>
      </w:r>
      <w:r w:rsidR="00CB022A">
        <w:t xml:space="preserve"> i</w:t>
      </w:r>
      <w:r w:rsidR="0065450C">
        <w:t xml:space="preserve">s </w:t>
      </w:r>
      <w:r w:rsidR="00CB022A">
        <w:t xml:space="preserve">likely to have a </w:t>
      </w:r>
      <w:r w:rsidR="0065450C">
        <w:t>lower impact on new projects</w:t>
      </w:r>
      <w:r w:rsidR="00CB022A">
        <w:t>, meaning</w:t>
      </w:r>
      <w:r w:rsidR="001614C9">
        <w:t xml:space="preserve"> a greater likelihood of projects going ahead, all other things being e</w:t>
      </w:r>
      <w:r w:rsidR="00AB142D">
        <w:t>qual</w:t>
      </w:r>
      <w:r w:rsidR="001614C9">
        <w:t>.</w:t>
      </w:r>
      <w:r w:rsidR="00896002">
        <w:t xml:space="preserve"> The deductions cap </w:t>
      </w:r>
      <w:r w:rsidR="0055187F">
        <w:t>is likely to have the lowest impact on investment decisions</w:t>
      </w:r>
      <w:r w:rsidR="001C0103">
        <w:t xml:space="preserve">, </w:t>
      </w:r>
      <w:r w:rsidR="000E3C61">
        <w:t xml:space="preserve">given that new projects </w:t>
      </w:r>
      <w:r w:rsidR="005F5855">
        <w:t>that meet existing commercial hurdle rates</w:t>
      </w:r>
      <w:r w:rsidR="005F5855" w:rsidDel="00AF3DDE">
        <w:t xml:space="preserve"> </w:t>
      </w:r>
      <w:r w:rsidR="000E3C61">
        <w:t>are already expected to pay PRRT within 7 to 10 years</w:t>
      </w:r>
      <w:r w:rsidR="00E126E3">
        <w:t>.</w:t>
      </w:r>
      <w:r w:rsidR="000941FE">
        <w:t xml:space="preserve"> </w:t>
      </w:r>
    </w:p>
    <w:p w14:paraId="09B51256" w14:textId="77777777" w:rsidR="00380727" w:rsidRDefault="00114F51" w:rsidP="00FA30EE">
      <w:r>
        <w:t>There is a</w:t>
      </w:r>
      <w:r w:rsidR="00A1139B">
        <w:t xml:space="preserve"> </w:t>
      </w:r>
      <w:r w:rsidR="00E32F27">
        <w:t>trade-off</w:t>
      </w:r>
      <w:r w:rsidR="00D165C7">
        <w:t xml:space="preserve"> between revenue from existing projects and </w:t>
      </w:r>
      <w:r w:rsidR="00C96B3F">
        <w:t xml:space="preserve">from future projects that may or may not proceed for a variety of factors. </w:t>
      </w:r>
    </w:p>
    <w:p w14:paraId="526C4747" w14:textId="03087412" w:rsidR="00E7443D" w:rsidRDefault="00AC37AD" w:rsidP="00FA30EE">
      <w:r>
        <w:t xml:space="preserve">Regardless of whether the changes to the </w:t>
      </w:r>
      <w:r w:rsidR="005C1C11">
        <w:t xml:space="preserve">PRRT and </w:t>
      </w:r>
      <w:r w:rsidR="00C75F1E">
        <w:t xml:space="preserve">GTP </w:t>
      </w:r>
      <w:r w:rsidR="00F93D7F">
        <w:t>R</w:t>
      </w:r>
      <w:r w:rsidR="00F95A7F">
        <w:t>egulation</w:t>
      </w:r>
      <w:r>
        <w:t xml:space="preserve"> are made, </w:t>
      </w:r>
      <w:r w:rsidR="005A1640">
        <w:t>if</w:t>
      </w:r>
      <w:r w:rsidR="00472754">
        <w:t xml:space="preserve"> oil and gas prices </w:t>
      </w:r>
      <w:r w:rsidR="009E6CA1">
        <w:t xml:space="preserve">were to fall and remain </w:t>
      </w:r>
      <w:r w:rsidR="00472754">
        <w:t>low</w:t>
      </w:r>
      <w:r w:rsidR="000E0583">
        <w:t xml:space="preserve"> it is unlikely that </w:t>
      </w:r>
      <w:r w:rsidR="00C75F1E">
        <w:t xml:space="preserve">there will be significant </w:t>
      </w:r>
      <w:r w:rsidR="000E0583">
        <w:t xml:space="preserve">PRRT revenue from LNG projects or </w:t>
      </w:r>
      <w:r w:rsidR="00C75F1E">
        <w:t xml:space="preserve">much </w:t>
      </w:r>
      <w:r w:rsidR="000E0583">
        <w:t>new investment</w:t>
      </w:r>
      <w:r w:rsidR="00C75F1E">
        <w:t>.</w:t>
      </w:r>
      <w:r w:rsidR="000E0583">
        <w:t xml:space="preserve"> </w:t>
      </w:r>
    </w:p>
    <w:p w14:paraId="1BD44421" w14:textId="1F9731A0" w:rsidR="00657F61" w:rsidRDefault="00B00AF0" w:rsidP="00FA30EE">
      <w:r>
        <w:t>I</w:t>
      </w:r>
      <w:r w:rsidR="008604EE">
        <w:t xml:space="preserve">f </w:t>
      </w:r>
      <w:r w:rsidR="00EB6C72">
        <w:t xml:space="preserve">oil </w:t>
      </w:r>
      <w:r w:rsidR="008771FE">
        <w:t>(</w:t>
      </w:r>
      <w:r w:rsidR="00EB6C72">
        <w:t xml:space="preserve">and </w:t>
      </w:r>
      <w:r w:rsidR="00386EF5">
        <w:t>LNG</w:t>
      </w:r>
      <w:r w:rsidR="008771FE">
        <w:t>)</w:t>
      </w:r>
      <w:r w:rsidR="008604EE">
        <w:t xml:space="preserve"> prices are</w:t>
      </w:r>
      <w:r w:rsidR="00EB6C72">
        <w:t xml:space="preserve"> consistently in the </w:t>
      </w:r>
      <w:r w:rsidR="008604EE">
        <w:t>high</w:t>
      </w:r>
      <w:r w:rsidR="00EB6C72">
        <w:t xml:space="preserve">er </w:t>
      </w:r>
      <w:r w:rsidR="0087781C">
        <w:t>range,</w:t>
      </w:r>
      <w:r w:rsidR="00EB6C72">
        <w:t xml:space="preserve"> then</w:t>
      </w:r>
      <w:r w:rsidR="008604EE">
        <w:t xml:space="preserve"> </w:t>
      </w:r>
      <w:r w:rsidR="00A9198F">
        <w:t>most</w:t>
      </w:r>
      <w:r w:rsidR="00802E9C">
        <w:t xml:space="preserve"> new and existing projects are likely to pay PRRT at some point in their </w:t>
      </w:r>
      <w:r w:rsidR="00A1139B">
        <w:t>project</w:t>
      </w:r>
      <w:r w:rsidR="00802E9C">
        <w:t xml:space="preserve"> </w:t>
      </w:r>
      <w:r w:rsidR="00A9198F">
        <w:t>lifetimes and will be capable of absorbing change</w:t>
      </w:r>
      <w:r w:rsidR="00247353">
        <w:t>s to the GTP arrangements while still remaining profitable. In this</w:t>
      </w:r>
      <w:r w:rsidR="00DA0A98">
        <w:t xml:space="preserve"> scenario</w:t>
      </w:r>
      <w:r w:rsidR="009E61BA">
        <w:t>,</w:t>
      </w:r>
      <w:r w:rsidR="00247353">
        <w:t xml:space="preserve"> </w:t>
      </w:r>
      <w:r w:rsidR="0025521D">
        <w:t>new projects</w:t>
      </w:r>
      <w:r w:rsidR="009E61BA">
        <w:t xml:space="preserve"> </w:t>
      </w:r>
      <w:r w:rsidR="00A61C08">
        <w:t xml:space="preserve">will </w:t>
      </w:r>
      <w:r w:rsidR="009E61BA">
        <w:t>likely meet investor hurdle rates even with changes to the GTP</w:t>
      </w:r>
      <w:r w:rsidR="00102280">
        <w:t xml:space="preserve"> Regulation</w:t>
      </w:r>
      <w:r w:rsidR="009E61BA">
        <w:t xml:space="preserve">. </w:t>
      </w:r>
    </w:p>
    <w:p w14:paraId="3A4B3A37" w14:textId="5C296A33" w:rsidR="00A4247A" w:rsidRDefault="00BB2996" w:rsidP="00FA30EE">
      <w:r>
        <w:lastRenderedPageBreak/>
        <w:t>T</w:t>
      </w:r>
      <w:r w:rsidR="00264804">
        <w:t xml:space="preserve">he </w:t>
      </w:r>
      <w:r w:rsidR="00E42F4E">
        <w:t>central</w:t>
      </w:r>
      <w:r w:rsidR="00264804">
        <w:t xml:space="preserve"> case </w:t>
      </w:r>
      <w:r w:rsidR="007A6F47">
        <w:t>scenario</w:t>
      </w:r>
      <w:r w:rsidR="00264804">
        <w:t xml:space="preserve"> presents the greatest </w:t>
      </w:r>
      <w:r w:rsidR="0087781C">
        <w:t>trade-off</w:t>
      </w:r>
      <w:r w:rsidR="00A5409D">
        <w:t>.</w:t>
      </w:r>
      <w:r w:rsidR="001C3568">
        <w:t xml:space="preserve"> </w:t>
      </w:r>
      <w:r w:rsidR="00A5409D">
        <w:t>A</w:t>
      </w:r>
      <w:r w:rsidR="001C3568">
        <w:t>t</w:t>
      </w:r>
      <w:r w:rsidR="00264804">
        <w:t xml:space="preserve"> </w:t>
      </w:r>
      <w:r w:rsidR="002B0204">
        <w:t>mid-range oil and gas prices</w:t>
      </w:r>
      <w:r w:rsidR="00106246">
        <w:t>,</w:t>
      </w:r>
      <w:r w:rsidR="002B0204">
        <w:t xml:space="preserve"> existing projects are unlikely to </w:t>
      </w:r>
      <w:r w:rsidR="001E642A">
        <w:t xml:space="preserve">meet original investor hurdle </w:t>
      </w:r>
      <w:r w:rsidR="002B35C0">
        <w:t>r</w:t>
      </w:r>
      <w:r w:rsidR="001E642A">
        <w:t>ates but will be generating significant cash flows</w:t>
      </w:r>
      <w:r w:rsidR="002B3F74">
        <w:t>.</w:t>
      </w:r>
      <w:r w:rsidR="00F37066">
        <w:t xml:space="preserve"> Only a change to a netback </w:t>
      </w:r>
      <w:r w:rsidR="00690572">
        <w:t>only approach</w:t>
      </w:r>
      <w:r w:rsidR="00F37066">
        <w:t xml:space="preserve"> will result in a significant increase in PRRT receipts in this </w:t>
      </w:r>
      <w:r w:rsidR="002B35C0">
        <w:t>scenario</w:t>
      </w:r>
      <w:r w:rsidR="00661A90">
        <w:t xml:space="preserve">. </w:t>
      </w:r>
      <w:r w:rsidR="00700632">
        <w:t>However</w:t>
      </w:r>
      <w:r w:rsidR="0087781C">
        <w:t>,</w:t>
      </w:r>
      <w:r w:rsidR="00700632">
        <w:t xml:space="preserve"> a change to a netback </w:t>
      </w:r>
      <w:r w:rsidR="00690572">
        <w:t xml:space="preserve">only </w:t>
      </w:r>
      <w:r w:rsidR="00700632">
        <w:t xml:space="preserve">method is </w:t>
      </w:r>
      <w:r w:rsidR="000E1326">
        <w:t xml:space="preserve">more </w:t>
      </w:r>
      <w:r w:rsidR="00700632">
        <w:t xml:space="preserve">likely to result in </w:t>
      </w:r>
      <w:r w:rsidR="00CE516B">
        <w:t xml:space="preserve">some investments not </w:t>
      </w:r>
      <w:r w:rsidR="0030514E">
        <w:t>proceeding</w:t>
      </w:r>
      <w:r w:rsidR="00656D0D">
        <w:t xml:space="preserve">, while the revised </w:t>
      </w:r>
      <w:r w:rsidR="002979A7">
        <w:t>RPM</w:t>
      </w:r>
      <w:r w:rsidR="00656D0D">
        <w:t xml:space="preserve"> </w:t>
      </w:r>
      <w:r w:rsidR="005F0F89">
        <w:t xml:space="preserve">or deductions cap </w:t>
      </w:r>
      <w:r w:rsidR="00656D0D">
        <w:t xml:space="preserve">could mean they still </w:t>
      </w:r>
      <w:r w:rsidR="00183454">
        <w:t>proceed.</w:t>
      </w:r>
      <w:r w:rsidR="00CE516B">
        <w:t xml:space="preserve"> These projects would </w:t>
      </w:r>
      <w:r w:rsidR="0087781C">
        <w:t>likely</w:t>
      </w:r>
      <w:r w:rsidR="00CE516B">
        <w:t xml:space="preserve"> contribute </w:t>
      </w:r>
      <w:r w:rsidR="006B56FC">
        <w:t xml:space="preserve">corporate tax revenues, </w:t>
      </w:r>
      <w:r w:rsidR="00B20153">
        <w:t>provide gas to</w:t>
      </w:r>
      <w:r w:rsidR="006B56FC">
        <w:t xml:space="preserve"> Western </w:t>
      </w:r>
      <w:r w:rsidR="0087781C">
        <w:t>Australia’s</w:t>
      </w:r>
      <w:r w:rsidR="006B56FC">
        <w:t xml:space="preserve"> domestic market and contribute </w:t>
      </w:r>
      <w:r w:rsidR="00DB3891">
        <w:t xml:space="preserve">LNG cargoes </w:t>
      </w:r>
      <w:r w:rsidR="006B56FC">
        <w:t xml:space="preserve">to </w:t>
      </w:r>
      <w:r w:rsidR="00DB3891">
        <w:t xml:space="preserve">aid </w:t>
      </w:r>
      <w:r w:rsidR="006B56FC">
        <w:t>the global energy transition.</w:t>
      </w:r>
    </w:p>
    <w:p w14:paraId="14097F6D" w14:textId="431A650E" w:rsidR="001614C9" w:rsidRDefault="00183454" w:rsidP="00FA30EE">
      <w:r>
        <w:t xml:space="preserve">The choice between the netback </w:t>
      </w:r>
      <w:r w:rsidR="00690572">
        <w:t xml:space="preserve">only </w:t>
      </w:r>
      <w:r w:rsidR="000A1B97">
        <w:t>approach</w:t>
      </w:r>
      <w:r w:rsidR="00002548">
        <w:t>,</w:t>
      </w:r>
      <w:r w:rsidR="000A1B97">
        <w:t xml:space="preserve"> </w:t>
      </w:r>
      <w:r>
        <w:t xml:space="preserve">the revised RPM </w:t>
      </w:r>
      <w:r w:rsidR="00002548">
        <w:t xml:space="preserve">and the deductions cap </w:t>
      </w:r>
      <w:r>
        <w:t xml:space="preserve">should be informed by </w:t>
      </w:r>
      <w:r w:rsidR="001B473D">
        <w:t xml:space="preserve">a view on </w:t>
      </w:r>
      <w:r w:rsidR="002979A7">
        <w:t>the</w:t>
      </w:r>
      <w:r w:rsidR="00417DF8">
        <w:t xml:space="preserve"> role of PRRT revenues in </w:t>
      </w:r>
      <w:r w:rsidR="00922BC7">
        <w:t>the tax base</w:t>
      </w:r>
      <w:r w:rsidR="00B8024C">
        <w:t xml:space="preserve">, </w:t>
      </w:r>
      <w:r w:rsidR="001B473D">
        <w:t xml:space="preserve">likely future role for gas over the next 30 years, </w:t>
      </w:r>
      <w:r w:rsidR="006B5F7D">
        <w:t xml:space="preserve">expectations of </w:t>
      </w:r>
      <w:r w:rsidR="00857630">
        <w:t>long</w:t>
      </w:r>
      <w:r w:rsidR="00F123E7">
        <w:t>-</w:t>
      </w:r>
      <w:r w:rsidR="00857630">
        <w:t>term prices</w:t>
      </w:r>
      <w:r w:rsidR="00793EBF">
        <w:t xml:space="preserve"> </w:t>
      </w:r>
      <w:r w:rsidR="00DB3891">
        <w:t xml:space="preserve">driven by </w:t>
      </w:r>
      <w:r w:rsidR="00AF4FCC">
        <w:t xml:space="preserve">LNG </w:t>
      </w:r>
      <w:r w:rsidR="00DB3891">
        <w:t>demand</w:t>
      </w:r>
      <w:r w:rsidR="00793EBF">
        <w:t xml:space="preserve"> and the role of Australian gas reserves in meeting that demand</w:t>
      </w:r>
      <w:r w:rsidR="0064392B">
        <w:t>.</w:t>
      </w:r>
    </w:p>
    <w:p w14:paraId="685B9B7B" w14:textId="7A7F5AA4" w:rsidR="00BA4E50" w:rsidRDefault="0024632A" w:rsidP="00BA4E50">
      <w:r>
        <w:t xml:space="preserve">Treasury’s assessment is that the GTP changes may have an impact on investment but that this is project specific and only possible to quantify at the </w:t>
      </w:r>
      <w:r w:rsidR="0060064B">
        <w:t>point</w:t>
      </w:r>
      <w:r>
        <w:t xml:space="preserve"> in time and economic conditions in which the investment decision is made. Treasury understands that t</w:t>
      </w:r>
      <w:r w:rsidR="00BA4E50">
        <w:t>ax is never a factor on its own that determines whether an investment proceeds or not</w:t>
      </w:r>
      <w:r w:rsidR="0060064B">
        <w:t>, but</w:t>
      </w:r>
      <w:r w:rsidR="00BA4E50">
        <w:t xml:space="preserve"> is one of many </w:t>
      </w:r>
      <w:r w:rsidR="0060064B">
        <w:t>direct and indirect</w:t>
      </w:r>
      <w:r w:rsidR="00BA4E50">
        <w:t xml:space="preserve"> inputs that contribute to a </w:t>
      </w:r>
      <w:r w:rsidR="0060064B">
        <w:t>decision about whether an investment proceeds</w:t>
      </w:r>
      <w:r w:rsidR="00BA4E50">
        <w:t>.</w:t>
      </w:r>
    </w:p>
    <w:p w14:paraId="256E79D2" w14:textId="02491276" w:rsidR="0060064B" w:rsidRDefault="0060064B" w:rsidP="00BA4E50">
      <w:r>
        <w:t xml:space="preserve">Ultimately it is only the individual joint venture participants who can make a </w:t>
      </w:r>
      <w:r w:rsidR="007F3D8A">
        <w:t>judgment</w:t>
      </w:r>
      <w:r>
        <w:t xml:space="preserve"> call about how one project compares with other opportunities in their portfolios. One of the risks for</w:t>
      </w:r>
      <w:r w:rsidR="00AC1CB0">
        <w:t xml:space="preserve"> investment in Australia is even if the GTP changes are not significant enough to move the project below investment grade, the project may nevertheless be </w:t>
      </w:r>
      <w:r w:rsidR="00F46E27">
        <w:t>rated lower in the portfolio of opportunities than other projects</w:t>
      </w:r>
      <w:r w:rsidR="007F3D8A">
        <w:t>.</w:t>
      </w:r>
    </w:p>
    <w:p w14:paraId="7EA67FC6" w14:textId="5F092843" w:rsidR="001614C9" w:rsidRPr="000205F6" w:rsidRDefault="00916A76" w:rsidP="00FA30EE">
      <w:r>
        <w:t>On balance</w:t>
      </w:r>
      <w:r w:rsidR="00204646">
        <w:t xml:space="preserve">, </w:t>
      </w:r>
      <w:r w:rsidR="00DC0015">
        <w:t>T</w:t>
      </w:r>
      <w:r w:rsidR="00204646">
        <w:t>reasury’s assessment is that</w:t>
      </w:r>
      <w:r w:rsidR="007C1C0A">
        <w:t>,</w:t>
      </w:r>
      <w:r w:rsidR="00204646">
        <w:t xml:space="preserve"> while material, a change to the </w:t>
      </w:r>
      <w:r w:rsidR="001E5305">
        <w:t>RPM</w:t>
      </w:r>
      <w:r w:rsidR="00204646">
        <w:t xml:space="preserve"> </w:t>
      </w:r>
      <w:r w:rsidR="006821AE">
        <w:t xml:space="preserve">on its own should not </w:t>
      </w:r>
      <w:r w:rsidR="0057582C">
        <w:t xml:space="preserve">be </w:t>
      </w:r>
      <w:r w:rsidR="00DC0015">
        <w:t xml:space="preserve">decisive against other </w:t>
      </w:r>
      <w:r w:rsidR="005B42B9">
        <w:t>more significant</w:t>
      </w:r>
      <w:r w:rsidR="00F707DA">
        <w:t xml:space="preserve"> </w:t>
      </w:r>
      <w:r w:rsidR="00DC0015">
        <w:t>factors in an investment decision</w:t>
      </w:r>
      <w:r w:rsidR="00E950FE">
        <w:t xml:space="preserve"> such a</w:t>
      </w:r>
      <w:r w:rsidR="00D20EA6">
        <w:t xml:space="preserve">s </w:t>
      </w:r>
      <w:r w:rsidR="00790014">
        <w:t xml:space="preserve">overall projects costs, </w:t>
      </w:r>
      <w:r w:rsidR="00F707DA">
        <w:t xml:space="preserve">oil price </w:t>
      </w:r>
      <w:r w:rsidR="005B42B9">
        <w:t>assumptions</w:t>
      </w:r>
      <w:r w:rsidR="00715E99">
        <w:t xml:space="preserve"> </w:t>
      </w:r>
      <w:r w:rsidR="00F707DA">
        <w:t>and global demand for LNG</w:t>
      </w:r>
      <w:r w:rsidR="00775F09">
        <w:t>.</w:t>
      </w:r>
      <w:r w:rsidR="00D511E5">
        <w:t xml:space="preserve"> However</w:t>
      </w:r>
      <w:r w:rsidR="00F837F1">
        <w:t>,</w:t>
      </w:r>
      <w:r w:rsidR="00D511E5">
        <w:t xml:space="preserve"> when consider</w:t>
      </w:r>
      <w:r w:rsidR="00145A5D">
        <w:t>ing</w:t>
      </w:r>
      <w:r w:rsidR="00C80127">
        <w:t xml:space="preserve"> changes to the PRRT </w:t>
      </w:r>
      <w:r w:rsidR="001A3D1C">
        <w:t>in the context of the broader</w:t>
      </w:r>
      <w:r w:rsidR="00B01D47">
        <w:t xml:space="preserve"> </w:t>
      </w:r>
      <w:r w:rsidR="00704FEA">
        <w:t xml:space="preserve">investment </w:t>
      </w:r>
      <w:r w:rsidR="00B01D47">
        <w:t xml:space="preserve">environment </w:t>
      </w:r>
      <w:r w:rsidR="00947BF0">
        <w:t>and the importance of the sector in</w:t>
      </w:r>
      <w:r w:rsidR="003A408E">
        <w:t xml:space="preserve"> supporting</w:t>
      </w:r>
      <w:r w:rsidR="00036F35">
        <w:t xml:space="preserve"> the transition to a lower emission economy,</w:t>
      </w:r>
      <w:r w:rsidR="00B01D47">
        <w:t xml:space="preserve"> </w:t>
      </w:r>
      <w:r w:rsidR="00D3386A">
        <w:t xml:space="preserve">a cap on the use of deductions may </w:t>
      </w:r>
      <w:r w:rsidR="00004B70">
        <w:t xml:space="preserve">provide an appropriate </w:t>
      </w:r>
      <w:r w:rsidR="004450A0">
        <w:t>balance between</w:t>
      </w:r>
      <w:r w:rsidR="00A349A9">
        <w:t xml:space="preserve"> </w:t>
      </w:r>
      <w:r w:rsidR="008A29E9">
        <w:t>ensur</w:t>
      </w:r>
      <w:r w:rsidR="004450A0">
        <w:t>ing</w:t>
      </w:r>
      <w:r w:rsidR="008A29E9">
        <w:t xml:space="preserve"> a</w:t>
      </w:r>
      <w:r w:rsidR="0083592F">
        <w:t>n equitable</w:t>
      </w:r>
      <w:r w:rsidR="008A29E9">
        <w:t xml:space="preserve"> return </w:t>
      </w:r>
      <w:r w:rsidR="00820678">
        <w:t>to Australians for</w:t>
      </w:r>
      <w:r w:rsidR="00085B81">
        <w:t xml:space="preserve"> </w:t>
      </w:r>
      <w:r w:rsidR="0083592F">
        <w:t xml:space="preserve">the recovery of their natural gas, while minimising </w:t>
      </w:r>
      <w:r w:rsidR="002913DF">
        <w:t>disincentives to investment</w:t>
      </w:r>
      <w:r w:rsidR="00A851E4">
        <w:t xml:space="preserve"> and </w:t>
      </w:r>
      <w:r w:rsidR="00975215">
        <w:t>new supply</w:t>
      </w:r>
      <w:r w:rsidR="00EF0143">
        <w:t>.</w:t>
      </w:r>
    </w:p>
    <w:sectPr w:rsidR="001614C9" w:rsidRPr="000205F6" w:rsidSect="00295B30">
      <w:headerReference w:type="even" r:id="rId31"/>
      <w:footerReference w:type="even" r:id="rId32"/>
      <w:headerReference w:type="first" r:id="rId33"/>
      <w:footerReference w:type="first" r:id="rId34"/>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BA6B" w14:textId="77777777" w:rsidR="00867BD7" w:rsidRDefault="00867BD7">
      <w:pPr>
        <w:spacing w:before="0" w:after="0"/>
      </w:pPr>
      <w:r>
        <w:separator/>
      </w:r>
    </w:p>
  </w:endnote>
  <w:endnote w:type="continuationSeparator" w:id="0">
    <w:p w14:paraId="1E4FE18E" w14:textId="77777777" w:rsidR="00867BD7" w:rsidRDefault="00867BD7">
      <w:pPr>
        <w:spacing w:before="0" w:after="0"/>
      </w:pPr>
      <w:r>
        <w:continuationSeparator/>
      </w:r>
    </w:p>
  </w:endnote>
  <w:endnote w:type="continuationNotice" w:id="1">
    <w:p w14:paraId="288937F3" w14:textId="77777777" w:rsidR="00867BD7" w:rsidRDefault="00867B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Demibold">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D2D1" w14:textId="77777777" w:rsidR="00D100A8" w:rsidRDefault="00D10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0EF9" w14:textId="2BA46F3E" w:rsidR="00A14451" w:rsidRDefault="00A14451" w:rsidP="00696815">
    <w:pPr>
      <w:pStyle w:val="FooterEven"/>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824F15">
        <w:t>4. Industry overview</w:t>
      </w:r>
    </w:fldSimple>
    <w:r>
      <w:tab/>
    </w:r>
    <w:r w:rsidRPr="00103F3C">
      <w:rPr>
        <w:position w:val="-8"/>
      </w:rPr>
      <w:drawing>
        <wp:inline distT="0" distB="0" distL="0" distR="0" wp14:anchorId="1B741A4F" wp14:editId="502216D9">
          <wp:extent cx="1324800" cy="201600"/>
          <wp:effectExtent l="0" t="0" r="0" b="8255"/>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p w14:paraId="7FE81605" w14:textId="77777777" w:rsidR="00F775F8" w:rsidRDefault="00F77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A8D" w14:textId="77777777" w:rsidR="00D100A8" w:rsidRDefault="00D100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BAB6" w14:textId="31E5F200" w:rsidR="00672B5D" w:rsidRDefault="00672B5D" w:rsidP="00380727">
    <w:pPr>
      <w:pStyle w:val="FooterEven"/>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824F15">
        <w:t>4. Industry overview</w:t>
      </w:r>
    </w:fldSimple>
    <w:r w:rsidR="00E66CE8">
      <w:tab/>
    </w:r>
    <w:r w:rsidR="00413299" w:rsidRPr="00103F3C">
      <w:rPr>
        <w:position w:val="-8"/>
      </w:rPr>
      <w:drawing>
        <wp:inline distT="0" distB="0" distL="0" distR="0" wp14:anchorId="4AD8B1A1" wp14:editId="0A77BB44">
          <wp:extent cx="1324800" cy="201600"/>
          <wp:effectExtent l="0" t="0" r="0" b="8255"/>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8366"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4E00" w14:textId="77777777" w:rsidR="00867BD7" w:rsidRPr="00ED5A20" w:rsidRDefault="00867BD7" w:rsidP="000F6233">
      <w:pPr>
        <w:rPr>
          <w:color w:val="4D7861" w:themeColor="accent2"/>
        </w:rPr>
      </w:pPr>
      <w:r w:rsidRPr="00ED5A20">
        <w:rPr>
          <w:color w:val="4D7861" w:themeColor="accent2"/>
        </w:rPr>
        <w:separator/>
      </w:r>
    </w:p>
  </w:footnote>
  <w:footnote w:type="continuationSeparator" w:id="0">
    <w:p w14:paraId="522FA16F" w14:textId="77777777" w:rsidR="00867BD7" w:rsidRPr="00B737EB" w:rsidRDefault="00867BD7">
      <w:pPr>
        <w:spacing w:before="0" w:after="0"/>
        <w:rPr>
          <w:color w:val="2C384A" w:themeColor="accent1"/>
        </w:rPr>
      </w:pPr>
      <w:r w:rsidRPr="00B737EB">
        <w:rPr>
          <w:color w:val="2C384A" w:themeColor="accent1"/>
        </w:rPr>
        <w:continuationSeparator/>
      </w:r>
    </w:p>
  </w:footnote>
  <w:footnote w:type="continuationNotice" w:id="1">
    <w:p w14:paraId="249EDB80" w14:textId="77777777" w:rsidR="00867BD7" w:rsidRDefault="00867BD7">
      <w:pPr>
        <w:spacing w:before="0" w:after="0"/>
      </w:pPr>
    </w:p>
  </w:footnote>
  <w:footnote w:id="2">
    <w:p w14:paraId="3910F3FB" w14:textId="281C86F3" w:rsidR="00B95D54" w:rsidRPr="00AF2EC6" w:rsidRDefault="00B95D54">
      <w:pPr>
        <w:pStyle w:val="FootnoteText"/>
      </w:pPr>
      <w:r>
        <w:rPr>
          <w:rStyle w:val="FootnoteReference"/>
        </w:rPr>
        <w:footnoteRef/>
      </w:r>
      <w:r>
        <w:t xml:space="preserve"> Throughout this report, </w:t>
      </w:r>
      <w:r w:rsidR="00B81CBD">
        <w:t xml:space="preserve">a reference to </w:t>
      </w:r>
      <w:r w:rsidR="00B558E4">
        <w:t>‘</w:t>
      </w:r>
      <w:r w:rsidR="00B81CBD">
        <w:t>GTP Regulation</w:t>
      </w:r>
      <w:r w:rsidR="00B558E4">
        <w:t>’</w:t>
      </w:r>
      <w:r w:rsidR="00B81CBD">
        <w:t xml:space="preserve">, </w:t>
      </w:r>
      <w:r w:rsidR="00B558E4">
        <w:t>‘</w:t>
      </w:r>
      <w:r w:rsidR="00B81CBD">
        <w:t>GTP rules</w:t>
      </w:r>
      <w:r w:rsidR="00B558E4">
        <w:t>’</w:t>
      </w:r>
      <w:r w:rsidR="00F0278A">
        <w:t xml:space="preserve">, </w:t>
      </w:r>
      <w:r w:rsidR="00B81CBD">
        <w:t xml:space="preserve">or </w:t>
      </w:r>
      <w:r w:rsidR="00B558E4">
        <w:t>‘</w:t>
      </w:r>
      <w:r w:rsidR="00B81CBD">
        <w:t>GTP arrangements</w:t>
      </w:r>
      <w:r w:rsidR="00B558E4">
        <w:t>’</w:t>
      </w:r>
      <w:r w:rsidR="00B81CBD">
        <w:t xml:space="preserve"> is a reference to the </w:t>
      </w:r>
      <w:r w:rsidR="00B81CBD">
        <w:rPr>
          <w:i/>
          <w:iCs/>
        </w:rPr>
        <w:t xml:space="preserve">Petroleum Resource Rent Tax Assessment </w:t>
      </w:r>
      <w:r w:rsidR="00AF2EC6">
        <w:rPr>
          <w:i/>
          <w:iCs/>
        </w:rPr>
        <w:t>Regulation 2015</w:t>
      </w:r>
      <w:r w:rsidR="00AF2EC6">
        <w:t>.</w:t>
      </w:r>
    </w:p>
  </w:footnote>
  <w:footnote w:id="3">
    <w:p w14:paraId="0F579C6F" w14:textId="6E08FA24" w:rsidR="00726B4F" w:rsidRDefault="00726B4F">
      <w:pPr>
        <w:pStyle w:val="FootnoteText"/>
      </w:pPr>
      <w:r>
        <w:rPr>
          <w:rStyle w:val="FootnoteReference"/>
        </w:rPr>
        <w:footnoteRef/>
      </w:r>
      <w:r>
        <w:t xml:space="preserve"> </w:t>
      </w:r>
      <w:r w:rsidR="0022456D">
        <w:tab/>
      </w:r>
      <w:hyperlink r:id="rId1" w:history="1">
        <w:r w:rsidR="0022456D" w:rsidRPr="006544A2">
          <w:rPr>
            <w:rStyle w:val="Hyperlink"/>
          </w:rPr>
          <w:t>https://www.ato.gov.au</w:t>
        </w:r>
      </w:hyperlink>
      <w:r w:rsidR="003631A4">
        <w:t xml:space="preserve"> and, Taxation statistics 2019–20 Table 5: GST and other taxes – Petroleum resource rent tax, Selected items: 1999–2000 to 2020–21 financial years.</w:t>
      </w:r>
    </w:p>
  </w:footnote>
  <w:footnote w:id="4">
    <w:p w14:paraId="6D93B902" w14:textId="570F46E5" w:rsidR="006C5E01" w:rsidRDefault="006C5E01">
      <w:pPr>
        <w:pStyle w:val="FootnoteText"/>
      </w:pPr>
      <w:r>
        <w:rPr>
          <w:rStyle w:val="FootnoteReference"/>
        </w:rPr>
        <w:footnoteRef/>
      </w:r>
      <w:r>
        <w:t xml:space="preserve"> </w:t>
      </w:r>
      <w:r w:rsidR="007B3B45">
        <w:t xml:space="preserve">The practical and administrative difficulties </w:t>
      </w:r>
      <w:r w:rsidR="001D3EBB">
        <w:t>submitted by industry are outline</w:t>
      </w:r>
      <w:r w:rsidR="001D3EBB" w:rsidRPr="00FE49BF">
        <w:t xml:space="preserve">d in </w:t>
      </w:r>
      <w:r w:rsidR="00B35943" w:rsidRPr="00FE49BF">
        <w:t>Part 7.2</w:t>
      </w:r>
      <w:r w:rsidR="00D03B3F" w:rsidRPr="00FE49BF">
        <w:t xml:space="preserve"> of this </w:t>
      </w:r>
      <w:r w:rsidR="00B34689">
        <w:t>Review</w:t>
      </w:r>
      <w:r w:rsidR="00AD69D9" w:rsidRPr="00FE49BF">
        <w:t xml:space="preserve"> that </w:t>
      </w:r>
      <w:r w:rsidR="007A28CE" w:rsidRPr="00FE49BF">
        <w:t xml:space="preserve">discusses </w:t>
      </w:r>
      <w:r w:rsidR="00F63543" w:rsidRPr="00FE49BF">
        <w:t>combination of PRRT Projects</w:t>
      </w:r>
      <w:r w:rsidR="00AD69D9" w:rsidRPr="00FE49BF">
        <w:t>.</w:t>
      </w:r>
    </w:p>
  </w:footnote>
  <w:footnote w:id="5">
    <w:p w14:paraId="0EFBFAA2" w14:textId="3334BEA0" w:rsidR="004320ED" w:rsidRDefault="004320ED">
      <w:pPr>
        <w:pStyle w:val="FootnoteText"/>
      </w:pPr>
      <w:r>
        <w:rPr>
          <w:rStyle w:val="FootnoteReference"/>
        </w:rPr>
        <w:footnoteRef/>
      </w:r>
      <w:r>
        <w:t xml:space="preserve"> The Australian community may nonetheless benefit from company tax payments, jobs and energy supply otherwise provided by such projects.</w:t>
      </w:r>
    </w:p>
  </w:footnote>
  <w:footnote w:id="6">
    <w:p w14:paraId="5E409FC1" w14:textId="4A814787" w:rsidR="009A1E66" w:rsidRDefault="009A1E66" w:rsidP="009A1E66">
      <w:pPr>
        <w:pStyle w:val="FootnoteText"/>
      </w:pPr>
      <w:r>
        <w:rPr>
          <w:rStyle w:val="FootnoteReference"/>
        </w:rPr>
        <w:footnoteRef/>
      </w:r>
      <w:r>
        <w:t xml:space="preserve"> It is </w:t>
      </w:r>
      <w:r w:rsidR="004404DA">
        <w:t xml:space="preserve">also relevant to the determination of a </w:t>
      </w:r>
      <w:r>
        <w:t xml:space="preserve">PRRT liability for gas-to-electricity projects. </w:t>
      </w:r>
    </w:p>
  </w:footnote>
  <w:footnote w:id="7">
    <w:p w14:paraId="36F1710F" w14:textId="02F764F8" w:rsidR="008350A1" w:rsidRDefault="008350A1">
      <w:pPr>
        <w:pStyle w:val="FootnoteText"/>
      </w:pPr>
      <w:r>
        <w:rPr>
          <w:rStyle w:val="FootnoteReference"/>
        </w:rPr>
        <w:footnoteRef/>
      </w:r>
      <w:r>
        <w:t xml:space="preserve"> Although the </w:t>
      </w:r>
      <w:r w:rsidR="009A463E">
        <w:t>N</w:t>
      </w:r>
      <w:r w:rsidR="00BD1048">
        <w:t xml:space="preserve">orth </w:t>
      </w:r>
      <w:r w:rsidR="009A463E">
        <w:t>W</w:t>
      </w:r>
      <w:r w:rsidR="00BD1048">
        <w:t xml:space="preserve">est </w:t>
      </w:r>
      <w:r w:rsidR="009A463E">
        <w:t>S</w:t>
      </w:r>
      <w:r w:rsidR="00BD1048">
        <w:t>helf</w:t>
      </w:r>
      <w:r w:rsidR="009A463E">
        <w:t xml:space="preserve"> </w:t>
      </w:r>
      <w:r>
        <w:t>project had been exporting LNG to Japan since 1989, it was not subject to the PRRT given its pre-existing royalty arrangements.</w:t>
      </w:r>
    </w:p>
  </w:footnote>
  <w:footnote w:id="8">
    <w:p w14:paraId="6D58B576" w14:textId="75E6C664" w:rsidR="009A1E66" w:rsidRDefault="009A1E66" w:rsidP="009A1E66">
      <w:pPr>
        <w:pStyle w:val="FootnoteText"/>
      </w:pPr>
      <w:r>
        <w:rPr>
          <w:rStyle w:val="FootnoteReference"/>
        </w:rPr>
        <w:footnoteRef/>
      </w:r>
      <w:r>
        <w:t xml:space="preserve"> It was also to apply to all integrated gas-to-electricity projects.</w:t>
      </w:r>
    </w:p>
  </w:footnote>
  <w:footnote w:id="9">
    <w:p w14:paraId="641D901B" w14:textId="2FB77EC8" w:rsidR="00736496" w:rsidRDefault="00736496">
      <w:pPr>
        <w:pStyle w:val="FootnoteText"/>
      </w:pPr>
      <w:r>
        <w:rPr>
          <w:rStyle w:val="FootnoteReference"/>
        </w:rPr>
        <w:footnoteRef/>
      </w:r>
      <w:r w:rsidR="00717679" w:rsidRPr="00F56891">
        <w:rPr>
          <w:rStyle w:val="Hyperlink"/>
          <w:color w:val="auto"/>
        </w:rPr>
        <w:t xml:space="preserve"> </w:t>
      </w:r>
      <w:r w:rsidR="00F56891">
        <w:rPr>
          <w:rStyle w:val="Hyperlink"/>
          <w:color w:val="auto"/>
        </w:rPr>
        <w:t xml:space="preserve">Report </w:t>
      </w:r>
      <w:r w:rsidR="00717679" w:rsidRPr="00F56891">
        <w:rPr>
          <w:rStyle w:val="Hyperlink"/>
          <w:color w:val="auto"/>
        </w:rPr>
        <w:t xml:space="preserve">available at </w:t>
      </w:r>
      <w:hyperlink r:id="rId2" w:history="1">
        <w:r w:rsidR="00717679">
          <w:rPr>
            <w:rStyle w:val="Hyperlink"/>
          </w:rPr>
          <w:t>Petroleum Resource R...~https://treasury.gov.au/consultation/c2019-t364690</w:t>
        </w:r>
      </w:hyperlink>
      <w:r w:rsidR="00B009B0">
        <w:t>.</w:t>
      </w:r>
      <w:r>
        <w:t xml:space="preserve"> </w:t>
      </w:r>
    </w:p>
  </w:footnote>
  <w:footnote w:id="10">
    <w:p w14:paraId="76BD3AA0" w14:textId="25C643B1" w:rsidR="002679F9" w:rsidRDefault="002679F9" w:rsidP="002679F9">
      <w:pPr>
        <w:pStyle w:val="FootnoteText"/>
      </w:pPr>
      <w:r>
        <w:rPr>
          <w:rStyle w:val="FootnoteReference"/>
        </w:rPr>
        <w:footnoteRef/>
      </w:r>
      <w:r>
        <w:t xml:space="preserve"> Dr Diane Kraal, Submission to the GTP Review, p. 7.</w:t>
      </w:r>
    </w:p>
  </w:footnote>
  <w:footnote w:id="11">
    <w:p w14:paraId="6DEAE897" w14:textId="0BA09A0E" w:rsidR="00BD0264" w:rsidRDefault="00BD0264" w:rsidP="00BD0264">
      <w:pPr>
        <w:pStyle w:val="FootnoteText"/>
      </w:pPr>
      <w:r>
        <w:rPr>
          <w:rStyle w:val="FootnoteReference"/>
        </w:rPr>
        <w:footnoteRef/>
      </w:r>
      <w:r>
        <w:t xml:space="preserve"> Department of Industry, Science and Resources, </w:t>
      </w:r>
      <w:r w:rsidRPr="00D1389A">
        <w:rPr>
          <w:i/>
          <w:iCs/>
        </w:rPr>
        <w:t xml:space="preserve">Resources and </w:t>
      </w:r>
      <w:r w:rsidR="008927B3">
        <w:rPr>
          <w:i/>
          <w:iCs/>
        </w:rPr>
        <w:t>E</w:t>
      </w:r>
      <w:r w:rsidRPr="00D1389A">
        <w:rPr>
          <w:i/>
          <w:iCs/>
        </w:rPr>
        <w:t xml:space="preserve">nergy </w:t>
      </w:r>
      <w:r w:rsidR="008927B3">
        <w:rPr>
          <w:i/>
          <w:iCs/>
        </w:rPr>
        <w:t>Q</w:t>
      </w:r>
      <w:r w:rsidRPr="00D1389A">
        <w:rPr>
          <w:i/>
          <w:iCs/>
        </w:rPr>
        <w:t>uarterly</w:t>
      </w:r>
      <w:r w:rsidR="00B96518">
        <w:rPr>
          <w:i/>
          <w:iCs/>
        </w:rPr>
        <w:t xml:space="preserve"> –</w:t>
      </w:r>
      <w:r>
        <w:rPr>
          <w:i/>
          <w:iCs/>
        </w:rPr>
        <w:t xml:space="preserve"> </w:t>
      </w:r>
      <w:r w:rsidRPr="00D1389A">
        <w:rPr>
          <w:i/>
          <w:iCs/>
        </w:rPr>
        <w:t>December</w:t>
      </w:r>
      <w:r>
        <w:rPr>
          <w:i/>
          <w:iCs/>
        </w:rPr>
        <w:t xml:space="preserve"> </w:t>
      </w:r>
      <w:r w:rsidRPr="00D1389A">
        <w:rPr>
          <w:i/>
          <w:iCs/>
        </w:rPr>
        <w:t>2022</w:t>
      </w:r>
      <w:r>
        <w:t>.</w:t>
      </w:r>
    </w:p>
  </w:footnote>
  <w:footnote w:id="12">
    <w:p w14:paraId="67E9CE62" w14:textId="0EF66A29" w:rsidR="00BD0264" w:rsidRDefault="00BD0264" w:rsidP="00BD0264">
      <w:pPr>
        <w:pStyle w:val="FootnoteText"/>
      </w:pPr>
      <w:r>
        <w:rPr>
          <w:rStyle w:val="FootnoteReference"/>
        </w:rPr>
        <w:footnoteRef/>
      </w:r>
      <w:r>
        <w:t xml:space="preserve"> Department of Industry, Science and Resources, </w:t>
      </w:r>
      <w:r>
        <w:rPr>
          <w:i/>
          <w:iCs/>
        </w:rPr>
        <w:t>Resources and Energy Quarterly – December 2022</w:t>
      </w:r>
      <w:r>
        <w:t xml:space="preserve">. </w:t>
      </w:r>
    </w:p>
  </w:footnote>
  <w:footnote w:id="13">
    <w:p w14:paraId="4BBA8133" w14:textId="2CC958A7" w:rsidR="00284505" w:rsidRDefault="00284505">
      <w:pPr>
        <w:pStyle w:val="FootnoteText"/>
      </w:pPr>
      <w:r>
        <w:rPr>
          <w:rStyle w:val="FootnoteReference"/>
        </w:rPr>
        <w:footnoteRef/>
      </w:r>
      <w:r>
        <w:t xml:space="preserve"> </w:t>
      </w:r>
      <w:r w:rsidR="00031238">
        <w:t>Queensland Curtis LNG (QCLNG)</w:t>
      </w:r>
      <w:r w:rsidR="005F23B8">
        <w:t>,</w:t>
      </w:r>
      <w:r w:rsidR="00031238">
        <w:t xml:space="preserve"> </w:t>
      </w:r>
      <w:r w:rsidR="005F23B8">
        <w:t xml:space="preserve">Gladstone LNG (GLNG) </w:t>
      </w:r>
      <w:r w:rsidR="00031238">
        <w:t>and Australia Pacific LNG (APLNG)</w:t>
      </w:r>
      <w:r w:rsidR="00474AA0">
        <w:t>.</w:t>
      </w:r>
    </w:p>
  </w:footnote>
  <w:footnote w:id="14">
    <w:p w14:paraId="707D98DD" w14:textId="6A624C16" w:rsidR="00E97CEA" w:rsidRDefault="00E97CEA">
      <w:pPr>
        <w:pStyle w:val="FootnoteText"/>
      </w:pPr>
      <w:r>
        <w:rPr>
          <w:rStyle w:val="FootnoteReference"/>
        </w:rPr>
        <w:footnoteRef/>
      </w:r>
      <w:r>
        <w:t xml:space="preserve"> </w:t>
      </w:r>
      <w:r w:rsidR="0006374C">
        <w:t xml:space="preserve">See </w:t>
      </w:r>
      <w:r w:rsidR="0085236D">
        <w:t>Callaghan Review, p. 23.</w:t>
      </w:r>
    </w:p>
  </w:footnote>
  <w:footnote w:id="15">
    <w:p w14:paraId="0F9F643D" w14:textId="60D5A27F" w:rsidR="00BD0264" w:rsidRDefault="00BD0264" w:rsidP="00BD0264">
      <w:pPr>
        <w:pStyle w:val="FootnoteText"/>
      </w:pPr>
      <w:r>
        <w:rPr>
          <w:rStyle w:val="FootnoteReference"/>
        </w:rPr>
        <w:footnoteRef/>
      </w:r>
      <w:r>
        <w:t xml:space="preserve"> Department of Industry, Science and Resources, </w:t>
      </w:r>
      <w:r w:rsidRPr="00D1389A">
        <w:rPr>
          <w:i/>
          <w:iCs/>
        </w:rPr>
        <w:t>Resources and Energy Quarterly</w:t>
      </w:r>
      <w:r>
        <w:rPr>
          <w:i/>
          <w:iCs/>
        </w:rPr>
        <w:t xml:space="preserve"> – September 2016.</w:t>
      </w:r>
    </w:p>
  </w:footnote>
  <w:footnote w:id="16">
    <w:p w14:paraId="6094FDA0" w14:textId="063B65FC" w:rsidR="0085236D" w:rsidRDefault="0085236D">
      <w:pPr>
        <w:pStyle w:val="FootnoteText"/>
      </w:pPr>
      <w:r>
        <w:rPr>
          <w:rStyle w:val="FootnoteReference"/>
        </w:rPr>
        <w:footnoteRef/>
      </w:r>
      <w:r>
        <w:t xml:space="preserve"> </w:t>
      </w:r>
      <w:r w:rsidR="00A47701">
        <w:t xml:space="preserve">See Callaghan Review, p. 5. </w:t>
      </w:r>
    </w:p>
  </w:footnote>
  <w:footnote w:id="17">
    <w:p w14:paraId="70D53B71" w14:textId="3D96A724" w:rsidR="00BD0264" w:rsidRDefault="00BD0264" w:rsidP="001F5009">
      <w:pPr>
        <w:pStyle w:val="FootnoteText"/>
      </w:pPr>
      <w:r>
        <w:rPr>
          <w:rStyle w:val="FootnoteReference"/>
        </w:rPr>
        <w:footnoteRef/>
      </w:r>
      <w:r>
        <w:t xml:space="preserve"> Under the WA domestic gas reservation policy, gas equivalent to 15 per cent of LNG produced to supply the global LNG market must be reserved for WA consumers, which complements supply from domestic-only projects using the WA gas pipeline network. </w:t>
      </w:r>
      <w:r w:rsidR="00F3065D">
        <w:t xml:space="preserve">The Karratha Gas Plant, part of the </w:t>
      </w:r>
      <w:r w:rsidR="00ED59A8">
        <w:t>NWS</w:t>
      </w:r>
      <w:r w:rsidR="00F3065D">
        <w:t xml:space="preserve"> project, has been producing domestic gas for WA </w:t>
      </w:r>
      <w:r w:rsidR="00F3065D" w:rsidRPr="001C29D4">
        <w:t>since 1984</w:t>
      </w:r>
      <w:r w:rsidR="00F3065D">
        <w:t xml:space="preserve">. </w:t>
      </w:r>
      <w:r>
        <w:t xml:space="preserve">Gorgon started supplying DMO quantities in 2016, Pluto in 2018 and Wheatstone in 2019. </w:t>
      </w:r>
      <w:r w:rsidRPr="004B42DF">
        <w:t>Because the Ichthys LNG facility is in the Northern Territory, it does not contribute to WA’s overall LNG production capacity and, for that reason, does not contribute to WA’s domestic gas supply</w:t>
      </w:r>
      <w:r>
        <w:t xml:space="preserve">. Similarly, Prelude </w:t>
      </w:r>
      <w:r w:rsidR="00751F38">
        <w:t>is not subject to</w:t>
      </w:r>
      <w:r>
        <w:t xml:space="preserve"> DMO obligations to the WA domestic gas market as it is a floating LNG facility located offshore in Commonwealth waters</w:t>
      </w:r>
      <w:r w:rsidR="000B125F">
        <w:t>.</w:t>
      </w:r>
    </w:p>
  </w:footnote>
  <w:footnote w:id="18">
    <w:p w14:paraId="3F566299" w14:textId="4745EE59" w:rsidR="00BD0264" w:rsidRPr="00EF7E25" w:rsidRDefault="00BD0264" w:rsidP="00BD0264">
      <w:pPr>
        <w:pStyle w:val="FootnoteText"/>
      </w:pPr>
      <w:r>
        <w:rPr>
          <w:rStyle w:val="FootnoteReference"/>
        </w:rPr>
        <w:footnoteRef/>
      </w:r>
      <w:r>
        <w:t xml:space="preserve"> Australian Energy Market Operator, </w:t>
      </w:r>
      <w:r>
        <w:rPr>
          <w:i/>
          <w:iCs/>
        </w:rPr>
        <w:t>WA Gas Statement of Opportunities</w:t>
      </w:r>
      <w:r>
        <w:t xml:space="preserve">, December 2022. </w:t>
      </w:r>
    </w:p>
  </w:footnote>
  <w:footnote w:id="19">
    <w:p w14:paraId="38F89F2F" w14:textId="5BE947F5" w:rsidR="00A9582A" w:rsidRDefault="00A9582A">
      <w:pPr>
        <w:pStyle w:val="FootnoteText"/>
      </w:pPr>
      <w:r>
        <w:rPr>
          <w:rStyle w:val="FootnoteReference"/>
        </w:rPr>
        <w:footnoteRef/>
      </w:r>
      <w:r>
        <w:t xml:space="preserve"> APPEA</w:t>
      </w:r>
      <w:r w:rsidR="00133441">
        <w:t xml:space="preserve">, Submission to the GTP Review, </w:t>
      </w:r>
      <w:r w:rsidR="00734FE4">
        <w:t xml:space="preserve">p. 30. </w:t>
      </w:r>
    </w:p>
  </w:footnote>
  <w:footnote w:id="20">
    <w:p w14:paraId="70116DDB" w14:textId="06F39745" w:rsidR="00BD0264" w:rsidRPr="00EB7EE7" w:rsidRDefault="00BD0264" w:rsidP="00614924">
      <w:pPr>
        <w:pStyle w:val="FootnoteText"/>
        <w:ind w:left="426" w:hanging="426"/>
      </w:pPr>
      <w:r>
        <w:rPr>
          <w:rStyle w:val="FootnoteReference"/>
        </w:rPr>
        <w:footnoteRef/>
      </w:r>
      <w:r>
        <w:t xml:space="preserve"> </w:t>
      </w:r>
      <w:r w:rsidR="00614924">
        <w:t xml:space="preserve">See: </w:t>
      </w:r>
      <w:hyperlink r:id="rId3" w:history="1">
        <w:r w:rsidR="00F30184">
          <w:rPr>
            <w:rStyle w:val="Hyperlink"/>
            <w:rFonts w:cs="Calibri"/>
            <w:szCs w:val="22"/>
          </w:rPr>
          <w:t>https://www.woodside.com/docs/default-source/asx-announcements/2022/processing-of-pluto-gas-starts-at-north-west-shelf.pdf</w:t>
        </w:r>
      </w:hyperlink>
    </w:p>
  </w:footnote>
  <w:footnote w:id="21">
    <w:p w14:paraId="67B06870" w14:textId="74A623F3" w:rsidR="00BD0264" w:rsidRDefault="00BD0264" w:rsidP="00BD0264">
      <w:pPr>
        <w:pStyle w:val="FootnoteText"/>
      </w:pPr>
      <w:r w:rsidRPr="00EB7EE7">
        <w:rPr>
          <w:rStyle w:val="FootnoteReference"/>
        </w:rPr>
        <w:footnoteRef/>
      </w:r>
      <w:r w:rsidRPr="00EB7EE7">
        <w:t xml:space="preserve"> </w:t>
      </w:r>
      <w:r w:rsidR="00C312A8">
        <w:t xml:space="preserve">See: </w:t>
      </w:r>
      <w:hyperlink r:id="rId4" w:history="1">
        <w:r w:rsidR="00250C4B">
          <w:rPr>
            <w:rStyle w:val="Hyperlink"/>
            <w:rFonts w:cs="Calibri"/>
            <w:szCs w:val="22"/>
          </w:rPr>
          <w:t>https://www.mediastatements.wa.gov.au/Pages/McGowan/2020/12/WA-Government-reaches-agreement-on-job-creating-domestic-gas-project.aspx</w:t>
        </w:r>
      </w:hyperlink>
    </w:p>
  </w:footnote>
  <w:footnote w:id="22">
    <w:p w14:paraId="75A37085" w14:textId="22F23AD4" w:rsidR="00BD0264" w:rsidRDefault="00BD0264" w:rsidP="00BD0264">
      <w:pPr>
        <w:pStyle w:val="FootnoteText"/>
      </w:pPr>
      <w:r>
        <w:rPr>
          <w:rStyle w:val="FootnoteReference"/>
        </w:rPr>
        <w:footnoteRef/>
      </w:r>
      <w:r>
        <w:t xml:space="preserve"> Australian Energy Market Operator, </w:t>
      </w:r>
      <w:r>
        <w:rPr>
          <w:i/>
          <w:iCs/>
        </w:rPr>
        <w:t>WA Gas Statement of Opportunities</w:t>
      </w:r>
      <w:r>
        <w:t>, December 2022</w:t>
      </w:r>
      <w:r w:rsidR="007E4CAB">
        <w:t>.</w:t>
      </w:r>
    </w:p>
  </w:footnote>
  <w:footnote w:id="23">
    <w:p w14:paraId="1A20845F" w14:textId="6CA14F47" w:rsidR="00BD0264" w:rsidRDefault="00BD0264" w:rsidP="00BD0264">
      <w:pPr>
        <w:pStyle w:val="FootnoteText"/>
      </w:pPr>
      <w:r>
        <w:rPr>
          <w:rStyle w:val="FootnoteReference"/>
        </w:rPr>
        <w:footnoteRef/>
      </w:r>
      <w:r>
        <w:t xml:space="preserve"> Wood Mackenzie Scarborough Asset Report. </w:t>
      </w:r>
    </w:p>
  </w:footnote>
  <w:footnote w:id="24">
    <w:p w14:paraId="6C82F345" w14:textId="55171E9E" w:rsidR="00BD0264" w:rsidRDefault="00BD0264" w:rsidP="00BD0264">
      <w:pPr>
        <w:pStyle w:val="FootnoteText"/>
      </w:pPr>
      <w:r>
        <w:rPr>
          <w:rStyle w:val="FootnoteReference"/>
        </w:rPr>
        <w:footnoteRef/>
      </w:r>
      <w:r>
        <w:t xml:space="preserve"> Department of Industry, Science and Resources, </w:t>
      </w:r>
      <w:r w:rsidRPr="00D1389A">
        <w:rPr>
          <w:i/>
          <w:iCs/>
        </w:rPr>
        <w:t>Resources and Energy Quarterly</w:t>
      </w:r>
      <w:r>
        <w:rPr>
          <w:i/>
          <w:iCs/>
        </w:rPr>
        <w:t xml:space="preserve"> – September 2021</w:t>
      </w:r>
      <w:r w:rsidR="007E4CAB">
        <w:rPr>
          <w:i/>
          <w:iCs/>
        </w:rPr>
        <w:t>.</w:t>
      </w:r>
    </w:p>
  </w:footnote>
  <w:footnote w:id="25">
    <w:p w14:paraId="40C1A413" w14:textId="392C7C53" w:rsidR="0035387A" w:rsidRDefault="0035387A">
      <w:pPr>
        <w:pStyle w:val="FootnoteText"/>
      </w:pPr>
      <w:r>
        <w:rPr>
          <w:rStyle w:val="FootnoteReference"/>
        </w:rPr>
        <w:footnoteRef/>
      </w:r>
      <w:r>
        <w:t xml:space="preserve"> Department of Industry, Science and Resources, </w:t>
      </w:r>
      <w:r w:rsidRPr="00D1389A">
        <w:rPr>
          <w:i/>
          <w:iCs/>
        </w:rPr>
        <w:t>Resources and Energy Quarterly</w:t>
      </w:r>
      <w:r>
        <w:rPr>
          <w:i/>
          <w:iCs/>
        </w:rPr>
        <w:t xml:space="preserve"> – December 2022 – historical data, </w:t>
      </w:r>
      <w:r>
        <w:t>using source: ABS, Labour Force, Australia, cat. no. 6291.0, Canberra.</w:t>
      </w:r>
    </w:p>
  </w:footnote>
  <w:footnote w:id="26">
    <w:p w14:paraId="4791339A" w14:textId="27E76044" w:rsidR="00F469EF" w:rsidRDefault="00F469EF">
      <w:pPr>
        <w:pStyle w:val="FootnoteText"/>
      </w:pPr>
      <w:r>
        <w:rPr>
          <w:rStyle w:val="FootnoteReference"/>
        </w:rPr>
        <w:footnoteRef/>
      </w:r>
      <w:r>
        <w:t xml:space="preserve"> </w:t>
      </w:r>
      <w:r w:rsidR="00480852">
        <w:t xml:space="preserve">Department of Industry, Science and Resources, </w:t>
      </w:r>
      <w:r w:rsidR="00480852" w:rsidRPr="00D1389A">
        <w:rPr>
          <w:i/>
          <w:iCs/>
        </w:rPr>
        <w:t>Resources and Energy Quarterly</w:t>
      </w:r>
      <w:r w:rsidR="00480852">
        <w:rPr>
          <w:i/>
          <w:iCs/>
        </w:rPr>
        <w:t xml:space="preserve"> – </w:t>
      </w:r>
      <w:r w:rsidR="008D6160">
        <w:rPr>
          <w:i/>
          <w:iCs/>
        </w:rPr>
        <w:t xml:space="preserve">December </w:t>
      </w:r>
      <w:r w:rsidR="00480852">
        <w:rPr>
          <w:i/>
          <w:iCs/>
        </w:rPr>
        <w:t>202</w:t>
      </w:r>
      <w:r w:rsidR="008D6160">
        <w:rPr>
          <w:i/>
          <w:iCs/>
        </w:rPr>
        <w:t xml:space="preserve">2 – historical data, </w:t>
      </w:r>
      <w:r w:rsidR="003D5816">
        <w:t xml:space="preserve">using </w:t>
      </w:r>
      <w:r w:rsidR="008D6160">
        <w:t xml:space="preserve">source: </w:t>
      </w:r>
      <w:r w:rsidR="00316128">
        <w:t>ABS</w:t>
      </w:r>
      <w:r w:rsidR="00982EEF">
        <w:t xml:space="preserve">, Labour Force, Australia, cat. no. </w:t>
      </w:r>
      <w:r w:rsidR="003D5816">
        <w:t xml:space="preserve">6291.0, Canberra. </w:t>
      </w:r>
    </w:p>
  </w:footnote>
  <w:footnote w:id="27">
    <w:p w14:paraId="0559CF1B" w14:textId="6098416B" w:rsidR="00CA33C1" w:rsidRPr="00FC52A2" w:rsidRDefault="00CA33C1" w:rsidP="00946662">
      <w:pPr>
        <w:pStyle w:val="FootnoteText"/>
      </w:pPr>
      <w:r w:rsidRPr="0064719C">
        <w:rPr>
          <w:rStyle w:val="FootnoteReference"/>
        </w:rPr>
        <w:footnoteRef/>
      </w:r>
      <w:r w:rsidRPr="0064719C">
        <w:t xml:space="preserve"> </w:t>
      </w:r>
      <w:r w:rsidR="00694BFA">
        <w:t>Treasury</w:t>
      </w:r>
      <w:r w:rsidR="00266531">
        <w:t xml:space="preserve"> calculation</w:t>
      </w:r>
      <w:r w:rsidR="00E8216E">
        <w:t xml:space="preserve"> using source: </w:t>
      </w:r>
      <w:r w:rsidR="007A53DA">
        <w:t xml:space="preserve">Australian Competition and Consumer Commission, Gas inquiry 2017-30, </w:t>
      </w:r>
      <w:r w:rsidR="007A53DA">
        <w:rPr>
          <w:i/>
          <w:iCs/>
        </w:rPr>
        <w:t>LNG netback price series</w:t>
      </w:r>
      <w:r w:rsidR="00641B2B">
        <w:t xml:space="preserve"> </w:t>
      </w:r>
      <w:hyperlink r:id="rId5" w:history="1">
        <w:r w:rsidR="00946662">
          <w:rPr>
            <w:rStyle w:val="Hyperlink"/>
          </w:rPr>
          <w:t>https://www.accc.gov.au</w:t>
        </w:r>
      </w:hyperlink>
    </w:p>
  </w:footnote>
  <w:footnote w:id="28">
    <w:p w14:paraId="358D72A4" w14:textId="1629683E" w:rsidR="0015483A" w:rsidRPr="0064719C" w:rsidRDefault="0015483A">
      <w:pPr>
        <w:pStyle w:val="FootnoteText"/>
      </w:pPr>
      <w:r w:rsidRPr="0064719C">
        <w:rPr>
          <w:rStyle w:val="FootnoteReference"/>
        </w:rPr>
        <w:footnoteRef/>
      </w:r>
      <w:r w:rsidRPr="0064719C">
        <w:t xml:space="preserve"> </w:t>
      </w:r>
      <w:r w:rsidR="00EA0208">
        <w:t>International En</w:t>
      </w:r>
      <w:r w:rsidR="00BD7720">
        <w:t xml:space="preserve">ergy Agency, </w:t>
      </w:r>
      <w:hyperlink r:id="rId6" w:history="1">
        <w:r w:rsidRPr="0064719C">
          <w:rPr>
            <w:rStyle w:val="Hyperlink"/>
          </w:rPr>
          <w:t>World Energy Outlook 2022 (windows.net)</w:t>
        </w:r>
      </w:hyperlink>
      <w:r w:rsidRPr="0064719C">
        <w:t xml:space="preserve"> p</w:t>
      </w:r>
      <w:r w:rsidR="00D46A29">
        <w:t>.</w:t>
      </w:r>
      <w:r w:rsidRPr="0064719C">
        <w:t xml:space="preserve"> 3</w:t>
      </w:r>
      <w:r w:rsidR="00A1578D" w:rsidRPr="0064719C">
        <w:t>70.</w:t>
      </w:r>
    </w:p>
  </w:footnote>
  <w:footnote w:id="29">
    <w:p w14:paraId="35C76FFF" w14:textId="16AA43F7" w:rsidR="006026D6" w:rsidRDefault="006026D6">
      <w:pPr>
        <w:pStyle w:val="FootnoteText"/>
      </w:pPr>
      <w:r w:rsidRPr="0064719C">
        <w:rPr>
          <w:rStyle w:val="FootnoteReference"/>
        </w:rPr>
        <w:footnoteRef/>
      </w:r>
      <w:r w:rsidRPr="0064719C">
        <w:t xml:space="preserve"> </w:t>
      </w:r>
      <w:hyperlink r:id="rId7" w:history="1">
        <w:r w:rsidR="00EF0CA1" w:rsidRPr="008622D9">
          <w:rPr>
            <w:rStyle w:val="Hyperlink"/>
          </w:rPr>
          <w:t>https://www.bp.com/en/global/corporate/energy-economics/energy-outlook/natural-gas.html</w:t>
        </w:r>
      </w:hyperlink>
      <w:r w:rsidR="00EF0CA1">
        <w:t xml:space="preserve"> </w:t>
      </w:r>
    </w:p>
  </w:footnote>
  <w:footnote w:id="30">
    <w:p w14:paraId="08A90CBB" w14:textId="6C8DF688" w:rsidR="00687DE1" w:rsidRDefault="00687DE1">
      <w:pPr>
        <w:pStyle w:val="FootnoteText"/>
      </w:pPr>
      <w:r>
        <w:rPr>
          <w:rStyle w:val="FootnoteReference"/>
        </w:rPr>
        <w:footnoteRef/>
      </w:r>
      <w:r>
        <w:t xml:space="preserve"> </w:t>
      </w:r>
      <w:r w:rsidR="00BD7720">
        <w:t xml:space="preserve">International Energy Agency, </w:t>
      </w:r>
      <w:hyperlink r:id="rId8" w:history="1">
        <w:r>
          <w:rPr>
            <w:rStyle w:val="Hyperlink"/>
          </w:rPr>
          <w:t>World Energy Outlook 2022 (windows.net)</w:t>
        </w:r>
      </w:hyperlink>
      <w:r w:rsidR="00637AB4">
        <w:rPr>
          <w:rStyle w:val="Hyperlink"/>
        </w:rPr>
        <w:t xml:space="preserve"> </w:t>
      </w:r>
      <w:r w:rsidR="00637AB4" w:rsidRPr="00637AB4">
        <w:rPr>
          <w:rStyle w:val="Hyperlink"/>
          <w:color w:val="auto"/>
        </w:rPr>
        <w:t>p. 25.</w:t>
      </w:r>
    </w:p>
  </w:footnote>
  <w:footnote w:id="31">
    <w:p w14:paraId="2BAEF188" w14:textId="5154C49E" w:rsidR="0056474C" w:rsidRDefault="0056474C" w:rsidP="0056474C">
      <w:pPr>
        <w:pStyle w:val="FootnoteText"/>
      </w:pPr>
      <w:r>
        <w:rPr>
          <w:rStyle w:val="FootnoteReference"/>
        </w:rPr>
        <w:footnoteRef/>
      </w:r>
      <w:r>
        <w:t xml:space="preserve"> </w:t>
      </w:r>
      <w:r w:rsidR="0002690E">
        <w:t xml:space="preserve">Tax Justice Network – Australia, </w:t>
      </w:r>
      <w:r>
        <w:t xml:space="preserve">Submission to the GTP Review, p. 1. </w:t>
      </w:r>
    </w:p>
  </w:footnote>
  <w:footnote w:id="32">
    <w:p w14:paraId="69892A8F" w14:textId="71F98177" w:rsidR="003A1C4F" w:rsidRDefault="003A1C4F">
      <w:pPr>
        <w:pStyle w:val="FootnoteText"/>
      </w:pPr>
      <w:r>
        <w:rPr>
          <w:rStyle w:val="FootnoteReference"/>
        </w:rPr>
        <w:footnoteRef/>
      </w:r>
      <w:r>
        <w:t xml:space="preserve"> Professor </w:t>
      </w:r>
      <w:r w:rsidR="001B1679">
        <w:t>Richard Eccleston and Mr Lachlan Johnson</w:t>
      </w:r>
      <w:r w:rsidR="0002690E">
        <w:t>, Submission to the</w:t>
      </w:r>
      <w:r w:rsidR="001B1679">
        <w:t xml:space="preserve"> GTP Review, p. 1.</w:t>
      </w:r>
    </w:p>
  </w:footnote>
  <w:footnote w:id="33">
    <w:p w14:paraId="7174BD87" w14:textId="49D6643B" w:rsidR="0056474C" w:rsidRDefault="0056474C" w:rsidP="0056474C">
      <w:pPr>
        <w:pStyle w:val="FootnoteText"/>
      </w:pPr>
      <w:r>
        <w:rPr>
          <w:rStyle w:val="FootnoteReference"/>
        </w:rPr>
        <w:footnoteRef/>
      </w:r>
      <w:r>
        <w:t xml:space="preserve"> </w:t>
      </w:r>
      <w:r w:rsidR="0002690E">
        <w:t>The Australia Institute</w:t>
      </w:r>
      <w:r w:rsidR="007E4B4F">
        <w:t>,</w:t>
      </w:r>
      <w:r w:rsidR="0002690E">
        <w:t xml:space="preserve"> </w:t>
      </w:r>
      <w:r>
        <w:t>Submission to the GTP Review,</w:t>
      </w:r>
      <w:r w:rsidR="00F9029E">
        <w:t xml:space="preserve"> </w:t>
      </w:r>
      <w:r>
        <w:t>p. 2.</w:t>
      </w:r>
    </w:p>
  </w:footnote>
  <w:footnote w:id="34">
    <w:p w14:paraId="0F309EB1" w14:textId="1D279EB7" w:rsidR="00A45DA5" w:rsidRDefault="00A45DA5">
      <w:pPr>
        <w:pStyle w:val="FootnoteText"/>
      </w:pPr>
      <w:r>
        <w:rPr>
          <w:rStyle w:val="FootnoteReference"/>
        </w:rPr>
        <w:footnoteRef/>
      </w:r>
      <w:r>
        <w:t xml:space="preserve"> </w:t>
      </w:r>
      <w:r w:rsidR="00AE72E9">
        <w:t>See, for example,</w:t>
      </w:r>
      <w:r w:rsidR="00176674">
        <w:t xml:space="preserve"> the Callaghan Review</w:t>
      </w:r>
      <w:r w:rsidR="00AE72E9">
        <w:t xml:space="preserve"> </w:t>
      </w:r>
      <w:r w:rsidR="00176674">
        <w:t>p</w:t>
      </w:r>
      <w:r w:rsidR="001641C2">
        <w:t>p</w:t>
      </w:r>
      <w:r w:rsidR="000D5AD1">
        <w:t>. 9</w:t>
      </w:r>
      <w:r w:rsidR="001C347A">
        <w:t xml:space="preserve"> and</w:t>
      </w:r>
      <w:r w:rsidR="000D5AD1">
        <w:t xml:space="preserve"> 32, </w:t>
      </w:r>
    </w:p>
  </w:footnote>
  <w:footnote w:id="35">
    <w:p w14:paraId="4DBFBAFE" w14:textId="6C0FC967" w:rsidR="003B1386" w:rsidRDefault="003B1386">
      <w:pPr>
        <w:pStyle w:val="FootnoteText"/>
      </w:pPr>
      <w:r>
        <w:rPr>
          <w:rStyle w:val="FootnoteReference"/>
        </w:rPr>
        <w:footnoteRef/>
      </w:r>
      <w:r>
        <w:t xml:space="preserve"> </w:t>
      </w:r>
      <w:r w:rsidR="00BF5E8C">
        <w:t>Dr Diane Kraal</w:t>
      </w:r>
      <w:r w:rsidR="007E4B4F">
        <w:t>, Submission to the GTP Review, p. 7.</w:t>
      </w:r>
    </w:p>
  </w:footnote>
  <w:footnote w:id="36">
    <w:p w14:paraId="2EAEDAA8" w14:textId="71F3C3A2" w:rsidR="00C3487D" w:rsidRDefault="00C3487D" w:rsidP="00C3487D">
      <w:pPr>
        <w:pStyle w:val="FootnoteText"/>
      </w:pPr>
      <w:r>
        <w:rPr>
          <w:rStyle w:val="FootnoteReference"/>
        </w:rPr>
        <w:footnoteRef/>
      </w:r>
      <w:r>
        <w:t xml:space="preserve"> The Australia Institute, Submission to the GTP Review, p. 2.</w:t>
      </w:r>
    </w:p>
  </w:footnote>
  <w:footnote w:id="37">
    <w:p w14:paraId="5DB70D84" w14:textId="41F1BD30" w:rsidR="00184EF7" w:rsidRDefault="00184EF7" w:rsidP="00184EF7">
      <w:pPr>
        <w:pStyle w:val="FootnoteText"/>
      </w:pPr>
      <w:r>
        <w:rPr>
          <w:rStyle w:val="FootnoteReference"/>
        </w:rPr>
        <w:footnoteRef/>
      </w:r>
      <w:r>
        <w:t xml:space="preserve"> Dr Diane Kraal, Submission to the GTP Review, p. 2, 6 and 7.</w:t>
      </w:r>
    </w:p>
  </w:footnote>
  <w:footnote w:id="38">
    <w:p w14:paraId="05073B7F" w14:textId="1EFBEE4D" w:rsidR="00C3487D" w:rsidRDefault="00C3487D" w:rsidP="00C3487D">
      <w:pPr>
        <w:pStyle w:val="FootnoteText"/>
      </w:pPr>
      <w:r>
        <w:rPr>
          <w:rStyle w:val="FootnoteReference"/>
        </w:rPr>
        <w:footnoteRef/>
      </w:r>
      <w:r>
        <w:t xml:space="preserve"> Tax Justice Network – Australia, Submission to the GTP Review, p. 8.</w:t>
      </w:r>
    </w:p>
  </w:footnote>
  <w:footnote w:id="39">
    <w:p w14:paraId="01823029" w14:textId="36E366EA" w:rsidR="00C3487D" w:rsidRDefault="00C3487D" w:rsidP="00C3487D">
      <w:pPr>
        <w:pStyle w:val="FootnoteText"/>
      </w:pPr>
      <w:r>
        <w:rPr>
          <w:rStyle w:val="FootnoteReference"/>
        </w:rPr>
        <w:footnoteRef/>
      </w:r>
      <w:r>
        <w:t xml:space="preserve"> Tax Justice Network – Australia, Submission to the GTP Review, p. 7. </w:t>
      </w:r>
    </w:p>
  </w:footnote>
  <w:footnote w:id="40">
    <w:p w14:paraId="7A7E5122" w14:textId="66748414" w:rsidR="00C3487D" w:rsidRDefault="00C3487D" w:rsidP="00C3487D">
      <w:pPr>
        <w:pStyle w:val="FootnoteText"/>
      </w:pPr>
      <w:r>
        <w:rPr>
          <w:rStyle w:val="FootnoteReference"/>
        </w:rPr>
        <w:footnoteRef/>
      </w:r>
      <w:r>
        <w:t xml:space="preserve"> Professor Richard Eccleston and Mr Lachlan Johnson, Submission to the GTP Review, p. 1.</w:t>
      </w:r>
    </w:p>
  </w:footnote>
  <w:footnote w:id="41">
    <w:p w14:paraId="5AFB870D" w14:textId="613918AD" w:rsidR="00C3487D" w:rsidRDefault="00C3487D" w:rsidP="00C3487D">
      <w:pPr>
        <w:pStyle w:val="FootnoteText"/>
      </w:pPr>
      <w:r>
        <w:rPr>
          <w:rStyle w:val="FootnoteReference"/>
        </w:rPr>
        <w:footnoteRef/>
      </w:r>
      <w:r>
        <w:t xml:space="preserve"> Mr Wayne Mayo, Submission (2019), p. 4-5.</w:t>
      </w:r>
    </w:p>
  </w:footnote>
  <w:footnote w:id="42">
    <w:p w14:paraId="3504213F" w14:textId="054E9CA7" w:rsidR="00065A67" w:rsidRDefault="00065A67">
      <w:pPr>
        <w:pStyle w:val="FootnoteText"/>
      </w:pPr>
      <w:r>
        <w:rPr>
          <w:rStyle w:val="FootnoteReference"/>
        </w:rPr>
        <w:footnoteRef/>
      </w:r>
      <w:r>
        <w:t xml:space="preserve"> </w:t>
      </w:r>
      <w:r w:rsidR="003E55EE">
        <w:t xml:space="preserve">Tax Justice Network – Australia, </w:t>
      </w:r>
      <w:r w:rsidR="007B4C36">
        <w:t xml:space="preserve">Submission to the GTP Review, </w:t>
      </w:r>
      <w:r w:rsidR="0002690E">
        <w:t>p</w:t>
      </w:r>
      <w:r w:rsidR="003E55EE">
        <w:t>. 1.</w:t>
      </w:r>
    </w:p>
  </w:footnote>
  <w:footnote w:id="43">
    <w:p w14:paraId="1DE91BF2" w14:textId="439DDFC6" w:rsidR="002A5277" w:rsidRDefault="002A5277">
      <w:pPr>
        <w:pStyle w:val="FootnoteText"/>
      </w:pPr>
      <w:r>
        <w:rPr>
          <w:rStyle w:val="FootnoteReference"/>
        </w:rPr>
        <w:footnoteRef/>
      </w:r>
      <w:r>
        <w:t xml:space="preserve"> Mr Chris Hood </w:t>
      </w:r>
      <w:r w:rsidR="00136B59">
        <w:t>–</w:t>
      </w:r>
      <w:r>
        <w:t xml:space="preserve"> </w:t>
      </w:r>
      <w:r w:rsidR="00136B59">
        <w:t xml:space="preserve">Submission to the GTP Review. </w:t>
      </w:r>
    </w:p>
  </w:footnote>
  <w:footnote w:id="44">
    <w:p w14:paraId="4BC14CBD" w14:textId="43FBE9EB" w:rsidR="007E6DD2" w:rsidRDefault="007E6DD2" w:rsidP="007E6DD2">
      <w:pPr>
        <w:pStyle w:val="FootnoteText"/>
      </w:pPr>
      <w:r>
        <w:rPr>
          <w:rStyle w:val="FootnoteReference"/>
        </w:rPr>
        <w:footnoteRef/>
      </w:r>
      <w:r>
        <w:t xml:space="preserve"> </w:t>
      </w:r>
      <w:r w:rsidR="00D246C6">
        <w:t xml:space="preserve">APPEA, </w:t>
      </w:r>
      <w:r>
        <w:t xml:space="preserve">Submission to the GTP Review, </w:t>
      </w:r>
      <w:r w:rsidR="00944854">
        <w:t>p. 7.</w:t>
      </w:r>
    </w:p>
  </w:footnote>
  <w:footnote w:id="45">
    <w:p w14:paraId="0986274A" w14:textId="535439C5" w:rsidR="00A47200" w:rsidRDefault="00A47200" w:rsidP="00A47200">
      <w:pPr>
        <w:pStyle w:val="FootnoteText"/>
      </w:pPr>
      <w:r>
        <w:rPr>
          <w:rStyle w:val="FootnoteReference"/>
        </w:rPr>
        <w:footnoteRef/>
      </w:r>
      <w:r>
        <w:t xml:space="preserve"> APPEA, Submission to the GTP Review, p. 20.</w:t>
      </w:r>
    </w:p>
  </w:footnote>
  <w:footnote w:id="46">
    <w:p w14:paraId="7A9E05D7" w14:textId="417F7FBC" w:rsidR="00A47200" w:rsidRDefault="00A47200" w:rsidP="00A47200">
      <w:pPr>
        <w:pStyle w:val="FootnoteText"/>
      </w:pPr>
      <w:r>
        <w:rPr>
          <w:rStyle w:val="FootnoteReference"/>
        </w:rPr>
        <w:footnoteRef/>
      </w:r>
      <w:r>
        <w:t xml:space="preserve"> APPEA, Submission to the GTP Review, p. 23.</w:t>
      </w:r>
    </w:p>
  </w:footnote>
  <w:footnote w:id="47">
    <w:p w14:paraId="73C44748" w14:textId="455DFB53" w:rsidR="00217286" w:rsidRDefault="00217286" w:rsidP="00217286">
      <w:pPr>
        <w:pStyle w:val="FootnoteText"/>
      </w:pPr>
      <w:r>
        <w:rPr>
          <w:rStyle w:val="FootnoteReference"/>
        </w:rPr>
        <w:footnoteRef/>
      </w:r>
      <w:r>
        <w:t xml:space="preserve"> PwC, Submission to the GTP Review, p. 10.</w:t>
      </w:r>
    </w:p>
  </w:footnote>
  <w:footnote w:id="48">
    <w:p w14:paraId="2343425B" w14:textId="01236172" w:rsidR="004358C6" w:rsidRDefault="004358C6" w:rsidP="004358C6">
      <w:pPr>
        <w:pStyle w:val="FootnoteText"/>
      </w:pPr>
      <w:r>
        <w:rPr>
          <w:rStyle w:val="FootnoteReference"/>
        </w:rPr>
        <w:footnoteRef/>
      </w:r>
      <w:r>
        <w:t xml:space="preserve"> MIMI, Submission to the GTP Review, p. 2. </w:t>
      </w:r>
    </w:p>
  </w:footnote>
  <w:footnote w:id="49">
    <w:p w14:paraId="66556A28" w14:textId="5DBB9A82" w:rsidR="004358C6" w:rsidRDefault="004358C6" w:rsidP="004358C6">
      <w:pPr>
        <w:pStyle w:val="FootnoteText"/>
      </w:pPr>
      <w:r>
        <w:rPr>
          <w:rStyle w:val="FootnoteReference"/>
        </w:rPr>
        <w:footnoteRef/>
      </w:r>
      <w:r>
        <w:t xml:space="preserve"> Shell, Submission to the GTP Review, p. 2.</w:t>
      </w:r>
    </w:p>
  </w:footnote>
  <w:footnote w:id="50">
    <w:p w14:paraId="75D67D35" w14:textId="4763E100" w:rsidR="004358C6" w:rsidRDefault="004358C6" w:rsidP="004358C6">
      <w:pPr>
        <w:pStyle w:val="FootnoteText"/>
      </w:pPr>
      <w:r>
        <w:rPr>
          <w:rStyle w:val="FootnoteReference"/>
        </w:rPr>
        <w:footnoteRef/>
      </w:r>
      <w:r>
        <w:t xml:space="preserve"> Woodside, Submission to the GTP Review, p. 3.</w:t>
      </w:r>
    </w:p>
  </w:footnote>
  <w:footnote w:id="51">
    <w:p w14:paraId="408E640C" w14:textId="5A63F2BB" w:rsidR="004358C6" w:rsidRDefault="004358C6" w:rsidP="004358C6">
      <w:pPr>
        <w:pStyle w:val="FootnoteText"/>
      </w:pPr>
      <w:r>
        <w:rPr>
          <w:rStyle w:val="FootnoteReference"/>
        </w:rPr>
        <w:footnoteRef/>
      </w:r>
      <w:r>
        <w:t xml:space="preserve"> Arthur Andersen Report, p. 23-5, as referenced in the APPEA Submission to the GTP Review, p. 20.</w:t>
      </w:r>
    </w:p>
  </w:footnote>
  <w:footnote w:id="52">
    <w:p w14:paraId="31A0FBB3" w14:textId="28E0FD58" w:rsidR="004358C6" w:rsidRDefault="004358C6" w:rsidP="004358C6">
      <w:pPr>
        <w:pStyle w:val="FootnoteText"/>
      </w:pPr>
      <w:r>
        <w:rPr>
          <w:rStyle w:val="FootnoteReference"/>
        </w:rPr>
        <w:footnoteRef/>
      </w:r>
      <w:r>
        <w:t xml:space="preserve"> MIMI, Submission to the GTP Review, p. 3. </w:t>
      </w:r>
    </w:p>
  </w:footnote>
  <w:footnote w:id="53">
    <w:p w14:paraId="036192C0" w14:textId="3BBEFC47" w:rsidR="00A47200" w:rsidRDefault="00A47200" w:rsidP="00A47200">
      <w:pPr>
        <w:pStyle w:val="FootnoteText"/>
      </w:pPr>
      <w:r>
        <w:rPr>
          <w:rStyle w:val="FootnoteReference"/>
        </w:rPr>
        <w:footnoteRef/>
      </w:r>
      <w:r>
        <w:t xml:space="preserve"> APPEA, Submission to the GTP Review, p. 22.</w:t>
      </w:r>
    </w:p>
  </w:footnote>
  <w:footnote w:id="54">
    <w:p w14:paraId="1A67BFC0" w14:textId="18A2E1D9" w:rsidR="002A0F0F" w:rsidRDefault="002A0F0F" w:rsidP="002A0F0F">
      <w:pPr>
        <w:pStyle w:val="FootnoteText"/>
      </w:pPr>
      <w:r>
        <w:rPr>
          <w:rStyle w:val="FootnoteReference"/>
        </w:rPr>
        <w:footnoteRef/>
      </w:r>
      <w:r>
        <w:t xml:space="preserve"> MIMI, Submission to the GTP Review, p. 3. </w:t>
      </w:r>
    </w:p>
  </w:footnote>
  <w:footnote w:id="55">
    <w:p w14:paraId="260FDF47" w14:textId="7CC395FF" w:rsidR="008555F7" w:rsidRDefault="008555F7" w:rsidP="008555F7">
      <w:pPr>
        <w:pStyle w:val="FootnoteText"/>
      </w:pPr>
      <w:r>
        <w:rPr>
          <w:rStyle w:val="FootnoteReference"/>
        </w:rPr>
        <w:footnoteRef/>
      </w:r>
      <w:r>
        <w:t xml:space="preserve"> </w:t>
      </w:r>
      <w:r w:rsidR="00D246C6">
        <w:t xml:space="preserve">APPEA, </w:t>
      </w:r>
      <w:r w:rsidR="006301EC">
        <w:t>Submission to the GTP Review</w:t>
      </w:r>
      <w:r w:rsidR="00D246C6">
        <w:t>,</w:t>
      </w:r>
      <w:r w:rsidR="006301EC">
        <w:t xml:space="preserve"> </w:t>
      </w:r>
      <w:r>
        <w:t>p. 82 (referencing a 2019 Wood</w:t>
      </w:r>
      <w:r w:rsidR="005975F0">
        <w:t xml:space="preserve"> </w:t>
      </w:r>
      <w:r>
        <w:t xml:space="preserve">Mackenzie paper). </w:t>
      </w:r>
    </w:p>
  </w:footnote>
  <w:footnote w:id="56">
    <w:p w14:paraId="49F565A8" w14:textId="096029D6" w:rsidR="008555F7" w:rsidRDefault="008555F7" w:rsidP="008555F7">
      <w:pPr>
        <w:pStyle w:val="FootnoteText"/>
      </w:pPr>
      <w:r>
        <w:rPr>
          <w:rStyle w:val="FootnoteReference"/>
        </w:rPr>
        <w:footnoteRef/>
      </w:r>
      <w:r>
        <w:t xml:space="preserve"> MIMI </w:t>
      </w:r>
      <w:r w:rsidR="00D246C6">
        <w:t>S</w:t>
      </w:r>
      <w:r>
        <w:t>ubmission</w:t>
      </w:r>
      <w:r w:rsidR="00D246C6">
        <w:t xml:space="preserve"> to the GTP Review</w:t>
      </w:r>
      <w:r>
        <w:t>, p. 3.</w:t>
      </w:r>
    </w:p>
  </w:footnote>
  <w:footnote w:id="57">
    <w:p w14:paraId="524D2FA3" w14:textId="33E6B1C6" w:rsidR="003D42F6" w:rsidRDefault="003D42F6">
      <w:pPr>
        <w:pStyle w:val="FootnoteText"/>
      </w:pPr>
      <w:r>
        <w:rPr>
          <w:rStyle w:val="FootnoteReference"/>
        </w:rPr>
        <w:footnoteRef/>
      </w:r>
      <w:r>
        <w:t xml:space="preserve"> Tax Justice Network – Australia</w:t>
      </w:r>
      <w:r w:rsidR="008E57AA">
        <w:t>, Submission to the GTP Review</w:t>
      </w:r>
      <w:r>
        <w:t>, p. 1.</w:t>
      </w:r>
    </w:p>
  </w:footnote>
  <w:footnote w:id="58">
    <w:p w14:paraId="2DB0CEE1" w14:textId="3BB70ECF" w:rsidR="009A39BA" w:rsidRDefault="009A39BA" w:rsidP="009A39BA">
      <w:pPr>
        <w:pStyle w:val="FootnoteText"/>
      </w:pPr>
      <w:r>
        <w:rPr>
          <w:rStyle w:val="FootnoteReference"/>
        </w:rPr>
        <w:footnoteRef/>
      </w:r>
      <w:r>
        <w:t xml:space="preserve"> APPEA,</w:t>
      </w:r>
      <w:r w:rsidR="008E57AA">
        <w:t xml:space="preserve"> Submission to the GTP Review,</w:t>
      </w:r>
      <w:r>
        <w:t xml:space="preserve"> p. 30-1. </w:t>
      </w:r>
    </w:p>
  </w:footnote>
  <w:footnote w:id="59">
    <w:p w14:paraId="3F6A428B" w14:textId="78BFEAB2" w:rsidR="004B13E6" w:rsidRDefault="004B13E6">
      <w:pPr>
        <w:pStyle w:val="FootnoteText"/>
      </w:pPr>
      <w:r>
        <w:rPr>
          <w:rStyle w:val="FootnoteReference"/>
        </w:rPr>
        <w:footnoteRef/>
      </w:r>
      <w:r>
        <w:t xml:space="preserve"> Woodside</w:t>
      </w:r>
      <w:r w:rsidR="008E57AA">
        <w:t>,</w:t>
      </w:r>
      <w:r>
        <w:t xml:space="preserve"> Submission</w:t>
      </w:r>
      <w:r w:rsidR="008E57AA">
        <w:t xml:space="preserve"> to the GTP Review,</w:t>
      </w:r>
      <w:r w:rsidDel="008E57AA">
        <w:t xml:space="preserve"> </w:t>
      </w:r>
      <w:r>
        <w:t>p. 7.</w:t>
      </w:r>
    </w:p>
  </w:footnote>
  <w:footnote w:id="60">
    <w:p w14:paraId="31ADC583" w14:textId="759BA426" w:rsidR="001E7534" w:rsidRDefault="001E7534">
      <w:pPr>
        <w:pStyle w:val="FootnoteText"/>
      </w:pPr>
      <w:r>
        <w:rPr>
          <w:rStyle w:val="FootnoteReference"/>
        </w:rPr>
        <w:footnoteRef/>
      </w:r>
      <w:r>
        <w:t xml:space="preserve"> APPEA</w:t>
      </w:r>
      <w:r w:rsidR="005A4181">
        <w:t>,</w:t>
      </w:r>
      <w:r>
        <w:t xml:space="preserve"> Submission </w:t>
      </w:r>
      <w:r w:rsidR="005A4181">
        <w:t>to the GTP Review</w:t>
      </w:r>
      <w:r>
        <w:t>, p. 9.</w:t>
      </w:r>
    </w:p>
  </w:footnote>
  <w:footnote w:id="61">
    <w:p w14:paraId="727F02BE" w14:textId="6C0D3EC1" w:rsidR="00EA42A5" w:rsidRDefault="00EA42A5">
      <w:pPr>
        <w:pStyle w:val="FootnoteText"/>
      </w:pPr>
      <w:r>
        <w:rPr>
          <w:rStyle w:val="FootnoteReference"/>
        </w:rPr>
        <w:footnoteRef/>
      </w:r>
      <w:r>
        <w:t xml:space="preserve"> </w:t>
      </w:r>
      <w:r w:rsidR="00BE2694">
        <w:t>MIMI</w:t>
      </w:r>
      <w:r w:rsidR="005A4181">
        <w:t>,</w:t>
      </w:r>
      <w:r w:rsidR="00BE2694">
        <w:t xml:space="preserve"> </w:t>
      </w:r>
      <w:r w:rsidR="0024623E">
        <w:t>Submission to</w:t>
      </w:r>
      <w:r w:rsidR="005A4181">
        <w:t xml:space="preserve"> the GTP Review</w:t>
      </w:r>
      <w:r w:rsidR="00BE2694">
        <w:t xml:space="preserve">, p. 3. </w:t>
      </w:r>
    </w:p>
  </w:footnote>
  <w:footnote w:id="62">
    <w:p w14:paraId="0D99225F" w14:textId="517798E3" w:rsidR="002C0E4D" w:rsidRDefault="002C0E4D">
      <w:pPr>
        <w:pStyle w:val="FootnoteText"/>
      </w:pPr>
      <w:r>
        <w:rPr>
          <w:rStyle w:val="FootnoteReference"/>
        </w:rPr>
        <w:footnoteRef/>
      </w:r>
      <w:r>
        <w:t xml:space="preserve"> </w:t>
      </w:r>
      <w:r w:rsidR="00F03D6C">
        <w:t>Woodside</w:t>
      </w:r>
      <w:r w:rsidR="005A4181">
        <w:t>,</w:t>
      </w:r>
      <w:r w:rsidR="00F03D6C">
        <w:t xml:space="preserve"> Submission</w:t>
      </w:r>
      <w:r w:rsidR="007C67BA">
        <w:t xml:space="preserve"> </w:t>
      </w:r>
      <w:r w:rsidR="00DB05EA">
        <w:t>to the GTP Review</w:t>
      </w:r>
      <w:r w:rsidR="007C67BA">
        <w:t xml:space="preserve">, p. 10. </w:t>
      </w:r>
    </w:p>
  </w:footnote>
  <w:footnote w:id="63">
    <w:p w14:paraId="46C846FE" w14:textId="1CFA5FF0" w:rsidR="00583127" w:rsidRDefault="00583127">
      <w:pPr>
        <w:pStyle w:val="FootnoteText"/>
      </w:pPr>
      <w:r>
        <w:rPr>
          <w:rStyle w:val="FootnoteReference"/>
        </w:rPr>
        <w:footnoteRef/>
      </w:r>
      <w:r>
        <w:t xml:space="preserve"> P</w:t>
      </w:r>
      <w:r w:rsidR="005A4181">
        <w:t>w</w:t>
      </w:r>
      <w:r>
        <w:t>C</w:t>
      </w:r>
      <w:r w:rsidR="00DB05EA">
        <w:t>,</w:t>
      </w:r>
      <w:r>
        <w:t xml:space="preserve"> </w:t>
      </w:r>
      <w:r w:rsidR="003A4227">
        <w:t>Submission</w:t>
      </w:r>
      <w:r w:rsidR="00DB05EA">
        <w:t xml:space="preserve"> to the GTP Review</w:t>
      </w:r>
      <w:r w:rsidR="003A4227">
        <w:t xml:space="preserve">, p. 6. </w:t>
      </w:r>
    </w:p>
  </w:footnote>
  <w:footnote w:id="64">
    <w:p w14:paraId="7859DA4B" w14:textId="4C3F3B26" w:rsidR="008A716F" w:rsidRDefault="008A716F">
      <w:pPr>
        <w:pStyle w:val="FootnoteText"/>
      </w:pPr>
      <w:r>
        <w:rPr>
          <w:rStyle w:val="FootnoteReference"/>
        </w:rPr>
        <w:footnoteRef/>
      </w:r>
      <w:r>
        <w:t xml:space="preserve"> KPMG</w:t>
      </w:r>
      <w:r w:rsidR="00DB05EA">
        <w:t>,</w:t>
      </w:r>
      <w:r>
        <w:t xml:space="preserve"> Submission</w:t>
      </w:r>
      <w:r w:rsidR="00DB05EA">
        <w:t xml:space="preserve"> to the GTP Review</w:t>
      </w:r>
      <w:r>
        <w:t>, p. 3.</w:t>
      </w:r>
    </w:p>
  </w:footnote>
  <w:footnote w:id="65">
    <w:p w14:paraId="0C3C5BF0" w14:textId="41D48963" w:rsidR="00235AF0" w:rsidRDefault="00235AF0">
      <w:pPr>
        <w:pStyle w:val="FootnoteText"/>
      </w:pPr>
      <w:r>
        <w:rPr>
          <w:rStyle w:val="FootnoteReference"/>
        </w:rPr>
        <w:footnoteRef/>
      </w:r>
      <w:r>
        <w:t xml:space="preserve"> See, </w:t>
      </w:r>
      <w:r w:rsidR="008C2758">
        <w:t>for example</w:t>
      </w:r>
      <w:r>
        <w:t>, KPMG</w:t>
      </w:r>
      <w:r w:rsidR="00DB05EA">
        <w:t>,</w:t>
      </w:r>
      <w:r>
        <w:t xml:space="preserve"> Submission</w:t>
      </w:r>
      <w:r w:rsidR="00DB05EA">
        <w:t xml:space="preserve"> to the GTP Review</w:t>
      </w:r>
      <w:r>
        <w:t>, p. 3.</w:t>
      </w:r>
    </w:p>
  </w:footnote>
  <w:footnote w:id="66">
    <w:p w14:paraId="6528106E" w14:textId="2C7E3B21" w:rsidR="00DA0420" w:rsidRDefault="00DA0420">
      <w:pPr>
        <w:pStyle w:val="FootnoteText"/>
      </w:pPr>
      <w:r>
        <w:rPr>
          <w:rStyle w:val="FootnoteReference"/>
        </w:rPr>
        <w:footnoteRef/>
      </w:r>
      <w:r>
        <w:t xml:space="preserve"> </w:t>
      </w:r>
      <w:r w:rsidR="00F67D8A">
        <w:t>S</w:t>
      </w:r>
      <w:r w:rsidR="008A799F">
        <w:t>ee</w:t>
      </w:r>
      <w:r w:rsidR="00F67D8A">
        <w:t>,</w:t>
      </w:r>
      <w:r w:rsidR="008A799F">
        <w:t xml:space="preserve"> for example, Chevron </w:t>
      </w:r>
      <w:r w:rsidR="00F67D8A">
        <w:t>S</w:t>
      </w:r>
      <w:r w:rsidR="008A799F">
        <w:t xml:space="preserve">ubmission </w:t>
      </w:r>
      <w:r w:rsidR="00F67D8A">
        <w:t>to the GTP Review</w:t>
      </w:r>
      <w:r w:rsidR="008A799F">
        <w:t>, p</w:t>
      </w:r>
      <w:r w:rsidR="00502A00">
        <w:t>. 2-4</w:t>
      </w:r>
      <w:r w:rsidR="00F81DB0">
        <w:t>.</w:t>
      </w:r>
    </w:p>
  </w:footnote>
  <w:footnote w:id="67">
    <w:p w14:paraId="06429A83" w14:textId="47748F07" w:rsidR="00F32B99" w:rsidRDefault="00F32B99">
      <w:pPr>
        <w:pStyle w:val="FootnoteText"/>
      </w:pPr>
      <w:r>
        <w:rPr>
          <w:rStyle w:val="FootnoteReference"/>
        </w:rPr>
        <w:footnoteRef/>
      </w:r>
      <w:r>
        <w:t xml:space="preserve"> </w:t>
      </w:r>
      <w:r w:rsidR="004F761D">
        <w:t xml:space="preserve">The ATO </w:t>
      </w:r>
      <w:r w:rsidR="0050046C">
        <w:t xml:space="preserve">addresses </w:t>
      </w:r>
      <w:r w:rsidR="004440DB">
        <w:t xml:space="preserve">aggressive tax planning </w:t>
      </w:r>
      <w:r w:rsidR="00614B8A">
        <w:t>involving transfer mispricing of commodity export</w:t>
      </w:r>
      <w:r w:rsidR="0098513B">
        <w:t>s</w:t>
      </w:r>
      <w:r w:rsidR="00614B8A">
        <w:t xml:space="preserve"> to related party hubs</w:t>
      </w:r>
      <w:r w:rsidR="00EA38CB">
        <w:t>.</w:t>
      </w:r>
      <w:r w:rsidR="00402CDF">
        <w:t xml:space="preserve"> Where appropriate, i</w:t>
      </w:r>
      <w:r w:rsidR="00EA38CB">
        <w:t xml:space="preserve">t has adjusted prior year income tax </w:t>
      </w:r>
      <w:r w:rsidR="0069180A">
        <w:t>r</w:t>
      </w:r>
      <w:r w:rsidR="00402CDF">
        <w:t xml:space="preserve">eturns </w:t>
      </w:r>
      <w:r w:rsidR="0069180A">
        <w:t xml:space="preserve">and agreed acceptable pricing </w:t>
      </w:r>
      <w:r w:rsidR="00F64188">
        <w:t>for</w:t>
      </w:r>
      <w:r w:rsidR="0069180A">
        <w:t xml:space="preserve"> future years. </w:t>
      </w:r>
    </w:p>
  </w:footnote>
  <w:footnote w:id="68">
    <w:p w14:paraId="409D4881" w14:textId="7F5FC036" w:rsidR="00CF412A" w:rsidRDefault="00CF412A">
      <w:pPr>
        <w:pStyle w:val="FootnoteText"/>
      </w:pPr>
      <w:r>
        <w:rPr>
          <w:rStyle w:val="FootnoteReference"/>
        </w:rPr>
        <w:footnoteRef/>
      </w:r>
      <w:r>
        <w:t xml:space="preserve"> As noted in chapter 3, </w:t>
      </w:r>
      <w:r w:rsidR="00D456B4">
        <w:t xml:space="preserve">the netback price is adopted under the current settings when it falls below the cost-plus price. </w:t>
      </w:r>
      <w:r w:rsidR="00A911F4">
        <w:t xml:space="preserve">In this case, there are no residual profits. </w:t>
      </w:r>
    </w:p>
  </w:footnote>
  <w:footnote w:id="69">
    <w:p w14:paraId="7857B23E" w14:textId="326BCED3" w:rsidR="00707A05" w:rsidRDefault="00707A05">
      <w:pPr>
        <w:pStyle w:val="FootnoteText"/>
      </w:pPr>
      <w:r>
        <w:rPr>
          <w:rStyle w:val="FootnoteReference"/>
        </w:rPr>
        <w:footnoteRef/>
      </w:r>
      <w:r>
        <w:t xml:space="preserve"> </w:t>
      </w:r>
      <w:r w:rsidRPr="004A5FFD">
        <w:t>PwC</w:t>
      </w:r>
      <w:r>
        <w:t xml:space="preserve">, </w:t>
      </w:r>
      <w:r w:rsidR="004A5FFD">
        <w:t>S</w:t>
      </w:r>
      <w:r w:rsidRPr="004A5FFD">
        <w:t>ubmission</w:t>
      </w:r>
      <w:r w:rsidR="004A5FFD">
        <w:t xml:space="preserve"> to the GTP Review</w:t>
      </w:r>
      <w:r w:rsidRPr="004A5FFD">
        <w:t>, p 9</w:t>
      </w:r>
      <w:r w:rsidR="00A20C31">
        <w:t>-</w:t>
      </w:r>
      <w:r w:rsidRPr="004A5FFD">
        <w:t>10.</w:t>
      </w:r>
    </w:p>
  </w:footnote>
  <w:footnote w:id="70">
    <w:p w14:paraId="25262BCA" w14:textId="771A0B91" w:rsidR="0006188A" w:rsidRDefault="0006188A">
      <w:pPr>
        <w:pStyle w:val="FootnoteText"/>
      </w:pPr>
      <w:r>
        <w:rPr>
          <w:rStyle w:val="FootnoteReference"/>
        </w:rPr>
        <w:footnoteRef/>
      </w:r>
      <w:r>
        <w:t xml:space="preserve"> While uplift rates were reduced in 2019 in response to the Callaghan Review, much of the pre-existing </w:t>
      </w:r>
      <w:r w:rsidR="00CD7193">
        <w:t>deductions</w:t>
      </w:r>
      <w:r>
        <w:t xml:space="preserve"> for the LNG industry had already matured to substantial sums.</w:t>
      </w:r>
    </w:p>
  </w:footnote>
  <w:footnote w:id="71">
    <w:p w14:paraId="362F692D" w14:textId="3AC05800" w:rsidR="00D926EA" w:rsidRDefault="00D926EA">
      <w:pPr>
        <w:pStyle w:val="FootnoteText"/>
      </w:pPr>
      <w:r>
        <w:rPr>
          <w:rStyle w:val="FootnoteReference"/>
        </w:rPr>
        <w:footnoteRef/>
      </w:r>
      <w:r>
        <w:t xml:space="preserve"> </w:t>
      </w:r>
      <w:r w:rsidR="00434659">
        <w:t>The Scarborough project also includes an expansion of the Pluto LNG facility, or Pluto 2.</w:t>
      </w:r>
    </w:p>
  </w:footnote>
  <w:footnote w:id="72">
    <w:p w14:paraId="2950106B" w14:textId="75A916F5" w:rsidR="00DF15E9" w:rsidRDefault="00DF15E9" w:rsidP="00DF15E9">
      <w:pPr>
        <w:pStyle w:val="FootnoteText"/>
      </w:pPr>
      <w:r>
        <w:rPr>
          <w:rStyle w:val="FootnoteReference"/>
        </w:rPr>
        <w:footnoteRef/>
      </w:r>
      <w:r>
        <w:t xml:space="preserve"> </w:t>
      </w:r>
      <w:r w:rsidR="006574D7" w:rsidRPr="006574D7">
        <w:t xml:space="preserve">See </w:t>
      </w:r>
      <w:hyperlink r:id="rId9" w:history="1">
        <w:r w:rsidR="006574D7" w:rsidRPr="00E3155F">
          <w:rPr>
            <w:rStyle w:val="Hyperlink"/>
          </w:rPr>
          <w:t>https://www.ato.gov.au</w:t>
        </w:r>
      </w:hyperlink>
      <w:r w:rsidR="006574D7" w:rsidRPr="006574D7">
        <w:t>.</w:t>
      </w:r>
      <w:r w:rsidR="006574D7">
        <w:t xml:space="preserve"> </w:t>
      </w:r>
      <w:r w:rsidR="006574D7" w:rsidRPr="006574D7">
        <w:t>For 2019 20, the net PRRT gap is estimated to be $13 million (1.3%). The ATO identified that the main drivers of the gap related to the inherent complexities of the PRRT system.</w:t>
      </w:r>
    </w:p>
  </w:footnote>
  <w:footnote w:id="73">
    <w:p w14:paraId="6A9BA8F3" w14:textId="58219265" w:rsidR="002A2CD0" w:rsidRDefault="002A2CD0">
      <w:pPr>
        <w:pStyle w:val="FootnoteText"/>
      </w:pPr>
      <w:r>
        <w:rPr>
          <w:rStyle w:val="FootnoteReference"/>
        </w:rPr>
        <w:footnoteRef/>
      </w:r>
      <w:r>
        <w:t xml:space="preserve"> </w:t>
      </w:r>
      <w:r w:rsidR="00946BA2" w:rsidRPr="00CD2E71">
        <w:rPr>
          <w:rFonts w:cs="Calibri"/>
        </w:rPr>
        <w:t>Tax Justice Network – Australia, Submission to the GTP Review, p.9</w:t>
      </w:r>
    </w:p>
  </w:footnote>
  <w:footnote w:id="74">
    <w:p w14:paraId="56975CF1" w14:textId="70693338" w:rsidR="00946BA2" w:rsidRDefault="00946BA2">
      <w:pPr>
        <w:pStyle w:val="FootnoteText"/>
      </w:pPr>
      <w:r>
        <w:rPr>
          <w:rStyle w:val="FootnoteReference"/>
        </w:rPr>
        <w:footnoteRef/>
      </w:r>
      <w:r>
        <w:t xml:space="preserve"> </w:t>
      </w:r>
      <w:r w:rsidRPr="00CD2E71">
        <w:rPr>
          <w:rFonts w:cs="Calibri"/>
        </w:rPr>
        <w:t xml:space="preserve">Professor Richard Eccleston and Mr Lachlan Johnson, Institute for the Study of Social Change, </w:t>
      </w:r>
      <w:r w:rsidR="006F488B" w:rsidRPr="00CD2E71">
        <w:rPr>
          <w:rFonts w:cs="Calibri"/>
        </w:rPr>
        <w:t>Submission to the GTP Review,</w:t>
      </w:r>
      <w:r w:rsidRPr="00CD2E71">
        <w:rPr>
          <w:rFonts w:cs="Calibri"/>
        </w:rPr>
        <w:t xml:space="preserve"> p</w:t>
      </w:r>
      <w:r w:rsidR="006F488B" w:rsidRPr="00CD2E71">
        <w:rPr>
          <w:rFonts w:cs="Calibri"/>
        </w:rPr>
        <w:t>.</w:t>
      </w:r>
      <w:r w:rsidRPr="00CD2E71">
        <w:rPr>
          <w:rFonts w:cs="Calibri"/>
        </w:rPr>
        <w:t>2</w:t>
      </w:r>
    </w:p>
  </w:footnote>
  <w:footnote w:id="75">
    <w:p w14:paraId="300574B3" w14:textId="508320AC" w:rsidR="00CD2E71" w:rsidRDefault="00CD2E71">
      <w:pPr>
        <w:pStyle w:val="FootnoteText"/>
      </w:pPr>
      <w:r w:rsidRPr="00CD2E71">
        <w:rPr>
          <w:rStyle w:val="FootnoteReference"/>
        </w:rPr>
        <w:footnoteRef/>
      </w:r>
      <w:r w:rsidRPr="00CD2E71">
        <w:t xml:space="preserve"> </w:t>
      </w:r>
      <w:r w:rsidRPr="00CD2E71">
        <w:rPr>
          <w:rFonts w:cs="Calibri"/>
        </w:rPr>
        <w:t>Dr Diane Kraal, Submission to the GTP Review, p.14.</w:t>
      </w:r>
    </w:p>
  </w:footnote>
  <w:footnote w:id="76">
    <w:p w14:paraId="5545D156" w14:textId="629715F2" w:rsidR="00CD2E71" w:rsidRDefault="00CD2E71">
      <w:pPr>
        <w:pStyle w:val="FootnoteText"/>
      </w:pPr>
      <w:r>
        <w:rPr>
          <w:rStyle w:val="FootnoteReference"/>
        </w:rPr>
        <w:footnoteRef/>
      </w:r>
      <w:r>
        <w:t xml:space="preserve"> </w:t>
      </w:r>
      <w:r w:rsidRPr="265B5932">
        <w:t>APPEA</w:t>
      </w:r>
      <w:r w:rsidR="00DE76EA">
        <w:t>,</w:t>
      </w:r>
      <w:r w:rsidRPr="265B5932">
        <w:t xml:space="preserve"> Submission</w:t>
      </w:r>
      <w:r w:rsidR="00DE76EA">
        <w:t xml:space="preserve"> to the GTP Review, p.</w:t>
      </w:r>
      <w:r w:rsidRPr="265B5932">
        <w:t xml:space="preserve"> 41</w:t>
      </w:r>
      <w:r w:rsidR="00DE76EA">
        <w:t>-</w:t>
      </w:r>
      <w:r w:rsidRPr="265B5932">
        <w:t>42.</w:t>
      </w:r>
    </w:p>
  </w:footnote>
  <w:footnote w:id="77">
    <w:p w14:paraId="2662D19C" w14:textId="7C94F276" w:rsidR="00B30F9C" w:rsidRDefault="00B30F9C" w:rsidP="00645901">
      <w:pPr>
        <w:pStyle w:val="FootnoteText"/>
      </w:pPr>
      <w:r>
        <w:rPr>
          <w:rStyle w:val="FootnoteReference"/>
        </w:rPr>
        <w:footnoteRef/>
      </w:r>
      <w:r>
        <w:t xml:space="preserve"> </w:t>
      </w:r>
      <w:r w:rsidR="00D00FC7">
        <w:t xml:space="preserve">Tolling arrangements </w:t>
      </w:r>
      <w:r w:rsidR="00B609C6">
        <w:t xml:space="preserve">can </w:t>
      </w:r>
      <w:r w:rsidR="00A00AA1">
        <w:t xml:space="preserve">be </w:t>
      </w:r>
      <w:r w:rsidR="00FA65EA">
        <w:t xml:space="preserve">complex arrangements depending on </w:t>
      </w:r>
      <w:r w:rsidR="004232BC">
        <w:t>the ownership structure of the entities involved.</w:t>
      </w:r>
      <w:r w:rsidR="00151767">
        <w:t xml:space="preserve"> </w:t>
      </w:r>
      <w:r w:rsidR="00180BF5">
        <w:t xml:space="preserve">There are circumstances where the tolling arrangements will include </w:t>
      </w:r>
      <w:r w:rsidR="00EC5207">
        <w:t>other payments in addition to a tolling fee.</w:t>
      </w:r>
      <w:r w:rsidR="00151767">
        <w:t xml:space="preserve"> </w:t>
      </w:r>
      <w:r w:rsidR="00FB4DB0">
        <w:t xml:space="preserve">The design of provisions </w:t>
      </w:r>
      <w:r w:rsidR="001377EA">
        <w:t xml:space="preserve">in the regulations </w:t>
      </w:r>
      <w:r w:rsidR="0047004B">
        <w:t>should consider incorporating a broad definition of a tolling payment.</w:t>
      </w:r>
    </w:p>
  </w:footnote>
  <w:footnote w:id="78">
    <w:p w14:paraId="3494C133" w14:textId="457DF805" w:rsidR="00EA0E9F" w:rsidRDefault="00254A2E" w:rsidP="00EA0E9F">
      <w:pPr>
        <w:pStyle w:val="FootnoteText"/>
      </w:pPr>
      <w:r>
        <w:rPr>
          <w:rStyle w:val="FootnoteReference"/>
        </w:rPr>
        <w:footnoteRef/>
      </w:r>
      <w:r>
        <w:t xml:space="preserve"> </w:t>
      </w:r>
      <w:hyperlink r:id="rId10" w:history="1">
        <w:r w:rsidR="00EA0E9F" w:rsidRPr="006544A2">
          <w:rPr>
            <w:rStyle w:val="Hyperlink"/>
          </w:rPr>
          <w:t>https://www.industry.gov.au/sites/default/files/issue-of-combination-certificates-guideline.pdf</w:t>
        </w:r>
      </w:hyperlink>
    </w:p>
  </w:footnote>
  <w:footnote w:id="79">
    <w:p w14:paraId="7DF7B8D0" w14:textId="58BAE689" w:rsidR="00362651" w:rsidRDefault="00362651">
      <w:pPr>
        <w:pStyle w:val="FootnoteText"/>
      </w:pPr>
      <w:r>
        <w:rPr>
          <w:rStyle w:val="FootnoteReference"/>
        </w:rPr>
        <w:footnoteRef/>
      </w:r>
      <w:r>
        <w:t xml:space="preserve"> </w:t>
      </w:r>
      <w:r w:rsidR="00E819A5">
        <w:t>Chev</w:t>
      </w:r>
      <w:r w:rsidR="00FE71B7">
        <w:t>ron</w:t>
      </w:r>
      <w:r w:rsidR="00CC00D1">
        <w:t>,</w:t>
      </w:r>
      <w:r w:rsidR="00FE71B7">
        <w:t xml:space="preserve"> </w:t>
      </w:r>
      <w:r w:rsidR="00CC00D1">
        <w:t>S</w:t>
      </w:r>
      <w:r w:rsidR="00FE71B7">
        <w:t xml:space="preserve">ubmission </w:t>
      </w:r>
      <w:r w:rsidR="00CC00D1">
        <w:t>to the GTP Review</w:t>
      </w:r>
      <w:r w:rsidR="00FE71B7">
        <w:t>, p 3.</w:t>
      </w:r>
    </w:p>
  </w:footnote>
  <w:footnote w:id="80">
    <w:p w14:paraId="602DE70D" w14:textId="68FE0216" w:rsidR="004620CD" w:rsidRDefault="004620CD">
      <w:pPr>
        <w:pStyle w:val="FootnoteText"/>
      </w:pPr>
      <w:r>
        <w:rPr>
          <w:rStyle w:val="FootnoteReference"/>
        </w:rPr>
        <w:footnoteRef/>
      </w:r>
      <w:r>
        <w:t xml:space="preserve"> </w:t>
      </w:r>
      <w:r w:rsidR="00CB72A8">
        <w:t xml:space="preserve">A key feature of transitioning the NWS project </w:t>
      </w:r>
      <w:r w:rsidR="00FB19C0">
        <w:t xml:space="preserve">into PRRT in 2012 </w:t>
      </w:r>
      <w:r w:rsidR="008A06C8">
        <w:t>was a starting base amount that is carried forward and uplifted at LTBR plus 5 percentage points</w:t>
      </w:r>
      <w:r w:rsidR="009D3F75">
        <w:t>. The starting base effectively acts as a tax shield</w:t>
      </w:r>
      <w:r w:rsidR="00064F06">
        <w:t xml:space="preserve"> against PRRT, </w:t>
      </w:r>
      <w:r w:rsidR="007F62F5">
        <w:t xml:space="preserve">partly </w:t>
      </w:r>
      <w:r w:rsidR="00064F06">
        <w:t xml:space="preserve">reflecting </w:t>
      </w:r>
      <w:r w:rsidR="007F62F5">
        <w:t xml:space="preserve">significant </w:t>
      </w:r>
      <w:r w:rsidR="00CD3215">
        <w:t xml:space="preserve">past and ongoing </w:t>
      </w:r>
      <w:r w:rsidR="00DC15CD">
        <w:t>royalty and excise payments</w:t>
      </w:r>
      <w:r w:rsidR="007F62F5">
        <w:t>.</w:t>
      </w:r>
    </w:p>
  </w:footnote>
  <w:footnote w:id="81">
    <w:p w14:paraId="45F98D51" w14:textId="44F40969" w:rsidR="001028CF" w:rsidRDefault="001028CF">
      <w:pPr>
        <w:pStyle w:val="FootnoteText"/>
      </w:pPr>
      <w:r>
        <w:rPr>
          <w:rStyle w:val="FootnoteReference"/>
        </w:rPr>
        <w:footnoteRef/>
      </w:r>
      <w:r>
        <w:t xml:space="preserve"> </w:t>
      </w:r>
      <w:r w:rsidR="00663D1C" w:rsidRPr="00663D1C">
        <w:t>https://www.industry.gov.au/publications/resources-and-energy-quarterly-march-2023</w:t>
      </w:r>
    </w:p>
  </w:footnote>
  <w:footnote w:id="82">
    <w:p w14:paraId="4F16BA48" w14:textId="1745704E" w:rsidR="004A54EC" w:rsidRDefault="004A54EC" w:rsidP="004A54EC">
      <w:pPr>
        <w:pStyle w:val="FootnoteText"/>
      </w:pPr>
      <w:r>
        <w:rPr>
          <w:rStyle w:val="FootnoteReference"/>
        </w:rPr>
        <w:footnoteRef/>
      </w:r>
      <w:r>
        <w:t xml:space="preserve"> As </w:t>
      </w:r>
      <w:r w:rsidRPr="00122D67">
        <w:t xml:space="preserve">Chart </w:t>
      </w:r>
      <w:r w:rsidR="00FB4763">
        <w:t>8</w:t>
      </w:r>
      <w:r w:rsidR="007760D7">
        <w:t>.</w:t>
      </w:r>
      <w:r w:rsidRPr="00122D67">
        <w:t>1 shows</w:t>
      </w:r>
      <w:r>
        <w:t>, in recent years Brent has consistently traded at a small premium to WTI.</w:t>
      </w:r>
    </w:p>
  </w:footnote>
  <w:footnote w:id="83">
    <w:p w14:paraId="18AF6460" w14:textId="0B25CD61" w:rsidR="006B6B9E" w:rsidRDefault="006B6B9E">
      <w:pPr>
        <w:pStyle w:val="FootnoteText"/>
      </w:pPr>
      <w:r>
        <w:rPr>
          <w:rStyle w:val="FootnoteReference"/>
        </w:rPr>
        <w:footnoteRef/>
      </w:r>
      <w:r>
        <w:t xml:space="preserve"> See </w:t>
      </w:r>
      <w:hyperlink r:id="rId11" w:history="1">
        <w:r w:rsidRPr="00125897">
          <w:rPr>
            <w:rStyle w:val="Hyperlink"/>
          </w:rPr>
          <w:t>https://www.bp.com/content/dam/bp/business-sites/en/global/corporate/pdfs/energy-economics/energy-outlook/bp-energy-outlook-2023.pdf</w:t>
        </w:r>
      </w:hyperlink>
    </w:p>
  </w:footnote>
  <w:footnote w:id="84">
    <w:p w14:paraId="0C985B62" w14:textId="57A3F3B9" w:rsidR="00087244" w:rsidRDefault="00087244">
      <w:pPr>
        <w:pStyle w:val="FootnoteText"/>
      </w:pPr>
      <w:r>
        <w:rPr>
          <w:rStyle w:val="FootnoteReference"/>
        </w:rPr>
        <w:footnoteRef/>
      </w:r>
      <w:r>
        <w:t xml:space="preserve"> </w:t>
      </w:r>
      <w:r w:rsidRPr="00371132">
        <w:rPr>
          <w:rStyle w:val="FootnoteTextChar"/>
        </w:rPr>
        <w:t>Note: The PRRT receipts impacts of changes to the Gas Transfer Pricing regime in this chapter are presented in gross terms and do not consider the estimated reduction in company income tax payable resulting from higher PRRT receipts. PRRT payments are deductible for company income tax purposes. Therefore, an increase in PRRT receipts is expected to be partially offset by a decrease in company income tax receipts, as additional company income tax deductions become available</w:t>
      </w:r>
      <w:r>
        <w:rPr>
          <w:rStyle w:val="FootnoteTextChar"/>
        </w:rPr>
        <w:t>.</w:t>
      </w:r>
    </w:p>
  </w:footnote>
  <w:footnote w:id="85">
    <w:p w14:paraId="391A95FA" w14:textId="2F546D2A" w:rsidR="00D56BB4" w:rsidRDefault="00D56BB4">
      <w:pPr>
        <w:pStyle w:val="FootnoteText"/>
      </w:pPr>
      <w:r>
        <w:rPr>
          <w:rStyle w:val="FootnoteReference"/>
        </w:rPr>
        <w:footnoteRef/>
      </w:r>
      <w:r>
        <w:t xml:space="preserve"> </w:t>
      </w:r>
      <w:r w:rsidRPr="00D56BB4">
        <w:t xml:space="preserve">Note: The PRRT receipts impacts of changes to the </w:t>
      </w:r>
      <w:r w:rsidR="006046E5">
        <w:t>PRRT</w:t>
      </w:r>
      <w:r w:rsidRPr="00D56BB4">
        <w:t xml:space="preserve"> regime</w:t>
      </w:r>
      <w:r w:rsidR="00D87E2A">
        <w:t xml:space="preserve"> as a result </w:t>
      </w:r>
      <w:r w:rsidR="0056574B">
        <w:t>of the deductions cap</w:t>
      </w:r>
      <w:r w:rsidRPr="00D56BB4">
        <w:t xml:space="preserve"> in this chapter are presented in gross terms and do not consider the estimated reduction in company income tax payable resulting from higher PRRT receipts. PRRT payments are deductible for company income tax purposes. Therefore, an increase in PRRT receipts is expected to be partially offset by a decrease in company income tax receipts, as additional company income tax deductions become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8B83" w14:textId="77777777" w:rsidR="00D100A8" w:rsidRDefault="00D10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BB3D" w14:textId="77777777" w:rsidR="00D100A8" w:rsidRDefault="00D10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1FF9" w14:textId="77777777" w:rsidR="00D100A8" w:rsidRDefault="00D100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F0B2" w14:textId="0CB0CDE5" w:rsidR="00672B5D" w:rsidRPr="00AC75E2" w:rsidRDefault="00AC75E2" w:rsidP="00AC75E2">
    <w:pPr>
      <w:pStyle w:val="HeaderEven"/>
    </w:pPr>
    <w:r>
      <w:rPr>
        <w:noProof/>
      </w:rPr>
      <w:drawing>
        <wp:anchor distT="0" distB="0" distL="114300" distR="114300" simplePos="0" relativeHeight="251658240" behindDoc="1" locked="1" layoutInCell="1" allowOverlap="1" wp14:anchorId="33A914E2" wp14:editId="7892F857">
          <wp:simplePos x="0" y="0"/>
          <wp:positionH relativeFrom="page">
            <wp:posOffset>-635</wp:posOffset>
          </wp:positionH>
          <wp:positionV relativeFrom="page">
            <wp:align>top</wp:align>
          </wp:positionV>
          <wp:extent cx="7570800" cy="104400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6387"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Century Gothic" w:hAnsi="Century Gothic" w:cs="Century Gothic"/>
      </w:rPr>
    </w:lvl>
    <w:lvl w:ilvl="1">
      <w:start w:val="1"/>
      <w:numFmt w:val="bullet"/>
      <w:lvlText w:val="–"/>
      <w:lvlJc w:val="left"/>
      <w:pPr>
        <w:tabs>
          <w:tab w:val="num" w:pos="1134"/>
        </w:tabs>
        <w:ind w:left="1134" w:hanging="567"/>
      </w:pPr>
      <w:rPr>
        <w:rFonts w:ascii="Century Gothic" w:hAnsi="Century Gothic" w:cs="Century Gothic"/>
      </w:rPr>
    </w:lvl>
    <w:lvl w:ilvl="2">
      <w:start w:val="1"/>
      <w:numFmt w:val="bullet"/>
      <w:lvlText w:val=":"/>
      <w:lvlJc w:val="left"/>
      <w:pPr>
        <w:tabs>
          <w:tab w:val="num" w:pos="1701"/>
        </w:tabs>
        <w:ind w:left="1701" w:hanging="567"/>
      </w:pPr>
      <w:rPr>
        <w:rFonts w:ascii="Century Gothic" w:hAnsi="Century Gothic" w:cs="Century Gothic"/>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D82196"/>
    <w:multiLevelType w:val="multilevel"/>
    <w:tmpl w:val="D0107B92"/>
    <w:lvl w:ilvl="0">
      <w:start w:val="1"/>
      <w:numFmt w:val="bullet"/>
      <w:lvlText w:val="•"/>
      <w:lvlJc w:val="left"/>
      <w:pPr>
        <w:tabs>
          <w:tab w:val="num" w:pos="520"/>
        </w:tabs>
        <w:ind w:left="520" w:hanging="520"/>
      </w:pPr>
      <w:rPr>
        <w:rFonts w:ascii="Century Gothic" w:hAnsi="Century Gothic" w:cs="Century Gothic"/>
      </w:rPr>
    </w:lvl>
    <w:lvl w:ilvl="1">
      <w:start w:val="1"/>
      <w:numFmt w:val="bullet"/>
      <w:lvlText w:val="–"/>
      <w:lvlJc w:val="left"/>
      <w:pPr>
        <w:tabs>
          <w:tab w:val="num" w:pos="1040"/>
        </w:tabs>
        <w:ind w:left="1040" w:hanging="520"/>
      </w:pPr>
      <w:rPr>
        <w:rFonts w:ascii="Century Gothic" w:hAnsi="Century Gothic" w:cs="Century Gothic"/>
      </w:rPr>
    </w:lvl>
    <w:lvl w:ilvl="2">
      <w:start w:val="1"/>
      <w:numFmt w:val="bullet"/>
      <w:lvlText w:val=":"/>
      <w:lvlJc w:val="left"/>
      <w:pPr>
        <w:tabs>
          <w:tab w:val="num" w:pos="1560"/>
        </w:tabs>
        <w:ind w:left="1560" w:hanging="520"/>
      </w:pPr>
      <w:rPr>
        <w:rFonts w:ascii="Century Gothic" w:hAnsi="Century Gothic" w:cs="Century Gothic"/>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F5887"/>
    <w:multiLevelType w:val="hybridMultilevel"/>
    <w:tmpl w:val="FFFFFFFF"/>
    <w:lvl w:ilvl="0" w:tplc="ACEC6B70">
      <w:start w:val="1"/>
      <w:numFmt w:val="bullet"/>
      <w:lvlText w:val="·"/>
      <w:lvlJc w:val="left"/>
      <w:pPr>
        <w:ind w:left="720" w:hanging="360"/>
      </w:pPr>
      <w:rPr>
        <w:rFonts w:ascii="MS Gothic" w:hAnsi="MS Gothic" w:hint="default"/>
      </w:rPr>
    </w:lvl>
    <w:lvl w:ilvl="1" w:tplc="1652BF44">
      <w:start w:val="1"/>
      <w:numFmt w:val="bullet"/>
      <w:lvlText w:val="o"/>
      <w:lvlJc w:val="left"/>
      <w:pPr>
        <w:ind w:left="1440" w:hanging="360"/>
      </w:pPr>
      <w:rPr>
        <w:rFonts w:ascii="MS Mincho" w:hAnsi="MS Mincho" w:hint="default"/>
      </w:rPr>
    </w:lvl>
    <w:lvl w:ilvl="2" w:tplc="27043E9E">
      <w:start w:val="1"/>
      <w:numFmt w:val="bullet"/>
      <w:lvlText w:val=""/>
      <w:lvlJc w:val="left"/>
      <w:pPr>
        <w:ind w:left="2160" w:hanging="360"/>
      </w:pPr>
      <w:rPr>
        <w:rFonts w:ascii="MS Mincho" w:hAnsi="MS Mincho" w:hint="default"/>
      </w:rPr>
    </w:lvl>
    <w:lvl w:ilvl="3" w:tplc="84DA3EE2">
      <w:start w:val="1"/>
      <w:numFmt w:val="bullet"/>
      <w:lvlText w:val=""/>
      <w:lvlJc w:val="left"/>
      <w:pPr>
        <w:ind w:left="2880" w:hanging="360"/>
      </w:pPr>
      <w:rPr>
        <w:rFonts w:ascii="MS Gothic" w:hAnsi="MS Gothic" w:hint="default"/>
      </w:rPr>
    </w:lvl>
    <w:lvl w:ilvl="4" w:tplc="B91E3DAC">
      <w:start w:val="1"/>
      <w:numFmt w:val="bullet"/>
      <w:lvlText w:val="o"/>
      <w:lvlJc w:val="left"/>
      <w:pPr>
        <w:ind w:left="3600" w:hanging="360"/>
      </w:pPr>
      <w:rPr>
        <w:rFonts w:ascii="MS Mincho" w:hAnsi="MS Mincho" w:hint="default"/>
      </w:rPr>
    </w:lvl>
    <w:lvl w:ilvl="5" w:tplc="5302F142">
      <w:start w:val="1"/>
      <w:numFmt w:val="bullet"/>
      <w:lvlText w:val=""/>
      <w:lvlJc w:val="left"/>
      <w:pPr>
        <w:ind w:left="4320" w:hanging="360"/>
      </w:pPr>
      <w:rPr>
        <w:rFonts w:ascii="MS Mincho" w:hAnsi="MS Mincho" w:hint="default"/>
      </w:rPr>
    </w:lvl>
    <w:lvl w:ilvl="6" w:tplc="15DE5C9A">
      <w:start w:val="1"/>
      <w:numFmt w:val="bullet"/>
      <w:lvlText w:val=""/>
      <w:lvlJc w:val="left"/>
      <w:pPr>
        <w:ind w:left="5040" w:hanging="360"/>
      </w:pPr>
      <w:rPr>
        <w:rFonts w:ascii="MS Gothic" w:hAnsi="MS Gothic" w:hint="default"/>
      </w:rPr>
    </w:lvl>
    <w:lvl w:ilvl="7" w:tplc="FE26A142">
      <w:start w:val="1"/>
      <w:numFmt w:val="bullet"/>
      <w:lvlText w:val="o"/>
      <w:lvlJc w:val="left"/>
      <w:pPr>
        <w:ind w:left="5760" w:hanging="360"/>
      </w:pPr>
      <w:rPr>
        <w:rFonts w:ascii="MS Mincho" w:hAnsi="MS Mincho" w:hint="default"/>
      </w:rPr>
    </w:lvl>
    <w:lvl w:ilvl="8" w:tplc="04F219CE">
      <w:start w:val="1"/>
      <w:numFmt w:val="bullet"/>
      <w:lvlText w:val=""/>
      <w:lvlJc w:val="left"/>
      <w:pPr>
        <w:ind w:left="6480" w:hanging="360"/>
      </w:pPr>
      <w:rPr>
        <w:rFonts w:ascii="MS Mincho" w:hAnsi="MS Mincho" w:hint="default"/>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Century Gothic" w:hAnsi="Century Gothic" w:cs="Century Gothic"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8C38B3"/>
    <w:multiLevelType w:val="hybridMultilevel"/>
    <w:tmpl w:val="BD4A5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6F0E7C"/>
    <w:multiLevelType w:val="multilevel"/>
    <w:tmpl w:val="7F9AD078"/>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Century Gothic" w:hAnsi="Century Gothic" w:cs="Century Gothic" w:hint="default"/>
        <w:b w:val="0"/>
        <w:i w:val="0"/>
      </w:rPr>
    </w:lvl>
    <w:lvl w:ilvl="1">
      <w:start w:val="1"/>
      <w:numFmt w:val="bullet"/>
      <w:pStyle w:val="Boxdash"/>
      <w:lvlText w:val="–"/>
      <w:lvlJc w:val="left"/>
      <w:pPr>
        <w:tabs>
          <w:tab w:val="num" w:pos="567"/>
        </w:tabs>
        <w:ind w:left="568" w:hanging="284"/>
      </w:pPr>
      <w:rPr>
        <w:rFonts w:ascii="Century Gothic" w:hAnsi="Century Gothic" w:cs="Century Gothic" w:hint="default"/>
        <w:b w:val="0"/>
        <w:i w:val="0"/>
      </w:rPr>
    </w:lvl>
    <w:lvl w:ilvl="2">
      <w:start w:val="1"/>
      <w:numFmt w:val="bullet"/>
      <w:pStyle w:val="Boxdoubledot"/>
      <w:lvlText w:val=":"/>
      <w:lvlJc w:val="left"/>
      <w:pPr>
        <w:tabs>
          <w:tab w:val="num" w:pos="851"/>
        </w:tabs>
        <w:ind w:left="852" w:hanging="284"/>
      </w:pPr>
      <w:rPr>
        <w:rFonts w:ascii="Century Gothic" w:hAnsi="Century Gothic" w:cs="Century Gothic"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15150145"/>
    <w:multiLevelType w:val="hybridMultilevel"/>
    <w:tmpl w:val="9E7CA3A4"/>
    <w:lvl w:ilvl="0" w:tplc="0E483A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D83007"/>
    <w:multiLevelType w:val="hybridMultilevel"/>
    <w:tmpl w:val="A3EC380E"/>
    <w:lvl w:ilvl="0" w:tplc="E7E250FE">
      <w:start w:val="2"/>
      <w:numFmt w:val="bullet"/>
      <w:lvlText w:val="-"/>
      <w:lvlJc w:val="left"/>
      <w:pPr>
        <w:ind w:left="720" w:hanging="360"/>
      </w:pPr>
      <w:rPr>
        <w:rFonts w:ascii="Courier New" w:eastAsia="Century Gothic" w:hAnsi="Courier New" w:cs="Courier New" w:hint="default"/>
      </w:rPr>
    </w:lvl>
    <w:lvl w:ilvl="1" w:tplc="0C090003" w:tentative="1">
      <w:start w:val="1"/>
      <w:numFmt w:val="bullet"/>
      <w:lvlText w:val="o"/>
      <w:lvlJc w:val="left"/>
      <w:pPr>
        <w:ind w:left="1440" w:hanging="360"/>
      </w:pPr>
      <w:rPr>
        <w:rFonts w:ascii="MS Mincho" w:hAnsi="MS Mincho" w:cs="MS Mincho" w:hint="default"/>
      </w:rPr>
    </w:lvl>
    <w:lvl w:ilvl="2" w:tplc="0C090005" w:tentative="1">
      <w:start w:val="1"/>
      <w:numFmt w:val="bullet"/>
      <w:lvlText w:val=""/>
      <w:lvlJc w:val="left"/>
      <w:pPr>
        <w:ind w:left="2160" w:hanging="360"/>
      </w:pPr>
      <w:rPr>
        <w:rFonts w:ascii="MS Mincho" w:hAnsi="MS Mincho" w:hint="default"/>
      </w:rPr>
    </w:lvl>
    <w:lvl w:ilvl="3" w:tplc="0C090001" w:tentative="1">
      <w:start w:val="1"/>
      <w:numFmt w:val="bullet"/>
      <w:lvlText w:val=""/>
      <w:lvlJc w:val="left"/>
      <w:pPr>
        <w:ind w:left="2880" w:hanging="360"/>
      </w:pPr>
      <w:rPr>
        <w:rFonts w:ascii="MS Gothic" w:hAnsi="MS Gothic" w:hint="default"/>
      </w:rPr>
    </w:lvl>
    <w:lvl w:ilvl="4" w:tplc="0C090003" w:tentative="1">
      <w:start w:val="1"/>
      <w:numFmt w:val="bullet"/>
      <w:lvlText w:val="o"/>
      <w:lvlJc w:val="left"/>
      <w:pPr>
        <w:ind w:left="3600" w:hanging="360"/>
      </w:pPr>
      <w:rPr>
        <w:rFonts w:ascii="MS Mincho" w:hAnsi="MS Mincho" w:cs="MS Mincho" w:hint="default"/>
      </w:rPr>
    </w:lvl>
    <w:lvl w:ilvl="5" w:tplc="0C090005" w:tentative="1">
      <w:start w:val="1"/>
      <w:numFmt w:val="bullet"/>
      <w:lvlText w:val=""/>
      <w:lvlJc w:val="left"/>
      <w:pPr>
        <w:ind w:left="4320" w:hanging="360"/>
      </w:pPr>
      <w:rPr>
        <w:rFonts w:ascii="MS Mincho" w:hAnsi="MS Mincho" w:hint="default"/>
      </w:rPr>
    </w:lvl>
    <w:lvl w:ilvl="6" w:tplc="0C090001" w:tentative="1">
      <w:start w:val="1"/>
      <w:numFmt w:val="bullet"/>
      <w:lvlText w:val=""/>
      <w:lvlJc w:val="left"/>
      <w:pPr>
        <w:ind w:left="5040" w:hanging="360"/>
      </w:pPr>
      <w:rPr>
        <w:rFonts w:ascii="MS Gothic" w:hAnsi="MS Gothic" w:hint="default"/>
      </w:rPr>
    </w:lvl>
    <w:lvl w:ilvl="7" w:tplc="0C090003" w:tentative="1">
      <w:start w:val="1"/>
      <w:numFmt w:val="bullet"/>
      <w:lvlText w:val="o"/>
      <w:lvlJc w:val="left"/>
      <w:pPr>
        <w:ind w:left="5760" w:hanging="360"/>
      </w:pPr>
      <w:rPr>
        <w:rFonts w:ascii="MS Mincho" w:hAnsi="MS Mincho" w:cs="MS Mincho" w:hint="default"/>
      </w:rPr>
    </w:lvl>
    <w:lvl w:ilvl="8" w:tplc="0C090005" w:tentative="1">
      <w:start w:val="1"/>
      <w:numFmt w:val="bullet"/>
      <w:lvlText w:val=""/>
      <w:lvlJc w:val="left"/>
      <w:pPr>
        <w:ind w:left="6480" w:hanging="360"/>
      </w:pPr>
      <w:rPr>
        <w:rFonts w:ascii="MS Mincho" w:hAnsi="MS Mincho" w:hint="default"/>
      </w:rPr>
    </w:lvl>
  </w:abstractNum>
  <w:abstractNum w:abstractNumId="11" w15:restartNumberingAfterBreak="0">
    <w:nsid w:val="25532845"/>
    <w:multiLevelType w:val="hybridMultilevel"/>
    <w:tmpl w:val="9E7CA3A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CD5C38"/>
    <w:multiLevelType w:val="hybridMultilevel"/>
    <w:tmpl w:val="A1DCD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B004A4"/>
    <w:multiLevelType w:val="hybridMultilevel"/>
    <w:tmpl w:val="497CA6BC"/>
    <w:lvl w:ilvl="0" w:tplc="0C090001">
      <w:start w:val="1"/>
      <w:numFmt w:val="bullet"/>
      <w:lvlText w:val=""/>
      <w:lvlJc w:val="left"/>
      <w:pPr>
        <w:ind w:left="720" w:hanging="360"/>
      </w:pPr>
      <w:rPr>
        <w:rFonts w:ascii="MS Gothic" w:hAnsi="MS Gothic" w:hint="default"/>
      </w:rPr>
    </w:lvl>
    <w:lvl w:ilvl="1" w:tplc="0C090003" w:tentative="1">
      <w:start w:val="1"/>
      <w:numFmt w:val="bullet"/>
      <w:lvlText w:val="o"/>
      <w:lvlJc w:val="left"/>
      <w:pPr>
        <w:ind w:left="1440" w:hanging="360"/>
      </w:pPr>
      <w:rPr>
        <w:rFonts w:ascii="MS Mincho" w:hAnsi="MS Mincho" w:cs="MS Mincho" w:hint="default"/>
      </w:rPr>
    </w:lvl>
    <w:lvl w:ilvl="2" w:tplc="0C090005" w:tentative="1">
      <w:start w:val="1"/>
      <w:numFmt w:val="bullet"/>
      <w:lvlText w:val=""/>
      <w:lvlJc w:val="left"/>
      <w:pPr>
        <w:ind w:left="2160" w:hanging="360"/>
      </w:pPr>
      <w:rPr>
        <w:rFonts w:ascii="MS Mincho" w:hAnsi="MS Mincho" w:hint="default"/>
      </w:rPr>
    </w:lvl>
    <w:lvl w:ilvl="3" w:tplc="0C090001" w:tentative="1">
      <w:start w:val="1"/>
      <w:numFmt w:val="bullet"/>
      <w:lvlText w:val=""/>
      <w:lvlJc w:val="left"/>
      <w:pPr>
        <w:ind w:left="2880" w:hanging="360"/>
      </w:pPr>
      <w:rPr>
        <w:rFonts w:ascii="MS Gothic" w:hAnsi="MS Gothic" w:hint="default"/>
      </w:rPr>
    </w:lvl>
    <w:lvl w:ilvl="4" w:tplc="0C090003" w:tentative="1">
      <w:start w:val="1"/>
      <w:numFmt w:val="bullet"/>
      <w:lvlText w:val="o"/>
      <w:lvlJc w:val="left"/>
      <w:pPr>
        <w:ind w:left="3600" w:hanging="360"/>
      </w:pPr>
      <w:rPr>
        <w:rFonts w:ascii="MS Mincho" w:hAnsi="MS Mincho" w:cs="MS Mincho" w:hint="default"/>
      </w:rPr>
    </w:lvl>
    <w:lvl w:ilvl="5" w:tplc="0C090005" w:tentative="1">
      <w:start w:val="1"/>
      <w:numFmt w:val="bullet"/>
      <w:lvlText w:val=""/>
      <w:lvlJc w:val="left"/>
      <w:pPr>
        <w:ind w:left="4320" w:hanging="360"/>
      </w:pPr>
      <w:rPr>
        <w:rFonts w:ascii="MS Mincho" w:hAnsi="MS Mincho" w:hint="default"/>
      </w:rPr>
    </w:lvl>
    <w:lvl w:ilvl="6" w:tplc="0C090001" w:tentative="1">
      <w:start w:val="1"/>
      <w:numFmt w:val="bullet"/>
      <w:lvlText w:val=""/>
      <w:lvlJc w:val="left"/>
      <w:pPr>
        <w:ind w:left="5040" w:hanging="360"/>
      </w:pPr>
      <w:rPr>
        <w:rFonts w:ascii="MS Gothic" w:hAnsi="MS Gothic" w:hint="default"/>
      </w:rPr>
    </w:lvl>
    <w:lvl w:ilvl="7" w:tplc="0C090003" w:tentative="1">
      <w:start w:val="1"/>
      <w:numFmt w:val="bullet"/>
      <w:lvlText w:val="o"/>
      <w:lvlJc w:val="left"/>
      <w:pPr>
        <w:ind w:left="5760" w:hanging="360"/>
      </w:pPr>
      <w:rPr>
        <w:rFonts w:ascii="MS Mincho" w:hAnsi="MS Mincho" w:cs="MS Mincho" w:hint="default"/>
      </w:rPr>
    </w:lvl>
    <w:lvl w:ilvl="8" w:tplc="0C090005" w:tentative="1">
      <w:start w:val="1"/>
      <w:numFmt w:val="bullet"/>
      <w:lvlText w:val=""/>
      <w:lvlJc w:val="left"/>
      <w:pPr>
        <w:ind w:left="6480" w:hanging="360"/>
      </w:pPr>
      <w:rPr>
        <w:rFonts w:ascii="MS Mincho" w:hAnsi="MS Mincho" w:hint="default"/>
      </w:rPr>
    </w:lvl>
  </w:abstractNum>
  <w:abstractNum w:abstractNumId="15" w15:restartNumberingAfterBreak="0">
    <w:nsid w:val="2E703423"/>
    <w:multiLevelType w:val="hybridMultilevel"/>
    <w:tmpl w:val="C5829B74"/>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Century Gothic" w:hAnsi="Century Gothic" w:cs="Century Gothic" w:hint="default"/>
        <w:b w:val="0"/>
        <w:i w:val="0"/>
      </w:rPr>
    </w:lvl>
    <w:lvl w:ilvl="1">
      <w:start w:val="1"/>
      <w:numFmt w:val="bullet"/>
      <w:lvlText w:val="–"/>
      <w:lvlJc w:val="left"/>
      <w:pPr>
        <w:tabs>
          <w:tab w:val="num" w:pos="567"/>
        </w:tabs>
        <w:ind w:left="567" w:hanging="284"/>
      </w:pPr>
      <w:rPr>
        <w:rFonts w:ascii="Century Gothic" w:hAnsi="Century Gothic" w:cs="Century Gothic" w:hint="default"/>
        <w:b w:val="0"/>
        <w:i w:val="0"/>
      </w:rPr>
    </w:lvl>
    <w:lvl w:ilvl="2">
      <w:start w:val="1"/>
      <w:numFmt w:val="bullet"/>
      <w:lvlText w:val=":"/>
      <w:lvlJc w:val="left"/>
      <w:pPr>
        <w:tabs>
          <w:tab w:val="num" w:pos="850"/>
        </w:tabs>
        <w:ind w:left="850" w:hanging="283"/>
      </w:pPr>
      <w:rPr>
        <w:rFonts w:ascii="Century Gothic" w:hAnsi="Century Gothic" w:cs="Century Gothic"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Yu Mincho Light" w:hAnsi="Yu Mincho Light"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5C3BD9"/>
    <w:multiLevelType w:val="hybridMultilevel"/>
    <w:tmpl w:val="B3181C66"/>
    <w:lvl w:ilvl="0" w:tplc="FFFFFFFF">
      <w:start w:val="1"/>
      <w:numFmt w:val="lowerRoman"/>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EF0C5C"/>
    <w:multiLevelType w:val="hybridMultilevel"/>
    <w:tmpl w:val="C5829B74"/>
    <w:lvl w:ilvl="0" w:tplc="FC782B7A">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762596"/>
    <w:multiLevelType w:val="hybridMultilevel"/>
    <w:tmpl w:val="35AECF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0D2021"/>
    <w:multiLevelType w:val="multilevel"/>
    <w:tmpl w:val="72F8140E"/>
    <w:numStyleLink w:val="OutlineList"/>
  </w:abstractNum>
  <w:abstractNum w:abstractNumId="23" w15:restartNumberingAfterBreak="0">
    <w:nsid w:val="548071CE"/>
    <w:multiLevelType w:val="hybridMultilevel"/>
    <w:tmpl w:val="36BE8F1E"/>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C84032"/>
    <w:multiLevelType w:val="multilevel"/>
    <w:tmpl w:val="D5C6CDBC"/>
    <w:lvl w:ilvl="0">
      <w:start w:val="1"/>
      <w:numFmt w:val="bullet"/>
      <w:lvlText w:val="•"/>
      <w:lvlJc w:val="left"/>
      <w:pPr>
        <w:tabs>
          <w:tab w:val="num" w:pos="520"/>
        </w:tabs>
        <w:ind w:left="520" w:hanging="520"/>
      </w:pPr>
      <w:rPr>
        <w:rFonts w:ascii="Century Gothic" w:hAnsi="Century Gothic" w:cs="Century Gothic"/>
      </w:rPr>
    </w:lvl>
    <w:lvl w:ilvl="1">
      <w:start w:val="1"/>
      <w:numFmt w:val="bullet"/>
      <w:lvlText w:val="–"/>
      <w:lvlJc w:val="left"/>
      <w:pPr>
        <w:tabs>
          <w:tab w:val="num" w:pos="1040"/>
        </w:tabs>
        <w:ind w:left="1040" w:hanging="520"/>
      </w:pPr>
      <w:rPr>
        <w:rFonts w:ascii="Century Gothic" w:hAnsi="Century Gothic" w:cs="Century Gothic"/>
      </w:rPr>
    </w:lvl>
    <w:lvl w:ilvl="2">
      <w:start w:val="1"/>
      <w:numFmt w:val="bullet"/>
      <w:lvlText w:val=":"/>
      <w:lvlJc w:val="left"/>
      <w:pPr>
        <w:tabs>
          <w:tab w:val="num" w:pos="1560"/>
        </w:tabs>
        <w:ind w:left="1560" w:hanging="520"/>
      </w:pPr>
      <w:rPr>
        <w:rFonts w:ascii="Century Gothic" w:hAnsi="Century Gothic" w:cs="Century Gothic"/>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A575D6"/>
    <w:multiLevelType w:val="multilevel"/>
    <w:tmpl w:val="403E0A54"/>
    <w:lvl w:ilvl="0">
      <w:start w:val="1"/>
      <w:numFmt w:val="bullet"/>
      <w:lvlText w:val="•"/>
      <w:lvlJc w:val="left"/>
      <w:pPr>
        <w:tabs>
          <w:tab w:val="num" w:pos="520"/>
        </w:tabs>
        <w:ind w:left="520" w:hanging="520"/>
      </w:pPr>
      <w:rPr>
        <w:rFonts w:ascii="Century Gothic" w:hAnsi="Century Gothic" w:cs="Century Gothic"/>
      </w:rPr>
    </w:lvl>
    <w:lvl w:ilvl="1">
      <w:start w:val="1"/>
      <w:numFmt w:val="bullet"/>
      <w:lvlText w:val="–"/>
      <w:lvlJc w:val="left"/>
      <w:pPr>
        <w:tabs>
          <w:tab w:val="num" w:pos="1040"/>
        </w:tabs>
        <w:ind w:left="1040" w:hanging="520"/>
      </w:pPr>
      <w:rPr>
        <w:rFonts w:ascii="Century Gothic" w:hAnsi="Century Gothic" w:cs="Century Gothic"/>
      </w:rPr>
    </w:lvl>
    <w:lvl w:ilvl="2">
      <w:start w:val="1"/>
      <w:numFmt w:val="bullet"/>
      <w:lvlText w:val=":"/>
      <w:lvlJc w:val="left"/>
      <w:pPr>
        <w:tabs>
          <w:tab w:val="num" w:pos="1560"/>
        </w:tabs>
        <w:ind w:left="1560" w:hanging="520"/>
      </w:pPr>
      <w:rPr>
        <w:rFonts w:ascii="Century Gothic" w:hAnsi="Century Gothic" w:cs="Century Gothic"/>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950F6D"/>
    <w:multiLevelType w:val="hybridMultilevel"/>
    <w:tmpl w:val="B3181C66"/>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A92080"/>
    <w:multiLevelType w:val="hybridMultilevel"/>
    <w:tmpl w:val="E93AF4D2"/>
    <w:lvl w:ilvl="0" w:tplc="B1B62A00">
      <w:start w:val="1"/>
      <w:numFmt w:val="lowerRoman"/>
      <w:lvlText w:val="(%1)"/>
      <w:lvlJc w:val="left"/>
      <w:pPr>
        <w:ind w:left="1080" w:hanging="360"/>
      </w:pPr>
      <w:rPr>
        <w:rFonts w:ascii="Cambria Math" w:eastAsiaTheme="minorHAnsi" w:hAnsi="Cambria Math" w:cs="Cambria Math"/>
      </w:rPr>
    </w:lvl>
    <w:lvl w:ilvl="1" w:tplc="0C090003" w:tentative="1">
      <w:start w:val="1"/>
      <w:numFmt w:val="bullet"/>
      <w:lvlText w:val="o"/>
      <w:lvlJc w:val="left"/>
      <w:pPr>
        <w:ind w:left="1800" w:hanging="360"/>
      </w:pPr>
      <w:rPr>
        <w:rFonts w:ascii="MS Mincho" w:hAnsi="MS Mincho" w:cs="MS Mincho" w:hint="default"/>
      </w:rPr>
    </w:lvl>
    <w:lvl w:ilvl="2" w:tplc="0C090005" w:tentative="1">
      <w:start w:val="1"/>
      <w:numFmt w:val="bullet"/>
      <w:lvlText w:val=""/>
      <w:lvlJc w:val="left"/>
      <w:pPr>
        <w:ind w:left="2520" w:hanging="360"/>
      </w:pPr>
      <w:rPr>
        <w:rFonts w:ascii="MS Mincho" w:hAnsi="MS Mincho" w:hint="default"/>
      </w:rPr>
    </w:lvl>
    <w:lvl w:ilvl="3" w:tplc="0C090001" w:tentative="1">
      <w:start w:val="1"/>
      <w:numFmt w:val="bullet"/>
      <w:lvlText w:val=""/>
      <w:lvlJc w:val="left"/>
      <w:pPr>
        <w:ind w:left="3240" w:hanging="360"/>
      </w:pPr>
      <w:rPr>
        <w:rFonts w:ascii="MS Gothic" w:hAnsi="MS Gothic" w:hint="default"/>
      </w:rPr>
    </w:lvl>
    <w:lvl w:ilvl="4" w:tplc="0C090003" w:tentative="1">
      <w:start w:val="1"/>
      <w:numFmt w:val="bullet"/>
      <w:lvlText w:val="o"/>
      <w:lvlJc w:val="left"/>
      <w:pPr>
        <w:ind w:left="3960" w:hanging="360"/>
      </w:pPr>
      <w:rPr>
        <w:rFonts w:ascii="MS Mincho" w:hAnsi="MS Mincho" w:cs="MS Mincho" w:hint="default"/>
      </w:rPr>
    </w:lvl>
    <w:lvl w:ilvl="5" w:tplc="0C090005" w:tentative="1">
      <w:start w:val="1"/>
      <w:numFmt w:val="bullet"/>
      <w:lvlText w:val=""/>
      <w:lvlJc w:val="left"/>
      <w:pPr>
        <w:ind w:left="4680" w:hanging="360"/>
      </w:pPr>
      <w:rPr>
        <w:rFonts w:ascii="MS Mincho" w:hAnsi="MS Mincho" w:hint="default"/>
      </w:rPr>
    </w:lvl>
    <w:lvl w:ilvl="6" w:tplc="0C090001" w:tentative="1">
      <w:start w:val="1"/>
      <w:numFmt w:val="bullet"/>
      <w:lvlText w:val=""/>
      <w:lvlJc w:val="left"/>
      <w:pPr>
        <w:ind w:left="5400" w:hanging="360"/>
      </w:pPr>
      <w:rPr>
        <w:rFonts w:ascii="MS Gothic" w:hAnsi="MS Gothic" w:hint="default"/>
      </w:rPr>
    </w:lvl>
    <w:lvl w:ilvl="7" w:tplc="0C090003" w:tentative="1">
      <w:start w:val="1"/>
      <w:numFmt w:val="bullet"/>
      <w:lvlText w:val="o"/>
      <w:lvlJc w:val="left"/>
      <w:pPr>
        <w:ind w:left="6120" w:hanging="360"/>
      </w:pPr>
      <w:rPr>
        <w:rFonts w:ascii="MS Mincho" w:hAnsi="MS Mincho" w:cs="MS Mincho" w:hint="default"/>
      </w:rPr>
    </w:lvl>
    <w:lvl w:ilvl="8" w:tplc="0C090005" w:tentative="1">
      <w:start w:val="1"/>
      <w:numFmt w:val="bullet"/>
      <w:lvlText w:val=""/>
      <w:lvlJc w:val="left"/>
      <w:pPr>
        <w:ind w:left="6840" w:hanging="360"/>
      </w:pPr>
      <w:rPr>
        <w:rFonts w:ascii="MS Mincho" w:hAnsi="MS Mincho" w:hint="default"/>
      </w:rPr>
    </w:lvl>
  </w:abstractNum>
  <w:abstractNum w:abstractNumId="28" w15:restartNumberingAfterBreak="0">
    <w:nsid w:val="5FB439A1"/>
    <w:multiLevelType w:val="hybridMultilevel"/>
    <w:tmpl w:val="E0D87404"/>
    <w:lvl w:ilvl="0" w:tplc="37120E0A">
      <w:numFmt w:val="bullet"/>
      <w:lvlText w:val="-"/>
      <w:lvlJc w:val="left"/>
      <w:pPr>
        <w:ind w:left="720" w:hanging="360"/>
      </w:pPr>
      <w:rPr>
        <w:rFonts w:ascii="Courier New" w:eastAsia="Century Gothic" w:hAnsi="Courier New" w:cs="Courier New" w:hint="default"/>
      </w:rPr>
    </w:lvl>
    <w:lvl w:ilvl="1" w:tplc="0C090003" w:tentative="1">
      <w:start w:val="1"/>
      <w:numFmt w:val="bullet"/>
      <w:lvlText w:val="o"/>
      <w:lvlJc w:val="left"/>
      <w:pPr>
        <w:ind w:left="1440" w:hanging="360"/>
      </w:pPr>
      <w:rPr>
        <w:rFonts w:ascii="MS Mincho" w:hAnsi="MS Mincho" w:cs="MS Mincho" w:hint="default"/>
      </w:rPr>
    </w:lvl>
    <w:lvl w:ilvl="2" w:tplc="0C090005" w:tentative="1">
      <w:start w:val="1"/>
      <w:numFmt w:val="bullet"/>
      <w:lvlText w:val=""/>
      <w:lvlJc w:val="left"/>
      <w:pPr>
        <w:ind w:left="2160" w:hanging="360"/>
      </w:pPr>
      <w:rPr>
        <w:rFonts w:ascii="MS Mincho" w:hAnsi="MS Mincho" w:hint="default"/>
      </w:rPr>
    </w:lvl>
    <w:lvl w:ilvl="3" w:tplc="0C090001" w:tentative="1">
      <w:start w:val="1"/>
      <w:numFmt w:val="bullet"/>
      <w:lvlText w:val=""/>
      <w:lvlJc w:val="left"/>
      <w:pPr>
        <w:ind w:left="2880" w:hanging="360"/>
      </w:pPr>
      <w:rPr>
        <w:rFonts w:ascii="MS Gothic" w:hAnsi="MS Gothic" w:hint="default"/>
      </w:rPr>
    </w:lvl>
    <w:lvl w:ilvl="4" w:tplc="0C090003" w:tentative="1">
      <w:start w:val="1"/>
      <w:numFmt w:val="bullet"/>
      <w:lvlText w:val="o"/>
      <w:lvlJc w:val="left"/>
      <w:pPr>
        <w:ind w:left="3600" w:hanging="360"/>
      </w:pPr>
      <w:rPr>
        <w:rFonts w:ascii="MS Mincho" w:hAnsi="MS Mincho" w:cs="MS Mincho" w:hint="default"/>
      </w:rPr>
    </w:lvl>
    <w:lvl w:ilvl="5" w:tplc="0C090005" w:tentative="1">
      <w:start w:val="1"/>
      <w:numFmt w:val="bullet"/>
      <w:lvlText w:val=""/>
      <w:lvlJc w:val="left"/>
      <w:pPr>
        <w:ind w:left="4320" w:hanging="360"/>
      </w:pPr>
      <w:rPr>
        <w:rFonts w:ascii="MS Mincho" w:hAnsi="MS Mincho" w:hint="default"/>
      </w:rPr>
    </w:lvl>
    <w:lvl w:ilvl="6" w:tplc="0C090001" w:tentative="1">
      <w:start w:val="1"/>
      <w:numFmt w:val="bullet"/>
      <w:lvlText w:val=""/>
      <w:lvlJc w:val="left"/>
      <w:pPr>
        <w:ind w:left="5040" w:hanging="360"/>
      </w:pPr>
      <w:rPr>
        <w:rFonts w:ascii="MS Gothic" w:hAnsi="MS Gothic" w:hint="default"/>
      </w:rPr>
    </w:lvl>
    <w:lvl w:ilvl="7" w:tplc="0C090003" w:tentative="1">
      <w:start w:val="1"/>
      <w:numFmt w:val="bullet"/>
      <w:lvlText w:val="o"/>
      <w:lvlJc w:val="left"/>
      <w:pPr>
        <w:ind w:left="5760" w:hanging="360"/>
      </w:pPr>
      <w:rPr>
        <w:rFonts w:ascii="MS Mincho" w:hAnsi="MS Mincho" w:cs="MS Mincho" w:hint="default"/>
      </w:rPr>
    </w:lvl>
    <w:lvl w:ilvl="8" w:tplc="0C090005" w:tentative="1">
      <w:start w:val="1"/>
      <w:numFmt w:val="bullet"/>
      <w:lvlText w:val=""/>
      <w:lvlJc w:val="left"/>
      <w:pPr>
        <w:ind w:left="6480" w:hanging="360"/>
      </w:pPr>
      <w:rPr>
        <w:rFonts w:ascii="MS Mincho" w:hAnsi="MS Mincho" w:hint="default"/>
      </w:rPr>
    </w:lvl>
  </w:abstractNum>
  <w:abstractNum w:abstractNumId="29" w15:restartNumberingAfterBreak="0">
    <w:nsid w:val="67C4CC87"/>
    <w:multiLevelType w:val="hybridMultilevel"/>
    <w:tmpl w:val="FFFFFFFF"/>
    <w:lvl w:ilvl="0" w:tplc="6172E8B0">
      <w:start w:val="1"/>
      <w:numFmt w:val="bullet"/>
      <w:lvlText w:val="·"/>
      <w:lvlJc w:val="left"/>
      <w:pPr>
        <w:ind w:left="720" w:hanging="360"/>
      </w:pPr>
      <w:rPr>
        <w:rFonts w:ascii="MS Gothic" w:hAnsi="MS Gothic" w:hint="default"/>
      </w:rPr>
    </w:lvl>
    <w:lvl w:ilvl="1" w:tplc="338A832E">
      <w:start w:val="1"/>
      <w:numFmt w:val="bullet"/>
      <w:lvlText w:val="o"/>
      <w:lvlJc w:val="left"/>
      <w:pPr>
        <w:ind w:left="1440" w:hanging="360"/>
      </w:pPr>
      <w:rPr>
        <w:rFonts w:ascii="MS Mincho" w:hAnsi="MS Mincho" w:hint="default"/>
      </w:rPr>
    </w:lvl>
    <w:lvl w:ilvl="2" w:tplc="DA98B716">
      <w:start w:val="1"/>
      <w:numFmt w:val="bullet"/>
      <w:lvlText w:val=""/>
      <w:lvlJc w:val="left"/>
      <w:pPr>
        <w:ind w:left="2160" w:hanging="360"/>
      </w:pPr>
      <w:rPr>
        <w:rFonts w:ascii="MS Mincho" w:hAnsi="MS Mincho" w:hint="default"/>
      </w:rPr>
    </w:lvl>
    <w:lvl w:ilvl="3" w:tplc="35B8561A">
      <w:start w:val="1"/>
      <w:numFmt w:val="bullet"/>
      <w:lvlText w:val=""/>
      <w:lvlJc w:val="left"/>
      <w:pPr>
        <w:ind w:left="2880" w:hanging="360"/>
      </w:pPr>
      <w:rPr>
        <w:rFonts w:ascii="MS Gothic" w:hAnsi="MS Gothic" w:hint="default"/>
      </w:rPr>
    </w:lvl>
    <w:lvl w:ilvl="4" w:tplc="77208ED0">
      <w:start w:val="1"/>
      <w:numFmt w:val="bullet"/>
      <w:lvlText w:val="o"/>
      <w:lvlJc w:val="left"/>
      <w:pPr>
        <w:ind w:left="3600" w:hanging="360"/>
      </w:pPr>
      <w:rPr>
        <w:rFonts w:ascii="MS Mincho" w:hAnsi="MS Mincho" w:hint="default"/>
      </w:rPr>
    </w:lvl>
    <w:lvl w:ilvl="5" w:tplc="62E8E45C">
      <w:start w:val="1"/>
      <w:numFmt w:val="bullet"/>
      <w:lvlText w:val=""/>
      <w:lvlJc w:val="left"/>
      <w:pPr>
        <w:ind w:left="4320" w:hanging="360"/>
      </w:pPr>
      <w:rPr>
        <w:rFonts w:ascii="MS Mincho" w:hAnsi="MS Mincho" w:hint="default"/>
      </w:rPr>
    </w:lvl>
    <w:lvl w:ilvl="6" w:tplc="2612D2C8">
      <w:start w:val="1"/>
      <w:numFmt w:val="bullet"/>
      <w:lvlText w:val=""/>
      <w:lvlJc w:val="left"/>
      <w:pPr>
        <w:ind w:left="5040" w:hanging="360"/>
      </w:pPr>
      <w:rPr>
        <w:rFonts w:ascii="MS Gothic" w:hAnsi="MS Gothic" w:hint="default"/>
      </w:rPr>
    </w:lvl>
    <w:lvl w:ilvl="7" w:tplc="BB008BB4">
      <w:start w:val="1"/>
      <w:numFmt w:val="bullet"/>
      <w:lvlText w:val="o"/>
      <w:lvlJc w:val="left"/>
      <w:pPr>
        <w:ind w:left="5760" w:hanging="360"/>
      </w:pPr>
      <w:rPr>
        <w:rFonts w:ascii="MS Mincho" w:hAnsi="MS Mincho" w:hint="default"/>
      </w:rPr>
    </w:lvl>
    <w:lvl w:ilvl="8" w:tplc="1EEA5A2A">
      <w:start w:val="1"/>
      <w:numFmt w:val="bullet"/>
      <w:lvlText w:val=""/>
      <w:lvlJc w:val="left"/>
      <w:pPr>
        <w:ind w:left="6480" w:hanging="360"/>
      </w:pPr>
      <w:rPr>
        <w:rFonts w:ascii="MS Mincho" w:hAnsi="MS Mincho" w:hint="default"/>
      </w:rPr>
    </w:lvl>
  </w:abstractNum>
  <w:abstractNum w:abstractNumId="30" w15:restartNumberingAfterBreak="0">
    <w:nsid w:val="699A0567"/>
    <w:multiLevelType w:val="hybridMultilevel"/>
    <w:tmpl w:val="40CC5560"/>
    <w:lvl w:ilvl="0" w:tplc="FC782B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BEC181C"/>
    <w:multiLevelType w:val="hybridMultilevel"/>
    <w:tmpl w:val="B3181C66"/>
    <w:lvl w:ilvl="0" w:tplc="352669E8">
      <w:start w:val="1"/>
      <w:numFmt w:val="lowerRoman"/>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181079"/>
    <w:multiLevelType w:val="multilevel"/>
    <w:tmpl w:val="6F92BA82"/>
    <w:lvl w:ilvl="0">
      <w:start w:val="1"/>
      <w:numFmt w:val="bullet"/>
      <w:pStyle w:val="Bullet"/>
      <w:lvlText w:val="•"/>
      <w:lvlJc w:val="left"/>
      <w:pPr>
        <w:ind w:left="284" w:hanging="284"/>
      </w:pPr>
      <w:rPr>
        <w:rFonts w:ascii="Century Gothic" w:hAnsi="Century Gothic" w:cs="Century Gothic" w:hint="default"/>
      </w:rPr>
    </w:lvl>
    <w:lvl w:ilvl="1">
      <w:start w:val="1"/>
      <w:numFmt w:val="bullet"/>
      <w:pStyle w:val="Dash"/>
      <w:lvlText w:val="–"/>
      <w:lvlJc w:val="left"/>
      <w:pPr>
        <w:ind w:left="1288" w:hanging="284"/>
      </w:pPr>
      <w:rPr>
        <w:rFonts w:ascii="Century Gothic" w:hAnsi="Century Gothic" w:cs="Century Gothic" w:hint="default"/>
      </w:rPr>
    </w:lvl>
    <w:lvl w:ilvl="2">
      <w:start w:val="1"/>
      <w:numFmt w:val="bullet"/>
      <w:pStyle w:val="DoubleDot"/>
      <w:lvlText w:val=":"/>
      <w:lvlJc w:val="left"/>
      <w:pPr>
        <w:ind w:left="1572" w:hanging="284"/>
      </w:pPr>
      <w:rPr>
        <w:rFonts w:ascii="Courier New" w:hAnsi="Courier New" w:hint="default"/>
      </w:rPr>
    </w:lvl>
    <w:lvl w:ilvl="3">
      <w:start w:val="1"/>
      <w:numFmt w:val="none"/>
      <w:lvlText w:val=""/>
      <w:lvlJc w:val="left"/>
      <w:pPr>
        <w:ind w:left="1856" w:hanging="284"/>
      </w:pPr>
      <w:rPr>
        <w:rFonts w:hint="default"/>
      </w:rPr>
    </w:lvl>
    <w:lvl w:ilvl="4">
      <w:start w:val="1"/>
      <w:numFmt w:val="none"/>
      <w:lvlText w:val=""/>
      <w:lvlJc w:val="left"/>
      <w:pPr>
        <w:ind w:left="2140" w:hanging="284"/>
      </w:pPr>
      <w:rPr>
        <w:rFonts w:hint="default"/>
      </w:rPr>
    </w:lvl>
    <w:lvl w:ilvl="5">
      <w:start w:val="1"/>
      <w:numFmt w:val="none"/>
      <w:lvlText w:val=""/>
      <w:lvlJc w:val="left"/>
      <w:pPr>
        <w:ind w:left="2424" w:hanging="284"/>
      </w:pPr>
      <w:rPr>
        <w:rFonts w:hint="default"/>
      </w:rPr>
    </w:lvl>
    <w:lvl w:ilvl="6">
      <w:start w:val="1"/>
      <w:numFmt w:val="none"/>
      <w:lvlText w:val=""/>
      <w:lvlJc w:val="left"/>
      <w:pPr>
        <w:ind w:left="2708" w:hanging="284"/>
      </w:pPr>
      <w:rPr>
        <w:rFonts w:hint="default"/>
      </w:rPr>
    </w:lvl>
    <w:lvl w:ilvl="7">
      <w:start w:val="1"/>
      <w:numFmt w:val="none"/>
      <w:lvlText w:val=""/>
      <w:lvlJc w:val="left"/>
      <w:pPr>
        <w:ind w:left="2992" w:hanging="284"/>
      </w:pPr>
      <w:rPr>
        <w:rFonts w:hint="default"/>
      </w:rPr>
    </w:lvl>
    <w:lvl w:ilvl="8">
      <w:start w:val="1"/>
      <w:numFmt w:val="none"/>
      <w:lvlText w:val=""/>
      <w:lvlJc w:val="left"/>
      <w:pPr>
        <w:ind w:left="3276" w:hanging="284"/>
      </w:pPr>
      <w:rPr>
        <w:rFonts w:hint="default"/>
      </w:rPr>
    </w:lvl>
  </w:abstractNum>
  <w:abstractNum w:abstractNumId="33" w15:restartNumberingAfterBreak="0">
    <w:nsid w:val="6DED6171"/>
    <w:multiLevelType w:val="hybridMultilevel"/>
    <w:tmpl w:val="32869C32"/>
    <w:lvl w:ilvl="0" w:tplc="09DEFC92">
      <w:start w:val="1"/>
      <w:numFmt w:val="bullet"/>
      <w:lvlText w:val="-"/>
      <w:lvlJc w:val="left"/>
      <w:pPr>
        <w:ind w:left="465" w:hanging="360"/>
      </w:pPr>
      <w:rPr>
        <w:rFonts w:ascii="Cambria Math" w:eastAsia="Century Gothic" w:hAnsi="Cambria Math" w:cs="Cambria Math" w:hint="default"/>
      </w:rPr>
    </w:lvl>
    <w:lvl w:ilvl="1" w:tplc="0C090003" w:tentative="1">
      <w:start w:val="1"/>
      <w:numFmt w:val="bullet"/>
      <w:lvlText w:val="o"/>
      <w:lvlJc w:val="left"/>
      <w:pPr>
        <w:ind w:left="1185" w:hanging="360"/>
      </w:pPr>
      <w:rPr>
        <w:rFonts w:ascii="MS Mincho" w:hAnsi="MS Mincho" w:cs="MS Mincho" w:hint="default"/>
      </w:rPr>
    </w:lvl>
    <w:lvl w:ilvl="2" w:tplc="0C090005" w:tentative="1">
      <w:start w:val="1"/>
      <w:numFmt w:val="bullet"/>
      <w:lvlText w:val=""/>
      <w:lvlJc w:val="left"/>
      <w:pPr>
        <w:ind w:left="1905" w:hanging="360"/>
      </w:pPr>
      <w:rPr>
        <w:rFonts w:ascii="MS Mincho" w:hAnsi="MS Mincho" w:hint="default"/>
      </w:rPr>
    </w:lvl>
    <w:lvl w:ilvl="3" w:tplc="0C090001" w:tentative="1">
      <w:start w:val="1"/>
      <w:numFmt w:val="bullet"/>
      <w:lvlText w:val=""/>
      <w:lvlJc w:val="left"/>
      <w:pPr>
        <w:ind w:left="2625" w:hanging="360"/>
      </w:pPr>
      <w:rPr>
        <w:rFonts w:ascii="MS Gothic" w:hAnsi="MS Gothic" w:hint="default"/>
      </w:rPr>
    </w:lvl>
    <w:lvl w:ilvl="4" w:tplc="0C090003" w:tentative="1">
      <w:start w:val="1"/>
      <w:numFmt w:val="bullet"/>
      <w:lvlText w:val="o"/>
      <w:lvlJc w:val="left"/>
      <w:pPr>
        <w:ind w:left="3345" w:hanging="360"/>
      </w:pPr>
      <w:rPr>
        <w:rFonts w:ascii="MS Mincho" w:hAnsi="MS Mincho" w:cs="MS Mincho" w:hint="default"/>
      </w:rPr>
    </w:lvl>
    <w:lvl w:ilvl="5" w:tplc="0C090005" w:tentative="1">
      <w:start w:val="1"/>
      <w:numFmt w:val="bullet"/>
      <w:lvlText w:val=""/>
      <w:lvlJc w:val="left"/>
      <w:pPr>
        <w:ind w:left="4065" w:hanging="360"/>
      </w:pPr>
      <w:rPr>
        <w:rFonts w:ascii="MS Mincho" w:hAnsi="MS Mincho" w:hint="default"/>
      </w:rPr>
    </w:lvl>
    <w:lvl w:ilvl="6" w:tplc="0C090001" w:tentative="1">
      <w:start w:val="1"/>
      <w:numFmt w:val="bullet"/>
      <w:lvlText w:val=""/>
      <w:lvlJc w:val="left"/>
      <w:pPr>
        <w:ind w:left="4785" w:hanging="360"/>
      </w:pPr>
      <w:rPr>
        <w:rFonts w:ascii="MS Gothic" w:hAnsi="MS Gothic" w:hint="default"/>
      </w:rPr>
    </w:lvl>
    <w:lvl w:ilvl="7" w:tplc="0C090003" w:tentative="1">
      <w:start w:val="1"/>
      <w:numFmt w:val="bullet"/>
      <w:lvlText w:val="o"/>
      <w:lvlJc w:val="left"/>
      <w:pPr>
        <w:ind w:left="5505" w:hanging="360"/>
      </w:pPr>
      <w:rPr>
        <w:rFonts w:ascii="MS Mincho" w:hAnsi="MS Mincho" w:cs="MS Mincho" w:hint="default"/>
      </w:rPr>
    </w:lvl>
    <w:lvl w:ilvl="8" w:tplc="0C090005" w:tentative="1">
      <w:start w:val="1"/>
      <w:numFmt w:val="bullet"/>
      <w:lvlText w:val=""/>
      <w:lvlJc w:val="left"/>
      <w:pPr>
        <w:ind w:left="6225" w:hanging="360"/>
      </w:pPr>
      <w:rPr>
        <w:rFonts w:ascii="MS Mincho" w:hAnsi="MS Mincho" w:hint="default"/>
      </w:rPr>
    </w:lvl>
  </w:abstractNum>
  <w:abstractNum w:abstractNumId="34" w15:restartNumberingAfterBreak="0">
    <w:nsid w:val="6FF71986"/>
    <w:multiLevelType w:val="hybridMultilevel"/>
    <w:tmpl w:val="9CD4EC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23479A"/>
    <w:multiLevelType w:val="hybridMultilevel"/>
    <w:tmpl w:val="66D8F0B0"/>
    <w:lvl w:ilvl="0" w:tplc="A09874C6">
      <w:start w:val="7"/>
      <w:numFmt w:val="bullet"/>
      <w:lvlText w:val=""/>
      <w:lvlJc w:val="left"/>
      <w:pPr>
        <w:ind w:left="1222" w:hanging="360"/>
      </w:pPr>
      <w:rPr>
        <w:rFonts w:ascii="MS Gothic" w:eastAsiaTheme="minorHAnsi" w:hAnsi="MS Gothic" w:cstheme="minorBidi" w:hint="default"/>
      </w:rPr>
    </w:lvl>
    <w:lvl w:ilvl="1" w:tplc="0C090003" w:tentative="1">
      <w:start w:val="1"/>
      <w:numFmt w:val="bullet"/>
      <w:lvlText w:val="o"/>
      <w:lvlJc w:val="left"/>
      <w:pPr>
        <w:ind w:left="1942" w:hanging="360"/>
      </w:pPr>
      <w:rPr>
        <w:rFonts w:ascii="MS Mincho" w:hAnsi="MS Mincho" w:cs="MS Mincho" w:hint="default"/>
      </w:rPr>
    </w:lvl>
    <w:lvl w:ilvl="2" w:tplc="0C090005" w:tentative="1">
      <w:start w:val="1"/>
      <w:numFmt w:val="bullet"/>
      <w:lvlText w:val=""/>
      <w:lvlJc w:val="left"/>
      <w:pPr>
        <w:ind w:left="2662" w:hanging="360"/>
      </w:pPr>
      <w:rPr>
        <w:rFonts w:ascii="MS Mincho" w:hAnsi="MS Mincho" w:hint="default"/>
      </w:rPr>
    </w:lvl>
    <w:lvl w:ilvl="3" w:tplc="0C090001" w:tentative="1">
      <w:start w:val="1"/>
      <w:numFmt w:val="bullet"/>
      <w:lvlText w:val=""/>
      <w:lvlJc w:val="left"/>
      <w:pPr>
        <w:ind w:left="3382" w:hanging="360"/>
      </w:pPr>
      <w:rPr>
        <w:rFonts w:ascii="MS Gothic" w:hAnsi="MS Gothic" w:hint="default"/>
      </w:rPr>
    </w:lvl>
    <w:lvl w:ilvl="4" w:tplc="0C090003" w:tentative="1">
      <w:start w:val="1"/>
      <w:numFmt w:val="bullet"/>
      <w:lvlText w:val="o"/>
      <w:lvlJc w:val="left"/>
      <w:pPr>
        <w:ind w:left="4102" w:hanging="360"/>
      </w:pPr>
      <w:rPr>
        <w:rFonts w:ascii="MS Mincho" w:hAnsi="MS Mincho" w:cs="MS Mincho" w:hint="default"/>
      </w:rPr>
    </w:lvl>
    <w:lvl w:ilvl="5" w:tplc="0C090005" w:tentative="1">
      <w:start w:val="1"/>
      <w:numFmt w:val="bullet"/>
      <w:lvlText w:val=""/>
      <w:lvlJc w:val="left"/>
      <w:pPr>
        <w:ind w:left="4822" w:hanging="360"/>
      </w:pPr>
      <w:rPr>
        <w:rFonts w:ascii="MS Mincho" w:hAnsi="MS Mincho" w:hint="default"/>
      </w:rPr>
    </w:lvl>
    <w:lvl w:ilvl="6" w:tplc="0C090001" w:tentative="1">
      <w:start w:val="1"/>
      <w:numFmt w:val="bullet"/>
      <w:lvlText w:val=""/>
      <w:lvlJc w:val="left"/>
      <w:pPr>
        <w:ind w:left="5542" w:hanging="360"/>
      </w:pPr>
      <w:rPr>
        <w:rFonts w:ascii="MS Gothic" w:hAnsi="MS Gothic" w:hint="default"/>
      </w:rPr>
    </w:lvl>
    <w:lvl w:ilvl="7" w:tplc="0C090003" w:tentative="1">
      <w:start w:val="1"/>
      <w:numFmt w:val="bullet"/>
      <w:lvlText w:val="o"/>
      <w:lvlJc w:val="left"/>
      <w:pPr>
        <w:ind w:left="6262" w:hanging="360"/>
      </w:pPr>
      <w:rPr>
        <w:rFonts w:ascii="MS Mincho" w:hAnsi="MS Mincho" w:cs="MS Mincho" w:hint="default"/>
      </w:rPr>
    </w:lvl>
    <w:lvl w:ilvl="8" w:tplc="0C090005" w:tentative="1">
      <w:start w:val="1"/>
      <w:numFmt w:val="bullet"/>
      <w:lvlText w:val=""/>
      <w:lvlJc w:val="left"/>
      <w:pPr>
        <w:ind w:left="6982" w:hanging="360"/>
      </w:pPr>
      <w:rPr>
        <w:rFonts w:ascii="MS Mincho" w:hAnsi="MS Mincho" w:hint="default"/>
      </w:rPr>
    </w:lvl>
  </w:abstractNum>
  <w:abstractNum w:abstractNumId="36" w15:restartNumberingAfterBreak="0">
    <w:nsid w:val="771B1582"/>
    <w:multiLevelType w:val="multilevel"/>
    <w:tmpl w:val="46B635B6"/>
    <w:lvl w:ilvl="0">
      <w:start w:val="1"/>
      <w:numFmt w:val="bullet"/>
      <w:lvlText w:val="•"/>
      <w:lvlJc w:val="left"/>
      <w:pPr>
        <w:tabs>
          <w:tab w:val="num" w:pos="520"/>
        </w:tabs>
        <w:ind w:left="520" w:hanging="520"/>
      </w:pPr>
      <w:rPr>
        <w:rFonts w:ascii="Century Gothic" w:hAnsi="Century Gothic" w:cs="Century Gothic"/>
      </w:rPr>
    </w:lvl>
    <w:lvl w:ilvl="1">
      <w:start w:val="1"/>
      <w:numFmt w:val="bullet"/>
      <w:lvlText w:val="–"/>
      <w:lvlJc w:val="left"/>
      <w:pPr>
        <w:tabs>
          <w:tab w:val="num" w:pos="1040"/>
        </w:tabs>
        <w:ind w:left="1040" w:hanging="520"/>
      </w:pPr>
      <w:rPr>
        <w:rFonts w:ascii="Century Gothic" w:hAnsi="Century Gothic" w:cs="Century Gothic"/>
      </w:rPr>
    </w:lvl>
    <w:lvl w:ilvl="2">
      <w:start w:val="1"/>
      <w:numFmt w:val="bullet"/>
      <w:lvlText w:val=":"/>
      <w:lvlJc w:val="left"/>
      <w:pPr>
        <w:tabs>
          <w:tab w:val="num" w:pos="1560"/>
        </w:tabs>
        <w:ind w:left="1560" w:hanging="520"/>
      </w:pPr>
      <w:rPr>
        <w:rFonts w:ascii="Century Gothic" w:hAnsi="Century Gothic" w:cs="Century Gothic"/>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3DDEF6"/>
    <w:multiLevelType w:val="hybridMultilevel"/>
    <w:tmpl w:val="FFFFFFFF"/>
    <w:lvl w:ilvl="0" w:tplc="07C0A64A">
      <w:start w:val="1"/>
      <w:numFmt w:val="bullet"/>
      <w:lvlText w:val="·"/>
      <w:lvlJc w:val="left"/>
      <w:pPr>
        <w:ind w:left="720" w:hanging="360"/>
      </w:pPr>
      <w:rPr>
        <w:rFonts w:ascii="MS Gothic" w:hAnsi="MS Gothic" w:hint="default"/>
      </w:rPr>
    </w:lvl>
    <w:lvl w:ilvl="1" w:tplc="CEBC9BA0">
      <w:start w:val="1"/>
      <w:numFmt w:val="bullet"/>
      <w:lvlText w:val="o"/>
      <w:lvlJc w:val="left"/>
      <w:pPr>
        <w:ind w:left="1440" w:hanging="360"/>
      </w:pPr>
      <w:rPr>
        <w:rFonts w:ascii="MS Mincho" w:hAnsi="MS Mincho" w:hint="default"/>
      </w:rPr>
    </w:lvl>
    <w:lvl w:ilvl="2" w:tplc="E0165A56">
      <w:start w:val="1"/>
      <w:numFmt w:val="bullet"/>
      <w:lvlText w:val=""/>
      <w:lvlJc w:val="left"/>
      <w:pPr>
        <w:ind w:left="2160" w:hanging="360"/>
      </w:pPr>
      <w:rPr>
        <w:rFonts w:ascii="MS Mincho" w:hAnsi="MS Mincho" w:hint="default"/>
      </w:rPr>
    </w:lvl>
    <w:lvl w:ilvl="3" w:tplc="FCAAABD6">
      <w:start w:val="1"/>
      <w:numFmt w:val="bullet"/>
      <w:lvlText w:val=""/>
      <w:lvlJc w:val="left"/>
      <w:pPr>
        <w:ind w:left="2880" w:hanging="360"/>
      </w:pPr>
      <w:rPr>
        <w:rFonts w:ascii="MS Gothic" w:hAnsi="MS Gothic" w:hint="default"/>
      </w:rPr>
    </w:lvl>
    <w:lvl w:ilvl="4" w:tplc="BDF26344">
      <w:start w:val="1"/>
      <w:numFmt w:val="bullet"/>
      <w:lvlText w:val="o"/>
      <w:lvlJc w:val="left"/>
      <w:pPr>
        <w:ind w:left="3600" w:hanging="360"/>
      </w:pPr>
      <w:rPr>
        <w:rFonts w:ascii="MS Mincho" w:hAnsi="MS Mincho" w:hint="default"/>
      </w:rPr>
    </w:lvl>
    <w:lvl w:ilvl="5" w:tplc="AE069350">
      <w:start w:val="1"/>
      <w:numFmt w:val="bullet"/>
      <w:lvlText w:val=""/>
      <w:lvlJc w:val="left"/>
      <w:pPr>
        <w:ind w:left="4320" w:hanging="360"/>
      </w:pPr>
      <w:rPr>
        <w:rFonts w:ascii="MS Mincho" w:hAnsi="MS Mincho" w:hint="default"/>
      </w:rPr>
    </w:lvl>
    <w:lvl w:ilvl="6" w:tplc="0408FD52">
      <w:start w:val="1"/>
      <w:numFmt w:val="bullet"/>
      <w:lvlText w:val=""/>
      <w:lvlJc w:val="left"/>
      <w:pPr>
        <w:ind w:left="5040" w:hanging="360"/>
      </w:pPr>
      <w:rPr>
        <w:rFonts w:ascii="MS Gothic" w:hAnsi="MS Gothic" w:hint="default"/>
      </w:rPr>
    </w:lvl>
    <w:lvl w:ilvl="7" w:tplc="D6146B6C">
      <w:start w:val="1"/>
      <w:numFmt w:val="bullet"/>
      <w:lvlText w:val="o"/>
      <w:lvlJc w:val="left"/>
      <w:pPr>
        <w:ind w:left="5760" w:hanging="360"/>
      </w:pPr>
      <w:rPr>
        <w:rFonts w:ascii="MS Mincho" w:hAnsi="MS Mincho" w:hint="default"/>
      </w:rPr>
    </w:lvl>
    <w:lvl w:ilvl="8" w:tplc="7D362700">
      <w:start w:val="1"/>
      <w:numFmt w:val="bullet"/>
      <w:lvlText w:val=""/>
      <w:lvlJc w:val="left"/>
      <w:pPr>
        <w:ind w:left="6480" w:hanging="360"/>
      </w:pPr>
      <w:rPr>
        <w:rFonts w:ascii="MS Mincho" w:hAnsi="MS Mincho" w:hint="default"/>
      </w:rPr>
    </w:lvl>
  </w:abstractNum>
  <w:abstractNum w:abstractNumId="38" w15:restartNumberingAfterBreak="0">
    <w:nsid w:val="7C145A00"/>
    <w:multiLevelType w:val="hybridMultilevel"/>
    <w:tmpl w:val="EAF2F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Century Gothic" w:hAnsi="Century Gothic" w:cs="Century Gothic"/>
        <w:color w:val="auto"/>
      </w:rPr>
    </w:lvl>
    <w:lvl w:ilvl="1">
      <w:start w:val="1"/>
      <w:numFmt w:val="bullet"/>
      <w:lvlText w:val="–"/>
      <w:lvlJc w:val="left"/>
      <w:pPr>
        <w:tabs>
          <w:tab w:val="num" w:pos="1040"/>
        </w:tabs>
        <w:ind w:left="1040" w:hanging="520"/>
      </w:pPr>
      <w:rPr>
        <w:rFonts w:ascii="Century Gothic" w:hAnsi="Century Gothic" w:cs="Century Gothic"/>
      </w:rPr>
    </w:lvl>
    <w:lvl w:ilvl="2">
      <w:start w:val="1"/>
      <w:numFmt w:val="bullet"/>
      <w:lvlText w:val=":"/>
      <w:lvlJc w:val="left"/>
      <w:pPr>
        <w:tabs>
          <w:tab w:val="num" w:pos="1560"/>
        </w:tabs>
        <w:ind w:left="1560" w:hanging="520"/>
      </w:pPr>
      <w:rPr>
        <w:rFonts w:ascii="Century Gothic" w:hAnsi="Century Gothic" w:cs="Century Gothic"/>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A94D1A"/>
    <w:multiLevelType w:val="hybridMultilevel"/>
    <w:tmpl w:val="2990D49E"/>
    <w:lvl w:ilvl="0" w:tplc="0C090001">
      <w:start w:val="1"/>
      <w:numFmt w:val="bullet"/>
      <w:lvlText w:val=""/>
      <w:lvlJc w:val="left"/>
      <w:pPr>
        <w:ind w:left="1440" w:hanging="360"/>
      </w:pPr>
      <w:rPr>
        <w:rFonts w:ascii="MS Gothic" w:hAnsi="MS Gothic" w:hint="default"/>
      </w:rPr>
    </w:lvl>
    <w:lvl w:ilvl="1" w:tplc="0C090003">
      <w:start w:val="1"/>
      <w:numFmt w:val="bullet"/>
      <w:lvlText w:val="o"/>
      <w:lvlJc w:val="left"/>
      <w:pPr>
        <w:ind w:left="2160" w:hanging="360"/>
      </w:pPr>
      <w:rPr>
        <w:rFonts w:ascii="MS Mincho" w:hAnsi="MS Mincho" w:cs="MS Mincho" w:hint="default"/>
      </w:rPr>
    </w:lvl>
    <w:lvl w:ilvl="2" w:tplc="0C090005">
      <w:start w:val="1"/>
      <w:numFmt w:val="bullet"/>
      <w:lvlText w:val=""/>
      <w:lvlJc w:val="left"/>
      <w:pPr>
        <w:ind w:left="2880" w:hanging="360"/>
      </w:pPr>
      <w:rPr>
        <w:rFonts w:ascii="MS Mincho" w:hAnsi="MS Mincho" w:hint="default"/>
      </w:rPr>
    </w:lvl>
    <w:lvl w:ilvl="3" w:tplc="0C090001">
      <w:start w:val="1"/>
      <w:numFmt w:val="bullet"/>
      <w:lvlText w:val=""/>
      <w:lvlJc w:val="left"/>
      <w:pPr>
        <w:ind w:left="3600" w:hanging="360"/>
      </w:pPr>
      <w:rPr>
        <w:rFonts w:ascii="MS Gothic" w:hAnsi="MS Gothic" w:hint="default"/>
      </w:rPr>
    </w:lvl>
    <w:lvl w:ilvl="4" w:tplc="0C090003">
      <w:start w:val="1"/>
      <w:numFmt w:val="bullet"/>
      <w:lvlText w:val="o"/>
      <w:lvlJc w:val="left"/>
      <w:pPr>
        <w:ind w:left="4320" w:hanging="360"/>
      </w:pPr>
      <w:rPr>
        <w:rFonts w:ascii="MS Mincho" w:hAnsi="MS Mincho" w:cs="MS Mincho" w:hint="default"/>
      </w:rPr>
    </w:lvl>
    <w:lvl w:ilvl="5" w:tplc="0C090005">
      <w:start w:val="1"/>
      <w:numFmt w:val="bullet"/>
      <w:lvlText w:val=""/>
      <w:lvlJc w:val="left"/>
      <w:pPr>
        <w:ind w:left="5040" w:hanging="360"/>
      </w:pPr>
      <w:rPr>
        <w:rFonts w:ascii="MS Mincho" w:hAnsi="MS Mincho" w:hint="default"/>
      </w:rPr>
    </w:lvl>
    <w:lvl w:ilvl="6" w:tplc="0C090001">
      <w:start w:val="1"/>
      <w:numFmt w:val="bullet"/>
      <w:lvlText w:val=""/>
      <w:lvlJc w:val="left"/>
      <w:pPr>
        <w:ind w:left="5760" w:hanging="360"/>
      </w:pPr>
      <w:rPr>
        <w:rFonts w:ascii="MS Gothic" w:hAnsi="MS Gothic" w:hint="default"/>
      </w:rPr>
    </w:lvl>
    <w:lvl w:ilvl="7" w:tplc="0C090003">
      <w:start w:val="1"/>
      <w:numFmt w:val="bullet"/>
      <w:lvlText w:val="o"/>
      <w:lvlJc w:val="left"/>
      <w:pPr>
        <w:ind w:left="6480" w:hanging="360"/>
      </w:pPr>
      <w:rPr>
        <w:rFonts w:ascii="MS Mincho" w:hAnsi="MS Mincho" w:cs="MS Mincho" w:hint="default"/>
      </w:rPr>
    </w:lvl>
    <w:lvl w:ilvl="8" w:tplc="0C090005">
      <w:start w:val="1"/>
      <w:numFmt w:val="bullet"/>
      <w:lvlText w:val=""/>
      <w:lvlJc w:val="left"/>
      <w:pPr>
        <w:ind w:left="7200" w:hanging="360"/>
      </w:pPr>
      <w:rPr>
        <w:rFonts w:ascii="MS Mincho" w:hAnsi="MS Mincho" w:hint="default"/>
      </w:rPr>
    </w:lvl>
  </w:abstractNum>
  <w:num w:numId="1" w16cid:durableId="1320697939">
    <w:abstractNumId w:val="16"/>
  </w:num>
  <w:num w:numId="2" w16cid:durableId="432477386">
    <w:abstractNumId w:val="3"/>
  </w:num>
  <w:num w:numId="3" w16cid:durableId="1421758122">
    <w:abstractNumId w:val="18"/>
  </w:num>
  <w:num w:numId="4" w16cid:durableId="2033913652">
    <w:abstractNumId w:val="6"/>
  </w:num>
  <w:num w:numId="5" w16cid:durableId="1178429483">
    <w:abstractNumId w:val="22"/>
  </w:num>
  <w:num w:numId="6" w16cid:durableId="788158762">
    <w:abstractNumId w:val="17"/>
    <w:lvlOverride w:ilvl="0">
      <w:lvl w:ilvl="0">
        <w:start w:val="1"/>
        <w:numFmt w:val="lowerLetter"/>
        <w:pStyle w:val="ChartandTableFootnoteAlpha"/>
        <w:lvlText w:val="(%1)"/>
        <w:lvlJc w:val="left"/>
        <w:pPr>
          <w:ind w:left="360" w:hanging="360"/>
        </w:pPr>
        <w:rPr>
          <w:rFonts w:ascii="Courier New" w:hAnsi="Courier New"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59030198">
    <w:abstractNumId w:val="9"/>
  </w:num>
  <w:num w:numId="8" w16cid:durableId="928269527">
    <w:abstractNumId w:val="13"/>
  </w:num>
  <w:num w:numId="9" w16cid:durableId="963124404">
    <w:abstractNumId w:val="17"/>
  </w:num>
  <w:num w:numId="10" w16cid:durableId="2047098398">
    <w:abstractNumId w:val="7"/>
  </w:num>
  <w:num w:numId="11" w16cid:durableId="526599910">
    <w:abstractNumId w:val="32"/>
  </w:num>
  <w:num w:numId="12" w16cid:durableId="190922627">
    <w:abstractNumId w:val="22"/>
    <w:lvlOverride w:ilvl="0">
      <w:lvl w:ilvl="0">
        <w:start w:val="1"/>
        <w:numFmt w:val="decimal"/>
        <w:pStyle w:val="OutlineNumbered1"/>
        <w:lvlText w:val="%1."/>
        <w:lvlJc w:val="left"/>
        <w:pPr>
          <w:tabs>
            <w:tab w:val="num" w:pos="851"/>
          </w:tabs>
          <w:ind w:left="851" w:hanging="851"/>
        </w:pPr>
        <w:rPr>
          <w:rFonts w:hint="default"/>
        </w:rPr>
      </w:lvl>
    </w:lvlOverride>
  </w:num>
  <w:num w:numId="13" w16cid:durableId="1137801509">
    <w:abstractNumId w:val="24"/>
  </w:num>
  <w:num w:numId="14" w16cid:durableId="254171104">
    <w:abstractNumId w:val="16"/>
    <w:lvlOverride w:ilvl="0">
      <w:lvl w:ilvl="0">
        <w:start w:val="1"/>
        <w:numFmt w:val="bullet"/>
        <w:lvlRestart w:val="0"/>
        <w:lvlText w:val="•"/>
        <w:lvlJc w:val="left"/>
        <w:pPr>
          <w:tabs>
            <w:tab w:val="num" w:pos="283"/>
          </w:tabs>
          <w:ind w:left="283" w:hanging="283"/>
        </w:pPr>
        <w:rPr>
          <w:rFonts w:ascii="Century Gothic" w:hAnsi="Century Gothic" w:cs="Century Gothic" w:hint="default"/>
          <w:b w:val="0"/>
          <w:i w:val="0"/>
        </w:rPr>
      </w:lvl>
    </w:lvlOverride>
  </w:num>
  <w:num w:numId="15" w16cid:durableId="1247038986">
    <w:abstractNumId w:val="38"/>
  </w:num>
  <w:num w:numId="16" w16cid:durableId="1478498851">
    <w:abstractNumId w:val="25"/>
  </w:num>
  <w:num w:numId="17" w16cid:durableId="74982177">
    <w:abstractNumId w:val="33"/>
  </w:num>
  <w:num w:numId="18" w16cid:durableId="2585733">
    <w:abstractNumId w:val="34"/>
  </w:num>
  <w:num w:numId="19" w16cid:durableId="81412511">
    <w:abstractNumId w:val="1"/>
  </w:num>
  <w:num w:numId="20" w16cid:durableId="109403288">
    <w:abstractNumId w:val="30"/>
  </w:num>
  <w:num w:numId="21" w16cid:durableId="473108829">
    <w:abstractNumId w:val="27"/>
  </w:num>
  <w:num w:numId="22" w16cid:durableId="1196389852">
    <w:abstractNumId w:val="8"/>
  </w:num>
  <w:num w:numId="23" w16cid:durableId="48919243">
    <w:abstractNumId w:val="31"/>
  </w:num>
  <w:num w:numId="24" w16cid:durableId="1136294879">
    <w:abstractNumId w:val="19"/>
  </w:num>
  <w:num w:numId="25" w16cid:durableId="1831214016">
    <w:abstractNumId w:val="2"/>
  </w:num>
  <w:num w:numId="26" w16cid:durableId="1355114527">
    <w:abstractNumId w:val="29"/>
  </w:num>
  <w:num w:numId="27" w16cid:durableId="1243249129">
    <w:abstractNumId w:val="37"/>
  </w:num>
  <w:num w:numId="28" w16cid:durableId="1187135348">
    <w:abstractNumId w:val="36"/>
  </w:num>
  <w:num w:numId="29" w16cid:durableId="1201240384">
    <w:abstractNumId w:val="21"/>
  </w:num>
  <w:num w:numId="30" w16cid:durableId="1825854659">
    <w:abstractNumId w:val="10"/>
  </w:num>
  <w:num w:numId="31" w16cid:durableId="1101147137">
    <w:abstractNumId w:val="26"/>
  </w:num>
  <w:num w:numId="32" w16cid:durableId="1165317813">
    <w:abstractNumId w:val="20"/>
  </w:num>
  <w:num w:numId="33" w16cid:durableId="1110903492">
    <w:abstractNumId w:val="23"/>
  </w:num>
  <w:num w:numId="34" w16cid:durableId="838351546">
    <w:abstractNumId w:val="40"/>
  </w:num>
  <w:num w:numId="35" w16cid:durableId="1857042184">
    <w:abstractNumId w:val="40"/>
  </w:num>
  <w:num w:numId="36" w16cid:durableId="248471541">
    <w:abstractNumId w:val="28"/>
  </w:num>
  <w:num w:numId="37" w16cid:durableId="1404377455">
    <w:abstractNumId w:val="32"/>
  </w:num>
  <w:num w:numId="38" w16cid:durableId="943851990">
    <w:abstractNumId w:val="4"/>
  </w:num>
  <w:num w:numId="39" w16cid:durableId="1381785538">
    <w:abstractNumId w:val="15"/>
  </w:num>
  <w:num w:numId="40" w16cid:durableId="843587653">
    <w:abstractNumId w:val="35"/>
  </w:num>
  <w:num w:numId="41" w16cid:durableId="1500119681">
    <w:abstractNumId w:val="0"/>
  </w:num>
  <w:num w:numId="42" w16cid:durableId="1182206942">
    <w:abstractNumId w:val="12"/>
  </w:num>
  <w:num w:numId="43" w16cid:durableId="1707682332">
    <w:abstractNumId w:val="14"/>
  </w:num>
  <w:num w:numId="44" w16cid:durableId="122822620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C5FBA"/>
    <w:rsid w:val="0000008F"/>
    <w:rsid w:val="000000AE"/>
    <w:rsid w:val="000000B4"/>
    <w:rsid w:val="00000171"/>
    <w:rsid w:val="000001E5"/>
    <w:rsid w:val="00000274"/>
    <w:rsid w:val="000002C2"/>
    <w:rsid w:val="00000463"/>
    <w:rsid w:val="0000059F"/>
    <w:rsid w:val="00000684"/>
    <w:rsid w:val="000006BD"/>
    <w:rsid w:val="000006CA"/>
    <w:rsid w:val="00000888"/>
    <w:rsid w:val="0000099D"/>
    <w:rsid w:val="00000B19"/>
    <w:rsid w:val="00000B67"/>
    <w:rsid w:val="00000D0C"/>
    <w:rsid w:val="00000D2B"/>
    <w:rsid w:val="00000D42"/>
    <w:rsid w:val="00000FDD"/>
    <w:rsid w:val="00001010"/>
    <w:rsid w:val="000010DA"/>
    <w:rsid w:val="00001116"/>
    <w:rsid w:val="0000113B"/>
    <w:rsid w:val="0000113C"/>
    <w:rsid w:val="0000133D"/>
    <w:rsid w:val="00001359"/>
    <w:rsid w:val="00001371"/>
    <w:rsid w:val="000013AB"/>
    <w:rsid w:val="00001407"/>
    <w:rsid w:val="0000152B"/>
    <w:rsid w:val="00001576"/>
    <w:rsid w:val="00001590"/>
    <w:rsid w:val="000015B8"/>
    <w:rsid w:val="00001688"/>
    <w:rsid w:val="000016DA"/>
    <w:rsid w:val="0000170C"/>
    <w:rsid w:val="00001786"/>
    <w:rsid w:val="000017E9"/>
    <w:rsid w:val="000018C4"/>
    <w:rsid w:val="000018CA"/>
    <w:rsid w:val="00001938"/>
    <w:rsid w:val="00001994"/>
    <w:rsid w:val="00001AA4"/>
    <w:rsid w:val="00001ADF"/>
    <w:rsid w:val="00001AFA"/>
    <w:rsid w:val="00001CAF"/>
    <w:rsid w:val="00001CE3"/>
    <w:rsid w:val="00001E46"/>
    <w:rsid w:val="00001E92"/>
    <w:rsid w:val="00001FCF"/>
    <w:rsid w:val="0000206E"/>
    <w:rsid w:val="00002164"/>
    <w:rsid w:val="000021C8"/>
    <w:rsid w:val="00002204"/>
    <w:rsid w:val="000022D9"/>
    <w:rsid w:val="000022DE"/>
    <w:rsid w:val="00002548"/>
    <w:rsid w:val="000025C5"/>
    <w:rsid w:val="000025D4"/>
    <w:rsid w:val="0000268E"/>
    <w:rsid w:val="000026C7"/>
    <w:rsid w:val="00002723"/>
    <w:rsid w:val="000028C5"/>
    <w:rsid w:val="00002A74"/>
    <w:rsid w:val="00002AC9"/>
    <w:rsid w:val="00002ACB"/>
    <w:rsid w:val="00002AEC"/>
    <w:rsid w:val="00002AF9"/>
    <w:rsid w:val="00002B8A"/>
    <w:rsid w:val="00002C02"/>
    <w:rsid w:val="00002C33"/>
    <w:rsid w:val="00002C98"/>
    <w:rsid w:val="00002DEF"/>
    <w:rsid w:val="00002F13"/>
    <w:rsid w:val="00002F50"/>
    <w:rsid w:val="00002F99"/>
    <w:rsid w:val="000030E3"/>
    <w:rsid w:val="000031D0"/>
    <w:rsid w:val="000032FF"/>
    <w:rsid w:val="000033B7"/>
    <w:rsid w:val="00003403"/>
    <w:rsid w:val="0000352D"/>
    <w:rsid w:val="00003586"/>
    <w:rsid w:val="00003630"/>
    <w:rsid w:val="000036F7"/>
    <w:rsid w:val="00003723"/>
    <w:rsid w:val="000037BC"/>
    <w:rsid w:val="00003862"/>
    <w:rsid w:val="00003949"/>
    <w:rsid w:val="0000394E"/>
    <w:rsid w:val="00003958"/>
    <w:rsid w:val="00003B43"/>
    <w:rsid w:val="00003B7C"/>
    <w:rsid w:val="00003C82"/>
    <w:rsid w:val="00003DE3"/>
    <w:rsid w:val="00003F13"/>
    <w:rsid w:val="00003FD0"/>
    <w:rsid w:val="00003FF8"/>
    <w:rsid w:val="00004020"/>
    <w:rsid w:val="00004038"/>
    <w:rsid w:val="000040AC"/>
    <w:rsid w:val="000040F8"/>
    <w:rsid w:val="000041E8"/>
    <w:rsid w:val="00004265"/>
    <w:rsid w:val="0000434B"/>
    <w:rsid w:val="000043C2"/>
    <w:rsid w:val="0000440B"/>
    <w:rsid w:val="00004677"/>
    <w:rsid w:val="000046A5"/>
    <w:rsid w:val="000046B3"/>
    <w:rsid w:val="00004887"/>
    <w:rsid w:val="000049B7"/>
    <w:rsid w:val="000049EA"/>
    <w:rsid w:val="000049EE"/>
    <w:rsid w:val="00004B70"/>
    <w:rsid w:val="00004C34"/>
    <w:rsid w:val="00004D28"/>
    <w:rsid w:val="00004DE5"/>
    <w:rsid w:val="00004EFF"/>
    <w:rsid w:val="00004F29"/>
    <w:rsid w:val="00004F71"/>
    <w:rsid w:val="00004FF0"/>
    <w:rsid w:val="00005060"/>
    <w:rsid w:val="0000516F"/>
    <w:rsid w:val="0000517F"/>
    <w:rsid w:val="0000532B"/>
    <w:rsid w:val="00005348"/>
    <w:rsid w:val="0000538F"/>
    <w:rsid w:val="000053F9"/>
    <w:rsid w:val="00005465"/>
    <w:rsid w:val="000054B6"/>
    <w:rsid w:val="00005509"/>
    <w:rsid w:val="000055D8"/>
    <w:rsid w:val="0000565A"/>
    <w:rsid w:val="000056ED"/>
    <w:rsid w:val="00005711"/>
    <w:rsid w:val="000057F3"/>
    <w:rsid w:val="000059E9"/>
    <w:rsid w:val="000059FC"/>
    <w:rsid w:val="00005BD8"/>
    <w:rsid w:val="00005CF5"/>
    <w:rsid w:val="00005DA9"/>
    <w:rsid w:val="00005F01"/>
    <w:rsid w:val="0000602C"/>
    <w:rsid w:val="0000605D"/>
    <w:rsid w:val="00006110"/>
    <w:rsid w:val="000062B8"/>
    <w:rsid w:val="000062CB"/>
    <w:rsid w:val="000062D3"/>
    <w:rsid w:val="0000633A"/>
    <w:rsid w:val="000064FA"/>
    <w:rsid w:val="000065BE"/>
    <w:rsid w:val="000065C0"/>
    <w:rsid w:val="00006687"/>
    <w:rsid w:val="00006692"/>
    <w:rsid w:val="000066A5"/>
    <w:rsid w:val="000066F1"/>
    <w:rsid w:val="00006786"/>
    <w:rsid w:val="00006820"/>
    <w:rsid w:val="000069FF"/>
    <w:rsid w:val="00006A28"/>
    <w:rsid w:val="00006DE0"/>
    <w:rsid w:val="00006F45"/>
    <w:rsid w:val="00006FD2"/>
    <w:rsid w:val="0000700E"/>
    <w:rsid w:val="0000716A"/>
    <w:rsid w:val="000071B4"/>
    <w:rsid w:val="00007221"/>
    <w:rsid w:val="00007268"/>
    <w:rsid w:val="000073A4"/>
    <w:rsid w:val="0000740B"/>
    <w:rsid w:val="000075FA"/>
    <w:rsid w:val="0000762D"/>
    <w:rsid w:val="000076CB"/>
    <w:rsid w:val="000077AB"/>
    <w:rsid w:val="000077FE"/>
    <w:rsid w:val="000078BF"/>
    <w:rsid w:val="00007A4C"/>
    <w:rsid w:val="00007A6D"/>
    <w:rsid w:val="00007A8B"/>
    <w:rsid w:val="00007A9A"/>
    <w:rsid w:val="00007B1F"/>
    <w:rsid w:val="00007BFF"/>
    <w:rsid w:val="00007C65"/>
    <w:rsid w:val="00007D1E"/>
    <w:rsid w:val="00007DB2"/>
    <w:rsid w:val="00007DDD"/>
    <w:rsid w:val="00007E1C"/>
    <w:rsid w:val="00007E8F"/>
    <w:rsid w:val="00007EE3"/>
    <w:rsid w:val="00007F74"/>
    <w:rsid w:val="00007F7D"/>
    <w:rsid w:val="00007FA5"/>
    <w:rsid w:val="00007FF5"/>
    <w:rsid w:val="0001005D"/>
    <w:rsid w:val="000100F5"/>
    <w:rsid w:val="0001012E"/>
    <w:rsid w:val="00010139"/>
    <w:rsid w:val="00010261"/>
    <w:rsid w:val="00010329"/>
    <w:rsid w:val="0001034A"/>
    <w:rsid w:val="000103B3"/>
    <w:rsid w:val="00010563"/>
    <w:rsid w:val="00010658"/>
    <w:rsid w:val="000106CB"/>
    <w:rsid w:val="000106E3"/>
    <w:rsid w:val="00010768"/>
    <w:rsid w:val="00010771"/>
    <w:rsid w:val="0001078F"/>
    <w:rsid w:val="000107EA"/>
    <w:rsid w:val="000107F6"/>
    <w:rsid w:val="0001091D"/>
    <w:rsid w:val="00010A1A"/>
    <w:rsid w:val="00010A9E"/>
    <w:rsid w:val="00010C40"/>
    <w:rsid w:val="00010CA8"/>
    <w:rsid w:val="00010CD5"/>
    <w:rsid w:val="00010E84"/>
    <w:rsid w:val="00010EB4"/>
    <w:rsid w:val="00010F5B"/>
    <w:rsid w:val="00010FBF"/>
    <w:rsid w:val="00011005"/>
    <w:rsid w:val="0001102D"/>
    <w:rsid w:val="0001107D"/>
    <w:rsid w:val="000110FE"/>
    <w:rsid w:val="00011142"/>
    <w:rsid w:val="0001116B"/>
    <w:rsid w:val="0001126C"/>
    <w:rsid w:val="00011393"/>
    <w:rsid w:val="000113BA"/>
    <w:rsid w:val="00011526"/>
    <w:rsid w:val="0001152E"/>
    <w:rsid w:val="00011656"/>
    <w:rsid w:val="0001167B"/>
    <w:rsid w:val="00011725"/>
    <w:rsid w:val="0001176A"/>
    <w:rsid w:val="00011792"/>
    <w:rsid w:val="00011855"/>
    <w:rsid w:val="00011863"/>
    <w:rsid w:val="000118B6"/>
    <w:rsid w:val="000119B7"/>
    <w:rsid w:val="000119EE"/>
    <w:rsid w:val="00011AE7"/>
    <w:rsid w:val="00011B64"/>
    <w:rsid w:val="00011B71"/>
    <w:rsid w:val="00011E0A"/>
    <w:rsid w:val="00011EAC"/>
    <w:rsid w:val="00011F12"/>
    <w:rsid w:val="00012014"/>
    <w:rsid w:val="000120AC"/>
    <w:rsid w:val="000120E1"/>
    <w:rsid w:val="0001215F"/>
    <w:rsid w:val="000122D1"/>
    <w:rsid w:val="0001233E"/>
    <w:rsid w:val="0001240C"/>
    <w:rsid w:val="00012517"/>
    <w:rsid w:val="000125C5"/>
    <w:rsid w:val="000127C2"/>
    <w:rsid w:val="0001284F"/>
    <w:rsid w:val="000128DE"/>
    <w:rsid w:val="00012BD6"/>
    <w:rsid w:val="00012C62"/>
    <w:rsid w:val="00012CCE"/>
    <w:rsid w:val="00012D5C"/>
    <w:rsid w:val="00012DED"/>
    <w:rsid w:val="00012ED3"/>
    <w:rsid w:val="00012F09"/>
    <w:rsid w:val="00012F98"/>
    <w:rsid w:val="00012FD0"/>
    <w:rsid w:val="00012FEC"/>
    <w:rsid w:val="00013027"/>
    <w:rsid w:val="00013056"/>
    <w:rsid w:val="0001306E"/>
    <w:rsid w:val="000130E0"/>
    <w:rsid w:val="000131E9"/>
    <w:rsid w:val="0001326D"/>
    <w:rsid w:val="00013273"/>
    <w:rsid w:val="00013427"/>
    <w:rsid w:val="00013552"/>
    <w:rsid w:val="00013580"/>
    <w:rsid w:val="000135D5"/>
    <w:rsid w:val="00013720"/>
    <w:rsid w:val="000137CC"/>
    <w:rsid w:val="0001396A"/>
    <w:rsid w:val="00013A2B"/>
    <w:rsid w:val="00013AAA"/>
    <w:rsid w:val="00013B4A"/>
    <w:rsid w:val="00013BBC"/>
    <w:rsid w:val="00013C99"/>
    <w:rsid w:val="00013FA9"/>
    <w:rsid w:val="00013FE1"/>
    <w:rsid w:val="0001408E"/>
    <w:rsid w:val="000140A8"/>
    <w:rsid w:val="000142DD"/>
    <w:rsid w:val="00014411"/>
    <w:rsid w:val="00014412"/>
    <w:rsid w:val="0001445B"/>
    <w:rsid w:val="0001455F"/>
    <w:rsid w:val="00014648"/>
    <w:rsid w:val="000146F1"/>
    <w:rsid w:val="00014764"/>
    <w:rsid w:val="00014807"/>
    <w:rsid w:val="000148F3"/>
    <w:rsid w:val="00014AAF"/>
    <w:rsid w:val="00014B27"/>
    <w:rsid w:val="00014B3C"/>
    <w:rsid w:val="00014B5F"/>
    <w:rsid w:val="00014BD8"/>
    <w:rsid w:val="00014C6D"/>
    <w:rsid w:val="00014CFA"/>
    <w:rsid w:val="00014E8B"/>
    <w:rsid w:val="0001505C"/>
    <w:rsid w:val="00015189"/>
    <w:rsid w:val="000151CC"/>
    <w:rsid w:val="000152A1"/>
    <w:rsid w:val="000152BC"/>
    <w:rsid w:val="000152DD"/>
    <w:rsid w:val="000152EE"/>
    <w:rsid w:val="0001531D"/>
    <w:rsid w:val="00015403"/>
    <w:rsid w:val="00015592"/>
    <w:rsid w:val="000155A1"/>
    <w:rsid w:val="00015707"/>
    <w:rsid w:val="00015718"/>
    <w:rsid w:val="00015797"/>
    <w:rsid w:val="000157DB"/>
    <w:rsid w:val="00015854"/>
    <w:rsid w:val="000158A0"/>
    <w:rsid w:val="000158A6"/>
    <w:rsid w:val="00015914"/>
    <w:rsid w:val="00015A88"/>
    <w:rsid w:val="00015ABB"/>
    <w:rsid w:val="00015BB5"/>
    <w:rsid w:val="00015BBE"/>
    <w:rsid w:val="00015C2C"/>
    <w:rsid w:val="00015CAC"/>
    <w:rsid w:val="00015F49"/>
    <w:rsid w:val="00015F5B"/>
    <w:rsid w:val="00015FB0"/>
    <w:rsid w:val="00015FC2"/>
    <w:rsid w:val="0001603A"/>
    <w:rsid w:val="00016052"/>
    <w:rsid w:val="0001613B"/>
    <w:rsid w:val="000161AD"/>
    <w:rsid w:val="00016227"/>
    <w:rsid w:val="00016228"/>
    <w:rsid w:val="000163C7"/>
    <w:rsid w:val="0001646C"/>
    <w:rsid w:val="000164B4"/>
    <w:rsid w:val="00016514"/>
    <w:rsid w:val="0001657E"/>
    <w:rsid w:val="00016642"/>
    <w:rsid w:val="0001666F"/>
    <w:rsid w:val="000166CE"/>
    <w:rsid w:val="00016737"/>
    <w:rsid w:val="00016751"/>
    <w:rsid w:val="00016787"/>
    <w:rsid w:val="000169DA"/>
    <w:rsid w:val="00016A56"/>
    <w:rsid w:val="00016ADE"/>
    <w:rsid w:val="00016B51"/>
    <w:rsid w:val="00016C32"/>
    <w:rsid w:val="00016DCD"/>
    <w:rsid w:val="00016DF9"/>
    <w:rsid w:val="00016E73"/>
    <w:rsid w:val="00016ED6"/>
    <w:rsid w:val="00016F18"/>
    <w:rsid w:val="00016F23"/>
    <w:rsid w:val="0001706D"/>
    <w:rsid w:val="000170D4"/>
    <w:rsid w:val="000171E1"/>
    <w:rsid w:val="000172BD"/>
    <w:rsid w:val="00017417"/>
    <w:rsid w:val="0001745C"/>
    <w:rsid w:val="00017478"/>
    <w:rsid w:val="000176B0"/>
    <w:rsid w:val="00017700"/>
    <w:rsid w:val="00017799"/>
    <w:rsid w:val="000177EC"/>
    <w:rsid w:val="000178B6"/>
    <w:rsid w:val="00017958"/>
    <w:rsid w:val="000179CB"/>
    <w:rsid w:val="00017A26"/>
    <w:rsid w:val="00017B61"/>
    <w:rsid w:val="00017BB3"/>
    <w:rsid w:val="00017C0A"/>
    <w:rsid w:val="00017C3B"/>
    <w:rsid w:val="00017CF0"/>
    <w:rsid w:val="00017DCA"/>
    <w:rsid w:val="00017E10"/>
    <w:rsid w:val="00017E15"/>
    <w:rsid w:val="00017EB7"/>
    <w:rsid w:val="00017F41"/>
    <w:rsid w:val="00017F4F"/>
    <w:rsid w:val="00017F51"/>
    <w:rsid w:val="00017F96"/>
    <w:rsid w:val="00017FD4"/>
    <w:rsid w:val="00020155"/>
    <w:rsid w:val="00020162"/>
    <w:rsid w:val="0002022F"/>
    <w:rsid w:val="00020247"/>
    <w:rsid w:val="0002025A"/>
    <w:rsid w:val="00020264"/>
    <w:rsid w:val="000202FC"/>
    <w:rsid w:val="00020309"/>
    <w:rsid w:val="000204DA"/>
    <w:rsid w:val="000205E5"/>
    <w:rsid w:val="000205F6"/>
    <w:rsid w:val="000208DB"/>
    <w:rsid w:val="000209A9"/>
    <w:rsid w:val="00020A48"/>
    <w:rsid w:val="00020BBC"/>
    <w:rsid w:val="00020BC9"/>
    <w:rsid w:val="00020F6B"/>
    <w:rsid w:val="00020FE2"/>
    <w:rsid w:val="00020FE7"/>
    <w:rsid w:val="0002102B"/>
    <w:rsid w:val="000210DD"/>
    <w:rsid w:val="0002111A"/>
    <w:rsid w:val="0002134F"/>
    <w:rsid w:val="00021388"/>
    <w:rsid w:val="0002142D"/>
    <w:rsid w:val="00021506"/>
    <w:rsid w:val="0002157B"/>
    <w:rsid w:val="00021796"/>
    <w:rsid w:val="00021885"/>
    <w:rsid w:val="00021892"/>
    <w:rsid w:val="000218EB"/>
    <w:rsid w:val="00021966"/>
    <w:rsid w:val="00021A14"/>
    <w:rsid w:val="00021A3E"/>
    <w:rsid w:val="00021A65"/>
    <w:rsid w:val="00021B6B"/>
    <w:rsid w:val="00021BEF"/>
    <w:rsid w:val="00021C13"/>
    <w:rsid w:val="00021E9C"/>
    <w:rsid w:val="00021F6A"/>
    <w:rsid w:val="0002203B"/>
    <w:rsid w:val="000221BF"/>
    <w:rsid w:val="00022221"/>
    <w:rsid w:val="0002233B"/>
    <w:rsid w:val="000223EF"/>
    <w:rsid w:val="0002247F"/>
    <w:rsid w:val="000224A2"/>
    <w:rsid w:val="000224D2"/>
    <w:rsid w:val="000224E9"/>
    <w:rsid w:val="000225CA"/>
    <w:rsid w:val="000225CB"/>
    <w:rsid w:val="00022743"/>
    <w:rsid w:val="0002282E"/>
    <w:rsid w:val="00022845"/>
    <w:rsid w:val="000228E6"/>
    <w:rsid w:val="00022A1C"/>
    <w:rsid w:val="00022B72"/>
    <w:rsid w:val="00022BC0"/>
    <w:rsid w:val="00022CAB"/>
    <w:rsid w:val="00022CDA"/>
    <w:rsid w:val="00022D55"/>
    <w:rsid w:val="00022DBF"/>
    <w:rsid w:val="00022FBB"/>
    <w:rsid w:val="00023007"/>
    <w:rsid w:val="00023056"/>
    <w:rsid w:val="00023161"/>
    <w:rsid w:val="00023163"/>
    <w:rsid w:val="0002317A"/>
    <w:rsid w:val="00023214"/>
    <w:rsid w:val="00023409"/>
    <w:rsid w:val="00023461"/>
    <w:rsid w:val="00023559"/>
    <w:rsid w:val="00023586"/>
    <w:rsid w:val="000235C3"/>
    <w:rsid w:val="000235CB"/>
    <w:rsid w:val="000235D6"/>
    <w:rsid w:val="0002362E"/>
    <w:rsid w:val="0002365B"/>
    <w:rsid w:val="00023690"/>
    <w:rsid w:val="0002375D"/>
    <w:rsid w:val="000239FB"/>
    <w:rsid w:val="00023A15"/>
    <w:rsid w:val="00023A4B"/>
    <w:rsid w:val="00023ADD"/>
    <w:rsid w:val="00023ADE"/>
    <w:rsid w:val="00023AE3"/>
    <w:rsid w:val="00023BFF"/>
    <w:rsid w:val="00023C07"/>
    <w:rsid w:val="00023C28"/>
    <w:rsid w:val="00023C4A"/>
    <w:rsid w:val="00023CEA"/>
    <w:rsid w:val="00023DB4"/>
    <w:rsid w:val="00023E14"/>
    <w:rsid w:val="00023EFB"/>
    <w:rsid w:val="00023F61"/>
    <w:rsid w:val="00024128"/>
    <w:rsid w:val="00024148"/>
    <w:rsid w:val="00024150"/>
    <w:rsid w:val="00024166"/>
    <w:rsid w:val="000241D4"/>
    <w:rsid w:val="00024236"/>
    <w:rsid w:val="000242AC"/>
    <w:rsid w:val="000242F8"/>
    <w:rsid w:val="00024561"/>
    <w:rsid w:val="0002457D"/>
    <w:rsid w:val="000246A0"/>
    <w:rsid w:val="000246BE"/>
    <w:rsid w:val="00024873"/>
    <w:rsid w:val="000248F7"/>
    <w:rsid w:val="00024930"/>
    <w:rsid w:val="00024951"/>
    <w:rsid w:val="000249F2"/>
    <w:rsid w:val="00024A18"/>
    <w:rsid w:val="00024A1F"/>
    <w:rsid w:val="00024AE1"/>
    <w:rsid w:val="00024BB3"/>
    <w:rsid w:val="00024BC5"/>
    <w:rsid w:val="00024C1F"/>
    <w:rsid w:val="00024C20"/>
    <w:rsid w:val="00024CBD"/>
    <w:rsid w:val="00024DFA"/>
    <w:rsid w:val="00024EF6"/>
    <w:rsid w:val="00024FCB"/>
    <w:rsid w:val="00025033"/>
    <w:rsid w:val="00025261"/>
    <w:rsid w:val="0002528F"/>
    <w:rsid w:val="000253D5"/>
    <w:rsid w:val="000253EE"/>
    <w:rsid w:val="0002544D"/>
    <w:rsid w:val="0002552B"/>
    <w:rsid w:val="0002558C"/>
    <w:rsid w:val="00025612"/>
    <w:rsid w:val="00025666"/>
    <w:rsid w:val="000256C3"/>
    <w:rsid w:val="000256C7"/>
    <w:rsid w:val="00025810"/>
    <w:rsid w:val="00025956"/>
    <w:rsid w:val="00025A06"/>
    <w:rsid w:val="00025A3B"/>
    <w:rsid w:val="00025A4A"/>
    <w:rsid w:val="00025A55"/>
    <w:rsid w:val="00025A68"/>
    <w:rsid w:val="00025A79"/>
    <w:rsid w:val="00025C45"/>
    <w:rsid w:val="00025CDC"/>
    <w:rsid w:val="00025D2D"/>
    <w:rsid w:val="00025D44"/>
    <w:rsid w:val="00025D87"/>
    <w:rsid w:val="00025E8A"/>
    <w:rsid w:val="00025FE3"/>
    <w:rsid w:val="00026016"/>
    <w:rsid w:val="00026021"/>
    <w:rsid w:val="000260C3"/>
    <w:rsid w:val="0002618E"/>
    <w:rsid w:val="00026191"/>
    <w:rsid w:val="0002621D"/>
    <w:rsid w:val="0002625F"/>
    <w:rsid w:val="00026263"/>
    <w:rsid w:val="000262AE"/>
    <w:rsid w:val="000262FA"/>
    <w:rsid w:val="0002637D"/>
    <w:rsid w:val="0002644A"/>
    <w:rsid w:val="00026538"/>
    <w:rsid w:val="0002658C"/>
    <w:rsid w:val="00026617"/>
    <w:rsid w:val="0002662D"/>
    <w:rsid w:val="00026761"/>
    <w:rsid w:val="00026795"/>
    <w:rsid w:val="0002679F"/>
    <w:rsid w:val="000267AB"/>
    <w:rsid w:val="000268B6"/>
    <w:rsid w:val="00026900"/>
    <w:rsid w:val="0002690E"/>
    <w:rsid w:val="00026917"/>
    <w:rsid w:val="00026B25"/>
    <w:rsid w:val="00026B7F"/>
    <w:rsid w:val="00026C0B"/>
    <w:rsid w:val="00026C13"/>
    <w:rsid w:val="00026C15"/>
    <w:rsid w:val="00026C23"/>
    <w:rsid w:val="00026C80"/>
    <w:rsid w:val="00026CBE"/>
    <w:rsid w:val="00026CE0"/>
    <w:rsid w:val="00026E1D"/>
    <w:rsid w:val="00026EDD"/>
    <w:rsid w:val="00026F8C"/>
    <w:rsid w:val="00027085"/>
    <w:rsid w:val="000270CC"/>
    <w:rsid w:val="00027149"/>
    <w:rsid w:val="00027163"/>
    <w:rsid w:val="0002719B"/>
    <w:rsid w:val="000271A6"/>
    <w:rsid w:val="000271AA"/>
    <w:rsid w:val="000271FB"/>
    <w:rsid w:val="0002724A"/>
    <w:rsid w:val="000272EF"/>
    <w:rsid w:val="00027355"/>
    <w:rsid w:val="0002735D"/>
    <w:rsid w:val="00027385"/>
    <w:rsid w:val="000273CA"/>
    <w:rsid w:val="00027516"/>
    <w:rsid w:val="000275EF"/>
    <w:rsid w:val="000276A5"/>
    <w:rsid w:val="000277A9"/>
    <w:rsid w:val="00027843"/>
    <w:rsid w:val="00027879"/>
    <w:rsid w:val="00027997"/>
    <w:rsid w:val="000279C8"/>
    <w:rsid w:val="00027C45"/>
    <w:rsid w:val="00027D04"/>
    <w:rsid w:val="00027E60"/>
    <w:rsid w:val="00027EBA"/>
    <w:rsid w:val="00027EDB"/>
    <w:rsid w:val="000300CF"/>
    <w:rsid w:val="000300EB"/>
    <w:rsid w:val="00030158"/>
    <w:rsid w:val="000301FC"/>
    <w:rsid w:val="0003023A"/>
    <w:rsid w:val="00030309"/>
    <w:rsid w:val="00030332"/>
    <w:rsid w:val="000303A4"/>
    <w:rsid w:val="00030498"/>
    <w:rsid w:val="00030513"/>
    <w:rsid w:val="00030749"/>
    <w:rsid w:val="000307BB"/>
    <w:rsid w:val="000307CF"/>
    <w:rsid w:val="00030995"/>
    <w:rsid w:val="00030A7A"/>
    <w:rsid w:val="00030A7C"/>
    <w:rsid w:val="00030B20"/>
    <w:rsid w:val="00030B50"/>
    <w:rsid w:val="00030BD8"/>
    <w:rsid w:val="00030BE2"/>
    <w:rsid w:val="00030C02"/>
    <w:rsid w:val="00030C84"/>
    <w:rsid w:val="00030E5D"/>
    <w:rsid w:val="00030E66"/>
    <w:rsid w:val="00030F3F"/>
    <w:rsid w:val="00030FD3"/>
    <w:rsid w:val="00031075"/>
    <w:rsid w:val="00031179"/>
    <w:rsid w:val="00031238"/>
    <w:rsid w:val="00031274"/>
    <w:rsid w:val="0003139B"/>
    <w:rsid w:val="000313DF"/>
    <w:rsid w:val="00031586"/>
    <w:rsid w:val="000316CD"/>
    <w:rsid w:val="000316E7"/>
    <w:rsid w:val="00031710"/>
    <w:rsid w:val="00031832"/>
    <w:rsid w:val="00031866"/>
    <w:rsid w:val="000319CA"/>
    <w:rsid w:val="00031BFA"/>
    <w:rsid w:val="00031C46"/>
    <w:rsid w:val="00031D28"/>
    <w:rsid w:val="00031DA2"/>
    <w:rsid w:val="00031E66"/>
    <w:rsid w:val="00031EA8"/>
    <w:rsid w:val="00031F63"/>
    <w:rsid w:val="00031F81"/>
    <w:rsid w:val="00031F9C"/>
    <w:rsid w:val="00032020"/>
    <w:rsid w:val="00032064"/>
    <w:rsid w:val="000322FE"/>
    <w:rsid w:val="00032300"/>
    <w:rsid w:val="00032316"/>
    <w:rsid w:val="00032321"/>
    <w:rsid w:val="00032345"/>
    <w:rsid w:val="0003234D"/>
    <w:rsid w:val="0003237A"/>
    <w:rsid w:val="0003237D"/>
    <w:rsid w:val="00032445"/>
    <w:rsid w:val="000324EB"/>
    <w:rsid w:val="000327F8"/>
    <w:rsid w:val="00032812"/>
    <w:rsid w:val="0003282B"/>
    <w:rsid w:val="00032860"/>
    <w:rsid w:val="000328C4"/>
    <w:rsid w:val="000329A5"/>
    <w:rsid w:val="000329F0"/>
    <w:rsid w:val="00032A20"/>
    <w:rsid w:val="00032B36"/>
    <w:rsid w:val="00032B7F"/>
    <w:rsid w:val="00032C85"/>
    <w:rsid w:val="00032C9B"/>
    <w:rsid w:val="00032CB8"/>
    <w:rsid w:val="00032DC5"/>
    <w:rsid w:val="00032DE9"/>
    <w:rsid w:val="00032EF4"/>
    <w:rsid w:val="00032FCC"/>
    <w:rsid w:val="000330E4"/>
    <w:rsid w:val="0003313C"/>
    <w:rsid w:val="000331D8"/>
    <w:rsid w:val="000331DB"/>
    <w:rsid w:val="00033291"/>
    <w:rsid w:val="00033293"/>
    <w:rsid w:val="00033330"/>
    <w:rsid w:val="0003338E"/>
    <w:rsid w:val="000335A1"/>
    <w:rsid w:val="000335BA"/>
    <w:rsid w:val="0003360F"/>
    <w:rsid w:val="00033728"/>
    <w:rsid w:val="00033840"/>
    <w:rsid w:val="0003388D"/>
    <w:rsid w:val="000338EB"/>
    <w:rsid w:val="0003397D"/>
    <w:rsid w:val="000339FA"/>
    <w:rsid w:val="00033AF3"/>
    <w:rsid w:val="00033C77"/>
    <w:rsid w:val="00033CCE"/>
    <w:rsid w:val="00033DC2"/>
    <w:rsid w:val="00033E58"/>
    <w:rsid w:val="00033E8B"/>
    <w:rsid w:val="00033EC3"/>
    <w:rsid w:val="00033F76"/>
    <w:rsid w:val="00034054"/>
    <w:rsid w:val="00034084"/>
    <w:rsid w:val="00034174"/>
    <w:rsid w:val="00034177"/>
    <w:rsid w:val="0003419F"/>
    <w:rsid w:val="000341D7"/>
    <w:rsid w:val="00034302"/>
    <w:rsid w:val="00034379"/>
    <w:rsid w:val="000343E2"/>
    <w:rsid w:val="00034436"/>
    <w:rsid w:val="00034444"/>
    <w:rsid w:val="00034544"/>
    <w:rsid w:val="000347FC"/>
    <w:rsid w:val="00034979"/>
    <w:rsid w:val="000349E1"/>
    <w:rsid w:val="00034AB3"/>
    <w:rsid w:val="00034B1D"/>
    <w:rsid w:val="00034B3B"/>
    <w:rsid w:val="00034B4F"/>
    <w:rsid w:val="00034B58"/>
    <w:rsid w:val="00034CD4"/>
    <w:rsid w:val="00034D10"/>
    <w:rsid w:val="00034DC1"/>
    <w:rsid w:val="00034E34"/>
    <w:rsid w:val="00034F3C"/>
    <w:rsid w:val="00034F60"/>
    <w:rsid w:val="00034FB5"/>
    <w:rsid w:val="00034FC3"/>
    <w:rsid w:val="00034FDF"/>
    <w:rsid w:val="0003503A"/>
    <w:rsid w:val="0003511C"/>
    <w:rsid w:val="00035158"/>
    <w:rsid w:val="00035164"/>
    <w:rsid w:val="00035170"/>
    <w:rsid w:val="000351C3"/>
    <w:rsid w:val="000351F1"/>
    <w:rsid w:val="00035288"/>
    <w:rsid w:val="0003532F"/>
    <w:rsid w:val="000354CC"/>
    <w:rsid w:val="00035593"/>
    <w:rsid w:val="0003561E"/>
    <w:rsid w:val="00035653"/>
    <w:rsid w:val="000357BE"/>
    <w:rsid w:val="000357C6"/>
    <w:rsid w:val="000358A8"/>
    <w:rsid w:val="0003598C"/>
    <w:rsid w:val="00035A14"/>
    <w:rsid w:val="00035B1E"/>
    <w:rsid w:val="00035BDB"/>
    <w:rsid w:val="00035C36"/>
    <w:rsid w:val="00035D83"/>
    <w:rsid w:val="00035F33"/>
    <w:rsid w:val="00036066"/>
    <w:rsid w:val="000360CB"/>
    <w:rsid w:val="000360F2"/>
    <w:rsid w:val="000361E5"/>
    <w:rsid w:val="000361F6"/>
    <w:rsid w:val="0003620F"/>
    <w:rsid w:val="00036380"/>
    <w:rsid w:val="000363E5"/>
    <w:rsid w:val="0003670C"/>
    <w:rsid w:val="000367C2"/>
    <w:rsid w:val="00036B47"/>
    <w:rsid w:val="00036BD5"/>
    <w:rsid w:val="00036C02"/>
    <w:rsid w:val="00036C21"/>
    <w:rsid w:val="00036C86"/>
    <w:rsid w:val="00036CAB"/>
    <w:rsid w:val="00036D1D"/>
    <w:rsid w:val="00036EBD"/>
    <w:rsid w:val="00036EC2"/>
    <w:rsid w:val="00036F35"/>
    <w:rsid w:val="00036FE9"/>
    <w:rsid w:val="00036FEF"/>
    <w:rsid w:val="0003705B"/>
    <w:rsid w:val="00037060"/>
    <w:rsid w:val="0003716A"/>
    <w:rsid w:val="00037223"/>
    <w:rsid w:val="0003725A"/>
    <w:rsid w:val="000372D0"/>
    <w:rsid w:val="00037359"/>
    <w:rsid w:val="00037374"/>
    <w:rsid w:val="00037483"/>
    <w:rsid w:val="000374B7"/>
    <w:rsid w:val="00037540"/>
    <w:rsid w:val="00037576"/>
    <w:rsid w:val="00037784"/>
    <w:rsid w:val="00037786"/>
    <w:rsid w:val="000378B2"/>
    <w:rsid w:val="00037929"/>
    <w:rsid w:val="00037AFE"/>
    <w:rsid w:val="00037B0D"/>
    <w:rsid w:val="00037B3D"/>
    <w:rsid w:val="00037B76"/>
    <w:rsid w:val="00037C09"/>
    <w:rsid w:val="00037CB0"/>
    <w:rsid w:val="00037CB5"/>
    <w:rsid w:val="00037D5A"/>
    <w:rsid w:val="00037DA6"/>
    <w:rsid w:val="00037DB8"/>
    <w:rsid w:val="00037E7A"/>
    <w:rsid w:val="00037E81"/>
    <w:rsid w:val="00037FE0"/>
    <w:rsid w:val="00037FE8"/>
    <w:rsid w:val="00040142"/>
    <w:rsid w:val="000401EF"/>
    <w:rsid w:val="000401F5"/>
    <w:rsid w:val="00040287"/>
    <w:rsid w:val="00040386"/>
    <w:rsid w:val="000403DF"/>
    <w:rsid w:val="000403E8"/>
    <w:rsid w:val="000403EA"/>
    <w:rsid w:val="000404DA"/>
    <w:rsid w:val="00040519"/>
    <w:rsid w:val="00040593"/>
    <w:rsid w:val="000405A4"/>
    <w:rsid w:val="000405D0"/>
    <w:rsid w:val="000405EE"/>
    <w:rsid w:val="0004070A"/>
    <w:rsid w:val="00040782"/>
    <w:rsid w:val="00040786"/>
    <w:rsid w:val="000408B7"/>
    <w:rsid w:val="00040963"/>
    <w:rsid w:val="00040965"/>
    <w:rsid w:val="00040A0A"/>
    <w:rsid w:val="00040C50"/>
    <w:rsid w:val="00040D4B"/>
    <w:rsid w:val="00040D75"/>
    <w:rsid w:val="00040E97"/>
    <w:rsid w:val="00040ECF"/>
    <w:rsid w:val="0004113F"/>
    <w:rsid w:val="00041176"/>
    <w:rsid w:val="0004123D"/>
    <w:rsid w:val="00041298"/>
    <w:rsid w:val="000414CA"/>
    <w:rsid w:val="00041547"/>
    <w:rsid w:val="0004170C"/>
    <w:rsid w:val="000417AE"/>
    <w:rsid w:val="0004182D"/>
    <w:rsid w:val="000418B9"/>
    <w:rsid w:val="00041930"/>
    <w:rsid w:val="00041994"/>
    <w:rsid w:val="000419C0"/>
    <w:rsid w:val="000419C3"/>
    <w:rsid w:val="000419F3"/>
    <w:rsid w:val="00041A5E"/>
    <w:rsid w:val="00041A89"/>
    <w:rsid w:val="00041D42"/>
    <w:rsid w:val="00041D51"/>
    <w:rsid w:val="00041E04"/>
    <w:rsid w:val="00041E3B"/>
    <w:rsid w:val="00041F0F"/>
    <w:rsid w:val="00041F73"/>
    <w:rsid w:val="00041F85"/>
    <w:rsid w:val="00042015"/>
    <w:rsid w:val="000420AD"/>
    <w:rsid w:val="000421E1"/>
    <w:rsid w:val="00042229"/>
    <w:rsid w:val="0004222B"/>
    <w:rsid w:val="000422E8"/>
    <w:rsid w:val="000422F7"/>
    <w:rsid w:val="00042307"/>
    <w:rsid w:val="0004248B"/>
    <w:rsid w:val="00042502"/>
    <w:rsid w:val="00042587"/>
    <w:rsid w:val="00042589"/>
    <w:rsid w:val="00042631"/>
    <w:rsid w:val="0004268D"/>
    <w:rsid w:val="000426A6"/>
    <w:rsid w:val="0004274D"/>
    <w:rsid w:val="00042884"/>
    <w:rsid w:val="00042ABA"/>
    <w:rsid w:val="00042B58"/>
    <w:rsid w:val="00042C28"/>
    <w:rsid w:val="00042C4A"/>
    <w:rsid w:val="00042C5A"/>
    <w:rsid w:val="00042D22"/>
    <w:rsid w:val="00042D8A"/>
    <w:rsid w:val="00042DC3"/>
    <w:rsid w:val="00042DF7"/>
    <w:rsid w:val="00042E38"/>
    <w:rsid w:val="00042ED6"/>
    <w:rsid w:val="00042F1D"/>
    <w:rsid w:val="00042FB8"/>
    <w:rsid w:val="0004301E"/>
    <w:rsid w:val="00043095"/>
    <w:rsid w:val="000430A9"/>
    <w:rsid w:val="000430DE"/>
    <w:rsid w:val="000430FA"/>
    <w:rsid w:val="0004318E"/>
    <w:rsid w:val="000431B7"/>
    <w:rsid w:val="000431E2"/>
    <w:rsid w:val="000432AB"/>
    <w:rsid w:val="000432FB"/>
    <w:rsid w:val="0004330E"/>
    <w:rsid w:val="00043348"/>
    <w:rsid w:val="00043437"/>
    <w:rsid w:val="000434AE"/>
    <w:rsid w:val="00043535"/>
    <w:rsid w:val="00043575"/>
    <w:rsid w:val="00043618"/>
    <w:rsid w:val="0004363C"/>
    <w:rsid w:val="00043712"/>
    <w:rsid w:val="0004372E"/>
    <w:rsid w:val="0004378F"/>
    <w:rsid w:val="00043827"/>
    <w:rsid w:val="00043868"/>
    <w:rsid w:val="0004387E"/>
    <w:rsid w:val="00043898"/>
    <w:rsid w:val="000438A0"/>
    <w:rsid w:val="0004392D"/>
    <w:rsid w:val="0004397D"/>
    <w:rsid w:val="000439AC"/>
    <w:rsid w:val="00043AC8"/>
    <w:rsid w:val="00043B90"/>
    <w:rsid w:val="00043C3F"/>
    <w:rsid w:val="00043C40"/>
    <w:rsid w:val="00043CC7"/>
    <w:rsid w:val="00043D51"/>
    <w:rsid w:val="00043DDF"/>
    <w:rsid w:val="00043E48"/>
    <w:rsid w:val="00043EC5"/>
    <w:rsid w:val="00043F02"/>
    <w:rsid w:val="00043F23"/>
    <w:rsid w:val="0004418D"/>
    <w:rsid w:val="000441C4"/>
    <w:rsid w:val="00044256"/>
    <w:rsid w:val="0004428F"/>
    <w:rsid w:val="000442D4"/>
    <w:rsid w:val="000443B2"/>
    <w:rsid w:val="000444ED"/>
    <w:rsid w:val="00044595"/>
    <w:rsid w:val="00044619"/>
    <w:rsid w:val="0004465A"/>
    <w:rsid w:val="0004466F"/>
    <w:rsid w:val="000446FF"/>
    <w:rsid w:val="00044759"/>
    <w:rsid w:val="0004476F"/>
    <w:rsid w:val="00044798"/>
    <w:rsid w:val="000447CD"/>
    <w:rsid w:val="0004483F"/>
    <w:rsid w:val="00044866"/>
    <w:rsid w:val="00044917"/>
    <w:rsid w:val="0004495D"/>
    <w:rsid w:val="00044B46"/>
    <w:rsid w:val="00044C00"/>
    <w:rsid w:val="00044CA1"/>
    <w:rsid w:val="00044CB8"/>
    <w:rsid w:val="00044CE8"/>
    <w:rsid w:val="00044D84"/>
    <w:rsid w:val="00044DCC"/>
    <w:rsid w:val="00044EA3"/>
    <w:rsid w:val="000450AC"/>
    <w:rsid w:val="000450C4"/>
    <w:rsid w:val="000451E4"/>
    <w:rsid w:val="000452DF"/>
    <w:rsid w:val="00045350"/>
    <w:rsid w:val="00045383"/>
    <w:rsid w:val="00045393"/>
    <w:rsid w:val="000453B4"/>
    <w:rsid w:val="000453CA"/>
    <w:rsid w:val="000453F0"/>
    <w:rsid w:val="00045453"/>
    <w:rsid w:val="000454C1"/>
    <w:rsid w:val="000454D5"/>
    <w:rsid w:val="00045516"/>
    <w:rsid w:val="0004593A"/>
    <w:rsid w:val="00045A7C"/>
    <w:rsid w:val="00045AD9"/>
    <w:rsid w:val="00045B8F"/>
    <w:rsid w:val="00045C31"/>
    <w:rsid w:val="00045D81"/>
    <w:rsid w:val="00045DC5"/>
    <w:rsid w:val="00045E07"/>
    <w:rsid w:val="00045EB1"/>
    <w:rsid w:val="00045F4A"/>
    <w:rsid w:val="00045F99"/>
    <w:rsid w:val="00045FB8"/>
    <w:rsid w:val="00045FD4"/>
    <w:rsid w:val="0004604F"/>
    <w:rsid w:val="0004614C"/>
    <w:rsid w:val="0004622A"/>
    <w:rsid w:val="00046273"/>
    <w:rsid w:val="00046299"/>
    <w:rsid w:val="00046370"/>
    <w:rsid w:val="00046388"/>
    <w:rsid w:val="000464E5"/>
    <w:rsid w:val="00046658"/>
    <w:rsid w:val="00046690"/>
    <w:rsid w:val="00046777"/>
    <w:rsid w:val="0004682F"/>
    <w:rsid w:val="0004689A"/>
    <w:rsid w:val="00046956"/>
    <w:rsid w:val="00046988"/>
    <w:rsid w:val="000469F3"/>
    <w:rsid w:val="00046AB7"/>
    <w:rsid w:val="00046ABE"/>
    <w:rsid w:val="00046B08"/>
    <w:rsid w:val="00046B59"/>
    <w:rsid w:val="00046C24"/>
    <w:rsid w:val="00046C3F"/>
    <w:rsid w:val="00046C59"/>
    <w:rsid w:val="00046CB4"/>
    <w:rsid w:val="00046CE9"/>
    <w:rsid w:val="00046D16"/>
    <w:rsid w:val="00046D17"/>
    <w:rsid w:val="00046D55"/>
    <w:rsid w:val="00046D77"/>
    <w:rsid w:val="00046F84"/>
    <w:rsid w:val="00046F93"/>
    <w:rsid w:val="00046FDD"/>
    <w:rsid w:val="0004709E"/>
    <w:rsid w:val="000471EE"/>
    <w:rsid w:val="000472B8"/>
    <w:rsid w:val="000473B1"/>
    <w:rsid w:val="00047474"/>
    <w:rsid w:val="000475D4"/>
    <w:rsid w:val="000476A7"/>
    <w:rsid w:val="0004781C"/>
    <w:rsid w:val="0004793F"/>
    <w:rsid w:val="000479D2"/>
    <w:rsid w:val="000479E0"/>
    <w:rsid w:val="00047A63"/>
    <w:rsid w:val="00047A8C"/>
    <w:rsid w:val="00047B11"/>
    <w:rsid w:val="00047B26"/>
    <w:rsid w:val="00047B35"/>
    <w:rsid w:val="00047B49"/>
    <w:rsid w:val="00047B87"/>
    <w:rsid w:val="00047CB2"/>
    <w:rsid w:val="00047DA9"/>
    <w:rsid w:val="00047DE7"/>
    <w:rsid w:val="00047E92"/>
    <w:rsid w:val="000500B4"/>
    <w:rsid w:val="000500BA"/>
    <w:rsid w:val="000500C7"/>
    <w:rsid w:val="000500EF"/>
    <w:rsid w:val="000500F9"/>
    <w:rsid w:val="00050101"/>
    <w:rsid w:val="00050281"/>
    <w:rsid w:val="000502DC"/>
    <w:rsid w:val="000503DD"/>
    <w:rsid w:val="00050460"/>
    <w:rsid w:val="00050467"/>
    <w:rsid w:val="00050559"/>
    <w:rsid w:val="00050579"/>
    <w:rsid w:val="0005061D"/>
    <w:rsid w:val="00050698"/>
    <w:rsid w:val="000506A1"/>
    <w:rsid w:val="00050819"/>
    <w:rsid w:val="00050990"/>
    <w:rsid w:val="00050A40"/>
    <w:rsid w:val="00050B68"/>
    <w:rsid w:val="00050BA9"/>
    <w:rsid w:val="00050C8C"/>
    <w:rsid w:val="00050CB3"/>
    <w:rsid w:val="00050D3C"/>
    <w:rsid w:val="00050D47"/>
    <w:rsid w:val="00050E06"/>
    <w:rsid w:val="00050F59"/>
    <w:rsid w:val="00050F7F"/>
    <w:rsid w:val="00050FBA"/>
    <w:rsid w:val="00051004"/>
    <w:rsid w:val="00051217"/>
    <w:rsid w:val="0005121A"/>
    <w:rsid w:val="000512F9"/>
    <w:rsid w:val="00051341"/>
    <w:rsid w:val="0005138B"/>
    <w:rsid w:val="000516C9"/>
    <w:rsid w:val="0005180A"/>
    <w:rsid w:val="00051891"/>
    <w:rsid w:val="000519CE"/>
    <w:rsid w:val="00051A73"/>
    <w:rsid w:val="00051B27"/>
    <w:rsid w:val="00051B8B"/>
    <w:rsid w:val="00051C0A"/>
    <w:rsid w:val="00051C59"/>
    <w:rsid w:val="00051D3B"/>
    <w:rsid w:val="00051F31"/>
    <w:rsid w:val="00051F77"/>
    <w:rsid w:val="00051FCC"/>
    <w:rsid w:val="00052084"/>
    <w:rsid w:val="0005208B"/>
    <w:rsid w:val="00052121"/>
    <w:rsid w:val="000521D6"/>
    <w:rsid w:val="000522B7"/>
    <w:rsid w:val="00052300"/>
    <w:rsid w:val="0005232B"/>
    <w:rsid w:val="00052380"/>
    <w:rsid w:val="00052402"/>
    <w:rsid w:val="00052585"/>
    <w:rsid w:val="00052628"/>
    <w:rsid w:val="00052769"/>
    <w:rsid w:val="000527CA"/>
    <w:rsid w:val="00052835"/>
    <w:rsid w:val="00052847"/>
    <w:rsid w:val="00052881"/>
    <w:rsid w:val="00052889"/>
    <w:rsid w:val="00052936"/>
    <w:rsid w:val="0005296A"/>
    <w:rsid w:val="000529F0"/>
    <w:rsid w:val="00052A5B"/>
    <w:rsid w:val="00052B07"/>
    <w:rsid w:val="00052D92"/>
    <w:rsid w:val="00052EBD"/>
    <w:rsid w:val="00052F1D"/>
    <w:rsid w:val="00052F8A"/>
    <w:rsid w:val="00052FE6"/>
    <w:rsid w:val="00052FEC"/>
    <w:rsid w:val="00053296"/>
    <w:rsid w:val="0005331F"/>
    <w:rsid w:val="0005343B"/>
    <w:rsid w:val="000534ED"/>
    <w:rsid w:val="000535B6"/>
    <w:rsid w:val="00053608"/>
    <w:rsid w:val="00053624"/>
    <w:rsid w:val="00053717"/>
    <w:rsid w:val="00053951"/>
    <w:rsid w:val="00053B86"/>
    <w:rsid w:val="00053C04"/>
    <w:rsid w:val="00053E6E"/>
    <w:rsid w:val="00053F0A"/>
    <w:rsid w:val="00053F29"/>
    <w:rsid w:val="00053FAA"/>
    <w:rsid w:val="00054011"/>
    <w:rsid w:val="00054045"/>
    <w:rsid w:val="00054140"/>
    <w:rsid w:val="00054153"/>
    <w:rsid w:val="000541BA"/>
    <w:rsid w:val="0005421C"/>
    <w:rsid w:val="0005425E"/>
    <w:rsid w:val="00054269"/>
    <w:rsid w:val="000542D9"/>
    <w:rsid w:val="000542F4"/>
    <w:rsid w:val="0005431C"/>
    <w:rsid w:val="00054519"/>
    <w:rsid w:val="0005459E"/>
    <w:rsid w:val="00054666"/>
    <w:rsid w:val="00054695"/>
    <w:rsid w:val="0005471C"/>
    <w:rsid w:val="0005476F"/>
    <w:rsid w:val="0005487C"/>
    <w:rsid w:val="0005491B"/>
    <w:rsid w:val="00054A16"/>
    <w:rsid w:val="00054A32"/>
    <w:rsid w:val="00054AB0"/>
    <w:rsid w:val="00054AB9"/>
    <w:rsid w:val="00054AFD"/>
    <w:rsid w:val="00054B7E"/>
    <w:rsid w:val="00054BC4"/>
    <w:rsid w:val="00054C03"/>
    <w:rsid w:val="00054CB7"/>
    <w:rsid w:val="00054D19"/>
    <w:rsid w:val="00054D3F"/>
    <w:rsid w:val="00054DD5"/>
    <w:rsid w:val="00054E6E"/>
    <w:rsid w:val="00054F07"/>
    <w:rsid w:val="0005503D"/>
    <w:rsid w:val="000550EC"/>
    <w:rsid w:val="000550F5"/>
    <w:rsid w:val="0005518F"/>
    <w:rsid w:val="0005522B"/>
    <w:rsid w:val="0005522E"/>
    <w:rsid w:val="0005526A"/>
    <w:rsid w:val="000552BD"/>
    <w:rsid w:val="00055324"/>
    <w:rsid w:val="000553B7"/>
    <w:rsid w:val="00055416"/>
    <w:rsid w:val="000554AC"/>
    <w:rsid w:val="000555EA"/>
    <w:rsid w:val="000557BE"/>
    <w:rsid w:val="00055811"/>
    <w:rsid w:val="00055826"/>
    <w:rsid w:val="0005585C"/>
    <w:rsid w:val="000558D8"/>
    <w:rsid w:val="00055959"/>
    <w:rsid w:val="00055A00"/>
    <w:rsid w:val="00055B2E"/>
    <w:rsid w:val="00055B81"/>
    <w:rsid w:val="00055C4A"/>
    <w:rsid w:val="00055C5F"/>
    <w:rsid w:val="00055CE9"/>
    <w:rsid w:val="00055D09"/>
    <w:rsid w:val="00055D80"/>
    <w:rsid w:val="00055DDA"/>
    <w:rsid w:val="00055E13"/>
    <w:rsid w:val="00055E4A"/>
    <w:rsid w:val="00055E99"/>
    <w:rsid w:val="00055EA9"/>
    <w:rsid w:val="00055EAB"/>
    <w:rsid w:val="00055EC6"/>
    <w:rsid w:val="00055EFF"/>
    <w:rsid w:val="00055F9F"/>
    <w:rsid w:val="00056103"/>
    <w:rsid w:val="00056175"/>
    <w:rsid w:val="000561DD"/>
    <w:rsid w:val="00056283"/>
    <w:rsid w:val="000562C3"/>
    <w:rsid w:val="00056465"/>
    <w:rsid w:val="000564A4"/>
    <w:rsid w:val="0005651A"/>
    <w:rsid w:val="00056531"/>
    <w:rsid w:val="000565DA"/>
    <w:rsid w:val="00056664"/>
    <w:rsid w:val="000567A2"/>
    <w:rsid w:val="000567B8"/>
    <w:rsid w:val="00056880"/>
    <w:rsid w:val="0005689F"/>
    <w:rsid w:val="00056984"/>
    <w:rsid w:val="000569D5"/>
    <w:rsid w:val="00056A0C"/>
    <w:rsid w:val="00056A7C"/>
    <w:rsid w:val="00056AA7"/>
    <w:rsid w:val="00056BAB"/>
    <w:rsid w:val="00056BC3"/>
    <w:rsid w:val="00056C8E"/>
    <w:rsid w:val="00056CEA"/>
    <w:rsid w:val="00056D0E"/>
    <w:rsid w:val="00056E24"/>
    <w:rsid w:val="00056E2C"/>
    <w:rsid w:val="00056EA6"/>
    <w:rsid w:val="00056F10"/>
    <w:rsid w:val="00056FE7"/>
    <w:rsid w:val="0005706C"/>
    <w:rsid w:val="00057098"/>
    <w:rsid w:val="000570D3"/>
    <w:rsid w:val="000572CA"/>
    <w:rsid w:val="000572ED"/>
    <w:rsid w:val="0005730C"/>
    <w:rsid w:val="000573A0"/>
    <w:rsid w:val="00057416"/>
    <w:rsid w:val="00057433"/>
    <w:rsid w:val="0005749E"/>
    <w:rsid w:val="000574A8"/>
    <w:rsid w:val="0005756A"/>
    <w:rsid w:val="000576AA"/>
    <w:rsid w:val="000576BA"/>
    <w:rsid w:val="000577D6"/>
    <w:rsid w:val="00057838"/>
    <w:rsid w:val="00057842"/>
    <w:rsid w:val="0005789D"/>
    <w:rsid w:val="000578FE"/>
    <w:rsid w:val="00057921"/>
    <w:rsid w:val="000579F3"/>
    <w:rsid w:val="00057B4C"/>
    <w:rsid w:val="00057B88"/>
    <w:rsid w:val="00057E0D"/>
    <w:rsid w:val="00057E32"/>
    <w:rsid w:val="00057E9D"/>
    <w:rsid w:val="00057F80"/>
    <w:rsid w:val="00057FC6"/>
    <w:rsid w:val="00060005"/>
    <w:rsid w:val="00060097"/>
    <w:rsid w:val="000600C1"/>
    <w:rsid w:val="0006018B"/>
    <w:rsid w:val="000601F4"/>
    <w:rsid w:val="00060248"/>
    <w:rsid w:val="00060465"/>
    <w:rsid w:val="0006055F"/>
    <w:rsid w:val="00060625"/>
    <w:rsid w:val="000606B0"/>
    <w:rsid w:val="00060831"/>
    <w:rsid w:val="000608DF"/>
    <w:rsid w:val="00060968"/>
    <w:rsid w:val="000609B4"/>
    <w:rsid w:val="00060BE4"/>
    <w:rsid w:val="00060BFA"/>
    <w:rsid w:val="00060D18"/>
    <w:rsid w:val="00060D34"/>
    <w:rsid w:val="00060E87"/>
    <w:rsid w:val="00060EB4"/>
    <w:rsid w:val="000611D3"/>
    <w:rsid w:val="000612CC"/>
    <w:rsid w:val="00061314"/>
    <w:rsid w:val="0006133B"/>
    <w:rsid w:val="00061386"/>
    <w:rsid w:val="000615FC"/>
    <w:rsid w:val="000617B3"/>
    <w:rsid w:val="000617DE"/>
    <w:rsid w:val="0006188A"/>
    <w:rsid w:val="0006196F"/>
    <w:rsid w:val="00061A0B"/>
    <w:rsid w:val="00061B2D"/>
    <w:rsid w:val="00061B96"/>
    <w:rsid w:val="00061BCF"/>
    <w:rsid w:val="00061C29"/>
    <w:rsid w:val="00061CC8"/>
    <w:rsid w:val="00061CE0"/>
    <w:rsid w:val="00061D17"/>
    <w:rsid w:val="00061D61"/>
    <w:rsid w:val="00061E00"/>
    <w:rsid w:val="00061F31"/>
    <w:rsid w:val="00062028"/>
    <w:rsid w:val="000620B2"/>
    <w:rsid w:val="00062149"/>
    <w:rsid w:val="000621BC"/>
    <w:rsid w:val="0006223E"/>
    <w:rsid w:val="0006225B"/>
    <w:rsid w:val="0006227D"/>
    <w:rsid w:val="00062320"/>
    <w:rsid w:val="0006232F"/>
    <w:rsid w:val="0006237A"/>
    <w:rsid w:val="0006256B"/>
    <w:rsid w:val="00062596"/>
    <w:rsid w:val="0006269C"/>
    <w:rsid w:val="00062705"/>
    <w:rsid w:val="0006278D"/>
    <w:rsid w:val="0006284B"/>
    <w:rsid w:val="0006284E"/>
    <w:rsid w:val="00062861"/>
    <w:rsid w:val="0006291C"/>
    <w:rsid w:val="00062933"/>
    <w:rsid w:val="00062941"/>
    <w:rsid w:val="00062947"/>
    <w:rsid w:val="00062959"/>
    <w:rsid w:val="00062AF3"/>
    <w:rsid w:val="00062B50"/>
    <w:rsid w:val="00062BF6"/>
    <w:rsid w:val="00062C03"/>
    <w:rsid w:val="00062C35"/>
    <w:rsid w:val="00062C8A"/>
    <w:rsid w:val="00062CFF"/>
    <w:rsid w:val="00062DD6"/>
    <w:rsid w:val="00062DEF"/>
    <w:rsid w:val="00062E08"/>
    <w:rsid w:val="00062E8A"/>
    <w:rsid w:val="00062EB0"/>
    <w:rsid w:val="000630C9"/>
    <w:rsid w:val="000630D1"/>
    <w:rsid w:val="0006311C"/>
    <w:rsid w:val="000631C3"/>
    <w:rsid w:val="00063331"/>
    <w:rsid w:val="00063379"/>
    <w:rsid w:val="00063384"/>
    <w:rsid w:val="0006342E"/>
    <w:rsid w:val="000634BA"/>
    <w:rsid w:val="000635D9"/>
    <w:rsid w:val="0006374C"/>
    <w:rsid w:val="000639A3"/>
    <w:rsid w:val="000639D4"/>
    <w:rsid w:val="00063A11"/>
    <w:rsid w:val="00063A4A"/>
    <w:rsid w:val="00063A4B"/>
    <w:rsid w:val="00063B9D"/>
    <w:rsid w:val="00063D36"/>
    <w:rsid w:val="00063DD4"/>
    <w:rsid w:val="00063F13"/>
    <w:rsid w:val="00063F65"/>
    <w:rsid w:val="00063F8D"/>
    <w:rsid w:val="00064083"/>
    <w:rsid w:val="00064104"/>
    <w:rsid w:val="00064228"/>
    <w:rsid w:val="00064233"/>
    <w:rsid w:val="00064243"/>
    <w:rsid w:val="00064298"/>
    <w:rsid w:val="000642B2"/>
    <w:rsid w:val="000642D6"/>
    <w:rsid w:val="00064328"/>
    <w:rsid w:val="0006454A"/>
    <w:rsid w:val="000645B2"/>
    <w:rsid w:val="000646F8"/>
    <w:rsid w:val="00064992"/>
    <w:rsid w:val="00064A4D"/>
    <w:rsid w:val="00064A64"/>
    <w:rsid w:val="00064AEA"/>
    <w:rsid w:val="00064C07"/>
    <w:rsid w:val="00064DEA"/>
    <w:rsid w:val="00064F06"/>
    <w:rsid w:val="00064F27"/>
    <w:rsid w:val="00064FCC"/>
    <w:rsid w:val="00065046"/>
    <w:rsid w:val="000651D0"/>
    <w:rsid w:val="00065225"/>
    <w:rsid w:val="00065310"/>
    <w:rsid w:val="00065341"/>
    <w:rsid w:val="000653B7"/>
    <w:rsid w:val="00065498"/>
    <w:rsid w:val="000656F4"/>
    <w:rsid w:val="00065757"/>
    <w:rsid w:val="00065816"/>
    <w:rsid w:val="00065922"/>
    <w:rsid w:val="0006595C"/>
    <w:rsid w:val="000659AE"/>
    <w:rsid w:val="00065A67"/>
    <w:rsid w:val="00065AA3"/>
    <w:rsid w:val="00065ADB"/>
    <w:rsid w:val="00065AE8"/>
    <w:rsid w:val="00065AF0"/>
    <w:rsid w:val="00065B9A"/>
    <w:rsid w:val="00065C4D"/>
    <w:rsid w:val="00065CAB"/>
    <w:rsid w:val="00065D18"/>
    <w:rsid w:val="00065FEC"/>
    <w:rsid w:val="0006602F"/>
    <w:rsid w:val="00066052"/>
    <w:rsid w:val="000660DF"/>
    <w:rsid w:val="0006617C"/>
    <w:rsid w:val="0006630E"/>
    <w:rsid w:val="0006641A"/>
    <w:rsid w:val="00066446"/>
    <w:rsid w:val="0006647C"/>
    <w:rsid w:val="00066557"/>
    <w:rsid w:val="00066591"/>
    <w:rsid w:val="000667CE"/>
    <w:rsid w:val="0006697A"/>
    <w:rsid w:val="00066A0E"/>
    <w:rsid w:val="00066B6A"/>
    <w:rsid w:val="00066C70"/>
    <w:rsid w:val="00066CBC"/>
    <w:rsid w:val="00066D06"/>
    <w:rsid w:val="00066DA8"/>
    <w:rsid w:val="00066E19"/>
    <w:rsid w:val="00066E4B"/>
    <w:rsid w:val="00066EAC"/>
    <w:rsid w:val="00066EFD"/>
    <w:rsid w:val="00066F57"/>
    <w:rsid w:val="0006708E"/>
    <w:rsid w:val="000670AF"/>
    <w:rsid w:val="000670CB"/>
    <w:rsid w:val="000670ED"/>
    <w:rsid w:val="00067139"/>
    <w:rsid w:val="0006724C"/>
    <w:rsid w:val="000672B2"/>
    <w:rsid w:val="000673F5"/>
    <w:rsid w:val="00067495"/>
    <w:rsid w:val="0006751F"/>
    <w:rsid w:val="0006753C"/>
    <w:rsid w:val="00067568"/>
    <w:rsid w:val="00067579"/>
    <w:rsid w:val="000675D1"/>
    <w:rsid w:val="0006764C"/>
    <w:rsid w:val="00067681"/>
    <w:rsid w:val="0006771F"/>
    <w:rsid w:val="0006783C"/>
    <w:rsid w:val="000678BB"/>
    <w:rsid w:val="00067995"/>
    <w:rsid w:val="000679BC"/>
    <w:rsid w:val="00067A2A"/>
    <w:rsid w:val="00067A93"/>
    <w:rsid w:val="00067B71"/>
    <w:rsid w:val="00067C1A"/>
    <w:rsid w:val="00067C20"/>
    <w:rsid w:val="00067C3B"/>
    <w:rsid w:val="00067D18"/>
    <w:rsid w:val="00067D66"/>
    <w:rsid w:val="00067DEC"/>
    <w:rsid w:val="00067E7C"/>
    <w:rsid w:val="000703DF"/>
    <w:rsid w:val="000703F8"/>
    <w:rsid w:val="000704BF"/>
    <w:rsid w:val="0007061A"/>
    <w:rsid w:val="00070650"/>
    <w:rsid w:val="00070651"/>
    <w:rsid w:val="000706BA"/>
    <w:rsid w:val="00070772"/>
    <w:rsid w:val="000707DA"/>
    <w:rsid w:val="000708D3"/>
    <w:rsid w:val="00070B70"/>
    <w:rsid w:val="00070B9F"/>
    <w:rsid w:val="00070C09"/>
    <w:rsid w:val="00070C82"/>
    <w:rsid w:val="00070DB9"/>
    <w:rsid w:val="00070DD5"/>
    <w:rsid w:val="00070EC9"/>
    <w:rsid w:val="00070F08"/>
    <w:rsid w:val="00070F2F"/>
    <w:rsid w:val="00070FE7"/>
    <w:rsid w:val="00071002"/>
    <w:rsid w:val="0007108D"/>
    <w:rsid w:val="00071151"/>
    <w:rsid w:val="000711C2"/>
    <w:rsid w:val="00071234"/>
    <w:rsid w:val="00071306"/>
    <w:rsid w:val="00071326"/>
    <w:rsid w:val="000713F1"/>
    <w:rsid w:val="0007148B"/>
    <w:rsid w:val="00071500"/>
    <w:rsid w:val="000715CB"/>
    <w:rsid w:val="0007177A"/>
    <w:rsid w:val="000718A8"/>
    <w:rsid w:val="000718D1"/>
    <w:rsid w:val="00071954"/>
    <w:rsid w:val="00071961"/>
    <w:rsid w:val="000719DE"/>
    <w:rsid w:val="00071A28"/>
    <w:rsid w:val="00071AAC"/>
    <w:rsid w:val="00071AF4"/>
    <w:rsid w:val="00071B3B"/>
    <w:rsid w:val="00071D7D"/>
    <w:rsid w:val="00071D81"/>
    <w:rsid w:val="00071E19"/>
    <w:rsid w:val="00071E1B"/>
    <w:rsid w:val="00071EE0"/>
    <w:rsid w:val="00071F2D"/>
    <w:rsid w:val="00071F54"/>
    <w:rsid w:val="00071F9F"/>
    <w:rsid w:val="00071FDE"/>
    <w:rsid w:val="000721A9"/>
    <w:rsid w:val="000721E3"/>
    <w:rsid w:val="0007233A"/>
    <w:rsid w:val="0007236F"/>
    <w:rsid w:val="000723F0"/>
    <w:rsid w:val="00072499"/>
    <w:rsid w:val="0007258B"/>
    <w:rsid w:val="00072621"/>
    <w:rsid w:val="000726C3"/>
    <w:rsid w:val="000726DA"/>
    <w:rsid w:val="00072714"/>
    <w:rsid w:val="000727FA"/>
    <w:rsid w:val="000728DD"/>
    <w:rsid w:val="0007291E"/>
    <w:rsid w:val="00072ACD"/>
    <w:rsid w:val="00072BA1"/>
    <w:rsid w:val="00072C20"/>
    <w:rsid w:val="00072C4C"/>
    <w:rsid w:val="00072DFA"/>
    <w:rsid w:val="00072E37"/>
    <w:rsid w:val="00072EC6"/>
    <w:rsid w:val="00072EFE"/>
    <w:rsid w:val="00072F45"/>
    <w:rsid w:val="00072F56"/>
    <w:rsid w:val="00072F86"/>
    <w:rsid w:val="0007316F"/>
    <w:rsid w:val="000731F9"/>
    <w:rsid w:val="000732BC"/>
    <w:rsid w:val="00073348"/>
    <w:rsid w:val="0007335C"/>
    <w:rsid w:val="0007337F"/>
    <w:rsid w:val="00073429"/>
    <w:rsid w:val="000734F9"/>
    <w:rsid w:val="00073521"/>
    <w:rsid w:val="0007353C"/>
    <w:rsid w:val="0007358C"/>
    <w:rsid w:val="00073739"/>
    <w:rsid w:val="0007375C"/>
    <w:rsid w:val="00073762"/>
    <w:rsid w:val="0007378A"/>
    <w:rsid w:val="000737B7"/>
    <w:rsid w:val="000737E5"/>
    <w:rsid w:val="000738A4"/>
    <w:rsid w:val="0007392E"/>
    <w:rsid w:val="000739D7"/>
    <w:rsid w:val="00073AAD"/>
    <w:rsid w:val="00073ABA"/>
    <w:rsid w:val="00073B45"/>
    <w:rsid w:val="00073BB7"/>
    <w:rsid w:val="00073C58"/>
    <w:rsid w:val="00073DC4"/>
    <w:rsid w:val="00073DCB"/>
    <w:rsid w:val="00073DE0"/>
    <w:rsid w:val="00073E40"/>
    <w:rsid w:val="00073E60"/>
    <w:rsid w:val="0007415B"/>
    <w:rsid w:val="000741CC"/>
    <w:rsid w:val="0007422E"/>
    <w:rsid w:val="00074290"/>
    <w:rsid w:val="000742F2"/>
    <w:rsid w:val="00074324"/>
    <w:rsid w:val="0007442C"/>
    <w:rsid w:val="000744A4"/>
    <w:rsid w:val="000744B5"/>
    <w:rsid w:val="000745CE"/>
    <w:rsid w:val="00074629"/>
    <w:rsid w:val="0007477F"/>
    <w:rsid w:val="000747E6"/>
    <w:rsid w:val="00074828"/>
    <w:rsid w:val="00074880"/>
    <w:rsid w:val="000748B5"/>
    <w:rsid w:val="000748C1"/>
    <w:rsid w:val="000749A4"/>
    <w:rsid w:val="00074AB7"/>
    <w:rsid w:val="00074ABC"/>
    <w:rsid w:val="00074B24"/>
    <w:rsid w:val="00074B5A"/>
    <w:rsid w:val="00074BCE"/>
    <w:rsid w:val="00074C21"/>
    <w:rsid w:val="00074C89"/>
    <w:rsid w:val="00074D75"/>
    <w:rsid w:val="00074DED"/>
    <w:rsid w:val="00074FE4"/>
    <w:rsid w:val="00075025"/>
    <w:rsid w:val="000751CD"/>
    <w:rsid w:val="000751FA"/>
    <w:rsid w:val="00075286"/>
    <w:rsid w:val="00075463"/>
    <w:rsid w:val="000754CF"/>
    <w:rsid w:val="0007554B"/>
    <w:rsid w:val="00075578"/>
    <w:rsid w:val="00075586"/>
    <w:rsid w:val="00075604"/>
    <w:rsid w:val="00075659"/>
    <w:rsid w:val="00075707"/>
    <w:rsid w:val="00075762"/>
    <w:rsid w:val="0007594F"/>
    <w:rsid w:val="0007597C"/>
    <w:rsid w:val="00075A38"/>
    <w:rsid w:val="00075BA0"/>
    <w:rsid w:val="00075C41"/>
    <w:rsid w:val="00075C5E"/>
    <w:rsid w:val="00075C7F"/>
    <w:rsid w:val="00076089"/>
    <w:rsid w:val="000760B5"/>
    <w:rsid w:val="0007611E"/>
    <w:rsid w:val="0007614E"/>
    <w:rsid w:val="0007621A"/>
    <w:rsid w:val="0007628C"/>
    <w:rsid w:val="000762C1"/>
    <w:rsid w:val="000762C6"/>
    <w:rsid w:val="000762FF"/>
    <w:rsid w:val="0007637B"/>
    <w:rsid w:val="00076402"/>
    <w:rsid w:val="00076409"/>
    <w:rsid w:val="00076424"/>
    <w:rsid w:val="00076452"/>
    <w:rsid w:val="0007648C"/>
    <w:rsid w:val="000764CA"/>
    <w:rsid w:val="0007675A"/>
    <w:rsid w:val="000767B8"/>
    <w:rsid w:val="00076801"/>
    <w:rsid w:val="000768F3"/>
    <w:rsid w:val="00076939"/>
    <w:rsid w:val="0007695A"/>
    <w:rsid w:val="00076A53"/>
    <w:rsid w:val="00076A5D"/>
    <w:rsid w:val="00076B47"/>
    <w:rsid w:val="00076CB4"/>
    <w:rsid w:val="00076CBD"/>
    <w:rsid w:val="00076D08"/>
    <w:rsid w:val="00076D69"/>
    <w:rsid w:val="00076E56"/>
    <w:rsid w:val="00076F0C"/>
    <w:rsid w:val="00076F38"/>
    <w:rsid w:val="00076FA3"/>
    <w:rsid w:val="00076FBB"/>
    <w:rsid w:val="00076FC7"/>
    <w:rsid w:val="00077088"/>
    <w:rsid w:val="0007712F"/>
    <w:rsid w:val="00077216"/>
    <w:rsid w:val="00077302"/>
    <w:rsid w:val="00077355"/>
    <w:rsid w:val="0007749B"/>
    <w:rsid w:val="000774F5"/>
    <w:rsid w:val="00077507"/>
    <w:rsid w:val="00077523"/>
    <w:rsid w:val="00077565"/>
    <w:rsid w:val="00077578"/>
    <w:rsid w:val="000775DE"/>
    <w:rsid w:val="000775F2"/>
    <w:rsid w:val="000778C9"/>
    <w:rsid w:val="00077957"/>
    <w:rsid w:val="000779AC"/>
    <w:rsid w:val="00077A15"/>
    <w:rsid w:val="00077A24"/>
    <w:rsid w:val="00077A62"/>
    <w:rsid w:val="00077B02"/>
    <w:rsid w:val="00077B5F"/>
    <w:rsid w:val="00077D5F"/>
    <w:rsid w:val="00077D73"/>
    <w:rsid w:val="00077DAA"/>
    <w:rsid w:val="00077EBD"/>
    <w:rsid w:val="00077F28"/>
    <w:rsid w:val="00077F33"/>
    <w:rsid w:val="00077FC6"/>
    <w:rsid w:val="0008003E"/>
    <w:rsid w:val="00080054"/>
    <w:rsid w:val="0008020C"/>
    <w:rsid w:val="0008022B"/>
    <w:rsid w:val="000803A0"/>
    <w:rsid w:val="0008049F"/>
    <w:rsid w:val="000804E6"/>
    <w:rsid w:val="00080616"/>
    <w:rsid w:val="00080623"/>
    <w:rsid w:val="0008069B"/>
    <w:rsid w:val="000806AC"/>
    <w:rsid w:val="00080751"/>
    <w:rsid w:val="0008082E"/>
    <w:rsid w:val="00080B21"/>
    <w:rsid w:val="00080B36"/>
    <w:rsid w:val="00080C67"/>
    <w:rsid w:val="00080CF2"/>
    <w:rsid w:val="00080DA9"/>
    <w:rsid w:val="00080DB2"/>
    <w:rsid w:val="00080DEE"/>
    <w:rsid w:val="00080FCA"/>
    <w:rsid w:val="00081099"/>
    <w:rsid w:val="000810EC"/>
    <w:rsid w:val="000811B1"/>
    <w:rsid w:val="00081276"/>
    <w:rsid w:val="00081414"/>
    <w:rsid w:val="0008143E"/>
    <w:rsid w:val="00081486"/>
    <w:rsid w:val="00081578"/>
    <w:rsid w:val="000815B0"/>
    <w:rsid w:val="000815B1"/>
    <w:rsid w:val="00081638"/>
    <w:rsid w:val="000816A9"/>
    <w:rsid w:val="000816C6"/>
    <w:rsid w:val="0008175B"/>
    <w:rsid w:val="00081848"/>
    <w:rsid w:val="0008193C"/>
    <w:rsid w:val="00081956"/>
    <w:rsid w:val="00081980"/>
    <w:rsid w:val="00081ACB"/>
    <w:rsid w:val="00081B86"/>
    <w:rsid w:val="00081C8F"/>
    <w:rsid w:val="00081D1C"/>
    <w:rsid w:val="00081D99"/>
    <w:rsid w:val="00081DB4"/>
    <w:rsid w:val="00081F56"/>
    <w:rsid w:val="0008207D"/>
    <w:rsid w:val="00082117"/>
    <w:rsid w:val="00082212"/>
    <w:rsid w:val="0008229B"/>
    <w:rsid w:val="0008237E"/>
    <w:rsid w:val="000823B4"/>
    <w:rsid w:val="00082752"/>
    <w:rsid w:val="000827BD"/>
    <w:rsid w:val="000827C5"/>
    <w:rsid w:val="00082910"/>
    <w:rsid w:val="00082911"/>
    <w:rsid w:val="00082B34"/>
    <w:rsid w:val="00082B55"/>
    <w:rsid w:val="00082B6E"/>
    <w:rsid w:val="00082BAE"/>
    <w:rsid w:val="00082C38"/>
    <w:rsid w:val="00082C5D"/>
    <w:rsid w:val="00082EB0"/>
    <w:rsid w:val="00082EDB"/>
    <w:rsid w:val="00083099"/>
    <w:rsid w:val="000830C4"/>
    <w:rsid w:val="00083254"/>
    <w:rsid w:val="0008325B"/>
    <w:rsid w:val="0008362F"/>
    <w:rsid w:val="000836D8"/>
    <w:rsid w:val="000836FB"/>
    <w:rsid w:val="00083727"/>
    <w:rsid w:val="00083791"/>
    <w:rsid w:val="000837A1"/>
    <w:rsid w:val="00083809"/>
    <w:rsid w:val="0008384D"/>
    <w:rsid w:val="0008389F"/>
    <w:rsid w:val="000838DE"/>
    <w:rsid w:val="000838F7"/>
    <w:rsid w:val="00083949"/>
    <w:rsid w:val="000839CD"/>
    <w:rsid w:val="00083C5B"/>
    <w:rsid w:val="00083C9C"/>
    <w:rsid w:val="00083D78"/>
    <w:rsid w:val="00083DEB"/>
    <w:rsid w:val="00083F61"/>
    <w:rsid w:val="00083F7F"/>
    <w:rsid w:val="00084023"/>
    <w:rsid w:val="00084064"/>
    <w:rsid w:val="000840D1"/>
    <w:rsid w:val="00084140"/>
    <w:rsid w:val="00084214"/>
    <w:rsid w:val="00084226"/>
    <w:rsid w:val="00084290"/>
    <w:rsid w:val="00084382"/>
    <w:rsid w:val="0008450F"/>
    <w:rsid w:val="00084590"/>
    <w:rsid w:val="000845F7"/>
    <w:rsid w:val="00084605"/>
    <w:rsid w:val="000846C7"/>
    <w:rsid w:val="00084703"/>
    <w:rsid w:val="0008481E"/>
    <w:rsid w:val="00084821"/>
    <w:rsid w:val="00084848"/>
    <w:rsid w:val="00084894"/>
    <w:rsid w:val="000848B4"/>
    <w:rsid w:val="000848C5"/>
    <w:rsid w:val="00084962"/>
    <w:rsid w:val="000849F3"/>
    <w:rsid w:val="00084A9D"/>
    <w:rsid w:val="00084B86"/>
    <w:rsid w:val="00084C06"/>
    <w:rsid w:val="00084E06"/>
    <w:rsid w:val="00084E6F"/>
    <w:rsid w:val="00084ED0"/>
    <w:rsid w:val="00084F16"/>
    <w:rsid w:val="00084F59"/>
    <w:rsid w:val="000850EF"/>
    <w:rsid w:val="0008515C"/>
    <w:rsid w:val="00085223"/>
    <w:rsid w:val="00085262"/>
    <w:rsid w:val="00085290"/>
    <w:rsid w:val="000852E2"/>
    <w:rsid w:val="00085327"/>
    <w:rsid w:val="00085366"/>
    <w:rsid w:val="000856A2"/>
    <w:rsid w:val="000856E7"/>
    <w:rsid w:val="0008597D"/>
    <w:rsid w:val="00085A6D"/>
    <w:rsid w:val="00085AA8"/>
    <w:rsid w:val="00085AC1"/>
    <w:rsid w:val="00085B69"/>
    <w:rsid w:val="00085B81"/>
    <w:rsid w:val="00085C03"/>
    <w:rsid w:val="00085CED"/>
    <w:rsid w:val="00085D2D"/>
    <w:rsid w:val="00085EB5"/>
    <w:rsid w:val="00085FFC"/>
    <w:rsid w:val="000860DC"/>
    <w:rsid w:val="00086171"/>
    <w:rsid w:val="000861BA"/>
    <w:rsid w:val="000861DE"/>
    <w:rsid w:val="00086225"/>
    <w:rsid w:val="00086328"/>
    <w:rsid w:val="000867FD"/>
    <w:rsid w:val="00086849"/>
    <w:rsid w:val="000868CC"/>
    <w:rsid w:val="000869BF"/>
    <w:rsid w:val="000869C6"/>
    <w:rsid w:val="00086B03"/>
    <w:rsid w:val="00086B09"/>
    <w:rsid w:val="00086DAB"/>
    <w:rsid w:val="00086F66"/>
    <w:rsid w:val="00086FA3"/>
    <w:rsid w:val="00086FD3"/>
    <w:rsid w:val="0008701A"/>
    <w:rsid w:val="00087069"/>
    <w:rsid w:val="00087191"/>
    <w:rsid w:val="0008721A"/>
    <w:rsid w:val="00087244"/>
    <w:rsid w:val="00087388"/>
    <w:rsid w:val="0008739D"/>
    <w:rsid w:val="000873C0"/>
    <w:rsid w:val="000873FF"/>
    <w:rsid w:val="000874D8"/>
    <w:rsid w:val="00087537"/>
    <w:rsid w:val="000875E5"/>
    <w:rsid w:val="000875E7"/>
    <w:rsid w:val="00087696"/>
    <w:rsid w:val="00087792"/>
    <w:rsid w:val="0008783D"/>
    <w:rsid w:val="00087A49"/>
    <w:rsid w:val="00087A5F"/>
    <w:rsid w:val="00087A89"/>
    <w:rsid w:val="00087ABC"/>
    <w:rsid w:val="00087CA3"/>
    <w:rsid w:val="00087F81"/>
    <w:rsid w:val="00087FAF"/>
    <w:rsid w:val="00090008"/>
    <w:rsid w:val="00090098"/>
    <w:rsid w:val="000900D4"/>
    <w:rsid w:val="000901B7"/>
    <w:rsid w:val="000901FC"/>
    <w:rsid w:val="00090222"/>
    <w:rsid w:val="0009035E"/>
    <w:rsid w:val="00090384"/>
    <w:rsid w:val="000903BF"/>
    <w:rsid w:val="0009042A"/>
    <w:rsid w:val="000904A0"/>
    <w:rsid w:val="00090607"/>
    <w:rsid w:val="000909C8"/>
    <w:rsid w:val="00090A36"/>
    <w:rsid w:val="00090BBC"/>
    <w:rsid w:val="00090CA2"/>
    <w:rsid w:val="00090D0F"/>
    <w:rsid w:val="00090DF0"/>
    <w:rsid w:val="00090E1B"/>
    <w:rsid w:val="00090EA1"/>
    <w:rsid w:val="00090F31"/>
    <w:rsid w:val="00090F43"/>
    <w:rsid w:val="00090FB3"/>
    <w:rsid w:val="000910AF"/>
    <w:rsid w:val="000911C8"/>
    <w:rsid w:val="000911F5"/>
    <w:rsid w:val="00091289"/>
    <w:rsid w:val="000912EA"/>
    <w:rsid w:val="00091398"/>
    <w:rsid w:val="000913D1"/>
    <w:rsid w:val="0009149C"/>
    <w:rsid w:val="000914D5"/>
    <w:rsid w:val="00091521"/>
    <w:rsid w:val="00091526"/>
    <w:rsid w:val="00091592"/>
    <w:rsid w:val="0009163E"/>
    <w:rsid w:val="000916A8"/>
    <w:rsid w:val="000916B7"/>
    <w:rsid w:val="0009195E"/>
    <w:rsid w:val="0009196E"/>
    <w:rsid w:val="00091A7D"/>
    <w:rsid w:val="00091B62"/>
    <w:rsid w:val="00091C1C"/>
    <w:rsid w:val="00091C3D"/>
    <w:rsid w:val="00091D1C"/>
    <w:rsid w:val="00091DA7"/>
    <w:rsid w:val="00091E25"/>
    <w:rsid w:val="00091E99"/>
    <w:rsid w:val="00091EF2"/>
    <w:rsid w:val="00091FA1"/>
    <w:rsid w:val="00092057"/>
    <w:rsid w:val="00092124"/>
    <w:rsid w:val="00092166"/>
    <w:rsid w:val="000921CC"/>
    <w:rsid w:val="000921D9"/>
    <w:rsid w:val="00092292"/>
    <w:rsid w:val="000922D6"/>
    <w:rsid w:val="000922E2"/>
    <w:rsid w:val="000923BD"/>
    <w:rsid w:val="00092478"/>
    <w:rsid w:val="000924B1"/>
    <w:rsid w:val="0009251C"/>
    <w:rsid w:val="000925C9"/>
    <w:rsid w:val="000926C7"/>
    <w:rsid w:val="00092702"/>
    <w:rsid w:val="00092736"/>
    <w:rsid w:val="0009277A"/>
    <w:rsid w:val="00092780"/>
    <w:rsid w:val="00092891"/>
    <w:rsid w:val="00092937"/>
    <w:rsid w:val="000929EB"/>
    <w:rsid w:val="00092AB7"/>
    <w:rsid w:val="00092B8A"/>
    <w:rsid w:val="00092B9D"/>
    <w:rsid w:val="00092C04"/>
    <w:rsid w:val="00092DE1"/>
    <w:rsid w:val="00092E9D"/>
    <w:rsid w:val="00092F1F"/>
    <w:rsid w:val="00092FA7"/>
    <w:rsid w:val="00092FC1"/>
    <w:rsid w:val="00092FE9"/>
    <w:rsid w:val="0009303B"/>
    <w:rsid w:val="000930EB"/>
    <w:rsid w:val="000931C3"/>
    <w:rsid w:val="000931F6"/>
    <w:rsid w:val="0009338A"/>
    <w:rsid w:val="000933F9"/>
    <w:rsid w:val="000933FF"/>
    <w:rsid w:val="0009347C"/>
    <w:rsid w:val="000934AF"/>
    <w:rsid w:val="000934CC"/>
    <w:rsid w:val="000934FB"/>
    <w:rsid w:val="00093625"/>
    <w:rsid w:val="0009363A"/>
    <w:rsid w:val="00093699"/>
    <w:rsid w:val="00093723"/>
    <w:rsid w:val="0009375A"/>
    <w:rsid w:val="00093780"/>
    <w:rsid w:val="00093875"/>
    <w:rsid w:val="0009391E"/>
    <w:rsid w:val="000939FC"/>
    <w:rsid w:val="00093B17"/>
    <w:rsid w:val="00093BC6"/>
    <w:rsid w:val="00093BF7"/>
    <w:rsid w:val="00093C15"/>
    <w:rsid w:val="00093C47"/>
    <w:rsid w:val="00093CA2"/>
    <w:rsid w:val="00093D21"/>
    <w:rsid w:val="00093DC3"/>
    <w:rsid w:val="00093DCD"/>
    <w:rsid w:val="00093DDA"/>
    <w:rsid w:val="00093F27"/>
    <w:rsid w:val="00094045"/>
    <w:rsid w:val="00094046"/>
    <w:rsid w:val="000941FE"/>
    <w:rsid w:val="00094227"/>
    <w:rsid w:val="00094293"/>
    <w:rsid w:val="00094547"/>
    <w:rsid w:val="00094575"/>
    <w:rsid w:val="000945F0"/>
    <w:rsid w:val="000945FA"/>
    <w:rsid w:val="00094614"/>
    <w:rsid w:val="0009466C"/>
    <w:rsid w:val="00094699"/>
    <w:rsid w:val="00094964"/>
    <w:rsid w:val="000949EC"/>
    <w:rsid w:val="00094A13"/>
    <w:rsid w:val="00094A91"/>
    <w:rsid w:val="00094BA2"/>
    <w:rsid w:val="00094BE9"/>
    <w:rsid w:val="00094C04"/>
    <w:rsid w:val="00094C21"/>
    <w:rsid w:val="00094D12"/>
    <w:rsid w:val="00094D19"/>
    <w:rsid w:val="00094E06"/>
    <w:rsid w:val="00094EE2"/>
    <w:rsid w:val="0009504E"/>
    <w:rsid w:val="000951EB"/>
    <w:rsid w:val="000951F7"/>
    <w:rsid w:val="0009522F"/>
    <w:rsid w:val="00095282"/>
    <w:rsid w:val="0009536A"/>
    <w:rsid w:val="00095433"/>
    <w:rsid w:val="0009555E"/>
    <w:rsid w:val="00095652"/>
    <w:rsid w:val="00095731"/>
    <w:rsid w:val="00095756"/>
    <w:rsid w:val="0009587E"/>
    <w:rsid w:val="000958A5"/>
    <w:rsid w:val="0009592C"/>
    <w:rsid w:val="00095952"/>
    <w:rsid w:val="000959D8"/>
    <w:rsid w:val="000959E5"/>
    <w:rsid w:val="00095AD5"/>
    <w:rsid w:val="00095AE5"/>
    <w:rsid w:val="00095C3D"/>
    <w:rsid w:val="00095C8F"/>
    <w:rsid w:val="00095CDA"/>
    <w:rsid w:val="00095CF1"/>
    <w:rsid w:val="00095CF3"/>
    <w:rsid w:val="00095D88"/>
    <w:rsid w:val="00095D96"/>
    <w:rsid w:val="00095D97"/>
    <w:rsid w:val="00095FF7"/>
    <w:rsid w:val="00096068"/>
    <w:rsid w:val="00096103"/>
    <w:rsid w:val="000961E0"/>
    <w:rsid w:val="0009623B"/>
    <w:rsid w:val="0009627C"/>
    <w:rsid w:val="00096295"/>
    <w:rsid w:val="00096321"/>
    <w:rsid w:val="000963EC"/>
    <w:rsid w:val="000964CE"/>
    <w:rsid w:val="000965A2"/>
    <w:rsid w:val="0009668B"/>
    <w:rsid w:val="000966FC"/>
    <w:rsid w:val="00096709"/>
    <w:rsid w:val="000968CF"/>
    <w:rsid w:val="000968D2"/>
    <w:rsid w:val="000968D8"/>
    <w:rsid w:val="0009691B"/>
    <w:rsid w:val="00096980"/>
    <w:rsid w:val="000969CB"/>
    <w:rsid w:val="00096A08"/>
    <w:rsid w:val="00096A0E"/>
    <w:rsid w:val="00096A14"/>
    <w:rsid w:val="00096A45"/>
    <w:rsid w:val="00096AFE"/>
    <w:rsid w:val="00096B1A"/>
    <w:rsid w:val="00096C1E"/>
    <w:rsid w:val="00096DB3"/>
    <w:rsid w:val="00096E1F"/>
    <w:rsid w:val="00096EA1"/>
    <w:rsid w:val="0009702C"/>
    <w:rsid w:val="000970A0"/>
    <w:rsid w:val="00097140"/>
    <w:rsid w:val="00097337"/>
    <w:rsid w:val="0009739F"/>
    <w:rsid w:val="000973E2"/>
    <w:rsid w:val="00097415"/>
    <w:rsid w:val="00097670"/>
    <w:rsid w:val="00097753"/>
    <w:rsid w:val="000977B3"/>
    <w:rsid w:val="000977D4"/>
    <w:rsid w:val="000977DA"/>
    <w:rsid w:val="000978E2"/>
    <w:rsid w:val="0009792D"/>
    <w:rsid w:val="000979ED"/>
    <w:rsid w:val="00097A68"/>
    <w:rsid w:val="00097B68"/>
    <w:rsid w:val="00097B6A"/>
    <w:rsid w:val="00097CF2"/>
    <w:rsid w:val="00097D73"/>
    <w:rsid w:val="00097DAD"/>
    <w:rsid w:val="00097EC2"/>
    <w:rsid w:val="00097EF9"/>
    <w:rsid w:val="00097F13"/>
    <w:rsid w:val="00097F21"/>
    <w:rsid w:val="000A00E8"/>
    <w:rsid w:val="000A01BD"/>
    <w:rsid w:val="000A032D"/>
    <w:rsid w:val="000A036F"/>
    <w:rsid w:val="000A0385"/>
    <w:rsid w:val="000A062D"/>
    <w:rsid w:val="000A0661"/>
    <w:rsid w:val="000A068B"/>
    <w:rsid w:val="000A069A"/>
    <w:rsid w:val="000A06AA"/>
    <w:rsid w:val="000A06BD"/>
    <w:rsid w:val="000A075B"/>
    <w:rsid w:val="000A077A"/>
    <w:rsid w:val="000A088A"/>
    <w:rsid w:val="000A0908"/>
    <w:rsid w:val="000A0965"/>
    <w:rsid w:val="000A0A37"/>
    <w:rsid w:val="000A0A6D"/>
    <w:rsid w:val="000A0AFA"/>
    <w:rsid w:val="000A0EB0"/>
    <w:rsid w:val="000A0FD8"/>
    <w:rsid w:val="000A1035"/>
    <w:rsid w:val="000A107D"/>
    <w:rsid w:val="000A10CF"/>
    <w:rsid w:val="000A1181"/>
    <w:rsid w:val="000A1195"/>
    <w:rsid w:val="000A122A"/>
    <w:rsid w:val="000A12FC"/>
    <w:rsid w:val="000A1303"/>
    <w:rsid w:val="000A13C3"/>
    <w:rsid w:val="000A1424"/>
    <w:rsid w:val="000A143D"/>
    <w:rsid w:val="000A14A9"/>
    <w:rsid w:val="000A152D"/>
    <w:rsid w:val="000A156C"/>
    <w:rsid w:val="000A158A"/>
    <w:rsid w:val="000A15C4"/>
    <w:rsid w:val="000A15EE"/>
    <w:rsid w:val="000A164E"/>
    <w:rsid w:val="000A16ED"/>
    <w:rsid w:val="000A170D"/>
    <w:rsid w:val="000A1760"/>
    <w:rsid w:val="000A179A"/>
    <w:rsid w:val="000A1961"/>
    <w:rsid w:val="000A1985"/>
    <w:rsid w:val="000A19F5"/>
    <w:rsid w:val="000A19FE"/>
    <w:rsid w:val="000A1A1F"/>
    <w:rsid w:val="000A1A57"/>
    <w:rsid w:val="000A1A70"/>
    <w:rsid w:val="000A1AA7"/>
    <w:rsid w:val="000A1AE9"/>
    <w:rsid w:val="000A1B3F"/>
    <w:rsid w:val="000A1B77"/>
    <w:rsid w:val="000A1B86"/>
    <w:rsid w:val="000A1B87"/>
    <w:rsid w:val="000A1B97"/>
    <w:rsid w:val="000A1C08"/>
    <w:rsid w:val="000A1C09"/>
    <w:rsid w:val="000A1D88"/>
    <w:rsid w:val="000A1EC1"/>
    <w:rsid w:val="000A1F8C"/>
    <w:rsid w:val="000A1FDB"/>
    <w:rsid w:val="000A206F"/>
    <w:rsid w:val="000A215F"/>
    <w:rsid w:val="000A22CE"/>
    <w:rsid w:val="000A231E"/>
    <w:rsid w:val="000A236D"/>
    <w:rsid w:val="000A238D"/>
    <w:rsid w:val="000A2493"/>
    <w:rsid w:val="000A24AA"/>
    <w:rsid w:val="000A2604"/>
    <w:rsid w:val="000A26D5"/>
    <w:rsid w:val="000A26E7"/>
    <w:rsid w:val="000A26F8"/>
    <w:rsid w:val="000A2789"/>
    <w:rsid w:val="000A28C6"/>
    <w:rsid w:val="000A29EB"/>
    <w:rsid w:val="000A2A82"/>
    <w:rsid w:val="000A2ABE"/>
    <w:rsid w:val="000A2B12"/>
    <w:rsid w:val="000A2B5F"/>
    <w:rsid w:val="000A2B6E"/>
    <w:rsid w:val="000A2BF6"/>
    <w:rsid w:val="000A2C13"/>
    <w:rsid w:val="000A2C2B"/>
    <w:rsid w:val="000A2C3A"/>
    <w:rsid w:val="000A2C77"/>
    <w:rsid w:val="000A2C8F"/>
    <w:rsid w:val="000A2D4F"/>
    <w:rsid w:val="000A2E82"/>
    <w:rsid w:val="000A2F76"/>
    <w:rsid w:val="000A313C"/>
    <w:rsid w:val="000A317B"/>
    <w:rsid w:val="000A3245"/>
    <w:rsid w:val="000A3321"/>
    <w:rsid w:val="000A3323"/>
    <w:rsid w:val="000A3347"/>
    <w:rsid w:val="000A3348"/>
    <w:rsid w:val="000A3433"/>
    <w:rsid w:val="000A3439"/>
    <w:rsid w:val="000A3499"/>
    <w:rsid w:val="000A35A1"/>
    <w:rsid w:val="000A36D4"/>
    <w:rsid w:val="000A377C"/>
    <w:rsid w:val="000A3796"/>
    <w:rsid w:val="000A37CB"/>
    <w:rsid w:val="000A37D0"/>
    <w:rsid w:val="000A383A"/>
    <w:rsid w:val="000A3854"/>
    <w:rsid w:val="000A392C"/>
    <w:rsid w:val="000A3969"/>
    <w:rsid w:val="000A39BF"/>
    <w:rsid w:val="000A3A58"/>
    <w:rsid w:val="000A3C22"/>
    <w:rsid w:val="000A3D08"/>
    <w:rsid w:val="000A3D7E"/>
    <w:rsid w:val="000A3E52"/>
    <w:rsid w:val="000A3E76"/>
    <w:rsid w:val="000A3EF6"/>
    <w:rsid w:val="000A3F0F"/>
    <w:rsid w:val="000A3FA7"/>
    <w:rsid w:val="000A3FF2"/>
    <w:rsid w:val="000A401A"/>
    <w:rsid w:val="000A42A3"/>
    <w:rsid w:val="000A4347"/>
    <w:rsid w:val="000A434A"/>
    <w:rsid w:val="000A4420"/>
    <w:rsid w:val="000A455D"/>
    <w:rsid w:val="000A4591"/>
    <w:rsid w:val="000A45FA"/>
    <w:rsid w:val="000A4649"/>
    <w:rsid w:val="000A4662"/>
    <w:rsid w:val="000A4698"/>
    <w:rsid w:val="000A46D3"/>
    <w:rsid w:val="000A46EC"/>
    <w:rsid w:val="000A47EA"/>
    <w:rsid w:val="000A4AAE"/>
    <w:rsid w:val="000A4B0E"/>
    <w:rsid w:val="000A4B41"/>
    <w:rsid w:val="000A4B92"/>
    <w:rsid w:val="000A4C54"/>
    <w:rsid w:val="000A4C83"/>
    <w:rsid w:val="000A4CA9"/>
    <w:rsid w:val="000A4CB1"/>
    <w:rsid w:val="000A4D0C"/>
    <w:rsid w:val="000A4D25"/>
    <w:rsid w:val="000A4D2A"/>
    <w:rsid w:val="000A4E97"/>
    <w:rsid w:val="000A5027"/>
    <w:rsid w:val="000A5031"/>
    <w:rsid w:val="000A513C"/>
    <w:rsid w:val="000A5145"/>
    <w:rsid w:val="000A5157"/>
    <w:rsid w:val="000A52A1"/>
    <w:rsid w:val="000A530A"/>
    <w:rsid w:val="000A53B8"/>
    <w:rsid w:val="000A5485"/>
    <w:rsid w:val="000A54AA"/>
    <w:rsid w:val="000A54FF"/>
    <w:rsid w:val="000A5533"/>
    <w:rsid w:val="000A5616"/>
    <w:rsid w:val="000A5656"/>
    <w:rsid w:val="000A573A"/>
    <w:rsid w:val="000A575B"/>
    <w:rsid w:val="000A57AB"/>
    <w:rsid w:val="000A581C"/>
    <w:rsid w:val="000A58B7"/>
    <w:rsid w:val="000A5A34"/>
    <w:rsid w:val="000A5A63"/>
    <w:rsid w:val="000A5B80"/>
    <w:rsid w:val="000A5E2A"/>
    <w:rsid w:val="000A5E89"/>
    <w:rsid w:val="000A6007"/>
    <w:rsid w:val="000A6121"/>
    <w:rsid w:val="000A618A"/>
    <w:rsid w:val="000A6208"/>
    <w:rsid w:val="000A6228"/>
    <w:rsid w:val="000A6293"/>
    <w:rsid w:val="000A62B9"/>
    <w:rsid w:val="000A63FC"/>
    <w:rsid w:val="000A641E"/>
    <w:rsid w:val="000A6449"/>
    <w:rsid w:val="000A64B7"/>
    <w:rsid w:val="000A64C7"/>
    <w:rsid w:val="000A65BE"/>
    <w:rsid w:val="000A66D9"/>
    <w:rsid w:val="000A66F1"/>
    <w:rsid w:val="000A672E"/>
    <w:rsid w:val="000A69CF"/>
    <w:rsid w:val="000A6B8C"/>
    <w:rsid w:val="000A6BC6"/>
    <w:rsid w:val="000A6C85"/>
    <w:rsid w:val="000A6D16"/>
    <w:rsid w:val="000A6D2C"/>
    <w:rsid w:val="000A6D37"/>
    <w:rsid w:val="000A6DAF"/>
    <w:rsid w:val="000A6F4E"/>
    <w:rsid w:val="000A6F9D"/>
    <w:rsid w:val="000A7068"/>
    <w:rsid w:val="000A707E"/>
    <w:rsid w:val="000A70E6"/>
    <w:rsid w:val="000A70EB"/>
    <w:rsid w:val="000A7104"/>
    <w:rsid w:val="000A7164"/>
    <w:rsid w:val="000A7200"/>
    <w:rsid w:val="000A7238"/>
    <w:rsid w:val="000A7489"/>
    <w:rsid w:val="000A75FF"/>
    <w:rsid w:val="000A76C7"/>
    <w:rsid w:val="000A79C1"/>
    <w:rsid w:val="000A7A6C"/>
    <w:rsid w:val="000A7CF9"/>
    <w:rsid w:val="000A7D09"/>
    <w:rsid w:val="000A7DCF"/>
    <w:rsid w:val="000A7E22"/>
    <w:rsid w:val="000A7EC3"/>
    <w:rsid w:val="000A7EC4"/>
    <w:rsid w:val="000A7FED"/>
    <w:rsid w:val="000B00F1"/>
    <w:rsid w:val="000B014A"/>
    <w:rsid w:val="000B02DC"/>
    <w:rsid w:val="000B03CD"/>
    <w:rsid w:val="000B03E4"/>
    <w:rsid w:val="000B0452"/>
    <w:rsid w:val="000B04A8"/>
    <w:rsid w:val="000B0564"/>
    <w:rsid w:val="000B058B"/>
    <w:rsid w:val="000B05ED"/>
    <w:rsid w:val="000B078D"/>
    <w:rsid w:val="000B0834"/>
    <w:rsid w:val="000B093F"/>
    <w:rsid w:val="000B0A47"/>
    <w:rsid w:val="000B0AA8"/>
    <w:rsid w:val="000B0EEF"/>
    <w:rsid w:val="000B0EF6"/>
    <w:rsid w:val="000B0FC0"/>
    <w:rsid w:val="000B0FCA"/>
    <w:rsid w:val="000B0FDF"/>
    <w:rsid w:val="000B1097"/>
    <w:rsid w:val="000B1216"/>
    <w:rsid w:val="000B125F"/>
    <w:rsid w:val="000B12AC"/>
    <w:rsid w:val="000B12BB"/>
    <w:rsid w:val="000B1339"/>
    <w:rsid w:val="000B14D0"/>
    <w:rsid w:val="000B152D"/>
    <w:rsid w:val="000B15C0"/>
    <w:rsid w:val="000B15CD"/>
    <w:rsid w:val="000B15EF"/>
    <w:rsid w:val="000B1762"/>
    <w:rsid w:val="000B1768"/>
    <w:rsid w:val="000B17D8"/>
    <w:rsid w:val="000B17F9"/>
    <w:rsid w:val="000B194A"/>
    <w:rsid w:val="000B19B5"/>
    <w:rsid w:val="000B1A54"/>
    <w:rsid w:val="000B1A9E"/>
    <w:rsid w:val="000B1AAC"/>
    <w:rsid w:val="000B1B11"/>
    <w:rsid w:val="000B1C37"/>
    <w:rsid w:val="000B1C8C"/>
    <w:rsid w:val="000B1CA6"/>
    <w:rsid w:val="000B1D2A"/>
    <w:rsid w:val="000B1D39"/>
    <w:rsid w:val="000B1DB9"/>
    <w:rsid w:val="000B1DD2"/>
    <w:rsid w:val="000B1FB9"/>
    <w:rsid w:val="000B1FEF"/>
    <w:rsid w:val="000B20B1"/>
    <w:rsid w:val="000B20F2"/>
    <w:rsid w:val="000B2340"/>
    <w:rsid w:val="000B24F0"/>
    <w:rsid w:val="000B257C"/>
    <w:rsid w:val="000B2589"/>
    <w:rsid w:val="000B2619"/>
    <w:rsid w:val="000B2667"/>
    <w:rsid w:val="000B26B9"/>
    <w:rsid w:val="000B2746"/>
    <w:rsid w:val="000B2752"/>
    <w:rsid w:val="000B284A"/>
    <w:rsid w:val="000B2A66"/>
    <w:rsid w:val="000B2B2E"/>
    <w:rsid w:val="000B2BB8"/>
    <w:rsid w:val="000B2C71"/>
    <w:rsid w:val="000B2E2B"/>
    <w:rsid w:val="000B2E3F"/>
    <w:rsid w:val="000B2F59"/>
    <w:rsid w:val="000B302A"/>
    <w:rsid w:val="000B30BF"/>
    <w:rsid w:val="000B3190"/>
    <w:rsid w:val="000B31A3"/>
    <w:rsid w:val="000B32DA"/>
    <w:rsid w:val="000B3372"/>
    <w:rsid w:val="000B3426"/>
    <w:rsid w:val="000B351A"/>
    <w:rsid w:val="000B361D"/>
    <w:rsid w:val="000B3620"/>
    <w:rsid w:val="000B3677"/>
    <w:rsid w:val="000B3748"/>
    <w:rsid w:val="000B378D"/>
    <w:rsid w:val="000B37F0"/>
    <w:rsid w:val="000B38B2"/>
    <w:rsid w:val="000B38C6"/>
    <w:rsid w:val="000B3A0E"/>
    <w:rsid w:val="000B3A5C"/>
    <w:rsid w:val="000B3D89"/>
    <w:rsid w:val="000B3E07"/>
    <w:rsid w:val="000B3EAE"/>
    <w:rsid w:val="000B3F7C"/>
    <w:rsid w:val="000B3FE8"/>
    <w:rsid w:val="000B3FEC"/>
    <w:rsid w:val="000B4015"/>
    <w:rsid w:val="000B4077"/>
    <w:rsid w:val="000B40B8"/>
    <w:rsid w:val="000B40D1"/>
    <w:rsid w:val="000B40DE"/>
    <w:rsid w:val="000B4277"/>
    <w:rsid w:val="000B42C9"/>
    <w:rsid w:val="000B4528"/>
    <w:rsid w:val="000B453F"/>
    <w:rsid w:val="000B45C1"/>
    <w:rsid w:val="000B4773"/>
    <w:rsid w:val="000B47EA"/>
    <w:rsid w:val="000B481E"/>
    <w:rsid w:val="000B484A"/>
    <w:rsid w:val="000B48D5"/>
    <w:rsid w:val="000B48FB"/>
    <w:rsid w:val="000B4939"/>
    <w:rsid w:val="000B4CBA"/>
    <w:rsid w:val="000B4D56"/>
    <w:rsid w:val="000B4F75"/>
    <w:rsid w:val="000B507C"/>
    <w:rsid w:val="000B511D"/>
    <w:rsid w:val="000B5152"/>
    <w:rsid w:val="000B532A"/>
    <w:rsid w:val="000B539E"/>
    <w:rsid w:val="000B53A8"/>
    <w:rsid w:val="000B5494"/>
    <w:rsid w:val="000B54F5"/>
    <w:rsid w:val="000B5562"/>
    <w:rsid w:val="000B55D4"/>
    <w:rsid w:val="000B55D9"/>
    <w:rsid w:val="000B5641"/>
    <w:rsid w:val="000B56E5"/>
    <w:rsid w:val="000B5712"/>
    <w:rsid w:val="000B579D"/>
    <w:rsid w:val="000B5817"/>
    <w:rsid w:val="000B5848"/>
    <w:rsid w:val="000B59AC"/>
    <w:rsid w:val="000B59F2"/>
    <w:rsid w:val="000B5B23"/>
    <w:rsid w:val="000B5BC9"/>
    <w:rsid w:val="000B5C08"/>
    <w:rsid w:val="000B5C72"/>
    <w:rsid w:val="000B5CB2"/>
    <w:rsid w:val="000B5D07"/>
    <w:rsid w:val="000B5D57"/>
    <w:rsid w:val="000B5E00"/>
    <w:rsid w:val="000B5E52"/>
    <w:rsid w:val="000B5F03"/>
    <w:rsid w:val="000B6004"/>
    <w:rsid w:val="000B6171"/>
    <w:rsid w:val="000B619B"/>
    <w:rsid w:val="000B61A1"/>
    <w:rsid w:val="000B61AC"/>
    <w:rsid w:val="000B6249"/>
    <w:rsid w:val="000B6250"/>
    <w:rsid w:val="000B626E"/>
    <w:rsid w:val="000B6275"/>
    <w:rsid w:val="000B63F7"/>
    <w:rsid w:val="000B64AB"/>
    <w:rsid w:val="000B65EB"/>
    <w:rsid w:val="000B6675"/>
    <w:rsid w:val="000B66F8"/>
    <w:rsid w:val="000B67B7"/>
    <w:rsid w:val="000B67F0"/>
    <w:rsid w:val="000B689E"/>
    <w:rsid w:val="000B68B9"/>
    <w:rsid w:val="000B6926"/>
    <w:rsid w:val="000B693E"/>
    <w:rsid w:val="000B6967"/>
    <w:rsid w:val="000B69DF"/>
    <w:rsid w:val="000B6A5E"/>
    <w:rsid w:val="000B6A64"/>
    <w:rsid w:val="000B6B14"/>
    <w:rsid w:val="000B6B72"/>
    <w:rsid w:val="000B6BE0"/>
    <w:rsid w:val="000B6D24"/>
    <w:rsid w:val="000B6DB9"/>
    <w:rsid w:val="000B6DBC"/>
    <w:rsid w:val="000B6E2A"/>
    <w:rsid w:val="000B7063"/>
    <w:rsid w:val="000B70CE"/>
    <w:rsid w:val="000B7285"/>
    <w:rsid w:val="000B758C"/>
    <w:rsid w:val="000B758D"/>
    <w:rsid w:val="000B7654"/>
    <w:rsid w:val="000B7773"/>
    <w:rsid w:val="000B78D3"/>
    <w:rsid w:val="000B7A02"/>
    <w:rsid w:val="000B7A69"/>
    <w:rsid w:val="000B7B93"/>
    <w:rsid w:val="000B7C93"/>
    <w:rsid w:val="000B7CC3"/>
    <w:rsid w:val="000B7CE4"/>
    <w:rsid w:val="000B7E0C"/>
    <w:rsid w:val="000B7E5D"/>
    <w:rsid w:val="000B7EAE"/>
    <w:rsid w:val="000B7F37"/>
    <w:rsid w:val="000C001B"/>
    <w:rsid w:val="000C007C"/>
    <w:rsid w:val="000C00F8"/>
    <w:rsid w:val="000C01B5"/>
    <w:rsid w:val="000C024D"/>
    <w:rsid w:val="000C0270"/>
    <w:rsid w:val="000C0330"/>
    <w:rsid w:val="000C036E"/>
    <w:rsid w:val="000C03BC"/>
    <w:rsid w:val="000C03EE"/>
    <w:rsid w:val="000C04A9"/>
    <w:rsid w:val="000C04BB"/>
    <w:rsid w:val="000C05A8"/>
    <w:rsid w:val="000C063C"/>
    <w:rsid w:val="000C06A0"/>
    <w:rsid w:val="000C06D5"/>
    <w:rsid w:val="000C06EE"/>
    <w:rsid w:val="000C06F2"/>
    <w:rsid w:val="000C07B3"/>
    <w:rsid w:val="000C090B"/>
    <w:rsid w:val="000C0B49"/>
    <w:rsid w:val="000C0B8C"/>
    <w:rsid w:val="000C0B99"/>
    <w:rsid w:val="000C0CC3"/>
    <w:rsid w:val="000C0DEB"/>
    <w:rsid w:val="000C0E1D"/>
    <w:rsid w:val="000C0F81"/>
    <w:rsid w:val="000C0FBA"/>
    <w:rsid w:val="000C1015"/>
    <w:rsid w:val="000C10D7"/>
    <w:rsid w:val="000C113F"/>
    <w:rsid w:val="000C12E3"/>
    <w:rsid w:val="000C1326"/>
    <w:rsid w:val="000C1343"/>
    <w:rsid w:val="000C135B"/>
    <w:rsid w:val="000C13AE"/>
    <w:rsid w:val="000C140D"/>
    <w:rsid w:val="000C141D"/>
    <w:rsid w:val="000C15D8"/>
    <w:rsid w:val="000C16C2"/>
    <w:rsid w:val="000C18C6"/>
    <w:rsid w:val="000C190B"/>
    <w:rsid w:val="000C1A4F"/>
    <w:rsid w:val="000C1AB4"/>
    <w:rsid w:val="000C1AFD"/>
    <w:rsid w:val="000C1B86"/>
    <w:rsid w:val="000C1C36"/>
    <w:rsid w:val="000C1C97"/>
    <w:rsid w:val="000C1CAE"/>
    <w:rsid w:val="000C1CE9"/>
    <w:rsid w:val="000C1CF6"/>
    <w:rsid w:val="000C1DEE"/>
    <w:rsid w:val="000C1F2A"/>
    <w:rsid w:val="000C1FA8"/>
    <w:rsid w:val="000C2095"/>
    <w:rsid w:val="000C20DB"/>
    <w:rsid w:val="000C2154"/>
    <w:rsid w:val="000C2190"/>
    <w:rsid w:val="000C21FB"/>
    <w:rsid w:val="000C22DA"/>
    <w:rsid w:val="000C22F4"/>
    <w:rsid w:val="000C23C7"/>
    <w:rsid w:val="000C23E0"/>
    <w:rsid w:val="000C2539"/>
    <w:rsid w:val="000C25EF"/>
    <w:rsid w:val="000C26BB"/>
    <w:rsid w:val="000C26D5"/>
    <w:rsid w:val="000C276F"/>
    <w:rsid w:val="000C2789"/>
    <w:rsid w:val="000C27C0"/>
    <w:rsid w:val="000C28B7"/>
    <w:rsid w:val="000C2B3C"/>
    <w:rsid w:val="000C2CEB"/>
    <w:rsid w:val="000C2CFB"/>
    <w:rsid w:val="000C2D61"/>
    <w:rsid w:val="000C2D88"/>
    <w:rsid w:val="000C2E72"/>
    <w:rsid w:val="000C2F50"/>
    <w:rsid w:val="000C2F69"/>
    <w:rsid w:val="000C2FA5"/>
    <w:rsid w:val="000C302D"/>
    <w:rsid w:val="000C3056"/>
    <w:rsid w:val="000C3098"/>
    <w:rsid w:val="000C3144"/>
    <w:rsid w:val="000C3150"/>
    <w:rsid w:val="000C324A"/>
    <w:rsid w:val="000C3293"/>
    <w:rsid w:val="000C347A"/>
    <w:rsid w:val="000C34F5"/>
    <w:rsid w:val="000C3677"/>
    <w:rsid w:val="000C3685"/>
    <w:rsid w:val="000C37BE"/>
    <w:rsid w:val="000C38BC"/>
    <w:rsid w:val="000C3966"/>
    <w:rsid w:val="000C39F8"/>
    <w:rsid w:val="000C3AB1"/>
    <w:rsid w:val="000C3B83"/>
    <w:rsid w:val="000C3BAB"/>
    <w:rsid w:val="000C3BAF"/>
    <w:rsid w:val="000C3C0B"/>
    <w:rsid w:val="000C3C54"/>
    <w:rsid w:val="000C3C64"/>
    <w:rsid w:val="000C3F50"/>
    <w:rsid w:val="000C3F54"/>
    <w:rsid w:val="000C3F91"/>
    <w:rsid w:val="000C3FBC"/>
    <w:rsid w:val="000C4073"/>
    <w:rsid w:val="000C411D"/>
    <w:rsid w:val="000C4177"/>
    <w:rsid w:val="000C418E"/>
    <w:rsid w:val="000C4222"/>
    <w:rsid w:val="000C4227"/>
    <w:rsid w:val="000C42F2"/>
    <w:rsid w:val="000C43E3"/>
    <w:rsid w:val="000C44D8"/>
    <w:rsid w:val="000C458C"/>
    <w:rsid w:val="000C45D3"/>
    <w:rsid w:val="000C45E1"/>
    <w:rsid w:val="000C475F"/>
    <w:rsid w:val="000C4868"/>
    <w:rsid w:val="000C48A9"/>
    <w:rsid w:val="000C4906"/>
    <w:rsid w:val="000C4958"/>
    <w:rsid w:val="000C4A78"/>
    <w:rsid w:val="000C4A96"/>
    <w:rsid w:val="000C4B67"/>
    <w:rsid w:val="000C4B68"/>
    <w:rsid w:val="000C4B95"/>
    <w:rsid w:val="000C4BE1"/>
    <w:rsid w:val="000C4BE3"/>
    <w:rsid w:val="000C4D8E"/>
    <w:rsid w:val="000C4EE7"/>
    <w:rsid w:val="000C509F"/>
    <w:rsid w:val="000C50CB"/>
    <w:rsid w:val="000C51C2"/>
    <w:rsid w:val="000C5245"/>
    <w:rsid w:val="000C537F"/>
    <w:rsid w:val="000C538E"/>
    <w:rsid w:val="000C5464"/>
    <w:rsid w:val="000C5472"/>
    <w:rsid w:val="000C54A5"/>
    <w:rsid w:val="000C554A"/>
    <w:rsid w:val="000C5588"/>
    <w:rsid w:val="000C55D1"/>
    <w:rsid w:val="000C561F"/>
    <w:rsid w:val="000C5656"/>
    <w:rsid w:val="000C571D"/>
    <w:rsid w:val="000C57F1"/>
    <w:rsid w:val="000C5A51"/>
    <w:rsid w:val="000C5A63"/>
    <w:rsid w:val="000C5A8B"/>
    <w:rsid w:val="000C5BD8"/>
    <w:rsid w:val="000C5D30"/>
    <w:rsid w:val="000C5D38"/>
    <w:rsid w:val="000C5DBC"/>
    <w:rsid w:val="000C5E94"/>
    <w:rsid w:val="000C5EDC"/>
    <w:rsid w:val="000C5F23"/>
    <w:rsid w:val="000C5F40"/>
    <w:rsid w:val="000C60A5"/>
    <w:rsid w:val="000C60AF"/>
    <w:rsid w:val="000C6217"/>
    <w:rsid w:val="000C6237"/>
    <w:rsid w:val="000C6311"/>
    <w:rsid w:val="000C65B9"/>
    <w:rsid w:val="000C65EB"/>
    <w:rsid w:val="000C66F8"/>
    <w:rsid w:val="000C687C"/>
    <w:rsid w:val="000C6918"/>
    <w:rsid w:val="000C693D"/>
    <w:rsid w:val="000C69CD"/>
    <w:rsid w:val="000C6A15"/>
    <w:rsid w:val="000C6A70"/>
    <w:rsid w:val="000C6B43"/>
    <w:rsid w:val="000C6B9C"/>
    <w:rsid w:val="000C6BAB"/>
    <w:rsid w:val="000C6C73"/>
    <w:rsid w:val="000C6C7D"/>
    <w:rsid w:val="000C6CE3"/>
    <w:rsid w:val="000C6D05"/>
    <w:rsid w:val="000C6E50"/>
    <w:rsid w:val="000C7073"/>
    <w:rsid w:val="000C70A8"/>
    <w:rsid w:val="000C71B7"/>
    <w:rsid w:val="000C7205"/>
    <w:rsid w:val="000C7288"/>
    <w:rsid w:val="000C72D7"/>
    <w:rsid w:val="000C739C"/>
    <w:rsid w:val="000C73A6"/>
    <w:rsid w:val="000C73FB"/>
    <w:rsid w:val="000C7580"/>
    <w:rsid w:val="000C75DA"/>
    <w:rsid w:val="000C7657"/>
    <w:rsid w:val="000C7755"/>
    <w:rsid w:val="000C77BC"/>
    <w:rsid w:val="000C7808"/>
    <w:rsid w:val="000C7979"/>
    <w:rsid w:val="000C7A55"/>
    <w:rsid w:val="000C7A76"/>
    <w:rsid w:val="000C7B12"/>
    <w:rsid w:val="000C7B71"/>
    <w:rsid w:val="000C7BC1"/>
    <w:rsid w:val="000C7C79"/>
    <w:rsid w:val="000C7C8A"/>
    <w:rsid w:val="000C7CDF"/>
    <w:rsid w:val="000C7CE5"/>
    <w:rsid w:val="000C7CED"/>
    <w:rsid w:val="000C7D76"/>
    <w:rsid w:val="000C7D9D"/>
    <w:rsid w:val="000C7F30"/>
    <w:rsid w:val="000C7F4B"/>
    <w:rsid w:val="000D0075"/>
    <w:rsid w:val="000D00A1"/>
    <w:rsid w:val="000D00FD"/>
    <w:rsid w:val="000D0150"/>
    <w:rsid w:val="000D01A0"/>
    <w:rsid w:val="000D01B7"/>
    <w:rsid w:val="000D044D"/>
    <w:rsid w:val="000D05E1"/>
    <w:rsid w:val="000D065B"/>
    <w:rsid w:val="000D06A0"/>
    <w:rsid w:val="000D06B1"/>
    <w:rsid w:val="000D0825"/>
    <w:rsid w:val="000D08A5"/>
    <w:rsid w:val="000D091B"/>
    <w:rsid w:val="000D0A52"/>
    <w:rsid w:val="000D0B08"/>
    <w:rsid w:val="000D0B09"/>
    <w:rsid w:val="000D0B3A"/>
    <w:rsid w:val="000D0C01"/>
    <w:rsid w:val="000D0D77"/>
    <w:rsid w:val="000D0E36"/>
    <w:rsid w:val="000D0EF6"/>
    <w:rsid w:val="000D0F1D"/>
    <w:rsid w:val="000D1156"/>
    <w:rsid w:val="000D1185"/>
    <w:rsid w:val="000D11BB"/>
    <w:rsid w:val="000D12C2"/>
    <w:rsid w:val="000D135F"/>
    <w:rsid w:val="000D13CD"/>
    <w:rsid w:val="000D147C"/>
    <w:rsid w:val="000D14F8"/>
    <w:rsid w:val="000D1507"/>
    <w:rsid w:val="000D1566"/>
    <w:rsid w:val="000D15CA"/>
    <w:rsid w:val="000D15F3"/>
    <w:rsid w:val="000D163E"/>
    <w:rsid w:val="000D1667"/>
    <w:rsid w:val="000D16DF"/>
    <w:rsid w:val="000D17BE"/>
    <w:rsid w:val="000D1815"/>
    <w:rsid w:val="000D185C"/>
    <w:rsid w:val="000D18BE"/>
    <w:rsid w:val="000D1A8F"/>
    <w:rsid w:val="000D1AC1"/>
    <w:rsid w:val="000D1B54"/>
    <w:rsid w:val="000D1BD4"/>
    <w:rsid w:val="000D1BF6"/>
    <w:rsid w:val="000D1D5E"/>
    <w:rsid w:val="000D1E6D"/>
    <w:rsid w:val="000D1ECA"/>
    <w:rsid w:val="000D20DF"/>
    <w:rsid w:val="000D2178"/>
    <w:rsid w:val="000D22B4"/>
    <w:rsid w:val="000D2472"/>
    <w:rsid w:val="000D256A"/>
    <w:rsid w:val="000D2609"/>
    <w:rsid w:val="000D2656"/>
    <w:rsid w:val="000D268A"/>
    <w:rsid w:val="000D2703"/>
    <w:rsid w:val="000D27F3"/>
    <w:rsid w:val="000D280B"/>
    <w:rsid w:val="000D281D"/>
    <w:rsid w:val="000D2833"/>
    <w:rsid w:val="000D28A7"/>
    <w:rsid w:val="000D28F3"/>
    <w:rsid w:val="000D2943"/>
    <w:rsid w:val="000D2996"/>
    <w:rsid w:val="000D2A48"/>
    <w:rsid w:val="000D2BBC"/>
    <w:rsid w:val="000D2BD1"/>
    <w:rsid w:val="000D2CF4"/>
    <w:rsid w:val="000D2D5E"/>
    <w:rsid w:val="000D2DE3"/>
    <w:rsid w:val="000D2DF0"/>
    <w:rsid w:val="000D2F27"/>
    <w:rsid w:val="000D2F9F"/>
    <w:rsid w:val="000D300D"/>
    <w:rsid w:val="000D30FF"/>
    <w:rsid w:val="000D3297"/>
    <w:rsid w:val="000D32C2"/>
    <w:rsid w:val="000D33F6"/>
    <w:rsid w:val="000D3456"/>
    <w:rsid w:val="000D34CE"/>
    <w:rsid w:val="000D3581"/>
    <w:rsid w:val="000D3618"/>
    <w:rsid w:val="000D367A"/>
    <w:rsid w:val="000D36AF"/>
    <w:rsid w:val="000D36D4"/>
    <w:rsid w:val="000D3758"/>
    <w:rsid w:val="000D37BF"/>
    <w:rsid w:val="000D3892"/>
    <w:rsid w:val="000D38BE"/>
    <w:rsid w:val="000D38ED"/>
    <w:rsid w:val="000D3CED"/>
    <w:rsid w:val="000D3CF7"/>
    <w:rsid w:val="000D3DAB"/>
    <w:rsid w:val="000D3E57"/>
    <w:rsid w:val="000D3E6C"/>
    <w:rsid w:val="000D3E7C"/>
    <w:rsid w:val="000D3E92"/>
    <w:rsid w:val="000D3EA9"/>
    <w:rsid w:val="000D3EE0"/>
    <w:rsid w:val="000D3FAB"/>
    <w:rsid w:val="000D40C4"/>
    <w:rsid w:val="000D40E6"/>
    <w:rsid w:val="000D422E"/>
    <w:rsid w:val="000D4246"/>
    <w:rsid w:val="000D42BC"/>
    <w:rsid w:val="000D4305"/>
    <w:rsid w:val="000D4308"/>
    <w:rsid w:val="000D4411"/>
    <w:rsid w:val="000D443B"/>
    <w:rsid w:val="000D4454"/>
    <w:rsid w:val="000D4488"/>
    <w:rsid w:val="000D44D5"/>
    <w:rsid w:val="000D44DE"/>
    <w:rsid w:val="000D4591"/>
    <w:rsid w:val="000D45AA"/>
    <w:rsid w:val="000D4733"/>
    <w:rsid w:val="000D47A6"/>
    <w:rsid w:val="000D47FE"/>
    <w:rsid w:val="000D4827"/>
    <w:rsid w:val="000D48C9"/>
    <w:rsid w:val="000D4976"/>
    <w:rsid w:val="000D49AD"/>
    <w:rsid w:val="000D49B8"/>
    <w:rsid w:val="000D4A07"/>
    <w:rsid w:val="000D4A62"/>
    <w:rsid w:val="000D4A88"/>
    <w:rsid w:val="000D4AB1"/>
    <w:rsid w:val="000D4B94"/>
    <w:rsid w:val="000D4C2B"/>
    <w:rsid w:val="000D4CC0"/>
    <w:rsid w:val="000D4DFF"/>
    <w:rsid w:val="000D4EA9"/>
    <w:rsid w:val="000D4F0C"/>
    <w:rsid w:val="000D4FAB"/>
    <w:rsid w:val="000D5069"/>
    <w:rsid w:val="000D52BD"/>
    <w:rsid w:val="000D52E1"/>
    <w:rsid w:val="000D53A6"/>
    <w:rsid w:val="000D5431"/>
    <w:rsid w:val="000D57E7"/>
    <w:rsid w:val="000D58B8"/>
    <w:rsid w:val="000D58FD"/>
    <w:rsid w:val="000D594C"/>
    <w:rsid w:val="000D5A16"/>
    <w:rsid w:val="000D5A8D"/>
    <w:rsid w:val="000D5AAF"/>
    <w:rsid w:val="000D5AD1"/>
    <w:rsid w:val="000D5ADF"/>
    <w:rsid w:val="000D5B14"/>
    <w:rsid w:val="000D5BAC"/>
    <w:rsid w:val="000D5BC7"/>
    <w:rsid w:val="000D5D8B"/>
    <w:rsid w:val="000D5E08"/>
    <w:rsid w:val="000D5E85"/>
    <w:rsid w:val="000D5E8C"/>
    <w:rsid w:val="000D5EB4"/>
    <w:rsid w:val="000D5F61"/>
    <w:rsid w:val="000D602B"/>
    <w:rsid w:val="000D6048"/>
    <w:rsid w:val="000D60DC"/>
    <w:rsid w:val="000D61B0"/>
    <w:rsid w:val="000D6205"/>
    <w:rsid w:val="000D6217"/>
    <w:rsid w:val="000D641F"/>
    <w:rsid w:val="000D64D1"/>
    <w:rsid w:val="000D66BB"/>
    <w:rsid w:val="000D66FA"/>
    <w:rsid w:val="000D6740"/>
    <w:rsid w:val="000D67E3"/>
    <w:rsid w:val="000D6856"/>
    <w:rsid w:val="000D68C8"/>
    <w:rsid w:val="000D68EC"/>
    <w:rsid w:val="000D69D0"/>
    <w:rsid w:val="000D6ADD"/>
    <w:rsid w:val="000D6B2A"/>
    <w:rsid w:val="000D6B81"/>
    <w:rsid w:val="000D6C0E"/>
    <w:rsid w:val="000D6C5C"/>
    <w:rsid w:val="000D6D61"/>
    <w:rsid w:val="000D6DCD"/>
    <w:rsid w:val="000D6EF9"/>
    <w:rsid w:val="000D6F6B"/>
    <w:rsid w:val="000D700D"/>
    <w:rsid w:val="000D702F"/>
    <w:rsid w:val="000D70FD"/>
    <w:rsid w:val="000D712C"/>
    <w:rsid w:val="000D7163"/>
    <w:rsid w:val="000D71AD"/>
    <w:rsid w:val="000D7235"/>
    <w:rsid w:val="000D72DC"/>
    <w:rsid w:val="000D73E6"/>
    <w:rsid w:val="000D74B4"/>
    <w:rsid w:val="000D74F9"/>
    <w:rsid w:val="000D7512"/>
    <w:rsid w:val="000D76F7"/>
    <w:rsid w:val="000D772B"/>
    <w:rsid w:val="000D7794"/>
    <w:rsid w:val="000D7934"/>
    <w:rsid w:val="000D796A"/>
    <w:rsid w:val="000D7A29"/>
    <w:rsid w:val="000D7A4D"/>
    <w:rsid w:val="000D7B16"/>
    <w:rsid w:val="000D7C87"/>
    <w:rsid w:val="000D7CFA"/>
    <w:rsid w:val="000D7DC4"/>
    <w:rsid w:val="000D7E12"/>
    <w:rsid w:val="000D7E45"/>
    <w:rsid w:val="000E007F"/>
    <w:rsid w:val="000E01B0"/>
    <w:rsid w:val="000E0221"/>
    <w:rsid w:val="000E0331"/>
    <w:rsid w:val="000E03B8"/>
    <w:rsid w:val="000E045B"/>
    <w:rsid w:val="000E0488"/>
    <w:rsid w:val="000E04CC"/>
    <w:rsid w:val="000E0583"/>
    <w:rsid w:val="000E0608"/>
    <w:rsid w:val="000E0649"/>
    <w:rsid w:val="000E0668"/>
    <w:rsid w:val="000E0712"/>
    <w:rsid w:val="000E075C"/>
    <w:rsid w:val="000E07E9"/>
    <w:rsid w:val="000E09B3"/>
    <w:rsid w:val="000E09F4"/>
    <w:rsid w:val="000E09FF"/>
    <w:rsid w:val="000E0A09"/>
    <w:rsid w:val="000E0AB5"/>
    <w:rsid w:val="000E0ABD"/>
    <w:rsid w:val="000E0ADF"/>
    <w:rsid w:val="000E0B74"/>
    <w:rsid w:val="000E0C37"/>
    <w:rsid w:val="000E0C72"/>
    <w:rsid w:val="000E0CA2"/>
    <w:rsid w:val="000E0D6B"/>
    <w:rsid w:val="000E0DCD"/>
    <w:rsid w:val="000E0E28"/>
    <w:rsid w:val="000E0E96"/>
    <w:rsid w:val="000E0EBE"/>
    <w:rsid w:val="000E0FA2"/>
    <w:rsid w:val="000E10B6"/>
    <w:rsid w:val="000E1108"/>
    <w:rsid w:val="000E12FE"/>
    <w:rsid w:val="000E1326"/>
    <w:rsid w:val="000E1494"/>
    <w:rsid w:val="000E1669"/>
    <w:rsid w:val="000E16A0"/>
    <w:rsid w:val="000E174E"/>
    <w:rsid w:val="000E17C2"/>
    <w:rsid w:val="000E17D2"/>
    <w:rsid w:val="000E1827"/>
    <w:rsid w:val="000E188E"/>
    <w:rsid w:val="000E18FC"/>
    <w:rsid w:val="000E198A"/>
    <w:rsid w:val="000E1A17"/>
    <w:rsid w:val="000E1A26"/>
    <w:rsid w:val="000E1A34"/>
    <w:rsid w:val="000E1A76"/>
    <w:rsid w:val="000E1AAE"/>
    <w:rsid w:val="000E1C72"/>
    <w:rsid w:val="000E1CC2"/>
    <w:rsid w:val="000E1D0D"/>
    <w:rsid w:val="000E1D17"/>
    <w:rsid w:val="000E1D92"/>
    <w:rsid w:val="000E1DC0"/>
    <w:rsid w:val="000E1DC5"/>
    <w:rsid w:val="000E1EC9"/>
    <w:rsid w:val="000E1F22"/>
    <w:rsid w:val="000E1F3E"/>
    <w:rsid w:val="000E200D"/>
    <w:rsid w:val="000E214A"/>
    <w:rsid w:val="000E2172"/>
    <w:rsid w:val="000E21B1"/>
    <w:rsid w:val="000E2224"/>
    <w:rsid w:val="000E2300"/>
    <w:rsid w:val="000E2405"/>
    <w:rsid w:val="000E2472"/>
    <w:rsid w:val="000E247C"/>
    <w:rsid w:val="000E2483"/>
    <w:rsid w:val="000E2582"/>
    <w:rsid w:val="000E263E"/>
    <w:rsid w:val="000E26FB"/>
    <w:rsid w:val="000E2754"/>
    <w:rsid w:val="000E28D5"/>
    <w:rsid w:val="000E2944"/>
    <w:rsid w:val="000E2994"/>
    <w:rsid w:val="000E2B53"/>
    <w:rsid w:val="000E2C93"/>
    <w:rsid w:val="000E2E41"/>
    <w:rsid w:val="000E2E81"/>
    <w:rsid w:val="000E2E91"/>
    <w:rsid w:val="000E2ED1"/>
    <w:rsid w:val="000E2F9C"/>
    <w:rsid w:val="000E301C"/>
    <w:rsid w:val="000E30AA"/>
    <w:rsid w:val="000E328D"/>
    <w:rsid w:val="000E32F6"/>
    <w:rsid w:val="000E332A"/>
    <w:rsid w:val="000E3450"/>
    <w:rsid w:val="000E3513"/>
    <w:rsid w:val="000E3554"/>
    <w:rsid w:val="000E3571"/>
    <w:rsid w:val="000E366A"/>
    <w:rsid w:val="000E36F6"/>
    <w:rsid w:val="000E386B"/>
    <w:rsid w:val="000E38BC"/>
    <w:rsid w:val="000E3C61"/>
    <w:rsid w:val="000E3C6B"/>
    <w:rsid w:val="000E3D3B"/>
    <w:rsid w:val="000E3D95"/>
    <w:rsid w:val="000E3E61"/>
    <w:rsid w:val="000E3E6E"/>
    <w:rsid w:val="000E3F0A"/>
    <w:rsid w:val="000E3FF4"/>
    <w:rsid w:val="000E4159"/>
    <w:rsid w:val="000E42CC"/>
    <w:rsid w:val="000E4391"/>
    <w:rsid w:val="000E43CA"/>
    <w:rsid w:val="000E4441"/>
    <w:rsid w:val="000E444F"/>
    <w:rsid w:val="000E45A0"/>
    <w:rsid w:val="000E4610"/>
    <w:rsid w:val="000E4762"/>
    <w:rsid w:val="000E47EF"/>
    <w:rsid w:val="000E4819"/>
    <w:rsid w:val="000E4856"/>
    <w:rsid w:val="000E48DE"/>
    <w:rsid w:val="000E4949"/>
    <w:rsid w:val="000E495B"/>
    <w:rsid w:val="000E49C8"/>
    <w:rsid w:val="000E4A69"/>
    <w:rsid w:val="000E4B1F"/>
    <w:rsid w:val="000E4B33"/>
    <w:rsid w:val="000E4C0F"/>
    <w:rsid w:val="000E4E98"/>
    <w:rsid w:val="000E5037"/>
    <w:rsid w:val="000E50B3"/>
    <w:rsid w:val="000E5127"/>
    <w:rsid w:val="000E51B1"/>
    <w:rsid w:val="000E51B3"/>
    <w:rsid w:val="000E525B"/>
    <w:rsid w:val="000E526D"/>
    <w:rsid w:val="000E5270"/>
    <w:rsid w:val="000E541E"/>
    <w:rsid w:val="000E54D9"/>
    <w:rsid w:val="000E5565"/>
    <w:rsid w:val="000E55C6"/>
    <w:rsid w:val="000E55F1"/>
    <w:rsid w:val="000E580F"/>
    <w:rsid w:val="000E595B"/>
    <w:rsid w:val="000E598E"/>
    <w:rsid w:val="000E5B2D"/>
    <w:rsid w:val="000E5B37"/>
    <w:rsid w:val="000E5B74"/>
    <w:rsid w:val="000E5BC2"/>
    <w:rsid w:val="000E5D08"/>
    <w:rsid w:val="000E5D34"/>
    <w:rsid w:val="000E5EB2"/>
    <w:rsid w:val="000E5FA2"/>
    <w:rsid w:val="000E5FCE"/>
    <w:rsid w:val="000E6123"/>
    <w:rsid w:val="000E6201"/>
    <w:rsid w:val="000E62E7"/>
    <w:rsid w:val="000E635F"/>
    <w:rsid w:val="000E63E4"/>
    <w:rsid w:val="000E64DF"/>
    <w:rsid w:val="000E6534"/>
    <w:rsid w:val="000E65B2"/>
    <w:rsid w:val="000E65C8"/>
    <w:rsid w:val="000E67C7"/>
    <w:rsid w:val="000E6915"/>
    <w:rsid w:val="000E6917"/>
    <w:rsid w:val="000E6929"/>
    <w:rsid w:val="000E692B"/>
    <w:rsid w:val="000E6973"/>
    <w:rsid w:val="000E69BF"/>
    <w:rsid w:val="000E69E2"/>
    <w:rsid w:val="000E6A09"/>
    <w:rsid w:val="000E6B60"/>
    <w:rsid w:val="000E6C48"/>
    <w:rsid w:val="000E6D62"/>
    <w:rsid w:val="000E6D73"/>
    <w:rsid w:val="000E6F2F"/>
    <w:rsid w:val="000E6F3B"/>
    <w:rsid w:val="000E6F49"/>
    <w:rsid w:val="000E6FCF"/>
    <w:rsid w:val="000E71F6"/>
    <w:rsid w:val="000E7301"/>
    <w:rsid w:val="000E7322"/>
    <w:rsid w:val="000E747F"/>
    <w:rsid w:val="000E74E3"/>
    <w:rsid w:val="000E76DF"/>
    <w:rsid w:val="000E7761"/>
    <w:rsid w:val="000E779B"/>
    <w:rsid w:val="000E7872"/>
    <w:rsid w:val="000E78D5"/>
    <w:rsid w:val="000E78F6"/>
    <w:rsid w:val="000E7901"/>
    <w:rsid w:val="000E7937"/>
    <w:rsid w:val="000E79A6"/>
    <w:rsid w:val="000E79B9"/>
    <w:rsid w:val="000E7A94"/>
    <w:rsid w:val="000E7ABA"/>
    <w:rsid w:val="000E7CB4"/>
    <w:rsid w:val="000E7D8E"/>
    <w:rsid w:val="000E7DA4"/>
    <w:rsid w:val="000E7DC8"/>
    <w:rsid w:val="000E7E1E"/>
    <w:rsid w:val="000E7F33"/>
    <w:rsid w:val="000E7F42"/>
    <w:rsid w:val="000E7F92"/>
    <w:rsid w:val="000F0058"/>
    <w:rsid w:val="000F00D1"/>
    <w:rsid w:val="000F00DA"/>
    <w:rsid w:val="000F0162"/>
    <w:rsid w:val="000F016A"/>
    <w:rsid w:val="000F01AD"/>
    <w:rsid w:val="000F021F"/>
    <w:rsid w:val="000F029B"/>
    <w:rsid w:val="000F035D"/>
    <w:rsid w:val="000F03C5"/>
    <w:rsid w:val="000F03E0"/>
    <w:rsid w:val="000F0408"/>
    <w:rsid w:val="000F04A5"/>
    <w:rsid w:val="000F04E8"/>
    <w:rsid w:val="000F058C"/>
    <w:rsid w:val="000F0634"/>
    <w:rsid w:val="000F06F2"/>
    <w:rsid w:val="000F0762"/>
    <w:rsid w:val="000F078D"/>
    <w:rsid w:val="000F081E"/>
    <w:rsid w:val="000F086E"/>
    <w:rsid w:val="000F08C8"/>
    <w:rsid w:val="000F08FB"/>
    <w:rsid w:val="000F09DB"/>
    <w:rsid w:val="000F0A41"/>
    <w:rsid w:val="000F0A72"/>
    <w:rsid w:val="000F0A95"/>
    <w:rsid w:val="000F0AA7"/>
    <w:rsid w:val="000F0ABA"/>
    <w:rsid w:val="000F0B2B"/>
    <w:rsid w:val="000F0BB3"/>
    <w:rsid w:val="000F0BCA"/>
    <w:rsid w:val="000F0C05"/>
    <w:rsid w:val="000F0C35"/>
    <w:rsid w:val="000F0CB7"/>
    <w:rsid w:val="000F0D07"/>
    <w:rsid w:val="000F0D17"/>
    <w:rsid w:val="000F0EE6"/>
    <w:rsid w:val="000F0F00"/>
    <w:rsid w:val="000F1004"/>
    <w:rsid w:val="000F112B"/>
    <w:rsid w:val="000F1181"/>
    <w:rsid w:val="000F1182"/>
    <w:rsid w:val="000F12C9"/>
    <w:rsid w:val="000F12E5"/>
    <w:rsid w:val="000F1313"/>
    <w:rsid w:val="000F1379"/>
    <w:rsid w:val="000F140F"/>
    <w:rsid w:val="000F14D4"/>
    <w:rsid w:val="000F1625"/>
    <w:rsid w:val="000F16AF"/>
    <w:rsid w:val="000F16D3"/>
    <w:rsid w:val="000F17E5"/>
    <w:rsid w:val="000F1876"/>
    <w:rsid w:val="000F1877"/>
    <w:rsid w:val="000F1897"/>
    <w:rsid w:val="000F19CA"/>
    <w:rsid w:val="000F19DB"/>
    <w:rsid w:val="000F1A09"/>
    <w:rsid w:val="000F1A3F"/>
    <w:rsid w:val="000F1B38"/>
    <w:rsid w:val="000F1D56"/>
    <w:rsid w:val="000F1D93"/>
    <w:rsid w:val="000F1DB9"/>
    <w:rsid w:val="000F1DE0"/>
    <w:rsid w:val="000F1E05"/>
    <w:rsid w:val="000F1E3A"/>
    <w:rsid w:val="000F1ED8"/>
    <w:rsid w:val="000F1EF3"/>
    <w:rsid w:val="000F214D"/>
    <w:rsid w:val="000F21D5"/>
    <w:rsid w:val="000F223B"/>
    <w:rsid w:val="000F2290"/>
    <w:rsid w:val="000F22D1"/>
    <w:rsid w:val="000F230D"/>
    <w:rsid w:val="000F23D1"/>
    <w:rsid w:val="000F2534"/>
    <w:rsid w:val="000F25E4"/>
    <w:rsid w:val="000F2670"/>
    <w:rsid w:val="000F26D4"/>
    <w:rsid w:val="000F27E8"/>
    <w:rsid w:val="000F28A0"/>
    <w:rsid w:val="000F2919"/>
    <w:rsid w:val="000F293A"/>
    <w:rsid w:val="000F29A3"/>
    <w:rsid w:val="000F29AA"/>
    <w:rsid w:val="000F29DA"/>
    <w:rsid w:val="000F2BA2"/>
    <w:rsid w:val="000F2BA5"/>
    <w:rsid w:val="000F2BAE"/>
    <w:rsid w:val="000F2BB8"/>
    <w:rsid w:val="000F2BED"/>
    <w:rsid w:val="000F2C9B"/>
    <w:rsid w:val="000F2F0A"/>
    <w:rsid w:val="000F2F1B"/>
    <w:rsid w:val="000F30B8"/>
    <w:rsid w:val="000F30C0"/>
    <w:rsid w:val="000F30E8"/>
    <w:rsid w:val="000F3231"/>
    <w:rsid w:val="000F33CD"/>
    <w:rsid w:val="000F34D5"/>
    <w:rsid w:val="000F34F9"/>
    <w:rsid w:val="000F3562"/>
    <w:rsid w:val="000F35B2"/>
    <w:rsid w:val="000F35F7"/>
    <w:rsid w:val="000F370A"/>
    <w:rsid w:val="000F37BA"/>
    <w:rsid w:val="000F37BE"/>
    <w:rsid w:val="000F37DA"/>
    <w:rsid w:val="000F39C5"/>
    <w:rsid w:val="000F3A27"/>
    <w:rsid w:val="000F3AEA"/>
    <w:rsid w:val="000F3B2C"/>
    <w:rsid w:val="000F3BFB"/>
    <w:rsid w:val="000F3C69"/>
    <w:rsid w:val="000F3C71"/>
    <w:rsid w:val="000F3C96"/>
    <w:rsid w:val="000F3DAC"/>
    <w:rsid w:val="000F3F5F"/>
    <w:rsid w:val="000F3FB4"/>
    <w:rsid w:val="000F3FC7"/>
    <w:rsid w:val="000F41AF"/>
    <w:rsid w:val="000F42B4"/>
    <w:rsid w:val="000F42EA"/>
    <w:rsid w:val="000F445D"/>
    <w:rsid w:val="000F4505"/>
    <w:rsid w:val="000F4604"/>
    <w:rsid w:val="000F465A"/>
    <w:rsid w:val="000F4670"/>
    <w:rsid w:val="000F471F"/>
    <w:rsid w:val="000F4746"/>
    <w:rsid w:val="000F47C8"/>
    <w:rsid w:val="000F4A21"/>
    <w:rsid w:val="000F4A7F"/>
    <w:rsid w:val="000F4B29"/>
    <w:rsid w:val="000F4B72"/>
    <w:rsid w:val="000F4BA4"/>
    <w:rsid w:val="000F4BF3"/>
    <w:rsid w:val="000F4BFB"/>
    <w:rsid w:val="000F4C3B"/>
    <w:rsid w:val="000F4D05"/>
    <w:rsid w:val="000F4D1A"/>
    <w:rsid w:val="000F4D7D"/>
    <w:rsid w:val="000F4DD6"/>
    <w:rsid w:val="000F4FEE"/>
    <w:rsid w:val="000F5068"/>
    <w:rsid w:val="000F5082"/>
    <w:rsid w:val="000F5109"/>
    <w:rsid w:val="000F5181"/>
    <w:rsid w:val="000F51FA"/>
    <w:rsid w:val="000F54C3"/>
    <w:rsid w:val="000F54E3"/>
    <w:rsid w:val="000F5502"/>
    <w:rsid w:val="000F553F"/>
    <w:rsid w:val="000F5729"/>
    <w:rsid w:val="000F57BC"/>
    <w:rsid w:val="000F5935"/>
    <w:rsid w:val="000F59B8"/>
    <w:rsid w:val="000F5B23"/>
    <w:rsid w:val="000F5B52"/>
    <w:rsid w:val="000F5B93"/>
    <w:rsid w:val="000F5BC7"/>
    <w:rsid w:val="000F5D67"/>
    <w:rsid w:val="000F5DA2"/>
    <w:rsid w:val="000F5E03"/>
    <w:rsid w:val="000F5E4F"/>
    <w:rsid w:val="000F5EBE"/>
    <w:rsid w:val="000F5FBC"/>
    <w:rsid w:val="000F5FEB"/>
    <w:rsid w:val="000F6065"/>
    <w:rsid w:val="000F6105"/>
    <w:rsid w:val="000F612F"/>
    <w:rsid w:val="000F6157"/>
    <w:rsid w:val="000F61A6"/>
    <w:rsid w:val="000F61C2"/>
    <w:rsid w:val="000F6233"/>
    <w:rsid w:val="000F6393"/>
    <w:rsid w:val="000F6414"/>
    <w:rsid w:val="000F650E"/>
    <w:rsid w:val="000F6581"/>
    <w:rsid w:val="000F6765"/>
    <w:rsid w:val="000F68A5"/>
    <w:rsid w:val="000F68AF"/>
    <w:rsid w:val="000F6A59"/>
    <w:rsid w:val="000F6ABE"/>
    <w:rsid w:val="000F6B75"/>
    <w:rsid w:val="000F6B7D"/>
    <w:rsid w:val="000F6EBD"/>
    <w:rsid w:val="000F70BC"/>
    <w:rsid w:val="000F7136"/>
    <w:rsid w:val="000F71B3"/>
    <w:rsid w:val="000F71D5"/>
    <w:rsid w:val="000F72D4"/>
    <w:rsid w:val="000F738B"/>
    <w:rsid w:val="000F745D"/>
    <w:rsid w:val="000F7509"/>
    <w:rsid w:val="000F7613"/>
    <w:rsid w:val="000F763E"/>
    <w:rsid w:val="000F7A86"/>
    <w:rsid w:val="000F7AF4"/>
    <w:rsid w:val="000F7AF7"/>
    <w:rsid w:val="000F7B27"/>
    <w:rsid w:val="000F7B87"/>
    <w:rsid w:val="000F7C45"/>
    <w:rsid w:val="000F7CDB"/>
    <w:rsid w:val="000F7D0C"/>
    <w:rsid w:val="000F7D4E"/>
    <w:rsid w:val="000F7E27"/>
    <w:rsid w:val="000F7E84"/>
    <w:rsid w:val="000F7EC2"/>
    <w:rsid w:val="000F7F39"/>
    <w:rsid w:val="000F7F88"/>
    <w:rsid w:val="000F7F94"/>
    <w:rsid w:val="000F7FA4"/>
    <w:rsid w:val="0010000D"/>
    <w:rsid w:val="0010000F"/>
    <w:rsid w:val="0010005F"/>
    <w:rsid w:val="001000EA"/>
    <w:rsid w:val="00100194"/>
    <w:rsid w:val="001001E1"/>
    <w:rsid w:val="0010021D"/>
    <w:rsid w:val="00100258"/>
    <w:rsid w:val="0010036A"/>
    <w:rsid w:val="0010037F"/>
    <w:rsid w:val="00100499"/>
    <w:rsid w:val="001004C2"/>
    <w:rsid w:val="00100645"/>
    <w:rsid w:val="00100731"/>
    <w:rsid w:val="0010075C"/>
    <w:rsid w:val="001007EE"/>
    <w:rsid w:val="00100825"/>
    <w:rsid w:val="0010082A"/>
    <w:rsid w:val="00100856"/>
    <w:rsid w:val="001008E4"/>
    <w:rsid w:val="00100952"/>
    <w:rsid w:val="00100A9B"/>
    <w:rsid w:val="00100AD4"/>
    <w:rsid w:val="00100B77"/>
    <w:rsid w:val="00100BDF"/>
    <w:rsid w:val="00100CDE"/>
    <w:rsid w:val="00100D02"/>
    <w:rsid w:val="00100D60"/>
    <w:rsid w:val="00100F8F"/>
    <w:rsid w:val="00100FBD"/>
    <w:rsid w:val="00101003"/>
    <w:rsid w:val="00101030"/>
    <w:rsid w:val="00101040"/>
    <w:rsid w:val="00101157"/>
    <w:rsid w:val="00101191"/>
    <w:rsid w:val="00101285"/>
    <w:rsid w:val="001012C5"/>
    <w:rsid w:val="0010135C"/>
    <w:rsid w:val="00101495"/>
    <w:rsid w:val="0010155F"/>
    <w:rsid w:val="001015B4"/>
    <w:rsid w:val="0010165E"/>
    <w:rsid w:val="001016DB"/>
    <w:rsid w:val="00101887"/>
    <w:rsid w:val="001018E0"/>
    <w:rsid w:val="00101A53"/>
    <w:rsid w:val="00101E61"/>
    <w:rsid w:val="00101F8D"/>
    <w:rsid w:val="00101FD0"/>
    <w:rsid w:val="00102001"/>
    <w:rsid w:val="0010206B"/>
    <w:rsid w:val="00102249"/>
    <w:rsid w:val="00102280"/>
    <w:rsid w:val="0010242F"/>
    <w:rsid w:val="0010268A"/>
    <w:rsid w:val="001027FE"/>
    <w:rsid w:val="0010289E"/>
    <w:rsid w:val="001028CF"/>
    <w:rsid w:val="00102961"/>
    <w:rsid w:val="001029A0"/>
    <w:rsid w:val="00102C3C"/>
    <w:rsid w:val="00102CCD"/>
    <w:rsid w:val="00102D31"/>
    <w:rsid w:val="00102E14"/>
    <w:rsid w:val="00102EFB"/>
    <w:rsid w:val="00102F9E"/>
    <w:rsid w:val="00102FB7"/>
    <w:rsid w:val="00102FC1"/>
    <w:rsid w:val="00102FF8"/>
    <w:rsid w:val="0010308E"/>
    <w:rsid w:val="00103111"/>
    <w:rsid w:val="001031F5"/>
    <w:rsid w:val="001032C5"/>
    <w:rsid w:val="001032EE"/>
    <w:rsid w:val="001033F2"/>
    <w:rsid w:val="0010348F"/>
    <w:rsid w:val="0010363F"/>
    <w:rsid w:val="00103645"/>
    <w:rsid w:val="001036F4"/>
    <w:rsid w:val="001037B5"/>
    <w:rsid w:val="001037CB"/>
    <w:rsid w:val="0010385D"/>
    <w:rsid w:val="0010392E"/>
    <w:rsid w:val="001039BC"/>
    <w:rsid w:val="00103A3A"/>
    <w:rsid w:val="00103AB8"/>
    <w:rsid w:val="00103B31"/>
    <w:rsid w:val="00103B4E"/>
    <w:rsid w:val="00103B58"/>
    <w:rsid w:val="00103B77"/>
    <w:rsid w:val="00103BDD"/>
    <w:rsid w:val="00103C24"/>
    <w:rsid w:val="00103C54"/>
    <w:rsid w:val="00103CD4"/>
    <w:rsid w:val="00103CEA"/>
    <w:rsid w:val="00103ECF"/>
    <w:rsid w:val="00103EEC"/>
    <w:rsid w:val="00103F25"/>
    <w:rsid w:val="00103F2B"/>
    <w:rsid w:val="00103F3C"/>
    <w:rsid w:val="00104049"/>
    <w:rsid w:val="00104078"/>
    <w:rsid w:val="00104162"/>
    <w:rsid w:val="001041BF"/>
    <w:rsid w:val="001041D8"/>
    <w:rsid w:val="0010426A"/>
    <w:rsid w:val="00104384"/>
    <w:rsid w:val="00104388"/>
    <w:rsid w:val="001044E1"/>
    <w:rsid w:val="00104550"/>
    <w:rsid w:val="001045D1"/>
    <w:rsid w:val="00104689"/>
    <w:rsid w:val="001046B4"/>
    <w:rsid w:val="001046C9"/>
    <w:rsid w:val="001046F7"/>
    <w:rsid w:val="0010470B"/>
    <w:rsid w:val="00104741"/>
    <w:rsid w:val="00104760"/>
    <w:rsid w:val="0010476D"/>
    <w:rsid w:val="00104854"/>
    <w:rsid w:val="001048AA"/>
    <w:rsid w:val="001049F0"/>
    <w:rsid w:val="00104AFF"/>
    <w:rsid w:val="00104B96"/>
    <w:rsid w:val="00104C20"/>
    <w:rsid w:val="00104C2E"/>
    <w:rsid w:val="00104D59"/>
    <w:rsid w:val="00104E39"/>
    <w:rsid w:val="00104E4E"/>
    <w:rsid w:val="00104EC8"/>
    <w:rsid w:val="00105135"/>
    <w:rsid w:val="001051C7"/>
    <w:rsid w:val="001051D6"/>
    <w:rsid w:val="0010524A"/>
    <w:rsid w:val="0010529F"/>
    <w:rsid w:val="00105337"/>
    <w:rsid w:val="00105343"/>
    <w:rsid w:val="001053C1"/>
    <w:rsid w:val="001054B9"/>
    <w:rsid w:val="00105566"/>
    <w:rsid w:val="001055DD"/>
    <w:rsid w:val="0010568A"/>
    <w:rsid w:val="00105690"/>
    <w:rsid w:val="0010577E"/>
    <w:rsid w:val="001057CC"/>
    <w:rsid w:val="00105829"/>
    <w:rsid w:val="00105987"/>
    <w:rsid w:val="00105A03"/>
    <w:rsid w:val="00105A0C"/>
    <w:rsid w:val="00105CB0"/>
    <w:rsid w:val="00105D7B"/>
    <w:rsid w:val="00105D90"/>
    <w:rsid w:val="00105D9C"/>
    <w:rsid w:val="00105DEC"/>
    <w:rsid w:val="00105E22"/>
    <w:rsid w:val="00105E9A"/>
    <w:rsid w:val="00105F76"/>
    <w:rsid w:val="00105F7C"/>
    <w:rsid w:val="00105FA2"/>
    <w:rsid w:val="00105FBF"/>
    <w:rsid w:val="00105FC8"/>
    <w:rsid w:val="0010603E"/>
    <w:rsid w:val="0010613B"/>
    <w:rsid w:val="0010615E"/>
    <w:rsid w:val="001061D0"/>
    <w:rsid w:val="00106246"/>
    <w:rsid w:val="001062BD"/>
    <w:rsid w:val="00106368"/>
    <w:rsid w:val="001063A1"/>
    <w:rsid w:val="001063DF"/>
    <w:rsid w:val="0010654B"/>
    <w:rsid w:val="001065ED"/>
    <w:rsid w:val="00106646"/>
    <w:rsid w:val="00106658"/>
    <w:rsid w:val="001066FE"/>
    <w:rsid w:val="00106703"/>
    <w:rsid w:val="00106820"/>
    <w:rsid w:val="00106A1B"/>
    <w:rsid w:val="00106AFF"/>
    <w:rsid w:val="00106C0C"/>
    <w:rsid w:val="00106C3E"/>
    <w:rsid w:val="00106CD2"/>
    <w:rsid w:val="00106D36"/>
    <w:rsid w:val="00106D44"/>
    <w:rsid w:val="00106DCA"/>
    <w:rsid w:val="00106EA2"/>
    <w:rsid w:val="00106F5A"/>
    <w:rsid w:val="00106F89"/>
    <w:rsid w:val="00106FA1"/>
    <w:rsid w:val="00106FAA"/>
    <w:rsid w:val="00107110"/>
    <w:rsid w:val="001071B8"/>
    <w:rsid w:val="0010726C"/>
    <w:rsid w:val="0010729E"/>
    <w:rsid w:val="0010735A"/>
    <w:rsid w:val="001074A8"/>
    <w:rsid w:val="00107610"/>
    <w:rsid w:val="0010792D"/>
    <w:rsid w:val="00107A03"/>
    <w:rsid w:val="00107BCF"/>
    <w:rsid w:val="00107BDB"/>
    <w:rsid w:val="00107C21"/>
    <w:rsid w:val="0011003B"/>
    <w:rsid w:val="0011013F"/>
    <w:rsid w:val="0011017D"/>
    <w:rsid w:val="001101CB"/>
    <w:rsid w:val="00110253"/>
    <w:rsid w:val="001102AA"/>
    <w:rsid w:val="00110302"/>
    <w:rsid w:val="00110426"/>
    <w:rsid w:val="00110480"/>
    <w:rsid w:val="00110578"/>
    <w:rsid w:val="001105AB"/>
    <w:rsid w:val="0011072A"/>
    <w:rsid w:val="001107B1"/>
    <w:rsid w:val="00110935"/>
    <w:rsid w:val="001109D8"/>
    <w:rsid w:val="00110A2C"/>
    <w:rsid w:val="00110A43"/>
    <w:rsid w:val="00110AEA"/>
    <w:rsid w:val="00110B69"/>
    <w:rsid w:val="00110C23"/>
    <w:rsid w:val="00110DF6"/>
    <w:rsid w:val="00110E84"/>
    <w:rsid w:val="00110EB2"/>
    <w:rsid w:val="00110F09"/>
    <w:rsid w:val="00110F66"/>
    <w:rsid w:val="00110F82"/>
    <w:rsid w:val="00111067"/>
    <w:rsid w:val="001110C1"/>
    <w:rsid w:val="0011116B"/>
    <w:rsid w:val="001111F6"/>
    <w:rsid w:val="00111292"/>
    <w:rsid w:val="001112F4"/>
    <w:rsid w:val="0011132C"/>
    <w:rsid w:val="00111334"/>
    <w:rsid w:val="0011140B"/>
    <w:rsid w:val="00111457"/>
    <w:rsid w:val="0011147A"/>
    <w:rsid w:val="00111484"/>
    <w:rsid w:val="001114A7"/>
    <w:rsid w:val="001115A8"/>
    <w:rsid w:val="0011161A"/>
    <w:rsid w:val="0011162A"/>
    <w:rsid w:val="0011174E"/>
    <w:rsid w:val="001117C7"/>
    <w:rsid w:val="0011182D"/>
    <w:rsid w:val="001118AC"/>
    <w:rsid w:val="001118CB"/>
    <w:rsid w:val="00111907"/>
    <w:rsid w:val="0011190E"/>
    <w:rsid w:val="0011192B"/>
    <w:rsid w:val="00111949"/>
    <w:rsid w:val="00111957"/>
    <w:rsid w:val="0011199E"/>
    <w:rsid w:val="00111B9F"/>
    <w:rsid w:val="00111CEF"/>
    <w:rsid w:val="00112156"/>
    <w:rsid w:val="00112229"/>
    <w:rsid w:val="00112287"/>
    <w:rsid w:val="001122CA"/>
    <w:rsid w:val="001122CD"/>
    <w:rsid w:val="00112304"/>
    <w:rsid w:val="001123C5"/>
    <w:rsid w:val="00112443"/>
    <w:rsid w:val="00112590"/>
    <w:rsid w:val="0011274D"/>
    <w:rsid w:val="001127DD"/>
    <w:rsid w:val="0011285B"/>
    <w:rsid w:val="001128A7"/>
    <w:rsid w:val="001128C3"/>
    <w:rsid w:val="001128F9"/>
    <w:rsid w:val="00112946"/>
    <w:rsid w:val="001129B2"/>
    <w:rsid w:val="00112AF3"/>
    <w:rsid w:val="00112BC1"/>
    <w:rsid w:val="00112C16"/>
    <w:rsid w:val="00112CEC"/>
    <w:rsid w:val="00112D4E"/>
    <w:rsid w:val="00112DC4"/>
    <w:rsid w:val="00112DF3"/>
    <w:rsid w:val="00112DF8"/>
    <w:rsid w:val="00112E02"/>
    <w:rsid w:val="00112E65"/>
    <w:rsid w:val="00112F42"/>
    <w:rsid w:val="0011306A"/>
    <w:rsid w:val="001130C3"/>
    <w:rsid w:val="00113199"/>
    <w:rsid w:val="001131A7"/>
    <w:rsid w:val="00113249"/>
    <w:rsid w:val="00113484"/>
    <w:rsid w:val="001135B5"/>
    <w:rsid w:val="00113810"/>
    <w:rsid w:val="00113A3C"/>
    <w:rsid w:val="00113B10"/>
    <w:rsid w:val="00113B65"/>
    <w:rsid w:val="00113BFD"/>
    <w:rsid w:val="00113C48"/>
    <w:rsid w:val="00113D6D"/>
    <w:rsid w:val="00113DD2"/>
    <w:rsid w:val="00113E08"/>
    <w:rsid w:val="00114114"/>
    <w:rsid w:val="00114115"/>
    <w:rsid w:val="00114261"/>
    <w:rsid w:val="00114297"/>
    <w:rsid w:val="0011442F"/>
    <w:rsid w:val="00114496"/>
    <w:rsid w:val="001144FB"/>
    <w:rsid w:val="001144FF"/>
    <w:rsid w:val="00114548"/>
    <w:rsid w:val="00114587"/>
    <w:rsid w:val="00114610"/>
    <w:rsid w:val="0011464E"/>
    <w:rsid w:val="00114706"/>
    <w:rsid w:val="00114712"/>
    <w:rsid w:val="0011474B"/>
    <w:rsid w:val="0011484A"/>
    <w:rsid w:val="001148B9"/>
    <w:rsid w:val="001148EB"/>
    <w:rsid w:val="001149E5"/>
    <w:rsid w:val="00114AA2"/>
    <w:rsid w:val="00114B18"/>
    <w:rsid w:val="00114BF2"/>
    <w:rsid w:val="00114CE1"/>
    <w:rsid w:val="00114CE2"/>
    <w:rsid w:val="00114D8B"/>
    <w:rsid w:val="00114EAE"/>
    <w:rsid w:val="00114EBF"/>
    <w:rsid w:val="00114F4F"/>
    <w:rsid w:val="00114F51"/>
    <w:rsid w:val="00114F65"/>
    <w:rsid w:val="00114FBF"/>
    <w:rsid w:val="001150EF"/>
    <w:rsid w:val="001151A3"/>
    <w:rsid w:val="0011520C"/>
    <w:rsid w:val="00115214"/>
    <w:rsid w:val="0011522A"/>
    <w:rsid w:val="00115351"/>
    <w:rsid w:val="0011542E"/>
    <w:rsid w:val="001154D5"/>
    <w:rsid w:val="001155B4"/>
    <w:rsid w:val="001155DE"/>
    <w:rsid w:val="00115758"/>
    <w:rsid w:val="00115832"/>
    <w:rsid w:val="001158E0"/>
    <w:rsid w:val="001159CE"/>
    <w:rsid w:val="00115CAA"/>
    <w:rsid w:val="00115D21"/>
    <w:rsid w:val="00115D50"/>
    <w:rsid w:val="00115D70"/>
    <w:rsid w:val="00115F4A"/>
    <w:rsid w:val="00116017"/>
    <w:rsid w:val="001160B6"/>
    <w:rsid w:val="00116178"/>
    <w:rsid w:val="0011618C"/>
    <w:rsid w:val="001161C7"/>
    <w:rsid w:val="00116332"/>
    <w:rsid w:val="00116401"/>
    <w:rsid w:val="0011644D"/>
    <w:rsid w:val="001164B3"/>
    <w:rsid w:val="001165B4"/>
    <w:rsid w:val="00116670"/>
    <w:rsid w:val="001166F8"/>
    <w:rsid w:val="00116836"/>
    <w:rsid w:val="00116892"/>
    <w:rsid w:val="001168A1"/>
    <w:rsid w:val="00116959"/>
    <w:rsid w:val="00116A57"/>
    <w:rsid w:val="00116ABE"/>
    <w:rsid w:val="00116B6C"/>
    <w:rsid w:val="00116C84"/>
    <w:rsid w:val="00116E5D"/>
    <w:rsid w:val="00117034"/>
    <w:rsid w:val="00117300"/>
    <w:rsid w:val="00117369"/>
    <w:rsid w:val="00117413"/>
    <w:rsid w:val="0011744A"/>
    <w:rsid w:val="00117472"/>
    <w:rsid w:val="001174A9"/>
    <w:rsid w:val="001176D0"/>
    <w:rsid w:val="001176DC"/>
    <w:rsid w:val="00117913"/>
    <w:rsid w:val="00117939"/>
    <w:rsid w:val="001179B4"/>
    <w:rsid w:val="001179B9"/>
    <w:rsid w:val="00117A0E"/>
    <w:rsid w:val="00117A8A"/>
    <w:rsid w:val="00117A8C"/>
    <w:rsid w:val="00117AF0"/>
    <w:rsid w:val="00117B9C"/>
    <w:rsid w:val="00117BC1"/>
    <w:rsid w:val="00117C2E"/>
    <w:rsid w:val="00117D0C"/>
    <w:rsid w:val="00117DD2"/>
    <w:rsid w:val="00117E82"/>
    <w:rsid w:val="00117EF2"/>
    <w:rsid w:val="00117EF9"/>
    <w:rsid w:val="00117F19"/>
    <w:rsid w:val="00117F22"/>
    <w:rsid w:val="00117FC1"/>
    <w:rsid w:val="00120025"/>
    <w:rsid w:val="00120146"/>
    <w:rsid w:val="0012045C"/>
    <w:rsid w:val="0012059A"/>
    <w:rsid w:val="001205F5"/>
    <w:rsid w:val="0012079A"/>
    <w:rsid w:val="001207E9"/>
    <w:rsid w:val="00120828"/>
    <w:rsid w:val="001208B7"/>
    <w:rsid w:val="001208CF"/>
    <w:rsid w:val="00120903"/>
    <w:rsid w:val="001209E4"/>
    <w:rsid w:val="00120A8E"/>
    <w:rsid w:val="00120AEF"/>
    <w:rsid w:val="00120B0A"/>
    <w:rsid w:val="00120B3F"/>
    <w:rsid w:val="00120C70"/>
    <w:rsid w:val="00120CD3"/>
    <w:rsid w:val="00120D1F"/>
    <w:rsid w:val="00120D91"/>
    <w:rsid w:val="00120E4A"/>
    <w:rsid w:val="00120EE4"/>
    <w:rsid w:val="00121108"/>
    <w:rsid w:val="001212C5"/>
    <w:rsid w:val="001212C9"/>
    <w:rsid w:val="00121547"/>
    <w:rsid w:val="0012163F"/>
    <w:rsid w:val="00121669"/>
    <w:rsid w:val="00121697"/>
    <w:rsid w:val="001216A3"/>
    <w:rsid w:val="001216C1"/>
    <w:rsid w:val="00121763"/>
    <w:rsid w:val="00121849"/>
    <w:rsid w:val="00121981"/>
    <w:rsid w:val="00121ABF"/>
    <w:rsid w:val="00121CC7"/>
    <w:rsid w:val="00121F06"/>
    <w:rsid w:val="00121F80"/>
    <w:rsid w:val="001220DF"/>
    <w:rsid w:val="001220ED"/>
    <w:rsid w:val="00122138"/>
    <w:rsid w:val="0012220D"/>
    <w:rsid w:val="001222BC"/>
    <w:rsid w:val="00122425"/>
    <w:rsid w:val="00122452"/>
    <w:rsid w:val="00122595"/>
    <w:rsid w:val="0012268B"/>
    <w:rsid w:val="001226A5"/>
    <w:rsid w:val="0012271D"/>
    <w:rsid w:val="001227AE"/>
    <w:rsid w:val="001227B2"/>
    <w:rsid w:val="0012280C"/>
    <w:rsid w:val="0012281F"/>
    <w:rsid w:val="001228A2"/>
    <w:rsid w:val="001228DC"/>
    <w:rsid w:val="00122918"/>
    <w:rsid w:val="0012298E"/>
    <w:rsid w:val="00122A14"/>
    <w:rsid w:val="00122A9B"/>
    <w:rsid w:val="00122B43"/>
    <w:rsid w:val="00122C04"/>
    <w:rsid w:val="00122C71"/>
    <w:rsid w:val="00122CF2"/>
    <w:rsid w:val="00122CF6"/>
    <w:rsid w:val="00122D12"/>
    <w:rsid w:val="00122D26"/>
    <w:rsid w:val="00122D41"/>
    <w:rsid w:val="00122D67"/>
    <w:rsid w:val="00122D6E"/>
    <w:rsid w:val="00122EDC"/>
    <w:rsid w:val="00122F93"/>
    <w:rsid w:val="00122FC9"/>
    <w:rsid w:val="00122FE0"/>
    <w:rsid w:val="0012302E"/>
    <w:rsid w:val="0012305C"/>
    <w:rsid w:val="001230A5"/>
    <w:rsid w:val="00123138"/>
    <w:rsid w:val="001232C3"/>
    <w:rsid w:val="001232DC"/>
    <w:rsid w:val="00123406"/>
    <w:rsid w:val="0012356F"/>
    <w:rsid w:val="0012357C"/>
    <w:rsid w:val="001235B0"/>
    <w:rsid w:val="001235F6"/>
    <w:rsid w:val="001236AF"/>
    <w:rsid w:val="00123719"/>
    <w:rsid w:val="00123833"/>
    <w:rsid w:val="001238BE"/>
    <w:rsid w:val="001239A0"/>
    <w:rsid w:val="00123A0E"/>
    <w:rsid w:val="00123A69"/>
    <w:rsid w:val="00123B1B"/>
    <w:rsid w:val="00123B2F"/>
    <w:rsid w:val="00123BC3"/>
    <w:rsid w:val="00123BF6"/>
    <w:rsid w:val="00123C0E"/>
    <w:rsid w:val="00123C3A"/>
    <w:rsid w:val="00123C7D"/>
    <w:rsid w:val="00123C9F"/>
    <w:rsid w:val="00123D3C"/>
    <w:rsid w:val="00123D90"/>
    <w:rsid w:val="00123E5C"/>
    <w:rsid w:val="00123FB2"/>
    <w:rsid w:val="00123FDD"/>
    <w:rsid w:val="00123FE2"/>
    <w:rsid w:val="001240D3"/>
    <w:rsid w:val="0012416E"/>
    <w:rsid w:val="0012421E"/>
    <w:rsid w:val="001243B2"/>
    <w:rsid w:val="00124529"/>
    <w:rsid w:val="00124661"/>
    <w:rsid w:val="0012485E"/>
    <w:rsid w:val="001249A6"/>
    <w:rsid w:val="00124A07"/>
    <w:rsid w:val="00124A09"/>
    <w:rsid w:val="00124A96"/>
    <w:rsid w:val="00124ACC"/>
    <w:rsid w:val="00124C97"/>
    <w:rsid w:val="00124D39"/>
    <w:rsid w:val="00124D44"/>
    <w:rsid w:val="00124E0F"/>
    <w:rsid w:val="00124E4A"/>
    <w:rsid w:val="00124E58"/>
    <w:rsid w:val="00124F60"/>
    <w:rsid w:val="00124F69"/>
    <w:rsid w:val="00124FAC"/>
    <w:rsid w:val="00124FB3"/>
    <w:rsid w:val="00125003"/>
    <w:rsid w:val="00125042"/>
    <w:rsid w:val="0012508F"/>
    <w:rsid w:val="00125152"/>
    <w:rsid w:val="001251A5"/>
    <w:rsid w:val="001251BA"/>
    <w:rsid w:val="001251CA"/>
    <w:rsid w:val="001251FE"/>
    <w:rsid w:val="001252D1"/>
    <w:rsid w:val="0012541F"/>
    <w:rsid w:val="00125445"/>
    <w:rsid w:val="00125529"/>
    <w:rsid w:val="00125634"/>
    <w:rsid w:val="0012567A"/>
    <w:rsid w:val="001259EC"/>
    <w:rsid w:val="00125A68"/>
    <w:rsid w:val="00125A6E"/>
    <w:rsid w:val="00125A82"/>
    <w:rsid w:val="00125AA3"/>
    <w:rsid w:val="00125AC9"/>
    <w:rsid w:val="00125B21"/>
    <w:rsid w:val="00125BE1"/>
    <w:rsid w:val="00125C59"/>
    <w:rsid w:val="00125CDE"/>
    <w:rsid w:val="00125D28"/>
    <w:rsid w:val="00125D4C"/>
    <w:rsid w:val="00125D6A"/>
    <w:rsid w:val="00125E7C"/>
    <w:rsid w:val="00125F57"/>
    <w:rsid w:val="00125F88"/>
    <w:rsid w:val="00126024"/>
    <w:rsid w:val="0012615F"/>
    <w:rsid w:val="001261FF"/>
    <w:rsid w:val="0012634C"/>
    <w:rsid w:val="0012637F"/>
    <w:rsid w:val="00126482"/>
    <w:rsid w:val="001264E3"/>
    <w:rsid w:val="00126518"/>
    <w:rsid w:val="001265A6"/>
    <w:rsid w:val="0012661D"/>
    <w:rsid w:val="00126625"/>
    <w:rsid w:val="00126637"/>
    <w:rsid w:val="0012674E"/>
    <w:rsid w:val="0012675C"/>
    <w:rsid w:val="001267A1"/>
    <w:rsid w:val="0012681A"/>
    <w:rsid w:val="00126AAE"/>
    <w:rsid w:val="00126AC5"/>
    <w:rsid w:val="00126B54"/>
    <w:rsid w:val="00126B7A"/>
    <w:rsid w:val="00126D62"/>
    <w:rsid w:val="00126D6F"/>
    <w:rsid w:val="00126DA3"/>
    <w:rsid w:val="00126E65"/>
    <w:rsid w:val="00126FFE"/>
    <w:rsid w:val="0012727F"/>
    <w:rsid w:val="0012736C"/>
    <w:rsid w:val="00127468"/>
    <w:rsid w:val="001274A9"/>
    <w:rsid w:val="00127578"/>
    <w:rsid w:val="00127640"/>
    <w:rsid w:val="0012787C"/>
    <w:rsid w:val="001279D5"/>
    <w:rsid w:val="00127A77"/>
    <w:rsid w:val="00127A78"/>
    <w:rsid w:val="00127A7B"/>
    <w:rsid w:val="00127A9A"/>
    <w:rsid w:val="00127B56"/>
    <w:rsid w:val="00127DE5"/>
    <w:rsid w:val="00127E57"/>
    <w:rsid w:val="00127EE4"/>
    <w:rsid w:val="00127F43"/>
    <w:rsid w:val="00127F5F"/>
    <w:rsid w:val="001301E2"/>
    <w:rsid w:val="00130243"/>
    <w:rsid w:val="00130263"/>
    <w:rsid w:val="00130362"/>
    <w:rsid w:val="00130411"/>
    <w:rsid w:val="001304D3"/>
    <w:rsid w:val="001304F2"/>
    <w:rsid w:val="00130584"/>
    <w:rsid w:val="00130680"/>
    <w:rsid w:val="001306C2"/>
    <w:rsid w:val="001306CF"/>
    <w:rsid w:val="001307DF"/>
    <w:rsid w:val="00130847"/>
    <w:rsid w:val="001308F1"/>
    <w:rsid w:val="00130969"/>
    <w:rsid w:val="00130995"/>
    <w:rsid w:val="00130A91"/>
    <w:rsid w:val="00130BE8"/>
    <w:rsid w:val="00130BFC"/>
    <w:rsid w:val="00130CB6"/>
    <w:rsid w:val="00130D58"/>
    <w:rsid w:val="00130DCF"/>
    <w:rsid w:val="00130EF0"/>
    <w:rsid w:val="00130F66"/>
    <w:rsid w:val="00131026"/>
    <w:rsid w:val="001311AE"/>
    <w:rsid w:val="001311BE"/>
    <w:rsid w:val="0013121A"/>
    <w:rsid w:val="0013122D"/>
    <w:rsid w:val="00131255"/>
    <w:rsid w:val="0013136A"/>
    <w:rsid w:val="001313A5"/>
    <w:rsid w:val="001313E1"/>
    <w:rsid w:val="00131445"/>
    <w:rsid w:val="0013144C"/>
    <w:rsid w:val="0013147E"/>
    <w:rsid w:val="001314B4"/>
    <w:rsid w:val="001315FE"/>
    <w:rsid w:val="0013164A"/>
    <w:rsid w:val="00131692"/>
    <w:rsid w:val="00131818"/>
    <w:rsid w:val="00131950"/>
    <w:rsid w:val="00131A3A"/>
    <w:rsid w:val="00131B2D"/>
    <w:rsid w:val="00131B55"/>
    <w:rsid w:val="00131BA2"/>
    <w:rsid w:val="00131BF0"/>
    <w:rsid w:val="00131C2C"/>
    <w:rsid w:val="00131DC3"/>
    <w:rsid w:val="00131E47"/>
    <w:rsid w:val="00131ECA"/>
    <w:rsid w:val="00131EE6"/>
    <w:rsid w:val="00131F71"/>
    <w:rsid w:val="00131F90"/>
    <w:rsid w:val="001320E8"/>
    <w:rsid w:val="001320FA"/>
    <w:rsid w:val="001321F6"/>
    <w:rsid w:val="00132220"/>
    <w:rsid w:val="0013228E"/>
    <w:rsid w:val="0013232B"/>
    <w:rsid w:val="00132351"/>
    <w:rsid w:val="00132377"/>
    <w:rsid w:val="001323E6"/>
    <w:rsid w:val="00132447"/>
    <w:rsid w:val="00132489"/>
    <w:rsid w:val="0013248F"/>
    <w:rsid w:val="00132561"/>
    <w:rsid w:val="001325AB"/>
    <w:rsid w:val="001325C4"/>
    <w:rsid w:val="0013264D"/>
    <w:rsid w:val="0013291D"/>
    <w:rsid w:val="001329AA"/>
    <w:rsid w:val="00132A56"/>
    <w:rsid w:val="00132B07"/>
    <w:rsid w:val="00132C7C"/>
    <w:rsid w:val="00132F63"/>
    <w:rsid w:val="00132F6F"/>
    <w:rsid w:val="00133131"/>
    <w:rsid w:val="00133171"/>
    <w:rsid w:val="00133183"/>
    <w:rsid w:val="001331DE"/>
    <w:rsid w:val="001331EF"/>
    <w:rsid w:val="00133256"/>
    <w:rsid w:val="00133298"/>
    <w:rsid w:val="00133305"/>
    <w:rsid w:val="00133394"/>
    <w:rsid w:val="0013339D"/>
    <w:rsid w:val="001333AB"/>
    <w:rsid w:val="00133431"/>
    <w:rsid w:val="00133441"/>
    <w:rsid w:val="001334D4"/>
    <w:rsid w:val="001334FD"/>
    <w:rsid w:val="00133640"/>
    <w:rsid w:val="00133699"/>
    <w:rsid w:val="00133779"/>
    <w:rsid w:val="0013384F"/>
    <w:rsid w:val="00133943"/>
    <w:rsid w:val="001339C4"/>
    <w:rsid w:val="001339C7"/>
    <w:rsid w:val="00133AE1"/>
    <w:rsid w:val="00133D16"/>
    <w:rsid w:val="0013408A"/>
    <w:rsid w:val="001340A8"/>
    <w:rsid w:val="001341D1"/>
    <w:rsid w:val="0013426F"/>
    <w:rsid w:val="001342B0"/>
    <w:rsid w:val="00134364"/>
    <w:rsid w:val="00134377"/>
    <w:rsid w:val="00134573"/>
    <w:rsid w:val="00134656"/>
    <w:rsid w:val="00134662"/>
    <w:rsid w:val="001348BF"/>
    <w:rsid w:val="001348EB"/>
    <w:rsid w:val="00134B4E"/>
    <w:rsid w:val="00134DAF"/>
    <w:rsid w:val="00134DBC"/>
    <w:rsid w:val="00134EF7"/>
    <w:rsid w:val="00134F15"/>
    <w:rsid w:val="00134F90"/>
    <w:rsid w:val="00135070"/>
    <w:rsid w:val="001350E9"/>
    <w:rsid w:val="001350F9"/>
    <w:rsid w:val="00135154"/>
    <w:rsid w:val="00135187"/>
    <w:rsid w:val="0013522B"/>
    <w:rsid w:val="00135310"/>
    <w:rsid w:val="00135321"/>
    <w:rsid w:val="00135327"/>
    <w:rsid w:val="00135436"/>
    <w:rsid w:val="00135473"/>
    <w:rsid w:val="00135476"/>
    <w:rsid w:val="001355E3"/>
    <w:rsid w:val="0013560C"/>
    <w:rsid w:val="001356D1"/>
    <w:rsid w:val="0013573E"/>
    <w:rsid w:val="00135790"/>
    <w:rsid w:val="001357D9"/>
    <w:rsid w:val="001357FF"/>
    <w:rsid w:val="0013585B"/>
    <w:rsid w:val="00135963"/>
    <w:rsid w:val="00135A3D"/>
    <w:rsid w:val="00135B36"/>
    <w:rsid w:val="00135B3C"/>
    <w:rsid w:val="00135B4A"/>
    <w:rsid w:val="00135BD2"/>
    <w:rsid w:val="00135BEF"/>
    <w:rsid w:val="00135D90"/>
    <w:rsid w:val="00135E4C"/>
    <w:rsid w:val="00135E5B"/>
    <w:rsid w:val="00135EA8"/>
    <w:rsid w:val="00135F9A"/>
    <w:rsid w:val="00135FE8"/>
    <w:rsid w:val="00136020"/>
    <w:rsid w:val="0013602B"/>
    <w:rsid w:val="001360D7"/>
    <w:rsid w:val="00136138"/>
    <w:rsid w:val="001361B6"/>
    <w:rsid w:val="00136226"/>
    <w:rsid w:val="001362D1"/>
    <w:rsid w:val="001362D3"/>
    <w:rsid w:val="00136355"/>
    <w:rsid w:val="001363CB"/>
    <w:rsid w:val="001363DE"/>
    <w:rsid w:val="00136419"/>
    <w:rsid w:val="00136436"/>
    <w:rsid w:val="00136491"/>
    <w:rsid w:val="0013650F"/>
    <w:rsid w:val="00136561"/>
    <w:rsid w:val="001366BA"/>
    <w:rsid w:val="00136762"/>
    <w:rsid w:val="00136802"/>
    <w:rsid w:val="00136818"/>
    <w:rsid w:val="0013687D"/>
    <w:rsid w:val="001368A4"/>
    <w:rsid w:val="001368F7"/>
    <w:rsid w:val="00136904"/>
    <w:rsid w:val="001369D3"/>
    <w:rsid w:val="00136ADD"/>
    <w:rsid w:val="00136B59"/>
    <w:rsid w:val="00136BD7"/>
    <w:rsid w:val="00136C6C"/>
    <w:rsid w:val="00136CF3"/>
    <w:rsid w:val="00136D1C"/>
    <w:rsid w:val="00136D52"/>
    <w:rsid w:val="00136DF0"/>
    <w:rsid w:val="00136E27"/>
    <w:rsid w:val="00136E85"/>
    <w:rsid w:val="00136E90"/>
    <w:rsid w:val="00136EAA"/>
    <w:rsid w:val="00136F2B"/>
    <w:rsid w:val="00136F49"/>
    <w:rsid w:val="00136F6E"/>
    <w:rsid w:val="00137060"/>
    <w:rsid w:val="0013722D"/>
    <w:rsid w:val="00137280"/>
    <w:rsid w:val="001373F5"/>
    <w:rsid w:val="001374C4"/>
    <w:rsid w:val="00137523"/>
    <w:rsid w:val="00137676"/>
    <w:rsid w:val="001376C7"/>
    <w:rsid w:val="001376D7"/>
    <w:rsid w:val="00137705"/>
    <w:rsid w:val="0013773B"/>
    <w:rsid w:val="001377EA"/>
    <w:rsid w:val="001377F4"/>
    <w:rsid w:val="001378E9"/>
    <w:rsid w:val="001379C6"/>
    <w:rsid w:val="001379F0"/>
    <w:rsid w:val="00137A52"/>
    <w:rsid w:val="00137B02"/>
    <w:rsid w:val="00137B88"/>
    <w:rsid w:val="00137BB6"/>
    <w:rsid w:val="00137BBA"/>
    <w:rsid w:val="00137C03"/>
    <w:rsid w:val="00137C81"/>
    <w:rsid w:val="00137CFE"/>
    <w:rsid w:val="00137DF9"/>
    <w:rsid w:val="00137E22"/>
    <w:rsid w:val="00140046"/>
    <w:rsid w:val="00140051"/>
    <w:rsid w:val="00140098"/>
    <w:rsid w:val="0014012B"/>
    <w:rsid w:val="0014013A"/>
    <w:rsid w:val="00140142"/>
    <w:rsid w:val="00140165"/>
    <w:rsid w:val="00140179"/>
    <w:rsid w:val="00140230"/>
    <w:rsid w:val="00140504"/>
    <w:rsid w:val="001405BA"/>
    <w:rsid w:val="001405F2"/>
    <w:rsid w:val="00140602"/>
    <w:rsid w:val="001406A0"/>
    <w:rsid w:val="001406CA"/>
    <w:rsid w:val="001406D4"/>
    <w:rsid w:val="001407D4"/>
    <w:rsid w:val="001407E2"/>
    <w:rsid w:val="001408FD"/>
    <w:rsid w:val="00140929"/>
    <w:rsid w:val="00140936"/>
    <w:rsid w:val="001409E6"/>
    <w:rsid w:val="00140AF9"/>
    <w:rsid w:val="00140B09"/>
    <w:rsid w:val="00140BAF"/>
    <w:rsid w:val="00140E2E"/>
    <w:rsid w:val="00140F3F"/>
    <w:rsid w:val="00140F74"/>
    <w:rsid w:val="00140FD2"/>
    <w:rsid w:val="00141134"/>
    <w:rsid w:val="00141172"/>
    <w:rsid w:val="00141237"/>
    <w:rsid w:val="0014131C"/>
    <w:rsid w:val="001413EF"/>
    <w:rsid w:val="0014151A"/>
    <w:rsid w:val="00141535"/>
    <w:rsid w:val="00141596"/>
    <w:rsid w:val="00141867"/>
    <w:rsid w:val="0014186A"/>
    <w:rsid w:val="001419F9"/>
    <w:rsid w:val="00141A00"/>
    <w:rsid w:val="00141A37"/>
    <w:rsid w:val="00141BE0"/>
    <w:rsid w:val="00141C88"/>
    <w:rsid w:val="00141D73"/>
    <w:rsid w:val="0014209E"/>
    <w:rsid w:val="00142154"/>
    <w:rsid w:val="00142193"/>
    <w:rsid w:val="0014219F"/>
    <w:rsid w:val="001421CC"/>
    <w:rsid w:val="001422D0"/>
    <w:rsid w:val="00142361"/>
    <w:rsid w:val="0014265D"/>
    <w:rsid w:val="00142704"/>
    <w:rsid w:val="001428D8"/>
    <w:rsid w:val="00142932"/>
    <w:rsid w:val="00142970"/>
    <w:rsid w:val="00142A5F"/>
    <w:rsid w:val="00142A67"/>
    <w:rsid w:val="00142ADE"/>
    <w:rsid w:val="00142C17"/>
    <w:rsid w:val="00142C47"/>
    <w:rsid w:val="00142C9C"/>
    <w:rsid w:val="00142D6A"/>
    <w:rsid w:val="00142D8C"/>
    <w:rsid w:val="00142EE7"/>
    <w:rsid w:val="00142EEE"/>
    <w:rsid w:val="00142F98"/>
    <w:rsid w:val="00142FA0"/>
    <w:rsid w:val="00143029"/>
    <w:rsid w:val="0014306D"/>
    <w:rsid w:val="00143116"/>
    <w:rsid w:val="0014320F"/>
    <w:rsid w:val="001432F6"/>
    <w:rsid w:val="00143346"/>
    <w:rsid w:val="00143350"/>
    <w:rsid w:val="001434D3"/>
    <w:rsid w:val="0014350D"/>
    <w:rsid w:val="00143613"/>
    <w:rsid w:val="0014366B"/>
    <w:rsid w:val="00143684"/>
    <w:rsid w:val="00143703"/>
    <w:rsid w:val="00143705"/>
    <w:rsid w:val="00143778"/>
    <w:rsid w:val="001437A3"/>
    <w:rsid w:val="001438AC"/>
    <w:rsid w:val="0014391D"/>
    <w:rsid w:val="00143928"/>
    <w:rsid w:val="00143A70"/>
    <w:rsid w:val="00143AC5"/>
    <w:rsid w:val="00143C54"/>
    <w:rsid w:val="00143CBA"/>
    <w:rsid w:val="00143CD5"/>
    <w:rsid w:val="00143CE6"/>
    <w:rsid w:val="00143D64"/>
    <w:rsid w:val="00143DAE"/>
    <w:rsid w:val="00143DDA"/>
    <w:rsid w:val="00143E49"/>
    <w:rsid w:val="00143F54"/>
    <w:rsid w:val="00143F8F"/>
    <w:rsid w:val="00144119"/>
    <w:rsid w:val="00144183"/>
    <w:rsid w:val="001441C7"/>
    <w:rsid w:val="001443C4"/>
    <w:rsid w:val="001444D0"/>
    <w:rsid w:val="0014462C"/>
    <w:rsid w:val="0014468A"/>
    <w:rsid w:val="001446A6"/>
    <w:rsid w:val="001446CA"/>
    <w:rsid w:val="00144968"/>
    <w:rsid w:val="00144B48"/>
    <w:rsid w:val="00144B5F"/>
    <w:rsid w:val="00144B93"/>
    <w:rsid w:val="00144C44"/>
    <w:rsid w:val="00144C98"/>
    <w:rsid w:val="00144D5F"/>
    <w:rsid w:val="00144DC0"/>
    <w:rsid w:val="00144E42"/>
    <w:rsid w:val="00144ED9"/>
    <w:rsid w:val="00145147"/>
    <w:rsid w:val="00145264"/>
    <w:rsid w:val="00145283"/>
    <w:rsid w:val="001452FD"/>
    <w:rsid w:val="0014536A"/>
    <w:rsid w:val="00145487"/>
    <w:rsid w:val="00145497"/>
    <w:rsid w:val="001454BF"/>
    <w:rsid w:val="001454CD"/>
    <w:rsid w:val="001454E9"/>
    <w:rsid w:val="001454F1"/>
    <w:rsid w:val="00145530"/>
    <w:rsid w:val="00145548"/>
    <w:rsid w:val="00145666"/>
    <w:rsid w:val="001456BD"/>
    <w:rsid w:val="001457E0"/>
    <w:rsid w:val="001457E7"/>
    <w:rsid w:val="001459B3"/>
    <w:rsid w:val="001459D5"/>
    <w:rsid w:val="001459DF"/>
    <w:rsid w:val="00145A54"/>
    <w:rsid w:val="00145A5D"/>
    <w:rsid w:val="00145AB9"/>
    <w:rsid w:val="00145ACE"/>
    <w:rsid w:val="00145AF1"/>
    <w:rsid w:val="00145B71"/>
    <w:rsid w:val="00145D40"/>
    <w:rsid w:val="00145DBD"/>
    <w:rsid w:val="00145EA3"/>
    <w:rsid w:val="00145F79"/>
    <w:rsid w:val="00145F84"/>
    <w:rsid w:val="001460E6"/>
    <w:rsid w:val="00146106"/>
    <w:rsid w:val="00146177"/>
    <w:rsid w:val="00146181"/>
    <w:rsid w:val="001461B0"/>
    <w:rsid w:val="001461EF"/>
    <w:rsid w:val="0014622F"/>
    <w:rsid w:val="001462B9"/>
    <w:rsid w:val="001464E1"/>
    <w:rsid w:val="001464F1"/>
    <w:rsid w:val="00146553"/>
    <w:rsid w:val="00146584"/>
    <w:rsid w:val="001465CC"/>
    <w:rsid w:val="0014663E"/>
    <w:rsid w:val="00146654"/>
    <w:rsid w:val="0014665D"/>
    <w:rsid w:val="0014676E"/>
    <w:rsid w:val="0014684E"/>
    <w:rsid w:val="00146951"/>
    <w:rsid w:val="00146A19"/>
    <w:rsid w:val="00146B71"/>
    <w:rsid w:val="00146CAE"/>
    <w:rsid w:val="00146D64"/>
    <w:rsid w:val="00146E3E"/>
    <w:rsid w:val="00147017"/>
    <w:rsid w:val="001471E2"/>
    <w:rsid w:val="00147245"/>
    <w:rsid w:val="0014724C"/>
    <w:rsid w:val="001472A7"/>
    <w:rsid w:val="001472D6"/>
    <w:rsid w:val="00147399"/>
    <w:rsid w:val="00147420"/>
    <w:rsid w:val="0014750F"/>
    <w:rsid w:val="00147511"/>
    <w:rsid w:val="0014760B"/>
    <w:rsid w:val="0014764D"/>
    <w:rsid w:val="001476BB"/>
    <w:rsid w:val="00147710"/>
    <w:rsid w:val="00147795"/>
    <w:rsid w:val="001478E0"/>
    <w:rsid w:val="001478E3"/>
    <w:rsid w:val="0014797E"/>
    <w:rsid w:val="0014799D"/>
    <w:rsid w:val="00147A37"/>
    <w:rsid w:val="00147AB2"/>
    <w:rsid w:val="00147EBF"/>
    <w:rsid w:val="00147F27"/>
    <w:rsid w:val="00147FBB"/>
    <w:rsid w:val="0015005B"/>
    <w:rsid w:val="00150295"/>
    <w:rsid w:val="001502F2"/>
    <w:rsid w:val="00150473"/>
    <w:rsid w:val="00150485"/>
    <w:rsid w:val="001504FC"/>
    <w:rsid w:val="001505E7"/>
    <w:rsid w:val="001505F5"/>
    <w:rsid w:val="00150641"/>
    <w:rsid w:val="001506C2"/>
    <w:rsid w:val="00150A12"/>
    <w:rsid w:val="00150A1C"/>
    <w:rsid w:val="00150ADB"/>
    <w:rsid w:val="00150AE9"/>
    <w:rsid w:val="00150B16"/>
    <w:rsid w:val="00150C1D"/>
    <w:rsid w:val="00150C6B"/>
    <w:rsid w:val="00150D7B"/>
    <w:rsid w:val="00150E77"/>
    <w:rsid w:val="00150F15"/>
    <w:rsid w:val="00151026"/>
    <w:rsid w:val="0015107D"/>
    <w:rsid w:val="0015116E"/>
    <w:rsid w:val="00151241"/>
    <w:rsid w:val="00151281"/>
    <w:rsid w:val="0015155C"/>
    <w:rsid w:val="00151584"/>
    <w:rsid w:val="001515CF"/>
    <w:rsid w:val="00151764"/>
    <w:rsid w:val="00151767"/>
    <w:rsid w:val="00151769"/>
    <w:rsid w:val="001517A9"/>
    <w:rsid w:val="0015180E"/>
    <w:rsid w:val="00151881"/>
    <w:rsid w:val="0015192B"/>
    <w:rsid w:val="00151B8F"/>
    <w:rsid w:val="00151C2F"/>
    <w:rsid w:val="00151D75"/>
    <w:rsid w:val="00151DFB"/>
    <w:rsid w:val="00151EAD"/>
    <w:rsid w:val="00151F8A"/>
    <w:rsid w:val="001520E1"/>
    <w:rsid w:val="001522C3"/>
    <w:rsid w:val="00152345"/>
    <w:rsid w:val="0015240B"/>
    <w:rsid w:val="00152443"/>
    <w:rsid w:val="00152453"/>
    <w:rsid w:val="00152483"/>
    <w:rsid w:val="00152565"/>
    <w:rsid w:val="00152571"/>
    <w:rsid w:val="00152594"/>
    <w:rsid w:val="001525E5"/>
    <w:rsid w:val="00152664"/>
    <w:rsid w:val="00152685"/>
    <w:rsid w:val="001526B2"/>
    <w:rsid w:val="001526D3"/>
    <w:rsid w:val="0015283D"/>
    <w:rsid w:val="001528FA"/>
    <w:rsid w:val="00152B5C"/>
    <w:rsid w:val="00152BBC"/>
    <w:rsid w:val="00152BCC"/>
    <w:rsid w:val="00152C47"/>
    <w:rsid w:val="00152CC9"/>
    <w:rsid w:val="00152CD9"/>
    <w:rsid w:val="00152CF0"/>
    <w:rsid w:val="00152E62"/>
    <w:rsid w:val="00153331"/>
    <w:rsid w:val="00153392"/>
    <w:rsid w:val="00153400"/>
    <w:rsid w:val="00153663"/>
    <w:rsid w:val="00153664"/>
    <w:rsid w:val="001538E4"/>
    <w:rsid w:val="001538EA"/>
    <w:rsid w:val="001539E4"/>
    <w:rsid w:val="00153A05"/>
    <w:rsid w:val="00153A6E"/>
    <w:rsid w:val="00153AB1"/>
    <w:rsid w:val="00153BCF"/>
    <w:rsid w:val="00153C92"/>
    <w:rsid w:val="00153D0E"/>
    <w:rsid w:val="00153D70"/>
    <w:rsid w:val="00153E33"/>
    <w:rsid w:val="00153E86"/>
    <w:rsid w:val="00153ED2"/>
    <w:rsid w:val="00153F8E"/>
    <w:rsid w:val="00153FE6"/>
    <w:rsid w:val="001540FD"/>
    <w:rsid w:val="00154212"/>
    <w:rsid w:val="0015423D"/>
    <w:rsid w:val="00154252"/>
    <w:rsid w:val="0015425A"/>
    <w:rsid w:val="001542A0"/>
    <w:rsid w:val="001543DC"/>
    <w:rsid w:val="00154519"/>
    <w:rsid w:val="00154546"/>
    <w:rsid w:val="001545F5"/>
    <w:rsid w:val="0015461D"/>
    <w:rsid w:val="001547DD"/>
    <w:rsid w:val="0015483A"/>
    <w:rsid w:val="001548D8"/>
    <w:rsid w:val="001548EF"/>
    <w:rsid w:val="001548FD"/>
    <w:rsid w:val="00154A63"/>
    <w:rsid w:val="00154B90"/>
    <w:rsid w:val="00154BC1"/>
    <w:rsid w:val="00154C09"/>
    <w:rsid w:val="00154C3C"/>
    <w:rsid w:val="00154DE5"/>
    <w:rsid w:val="00154E10"/>
    <w:rsid w:val="00154E80"/>
    <w:rsid w:val="00154FA5"/>
    <w:rsid w:val="00154FBE"/>
    <w:rsid w:val="00154FC5"/>
    <w:rsid w:val="00155012"/>
    <w:rsid w:val="0015507F"/>
    <w:rsid w:val="0015511D"/>
    <w:rsid w:val="00155141"/>
    <w:rsid w:val="00155497"/>
    <w:rsid w:val="001554AA"/>
    <w:rsid w:val="001554B8"/>
    <w:rsid w:val="001555CC"/>
    <w:rsid w:val="001555F2"/>
    <w:rsid w:val="0015589E"/>
    <w:rsid w:val="001558E3"/>
    <w:rsid w:val="00155914"/>
    <w:rsid w:val="00155951"/>
    <w:rsid w:val="00155A14"/>
    <w:rsid w:val="00155A37"/>
    <w:rsid w:val="00155A40"/>
    <w:rsid w:val="00155A51"/>
    <w:rsid w:val="00155A55"/>
    <w:rsid w:val="00155A89"/>
    <w:rsid w:val="00155AFB"/>
    <w:rsid w:val="00155B10"/>
    <w:rsid w:val="00155B1A"/>
    <w:rsid w:val="00155BA2"/>
    <w:rsid w:val="00155C61"/>
    <w:rsid w:val="00155C98"/>
    <w:rsid w:val="00155D7B"/>
    <w:rsid w:val="00155E1D"/>
    <w:rsid w:val="00155E3A"/>
    <w:rsid w:val="00155F09"/>
    <w:rsid w:val="00156131"/>
    <w:rsid w:val="001561E1"/>
    <w:rsid w:val="00156490"/>
    <w:rsid w:val="001564D7"/>
    <w:rsid w:val="001564FC"/>
    <w:rsid w:val="00156538"/>
    <w:rsid w:val="001565A8"/>
    <w:rsid w:val="0015663E"/>
    <w:rsid w:val="00156656"/>
    <w:rsid w:val="0015670C"/>
    <w:rsid w:val="00156715"/>
    <w:rsid w:val="0015681A"/>
    <w:rsid w:val="00156900"/>
    <w:rsid w:val="00156A00"/>
    <w:rsid w:val="00156A13"/>
    <w:rsid w:val="00156AD9"/>
    <w:rsid w:val="00156B0C"/>
    <w:rsid w:val="00156BF5"/>
    <w:rsid w:val="00156BF6"/>
    <w:rsid w:val="00156C0F"/>
    <w:rsid w:val="00156C71"/>
    <w:rsid w:val="00156D4F"/>
    <w:rsid w:val="00156FAB"/>
    <w:rsid w:val="00156FB7"/>
    <w:rsid w:val="00156FC5"/>
    <w:rsid w:val="00156FE3"/>
    <w:rsid w:val="0015703F"/>
    <w:rsid w:val="00157060"/>
    <w:rsid w:val="0015706B"/>
    <w:rsid w:val="00157118"/>
    <w:rsid w:val="001571AD"/>
    <w:rsid w:val="0015734C"/>
    <w:rsid w:val="001573DC"/>
    <w:rsid w:val="00157452"/>
    <w:rsid w:val="001574C0"/>
    <w:rsid w:val="00157507"/>
    <w:rsid w:val="00157526"/>
    <w:rsid w:val="0015754E"/>
    <w:rsid w:val="001576DC"/>
    <w:rsid w:val="001578F8"/>
    <w:rsid w:val="00157993"/>
    <w:rsid w:val="00157999"/>
    <w:rsid w:val="00157B27"/>
    <w:rsid w:val="00157B9B"/>
    <w:rsid w:val="00157BC1"/>
    <w:rsid w:val="00157BDE"/>
    <w:rsid w:val="00157EC2"/>
    <w:rsid w:val="00157ED0"/>
    <w:rsid w:val="00157F1E"/>
    <w:rsid w:val="00157FFC"/>
    <w:rsid w:val="001600E5"/>
    <w:rsid w:val="0016011C"/>
    <w:rsid w:val="00160145"/>
    <w:rsid w:val="0016017C"/>
    <w:rsid w:val="001603D7"/>
    <w:rsid w:val="0016051E"/>
    <w:rsid w:val="00160601"/>
    <w:rsid w:val="0016063D"/>
    <w:rsid w:val="00160678"/>
    <w:rsid w:val="001606CF"/>
    <w:rsid w:val="00160729"/>
    <w:rsid w:val="0016077D"/>
    <w:rsid w:val="00160853"/>
    <w:rsid w:val="0016086E"/>
    <w:rsid w:val="001608EB"/>
    <w:rsid w:val="0016094E"/>
    <w:rsid w:val="001609ED"/>
    <w:rsid w:val="00160A2D"/>
    <w:rsid w:val="00160A45"/>
    <w:rsid w:val="00160B8C"/>
    <w:rsid w:val="00160B95"/>
    <w:rsid w:val="00160BD6"/>
    <w:rsid w:val="00160BDC"/>
    <w:rsid w:val="00160D58"/>
    <w:rsid w:val="00160DE9"/>
    <w:rsid w:val="00160F6C"/>
    <w:rsid w:val="00160F82"/>
    <w:rsid w:val="0016102F"/>
    <w:rsid w:val="0016111C"/>
    <w:rsid w:val="00161165"/>
    <w:rsid w:val="0016128D"/>
    <w:rsid w:val="001612DD"/>
    <w:rsid w:val="0016137A"/>
    <w:rsid w:val="001613CA"/>
    <w:rsid w:val="00161409"/>
    <w:rsid w:val="001614C9"/>
    <w:rsid w:val="001614DC"/>
    <w:rsid w:val="0016157A"/>
    <w:rsid w:val="001615BA"/>
    <w:rsid w:val="00161683"/>
    <w:rsid w:val="001616D2"/>
    <w:rsid w:val="001616D7"/>
    <w:rsid w:val="00161747"/>
    <w:rsid w:val="00161791"/>
    <w:rsid w:val="001617C3"/>
    <w:rsid w:val="00161897"/>
    <w:rsid w:val="001619BE"/>
    <w:rsid w:val="001619C1"/>
    <w:rsid w:val="00161AE6"/>
    <w:rsid w:val="00161B01"/>
    <w:rsid w:val="00161BD9"/>
    <w:rsid w:val="00161C09"/>
    <w:rsid w:val="00161C93"/>
    <w:rsid w:val="00161D14"/>
    <w:rsid w:val="00161F76"/>
    <w:rsid w:val="00161FE8"/>
    <w:rsid w:val="001620BD"/>
    <w:rsid w:val="001620F5"/>
    <w:rsid w:val="00162102"/>
    <w:rsid w:val="001622C1"/>
    <w:rsid w:val="001622EB"/>
    <w:rsid w:val="0016237B"/>
    <w:rsid w:val="001624BD"/>
    <w:rsid w:val="00162540"/>
    <w:rsid w:val="00162690"/>
    <w:rsid w:val="001626AE"/>
    <w:rsid w:val="001626BE"/>
    <w:rsid w:val="001626FF"/>
    <w:rsid w:val="00162832"/>
    <w:rsid w:val="0016289E"/>
    <w:rsid w:val="001628DD"/>
    <w:rsid w:val="0016294E"/>
    <w:rsid w:val="001629C6"/>
    <w:rsid w:val="001629CA"/>
    <w:rsid w:val="00162AC7"/>
    <w:rsid w:val="00162BB2"/>
    <w:rsid w:val="00162BF4"/>
    <w:rsid w:val="00162D60"/>
    <w:rsid w:val="00162D92"/>
    <w:rsid w:val="00162DCC"/>
    <w:rsid w:val="00162E4E"/>
    <w:rsid w:val="00162E51"/>
    <w:rsid w:val="00162EB6"/>
    <w:rsid w:val="0016309A"/>
    <w:rsid w:val="0016313D"/>
    <w:rsid w:val="001631C7"/>
    <w:rsid w:val="0016328D"/>
    <w:rsid w:val="001632A1"/>
    <w:rsid w:val="00163331"/>
    <w:rsid w:val="0016343F"/>
    <w:rsid w:val="0016364D"/>
    <w:rsid w:val="0016370C"/>
    <w:rsid w:val="00163740"/>
    <w:rsid w:val="0016381B"/>
    <w:rsid w:val="001638C2"/>
    <w:rsid w:val="0016397C"/>
    <w:rsid w:val="00163A2A"/>
    <w:rsid w:val="00163A6B"/>
    <w:rsid w:val="00163A97"/>
    <w:rsid w:val="00163B18"/>
    <w:rsid w:val="00163C69"/>
    <w:rsid w:val="00163E58"/>
    <w:rsid w:val="00163EB0"/>
    <w:rsid w:val="00163EE6"/>
    <w:rsid w:val="00163EF6"/>
    <w:rsid w:val="00164011"/>
    <w:rsid w:val="00164044"/>
    <w:rsid w:val="00164086"/>
    <w:rsid w:val="0016408D"/>
    <w:rsid w:val="001640FC"/>
    <w:rsid w:val="001641C2"/>
    <w:rsid w:val="0016428F"/>
    <w:rsid w:val="001642D4"/>
    <w:rsid w:val="0016435F"/>
    <w:rsid w:val="00164375"/>
    <w:rsid w:val="00164563"/>
    <w:rsid w:val="00164573"/>
    <w:rsid w:val="00164599"/>
    <w:rsid w:val="0016460D"/>
    <w:rsid w:val="0016466A"/>
    <w:rsid w:val="00164686"/>
    <w:rsid w:val="0016469E"/>
    <w:rsid w:val="001646E6"/>
    <w:rsid w:val="0016482E"/>
    <w:rsid w:val="00164876"/>
    <w:rsid w:val="001648A9"/>
    <w:rsid w:val="00164935"/>
    <w:rsid w:val="00164A53"/>
    <w:rsid w:val="00164A98"/>
    <w:rsid w:val="00164B0D"/>
    <w:rsid w:val="00164BD4"/>
    <w:rsid w:val="00164D31"/>
    <w:rsid w:val="00164E09"/>
    <w:rsid w:val="00164E1E"/>
    <w:rsid w:val="00164EBA"/>
    <w:rsid w:val="00165074"/>
    <w:rsid w:val="0016512A"/>
    <w:rsid w:val="001651BA"/>
    <w:rsid w:val="00165208"/>
    <w:rsid w:val="00165241"/>
    <w:rsid w:val="0016528A"/>
    <w:rsid w:val="001652A4"/>
    <w:rsid w:val="001652CA"/>
    <w:rsid w:val="001653D8"/>
    <w:rsid w:val="0016542F"/>
    <w:rsid w:val="00165466"/>
    <w:rsid w:val="0016546C"/>
    <w:rsid w:val="00165477"/>
    <w:rsid w:val="001654AE"/>
    <w:rsid w:val="001654B3"/>
    <w:rsid w:val="0016552C"/>
    <w:rsid w:val="00165590"/>
    <w:rsid w:val="001655A8"/>
    <w:rsid w:val="001655DE"/>
    <w:rsid w:val="001656D4"/>
    <w:rsid w:val="00165879"/>
    <w:rsid w:val="001658D4"/>
    <w:rsid w:val="00165B23"/>
    <w:rsid w:val="00165B24"/>
    <w:rsid w:val="00165B6D"/>
    <w:rsid w:val="00165C3D"/>
    <w:rsid w:val="00165C43"/>
    <w:rsid w:val="00165D3A"/>
    <w:rsid w:val="00165D98"/>
    <w:rsid w:val="00165ECC"/>
    <w:rsid w:val="00165F31"/>
    <w:rsid w:val="00165F4D"/>
    <w:rsid w:val="00166008"/>
    <w:rsid w:val="0016601F"/>
    <w:rsid w:val="001660A0"/>
    <w:rsid w:val="001660B0"/>
    <w:rsid w:val="0016621A"/>
    <w:rsid w:val="00166258"/>
    <w:rsid w:val="0016628A"/>
    <w:rsid w:val="001662AC"/>
    <w:rsid w:val="001662DD"/>
    <w:rsid w:val="00166481"/>
    <w:rsid w:val="00166594"/>
    <w:rsid w:val="00166599"/>
    <w:rsid w:val="00166605"/>
    <w:rsid w:val="001666AA"/>
    <w:rsid w:val="001666CF"/>
    <w:rsid w:val="001666E0"/>
    <w:rsid w:val="00166798"/>
    <w:rsid w:val="00166850"/>
    <w:rsid w:val="00166935"/>
    <w:rsid w:val="00166958"/>
    <w:rsid w:val="00166A3C"/>
    <w:rsid w:val="00166AE0"/>
    <w:rsid w:val="00166B2C"/>
    <w:rsid w:val="00166B73"/>
    <w:rsid w:val="00166B77"/>
    <w:rsid w:val="00166CF0"/>
    <w:rsid w:val="00166CF7"/>
    <w:rsid w:val="00166CF9"/>
    <w:rsid w:val="00166D01"/>
    <w:rsid w:val="00166D03"/>
    <w:rsid w:val="00166D27"/>
    <w:rsid w:val="00166D51"/>
    <w:rsid w:val="00166E09"/>
    <w:rsid w:val="00166E16"/>
    <w:rsid w:val="00166E8E"/>
    <w:rsid w:val="00166EA1"/>
    <w:rsid w:val="00167003"/>
    <w:rsid w:val="00167049"/>
    <w:rsid w:val="00167131"/>
    <w:rsid w:val="00167157"/>
    <w:rsid w:val="00167275"/>
    <w:rsid w:val="0016737A"/>
    <w:rsid w:val="00167521"/>
    <w:rsid w:val="0016756F"/>
    <w:rsid w:val="001675DC"/>
    <w:rsid w:val="00167625"/>
    <w:rsid w:val="0016768B"/>
    <w:rsid w:val="001676CF"/>
    <w:rsid w:val="001676D4"/>
    <w:rsid w:val="00167701"/>
    <w:rsid w:val="001677E6"/>
    <w:rsid w:val="001677FC"/>
    <w:rsid w:val="001678CC"/>
    <w:rsid w:val="00167977"/>
    <w:rsid w:val="001679BD"/>
    <w:rsid w:val="00167B4B"/>
    <w:rsid w:val="00167CFE"/>
    <w:rsid w:val="00167D1F"/>
    <w:rsid w:val="00167D2F"/>
    <w:rsid w:val="00167D60"/>
    <w:rsid w:val="00167D6E"/>
    <w:rsid w:val="00167E26"/>
    <w:rsid w:val="00167F9E"/>
    <w:rsid w:val="0017005E"/>
    <w:rsid w:val="001700AC"/>
    <w:rsid w:val="0017013F"/>
    <w:rsid w:val="001701AA"/>
    <w:rsid w:val="001701BA"/>
    <w:rsid w:val="001702A9"/>
    <w:rsid w:val="001702EF"/>
    <w:rsid w:val="00170319"/>
    <w:rsid w:val="0017044C"/>
    <w:rsid w:val="00170452"/>
    <w:rsid w:val="001704FD"/>
    <w:rsid w:val="001705E3"/>
    <w:rsid w:val="001705EC"/>
    <w:rsid w:val="00170712"/>
    <w:rsid w:val="0017089D"/>
    <w:rsid w:val="001708F5"/>
    <w:rsid w:val="00170A05"/>
    <w:rsid w:val="00170AD3"/>
    <w:rsid w:val="00170C8B"/>
    <w:rsid w:val="00170D73"/>
    <w:rsid w:val="00170DC0"/>
    <w:rsid w:val="00170E15"/>
    <w:rsid w:val="00170E69"/>
    <w:rsid w:val="00170EA1"/>
    <w:rsid w:val="00170F47"/>
    <w:rsid w:val="001712E8"/>
    <w:rsid w:val="0017136D"/>
    <w:rsid w:val="001713BA"/>
    <w:rsid w:val="001713E0"/>
    <w:rsid w:val="00171423"/>
    <w:rsid w:val="00171502"/>
    <w:rsid w:val="001715A8"/>
    <w:rsid w:val="001715B3"/>
    <w:rsid w:val="001715D1"/>
    <w:rsid w:val="0017164B"/>
    <w:rsid w:val="001716A7"/>
    <w:rsid w:val="00171797"/>
    <w:rsid w:val="00171826"/>
    <w:rsid w:val="00171A69"/>
    <w:rsid w:val="00171A9C"/>
    <w:rsid w:val="00171B02"/>
    <w:rsid w:val="00171B8D"/>
    <w:rsid w:val="00171BBF"/>
    <w:rsid w:val="00171BD6"/>
    <w:rsid w:val="00171CE2"/>
    <w:rsid w:val="00171DED"/>
    <w:rsid w:val="00171DF4"/>
    <w:rsid w:val="00171E1C"/>
    <w:rsid w:val="00171E2B"/>
    <w:rsid w:val="00171E85"/>
    <w:rsid w:val="00171F52"/>
    <w:rsid w:val="00172045"/>
    <w:rsid w:val="001720C4"/>
    <w:rsid w:val="00172123"/>
    <w:rsid w:val="00172253"/>
    <w:rsid w:val="001723F5"/>
    <w:rsid w:val="0017240B"/>
    <w:rsid w:val="00172449"/>
    <w:rsid w:val="001724A7"/>
    <w:rsid w:val="00172699"/>
    <w:rsid w:val="001726CF"/>
    <w:rsid w:val="0017275D"/>
    <w:rsid w:val="00172777"/>
    <w:rsid w:val="00172796"/>
    <w:rsid w:val="0017287B"/>
    <w:rsid w:val="001728A1"/>
    <w:rsid w:val="001729D0"/>
    <w:rsid w:val="00172AE1"/>
    <w:rsid w:val="00172C71"/>
    <w:rsid w:val="00172C7D"/>
    <w:rsid w:val="00172E6F"/>
    <w:rsid w:val="00172EC5"/>
    <w:rsid w:val="00172FCB"/>
    <w:rsid w:val="00173064"/>
    <w:rsid w:val="00173230"/>
    <w:rsid w:val="00173295"/>
    <w:rsid w:val="00173329"/>
    <w:rsid w:val="0017338C"/>
    <w:rsid w:val="001734C2"/>
    <w:rsid w:val="001734F4"/>
    <w:rsid w:val="00173513"/>
    <w:rsid w:val="00173636"/>
    <w:rsid w:val="0017363A"/>
    <w:rsid w:val="0017379C"/>
    <w:rsid w:val="001737B4"/>
    <w:rsid w:val="001737F4"/>
    <w:rsid w:val="00173818"/>
    <w:rsid w:val="001738E7"/>
    <w:rsid w:val="00173BB8"/>
    <w:rsid w:val="00173DD6"/>
    <w:rsid w:val="00173E55"/>
    <w:rsid w:val="00173F9B"/>
    <w:rsid w:val="00174056"/>
    <w:rsid w:val="00174086"/>
    <w:rsid w:val="0017414B"/>
    <w:rsid w:val="001741DB"/>
    <w:rsid w:val="00174202"/>
    <w:rsid w:val="0017429B"/>
    <w:rsid w:val="001743DB"/>
    <w:rsid w:val="001743FD"/>
    <w:rsid w:val="001744B6"/>
    <w:rsid w:val="001744CF"/>
    <w:rsid w:val="0017466A"/>
    <w:rsid w:val="00174695"/>
    <w:rsid w:val="0017476A"/>
    <w:rsid w:val="001748D6"/>
    <w:rsid w:val="001748E3"/>
    <w:rsid w:val="00174922"/>
    <w:rsid w:val="0017492B"/>
    <w:rsid w:val="00174A33"/>
    <w:rsid w:val="00174A69"/>
    <w:rsid w:val="00174C17"/>
    <w:rsid w:val="00174C1A"/>
    <w:rsid w:val="00174C4E"/>
    <w:rsid w:val="00174C85"/>
    <w:rsid w:val="00174DC0"/>
    <w:rsid w:val="00174E01"/>
    <w:rsid w:val="00174E04"/>
    <w:rsid w:val="00174E98"/>
    <w:rsid w:val="0017516A"/>
    <w:rsid w:val="001751A6"/>
    <w:rsid w:val="0017524E"/>
    <w:rsid w:val="0017526F"/>
    <w:rsid w:val="0017538B"/>
    <w:rsid w:val="001753C5"/>
    <w:rsid w:val="00175562"/>
    <w:rsid w:val="001755C5"/>
    <w:rsid w:val="001757E5"/>
    <w:rsid w:val="0017584E"/>
    <w:rsid w:val="00175909"/>
    <w:rsid w:val="00175BDA"/>
    <w:rsid w:val="00175BF4"/>
    <w:rsid w:val="00175C46"/>
    <w:rsid w:val="00175CB2"/>
    <w:rsid w:val="00175CC4"/>
    <w:rsid w:val="00175D17"/>
    <w:rsid w:val="00175D4A"/>
    <w:rsid w:val="00175E89"/>
    <w:rsid w:val="00175EA3"/>
    <w:rsid w:val="00175F50"/>
    <w:rsid w:val="00175FE7"/>
    <w:rsid w:val="00176048"/>
    <w:rsid w:val="0017607A"/>
    <w:rsid w:val="0017608F"/>
    <w:rsid w:val="001760B9"/>
    <w:rsid w:val="001761B8"/>
    <w:rsid w:val="00176340"/>
    <w:rsid w:val="001763AE"/>
    <w:rsid w:val="00176422"/>
    <w:rsid w:val="0017644F"/>
    <w:rsid w:val="001764D0"/>
    <w:rsid w:val="001764DD"/>
    <w:rsid w:val="001765D4"/>
    <w:rsid w:val="00176674"/>
    <w:rsid w:val="00176714"/>
    <w:rsid w:val="00176854"/>
    <w:rsid w:val="00176874"/>
    <w:rsid w:val="00176A96"/>
    <w:rsid w:val="00176AA5"/>
    <w:rsid w:val="00176AC5"/>
    <w:rsid w:val="00176AF0"/>
    <w:rsid w:val="00176B17"/>
    <w:rsid w:val="00176B8B"/>
    <w:rsid w:val="00176C01"/>
    <w:rsid w:val="00176C03"/>
    <w:rsid w:val="00176C96"/>
    <w:rsid w:val="00176D3F"/>
    <w:rsid w:val="00176F36"/>
    <w:rsid w:val="00176F8E"/>
    <w:rsid w:val="00176FEF"/>
    <w:rsid w:val="00176FFD"/>
    <w:rsid w:val="00177067"/>
    <w:rsid w:val="001770C9"/>
    <w:rsid w:val="00177105"/>
    <w:rsid w:val="001773C8"/>
    <w:rsid w:val="001773F3"/>
    <w:rsid w:val="00177445"/>
    <w:rsid w:val="001775A8"/>
    <w:rsid w:val="00177604"/>
    <w:rsid w:val="00177690"/>
    <w:rsid w:val="00177785"/>
    <w:rsid w:val="001777F3"/>
    <w:rsid w:val="00177801"/>
    <w:rsid w:val="0017780D"/>
    <w:rsid w:val="001778E9"/>
    <w:rsid w:val="00177A48"/>
    <w:rsid w:val="00177A4B"/>
    <w:rsid w:val="00177B0C"/>
    <w:rsid w:val="00177B0D"/>
    <w:rsid w:val="00177B15"/>
    <w:rsid w:val="00177B2F"/>
    <w:rsid w:val="00177B88"/>
    <w:rsid w:val="00177BF2"/>
    <w:rsid w:val="00177D7F"/>
    <w:rsid w:val="00177DA1"/>
    <w:rsid w:val="00177E59"/>
    <w:rsid w:val="00177E73"/>
    <w:rsid w:val="00177E7F"/>
    <w:rsid w:val="00177E8F"/>
    <w:rsid w:val="00177F26"/>
    <w:rsid w:val="00177F5C"/>
    <w:rsid w:val="0018001A"/>
    <w:rsid w:val="00180044"/>
    <w:rsid w:val="0018008D"/>
    <w:rsid w:val="00180118"/>
    <w:rsid w:val="00180162"/>
    <w:rsid w:val="001802EB"/>
    <w:rsid w:val="00180389"/>
    <w:rsid w:val="001804E4"/>
    <w:rsid w:val="001805A8"/>
    <w:rsid w:val="001805C3"/>
    <w:rsid w:val="0018061D"/>
    <w:rsid w:val="00180640"/>
    <w:rsid w:val="00180674"/>
    <w:rsid w:val="001806DC"/>
    <w:rsid w:val="001806E0"/>
    <w:rsid w:val="0018079C"/>
    <w:rsid w:val="001807AD"/>
    <w:rsid w:val="00180850"/>
    <w:rsid w:val="0018097B"/>
    <w:rsid w:val="001809E9"/>
    <w:rsid w:val="00180B1B"/>
    <w:rsid w:val="00180BF5"/>
    <w:rsid w:val="00180C41"/>
    <w:rsid w:val="00180CD0"/>
    <w:rsid w:val="00180E1B"/>
    <w:rsid w:val="00180F4C"/>
    <w:rsid w:val="00180F96"/>
    <w:rsid w:val="00181054"/>
    <w:rsid w:val="001812F5"/>
    <w:rsid w:val="001813F3"/>
    <w:rsid w:val="001814BB"/>
    <w:rsid w:val="00181568"/>
    <w:rsid w:val="001815B7"/>
    <w:rsid w:val="0018163A"/>
    <w:rsid w:val="00181759"/>
    <w:rsid w:val="0018178B"/>
    <w:rsid w:val="00181798"/>
    <w:rsid w:val="0018185B"/>
    <w:rsid w:val="00181867"/>
    <w:rsid w:val="0018186A"/>
    <w:rsid w:val="00181A43"/>
    <w:rsid w:val="00181B5C"/>
    <w:rsid w:val="00181BC0"/>
    <w:rsid w:val="00181C56"/>
    <w:rsid w:val="00181D11"/>
    <w:rsid w:val="00181E88"/>
    <w:rsid w:val="00181F08"/>
    <w:rsid w:val="00181F6C"/>
    <w:rsid w:val="00182035"/>
    <w:rsid w:val="001820B2"/>
    <w:rsid w:val="001821A1"/>
    <w:rsid w:val="00182267"/>
    <w:rsid w:val="001822C1"/>
    <w:rsid w:val="001823CF"/>
    <w:rsid w:val="001823F8"/>
    <w:rsid w:val="00182497"/>
    <w:rsid w:val="0018254F"/>
    <w:rsid w:val="00182592"/>
    <w:rsid w:val="00182716"/>
    <w:rsid w:val="00182885"/>
    <w:rsid w:val="001828CD"/>
    <w:rsid w:val="00182A08"/>
    <w:rsid w:val="00182A5F"/>
    <w:rsid w:val="00182A98"/>
    <w:rsid w:val="00182BBE"/>
    <w:rsid w:val="00182BC3"/>
    <w:rsid w:val="00182C7C"/>
    <w:rsid w:val="00182CB0"/>
    <w:rsid w:val="00182CF9"/>
    <w:rsid w:val="00182D8F"/>
    <w:rsid w:val="00182DCF"/>
    <w:rsid w:val="00182FA6"/>
    <w:rsid w:val="0018306B"/>
    <w:rsid w:val="0018314A"/>
    <w:rsid w:val="001831A6"/>
    <w:rsid w:val="001831F2"/>
    <w:rsid w:val="0018331B"/>
    <w:rsid w:val="00183454"/>
    <w:rsid w:val="001834AE"/>
    <w:rsid w:val="0018355B"/>
    <w:rsid w:val="001835B7"/>
    <w:rsid w:val="00183655"/>
    <w:rsid w:val="001836BE"/>
    <w:rsid w:val="001837F4"/>
    <w:rsid w:val="00183815"/>
    <w:rsid w:val="0018384B"/>
    <w:rsid w:val="00183851"/>
    <w:rsid w:val="0018386C"/>
    <w:rsid w:val="001838D4"/>
    <w:rsid w:val="001838E0"/>
    <w:rsid w:val="001838FD"/>
    <w:rsid w:val="0018394D"/>
    <w:rsid w:val="00183960"/>
    <w:rsid w:val="0018398D"/>
    <w:rsid w:val="00183A75"/>
    <w:rsid w:val="00183C6F"/>
    <w:rsid w:val="00183C71"/>
    <w:rsid w:val="00183C80"/>
    <w:rsid w:val="00183D99"/>
    <w:rsid w:val="00183E78"/>
    <w:rsid w:val="00183E91"/>
    <w:rsid w:val="00183EB1"/>
    <w:rsid w:val="00183EC3"/>
    <w:rsid w:val="00183EFE"/>
    <w:rsid w:val="00183FB6"/>
    <w:rsid w:val="00184032"/>
    <w:rsid w:val="001840F9"/>
    <w:rsid w:val="00184152"/>
    <w:rsid w:val="0018426A"/>
    <w:rsid w:val="001842CC"/>
    <w:rsid w:val="0018455F"/>
    <w:rsid w:val="00184585"/>
    <w:rsid w:val="0018461A"/>
    <w:rsid w:val="00184645"/>
    <w:rsid w:val="00184658"/>
    <w:rsid w:val="0018466C"/>
    <w:rsid w:val="00184704"/>
    <w:rsid w:val="001847A9"/>
    <w:rsid w:val="001847BB"/>
    <w:rsid w:val="001847C0"/>
    <w:rsid w:val="0018480F"/>
    <w:rsid w:val="00184956"/>
    <w:rsid w:val="00184A08"/>
    <w:rsid w:val="00184A0F"/>
    <w:rsid w:val="00184AA7"/>
    <w:rsid w:val="00184ABB"/>
    <w:rsid w:val="00184AC7"/>
    <w:rsid w:val="00184ADB"/>
    <w:rsid w:val="00184BC8"/>
    <w:rsid w:val="00184BCF"/>
    <w:rsid w:val="00184CBB"/>
    <w:rsid w:val="00184D3D"/>
    <w:rsid w:val="00184DAA"/>
    <w:rsid w:val="00184E42"/>
    <w:rsid w:val="00184EB0"/>
    <w:rsid w:val="00184ED4"/>
    <w:rsid w:val="00184ED5"/>
    <w:rsid w:val="00184EF7"/>
    <w:rsid w:val="00184F44"/>
    <w:rsid w:val="00184F56"/>
    <w:rsid w:val="00184FD5"/>
    <w:rsid w:val="00184FF6"/>
    <w:rsid w:val="001850D2"/>
    <w:rsid w:val="0018523A"/>
    <w:rsid w:val="00185382"/>
    <w:rsid w:val="001853A5"/>
    <w:rsid w:val="0018544E"/>
    <w:rsid w:val="001854B4"/>
    <w:rsid w:val="001856B7"/>
    <w:rsid w:val="001856C6"/>
    <w:rsid w:val="001856D7"/>
    <w:rsid w:val="001857C5"/>
    <w:rsid w:val="00185877"/>
    <w:rsid w:val="001858D2"/>
    <w:rsid w:val="001858E5"/>
    <w:rsid w:val="0018592F"/>
    <w:rsid w:val="001859A4"/>
    <w:rsid w:val="001859FB"/>
    <w:rsid w:val="00185A42"/>
    <w:rsid w:val="00185AE0"/>
    <w:rsid w:val="00185B43"/>
    <w:rsid w:val="00185BD0"/>
    <w:rsid w:val="00185C52"/>
    <w:rsid w:val="00185D1A"/>
    <w:rsid w:val="00185DD0"/>
    <w:rsid w:val="00185E2A"/>
    <w:rsid w:val="00185E9C"/>
    <w:rsid w:val="00186078"/>
    <w:rsid w:val="0018611E"/>
    <w:rsid w:val="0018654D"/>
    <w:rsid w:val="001865F4"/>
    <w:rsid w:val="00186610"/>
    <w:rsid w:val="0018661B"/>
    <w:rsid w:val="00186744"/>
    <w:rsid w:val="001867FC"/>
    <w:rsid w:val="00186833"/>
    <w:rsid w:val="0018692E"/>
    <w:rsid w:val="00186941"/>
    <w:rsid w:val="001869DB"/>
    <w:rsid w:val="00186A22"/>
    <w:rsid w:val="00186B92"/>
    <w:rsid w:val="00186C97"/>
    <w:rsid w:val="00186CC5"/>
    <w:rsid w:val="00186CED"/>
    <w:rsid w:val="00186D7A"/>
    <w:rsid w:val="00186D94"/>
    <w:rsid w:val="00186E1A"/>
    <w:rsid w:val="00186E54"/>
    <w:rsid w:val="00186E73"/>
    <w:rsid w:val="00186EC0"/>
    <w:rsid w:val="00186F4B"/>
    <w:rsid w:val="00186F5C"/>
    <w:rsid w:val="001870A0"/>
    <w:rsid w:val="001870E3"/>
    <w:rsid w:val="001870EA"/>
    <w:rsid w:val="001871CD"/>
    <w:rsid w:val="00187250"/>
    <w:rsid w:val="0018728C"/>
    <w:rsid w:val="001872A9"/>
    <w:rsid w:val="001872D9"/>
    <w:rsid w:val="001873D9"/>
    <w:rsid w:val="001873F1"/>
    <w:rsid w:val="001874C6"/>
    <w:rsid w:val="00187524"/>
    <w:rsid w:val="00187561"/>
    <w:rsid w:val="0018756F"/>
    <w:rsid w:val="001875CE"/>
    <w:rsid w:val="0018769E"/>
    <w:rsid w:val="001876B6"/>
    <w:rsid w:val="0018772D"/>
    <w:rsid w:val="00187756"/>
    <w:rsid w:val="001877F9"/>
    <w:rsid w:val="00187917"/>
    <w:rsid w:val="00187967"/>
    <w:rsid w:val="00187A23"/>
    <w:rsid w:val="00187A3D"/>
    <w:rsid w:val="00187A69"/>
    <w:rsid w:val="00187BE9"/>
    <w:rsid w:val="00187C8A"/>
    <w:rsid w:val="00187CCD"/>
    <w:rsid w:val="00187E45"/>
    <w:rsid w:val="00187EB0"/>
    <w:rsid w:val="00187F7F"/>
    <w:rsid w:val="00187FA8"/>
    <w:rsid w:val="00190052"/>
    <w:rsid w:val="00190077"/>
    <w:rsid w:val="00190191"/>
    <w:rsid w:val="001901AC"/>
    <w:rsid w:val="001901D5"/>
    <w:rsid w:val="00190247"/>
    <w:rsid w:val="00190312"/>
    <w:rsid w:val="001903B5"/>
    <w:rsid w:val="001905B3"/>
    <w:rsid w:val="001905D3"/>
    <w:rsid w:val="001906AC"/>
    <w:rsid w:val="001906BD"/>
    <w:rsid w:val="0019070F"/>
    <w:rsid w:val="0019079A"/>
    <w:rsid w:val="001907A8"/>
    <w:rsid w:val="0019083F"/>
    <w:rsid w:val="0019086E"/>
    <w:rsid w:val="00190953"/>
    <w:rsid w:val="001909C5"/>
    <w:rsid w:val="00190AF3"/>
    <w:rsid w:val="00190C99"/>
    <w:rsid w:val="00190CB1"/>
    <w:rsid w:val="00190CC1"/>
    <w:rsid w:val="00190CD1"/>
    <w:rsid w:val="00190D69"/>
    <w:rsid w:val="00190F70"/>
    <w:rsid w:val="0019101A"/>
    <w:rsid w:val="00191031"/>
    <w:rsid w:val="00191180"/>
    <w:rsid w:val="001911A1"/>
    <w:rsid w:val="001912A4"/>
    <w:rsid w:val="001912B2"/>
    <w:rsid w:val="001912F5"/>
    <w:rsid w:val="00191455"/>
    <w:rsid w:val="001914BC"/>
    <w:rsid w:val="001915D3"/>
    <w:rsid w:val="0019165C"/>
    <w:rsid w:val="001916FD"/>
    <w:rsid w:val="00191701"/>
    <w:rsid w:val="001917D7"/>
    <w:rsid w:val="0019181C"/>
    <w:rsid w:val="00191826"/>
    <w:rsid w:val="00191851"/>
    <w:rsid w:val="00191878"/>
    <w:rsid w:val="001918A4"/>
    <w:rsid w:val="00191B82"/>
    <w:rsid w:val="00191B90"/>
    <w:rsid w:val="00191C5A"/>
    <w:rsid w:val="00191C99"/>
    <w:rsid w:val="00191CC1"/>
    <w:rsid w:val="00191CC9"/>
    <w:rsid w:val="00191EAF"/>
    <w:rsid w:val="00191FF8"/>
    <w:rsid w:val="0019211C"/>
    <w:rsid w:val="001921DE"/>
    <w:rsid w:val="001922BC"/>
    <w:rsid w:val="001922C2"/>
    <w:rsid w:val="001923AB"/>
    <w:rsid w:val="001924A6"/>
    <w:rsid w:val="0019252E"/>
    <w:rsid w:val="00192551"/>
    <w:rsid w:val="001925A8"/>
    <w:rsid w:val="001925FB"/>
    <w:rsid w:val="0019262A"/>
    <w:rsid w:val="00192645"/>
    <w:rsid w:val="0019268F"/>
    <w:rsid w:val="001926B1"/>
    <w:rsid w:val="001926C1"/>
    <w:rsid w:val="001926F4"/>
    <w:rsid w:val="00192783"/>
    <w:rsid w:val="001927BA"/>
    <w:rsid w:val="00192825"/>
    <w:rsid w:val="0019293F"/>
    <w:rsid w:val="00192B2D"/>
    <w:rsid w:val="00192B9D"/>
    <w:rsid w:val="00192C6F"/>
    <w:rsid w:val="00192CE2"/>
    <w:rsid w:val="00192D17"/>
    <w:rsid w:val="00192DD9"/>
    <w:rsid w:val="00192E30"/>
    <w:rsid w:val="00192F51"/>
    <w:rsid w:val="00192FB1"/>
    <w:rsid w:val="00192FE8"/>
    <w:rsid w:val="0019305F"/>
    <w:rsid w:val="0019309E"/>
    <w:rsid w:val="00193219"/>
    <w:rsid w:val="00193275"/>
    <w:rsid w:val="001932D9"/>
    <w:rsid w:val="00193406"/>
    <w:rsid w:val="00193582"/>
    <w:rsid w:val="00193608"/>
    <w:rsid w:val="0019364E"/>
    <w:rsid w:val="001936CC"/>
    <w:rsid w:val="0019373A"/>
    <w:rsid w:val="001937C0"/>
    <w:rsid w:val="0019388E"/>
    <w:rsid w:val="0019390B"/>
    <w:rsid w:val="0019396B"/>
    <w:rsid w:val="001939CC"/>
    <w:rsid w:val="00193A05"/>
    <w:rsid w:val="00193AA2"/>
    <w:rsid w:val="00193BAB"/>
    <w:rsid w:val="00193BD4"/>
    <w:rsid w:val="00193BEB"/>
    <w:rsid w:val="00193C00"/>
    <w:rsid w:val="00193F32"/>
    <w:rsid w:val="00193FCB"/>
    <w:rsid w:val="00194030"/>
    <w:rsid w:val="00194057"/>
    <w:rsid w:val="001940BD"/>
    <w:rsid w:val="0019419C"/>
    <w:rsid w:val="00194207"/>
    <w:rsid w:val="0019421F"/>
    <w:rsid w:val="001942AD"/>
    <w:rsid w:val="001943E3"/>
    <w:rsid w:val="001944A6"/>
    <w:rsid w:val="001945A7"/>
    <w:rsid w:val="001945F1"/>
    <w:rsid w:val="0019460A"/>
    <w:rsid w:val="00194692"/>
    <w:rsid w:val="001946FB"/>
    <w:rsid w:val="001948FC"/>
    <w:rsid w:val="0019496D"/>
    <w:rsid w:val="001949D1"/>
    <w:rsid w:val="001949E7"/>
    <w:rsid w:val="00194C58"/>
    <w:rsid w:val="00194CE3"/>
    <w:rsid w:val="00194D0C"/>
    <w:rsid w:val="00194D72"/>
    <w:rsid w:val="00194EA0"/>
    <w:rsid w:val="00195014"/>
    <w:rsid w:val="00195097"/>
    <w:rsid w:val="0019512C"/>
    <w:rsid w:val="00195180"/>
    <w:rsid w:val="001951B1"/>
    <w:rsid w:val="0019526A"/>
    <w:rsid w:val="001952E5"/>
    <w:rsid w:val="0019537A"/>
    <w:rsid w:val="001953E4"/>
    <w:rsid w:val="0019546A"/>
    <w:rsid w:val="001955A1"/>
    <w:rsid w:val="0019573F"/>
    <w:rsid w:val="0019587C"/>
    <w:rsid w:val="00195A17"/>
    <w:rsid w:val="00195B1E"/>
    <w:rsid w:val="00195B7D"/>
    <w:rsid w:val="00195B86"/>
    <w:rsid w:val="00195C8E"/>
    <w:rsid w:val="00195CB9"/>
    <w:rsid w:val="00195D25"/>
    <w:rsid w:val="00195D8A"/>
    <w:rsid w:val="00195DBD"/>
    <w:rsid w:val="00195E1B"/>
    <w:rsid w:val="0019602F"/>
    <w:rsid w:val="0019603E"/>
    <w:rsid w:val="001960BD"/>
    <w:rsid w:val="001960C3"/>
    <w:rsid w:val="00196109"/>
    <w:rsid w:val="00196151"/>
    <w:rsid w:val="001961AE"/>
    <w:rsid w:val="00196231"/>
    <w:rsid w:val="0019648D"/>
    <w:rsid w:val="001964C0"/>
    <w:rsid w:val="001964F1"/>
    <w:rsid w:val="0019653C"/>
    <w:rsid w:val="00196576"/>
    <w:rsid w:val="0019657A"/>
    <w:rsid w:val="0019658B"/>
    <w:rsid w:val="00196766"/>
    <w:rsid w:val="001967D9"/>
    <w:rsid w:val="001967FE"/>
    <w:rsid w:val="00196978"/>
    <w:rsid w:val="001969BA"/>
    <w:rsid w:val="001969DE"/>
    <w:rsid w:val="00196A20"/>
    <w:rsid w:val="00196A96"/>
    <w:rsid w:val="00196AB2"/>
    <w:rsid w:val="00196ADE"/>
    <w:rsid w:val="00196B94"/>
    <w:rsid w:val="00196BF6"/>
    <w:rsid w:val="00196C70"/>
    <w:rsid w:val="00196E87"/>
    <w:rsid w:val="00196E91"/>
    <w:rsid w:val="00196F0A"/>
    <w:rsid w:val="00196F45"/>
    <w:rsid w:val="00196FC7"/>
    <w:rsid w:val="00196FD3"/>
    <w:rsid w:val="001970B3"/>
    <w:rsid w:val="00197100"/>
    <w:rsid w:val="001971EF"/>
    <w:rsid w:val="00197280"/>
    <w:rsid w:val="001972D2"/>
    <w:rsid w:val="001973A9"/>
    <w:rsid w:val="001973DF"/>
    <w:rsid w:val="001973EF"/>
    <w:rsid w:val="00197410"/>
    <w:rsid w:val="001974EB"/>
    <w:rsid w:val="001974EC"/>
    <w:rsid w:val="00197507"/>
    <w:rsid w:val="0019752D"/>
    <w:rsid w:val="0019761F"/>
    <w:rsid w:val="00197745"/>
    <w:rsid w:val="00197788"/>
    <w:rsid w:val="001977D9"/>
    <w:rsid w:val="0019790D"/>
    <w:rsid w:val="00197A98"/>
    <w:rsid w:val="00197B0A"/>
    <w:rsid w:val="00197B51"/>
    <w:rsid w:val="00197B58"/>
    <w:rsid w:val="00197BD5"/>
    <w:rsid w:val="00197C08"/>
    <w:rsid w:val="00197C43"/>
    <w:rsid w:val="00197C59"/>
    <w:rsid w:val="00197C67"/>
    <w:rsid w:val="00197C80"/>
    <w:rsid w:val="00197CE5"/>
    <w:rsid w:val="00197D3F"/>
    <w:rsid w:val="00197E41"/>
    <w:rsid w:val="00197F0A"/>
    <w:rsid w:val="00197F98"/>
    <w:rsid w:val="00197FF2"/>
    <w:rsid w:val="001A01CC"/>
    <w:rsid w:val="001A03AB"/>
    <w:rsid w:val="001A0428"/>
    <w:rsid w:val="001A0568"/>
    <w:rsid w:val="001A05E9"/>
    <w:rsid w:val="001A05FD"/>
    <w:rsid w:val="001A0632"/>
    <w:rsid w:val="001A065E"/>
    <w:rsid w:val="001A0719"/>
    <w:rsid w:val="001A075B"/>
    <w:rsid w:val="001A0775"/>
    <w:rsid w:val="001A080E"/>
    <w:rsid w:val="001A08FD"/>
    <w:rsid w:val="001A0934"/>
    <w:rsid w:val="001A093F"/>
    <w:rsid w:val="001A09D7"/>
    <w:rsid w:val="001A09FE"/>
    <w:rsid w:val="001A0B2B"/>
    <w:rsid w:val="001A0C64"/>
    <w:rsid w:val="001A0F71"/>
    <w:rsid w:val="001A0F83"/>
    <w:rsid w:val="001A103E"/>
    <w:rsid w:val="001A106B"/>
    <w:rsid w:val="001A112D"/>
    <w:rsid w:val="001A1144"/>
    <w:rsid w:val="001A1284"/>
    <w:rsid w:val="001A139C"/>
    <w:rsid w:val="001A139E"/>
    <w:rsid w:val="001A13DA"/>
    <w:rsid w:val="001A140D"/>
    <w:rsid w:val="001A14D3"/>
    <w:rsid w:val="001A14FE"/>
    <w:rsid w:val="001A1507"/>
    <w:rsid w:val="001A1598"/>
    <w:rsid w:val="001A1629"/>
    <w:rsid w:val="001A16E9"/>
    <w:rsid w:val="001A1808"/>
    <w:rsid w:val="001A186D"/>
    <w:rsid w:val="001A1896"/>
    <w:rsid w:val="001A18A4"/>
    <w:rsid w:val="001A18C2"/>
    <w:rsid w:val="001A1950"/>
    <w:rsid w:val="001A1973"/>
    <w:rsid w:val="001A19DE"/>
    <w:rsid w:val="001A1A0C"/>
    <w:rsid w:val="001A1A4E"/>
    <w:rsid w:val="001A1AAF"/>
    <w:rsid w:val="001A1B9D"/>
    <w:rsid w:val="001A1C2C"/>
    <w:rsid w:val="001A1C63"/>
    <w:rsid w:val="001A1CF2"/>
    <w:rsid w:val="001A1D82"/>
    <w:rsid w:val="001A1DD8"/>
    <w:rsid w:val="001A1F6B"/>
    <w:rsid w:val="001A1F72"/>
    <w:rsid w:val="001A1F78"/>
    <w:rsid w:val="001A1F93"/>
    <w:rsid w:val="001A2032"/>
    <w:rsid w:val="001A21AA"/>
    <w:rsid w:val="001A22C3"/>
    <w:rsid w:val="001A2374"/>
    <w:rsid w:val="001A2385"/>
    <w:rsid w:val="001A2389"/>
    <w:rsid w:val="001A23C6"/>
    <w:rsid w:val="001A2729"/>
    <w:rsid w:val="001A28E5"/>
    <w:rsid w:val="001A291D"/>
    <w:rsid w:val="001A2A14"/>
    <w:rsid w:val="001A2A9C"/>
    <w:rsid w:val="001A2B4E"/>
    <w:rsid w:val="001A30D5"/>
    <w:rsid w:val="001A31AF"/>
    <w:rsid w:val="001A3266"/>
    <w:rsid w:val="001A32EF"/>
    <w:rsid w:val="001A3368"/>
    <w:rsid w:val="001A3401"/>
    <w:rsid w:val="001A3423"/>
    <w:rsid w:val="001A3443"/>
    <w:rsid w:val="001A3530"/>
    <w:rsid w:val="001A361A"/>
    <w:rsid w:val="001A3775"/>
    <w:rsid w:val="001A37F1"/>
    <w:rsid w:val="001A3910"/>
    <w:rsid w:val="001A3944"/>
    <w:rsid w:val="001A3970"/>
    <w:rsid w:val="001A3AF7"/>
    <w:rsid w:val="001A3B57"/>
    <w:rsid w:val="001A3CE0"/>
    <w:rsid w:val="001A3CFB"/>
    <w:rsid w:val="001A3D1C"/>
    <w:rsid w:val="001A3D2A"/>
    <w:rsid w:val="001A3E14"/>
    <w:rsid w:val="001A3E30"/>
    <w:rsid w:val="001A3E47"/>
    <w:rsid w:val="001A3E70"/>
    <w:rsid w:val="001A3EB6"/>
    <w:rsid w:val="001A3EE0"/>
    <w:rsid w:val="001A4088"/>
    <w:rsid w:val="001A4090"/>
    <w:rsid w:val="001A40CF"/>
    <w:rsid w:val="001A4145"/>
    <w:rsid w:val="001A419E"/>
    <w:rsid w:val="001A424A"/>
    <w:rsid w:val="001A4284"/>
    <w:rsid w:val="001A429F"/>
    <w:rsid w:val="001A42A1"/>
    <w:rsid w:val="001A43DB"/>
    <w:rsid w:val="001A43F7"/>
    <w:rsid w:val="001A449B"/>
    <w:rsid w:val="001A44BD"/>
    <w:rsid w:val="001A4508"/>
    <w:rsid w:val="001A453A"/>
    <w:rsid w:val="001A4916"/>
    <w:rsid w:val="001A497E"/>
    <w:rsid w:val="001A4A1F"/>
    <w:rsid w:val="001A4A38"/>
    <w:rsid w:val="001A4B21"/>
    <w:rsid w:val="001A4B5A"/>
    <w:rsid w:val="001A4BBB"/>
    <w:rsid w:val="001A4BCA"/>
    <w:rsid w:val="001A4BDB"/>
    <w:rsid w:val="001A4C96"/>
    <w:rsid w:val="001A4DA7"/>
    <w:rsid w:val="001A4E44"/>
    <w:rsid w:val="001A4FB5"/>
    <w:rsid w:val="001A4FEC"/>
    <w:rsid w:val="001A5109"/>
    <w:rsid w:val="001A514C"/>
    <w:rsid w:val="001A515C"/>
    <w:rsid w:val="001A519B"/>
    <w:rsid w:val="001A51B8"/>
    <w:rsid w:val="001A5245"/>
    <w:rsid w:val="001A52A5"/>
    <w:rsid w:val="001A537B"/>
    <w:rsid w:val="001A53C9"/>
    <w:rsid w:val="001A5435"/>
    <w:rsid w:val="001A5443"/>
    <w:rsid w:val="001A5446"/>
    <w:rsid w:val="001A5503"/>
    <w:rsid w:val="001A550D"/>
    <w:rsid w:val="001A5591"/>
    <w:rsid w:val="001A55AD"/>
    <w:rsid w:val="001A5771"/>
    <w:rsid w:val="001A5855"/>
    <w:rsid w:val="001A5900"/>
    <w:rsid w:val="001A5948"/>
    <w:rsid w:val="001A59FC"/>
    <w:rsid w:val="001A5A08"/>
    <w:rsid w:val="001A5ADF"/>
    <w:rsid w:val="001A5C2A"/>
    <w:rsid w:val="001A5C32"/>
    <w:rsid w:val="001A5C6E"/>
    <w:rsid w:val="001A5C84"/>
    <w:rsid w:val="001A5CBE"/>
    <w:rsid w:val="001A5CCF"/>
    <w:rsid w:val="001A5CF3"/>
    <w:rsid w:val="001A5F88"/>
    <w:rsid w:val="001A60D9"/>
    <w:rsid w:val="001A60FE"/>
    <w:rsid w:val="001A6191"/>
    <w:rsid w:val="001A6221"/>
    <w:rsid w:val="001A6244"/>
    <w:rsid w:val="001A62EC"/>
    <w:rsid w:val="001A6330"/>
    <w:rsid w:val="001A63C6"/>
    <w:rsid w:val="001A6471"/>
    <w:rsid w:val="001A647B"/>
    <w:rsid w:val="001A64DA"/>
    <w:rsid w:val="001A65A2"/>
    <w:rsid w:val="001A66C1"/>
    <w:rsid w:val="001A6716"/>
    <w:rsid w:val="001A676F"/>
    <w:rsid w:val="001A6784"/>
    <w:rsid w:val="001A682D"/>
    <w:rsid w:val="001A68D9"/>
    <w:rsid w:val="001A692B"/>
    <w:rsid w:val="001A69FC"/>
    <w:rsid w:val="001A6ADA"/>
    <w:rsid w:val="001A6AFE"/>
    <w:rsid w:val="001A6B8E"/>
    <w:rsid w:val="001A6C88"/>
    <w:rsid w:val="001A6CCB"/>
    <w:rsid w:val="001A6EDE"/>
    <w:rsid w:val="001A6F33"/>
    <w:rsid w:val="001A6FC4"/>
    <w:rsid w:val="001A701F"/>
    <w:rsid w:val="001A71F2"/>
    <w:rsid w:val="001A724E"/>
    <w:rsid w:val="001A725A"/>
    <w:rsid w:val="001A7306"/>
    <w:rsid w:val="001A7342"/>
    <w:rsid w:val="001A7397"/>
    <w:rsid w:val="001A73DE"/>
    <w:rsid w:val="001A740C"/>
    <w:rsid w:val="001A74B5"/>
    <w:rsid w:val="001A74D7"/>
    <w:rsid w:val="001A75C9"/>
    <w:rsid w:val="001A772C"/>
    <w:rsid w:val="001A77E4"/>
    <w:rsid w:val="001A7808"/>
    <w:rsid w:val="001A78C3"/>
    <w:rsid w:val="001A7932"/>
    <w:rsid w:val="001A79ED"/>
    <w:rsid w:val="001A7A7A"/>
    <w:rsid w:val="001A7B93"/>
    <w:rsid w:val="001A7B99"/>
    <w:rsid w:val="001A7DAD"/>
    <w:rsid w:val="001A7DBA"/>
    <w:rsid w:val="001A7E0E"/>
    <w:rsid w:val="001A7E27"/>
    <w:rsid w:val="001A7F16"/>
    <w:rsid w:val="001A7F7B"/>
    <w:rsid w:val="001B0084"/>
    <w:rsid w:val="001B019F"/>
    <w:rsid w:val="001B022B"/>
    <w:rsid w:val="001B0342"/>
    <w:rsid w:val="001B03F6"/>
    <w:rsid w:val="001B0427"/>
    <w:rsid w:val="001B046E"/>
    <w:rsid w:val="001B0472"/>
    <w:rsid w:val="001B062E"/>
    <w:rsid w:val="001B06AB"/>
    <w:rsid w:val="001B06DF"/>
    <w:rsid w:val="001B0719"/>
    <w:rsid w:val="001B0738"/>
    <w:rsid w:val="001B07BC"/>
    <w:rsid w:val="001B07BD"/>
    <w:rsid w:val="001B07F1"/>
    <w:rsid w:val="001B0903"/>
    <w:rsid w:val="001B09A8"/>
    <w:rsid w:val="001B09AB"/>
    <w:rsid w:val="001B0AB8"/>
    <w:rsid w:val="001B0AF0"/>
    <w:rsid w:val="001B0B7B"/>
    <w:rsid w:val="001B0B94"/>
    <w:rsid w:val="001B0BAF"/>
    <w:rsid w:val="001B0BFB"/>
    <w:rsid w:val="001B0C34"/>
    <w:rsid w:val="001B0E19"/>
    <w:rsid w:val="001B0E2A"/>
    <w:rsid w:val="001B0E67"/>
    <w:rsid w:val="001B0F99"/>
    <w:rsid w:val="001B10D1"/>
    <w:rsid w:val="001B1106"/>
    <w:rsid w:val="001B113F"/>
    <w:rsid w:val="001B115B"/>
    <w:rsid w:val="001B115E"/>
    <w:rsid w:val="001B117E"/>
    <w:rsid w:val="001B11B1"/>
    <w:rsid w:val="001B124B"/>
    <w:rsid w:val="001B128D"/>
    <w:rsid w:val="001B1379"/>
    <w:rsid w:val="001B1475"/>
    <w:rsid w:val="001B14CD"/>
    <w:rsid w:val="001B152D"/>
    <w:rsid w:val="001B155B"/>
    <w:rsid w:val="001B1679"/>
    <w:rsid w:val="001B1696"/>
    <w:rsid w:val="001B17CF"/>
    <w:rsid w:val="001B188A"/>
    <w:rsid w:val="001B1BF7"/>
    <w:rsid w:val="001B1C6E"/>
    <w:rsid w:val="001B1D4A"/>
    <w:rsid w:val="001B1D68"/>
    <w:rsid w:val="001B1EB6"/>
    <w:rsid w:val="001B1EBD"/>
    <w:rsid w:val="001B1EF4"/>
    <w:rsid w:val="001B1FF3"/>
    <w:rsid w:val="001B20E8"/>
    <w:rsid w:val="001B20EC"/>
    <w:rsid w:val="001B214C"/>
    <w:rsid w:val="001B218C"/>
    <w:rsid w:val="001B21CA"/>
    <w:rsid w:val="001B2244"/>
    <w:rsid w:val="001B2261"/>
    <w:rsid w:val="001B228A"/>
    <w:rsid w:val="001B22BF"/>
    <w:rsid w:val="001B22C3"/>
    <w:rsid w:val="001B238E"/>
    <w:rsid w:val="001B244E"/>
    <w:rsid w:val="001B2539"/>
    <w:rsid w:val="001B25CE"/>
    <w:rsid w:val="001B26CF"/>
    <w:rsid w:val="001B26DD"/>
    <w:rsid w:val="001B29A7"/>
    <w:rsid w:val="001B2ABE"/>
    <w:rsid w:val="001B2AD4"/>
    <w:rsid w:val="001B2B18"/>
    <w:rsid w:val="001B2B30"/>
    <w:rsid w:val="001B2BDE"/>
    <w:rsid w:val="001B2C81"/>
    <w:rsid w:val="001B2C8F"/>
    <w:rsid w:val="001B2CA6"/>
    <w:rsid w:val="001B2CF3"/>
    <w:rsid w:val="001B2E81"/>
    <w:rsid w:val="001B30DF"/>
    <w:rsid w:val="001B332E"/>
    <w:rsid w:val="001B33BE"/>
    <w:rsid w:val="001B3446"/>
    <w:rsid w:val="001B3449"/>
    <w:rsid w:val="001B34A9"/>
    <w:rsid w:val="001B35C8"/>
    <w:rsid w:val="001B3636"/>
    <w:rsid w:val="001B379D"/>
    <w:rsid w:val="001B3800"/>
    <w:rsid w:val="001B380C"/>
    <w:rsid w:val="001B3828"/>
    <w:rsid w:val="001B3866"/>
    <w:rsid w:val="001B386B"/>
    <w:rsid w:val="001B392F"/>
    <w:rsid w:val="001B397E"/>
    <w:rsid w:val="001B3AB7"/>
    <w:rsid w:val="001B3B4D"/>
    <w:rsid w:val="001B3BB7"/>
    <w:rsid w:val="001B3C7C"/>
    <w:rsid w:val="001B3EAB"/>
    <w:rsid w:val="001B3EE3"/>
    <w:rsid w:val="001B3FA3"/>
    <w:rsid w:val="001B4003"/>
    <w:rsid w:val="001B40B0"/>
    <w:rsid w:val="001B4283"/>
    <w:rsid w:val="001B42C2"/>
    <w:rsid w:val="001B4393"/>
    <w:rsid w:val="001B43C8"/>
    <w:rsid w:val="001B452B"/>
    <w:rsid w:val="001B4596"/>
    <w:rsid w:val="001B4721"/>
    <w:rsid w:val="001B473D"/>
    <w:rsid w:val="001B476D"/>
    <w:rsid w:val="001B4784"/>
    <w:rsid w:val="001B4824"/>
    <w:rsid w:val="001B4878"/>
    <w:rsid w:val="001B48D3"/>
    <w:rsid w:val="001B49DC"/>
    <w:rsid w:val="001B4AF1"/>
    <w:rsid w:val="001B4B1A"/>
    <w:rsid w:val="001B4D36"/>
    <w:rsid w:val="001B4DCF"/>
    <w:rsid w:val="001B4E36"/>
    <w:rsid w:val="001B4F24"/>
    <w:rsid w:val="001B509C"/>
    <w:rsid w:val="001B5137"/>
    <w:rsid w:val="001B515E"/>
    <w:rsid w:val="001B516B"/>
    <w:rsid w:val="001B53B5"/>
    <w:rsid w:val="001B53E9"/>
    <w:rsid w:val="001B552E"/>
    <w:rsid w:val="001B558E"/>
    <w:rsid w:val="001B565A"/>
    <w:rsid w:val="001B56F0"/>
    <w:rsid w:val="001B572F"/>
    <w:rsid w:val="001B5828"/>
    <w:rsid w:val="001B5846"/>
    <w:rsid w:val="001B58F9"/>
    <w:rsid w:val="001B5908"/>
    <w:rsid w:val="001B5940"/>
    <w:rsid w:val="001B5AB4"/>
    <w:rsid w:val="001B5AF8"/>
    <w:rsid w:val="001B5B17"/>
    <w:rsid w:val="001B5B1D"/>
    <w:rsid w:val="001B5C09"/>
    <w:rsid w:val="001B5D9F"/>
    <w:rsid w:val="001B5DD0"/>
    <w:rsid w:val="001B5F57"/>
    <w:rsid w:val="001B5F7A"/>
    <w:rsid w:val="001B5FC6"/>
    <w:rsid w:val="001B5FD4"/>
    <w:rsid w:val="001B6020"/>
    <w:rsid w:val="001B611B"/>
    <w:rsid w:val="001B6154"/>
    <w:rsid w:val="001B61B8"/>
    <w:rsid w:val="001B61DC"/>
    <w:rsid w:val="001B625E"/>
    <w:rsid w:val="001B645A"/>
    <w:rsid w:val="001B64BA"/>
    <w:rsid w:val="001B64F0"/>
    <w:rsid w:val="001B650A"/>
    <w:rsid w:val="001B6607"/>
    <w:rsid w:val="001B67F1"/>
    <w:rsid w:val="001B6828"/>
    <w:rsid w:val="001B68B8"/>
    <w:rsid w:val="001B6982"/>
    <w:rsid w:val="001B69CB"/>
    <w:rsid w:val="001B69D7"/>
    <w:rsid w:val="001B6A15"/>
    <w:rsid w:val="001B6AD1"/>
    <w:rsid w:val="001B6CBF"/>
    <w:rsid w:val="001B6D37"/>
    <w:rsid w:val="001B6D77"/>
    <w:rsid w:val="001B6DFF"/>
    <w:rsid w:val="001B6E19"/>
    <w:rsid w:val="001B6F39"/>
    <w:rsid w:val="001B70DC"/>
    <w:rsid w:val="001B7120"/>
    <w:rsid w:val="001B7200"/>
    <w:rsid w:val="001B7210"/>
    <w:rsid w:val="001B7283"/>
    <w:rsid w:val="001B73C2"/>
    <w:rsid w:val="001B74B4"/>
    <w:rsid w:val="001B75E1"/>
    <w:rsid w:val="001B75FB"/>
    <w:rsid w:val="001B7708"/>
    <w:rsid w:val="001B7716"/>
    <w:rsid w:val="001B7723"/>
    <w:rsid w:val="001B77F6"/>
    <w:rsid w:val="001B7AA0"/>
    <w:rsid w:val="001B7B1B"/>
    <w:rsid w:val="001B7C1B"/>
    <w:rsid w:val="001B7C43"/>
    <w:rsid w:val="001B7C65"/>
    <w:rsid w:val="001B7CCF"/>
    <w:rsid w:val="001B7DD5"/>
    <w:rsid w:val="001B7DE5"/>
    <w:rsid w:val="001B7E35"/>
    <w:rsid w:val="001B7E42"/>
    <w:rsid w:val="001B7F7B"/>
    <w:rsid w:val="001C0103"/>
    <w:rsid w:val="001C0179"/>
    <w:rsid w:val="001C01C3"/>
    <w:rsid w:val="001C0455"/>
    <w:rsid w:val="001C0513"/>
    <w:rsid w:val="001C05EC"/>
    <w:rsid w:val="001C066A"/>
    <w:rsid w:val="001C0678"/>
    <w:rsid w:val="001C071F"/>
    <w:rsid w:val="001C079F"/>
    <w:rsid w:val="001C0841"/>
    <w:rsid w:val="001C08AA"/>
    <w:rsid w:val="001C08D0"/>
    <w:rsid w:val="001C09DE"/>
    <w:rsid w:val="001C0A21"/>
    <w:rsid w:val="001C0A76"/>
    <w:rsid w:val="001C0AE8"/>
    <w:rsid w:val="001C0AFE"/>
    <w:rsid w:val="001C0B1A"/>
    <w:rsid w:val="001C0B55"/>
    <w:rsid w:val="001C0C5E"/>
    <w:rsid w:val="001C0D48"/>
    <w:rsid w:val="001C0E3C"/>
    <w:rsid w:val="001C0E86"/>
    <w:rsid w:val="001C0EB1"/>
    <w:rsid w:val="001C0F20"/>
    <w:rsid w:val="001C0F39"/>
    <w:rsid w:val="001C105A"/>
    <w:rsid w:val="001C1093"/>
    <w:rsid w:val="001C10AE"/>
    <w:rsid w:val="001C116E"/>
    <w:rsid w:val="001C1177"/>
    <w:rsid w:val="001C12D2"/>
    <w:rsid w:val="001C12F2"/>
    <w:rsid w:val="001C13CA"/>
    <w:rsid w:val="001C13EA"/>
    <w:rsid w:val="001C1533"/>
    <w:rsid w:val="001C15AE"/>
    <w:rsid w:val="001C15FD"/>
    <w:rsid w:val="001C184A"/>
    <w:rsid w:val="001C18A2"/>
    <w:rsid w:val="001C1909"/>
    <w:rsid w:val="001C1913"/>
    <w:rsid w:val="001C1982"/>
    <w:rsid w:val="001C19AF"/>
    <w:rsid w:val="001C1A18"/>
    <w:rsid w:val="001C1AB0"/>
    <w:rsid w:val="001C1B33"/>
    <w:rsid w:val="001C1BAE"/>
    <w:rsid w:val="001C1CC6"/>
    <w:rsid w:val="001C1D2F"/>
    <w:rsid w:val="001C1D6E"/>
    <w:rsid w:val="001C1D85"/>
    <w:rsid w:val="001C1E02"/>
    <w:rsid w:val="001C1F78"/>
    <w:rsid w:val="001C1FE3"/>
    <w:rsid w:val="001C2016"/>
    <w:rsid w:val="001C20C9"/>
    <w:rsid w:val="001C20EF"/>
    <w:rsid w:val="001C2178"/>
    <w:rsid w:val="001C2262"/>
    <w:rsid w:val="001C2304"/>
    <w:rsid w:val="001C2365"/>
    <w:rsid w:val="001C238A"/>
    <w:rsid w:val="001C23DB"/>
    <w:rsid w:val="001C26F1"/>
    <w:rsid w:val="001C2785"/>
    <w:rsid w:val="001C278B"/>
    <w:rsid w:val="001C287E"/>
    <w:rsid w:val="001C29D4"/>
    <w:rsid w:val="001C2AB2"/>
    <w:rsid w:val="001C2C6A"/>
    <w:rsid w:val="001C2CE6"/>
    <w:rsid w:val="001C2DB5"/>
    <w:rsid w:val="001C2E58"/>
    <w:rsid w:val="001C2E5F"/>
    <w:rsid w:val="001C2EC0"/>
    <w:rsid w:val="001C2F7F"/>
    <w:rsid w:val="001C2F92"/>
    <w:rsid w:val="001C2FCA"/>
    <w:rsid w:val="001C30AA"/>
    <w:rsid w:val="001C30EA"/>
    <w:rsid w:val="001C3108"/>
    <w:rsid w:val="001C336B"/>
    <w:rsid w:val="001C347A"/>
    <w:rsid w:val="001C34EE"/>
    <w:rsid w:val="001C3568"/>
    <w:rsid w:val="001C358D"/>
    <w:rsid w:val="001C3743"/>
    <w:rsid w:val="001C3851"/>
    <w:rsid w:val="001C3960"/>
    <w:rsid w:val="001C396E"/>
    <w:rsid w:val="001C3980"/>
    <w:rsid w:val="001C3A00"/>
    <w:rsid w:val="001C3BE6"/>
    <w:rsid w:val="001C3C59"/>
    <w:rsid w:val="001C3D2C"/>
    <w:rsid w:val="001C3F76"/>
    <w:rsid w:val="001C3FBA"/>
    <w:rsid w:val="001C3FE8"/>
    <w:rsid w:val="001C4053"/>
    <w:rsid w:val="001C4065"/>
    <w:rsid w:val="001C40A0"/>
    <w:rsid w:val="001C412E"/>
    <w:rsid w:val="001C4315"/>
    <w:rsid w:val="001C48E4"/>
    <w:rsid w:val="001C49BD"/>
    <w:rsid w:val="001C49CC"/>
    <w:rsid w:val="001C4A4E"/>
    <w:rsid w:val="001C4A60"/>
    <w:rsid w:val="001C4BA8"/>
    <w:rsid w:val="001C4C39"/>
    <w:rsid w:val="001C4C47"/>
    <w:rsid w:val="001C4C70"/>
    <w:rsid w:val="001C4CAF"/>
    <w:rsid w:val="001C4CC9"/>
    <w:rsid w:val="001C4CD8"/>
    <w:rsid w:val="001C4CF1"/>
    <w:rsid w:val="001C4CFB"/>
    <w:rsid w:val="001C4D2E"/>
    <w:rsid w:val="001C4D86"/>
    <w:rsid w:val="001C4F1C"/>
    <w:rsid w:val="001C4F7C"/>
    <w:rsid w:val="001C4FCA"/>
    <w:rsid w:val="001C5070"/>
    <w:rsid w:val="001C50E9"/>
    <w:rsid w:val="001C533D"/>
    <w:rsid w:val="001C5348"/>
    <w:rsid w:val="001C53B9"/>
    <w:rsid w:val="001C5410"/>
    <w:rsid w:val="001C5449"/>
    <w:rsid w:val="001C5466"/>
    <w:rsid w:val="001C547E"/>
    <w:rsid w:val="001C55A8"/>
    <w:rsid w:val="001C55D1"/>
    <w:rsid w:val="001C55DE"/>
    <w:rsid w:val="001C560E"/>
    <w:rsid w:val="001C563A"/>
    <w:rsid w:val="001C56A0"/>
    <w:rsid w:val="001C57A3"/>
    <w:rsid w:val="001C57DA"/>
    <w:rsid w:val="001C58AB"/>
    <w:rsid w:val="001C5A57"/>
    <w:rsid w:val="001C5C78"/>
    <w:rsid w:val="001C5DFE"/>
    <w:rsid w:val="001C5E4F"/>
    <w:rsid w:val="001C5FBA"/>
    <w:rsid w:val="001C5FCB"/>
    <w:rsid w:val="001C5FEF"/>
    <w:rsid w:val="001C61CA"/>
    <w:rsid w:val="001C6280"/>
    <w:rsid w:val="001C6284"/>
    <w:rsid w:val="001C62E4"/>
    <w:rsid w:val="001C6363"/>
    <w:rsid w:val="001C63DA"/>
    <w:rsid w:val="001C63F6"/>
    <w:rsid w:val="001C6403"/>
    <w:rsid w:val="001C641F"/>
    <w:rsid w:val="001C64F0"/>
    <w:rsid w:val="001C668C"/>
    <w:rsid w:val="001C6692"/>
    <w:rsid w:val="001C66B3"/>
    <w:rsid w:val="001C687D"/>
    <w:rsid w:val="001C68CC"/>
    <w:rsid w:val="001C6A68"/>
    <w:rsid w:val="001C6A7E"/>
    <w:rsid w:val="001C6A93"/>
    <w:rsid w:val="001C6AB8"/>
    <w:rsid w:val="001C6C50"/>
    <w:rsid w:val="001C6C51"/>
    <w:rsid w:val="001C6C8F"/>
    <w:rsid w:val="001C6D85"/>
    <w:rsid w:val="001C6E98"/>
    <w:rsid w:val="001C6EA3"/>
    <w:rsid w:val="001C70E1"/>
    <w:rsid w:val="001C7113"/>
    <w:rsid w:val="001C7187"/>
    <w:rsid w:val="001C71F2"/>
    <w:rsid w:val="001C71F9"/>
    <w:rsid w:val="001C7345"/>
    <w:rsid w:val="001C738C"/>
    <w:rsid w:val="001C760D"/>
    <w:rsid w:val="001C767E"/>
    <w:rsid w:val="001C770D"/>
    <w:rsid w:val="001C795E"/>
    <w:rsid w:val="001C796F"/>
    <w:rsid w:val="001C7A3A"/>
    <w:rsid w:val="001C7B3D"/>
    <w:rsid w:val="001C7BCB"/>
    <w:rsid w:val="001C7C1C"/>
    <w:rsid w:val="001C7C4E"/>
    <w:rsid w:val="001C7C7F"/>
    <w:rsid w:val="001C7D66"/>
    <w:rsid w:val="001C7EAB"/>
    <w:rsid w:val="001C7EAF"/>
    <w:rsid w:val="001C7EF7"/>
    <w:rsid w:val="001C7F1E"/>
    <w:rsid w:val="001C7FC5"/>
    <w:rsid w:val="001D0167"/>
    <w:rsid w:val="001D0183"/>
    <w:rsid w:val="001D01F7"/>
    <w:rsid w:val="001D0330"/>
    <w:rsid w:val="001D056E"/>
    <w:rsid w:val="001D0573"/>
    <w:rsid w:val="001D0586"/>
    <w:rsid w:val="001D05A1"/>
    <w:rsid w:val="001D05C5"/>
    <w:rsid w:val="001D05CA"/>
    <w:rsid w:val="001D068C"/>
    <w:rsid w:val="001D0801"/>
    <w:rsid w:val="001D08A9"/>
    <w:rsid w:val="001D0A2F"/>
    <w:rsid w:val="001D0AD5"/>
    <w:rsid w:val="001D0AE9"/>
    <w:rsid w:val="001D0B78"/>
    <w:rsid w:val="001D0B8F"/>
    <w:rsid w:val="001D0B9C"/>
    <w:rsid w:val="001D0C68"/>
    <w:rsid w:val="001D0D1A"/>
    <w:rsid w:val="001D0DCD"/>
    <w:rsid w:val="001D0E7C"/>
    <w:rsid w:val="001D0ED1"/>
    <w:rsid w:val="001D0ED5"/>
    <w:rsid w:val="001D0F7C"/>
    <w:rsid w:val="001D0F84"/>
    <w:rsid w:val="001D0FB1"/>
    <w:rsid w:val="001D1160"/>
    <w:rsid w:val="001D1180"/>
    <w:rsid w:val="001D1262"/>
    <w:rsid w:val="001D1421"/>
    <w:rsid w:val="001D14E0"/>
    <w:rsid w:val="001D14E5"/>
    <w:rsid w:val="001D153D"/>
    <w:rsid w:val="001D161A"/>
    <w:rsid w:val="001D166D"/>
    <w:rsid w:val="001D16E8"/>
    <w:rsid w:val="001D173C"/>
    <w:rsid w:val="001D17AE"/>
    <w:rsid w:val="001D19BC"/>
    <w:rsid w:val="001D1AF3"/>
    <w:rsid w:val="001D1B13"/>
    <w:rsid w:val="001D1B52"/>
    <w:rsid w:val="001D1BCA"/>
    <w:rsid w:val="001D1CE6"/>
    <w:rsid w:val="001D1D35"/>
    <w:rsid w:val="001D1DBB"/>
    <w:rsid w:val="001D1DE6"/>
    <w:rsid w:val="001D1E04"/>
    <w:rsid w:val="001D1E65"/>
    <w:rsid w:val="001D1E8B"/>
    <w:rsid w:val="001D1ECC"/>
    <w:rsid w:val="001D1EFB"/>
    <w:rsid w:val="001D1FA7"/>
    <w:rsid w:val="001D1FB5"/>
    <w:rsid w:val="001D1FC3"/>
    <w:rsid w:val="001D2024"/>
    <w:rsid w:val="001D2156"/>
    <w:rsid w:val="001D21AF"/>
    <w:rsid w:val="001D21B2"/>
    <w:rsid w:val="001D2241"/>
    <w:rsid w:val="001D229E"/>
    <w:rsid w:val="001D22CF"/>
    <w:rsid w:val="001D22F6"/>
    <w:rsid w:val="001D2389"/>
    <w:rsid w:val="001D238F"/>
    <w:rsid w:val="001D2447"/>
    <w:rsid w:val="001D25D7"/>
    <w:rsid w:val="001D25E3"/>
    <w:rsid w:val="001D260F"/>
    <w:rsid w:val="001D269D"/>
    <w:rsid w:val="001D26FA"/>
    <w:rsid w:val="001D2716"/>
    <w:rsid w:val="001D2870"/>
    <w:rsid w:val="001D2ECD"/>
    <w:rsid w:val="001D2F02"/>
    <w:rsid w:val="001D2F70"/>
    <w:rsid w:val="001D2F93"/>
    <w:rsid w:val="001D2FCD"/>
    <w:rsid w:val="001D2FDD"/>
    <w:rsid w:val="001D301E"/>
    <w:rsid w:val="001D3113"/>
    <w:rsid w:val="001D3123"/>
    <w:rsid w:val="001D31D9"/>
    <w:rsid w:val="001D3278"/>
    <w:rsid w:val="001D32E5"/>
    <w:rsid w:val="001D340C"/>
    <w:rsid w:val="001D347E"/>
    <w:rsid w:val="001D3554"/>
    <w:rsid w:val="001D3649"/>
    <w:rsid w:val="001D37ED"/>
    <w:rsid w:val="001D3928"/>
    <w:rsid w:val="001D393B"/>
    <w:rsid w:val="001D3980"/>
    <w:rsid w:val="001D3A36"/>
    <w:rsid w:val="001D3A8C"/>
    <w:rsid w:val="001D3ADC"/>
    <w:rsid w:val="001D3B5B"/>
    <w:rsid w:val="001D3B94"/>
    <w:rsid w:val="001D3BBE"/>
    <w:rsid w:val="001D3CD7"/>
    <w:rsid w:val="001D3DB9"/>
    <w:rsid w:val="001D3EBB"/>
    <w:rsid w:val="001D3EDC"/>
    <w:rsid w:val="001D3FC2"/>
    <w:rsid w:val="001D3FD6"/>
    <w:rsid w:val="001D40FE"/>
    <w:rsid w:val="001D4127"/>
    <w:rsid w:val="001D4165"/>
    <w:rsid w:val="001D4266"/>
    <w:rsid w:val="001D42CF"/>
    <w:rsid w:val="001D4333"/>
    <w:rsid w:val="001D4348"/>
    <w:rsid w:val="001D43FB"/>
    <w:rsid w:val="001D444F"/>
    <w:rsid w:val="001D44BB"/>
    <w:rsid w:val="001D4528"/>
    <w:rsid w:val="001D45BB"/>
    <w:rsid w:val="001D4677"/>
    <w:rsid w:val="001D469E"/>
    <w:rsid w:val="001D4702"/>
    <w:rsid w:val="001D4737"/>
    <w:rsid w:val="001D4869"/>
    <w:rsid w:val="001D48C0"/>
    <w:rsid w:val="001D491D"/>
    <w:rsid w:val="001D4960"/>
    <w:rsid w:val="001D4ADE"/>
    <w:rsid w:val="001D4C2F"/>
    <w:rsid w:val="001D4D9B"/>
    <w:rsid w:val="001D4E8A"/>
    <w:rsid w:val="001D4E8E"/>
    <w:rsid w:val="001D4ED0"/>
    <w:rsid w:val="001D4ED9"/>
    <w:rsid w:val="001D4F16"/>
    <w:rsid w:val="001D4F4F"/>
    <w:rsid w:val="001D501F"/>
    <w:rsid w:val="001D50EE"/>
    <w:rsid w:val="001D51D3"/>
    <w:rsid w:val="001D52BD"/>
    <w:rsid w:val="001D52D6"/>
    <w:rsid w:val="001D532F"/>
    <w:rsid w:val="001D5330"/>
    <w:rsid w:val="001D533A"/>
    <w:rsid w:val="001D54A5"/>
    <w:rsid w:val="001D54C2"/>
    <w:rsid w:val="001D5558"/>
    <w:rsid w:val="001D56FA"/>
    <w:rsid w:val="001D570B"/>
    <w:rsid w:val="001D57D3"/>
    <w:rsid w:val="001D5BE2"/>
    <w:rsid w:val="001D5C7C"/>
    <w:rsid w:val="001D5CB2"/>
    <w:rsid w:val="001D5CF4"/>
    <w:rsid w:val="001D5CFD"/>
    <w:rsid w:val="001D60B7"/>
    <w:rsid w:val="001D61E9"/>
    <w:rsid w:val="001D6216"/>
    <w:rsid w:val="001D6261"/>
    <w:rsid w:val="001D6372"/>
    <w:rsid w:val="001D63CF"/>
    <w:rsid w:val="001D64B1"/>
    <w:rsid w:val="001D65A7"/>
    <w:rsid w:val="001D65FB"/>
    <w:rsid w:val="001D6609"/>
    <w:rsid w:val="001D6637"/>
    <w:rsid w:val="001D6677"/>
    <w:rsid w:val="001D67E3"/>
    <w:rsid w:val="001D67EF"/>
    <w:rsid w:val="001D67FB"/>
    <w:rsid w:val="001D686C"/>
    <w:rsid w:val="001D68F8"/>
    <w:rsid w:val="001D6AE5"/>
    <w:rsid w:val="001D6B9F"/>
    <w:rsid w:val="001D6BD2"/>
    <w:rsid w:val="001D6CE1"/>
    <w:rsid w:val="001D6D86"/>
    <w:rsid w:val="001D6E25"/>
    <w:rsid w:val="001D7289"/>
    <w:rsid w:val="001D72EB"/>
    <w:rsid w:val="001D73D8"/>
    <w:rsid w:val="001D73F8"/>
    <w:rsid w:val="001D744F"/>
    <w:rsid w:val="001D7463"/>
    <w:rsid w:val="001D74BC"/>
    <w:rsid w:val="001D74D7"/>
    <w:rsid w:val="001D74D8"/>
    <w:rsid w:val="001D752C"/>
    <w:rsid w:val="001D762F"/>
    <w:rsid w:val="001D7716"/>
    <w:rsid w:val="001D7829"/>
    <w:rsid w:val="001D797D"/>
    <w:rsid w:val="001D7A60"/>
    <w:rsid w:val="001D7AB9"/>
    <w:rsid w:val="001D7B29"/>
    <w:rsid w:val="001D7B8F"/>
    <w:rsid w:val="001D7C32"/>
    <w:rsid w:val="001D7CDF"/>
    <w:rsid w:val="001D7D95"/>
    <w:rsid w:val="001D7E75"/>
    <w:rsid w:val="001D7EFF"/>
    <w:rsid w:val="001E00B8"/>
    <w:rsid w:val="001E012A"/>
    <w:rsid w:val="001E012C"/>
    <w:rsid w:val="001E020B"/>
    <w:rsid w:val="001E0280"/>
    <w:rsid w:val="001E034F"/>
    <w:rsid w:val="001E044B"/>
    <w:rsid w:val="001E0471"/>
    <w:rsid w:val="001E051C"/>
    <w:rsid w:val="001E05CE"/>
    <w:rsid w:val="001E07A9"/>
    <w:rsid w:val="001E0807"/>
    <w:rsid w:val="001E08CA"/>
    <w:rsid w:val="001E0914"/>
    <w:rsid w:val="001E0936"/>
    <w:rsid w:val="001E09E2"/>
    <w:rsid w:val="001E0BD7"/>
    <w:rsid w:val="001E0C60"/>
    <w:rsid w:val="001E0CB6"/>
    <w:rsid w:val="001E0CD6"/>
    <w:rsid w:val="001E0D08"/>
    <w:rsid w:val="001E0D80"/>
    <w:rsid w:val="001E0E1C"/>
    <w:rsid w:val="001E0E7D"/>
    <w:rsid w:val="001E0E86"/>
    <w:rsid w:val="001E0E97"/>
    <w:rsid w:val="001E0EC5"/>
    <w:rsid w:val="001E0F2E"/>
    <w:rsid w:val="001E0F6C"/>
    <w:rsid w:val="001E0FA9"/>
    <w:rsid w:val="001E0FB1"/>
    <w:rsid w:val="001E1138"/>
    <w:rsid w:val="001E115C"/>
    <w:rsid w:val="001E124F"/>
    <w:rsid w:val="001E12AD"/>
    <w:rsid w:val="001E12F2"/>
    <w:rsid w:val="001E1428"/>
    <w:rsid w:val="001E1592"/>
    <w:rsid w:val="001E15D7"/>
    <w:rsid w:val="001E1602"/>
    <w:rsid w:val="001E1640"/>
    <w:rsid w:val="001E170D"/>
    <w:rsid w:val="001E188A"/>
    <w:rsid w:val="001E1A41"/>
    <w:rsid w:val="001E1B0F"/>
    <w:rsid w:val="001E1B1F"/>
    <w:rsid w:val="001E1C2A"/>
    <w:rsid w:val="001E1D6A"/>
    <w:rsid w:val="001E1E07"/>
    <w:rsid w:val="001E1E72"/>
    <w:rsid w:val="001E1E8A"/>
    <w:rsid w:val="001E222B"/>
    <w:rsid w:val="001E22A0"/>
    <w:rsid w:val="001E23D1"/>
    <w:rsid w:val="001E2558"/>
    <w:rsid w:val="001E25B4"/>
    <w:rsid w:val="001E265E"/>
    <w:rsid w:val="001E28C6"/>
    <w:rsid w:val="001E293A"/>
    <w:rsid w:val="001E29B1"/>
    <w:rsid w:val="001E2A00"/>
    <w:rsid w:val="001E2B3F"/>
    <w:rsid w:val="001E2B41"/>
    <w:rsid w:val="001E2B7C"/>
    <w:rsid w:val="001E2C88"/>
    <w:rsid w:val="001E2CE8"/>
    <w:rsid w:val="001E2D3D"/>
    <w:rsid w:val="001E2E3D"/>
    <w:rsid w:val="001E2EF0"/>
    <w:rsid w:val="001E2FA6"/>
    <w:rsid w:val="001E3014"/>
    <w:rsid w:val="001E3131"/>
    <w:rsid w:val="001E316A"/>
    <w:rsid w:val="001E32BF"/>
    <w:rsid w:val="001E3343"/>
    <w:rsid w:val="001E3352"/>
    <w:rsid w:val="001E3377"/>
    <w:rsid w:val="001E343A"/>
    <w:rsid w:val="001E343E"/>
    <w:rsid w:val="001E34A5"/>
    <w:rsid w:val="001E34B5"/>
    <w:rsid w:val="001E34C0"/>
    <w:rsid w:val="001E358B"/>
    <w:rsid w:val="001E365E"/>
    <w:rsid w:val="001E3667"/>
    <w:rsid w:val="001E36C2"/>
    <w:rsid w:val="001E387D"/>
    <w:rsid w:val="001E393E"/>
    <w:rsid w:val="001E3AA7"/>
    <w:rsid w:val="001E3B3C"/>
    <w:rsid w:val="001E3C59"/>
    <w:rsid w:val="001E3C9B"/>
    <w:rsid w:val="001E3D8A"/>
    <w:rsid w:val="001E3F9A"/>
    <w:rsid w:val="001E3FBB"/>
    <w:rsid w:val="001E407F"/>
    <w:rsid w:val="001E408D"/>
    <w:rsid w:val="001E4120"/>
    <w:rsid w:val="001E4146"/>
    <w:rsid w:val="001E4201"/>
    <w:rsid w:val="001E4205"/>
    <w:rsid w:val="001E426C"/>
    <w:rsid w:val="001E444A"/>
    <w:rsid w:val="001E4484"/>
    <w:rsid w:val="001E44A6"/>
    <w:rsid w:val="001E44DF"/>
    <w:rsid w:val="001E4525"/>
    <w:rsid w:val="001E4587"/>
    <w:rsid w:val="001E4784"/>
    <w:rsid w:val="001E48BC"/>
    <w:rsid w:val="001E4977"/>
    <w:rsid w:val="001E497E"/>
    <w:rsid w:val="001E49D0"/>
    <w:rsid w:val="001E4AB5"/>
    <w:rsid w:val="001E4B9E"/>
    <w:rsid w:val="001E4CFB"/>
    <w:rsid w:val="001E4D10"/>
    <w:rsid w:val="001E4D55"/>
    <w:rsid w:val="001E4D56"/>
    <w:rsid w:val="001E4E13"/>
    <w:rsid w:val="001E4E48"/>
    <w:rsid w:val="001E4F55"/>
    <w:rsid w:val="001E500A"/>
    <w:rsid w:val="001E50C5"/>
    <w:rsid w:val="001E51D2"/>
    <w:rsid w:val="001E528B"/>
    <w:rsid w:val="001E529B"/>
    <w:rsid w:val="001E52F4"/>
    <w:rsid w:val="001E5305"/>
    <w:rsid w:val="001E53EC"/>
    <w:rsid w:val="001E540C"/>
    <w:rsid w:val="001E550D"/>
    <w:rsid w:val="001E551E"/>
    <w:rsid w:val="001E55E8"/>
    <w:rsid w:val="001E56BD"/>
    <w:rsid w:val="001E5704"/>
    <w:rsid w:val="001E578E"/>
    <w:rsid w:val="001E5798"/>
    <w:rsid w:val="001E57E0"/>
    <w:rsid w:val="001E583D"/>
    <w:rsid w:val="001E584D"/>
    <w:rsid w:val="001E5885"/>
    <w:rsid w:val="001E58F9"/>
    <w:rsid w:val="001E5980"/>
    <w:rsid w:val="001E59B0"/>
    <w:rsid w:val="001E5ACC"/>
    <w:rsid w:val="001E5B29"/>
    <w:rsid w:val="001E5C34"/>
    <w:rsid w:val="001E5D2A"/>
    <w:rsid w:val="001E5D39"/>
    <w:rsid w:val="001E5D4B"/>
    <w:rsid w:val="001E5EC5"/>
    <w:rsid w:val="001E605B"/>
    <w:rsid w:val="001E619C"/>
    <w:rsid w:val="001E61F2"/>
    <w:rsid w:val="001E622F"/>
    <w:rsid w:val="001E627F"/>
    <w:rsid w:val="001E642A"/>
    <w:rsid w:val="001E6528"/>
    <w:rsid w:val="001E66EC"/>
    <w:rsid w:val="001E6903"/>
    <w:rsid w:val="001E6916"/>
    <w:rsid w:val="001E6975"/>
    <w:rsid w:val="001E6A26"/>
    <w:rsid w:val="001E6AD7"/>
    <w:rsid w:val="001E6B2E"/>
    <w:rsid w:val="001E6C25"/>
    <w:rsid w:val="001E6CBB"/>
    <w:rsid w:val="001E6CC2"/>
    <w:rsid w:val="001E6CC4"/>
    <w:rsid w:val="001E6CC9"/>
    <w:rsid w:val="001E6E42"/>
    <w:rsid w:val="001E6E6D"/>
    <w:rsid w:val="001E6EB0"/>
    <w:rsid w:val="001E7152"/>
    <w:rsid w:val="001E716D"/>
    <w:rsid w:val="001E7181"/>
    <w:rsid w:val="001E7247"/>
    <w:rsid w:val="001E73C0"/>
    <w:rsid w:val="001E74A2"/>
    <w:rsid w:val="001E7524"/>
    <w:rsid w:val="001E7534"/>
    <w:rsid w:val="001E764B"/>
    <w:rsid w:val="001E769E"/>
    <w:rsid w:val="001E7749"/>
    <w:rsid w:val="001E784D"/>
    <w:rsid w:val="001E78C1"/>
    <w:rsid w:val="001E7AAE"/>
    <w:rsid w:val="001E7B23"/>
    <w:rsid w:val="001E7C36"/>
    <w:rsid w:val="001E7F10"/>
    <w:rsid w:val="001E7F52"/>
    <w:rsid w:val="001E7F62"/>
    <w:rsid w:val="001E7FD2"/>
    <w:rsid w:val="001F005D"/>
    <w:rsid w:val="001F00B0"/>
    <w:rsid w:val="001F0103"/>
    <w:rsid w:val="001F0104"/>
    <w:rsid w:val="001F021D"/>
    <w:rsid w:val="001F026F"/>
    <w:rsid w:val="001F02E3"/>
    <w:rsid w:val="001F0396"/>
    <w:rsid w:val="001F03C4"/>
    <w:rsid w:val="001F0428"/>
    <w:rsid w:val="001F052C"/>
    <w:rsid w:val="001F06E3"/>
    <w:rsid w:val="001F06F9"/>
    <w:rsid w:val="001F0711"/>
    <w:rsid w:val="001F083D"/>
    <w:rsid w:val="001F0858"/>
    <w:rsid w:val="001F0994"/>
    <w:rsid w:val="001F0B6E"/>
    <w:rsid w:val="001F0B72"/>
    <w:rsid w:val="001F0BD0"/>
    <w:rsid w:val="001F0BF7"/>
    <w:rsid w:val="001F0CCE"/>
    <w:rsid w:val="001F0D63"/>
    <w:rsid w:val="001F0D68"/>
    <w:rsid w:val="001F0DF5"/>
    <w:rsid w:val="001F0F91"/>
    <w:rsid w:val="001F1002"/>
    <w:rsid w:val="001F11B6"/>
    <w:rsid w:val="001F124F"/>
    <w:rsid w:val="001F125A"/>
    <w:rsid w:val="001F127B"/>
    <w:rsid w:val="001F12E5"/>
    <w:rsid w:val="001F1497"/>
    <w:rsid w:val="001F155F"/>
    <w:rsid w:val="001F15B3"/>
    <w:rsid w:val="001F164D"/>
    <w:rsid w:val="001F174B"/>
    <w:rsid w:val="001F1761"/>
    <w:rsid w:val="001F17D5"/>
    <w:rsid w:val="001F17DE"/>
    <w:rsid w:val="001F18D1"/>
    <w:rsid w:val="001F192E"/>
    <w:rsid w:val="001F19BE"/>
    <w:rsid w:val="001F1A0C"/>
    <w:rsid w:val="001F1A3C"/>
    <w:rsid w:val="001F1B27"/>
    <w:rsid w:val="001F1C23"/>
    <w:rsid w:val="001F1CAA"/>
    <w:rsid w:val="001F1CF6"/>
    <w:rsid w:val="001F1CFF"/>
    <w:rsid w:val="001F1D17"/>
    <w:rsid w:val="001F1D32"/>
    <w:rsid w:val="001F1D46"/>
    <w:rsid w:val="001F1E4E"/>
    <w:rsid w:val="001F1EAA"/>
    <w:rsid w:val="001F1EBD"/>
    <w:rsid w:val="001F1EC8"/>
    <w:rsid w:val="001F1ED6"/>
    <w:rsid w:val="001F1FE1"/>
    <w:rsid w:val="001F205E"/>
    <w:rsid w:val="001F207C"/>
    <w:rsid w:val="001F20CD"/>
    <w:rsid w:val="001F2107"/>
    <w:rsid w:val="001F2169"/>
    <w:rsid w:val="001F21C6"/>
    <w:rsid w:val="001F21DA"/>
    <w:rsid w:val="001F23EE"/>
    <w:rsid w:val="001F2533"/>
    <w:rsid w:val="001F259C"/>
    <w:rsid w:val="001F25F2"/>
    <w:rsid w:val="001F2630"/>
    <w:rsid w:val="001F274B"/>
    <w:rsid w:val="001F2808"/>
    <w:rsid w:val="001F2825"/>
    <w:rsid w:val="001F282D"/>
    <w:rsid w:val="001F28BE"/>
    <w:rsid w:val="001F28F0"/>
    <w:rsid w:val="001F2907"/>
    <w:rsid w:val="001F29C2"/>
    <w:rsid w:val="001F2B56"/>
    <w:rsid w:val="001F2CA4"/>
    <w:rsid w:val="001F2CCF"/>
    <w:rsid w:val="001F2CFC"/>
    <w:rsid w:val="001F2D49"/>
    <w:rsid w:val="001F2D54"/>
    <w:rsid w:val="001F2DFF"/>
    <w:rsid w:val="001F2E65"/>
    <w:rsid w:val="001F2EE6"/>
    <w:rsid w:val="001F2F64"/>
    <w:rsid w:val="001F2FB8"/>
    <w:rsid w:val="001F2FC2"/>
    <w:rsid w:val="001F3003"/>
    <w:rsid w:val="001F3045"/>
    <w:rsid w:val="001F3176"/>
    <w:rsid w:val="001F321C"/>
    <w:rsid w:val="001F32BD"/>
    <w:rsid w:val="001F3401"/>
    <w:rsid w:val="001F36E6"/>
    <w:rsid w:val="001F375E"/>
    <w:rsid w:val="001F377F"/>
    <w:rsid w:val="001F3783"/>
    <w:rsid w:val="001F387A"/>
    <w:rsid w:val="001F38A3"/>
    <w:rsid w:val="001F38F5"/>
    <w:rsid w:val="001F3911"/>
    <w:rsid w:val="001F3A2F"/>
    <w:rsid w:val="001F3B89"/>
    <w:rsid w:val="001F3D68"/>
    <w:rsid w:val="001F3EBA"/>
    <w:rsid w:val="001F3F0F"/>
    <w:rsid w:val="001F3F53"/>
    <w:rsid w:val="001F41CE"/>
    <w:rsid w:val="001F4344"/>
    <w:rsid w:val="001F445E"/>
    <w:rsid w:val="001F445F"/>
    <w:rsid w:val="001F458C"/>
    <w:rsid w:val="001F46A4"/>
    <w:rsid w:val="001F46B1"/>
    <w:rsid w:val="001F4904"/>
    <w:rsid w:val="001F4A51"/>
    <w:rsid w:val="001F4B40"/>
    <w:rsid w:val="001F4B7E"/>
    <w:rsid w:val="001F4B9C"/>
    <w:rsid w:val="001F4BA5"/>
    <w:rsid w:val="001F4BF3"/>
    <w:rsid w:val="001F4C60"/>
    <w:rsid w:val="001F4C7A"/>
    <w:rsid w:val="001F4CF4"/>
    <w:rsid w:val="001F4D19"/>
    <w:rsid w:val="001F4E9B"/>
    <w:rsid w:val="001F4EE4"/>
    <w:rsid w:val="001F5009"/>
    <w:rsid w:val="001F5026"/>
    <w:rsid w:val="001F5031"/>
    <w:rsid w:val="001F50BF"/>
    <w:rsid w:val="001F5223"/>
    <w:rsid w:val="001F5486"/>
    <w:rsid w:val="001F5522"/>
    <w:rsid w:val="001F5698"/>
    <w:rsid w:val="001F5760"/>
    <w:rsid w:val="001F577D"/>
    <w:rsid w:val="001F582C"/>
    <w:rsid w:val="001F585F"/>
    <w:rsid w:val="001F5946"/>
    <w:rsid w:val="001F597F"/>
    <w:rsid w:val="001F59FF"/>
    <w:rsid w:val="001F5EEE"/>
    <w:rsid w:val="001F5FC0"/>
    <w:rsid w:val="001F5FCD"/>
    <w:rsid w:val="001F6035"/>
    <w:rsid w:val="001F60DE"/>
    <w:rsid w:val="001F61B8"/>
    <w:rsid w:val="001F61EB"/>
    <w:rsid w:val="001F625C"/>
    <w:rsid w:val="001F62B9"/>
    <w:rsid w:val="001F6349"/>
    <w:rsid w:val="001F6393"/>
    <w:rsid w:val="001F64A0"/>
    <w:rsid w:val="001F64E5"/>
    <w:rsid w:val="001F64F9"/>
    <w:rsid w:val="001F6535"/>
    <w:rsid w:val="001F6600"/>
    <w:rsid w:val="001F6634"/>
    <w:rsid w:val="001F669F"/>
    <w:rsid w:val="001F6732"/>
    <w:rsid w:val="001F67EE"/>
    <w:rsid w:val="001F6807"/>
    <w:rsid w:val="001F68B4"/>
    <w:rsid w:val="001F6913"/>
    <w:rsid w:val="001F6985"/>
    <w:rsid w:val="001F69D3"/>
    <w:rsid w:val="001F6E1A"/>
    <w:rsid w:val="001F6E4D"/>
    <w:rsid w:val="001F6F9E"/>
    <w:rsid w:val="001F70A6"/>
    <w:rsid w:val="001F718A"/>
    <w:rsid w:val="001F71CA"/>
    <w:rsid w:val="001F71FF"/>
    <w:rsid w:val="001F7230"/>
    <w:rsid w:val="001F729E"/>
    <w:rsid w:val="001F72F3"/>
    <w:rsid w:val="001F734B"/>
    <w:rsid w:val="001F7387"/>
    <w:rsid w:val="001F73C8"/>
    <w:rsid w:val="001F7505"/>
    <w:rsid w:val="001F7653"/>
    <w:rsid w:val="001F7691"/>
    <w:rsid w:val="001F773A"/>
    <w:rsid w:val="001F77BC"/>
    <w:rsid w:val="001F7801"/>
    <w:rsid w:val="001F7831"/>
    <w:rsid w:val="001F7876"/>
    <w:rsid w:val="001F7914"/>
    <w:rsid w:val="001F799E"/>
    <w:rsid w:val="001F7A64"/>
    <w:rsid w:val="001F7B10"/>
    <w:rsid w:val="001F7B78"/>
    <w:rsid w:val="001F7C23"/>
    <w:rsid w:val="001F7CFB"/>
    <w:rsid w:val="001F7D49"/>
    <w:rsid w:val="001F7DB3"/>
    <w:rsid w:val="001F7DB9"/>
    <w:rsid w:val="001F7DF5"/>
    <w:rsid w:val="001F7E81"/>
    <w:rsid w:val="001F7F11"/>
    <w:rsid w:val="001F7F2B"/>
    <w:rsid w:val="001F7F56"/>
    <w:rsid w:val="001F7FFD"/>
    <w:rsid w:val="00200031"/>
    <w:rsid w:val="00200166"/>
    <w:rsid w:val="00200247"/>
    <w:rsid w:val="00200263"/>
    <w:rsid w:val="00200388"/>
    <w:rsid w:val="00200399"/>
    <w:rsid w:val="002003E2"/>
    <w:rsid w:val="002003E8"/>
    <w:rsid w:val="0020043B"/>
    <w:rsid w:val="00200448"/>
    <w:rsid w:val="00200531"/>
    <w:rsid w:val="002005A2"/>
    <w:rsid w:val="002006BB"/>
    <w:rsid w:val="00200710"/>
    <w:rsid w:val="00200853"/>
    <w:rsid w:val="0020092E"/>
    <w:rsid w:val="00200956"/>
    <w:rsid w:val="002009C1"/>
    <w:rsid w:val="00200C33"/>
    <w:rsid w:val="00200C44"/>
    <w:rsid w:val="00200CCC"/>
    <w:rsid w:val="00200DE8"/>
    <w:rsid w:val="00200E52"/>
    <w:rsid w:val="00200E94"/>
    <w:rsid w:val="00200EAC"/>
    <w:rsid w:val="00200F8E"/>
    <w:rsid w:val="00200FA3"/>
    <w:rsid w:val="0020102E"/>
    <w:rsid w:val="00201193"/>
    <w:rsid w:val="002011DC"/>
    <w:rsid w:val="00201209"/>
    <w:rsid w:val="002012D0"/>
    <w:rsid w:val="002012DE"/>
    <w:rsid w:val="002013CA"/>
    <w:rsid w:val="00201616"/>
    <w:rsid w:val="002016F9"/>
    <w:rsid w:val="002016FF"/>
    <w:rsid w:val="0020170A"/>
    <w:rsid w:val="00201732"/>
    <w:rsid w:val="00201772"/>
    <w:rsid w:val="00201810"/>
    <w:rsid w:val="00201864"/>
    <w:rsid w:val="00201869"/>
    <w:rsid w:val="00201900"/>
    <w:rsid w:val="00201AB8"/>
    <w:rsid w:val="00201B2C"/>
    <w:rsid w:val="00201B3A"/>
    <w:rsid w:val="00201B9B"/>
    <w:rsid w:val="00201CE2"/>
    <w:rsid w:val="00201EA9"/>
    <w:rsid w:val="00201EBD"/>
    <w:rsid w:val="00201F70"/>
    <w:rsid w:val="00201FBC"/>
    <w:rsid w:val="0020204B"/>
    <w:rsid w:val="002021A2"/>
    <w:rsid w:val="002021C6"/>
    <w:rsid w:val="0020224C"/>
    <w:rsid w:val="00202266"/>
    <w:rsid w:val="002022CF"/>
    <w:rsid w:val="002023F2"/>
    <w:rsid w:val="00202497"/>
    <w:rsid w:val="002024F4"/>
    <w:rsid w:val="00202575"/>
    <w:rsid w:val="002025ED"/>
    <w:rsid w:val="002026E8"/>
    <w:rsid w:val="00202781"/>
    <w:rsid w:val="002027CC"/>
    <w:rsid w:val="002028C6"/>
    <w:rsid w:val="0020295F"/>
    <w:rsid w:val="002029D3"/>
    <w:rsid w:val="00202A09"/>
    <w:rsid w:val="00202A0C"/>
    <w:rsid w:val="00202A41"/>
    <w:rsid w:val="00202AAA"/>
    <w:rsid w:val="00202CFF"/>
    <w:rsid w:val="00202EF6"/>
    <w:rsid w:val="00202F54"/>
    <w:rsid w:val="00202FA1"/>
    <w:rsid w:val="00203030"/>
    <w:rsid w:val="0020306C"/>
    <w:rsid w:val="00203072"/>
    <w:rsid w:val="002030BE"/>
    <w:rsid w:val="002031C7"/>
    <w:rsid w:val="002031D7"/>
    <w:rsid w:val="0020322C"/>
    <w:rsid w:val="00203277"/>
    <w:rsid w:val="002032BF"/>
    <w:rsid w:val="0020333C"/>
    <w:rsid w:val="0020346A"/>
    <w:rsid w:val="00203500"/>
    <w:rsid w:val="002036BA"/>
    <w:rsid w:val="002036F1"/>
    <w:rsid w:val="002037D9"/>
    <w:rsid w:val="002038A5"/>
    <w:rsid w:val="002038E9"/>
    <w:rsid w:val="00203911"/>
    <w:rsid w:val="00203956"/>
    <w:rsid w:val="00203967"/>
    <w:rsid w:val="00203989"/>
    <w:rsid w:val="00203A1A"/>
    <w:rsid w:val="00203A30"/>
    <w:rsid w:val="00203A4D"/>
    <w:rsid w:val="00203B5E"/>
    <w:rsid w:val="00203BD6"/>
    <w:rsid w:val="00203C06"/>
    <w:rsid w:val="00203C38"/>
    <w:rsid w:val="00203D90"/>
    <w:rsid w:val="00203E25"/>
    <w:rsid w:val="00203E4C"/>
    <w:rsid w:val="00203F0F"/>
    <w:rsid w:val="002040FE"/>
    <w:rsid w:val="00204153"/>
    <w:rsid w:val="00204176"/>
    <w:rsid w:val="00204204"/>
    <w:rsid w:val="00204243"/>
    <w:rsid w:val="0020429D"/>
    <w:rsid w:val="0020430C"/>
    <w:rsid w:val="00204370"/>
    <w:rsid w:val="00204378"/>
    <w:rsid w:val="002043B5"/>
    <w:rsid w:val="002043FD"/>
    <w:rsid w:val="00204401"/>
    <w:rsid w:val="00204646"/>
    <w:rsid w:val="00204733"/>
    <w:rsid w:val="00204752"/>
    <w:rsid w:val="00204905"/>
    <w:rsid w:val="002049A7"/>
    <w:rsid w:val="00204A6F"/>
    <w:rsid w:val="00204B0C"/>
    <w:rsid w:val="00204B24"/>
    <w:rsid w:val="00204B31"/>
    <w:rsid w:val="00204C86"/>
    <w:rsid w:val="00204D6B"/>
    <w:rsid w:val="00204D97"/>
    <w:rsid w:val="00204E27"/>
    <w:rsid w:val="00204F48"/>
    <w:rsid w:val="00204F80"/>
    <w:rsid w:val="00204F8E"/>
    <w:rsid w:val="00204FBA"/>
    <w:rsid w:val="00204FF0"/>
    <w:rsid w:val="002050D2"/>
    <w:rsid w:val="002050DA"/>
    <w:rsid w:val="00205130"/>
    <w:rsid w:val="002051AA"/>
    <w:rsid w:val="0020547B"/>
    <w:rsid w:val="0020552F"/>
    <w:rsid w:val="0020565D"/>
    <w:rsid w:val="002056EA"/>
    <w:rsid w:val="0020585D"/>
    <w:rsid w:val="00205975"/>
    <w:rsid w:val="002059BF"/>
    <w:rsid w:val="00205A3B"/>
    <w:rsid w:val="00205BAD"/>
    <w:rsid w:val="00205C37"/>
    <w:rsid w:val="00205C80"/>
    <w:rsid w:val="00205D18"/>
    <w:rsid w:val="00205DED"/>
    <w:rsid w:val="00205E47"/>
    <w:rsid w:val="002061A2"/>
    <w:rsid w:val="00206229"/>
    <w:rsid w:val="00206316"/>
    <w:rsid w:val="002063AF"/>
    <w:rsid w:val="0020640B"/>
    <w:rsid w:val="002064E2"/>
    <w:rsid w:val="0020653A"/>
    <w:rsid w:val="0020654F"/>
    <w:rsid w:val="002065A4"/>
    <w:rsid w:val="00206735"/>
    <w:rsid w:val="00206767"/>
    <w:rsid w:val="002067E9"/>
    <w:rsid w:val="00206869"/>
    <w:rsid w:val="002068D0"/>
    <w:rsid w:val="00206999"/>
    <w:rsid w:val="0020699B"/>
    <w:rsid w:val="00206A01"/>
    <w:rsid w:val="00206A49"/>
    <w:rsid w:val="00206A5A"/>
    <w:rsid w:val="00206BA1"/>
    <w:rsid w:val="00206CB6"/>
    <w:rsid w:val="00206D4A"/>
    <w:rsid w:val="00206EAF"/>
    <w:rsid w:val="00206F60"/>
    <w:rsid w:val="00206FE0"/>
    <w:rsid w:val="0020702F"/>
    <w:rsid w:val="00207065"/>
    <w:rsid w:val="002070AE"/>
    <w:rsid w:val="002070E0"/>
    <w:rsid w:val="0020721E"/>
    <w:rsid w:val="00207361"/>
    <w:rsid w:val="00207405"/>
    <w:rsid w:val="0020748B"/>
    <w:rsid w:val="00207497"/>
    <w:rsid w:val="002074CC"/>
    <w:rsid w:val="0020751C"/>
    <w:rsid w:val="002075CC"/>
    <w:rsid w:val="00207660"/>
    <w:rsid w:val="00207698"/>
    <w:rsid w:val="00207757"/>
    <w:rsid w:val="0020786B"/>
    <w:rsid w:val="0020787F"/>
    <w:rsid w:val="002078E2"/>
    <w:rsid w:val="00207974"/>
    <w:rsid w:val="00207984"/>
    <w:rsid w:val="00207ABE"/>
    <w:rsid w:val="00207AF0"/>
    <w:rsid w:val="00207B26"/>
    <w:rsid w:val="00207BC9"/>
    <w:rsid w:val="00207CB6"/>
    <w:rsid w:val="00207CE8"/>
    <w:rsid w:val="00207D3E"/>
    <w:rsid w:val="00207DC3"/>
    <w:rsid w:val="00207E0F"/>
    <w:rsid w:val="00207EA1"/>
    <w:rsid w:val="00207F8B"/>
    <w:rsid w:val="002100F1"/>
    <w:rsid w:val="00210129"/>
    <w:rsid w:val="0021012C"/>
    <w:rsid w:val="00210140"/>
    <w:rsid w:val="0021018A"/>
    <w:rsid w:val="002101E4"/>
    <w:rsid w:val="00210275"/>
    <w:rsid w:val="0021030B"/>
    <w:rsid w:val="002103A0"/>
    <w:rsid w:val="002103E2"/>
    <w:rsid w:val="002104A8"/>
    <w:rsid w:val="002104B3"/>
    <w:rsid w:val="0021051F"/>
    <w:rsid w:val="002105D9"/>
    <w:rsid w:val="00210629"/>
    <w:rsid w:val="0021077F"/>
    <w:rsid w:val="0021097E"/>
    <w:rsid w:val="002109E5"/>
    <w:rsid w:val="00210B99"/>
    <w:rsid w:val="00210C12"/>
    <w:rsid w:val="00210C1D"/>
    <w:rsid w:val="00210DDD"/>
    <w:rsid w:val="00210E63"/>
    <w:rsid w:val="00210EA7"/>
    <w:rsid w:val="00210EE3"/>
    <w:rsid w:val="00210EF2"/>
    <w:rsid w:val="00210F10"/>
    <w:rsid w:val="00210FE5"/>
    <w:rsid w:val="0021106C"/>
    <w:rsid w:val="0021108F"/>
    <w:rsid w:val="00211192"/>
    <w:rsid w:val="0021127F"/>
    <w:rsid w:val="002112CF"/>
    <w:rsid w:val="002112E8"/>
    <w:rsid w:val="002112FF"/>
    <w:rsid w:val="0021133C"/>
    <w:rsid w:val="00211387"/>
    <w:rsid w:val="002113CF"/>
    <w:rsid w:val="00211412"/>
    <w:rsid w:val="00211471"/>
    <w:rsid w:val="00211496"/>
    <w:rsid w:val="0021162D"/>
    <w:rsid w:val="00211752"/>
    <w:rsid w:val="00211789"/>
    <w:rsid w:val="002117DB"/>
    <w:rsid w:val="002117FA"/>
    <w:rsid w:val="00211998"/>
    <w:rsid w:val="00211A0D"/>
    <w:rsid w:val="00211A5E"/>
    <w:rsid w:val="00211AA9"/>
    <w:rsid w:val="00211BAB"/>
    <w:rsid w:val="00211C11"/>
    <w:rsid w:val="00211C75"/>
    <w:rsid w:val="00211D62"/>
    <w:rsid w:val="00211D94"/>
    <w:rsid w:val="00211DCE"/>
    <w:rsid w:val="00211F59"/>
    <w:rsid w:val="00211FA8"/>
    <w:rsid w:val="00211FEB"/>
    <w:rsid w:val="00211FFE"/>
    <w:rsid w:val="002120E3"/>
    <w:rsid w:val="00212293"/>
    <w:rsid w:val="002122EE"/>
    <w:rsid w:val="0021235F"/>
    <w:rsid w:val="002123FA"/>
    <w:rsid w:val="002123FE"/>
    <w:rsid w:val="00212499"/>
    <w:rsid w:val="002124E6"/>
    <w:rsid w:val="0021259A"/>
    <w:rsid w:val="002125F9"/>
    <w:rsid w:val="00212667"/>
    <w:rsid w:val="002126BC"/>
    <w:rsid w:val="0021270F"/>
    <w:rsid w:val="0021271E"/>
    <w:rsid w:val="00212788"/>
    <w:rsid w:val="00212843"/>
    <w:rsid w:val="00212850"/>
    <w:rsid w:val="002129A0"/>
    <w:rsid w:val="002129DE"/>
    <w:rsid w:val="00212A30"/>
    <w:rsid w:val="00212A61"/>
    <w:rsid w:val="00212B37"/>
    <w:rsid w:val="00212B4A"/>
    <w:rsid w:val="00212BBE"/>
    <w:rsid w:val="00212BEB"/>
    <w:rsid w:val="00212CB4"/>
    <w:rsid w:val="00212E32"/>
    <w:rsid w:val="00212F66"/>
    <w:rsid w:val="0021313E"/>
    <w:rsid w:val="00213177"/>
    <w:rsid w:val="00213178"/>
    <w:rsid w:val="0021324A"/>
    <w:rsid w:val="0021328C"/>
    <w:rsid w:val="00213290"/>
    <w:rsid w:val="002132A3"/>
    <w:rsid w:val="0021335D"/>
    <w:rsid w:val="0021336E"/>
    <w:rsid w:val="00213392"/>
    <w:rsid w:val="002134CA"/>
    <w:rsid w:val="0021360A"/>
    <w:rsid w:val="002137F4"/>
    <w:rsid w:val="0021382A"/>
    <w:rsid w:val="00213879"/>
    <w:rsid w:val="00213B3F"/>
    <w:rsid w:val="00213C44"/>
    <w:rsid w:val="00213C69"/>
    <w:rsid w:val="00213D5E"/>
    <w:rsid w:val="00213D63"/>
    <w:rsid w:val="00213E59"/>
    <w:rsid w:val="00213EDF"/>
    <w:rsid w:val="00213F1B"/>
    <w:rsid w:val="00214068"/>
    <w:rsid w:val="002140BF"/>
    <w:rsid w:val="002140F8"/>
    <w:rsid w:val="00214111"/>
    <w:rsid w:val="00214483"/>
    <w:rsid w:val="002144A6"/>
    <w:rsid w:val="0021455D"/>
    <w:rsid w:val="0021467D"/>
    <w:rsid w:val="002146C9"/>
    <w:rsid w:val="00214838"/>
    <w:rsid w:val="00214848"/>
    <w:rsid w:val="00214890"/>
    <w:rsid w:val="0021496C"/>
    <w:rsid w:val="002149B3"/>
    <w:rsid w:val="00214AAD"/>
    <w:rsid w:val="00214AFF"/>
    <w:rsid w:val="00214B76"/>
    <w:rsid w:val="00214C18"/>
    <w:rsid w:val="00214C74"/>
    <w:rsid w:val="00214C8C"/>
    <w:rsid w:val="00214D32"/>
    <w:rsid w:val="00214D69"/>
    <w:rsid w:val="00214DD6"/>
    <w:rsid w:val="00214ED8"/>
    <w:rsid w:val="00214EFC"/>
    <w:rsid w:val="00214FCB"/>
    <w:rsid w:val="00215062"/>
    <w:rsid w:val="00215064"/>
    <w:rsid w:val="00215075"/>
    <w:rsid w:val="002150FF"/>
    <w:rsid w:val="0021512D"/>
    <w:rsid w:val="00215162"/>
    <w:rsid w:val="002151E5"/>
    <w:rsid w:val="00215254"/>
    <w:rsid w:val="00215286"/>
    <w:rsid w:val="002152DC"/>
    <w:rsid w:val="0021533D"/>
    <w:rsid w:val="0021550F"/>
    <w:rsid w:val="002155C4"/>
    <w:rsid w:val="00215659"/>
    <w:rsid w:val="002156B8"/>
    <w:rsid w:val="00215752"/>
    <w:rsid w:val="00215791"/>
    <w:rsid w:val="00215844"/>
    <w:rsid w:val="002158AF"/>
    <w:rsid w:val="002158C8"/>
    <w:rsid w:val="002159B4"/>
    <w:rsid w:val="00215A36"/>
    <w:rsid w:val="00215A46"/>
    <w:rsid w:val="00215B58"/>
    <w:rsid w:val="00215BBF"/>
    <w:rsid w:val="00215BC4"/>
    <w:rsid w:val="00215D01"/>
    <w:rsid w:val="00215D05"/>
    <w:rsid w:val="00215D08"/>
    <w:rsid w:val="00215D79"/>
    <w:rsid w:val="00215EA8"/>
    <w:rsid w:val="00215EB7"/>
    <w:rsid w:val="00215F11"/>
    <w:rsid w:val="00215FAB"/>
    <w:rsid w:val="002162B3"/>
    <w:rsid w:val="002162E5"/>
    <w:rsid w:val="002163FC"/>
    <w:rsid w:val="002165D0"/>
    <w:rsid w:val="0021672F"/>
    <w:rsid w:val="00216739"/>
    <w:rsid w:val="00216740"/>
    <w:rsid w:val="00216777"/>
    <w:rsid w:val="002167A1"/>
    <w:rsid w:val="00216832"/>
    <w:rsid w:val="002168E0"/>
    <w:rsid w:val="00216906"/>
    <w:rsid w:val="00216AB4"/>
    <w:rsid w:val="00216AB9"/>
    <w:rsid w:val="00216B30"/>
    <w:rsid w:val="00216C34"/>
    <w:rsid w:val="00216D8E"/>
    <w:rsid w:val="00216FBE"/>
    <w:rsid w:val="00216FE3"/>
    <w:rsid w:val="00217068"/>
    <w:rsid w:val="002170A3"/>
    <w:rsid w:val="002170D2"/>
    <w:rsid w:val="00217103"/>
    <w:rsid w:val="00217153"/>
    <w:rsid w:val="002171D2"/>
    <w:rsid w:val="00217286"/>
    <w:rsid w:val="00217338"/>
    <w:rsid w:val="00217381"/>
    <w:rsid w:val="002173D9"/>
    <w:rsid w:val="00217457"/>
    <w:rsid w:val="0021755F"/>
    <w:rsid w:val="002177B1"/>
    <w:rsid w:val="002177B6"/>
    <w:rsid w:val="002177BC"/>
    <w:rsid w:val="0021781A"/>
    <w:rsid w:val="002178B0"/>
    <w:rsid w:val="002178F8"/>
    <w:rsid w:val="00217907"/>
    <w:rsid w:val="00217987"/>
    <w:rsid w:val="002179A5"/>
    <w:rsid w:val="00217A5B"/>
    <w:rsid w:val="00217B37"/>
    <w:rsid w:val="00217D91"/>
    <w:rsid w:val="00217EB0"/>
    <w:rsid w:val="00220098"/>
    <w:rsid w:val="0022009C"/>
    <w:rsid w:val="0022024B"/>
    <w:rsid w:val="0022025E"/>
    <w:rsid w:val="00220274"/>
    <w:rsid w:val="00220306"/>
    <w:rsid w:val="002203CD"/>
    <w:rsid w:val="00220493"/>
    <w:rsid w:val="0022054A"/>
    <w:rsid w:val="00220599"/>
    <w:rsid w:val="002205EF"/>
    <w:rsid w:val="00220601"/>
    <w:rsid w:val="002206FC"/>
    <w:rsid w:val="00220804"/>
    <w:rsid w:val="002208C2"/>
    <w:rsid w:val="0022093D"/>
    <w:rsid w:val="002209B4"/>
    <w:rsid w:val="002209D7"/>
    <w:rsid w:val="00220A90"/>
    <w:rsid w:val="00220AC4"/>
    <w:rsid w:val="00220BC0"/>
    <w:rsid w:val="00220BEF"/>
    <w:rsid w:val="00220D72"/>
    <w:rsid w:val="00220DCA"/>
    <w:rsid w:val="00220E13"/>
    <w:rsid w:val="00220E2A"/>
    <w:rsid w:val="00220E4A"/>
    <w:rsid w:val="00220F14"/>
    <w:rsid w:val="00220F4F"/>
    <w:rsid w:val="002210D3"/>
    <w:rsid w:val="00221133"/>
    <w:rsid w:val="002211C9"/>
    <w:rsid w:val="00221270"/>
    <w:rsid w:val="00221334"/>
    <w:rsid w:val="0022136A"/>
    <w:rsid w:val="00221384"/>
    <w:rsid w:val="0022139B"/>
    <w:rsid w:val="002214B1"/>
    <w:rsid w:val="002215B1"/>
    <w:rsid w:val="002215C4"/>
    <w:rsid w:val="002215D4"/>
    <w:rsid w:val="002215DF"/>
    <w:rsid w:val="0022162E"/>
    <w:rsid w:val="002216A4"/>
    <w:rsid w:val="002216CA"/>
    <w:rsid w:val="002216D2"/>
    <w:rsid w:val="002216DD"/>
    <w:rsid w:val="0022177B"/>
    <w:rsid w:val="002217C4"/>
    <w:rsid w:val="0022180E"/>
    <w:rsid w:val="002218F2"/>
    <w:rsid w:val="0022190F"/>
    <w:rsid w:val="00221925"/>
    <w:rsid w:val="0022195E"/>
    <w:rsid w:val="002219AD"/>
    <w:rsid w:val="00221A91"/>
    <w:rsid w:val="00221AAE"/>
    <w:rsid w:val="00221AC8"/>
    <w:rsid w:val="00221B3F"/>
    <w:rsid w:val="00221B72"/>
    <w:rsid w:val="00221C8D"/>
    <w:rsid w:val="00221D21"/>
    <w:rsid w:val="00221D86"/>
    <w:rsid w:val="00221E3A"/>
    <w:rsid w:val="00221E4E"/>
    <w:rsid w:val="00221E54"/>
    <w:rsid w:val="00221E61"/>
    <w:rsid w:val="00221EB7"/>
    <w:rsid w:val="00221EC0"/>
    <w:rsid w:val="00221F2E"/>
    <w:rsid w:val="00221FEE"/>
    <w:rsid w:val="00222034"/>
    <w:rsid w:val="002221B0"/>
    <w:rsid w:val="00222222"/>
    <w:rsid w:val="00222388"/>
    <w:rsid w:val="002223CC"/>
    <w:rsid w:val="002223E3"/>
    <w:rsid w:val="00222486"/>
    <w:rsid w:val="00222492"/>
    <w:rsid w:val="002224C1"/>
    <w:rsid w:val="00222511"/>
    <w:rsid w:val="0022258D"/>
    <w:rsid w:val="002225BE"/>
    <w:rsid w:val="00222603"/>
    <w:rsid w:val="00222665"/>
    <w:rsid w:val="002227E6"/>
    <w:rsid w:val="002227E7"/>
    <w:rsid w:val="002228E7"/>
    <w:rsid w:val="002228FB"/>
    <w:rsid w:val="00222950"/>
    <w:rsid w:val="002229DF"/>
    <w:rsid w:val="00222A8E"/>
    <w:rsid w:val="00222B0F"/>
    <w:rsid w:val="00222B10"/>
    <w:rsid w:val="00222B96"/>
    <w:rsid w:val="00222D81"/>
    <w:rsid w:val="00222F5C"/>
    <w:rsid w:val="00222F6B"/>
    <w:rsid w:val="00223001"/>
    <w:rsid w:val="00223045"/>
    <w:rsid w:val="002231D0"/>
    <w:rsid w:val="00223249"/>
    <w:rsid w:val="002232D8"/>
    <w:rsid w:val="0022335B"/>
    <w:rsid w:val="002233E8"/>
    <w:rsid w:val="00223493"/>
    <w:rsid w:val="002234FA"/>
    <w:rsid w:val="00223545"/>
    <w:rsid w:val="0022356D"/>
    <w:rsid w:val="0022357E"/>
    <w:rsid w:val="002235E8"/>
    <w:rsid w:val="0022378B"/>
    <w:rsid w:val="0022379D"/>
    <w:rsid w:val="002238ED"/>
    <w:rsid w:val="00223931"/>
    <w:rsid w:val="0022393A"/>
    <w:rsid w:val="00223BD9"/>
    <w:rsid w:val="00223C09"/>
    <w:rsid w:val="00223D38"/>
    <w:rsid w:val="00223E6A"/>
    <w:rsid w:val="00223EF7"/>
    <w:rsid w:val="00223EFC"/>
    <w:rsid w:val="00223F55"/>
    <w:rsid w:val="00223FC8"/>
    <w:rsid w:val="0022401C"/>
    <w:rsid w:val="002240E4"/>
    <w:rsid w:val="00224236"/>
    <w:rsid w:val="002242DE"/>
    <w:rsid w:val="00224457"/>
    <w:rsid w:val="002244FE"/>
    <w:rsid w:val="0022456D"/>
    <w:rsid w:val="002245D0"/>
    <w:rsid w:val="00224609"/>
    <w:rsid w:val="00224628"/>
    <w:rsid w:val="00224636"/>
    <w:rsid w:val="00224724"/>
    <w:rsid w:val="0022475A"/>
    <w:rsid w:val="0022479F"/>
    <w:rsid w:val="002249E3"/>
    <w:rsid w:val="00224A0D"/>
    <w:rsid w:val="00224AE9"/>
    <w:rsid w:val="00224B5F"/>
    <w:rsid w:val="00224CD6"/>
    <w:rsid w:val="00224D22"/>
    <w:rsid w:val="00224DCB"/>
    <w:rsid w:val="00224E76"/>
    <w:rsid w:val="00224E78"/>
    <w:rsid w:val="00224F57"/>
    <w:rsid w:val="00224FD3"/>
    <w:rsid w:val="00224FFD"/>
    <w:rsid w:val="0022507B"/>
    <w:rsid w:val="002250D0"/>
    <w:rsid w:val="002251F4"/>
    <w:rsid w:val="002251F7"/>
    <w:rsid w:val="002252D8"/>
    <w:rsid w:val="00225362"/>
    <w:rsid w:val="002254B9"/>
    <w:rsid w:val="0022553C"/>
    <w:rsid w:val="0022566A"/>
    <w:rsid w:val="00225684"/>
    <w:rsid w:val="002257FE"/>
    <w:rsid w:val="00225827"/>
    <w:rsid w:val="0022594D"/>
    <w:rsid w:val="00225C05"/>
    <w:rsid w:val="00225D01"/>
    <w:rsid w:val="00225D72"/>
    <w:rsid w:val="00225E53"/>
    <w:rsid w:val="00225F9E"/>
    <w:rsid w:val="00226174"/>
    <w:rsid w:val="002261AF"/>
    <w:rsid w:val="00226222"/>
    <w:rsid w:val="0022624C"/>
    <w:rsid w:val="00226314"/>
    <w:rsid w:val="00226456"/>
    <w:rsid w:val="002264ED"/>
    <w:rsid w:val="00226632"/>
    <w:rsid w:val="00226688"/>
    <w:rsid w:val="00226773"/>
    <w:rsid w:val="0022688C"/>
    <w:rsid w:val="002268E6"/>
    <w:rsid w:val="00226CC6"/>
    <w:rsid w:val="00226CD4"/>
    <w:rsid w:val="00226D28"/>
    <w:rsid w:val="00226D60"/>
    <w:rsid w:val="00226DC5"/>
    <w:rsid w:val="00226E83"/>
    <w:rsid w:val="00226EFB"/>
    <w:rsid w:val="00226F42"/>
    <w:rsid w:val="00227210"/>
    <w:rsid w:val="0022734F"/>
    <w:rsid w:val="0022741A"/>
    <w:rsid w:val="002274DA"/>
    <w:rsid w:val="00227512"/>
    <w:rsid w:val="00227687"/>
    <w:rsid w:val="002276ED"/>
    <w:rsid w:val="0022771D"/>
    <w:rsid w:val="002279A4"/>
    <w:rsid w:val="00227A43"/>
    <w:rsid w:val="00227CA8"/>
    <w:rsid w:val="00227E8D"/>
    <w:rsid w:val="00230032"/>
    <w:rsid w:val="00230090"/>
    <w:rsid w:val="002300D1"/>
    <w:rsid w:val="002300DF"/>
    <w:rsid w:val="0023017A"/>
    <w:rsid w:val="00230209"/>
    <w:rsid w:val="00230291"/>
    <w:rsid w:val="00230293"/>
    <w:rsid w:val="00230354"/>
    <w:rsid w:val="002303C5"/>
    <w:rsid w:val="002303DF"/>
    <w:rsid w:val="0023042A"/>
    <w:rsid w:val="00230469"/>
    <w:rsid w:val="00230546"/>
    <w:rsid w:val="0023055A"/>
    <w:rsid w:val="0023056E"/>
    <w:rsid w:val="002305C7"/>
    <w:rsid w:val="0023072C"/>
    <w:rsid w:val="0023076A"/>
    <w:rsid w:val="002307CE"/>
    <w:rsid w:val="0023092B"/>
    <w:rsid w:val="00230969"/>
    <w:rsid w:val="00230B59"/>
    <w:rsid w:val="00230B7E"/>
    <w:rsid w:val="00230B91"/>
    <w:rsid w:val="00230BBF"/>
    <w:rsid w:val="00230C20"/>
    <w:rsid w:val="00230C57"/>
    <w:rsid w:val="00230D09"/>
    <w:rsid w:val="00230DBD"/>
    <w:rsid w:val="00230E53"/>
    <w:rsid w:val="00230E87"/>
    <w:rsid w:val="00230EBF"/>
    <w:rsid w:val="00230EDE"/>
    <w:rsid w:val="00230F34"/>
    <w:rsid w:val="00230F54"/>
    <w:rsid w:val="00231030"/>
    <w:rsid w:val="00231049"/>
    <w:rsid w:val="0023105F"/>
    <w:rsid w:val="0023113F"/>
    <w:rsid w:val="0023138B"/>
    <w:rsid w:val="002314D2"/>
    <w:rsid w:val="002314DE"/>
    <w:rsid w:val="00231559"/>
    <w:rsid w:val="0023162F"/>
    <w:rsid w:val="002316B6"/>
    <w:rsid w:val="00231729"/>
    <w:rsid w:val="00231857"/>
    <w:rsid w:val="00231860"/>
    <w:rsid w:val="00231975"/>
    <w:rsid w:val="002319ED"/>
    <w:rsid w:val="00231A2B"/>
    <w:rsid w:val="00231A32"/>
    <w:rsid w:val="00231B74"/>
    <w:rsid w:val="00231BD9"/>
    <w:rsid w:val="00231C0D"/>
    <w:rsid w:val="00231C5B"/>
    <w:rsid w:val="00231D32"/>
    <w:rsid w:val="00231D93"/>
    <w:rsid w:val="00231E36"/>
    <w:rsid w:val="00231E52"/>
    <w:rsid w:val="00231ED7"/>
    <w:rsid w:val="00231F2F"/>
    <w:rsid w:val="00231F69"/>
    <w:rsid w:val="00231FD5"/>
    <w:rsid w:val="00232021"/>
    <w:rsid w:val="00232064"/>
    <w:rsid w:val="00232084"/>
    <w:rsid w:val="00232381"/>
    <w:rsid w:val="00232397"/>
    <w:rsid w:val="002323FA"/>
    <w:rsid w:val="002323FD"/>
    <w:rsid w:val="00232499"/>
    <w:rsid w:val="002324EA"/>
    <w:rsid w:val="0023256F"/>
    <w:rsid w:val="002325D3"/>
    <w:rsid w:val="00232600"/>
    <w:rsid w:val="0023266A"/>
    <w:rsid w:val="00232867"/>
    <w:rsid w:val="002329B3"/>
    <w:rsid w:val="00232AFE"/>
    <w:rsid w:val="00232B25"/>
    <w:rsid w:val="00232CA1"/>
    <w:rsid w:val="00232DD1"/>
    <w:rsid w:val="00232E87"/>
    <w:rsid w:val="00232F07"/>
    <w:rsid w:val="00232F45"/>
    <w:rsid w:val="00232F4B"/>
    <w:rsid w:val="00232F50"/>
    <w:rsid w:val="00233016"/>
    <w:rsid w:val="0023305C"/>
    <w:rsid w:val="00233179"/>
    <w:rsid w:val="002331C9"/>
    <w:rsid w:val="0023323C"/>
    <w:rsid w:val="002332BD"/>
    <w:rsid w:val="00233346"/>
    <w:rsid w:val="00233596"/>
    <w:rsid w:val="002335AF"/>
    <w:rsid w:val="002335CD"/>
    <w:rsid w:val="002335CF"/>
    <w:rsid w:val="002335F3"/>
    <w:rsid w:val="002336EB"/>
    <w:rsid w:val="00233913"/>
    <w:rsid w:val="0023392D"/>
    <w:rsid w:val="00233A37"/>
    <w:rsid w:val="00233ABF"/>
    <w:rsid w:val="00233B36"/>
    <w:rsid w:val="00233B76"/>
    <w:rsid w:val="00233BF0"/>
    <w:rsid w:val="00233BF2"/>
    <w:rsid w:val="00233C39"/>
    <w:rsid w:val="00233C8B"/>
    <w:rsid w:val="00233CA3"/>
    <w:rsid w:val="00233CD8"/>
    <w:rsid w:val="00233CDB"/>
    <w:rsid w:val="00233D19"/>
    <w:rsid w:val="00233D82"/>
    <w:rsid w:val="00233D8A"/>
    <w:rsid w:val="00233DC7"/>
    <w:rsid w:val="00233F33"/>
    <w:rsid w:val="00233F48"/>
    <w:rsid w:val="002340A0"/>
    <w:rsid w:val="002341B9"/>
    <w:rsid w:val="00234398"/>
    <w:rsid w:val="00234468"/>
    <w:rsid w:val="002344D8"/>
    <w:rsid w:val="002345C6"/>
    <w:rsid w:val="002346AA"/>
    <w:rsid w:val="00234723"/>
    <w:rsid w:val="00234861"/>
    <w:rsid w:val="0023486B"/>
    <w:rsid w:val="0023495A"/>
    <w:rsid w:val="0023498C"/>
    <w:rsid w:val="002349EE"/>
    <w:rsid w:val="00234B07"/>
    <w:rsid w:val="00234B68"/>
    <w:rsid w:val="00234C20"/>
    <w:rsid w:val="00234C4E"/>
    <w:rsid w:val="00234C67"/>
    <w:rsid w:val="00234E23"/>
    <w:rsid w:val="00234E80"/>
    <w:rsid w:val="00234E8A"/>
    <w:rsid w:val="00234EAF"/>
    <w:rsid w:val="00234ED2"/>
    <w:rsid w:val="00234F66"/>
    <w:rsid w:val="00235012"/>
    <w:rsid w:val="0023501C"/>
    <w:rsid w:val="002350B3"/>
    <w:rsid w:val="00235130"/>
    <w:rsid w:val="0023514D"/>
    <w:rsid w:val="00235230"/>
    <w:rsid w:val="00235253"/>
    <w:rsid w:val="002352CD"/>
    <w:rsid w:val="002352CF"/>
    <w:rsid w:val="002352F1"/>
    <w:rsid w:val="00235381"/>
    <w:rsid w:val="0023539D"/>
    <w:rsid w:val="002353AC"/>
    <w:rsid w:val="002353BE"/>
    <w:rsid w:val="002354DF"/>
    <w:rsid w:val="002354FB"/>
    <w:rsid w:val="00235624"/>
    <w:rsid w:val="0023562D"/>
    <w:rsid w:val="00235685"/>
    <w:rsid w:val="002359FB"/>
    <w:rsid w:val="00235A0C"/>
    <w:rsid w:val="00235A51"/>
    <w:rsid w:val="00235AE8"/>
    <w:rsid w:val="00235AF0"/>
    <w:rsid w:val="00235B3C"/>
    <w:rsid w:val="00235B4F"/>
    <w:rsid w:val="00235C1A"/>
    <w:rsid w:val="00235CAD"/>
    <w:rsid w:val="00235CCF"/>
    <w:rsid w:val="00235D9F"/>
    <w:rsid w:val="00235E26"/>
    <w:rsid w:val="00235F81"/>
    <w:rsid w:val="00236081"/>
    <w:rsid w:val="0023608E"/>
    <w:rsid w:val="002360BB"/>
    <w:rsid w:val="00236137"/>
    <w:rsid w:val="00236165"/>
    <w:rsid w:val="00236191"/>
    <w:rsid w:val="002361B1"/>
    <w:rsid w:val="00236266"/>
    <w:rsid w:val="00236322"/>
    <w:rsid w:val="00236564"/>
    <w:rsid w:val="0023659A"/>
    <w:rsid w:val="002365E0"/>
    <w:rsid w:val="002367A4"/>
    <w:rsid w:val="00236805"/>
    <w:rsid w:val="002368E1"/>
    <w:rsid w:val="00236965"/>
    <w:rsid w:val="00236A24"/>
    <w:rsid w:val="00236C25"/>
    <w:rsid w:val="00236CAA"/>
    <w:rsid w:val="00236CB7"/>
    <w:rsid w:val="00236CF3"/>
    <w:rsid w:val="00237143"/>
    <w:rsid w:val="00237146"/>
    <w:rsid w:val="002371C3"/>
    <w:rsid w:val="002371FC"/>
    <w:rsid w:val="00237392"/>
    <w:rsid w:val="00237417"/>
    <w:rsid w:val="00237535"/>
    <w:rsid w:val="0023753A"/>
    <w:rsid w:val="00237575"/>
    <w:rsid w:val="00237627"/>
    <w:rsid w:val="0023769D"/>
    <w:rsid w:val="0023771E"/>
    <w:rsid w:val="002377AE"/>
    <w:rsid w:val="00237803"/>
    <w:rsid w:val="0023782C"/>
    <w:rsid w:val="0023785A"/>
    <w:rsid w:val="002379FC"/>
    <w:rsid w:val="00237BFA"/>
    <w:rsid w:val="00237C4B"/>
    <w:rsid w:val="00237C59"/>
    <w:rsid w:val="00237C5B"/>
    <w:rsid w:val="00237DAC"/>
    <w:rsid w:val="00237E1C"/>
    <w:rsid w:val="00237E2A"/>
    <w:rsid w:val="00237EBF"/>
    <w:rsid w:val="00237F00"/>
    <w:rsid w:val="00237F1F"/>
    <w:rsid w:val="00237F2F"/>
    <w:rsid w:val="00240018"/>
    <w:rsid w:val="0024003E"/>
    <w:rsid w:val="002401A0"/>
    <w:rsid w:val="0024025E"/>
    <w:rsid w:val="00240315"/>
    <w:rsid w:val="002403AC"/>
    <w:rsid w:val="0024048A"/>
    <w:rsid w:val="0024049E"/>
    <w:rsid w:val="00240503"/>
    <w:rsid w:val="00240562"/>
    <w:rsid w:val="00240598"/>
    <w:rsid w:val="00240650"/>
    <w:rsid w:val="00240657"/>
    <w:rsid w:val="00240752"/>
    <w:rsid w:val="002407C0"/>
    <w:rsid w:val="0024080F"/>
    <w:rsid w:val="00240851"/>
    <w:rsid w:val="0024088B"/>
    <w:rsid w:val="002408B0"/>
    <w:rsid w:val="002408F3"/>
    <w:rsid w:val="00240906"/>
    <w:rsid w:val="00240A8A"/>
    <w:rsid w:val="00240BAD"/>
    <w:rsid w:val="00240BE7"/>
    <w:rsid w:val="00240C08"/>
    <w:rsid w:val="00240C7A"/>
    <w:rsid w:val="00240F50"/>
    <w:rsid w:val="00240F95"/>
    <w:rsid w:val="00240FC7"/>
    <w:rsid w:val="002410B7"/>
    <w:rsid w:val="002410D2"/>
    <w:rsid w:val="00241113"/>
    <w:rsid w:val="00241134"/>
    <w:rsid w:val="00241188"/>
    <w:rsid w:val="00241208"/>
    <w:rsid w:val="002412C4"/>
    <w:rsid w:val="0024145E"/>
    <w:rsid w:val="00241490"/>
    <w:rsid w:val="0024150B"/>
    <w:rsid w:val="002416C9"/>
    <w:rsid w:val="00241790"/>
    <w:rsid w:val="00241881"/>
    <w:rsid w:val="002418DF"/>
    <w:rsid w:val="0024195E"/>
    <w:rsid w:val="00241A51"/>
    <w:rsid w:val="00241AF1"/>
    <w:rsid w:val="00241B2C"/>
    <w:rsid w:val="00241C11"/>
    <w:rsid w:val="00241C43"/>
    <w:rsid w:val="00241CFE"/>
    <w:rsid w:val="00241D4F"/>
    <w:rsid w:val="00241D57"/>
    <w:rsid w:val="00241DAF"/>
    <w:rsid w:val="00241E03"/>
    <w:rsid w:val="00241E55"/>
    <w:rsid w:val="00241EF6"/>
    <w:rsid w:val="00241F72"/>
    <w:rsid w:val="002420A1"/>
    <w:rsid w:val="0024212F"/>
    <w:rsid w:val="00242138"/>
    <w:rsid w:val="00242298"/>
    <w:rsid w:val="00242400"/>
    <w:rsid w:val="00242466"/>
    <w:rsid w:val="00242476"/>
    <w:rsid w:val="002425C9"/>
    <w:rsid w:val="00242808"/>
    <w:rsid w:val="0024281D"/>
    <w:rsid w:val="0024286C"/>
    <w:rsid w:val="002428C4"/>
    <w:rsid w:val="0024294C"/>
    <w:rsid w:val="002429B0"/>
    <w:rsid w:val="002429DE"/>
    <w:rsid w:val="00242A81"/>
    <w:rsid w:val="00242B14"/>
    <w:rsid w:val="00242B53"/>
    <w:rsid w:val="00242C3E"/>
    <w:rsid w:val="00242CE6"/>
    <w:rsid w:val="00242D07"/>
    <w:rsid w:val="00242D12"/>
    <w:rsid w:val="00242D5A"/>
    <w:rsid w:val="00242DC1"/>
    <w:rsid w:val="00242E05"/>
    <w:rsid w:val="00242ECD"/>
    <w:rsid w:val="00242F69"/>
    <w:rsid w:val="00242F91"/>
    <w:rsid w:val="00243011"/>
    <w:rsid w:val="00243053"/>
    <w:rsid w:val="002430BE"/>
    <w:rsid w:val="00243124"/>
    <w:rsid w:val="0024316D"/>
    <w:rsid w:val="0024320A"/>
    <w:rsid w:val="00243274"/>
    <w:rsid w:val="0024332A"/>
    <w:rsid w:val="00243339"/>
    <w:rsid w:val="0024343F"/>
    <w:rsid w:val="0024344A"/>
    <w:rsid w:val="00243473"/>
    <w:rsid w:val="002435C0"/>
    <w:rsid w:val="002435E7"/>
    <w:rsid w:val="00243613"/>
    <w:rsid w:val="0024361E"/>
    <w:rsid w:val="0024382F"/>
    <w:rsid w:val="00243874"/>
    <w:rsid w:val="00243912"/>
    <w:rsid w:val="0024395C"/>
    <w:rsid w:val="00243AFE"/>
    <w:rsid w:val="00243C20"/>
    <w:rsid w:val="00243C7C"/>
    <w:rsid w:val="00243CE8"/>
    <w:rsid w:val="00243D6A"/>
    <w:rsid w:val="00243D87"/>
    <w:rsid w:val="00243E15"/>
    <w:rsid w:val="00243E54"/>
    <w:rsid w:val="00243E62"/>
    <w:rsid w:val="00243E7A"/>
    <w:rsid w:val="00244004"/>
    <w:rsid w:val="002440B5"/>
    <w:rsid w:val="002441C0"/>
    <w:rsid w:val="00244220"/>
    <w:rsid w:val="00244241"/>
    <w:rsid w:val="002443A1"/>
    <w:rsid w:val="002443B6"/>
    <w:rsid w:val="002443C3"/>
    <w:rsid w:val="002443EF"/>
    <w:rsid w:val="00244426"/>
    <w:rsid w:val="00244463"/>
    <w:rsid w:val="002444AC"/>
    <w:rsid w:val="00244509"/>
    <w:rsid w:val="00244541"/>
    <w:rsid w:val="0024457E"/>
    <w:rsid w:val="002445BD"/>
    <w:rsid w:val="002445F6"/>
    <w:rsid w:val="00244606"/>
    <w:rsid w:val="00244644"/>
    <w:rsid w:val="0024471F"/>
    <w:rsid w:val="00244760"/>
    <w:rsid w:val="002447D9"/>
    <w:rsid w:val="00244852"/>
    <w:rsid w:val="00244858"/>
    <w:rsid w:val="0024486E"/>
    <w:rsid w:val="002448A6"/>
    <w:rsid w:val="0024491D"/>
    <w:rsid w:val="002449F2"/>
    <w:rsid w:val="00244A5A"/>
    <w:rsid w:val="00244A76"/>
    <w:rsid w:val="00244A9D"/>
    <w:rsid w:val="00244B32"/>
    <w:rsid w:val="00244E92"/>
    <w:rsid w:val="00244ECB"/>
    <w:rsid w:val="00244F4E"/>
    <w:rsid w:val="0024506E"/>
    <w:rsid w:val="00245091"/>
    <w:rsid w:val="00245104"/>
    <w:rsid w:val="00245146"/>
    <w:rsid w:val="002451A8"/>
    <w:rsid w:val="00245208"/>
    <w:rsid w:val="0024527E"/>
    <w:rsid w:val="00245313"/>
    <w:rsid w:val="002453F6"/>
    <w:rsid w:val="00245412"/>
    <w:rsid w:val="002455EF"/>
    <w:rsid w:val="002455F1"/>
    <w:rsid w:val="0024571D"/>
    <w:rsid w:val="00245721"/>
    <w:rsid w:val="0024574E"/>
    <w:rsid w:val="00245814"/>
    <w:rsid w:val="0024585A"/>
    <w:rsid w:val="00245894"/>
    <w:rsid w:val="0024593B"/>
    <w:rsid w:val="00245954"/>
    <w:rsid w:val="00245988"/>
    <w:rsid w:val="002459A0"/>
    <w:rsid w:val="00245AF2"/>
    <w:rsid w:val="00245B60"/>
    <w:rsid w:val="00245B95"/>
    <w:rsid w:val="00245BE6"/>
    <w:rsid w:val="00245CEC"/>
    <w:rsid w:val="00245D97"/>
    <w:rsid w:val="00246046"/>
    <w:rsid w:val="00246048"/>
    <w:rsid w:val="002460A1"/>
    <w:rsid w:val="002461BA"/>
    <w:rsid w:val="0024623E"/>
    <w:rsid w:val="0024628F"/>
    <w:rsid w:val="002462FB"/>
    <w:rsid w:val="0024632A"/>
    <w:rsid w:val="00246371"/>
    <w:rsid w:val="002463F1"/>
    <w:rsid w:val="00246404"/>
    <w:rsid w:val="00246451"/>
    <w:rsid w:val="00246477"/>
    <w:rsid w:val="0024659E"/>
    <w:rsid w:val="0024661E"/>
    <w:rsid w:val="0024669C"/>
    <w:rsid w:val="002466C8"/>
    <w:rsid w:val="002466DC"/>
    <w:rsid w:val="0024673E"/>
    <w:rsid w:val="0024686D"/>
    <w:rsid w:val="002468D6"/>
    <w:rsid w:val="002468D9"/>
    <w:rsid w:val="002468DB"/>
    <w:rsid w:val="0024691B"/>
    <w:rsid w:val="00246923"/>
    <w:rsid w:val="00246A0E"/>
    <w:rsid w:val="00246A53"/>
    <w:rsid w:val="00246A68"/>
    <w:rsid w:val="00246AFC"/>
    <w:rsid w:val="00246B25"/>
    <w:rsid w:val="00246B8F"/>
    <w:rsid w:val="00246BD6"/>
    <w:rsid w:val="00246BE1"/>
    <w:rsid w:val="00246C4E"/>
    <w:rsid w:val="00246CD8"/>
    <w:rsid w:val="00246D2D"/>
    <w:rsid w:val="00246E31"/>
    <w:rsid w:val="00247094"/>
    <w:rsid w:val="00247216"/>
    <w:rsid w:val="00247221"/>
    <w:rsid w:val="00247225"/>
    <w:rsid w:val="00247353"/>
    <w:rsid w:val="002475F6"/>
    <w:rsid w:val="0024761F"/>
    <w:rsid w:val="00247652"/>
    <w:rsid w:val="00247719"/>
    <w:rsid w:val="002479CF"/>
    <w:rsid w:val="00247A21"/>
    <w:rsid w:val="00247A87"/>
    <w:rsid w:val="00247C28"/>
    <w:rsid w:val="00247C8C"/>
    <w:rsid w:val="00247E29"/>
    <w:rsid w:val="00247E66"/>
    <w:rsid w:val="00247EC0"/>
    <w:rsid w:val="00247FB9"/>
    <w:rsid w:val="002500A3"/>
    <w:rsid w:val="002500BB"/>
    <w:rsid w:val="0025015E"/>
    <w:rsid w:val="00250173"/>
    <w:rsid w:val="002501A5"/>
    <w:rsid w:val="00250268"/>
    <w:rsid w:val="00250391"/>
    <w:rsid w:val="00250403"/>
    <w:rsid w:val="0025044D"/>
    <w:rsid w:val="0025044E"/>
    <w:rsid w:val="002504CE"/>
    <w:rsid w:val="00250554"/>
    <w:rsid w:val="00250586"/>
    <w:rsid w:val="002505BB"/>
    <w:rsid w:val="0025067B"/>
    <w:rsid w:val="002507A4"/>
    <w:rsid w:val="002508B1"/>
    <w:rsid w:val="002508CA"/>
    <w:rsid w:val="0025092D"/>
    <w:rsid w:val="00250A07"/>
    <w:rsid w:val="00250A26"/>
    <w:rsid w:val="00250B1A"/>
    <w:rsid w:val="00250BC8"/>
    <w:rsid w:val="00250BEE"/>
    <w:rsid w:val="00250C49"/>
    <w:rsid w:val="00250C4B"/>
    <w:rsid w:val="00250CC4"/>
    <w:rsid w:val="00250D40"/>
    <w:rsid w:val="00250F74"/>
    <w:rsid w:val="00251176"/>
    <w:rsid w:val="002512A9"/>
    <w:rsid w:val="002512AD"/>
    <w:rsid w:val="00251377"/>
    <w:rsid w:val="00251427"/>
    <w:rsid w:val="002514EA"/>
    <w:rsid w:val="00251682"/>
    <w:rsid w:val="00251759"/>
    <w:rsid w:val="00251787"/>
    <w:rsid w:val="002517AB"/>
    <w:rsid w:val="00251880"/>
    <w:rsid w:val="002518D9"/>
    <w:rsid w:val="00251912"/>
    <w:rsid w:val="002519A8"/>
    <w:rsid w:val="00251AAF"/>
    <w:rsid w:val="00251ABE"/>
    <w:rsid w:val="00251CDD"/>
    <w:rsid w:val="00251D0A"/>
    <w:rsid w:val="00251E9E"/>
    <w:rsid w:val="00251F07"/>
    <w:rsid w:val="00251F6F"/>
    <w:rsid w:val="00251F82"/>
    <w:rsid w:val="00251F98"/>
    <w:rsid w:val="00252009"/>
    <w:rsid w:val="0025213E"/>
    <w:rsid w:val="00252144"/>
    <w:rsid w:val="00252149"/>
    <w:rsid w:val="002522DA"/>
    <w:rsid w:val="002522E2"/>
    <w:rsid w:val="0025246D"/>
    <w:rsid w:val="002524FF"/>
    <w:rsid w:val="00252582"/>
    <w:rsid w:val="002525AC"/>
    <w:rsid w:val="002526E3"/>
    <w:rsid w:val="00252754"/>
    <w:rsid w:val="002527F8"/>
    <w:rsid w:val="00252889"/>
    <w:rsid w:val="002528A6"/>
    <w:rsid w:val="002528F1"/>
    <w:rsid w:val="0025292A"/>
    <w:rsid w:val="00252931"/>
    <w:rsid w:val="00252B92"/>
    <w:rsid w:val="00252BA5"/>
    <w:rsid w:val="00252BAB"/>
    <w:rsid w:val="00252BF9"/>
    <w:rsid w:val="00252C5F"/>
    <w:rsid w:val="00252CEA"/>
    <w:rsid w:val="00252CFA"/>
    <w:rsid w:val="00252D73"/>
    <w:rsid w:val="00252FF9"/>
    <w:rsid w:val="0025302A"/>
    <w:rsid w:val="002530CB"/>
    <w:rsid w:val="002530D5"/>
    <w:rsid w:val="0025311F"/>
    <w:rsid w:val="0025313B"/>
    <w:rsid w:val="0025313E"/>
    <w:rsid w:val="002531D9"/>
    <w:rsid w:val="002531EC"/>
    <w:rsid w:val="00253277"/>
    <w:rsid w:val="0025332E"/>
    <w:rsid w:val="0025340B"/>
    <w:rsid w:val="0025345D"/>
    <w:rsid w:val="00253484"/>
    <w:rsid w:val="00253681"/>
    <w:rsid w:val="002536BA"/>
    <w:rsid w:val="00253756"/>
    <w:rsid w:val="00253772"/>
    <w:rsid w:val="002537CA"/>
    <w:rsid w:val="00253876"/>
    <w:rsid w:val="002538A7"/>
    <w:rsid w:val="00253936"/>
    <w:rsid w:val="002539D2"/>
    <w:rsid w:val="00253A97"/>
    <w:rsid w:val="00253A9C"/>
    <w:rsid w:val="00253BDB"/>
    <w:rsid w:val="00253BFA"/>
    <w:rsid w:val="00253C09"/>
    <w:rsid w:val="00253CCE"/>
    <w:rsid w:val="00253D52"/>
    <w:rsid w:val="00253DF5"/>
    <w:rsid w:val="00253E57"/>
    <w:rsid w:val="00253EB6"/>
    <w:rsid w:val="00253EDF"/>
    <w:rsid w:val="00253F94"/>
    <w:rsid w:val="0025406C"/>
    <w:rsid w:val="002543D8"/>
    <w:rsid w:val="00254524"/>
    <w:rsid w:val="002545B4"/>
    <w:rsid w:val="00254627"/>
    <w:rsid w:val="0025465D"/>
    <w:rsid w:val="0025473A"/>
    <w:rsid w:val="002547AA"/>
    <w:rsid w:val="00254844"/>
    <w:rsid w:val="00254916"/>
    <w:rsid w:val="00254931"/>
    <w:rsid w:val="00254A2E"/>
    <w:rsid w:val="00254A58"/>
    <w:rsid w:val="00254DDC"/>
    <w:rsid w:val="00254EE9"/>
    <w:rsid w:val="0025502B"/>
    <w:rsid w:val="0025503A"/>
    <w:rsid w:val="00255209"/>
    <w:rsid w:val="0025521D"/>
    <w:rsid w:val="0025522A"/>
    <w:rsid w:val="0025534D"/>
    <w:rsid w:val="00255379"/>
    <w:rsid w:val="002554C2"/>
    <w:rsid w:val="00255593"/>
    <w:rsid w:val="002556A0"/>
    <w:rsid w:val="002557FD"/>
    <w:rsid w:val="0025586D"/>
    <w:rsid w:val="002558AF"/>
    <w:rsid w:val="00255956"/>
    <w:rsid w:val="002559BF"/>
    <w:rsid w:val="00255A2D"/>
    <w:rsid w:val="00255AB2"/>
    <w:rsid w:val="00255BC2"/>
    <w:rsid w:val="00255BE6"/>
    <w:rsid w:val="00255C28"/>
    <w:rsid w:val="00255C73"/>
    <w:rsid w:val="00255C77"/>
    <w:rsid w:val="00255D94"/>
    <w:rsid w:val="00255DA3"/>
    <w:rsid w:val="00255DE6"/>
    <w:rsid w:val="00255E6D"/>
    <w:rsid w:val="00255F67"/>
    <w:rsid w:val="002560D9"/>
    <w:rsid w:val="00256122"/>
    <w:rsid w:val="002561A1"/>
    <w:rsid w:val="002561E6"/>
    <w:rsid w:val="00256292"/>
    <w:rsid w:val="002562C4"/>
    <w:rsid w:val="00256365"/>
    <w:rsid w:val="0025643E"/>
    <w:rsid w:val="0025652A"/>
    <w:rsid w:val="0025652F"/>
    <w:rsid w:val="00256568"/>
    <w:rsid w:val="002565BE"/>
    <w:rsid w:val="002565D6"/>
    <w:rsid w:val="0025661C"/>
    <w:rsid w:val="0025663E"/>
    <w:rsid w:val="00256674"/>
    <w:rsid w:val="00256685"/>
    <w:rsid w:val="00256726"/>
    <w:rsid w:val="002567EC"/>
    <w:rsid w:val="00256862"/>
    <w:rsid w:val="002568E1"/>
    <w:rsid w:val="002569F0"/>
    <w:rsid w:val="00256A1F"/>
    <w:rsid w:val="00256A6A"/>
    <w:rsid w:val="00256A7B"/>
    <w:rsid w:val="00256AAC"/>
    <w:rsid w:val="00256DCD"/>
    <w:rsid w:val="00256DDD"/>
    <w:rsid w:val="00256DFD"/>
    <w:rsid w:val="00256F26"/>
    <w:rsid w:val="00256FC2"/>
    <w:rsid w:val="00256FFD"/>
    <w:rsid w:val="0025702F"/>
    <w:rsid w:val="0025722C"/>
    <w:rsid w:val="002572E0"/>
    <w:rsid w:val="00257337"/>
    <w:rsid w:val="002573C4"/>
    <w:rsid w:val="002573D0"/>
    <w:rsid w:val="00257497"/>
    <w:rsid w:val="002574F3"/>
    <w:rsid w:val="00257505"/>
    <w:rsid w:val="0025759A"/>
    <w:rsid w:val="002575BF"/>
    <w:rsid w:val="0025761D"/>
    <w:rsid w:val="002576C1"/>
    <w:rsid w:val="002576DD"/>
    <w:rsid w:val="00257711"/>
    <w:rsid w:val="00257798"/>
    <w:rsid w:val="002578FA"/>
    <w:rsid w:val="00257A52"/>
    <w:rsid w:val="00257BA0"/>
    <w:rsid w:val="00257CDD"/>
    <w:rsid w:val="00257CFE"/>
    <w:rsid w:val="00257DCF"/>
    <w:rsid w:val="00257E2E"/>
    <w:rsid w:val="00257E57"/>
    <w:rsid w:val="00257EBF"/>
    <w:rsid w:val="00257F03"/>
    <w:rsid w:val="00257FAA"/>
    <w:rsid w:val="0026004D"/>
    <w:rsid w:val="002602BB"/>
    <w:rsid w:val="002603B7"/>
    <w:rsid w:val="0026045C"/>
    <w:rsid w:val="00260617"/>
    <w:rsid w:val="0026061F"/>
    <w:rsid w:val="002606FE"/>
    <w:rsid w:val="00260790"/>
    <w:rsid w:val="0026085E"/>
    <w:rsid w:val="00260991"/>
    <w:rsid w:val="00260A41"/>
    <w:rsid w:val="00260B57"/>
    <w:rsid w:val="00260C6F"/>
    <w:rsid w:val="00260DD2"/>
    <w:rsid w:val="00260EF2"/>
    <w:rsid w:val="00260F99"/>
    <w:rsid w:val="00261012"/>
    <w:rsid w:val="0026108B"/>
    <w:rsid w:val="0026110F"/>
    <w:rsid w:val="002612A1"/>
    <w:rsid w:val="00261309"/>
    <w:rsid w:val="002613EB"/>
    <w:rsid w:val="00261453"/>
    <w:rsid w:val="002614E4"/>
    <w:rsid w:val="0026168A"/>
    <w:rsid w:val="002616ED"/>
    <w:rsid w:val="002618EA"/>
    <w:rsid w:val="00261911"/>
    <w:rsid w:val="00261B75"/>
    <w:rsid w:val="00261BA6"/>
    <w:rsid w:val="00261C0C"/>
    <w:rsid w:val="00261D65"/>
    <w:rsid w:val="00261E9D"/>
    <w:rsid w:val="00261F49"/>
    <w:rsid w:val="00261FF8"/>
    <w:rsid w:val="00261FFF"/>
    <w:rsid w:val="00262061"/>
    <w:rsid w:val="00262240"/>
    <w:rsid w:val="002622A8"/>
    <w:rsid w:val="0026232C"/>
    <w:rsid w:val="002624F3"/>
    <w:rsid w:val="00262554"/>
    <w:rsid w:val="002625B7"/>
    <w:rsid w:val="00262701"/>
    <w:rsid w:val="00262736"/>
    <w:rsid w:val="00262751"/>
    <w:rsid w:val="00262762"/>
    <w:rsid w:val="00262801"/>
    <w:rsid w:val="002628B4"/>
    <w:rsid w:val="002628BF"/>
    <w:rsid w:val="002629C5"/>
    <w:rsid w:val="00262A29"/>
    <w:rsid w:val="00262A67"/>
    <w:rsid w:val="00262AB8"/>
    <w:rsid w:val="00262AC1"/>
    <w:rsid w:val="00262B01"/>
    <w:rsid w:val="00262BBF"/>
    <w:rsid w:val="00262C0B"/>
    <w:rsid w:val="00262C17"/>
    <w:rsid w:val="00262C67"/>
    <w:rsid w:val="00262CA6"/>
    <w:rsid w:val="00262EBB"/>
    <w:rsid w:val="00262EC8"/>
    <w:rsid w:val="00262ECC"/>
    <w:rsid w:val="00262F00"/>
    <w:rsid w:val="00262F73"/>
    <w:rsid w:val="00263099"/>
    <w:rsid w:val="002630F2"/>
    <w:rsid w:val="0026319C"/>
    <w:rsid w:val="002631C2"/>
    <w:rsid w:val="0026343B"/>
    <w:rsid w:val="00263618"/>
    <w:rsid w:val="002636D1"/>
    <w:rsid w:val="002636D3"/>
    <w:rsid w:val="002638F2"/>
    <w:rsid w:val="00263A93"/>
    <w:rsid w:val="00263A9D"/>
    <w:rsid w:val="00263AA3"/>
    <w:rsid w:val="00263B1D"/>
    <w:rsid w:val="00263B21"/>
    <w:rsid w:val="00263B6C"/>
    <w:rsid w:val="00263B83"/>
    <w:rsid w:val="00263C11"/>
    <w:rsid w:val="00263CB8"/>
    <w:rsid w:val="00263F0F"/>
    <w:rsid w:val="0026407D"/>
    <w:rsid w:val="002640F6"/>
    <w:rsid w:val="00264305"/>
    <w:rsid w:val="002644C8"/>
    <w:rsid w:val="00264505"/>
    <w:rsid w:val="00264514"/>
    <w:rsid w:val="002645B7"/>
    <w:rsid w:val="00264643"/>
    <w:rsid w:val="00264804"/>
    <w:rsid w:val="00264907"/>
    <w:rsid w:val="002649DB"/>
    <w:rsid w:val="00264A1A"/>
    <w:rsid w:val="00264A22"/>
    <w:rsid w:val="00264AD2"/>
    <w:rsid w:val="00264AFB"/>
    <w:rsid w:val="00264BD6"/>
    <w:rsid w:val="00264F5C"/>
    <w:rsid w:val="00264F79"/>
    <w:rsid w:val="00264F8E"/>
    <w:rsid w:val="002650D7"/>
    <w:rsid w:val="0026515B"/>
    <w:rsid w:val="0026515E"/>
    <w:rsid w:val="00265160"/>
    <w:rsid w:val="00265172"/>
    <w:rsid w:val="002651F4"/>
    <w:rsid w:val="00265288"/>
    <w:rsid w:val="00265455"/>
    <w:rsid w:val="0026548F"/>
    <w:rsid w:val="00265551"/>
    <w:rsid w:val="00265576"/>
    <w:rsid w:val="00265596"/>
    <w:rsid w:val="0026559A"/>
    <w:rsid w:val="0026562D"/>
    <w:rsid w:val="00265742"/>
    <w:rsid w:val="0026576B"/>
    <w:rsid w:val="0026579B"/>
    <w:rsid w:val="002657B4"/>
    <w:rsid w:val="0026583A"/>
    <w:rsid w:val="0026585C"/>
    <w:rsid w:val="0026593E"/>
    <w:rsid w:val="00265997"/>
    <w:rsid w:val="00265C1F"/>
    <w:rsid w:val="00265C48"/>
    <w:rsid w:val="00265C90"/>
    <w:rsid w:val="00265D90"/>
    <w:rsid w:val="00265E13"/>
    <w:rsid w:val="00265E18"/>
    <w:rsid w:val="00265E36"/>
    <w:rsid w:val="00265EB8"/>
    <w:rsid w:val="00265F9E"/>
    <w:rsid w:val="00265FA1"/>
    <w:rsid w:val="00265FF3"/>
    <w:rsid w:val="002661E0"/>
    <w:rsid w:val="002663AC"/>
    <w:rsid w:val="002664EA"/>
    <w:rsid w:val="00266531"/>
    <w:rsid w:val="00266578"/>
    <w:rsid w:val="0026662B"/>
    <w:rsid w:val="00266672"/>
    <w:rsid w:val="00266716"/>
    <w:rsid w:val="00266887"/>
    <w:rsid w:val="00266922"/>
    <w:rsid w:val="0026693B"/>
    <w:rsid w:val="00266A49"/>
    <w:rsid w:val="00266A5E"/>
    <w:rsid w:val="00266C3A"/>
    <w:rsid w:val="00266C64"/>
    <w:rsid w:val="00266D8B"/>
    <w:rsid w:val="00266DED"/>
    <w:rsid w:val="00266FDC"/>
    <w:rsid w:val="00267106"/>
    <w:rsid w:val="0026712F"/>
    <w:rsid w:val="0026721D"/>
    <w:rsid w:val="002673C9"/>
    <w:rsid w:val="0026746F"/>
    <w:rsid w:val="00267578"/>
    <w:rsid w:val="00267592"/>
    <w:rsid w:val="002675F5"/>
    <w:rsid w:val="0026762D"/>
    <w:rsid w:val="002676B9"/>
    <w:rsid w:val="002679F9"/>
    <w:rsid w:val="00267AB2"/>
    <w:rsid w:val="00267AE2"/>
    <w:rsid w:val="00267B15"/>
    <w:rsid w:val="00267B56"/>
    <w:rsid w:val="00267BE4"/>
    <w:rsid w:val="00267CE7"/>
    <w:rsid w:val="00267D92"/>
    <w:rsid w:val="00267D99"/>
    <w:rsid w:val="00267DCA"/>
    <w:rsid w:val="00267F2D"/>
    <w:rsid w:val="002701E9"/>
    <w:rsid w:val="002701ED"/>
    <w:rsid w:val="00270200"/>
    <w:rsid w:val="0027035B"/>
    <w:rsid w:val="002703AB"/>
    <w:rsid w:val="002703C4"/>
    <w:rsid w:val="002703CA"/>
    <w:rsid w:val="0027047C"/>
    <w:rsid w:val="0027079E"/>
    <w:rsid w:val="0027081E"/>
    <w:rsid w:val="002708D1"/>
    <w:rsid w:val="00270947"/>
    <w:rsid w:val="00270960"/>
    <w:rsid w:val="00270A2B"/>
    <w:rsid w:val="00270A48"/>
    <w:rsid w:val="00270A6B"/>
    <w:rsid w:val="00270B85"/>
    <w:rsid w:val="00270CED"/>
    <w:rsid w:val="00270D1B"/>
    <w:rsid w:val="00270E29"/>
    <w:rsid w:val="00270E55"/>
    <w:rsid w:val="00270E91"/>
    <w:rsid w:val="00270EB4"/>
    <w:rsid w:val="00270F1B"/>
    <w:rsid w:val="00270F3B"/>
    <w:rsid w:val="00270FEC"/>
    <w:rsid w:val="00271089"/>
    <w:rsid w:val="00271155"/>
    <w:rsid w:val="00271187"/>
    <w:rsid w:val="002711FE"/>
    <w:rsid w:val="00271218"/>
    <w:rsid w:val="00271241"/>
    <w:rsid w:val="00271281"/>
    <w:rsid w:val="00271459"/>
    <w:rsid w:val="00271477"/>
    <w:rsid w:val="00271544"/>
    <w:rsid w:val="00271583"/>
    <w:rsid w:val="002715CB"/>
    <w:rsid w:val="00271656"/>
    <w:rsid w:val="002716A2"/>
    <w:rsid w:val="002716A5"/>
    <w:rsid w:val="0027172A"/>
    <w:rsid w:val="0027189B"/>
    <w:rsid w:val="002718A1"/>
    <w:rsid w:val="002718AE"/>
    <w:rsid w:val="00271913"/>
    <w:rsid w:val="00271AB0"/>
    <w:rsid w:val="00271C1C"/>
    <w:rsid w:val="00271CEF"/>
    <w:rsid w:val="00271D89"/>
    <w:rsid w:val="00271DFB"/>
    <w:rsid w:val="00271ED6"/>
    <w:rsid w:val="00271F30"/>
    <w:rsid w:val="00271FC9"/>
    <w:rsid w:val="0027206F"/>
    <w:rsid w:val="002720DE"/>
    <w:rsid w:val="002721CB"/>
    <w:rsid w:val="00272225"/>
    <w:rsid w:val="00272243"/>
    <w:rsid w:val="00272285"/>
    <w:rsid w:val="002722B5"/>
    <w:rsid w:val="002722ED"/>
    <w:rsid w:val="0027232A"/>
    <w:rsid w:val="00272432"/>
    <w:rsid w:val="002724C5"/>
    <w:rsid w:val="002724CC"/>
    <w:rsid w:val="00272532"/>
    <w:rsid w:val="002725BE"/>
    <w:rsid w:val="002725DD"/>
    <w:rsid w:val="00272651"/>
    <w:rsid w:val="0027268E"/>
    <w:rsid w:val="00272698"/>
    <w:rsid w:val="002726C7"/>
    <w:rsid w:val="002727B8"/>
    <w:rsid w:val="0027282C"/>
    <w:rsid w:val="002728F8"/>
    <w:rsid w:val="00272939"/>
    <w:rsid w:val="002729D8"/>
    <w:rsid w:val="00272AB0"/>
    <w:rsid w:val="00272BD6"/>
    <w:rsid w:val="00272BF1"/>
    <w:rsid w:val="00272DC9"/>
    <w:rsid w:val="0027301F"/>
    <w:rsid w:val="00273053"/>
    <w:rsid w:val="00273097"/>
    <w:rsid w:val="0027337F"/>
    <w:rsid w:val="0027342B"/>
    <w:rsid w:val="00273461"/>
    <w:rsid w:val="0027356F"/>
    <w:rsid w:val="002735A6"/>
    <w:rsid w:val="002735B2"/>
    <w:rsid w:val="00273652"/>
    <w:rsid w:val="00273715"/>
    <w:rsid w:val="002737BB"/>
    <w:rsid w:val="002738FD"/>
    <w:rsid w:val="0027391C"/>
    <w:rsid w:val="0027394D"/>
    <w:rsid w:val="00273A8D"/>
    <w:rsid w:val="00273B24"/>
    <w:rsid w:val="00273BB5"/>
    <w:rsid w:val="00273C0E"/>
    <w:rsid w:val="00273CF2"/>
    <w:rsid w:val="00273CFB"/>
    <w:rsid w:val="00273D57"/>
    <w:rsid w:val="00273D5F"/>
    <w:rsid w:val="00273DB0"/>
    <w:rsid w:val="00273E44"/>
    <w:rsid w:val="00273EDD"/>
    <w:rsid w:val="00273EDF"/>
    <w:rsid w:val="00274108"/>
    <w:rsid w:val="00274131"/>
    <w:rsid w:val="0027418B"/>
    <w:rsid w:val="002741B6"/>
    <w:rsid w:val="002741F1"/>
    <w:rsid w:val="00274200"/>
    <w:rsid w:val="002742E5"/>
    <w:rsid w:val="002742F6"/>
    <w:rsid w:val="002743EF"/>
    <w:rsid w:val="00274480"/>
    <w:rsid w:val="002744A0"/>
    <w:rsid w:val="002744AF"/>
    <w:rsid w:val="002744D8"/>
    <w:rsid w:val="00274580"/>
    <w:rsid w:val="002745C5"/>
    <w:rsid w:val="00274661"/>
    <w:rsid w:val="0027467E"/>
    <w:rsid w:val="00274688"/>
    <w:rsid w:val="002746EB"/>
    <w:rsid w:val="00274781"/>
    <w:rsid w:val="002748AF"/>
    <w:rsid w:val="00274A62"/>
    <w:rsid w:val="00274ACD"/>
    <w:rsid w:val="00274B26"/>
    <w:rsid w:val="00274BCB"/>
    <w:rsid w:val="00274C2E"/>
    <w:rsid w:val="00274C33"/>
    <w:rsid w:val="00274C81"/>
    <w:rsid w:val="00274C85"/>
    <w:rsid w:val="00274CB5"/>
    <w:rsid w:val="00274CC9"/>
    <w:rsid w:val="00274DB8"/>
    <w:rsid w:val="00274E1C"/>
    <w:rsid w:val="00274E3C"/>
    <w:rsid w:val="00274EA2"/>
    <w:rsid w:val="00274ED0"/>
    <w:rsid w:val="00274ED6"/>
    <w:rsid w:val="00274FBE"/>
    <w:rsid w:val="00275016"/>
    <w:rsid w:val="002750A6"/>
    <w:rsid w:val="002750EE"/>
    <w:rsid w:val="00275152"/>
    <w:rsid w:val="002751B4"/>
    <w:rsid w:val="002753E4"/>
    <w:rsid w:val="0027545F"/>
    <w:rsid w:val="0027551D"/>
    <w:rsid w:val="0027552B"/>
    <w:rsid w:val="002755A2"/>
    <w:rsid w:val="002755B0"/>
    <w:rsid w:val="002755FF"/>
    <w:rsid w:val="00275647"/>
    <w:rsid w:val="00275657"/>
    <w:rsid w:val="0027581D"/>
    <w:rsid w:val="0027590B"/>
    <w:rsid w:val="00275B17"/>
    <w:rsid w:val="00275B3C"/>
    <w:rsid w:val="00275B86"/>
    <w:rsid w:val="00275DA4"/>
    <w:rsid w:val="00275DD4"/>
    <w:rsid w:val="00275DF3"/>
    <w:rsid w:val="00275E24"/>
    <w:rsid w:val="00275E37"/>
    <w:rsid w:val="00275FB4"/>
    <w:rsid w:val="00276085"/>
    <w:rsid w:val="002760D0"/>
    <w:rsid w:val="00276128"/>
    <w:rsid w:val="0027614E"/>
    <w:rsid w:val="002762A4"/>
    <w:rsid w:val="002762A6"/>
    <w:rsid w:val="00276325"/>
    <w:rsid w:val="00276364"/>
    <w:rsid w:val="002763E9"/>
    <w:rsid w:val="0027641D"/>
    <w:rsid w:val="0027644F"/>
    <w:rsid w:val="0027645C"/>
    <w:rsid w:val="002764DE"/>
    <w:rsid w:val="002764EB"/>
    <w:rsid w:val="002765AA"/>
    <w:rsid w:val="00276603"/>
    <w:rsid w:val="002766C2"/>
    <w:rsid w:val="002766E8"/>
    <w:rsid w:val="0027672C"/>
    <w:rsid w:val="00276803"/>
    <w:rsid w:val="0027687B"/>
    <w:rsid w:val="00276956"/>
    <w:rsid w:val="0027698C"/>
    <w:rsid w:val="002769A8"/>
    <w:rsid w:val="00276A28"/>
    <w:rsid w:val="00276A29"/>
    <w:rsid w:val="00276A7F"/>
    <w:rsid w:val="00276B85"/>
    <w:rsid w:val="00276B9C"/>
    <w:rsid w:val="00276BCD"/>
    <w:rsid w:val="00276D0A"/>
    <w:rsid w:val="00276F56"/>
    <w:rsid w:val="00277059"/>
    <w:rsid w:val="00277077"/>
    <w:rsid w:val="00277112"/>
    <w:rsid w:val="00277195"/>
    <w:rsid w:val="00277256"/>
    <w:rsid w:val="0027734C"/>
    <w:rsid w:val="0027739B"/>
    <w:rsid w:val="0027745F"/>
    <w:rsid w:val="0027749C"/>
    <w:rsid w:val="002774DA"/>
    <w:rsid w:val="0027759E"/>
    <w:rsid w:val="00277676"/>
    <w:rsid w:val="00277694"/>
    <w:rsid w:val="0027779C"/>
    <w:rsid w:val="00277AD8"/>
    <w:rsid w:val="00277CB1"/>
    <w:rsid w:val="00277CC4"/>
    <w:rsid w:val="00277CE7"/>
    <w:rsid w:val="00277D9D"/>
    <w:rsid w:val="00277E0D"/>
    <w:rsid w:val="00280068"/>
    <w:rsid w:val="00280094"/>
    <w:rsid w:val="00280135"/>
    <w:rsid w:val="0028017E"/>
    <w:rsid w:val="002802B7"/>
    <w:rsid w:val="002802F4"/>
    <w:rsid w:val="002802FB"/>
    <w:rsid w:val="00280466"/>
    <w:rsid w:val="002804D8"/>
    <w:rsid w:val="002806DB"/>
    <w:rsid w:val="00280710"/>
    <w:rsid w:val="002807BD"/>
    <w:rsid w:val="00280803"/>
    <w:rsid w:val="00280828"/>
    <w:rsid w:val="0028099A"/>
    <w:rsid w:val="00280AF0"/>
    <w:rsid w:val="00280BFC"/>
    <w:rsid w:val="00280D0D"/>
    <w:rsid w:val="00280D24"/>
    <w:rsid w:val="00280D7E"/>
    <w:rsid w:val="00280E12"/>
    <w:rsid w:val="00280E7B"/>
    <w:rsid w:val="00280EA2"/>
    <w:rsid w:val="00280F3C"/>
    <w:rsid w:val="00281026"/>
    <w:rsid w:val="0028102A"/>
    <w:rsid w:val="0028102D"/>
    <w:rsid w:val="00281105"/>
    <w:rsid w:val="002811C9"/>
    <w:rsid w:val="0028120E"/>
    <w:rsid w:val="002812E8"/>
    <w:rsid w:val="002812F0"/>
    <w:rsid w:val="00281340"/>
    <w:rsid w:val="002813DF"/>
    <w:rsid w:val="0028152F"/>
    <w:rsid w:val="00281532"/>
    <w:rsid w:val="0028155C"/>
    <w:rsid w:val="002816A1"/>
    <w:rsid w:val="002816FA"/>
    <w:rsid w:val="00281705"/>
    <w:rsid w:val="002817A9"/>
    <w:rsid w:val="0028185E"/>
    <w:rsid w:val="00281887"/>
    <w:rsid w:val="002818BF"/>
    <w:rsid w:val="0028191F"/>
    <w:rsid w:val="00281980"/>
    <w:rsid w:val="00281ABC"/>
    <w:rsid w:val="00281BF2"/>
    <w:rsid w:val="00281EBD"/>
    <w:rsid w:val="00281EE5"/>
    <w:rsid w:val="00281F0D"/>
    <w:rsid w:val="00282054"/>
    <w:rsid w:val="00282065"/>
    <w:rsid w:val="00282108"/>
    <w:rsid w:val="002821AF"/>
    <w:rsid w:val="00282232"/>
    <w:rsid w:val="0028223E"/>
    <w:rsid w:val="002822F3"/>
    <w:rsid w:val="002823D1"/>
    <w:rsid w:val="00282485"/>
    <w:rsid w:val="00282569"/>
    <w:rsid w:val="00282604"/>
    <w:rsid w:val="00282742"/>
    <w:rsid w:val="0028288F"/>
    <w:rsid w:val="002828A9"/>
    <w:rsid w:val="002828EB"/>
    <w:rsid w:val="002828EE"/>
    <w:rsid w:val="00282999"/>
    <w:rsid w:val="00282A94"/>
    <w:rsid w:val="00282AAA"/>
    <w:rsid w:val="00282ACC"/>
    <w:rsid w:val="00282AE1"/>
    <w:rsid w:val="00282B6F"/>
    <w:rsid w:val="00282B7A"/>
    <w:rsid w:val="00282C3D"/>
    <w:rsid w:val="00282C5C"/>
    <w:rsid w:val="00282C68"/>
    <w:rsid w:val="00282C69"/>
    <w:rsid w:val="00282D1A"/>
    <w:rsid w:val="0028302B"/>
    <w:rsid w:val="00283036"/>
    <w:rsid w:val="0028303D"/>
    <w:rsid w:val="00283217"/>
    <w:rsid w:val="0028324A"/>
    <w:rsid w:val="00283254"/>
    <w:rsid w:val="00283353"/>
    <w:rsid w:val="0028335A"/>
    <w:rsid w:val="00283393"/>
    <w:rsid w:val="00283434"/>
    <w:rsid w:val="00283470"/>
    <w:rsid w:val="002835A4"/>
    <w:rsid w:val="002835D7"/>
    <w:rsid w:val="00283772"/>
    <w:rsid w:val="0028391D"/>
    <w:rsid w:val="002839B0"/>
    <w:rsid w:val="00283A18"/>
    <w:rsid w:val="00283B27"/>
    <w:rsid w:val="00283B8A"/>
    <w:rsid w:val="00283BCD"/>
    <w:rsid w:val="00283C24"/>
    <w:rsid w:val="00283C25"/>
    <w:rsid w:val="00283C3E"/>
    <w:rsid w:val="00283D30"/>
    <w:rsid w:val="00283D7A"/>
    <w:rsid w:val="00283F9B"/>
    <w:rsid w:val="00284075"/>
    <w:rsid w:val="00284085"/>
    <w:rsid w:val="0028419D"/>
    <w:rsid w:val="002841A5"/>
    <w:rsid w:val="002841F4"/>
    <w:rsid w:val="0028423A"/>
    <w:rsid w:val="00284266"/>
    <w:rsid w:val="0028427B"/>
    <w:rsid w:val="00284313"/>
    <w:rsid w:val="002843A0"/>
    <w:rsid w:val="002843AB"/>
    <w:rsid w:val="0028441A"/>
    <w:rsid w:val="002844EA"/>
    <w:rsid w:val="00284505"/>
    <w:rsid w:val="002845C9"/>
    <w:rsid w:val="0028468B"/>
    <w:rsid w:val="002846F1"/>
    <w:rsid w:val="002847F1"/>
    <w:rsid w:val="002847F2"/>
    <w:rsid w:val="00284AFA"/>
    <w:rsid w:val="00284B10"/>
    <w:rsid w:val="00284B37"/>
    <w:rsid w:val="00284BB4"/>
    <w:rsid w:val="00284C71"/>
    <w:rsid w:val="00284CF4"/>
    <w:rsid w:val="00284DF9"/>
    <w:rsid w:val="00284EA3"/>
    <w:rsid w:val="00284F0A"/>
    <w:rsid w:val="00284F1D"/>
    <w:rsid w:val="00284F25"/>
    <w:rsid w:val="00284FA8"/>
    <w:rsid w:val="00285165"/>
    <w:rsid w:val="00285173"/>
    <w:rsid w:val="00285259"/>
    <w:rsid w:val="002852E2"/>
    <w:rsid w:val="002854E4"/>
    <w:rsid w:val="002854E6"/>
    <w:rsid w:val="00285500"/>
    <w:rsid w:val="00285541"/>
    <w:rsid w:val="00285652"/>
    <w:rsid w:val="00285739"/>
    <w:rsid w:val="0028579D"/>
    <w:rsid w:val="002858AE"/>
    <w:rsid w:val="0028591E"/>
    <w:rsid w:val="00285969"/>
    <w:rsid w:val="00285996"/>
    <w:rsid w:val="00285A32"/>
    <w:rsid w:val="00285A4A"/>
    <w:rsid w:val="00285AAD"/>
    <w:rsid w:val="00285B2E"/>
    <w:rsid w:val="00285C25"/>
    <w:rsid w:val="00285D16"/>
    <w:rsid w:val="00285D6E"/>
    <w:rsid w:val="00285DB3"/>
    <w:rsid w:val="00285E01"/>
    <w:rsid w:val="00285E0A"/>
    <w:rsid w:val="00285E18"/>
    <w:rsid w:val="00285E41"/>
    <w:rsid w:val="00285FEE"/>
    <w:rsid w:val="002860F3"/>
    <w:rsid w:val="00286236"/>
    <w:rsid w:val="00286358"/>
    <w:rsid w:val="002863C7"/>
    <w:rsid w:val="0028640D"/>
    <w:rsid w:val="00286455"/>
    <w:rsid w:val="002864C4"/>
    <w:rsid w:val="00286586"/>
    <w:rsid w:val="002865A0"/>
    <w:rsid w:val="0028665F"/>
    <w:rsid w:val="0028684C"/>
    <w:rsid w:val="002868C7"/>
    <w:rsid w:val="002868F3"/>
    <w:rsid w:val="00286B3C"/>
    <w:rsid w:val="00286E66"/>
    <w:rsid w:val="00286E76"/>
    <w:rsid w:val="00286F58"/>
    <w:rsid w:val="00286FC1"/>
    <w:rsid w:val="00286FD6"/>
    <w:rsid w:val="00287064"/>
    <w:rsid w:val="002870B8"/>
    <w:rsid w:val="00287119"/>
    <w:rsid w:val="00287228"/>
    <w:rsid w:val="00287294"/>
    <w:rsid w:val="00287346"/>
    <w:rsid w:val="00287469"/>
    <w:rsid w:val="002874B1"/>
    <w:rsid w:val="00287544"/>
    <w:rsid w:val="00287553"/>
    <w:rsid w:val="002876CB"/>
    <w:rsid w:val="00287760"/>
    <w:rsid w:val="00287964"/>
    <w:rsid w:val="00287996"/>
    <w:rsid w:val="002879D1"/>
    <w:rsid w:val="00287A17"/>
    <w:rsid w:val="00287ABB"/>
    <w:rsid w:val="00287B51"/>
    <w:rsid w:val="00287C04"/>
    <w:rsid w:val="00287D95"/>
    <w:rsid w:val="00287E87"/>
    <w:rsid w:val="00287F0C"/>
    <w:rsid w:val="00287F39"/>
    <w:rsid w:val="00287FEA"/>
    <w:rsid w:val="002900E2"/>
    <w:rsid w:val="00290138"/>
    <w:rsid w:val="002901C2"/>
    <w:rsid w:val="002901D6"/>
    <w:rsid w:val="00290260"/>
    <w:rsid w:val="00290289"/>
    <w:rsid w:val="0029048C"/>
    <w:rsid w:val="002904B2"/>
    <w:rsid w:val="002904C7"/>
    <w:rsid w:val="0029056A"/>
    <w:rsid w:val="00290588"/>
    <w:rsid w:val="00290594"/>
    <w:rsid w:val="0029059B"/>
    <w:rsid w:val="0029071A"/>
    <w:rsid w:val="0029072D"/>
    <w:rsid w:val="0029073B"/>
    <w:rsid w:val="002907B5"/>
    <w:rsid w:val="002907F2"/>
    <w:rsid w:val="002908AB"/>
    <w:rsid w:val="0029091A"/>
    <w:rsid w:val="002909B0"/>
    <w:rsid w:val="002909F4"/>
    <w:rsid w:val="00290A9D"/>
    <w:rsid w:val="00290C1E"/>
    <w:rsid w:val="00290CA4"/>
    <w:rsid w:val="00290D3B"/>
    <w:rsid w:val="00290D56"/>
    <w:rsid w:val="00290DF6"/>
    <w:rsid w:val="00290F12"/>
    <w:rsid w:val="00290F48"/>
    <w:rsid w:val="00290F54"/>
    <w:rsid w:val="00291278"/>
    <w:rsid w:val="002913DF"/>
    <w:rsid w:val="00291400"/>
    <w:rsid w:val="0029144B"/>
    <w:rsid w:val="00291456"/>
    <w:rsid w:val="00291659"/>
    <w:rsid w:val="002916E8"/>
    <w:rsid w:val="00291711"/>
    <w:rsid w:val="00291718"/>
    <w:rsid w:val="0029175C"/>
    <w:rsid w:val="00291887"/>
    <w:rsid w:val="002918B1"/>
    <w:rsid w:val="002919E9"/>
    <w:rsid w:val="00291A13"/>
    <w:rsid w:val="00291CD0"/>
    <w:rsid w:val="00291D4F"/>
    <w:rsid w:val="00291D7A"/>
    <w:rsid w:val="00291D93"/>
    <w:rsid w:val="00291DCF"/>
    <w:rsid w:val="00291E4C"/>
    <w:rsid w:val="00291F3A"/>
    <w:rsid w:val="00291FDC"/>
    <w:rsid w:val="0029201F"/>
    <w:rsid w:val="0029227A"/>
    <w:rsid w:val="002922B5"/>
    <w:rsid w:val="002923BE"/>
    <w:rsid w:val="00292418"/>
    <w:rsid w:val="00292557"/>
    <w:rsid w:val="0029261B"/>
    <w:rsid w:val="002927B3"/>
    <w:rsid w:val="00292801"/>
    <w:rsid w:val="00292837"/>
    <w:rsid w:val="00292A83"/>
    <w:rsid w:val="00292A92"/>
    <w:rsid w:val="00292AA0"/>
    <w:rsid w:val="00292AB7"/>
    <w:rsid w:val="00292CCB"/>
    <w:rsid w:val="00292E70"/>
    <w:rsid w:val="00292EC7"/>
    <w:rsid w:val="00292F57"/>
    <w:rsid w:val="00292FED"/>
    <w:rsid w:val="00293044"/>
    <w:rsid w:val="0029308F"/>
    <w:rsid w:val="002930FF"/>
    <w:rsid w:val="002932D2"/>
    <w:rsid w:val="00293368"/>
    <w:rsid w:val="002933F2"/>
    <w:rsid w:val="00293416"/>
    <w:rsid w:val="002934E1"/>
    <w:rsid w:val="0029350F"/>
    <w:rsid w:val="002935DA"/>
    <w:rsid w:val="00293769"/>
    <w:rsid w:val="00293823"/>
    <w:rsid w:val="002938A1"/>
    <w:rsid w:val="00293A8D"/>
    <w:rsid w:val="00293B44"/>
    <w:rsid w:val="00293CFA"/>
    <w:rsid w:val="00293DDF"/>
    <w:rsid w:val="00293E79"/>
    <w:rsid w:val="00293E7A"/>
    <w:rsid w:val="00293E84"/>
    <w:rsid w:val="00293F07"/>
    <w:rsid w:val="00293FE6"/>
    <w:rsid w:val="0029405A"/>
    <w:rsid w:val="00294130"/>
    <w:rsid w:val="002942D5"/>
    <w:rsid w:val="002942ED"/>
    <w:rsid w:val="002942F1"/>
    <w:rsid w:val="002943CE"/>
    <w:rsid w:val="00294437"/>
    <w:rsid w:val="0029452E"/>
    <w:rsid w:val="00294614"/>
    <w:rsid w:val="00294810"/>
    <w:rsid w:val="00294850"/>
    <w:rsid w:val="002948C1"/>
    <w:rsid w:val="002948DC"/>
    <w:rsid w:val="002948DE"/>
    <w:rsid w:val="00294968"/>
    <w:rsid w:val="002949FD"/>
    <w:rsid w:val="00294A96"/>
    <w:rsid w:val="00294B4A"/>
    <w:rsid w:val="00294C58"/>
    <w:rsid w:val="00294CB9"/>
    <w:rsid w:val="00294CF5"/>
    <w:rsid w:val="00294DE3"/>
    <w:rsid w:val="00294E12"/>
    <w:rsid w:val="00294F4D"/>
    <w:rsid w:val="00295004"/>
    <w:rsid w:val="00295032"/>
    <w:rsid w:val="00295057"/>
    <w:rsid w:val="0029509B"/>
    <w:rsid w:val="002950AE"/>
    <w:rsid w:val="002951C1"/>
    <w:rsid w:val="002951E6"/>
    <w:rsid w:val="002952A6"/>
    <w:rsid w:val="002952A9"/>
    <w:rsid w:val="00295379"/>
    <w:rsid w:val="002953FA"/>
    <w:rsid w:val="00295459"/>
    <w:rsid w:val="0029552E"/>
    <w:rsid w:val="002955A3"/>
    <w:rsid w:val="002955FC"/>
    <w:rsid w:val="002956F8"/>
    <w:rsid w:val="00295744"/>
    <w:rsid w:val="00295768"/>
    <w:rsid w:val="002957B5"/>
    <w:rsid w:val="00295839"/>
    <w:rsid w:val="00295937"/>
    <w:rsid w:val="0029597D"/>
    <w:rsid w:val="002959CF"/>
    <w:rsid w:val="002959ED"/>
    <w:rsid w:val="00295A0A"/>
    <w:rsid w:val="00295A70"/>
    <w:rsid w:val="00295A85"/>
    <w:rsid w:val="00295A89"/>
    <w:rsid w:val="00295B30"/>
    <w:rsid w:val="00295CC0"/>
    <w:rsid w:val="00295D0F"/>
    <w:rsid w:val="00295D72"/>
    <w:rsid w:val="00295E1B"/>
    <w:rsid w:val="00295FA1"/>
    <w:rsid w:val="002960F1"/>
    <w:rsid w:val="00296271"/>
    <w:rsid w:val="00296315"/>
    <w:rsid w:val="0029633A"/>
    <w:rsid w:val="002963A3"/>
    <w:rsid w:val="002963F0"/>
    <w:rsid w:val="00296547"/>
    <w:rsid w:val="002965A1"/>
    <w:rsid w:val="002965CD"/>
    <w:rsid w:val="0029668C"/>
    <w:rsid w:val="0029686E"/>
    <w:rsid w:val="002968D0"/>
    <w:rsid w:val="0029692C"/>
    <w:rsid w:val="0029693E"/>
    <w:rsid w:val="00296983"/>
    <w:rsid w:val="00296A5A"/>
    <w:rsid w:val="00296B19"/>
    <w:rsid w:val="00296BA6"/>
    <w:rsid w:val="00296C15"/>
    <w:rsid w:val="00296DA0"/>
    <w:rsid w:val="00296EBC"/>
    <w:rsid w:val="00296EF7"/>
    <w:rsid w:val="00296F66"/>
    <w:rsid w:val="00297058"/>
    <w:rsid w:val="00297092"/>
    <w:rsid w:val="00297144"/>
    <w:rsid w:val="002971C4"/>
    <w:rsid w:val="002972A4"/>
    <w:rsid w:val="00297323"/>
    <w:rsid w:val="0029736D"/>
    <w:rsid w:val="00297374"/>
    <w:rsid w:val="002973AD"/>
    <w:rsid w:val="002973B0"/>
    <w:rsid w:val="002975B1"/>
    <w:rsid w:val="002975BF"/>
    <w:rsid w:val="002975CA"/>
    <w:rsid w:val="0029770E"/>
    <w:rsid w:val="00297804"/>
    <w:rsid w:val="00297856"/>
    <w:rsid w:val="00297898"/>
    <w:rsid w:val="002978EF"/>
    <w:rsid w:val="002979A4"/>
    <w:rsid w:val="002979A7"/>
    <w:rsid w:val="002979A8"/>
    <w:rsid w:val="002979B2"/>
    <w:rsid w:val="00297A58"/>
    <w:rsid w:val="00297B28"/>
    <w:rsid w:val="00297C40"/>
    <w:rsid w:val="00297C7B"/>
    <w:rsid w:val="00297CDC"/>
    <w:rsid w:val="00297D49"/>
    <w:rsid w:val="00297D90"/>
    <w:rsid w:val="00297D93"/>
    <w:rsid w:val="00297DB9"/>
    <w:rsid w:val="00297DC5"/>
    <w:rsid w:val="00297E22"/>
    <w:rsid w:val="00297F4C"/>
    <w:rsid w:val="00297F6A"/>
    <w:rsid w:val="00297F81"/>
    <w:rsid w:val="002A003E"/>
    <w:rsid w:val="002A004D"/>
    <w:rsid w:val="002A005B"/>
    <w:rsid w:val="002A01EF"/>
    <w:rsid w:val="002A0264"/>
    <w:rsid w:val="002A0462"/>
    <w:rsid w:val="002A04A9"/>
    <w:rsid w:val="002A04CA"/>
    <w:rsid w:val="002A05DA"/>
    <w:rsid w:val="002A068E"/>
    <w:rsid w:val="002A06B8"/>
    <w:rsid w:val="002A077B"/>
    <w:rsid w:val="002A08A6"/>
    <w:rsid w:val="002A08BB"/>
    <w:rsid w:val="002A08BE"/>
    <w:rsid w:val="002A0AC0"/>
    <w:rsid w:val="002A0B7A"/>
    <w:rsid w:val="002A0BA8"/>
    <w:rsid w:val="002A0BEB"/>
    <w:rsid w:val="002A0C15"/>
    <w:rsid w:val="002A0C28"/>
    <w:rsid w:val="002A0CA0"/>
    <w:rsid w:val="002A0E78"/>
    <w:rsid w:val="002A0E82"/>
    <w:rsid w:val="002A0E89"/>
    <w:rsid w:val="002A0ECA"/>
    <w:rsid w:val="002A0ED1"/>
    <w:rsid w:val="002A0F0F"/>
    <w:rsid w:val="002A0FF7"/>
    <w:rsid w:val="002A1183"/>
    <w:rsid w:val="002A1260"/>
    <w:rsid w:val="002A1342"/>
    <w:rsid w:val="002A13E9"/>
    <w:rsid w:val="002A13FE"/>
    <w:rsid w:val="002A1485"/>
    <w:rsid w:val="002A1684"/>
    <w:rsid w:val="002A16B7"/>
    <w:rsid w:val="002A16B9"/>
    <w:rsid w:val="002A180B"/>
    <w:rsid w:val="002A18A7"/>
    <w:rsid w:val="002A1901"/>
    <w:rsid w:val="002A1945"/>
    <w:rsid w:val="002A1982"/>
    <w:rsid w:val="002A19C3"/>
    <w:rsid w:val="002A1A69"/>
    <w:rsid w:val="002A1A91"/>
    <w:rsid w:val="002A1B6D"/>
    <w:rsid w:val="002A1D2E"/>
    <w:rsid w:val="002A1D84"/>
    <w:rsid w:val="002A1E3C"/>
    <w:rsid w:val="002A1E7D"/>
    <w:rsid w:val="002A1EC0"/>
    <w:rsid w:val="002A1FF0"/>
    <w:rsid w:val="002A2024"/>
    <w:rsid w:val="002A20AA"/>
    <w:rsid w:val="002A2129"/>
    <w:rsid w:val="002A21BE"/>
    <w:rsid w:val="002A21E3"/>
    <w:rsid w:val="002A21F4"/>
    <w:rsid w:val="002A22E9"/>
    <w:rsid w:val="002A22ED"/>
    <w:rsid w:val="002A25D0"/>
    <w:rsid w:val="002A26B4"/>
    <w:rsid w:val="002A277A"/>
    <w:rsid w:val="002A27F4"/>
    <w:rsid w:val="002A27F6"/>
    <w:rsid w:val="002A285D"/>
    <w:rsid w:val="002A2966"/>
    <w:rsid w:val="002A2A36"/>
    <w:rsid w:val="002A2AAD"/>
    <w:rsid w:val="002A2BEE"/>
    <w:rsid w:val="002A2CD0"/>
    <w:rsid w:val="002A2DAC"/>
    <w:rsid w:val="002A2E2D"/>
    <w:rsid w:val="002A2EC2"/>
    <w:rsid w:val="002A2EDE"/>
    <w:rsid w:val="002A2F16"/>
    <w:rsid w:val="002A2F52"/>
    <w:rsid w:val="002A2F9B"/>
    <w:rsid w:val="002A2FBA"/>
    <w:rsid w:val="002A3079"/>
    <w:rsid w:val="002A30F8"/>
    <w:rsid w:val="002A31CB"/>
    <w:rsid w:val="002A3261"/>
    <w:rsid w:val="002A329F"/>
    <w:rsid w:val="002A32D7"/>
    <w:rsid w:val="002A337F"/>
    <w:rsid w:val="002A33F5"/>
    <w:rsid w:val="002A3409"/>
    <w:rsid w:val="002A342F"/>
    <w:rsid w:val="002A3511"/>
    <w:rsid w:val="002A354C"/>
    <w:rsid w:val="002A35D1"/>
    <w:rsid w:val="002A35DB"/>
    <w:rsid w:val="002A3600"/>
    <w:rsid w:val="002A368B"/>
    <w:rsid w:val="002A369F"/>
    <w:rsid w:val="002A36A8"/>
    <w:rsid w:val="002A37D6"/>
    <w:rsid w:val="002A37E0"/>
    <w:rsid w:val="002A38D3"/>
    <w:rsid w:val="002A39C7"/>
    <w:rsid w:val="002A39EF"/>
    <w:rsid w:val="002A3A42"/>
    <w:rsid w:val="002A3A7B"/>
    <w:rsid w:val="002A3B6A"/>
    <w:rsid w:val="002A3BED"/>
    <w:rsid w:val="002A3C7A"/>
    <w:rsid w:val="002A3C89"/>
    <w:rsid w:val="002A3CD5"/>
    <w:rsid w:val="002A3CEE"/>
    <w:rsid w:val="002A3E67"/>
    <w:rsid w:val="002A3F3C"/>
    <w:rsid w:val="002A3FD2"/>
    <w:rsid w:val="002A3FFF"/>
    <w:rsid w:val="002A4008"/>
    <w:rsid w:val="002A408D"/>
    <w:rsid w:val="002A4151"/>
    <w:rsid w:val="002A41F4"/>
    <w:rsid w:val="002A420B"/>
    <w:rsid w:val="002A4282"/>
    <w:rsid w:val="002A43EC"/>
    <w:rsid w:val="002A4409"/>
    <w:rsid w:val="002A450E"/>
    <w:rsid w:val="002A4538"/>
    <w:rsid w:val="002A46DE"/>
    <w:rsid w:val="002A4805"/>
    <w:rsid w:val="002A488C"/>
    <w:rsid w:val="002A48A0"/>
    <w:rsid w:val="002A48AB"/>
    <w:rsid w:val="002A49AC"/>
    <w:rsid w:val="002A4A61"/>
    <w:rsid w:val="002A4A64"/>
    <w:rsid w:val="002A4BAD"/>
    <w:rsid w:val="002A4DC7"/>
    <w:rsid w:val="002A4DD4"/>
    <w:rsid w:val="002A4DE9"/>
    <w:rsid w:val="002A4E03"/>
    <w:rsid w:val="002A4EE3"/>
    <w:rsid w:val="002A5063"/>
    <w:rsid w:val="002A5074"/>
    <w:rsid w:val="002A50A2"/>
    <w:rsid w:val="002A5163"/>
    <w:rsid w:val="002A5277"/>
    <w:rsid w:val="002A5346"/>
    <w:rsid w:val="002A536D"/>
    <w:rsid w:val="002A5537"/>
    <w:rsid w:val="002A55F5"/>
    <w:rsid w:val="002A5672"/>
    <w:rsid w:val="002A5728"/>
    <w:rsid w:val="002A5775"/>
    <w:rsid w:val="002A594A"/>
    <w:rsid w:val="002A5966"/>
    <w:rsid w:val="002A5A5C"/>
    <w:rsid w:val="002A5A6C"/>
    <w:rsid w:val="002A5A83"/>
    <w:rsid w:val="002A5B03"/>
    <w:rsid w:val="002A5B16"/>
    <w:rsid w:val="002A5B18"/>
    <w:rsid w:val="002A5B65"/>
    <w:rsid w:val="002A5CA9"/>
    <w:rsid w:val="002A5E9A"/>
    <w:rsid w:val="002A5EB3"/>
    <w:rsid w:val="002A5FB1"/>
    <w:rsid w:val="002A6133"/>
    <w:rsid w:val="002A6193"/>
    <w:rsid w:val="002A61FB"/>
    <w:rsid w:val="002A635E"/>
    <w:rsid w:val="002A6384"/>
    <w:rsid w:val="002A6422"/>
    <w:rsid w:val="002A6573"/>
    <w:rsid w:val="002A657A"/>
    <w:rsid w:val="002A6633"/>
    <w:rsid w:val="002A667E"/>
    <w:rsid w:val="002A66AA"/>
    <w:rsid w:val="002A675F"/>
    <w:rsid w:val="002A68A2"/>
    <w:rsid w:val="002A68D2"/>
    <w:rsid w:val="002A6991"/>
    <w:rsid w:val="002A6ACA"/>
    <w:rsid w:val="002A6B10"/>
    <w:rsid w:val="002A6B5B"/>
    <w:rsid w:val="002A6B62"/>
    <w:rsid w:val="002A6C5D"/>
    <w:rsid w:val="002A6DB6"/>
    <w:rsid w:val="002A6DC4"/>
    <w:rsid w:val="002A6ECF"/>
    <w:rsid w:val="002A6FE2"/>
    <w:rsid w:val="002A6FF4"/>
    <w:rsid w:val="002A702F"/>
    <w:rsid w:val="002A706B"/>
    <w:rsid w:val="002A706C"/>
    <w:rsid w:val="002A70F5"/>
    <w:rsid w:val="002A70F9"/>
    <w:rsid w:val="002A71B0"/>
    <w:rsid w:val="002A7268"/>
    <w:rsid w:val="002A726D"/>
    <w:rsid w:val="002A72D1"/>
    <w:rsid w:val="002A742A"/>
    <w:rsid w:val="002A743D"/>
    <w:rsid w:val="002A74EF"/>
    <w:rsid w:val="002A755A"/>
    <w:rsid w:val="002A75BB"/>
    <w:rsid w:val="002A76A0"/>
    <w:rsid w:val="002A774D"/>
    <w:rsid w:val="002A7790"/>
    <w:rsid w:val="002A77D1"/>
    <w:rsid w:val="002A7A31"/>
    <w:rsid w:val="002A7A32"/>
    <w:rsid w:val="002A7A94"/>
    <w:rsid w:val="002A7AD9"/>
    <w:rsid w:val="002A7B4E"/>
    <w:rsid w:val="002A7C59"/>
    <w:rsid w:val="002A7D57"/>
    <w:rsid w:val="002A7DB6"/>
    <w:rsid w:val="002A7E00"/>
    <w:rsid w:val="002A7E51"/>
    <w:rsid w:val="002A7E59"/>
    <w:rsid w:val="002A7EC0"/>
    <w:rsid w:val="002A7F3A"/>
    <w:rsid w:val="002A7F5F"/>
    <w:rsid w:val="002A7F9A"/>
    <w:rsid w:val="002A7FC2"/>
    <w:rsid w:val="002B0061"/>
    <w:rsid w:val="002B0073"/>
    <w:rsid w:val="002B0087"/>
    <w:rsid w:val="002B00A0"/>
    <w:rsid w:val="002B0182"/>
    <w:rsid w:val="002B0204"/>
    <w:rsid w:val="002B02B5"/>
    <w:rsid w:val="002B0337"/>
    <w:rsid w:val="002B0377"/>
    <w:rsid w:val="002B039C"/>
    <w:rsid w:val="002B03F2"/>
    <w:rsid w:val="002B0460"/>
    <w:rsid w:val="002B048D"/>
    <w:rsid w:val="002B04F1"/>
    <w:rsid w:val="002B054E"/>
    <w:rsid w:val="002B0582"/>
    <w:rsid w:val="002B06FF"/>
    <w:rsid w:val="002B077E"/>
    <w:rsid w:val="002B0780"/>
    <w:rsid w:val="002B078D"/>
    <w:rsid w:val="002B085C"/>
    <w:rsid w:val="002B0AAA"/>
    <w:rsid w:val="002B0B0F"/>
    <w:rsid w:val="002B0B66"/>
    <w:rsid w:val="002B0C71"/>
    <w:rsid w:val="002B0C74"/>
    <w:rsid w:val="002B0EE9"/>
    <w:rsid w:val="002B0EF9"/>
    <w:rsid w:val="002B0FDC"/>
    <w:rsid w:val="002B1035"/>
    <w:rsid w:val="002B106D"/>
    <w:rsid w:val="002B108A"/>
    <w:rsid w:val="002B1253"/>
    <w:rsid w:val="002B128E"/>
    <w:rsid w:val="002B130E"/>
    <w:rsid w:val="002B131D"/>
    <w:rsid w:val="002B1379"/>
    <w:rsid w:val="002B1467"/>
    <w:rsid w:val="002B14B6"/>
    <w:rsid w:val="002B157F"/>
    <w:rsid w:val="002B15AE"/>
    <w:rsid w:val="002B166B"/>
    <w:rsid w:val="002B169F"/>
    <w:rsid w:val="002B16DA"/>
    <w:rsid w:val="002B16EF"/>
    <w:rsid w:val="002B1748"/>
    <w:rsid w:val="002B1773"/>
    <w:rsid w:val="002B17E8"/>
    <w:rsid w:val="002B17F5"/>
    <w:rsid w:val="002B1833"/>
    <w:rsid w:val="002B186A"/>
    <w:rsid w:val="002B190E"/>
    <w:rsid w:val="002B1A51"/>
    <w:rsid w:val="002B1AD3"/>
    <w:rsid w:val="002B1B6B"/>
    <w:rsid w:val="002B1B86"/>
    <w:rsid w:val="002B1BA3"/>
    <w:rsid w:val="002B1BC7"/>
    <w:rsid w:val="002B1C01"/>
    <w:rsid w:val="002B1C2B"/>
    <w:rsid w:val="002B1CD0"/>
    <w:rsid w:val="002B1F34"/>
    <w:rsid w:val="002B1F8E"/>
    <w:rsid w:val="002B1FDE"/>
    <w:rsid w:val="002B2039"/>
    <w:rsid w:val="002B209C"/>
    <w:rsid w:val="002B2180"/>
    <w:rsid w:val="002B21D4"/>
    <w:rsid w:val="002B2253"/>
    <w:rsid w:val="002B2597"/>
    <w:rsid w:val="002B2669"/>
    <w:rsid w:val="002B2727"/>
    <w:rsid w:val="002B27CF"/>
    <w:rsid w:val="002B28C8"/>
    <w:rsid w:val="002B28F2"/>
    <w:rsid w:val="002B291B"/>
    <w:rsid w:val="002B2971"/>
    <w:rsid w:val="002B29EC"/>
    <w:rsid w:val="002B2A42"/>
    <w:rsid w:val="002B2A5A"/>
    <w:rsid w:val="002B2AEF"/>
    <w:rsid w:val="002B2BC5"/>
    <w:rsid w:val="002B2C68"/>
    <w:rsid w:val="002B2CEB"/>
    <w:rsid w:val="002B2D0C"/>
    <w:rsid w:val="002B2D14"/>
    <w:rsid w:val="002B2D6E"/>
    <w:rsid w:val="002B2E10"/>
    <w:rsid w:val="002B2FEC"/>
    <w:rsid w:val="002B3003"/>
    <w:rsid w:val="002B3063"/>
    <w:rsid w:val="002B3064"/>
    <w:rsid w:val="002B3076"/>
    <w:rsid w:val="002B3185"/>
    <w:rsid w:val="002B320A"/>
    <w:rsid w:val="002B3212"/>
    <w:rsid w:val="002B325C"/>
    <w:rsid w:val="002B32A8"/>
    <w:rsid w:val="002B32E2"/>
    <w:rsid w:val="002B3394"/>
    <w:rsid w:val="002B35C0"/>
    <w:rsid w:val="002B3813"/>
    <w:rsid w:val="002B3829"/>
    <w:rsid w:val="002B38CC"/>
    <w:rsid w:val="002B38CE"/>
    <w:rsid w:val="002B3B90"/>
    <w:rsid w:val="002B3BE0"/>
    <w:rsid w:val="002B3C3D"/>
    <w:rsid w:val="002B3D01"/>
    <w:rsid w:val="002B3D31"/>
    <w:rsid w:val="002B3ED1"/>
    <w:rsid w:val="002B3EE1"/>
    <w:rsid w:val="002B3F74"/>
    <w:rsid w:val="002B417A"/>
    <w:rsid w:val="002B4236"/>
    <w:rsid w:val="002B42C2"/>
    <w:rsid w:val="002B42CB"/>
    <w:rsid w:val="002B42DE"/>
    <w:rsid w:val="002B4316"/>
    <w:rsid w:val="002B43A2"/>
    <w:rsid w:val="002B43E6"/>
    <w:rsid w:val="002B450A"/>
    <w:rsid w:val="002B4548"/>
    <w:rsid w:val="002B4656"/>
    <w:rsid w:val="002B4689"/>
    <w:rsid w:val="002B472C"/>
    <w:rsid w:val="002B4740"/>
    <w:rsid w:val="002B47C3"/>
    <w:rsid w:val="002B48A5"/>
    <w:rsid w:val="002B48DE"/>
    <w:rsid w:val="002B491E"/>
    <w:rsid w:val="002B4A4E"/>
    <w:rsid w:val="002B4A98"/>
    <w:rsid w:val="002B4ACC"/>
    <w:rsid w:val="002B4B47"/>
    <w:rsid w:val="002B4B9A"/>
    <w:rsid w:val="002B4D3D"/>
    <w:rsid w:val="002B4DC0"/>
    <w:rsid w:val="002B4DF7"/>
    <w:rsid w:val="002B4E5A"/>
    <w:rsid w:val="002B4F63"/>
    <w:rsid w:val="002B4F72"/>
    <w:rsid w:val="002B518C"/>
    <w:rsid w:val="002B51B2"/>
    <w:rsid w:val="002B5377"/>
    <w:rsid w:val="002B53D3"/>
    <w:rsid w:val="002B5413"/>
    <w:rsid w:val="002B5418"/>
    <w:rsid w:val="002B54BA"/>
    <w:rsid w:val="002B54C3"/>
    <w:rsid w:val="002B54D0"/>
    <w:rsid w:val="002B5540"/>
    <w:rsid w:val="002B5551"/>
    <w:rsid w:val="002B558F"/>
    <w:rsid w:val="002B5606"/>
    <w:rsid w:val="002B561C"/>
    <w:rsid w:val="002B56AE"/>
    <w:rsid w:val="002B56C2"/>
    <w:rsid w:val="002B572D"/>
    <w:rsid w:val="002B5794"/>
    <w:rsid w:val="002B5B74"/>
    <w:rsid w:val="002B5B75"/>
    <w:rsid w:val="002B5D09"/>
    <w:rsid w:val="002B5D68"/>
    <w:rsid w:val="002B5F95"/>
    <w:rsid w:val="002B5FDC"/>
    <w:rsid w:val="002B6008"/>
    <w:rsid w:val="002B606D"/>
    <w:rsid w:val="002B60B2"/>
    <w:rsid w:val="002B60DB"/>
    <w:rsid w:val="002B6146"/>
    <w:rsid w:val="002B6190"/>
    <w:rsid w:val="002B61BE"/>
    <w:rsid w:val="002B61DD"/>
    <w:rsid w:val="002B622F"/>
    <w:rsid w:val="002B63E1"/>
    <w:rsid w:val="002B6417"/>
    <w:rsid w:val="002B6546"/>
    <w:rsid w:val="002B66F2"/>
    <w:rsid w:val="002B6729"/>
    <w:rsid w:val="002B673C"/>
    <w:rsid w:val="002B67A3"/>
    <w:rsid w:val="002B692F"/>
    <w:rsid w:val="002B697E"/>
    <w:rsid w:val="002B697F"/>
    <w:rsid w:val="002B6A70"/>
    <w:rsid w:val="002B6ADD"/>
    <w:rsid w:val="002B6B30"/>
    <w:rsid w:val="002B6B41"/>
    <w:rsid w:val="002B6BBD"/>
    <w:rsid w:val="002B6C69"/>
    <w:rsid w:val="002B6D07"/>
    <w:rsid w:val="002B6D7D"/>
    <w:rsid w:val="002B6DD3"/>
    <w:rsid w:val="002B6F1D"/>
    <w:rsid w:val="002B7008"/>
    <w:rsid w:val="002B7119"/>
    <w:rsid w:val="002B718A"/>
    <w:rsid w:val="002B72DB"/>
    <w:rsid w:val="002B73AC"/>
    <w:rsid w:val="002B751F"/>
    <w:rsid w:val="002B752E"/>
    <w:rsid w:val="002B7658"/>
    <w:rsid w:val="002B7704"/>
    <w:rsid w:val="002B7731"/>
    <w:rsid w:val="002B774F"/>
    <w:rsid w:val="002B7864"/>
    <w:rsid w:val="002B7964"/>
    <w:rsid w:val="002B7ABA"/>
    <w:rsid w:val="002B7BAA"/>
    <w:rsid w:val="002B7C03"/>
    <w:rsid w:val="002B7C7E"/>
    <w:rsid w:val="002B7E20"/>
    <w:rsid w:val="002B7E6D"/>
    <w:rsid w:val="002B7E88"/>
    <w:rsid w:val="002B7F00"/>
    <w:rsid w:val="002B7F3A"/>
    <w:rsid w:val="002B7F4D"/>
    <w:rsid w:val="002B7FD0"/>
    <w:rsid w:val="002C0011"/>
    <w:rsid w:val="002C0110"/>
    <w:rsid w:val="002C025C"/>
    <w:rsid w:val="002C0266"/>
    <w:rsid w:val="002C02B1"/>
    <w:rsid w:val="002C02F2"/>
    <w:rsid w:val="002C044F"/>
    <w:rsid w:val="002C0461"/>
    <w:rsid w:val="002C0477"/>
    <w:rsid w:val="002C06C5"/>
    <w:rsid w:val="002C07A5"/>
    <w:rsid w:val="002C0C07"/>
    <w:rsid w:val="002C0D03"/>
    <w:rsid w:val="002C0E4D"/>
    <w:rsid w:val="002C0F47"/>
    <w:rsid w:val="002C10F2"/>
    <w:rsid w:val="002C11B4"/>
    <w:rsid w:val="002C11DA"/>
    <w:rsid w:val="002C12CC"/>
    <w:rsid w:val="002C1308"/>
    <w:rsid w:val="002C131E"/>
    <w:rsid w:val="002C1341"/>
    <w:rsid w:val="002C13D4"/>
    <w:rsid w:val="002C13D5"/>
    <w:rsid w:val="002C13F6"/>
    <w:rsid w:val="002C1457"/>
    <w:rsid w:val="002C1490"/>
    <w:rsid w:val="002C14AC"/>
    <w:rsid w:val="002C159F"/>
    <w:rsid w:val="002C15ED"/>
    <w:rsid w:val="002C1644"/>
    <w:rsid w:val="002C169E"/>
    <w:rsid w:val="002C1769"/>
    <w:rsid w:val="002C17EA"/>
    <w:rsid w:val="002C1806"/>
    <w:rsid w:val="002C1818"/>
    <w:rsid w:val="002C1953"/>
    <w:rsid w:val="002C19E6"/>
    <w:rsid w:val="002C1A17"/>
    <w:rsid w:val="002C1A6E"/>
    <w:rsid w:val="002C1AA5"/>
    <w:rsid w:val="002C1B40"/>
    <w:rsid w:val="002C1B7F"/>
    <w:rsid w:val="002C1B91"/>
    <w:rsid w:val="002C1BA5"/>
    <w:rsid w:val="002C1BCF"/>
    <w:rsid w:val="002C1BD0"/>
    <w:rsid w:val="002C1C5C"/>
    <w:rsid w:val="002C1C5E"/>
    <w:rsid w:val="002C1D2B"/>
    <w:rsid w:val="002C1E0A"/>
    <w:rsid w:val="002C1F0F"/>
    <w:rsid w:val="002C1F19"/>
    <w:rsid w:val="002C1F6A"/>
    <w:rsid w:val="002C1F7F"/>
    <w:rsid w:val="002C1FA0"/>
    <w:rsid w:val="002C1FDB"/>
    <w:rsid w:val="002C20FD"/>
    <w:rsid w:val="002C215C"/>
    <w:rsid w:val="002C216B"/>
    <w:rsid w:val="002C21F1"/>
    <w:rsid w:val="002C2241"/>
    <w:rsid w:val="002C22EF"/>
    <w:rsid w:val="002C231A"/>
    <w:rsid w:val="002C25DF"/>
    <w:rsid w:val="002C26E2"/>
    <w:rsid w:val="002C26EC"/>
    <w:rsid w:val="002C27BC"/>
    <w:rsid w:val="002C28A6"/>
    <w:rsid w:val="002C292F"/>
    <w:rsid w:val="002C2930"/>
    <w:rsid w:val="002C2965"/>
    <w:rsid w:val="002C2C58"/>
    <w:rsid w:val="002C2CA9"/>
    <w:rsid w:val="002C2E25"/>
    <w:rsid w:val="002C2EEA"/>
    <w:rsid w:val="002C3080"/>
    <w:rsid w:val="002C3111"/>
    <w:rsid w:val="002C3127"/>
    <w:rsid w:val="002C314B"/>
    <w:rsid w:val="002C3166"/>
    <w:rsid w:val="002C327A"/>
    <w:rsid w:val="002C331B"/>
    <w:rsid w:val="002C347A"/>
    <w:rsid w:val="002C3565"/>
    <w:rsid w:val="002C3573"/>
    <w:rsid w:val="002C35D2"/>
    <w:rsid w:val="002C365A"/>
    <w:rsid w:val="002C36C6"/>
    <w:rsid w:val="002C37B7"/>
    <w:rsid w:val="002C38B9"/>
    <w:rsid w:val="002C38DA"/>
    <w:rsid w:val="002C3908"/>
    <w:rsid w:val="002C3AC5"/>
    <w:rsid w:val="002C3B1C"/>
    <w:rsid w:val="002C3B97"/>
    <w:rsid w:val="002C3C76"/>
    <w:rsid w:val="002C3CAA"/>
    <w:rsid w:val="002C3CFA"/>
    <w:rsid w:val="002C3D5E"/>
    <w:rsid w:val="002C3DA2"/>
    <w:rsid w:val="002C3DD8"/>
    <w:rsid w:val="002C3DE3"/>
    <w:rsid w:val="002C3FA5"/>
    <w:rsid w:val="002C400C"/>
    <w:rsid w:val="002C409E"/>
    <w:rsid w:val="002C4129"/>
    <w:rsid w:val="002C41B6"/>
    <w:rsid w:val="002C4547"/>
    <w:rsid w:val="002C4564"/>
    <w:rsid w:val="002C45C9"/>
    <w:rsid w:val="002C46D0"/>
    <w:rsid w:val="002C4756"/>
    <w:rsid w:val="002C47C1"/>
    <w:rsid w:val="002C486A"/>
    <w:rsid w:val="002C4961"/>
    <w:rsid w:val="002C497B"/>
    <w:rsid w:val="002C49AB"/>
    <w:rsid w:val="002C49CF"/>
    <w:rsid w:val="002C4ABC"/>
    <w:rsid w:val="002C4ABF"/>
    <w:rsid w:val="002C4B3D"/>
    <w:rsid w:val="002C4B41"/>
    <w:rsid w:val="002C4BE1"/>
    <w:rsid w:val="002C4C85"/>
    <w:rsid w:val="002C4E52"/>
    <w:rsid w:val="002C4E71"/>
    <w:rsid w:val="002C4E94"/>
    <w:rsid w:val="002C4F1F"/>
    <w:rsid w:val="002C4F32"/>
    <w:rsid w:val="002C4FCB"/>
    <w:rsid w:val="002C509D"/>
    <w:rsid w:val="002C5291"/>
    <w:rsid w:val="002C52FA"/>
    <w:rsid w:val="002C53A6"/>
    <w:rsid w:val="002C55FF"/>
    <w:rsid w:val="002C5609"/>
    <w:rsid w:val="002C56F6"/>
    <w:rsid w:val="002C56F8"/>
    <w:rsid w:val="002C57FB"/>
    <w:rsid w:val="002C58BC"/>
    <w:rsid w:val="002C5A22"/>
    <w:rsid w:val="002C5BF5"/>
    <w:rsid w:val="002C5D09"/>
    <w:rsid w:val="002C5D15"/>
    <w:rsid w:val="002C5D83"/>
    <w:rsid w:val="002C5DDC"/>
    <w:rsid w:val="002C5E54"/>
    <w:rsid w:val="002C5EA8"/>
    <w:rsid w:val="002C5F17"/>
    <w:rsid w:val="002C5FCE"/>
    <w:rsid w:val="002C6000"/>
    <w:rsid w:val="002C6057"/>
    <w:rsid w:val="002C60C0"/>
    <w:rsid w:val="002C617B"/>
    <w:rsid w:val="002C619C"/>
    <w:rsid w:val="002C621F"/>
    <w:rsid w:val="002C6239"/>
    <w:rsid w:val="002C63EC"/>
    <w:rsid w:val="002C64D0"/>
    <w:rsid w:val="002C6525"/>
    <w:rsid w:val="002C66BF"/>
    <w:rsid w:val="002C6730"/>
    <w:rsid w:val="002C6732"/>
    <w:rsid w:val="002C6789"/>
    <w:rsid w:val="002C68C5"/>
    <w:rsid w:val="002C69AA"/>
    <w:rsid w:val="002C6A04"/>
    <w:rsid w:val="002C6BC3"/>
    <w:rsid w:val="002C6BC4"/>
    <w:rsid w:val="002C6DE4"/>
    <w:rsid w:val="002C6E10"/>
    <w:rsid w:val="002C6EC1"/>
    <w:rsid w:val="002C6EDD"/>
    <w:rsid w:val="002C6F32"/>
    <w:rsid w:val="002C6FE2"/>
    <w:rsid w:val="002C71A5"/>
    <w:rsid w:val="002C724E"/>
    <w:rsid w:val="002C7289"/>
    <w:rsid w:val="002C743A"/>
    <w:rsid w:val="002C744D"/>
    <w:rsid w:val="002C7463"/>
    <w:rsid w:val="002C74BF"/>
    <w:rsid w:val="002C7571"/>
    <w:rsid w:val="002C7631"/>
    <w:rsid w:val="002C7674"/>
    <w:rsid w:val="002C7686"/>
    <w:rsid w:val="002C76C9"/>
    <w:rsid w:val="002C76EB"/>
    <w:rsid w:val="002C7758"/>
    <w:rsid w:val="002C77C9"/>
    <w:rsid w:val="002C7804"/>
    <w:rsid w:val="002C7845"/>
    <w:rsid w:val="002C7AA0"/>
    <w:rsid w:val="002C7B4F"/>
    <w:rsid w:val="002C7B89"/>
    <w:rsid w:val="002C7BD2"/>
    <w:rsid w:val="002C7BE4"/>
    <w:rsid w:val="002C7D6C"/>
    <w:rsid w:val="002C7DD6"/>
    <w:rsid w:val="002C7E6E"/>
    <w:rsid w:val="002C7F0D"/>
    <w:rsid w:val="002C7FC1"/>
    <w:rsid w:val="002D003B"/>
    <w:rsid w:val="002D017C"/>
    <w:rsid w:val="002D0181"/>
    <w:rsid w:val="002D02F3"/>
    <w:rsid w:val="002D040E"/>
    <w:rsid w:val="002D0449"/>
    <w:rsid w:val="002D0468"/>
    <w:rsid w:val="002D0506"/>
    <w:rsid w:val="002D050A"/>
    <w:rsid w:val="002D0512"/>
    <w:rsid w:val="002D0661"/>
    <w:rsid w:val="002D0699"/>
    <w:rsid w:val="002D093A"/>
    <w:rsid w:val="002D0A49"/>
    <w:rsid w:val="002D0A72"/>
    <w:rsid w:val="002D0AE1"/>
    <w:rsid w:val="002D0B3E"/>
    <w:rsid w:val="002D0CED"/>
    <w:rsid w:val="002D0D36"/>
    <w:rsid w:val="002D0E10"/>
    <w:rsid w:val="002D0E45"/>
    <w:rsid w:val="002D0EDE"/>
    <w:rsid w:val="002D0F85"/>
    <w:rsid w:val="002D0FBC"/>
    <w:rsid w:val="002D0FBD"/>
    <w:rsid w:val="002D0FC9"/>
    <w:rsid w:val="002D1016"/>
    <w:rsid w:val="002D11BA"/>
    <w:rsid w:val="002D128F"/>
    <w:rsid w:val="002D1535"/>
    <w:rsid w:val="002D1562"/>
    <w:rsid w:val="002D1718"/>
    <w:rsid w:val="002D172B"/>
    <w:rsid w:val="002D17A4"/>
    <w:rsid w:val="002D1853"/>
    <w:rsid w:val="002D1934"/>
    <w:rsid w:val="002D19AD"/>
    <w:rsid w:val="002D19F0"/>
    <w:rsid w:val="002D1A29"/>
    <w:rsid w:val="002D1AC5"/>
    <w:rsid w:val="002D1AD7"/>
    <w:rsid w:val="002D1AEF"/>
    <w:rsid w:val="002D1BA8"/>
    <w:rsid w:val="002D1C45"/>
    <w:rsid w:val="002D1E3B"/>
    <w:rsid w:val="002D1E8C"/>
    <w:rsid w:val="002D1EE2"/>
    <w:rsid w:val="002D1F60"/>
    <w:rsid w:val="002D1F85"/>
    <w:rsid w:val="002D1FCC"/>
    <w:rsid w:val="002D2007"/>
    <w:rsid w:val="002D20EF"/>
    <w:rsid w:val="002D20F9"/>
    <w:rsid w:val="002D21F5"/>
    <w:rsid w:val="002D22D3"/>
    <w:rsid w:val="002D231B"/>
    <w:rsid w:val="002D2359"/>
    <w:rsid w:val="002D2406"/>
    <w:rsid w:val="002D2420"/>
    <w:rsid w:val="002D2567"/>
    <w:rsid w:val="002D2578"/>
    <w:rsid w:val="002D259C"/>
    <w:rsid w:val="002D2609"/>
    <w:rsid w:val="002D2665"/>
    <w:rsid w:val="002D26FE"/>
    <w:rsid w:val="002D287B"/>
    <w:rsid w:val="002D2B93"/>
    <w:rsid w:val="002D2BDA"/>
    <w:rsid w:val="002D2C51"/>
    <w:rsid w:val="002D2CB5"/>
    <w:rsid w:val="002D2CC5"/>
    <w:rsid w:val="002D2CC6"/>
    <w:rsid w:val="002D2D1F"/>
    <w:rsid w:val="002D2E13"/>
    <w:rsid w:val="002D2E34"/>
    <w:rsid w:val="002D2F2C"/>
    <w:rsid w:val="002D2FCE"/>
    <w:rsid w:val="002D3042"/>
    <w:rsid w:val="002D311F"/>
    <w:rsid w:val="002D3163"/>
    <w:rsid w:val="002D317B"/>
    <w:rsid w:val="002D31E7"/>
    <w:rsid w:val="002D31E8"/>
    <w:rsid w:val="002D320E"/>
    <w:rsid w:val="002D321B"/>
    <w:rsid w:val="002D33C3"/>
    <w:rsid w:val="002D33D2"/>
    <w:rsid w:val="002D33DF"/>
    <w:rsid w:val="002D34AB"/>
    <w:rsid w:val="002D34B1"/>
    <w:rsid w:val="002D3551"/>
    <w:rsid w:val="002D35CF"/>
    <w:rsid w:val="002D36C6"/>
    <w:rsid w:val="002D3716"/>
    <w:rsid w:val="002D375A"/>
    <w:rsid w:val="002D377B"/>
    <w:rsid w:val="002D3791"/>
    <w:rsid w:val="002D380E"/>
    <w:rsid w:val="002D3A33"/>
    <w:rsid w:val="002D3B77"/>
    <w:rsid w:val="002D3C68"/>
    <w:rsid w:val="002D3D13"/>
    <w:rsid w:val="002D3D85"/>
    <w:rsid w:val="002D3E22"/>
    <w:rsid w:val="002D3E61"/>
    <w:rsid w:val="002D3EB9"/>
    <w:rsid w:val="002D3F27"/>
    <w:rsid w:val="002D3F29"/>
    <w:rsid w:val="002D3FDB"/>
    <w:rsid w:val="002D41F0"/>
    <w:rsid w:val="002D42CD"/>
    <w:rsid w:val="002D43F0"/>
    <w:rsid w:val="002D443D"/>
    <w:rsid w:val="002D4488"/>
    <w:rsid w:val="002D44DB"/>
    <w:rsid w:val="002D4503"/>
    <w:rsid w:val="002D495F"/>
    <w:rsid w:val="002D4B08"/>
    <w:rsid w:val="002D4B0D"/>
    <w:rsid w:val="002D4B68"/>
    <w:rsid w:val="002D4B72"/>
    <w:rsid w:val="002D4B8A"/>
    <w:rsid w:val="002D4BDE"/>
    <w:rsid w:val="002D4BEE"/>
    <w:rsid w:val="002D4C14"/>
    <w:rsid w:val="002D4C4D"/>
    <w:rsid w:val="002D4CEC"/>
    <w:rsid w:val="002D4EA6"/>
    <w:rsid w:val="002D4F05"/>
    <w:rsid w:val="002D4F5C"/>
    <w:rsid w:val="002D50BE"/>
    <w:rsid w:val="002D51D6"/>
    <w:rsid w:val="002D527F"/>
    <w:rsid w:val="002D5318"/>
    <w:rsid w:val="002D5383"/>
    <w:rsid w:val="002D53AB"/>
    <w:rsid w:val="002D543D"/>
    <w:rsid w:val="002D5469"/>
    <w:rsid w:val="002D550F"/>
    <w:rsid w:val="002D55C9"/>
    <w:rsid w:val="002D565A"/>
    <w:rsid w:val="002D5680"/>
    <w:rsid w:val="002D572D"/>
    <w:rsid w:val="002D5760"/>
    <w:rsid w:val="002D5764"/>
    <w:rsid w:val="002D57A7"/>
    <w:rsid w:val="002D57F1"/>
    <w:rsid w:val="002D5803"/>
    <w:rsid w:val="002D5A2C"/>
    <w:rsid w:val="002D5AA2"/>
    <w:rsid w:val="002D5AA3"/>
    <w:rsid w:val="002D5C03"/>
    <w:rsid w:val="002D5C52"/>
    <w:rsid w:val="002D5C82"/>
    <w:rsid w:val="002D5CA0"/>
    <w:rsid w:val="002D5E1A"/>
    <w:rsid w:val="002D5F96"/>
    <w:rsid w:val="002D5FB1"/>
    <w:rsid w:val="002D5FE4"/>
    <w:rsid w:val="002D5FED"/>
    <w:rsid w:val="002D6015"/>
    <w:rsid w:val="002D6050"/>
    <w:rsid w:val="002D606B"/>
    <w:rsid w:val="002D608C"/>
    <w:rsid w:val="002D6107"/>
    <w:rsid w:val="002D6213"/>
    <w:rsid w:val="002D630A"/>
    <w:rsid w:val="002D6449"/>
    <w:rsid w:val="002D653A"/>
    <w:rsid w:val="002D667D"/>
    <w:rsid w:val="002D668E"/>
    <w:rsid w:val="002D66AF"/>
    <w:rsid w:val="002D66E8"/>
    <w:rsid w:val="002D677A"/>
    <w:rsid w:val="002D6853"/>
    <w:rsid w:val="002D6985"/>
    <w:rsid w:val="002D69BF"/>
    <w:rsid w:val="002D69FD"/>
    <w:rsid w:val="002D6A08"/>
    <w:rsid w:val="002D6A0A"/>
    <w:rsid w:val="002D6A85"/>
    <w:rsid w:val="002D6B1F"/>
    <w:rsid w:val="002D6B4C"/>
    <w:rsid w:val="002D6BD4"/>
    <w:rsid w:val="002D6C8E"/>
    <w:rsid w:val="002D6D2B"/>
    <w:rsid w:val="002D6D48"/>
    <w:rsid w:val="002D6D7D"/>
    <w:rsid w:val="002D6DC5"/>
    <w:rsid w:val="002D6E4D"/>
    <w:rsid w:val="002D6E93"/>
    <w:rsid w:val="002D6F97"/>
    <w:rsid w:val="002D7056"/>
    <w:rsid w:val="002D70C5"/>
    <w:rsid w:val="002D70D3"/>
    <w:rsid w:val="002D7225"/>
    <w:rsid w:val="002D726A"/>
    <w:rsid w:val="002D7310"/>
    <w:rsid w:val="002D731A"/>
    <w:rsid w:val="002D7396"/>
    <w:rsid w:val="002D73A8"/>
    <w:rsid w:val="002D7423"/>
    <w:rsid w:val="002D743A"/>
    <w:rsid w:val="002D748D"/>
    <w:rsid w:val="002D74E0"/>
    <w:rsid w:val="002D75BE"/>
    <w:rsid w:val="002D762E"/>
    <w:rsid w:val="002D7663"/>
    <w:rsid w:val="002D7682"/>
    <w:rsid w:val="002D7732"/>
    <w:rsid w:val="002D7768"/>
    <w:rsid w:val="002D7860"/>
    <w:rsid w:val="002D78E9"/>
    <w:rsid w:val="002D78F0"/>
    <w:rsid w:val="002D79A3"/>
    <w:rsid w:val="002D7AD0"/>
    <w:rsid w:val="002D7BA0"/>
    <w:rsid w:val="002D7C5E"/>
    <w:rsid w:val="002D7DAF"/>
    <w:rsid w:val="002D7E46"/>
    <w:rsid w:val="002D7E83"/>
    <w:rsid w:val="002D7EA9"/>
    <w:rsid w:val="002D7EBB"/>
    <w:rsid w:val="002E003A"/>
    <w:rsid w:val="002E0124"/>
    <w:rsid w:val="002E0199"/>
    <w:rsid w:val="002E0204"/>
    <w:rsid w:val="002E0246"/>
    <w:rsid w:val="002E0258"/>
    <w:rsid w:val="002E041A"/>
    <w:rsid w:val="002E0477"/>
    <w:rsid w:val="002E049A"/>
    <w:rsid w:val="002E063C"/>
    <w:rsid w:val="002E0641"/>
    <w:rsid w:val="002E0648"/>
    <w:rsid w:val="002E0943"/>
    <w:rsid w:val="002E09B3"/>
    <w:rsid w:val="002E09B7"/>
    <w:rsid w:val="002E0A72"/>
    <w:rsid w:val="002E0B36"/>
    <w:rsid w:val="002E0C0A"/>
    <w:rsid w:val="002E0C1C"/>
    <w:rsid w:val="002E0C82"/>
    <w:rsid w:val="002E0E55"/>
    <w:rsid w:val="002E0EEF"/>
    <w:rsid w:val="002E102C"/>
    <w:rsid w:val="002E1058"/>
    <w:rsid w:val="002E12C4"/>
    <w:rsid w:val="002E1363"/>
    <w:rsid w:val="002E13C0"/>
    <w:rsid w:val="002E1549"/>
    <w:rsid w:val="002E15A5"/>
    <w:rsid w:val="002E171F"/>
    <w:rsid w:val="002E17C1"/>
    <w:rsid w:val="002E17C7"/>
    <w:rsid w:val="002E1874"/>
    <w:rsid w:val="002E18D5"/>
    <w:rsid w:val="002E18E3"/>
    <w:rsid w:val="002E1A08"/>
    <w:rsid w:val="002E1A96"/>
    <w:rsid w:val="002E1C2E"/>
    <w:rsid w:val="002E1C3B"/>
    <w:rsid w:val="002E1C68"/>
    <w:rsid w:val="002E1D88"/>
    <w:rsid w:val="002E1D90"/>
    <w:rsid w:val="002E1DDE"/>
    <w:rsid w:val="002E1E18"/>
    <w:rsid w:val="002E1F1B"/>
    <w:rsid w:val="002E1F89"/>
    <w:rsid w:val="002E1FB6"/>
    <w:rsid w:val="002E20EE"/>
    <w:rsid w:val="002E21A7"/>
    <w:rsid w:val="002E2345"/>
    <w:rsid w:val="002E25AD"/>
    <w:rsid w:val="002E25B7"/>
    <w:rsid w:val="002E25B9"/>
    <w:rsid w:val="002E25E3"/>
    <w:rsid w:val="002E25EE"/>
    <w:rsid w:val="002E2628"/>
    <w:rsid w:val="002E269A"/>
    <w:rsid w:val="002E2760"/>
    <w:rsid w:val="002E2890"/>
    <w:rsid w:val="002E29B0"/>
    <w:rsid w:val="002E2A69"/>
    <w:rsid w:val="002E2B7B"/>
    <w:rsid w:val="002E2B85"/>
    <w:rsid w:val="002E2BA0"/>
    <w:rsid w:val="002E2BB2"/>
    <w:rsid w:val="002E2BD8"/>
    <w:rsid w:val="002E2C64"/>
    <w:rsid w:val="002E2D2C"/>
    <w:rsid w:val="002E2D53"/>
    <w:rsid w:val="002E2DE3"/>
    <w:rsid w:val="002E2E8D"/>
    <w:rsid w:val="002E2FAC"/>
    <w:rsid w:val="002E3037"/>
    <w:rsid w:val="002E30A9"/>
    <w:rsid w:val="002E30D4"/>
    <w:rsid w:val="002E3112"/>
    <w:rsid w:val="002E311B"/>
    <w:rsid w:val="002E3162"/>
    <w:rsid w:val="002E31EC"/>
    <w:rsid w:val="002E3261"/>
    <w:rsid w:val="002E329F"/>
    <w:rsid w:val="002E3409"/>
    <w:rsid w:val="002E347A"/>
    <w:rsid w:val="002E34B1"/>
    <w:rsid w:val="002E3723"/>
    <w:rsid w:val="002E3729"/>
    <w:rsid w:val="002E380D"/>
    <w:rsid w:val="002E3A5A"/>
    <w:rsid w:val="002E3A83"/>
    <w:rsid w:val="002E3B28"/>
    <w:rsid w:val="002E3B4B"/>
    <w:rsid w:val="002E3C45"/>
    <w:rsid w:val="002E3D6C"/>
    <w:rsid w:val="002E3E83"/>
    <w:rsid w:val="002E3ECD"/>
    <w:rsid w:val="002E3F05"/>
    <w:rsid w:val="002E3F23"/>
    <w:rsid w:val="002E3F27"/>
    <w:rsid w:val="002E3F28"/>
    <w:rsid w:val="002E3F2B"/>
    <w:rsid w:val="002E4207"/>
    <w:rsid w:val="002E4274"/>
    <w:rsid w:val="002E42F9"/>
    <w:rsid w:val="002E4358"/>
    <w:rsid w:val="002E438D"/>
    <w:rsid w:val="002E43F6"/>
    <w:rsid w:val="002E4468"/>
    <w:rsid w:val="002E446F"/>
    <w:rsid w:val="002E454C"/>
    <w:rsid w:val="002E4587"/>
    <w:rsid w:val="002E4672"/>
    <w:rsid w:val="002E477F"/>
    <w:rsid w:val="002E47DF"/>
    <w:rsid w:val="002E4814"/>
    <w:rsid w:val="002E4932"/>
    <w:rsid w:val="002E4946"/>
    <w:rsid w:val="002E49AD"/>
    <w:rsid w:val="002E49E9"/>
    <w:rsid w:val="002E4A42"/>
    <w:rsid w:val="002E4ACC"/>
    <w:rsid w:val="002E4AE1"/>
    <w:rsid w:val="002E4BA4"/>
    <w:rsid w:val="002E4E9D"/>
    <w:rsid w:val="002E4ED6"/>
    <w:rsid w:val="002E4F25"/>
    <w:rsid w:val="002E4F2F"/>
    <w:rsid w:val="002E50F8"/>
    <w:rsid w:val="002E515C"/>
    <w:rsid w:val="002E5166"/>
    <w:rsid w:val="002E52FF"/>
    <w:rsid w:val="002E5300"/>
    <w:rsid w:val="002E535B"/>
    <w:rsid w:val="002E5441"/>
    <w:rsid w:val="002E54F9"/>
    <w:rsid w:val="002E557F"/>
    <w:rsid w:val="002E561E"/>
    <w:rsid w:val="002E5770"/>
    <w:rsid w:val="002E58D9"/>
    <w:rsid w:val="002E594E"/>
    <w:rsid w:val="002E59C9"/>
    <w:rsid w:val="002E5AB4"/>
    <w:rsid w:val="002E5B3C"/>
    <w:rsid w:val="002E5BCB"/>
    <w:rsid w:val="002E5D96"/>
    <w:rsid w:val="002E5E45"/>
    <w:rsid w:val="002E5ED3"/>
    <w:rsid w:val="002E5ED9"/>
    <w:rsid w:val="002E5F31"/>
    <w:rsid w:val="002E5F3F"/>
    <w:rsid w:val="002E5F80"/>
    <w:rsid w:val="002E6000"/>
    <w:rsid w:val="002E62EC"/>
    <w:rsid w:val="002E631B"/>
    <w:rsid w:val="002E64DB"/>
    <w:rsid w:val="002E65A7"/>
    <w:rsid w:val="002E65A8"/>
    <w:rsid w:val="002E6664"/>
    <w:rsid w:val="002E69F3"/>
    <w:rsid w:val="002E69FF"/>
    <w:rsid w:val="002E6A22"/>
    <w:rsid w:val="002E6B13"/>
    <w:rsid w:val="002E6B35"/>
    <w:rsid w:val="002E6BDF"/>
    <w:rsid w:val="002E6C1F"/>
    <w:rsid w:val="002E6C36"/>
    <w:rsid w:val="002E6C81"/>
    <w:rsid w:val="002E6C96"/>
    <w:rsid w:val="002E6CC4"/>
    <w:rsid w:val="002E6CD3"/>
    <w:rsid w:val="002E6D18"/>
    <w:rsid w:val="002E6D4D"/>
    <w:rsid w:val="002E6DE7"/>
    <w:rsid w:val="002E6EE9"/>
    <w:rsid w:val="002E6F57"/>
    <w:rsid w:val="002E6FC3"/>
    <w:rsid w:val="002E6FE8"/>
    <w:rsid w:val="002E70A4"/>
    <w:rsid w:val="002E7132"/>
    <w:rsid w:val="002E71B3"/>
    <w:rsid w:val="002E71C6"/>
    <w:rsid w:val="002E7380"/>
    <w:rsid w:val="002E7517"/>
    <w:rsid w:val="002E7694"/>
    <w:rsid w:val="002E76D6"/>
    <w:rsid w:val="002E7770"/>
    <w:rsid w:val="002E7793"/>
    <w:rsid w:val="002E77CE"/>
    <w:rsid w:val="002E77FA"/>
    <w:rsid w:val="002E7943"/>
    <w:rsid w:val="002E7986"/>
    <w:rsid w:val="002E7A19"/>
    <w:rsid w:val="002E7B2E"/>
    <w:rsid w:val="002E7BC9"/>
    <w:rsid w:val="002E7C11"/>
    <w:rsid w:val="002E7C61"/>
    <w:rsid w:val="002E7CD3"/>
    <w:rsid w:val="002E7D0F"/>
    <w:rsid w:val="002E7DD1"/>
    <w:rsid w:val="002E7DD2"/>
    <w:rsid w:val="002E7FB3"/>
    <w:rsid w:val="002E7FEA"/>
    <w:rsid w:val="002F0011"/>
    <w:rsid w:val="002F0015"/>
    <w:rsid w:val="002F00A5"/>
    <w:rsid w:val="002F00BE"/>
    <w:rsid w:val="002F01C5"/>
    <w:rsid w:val="002F02C2"/>
    <w:rsid w:val="002F02C9"/>
    <w:rsid w:val="002F03BF"/>
    <w:rsid w:val="002F03DE"/>
    <w:rsid w:val="002F04BA"/>
    <w:rsid w:val="002F068A"/>
    <w:rsid w:val="002F06BF"/>
    <w:rsid w:val="002F075C"/>
    <w:rsid w:val="002F084B"/>
    <w:rsid w:val="002F0876"/>
    <w:rsid w:val="002F0883"/>
    <w:rsid w:val="002F0892"/>
    <w:rsid w:val="002F0A8D"/>
    <w:rsid w:val="002F0CF1"/>
    <w:rsid w:val="002F0CF5"/>
    <w:rsid w:val="002F0D1D"/>
    <w:rsid w:val="002F0E93"/>
    <w:rsid w:val="002F0F6D"/>
    <w:rsid w:val="002F10D6"/>
    <w:rsid w:val="002F10DD"/>
    <w:rsid w:val="002F110B"/>
    <w:rsid w:val="002F1142"/>
    <w:rsid w:val="002F1161"/>
    <w:rsid w:val="002F11F4"/>
    <w:rsid w:val="002F121C"/>
    <w:rsid w:val="002F1250"/>
    <w:rsid w:val="002F132E"/>
    <w:rsid w:val="002F14B3"/>
    <w:rsid w:val="002F1516"/>
    <w:rsid w:val="002F16E7"/>
    <w:rsid w:val="002F17AF"/>
    <w:rsid w:val="002F17D8"/>
    <w:rsid w:val="002F182F"/>
    <w:rsid w:val="002F1965"/>
    <w:rsid w:val="002F19EA"/>
    <w:rsid w:val="002F1BA4"/>
    <w:rsid w:val="002F1BB1"/>
    <w:rsid w:val="002F1BE4"/>
    <w:rsid w:val="002F1C75"/>
    <w:rsid w:val="002F1DAA"/>
    <w:rsid w:val="002F1DDB"/>
    <w:rsid w:val="002F1E1B"/>
    <w:rsid w:val="002F1E57"/>
    <w:rsid w:val="002F1F0C"/>
    <w:rsid w:val="002F1F29"/>
    <w:rsid w:val="002F1F37"/>
    <w:rsid w:val="002F1F82"/>
    <w:rsid w:val="002F2099"/>
    <w:rsid w:val="002F2187"/>
    <w:rsid w:val="002F2324"/>
    <w:rsid w:val="002F240A"/>
    <w:rsid w:val="002F24A2"/>
    <w:rsid w:val="002F2569"/>
    <w:rsid w:val="002F2713"/>
    <w:rsid w:val="002F2912"/>
    <w:rsid w:val="002F297C"/>
    <w:rsid w:val="002F2B9D"/>
    <w:rsid w:val="002F2C7D"/>
    <w:rsid w:val="002F2DF7"/>
    <w:rsid w:val="002F309E"/>
    <w:rsid w:val="002F3165"/>
    <w:rsid w:val="002F316B"/>
    <w:rsid w:val="002F3221"/>
    <w:rsid w:val="002F3309"/>
    <w:rsid w:val="002F341D"/>
    <w:rsid w:val="002F3443"/>
    <w:rsid w:val="002F3485"/>
    <w:rsid w:val="002F34D9"/>
    <w:rsid w:val="002F34EA"/>
    <w:rsid w:val="002F3565"/>
    <w:rsid w:val="002F365F"/>
    <w:rsid w:val="002F37EA"/>
    <w:rsid w:val="002F389E"/>
    <w:rsid w:val="002F3A52"/>
    <w:rsid w:val="002F3B41"/>
    <w:rsid w:val="002F3B9F"/>
    <w:rsid w:val="002F3BA9"/>
    <w:rsid w:val="002F3CEB"/>
    <w:rsid w:val="002F3CFA"/>
    <w:rsid w:val="002F3D16"/>
    <w:rsid w:val="002F3EBE"/>
    <w:rsid w:val="002F3F7D"/>
    <w:rsid w:val="002F3F8A"/>
    <w:rsid w:val="002F3F93"/>
    <w:rsid w:val="002F4046"/>
    <w:rsid w:val="002F408D"/>
    <w:rsid w:val="002F4095"/>
    <w:rsid w:val="002F4110"/>
    <w:rsid w:val="002F415E"/>
    <w:rsid w:val="002F417C"/>
    <w:rsid w:val="002F4258"/>
    <w:rsid w:val="002F435B"/>
    <w:rsid w:val="002F4433"/>
    <w:rsid w:val="002F44A6"/>
    <w:rsid w:val="002F4546"/>
    <w:rsid w:val="002F457C"/>
    <w:rsid w:val="002F4587"/>
    <w:rsid w:val="002F45A6"/>
    <w:rsid w:val="002F46C9"/>
    <w:rsid w:val="002F46DE"/>
    <w:rsid w:val="002F47B3"/>
    <w:rsid w:val="002F4803"/>
    <w:rsid w:val="002F4821"/>
    <w:rsid w:val="002F4861"/>
    <w:rsid w:val="002F492A"/>
    <w:rsid w:val="002F49C1"/>
    <w:rsid w:val="002F4B18"/>
    <w:rsid w:val="002F4B4B"/>
    <w:rsid w:val="002F4BA9"/>
    <w:rsid w:val="002F4C1C"/>
    <w:rsid w:val="002F4CC7"/>
    <w:rsid w:val="002F4D05"/>
    <w:rsid w:val="002F4D99"/>
    <w:rsid w:val="002F4DBE"/>
    <w:rsid w:val="002F4EB4"/>
    <w:rsid w:val="002F4ECB"/>
    <w:rsid w:val="002F4F0F"/>
    <w:rsid w:val="002F4F25"/>
    <w:rsid w:val="002F4F54"/>
    <w:rsid w:val="002F4F73"/>
    <w:rsid w:val="002F511D"/>
    <w:rsid w:val="002F5176"/>
    <w:rsid w:val="002F518B"/>
    <w:rsid w:val="002F529F"/>
    <w:rsid w:val="002F52C2"/>
    <w:rsid w:val="002F53F8"/>
    <w:rsid w:val="002F54AE"/>
    <w:rsid w:val="002F54CA"/>
    <w:rsid w:val="002F55DA"/>
    <w:rsid w:val="002F562F"/>
    <w:rsid w:val="002F5632"/>
    <w:rsid w:val="002F56B5"/>
    <w:rsid w:val="002F56E2"/>
    <w:rsid w:val="002F57BD"/>
    <w:rsid w:val="002F58E4"/>
    <w:rsid w:val="002F59E4"/>
    <w:rsid w:val="002F5A4B"/>
    <w:rsid w:val="002F5B1B"/>
    <w:rsid w:val="002F5B41"/>
    <w:rsid w:val="002F5BED"/>
    <w:rsid w:val="002F5C89"/>
    <w:rsid w:val="002F5CAE"/>
    <w:rsid w:val="002F5D09"/>
    <w:rsid w:val="002F5F55"/>
    <w:rsid w:val="002F6085"/>
    <w:rsid w:val="002F6093"/>
    <w:rsid w:val="002F6094"/>
    <w:rsid w:val="002F60BA"/>
    <w:rsid w:val="002F617F"/>
    <w:rsid w:val="002F61DD"/>
    <w:rsid w:val="002F62A8"/>
    <w:rsid w:val="002F6455"/>
    <w:rsid w:val="002F64B2"/>
    <w:rsid w:val="002F6565"/>
    <w:rsid w:val="002F657E"/>
    <w:rsid w:val="002F67C3"/>
    <w:rsid w:val="002F683C"/>
    <w:rsid w:val="002F6891"/>
    <w:rsid w:val="002F68D8"/>
    <w:rsid w:val="002F68F9"/>
    <w:rsid w:val="002F6991"/>
    <w:rsid w:val="002F6A72"/>
    <w:rsid w:val="002F6AF4"/>
    <w:rsid w:val="002F6BD1"/>
    <w:rsid w:val="002F6CD7"/>
    <w:rsid w:val="002F6D5B"/>
    <w:rsid w:val="002F6F13"/>
    <w:rsid w:val="002F6F68"/>
    <w:rsid w:val="002F6F7F"/>
    <w:rsid w:val="002F6FC0"/>
    <w:rsid w:val="002F72E9"/>
    <w:rsid w:val="002F7345"/>
    <w:rsid w:val="002F734F"/>
    <w:rsid w:val="002F73F9"/>
    <w:rsid w:val="002F7455"/>
    <w:rsid w:val="002F7510"/>
    <w:rsid w:val="002F75B4"/>
    <w:rsid w:val="002F7654"/>
    <w:rsid w:val="002F7711"/>
    <w:rsid w:val="002F773B"/>
    <w:rsid w:val="002F7A1C"/>
    <w:rsid w:val="002F7B31"/>
    <w:rsid w:val="002F7B56"/>
    <w:rsid w:val="002F7B9A"/>
    <w:rsid w:val="002F7BA7"/>
    <w:rsid w:val="002F7C13"/>
    <w:rsid w:val="002F7CB9"/>
    <w:rsid w:val="002F7D4C"/>
    <w:rsid w:val="002F7DDF"/>
    <w:rsid w:val="002F7E0E"/>
    <w:rsid w:val="002F7E2C"/>
    <w:rsid w:val="003000DB"/>
    <w:rsid w:val="00300109"/>
    <w:rsid w:val="00300218"/>
    <w:rsid w:val="00300286"/>
    <w:rsid w:val="00300389"/>
    <w:rsid w:val="0030038B"/>
    <w:rsid w:val="003003E6"/>
    <w:rsid w:val="0030043E"/>
    <w:rsid w:val="0030050F"/>
    <w:rsid w:val="0030051B"/>
    <w:rsid w:val="00300606"/>
    <w:rsid w:val="003006BB"/>
    <w:rsid w:val="00300819"/>
    <w:rsid w:val="00300941"/>
    <w:rsid w:val="00300958"/>
    <w:rsid w:val="003009BF"/>
    <w:rsid w:val="003009F2"/>
    <w:rsid w:val="00300AFA"/>
    <w:rsid w:val="00300B62"/>
    <w:rsid w:val="00300BEF"/>
    <w:rsid w:val="00300C3A"/>
    <w:rsid w:val="00300DEB"/>
    <w:rsid w:val="00300E16"/>
    <w:rsid w:val="00301138"/>
    <w:rsid w:val="00301247"/>
    <w:rsid w:val="003012FC"/>
    <w:rsid w:val="003014A8"/>
    <w:rsid w:val="003014B3"/>
    <w:rsid w:val="0030156C"/>
    <w:rsid w:val="003015C1"/>
    <w:rsid w:val="003015CC"/>
    <w:rsid w:val="00301626"/>
    <w:rsid w:val="003016F3"/>
    <w:rsid w:val="00301755"/>
    <w:rsid w:val="003017A0"/>
    <w:rsid w:val="00301806"/>
    <w:rsid w:val="00301935"/>
    <w:rsid w:val="00301A28"/>
    <w:rsid w:val="00301A51"/>
    <w:rsid w:val="00301A7E"/>
    <w:rsid w:val="00301A8E"/>
    <w:rsid w:val="00301AF5"/>
    <w:rsid w:val="00301B9B"/>
    <w:rsid w:val="00301C09"/>
    <w:rsid w:val="00301D02"/>
    <w:rsid w:val="00301D12"/>
    <w:rsid w:val="00301DD9"/>
    <w:rsid w:val="00301EB9"/>
    <w:rsid w:val="00301EEE"/>
    <w:rsid w:val="00301F65"/>
    <w:rsid w:val="00301FDD"/>
    <w:rsid w:val="00302079"/>
    <w:rsid w:val="003021B0"/>
    <w:rsid w:val="00302231"/>
    <w:rsid w:val="003022C5"/>
    <w:rsid w:val="0030232A"/>
    <w:rsid w:val="0030245E"/>
    <w:rsid w:val="003025B4"/>
    <w:rsid w:val="003025CB"/>
    <w:rsid w:val="003027C1"/>
    <w:rsid w:val="003027DC"/>
    <w:rsid w:val="00302858"/>
    <w:rsid w:val="00302948"/>
    <w:rsid w:val="00302984"/>
    <w:rsid w:val="00302A87"/>
    <w:rsid w:val="00302CEB"/>
    <w:rsid w:val="00302DCA"/>
    <w:rsid w:val="00302F7F"/>
    <w:rsid w:val="00302FBF"/>
    <w:rsid w:val="00303003"/>
    <w:rsid w:val="0030313B"/>
    <w:rsid w:val="003031CA"/>
    <w:rsid w:val="0030322B"/>
    <w:rsid w:val="0030333A"/>
    <w:rsid w:val="00303379"/>
    <w:rsid w:val="0030342E"/>
    <w:rsid w:val="00303711"/>
    <w:rsid w:val="0030383F"/>
    <w:rsid w:val="003038C8"/>
    <w:rsid w:val="003038CC"/>
    <w:rsid w:val="0030393F"/>
    <w:rsid w:val="00303A06"/>
    <w:rsid w:val="00303AB2"/>
    <w:rsid w:val="00303CEB"/>
    <w:rsid w:val="00303D4D"/>
    <w:rsid w:val="00303FA3"/>
    <w:rsid w:val="00304003"/>
    <w:rsid w:val="003040A0"/>
    <w:rsid w:val="003040A1"/>
    <w:rsid w:val="00304174"/>
    <w:rsid w:val="003041C4"/>
    <w:rsid w:val="00304264"/>
    <w:rsid w:val="00304509"/>
    <w:rsid w:val="003046B1"/>
    <w:rsid w:val="0030478B"/>
    <w:rsid w:val="00304842"/>
    <w:rsid w:val="00304889"/>
    <w:rsid w:val="0030495E"/>
    <w:rsid w:val="00304A16"/>
    <w:rsid w:val="00304A89"/>
    <w:rsid w:val="00304B17"/>
    <w:rsid w:val="00304BFA"/>
    <w:rsid w:val="00304FC0"/>
    <w:rsid w:val="0030503E"/>
    <w:rsid w:val="00305087"/>
    <w:rsid w:val="0030514E"/>
    <w:rsid w:val="003051AC"/>
    <w:rsid w:val="00305355"/>
    <w:rsid w:val="0030540B"/>
    <w:rsid w:val="00305410"/>
    <w:rsid w:val="003054DF"/>
    <w:rsid w:val="003054F1"/>
    <w:rsid w:val="003055B1"/>
    <w:rsid w:val="003055E8"/>
    <w:rsid w:val="003056CF"/>
    <w:rsid w:val="00305701"/>
    <w:rsid w:val="0030570B"/>
    <w:rsid w:val="003057EF"/>
    <w:rsid w:val="0030584E"/>
    <w:rsid w:val="00305860"/>
    <w:rsid w:val="00305991"/>
    <w:rsid w:val="00305A2D"/>
    <w:rsid w:val="00305A45"/>
    <w:rsid w:val="00305A4B"/>
    <w:rsid w:val="00305B53"/>
    <w:rsid w:val="00305B73"/>
    <w:rsid w:val="00305B76"/>
    <w:rsid w:val="00305C01"/>
    <w:rsid w:val="00305D5F"/>
    <w:rsid w:val="00305DBF"/>
    <w:rsid w:val="00305E1B"/>
    <w:rsid w:val="00305E75"/>
    <w:rsid w:val="00305FD5"/>
    <w:rsid w:val="00306039"/>
    <w:rsid w:val="00306054"/>
    <w:rsid w:val="0030607D"/>
    <w:rsid w:val="003060A8"/>
    <w:rsid w:val="00306105"/>
    <w:rsid w:val="00306144"/>
    <w:rsid w:val="003061C1"/>
    <w:rsid w:val="003061FF"/>
    <w:rsid w:val="00306283"/>
    <w:rsid w:val="00306292"/>
    <w:rsid w:val="003062BE"/>
    <w:rsid w:val="003062FA"/>
    <w:rsid w:val="003063A8"/>
    <w:rsid w:val="003063CD"/>
    <w:rsid w:val="0030649E"/>
    <w:rsid w:val="00306520"/>
    <w:rsid w:val="0030657F"/>
    <w:rsid w:val="0030665E"/>
    <w:rsid w:val="00306729"/>
    <w:rsid w:val="00306732"/>
    <w:rsid w:val="003067A9"/>
    <w:rsid w:val="003067B5"/>
    <w:rsid w:val="00306847"/>
    <w:rsid w:val="00306894"/>
    <w:rsid w:val="00306A04"/>
    <w:rsid w:val="00306AD4"/>
    <w:rsid w:val="00306C4D"/>
    <w:rsid w:val="00306C8C"/>
    <w:rsid w:val="00306C99"/>
    <w:rsid w:val="00306CD4"/>
    <w:rsid w:val="00306D6E"/>
    <w:rsid w:val="00306DD8"/>
    <w:rsid w:val="00306DFF"/>
    <w:rsid w:val="00306E70"/>
    <w:rsid w:val="00306E73"/>
    <w:rsid w:val="00306E88"/>
    <w:rsid w:val="00306ED1"/>
    <w:rsid w:val="00306F0F"/>
    <w:rsid w:val="00306F37"/>
    <w:rsid w:val="00306F7E"/>
    <w:rsid w:val="00306F9F"/>
    <w:rsid w:val="00307081"/>
    <w:rsid w:val="00307096"/>
    <w:rsid w:val="0030711F"/>
    <w:rsid w:val="0030715A"/>
    <w:rsid w:val="003073C6"/>
    <w:rsid w:val="003073FB"/>
    <w:rsid w:val="003074ED"/>
    <w:rsid w:val="00307508"/>
    <w:rsid w:val="0030753C"/>
    <w:rsid w:val="0030758A"/>
    <w:rsid w:val="003075CC"/>
    <w:rsid w:val="00307617"/>
    <w:rsid w:val="003077C1"/>
    <w:rsid w:val="003078FD"/>
    <w:rsid w:val="0030798E"/>
    <w:rsid w:val="003079B9"/>
    <w:rsid w:val="00307A61"/>
    <w:rsid w:val="00307A63"/>
    <w:rsid w:val="00307C98"/>
    <w:rsid w:val="00307CE4"/>
    <w:rsid w:val="00307D26"/>
    <w:rsid w:val="00307E7E"/>
    <w:rsid w:val="00307F05"/>
    <w:rsid w:val="00307F90"/>
    <w:rsid w:val="00309E46"/>
    <w:rsid w:val="003100C7"/>
    <w:rsid w:val="0031011D"/>
    <w:rsid w:val="003101AC"/>
    <w:rsid w:val="0031028F"/>
    <w:rsid w:val="00310311"/>
    <w:rsid w:val="00310503"/>
    <w:rsid w:val="00310573"/>
    <w:rsid w:val="003105E7"/>
    <w:rsid w:val="003106EC"/>
    <w:rsid w:val="003106F7"/>
    <w:rsid w:val="00310886"/>
    <w:rsid w:val="003108E9"/>
    <w:rsid w:val="00310911"/>
    <w:rsid w:val="00310A03"/>
    <w:rsid w:val="00310A4F"/>
    <w:rsid w:val="00310A6E"/>
    <w:rsid w:val="00310AAC"/>
    <w:rsid w:val="00310B33"/>
    <w:rsid w:val="00310BE8"/>
    <w:rsid w:val="00310CD0"/>
    <w:rsid w:val="00310D04"/>
    <w:rsid w:val="00310D2A"/>
    <w:rsid w:val="00310D84"/>
    <w:rsid w:val="00310D85"/>
    <w:rsid w:val="00310DFB"/>
    <w:rsid w:val="00310E5B"/>
    <w:rsid w:val="00310F32"/>
    <w:rsid w:val="00310F8B"/>
    <w:rsid w:val="00310FAC"/>
    <w:rsid w:val="00311016"/>
    <w:rsid w:val="00311034"/>
    <w:rsid w:val="0031114D"/>
    <w:rsid w:val="00311305"/>
    <w:rsid w:val="00311312"/>
    <w:rsid w:val="0031131B"/>
    <w:rsid w:val="00311374"/>
    <w:rsid w:val="0031151D"/>
    <w:rsid w:val="00311602"/>
    <w:rsid w:val="00311667"/>
    <w:rsid w:val="00311671"/>
    <w:rsid w:val="003116F5"/>
    <w:rsid w:val="0031170C"/>
    <w:rsid w:val="00311732"/>
    <w:rsid w:val="00311746"/>
    <w:rsid w:val="0031177C"/>
    <w:rsid w:val="0031189A"/>
    <w:rsid w:val="003118D7"/>
    <w:rsid w:val="0031195B"/>
    <w:rsid w:val="00311A36"/>
    <w:rsid w:val="00311A39"/>
    <w:rsid w:val="00311AC1"/>
    <w:rsid w:val="00311B22"/>
    <w:rsid w:val="00311B2B"/>
    <w:rsid w:val="00311B45"/>
    <w:rsid w:val="00311CC6"/>
    <w:rsid w:val="00311E42"/>
    <w:rsid w:val="00311E6B"/>
    <w:rsid w:val="00311ED1"/>
    <w:rsid w:val="00311EF8"/>
    <w:rsid w:val="00311FB0"/>
    <w:rsid w:val="00311FFB"/>
    <w:rsid w:val="00312100"/>
    <w:rsid w:val="00312116"/>
    <w:rsid w:val="0031221E"/>
    <w:rsid w:val="0031221F"/>
    <w:rsid w:val="003122A8"/>
    <w:rsid w:val="003122F4"/>
    <w:rsid w:val="003125A5"/>
    <w:rsid w:val="00312626"/>
    <w:rsid w:val="00312641"/>
    <w:rsid w:val="0031280B"/>
    <w:rsid w:val="00312853"/>
    <w:rsid w:val="0031287D"/>
    <w:rsid w:val="0031296D"/>
    <w:rsid w:val="003129FA"/>
    <w:rsid w:val="00312BC9"/>
    <w:rsid w:val="00312CBA"/>
    <w:rsid w:val="00312D13"/>
    <w:rsid w:val="00312D5E"/>
    <w:rsid w:val="00312DF8"/>
    <w:rsid w:val="00312E6C"/>
    <w:rsid w:val="003130B7"/>
    <w:rsid w:val="0031315D"/>
    <w:rsid w:val="00313171"/>
    <w:rsid w:val="00313198"/>
    <w:rsid w:val="003131D2"/>
    <w:rsid w:val="003131D6"/>
    <w:rsid w:val="00313335"/>
    <w:rsid w:val="00313497"/>
    <w:rsid w:val="003134E6"/>
    <w:rsid w:val="0031366F"/>
    <w:rsid w:val="0031369E"/>
    <w:rsid w:val="003136E9"/>
    <w:rsid w:val="003137C4"/>
    <w:rsid w:val="003137D2"/>
    <w:rsid w:val="00313835"/>
    <w:rsid w:val="00313919"/>
    <w:rsid w:val="00313994"/>
    <w:rsid w:val="00313A2A"/>
    <w:rsid w:val="00313A47"/>
    <w:rsid w:val="00313A89"/>
    <w:rsid w:val="00313B56"/>
    <w:rsid w:val="00313BB2"/>
    <w:rsid w:val="00313BF1"/>
    <w:rsid w:val="00313D47"/>
    <w:rsid w:val="00313FB1"/>
    <w:rsid w:val="00313FB7"/>
    <w:rsid w:val="00313FEF"/>
    <w:rsid w:val="003140F4"/>
    <w:rsid w:val="0031412C"/>
    <w:rsid w:val="0031415E"/>
    <w:rsid w:val="00314182"/>
    <w:rsid w:val="003142B7"/>
    <w:rsid w:val="00314328"/>
    <w:rsid w:val="00314492"/>
    <w:rsid w:val="003145AA"/>
    <w:rsid w:val="0031460A"/>
    <w:rsid w:val="00314815"/>
    <w:rsid w:val="003148D2"/>
    <w:rsid w:val="00314B13"/>
    <w:rsid w:val="00314B92"/>
    <w:rsid w:val="00314BBF"/>
    <w:rsid w:val="00314C00"/>
    <w:rsid w:val="00314C23"/>
    <w:rsid w:val="00314C5B"/>
    <w:rsid w:val="00314CA2"/>
    <w:rsid w:val="00314CF9"/>
    <w:rsid w:val="00314D49"/>
    <w:rsid w:val="00314D4C"/>
    <w:rsid w:val="00314FF1"/>
    <w:rsid w:val="003151AE"/>
    <w:rsid w:val="0031532C"/>
    <w:rsid w:val="003153E6"/>
    <w:rsid w:val="003153EB"/>
    <w:rsid w:val="00315400"/>
    <w:rsid w:val="00315507"/>
    <w:rsid w:val="00315512"/>
    <w:rsid w:val="0031558B"/>
    <w:rsid w:val="003155B6"/>
    <w:rsid w:val="0031563F"/>
    <w:rsid w:val="003157D9"/>
    <w:rsid w:val="00315802"/>
    <w:rsid w:val="00315885"/>
    <w:rsid w:val="00315888"/>
    <w:rsid w:val="0031590F"/>
    <w:rsid w:val="00315A75"/>
    <w:rsid w:val="00315A81"/>
    <w:rsid w:val="00315C4E"/>
    <w:rsid w:val="00315CE1"/>
    <w:rsid w:val="00315E12"/>
    <w:rsid w:val="00315E4C"/>
    <w:rsid w:val="00315EBB"/>
    <w:rsid w:val="00316036"/>
    <w:rsid w:val="00316079"/>
    <w:rsid w:val="00316095"/>
    <w:rsid w:val="003160CE"/>
    <w:rsid w:val="003160DB"/>
    <w:rsid w:val="00316128"/>
    <w:rsid w:val="003161CA"/>
    <w:rsid w:val="0031624C"/>
    <w:rsid w:val="0031625F"/>
    <w:rsid w:val="0031627F"/>
    <w:rsid w:val="00316315"/>
    <w:rsid w:val="003163DD"/>
    <w:rsid w:val="00316537"/>
    <w:rsid w:val="00316570"/>
    <w:rsid w:val="0031658B"/>
    <w:rsid w:val="003165FC"/>
    <w:rsid w:val="00316748"/>
    <w:rsid w:val="0031682D"/>
    <w:rsid w:val="00316832"/>
    <w:rsid w:val="00316840"/>
    <w:rsid w:val="00316871"/>
    <w:rsid w:val="00316893"/>
    <w:rsid w:val="00316916"/>
    <w:rsid w:val="003169E5"/>
    <w:rsid w:val="003169FE"/>
    <w:rsid w:val="00316A6F"/>
    <w:rsid w:val="00316B13"/>
    <w:rsid w:val="00316CD0"/>
    <w:rsid w:val="00316DC2"/>
    <w:rsid w:val="00316EAE"/>
    <w:rsid w:val="00316F09"/>
    <w:rsid w:val="00316F6A"/>
    <w:rsid w:val="00316FAE"/>
    <w:rsid w:val="00316FC8"/>
    <w:rsid w:val="00316FF4"/>
    <w:rsid w:val="0031704B"/>
    <w:rsid w:val="003170C0"/>
    <w:rsid w:val="003170D5"/>
    <w:rsid w:val="00317126"/>
    <w:rsid w:val="0031738E"/>
    <w:rsid w:val="003174A7"/>
    <w:rsid w:val="00317620"/>
    <w:rsid w:val="00317656"/>
    <w:rsid w:val="003176D8"/>
    <w:rsid w:val="00317720"/>
    <w:rsid w:val="00317740"/>
    <w:rsid w:val="0031786C"/>
    <w:rsid w:val="003178DA"/>
    <w:rsid w:val="00317900"/>
    <w:rsid w:val="0031793A"/>
    <w:rsid w:val="00317A03"/>
    <w:rsid w:val="00317C04"/>
    <w:rsid w:val="00317CE2"/>
    <w:rsid w:val="00317FB9"/>
    <w:rsid w:val="00317FFA"/>
    <w:rsid w:val="0032017E"/>
    <w:rsid w:val="003201C4"/>
    <w:rsid w:val="0032026A"/>
    <w:rsid w:val="0032028C"/>
    <w:rsid w:val="003202E1"/>
    <w:rsid w:val="003203BE"/>
    <w:rsid w:val="00320409"/>
    <w:rsid w:val="00320451"/>
    <w:rsid w:val="0032051D"/>
    <w:rsid w:val="0032051E"/>
    <w:rsid w:val="0032056B"/>
    <w:rsid w:val="00320675"/>
    <w:rsid w:val="003206B1"/>
    <w:rsid w:val="003206F7"/>
    <w:rsid w:val="0032070B"/>
    <w:rsid w:val="0032080B"/>
    <w:rsid w:val="00320836"/>
    <w:rsid w:val="00320864"/>
    <w:rsid w:val="00320912"/>
    <w:rsid w:val="003209F8"/>
    <w:rsid w:val="00320AFC"/>
    <w:rsid w:val="00320BD1"/>
    <w:rsid w:val="00320CAF"/>
    <w:rsid w:val="00320CB9"/>
    <w:rsid w:val="00320D4D"/>
    <w:rsid w:val="00320D97"/>
    <w:rsid w:val="00320F23"/>
    <w:rsid w:val="0032104E"/>
    <w:rsid w:val="00321057"/>
    <w:rsid w:val="00321066"/>
    <w:rsid w:val="003210FC"/>
    <w:rsid w:val="00321131"/>
    <w:rsid w:val="003212DA"/>
    <w:rsid w:val="00321441"/>
    <w:rsid w:val="0032147D"/>
    <w:rsid w:val="003214CB"/>
    <w:rsid w:val="00321556"/>
    <w:rsid w:val="003216E9"/>
    <w:rsid w:val="00321772"/>
    <w:rsid w:val="0032182C"/>
    <w:rsid w:val="003218AC"/>
    <w:rsid w:val="0032194A"/>
    <w:rsid w:val="00321963"/>
    <w:rsid w:val="00321AA4"/>
    <w:rsid w:val="00321B31"/>
    <w:rsid w:val="00321C5D"/>
    <w:rsid w:val="00321CE9"/>
    <w:rsid w:val="00321D36"/>
    <w:rsid w:val="00321DEF"/>
    <w:rsid w:val="00321E58"/>
    <w:rsid w:val="00322004"/>
    <w:rsid w:val="003220BF"/>
    <w:rsid w:val="00322180"/>
    <w:rsid w:val="003221D0"/>
    <w:rsid w:val="003221DB"/>
    <w:rsid w:val="003221F4"/>
    <w:rsid w:val="003222CE"/>
    <w:rsid w:val="003223DF"/>
    <w:rsid w:val="00322450"/>
    <w:rsid w:val="00322459"/>
    <w:rsid w:val="00322565"/>
    <w:rsid w:val="003225D5"/>
    <w:rsid w:val="00322680"/>
    <w:rsid w:val="0032271F"/>
    <w:rsid w:val="0032273D"/>
    <w:rsid w:val="00322849"/>
    <w:rsid w:val="00322855"/>
    <w:rsid w:val="0032296F"/>
    <w:rsid w:val="003229C6"/>
    <w:rsid w:val="00322A3B"/>
    <w:rsid w:val="00322AF4"/>
    <w:rsid w:val="00322B02"/>
    <w:rsid w:val="00322B42"/>
    <w:rsid w:val="00322BA5"/>
    <w:rsid w:val="00322CA8"/>
    <w:rsid w:val="00322CB6"/>
    <w:rsid w:val="00322E31"/>
    <w:rsid w:val="00322E3B"/>
    <w:rsid w:val="00322E49"/>
    <w:rsid w:val="00322E89"/>
    <w:rsid w:val="00322EBA"/>
    <w:rsid w:val="0032300C"/>
    <w:rsid w:val="00323179"/>
    <w:rsid w:val="0032317D"/>
    <w:rsid w:val="003231BF"/>
    <w:rsid w:val="0032323C"/>
    <w:rsid w:val="003232DE"/>
    <w:rsid w:val="00323415"/>
    <w:rsid w:val="003234FC"/>
    <w:rsid w:val="00323631"/>
    <w:rsid w:val="00323685"/>
    <w:rsid w:val="003236B5"/>
    <w:rsid w:val="003236BC"/>
    <w:rsid w:val="0032379B"/>
    <w:rsid w:val="003238CD"/>
    <w:rsid w:val="003238F6"/>
    <w:rsid w:val="00323938"/>
    <w:rsid w:val="00323991"/>
    <w:rsid w:val="003239D1"/>
    <w:rsid w:val="00323AFC"/>
    <w:rsid w:val="00323B72"/>
    <w:rsid w:val="00323CDE"/>
    <w:rsid w:val="00323D89"/>
    <w:rsid w:val="00323DD6"/>
    <w:rsid w:val="00323DFE"/>
    <w:rsid w:val="00323E79"/>
    <w:rsid w:val="00323FA4"/>
    <w:rsid w:val="00323FF1"/>
    <w:rsid w:val="003240DB"/>
    <w:rsid w:val="00324129"/>
    <w:rsid w:val="0032419A"/>
    <w:rsid w:val="003241A4"/>
    <w:rsid w:val="003243FF"/>
    <w:rsid w:val="003245CF"/>
    <w:rsid w:val="00324647"/>
    <w:rsid w:val="00324670"/>
    <w:rsid w:val="003246FD"/>
    <w:rsid w:val="0032472F"/>
    <w:rsid w:val="00324811"/>
    <w:rsid w:val="00324829"/>
    <w:rsid w:val="0032499B"/>
    <w:rsid w:val="00324AAE"/>
    <w:rsid w:val="00324AE6"/>
    <w:rsid w:val="00324B32"/>
    <w:rsid w:val="00324B73"/>
    <w:rsid w:val="00324B7D"/>
    <w:rsid w:val="00324B9D"/>
    <w:rsid w:val="00324D31"/>
    <w:rsid w:val="00324D53"/>
    <w:rsid w:val="00324D71"/>
    <w:rsid w:val="00324D81"/>
    <w:rsid w:val="00324EC2"/>
    <w:rsid w:val="00324ECC"/>
    <w:rsid w:val="00324F8A"/>
    <w:rsid w:val="00324FD6"/>
    <w:rsid w:val="0032501C"/>
    <w:rsid w:val="003250A5"/>
    <w:rsid w:val="003250EF"/>
    <w:rsid w:val="00325260"/>
    <w:rsid w:val="0032530B"/>
    <w:rsid w:val="0032541F"/>
    <w:rsid w:val="003254B4"/>
    <w:rsid w:val="00325561"/>
    <w:rsid w:val="00325622"/>
    <w:rsid w:val="00325629"/>
    <w:rsid w:val="00325681"/>
    <w:rsid w:val="0032569E"/>
    <w:rsid w:val="003256E0"/>
    <w:rsid w:val="00325714"/>
    <w:rsid w:val="003257AE"/>
    <w:rsid w:val="00325805"/>
    <w:rsid w:val="0032583A"/>
    <w:rsid w:val="00325901"/>
    <w:rsid w:val="00325949"/>
    <w:rsid w:val="00325B32"/>
    <w:rsid w:val="00325BD8"/>
    <w:rsid w:val="00325E06"/>
    <w:rsid w:val="00325E17"/>
    <w:rsid w:val="00325E43"/>
    <w:rsid w:val="00325EAC"/>
    <w:rsid w:val="00325EAD"/>
    <w:rsid w:val="00325F20"/>
    <w:rsid w:val="00325F5A"/>
    <w:rsid w:val="00325F93"/>
    <w:rsid w:val="0032624D"/>
    <w:rsid w:val="00326317"/>
    <w:rsid w:val="0032632A"/>
    <w:rsid w:val="00326347"/>
    <w:rsid w:val="00326370"/>
    <w:rsid w:val="0032646A"/>
    <w:rsid w:val="00326494"/>
    <w:rsid w:val="003264B4"/>
    <w:rsid w:val="003264DB"/>
    <w:rsid w:val="00326616"/>
    <w:rsid w:val="0032674A"/>
    <w:rsid w:val="003267DF"/>
    <w:rsid w:val="0032689E"/>
    <w:rsid w:val="003268B8"/>
    <w:rsid w:val="003268D5"/>
    <w:rsid w:val="0032691D"/>
    <w:rsid w:val="00326A28"/>
    <w:rsid w:val="00326C54"/>
    <w:rsid w:val="00326CBD"/>
    <w:rsid w:val="00326D12"/>
    <w:rsid w:val="00326E41"/>
    <w:rsid w:val="00326E7B"/>
    <w:rsid w:val="00326FDE"/>
    <w:rsid w:val="0032719C"/>
    <w:rsid w:val="003271F5"/>
    <w:rsid w:val="00327272"/>
    <w:rsid w:val="003272DB"/>
    <w:rsid w:val="00327350"/>
    <w:rsid w:val="003273FD"/>
    <w:rsid w:val="003274DB"/>
    <w:rsid w:val="003274DC"/>
    <w:rsid w:val="0032768B"/>
    <w:rsid w:val="003276DD"/>
    <w:rsid w:val="003277A7"/>
    <w:rsid w:val="003277E9"/>
    <w:rsid w:val="003278A9"/>
    <w:rsid w:val="003279A7"/>
    <w:rsid w:val="00327A70"/>
    <w:rsid w:val="00327AF5"/>
    <w:rsid w:val="00327BC5"/>
    <w:rsid w:val="00327BD7"/>
    <w:rsid w:val="00327CD9"/>
    <w:rsid w:val="00327F33"/>
    <w:rsid w:val="00327F54"/>
    <w:rsid w:val="00327F8A"/>
    <w:rsid w:val="00327FC9"/>
    <w:rsid w:val="00330047"/>
    <w:rsid w:val="0033004D"/>
    <w:rsid w:val="003300BD"/>
    <w:rsid w:val="003300DC"/>
    <w:rsid w:val="003300F5"/>
    <w:rsid w:val="00330104"/>
    <w:rsid w:val="0033014B"/>
    <w:rsid w:val="0033016C"/>
    <w:rsid w:val="003301B7"/>
    <w:rsid w:val="003301B8"/>
    <w:rsid w:val="0033028E"/>
    <w:rsid w:val="003302F5"/>
    <w:rsid w:val="003305E0"/>
    <w:rsid w:val="003307E5"/>
    <w:rsid w:val="0033081E"/>
    <w:rsid w:val="003308D0"/>
    <w:rsid w:val="0033090F"/>
    <w:rsid w:val="00330953"/>
    <w:rsid w:val="00330997"/>
    <w:rsid w:val="00330ADE"/>
    <w:rsid w:val="00330B1B"/>
    <w:rsid w:val="00330B7C"/>
    <w:rsid w:val="00330F27"/>
    <w:rsid w:val="00331111"/>
    <w:rsid w:val="00331190"/>
    <w:rsid w:val="00331234"/>
    <w:rsid w:val="0033127D"/>
    <w:rsid w:val="00331340"/>
    <w:rsid w:val="0033138F"/>
    <w:rsid w:val="00331415"/>
    <w:rsid w:val="0033147E"/>
    <w:rsid w:val="0033151B"/>
    <w:rsid w:val="003315AF"/>
    <w:rsid w:val="00331606"/>
    <w:rsid w:val="00331638"/>
    <w:rsid w:val="0033165A"/>
    <w:rsid w:val="003316D7"/>
    <w:rsid w:val="00331706"/>
    <w:rsid w:val="00331708"/>
    <w:rsid w:val="0033172C"/>
    <w:rsid w:val="003317DE"/>
    <w:rsid w:val="003318AE"/>
    <w:rsid w:val="003319D8"/>
    <w:rsid w:val="003319EC"/>
    <w:rsid w:val="00331B8B"/>
    <w:rsid w:val="00331C6E"/>
    <w:rsid w:val="00331D81"/>
    <w:rsid w:val="00331E91"/>
    <w:rsid w:val="00331EF8"/>
    <w:rsid w:val="00331FC1"/>
    <w:rsid w:val="00332065"/>
    <w:rsid w:val="0033215B"/>
    <w:rsid w:val="0033216E"/>
    <w:rsid w:val="003321C5"/>
    <w:rsid w:val="003322B9"/>
    <w:rsid w:val="00332339"/>
    <w:rsid w:val="00332399"/>
    <w:rsid w:val="003323D6"/>
    <w:rsid w:val="003324A6"/>
    <w:rsid w:val="003324AF"/>
    <w:rsid w:val="003325D6"/>
    <w:rsid w:val="003325E0"/>
    <w:rsid w:val="003325E5"/>
    <w:rsid w:val="0033260C"/>
    <w:rsid w:val="00332610"/>
    <w:rsid w:val="0033263E"/>
    <w:rsid w:val="003326FC"/>
    <w:rsid w:val="00332752"/>
    <w:rsid w:val="00332787"/>
    <w:rsid w:val="0033279D"/>
    <w:rsid w:val="003328D1"/>
    <w:rsid w:val="003328D3"/>
    <w:rsid w:val="003328EA"/>
    <w:rsid w:val="00332929"/>
    <w:rsid w:val="0033293D"/>
    <w:rsid w:val="00332956"/>
    <w:rsid w:val="00332964"/>
    <w:rsid w:val="00332973"/>
    <w:rsid w:val="00332A2F"/>
    <w:rsid w:val="00332A6A"/>
    <w:rsid w:val="00332A8F"/>
    <w:rsid w:val="00332AAA"/>
    <w:rsid w:val="00332BFC"/>
    <w:rsid w:val="00332C48"/>
    <w:rsid w:val="00332D36"/>
    <w:rsid w:val="00332EC0"/>
    <w:rsid w:val="00332EEE"/>
    <w:rsid w:val="00332F08"/>
    <w:rsid w:val="00332F96"/>
    <w:rsid w:val="00332FA2"/>
    <w:rsid w:val="00332FC8"/>
    <w:rsid w:val="00333034"/>
    <w:rsid w:val="00333210"/>
    <w:rsid w:val="003332B4"/>
    <w:rsid w:val="00333448"/>
    <w:rsid w:val="00333739"/>
    <w:rsid w:val="00333787"/>
    <w:rsid w:val="003337C4"/>
    <w:rsid w:val="0033383D"/>
    <w:rsid w:val="003338E8"/>
    <w:rsid w:val="00333A8A"/>
    <w:rsid w:val="00333B3B"/>
    <w:rsid w:val="00333B66"/>
    <w:rsid w:val="00333D45"/>
    <w:rsid w:val="00333DEB"/>
    <w:rsid w:val="00333E63"/>
    <w:rsid w:val="00334109"/>
    <w:rsid w:val="0033418B"/>
    <w:rsid w:val="003341B5"/>
    <w:rsid w:val="00334348"/>
    <w:rsid w:val="003343B8"/>
    <w:rsid w:val="003343EC"/>
    <w:rsid w:val="0033451E"/>
    <w:rsid w:val="003345EE"/>
    <w:rsid w:val="0033460D"/>
    <w:rsid w:val="00334754"/>
    <w:rsid w:val="003347C6"/>
    <w:rsid w:val="003348A6"/>
    <w:rsid w:val="0033491A"/>
    <w:rsid w:val="00334946"/>
    <w:rsid w:val="0033494A"/>
    <w:rsid w:val="003349E2"/>
    <w:rsid w:val="00334A3D"/>
    <w:rsid w:val="00334A56"/>
    <w:rsid w:val="00334AD2"/>
    <w:rsid w:val="00334AE2"/>
    <w:rsid w:val="00334C77"/>
    <w:rsid w:val="00334CFE"/>
    <w:rsid w:val="00334E3D"/>
    <w:rsid w:val="00334E83"/>
    <w:rsid w:val="00334EC4"/>
    <w:rsid w:val="00334F2F"/>
    <w:rsid w:val="00334FED"/>
    <w:rsid w:val="003351DB"/>
    <w:rsid w:val="003351ED"/>
    <w:rsid w:val="003351F3"/>
    <w:rsid w:val="00335281"/>
    <w:rsid w:val="003352BE"/>
    <w:rsid w:val="0033530E"/>
    <w:rsid w:val="00335367"/>
    <w:rsid w:val="003353A6"/>
    <w:rsid w:val="003354DC"/>
    <w:rsid w:val="00335590"/>
    <w:rsid w:val="003355E6"/>
    <w:rsid w:val="0033560D"/>
    <w:rsid w:val="00335665"/>
    <w:rsid w:val="0033569A"/>
    <w:rsid w:val="0033574E"/>
    <w:rsid w:val="00335825"/>
    <w:rsid w:val="00335966"/>
    <w:rsid w:val="003359FA"/>
    <w:rsid w:val="00335B91"/>
    <w:rsid w:val="00335CC8"/>
    <w:rsid w:val="00335CEA"/>
    <w:rsid w:val="00335D02"/>
    <w:rsid w:val="00335DCF"/>
    <w:rsid w:val="00335E17"/>
    <w:rsid w:val="00335EAF"/>
    <w:rsid w:val="00335EB3"/>
    <w:rsid w:val="00335F07"/>
    <w:rsid w:val="00335F66"/>
    <w:rsid w:val="00335FB7"/>
    <w:rsid w:val="00336055"/>
    <w:rsid w:val="003360B7"/>
    <w:rsid w:val="0033610E"/>
    <w:rsid w:val="0033613C"/>
    <w:rsid w:val="00336218"/>
    <w:rsid w:val="00336275"/>
    <w:rsid w:val="00336285"/>
    <w:rsid w:val="003362A2"/>
    <w:rsid w:val="0033631D"/>
    <w:rsid w:val="00336330"/>
    <w:rsid w:val="003365E1"/>
    <w:rsid w:val="00336637"/>
    <w:rsid w:val="00336648"/>
    <w:rsid w:val="003368C0"/>
    <w:rsid w:val="00336A84"/>
    <w:rsid w:val="00336AF2"/>
    <w:rsid w:val="00336C15"/>
    <w:rsid w:val="00336C45"/>
    <w:rsid w:val="00336C4E"/>
    <w:rsid w:val="00336CED"/>
    <w:rsid w:val="00336CF2"/>
    <w:rsid w:val="00336D35"/>
    <w:rsid w:val="00336EA5"/>
    <w:rsid w:val="00336ECE"/>
    <w:rsid w:val="003370BF"/>
    <w:rsid w:val="0033713B"/>
    <w:rsid w:val="003371EE"/>
    <w:rsid w:val="0033724D"/>
    <w:rsid w:val="00337422"/>
    <w:rsid w:val="00337429"/>
    <w:rsid w:val="003374E3"/>
    <w:rsid w:val="0033750D"/>
    <w:rsid w:val="0033751E"/>
    <w:rsid w:val="0033755F"/>
    <w:rsid w:val="003375CC"/>
    <w:rsid w:val="0033762A"/>
    <w:rsid w:val="0033762E"/>
    <w:rsid w:val="00337792"/>
    <w:rsid w:val="003378E2"/>
    <w:rsid w:val="00337979"/>
    <w:rsid w:val="003379F9"/>
    <w:rsid w:val="00337AB8"/>
    <w:rsid w:val="00337AD8"/>
    <w:rsid w:val="00337B0D"/>
    <w:rsid w:val="00337B7F"/>
    <w:rsid w:val="00337BA5"/>
    <w:rsid w:val="00337C31"/>
    <w:rsid w:val="00337C75"/>
    <w:rsid w:val="00337CEF"/>
    <w:rsid w:val="00337DD7"/>
    <w:rsid w:val="00337E9B"/>
    <w:rsid w:val="00337EF0"/>
    <w:rsid w:val="00337F83"/>
    <w:rsid w:val="0034001E"/>
    <w:rsid w:val="00340045"/>
    <w:rsid w:val="003400FC"/>
    <w:rsid w:val="00340116"/>
    <w:rsid w:val="00340127"/>
    <w:rsid w:val="0034012D"/>
    <w:rsid w:val="0034027F"/>
    <w:rsid w:val="0034038E"/>
    <w:rsid w:val="00340446"/>
    <w:rsid w:val="00340457"/>
    <w:rsid w:val="0034051E"/>
    <w:rsid w:val="003406B4"/>
    <w:rsid w:val="003407A5"/>
    <w:rsid w:val="00340804"/>
    <w:rsid w:val="00340903"/>
    <w:rsid w:val="00340909"/>
    <w:rsid w:val="00340955"/>
    <w:rsid w:val="003409E0"/>
    <w:rsid w:val="003409FF"/>
    <w:rsid w:val="00340ACB"/>
    <w:rsid w:val="00340ADB"/>
    <w:rsid w:val="00340AE6"/>
    <w:rsid w:val="00340C04"/>
    <w:rsid w:val="00340CEC"/>
    <w:rsid w:val="00340D2E"/>
    <w:rsid w:val="00340D96"/>
    <w:rsid w:val="003410BB"/>
    <w:rsid w:val="00341360"/>
    <w:rsid w:val="0034139B"/>
    <w:rsid w:val="003413F2"/>
    <w:rsid w:val="00341600"/>
    <w:rsid w:val="003416EB"/>
    <w:rsid w:val="0034179C"/>
    <w:rsid w:val="00341910"/>
    <w:rsid w:val="003419AA"/>
    <w:rsid w:val="00341B81"/>
    <w:rsid w:val="00341BC5"/>
    <w:rsid w:val="00341BD5"/>
    <w:rsid w:val="00341BE0"/>
    <w:rsid w:val="00341D0B"/>
    <w:rsid w:val="00341D16"/>
    <w:rsid w:val="00341E5D"/>
    <w:rsid w:val="00341FD9"/>
    <w:rsid w:val="0034201C"/>
    <w:rsid w:val="003420F7"/>
    <w:rsid w:val="003422D7"/>
    <w:rsid w:val="00342611"/>
    <w:rsid w:val="00342736"/>
    <w:rsid w:val="00342793"/>
    <w:rsid w:val="003427A4"/>
    <w:rsid w:val="003427D5"/>
    <w:rsid w:val="00342855"/>
    <w:rsid w:val="00342991"/>
    <w:rsid w:val="003429A4"/>
    <w:rsid w:val="003429EF"/>
    <w:rsid w:val="00342A4F"/>
    <w:rsid w:val="00342AEF"/>
    <w:rsid w:val="00342AF2"/>
    <w:rsid w:val="00342D25"/>
    <w:rsid w:val="00342DC2"/>
    <w:rsid w:val="0034304D"/>
    <w:rsid w:val="0034306C"/>
    <w:rsid w:val="003431AF"/>
    <w:rsid w:val="003431F4"/>
    <w:rsid w:val="0034321D"/>
    <w:rsid w:val="003432EC"/>
    <w:rsid w:val="0034335B"/>
    <w:rsid w:val="00343368"/>
    <w:rsid w:val="00343428"/>
    <w:rsid w:val="003434C0"/>
    <w:rsid w:val="003435C7"/>
    <w:rsid w:val="00343649"/>
    <w:rsid w:val="0034374A"/>
    <w:rsid w:val="0034377A"/>
    <w:rsid w:val="00343814"/>
    <w:rsid w:val="00343924"/>
    <w:rsid w:val="00343966"/>
    <w:rsid w:val="00343AC3"/>
    <w:rsid w:val="00343B47"/>
    <w:rsid w:val="00343BCD"/>
    <w:rsid w:val="00343D1A"/>
    <w:rsid w:val="00343D22"/>
    <w:rsid w:val="00343DDD"/>
    <w:rsid w:val="00343E57"/>
    <w:rsid w:val="00343E63"/>
    <w:rsid w:val="00343EF2"/>
    <w:rsid w:val="00343F21"/>
    <w:rsid w:val="00343F26"/>
    <w:rsid w:val="00344028"/>
    <w:rsid w:val="0034413E"/>
    <w:rsid w:val="003442C8"/>
    <w:rsid w:val="00344313"/>
    <w:rsid w:val="00344345"/>
    <w:rsid w:val="00344359"/>
    <w:rsid w:val="0034448E"/>
    <w:rsid w:val="003444A5"/>
    <w:rsid w:val="003444C1"/>
    <w:rsid w:val="003444EF"/>
    <w:rsid w:val="0034468A"/>
    <w:rsid w:val="0034473B"/>
    <w:rsid w:val="00344798"/>
    <w:rsid w:val="00344802"/>
    <w:rsid w:val="003448F6"/>
    <w:rsid w:val="0034491F"/>
    <w:rsid w:val="0034496F"/>
    <w:rsid w:val="003450EC"/>
    <w:rsid w:val="0034534F"/>
    <w:rsid w:val="0034535D"/>
    <w:rsid w:val="00345384"/>
    <w:rsid w:val="0034541A"/>
    <w:rsid w:val="0034546B"/>
    <w:rsid w:val="00345508"/>
    <w:rsid w:val="0034567F"/>
    <w:rsid w:val="003457B5"/>
    <w:rsid w:val="003457DF"/>
    <w:rsid w:val="00345857"/>
    <w:rsid w:val="003458EB"/>
    <w:rsid w:val="00345988"/>
    <w:rsid w:val="00345AC6"/>
    <w:rsid w:val="00345B29"/>
    <w:rsid w:val="00345C12"/>
    <w:rsid w:val="00345C3D"/>
    <w:rsid w:val="00345D14"/>
    <w:rsid w:val="00345D5F"/>
    <w:rsid w:val="00345DC4"/>
    <w:rsid w:val="00345E09"/>
    <w:rsid w:val="00345E37"/>
    <w:rsid w:val="00345EA5"/>
    <w:rsid w:val="00345F49"/>
    <w:rsid w:val="00345FF3"/>
    <w:rsid w:val="00346002"/>
    <w:rsid w:val="00346004"/>
    <w:rsid w:val="00346051"/>
    <w:rsid w:val="00346125"/>
    <w:rsid w:val="003461F6"/>
    <w:rsid w:val="0034628C"/>
    <w:rsid w:val="00346299"/>
    <w:rsid w:val="003462C2"/>
    <w:rsid w:val="00346350"/>
    <w:rsid w:val="00346365"/>
    <w:rsid w:val="0034645B"/>
    <w:rsid w:val="0034658E"/>
    <w:rsid w:val="00346596"/>
    <w:rsid w:val="003465CB"/>
    <w:rsid w:val="0034675E"/>
    <w:rsid w:val="003467CE"/>
    <w:rsid w:val="003469C5"/>
    <w:rsid w:val="003469F3"/>
    <w:rsid w:val="00346BEB"/>
    <w:rsid w:val="00346D29"/>
    <w:rsid w:val="00346D78"/>
    <w:rsid w:val="00346E6D"/>
    <w:rsid w:val="00346F26"/>
    <w:rsid w:val="00347020"/>
    <w:rsid w:val="003470ED"/>
    <w:rsid w:val="00347103"/>
    <w:rsid w:val="00347136"/>
    <w:rsid w:val="00347199"/>
    <w:rsid w:val="003471BF"/>
    <w:rsid w:val="0034721A"/>
    <w:rsid w:val="0034727E"/>
    <w:rsid w:val="00347328"/>
    <w:rsid w:val="00347357"/>
    <w:rsid w:val="003473D8"/>
    <w:rsid w:val="00347507"/>
    <w:rsid w:val="0034751F"/>
    <w:rsid w:val="0034766A"/>
    <w:rsid w:val="00347726"/>
    <w:rsid w:val="00347750"/>
    <w:rsid w:val="00347839"/>
    <w:rsid w:val="00347892"/>
    <w:rsid w:val="003478F5"/>
    <w:rsid w:val="0034793A"/>
    <w:rsid w:val="0034795D"/>
    <w:rsid w:val="00347A65"/>
    <w:rsid w:val="00347A90"/>
    <w:rsid w:val="00347B07"/>
    <w:rsid w:val="00347BE7"/>
    <w:rsid w:val="00347C0E"/>
    <w:rsid w:val="00347C40"/>
    <w:rsid w:val="00347D72"/>
    <w:rsid w:val="00347DEC"/>
    <w:rsid w:val="00347F7E"/>
    <w:rsid w:val="00347F8A"/>
    <w:rsid w:val="00347FF8"/>
    <w:rsid w:val="00350037"/>
    <w:rsid w:val="003500B0"/>
    <w:rsid w:val="003500B6"/>
    <w:rsid w:val="0035027F"/>
    <w:rsid w:val="003502A4"/>
    <w:rsid w:val="00350423"/>
    <w:rsid w:val="0035073B"/>
    <w:rsid w:val="00350759"/>
    <w:rsid w:val="00350950"/>
    <w:rsid w:val="0035097E"/>
    <w:rsid w:val="003509BC"/>
    <w:rsid w:val="00350CCF"/>
    <w:rsid w:val="00350D27"/>
    <w:rsid w:val="00350DEC"/>
    <w:rsid w:val="00350F2B"/>
    <w:rsid w:val="00350F9E"/>
    <w:rsid w:val="00350FB2"/>
    <w:rsid w:val="00350FEA"/>
    <w:rsid w:val="00351173"/>
    <w:rsid w:val="00351246"/>
    <w:rsid w:val="003512D6"/>
    <w:rsid w:val="00351382"/>
    <w:rsid w:val="00351453"/>
    <w:rsid w:val="00351508"/>
    <w:rsid w:val="003515E4"/>
    <w:rsid w:val="00351621"/>
    <w:rsid w:val="003516B7"/>
    <w:rsid w:val="00351782"/>
    <w:rsid w:val="0035179B"/>
    <w:rsid w:val="0035190F"/>
    <w:rsid w:val="003519B5"/>
    <w:rsid w:val="00351AB2"/>
    <w:rsid w:val="00351B0A"/>
    <w:rsid w:val="00351C07"/>
    <w:rsid w:val="00351C32"/>
    <w:rsid w:val="00351E5B"/>
    <w:rsid w:val="00351F84"/>
    <w:rsid w:val="00351F9C"/>
    <w:rsid w:val="003520CC"/>
    <w:rsid w:val="003520D1"/>
    <w:rsid w:val="003521BE"/>
    <w:rsid w:val="003521D5"/>
    <w:rsid w:val="0035220E"/>
    <w:rsid w:val="003522B7"/>
    <w:rsid w:val="003522F8"/>
    <w:rsid w:val="003523D2"/>
    <w:rsid w:val="003524A6"/>
    <w:rsid w:val="003524FF"/>
    <w:rsid w:val="00352549"/>
    <w:rsid w:val="003526AA"/>
    <w:rsid w:val="003526E2"/>
    <w:rsid w:val="00352852"/>
    <w:rsid w:val="00352857"/>
    <w:rsid w:val="003528B8"/>
    <w:rsid w:val="00352A58"/>
    <w:rsid w:val="00352A74"/>
    <w:rsid w:val="00352AD3"/>
    <w:rsid w:val="00352B3D"/>
    <w:rsid w:val="00352B55"/>
    <w:rsid w:val="00352C4D"/>
    <w:rsid w:val="00352C69"/>
    <w:rsid w:val="00352C90"/>
    <w:rsid w:val="00352CFC"/>
    <w:rsid w:val="00352E09"/>
    <w:rsid w:val="00352E69"/>
    <w:rsid w:val="003530DB"/>
    <w:rsid w:val="0035323C"/>
    <w:rsid w:val="00353258"/>
    <w:rsid w:val="0035330F"/>
    <w:rsid w:val="0035338D"/>
    <w:rsid w:val="003533BA"/>
    <w:rsid w:val="003534BB"/>
    <w:rsid w:val="00353505"/>
    <w:rsid w:val="00353579"/>
    <w:rsid w:val="0035357D"/>
    <w:rsid w:val="003535B4"/>
    <w:rsid w:val="0035361F"/>
    <w:rsid w:val="0035363D"/>
    <w:rsid w:val="00353681"/>
    <w:rsid w:val="0035386D"/>
    <w:rsid w:val="0035387A"/>
    <w:rsid w:val="0035395A"/>
    <w:rsid w:val="003539DD"/>
    <w:rsid w:val="00353A09"/>
    <w:rsid w:val="00353B99"/>
    <w:rsid w:val="00353BC3"/>
    <w:rsid w:val="00353CE8"/>
    <w:rsid w:val="00353D00"/>
    <w:rsid w:val="00353F4C"/>
    <w:rsid w:val="00353F56"/>
    <w:rsid w:val="00353F7F"/>
    <w:rsid w:val="00353FFA"/>
    <w:rsid w:val="00354007"/>
    <w:rsid w:val="0035400C"/>
    <w:rsid w:val="003540FA"/>
    <w:rsid w:val="00354114"/>
    <w:rsid w:val="00354142"/>
    <w:rsid w:val="00354330"/>
    <w:rsid w:val="00354349"/>
    <w:rsid w:val="00354418"/>
    <w:rsid w:val="00354686"/>
    <w:rsid w:val="003546DF"/>
    <w:rsid w:val="0035473B"/>
    <w:rsid w:val="00354749"/>
    <w:rsid w:val="0035477C"/>
    <w:rsid w:val="003547F6"/>
    <w:rsid w:val="00354800"/>
    <w:rsid w:val="0035489B"/>
    <w:rsid w:val="003548C7"/>
    <w:rsid w:val="003548D0"/>
    <w:rsid w:val="00354903"/>
    <w:rsid w:val="0035492F"/>
    <w:rsid w:val="00354961"/>
    <w:rsid w:val="00354A06"/>
    <w:rsid w:val="00354A52"/>
    <w:rsid w:val="00354AFA"/>
    <w:rsid w:val="00354C32"/>
    <w:rsid w:val="00354D27"/>
    <w:rsid w:val="00354D50"/>
    <w:rsid w:val="00354DB3"/>
    <w:rsid w:val="00354E9F"/>
    <w:rsid w:val="00354EBA"/>
    <w:rsid w:val="00354F53"/>
    <w:rsid w:val="00354F5D"/>
    <w:rsid w:val="00355174"/>
    <w:rsid w:val="00355270"/>
    <w:rsid w:val="00355271"/>
    <w:rsid w:val="003553D5"/>
    <w:rsid w:val="0035542A"/>
    <w:rsid w:val="00355446"/>
    <w:rsid w:val="00355449"/>
    <w:rsid w:val="00355479"/>
    <w:rsid w:val="00355657"/>
    <w:rsid w:val="00355733"/>
    <w:rsid w:val="00355863"/>
    <w:rsid w:val="0035596E"/>
    <w:rsid w:val="00355BE9"/>
    <w:rsid w:val="00355D25"/>
    <w:rsid w:val="00355D5C"/>
    <w:rsid w:val="00355E81"/>
    <w:rsid w:val="00356041"/>
    <w:rsid w:val="003560B5"/>
    <w:rsid w:val="00356158"/>
    <w:rsid w:val="0035617A"/>
    <w:rsid w:val="003561C0"/>
    <w:rsid w:val="003562D1"/>
    <w:rsid w:val="0035632C"/>
    <w:rsid w:val="003563E1"/>
    <w:rsid w:val="003563F1"/>
    <w:rsid w:val="003563F7"/>
    <w:rsid w:val="003563FC"/>
    <w:rsid w:val="00356454"/>
    <w:rsid w:val="00356492"/>
    <w:rsid w:val="0035655B"/>
    <w:rsid w:val="00356581"/>
    <w:rsid w:val="003566D6"/>
    <w:rsid w:val="003568F5"/>
    <w:rsid w:val="00356CB1"/>
    <w:rsid w:val="00356D70"/>
    <w:rsid w:val="003570E0"/>
    <w:rsid w:val="003570F1"/>
    <w:rsid w:val="0035738A"/>
    <w:rsid w:val="003573D1"/>
    <w:rsid w:val="003573DD"/>
    <w:rsid w:val="003574D0"/>
    <w:rsid w:val="003574DC"/>
    <w:rsid w:val="003574F2"/>
    <w:rsid w:val="0035756A"/>
    <w:rsid w:val="00357630"/>
    <w:rsid w:val="003576FE"/>
    <w:rsid w:val="00357768"/>
    <w:rsid w:val="003577F4"/>
    <w:rsid w:val="003577F7"/>
    <w:rsid w:val="003577FA"/>
    <w:rsid w:val="0035784A"/>
    <w:rsid w:val="00357888"/>
    <w:rsid w:val="00357923"/>
    <w:rsid w:val="00357940"/>
    <w:rsid w:val="00357AA5"/>
    <w:rsid w:val="00357AD8"/>
    <w:rsid w:val="00357B09"/>
    <w:rsid w:val="00357C16"/>
    <w:rsid w:val="00357C74"/>
    <w:rsid w:val="00357D00"/>
    <w:rsid w:val="00357D2D"/>
    <w:rsid w:val="00357E17"/>
    <w:rsid w:val="00357F3C"/>
    <w:rsid w:val="00357F92"/>
    <w:rsid w:val="00357FAF"/>
    <w:rsid w:val="0036000C"/>
    <w:rsid w:val="0036006C"/>
    <w:rsid w:val="00360093"/>
    <w:rsid w:val="003600D5"/>
    <w:rsid w:val="003600E4"/>
    <w:rsid w:val="003600F8"/>
    <w:rsid w:val="003601DD"/>
    <w:rsid w:val="0036023E"/>
    <w:rsid w:val="003602AD"/>
    <w:rsid w:val="003602E3"/>
    <w:rsid w:val="0036031E"/>
    <w:rsid w:val="00360366"/>
    <w:rsid w:val="00360425"/>
    <w:rsid w:val="00360481"/>
    <w:rsid w:val="00360499"/>
    <w:rsid w:val="00360689"/>
    <w:rsid w:val="003606B3"/>
    <w:rsid w:val="003606E7"/>
    <w:rsid w:val="003607E4"/>
    <w:rsid w:val="003608CA"/>
    <w:rsid w:val="003608FA"/>
    <w:rsid w:val="003608FE"/>
    <w:rsid w:val="00360929"/>
    <w:rsid w:val="00360935"/>
    <w:rsid w:val="0036099A"/>
    <w:rsid w:val="003609BE"/>
    <w:rsid w:val="00360AC4"/>
    <w:rsid w:val="00360BA0"/>
    <w:rsid w:val="00360BA5"/>
    <w:rsid w:val="00360CDB"/>
    <w:rsid w:val="00360DAF"/>
    <w:rsid w:val="00360E20"/>
    <w:rsid w:val="00360E64"/>
    <w:rsid w:val="00360E6B"/>
    <w:rsid w:val="00360E83"/>
    <w:rsid w:val="00360EC1"/>
    <w:rsid w:val="00360F21"/>
    <w:rsid w:val="00360FC3"/>
    <w:rsid w:val="00361223"/>
    <w:rsid w:val="003612AD"/>
    <w:rsid w:val="0036130D"/>
    <w:rsid w:val="0036138B"/>
    <w:rsid w:val="0036156F"/>
    <w:rsid w:val="003615A1"/>
    <w:rsid w:val="0036167A"/>
    <w:rsid w:val="003616E1"/>
    <w:rsid w:val="003616FE"/>
    <w:rsid w:val="0036172C"/>
    <w:rsid w:val="00361735"/>
    <w:rsid w:val="00361769"/>
    <w:rsid w:val="003617D0"/>
    <w:rsid w:val="003617D7"/>
    <w:rsid w:val="003618EC"/>
    <w:rsid w:val="003618FD"/>
    <w:rsid w:val="00361A3B"/>
    <w:rsid w:val="00361BB2"/>
    <w:rsid w:val="00361BFD"/>
    <w:rsid w:val="00361CE1"/>
    <w:rsid w:val="00361DDE"/>
    <w:rsid w:val="00361DF6"/>
    <w:rsid w:val="00361E50"/>
    <w:rsid w:val="00361E75"/>
    <w:rsid w:val="00361E9F"/>
    <w:rsid w:val="00361EC3"/>
    <w:rsid w:val="00361FFC"/>
    <w:rsid w:val="0036200E"/>
    <w:rsid w:val="00362076"/>
    <w:rsid w:val="00362098"/>
    <w:rsid w:val="00362195"/>
    <w:rsid w:val="00362196"/>
    <w:rsid w:val="003623F5"/>
    <w:rsid w:val="00362410"/>
    <w:rsid w:val="0036249D"/>
    <w:rsid w:val="00362570"/>
    <w:rsid w:val="00362596"/>
    <w:rsid w:val="0036264C"/>
    <w:rsid w:val="00362651"/>
    <w:rsid w:val="003626AF"/>
    <w:rsid w:val="00362736"/>
    <w:rsid w:val="0036279D"/>
    <w:rsid w:val="0036279F"/>
    <w:rsid w:val="003627E8"/>
    <w:rsid w:val="003627F0"/>
    <w:rsid w:val="0036286A"/>
    <w:rsid w:val="003628FA"/>
    <w:rsid w:val="00362949"/>
    <w:rsid w:val="0036294F"/>
    <w:rsid w:val="00362955"/>
    <w:rsid w:val="003629FC"/>
    <w:rsid w:val="00362AD7"/>
    <w:rsid w:val="00362B09"/>
    <w:rsid w:val="00362B64"/>
    <w:rsid w:val="00362BA4"/>
    <w:rsid w:val="00362BC4"/>
    <w:rsid w:val="00362BF7"/>
    <w:rsid w:val="00362C58"/>
    <w:rsid w:val="00362C9D"/>
    <w:rsid w:val="00362CB4"/>
    <w:rsid w:val="00362CC7"/>
    <w:rsid w:val="00362D19"/>
    <w:rsid w:val="00362D52"/>
    <w:rsid w:val="00362E1A"/>
    <w:rsid w:val="00362F27"/>
    <w:rsid w:val="00362F69"/>
    <w:rsid w:val="00362FAB"/>
    <w:rsid w:val="00362FC2"/>
    <w:rsid w:val="00362FCE"/>
    <w:rsid w:val="00363025"/>
    <w:rsid w:val="00363089"/>
    <w:rsid w:val="00363102"/>
    <w:rsid w:val="003631A4"/>
    <w:rsid w:val="003631AC"/>
    <w:rsid w:val="003631E8"/>
    <w:rsid w:val="00363209"/>
    <w:rsid w:val="00363227"/>
    <w:rsid w:val="0036323A"/>
    <w:rsid w:val="00363274"/>
    <w:rsid w:val="00363283"/>
    <w:rsid w:val="00363294"/>
    <w:rsid w:val="003633C1"/>
    <w:rsid w:val="00363603"/>
    <w:rsid w:val="00363709"/>
    <w:rsid w:val="0036379D"/>
    <w:rsid w:val="00363822"/>
    <w:rsid w:val="003638C2"/>
    <w:rsid w:val="00363921"/>
    <w:rsid w:val="00363A03"/>
    <w:rsid w:val="00363A2F"/>
    <w:rsid w:val="00363A5B"/>
    <w:rsid w:val="00363ABC"/>
    <w:rsid w:val="00363B5E"/>
    <w:rsid w:val="00363CF4"/>
    <w:rsid w:val="00363D65"/>
    <w:rsid w:val="00363D76"/>
    <w:rsid w:val="00363E09"/>
    <w:rsid w:val="00363EEF"/>
    <w:rsid w:val="00363FAF"/>
    <w:rsid w:val="00363FD6"/>
    <w:rsid w:val="00364096"/>
    <w:rsid w:val="003640C1"/>
    <w:rsid w:val="00364141"/>
    <w:rsid w:val="00364195"/>
    <w:rsid w:val="003641F0"/>
    <w:rsid w:val="00364268"/>
    <w:rsid w:val="003642BD"/>
    <w:rsid w:val="00364331"/>
    <w:rsid w:val="003643C3"/>
    <w:rsid w:val="0036441B"/>
    <w:rsid w:val="003645FD"/>
    <w:rsid w:val="00364681"/>
    <w:rsid w:val="0036471E"/>
    <w:rsid w:val="003647A2"/>
    <w:rsid w:val="003649EC"/>
    <w:rsid w:val="00364A08"/>
    <w:rsid w:val="00364A2F"/>
    <w:rsid w:val="00364BA1"/>
    <w:rsid w:val="00364BE0"/>
    <w:rsid w:val="00364EE7"/>
    <w:rsid w:val="00364F00"/>
    <w:rsid w:val="00364FF2"/>
    <w:rsid w:val="00365184"/>
    <w:rsid w:val="00365209"/>
    <w:rsid w:val="0036527B"/>
    <w:rsid w:val="003653C4"/>
    <w:rsid w:val="003653DA"/>
    <w:rsid w:val="0036542F"/>
    <w:rsid w:val="003654C6"/>
    <w:rsid w:val="0036552D"/>
    <w:rsid w:val="0036556D"/>
    <w:rsid w:val="0036557B"/>
    <w:rsid w:val="003655A0"/>
    <w:rsid w:val="003657F4"/>
    <w:rsid w:val="003658D5"/>
    <w:rsid w:val="00365A0D"/>
    <w:rsid w:val="00365BCF"/>
    <w:rsid w:val="00365D41"/>
    <w:rsid w:val="00365D58"/>
    <w:rsid w:val="00365F61"/>
    <w:rsid w:val="00366233"/>
    <w:rsid w:val="00366262"/>
    <w:rsid w:val="0036633C"/>
    <w:rsid w:val="00366360"/>
    <w:rsid w:val="003663D9"/>
    <w:rsid w:val="00366440"/>
    <w:rsid w:val="00366556"/>
    <w:rsid w:val="00366720"/>
    <w:rsid w:val="0036678C"/>
    <w:rsid w:val="00366855"/>
    <w:rsid w:val="00366A30"/>
    <w:rsid w:val="00366B28"/>
    <w:rsid w:val="00366B7A"/>
    <w:rsid w:val="00366DDA"/>
    <w:rsid w:val="00366DE6"/>
    <w:rsid w:val="00366E9B"/>
    <w:rsid w:val="00367034"/>
    <w:rsid w:val="0036705E"/>
    <w:rsid w:val="003670A8"/>
    <w:rsid w:val="003670D1"/>
    <w:rsid w:val="003670D5"/>
    <w:rsid w:val="003671FB"/>
    <w:rsid w:val="003672D5"/>
    <w:rsid w:val="00367409"/>
    <w:rsid w:val="0036753B"/>
    <w:rsid w:val="0036777C"/>
    <w:rsid w:val="0036778D"/>
    <w:rsid w:val="003677A6"/>
    <w:rsid w:val="003678CD"/>
    <w:rsid w:val="003679CC"/>
    <w:rsid w:val="00367A3F"/>
    <w:rsid w:val="00367A8D"/>
    <w:rsid w:val="00367C3D"/>
    <w:rsid w:val="00367C4D"/>
    <w:rsid w:val="00367C98"/>
    <w:rsid w:val="00367CCD"/>
    <w:rsid w:val="00367D25"/>
    <w:rsid w:val="00367E10"/>
    <w:rsid w:val="00367E30"/>
    <w:rsid w:val="00367EE3"/>
    <w:rsid w:val="003700FB"/>
    <w:rsid w:val="00370187"/>
    <w:rsid w:val="00370228"/>
    <w:rsid w:val="0037023C"/>
    <w:rsid w:val="003704C7"/>
    <w:rsid w:val="0037053E"/>
    <w:rsid w:val="0037071A"/>
    <w:rsid w:val="00370844"/>
    <w:rsid w:val="0037086F"/>
    <w:rsid w:val="00370914"/>
    <w:rsid w:val="00370922"/>
    <w:rsid w:val="00370972"/>
    <w:rsid w:val="00370A09"/>
    <w:rsid w:val="00370A2F"/>
    <w:rsid w:val="00370B39"/>
    <w:rsid w:val="00370BD6"/>
    <w:rsid w:val="00370BDB"/>
    <w:rsid w:val="00370CF1"/>
    <w:rsid w:val="00370D51"/>
    <w:rsid w:val="00370E49"/>
    <w:rsid w:val="00370E8B"/>
    <w:rsid w:val="00370FE7"/>
    <w:rsid w:val="00371132"/>
    <w:rsid w:val="0037130A"/>
    <w:rsid w:val="00371439"/>
    <w:rsid w:val="003714B6"/>
    <w:rsid w:val="003714E0"/>
    <w:rsid w:val="00371587"/>
    <w:rsid w:val="003715C9"/>
    <w:rsid w:val="0037165E"/>
    <w:rsid w:val="003716DD"/>
    <w:rsid w:val="0037176D"/>
    <w:rsid w:val="003718B5"/>
    <w:rsid w:val="003718BE"/>
    <w:rsid w:val="00371A25"/>
    <w:rsid w:val="00371A56"/>
    <w:rsid w:val="00371AAC"/>
    <w:rsid w:val="00371AE0"/>
    <w:rsid w:val="00371B2E"/>
    <w:rsid w:val="00371B67"/>
    <w:rsid w:val="00371BCF"/>
    <w:rsid w:val="00371C80"/>
    <w:rsid w:val="00371CFA"/>
    <w:rsid w:val="00371E43"/>
    <w:rsid w:val="00371F5C"/>
    <w:rsid w:val="00371F73"/>
    <w:rsid w:val="00372127"/>
    <w:rsid w:val="00372190"/>
    <w:rsid w:val="00372437"/>
    <w:rsid w:val="0037255E"/>
    <w:rsid w:val="00372726"/>
    <w:rsid w:val="0037272F"/>
    <w:rsid w:val="003727BD"/>
    <w:rsid w:val="003728CA"/>
    <w:rsid w:val="003728FB"/>
    <w:rsid w:val="003729C3"/>
    <w:rsid w:val="00372A47"/>
    <w:rsid w:val="00372A49"/>
    <w:rsid w:val="00372AA1"/>
    <w:rsid w:val="00372ACF"/>
    <w:rsid w:val="00372AF7"/>
    <w:rsid w:val="00372C83"/>
    <w:rsid w:val="00372D0B"/>
    <w:rsid w:val="00372EAF"/>
    <w:rsid w:val="00372EE9"/>
    <w:rsid w:val="00372EF6"/>
    <w:rsid w:val="00372F49"/>
    <w:rsid w:val="00372FE5"/>
    <w:rsid w:val="003730F7"/>
    <w:rsid w:val="00373129"/>
    <w:rsid w:val="0037317C"/>
    <w:rsid w:val="00373188"/>
    <w:rsid w:val="003732F7"/>
    <w:rsid w:val="0037333A"/>
    <w:rsid w:val="00373368"/>
    <w:rsid w:val="003733D4"/>
    <w:rsid w:val="0037342F"/>
    <w:rsid w:val="00373559"/>
    <w:rsid w:val="003735CF"/>
    <w:rsid w:val="0037362C"/>
    <w:rsid w:val="003736CF"/>
    <w:rsid w:val="003737B2"/>
    <w:rsid w:val="003737DA"/>
    <w:rsid w:val="00373806"/>
    <w:rsid w:val="003738D4"/>
    <w:rsid w:val="0037398A"/>
    <w:rsid w:val="00373B0A"/>
    <w:rsid w:val="00373B52"/>
    <w:rsid w:val="00373E85"/>
    <w:rsid w:val="00373EE3"/>
    <w:rsid w:val="00373FB6"/>
    <w:rsid w:val="00373FE7"/>
    <w:rsid w:val="00374016"/>
    <w:rsid w:val="00374042"/>
    <w:rsid w:val="003740FE"/>
    <w:rsid w:val="00374154"/>
    <w:rsid w:val="0037416D"/>
    <w:rsid w:val="003741B1"/>
    <w:rsid w:val="00374209"/>
    <w:rsid w:val="00374254"/>
    <w:rsid w:val="00374260"/>
    <w:rsid w:val="003742C9"/>
    <w:rsid w:val="0037435E"/>
    <w:rsid w:val="00374481"/>
    <w:rsid w:val="0037459F"/>
    <w:rsid w:val="00374654"/>
    <w:rsid w:val="003746CE"/>
    <w:rsid w:val="0037487C"/>
    <w:rsid w:val="003748D9"/>
    <w:rsid w:val="003749BE"/>
    <w:rsid w:val="00374A76"/>
    <w:rsid w:val="00374BA1"/>
    <w:rsid w:val="00374C1B"/>
    <w:rsid w:val="00374D16"/>
    <w:rsid w:val="00374E33"/>
    <w:rsid w:val="00374F2D"/>
    <w:rsid w:val="00374F5C"/>
    <w:rsid w:val="00374F61"/>
    <w:rsid w:val="00374FAA"/>
    <w:rsid w:val="00374FE9"/>
    <w:rsid w:val="00375092"/>
    <w:rsid w:val="003751E3"/>
    <w:rsid w:val="00375297"/>
    <w:rsid w:val="00375337"/>
    <w:rsid w:val="0037534B"/>
    <w:rsid w:val="0037535D"/>
    <w:rsid w:val="0037541E"/>
    <w:rsid w:val="003755B6"/>
    <w:rsid w:val="003755B7"/>
    <w:rsid w:val="003755EE"/>
    <w:rsid w:val="00375655"/>
    <w:rsid w:val="0037575B"/>
    <w:rsid w:val="003757BD"/>
    <w:rsid w:val="00375876"/>
    <w:rsid w:val="0037588A"/>
    <w:rsid w:val="003758DE"/>
    <w:rsid w:val="003758E8"/>
    <w:rsid w:val="0037594F"/>
    <w:rsid w:val="00375964"/>
    <w:rsid w:val="003759D0"/>
    <w:rsid w:val="00375A7E"/>
    <w:rsid w:val="00375AF6"/>
    <w:rsid w:val="00375B9D"/>
    <w:rsid w:val="00375BCB"/>
    <w:rsid w:val="00375C3C"/>
    <w:rsid w:val="00375C8B"/>
    <w:rsid w:val="00375CA3"/>
    <w:rsid w:val="00375CFF"/>
    <w:rsid w:val="00375D05"/>
    <w:rsid w:val="00375D94"/>
    <w:rsid w:val="00375E7B"/>
    <w:rsid w:val="00376097"/>
    <w:rsid w:val="003760F7"/>
    <w:rsid w:val="003762FF"/>
    <w:rsid w:val="0037635C"/>
    <w:rsid w:val="003763FA"/>
    <w:rsid w:val="0037677B"/>
    <w:rsid w:val="0037683B"/>
    <w:rsid w:val="00376908"/>
    <w:rsid w:val="00376994"/>
    <w:rsid w:val="00376A51"/>
    <w:rsid w:val="00376CEC"/>
    <w:rsid w:val="00376D15"/>
    <w:rsid w:val="00376E1F"/>
    <w:rsid w:val="00376E82"/>
    <w:rsid w:val="00377038"/>
    <w:rsid w:val="003771B6"/>
    <w:rsid w:val="00377294"/>
    <w:rsid w:val="003772EE"/>
    <w:rsid w:val="00377390"/>
    <w:rsid w:val="00377401"/>
    <w:rsid w:val="00377504"/>
    <w:rsid w:val="00377543"/>
    <w:rsid w:val="00377711"/>
    <w:rsid w:val="003777C0"/>
    <w:rsid w:val="003777EA"/>
    <w:rsid w:val="003777FC"/>
    <w:rsid w:val="003778A4"/>
    <w:rsid w:val="00377966"/>
    <w:rsid w:val="0037798B"/>
    <w:rsid w:val="00377A40"/>
    <w:rsid w:val="00377A68"/>
    <w:rsid w:val="00377A76"/>
    <w:rsid w:val="00377A98"/>
    <w:rsid w:val="00377B3D"/>
    <w:rsid w:val="00377B4A"/>
    <w:rsid w:val="00377B74"/>
    <w:rsid w:val="00377BF5"/>
    <w:rsid w:val="00377CA1"/>
    <w:rsid w:val="00377CB3"/>
    <w:rsid w:val="00377D07"/>
    <w:rsid w:val="00377DD9"/>
    <w:rsid w:val="00377E0D"/>
    <w:rsid w:val="00377EA7"/>
    <w:rsid w:val="00377EFB"/>
    <w:rsid w:val="00377F89"/>
    <w:rsid w:val="00377FA4"/>
    <w:rsid w:val="00377FBA"/>
    <w:rsid w:val="003800B6"/>
    <w:rsid w:val="003800FB"/>
    <w:rsid w:val="0038012F"/>
    <w:rsid w:val="0038018E"/>
    <w:rsid w:val="0038023B"/>
    <w:rsid w:val="0038029C"/>
    <w:rsid w:val="003802A2"/>
    <w:rsid w:val="003802B5"/>
    <w:rsid w:val="003802C0"/>
    <w:rsid w:val="003802D0"/>
    <w:rsid w:val="00380567"/>
    <w:rsid w:val="00380627"/>
    <w:rsid w:val="00380638"/>
    <w:rsid w:val="003806FD"/>
    <w:rsid w:val="00380727"/>
    <w:rsid w:val="00380753"/>
    <w:rsid w:val="00380778"/>
    <w:rsid w:val="00380833"/>
    <w:rsid w:val="0038094A"/>
    <w:rsid w:val="00380A89"/>
    <w:rsid w:val="00380B84"/>
    <w:rsid w:val="00380C6F"/>
    <w:rsid w:val="00380CD5"/>
    <w:rsid w:val="00380D15"/>
    <w:rsid w:val="00380E3B"/>
    <w:rsid w:val="00380EAA"/>
    <w:rsid w:val="00380EF6"/>
    <w:rsid w:val="00380FF9"/>
    <w:rsid w:val="00381000"/>
    <w:rsid w:val="003810C9"/>
    <w:rsid w:val="00381174"/>
    <w:rsid w:val="003811B2"/>
    <w:rsid w:val="003811D9"/>
    <w:rsid w:val="003811EF"/>
    <w:rsid w:val="00381265"/>
    <w:rsid w:val="003812B2"/>
    <w:rsid w:val="003812EE"/>
    <w:rsid w:val="00381386"/>
    <w:rsid w:val="003813D9"/>
    <w:rsid w:val="00381433"/>
    <w:rsid w:val="003814C5"/>
    <w:rsid w:val="00381524"/>
    <w:rsid w:val="0038153B"/>
    <w:rsid w:val="00381549"/>
    <w:rsid w:val="003815DB"/>
    <w:rsid w:val="003815F1"/>
    <w:rsid w:val="0038173E"/>
    <w:rsid w:val="0038189D"/>
    <w:rsid w:val="0038193E"/>
    <w:rsid w:val="00381944"/>
    <w:rsid w:val="00381A84"/>
    <w:rsid w:val="00381AAD"/>
    <w:rsid w:val="00381ADB"/>
    <w:rsid w:val="00381BA6"/>
    <w:rsid w:val="00381BDD"/>
    <w:rsid w:val="00381C35"/>
    <w:rsid w:val="00381C56"/>
    <w:rsid w:val="00381CA3"/>
    <w:rsid w:val="00381CB5"/>
    <w:rsid w:val="00381D1D"/>
    <w:rsid w:val="00381D32"/>
    <w:rsid w:val="00381EED"/>
    <w:rsid w:val="00381F12"/>
    <w:rsid w:val="00381F1A"/>
    <w:rsid w:val="00382020"/>
    <w:rsid w:val="00382068"/>
    <w:rsid w:val="00382069"/>
    <w:rsid w:val="0038213E"/>
    <w:rsid w:val="003821DA"/>
    <w:rsid w:val="003822ED"/>
    <w:rsid w:val="0038237B"/>
    <w:rsid w:val="003823D6"/>
    <w:rsid w:val="0038242C"/>
    <w:rsid w:val="00382448"/>
    <w:rsid w:val="0038246B"/>
    <w:rsid w:val="0038258A"/>
    <w:rsid w:val="003825E3"/>
    <w:rsid w:val="0038280C"/>
    <w:rsid w:val="00382A62"/>
    <w:rsid w:val="00382A6B"/>
    <w:rsid w:val="00382B60"/>
    <w:rsid w:val="00382BF4"/>
    <w:rsid w:val="00382C66"/>
    <w:rsid w:val="00382DC2"/>
    <w:rsid w:val="00382E78"/>
    <w:rsid w:val="00382F19"/>
    <w:rsid w:val="00382F77"/>
    <w:rsid w:val="00383021"/>
    <w:rsid w:val="0038304D"/>
    <w:rsid w:val="00383083"/>
    <w:rsid w:val="00383164"/>
    <w:rsid w:val="00383291"/>
    <w:rsid w:val="00383343"/>
    <w:rsid w:val="00383356"/>
    <w:rsid w:val="00383543"/>
    <w:rsid w:val="00383585"/>
    <w:rsid w:val="003835AD"/>
    <w:rsid w:val="00383638"/>
    <w:rsid w:val="003836B9"/>
    <w:rsid w:val="003836BA"/>
    <w:rsid w:val="003837B2"/>
    <w:rsid w:val="003838E0"/>
    <w:rsid w:val="003838E2"/>
    <w:rsid w:val="003839A6"/>
    <w:rsid w:val="003839B0"/>
    <w:rsid w:val="003839E2"/>
    <w:rsid w:val="00383B0F"/>
    <w:rsid w:val="00383BCC"/>
    <w:rsid w:val="00383BEF"/>
    <w:rsid w:val="00383C42"/>
    <w:rsid w:val="00383D2B"/>
    <w:rsid w:val="00383E7E"/>
    <w:rsid w:val="00383EA2"/>
    <w:rsid w:val="00383EAA"/>
    <w:rsid w:val="00383F0E"/>
    <w:rsid w:val="00383F97"/>
    <w:rsid w:val="00383FBA"/>
    <w:rsid w:val="0038400A"/>
    <w:rsid w:val="00384022"/>
    <w:rsid w:val="0038404F"/>
    <w:rsid w:val="003840C5"/>
    <w:rsid w:val="0038435C"/>
    <w:rsid w:val="00384595"/>
    <w:rsid w:val="0038459E"/>
    <w:rsid w:val="003846F3"/>
    <w:rsid w:val="00384757"/>
    <w:rsid w:val="003847FF"/>
    <w:rsid w:val="0038489A"/>
    <w:rsid w:val="003848DB"/>
    <w:rsid w:val="00384962"/>
    <w:rsid w:val="00384AFA"/>
    <w:rsid w:val="00384BB4"/>
    <w:rsid w:val="00384C05"/>
    <w:rsid w:val="00384CDF"/>
    <w:rsid w:val="00384D0A"/>
    <w:rsid w:val="00384DFC"/>
    <w:rsid w:val="00384E17"/>
    <w:rsid w:val="00384E91"/>
    <w:rsid w:val="00384EA6"/>
    <w:rsid w:val="00384F0D"/>
    <w:rsid w:val="00384F24"/>
    <w:rsid w:val="00384F75"/>
    <w:rsid w:val="003851C5"/>
    <w:rsid w:val="003851DC"/>
    <w:rsid w:val="00385223"/>
    <w:rsid w:val="00385239"/>
    <w:rsid w:val="0038527F"/>
    <w:rsid w:val="00385312"/>
    <w:rsid w:val="00385376"/>
    <w:rsid w:val="0038549C"/>
    <w:rsid w:val="00385506"/>
    <w:rsid w:val="00385567"/>
    <w:rsid w:val="00385714"/>
    <w:rsid w:val="0038573E"/>
    <w:rsid w:val="0038575E"/>
    <w:rsid w:val="0038576A"/>
    <w:rsid w:val="0038578E"/>
    <w:rsid w:val="003858A6"/>
    <w:rsid w:val="003859A6"/>
    <w:rsid w:val="00385A3D"/>
    <w:rsid w:val="00385A9C"/>
    <w:rsid w:val="00385B99"/>
    <w:rsid w:val="00385C80"/>
    <w:rsid w:val="00385CCE"/>
    <w:rsid w:val="00385D6D"/>
    <w:rsid w:val="00385F30"/>
    <w:rsid w:val="00385F38"/>
    <w:rsid w:val="00385FA4"/>
    <w:rsid w:val="00385FC5"/>
    <w:rsid w:val="003860BB"/>
    <w:rsid w:val="00386141"/>
    <w:rsid w:val="00386184"/>
    <w:rsid w:val="0038620C"/>
    <w:rsid w:val="00386278"/>
    <w:rsid w:val="00386297"/>
    <w:rsid w:val="00386567"/>
    <w:rsid w:val="00386594"/>
    <w:rsid w:val="00386646"/>
    <w:rsid w:val="003867CC"/>
    <w:rsid w:val="003867EF"/>
    <w:rsid w:val="003868AB"/>
    <w:rsid w:val="00386967"/>
    <w:rsid w:val="003869DB"/>
    <w:rsid w:val="00386A20"/>
    <w:rsid w:val="00386B31"/>
    <w:rsid w:val="00386B74"/>
    <w:rsid w:val="00386C4A"/>
    <w:rsid w:val="00386C8B"/>
    <w:rsid w:val="00386C9F"/>
    <w:rsid w:val="00386DA6"/>
    <w:rsid w:val="00386DD5"/>
    <w:rsid w:val="00386EF5"/>
    <w:rsid w:val="00387001"/>
    <w:rsid w:val="003870AA"/>
    <w:rsid w:val="003870CC"/>
    <w:rsid w:val="003870D9"/>
    <w:rsid w:val="0038713E"/>
    <w:rsid w:val="0038720B"/>
    <w:rsid w:val="0038735B"/>
    <w:rsid w:val="0038748E"/>
    <w:rsid w:val="003874AB"/>
    <w:rsid w:val="00387517"/>
    <w:rsid w:val="0038757D"/>
    <w:rsid w:val="003875CC"/>
    <w:rsid w:val="0038763A"/>
    <w:rsid w:val="003876B0"/>
    <w:rsid w:val="00387716"/>
    <w:rsid w:val="0038776B"/>
    <w:rsid w:val="00387773"/>
    <w:rsid w:val="003877CF"/>
    <w:rsid w:val="0038788E"/>
    <w:rsid w:val="003878C3"/>
    <w:rsid w:val="003878D2"/>
    <w:rsid w:val="00387A2F"/>
    <w:rsid w:val="00387A80"/>
    <w:rsid w:val="00387A96"/>
    <w:rsid w:val="00387AE5"/>
    <w:rsid w:val="00387BC9"/>
    <w:rsid w:val="00387CE2"/>
    <w:rsid w:val="00387D55"/>
    <w:rsid w:val="00387E1A"/>
    <w:rsid w:val="00387E85"/>
    <w:rsid w:val="00387F67"/>
    <w:rsid w:val="00387FD6"/>
    <w:rsid w:val="0039010C"/>
    <w:rsid w:val="00390129"/>
    <w:rsid w:val="0039017D"/>
    <w:rsid w:val="00390272"/>
    <w:rsid w:val="003903E4"/>
    <w:rsid w:val="00390403"/>
    <w:rsid w:val="00390484"/>
    <w:rsid w:val="0039048E"/>
    <w:rsid w:val="0039052E"/>
    <w:rsid w:val="0039059A"/>
    <w:rsid w:val="003905DC"/>
    <w:rsid w:val="003907EB"/>
    <w:rsid w:val="003908E7"/>
    <w:rsid w:val="0039099D"/>
    <w:rsid w:val="003909AF"/>
    <w:rsid w:val="00390A86"/>
    <w:rsid w:val="00390B8C"/>
    <w:rsid w:val="00390CDC"/>
    <w:rsid w:val="00390D1B"/>
    <w:rsid w:val="00390D4B"/>
    <w:rsid w:val="00390DDD"/>
    <w:rsid w:val="00390E8A"/>
    <w:rsid w:val="00390EA2"/>
    <w:rsid w:val="0039100A"/>
    <w:rsid w:val="0039120D"/>
    <w:rsid w:val="00391322"/>
    <w:rsid w:val="0039132C"/>
    <w:rsid w:val="003913D7"/>
    <w:rsid w:val="00391518"/>
    <w:rsid w:val="00391520"/>
    <w:rsid w:val="0039172D"/>
    <w:rsid w:val="00391759"/>
    <w:rsid w:val="00391799"/>
    <w:rsid w:val="003917DE"/>
    <w:rsid w:val="003917FE"/>
    <w:rsid w:val="0039181B"/>
    <w:rsid w:val="00391861"/>
    <w:rsid w:val="003919F3"/>
    <w:rsid w:val="003919F5"/>
    <w:rsid w:val="00391A0A"/>
    <w:rsid w:val="00391A8D"/>
    <w:rsid w:val="00391C15"/>
    <w:rsid w:val="00391C34"/>
    <w:rsid w:val="00391D8A"/>
    <w:rsid w:val="00391E45"/>
    <w:rsid w:val="00391F0D"/>
    <w:rsid w:val="00391FB6"/>
    <w:rsid w:val="00392034"/>
    <w:rsid w:val="00392180"/>
    <w:rsid w:val="003921C6"/>
    <w:rsid w:val="003921DE"/>
    <w:rsid w:val="003921EF"/>
    <w:rsid w:val="0039220F"/>
    <w:rsid w:val="00392378"/>
    <w:rsid w:val="003923C4"/>
    <w:rsid w:val="003923C7"/>
    <w:rsid w:val="00392434"/>
    <w:rsid w:val="003924E4"/>
    <w:rsid w:val="003926DE"/>
    <w:rsid w:val="0039271C"/>
    <w:rsid w:val="00392737"/>
    <w:rsid w:val="00392763"/>
    <w:rsid w:val="0039285A"/>
    <w:rsid w:val="00392916"/>
    <w:rsid w:val="00392A4E"/>
    <w:rsid w:val="00392AA2"/>
    <w:rsid w:val="00392AFC"/>
    <w:rsid w:val="00392B35"/>
    <w:rsid w:val="00392B65"/>
    <w:rsid w:val="00392BF4"/>
    <w:rsid w:val="00392DCC"/>
    <w:rsid w:val="00392E04"/>
    <w:rsid w:val="00392E54"/>
    <w:rsid w:val="00392EA6"/>
    <w:rsid w:val="0039303D"/>
    <w:rsid w:val="003930B3"/>
    <w:rsid w:val="003930DA"/>
    <w:rsid w:val="00393119"/>
    <w:rsid w:val="003931D8"/>
    <w:rsid w:val="003931DD"/>
    <w:rsid w:val="0039326A"/>
    <w:rsid w:val="003932DA"/>
    <w:rsid w:val="003932F5"/>
    <w:rsid w:val="0039340E"/>
    <w:rsid w:val="0039345F"/>
    <w:rsid w:val="003934D2"/>
    <w:rsid w:val="00393572"/>
    <w:rsid w:val="0039357F"/>
    <w:rsid w:val="003935B6"/>
    <w:rsid w:val="0039366F"/>
    <w:rsid w:val="00393698"/>
    <w:rsid w:val="00393706"/>
    <w:rsid w:val="003937EA"/>
    <w:rsid w:val="003938CB"/>
    <w:rsid w:val="00393941"/>
    <w:rsid w:val="003939B8"/>
    <w:rsid w:val="003939FB"/>
    <w:rsid w:val="00393B4A"/>
    <w:rsid w:val="00393B61"/>
    <w:rsid w:val="00393D21"/>
    <w:rsid w:val="00393DB3"/>
    <w:rsid w:val="00393E3A"/>
    <w:rsid w:val="00393FD7"/>
    <w:rsid w:val="00393FE4"/>
    <w:rsid w:val="00394080"/>
    <w:rsid w:val="003940E4"/>
    <w:rsid w:val="00394256"/>
    <w:rsid w:val="003943B7"/>
    <w:rsid w:val="003943DC"/>
    <w:rsid w:val="003944E6"/>
    <w:rsid w:val="003945B9"/>
    <w:rsid w:val="003945D7"/>
    <w:rsid w:val="00394631"/>
    <w:rsid w:val="003947EB"/>
    <w:rsid w:val="0039489F"/>
    <w:rsid w:val="003948AB"/>
    <w:rsid w:val="00394AB7"/>
    <w:rsid w:val="00394B97"/>
    <w:rsid w:val="00394BA2"/>
    <w:rsid w:val="00394CC2"/>
    <w:rsid w:val="00394D8C"/>
    <w:rsid w:val="00394DA9"/>
    <w:rsid w:val="00394E23"/>
    <w:rsid w:val="00394E42"/>
    <w:rsid w:val="00394E69"/>
    <w:rsid w:val="00394F2F"/>
    <w:rsid w:val="00394F88"/>
    <w:rsid w:val="00394FDC"/>
    <w:rsid w:val="00395031"/>
    <w:rsid w:val="00395074"/>
    <w:rsid w:val="00395254"/>
    <w:rsid w:val="00395275"/>
    <w:rsid w:val="003952D1"/>
    <w:rsid w:val="00395337"/>
    <w:rsid w:val="0039534D"/>
    <w:rsid w:val="003953A4"/>
    <w:rsid w:val="003953EC"/>
    <w:rsid w:val="00395426"/>
    <w:rsid w:val="00395485"/>
    <w:rsid w:val="00395498"/>
    <w:rsid w:val="003955C9"/>
    <w:rsid w:val="0039565B"/>
    <w:rsid w:val="0039585D"/>
    <w:rsid w:val="003958D4"/>
    <w:rsid w:val="003958E2"/>
    <w:rsid w:val="00395980"/>
    <w:rsid w:val="00395A5C"/>
    <w:rsid w:val="00395CE6"/>
    <w:rsid w:val="00395D2D"/>
    <w:rsid w:val="00395DB4"/>
    <w:rsid w:val="00395E52"/>
    <w:rsid w:val="00395EF7"/>
    <w:rsid w:val="0039600D"/>
    <w:rsid w:val="0039607C"/>
    <w:rsid w:val="0039609D"/>
    <w:rsid w:val="00396189"/>
    <w:rsid w:val="003961EA"/>
    <w:rsid w:val="0039625D"/>
    <w:rsid w:val="00396367"/>
    <w:rsid w:val="0039638C"/>
    <w:rsid w:val="00396489"/>
    <w:rsid w:val="003964BD"/>
    <w:rsid w:val="003964CC"/>
    <w:rsid w:val="00396539"/>
    <w:rsid w:val="003965C9"/>
    <w:rsid w:val="003966DA"/>
    <w:rsid w:val="00396726"/>
    <w:rsid w:val="0039674C"/>
    <w:rsid w:val="00396818"/>
    <w:rsid w:val="0039681A"/>
    <w:rsid w:val="00396844"/>
    <w:rsid w:val="00396851"/>
    <w:rsid w:val="00396904"/>
    <w:rsid w:val="003969CF"/>
    <w:rsid w:val="003969DB"/>
    <w:rsid w:val="00396AB6"/>
    <w:rsid w:val="00396AF4"/>
    <w:rsid w:val="00396B7B"/>
    <w:rsid w:val="00396B9B"/>
    <w:rsid w:val="00396BA1"/>
    <w:rsid w:val="00396CA0"/>
    <w:rsid w:val="00396DE6"/>
    <w:rsid w:val="00396DFE"/>
    <w:rsid w:val="00396E6D"/>
    <w:rsid w:val="00396E8C"/>
    <w:rsid w:val="00396F5D"/>
    <w:rsid w:val="003970D2"/>
    <w:rsid w:val="003970D8"/>
    <w:rsid w:val="003970F1"/>
    <w:rsid w:val="003972F5"/>
    <w:rsid w:val="00397368"/>
    <w:rsid w:val="003973EB"/>
    <w:rsid w:val="00397456"/>
    <w:rsid w:val="00397666"/>
    <w:rsid w:val="003976CC"/>
    <w:rsid w:val="00397702"/>
    <w:rsid w:val="00397731"/>
    <w:rsid w:val="00397917"/>
    <w:rsid w:val="00397952"/>
    <w:rsid w:val="0039796D"/>
    <w:rsid w:val="00397981"/>
    <w:rsid w:val="00397BB5"/>
    <w:rsid w:val="00397BBD"/>
    <w:rsid w:val="00397C15"/>
    <w:rsid w:val="00397DCE"/>
    <w:rsid w:val="00397EA7"/>
    <w:rsid w:val="003A0030"/>
    <w:rsid w:val="003A0046"/>
    <w:rsid w:val="003A0077"/>
    <w:rsid w:val="003A00A7"/>
    <w:rsid w:val="003A00B9"/>
    <w:rsid w:val="003A0145"/>
    <w:rsid w:val="003A01EF"/>
    <w:rsid w:val="003A0202"/>
    <w:rsid w:val="003A0316"/>
    <w:rsid w:val="003A036D"/>
    <w:rsid w:val="003A041E"/>
    <w:rsid w:val="003A048C"/>
    <w:rsid w:val="003A066A"/>
    <w:rsid w:val="003A076C"/>
    <w:rsid w:val="003A0860"/>
    <w:rsid w:val="003A0934"/>
    <w:rsid w:val="003A0A6C"/>
    <w:rsid w:val="003A0C5F"/>
    <w:rsid w:val="003A0D32"/>
    <w:rsid w:val="003A0DBF"/>
    <w:rsid w:val="003A0E36"/>
    <w:rsid w:val="003A104A"/>
    <w:rsid w:val="003A10A9"/>
    <w:rsid w:val="003A1173"/>
    <w:rsid w:val="003A11C6"/>
    <w:rsid w:val="003A121F"/>
    <w:rsid w:val="003A1246"/>
    <w:rsid w:val="003A13B3"/>
    <w:rsid w:val="003A13C6"/>
    <w:rsid w:val="003A1749"/>
    <w:rsid w:val="003A1795"/>
    <w:rsid w:val="003A17BA"/>
    <w:rsid w:val="003A1805"/>
    <w:rsid w:val="003A18E2"/>
    <w:rsid w:val="003A19DF"/>
    <w:rsid w:val="003A19F3"/>
    <w:rsid w:val="003A1AF6"/>
    <w:rsid w:val="003A1B89"/>
    <w:rsid w:val="003A1C4F"/>
    <w:rsid w:val="003A1DA3"/>
    <w:rsid w:val="003A1DF0"/>
    <w:rsid w:val="003A1F9B"/>
    <w:rsid w:val="003A1FB8"/>
    <w:rsid w:val="003A20AC"/>
    <w:rsid w:val="003A2110"/>
    <w:rsid w:val="003A2114"/>
    <w:rsid w:val="003A2135"/>
    <w:rsid w:val="003A2243"/>
    <w:rsid w:val="003A22A2"/>
    <w:rsid w:val="003A22E0"/>
    <w:rsid w:val="003A232D"/>
    <w:rsid w:val="003A237D"/>
    <w:rsid w:val="003A23C6"/>
    <w:rsid w:val="003A24C6"/>
    <w:rsid w:val="003A24FE"/>
    <w:rsid w:val="003A26AA"/>
    <w:rsid w:val="003A2720"/>
    <w:rsid w:val="003A27E4"/>
    <w:rsid w:val="003A2A0E"/>
    <w:rsid w:val="003A2A22"/>
    <w:rsid w:val="003A2AB9"/>
    <w:rsid w:val="003A2B6E"/>
    <w:rsid w:val="003A2BD6"/>
    <w:rsid w:val="003A2CAF"/>
    <w:rsid w:val="003A2D72"/>
    <w:rsid w:val="003A2DE6"/>
    <w:rsid w:val="003A2E68"/>
    <w:rsid w:val="003A2ED0"/>
    <w:rsid w:val="003A2EEF"/>
    <w:rsid w:val="003A2F36"/>
    <w:rsid w:val="003A300A"/>
    <w:rsid w:val="003A31B5"/>
    <w:rsid w:val="003A32CE"/>
    <w:rsid w:val="003A339E"/>
    <w:rsid w:val="003A33BA"/>
    <w:rsid w:val="003A3498"/>
    <w:rsid w:val="003A34B3"/>
    <w:rsid w:val="003A34E8"/>
    <w:rsid w:val="003A3535"/>
    <w:rsid w:val="003A3537"/>
    <w:rsid w:val="003A35CE"/>
    <w:rsid w:val="003A35D6"/>
    <w:rsid w:val="003A3657"/>
    <w:rsid w:val="003A3821"/>
    <w:rsid w:val="003A383B"/>
    <w:rsid w:val="003A3849"/>
    <w:rsid w:val="003A38C3"/>
    <w:rsid w:val="003A38D9"/>
    <w:rsid w:val="003A38F0"/>
    <w:rsid w:val="003A396C"/>
    <w:rsid w:val="003A3A46"/>
    <w:rsid w:val="003A3B61"/>
    <w:rsid w:val="003A3BDB"/>
    <w:rsid w:val="003A3BF0"/>
    <w:rsid w:val="003A3C91"/>
    <w:rsid w:val="003A3C99"/>
    <w:rsid w:val="003A3CC6"/>
    <w:rsid w:val="003A3D34"/>
    <w:rsid w:val="003A3DF2"/>
    <w:rsid w:val="003A3EA5"/>
    <w:rsid w:val="003A3F2D"/>
    <w:rsid w:val="003A3F8A"/>
    <w:rsid w:val="003A4000"/>
    <w:rsid w:val="003A4084"/>
    <w:rsid w:val="003A408E"/>
    <w:rsid w:val="003A40B0"/>
    <w:rsid w:val="003A41B2"/>
    <w:rsid w:val="003A41D3"/>
    <w:rsid w:val="003A4227"/>
    <w:rsid w:val="003A422E"/>
    <w:rsid w:val="003A43CF"/>
    <w:rsid w:val="003A43D9"/>
    <w:rsid w:val="003A4800"/>
    <w:rsid w:val="003A48FC"/>
    <w:rsid w:val="003A4A2B"/>
    <w:rsid w:val="003A4ACF"/>
    <w:rsid w:val="003A4B21"/>
    <w:rsid w:val="003A4B9F"/>
    <w:rsid w:val="003A4BD4"/>
    <w:rsid w:val="003A4CB2"/>
    <w:rsid w:val="003A4D39"/>
    <w:rsid w:val="003A4D4E"/>
    <w:rsid w:val="003A4DC6"/>
    <w:rsid w:val="003A4E48"/>
    <w:rsid w:val="003A4F74"/>
    <w:rsid w:val="003A4FF9"/>
    <w:rsid w:val="003A5099"/>
    <w:rsid w:val="003A50BE"/>
    <w:rsid w:val="003A50FF"/>
    <w:rsid w:val="003A522A"/>
    <w:rsid w:val="003A5295"/>
    <w:rsid w:val="003A55AC"/>
    <w:rsid w:val="003A55FD"/>
    <w:rsid w:val="003A5628"/>
    <w:rsid w:val="003A566D"/>
    <w:rsid w:val="003A56F6"/>
    <w:rsid w:val="003A57D5"/>
    <w:rsid w:val="003A58B7"/>
    <w:rsid w:val="003A5AC6"/>
    <w:rsid w:val="003A5B36"/>
    <w:rsid w:val="003A5B3B"/>
    <w:rsid w:val="003A5C62"/>
    <w:rsid w:val="003A5C8B"/>
    <w:rsid w:val="003A5E36"/>
    <w:rsid w:val="003A5F62"/>
    <w:rsid w:val="003A6176"/>
    <w:rsid w:val="003A6327"/>
    <w:rsid w:val="003A63B6"/>
    <w:rsid w:val="003A6439"/>
    <w:rsid w:val="003A6583"/>
    <w:rsid w:val="003A6676"/>
    <w:rsid w:val="003A6760"/>
    <w:rsid w:val="003A6791"/>
    <w:rsid w:val="003A68A9"/>
    <w:rsid w:val="003A6914"/>
    <w:rsid w:val="003A6977"/>
    <w:rsid w:val="003A6AAF"/>
    <w:rsid w:val="003A6B0F"/>
    <w:rsid w:val="003A6B6D"/>
    <w:rsid w:val="003A6D3B"/>
    <w:rsid w:val="003A6D59"/>
    <w:rsid w:val="003A6DED"/>
    <w:rsid w:val="003A6FC0"/>
    <w:rsid w:val="003A7116"/>
    <w:rsid w:val="003A71AE"/>
    <w:rsid w:val="003A750D"/>
    <w:rsid w:val="003A753D"/>
    <w:rsid w:val="003A75F3"/>
    <w:rsid w:val="003A7629"/>
    <w:rsid w:val="003A764A"/>
    <w:rsid w:val="003A76CE"/>
    <w:rsid w:val="003A771D"/>
    <w:rsid w:val="003A782D"/>
    <w:rsid w:val="003A7862"/>
    <w:rsid w:val="003A7980"/>
    <w:rsid w:val="003A7A21"/>
    <w:rsid w:val="003A7B89"/>
    <w:rsid w:val="003A7C08"/>
    <w:rsid w:val="003A7D22"/>
    <w:rsid w:val="003A7E9D"/>
    <w:rsid w:val="003B01E5"/>
    <w:rsid w:val="003B0232"/>
    <w:rsid w:val="003B0308"/>
    <w:rsid w:val="003B03B8"/>
    <w:rsid w:val="003B043A"/>
    <w:rsid w:val="003B047A"/>
    <w:rsid w:val="003B0526"/>
    <w:rsid w:val="003B05C8"/>
    <w:rsid w:val="003B062A"/>
    <w:rsid w:val="003B063C"/>
    <w:rsid w:val="003B06B5"/>
    <w:rsid w:val="003B0753"/>
    <w:rsid w:val="003B07A9"/>
    <w:rsid w:val="003B07CE"/>
    <w:rsid w:val="003B07D0"/>
    <w:rsid w:val="003B0870"/>
    <w:rsid w:val="003B0903"/>
    <w:rsid w:val="003B09EB"/>
    <w:rsid w:val="003B0B0F"/>
    <w:rsid w:val="003B0B28"/>
    <w:rsid w:val="003B0B4D"/>
    <w:rsid w:val="003B0B87"/>
    <w:rsid w:val="003B0BA3"/>
    <w:rsid w:val="003B0BF4"/>
    <w:rsid w:val="003B0C9A"/>
    <w:rsid w:val="003B0CC8"/>
    <w:rsid w:val="003B0CCD"/>
    <w:rsid w:val="003B0DBC"/>
    <w:rsid w:val="003B0DCF"/>
    <w:rsid w:val="003B0EB2"/>
    <w:rsid w:val="003B108A"/>
    <w:rsid w:val="003B113A"/>
    <w:rsid w:val="003B116A"/>
    <w:rsid w:val="003B136D"/>
    <w:rsid w:val="003B1383"/>
    <w:rsid w:val="003B1386"/>
    <w:rsid w:val="003B13A8"/>
    <w:rsid w:val="003B13DF"/>
    <w:rsid w:val="003B1415"/>
    <w:rsid w:val="003B15C3"/>
    <w:rsid w:val="003B16B0"/>
    <w:rsid w:val="003B171E"/>
    <w:rsid w:val="003B17CF"/>
    <w:rsid w:val="003B17FA"/>
    <w:rsid w:val="003B187B"/>
    <w:rsid w:val="003B1978"/>
    <w:rsid w:val="003B199A"/>
    <w:rsid w:val="003B1B63"/>
    <w:rsid w:val="003B1BC7"/>
    <w:rsid w:val="003B1BF8"/>
    <w:rsid w:val="003B1CAD"/>
    <w:rsid w:val="003B1D52"/>
    <w:rsid w:val="003B1E16"/>
    <w:rsid w:val="003B1E2E"/>
    <w:rsid w:val="003B1F5D"/>
    <w:rsid w:val="003B2024"/>
    <w:rsid w:val="003B225A"/>
    <w:rsid w:val="003B22B4"/>
    <w:rsid w:val="003B2504"/>
    <w:rsid w:val="003B2696"/>
    <w:rsid w:val="003B278A"/>
    <w:rsid w:val="003B27FD"/>
    <w:rsid w:val="003B2866"/>
    <w:rsid w:val="003B28DB"/>
    <w:rsid w:val="003B2915"/>
    <w:rsid w:val="003B2A90"/>
    <w:rsid w:val="003B2AB0"/>
    <w:rsid w:val="003B2AF9"/>
    <w:rsid w:val="003B2C07"/>
    <w:rsid w:val="003B2C48"/>
    <w:rsid w:val="003B2CD7"/>
    <w:rsid w:val="003B2E28"/>
    <w:rsid w:val="003B3011"/>
    <w:rsid w:val="003B304E"/>
    <w:rsid w:val="003B3059"/>
    <w:rsid w:val="003B306E"/>
    <w:rsid w:val="003B321B"/>
    <w:rsid w:val="003B3278"/>
    <w:rsid w:val="003B32F8"/>
    <w:rsid w:val="003B332F"/>
    <w:rsid w:val="003B3372"/>
    <w:rsid w:val="003B33A0"/>
    <w:rsid w:val="003B345B"/>
    <w:rsid w:val="003B34CF"/>
    <w:rsid w:val="003B3560"/>
    <w:rsid w:val="003B35DE"/>
    <w:rsid w:val="003B3629"/>
    <w:rsid w:val="003B374C"/>
    <w:rsid w:val="003B3792"/>
    <w:rsid w:val="003B392D"/>
    <w:rsid w:val="003B39BE"/>
    <w:rsid w:val="003B3A2C"/>
    <w:rsid w:val="003B3A33"/>
    <w:rsid w:val="003B3B79"/>
    <w:rsid w:val="003B3C40"/>
    <w:rsid w:val="003B3C63"/>
    <w:rsid w:val="003B3C91"/>
    <w:rsid w:val="003B3CA2"/>
    <w:rsid w:val="003B3CCE"/>
    <w:rsid w:val="003B3DDC"/>
    <w:rsid w:val="003B3E95"/>
    <w:rsid w:val="003B3FC5"/>
    <w:rsid w:val="003B3FCD"/>
    <w:rsid w:val="003B409C"/>
    <w:rsid w:val="003B40A9"/>
    <w:rsid w:val="003B40D3"/>
    <w:rsid w:val="003B40D8"/>
    <w:rsid w:val="003B4156"/>
    <w:rsid w:val="003B420C"/>
    <w:rsid w:val="003B4235"/>
    <w:rsid w:val="003B425B"/>
    <w:rsid w:val="003B4267"/>
    <w:rsid w:val="003B4297"/>
    <w:rsid w:val="003B42E6"/>
    <w:rsid w:val="003B4406"/>
    <w:rsid w:val="003B44B7"/>
    <w:rsid w:val="003B4501"/>
    <w:rsid w:val="003B46A1"/>
    <w:rsid w:val="003B46D5"/>
    <w:rsid w:val="003B46F4"/>
    <w:rsid w:val="003B4711"/>
    <w:rsid w:val="003B473E"/>
    <w:rsid w:val="003B47CC"/>
    <w:rsid w:val="003B483E"/>
    <w:rsid w:val="003B4917"/>
    <w:rsid w:val="003B4951"/>
    <w:rsid w:val="003B4A9F"/>
    <w:rsid w:val="003B4B0F"/>
    <w:rsid w:val="003B4B7D"/>
    <w:rsid w:val="003B4B9B"/>
    <w:rsid w:val="003B4BC8"/>
    <w:rsid w:val="003B4C64"/>
    <w:rsid w:val="003B4CBD"/>
    <w:rsid w:val="003B4D05"/>
    <w:rsid w:val="003B4D14"/>
    <w:rsid w:val="003B4EA2"/>
    <w:rsid w:val="003B4F32"/>
    <w:rsid w:val="003B4F65"/>
    <w:rsid w:val="003B5018"/>
    <w:rsid w:val="003B50B3"/>
    <w:rsid w:val="003B51EB"/>
    <w:rsid w:val="003B523C"/>
    <w:rsid w:val="003B52EE"/>
    <w:rsid w:val="003B53BF"/>
    <w:rsid w:val="003B54A0"/>
    <w:rsid w:val="003B55E7"/>
    <w:rsid w:val="003B55F1"/>
    <w:rsid w:val="003B560E"/>
    <w:rsid w:val="003B566C"/>
    <w:rsid w:val="003B56BF"/>
    <w:rsid w:val="003B58EA"/>
    <w:rsid w:val="003B58F4"/>
    <w:rsid w:val="003B590C"/>
    <w:rsid w:val="003B59CD"/>
    <w:rsid w:val="003B5A06"/>
    <w:rsid w:val="003B5A9A"/>
    <w:rsid w:val="003B5C21"/>
    <w:rsid w:val="003B5CC1"/>
    <w:rsid w:val="003B5D04"/>
    <w:rsid w:val="003B5D67"/>
    <w:rsid w:val="003B5DB1"/>
    <w:rsid w:val="003B5DC4"/>
    <w:rsid w:val="003B5E58"/>
    <w:rsid w:val="003B5F50"/>
    <w:rsid w:val="003B5FE0"/>
    <w:rsid w:val="003B6072"/>
    <w:rsid w:val="003B60B2"/>
    <w:rsid w:val="003B60BF"/>
    <w:rsid w:val="003B60FA"/>
    <w:rsid w:val="003B611D"/>
    <w:rsid w:val="003B61AA"/>
    <w:rsid w:val="003B6213"/>
    <w:rsid w:val="003B6244"/>
    <w:rsid w:val="003B6380"/>
    <w:rsid w:val="003B6464"/>
    <w:rsid w:val="003B6535"/>
    <w:rsid w:val="003B663A"/>
    <w:rsid w:val="003B6710"/>
    <w:rsid w:val="003B6764"/>
    <w:rsid w:val="003B6838"/>
    <w:rsid w:val="003B68C1"/>
    <w:rsid w:val="003B68C5"/>
    <w:rsid w:val="003B6946"/>
    <w:rsid w:val="003B69B5"/>
    <w:rsid w:val="003B6A66"/>
    <w:rsid w:val="003B6B51"/>
    <w:rsid w:val="003B6BD9"/>
    <w:rsid w:val="003B6BF0"/>
    <w:rsid w:val="003B6C84"/>
    <w:rsid w:val="003B6C99"/>
    <w:rsid w:val="003B6D8A"/>
    <w:rsid w:val="003B6DCD"/>
    <w:rsid w:val="003B6DF7"/>
    <w:rsid w:val="003B6DFE"/>
    <w:rsid w:val="003B6F7C"/>
    <w:rsid w:val="003B6FEF"/>
    <w:rsid w:val="003B707C"/>
    <w:rsid w:val="003B70A2"/>
    <w:rsid w:val="003B70E9"/>
    <w:rsid w:val="003B712F"/>
    <w:rsid w:val="003B7312"/>
    <w:rsid w:val="003B7417"/>
    <w:rsid w:val="003B741B"/>
    <w:rsid w:val="003B744C"/>
    <w:rsid w:val="003B752F"/>
    <w:rsid w:val="003B7577"/>
    <w:rsid w:val="003B7646"/>
    <w:rsid w:val="003B767C"/>
    <w:rsid w:val="003B77F6"/>
    <w:rsid w:val="003B795F"/>
    <w:rsid w:val="003B79A3"/>
    <w:rsid w:val="003B79CC"/>
    <w:rsid w:val="003B7A42"/>
    <w:rsid w:val="003B7ADD"/>
    <w:rsid w:val="003B7BE1"/>
    <w:rsid w:val="003B7D24"/>
    <w:rsid w:val="003B7EBC"/>
    <w:rsid w:val="003B7F6F"/>
    <w:rsid w:val="003B7FBC"/>
    <w:rsid w:val="003B7FCC"/>
    <w:rsid w:val="003C003A"/>
    <w:rsid w:val="003C0248"/>
    <w:rsid w:val="003C02E2"/>
    <w:rsid w:val="003C03A9"/>
    <w:rsid w:val="003C059B"/>
    <w:rsid w:val="003C05D3"/>
    <w:rsid w:val="003C05ED"/>
    <w:rsid w:val="003C06D7"/>
    <w:rsid w:val="003C0700"/>
    <w:rsid w:val="003C079B"/>
    <w:rsid w:val="003C089B"/>
    <w:rsid w:val="003C08A4"/>
    <w:rsid w:val="003C0B3C"/>
    <w:rsid w:val="003C0BA4"/>
    <w:rsid w:val="003C0C19"/>
    <w:rsid w:val="003C0D0D"/>
    <w:rsid w:val="003C0D57"/>
    <w:rsid w:val="003C0E87"/>
    <w:rsid w:val="003C0E9D"/>
    <w:rsid w:val="003C0EEF"/>
    <w:rsid w:val="003C0F85"/>
    <w:rsid w:val="003C0F90"/>
    <w:rsid w:val="003C1036"/>
    <w:rsid w:val="003C128F"/>
    <w:rsid w:val="003C136C"/>
    <w:rsid w:val="003C13AC"/>
    <w:rsid w:val="003C1412"/>
    <w:rsid w:val="003C1487"/>
    <w:rsid w:val="003C14A1"/>
    <w:rsid w:val="003C152C"/>
    <w:rsid w:val="003C15F8"/>
    <w:rsid w:val="003C15FC"/>
    <w:rsid w:val="003C16BF"/>
    <w:rsid w:val="003C172E"/>
    <w:rsid w:val="003C174F"/>
    <w:rsid w:val="003C179F"/>
    <w:rsid w:val="003C17E5"/>
    <w:rsid w:val="003C187F"/>
    <w:rsid w:val="003C1BF8"/>
    <w:rsid w:val="003C1C36"/>
    <w:rsid w:val="003C1C3A"/>
    <w:rsid w:val="003C1C52"/>
    <w:rsid w:val="003C1D09"/>
    <w:rsid w:val="003C1D64"/>
    <w:rsid w:val="003C1D6F"/>
    <w:rsid w:val="003C1DA1"/>
    <w:rsid w:val="003C1F6B"/>
    <w:rsid w:val="003C1F92"/>
    <w:rsid w:val="003C1FA8"/>
    <w:rsid w:val="003C2012"/>
    <w:rsid w:val="003C20BA"/>
    <w:rsid w:val="003C20BC"/>
    <w:rsid w:val="003C20BD"/>
    <w:rsid w:val="003C2116"/>
    <w:rsid w:val="003C224A"/>
    <w:rsid w:val="003C2276"/>
    <w:rsid w:val="003C22DA"/>
    <w:rsid w:val="003C232D"/>
    <w:rsid w:val="003C233E"/>
    <w:rsid w:val="003C2427"/>
    <w:rsid w:val="003C24B4"/>
    <w:rsid w:val="003C2760"/>
    <w:rsid w:val="003C2764"/>
    <w:rsid w:val="003C27E2"/>
    <w:rsid w:val="003C290E"/>
    <w:rsid w:val="003C292D"/>
    <w:rsid w:val="003C2A4A"/>
    <w:rsid w:val="003C2AF1"/>
    <w:rsid w:val="003C2BCE"/>
    <w:rsid w:val="003C2C36"/>
    <w:rsid w:val="003C2C6C"/>
    <w:rsid w:val="003C2D50"/>
    <w:rsid w:val="003C2EA3"/>
    <w:rsid w:val="003C2F36"/>
    <w:rsid w:val="003C2F72"/>
    <w:rsid w:val="003C301C"/>
    <w:rsid w:val="003C31FA"/>
    <w:rsid w:val="003C3284"/>
    <w:rsid w:val="003C32A3"/>
    <w:rsid w:val="003C32EA"/>
    <w:rsid w:val="003C331F"/>
    <w:rsid w:val="003C336A"/>
    <w:rsid w:val="003C3471"/>
    <w:rsid w:val="003C34E6"/>
    <w:rsid w:val="003C35B1"/>
    <w:rsid w:val="003C3688"/>
    <w:rsid w:val="003C36D5"/>
    <w:rsid w:val="003C373E"/>
    <w:rsid w:val="003C377B"/>
    <w:rsid w:val="003C3786"/>
    <w:rsid w:val="003C37E7"/>
    <w:rsid w:val="003C3839"/>
    <w:rsid w:val="003C387B"/>
    <w:rsid w:val="003C394F"/>
    <w:rsid w:val="003C3985"/>
    <w:rsid w:val="003C3A39"/>
    <w:rsid w:val="003C3B20"/>
    <w:rsid w:val="003C3B6A"/>
    <w:rsid w:val="003C3BAE"/>
    <w:rsid w:val="003C3CA6"/>
    <w:rsid w:val="003C3CB4"/>
    <w:rsid w:val="003C3CFE"/>
    <w:rsid w:val="003C3D1F"/>
    <w:rsid w:val="003C3FA4"/>
    <w:rsid w:val="003C4184"/>
    <w:rsid w:val="003C41D8"/>
    <w:rsid w:val="003C420D"/>
    <w:rsid w:val="003C4276"/>
    <w:rsid w:val="003C4439"/>
    <w:rsid w:val="003C458C"/>
    <w:rsid w:val="003C4641"/>
    <w:rsid w:val="003C4734"/>
    <w:rsid w:val="003C4867"/>
    <w:rsid w:val="003C4887"/>
    <w:rsid w:val="003C48A2"/>
    <w:rsid w:val="003C499B"/>
    <w:rsid w:val="003C49CB"/>
    <w:rsid w:val="003C4ABF"/>
    <w:rsid w:val="003C4AD3"/>
    <w:rsid w:val="003C4B76"/>
    <w:rsid w:val="003C4D16"/>
    <w:rsid w:val="003C4D64"/>
    <w:rsid w:val="003C4D7C"/>
    <w:rsid w:val="003C4E1E"/>
    <w:rsid w:val="003C4F3E"/>
    <w:rsid w:val="003C4F42"/>
    <w:rsid w:val="003C4F7C"/>
    <w:rsid w:val="003C4F9F"/>
    <w:rsid w:val="003C50A0"/>
    <w:rsid w:val="003C50E1"/>
    <w:rsid w:val="003C50EA"/>
    <w:rsid w:val="003C511C"/>
    <w:rsid w:val="003C51E4"/>
    <w:rsid w:val="003C5218"/>
    <w:rsid w:val="003C5514"/>
    <w:rsid w:val="003C5587"/>
    <w:rsid w:val="003C5595"/>
    <w:rsid w:val="003C565E"/>
    <w:rsid w:val="003C56EE"/>
    <w:rsid w:val="003C56FA"/>
    <w:rsid w:val="003C57F0"/>
    <w:rsid w:val="003C5921"/>
    <w:rsid w:val="003C5927"/>
    <w:rsid w:val="003C598D"/>
    <w:rsid w:val="003C59B5"/>
    <w:rsid w:val="003C59BA"/>
    <w:rsid w:val="003C5A2F"/>
    <w:rsid w:val="003C5B8F"/>
    <w:rsid w:val="003C5C14"/>
    <w:rsid w:val="003C5C25"/>
    <w:rsid w:val="003C5C36"/>
    <w:rsid w:val="003C5D29"/>
    <w:rsid w:val="003C5E03"/>
    <w:rsid w:val="003C5E4A"/>
    <w:rsid w:val="003C5EC8"/>
    <w:rsid w:val="003C5EFE"/>
    <w:rsid w:val="003C5F00"/>
    <w:rsid w:val="003C5F20"/>
    <w:rsid w:val="003C5F2B"/>
    <w:rsid w:val="003C5F7F"/>
    <w:rsid w:val="003C5F86"/>
    <w:rsid w:val="003C5FF2"/>
    <w:rsid w:val="003C600E"/>
    <w:rsid w:val="003C604E"/>
    <w:rsid w:val="003C6066"/>
    <w:rsid w:val="003C6116"/>
    <w:rsid w:val="003C6178"/>
    <w:rsid w:val="003C6183"/>
    <w:rsid w:val="003C623B"/>
    <w:rsid w:val="003C62C5"/>
    <w:rsid w:val="003C62F7"/>
    <w:rsid w:val="003C63DE"/>
    <w:rsid w:val="003C6445"/>
    <w:rsid w:val="003C6572"/>
    <w:rsid w:val="003C6648"/>
    <w:rsid w:val="003C667E"/>
    <w:rsid w:val="003C6693"/>
    <w:rsid w:val="003C6796"/>
    <w:rsid w:val="003C68F4"/>
    <w:rsid w:val="003C6908"/>
    <w:rsid w:val="003C695A"/>
    <w:rsid w:val="003C69BB"/>
    <w:rsid w:val="003C69EA"/>
    <w:rsid w:val="003C6A28"/>
    <w:rsid w:val="003C6A61"/>
    <w:rsid w:val="003C6B3B"/>
    <w:rsid w:val="003C6C33"/>
    <w:rsid w:val="003C6C60"/>
    <w:rsid w:val="003C6D35"/>
    <w:rsid w:val="003C6D46"/>
    <w:rsid w:val="003C6D51"/>
    <w:rsid w:val="003C6E52"/>
    <w:rsid w:val="003C6FE9"/>
    <w:rsid w:val="003C7046"/>
    <w:rsid w:val="003C7081"/>
    <w:rsid w:val="003C7126"/>
    <w:rsid w:val="003C7151"/>
    <w:rsid w:val="003C71BC"/>
    <w:rsid w:val="003C71CA"/>
    <w:rsid w:val="003C7376"/>
    <w:rsid w:val="003C739D"/>
    <w:rsid w:val="003C756D"/>
    <w:rsid w:val="003C76F5"/>
    <w:rsid w:val="003C7743"/>
    <w:rsid w:val="003C77C8"/>
    <w:rsid w:val="003C7864"/>
    <w:rsid w:val="003C78E8"/>
    <w:rsid w:val="003C792A"/>
    <w:rsid w:val="003C792F"/>
    <w:rsid w:val="003C7B25"/>
    <w:rsid w:val="003C7B53"/>
    <w:rsid w:val="003C7BF7"/>
    <w:rsid w:val="003C7C26"/>
    <w:rsid w:val="003C7C54"/>
    <w:rsid w:val="003C7CD7"/>
    <w:rsid w:val="003C7CFF"/>
    <w:rsid w:val="003C7E22"/>
    <w:rsid w:val="003C7E34"/>
    <w:rsid w:val="003C7E3B"/>
    <w:rsid w:val="003C7E58"/>
    <w:rsid w:val="003C7EEE"/>
    <w:rsid w:val="003C7F01"/>
    <w:rsid w:val="003C7F53"/>
    <w:rsid w:val="003C7F69"/>
    <w:rsid w:val="003D006E"/>
    <w:rsid w:val="003D00CB"/>
    <w:rsid w:val="003D00E0"/>
    <w:rsid w:val="003D0244"/>
    <w:rsid w:val="003D02F4"/>
    <w:rsid w:val="003D0437"/>
    <w:rsid w:val="003D046E"/>
    <w:rsid w:val="003D05A9"/>
    <w:rsid w:val="003D071B"/>
    <w:rsid w:val="003D0798"/>
    <w:rsid w:val="003D07F2"/>
    <w:rsid w:val="003D08DA"/>
    <w:rsid w:val="003D0969"/>
    <w:rsid w:val="003D0985"/>
    <w:rsid w:val="003D0A5E"/>
    <w:rsid w:val="003D0AE3"/>
    <w:rsid w:val="003D0C47"/>
    <w:rsid w:val="003D0D01"/>
    <w:rsid w:val="003D0DD2"/>
    <w:rsid w:val="003D0DE9"/>
    <w:rsid w:val="003D0DF7"/>
    <w:rsid w:val="003D0E19"/>
    <w:rsid w:val="003D0F3B"/>
    <w:rsid w:val="003D0F3E"/>
    <w:rsid w:val="003D0FC9"/>
    <w:rsid w:val="003D0FD4"/>
    <w:rsid w:val="003D1197"/>
    <w:rsid w:val="003D11A0"/>
    <w:rsid w:val="003D12B8"/>
    <w:rsid w:val="003D1347"/>
    <w:rsid w:val="003D1539"/>
    <w:rsid w:val="003D1682"/>
    <w:rsid w:val="003D181A"/>
    <w:rsid w:val="003D1969"/>
    <w:rsid w:val="003D1972"/>
    <w:rsid w:val="003D1989"/>
    <w:rsid w:val="003D19AF"/>
    <w:rsid w:val="003D1A2B"/>
    <w:rsid w:val="003D1B0D"/>
    <w:rsid w:val="003D1CDE"/>
    <w:rsid w:val="003D1CE9"/>
    <w:rsid w:val="003D1D77"/>
    <w:rsid w:val="003D1D91"/>
    <w:rsid w:val="003D1E61"/>
    <w:rsid w:val="003D2078"/>
    <w:rsid w:val="003D20C4"/>
    <w:rsid w:val="003D232C"/>
    <w:rsid w:val="003D23E3"/>
    <w:rsid w:val="003D2432"/>
    <w:rsid w:val="003D24B0"/>
    <w:rsid w:val="003D2625"/>
    <w:rsid w:val="003D266F"/>
    <w:rsid w:val="003D2775"/>
    <w:rsid w:val="003D2824"/>
    <w:rsid w:val="003D28A2"/>
    <w:rsid w:val="003D29E3"/>
    <w:rsid w:val="003D2A6C"/>
    <w:rsid w:val="003D2A93"/>
    <w:rsid w:val="003D2BA5"/>
    <w:rsid w:val="003D2C60"/>
    <w:rsid w:val="003D2C8A"/>
    <w:rsid w:val="003D2CB7"/>
    <w:rsid w:val="003D2CD1"/>
    <w:rsid w:val="003D2D5C"/>
    <w:rsid w:val="003D2E0B"/>
    <w:rsid w:val="003D2E2A"/>
    <w:rsid w:val="003D2EA3"/>
    <w:rsid w:val="003D2EA9"/>
    <w:rsid w:val="003D2F1E"/>
    <w:rsid w:val="003D3034"/>
    <w:rsid w:val="003D30B9"/>
    <w:rsid w:val="003D30DA"/>
    <w:rsid w:val="003D31A8"/>
    <w:rsid w:val="003D31B7"/>
    <w:rsid w:val="003D32A5"/>
    <w:rsid w:val="003D32CE"/>
    <w:rsid w:val="003D3348"/>
    <w:rsid w:val="003D33ED"/>
    <w:rsid w:val="003D3474"/>
    <w:rsid w:val="003D34B5"/>
    <w:rsid w:val="003D34FD"/>
    <w:rsid w:val="003D350E"/>
    <w:rsid w:val="003D36BC"/>
    <w:rsid w:val="003D3715"/>
    <w:rsid w:val="003D3772"/>
    <w:rsid w:val="003D3859"/>
    <w:rsid w:val="003D389D"/>
    <w:rsid w:val="003D38EF"/>
    <w:rsid w:val="003D395C"/>
    <w:rsid w:val="003D3A0E"/>
    <w:rsid w:val="003D3B4D"/>
    <w:rsid w:val="003D3B56"/>
    <w:rsid w:val="003D3C36"/>
    <w:rsid w:val="003D3E1D"/>
    <w:rsid w:val="003D3E95"/>
    <w:rsid w:val="003D3EB9"/>
    <w:rsid w:val="003D3F1D"/>
    <w:rsid w:val="003D3F1E"/>
    <w:rsid w:val="003D3F46"/>
    <w:rsid w:val="003D3F9E"/>
    <w:rsid w:val="003D3FD2"/>
    <w:rsid w:val="003D4044"/>
    <w:rsid w:val="003D4066"/>
    <w:rsid w:val="003D427C"/>
    <w:rsid w:val="003D42F6"/>
    <w:rsid w:val="003D4391"/>
    <w:rsid w:val="003D43A0"/>
    <w:rsid w:val="003D4450"/>
    <w:rsid w:val="003D4492"/>
    <w:rsid w:val="003D44F7"/>
    <w:rsid w:val="003D462C"/>
    <w:rsid w:val="003D46CD"/>
    <w:rsid w:val="003D4727"/>
    <w:rsid w:val="003D48BD"/>
    <w:rsid w:val="003D4940"/>
    <w:rsid w:val="003D49E6"/>
    <w:rsid w:val="003D4A52"/>
    <w:rsid w:val="003D4B12"/>
    <w:rsid w:val="003D4B87"/>
    <w:rsid w:val="003D4CE1"/>
    <w:rsid w:val="003D4D76"/>
    <w:rsid w:val="003D4D7A"/>
    <w:rsid w:val="003D4DD2"/>
    <w:rsid w:val="003D4DF2"/>
    <w:rsid w:val="003D4EA1"/>
    <w:rsid w:val="003D4F28"/>
    <w:rsid w:val="003D5155"/>
    <w:rsid w:val="003D5245"/>
    <w:rsid w:val="003D5282"/>
    <w:rsid w:val="003D52CE"/>
    <w:rsid w:val="003D550B"/>
    <w:rsid w:val="003D5699"/>
    <w:rsid w:val="003D5739"/>
    <w:rsid w:val="003D57E2"/>
    <w:rsid w:val="003D5816"/>
    <w:rsid w:val="003D5910"/>
    <w:rsid w:val="003D5AEA"/>
    <w:rsid w:val="003D5B2C"/>
    <w:rsid w:val="003D5C83"/>
    <w:rsid w:val="003D5CA7"/>
    <w:rsid w:val="003D5D13"/>
    <w:rsid w:val="003D5D6E"/>
    <w:rsid w:val="003D5DD5"/>
    <w:rsid w:val="003D5DEE"/>
    <w:rsid w:val="003D5F63"/>
    <w:rsid w:val="003D6106"/>
    <w:rsid w:val="003D619C"/>
    <w:rsid w:val="003D6301"/>
    <w:rsid w:val="003D6332"/>
    <w:rsid w:val="003D6414"/>
    <w:rsid w:val="003D65B3"/>
    <w:rsid w:val="003D661B"/>
    <w:rsid w:val="003D6748"/>
    <w:rsid w:val="003D67CD"/>
    <w:rsid w:val="003D695C"/>
    <w:rsid w:val="003D6A07"/>
    <w:rsid w:val="003D6A30"/>
    <w:rsid w:val="003D6B37"/>
    <w:rsid w:val="003D6C1A"/>
    <w:rsid w:val="003D6C2F"/>
    <w:rsid w:val="003D6E2A"/>
    <w:rsid w:val="003D7097"/>
    <w:rsid w:val="003D70D5"/>
    <w:rsid w:val="003D742C"/>
    <w:rsid w:val="003D7938"/>
    <w:rsid w:val="003D7ABA"/>
    <w:rsid w:val="003D7AF1"/>
    <w:rsid w:val="003D7BA0"/>
    <w:rsid w:val="003D7C1A"/>
    <w:rsid w:val="003D7D2F"/>
    <w:rsid w:val="003D7D43"/>
    <w:rsid w:val="003D7DC6"/>
    <w:rsid w:val="003D7FB8"/>
    <w:rsid w:val="003E00AB"/>
    <w:rsid w:val="003E00DF"/>
    <w:rsid w:val="003E00E3"/>
    <w:rsid w:val="003E00E6"/>
    <w:rsid w:val="003E01C4"/>
    <w:rsid w:val="003E01D0"/>
    <w:rsid w:val="003E02ED"/>
    <w:rsid w:val="003E0344"/>
    <w:rsid w:val="003E038B"/>
    <w:rsid w:val="003E0414"/>
    <w:rsid w:val="003E041F"/>
    <w:rsid w:val="003E0604"/>
    <w:rsid w:val="003E069C"/>
    <w:rsid w:val="003E0886"/>
    <w:rsid w:val="003E08E3"/>
    <w:rsid w:val="003E08FC"/>
    <w:rsid w:val="003E0A52"/>
    <w:rsid w:val="003E0A84"/>
    <w:rsid w:val="003E0B4A"/>
    <w:rsid w:val="003E0BF9"/>
    <w:rsid w:val="003E0CCA"/>
    <w:rsid w:val="003E0DC3"/>
    <w:rsid w:val="003E0E13"/>
    <w:rsid w:val="003E0E23"/>
    <w:rsid w:val="003E0E40"/>
    <w:rsid w:val="003E0F6C"/>
    <w:rsid w:val="003E102F"/>
    <w:rsid w:val="003E10E1"/>
    <w:rsid w:val="003E1126"/>
    <w:rsid w:val="003E116F"/>
    <w:rsid w:val="003E120B"/>
    <w:rsid w:val="003E137D"/>
    <w:rsid w:val="003E139B"/>
    <w:rsid w:val="003E1546"/>
    <w:rsid w:val="003E156B"/>
    <w:rsid w:val="003E160B"/>
    <w:rsid w:val="003E1694"/>
    <w:rsid w:val="003E172C"/>
    <w:rsid w:val="003E1778"/>
    <w:rsid w:val="003E194C"/>
    <w:rsid w:val="003E1B13"/>
    <w:rsid w:val="003E1C9C"/>
    <w:rsid w:val="003E1D71"/>
    <w:rsid w:val="003E1E23"/>
    <w:rsid w:val="003E1E27"/>
    <w:rsid w:val="003E1F57"/>
    <w:rsid w:val="003E1F8B"/>
    <w:rsid w:val="003E1FE8"/>
    <w:rsid w:val="003E2023"/>
    <w:rsid w:val="003E20D6"/>
    <w:rsid w:val="003E21BE"/>
    <w:rsid w:val="003E227A"/>
    <w:rsid w:val="003E22BE"/>
    <w:rsid w:val="003E22E3"/>
    <w:rsid w:val="003E22FD"/>
    <w:rsid w:val="003E2377"/>
    <w:rsid w:val="003E238E"/>
    <w:rsid w:val="003E2556"/>
    <w:rsid w:val="003E269A"/>
    <w:rsid w:val="003E2702"/>
    <w:rsid w:val="003E27BC"/>
    <w:rsid w:val="003E2821"/>
    <w:rsid w:val="003E284C"/>
    <w:rsid w:val="003E28B5"/>
    <w:rsid w:val="003E28B9"/>
    <w:rsid w:val="003E29D1"/>
    <w:rsid w:val="003E2A4D"/>
    <w:rsid w:val="003E2A55"/>
    <w:rsid w:val="003E2BB3"/>
    <w:rsid w:val="003E2BF1"/>
    <w:rsid w:val="003E2C69"/>
    <w:rsid w:val="003E2CC9"/>
    <w:rsid w:val="003E2CEB"/>
    <w:rsid w:val="003E2CEF"/>
    <w:rsid w:val="003E2F2E"/>
    <w:rsid w:val="003E2F34"/>
    <w:rsid w:val="003E2FF5"/>
    <w:rsid w:val="003E314D"/>
    <w:rsid w:val="003E317A"/>
    <w:rsid w:val="003E31F0"/>
    <w:rsid w:val="003E3249"/>
    <w:rsid w:val="003E329B"/>
    <w:rsid w:val="003E32B0"/>
    <w:rsid w:val="003E34EA"/>
    <w:rsid w:val="003E36A9"/>
    <w:rsid w:val="003E36F9"/>
    <w:rsid w:val="003E3706"/>
    <w:rsid w:val="003E3757"/>
    <w:rsid w:val="003E3835"/>
    <w:rsid w:val="003E38AA"/>
    <w:rsid w:val="003E3CBB"/>
    <w:rsid w:val="003E3DD4"/>
    <w:rsid w:val="003E3EA3"/>
    <w:rsid w:val="003E3FAB"/>
    <w:rsid w:val="003E3FF6"/>
    <w:rsid w:val="003E4013"/>
    <w:rsid w:val="003E4112"/>
    <w:rsid w:val="003E4170"/>
    <w:rsid w:val="003E41C5"/>
    <w:rsid w:val="003E423B"/>
    <w:rsid w:val="003E42B1"/>
    <w:rsid w:val="003E4417"/>
    <w:rsid w:val="003E457F"/>
    <w:rsid w:val="003E45DC"/>
    <w:rsid w:val="003E46BC"/>
    <w:rsid w:val="003E47A8"/>
    <w:rsid w:val="003E480D"/>
    <w:rsid w:val="003E4914"/>
    <w:rsid w:val="003E493A"/>
    <w:rsid w:val="003E4973"/>
    <w:rsid w:val="003E49E9"/>
    <w:rsid w:val="003E4AE7"/>
    <w:rsid w:val="003E4B08"/>
    <w:rsid w:val="003E4B40"/>
    <w:rsid w:val="003E4B7A"/>
    <w:rsid w:val="003E4BE2"/>
    <w:rsid w:val="003E4C71"/>
    <w:rsid w:val="003E4CBD"/>
    <w:rsid w:val="003E4CEB"/>
    <w:rsid w:val="003E4D87"/>
    <w:rsid w:val="003E4D9A"/>
    <w:rsid w:val="003E4DB6"/>
    <w:rsid w:val="003E4DC0"/>
    <w:rsid w:val="003E4DE4"/>
    <w:rsid w:val="003E4E8E"/>
    <w:rsid w:val="003E4EB4"/>
    <w:rsid w:val="003E4F0B"/>
    <w:rsid w:val="003E4F22"/>
    <w:rsid w:val="003E4F4F"/>
    <w:rsid w:val="003E5208"/>
    <w:rsid w:val="003E521E"/>
    <w:rsid w:val="003E532C"/>
    <w:rsid w:val="003E5429"/>
    <w:rsid w:val="003E543F"/>
    <w:rsid w:val="003E54D2"/>
    <w:rsid w:val="003E55EE"/>
    <w:rsid w:val="003E56EC"/>
    <w:rsid w:val="003E5834"/>
    <w:rsid w:val="003E5878"/>
    <w:rsid w:val="003E5982"/>
    <w:rsid w:val="003E5AB5"/>
    <w:rsid w:val="003E5AB6"/>
    <w:rsid w:val="003E5B11"/>
    <w:rsid w:val="003E5E04"/>
    <w:rsid w:val="003E5E26"/>
    <w:rsid w:val="003E5E37"/>
    <w:rsid w:val="003E5EE9"/>
    <w:rsid w:val="003E5F1D"/>
    <w:rsid w:val="003E5F43"/>
    <w:rsid w:val="003E5F8C"/>
    <w:rsid w:val="003E61B8"/>
    <w:rsid w:val="003E61CF"/>
    <w:rsid w:val="003E628A"/>
    <w:rsid w:val="003E6293"/>
    <w:rsid w:val="003E6420"/>
    <w:rsid w:val="003E6433"/>
    <w:rsid w:val="003E64A4"/>
    <w:rsid w:val="003E64E4"/>
    <w:rsid w:val="003E6573"/>
    <w:rsid w:val="003E65D7"/>
    <w:rsid w:val="003E669F"/>
    <w:rsid w:val="003E66A3"/>
    <w:rsid w:val="003E6795"/>
    <w:rsid w:val="003E684F"/>
    <w:rsid w:val="003E6861"/>
    <w:rsid w:val="003E6918"/>
    <w:rsid w:val="003E6A0F"/>
    <w:rsid w:val="003E6A1B"/>
    <w:rsid w:val="003E6A9F"/>
    <w:rsid w:val="003E6B32"/>
    <w:rsid w:val="003E6BB8"/>
    <w:rsid w:val="003E6C59"/>
    <w:rsid w:val="003E6C9A"/>
    <w:rsid w:val="003E6CEA"/>
    <w:rsid w:val="003E6DA0"/>
    <w:rsid w:val="003E6DEE"/>
    <w:rsid w:val="003E6FDB"/>
    <w:rsid w:val="003E7032"/>
    <w:rsid w:val="003E7163"/>
    <w:rsid w:val="003E7175"/>
    <w:rsid w:val="003E7292"/>
    <w:rsid w:val="003E7309"/>
    <w:rsid w:val="003E73DA"/>
    <w:rsid w:val="003E7462"/>
    <w:rsid w:val="003E74E2"/>
    <w:rsid w:val="003E7613"/>
    <w:rsid w:val="003E762C"/>
    <w:rsid w:val="003E7642"/>
    <w:rsid w:val="003E768E"/>
    <w:rsid w:val="003E769A"/>
    <w:rsid w:val="003E76B5"/>
    <w:rsid w:val="003E7797"/>
    <w:rsid w:val="003E77B9"/>
    <w:rsid w:val="003E77F3"/>
    <w:rsid w:val="003E7827"/>
    <w:rsid w:val="003E786D"/>
    <w:rsid w:val="003E7A5B"/>
    <w:rsid w:val="003E7AC1"/>
    <w:rsid w:val="003E7AE2"/>
    <w:rsid w:val="003E7B0D"/>
    <w:rsid w:val="003E7C73"/>
    <w:rsid w:val="003E7CBD"/>
    <w:rsid w:val="003E7DB8"/>
    <w:rsid w:val="003E7DEF"/>
    <w:rsid w:val="003E7EBA"/>
    <w:rsid w:val="003E7EDE"/>
    <w:rsid w:val="003E7FE1"/>
    <w:rsid w:val="003F004E"/>
    <w:rsid w:val="003F0246"/>
    <w:rsid w:val="003F0263"/>
    <w:rsid w:val="003F02C3"/>
    <w:rsid w:val="003F036C"/>
    <w:rsid w:val="003F0529"/>
    <w:rsid w:val="003F057C"/>
    <w:rsid w:val="003F0589"/>
    <w:rsid w:val="003F05D4"/>
    <w:rsid w:val="003F0666"/>
    <w:rsid w:val="003F07D4"/>
    <w:rsid w:val="003F07EE"/>
    <w:rsid w:val="003F08B8"/>
    <w:rsid w:val="003F0A41"/>
    <w:rsid w:val="003F0A7C"/>
    <w:rsid w:val="003F0B35"/>
    <w:rsid w:val="003F0B4E"/>
    <w:rsid w:val="003F0C23"/>
    <w:rsid w:val="003F0C78"/>
    <w:rsid w:val="003F0CE6"/>
    <w:rsid w:val="003F0D02"/>
    <w:rsid w:val="003F0D10"/>
    <w:rsid w:val="003F0DD5"/>
    <w:rsid w:val="003F0E32"/>
    <w:rsid w:val="003F1035"/>
    <w:rsid w:val="003F1055"/>
    <w:rsid w:val="003F1072"/>
    <w:rsid w:val="003F11D3"/>
    <w:rsid w:val="003F129D"/>
    <w:rsid w:val="003F1307"/>
    <w:rsid w:val="003F13C9"/>
    <w:rsid w:val="003F14A9"/>
    <w:rsid w:val="003F153C"/>
    <w:rsid w:val="003F158F"/>
    <w:rsid w:val="003F15AA"/>
    <w:rsid w:val="003F1640"/>
    <w:rsid w:val="003F16EA"/>
    <w:rsid w:val="003F17B9"/>
    <w:rsid w:val="003F17FA"/>
    <w:rsid w:val="003F185E"/>
    <w:rsid w:val="003F1988"/>
    <w:rsid w:val="003F1A72"/>
    <w:rsid w:val="003F1B04"/>
    <w:rsid w:val="003F1D74"/>
    <w:rsid w:val="003F1DA1"/>
    <w:rsid w:val="003F1DB8"/>
    <w:rsid w:val="003F1DC1"/>
    <w:rsid w:val="003F1E1A"/>
    <w:rsid w:val="003F1F06"/>
    <w:rsid w:val="003F1F0F"/>
    <w:rsid w:val="003F1F8F"/>
    <w:rsid w:val="003F1FC7"/>
    <w:rsid w:val="003F201D"/>
    <w:rsid w:val="003F206C"/>
    <w:rsid w:val="003F20CA"/>
    <w:rsid w:val="003F21EE"/>
    <w:rsid w:val="003F21F3"/>
    <w:rsid w:val="003F2202"/>
    <w:rsid w:val="003F225C"/>
    <w:rsid w:val="003F22F6"/>
    <w:rsid w:val="003F2306"/>
    <w:rsid w:val="003F238E"/>
    <w:rsid w:val="003F2526"/>
    <w:rsid w:val="003F253E"/>
    <w:rsid w:val="003F2586"/>
    <w:rsid w:val="003F25E4"/>
    <w:rsid w:val="003F25E6"/>
    <w:rsid w:val="003F2695"/>
    <w:rsid w:val="003F270F"/>
    <w:rsid w:val="003F2720"/>
    <w:rsid w:val="003F2754"/>
    <w:rsid w:val="003F2817"/>
    <w:rsid w:val="003F28C3"/>
    <w:rsid w:val="003F28F6"/>
    <w:rsid w:val="003F2923"/>
    <w:rsid w:val="003F293E"/>
    <w:rsid w:val="003F2B72"/>
    <w:rsid w:val="003F2C10"/>
    <w:rsid w:val="003F2C12"/>
    <w:rsid w:val="003F2C95"/>
    <w:rsid w:val="003F2D5D"/>
    <w:rsid w:val="003F2EE4"/>
    <w:rsid w:val="003F2FCB"/>
    <w:rsid w:val="003F2FCD"/>
    <w:rsid w:val="003F2FF0"/>
    <w:rsid w:val="003F3028"/>
    <w:rsid w:val="003F310C"/>
    <w:rsid w:val="003F3170"/>
    <w:rsid w:val="003F31D3"/>
    <w:rsid w:val="003F330E"/>
    <w:rsid w:val="003F33E1"/>
    <w:rsid w:val="003F3720"/>
    <w:rsid w:val="003F3744"/>
    <w:rsid w:val="003F380F"/>
    <w:rsid w:val="003F3851"/>
    <w:rsid w:val="003F3946"/>
    <w:rsid w:val="003F39B6"/>
    <w:rsid w:val="003F39F5"/>
    <w:rsid w:val="003F3A56"/>
    <w:rsid w:val="003F3B39"/>
    <w:rsid w:val="003F3B62"/>
    <w:rsid w:val="003F3B91"/>
    <w:rsid w:val="003F3B9B"/>
    <w:rsid w:val="003F3C0C"/>
    <w:rsid w:val="003F3C80"/>
    <w:rsid w:val="003F3D1F"/>
    <w:rsid w:val="003F3F14"/>
    <w:rsid w:val="003F3FFC"/>
    <w:rsid w:val="003F4005"/>
    <w:rsid w:val="003F400C"/>
    <w:rsid w:val="003F403B"/>
    <w:rsid w:val="003F40B3"/>
    <w:rsid w:val="003F412B"/>
    <w:rsid w:val="003F42A8"/>
    <w:rsid w:val="003F4300"/>
    <w:rsid w:val="003F4319"/>
    <w:rsid w:val="003F4515"/>
    <w:rsid w:val="003F45DA"/>
    <w:rsid w:val="003F4615"/>
    <w:rsid w:val="003F46EC"/>
    <w:rsid w:val="003F476E"/>
    <w:rsid w:val="003F4780"/>
    <w:rsid w:val="003F47F4"/>
    <w:rsid w:val="003F4846"/>
    <w:rsid w:val="003F498A"/>
    <w:rsid w:val="003F4AD1"/>
    <w:rsid w:val="003F4B0D"/>
    <w:rsid w:val="003F4B59"/>
    <w:rsid w:val="003F4B9B"/>
    <w:rsid w:val="003F4BE1"/>
    <w:rsid w:val="003F4C1E"/>
    <w:rsid w:val="003F4E3B"/>
    <w:rsid w:val="003F4E42"/>
    <w:rsid w:val="003F4F40"/>
    <w:rsid w:val="003F4FA3"/>
    <w:rsid w:val="003F50C7"/>
    <w:rsid w:val="003F5124"/>
    <w:rsid w:val="003F518E"/>
    <w:rsid w:val="003F52AC"/>
    <w:rsid w:val="003F54B7"/>
    <w:rsid w:val="003F5502"/>
    <w:rsid w:val="003F552C"/>
    <w:rsid w:val="003F55F3"/>
    <w:rsid w:val="003F5652"/>
    <w:rsid w:val="003F5655"/>
    <w:rsid w:val="003F5683"/>
    <w:rsid w:val="003F57F3"/>
    <w:rsid w:val="003F5833"/>
    <w:rsid w:val="003F5976"/>
    <w:rsid w:val="003F5984"/>
    <w:rsid w:val="003F5A2B"/>
    <w:rsid w:val="003F5A88"/>
    <w:rsid w:val="003F5AAE"/>
    <w:rsid w:val="003F5AFE"/>
    <w:rsid w:val="003F5C2C"/>
    <w:rsid w:val="003F5CC1"/>
    <w:rsid w:val="003F5D49"/>
    <w:rsid w:val="003F5DA9"/>
    <w:rsid w:val="003F5DB1"/>
    <w:rsid w:val="003F5DEF"/>
    <w:rsid w:val="003F5EB4"/>
    <w:rsid w:val="003F5F63"/>
    <w:rsid w:val="003F606F"/>
    <w:rsid w:val="003F611F"/>
    <w:rsid w:val="003F619E"/>
    <w:rsid w:val="003F6259"/>
    <w:rsid w:val="003F6266"/>
    <w:rsid w:val="003F62B2"/>
    <w:rsid w:val="003F630B"/>
    <w:rsid w:val="003F63AB"/>
    <w:rsid w:val="003F6549"/>
    <w:rsid w:val="003F65D3"/>
    <w:rsid w:val="003F6643"/>
    <w:rsid w:val="003F6835"/>
    <w:rsid w:val="003F6847"/>
    <w:rsid w:val="003F68BC"/>
    <w:rsid w:val="003F6994"/>
    <w:rsid w:val="003F69A5"/>
    <w:rsid w:val="003F69D9"/>
    <w:rsid w:val="003F6A8F"/>
    <w:rsid w:val="003F6BFC"/>
    <w:rsid w:val="003F6C72"/>
    <w:rsid w:val="003F6CE1"/>
    <w:rsid w:val="003F6D5A"/>
    <w:rsid w:val="003F702A"/>
    <w:rsid w:val="003F70B4"/>
    <w:rsid w:val="003F70CB"/>
    <w:rsid w:val="003F71CB"/>
    <w:rsid w:val="003F71D9"/>
    <w:rsid w:val="003F71F3"/>
    <w:rsid w:val="003F7300"/>
    <w:rsid w:val="003F7327"/>
    <w:rsid w:val="003F7334"/>
    <w:rsid w:val="003F736B"/>
    <w:rsid w:val="003F7465"/>
    <w:rsid w:val="003F7510"/>
    <w:rsid w:val="003F75F9"/>
    <w:rsid w:val="003F76F2"/>
    <w:rsid w:val="003F7761"/>
    <w:rsid w:val="003F77FB"/>
    <w:rsid w:val="003F784B"/>
    <w:rsid w:val="003F788C"/>
    <w:rsid w:val="003F7ACF"/>
    <w:rsid w:val="003F7C80"/>
    <w:rsid w:val="003F7D47"/>
    <w:rsid w:val="003F7DAC"/>
    <w:rsid w:val="003F7E18"/>
    <w:rsid w:val="003F7E6B"/>
    <w:rsid w:val="003F7E78"/>
    <w:rsid w:val="003F7EBC"/>
    <w:rsid w:val="003F7EF9"/>
    <w:rsid w:val="003F7F41"/>
    <w:rsid w:val="003F7F55"/>
    <w:rsid w:val="003F7F9B"/>
    <w:rsid w:val="0040008B"/>
    <w:rsid w:val="00400139"/>
    <w:rsid w:val="00400145"/>
    <w:rsid w:val="00400152"/>
    <w:rsid w:val="00400178"/>
    <w:rsid w:val="00400186"/>
    <w:rsid w:val="0040018F"/>
    <w:rsid w:val="004002AC"/>
    <w:rsid w:val="004002E5"/>
    <w:rsid w:val="004003C9"/>
    <w:rsid w:val="004003CB"/>
    <w:rsid w:val="00400440"/>
    <w:rsid w:val="004004D6"/>
    <w:rsid w:val="004004DC"/>
    <w:rsid w:val="00400556"/>
    <w:rsid w:val="00400606"/>
    <w:rsid w:val="004007A8"/>
    <w:rsid w:val="004007AC"/>
    <w:rsid w:val="004007C3"/>
    <w:rsid w:val="004007FD"/>
    <w:rsid w:val="0040083E"/>
    <w:rsid w:val="00400855"/>
    <w:rsid w:val="00400856"/>
    <w:rsid w:val="00400875"/>
    <w:rsid w:val="00400888"/>
    <w:rsid w:val="00400CAF"/>
    <w:rsid w:val="00401055"/>
    <w:rsid w:val="00401082"/>
    <w:rsid w:val="00401088"/>
    <w:rsid w:val="004011A9"/>
    <w:rsid w:val="004011CF"/>
    <w:rsid w:val="00401324"/>
    <w:rsid w:val="0040132E"/>
    <w:rsid w:val="0040134A"/>
    <w:rsid w:val="00401591"/>
    <w:rsid w:val="004015A2"/>
    <w:rsid w:val="004015D4"/>
    <w:rsid w:val="004015F6"/>
    <w:rsid w:val="00401674"/>
    <w:rsid w:val="00401678"/>
    <w:rsid w:val="00401727"/>
    <w:rsid w:val="00401757"/>
    <w:rsid w:val="0040175D"/>
    <w:rsid w:val="004017B6"/>
    <w:rsid w:val="004017C0"/>
    <w:rsid w:val="004018A7"/>
    <w:rsid w:val="004018E8"/>
    <w:rsid w:val="004018FF"/>
    <w:rsid w:val="00401930"/>
    <w:rsid w:val="0040195C"/>
    <w:rsid w:val="0040196E"/>
    <w:rsid w:val="00401D46"/>
    <w:rsid w:val="00401E0A"/>
    <w:rsid w:val="00401E68"/>
    <w:rsid w:val="00401EFF"/>
    <w:rsid w:val="00401F0E"/>
    <w:rsid w:val="00401FCF"/>
    <w:rsid w:val="00402092"/>
    <w:rsid w:val="0040210A"/>
    <w:rsid w:val="0040210C"/>
    <w:rsid w:val="00402114"/>
    <w:rsid w:val="00402117"/>
    <w:rsid w:val="004021E3"/>
    <w:rsid w:val="004021FF"/>
    <w:rsid w:val="00402278"/>
    <w:rsid w:val="0040228B"/>
    <w:rsid w:val="00402341"/>
    <w:rsid w:val="004023E8"/>
    <w:rsid w:val="004023F8"/>
    <w:rsid w:val="00402438"/>
    <w:rsid w:val="00402551"/>
    <w:rsid w:val="00402556"/>
    <w:rsid w:val="00402566"/>
    <w:rsid w:val="00402570"/>
    <w:rsid w:val="0040262F"/>
    <w:rsid w:val="00402638"/>
    <w:rsid w:val="0040263B"/>
    <w:rsid w:val="0040271A"/>
    <w:rsid w:val="0040273E"/>
    <w:rsid w:val="00402798"/>
    <w:rsid w:val="0040288A"/>
    <w:rsid w:val="004028C0"/>
    <w:rsid w:val="00402A53"/>
    <w:rsid w:val="00402A62"/>
    <w:rsid w:val="00402BD5"/>
    <w:rsid w:val="00402CDF"/>
    <w:rsid w:val="00402E08"/>
    <w:rsid w:val="00402E1B"/>
    <w:rsid w:val="00402E43"/>
    <w:rsid w:val="00402F25"/>
    <w:rsid w:val="00402FBE"/>
    <w:rsid w:val="0040309F"/>
    <w:rsid w:val="00403176"/>
    <w:rsid w:val="00403187"/>
    <w:rsid w:val="004031B5"/>
    <w:rsid w:val="004032A2"/>
    <w:rsid w:val="00403349"/>
    <w:rsid w:val="00403377"/>
    <w:rsid w:val="004033D7"/>
    <w:rsid w:val="004034D2"/>
    <w:rsid w:val="00403504"/>
    <w:rsid w:val="0040358D"/>
    <w:rsid w:val="004036D4"/>
    <w:rsid w:val="0040375A"/>
    <w:rsid w:val="00403820"/>
    <w:rsid w:val="0040382B"/>
    <w:rsid w:val="0040396A"/>
    <w:rsid w:val="0040398E"/>
    <w:rsid w:val="00403AD2"/>
    <w:rsid w:val="00403B85"/>
    <w:rsid w:val="00403BEE"/>
    <w:rsid w:val="00403D00"/>
    <w:rsid w:val="00403E03"/>
    <w:rsid w:val="00403EED"/>
    <w:rsid w:val="00403FDD"/>
    <w:rsid w:val="004040C3"/>
    <w:rsid w:val="0040413E"/>
    <w:rsid w:val="00404247"/>
    <w:rsid w:val="004042F3"/>
    <w:rsid w:val="004042FD"/>
    <w:rsid w:val="004044D3"/>
    <w:rsid w:val="00404514"/>
    <w:rsid w:val="0040455B"/>
    <w:rsid w:val="0040464F"/>
    <w:rsid w:val="00404794"/>
    <w:rsid w:val="00404815"/>
    <w:rsid w:val="0040484E"/>
    <w:rsid w:val="00404870"/>
    <w:rsid w:val="004048AB"/>
    <w:rsid w:val="0040499D"/>
    <w:rsid w:val="004049FA"/>
    <w:rsid w:val="00404A5E"/>
    <w:rsid w:val="00404AAD"/>
    <w:rsid w:val="00404B0C"/>
    <w:rsid w:val="00404B0D"/>
    <w:rsid w:val="00404BE5"/>
    <w:rsid w:val="00404BF8"/>
    <w:rsid w:val="00404C12"/>
    <w:rsid w:val="00404CD3"/>
    <w:rsid w:val="00404D12"/>
    <w:rsid w:val="00404D47"/>
    <w:rsid w:val="00404D89"/>
    <w:rsid w:val="00404E6D"/>
    <w:rsid w:val="00404FD3"/>
    <w:rsid w:val="00405117"/>
    <w:rsid w:val="004051CD"/>
    <w:rsid w:val="0040522E"/>
    <w:rsid w:val="004052CE"/>
    <w:rsid w:val="004052E5"/>
    <w:rsid w:val="00405338"/>
    <w:rsid w:val="0040533A"/>
    <w:rsid w:val="004053C2"/>
    <w:rsid w:val="0040556D"/>
    <w:rsid w:val="004055A3"/>
    <w:rsid w:val="0040565D"/>
    <w:rsid w:val="00405681"/>
    <w:rsid w:val="004056AA"/>
    <w:rsid w:val="004056B9"/>
    <w:rsid w:val="004056EB"/>
    <w:rsid w:val="0040575E"/>
    <w:rsid w:val="0040579C"/>
    <w:rsid w:val="00405894"/>
    <w:rsid w:val="004058A3"/>
    <w:rsid w:val="004058AB"/>
    <w:rsid w:val="004058D7"/>
    <w:rsid w:val="0040594B"/>
    <w:rsid w:val="00405999"/>
    <w:rsid w:val="004059F9"/>
    <w:rsid w:val="00405A98"/>
    <w:rsid w:val="00405A9D"/>
    <w:rsid w:val="00405AE6"/>
    <w:rsid w:val="00405B11"/>
    <w:rsid w:val="00405C2C"/>
    <w:rsid w:val="00405C50"/>
    <w:rsid w:val="00405C61"/>
    <w:rsid w:val="00405C9F"/>
    <w:rsid w:val="00405CEA"/>
    <w:rsid w:val="00405DA3"/>
    <w:rsid w:val="00405DDE"/>
    <w:rsid w:val="00405E4E"/>
    <w:rsid w:val="00406012"/>
    <w:rsid w:val="004060F7"/>
    <w:rsid w:val="004061D8"/>
    <w:rsid w:val="00406234"/>
    <w:rsid w:val="00406374"/>
    <w:rsid w:val="00406412"/>
    <w:rsid w:val="00406515"/>
    <w:rsid w:val="00406535"/>
    <w:rsid w:val="004065BA"/>
    <w:rsid w:val="004066C8"/>
    <w:rsid w:val="0040677A"/>
    <w:rsid w:val="0040678B"/>
    <w:rsid w:val="004067F8"/>
    <w:rsid w:val="00406858"/>
    <w:rsid w:val="0040688B"/>
    <w:rsid w:val="00406905"/>
    <w:rsid w:val="0040694C"/>
    <w:rsid w:val="0040694F"/>
    <w:rsid w:val="004069CA"/>
    <w:rsid w:val="00406A25"/>
    <w:rsid w:val="00406A79"/>
    <w:rsid w:val="00406ADF"/>
    <w:rsid w:val="00406B2A"/>
    <w:rsid w:val="00406B9E"/>
    <w:rsid w:val="00406C7D"/>
    <w:rsid w:val="00406DB1"/>
    <w:rsid w:val="00407131"/>
    <w:rsid w:val="00407161"/>
    <w:rsid w:val="00407180"/>
    <w:rsid w:val="004071BF"/>
    <w:rsid w:val="0040723C"/>
    <w:rsid w:val="0040730B"/>
    <w:rsid w:val="00407367"/>
    <w:rsid w:val="004073A7"/>
    <w:rsid w:val="004073BD"/>
    <w:rsid w:val="004073D9"/>
    <w:rsid w:val="00407470"/>
    <w:rsid w:val="00407793"/>
    <w:rsid w:val="00407876"/>
    <w:rsid w:val="00407945"/>
    <w:rsid w:val="004079A8"/>
    <w:rsid w:val="00407A8A"/>
    <w:rsid w:val="00407B60"/>
    <w:rsid w:val="00407B85"/>
    <w:rsid w:val="00407BEC"/>
    <w:rsid w:val="00407C8C"/>
    <w:rsid w:val="00407D4F"/>
    <w:rsid w:val="00407E5E"/>
    <w:rsid w:val="00407EA8"/>
    <w:rsid w:val="00410050"/>
    <w:rsid w:val="00410138"/>
    <w:rsid w:val="004101F5"/>
    <w:rsid w:val="004101FC"/>
    <w:rsid w:val="0041021A"/>
    <w:rsid w:val="00410297"/>
    <w:rsid w:val="00410389"/>
    <w:rsid w:val="0041055E"/>
    <w:rsid w:val="00410567"/>
    <w:rsid w:val="00410637"/>
    <w:rsid w:val="004106F4"/>
    <w:rsid w:val="004106FB"/>
    <w:rsid w:val="0041070C"/>
    <w:rsid w:val="00410819"/>
    <w:rsid w:val="0041084C"/>
    <w:rsid w:val="0041085E"/>
    <w:rsid w:val="004108CA"/>
    <w:rsid w:val="00410A8D"/>
    <w:rsid w:val="00410AD7"/>
    <w:rsid w:val="00410BA8"/>
    <w:rsid w:val="00410BB0"/>
    <w:rsid w:val="00410C24"/>
    <w:rsid w:val="00410D20"/>
    <w:rsid w:val="00410DFB"/>
    <w:rsid w:val="00410E11"/>
    <w:rsid w:val="00410E39"/>
    <w:rsid w:val="00410FD7"/>
    <w:rsid w:val="00411040"/>
    <w:rsid w:val="00411051"/>
    <w:rsid w:val="00411057"/>
    <w:rsid w:val="00411174"/>
    <w:rsid w:val="00411251"/>
    <w:rsid w:val="00411326"/>
    <w:rsid w:val="00411515"/>
    <w:rsid w:val="0041156A"/>
    <w:rsid w:val="0041163C"/>
    <w:rsid w:val="00411688"/>
    <w:rsid w:val="00411754"/>
    <w:rsid w:val="004117A9"/>
    <w:rsid w:val="0041181E"/>
    <w:rsid w:val="004119BE"/>
    <w:rsid w:val="00411A74"/>
    <w:rsid w:val="00411A97"/>
    <w:rsid w:val="00411ADF"/>
    <w:rsid w:val="00411B98"/>
    <w:rsid w:val="00411C64"/>
    <w:rsid w:val="00411CCF"/>
    <w:rsid w:val="00411D02"/>
    <w:rsid w:val="00411E53"/>
    <w:rsid w:val="00411EBB"/>
    <w:rsid w:val="00411F43"/>
    <w:rsid w:val="00411F99"/>
    <w:rsid w:val="00411FA7"/>
    <w:rsid w:val="0041206F"/>
    <w:rsid w:val="00412085"/>
    <w:rsid w:val="004120AC"/>
    <w:rsid w:val="004123F5"/>
    <w:rsid w:val="004124DB"/>
    <w:rsid w:val="0041257F"/>
    <w:rsid w:val="004125C9"/>
    <w:rsid w:val="00412693"/>
    <w:rsid w:val="004126D1"/>
    <w:rsid w:val="00412708"/>
    <w:rsid w:val="0041285D"/>
    <w:rsid w:val="00412887"/>
    <w:rsid w:val="00412928"/>
    <w:rsid w:val="0041298D"/>
    <w:rsid w:val="0041299E"/>
    <w:rsid w:val="00412A66"/>
    <w:rsid w:val="00412ACC"/>
    <w:rsid w:val="00412B64"/>
    <w:rsid w:val="00412B71"/>
    <w:rsid w:val="00412C18"/>
    <w:rsid w:val="00412D09"/>
    <w:rsid w:val="00412D21"/>
    <w:rsid w:val="00412D5D"/>
    <w:rsid w:val="00412DDC"/>
    <w:rsid w:val="00412E20"/>
    <w:rsid w:val="00412E96"/>
    <w:rsid w:val="00412F73"/>
    <w:rsid w:val="00412FAF"/>
    <w:rsid w:val="00413052"/>
    <w:rsid w:val="00413130"/>
    <w:rsid w:val="004131A3"/>
    <w:rsid w:val="004131F4"/>
    <w:rsid w:val="0041322A"/>
    <w:rsid w:val="00413269"/>
    <w:rsid w:val="00413299"/>
    <w:rsid w:val="004133FE"/>
    <w:rsid w:val="004134F2"/>
    <w:rsid w:val="00413545"/>
    <w:rsid w:val="00413564"/>
    <w:rsid w:val="0041371A"/>
    <w:rsid w:val="004138F5"/>
    <w:rsid w:val="004139D7"/>
    <w:rsid w:val="00413AD6"/>
    <w:rsid w:val="00413ADF"/>
    <w:rsid w:val="00413B05"/>
    <w:rsid w:val="00413C2F"/>
    <w:rsid w:val="00413C5F"/>
    <w:rsid w:val="00413DF8"/>
    <w:rsid w:val="00413E07"/>
    <w:rsid w:val="00413E7D"/>
    <w:rsid w:val="00413E92"/>
    <w:rsid w:val="00413FD4"/>
    <w:rsid w:val="00414054"/>
    <w:rsid w:val="00414098"/>
    <w:rsid w:val="00414168"/>
    <w:rsid w:val="00414179"/>
    <w:rsid w:val="00414187"/>
    <w:rsid w:val="004142D6"/>
    <w:rsid w:val="00414332"/>
    <w:rsid w:val="00414480"/>
    <w:rsid w:val="004144A7"/>
    <w:rsid w:val="004144B2"/>
    <w:rsid w:val="00414509"/>
    <w:rsid w:val="0041464B"/>
    <w:rsid w:val="00414650"/>
    <w:rsid w:val="00414702"/>
    <w:rsid w:val="00414795"/>
    <w:rsid w:val="0041479A"/>
    <w:rsid w:val="004148CD"/>
    <w:rsid w:val="00414916"/>
    <w:rsid w:val="00414949"/>
    <w:rsid w:val="004149B4"/>
    <w:rsid w:val="00414A9D"/>
    <w:rsid w:val="00414ACD"/>
    <w:rsid w:val="00414B07"/>
    <w:rsid w:val="00414B2E"/>
    <w:rsid w:val="00414BA1"/>
    <w:rsid w:val="00414C25"/>
    <w:rsid w:val="00414C42"/>
    <w:rsid w:val="00414C49"/>
    <w:rsid w:val="00414D04"/>
    <w:rsid w:val="00414D65"/>
    <w:rsid w:val="00414DFB"/>
    <w:rsid w:val="00414E67"/>
    <w:rsid w:val="00414EFB"/>
    <w:rsid w:val="00414F48"/>
    <w:rsid w:val="00414F4D"/>
    <w:rsid w:val="00414F55"/>
    <w:rsid w:val="00414F7E"/>
    <w:rsid w:val="00414FB3"/>
    <w:rsid w:val="00414FC6"/>
    <w:rsid w:val="0041509D"/>
    <w:rsid w:val="004150BF"/>
    <w:rsid w:val="004150C0"/>
    <w:rsid w:val="0041516E"/>
    <w:rsid w:val="004152C7"/>
    <w:rsid w:val="004153B4"/>
    <w:rsid w:val="004153E4"/>
    <w:rsid w:val="0041552F"/>
    <w:rsid w:val="004155A3"/>
    <w:rsid w:val="0041573C"/>
    <w:rsid w:val="0041576B"/>
    <w:rsid w:val="0041577B"/>
    <w:rsid w:val="0041578B"/>
    <w:rsid w:val="004158BE"/>
    <w:rsid w:val="00415A44"/>
    <w:rsid w:val="00415AAD"/>
    <w:rsid w:val="00415B3B"/>
    <w:rsid w:val="00415C1F"/>
    <w:rsid w:val="00415D61"/>
    <w:rsid w:val="00415DA2"/>
    <w:rsid w:val="00415E1F"/>
    <w:rsid w:val="00415E26"/>
    <w:rsid w:val="00415E95"/>
    <w:rsid w:val="00415FFA"/>
    <w:rsid w:val="00416075"/>
    <w:rsid w:val="004160BC"/>
    <w:rsid w:val="0041615F"/>
    <w:rsid w:val="0041617E"/>
    <w:rsid w:val="00416187"/>
    <w:rsid w:val="004161DF"/>
    <w:rsid w:val="004162C1"/>
    <w:rsid w:val="004162C2"/>
    <w:rsid w:val="0041643B"/>
    <w:rsid w:val="00416490"/>
    <w:rsid w:val="004164BF"/>
    <w:rsid w:val="004164CB"/>
    <w:rsid w:val="004164E1"/>
    <w:rsid w:val="004164EC"/>
    <w:rsid w:val="00416515"/>
    <w:rsid w:val="00416620"/>
    <w:rsid w:val="00416649"/>
    <w:rsid w:val="004166E9"/>
    <w:rsid w:val="0041675F"/>
    <w:rsid w:val="00416762"/>
    <w:rsid w:val="004167B0"/>
    <w:rsid w:val="004167FE"/>
    <w:rsid w:val="0041682E"/>
    <w:rsid w:val="00416914"/>
    <w:rsid w:val="0041693C"/>
    <w:rsid w:val="00416A97"/>
    <w:rsid w:val="00416A9E"/>
    <w:rsid w:val="00416B1D"/>
    <w:rsid w:val="00416B59"/>
    <w:rsid w:val="00416B5D"/>
    <w:rsid w:val="00416BD2"/>
    <w:rsid w:val="00416C6E"/>
    <w:rsid w:val="00416D45"/>
    <w:rsid w:val="00416E55"/>
    <w:rsid w:val="00416F7E"/>
    <w:rsid w:val="00417040"/>
    <w:rsid w:val="00417184"/>
    <w:rsid w:val="00417208"/>
    <w:rsid w:val="00417266"/>
    <w:rsid w:val="00417504"/>
    <w:rsid w:val="00417551"/>
    <w:rsid w:val="004175FA"/>
    <w:rsid w:val="00417804"/>
    <w:rsid w:val="00417911"/>
    <w:rsid w:val="004179C4"/>
    <w:rsid w:val="004179CC"/>
    <w:rsid w:val="004179DB"/>
    <w:rsid w:val="00417A11"/>
    <w:rsid w:val="00417AA4"/>
    <w:rsid w:val="00417B76"/>
    <w:rsid w:val="00417B7A"/>
    <w:rsid w:val="00417BC0"/>
    <w:rsid w:val="00417BCA"/>
    <w:rsid w:val="00417C1D"/>
    <w:rsid w:val="00417C25"/>
    <w:rsid w:val="00417C9F"/>
    <w:rsid w:val="00417CB4"/>
    <w:rsid w:val="00417CCB"/>
    <w:rsid w:val="00417D03"/>
    <w:rsid w:val="00417DF8"/>
    <w:rsid w:val="00417E69"/>
    <w:rsid w:val="00417EDA"/>
    <w:rsid w:val="00417F15"/>
    <w:rsid w:val="00417F90"/>
    <w:rsid w:val="00417FDD"/>
    <w:rsid w:val="00420032"/>
    <w:rsid w:val="00420040"/>
    <w:rsid w:val="00420135"/>
    <w:rsid w:val="004201D3"/>
    <w:rsid w:val="0042023B"/>
    <w:rsid w:val="004204B3"/>
    <w:rsid w:val="004206C8"/>
    <w:rsid w:val="0042070C"/>
    <w:rsid w:val="00420772"/>
    <w:rsid w:val="0042079B"/>
    <w:rsid w:val="00420814"/>
    <w:rsid w:val="0042085D"/>
    <w:rsid w:val="00420936"/>
    <w:rsid w:val="00420A84"/>
    <w:rsid w:val="00420D28"/>
    <w:rsid w:val="00420E88"/>
    <w:rsid w:val="00420F55"/>
    <w:rsid w:val="00420F6C"/>
    <w:rsid w:val="00420FC5"/>
    <w:rsid w:val="00421050"/>
    <w:rsid w:val="00421061"/>
    <w:rsid w:val="0042107C"/>
    <w:rsid w:val="0042107E"/>
    <w:rsid w:val="00421141"/>
    <w:rsid w:val="004211DE"/>
    <w:rsid w:val="0042132F"/>
    <w:rsid w:val="00421475"/>
    <w:rsid w:val="004214AD"/>
    <w:rsid w:val="004214B6"/>
    <w:rsid w:val="00421561"/>
    <w:rsid w:val="004215FA"/>
    <w:rsid w:val="0042168A"/>
    <w:rsid w:val="004216BC"/>
    <w:rsid w:val="00421715"/>
    <w:rsid w:val="004218AC"/>
    <w:rsid w:val="004218AF"/>
    <w:rsid w:val="00421955"/>
    <w:rsid w:val="00421A5C"/>
    <w:rsid w:val="00421BA7"/>
    <w:rsid w:val="00421BE7"/>
    <w:rsid w:val="00421C3E"/>
    <w:rsid w:val="00421CB8"/>
    <w:rsid w:val="00421CF0"/>
    <w:rsid w:val="00421D4B"/>
    <w:rsid w:val="00421E15"/>
    <w:rsid w:val="00421EAB"/>
    <w:rsid w:val="00421F05"/>
    <w:rsid w:val="00421FB2"/>
    <w:rsid w:val="004220F6"/>
    <w:rsid w:val="0042211C"/>
    <w:rsid w:val="00422197"/>
    <w:rsid w:val="0042231F"/>
    <w:rsid w:val="00422465"/>
    <w:rsid w:val="0042251C"/>
    <w:rsid w:val="0042254D"/>
    <w:rsid w:val="004225B7"/>
    <w:rsid w:val="00422616"/>
    <w:rsid w:val="00422818"/>
    <w:rsid w:val="0042291B"/>
    <w:rsid w:val="00422948"/>
    <w:rsid w:val="004229D6"/>
    <w:rsid w:val="00422A92"/>
    <w:rsid w:val="00422BA9"/>
    <w:rsid w:val="00422BB4"/>
    <w:rsid w:val="00422C8C"/>
    <w:rsid w:val="00422DCB"/>
    <w:rsid w:val="00422E11"/>
    <w:rsid w:val="00422ECB"/>
    <w:rsid w:val="00422ED7"/>
    <w:rsid w:val="00422F4A"/>
    <w:rsid w:val="00422F5C"/>
    <w:rsid w:val="00422F61"/>
    <w:rsid w:val="00422F6D"/>
    <w:rsid w:val="0042306F"/>
    <w:rsid w:val="004230FC"/>
    <w:rsid w:val="004231AB"/>
    <w:rsid w:val="004231C4"/>
    <w:rsid w:val="004231DB"/>
    <w:rsid w:val="00423207"/>
    <w:rsid w:val="004232BC"/>
    <w:rsid w:val="004232C3"/>
    <w:rsid w:val="00423335"/>
    <w:rsid w:val="00423362"/>
    <w:rsid w:val="0042343D"/>
    <w:rsid w:val="004234C6"/>
    <w:rsid w:val="0042352B"/>
    <w:rsid w:val="00423555"/>
    <w:rsid w:val="004235D0"/>
    <w:rsid w:val="0042368D"/>
    <w:rsid w:val="004236FA"/>
    <w:rsid w:val="00423712"/>
    <w:rsid w:val="00423815"/>
    <w:rsid w:val="0042394E"/>
    <w:rsid w:val="00423AB0"/>
    <w:rsid w:val="00423B04"/>
    <w:rsid w:val="00423D2A"/>
    <w:rsid w:val="00423DC6"/>
    <w:rsid w:val="00423E02"/>
    <w:rsid w:val="00423E09"/>
    <w:rsid w:val="0042403A"/>
    <w:rsid w:val="00424399"/>
    <w:rsid w:val="004243F8"/>
    <w:rsid w:val="00424413"/>
    <w:rsid w:val="004244BE"/>
    <w:rsid w:val="004244F7"/>
    <w:rsid w:val="00424632"/>
    <w:rsid w:val="0042463B"/>
    <w:rsid w:val="00424665"/>
    <w:rsid w:val="004246D4"/>
    <w:rsid w:val="0042472D"/>
    <w:rsid w:val="00424782"/>
    <w:rsid w:val="004247AD"/>
    <w:rsid w:val="004247D7"/>
    <w:rsid w:val="0042488E"/>
    <w:rsid w:val="004248C8"/>
    <w:rsid w:val="004248E9"/>
    <w:rsid w:val="00424D2C"/>
    <w:rsid w:val="00424D40"/>
    <w:rsid w:val="00424DB1"/>
    <w:rsid w:val="00424E5E"/>
    <w:rsid w:val="00424FCF"/>
    <w:rsid w:val="0042503E"/>
    <w:rsid w:val="00425115"/>
    <w:rsid w:val="00425123"/>
    <w:rsid w:val="00425187"/>
    <w:rsid w:val="0042518A"/>
    <w:rsid w:val="004252A5"/>
    <w:rsid w:val="004252DB"/>
    <w:rsid w:val="00425323"/>
    <w:rsid w:val="0042545A"/>
    <w:rsid w:val="0042545D"/>
    <w:rsid w:val="00425483"/>
    <w:rsid w:val="0042551E"/>
    <w:rsid w:val="00425523"/>
    <w:rsid w:val="00425648"/>
    <w:rsid w:val="0042566C"/>
    <w:rsid w:val="004256EB"/>
    <w:rsid w:val="00425803"/>
    <w:rsid w:val="00425867"/>
    <w:rsid w:val="0042587E"/>
    <w:rsid w:val="004259A1"/>
    <w:rsid w:val="00425A8F"/>
    <w:rsid w:val="00425B2C"/>
    <w:rsid w:val="00425BAE"/>
    <w:rsid w:val="00425C47"/>
    <w:rsid w:val="00425CC4"/>
    <w:rsid w:val="00425D95"/>
    <w:rsid w:val="00425E7D"/>
    <w:rsid w:val="00425F1B"/>
    <w:rsid w:val="00425F6B"/>
    <w:rsid w:val="00425FB4"/>
    <w:rsid w:val="00425FF0"/>
    <w:rsid w:val="004260CB"/>
    <w:rsid w:val="00426156"/>
    <w:rsid w:val="00426180"/>
    <w:rsid w:val="004262C8"/>
    <w:rsid w:val="00426350"/>
    <w:rsid w:val="00426397"/>
    <w:rsid w:val="004263D4"/>
    <w:rsid w:val="004265F3"/>
    <w:rsid w:val="00426622"/>
    <w:rsid w:val="0042674C"/>
    <w:rsid w:val="00426782"/>
    <w:rsid w:val="00426955"/>
    <w:rsid w:val="004269BC"/>
    <w:rsid w:val="00426A19"/>
    <w:rsid w:val="00426A70"/>
    <w:rsid w:val="00426A9A"/>
    <w:rsid w:val="00426B22"/>
    <w:rsid w:val="00426C55"/>
    <w:rsid w:val="00426C7B"/>
    <w:rsid w:val="00426C89"/>
    <w:rsid w:val="00426D37"/>
    <w:rsid w:val="00426DC5"/>
    <w:rsid w:val="00426FD7"/>
    <w:rsid w:val="00426FE5"/>
    <w:rsid w:val="00427114"/>
    <w:rsid w:val="00427262"/>
    <w:rsid w:val="00427264"/>
    <w:rsid w:val="004272DF"/>
    <w:rsid w:val="004273A3"/>
    <w:rsid w:val="0042744A"/>
    <w:rsid w:val="004274AF"/>
    <w:rsid w:val="004274B0"/>
    <w:rsid w:val="004274F1"/>
    <w:rsid w:val="00427538"/>
    <w:rsid w:val="00427560"/>
    <w:rsid w:val="0042766B"/>
    <w:rsid w:val="004276A0"/>
    <w:rsid w:val="0042771D"/>
    <w:rsid w:val="004277E8"/>
    <w:rsid w:val="00427856"/>
    <w:rsid w:val="0042787E"/>
    <w:rsid w:val="0042790E"/>
    <w:rsid w:val="00427967"/>
    <w:rsid w:val="00427B46"/>
    <w:rsid w:val="00427C22"/>
    <w:rsid w:val="00427D46"/>
    <w:rsid w:val="00427D9A"/>
    <w:rsid w:val="00427E20"/>
    <w:rsid w:val="00427E29"/>
    <w:rsid w:val="00427E33"/>
    <w:rsid w:val="00427EFC"/>
    <w:rsid w:val="00427F1C"/>
    <w:rsid w:val="00430059"/>
    <w:rsid w:val="004300BE"/>
    <w:rsid w:val="004300D6"/>
    <w:rsid w:val="00430165"/>
    <w:rsid w:val="004301AF"/>
    <w:rsid w:val="00430262"/>
    <w:rsid w:val="00430320"/>
    <w:rsid w:val="004303C7"/>
    <w:rsid w:val="004304B3"/>
    <w:rsid w:val="00430695"/>
    <w:rsid w:val="00430773"/>
    <w:rsid w:val="00430841"/>
    <w:rsid w:val="00430847"/>
    <w:rsid w:val="00430946"/>
    <w:rsid w:val="004309A1"/>
    <w:rsid w:val="004309BA"/>
    <w:rsid w:val="00430BA9"/>
    <w:rsid w:val="00430BBE"/>
    <w:rsid w:val="00430BF6"/>
    <w:rsid w:val="00430D9E"/>
    <w:rsid w:val="00430E47"/>
    <w:rsid w:val="00430EDC"/>
    <w:rsid w:val="00430F49"/>
    <w:rsid w:val="00430FE5"/>
    <w:rsid w:val="00431004"/>
    <w:rsid w:val="00431008"/>
    <w:rsid w:val="0043105F"/>
    <w:rsid w:val="00431077"/>
    <w:rsid w:val="004311BA"/>
    <w:rsid w:val="004311DB"/>
    <w:rsid w:val="00431248"/>
    <w:rsid w:val="00431330"/>
    <w:rsid w:val="0043138C"/>
    <w:rsid w:val="004314C6"/>
    <w:rsid w:val="00431501"/>
    <w:rsid w:val="00431589"/>
    <w:rsid w:val="0043174C"/>
    <w:rsid w:val="00431780"/>
    <w:rsid w:val="0043179A"/>
    <w:rsid w:val="0043187E"/>
    <w:rsid w:val="0043193D"/>
    <w:rsid w:val="0043195C"/>
    <w:rsid w:val="00431A23"/>
    <w:rsid w:val="00431AD5"/>
    <w:rsid w:val="00431B68"/>
    <w:rsid w:val="00431BF0"/>
    <w:rsid w:val="00431CC5"/>
    <w:rsid w:val="00431D27"/>
    <w:rsid w:val="00431D5B"/>
    <w:rsid w:val="00431D5E"/>
    <w:rsid w:val="00431E97"/>
    <w:rsid w:val="00431FB1"/>
    <w:rsid w:val="00431FF1"/>
    <w:rsid w:val="00432005"/>
    <w:rsid w:val="00432083"/>
    <w:rsid w:val="004320ED"/>
    <w:rsid w:val="00432287"/>
    <w:rsid w:val="00432396"/>
    <w:rsid w:val="004323A3"/>
    <w:rsid w:val="00432534"/>
    <w:rsid w:val="0043254F"/>
    <w:rsid w:val="0043255E"/>
    <w:rsid w:val="004325F9"/>
    <w:rsid w:val="00432798"/>
    <w:rsid w:val="004327F9"/>
    <w:rsid w:val="00432882"/>
    <w:rsid w:val="004329D5"/>
    <w:rsid w:val="00432A0B"/>
    <w:rsid w:val="00432A8B"/>
    <w:rsid w:val="00432ADD"/>
    <w:rsid w:val="00432B21"/>
    <w:rsid w:val="00432D2A"/>
    <w:rsid w:val="00432DA5"/>
    <w:rsid w:val="00432DF3"/>
    <w:rsid w:val="00432E46"/>
    <w:rsid w:val="00432F1D"/>
    <w:rsid w:val="00432F97"/>
    <w:rsid w:val="00432FB2"/>
    <w:rsid w:val="00433038"/>
    <w:rsid w:val="00433041"/>
    <w:rsid w:val="004330FE"/>
    <w:rsid w:val="0043327C"/>
    <w:rsid w:val="004332AC"/>
    <w:rsid w:val="0043335A"/>
    <w:rsid w:val="00433407"/>
    <w:rsid w:val="00433532"/>
    <w:rsid w:val="004335D6"/>
    <w:rsid w:val="00433661"/>
    <w:rsid w:val="0043367A"/>
    <w:rsid w:val="00433696"/>
    <w:rsid w:val="0043375B"/>
    <w:rsid w:val="0043377F"/>
    <w:rsid w:val="00433780"/>
    <w:rsid w:val="0043386B"/>
    <w:rsid w:val="004338DC"/>
    <w:rsid w:val="0043394C"/>
    <w:rsid w:val="0043396D"/>
    <w:rsid w:val="00433A7D"/>
    <w:rsid w:val="00433AB1"/>
    <w:rsid w:val="00433C15"/>
    <w:rsid w:val="00433C4D"/>
    <w:rsid w:val="00433CAD"/>
    <w:rsid w:val="00433CE7"/>
    <w:rsid w:val="00433D00"/>
    <w:rsid w:val="00433D7C"/>
    <w:rsid w:val="00433DE3"/>
    <w:rsid w:val="00434013"/>
    <w:rsid w:val="0043402A"/>
    <w:rsid w:val="0043402C"/>
    <w:rsid w:val="004340C5"/>
    <w:rsid w:val="00434128"/>
    <w:rsid w:val="004341A1"/>
    <w:rsid w:val="004342DD"/>
    <w:rsid w:val="004342DE"/>
    <w:rsid w:val="004342F0"/>
    <w:rsid w:val="004342FB"/>
    <w:rsid w:val="00434356"/>
    <w:rsid w:val="00434395"/>
    <w:rsid w:val="004343EE"/>
    <w:rsid w:val="004344B2"/>
    <w:rsid w:val="00434659"/>
    <w:rsid w:val="00434664"/>
    <w:rsid w:val="00434745"/>
    <w:rsid w:val="0043474B"/>
    <w:rsid w:val="00434785"/>
    <w:rsid w:val="00434923"/>
    <w:rsid w:val="00434967"/>
    <w:rsid w:val="00434982"/>
    <w:rsid w:val="00434AD4"/>
    <w:rsid w:val="00434B90"/>
    <w:rsid w:val="00434C74"/>
    <w:rsid w:val="00434DCD"/>
    <w:rsid w:val="00434DE6"/>
    <w:rsid w:val="00434E1F"/>
    <w:rsid w:val="00434E2E"/>
    <w:rsid w:val="00434E45"/>
    <w:rsid w:val="00434EDB"/>
    <w:rsid w:val="004350AF"/>
    <w:rsid w:val="004350BF"/>
    <w:rsid w:val="00435173"/>
    <w:rsid w:val="00435203"/>
    <w:rsid w:val="0043521E"/>
    <w:rsid w:val="00435271"/>
    <w:rsid w:val="00435291"/>
    <w:rsid w:val="004352C6"/>
    <w:rsid w:val="0043535B"/>
    <w:rsid w:val="004354CA"/>
    <w:rsid w:val="004354F3"/>
    <w:rsid w:val="004354F8"/>
    <w:rsid w:val="00435610"/>
    <w:rsid w:val="00435624"/>
    <w:rsid w:val="004356FB"/>
    <w:rsid w:val="004357DE"/>
    <w:rsid w:val="004358C6"/>
    <w:rsid w:val="00435952"/>
    <w:rsid w:val="00435A23"/>
    <w:rsid w:val="00435A66"/>
    <w:rsid w:val="00435BB2"/>
    <w:rsid w:val="00435CC1"/>
    <w:rsid w:val="00435CC6"/>
    <w:rsid w:val="00435CF6"/>
    <w:rsid w:val="00435DC4"/>
    <w:rsid w:val="00435ED0"/>
    <w:rsid w:val="00435F38"/>
    <w:rsid w:val="00435F48"/>
    <w:rsid w:val="00435F93"/>
    <w:rsid w:val="00435FF5"/>
    <w:rsid w:val="004360C1"/>
    <w:rsid w:val="004360D7"/>
    <w:rsid w:val="00436156"/>
    <w:rsid w:val="00436530"/>
    <w:rsid w:val="00436682"/>
    <w:rsid w:val="0043672E"/>
    <w:rsid w:val="00436772"/>
    <w:rsid w:val="00436783"/>
    <w:rsid w:val="00436A49"/>
    <w:rsid w:val="00436A9B"/>
    <w:rsid w:val="00436BEA"/>
    <w:rsid w:val="00436C65"/>
    <w:rsid w:val="00436CB4"/>
    <w:rsid w:val="00436E5C"/>
    <w:rsid w:val="00436F8D"/>
    <w:rsid w:val="00436FA9"/>
    <w:rsid w:val="00436FAF"/>
    <w:rsid w:val="00437067"/>
    <w:rsid w:val="00437186"/>
    <w:rsid w:val="004371E0"/>
    <w:rsid w:val="0043724A"/>
    <w:rsid w:val="00437251"/>
    <w:rsid w:val="004372FB"/>
    <w:rsid w:val="00437383"/>
    <w:rsid w:val="004373BD"/>
    <w:rsid w:val="004373EF"/>
    <w:rsid w:val="00437436"/>
    <w:rsid w:val="004374E1"/>
    <w:rsid w:val="00437537"/>
    <w:rsid w:val="00437558"/>
    <w:rsid w:val="00437564"/>
    <w:rsid w:val="004375A3"/>
    <w:rsid w:val="004375A5"/>
    <w:rsid w:val="00437695"/>
    <w:rsid w:val="0043772B"/>
    <w:rsid w:val="0043787D"/>
    <w:rsid w:val="004378AA"/>
    <w:rsid w:val="0043796F"/>
    <w:rsid w:val="004379BF"/>
    <w:rsid w:val="00437A4C"/>
    <w:rsid w:val="00437B13"/>
    <w:rsid w:val="00437B4E"/>
    <w:rsid w:val="00437C56"/>
    <w:rsid w:val="00437C7E"/>
    <w:rsid w:val="00437DA9"/>
    <w:rsid w:val="00437DE7"/>
    <w:rsid w:val="00437F13"/>
    <w:rsid w:val="00437F9F"/>
    <w:rsid w:val="00437FC3"/>
    <w:rsid w:val="00440007"/>
    <w:rsid w:val="0044001C"/>
    <w:rsid w:val="00440041"/>
    <w:rsid w:val="00440074"/>
    <w:rsid w:val="0044022C"/>
    <w:rsid w:val="00440245"/>
    <w:rsid w:val="004402E9"/>
    <w:rsid w:val="00440315"/>
    <w:rsid w:val="004404DA"/>
    <w:rsid w:val="00440564"/>
    <w:rsid w:val="0044060D"/>
    <w:rsid w:val="00440666"/>
    <w:rsid w:val="004406C8"/>
    <w:rsid w:val="0044089B"/>
    <w:rsid w:val="004409F4"/>
    <w:rsid w:val="00440B95"/>
    <w:rsid w:val="00440BB2"/>
    <w:rsid w:val="00440C21"/>
    <w:rsid w:val="00440CC0"/>
    <w:rsid w:val="00440CD6"/>
    <w:rsid w:val="00440F28"/>
    <w:rsid w:val="0044112D"/>
    <w:rsid w:val="00441130"/>
    <w:rsid w:val="004411E6"/>
    <w:rsid w:val="00441320"/>
    <w:rsid w:val="004413B1"/>
    <w:rsid w:val="00441422"/>
    <w:rsid w:val="00441523"/>
    <w:rsid w:val="00441546"/>
    <w:rsid w:val="004416A3"/>
    <w:rsid w:val="00441866"/>
    <w:rsid w:val="00441A81"/>
    <w:rsid w:val="00441C87"/>
    <w:rsid w:val="00441D0D"/>
    <w:rsid w:val="00441D9A"/>
    <w:rsid w:val="00441DEB"/>
    <w:rsid w:val="00441EE9"/>
    <w:rsid w:val="00441F2C"/>
    <w:rsid w:val="00441F48"/>
    <w:rsid w:val="00441FDB"/>
    <w:rsid w:val="00442056"/>
    <w:rsid w:val="00442068"/>
    <w:rsid w:val="004420E4"/>
    <w:rsid w:val="004421C5"/>
    <w:rsid w:val="004422AB"/>
    <w:rsid w:val="004422B6"/>
    <w:rsid w:val="00442397"/>
    <w:rsid w:val="00442553"/>
    <w:rsid w:val="004425C1"/>
    <w:rsid w:val="004425EC"/>
    <w:rsid w:val="004425FE"/>
    <w:rsid w:val="00442657"/>
    <w:rsid w:val="00442723"/>
    <w:rsid w:val="0044275B"/>
    <w:rsid w:val="004428B5"/>
    <w:rsid w:val="00442940"/>
    <w:rsid w:val="00442A60"/>
    <w:rsid w:val="00442B28"/>
    <w:rsid w:val="00442C1E"/>
    <w:rsid w:val="00442C59"/>
    <w:rsid w:val="00442C5E"/>
    <w:rsid w:val="00442C7C"/>
    <w:rsid w:val="00442DCE"/>
    <w:rsid w:val="00442EA8"/>
    <w:rsid w:val="00442EFF"/>
    <w:rsid w:val="00442FA3"/>
    <w:rsid w:val="00443047"/>
    <w:rsid w:val="00443074"/>
    <w:rsid w:val="004430C9"/>
    <w:rsid w:val="0044310F"/>
    <w:rsid w:val="00443123"/>
    <w:rsid w:val="00443133"/>
    <w:rsid w:val="004431D7"/>
    <w:rsid w:val="0044323D"/>
    <w:rsid w:val="00443267"/>
    <w:rsid w:val="00443313"/>
    <w:rsid w:val="00443368"/>
    <w:rsid w:val="004433E2"/>
    <w:rsid w:val="00443568"/>
    <w:rsid w:val="00443669"/>
    <w:rsid w:val="004436CA"/>
    <w:rsid w:val="004436D0"/>
    <w:rsid w:val="00443930"/>
    <w:rsid w:val="004439A6"/>
    <w:rsid w:val="004439C0"/>
    <w:rsid w:val="00443A56"/>
    <w:rsid w:val="00443A65"/>
    <w:rsid w:val="00443AEB"/>
    <w:rsid w:val="00443B53"/>
    <w:rsid w:val="00443C3A"/>
    <w:rsid w:val="00443DC2"/>
    <w:rsid w:val="00443E5B"/>
    <w:rsid w:val="00443EE6"/>
    <w:rsid w:val="00444035"/>
    <w:rsid w:val="004440C3"/>
    <w:rsid w:val="004440DB"/>
    <w:rsid w:val="004440FE"/>
    <w:rsid w:val="00444204"/>
    <w:rsid w:val="00444209"/>
    <w:rsid w:val="00444306"/>
    <w:rsid w:val="0044433A"/>
    <w:rsid w:val="004443E7"/>
    <w:rsid w:val="004443F1"/>
    <w:rsid w:val="00444493"/>
    <w:rsid w:val="004444B2"/>
    <w:rsid w:val="0044465D"/>
    <w:rsid w:val="00444682"/>
    <w:rsid w:val="00444691"/>
    <w:rsid w:val="004447CF"/>
    <w:rsid w:val="0044482B"/>
    <w:rsid w:val="00444853"/>
    <w:rsid w:val="00444867"/>
    <w:rsid w:val="00444A33"/>
    <w:rsid w:val="00444A63"/>
    <w:rsid w:val="00444E47"/>
    <w:rsid w:val="00444EC6"/>
    <w:rsid w:val="0044502A"/>
    <w:rsid w:val="004450A0"/>
    <w:rsid w:val="00445122"/>
    <w:rsid w:val="00445265"/>
    <w:rsid w:val="004453B7"/>
    <w:rsid w:val="00445408"/>
    <w:rsid w:val="0044553C"/>
    <w:rsid w:val="0044588A"/>
    <w:rsid w:val="0044588B"/>
    <w:rsid w:val="0044599A"/>
    <w:rsid w:val="00445A50"/>
    <w:rsid w:val="00445B6C"/>
    <w:rsid w:val="00445BAF"/>
    <w:rsid w:val="00445C65"/>
    <w:rsid w:val="00445CA2"/>
    <w:rsid w:val="00446070"/>
    <w:rsid w:val="00446078"/>
    <w:rsid w:val="0044613E"/>
    <w:rsid w:val="004462B3"/>
    <w:rsid w:val="004462D2"/>
    <w:rsid w:val="004462F3"/>
    <w:rsid w:val="004463C5"/>
    <w:rsid w:val="00446415"/>
    <w:rsid w:val="00446495"/>
    <w:rsid w:val="004464D8"/>
    <w:rsid w:val="004464D9"/>
    <w:rsid w:val="0044654F"/>
    <w:rsid w:val="004465FD"/>
    <w:rsid w:val="0044673A"/>
    <w:rsid w:val="00446759"/>
    <w:rsid w:val="0044676F"/>
    <w:rsid w:val="00446786"/>
    <w:rsid w:val="004467FB"/>
    <w:rsid w:val="0044688F"/>
    <w:rsid w:val="00446992"/>
    <w:rsid w:val="00446A58"/>
    <w:rsid w:val="00446A7A"/>
    <w:rsid w:val="00446AA1"/>
    <w:rsid w:val="00446AE9"/>
    <w:rsid w:val="00446C2F"/>
    <w:rsid w:val="00446D01"/>
    <w:rsid w:val="00446E03"/>
    <w:rsid w:val="00446E2F"/>
    <w:rsid w:val="00446FC8"/>
    <w:rsid w:val="00447009"/>
    <w:rsid w:val="00447020"/>
    <w:rsid w:val="0044708F"/>
    <w:rsid w:val="0044713B"/>
    <w:rsid w:val="0044718E"/>
    <w:rsid w:val="004471D2"/>
    <w:rsid w:val="0044739D"/>
    <w:rsid w:val="00447632"/>
    <w:rsid w:val="004476ED"/>
    <w:rsid w:val="0044772F"/>
    <w:rsid w:val="004477D9"/>
    <w:rsid w:val="004477F0"/>
    <w:rsid w:val="0044782A"/>
    <w:rsid w:val="004479A9"/>
    <w:rsid w:val="00447A86"/>
    <w:rsid w:val="00447B6E"/>
    <w:rsid w:val="00447D77"/>
    <w:rsid w:val="00447DA5"/>
    <w:rsid w:val="00447E45"/>
    <w:rsid w:val="00447EC3"/>
    <w:rsid w:val="00447ED4"/>
    <w:rsid w:val="00447FB6"/>
    <w:rsid w:val="0045009B"/>
    <w:rsid w:val="0045014D"/>
    <w:rsid w:val="004501E3"/>
    <w:rsid w:val="00450252"/>
    <w:rsid w:val="004502B6"/>
    <w:rsid w:val="00450347"/>
    <w:rsid w:val="0045042D"/>
    <w:rsid w:val="00450790"/>
    <w:rsid w:val="004509DB"/>
    <w:rsid w:val="004509FE"/>
    <w:rsid w:val="00450A05"/>
    <w:rsid w:val="00450A09"/>
    <w:rsid w:val="00450A33"/>
    <w:rsid w:val="00450BE2"/>
    <w:rsid w:val="00450C12"/>
    <w:rsid w:val="00450C14"/>
    <w:rsid w:val="00450C4D"/>
    <w:rsid w:val="00450CDE"/>
    <w:rsid w:val="00450CE5"/>
    <w:rsid w:val="00450E34"/>
    <w:rsid w:val="00450F7D"/>
    <w:rsid w:val="00451029"/>
    <w:rsid w:val="004510D0"/>
    <w:rsid w:val="004511BF"/>
    <w:rsid w:val="004512BA"/>
    <w:rsid w:val="0045141F"/>
    <w:rsid w:val="004514EA"/>
    <w:rsid w:val="004515D7"/>
    <w:rsid w:val="00451629"/>
    <w:rsid w:val="0045173B"/>
    <w:rsid w:val="004517C4"/>
    <w:rsid w:val="004518EC"/>
    <w:rsid w:val="00451925"/>
    <w:rsid w:val="00451939"/>
    <w:rsid w:val="0045199D"/>
    <w:rsid w:val="004519A8"/>
    <w:rsid w:val="00451B05"/>
    <w:rsid w:val="00451B34"/>
    <w:rsid w:val="00451B49"/>
    <w:rsid w:val="00451BBD"/>
    <w:rsid w:val="00451C4A"/>
    <w:rsid w:val="00451E70"/>
    <w:rsid w:val="00451EA5"/>
    <w:rsid w:val="0045206E"/>
    <w:rsid w:val="00452112"/>
    <w:rsid w:val="00452126"/>
    <w:rsid w:val="004521B1"/>
    <w:rsid w:val="004521CE"/>
    <w:rsid w:val="00452247"/>
    <w:rsid w:val="0045226A"/>
    <w:rsid w:val="004522BF"/>
    <w:rsid w:val="00452328"/>
    <w:rsid w:val="00452490"/>
    <w:rsid w:val="0045252A"/>
    <w:rsid w:val="00452544"/>
    <w:rsid w:val="00452601"/>
    <w:rsid w:val="00452651"/>
    <w:rsid w:val="00452662"/>
    <w:rsid w:val="004526FB"/>
    <w:rsid w:val="00452717"/>
    <w:rsid w:val="00452798"/>
    <w:rsid w:val="004528A6"/>
    <w:rsid w:val="0045297D"/>
    <w:rsid w:val="00452A0C"/>
    <w:rsid w:val="00452A11"/>
    <w:rsid w:val="00452C99"/>
    <w:rsid w:val="00452CED"/>
    <w:rsid w:val="00452DE1"/>
    <w:rsid w:val="00452DE9"/>
    <w:rsid w:val="00452FE4"/>
    <w:rsid w:val="0045304D"/>
    <w:rsid w:val="00453130"/>
    <w:rsid w:val="0045317F"/>
    <w:rsid w:val="00453270"/>
    <w:rsid w:val="00453284"/>
    <w:rsid w:val="00453443"/>
    <w:rsid w:val="0045349B"/>
    <w:rsid w:val="004534E6"/>
    <w:rsid w:val="0045355C"/>
    <w:rsid w:val="0045368B"/>
    <w:rsid w:val="00453763"/>
    <w:rsid w:val="004537A9"/>
    <w:rsid w:val="004538F8"/>
    <w:rsid w:val="00453A75"/>
    <w:rsid w:val="00453AAA"/>
    <w:rsid w:val="00453B25"/>
    <w:rsid w:val="00453C49"/>
    <w:rsid w:val="00453CC2"/>
    <w:rsid w:val="00453CD6"/>
    <w:rsid w:val="00453F06"/>
    <w:rsid w:val="00453F1D"/>
    <w:rsid w:val="00453F33"/>
    <w:rsid w:val="00453F68"/>
    <w:rsid w:val="00453F98"/>
    <w:rsid w:val="00454266"/>
    <w:rsid w:val="004542F6"/>
    <w:rsid w:val="00454393"/>
    <w:rsid w:val="0045442B"/>
    <w:rsid w:val="0045458D"/>
    <w:rsid w:val="004545CA"/>
    <w:rsid w:val="00454713"/>
    <w:rsid w:val="00454761"/>
    <w:rsid w:val="0045479A"/>
    <w:rsid w:val="004548E7"/>
    <w:rsid w:val="00454A1B"/>
    <w:rsid w:val="00454A63"/>
    <w:rsid w:val="00454B75"/>
    <w:rsid w:val="00454B7E"/>
    <w:rsid w:val="00454E4F"/>
    <w:rsid w:val="00454E8B"/>
    <w:rsid w:val="00454EBE"/>
    <w:rsid w:val="00454FB5"/>
    <w:rsid w:val="00454FBC"/>
    <w:rsid w:val="00455042"/>
    <w:rsid w:val="004551DB"/>
    <w:rsid w:val="00455217"/>
    <w:rsid w:val="004552E9"/>
    <w:rsid w:val="004553B1"/>
    <w:rsid w:val="0045542F"/>
    <w:rsid w:val="0045544B"/>
    <w:rsid w:val="0045558E"/>
    <w:rsid w:val="004556A5"/>
    <w:rsid w:val="0045572F"/>
    <w:rsid w:val="00455743"/>
    <w:rsid w:val="004559CE"/>
    <w:rsid w:val="00455A6B"/>
    <w:rsid w:val="00455AF0"/>
    <w:rsid w:val="00455B5F"/>
    <w:rsid w:val="00455B6F"/>
    <w:rsid w:val="00455CF8"/>
    <w:rsid w:val="00455D5E"/>
    <w:rsid w:val="00455D93"/>
    <w:rsid w:val="00455DD0"/>
    <w:rsid w:val="00455E42"/>
    <w:rsid w:val="00455E5F"/>
    <w:rsid w:val="00455E9D"/>
    <w:rsid w:val="00455F30"/>
    <w:rsid w:val="00455F53"/>
    <w:rsid w:val="00455F7D"/>
    <w:rsid w:val="00456032"/>
    <w:rsid w:val="004560AB"/>
    <w:rsid w:val="004560AE"/>
    <w:rsid w:val="00456163"/>
    <w:rsid w:val="004561FF"/>
    <w:rsid w:val="00456211"/>
    <w:rsid w:val="004563EB"/>
    <w:rsid w:val="00456412"/>
    <w:rsid w:val="004564B9"/>
    <w:rsid w:val="0045656B"/>
    <w:rsid w:val="004565DC"/>
    <w:rsid w:val="0045666A"/>
    <w:rsid w:val="00456689"/>
    <w:rsid w:val="0045681A"/>
    <w:rsid w:val="0045684E"/>
    <w:rsid w:val="00456886"/>
    <w:rsid w:val="004569F1"/>
    <w:rsid w:val="00456AC6"/>
    <w:rsid w:val="00456CC2"/>
    <w:rsid w:val="00456D51"/>
    <w:rsid w:val="00456DD8"/>
    <w:rsid w:val="00456E29"/>
    <w:rsid w:val="00457033"/>
    <w:rsid w:val="00457146"/>
    <w:rsid w:val="00457156"/>
    <w:rsid w:val="0045721C"/>
    <w:rsid w:val="004573B4"/>
    <w:rsid w:val="004574C7"/>
    <w:rsid w:val="00457671"/>
    <w:rsid w:val="004578D2"/>
    <w:rsid w:val="00457AEC"/>
    <w:rsid w:val="00457CE1"/>
    <w:rsid w:val="00457E9C"/>
    <w:rsid w:val="00460003"/>
    <w:rsid w:val="0046006B"/>
    <w:rsid w:val="0046007E"/>
    <w:rsid w:val="004601C7"/>
    <w:rsid w:val="0046022E"/>
    <w:rsid w:val="0046028F"/>
    <w:rsid w:val="004602D8"/>
    <w:rsid w:val="00460404"/>
    <w:rsid w:val="00460406"/>
    <w:rsid w:val="004604D9"/>
    <w:rsid w:val="00460584"/>
    <w:rsid w:val="004605BB"/>
    <w:rsid w:val="00460605"/>
    <w:rsid w:val="00460618"/>
    <w:rsid w:val="004607A8"/>
    <w:rsid w:val="004607CA"/>
    <w:rsid w:val="004607F2"/>
    <w:rsid w:val="00460816"/>
    <w:rsid w:val="00460817"/>
    <w:rsid w:val="0046087D"/>
    <w:rsid w:val="004608AB"/>
    <w:rsid w:val="00460983"/>
    <w:rsid w:val="00460BC2"/>
    <w:rsid w:val="00460BE3"/>
    <w:rsid w:val="00460BE5"/>
    <w:rsid w:val="00460C24"/>
    <w:rsid w:val="00460CAB"/>
    <w:rsid w:val="00460DCA"/>
    <w:rsid w:val="00460DD0"/>
    <w:rsid w:val="00460E1A"/>
    <w:rsid w:val="00460E25"/>
    <w:rsid w:val="00460E3A"/>
    <w:rsid w:val="00460EC7"/>
    <w:rsid w:val="00460F1C"/>
    <w:rsid w:val="00460F64"/>
    <w:rsid w:val="00460FBE"/>
    <w:rsid w:val="00460FCD"/>
    <w:rsid w:val="004610A7"/>
    <w:rsid w:val="00461141"/>
    <w:rsid w:val="004611ED"/>
    <w:rsid w:val="00461319"/>
    <w:rsid w:val="00461423"/>
    <w:rsid w:val="00461607"/>
    <w:rsid w:val="0046166B"/>
    <w:rsid w:val="004617BC"/>
    <w:rsid w:val="00461817"/>
    <w:rsid w:val="0046188D"/>
    <w:rsid w:val="004618F5"/>
    <w:rsid w:val="0046196E"/>
    <w:rsid w:val="0046197F"/>
    <w:rsid w:val="00461990"/>
    <w:rsid w:val="00461A22"/>
    <w:rsid w:val="00461A93"/>
    <w:rsid w:val="00461AB6"/>
    <w:rsid w:val="00461C3D"/>
    <w:rsid w:val="00461DB4"/>
    <w:rsid w:val="00461EDF"/>
    <w:rsid w:val="00461EEE"/>
    <w:rsid w:val="00461FA8"/>
    <w:rsid w:val="004620AE"/>
    <w:rsid w:val="004620CD"/>
    <w:rsid w:val="004621AB"/>
    <w:rsid w:val="00462245"/>
    <w:rsid w:val="00462301"/>
    <w:rsid w:val="004623BC"/>
    <w:rsid w:val="0046242E"/>
    <w:rsid w:val="004624D4"/>
    <w:rsid w:val="004624DE"/>
    <w:rsid w:val="004624E7"/>
    <w:rsid w:val="004625AD"/>
    <w:rsid w:val="004625BD"/>
    <w:rsid w:val="004626A2"/>
    <w:rsid w:val="0046287C"/>
    <w:rsid w:val="004628A1"/>
    <w:rsid w:val="004629ED"/>
    <w:rsid w:val="00462A92"/>
    <w:rsid w:val="00462B61"/>
    <w:rsid w:val="00462BC3"/>
    <w:rsid w:val="00462C13"/>
    <w:rsid w:val="00462D50"/>
    <w:rsid w:val="00462DB0"/>
    <w:rsid w:val="00462E59"/>
    <w:rsid w:val="00462EAE"/>
    <w:rsid w:val="00462EC4"/>
    <w:rsid w:val="00462F17"/>
    <w:rsid w:val="00462F32"/>
    <w:rsid w:val="00462F52"/>
    <w:rsid w:val="00462F71"/>
    <w:rsid w:val="00463079"/>
    <w:rsid w:val="0046311B"/>
    <w:rsid w:val="00463173"/>
    <w:rsid w:val="0046318C"/>
    <w:rsid w:val="00463230"/>
    <w:rsid w:val="00463254"/>
    <w:rsid w:val="004633C3"/>
    <w:rsid w:val="004633DA"/>
    <w:rsid w:val="00463492"/>
    <w:rsid w:val="00463512"/>
    <w:rsid w:val="004635BE"/>
    <w:rsid w:val="004635D5"/>
    <w:rsid w:val="00463662"/>
    <w:rsid w:val="00463673"/>
    <w:rsid w:val="004636FC"/>
    <w:rsid w:val="00463785"/>
    <w:rsid w:val="004638C1"/>
    <w:rsid w:val="0046392E"/>
    <w:rsid w:val="0046396B"/>
    <w:rsid w:val="00463981"/>
    <w:rsid w:val="004639DD"/>
    <w:rsid w:val="004639E2"/>
    <w:rsid w:val="00463C78"/>
    <w:rsid w:val="00463C82"/>
    <w:rsid w:val="00463D15"/>
    <w:rsid w:val="00463D26"/>
    <w:rsid w:val="00463DF8"/>
    <w:rsid w:val="00463E6A"/>
    <w:rsid w:val="00463E94"/>
    <w:rsid w:val="00463EE3"/>
    <w:rsid w:val="00463FC5"/>
    <w:rsid w:val="00464009"/>
    <w:rsid w:val="004641AB"/>
    <w:rsid w:val="00464243"/>
    <w:rsid w:val="00464271"/>
    <w:rsid w:val="004642E7"/>
    <w:rsid w:val="004642F7"/>
    <w:rsid w:val="0046432A"/>
    <w:rsid w:val="00464333"/>
    <w:rsid w:val="00464795"/>
    <w:rsid w:val="0046479E"/>
    <w:rsid w:val="004647BE"/>
    <w:rsid w:val="00464925"/>
    <w:rsid w:val="0046493F"/>
    <w:rsid w:val="004649B3"/>
    <w:rsid w:val="004649F8"/>
    <w:rsid w:val="00464C0E"/>
    <w:rsid w:val="00464CA1"/>
    <w:rsid w:val="00464CAB"/>
    <w:rsid w:val="00464DCF"/>
    <w:rsid w:val="00464E63"/>
    <w:rsid w:val="00464E86"/>
    <w:rsid w:val="00465084"/>
    <w:rsid w:val="0046515E"/>
    <w:rsid w:val="004651F7"/>
    <w:rsid w:val="00465502"/>
    <w:rsid w:val="00465545"/>
    <w:rsid w:val="004656F2"/>
    <w:rsid w:val="00465708"/>
    <w:rsid w:val="00465763"/>
    <w:rsid w:val="00465907"/>
    <w:rsid w:val="0046599B"/>
    <w:rsid w:val="004659A2"/>
    <w:rsid w:val="00465A48"/>
    <w:rsid w:val="00465A61"/>
    <w:rsid w:val="00465AAC"/>
    <w:rsid w:val="00465C3F"/>
    <w:rsid w:val="00465CFF"/>
    <w:rsid w:val="00465E26"/>
    <w:rsid w:val="00465E29"/>
    <w:rsid w:val="00465E3B"/>
    <w:rsid w:val="00465F1C"/>
    <w:rsid w:val="00465F2E"/>
    <w:rsid w:val="00465FD6"/>
    <w:rsid w:val="00465FE9"/>
    <w:rsid w:val="0046604A"/>
    <w:rsid w:val="004660F4"/>
    <w:rsid w:val="00466200"/>
    <w:rsid w:val="00466338"/>
    <w:rsid w:val="004663B6"/>
    <w:rsid w:val="00466481"/>
    <w:rsid w:val="00466562"/>
    <w:rsid w:val="004665D6"/>
    <w:rsid w:val="0046665A"/>
    <w:rsid w:val="0046667A"/>
    <w:rsid w:val="004666BA"/>
    <w:rsid w:val="004666CC"/>
    <w:rsid w:val="004668E9"/>
    <w:rsid w:val="00466987"/>
    <w:rsid w:val="004669AA"/>
    <w:rsid w:val="00466AE0"/>
    <w:rsid w:val="00466AE7"/>
    <w:rsid w:val="00466B16"/>
    <w:rsid w:val="00466B42"/>
    <w:rsid w:val="00466B5F"/>
    <w:rsid w:val="00466B80"/>
    <w:rsid w:val="00466BB9"/>
    <w:rsid w:val="00466BF3"/>
    <w:rsid w:val="00466F2D"/>
    <w:rsid w:val="00466FA9"/>
    <w:rsid w:val="00467003"/>
    <w:rsid w:val="0046716A"/>
    <w:rsid w:val="00467244"/>
    <w:rsid w:val="00467258"/>
    <w:rsid w:val="004672DE"/>
    <w:rsid w:val="004674BC"/>
    <w:rsid w:val="004674BE"/>
    <w:rsid w:val="00467586"/>
    <w:rsid w:val="0046787D"/>
    <w:rsid w:val="00467901"/>
    <w:rsid w:val="0046795B"/>
    <w:rsid w:val="00467A05"/>
    <w:rsid w:val="00467B4B"/>
    <w:rsid w:val="00467BB4"/>
    <w:rsid w:val="00467C14"/>
    <w:rsid w:val="00467C91"/>
    <w:rsid w:val="00467D47"/>
    <w:rsid w:val="00467DFD"/>
    <w:rsid w:val="00467E55"/>
    <w:rsid w:val="00467EEF"/>
    <w:rsid w:val="0047004B"/>
    <w:rsid w:val="00470259"/>
    <w:rsid w:val="004702A9"/>
    <w:rsid w:val="004702DB"/>
    <w:rsid w:val="00470387"/>
    <w:rsid w:val="004704A3"/>
    <w:rsid w:val="004707B3"/>
    <w:rsid w:val="00470882"/>
    <w:rsid w:val="004709D3"/>
    <w:rsid w:val="004709DB"/>
    <w:rsid w:val="00470BD1"/>
    <w:rsid w:val="00470BD9"/>
    <w:rsid w:val="00470C1C"/>
    <w:rsid w:val="00470C71"/>
    <w:rsid w:val="00470C82"/>
    <w:rsid w:val="00470D1E"/>
    <w:rsid w:val="00470D2C"/>
    <w:rsid w:val="00470D5A"/>
    <w:rsid w:val="00470E0B"/>
    <w:rsid w:val="00470FA3"/>
    <w:rsid w:val="00470FE2"/>
    <w:rsid w:val="0047100C"/>
    <w:rsid w:val="00471049"/>
    <w:rsid w:val="0047113A"/>
    <w:rsid w:val="004711A3"/>
    <w:rsid w:val="004711E9"/>
    <w:rsid w:val="00471306"/>
    <w:rsid w:val="00471496"/>
    <w:rsid w:val="004714B4"/>
    <w:rsid w:val="004714D9"/>
    <w:rsid w:val="00471524"/>
    <w:rsid w:val="0047157D"/>
    <w:rsid w:val="0047168E"/>
    <w:rsid w:val="00471748"/>
    <w:rsid w:val="004717D8"/>
    <w:rsid w:val="004717E0"/>
    <w:rsid w:val="0047191B"/>
    <w:rsid w:val="00471932"/>
    <w:rsid w:val="00471ADD"/>
    <w:rsid w:val="00471ADE"/>
    <w:rsid w:val="00471B33"/>
    <w:rsid w:val="00471B60"/>
    <w:rsid w:val="00471BF2"/>
    <w:rsid w:val="00471D66"/>
    <w:rsid w:val="00471D7C"/>
    <w:rsid w:val="00471DA4"/>
    <w:rsid w:val="00471E25"/>
    <w:rsid w:val="00471E2C"/>
    <w:rsid w:val="00471E49"/>
    <w:rsid w:val="00471E77"/>
    <w:rsid w:val="00471EDF"/>
    <w:rsid w:val="00471F5C"/>
    <w:rsid w:val="0047200D"/>
    <w:rsid w:val="00472039"/>
    <w:rsid w:val="004720E3"/>
    <w:rsid w:val="004721B8"/>
    <w:rsid w:val="004721BD"/>
    <w:rsid w:val="004721FC"/>
    <w:rsid w:val="00472265"/>
    <w:rsid w:val="0047233F"/>
    <w:rsid w:val="004723B1"/>
    <w:rsid w:val="00472454"/>
    <w:rsid w:val="0047253A"/>
    <w:rsid w:val="0047258C"/>
    <w:rsid w:val="0047261B"/>
    <w:rsid w:val="004726AB"/>
    <w:rsid w:val="004726B5"/>
    <w:rsid w:val="0047271D"/>
    <w:rsid w:val="00472754"/>
    <w:rsid w:val="00472771"/>
    <w:rsid w:val="0047279D"/>
    <w:rsid w:val="004727E1"/>
    <w:rsid w:val="0047281B"/>
    <w:rsid w:val="00472940"/>
    <w:rsid w:val="00472A34"/>
    <w:rsid w:val="00472AA7"/>
    <w:rsid w:val="00472AF9"/>
    <w:rsid w:val="00472B62"/>
    <w:rsid w:val="00472B7C"/>
    <w:rsid w:val="00472C5C"/>
    <w:rsid w:val="00472CA6"/>
    <w:rsid w:val="00472DEF"/>
    <w:rsid w:val="00472E1B"/>
    <w:rsid w:val="00472FFF"/>
    <w:rsid w:val="0047311B"/>
    <w:rsid w:val="004731EB"/>
    <w:rsid w:val="0047320B"/>
    <w:rsid w:val="0047341C"/>
    <w:rsid w:val="00473504"/>
    <w:rsid w:val="0047352A"/>
    <w:rsid w:val="00473538"/>
    <w:rsid w:val="004735CE"/>
    <w:rsid w:val="0047371D"/>
    <w:rsid w:val="004738DA"/>
    <w:rsid w:val="0047395D"/>
    <w:rsid w:val="00473A5E"/>
    <w:rsid w:val="00473A71"/>
    <w:rsid w:val="00473BCF"/>
    <w:rsid w:val="00473C35"/>
    <w:rsid w:val="00473C63"/>
    <w:rsid w:val="00473CCA"/>
    <w:rsid w:val="00473D01"/>
    <w:rsid w:val="00473DDE"/>
    <w:rsid w:val="00473EF7"/>
    <w:rsid w:val="00473F8B"/>
    <w:rsid w:val="00473F94"/>
    <w:rsid w:val="00473FD3"/>
    <w:rsid w:val="0047405A"/>
    <w:rsid w:val="004740C7"/>
    <w:rsid w:val="00474105"/>
    <w:rsid w:val="0047412B"/>
    <w:rsid w:val="0047416E"/>
    <w:rsid w:val="0047417B"/>
    <w:rsid w:val="004741E1"/>
    <w:rsid w:val="00474202"/>
    <w:rsid w:val="00474237"/>
    <w:rsid w:val="004742FE"/>
    <w:rsid w:val="0047431F"/>
    <w:rsid w:val="00474339"/>
    <w:rsid w:val="004743CD"/>
    <w:rsid w:val="004743D1"/>
    <w:rsid w:val="00474486"/>
    <w:rsid w:val="004745A6"/>
    <w:rsid w:val="00474770"/>
    <w:rsid w:val="004747F8"/>
    <w:rsid w:val="00474868"/>
    <w:rsid w:val="004749CA"/>
    <w:rsid w:val="004749E4"/>
    <w:rsid w:val="00474A0E"/>
    <w:rsid w:val="00474A80"/>
    <w:rsid w:val="00474A96"/>
    <w:rsid w:val="00474AA0"/>
    <w:rsid w:val="00474B66"/>
    <w:rsid w:val="00474BF9"/>
    <w:rsid w:val="00474C43"/>
    <w:rsid w:val="00474DA3"/>
    <w:rsid w:val="00474E46"/>
    <w:rsid w:val="00474EC4"/>
    <w:rsid w:val="00474F2C"/>
    <w:rsid w:val="00474F57"/>
    <w:rsid w:val="0047505F"/>
    <w:rsid w:val="00475079"/>
    <w:rsid w:val="00475085"/>
    <w:rsid w:val="0047519C"/>
    <w:rsid w:val="0047527D"/>
    <w:rsid w:val="004752D4"/>
    <w:rsid w:val="004752E3"/>
    <w:rsid w:val="0047536F"/>
    <w:rsid w:val="0047543A"/>
    <w:rsid w:val="00475441"/>
    <w:rsid w:val="00475464"/>
    <w:rsid w:val="004754DC"/>
    <w:rsid w:val="00475613"/>
    <w:rsid w:val="00475621"/>
    <w:rsid w:val="00475632"/>
    <w:rsid w:val="004756B7"/>
    <w:rsid w:val="00475713"/>
    <w:rsid w:val="00475721"/>
    <w:rsid w:val="004757CD"/>
    <w:rsid w:val="00475845"/>
    <w:rsid w:val="004758A9"/>
    <w:rsid w:val="00475949"/>
    <w:rsid w:val="00475976"/>
    <w:rsid w:val="00475ACD"/>
    <w:rsid w:val="00475B9D"/>
    <w:rsid w:val="00475C8D"/>
    <w:rsid w:val="00475CE7"/>
    <w:rsid w:val="00475D71"/>
    <w:rsid w:val="00475EB1"/>
    <w:rsid w:val="00475F45"/>
    <w:rsid w:val="0047602B"/>
    <w:rsid w:val="00476129"/>
    <w:rsid w:val="00476164"/>
    <w:rsid w:val="0047618C"/>
    <w:rsid w:val="004761CC"/>
    <w:rsid w:val="00476281"/>
    <w:rsid w:val="004762C6"/>
    <w:rsid w:val="004762D7"/>
    <w:rsid w:val="00476353"/>
    <w:rsid w:val="00476374"/>
    <w:rsid w:val="00476537"/>
    <w:rsid w:val="00476557"/>
    <w:rsid w:val="004765E5"/>
    <w:rsid w:val="00476648"/>
    <w:rsid w:val="0047677F"/>
    <w:rsid w:val="0047684C"/>
    <w:rsid w:val="004768EA"/>
    <w:rsid w:val="00476AB4"/>
    <w:rsid w:val="00476BB2"/>
    <w:rsid w:val="00476CA7"/>
    <w:rsid w:val="00476CF6"/>
    <w:rsid w:val="00476DF6"/>
    <w:rsid w:val="00476F24"/>
    <w:rsid w:val="00476F32"/>
    <w:rsid w:val="00476F8F"/>
    <w:rsid w:val="00477158"/>
    <w:rsid w:val="004771DF"/>
    <w:rsid w:val="00477264"/>
    <w:rsid w:val="0047726A"/>
    <w:rsid w:val="004772E5"/>
    <w:rsid w:val="0047734A"/>
    <w:rsid w:val="00477390"/>
    <w:rsid w:val="004774DE"/>
    <w:rsid w:val="00477648"/>
    <w:rsid w:val="00477744"/>
    <w:rsid w:val="004777BB"/>
    <w:rsid w:val="004777C1"/>
    <w:rsid w:val="00477829"/>
    <w:rsid w:val="00477A97"/>
    <w:rsid w:val="00477AA7"/>
    <w:rsid w:val="00477AA8"/>
    <w:rsid w:val="00477ADD"/>
    <w:rsid w:val="00477B8D"/>
    <w:rsid w:val="00477CF1"/>
    <w:rsid w:val="00477D19"/>
    <w:rsid w:val="00477DDE"/>
    <w:rsid w:val="00477E30"/>
    <w:rsid w:val="00477E39"/>
    <w:rsid w:val="00477E59"/>
    <w:rsid w:val="00477EE0"/>
    <w:rsid w:val="0048001A"/>
    <w:rsid w:val="00480036"/>
    <w:rsid w:val="00480132"/>
    <w:rsid w:val="004801A9"/>
    <w:rsid w:val="004801F0"/>
    <w:rsid w:val="004803A1"/>
    <w:rsid w:val="004804B6"/>
    <w:rsid w:val="004804D7"/>
    <w:rsid w:val="00480596"/>
    <w:rsid w:val="004806CA"/>
    <w:rsid w:val="004806FC"/>
    <w:rsid w:val="00480729"/>
    <w:rsid w:val="00480768"/>
    <w:rsid w:val="00480852"/>
    <w:rsid w:val="00480AC1"/>
    <w:rsid w:val="00480B5D"/>
    <w:rsid w:val="00480B67"/>
    <w:rsid w:val="00480BA2"/>
    <w:rsid w:val="00480C4B"/>
    <w:rsid w:val="00480C7D"/>
    <w:rsid w:val="00480D8B"/>
    <w:rsid w:val="00480DAA"/>
    <w:rsid w:val="00480DB4"/>
    <w:rsid w:val="00480E31"/>
    <w:rsid w:val="00480E92"/>
    <w:rsid w:val="00480E93"/>
    <w:rsid w:val="00481005"/>
    <w:rsid w:val="00481006"/>
    <w:rsid w:val="0048107D"/>
    <w:rsid w:val="004810F8"/>
    <w:rsid w:val="00481110"/>
    <w:rsid w:val="0048121C"/>
    <w:rsid w:val="004812A1"/>
    <w:rsid w:val="004813FE"/>
    <w:rsid w:val="004814D9"/>
    <w:rsid w:val="0048155C"/>
    <w:rsid w:val="004815AB"/>
    <w:rsid w:val="00481743"/>
    <w:rsid w:val="004817B9"/>
    <w:rsid w:val="004817DD"/>
    <w:rsid w:val="0048188E"/>
    <w:rsid w:val="00481915"/>
    <w:rsid w:val="00481B52"/>
    <w:rsid w:val="00481C14"/>
    <w:rsid w:val="00481C51"/>
    <w:rsid w:val="00481C75"/>
    <w:rsid w:val="00481CC4"/>
    <w:rsid w:val="00481D05"/>
    <w:rsid w:val="00481D32"/>
    <w:rsid w:val="00481EA3"/>
    <w:rsid w:val="00481F63"/>
    <w:rsid w:val="00481FB5"/>
    <w:rsid w:val="00481FEA"/>
    <w:rsid w:val="00482081"/>
    <w:rsid w:val="00482116"/>
    <w:rsid w:val="00482259"/>
    <w:rsid w:val="00482432"/>
    <w:rsid w:val="004825F2"/>
    <w:rsid w:val="00482643"/>
    <w:rsid w:val="0048284A"/>
    <w:rsid w:val="00482A26"/>
    <w:rsid w:val="00482ACF"/>
    <w:rsid w:val="00482B23"/>
    <w:rsid w:val="00482BC6"/>
    <w:rsid w:val="00482D38"/>
    <w:rsid w:val="00482DC6"/>
    <w:rsid w:val="00482DF4"/>
    <w:rsid w:val="00482EDD"/>
    <w:rsid w:val="00483131"/>
    <w:rsid w:val="00483356"/>
    <w:rsid w:val="004833E8"/>
    <w:rsid w:val="004834AE"/>
    <w:rsid w:val="00483506"/>
    <w:rsid w:val="0048353F"/>
    <w:rsid w:val="0048361A"/>
    <w:rsid w:val="0048361C"/>
    <w:rsid w:val="004837A2"/>
    <w:rsid w:val="00483808"/>
    <w:rsid w:val="00483895"/>
    <w:rsid w:val="004838C1"/>
    <w:rsid w:val="004838F0"/>
    <w:rsid w:val="0048390A"/>
    <w:rsid w:val="00483936"/>
    <w:rsid w:val="00483A84"/>
    <w:rsid w:val="00483B42"/>
    <w:rsid w:val="00483B97"/>
    <w:rsid w:val="00483CCD"/>
    <w:rsid w:val="00483D30"/>
    <w:rsid w:val="00483E05"/>
    <w:rsid w:val="00483E38"/>
    <w:rsid w:val="00483FD8"/>
    <w:rsid w:val="0048408A"/>
    <w:rsid w:val="0048411F"/>
    <w:rsid w:val="0048426B"/>
    <w:rsid w:val="00484289"/>
    <w:rsid w:val="00484295"/>
    <w:rsid w:val="00484311"/>
    <w:rsid w:val="00484365"/>
    <w:rsid w:val="004843B9"/>
    <w:rsid w:val="00484447"/>
    <w:rsid w:val="00484472"/>
    <w:rsid w:val="00484479"/>
    <w:rsid w:val="00484643"/>
    <w:rsid w:val="004846AA"/>
    <w:rsid w:val="004847AD"/>
    <w:rsid w:val="004847D5"/>
    <w:rsid w:val="00484878"/>
    <w:rsid w:val="004849D3"/>
    <w:rsid w:val="004849EB"/>
    <w:rsid w:val="00484A2D"/>
    <w:rsid w:val="00484B5C"/>
    <w:rsid w:val="00484C41"/>
    <w:rsid w:val="00484C81"/>
    <w:rsid w:val="00484E59"/>
    <w:rsid w:val="00484EB1"/>
    <w:rsid w:val="00484EEE"/>
    <w:rsid w:val="00484FD7"/>
    <w:rsid w:val="00484FE3"/>
    <w:rsid w:val="00485016"/>
    <w:rsid w:val="004850D6"/>
    <w:rsid w:val="004850E4"/>
    <w:rsid w:val="00485146"/>
    <w:rsid w:val="0048517C"/>
    <w:rsid w:val="00485185"/>
    <w:rsid w:val="004851DE"/>
    <w:rsid w:val="0048525D"/>
    <w:rsid w:val="004852B6"/>
    <w:rsid w:val="0048542C"/>
    <w:rsid w:val="0048560E"/>
    <w:rsid w:val="004856B4"/>
    <w:rsid w:val="0048578C"/>
    <w:rsid w:val="004857A4"/>
    <w:rsid w:val="004857F5"/>
    <w:rsid w:val="00485838"/>
    <w:rsid w:val="0048587B"/>
    <w:rsid w:val="004858E2"/>
    <w:rsid w:val="00485905"/>
    <w:rsid w:val="00485A0B"/>
    <w:rsid w:val="00485A9A"/>
    <w:rsid w:val="00485AAD"/>
    <w:rsid w:val="00485B26"/>
    <w:rsid w:val="00485C21"/>
    <w:rsid w:val="00485C94"/>
    <w:rsid w:val="00485CDC"/>
    <w:rsid w:val="00485D2C"/>
    <w:rsid w:val="00485E54"/>
    <w:rsid w:val="00485ECC"/>
    <w:rsid w:val="00485ECD"/>
    <w:rsid w:val="00485F97"/>
    <w:rsid w:val="00485FAC"/>
    <w:rsid w:val="0048607D"/>
    <w:rsid w:val="004860C5"/>
    <w:rsid w:val="00486205"/>
    <w:rsid w:val="00486250"/>
    <w:rsid w:val="004864A1"/>
    <w:rsid w:val="004864A9"/>
    <w:rsid w:val="00486544"/>
    <w:rsid w:val="00486680"/>
    <w:rsid w:val="00486742"/>
    <w:rsid w:val="004867B4"/>
    <w:rsid w:val="004868E4"/>
    <w:rsid w:val="004869B2"/>
    <w:rsid w:val="00486A78"/>
    <w:rsid w:val="00486AEB"/>
    <w:rsid w:val="00486B08"/>
    <w:rsid w:val="00486C5F"/>
    <w:rsid w:val="00486CDA"/>
    <w:rsid w:val="00486CE6"/>
    <w:rsid w:val="00486D10"/>
    <w:rsid w:val="00486D2D"/>
    <w:rsid w:val="00486F1D"/>
    <w:rsid w:val="00486F47"/>
    <w:rsid w:val="00486F93"/>
    <w:rsid w:val="00486FF9"/>
    <w:rsid w:val="004870A7"/>
    <w:rsid w:val="004870BD"/>
    <w:rsid w:val="004870F2"/>
    <w:rsid w:val="004873C4"/>
    <w:rsid w:val="0048753A"/>
    <w:rsid w:val="0048760D"/>
    <w:rsid w:val="00487643"/>
    <w:rsid w:val="00487654"/>
    <w:rsid w:val="0048777D"/>
    <w:rsid w:val="00487981"/>
    <w:rsid w:val="00487B5E"/>
    <w:rsid w:val="00487C30"/>
    <w:rsid w:val="00487D3D"/>
    <w:rsid w:val="00487D57"/>
    <w:rsid w:val="004900D8"/>
    <w:rsid w:val="004901E2"/>
    <w:rsid w:val="00490273"/>
    <w:rsid w:val="00490414"/>
    <w:rsid w:val="00490554"/>
    <w:rsid w:val="004906AE"/>
    <w:rsid w:val="004907B1"/>
    <w:rsid w:val="004907F5"/>
    <w:rsid w:val="004908FF"/>
    <w:rsid w:val="00490A66"/>
    <w:rsid w:val="00490A7E"/>
    <w:rsid w:val="00490B0C"/>
    <w:rsid w:val="00490B10"/>
    <w:rsid w:val="00490BAC"/>
    <w:rsid w:val="00490C42"/>
    <w:rsid w:val="00490D1A"/>
    <w:rsid w:val="00490D8F"/>
    <w:rsid w:val="00490DCC"/>
    <w:rsid w:val="00490E06"/>
    <w:rsid w:val="00490E22"/>
    <w:rsid w:val="00490F5B"/>
    <w:rsid w:val="00490F94"/>
    <w:rsid w:val="004910C9"/>
    <w:rsid w:val="00491101"/>
    <w:rsid w:val="00491249"/>
    <w:rsid w:val="0049139D"/>
    <w:rsid w:val="004913B7"/>
    <w:rsid w:val="0049164E"/>
    <w:rsid w:val="00491752"/>
    <w:rsid w:val="0049178A"/>
    <w:rsid w:val="004917D4"/>
    <w:rsid w:val="004918CB"/>
    <w:rsid w:val="00491944"/>
    <w:rsid w:val="0049198E"/>
    <w:rsid w:val="004919E4"/>
    <w:rsid w:val="00491A94"/>
    <w:rsid w:val="00491BA6"/>
    <w:rsid w:val="00491BFB"/>
    <w:rsid w:val="00491C62"/>
    <w:rsid w:val="00491D0A"/>
    <w:rsid w:val="00491DA7"/>
    <w:rsid w:val="00491EE5"/>
    <w:rsid w:val="00491FC9"/>
    <w:rsid w:val="00492120"/>
    <w:rsid w:val="004922FA"/>
    <w:rsid w:val="00492356"/>
    <w:rsid w:val="004923A3"/>
    <w:rsid w:val="00492414"/>
    <w:rsid w:val="00492505"/>
    <w:rsid w:val="0049261D"/>
    <w:rsid w:val="00492626"/>
    <w:rsid w:val="00492708"/>
    <w:rsid w:val="00492744"/>
    <w:rsid w:val="004927BC"/>
    <w:rsid w:val="004927DF"/>
    <w:rsid w:val="00492831"/>
    <w:rsid w:val="0049291B"/>
    <w:rsid w:val="00492931"/>
    <w:rsid w:val="00492944"/>
    <w:rsid w:val="0049294B"/>
    <w:rsid w:val="00492988"/>
    <w:rsid w:val="004929E6"/>
    <w:rsid w:val="004929F3"/>
    <w:rsid w:val="00492C0E"/>
    <w:rsid w:val="00492C14"/>
    <w:rsid w:val="00492C1F"/>
    <w:rsid w:val="00492CD6"/>
    <w:rsid w:val="00492D39"/>
    <w:rsid w:val="00492D97"/>
    <w:rsid w:val="00492E09"/>
    <w:rsid w:val="00492E62"/>
    <w:rsid w:val="00492FCB"/>
    <w:rsid w:val="00493138"/>
    <w:rsid w:val="004931B1"/>
    <w:rsid w:val="00493283"/>
    <w:rsid w:val="00493308"/>
    <w:rsid w:val="00493331"/>
    <w:rsid w:val="0049333E"/>
    <w:rsid w:val="0049336A"/>
    <w:rsid w:val="004933B2"/>
    <w:rsid w:val="0049347C"/>
    <w:rsid w:val="0049349F"/>
    <w:rsid w:val="00493557"/>
    <w:rsid w:val="004936B0"/>
    <w:rsid w:val="004938F1"/>
    <w:rsid w:val="00493946"/>
    <w:rsid w:val="00493A32"/>
    <w:rsid w:val="00493B10"/>
    <w:rsid w:val="00493B25"/>
    <w:rsid w:val="00493B8E"/>
    <w:rsid w:val="00493BB9"/>
    <w:rsid w:val="00493C5E"/>
    <w:rsid w:val="00493CE0"/>
    <w:rsid w:val="00493E1C"/>
    <w:rsid w:val="00493E44"/>
    <w:rsid w:val="00493EA7"/>
    <w:rsid w:val="00493F55"/>
    <w:rsid w:val="00493FC0"/>
    <w:rsid w:val="00493FC2"/>
    <w:rsid w:val="0049406D"/>
    <w:rsid w:val="00494136"/>
    <w:rsid w:val="00494193"/>
    <w:rsid w:val="00494261"/>
    <w:rsid w:val="004943D5"/>
    <w:rsid w:val="004943EF"/>
    <w:rsid w:val="00494416"/>
    <w:rsid w:val="0049446A"/>
    <w:rsid w:val="004944DC"/>
    <w:rsid w:val="00494518"/>
    <w:rsid w:val="004945E3"/>
    <w:rsid w:val="0049463C"/>
    <w:rsid w:val="004946B9"/>
    <w:rsid w:val="0049470E"/>
    <w:rsid w:val="00494740"/>
    <w:rsid w:val="00494764"/>
    <w:rsid w:val="0049490E"/>
    <w:rsid w:val="004949D4"/>
    <w:rsid w:val="004949DE"/>
    <w:rsid w:val="004949E0"/>
    <w:rsid w:val="00494CEF"/>
    <w:rsid w:val="00494D32"/>
    <w:rsid w:val="00494EC1"/>
    <w:rsid w:val="00494F1E"/>
    <w:rsid w:val="00494F65"/>
    <w:rsid w:val="00495088"/>
    <w:rsid w:val="004950B3"/>
    <w:rsid w:val="004950C8"/>
    <w:rsid w:val="00495184"/>
    <w:rsid w:val="00495237"/>
    <w:rsid w:val="004952D9"/>
    <w:rsid w:val="004953FF"/>
    <w:rsid w:val="0049545D"/>
    <w:rsid w:val="004954A8"/>
    <w:rsid w:val="00495584"/>
    <w:rsid w:val="0049562E"/>
    <w:rsid w:val="0049565C"/>
    <w:rsid w:val="00495671"/>
    <w:rsid w:val="004956B8"/>
    <w:rsid w:val="00495790"/>
    <w:rsid w:val="004957C9"/>
    <w:rsid w:val="00495915"/>
    <w:rsid w:val="00495937"/>
    <w:rsid w:val="004959D4"/>
    <w:rsid w:val="00495A19"/>
    <w:rsid w:val="00495B4C"/>
    <w:rsid w:val="00495B80"/>
    <w:rsid w:val="00495BF6"/>
    <w:rsid w:val="00495CA1"/>
    <w:rsid w:val="00495CCD"/>
    <w:rsid w:val="00495F3B"/>
    <w:rsid w:val="00495FAF"/>
    <w:rsid w:val="00496035"/>
    <w:rsid w:val="00496154"/>
    <w:rsid w:val="004961E1"/>
    <w:rsid w:val="0049637F"/>
    <w:rsid w:val="0049643D"/>
    <w:rsid w:val="00496530"/>
    <w:rsid w:val="00496655"/>
    <w:rsid w:val="00496799"/>
    <w:rsid w:val="004967AF"/>
    <w:rsid w:val="0049681A"/>
    <w:rsid w:val="00496857"/>
    <w:rsid w:val="00496876"/>
    <w:rsid w:val="004969A2"/>
    <w:rsid w:val="004969CB"/>
    <w:rsid w:val="00496A9C"/>
    <w:rsid w:val="00496BEA"/>
    <w:rsid w:val="00496BF6"/>
    <w:rsid w:val="00496C3A"/>
    <w:rsid w:val="00496D8F"/>
    <w:rsid w:val="00496E11"/>
    <w:rsid w:val="00497082"/>
    <w:rsid w:val="00497155"/>
    <w:rsid w:val="004971C3"/>
    <w:rsid w:val="00497227"/>
    <w:rsid w:val="00497450"/>
    <w:rsid w:val="00497798"/>
    <w:rsid w:val="004978B4"/>
    <w:rsid w:val="00497A3E"/>
    <w:rsid w:val="00497AA2"/>
    <w:rsid w:val="00497AAE"/>
    <w:rsid w:val="00497AC4"/>
    <w:rsid w:val="00497C63"/>
    <w:rsid w:val="00497C76"/>
    <w:rsid w:val="00497D87"/>
    <w:rsid w:val="00497F5F"/>
    <w:rsid w:val="004A003A"/>
    <w:rsid w:val="004A006A"/>
    <w:rsid w:val="004A00F9"/>
    <w:rsid w:val="004A0101"/>
    <w:rsid w:val="004A0250"/>
    <w:rsid w:val="004A03F3"/>
    <w:rsid w:val="004A0428"/>
    <w:rsid w:val="004A0441"/>
    <w:rsid w:val="004A04C9"/>
    <w:rsid w:val="004A050D"/>
    <w:rsid w:val="004A0628"/>
    <w:rsid w:val="004A0672"/>
    <w:rsid w:val="004A0686"/>
    <w:rsid w:val="004A073E"/>
    <w:rsid w:val="004A07D2"/>
    <w:rsid w:val="004A083C"/>
    <w:rsid w:val="004A0933"/>
    <w:rsid w:val="004A098C"/>
    <w:rsid w:val="004A09BC"/>
    <w:rsid w:val="004A0D2A"/>
    <w:rsid w:val="004A0D2E"/>
    <w:rsid w:val="004A0E36"/>
    <w:rsid w:val="004A0E4F"/>
    <w:rsid w:val="004A0E8C"/>
    <w:rsid w:val="004A0F11"/>
    <w:rsid w:val="004A0F2A"/>
    <w:rsid w:val="004A0F5E"/>
    <w:rsid w:val="004A1038"/>
    <w:rsid w:val="004A107B"/>
    <w:rsid w:val="004A11BD"/>
    <w:rsid w:val="004A129C"/>
    <w:rsid w:val="004A12A0"/>
    <w:rsid w:val="004A1302"/>
    <w:rsid w:val="004A1336"/>
    <w:rsid w:val="004A13C3"/>
    <w:rsid w:val="004A1420"/>
    <w:rsid w:val="004A14D4"/>
    <w:rsid w:val="004A1580"/>
    <w:rsid w:val="004A173C"/>
    <w:rsid w:val="004A179D"/>
    <w:rsid w:val="004A17BA"/>
    <w:rsid w:val="004A17FC"/>
    <w:rsid w:val="004A1871"/>
    <w:rsid w:val="004A1885"/>
    <w:rsid w:val="004A18F2"/>
    <w:rsid w:val="004A1939"/>
    <w:rsid w:val="004A1A10"/>
    <w:rsid w:val="004A1A22"/>
    <w:rsid w:val="004A1B41"/>
    <w:rsid w:val="004A1C26"/>
    <w:rsid w:val="004A1DC1"/>
    <w:rsid w:val="004A1E46"/>
    <w:rsid w:val="004A1E49"/>
    <w:rsid w:val="004A1F8C"/>
    <w:rsid w:val="004A1FE5"/>
    <w:rsid w:val="004A205F"/>
    <w:rsid w:val="004A2088"/>
    <w:rsid w:val="004A2274"/>
    <w:rsid w:val="004A2278"/>
    <w:rsid w:val="004A22A8"/>
    <w:rsid w:val="004A22AD"/>
    <w:rsid w:val="004A22E4"/>
    <w:rsid w:val="004A230A"/>
    <w:rsid w:val="004A2434"/>
    <w:rsid w:val="004A2436"/>
    <w:rsid w:val="004A244B"/>
    <w:rsid w:val="004A24D4"/>
    <w:rsid w:val="004A253E"/>
    <w:rsid w:val="004A2615"/>
    <w:rsid w:val="004A271B"/>
    <w:rsid w:val="004A2725"/>
    <w:rsid w:val="004A274D"/>
    <w:rsid w:val="004A283C"/>
    <w:rsid w:val="004A28D8"/>
    <w:rsid w:val="004A292E"/>
    <w:rsid w:val="004A2975"/>
    <w:rsid w:val="004A299E"/>
    <w:rsid w:val="004A29CD"/>
    <w:rsid w:val="004A2B91"/>
    <w:rsid w:val="004A2C0E"/>
    <w:rsid w:val="004A2C24"/>
    <w:rsid w:val="004A2CA1"/>
    <w:rsid w:val="004A2D14"/>
    <w:rsid w:val="004A2D59"/>
    <w:rsid w:val="004A2E59"/>
    <w:rsid w:val="004A3168"/>
    <w:rsid w:val="004A33A3"/>
    <w:rsid w:val="004A3490"/>
    <w:rsid w:val="004A34AA"/>
    <w:rsid w:val="004A34C9"/>
    <w:rsid w:val="004A354E"/>
    <w:rsid w:val="004A359C"/>
    <w:rsid w:val="004A35EC"/>
    <w:rsid w:val="004A3777"/>
    <w:rsid w:val="004A37B5"/>
    <w:rsid w:val="004A384A"/>
    <w:rsid w:val="004A384C"/>
    <w:rsid w:val="004A387A"/>
    <w:rsid w:val="004A397E"/>
    <w:rsid w:val="004A3ABB"/>
    <w:rsid w:val="004A3ADF"/>
    <w:rsid w:val="004A3B15"/>
    <w:rsid w:val="004A3BDD"/>
    <w:rsid w:val="004A3D03"/>
    <w:rsid w:val="004A3DAA"/>
    <w:rsid w:val="004A3DC2"/>
    <w:rsid w:val="004A3E1B"/>
    <w:rsid w:val="004A3EAA"/>
    <w:rsid w:val="004A3F83"/>
    <w:rsid w:val="004A3FDD"/>
    <w:rsid w:val="004A4035"/>
    <w:rsid w:val="004A403C"/>
    <w:rsid w:val="004A4059"/>
    <w:rsid w:val="004A4073"/>
    <w:rsid w:val="004A4110"/>
    <w:rsid w:val="004A421D"/>
    <w:rsid w:val="004A42BE"/>
    <w:rsid w:val="004A4415"/>
    <w:rsid w:val="004A441A"/>
    <w:rsid w:val="004A44E6"/>
    <w:rsid w:val="004A454D"/>
    <w:rsid w:val="004A475B"/>
    <w:rsid w:val="004A4876"/>
    <w:rsid w:val="004A498A"/>
    <w:rsid w:val="004A4B13"/>
    <w:rsid w:val="004A4B4E"/>
    <w:rsid w:val="004A4CEE"/>
    <w:rsid w:val="004A4E0A"/>
    <w:rsid w:val="004A4EFC"/>
    <w:rsid w:val="004A4F46"/>
    <w:rsid w:val="004A501C"/>
    <w:rsid w:val="004A5148"/>
    <w:rsid w:val="004A5153"/>
    <w:rsid w:val="004A516A"/>
    <w:rsid w:val="004A5172"/>
    <w:rsid w:val="004A518A"/>
    <w:rsid w:val="004A51BD"/>
    <w:rsid w:val="004A51FD"/>
    <w:rsid w:val="004A52E8"/>
    <w:rsid w:val="004A5345"/>
    <w:rsid w:val="004A5398"/>
    <w:rsid w:val="004A5482"/>
    <w:rsid w:val="004A54EC"/>
    <w:rsid w:val="004A5523"/>
    <w:rsid w:val="004A5582"/>
    <w:rsid w:val="004A5678"/>
    <w:rsid w:val="004A56F5"/>
    <w:rsid w:val="004A58C9"/>
    <w:rsid w:val="004A597D"/>
    <w:rsid w:val="004A5A27"/>
    <w:rsid w:val="004A5A78"/>
    <w:rsid w:val="004A5A90"/>
    <w:rsid w:val="004A5A97"/>
    <w:rsid w:val="004A5AE7"/>
    <w:rsid w:val="004A5C33"/>
    <w:rsid w:val="004A5C34"/>
    <w:rsid w:val="004A5CB9"/>
    <w:rsid w:val="004A5CF8"/>
    <w:rsid w:val="004A5D26"/>
    <w:rsid w:val="004A5D52"/>
    <w:rsid w:val="004A5DEC"/>
    <w:rsid w:val="004A5E10"/>
    <w:rsid w:val="004A5E2D"/>
    <w:rsid w:val="004A5E47"/>
    <w:rsid w:val="004A5E5A"/>
    <w:rsid w:val="004A5E7E"/>
    <w:rsid w:val="004A5F11"/>
    <w:rsid w:val="004A5FA9"/>
    <w:rsid w:val="004A5FAA"/>
    <w:rsid w:val="004A5FFD"/>
    <w:rsid w:val="004A6043"/>
    <w:rsid w:val="004A607B"/>
    <w:rsid w:val="004A60D8"/>
    <w:rsid w:val="004A61F6"/>
    <w:rsid w:val="004A626F"/>
    <w:rsid w:val="004A6279"/>
    <w:rsid w:val="004A6381"/>
    <w:rsid w:val="004A6413"/>
    <w:rsid w:val="004A6581"/>
    <w:rsid w:val="004A65F6"/>
    <w:rsid w:val="004A6619"/>
    <w:rsid w:val="004A661B"/>
    <w:rsid w:val="004A6661"/>
    <w:rsid w:val="004A67B3"/>
    <w:rsid w:val="004A6832"/>
    <w:rsid w:val="004A6A79"/>
    <w:rsid w:val="004A6A81"/>
    <w:rsid w:val="004A6B48"/>
    <w:rsid w:val="004A6B69"/>
    <w:rsid w:val="004A6B7A"/>
    <w:rsid w:val="004A6C79"/>
    <w:rsid w:val="004A6C80"/>
    <w:rsid w:val="004A6C91"/>
    <w:rsid w:val="004A6D47"/>
    <w:rsid w:val="004A6DB9"/>
    <w:rsid w:val="004A6E29"/>
    <w:rsid w:val="004A6EA0"/>
    <w:rsid w:val="004A6F13"/>
    <w:rsid w:val="004A70DD"/>
    <w:rsid w:val="004A7229"/>
    <w:rsid w:val="004A724A"/>
    <w:rsid w:val="004A72B7"/>
    <w:rsid w:val="004A7304"/>
    <w:rsid w:val="004A731B"/>
    <w:rsid w:val="004A7733"/>
    <w:rsid w:val="004A77DA"/>
    <w:rsid w:val="004A7864"/>
    <w:rsid w:val="004A7A9D"/>
    <w:rsid w:val="004A7C4E"/>
    <w:rsid w:val="004A7C6E"/>
    <w:rsid w:val="004A7D97"/>
    <w:rsid w:val="004A7DAC"/>
    <w:rsid w:val="004A7DCD"/>
    <w:rsid w:val="004A7F26"/>
    <w:rsid w:val="004B01BA"/>
    <w:rsid w:val="004B022E"/>
    <w:rsid w:val="004B025E"/>
    <w:rsid w:val="004B0443"/>
    <w:rsid w:val="004B0459"/>
    <w:rsid w:val="004B05B0"/>
    <w:rsid w:val="004B05B1"/>
    <w:rsid w:val="004B060F"/>
    <w:rsid w:val="004B0706"/>
    <w:rsid w:val="004B0855"/>
    <w:rsid w:val="004B0911"/>
    <w:rsid w:val="004B0974"/>
    <w:rsid w:val="004B09B5"/>
    <w:rsid w:val="004B09F5"/>
    <w:rsid w:val="004B0A49"/>
    <w:rsid w:val="004B0ACC"/>
    <w:rsid w:val="004B0B57"/>
    <w:rsid w:val="004B0B64"/>
    <w:rsid w:val="004B0BC2"/>
    <w:rsid w:val="004B0CBA"/>
    <w:rsid w:val="004B0DB6"/>
    <w:rsid w:val="004B0E08"/>
    <w:rsid w:val="004B0E12"/>
    <w:rsid w:val="004B0E4E"/>
    <w:rsid w:val="004B0E5C"/>
    <w:rsid w:val="004B0E94"/>
    <w:rsid w:val="004B0EEF"/>
    <w:rsid w:val="004B0F1D"/>
    <w:rsid w:val="004B0F2C"/>
    <w:rsid w:val="004B0F37"/>
    <w:rsid w:val="004B0FDD"/>
    <w:rsid w:val="004B10E7"/>
    <w:rsid w:val="004B119D"/>
    <w:rsid w:val="004B12AB"/>
    <w:rsid w:val="004B130B"/>
    <w:rsid w:val="004B1310"/>
    <w:rsid w:val="004B1339"/>
    <w:rsid w:val="004B1357"/>
    <w:rsid w:val="004B13E6"/>
    <w:rsid w:val="004B14E3"/>
    <w:rsid w:val="004B1520"/>
    <w:rsid w:val="004B162B"/>
    <w:rsid w:val="004B1696"/>
    <w:rsid w:val="004B1706"/>
    <w:rsid w:val="004B18EF"/>
    <w:rsid w:val="004B1A74"/>
    <w:rsid w:val="004B1BAF"/>
    <w:rsid w:val="004B1D3B"/>
    <w:rsid w:val="004B1D47"/>
    <w:rsid w:val="004B1E17"/>
    <w:rsid w:val="004B2121"/>
    <w:rsid w:val="004B2146"/>
    <w:rsid w:val="004B214E"/>
    <w:rsid w:val="004B21DE"/>
    <w:rsid w:val="004B22BD"/>
    <w:rsid w:val="004B22ED"/>
    <w:rsid w:val="004B2309"/>
    <w:rsid w:val="004B2414"/>
    <w:rsid w:val="004B24A3"/>
    <w:rsid w:val="004B24EA"/>
    <w:rsid w:val="004B25B9"/>
    <w:rsid w:val="004B26D8"/>
    <w:rsid w:val="004B277A"/>
    <w:rsid w:val="004B27A3"/>
    <w:rsid w:val="004B280C"/>
    <w:rsid w:val="004B28D4"/>
    <w:rsid w:val="004B2961"/>
    <w:rsid w:val="004B2967"/>
    <w:rsid w:val="004B29DE"/>
    <w:rsid w:val="004B2A02"/>
    <w:rsid w:val="004B2A6C"/>
    <w:rsid w:val="004B2A7B"/>
    <w:rsid w:val="004B2A97"/>
    <w:rsid w:val="004B2A9A"/>
    <w:rsid w:val="004B2B29"/>
    <w:rsid w:val="004B2BF1"/>
    <w:rsid w:val="004B2DBD"/>
    <w:rsid w:val="004B2E78"/>
    <w:rsid w:val="004B2F87"/>
    <w:rsid w:val="004B3009"/>
    <w:rsid w:val="004B3057"/>
    <w:rsid w:val="004B3166"/>
    <w:rsid w:val="004B3262"/>
    <w:rsid w:val="004B3372"/>
    <w:rsid w:val="004B33C7"/>
    <w:rsid w:val="004B33F1"/>
    <w:rsid w:val="004B348C"/>
    <w:rsid w:val="004B353A"/>
    <w:rsid w:val="004B35A3"/>
    <w:rsid w:val="004B36BC"/>
    <w:rsid w:val="004B376B"/>
    <w:rsid w:val="004B37AD"/>
    <w:rsid w:val="004B387A"/>
    <w:rsid w:val="004B38DE"/>
    <w:rsid w:val="004B38F5"/>
    <w:rsid w:val="004B3A01"/>
    <w:rsid w:val="004B3A92"/>
    <w:rsid w:val="004B3B75"/>
    <w:rsid w:val="004B3C0B"/>
    <w:rsid w:val="004B3CEE"/>
    <w:rsid w:val="004B3D3A"/>
    <w:rsid w:val="004B3D63"/>
    <w:rsid w:val="004B3E79"/>
    <w:rsid w:val="004B3EDF"/>
    <w:rsid w:val="004B3F21"/>
    <w:rsid w:val="004B3F97"/>
    <w:rsid w:val="004B3F98"/>
    <w:rsid w:val="004B404C"/>
    <w:rsid w:val="004B413B"/>
    <w:rsid w:val="004B417C"/>
    <w:rsid w:val="004B41A6"/>
    <w:rsid w:val="004B41EA"/>
    <w:rsid w:val="004B4257"/>
    <w:rsid w:val="004B42B3"/>
    <w:rsid w:val="004B42DF"/>
    <w:rsid w:val="004B431A"/>
    <w:rsid w:val="004B435E"/>
    <w:rsid w:val="004B44C3"/>
    <w:rsid w:val="004B44DE"/>
    <w:rsid w:val="004B455F"/>
    <w:rsid w:val="004B4560"/>
    <w:rsid w:val="004B45E1"/>
    <w:rsid w:val="004B46B7"/>
    <w:rsid w:val="004B48B5"/>
    <w:rsid w:val="004B48C4"/>
    <w:rsid w:val="004B4907"/>
    <w:rsid w:val="004B491D"/>
    <w:rsid w:val="004B49A0"/>
    <w:rsid w:val="004B4ABC"/>
    <w:rsid w:val="004B4B4A"/>
    <w:rsid w:val="004B4C13"/>
    <w:rsid w:val="004B4C73"/>
    <w:rsid w:val="004B4D21"/>
    <w:rsid w:val="004B4D4F"/>
    <w:rsid w:val="004B4D6F"/>
    <w:rsid w:val="004B4E10"/>
    <w:rsid w:val="004B4EDC"/>
    <w:rsid w:val="004B4EDE"/>
    <w:rsid w:val="004B4FB6"/>
    <w:rsid w:val="004B503E"/>
    <w:rsid w:val="004B5133"/>
    <w:rsid w:val="004B518B"/>
    <w:rsid w:val="004B518C"/>
    <w:rsid w:val="004B51A8"/>
    <w:rsid w:val="004B5460"/>
    <w:rsid w:val="004B546C"/>
    <w:rsid w:val="004B554F"/>
    <w:rsid w:val="004B5554"/>
    <w:rsid w:val="004B573C"/>
    <w:rsid w:val="004B58E6"/>
    <w:rsid w:val="004B5A6E"/>
    <w:rsid w:val="004B5AA4"/>
    <w:rsid w:val="004B5ADB"/>
    <w:rsid w:val="004B5B18"/>
    <w:rsid w:val="004B5CCD"/>
    <w:rsid w:val="004B5CE3"/>
    <w:rsid w:val="004B5DAF"/>
    <w:rsid w:val="004B5DBE"/>
    <w:rsid w:val="004B5DCD"/>
    <w:rsid w:val="004B5E2C"/>
    <w:rsid w:val="004B5E47"/>
    <w:rsid w:val="004B6065"/>
    <w:rsid w:val="004B6129"/>
    <w:rsid w:val="004B61A9"/>
    <w:rsid w:val="004B625D"/>
    <w:rsid w:val="004B6295"/>
    <w:rsid w:val="004B6300"/>
    <w:rsid w:val="004B6328"/>
    <w:rsid w:val="004B63E6"/>
    <w:rsid w:val="004B63F0"/>
    <w:rsid w:val="004B650F"/>
    <w:rsid w:val="004B6559"/>
    <w:rsid w:val="004B65D2"/>
    <w:rsid w:val="004B6707"/>
    <w:rsid w:val="004B6732"/>
    <w:rsid w:val="004B67F2"/>
    <w:rsid w:val="004B67F4"/>
    <w:rsid w:val="004B6865"/>
    <w:rsid w:val="004B68B6"/>
    <w:rsid w:val="004B6953"/>
    <w:rsid w:val="004B69A7"/>
    <w:rsid w:val="004B69BF"/>
    <w:rsid w:val="004B6AC6"/>
    <w:rsid w:val="004B6DE7"/>
    <w:rsid w:val="004B6DED"/>
    <w:rsid w:val="004B6E7C"/>
    <w:rsid w:val="004B6EEA"/>
    <w:rsid w:val="004B6FE7"/>
    <w:rsid w:val="004B6FEF"/>
    <w:rsid w:val="004B706D"/>
    <w:rsid w:val="004B7099"/>
    <w:rsid w:val="004B70AE"/>
    <w:rsid w:val="004B7248"/>
    <w:rsid w:val="004B728E"/>
    <w:rsid w:val="004B7359"/>
    <w:rsid w:val="004B73F4"/>
    <w:rsid w:val="004B74E9"/>
    <w:rsid w:val="004B75C4"/>
    <w:rsid w:val="004B762F"/>
    <w:rsid w:val="004B7652"/>
    <w:rsid w:val="004B77ED"/>
    <w:rsid w:val="004B780C"/>
    <w:rsid w:val="004B7829"/>
    <w:rsid w:val="004B78C7"/>
    <w:rsid w:val="004B7ABA"/>
    <w:rsid w:val="004B7B67"/>
    <w:rsid w:val="004B7C1A"/>
    <w:rsid w:val="004B7CB3"/>
    <w:rsid w:val="004B7DE8"/>
    <w:rsid w:val="004B7E2C"/>
    <w:rsid w:val="004B7E69"/>
    <w:rsid w:val="004B7E8A"/>
    <w:rsid w:val="004B7EFE"/>
    <w:rsid w:val="004B7F03"/>
    <w:rsid w:val="004C011C"/>
    <w:rsid w:val="004C011D"/>
    <w:rsid w:val="004C0121"/>
    <w:rsid w:val="004C01B0"/>
    <w:rsid w:val="004C01D2"/>
    <w:rsid w:val="004C01D3"/>
    <w:rsid w:val="004C0284"/>
    <w:rsid w:val="004C03A7"/>
    <w:rsid w:val="004C03B8"/>
    <w:rsid w:val="004C0495"/>
    <w:rsid w:val="004C0626"/>
    <w:rsid w:val="004C0635"/>
    <w:rsid w:val="004C06D0"/>
    <w:rsid w:val="004C07D3"/>
    <w:rsid w:val="004C08C2"/>
    <w:rsid w:val="004C09DC"/>
    <w:rsid w:val="004C09E3"/>
    <w:rsid w:val="004C0A1C"/>
    <w:rsid w:val="004C0A50"/>
    <w:rsid w:val="004C0AA1"/>
    <w:rsid w:val="004C0AA5"/>
    <w:rsid w:val="004C0B10"/>
    <w:rsid w:val="004C0B36"/>
    <w:rsid w:val="004C0C16"/>
    <w:rsid w:val="004C0C52"/>
    <w:rsid w:val="004C0D6F"/>
    <w:rsid w:val="004C0DD1"/>
    <w:rsid w:val="004C0DF5"/>
    <w:rsid w:val="004C0E89"/>
    <w:rsid w:val="004C0EAB"/>
    <w:rsid w:val="004C0FCD"/>
    <w:rsid w:val="004C0FE7"/>
    <w:rsid w:val="004C117F"/>
    <w:rsid w:val="004C11DD"/>
    <w:rsid w:val="004C12EA"/>
    <w:rsid w:val="004C130C"/>
    <w:rsid w:val="004C1337"/>
    <w:rsid w:val="004C1632"/>
    <w:rsid w:val="004C178D"/>
    <w:rsid w:val="004C17AB"/>
    <w:rsid w:val="004C182E"/>
    <w:rsid w:val="004C18BA"/>
    <w:rsid w:val="004C1913"/>
    <w:rsid w:val="004C1932"/>
    <w:rsid w:val="004C19ED"/>
    <w:rsid w:val="004C1A9A"/>
    <w:rsid w:val="004C1AD5"/>
    <w:rsid w:val="004C1B9F"/>
    <w:rsid w:val="004C1C57"/>
    <w:rsid w:val="004C1CC8"/>
    <w:rsid w:val="004C1CEF"/>
    <w:rsid w:val="004C1E3F"/>
    <w:rsid w:val="004C1F3A"/>
    <w:rsid w:val="004C2003"/>
    <w:rsid w:val="004C20EE"/>
    <w:rsid w:val="004C22EC"/>
    <w:rsid w:val="004C2349"/>
    <w:rsid w:val="004C2474"/>
    <w:rsid w:val="004C247A"/>
    <w:rsid w:val="004C25FA"/>
    <w:rsid w:val="004C262D"/>
    <w:rsid w:val="004C2637"/>
    <w:rsid w:val="004C2780"/>
    <w:rsid w:val="004C280E"/>
    <w:rsid w:val="004C2846"/>
    <w:rsid w:val="004C2902"/>
    <w:rsid w:val="004C2985"/>
    <w:rsid w:val="004C2A37"/>
    <w:rsid w:val="004C2BB1"/>
    <w:rsid w:val="004C2C1A"/>
    <w:rsid w:val="004C2C5A"/>
    <w:rsid w:val="004C2C72"/>
    <w:rsid w:val="004C2CDD"/>
    <w:rsid w:val="004C2DC3"/>
    <w:rsid w:val="004C2DFA"/>
    <w:rsid w:val="004C2E51"/>
    <w:rsid w:val="004C2E6B"/>
    <w:rsid w:val="004C2EED"/>
    <w:rsid w:val="004C2F18"/>
    <w:rsid w:val="004C30BC"/>
    <w:rsid w:val="004C30F8"/>
    <w:rsid w:val="004C32EC"/>
    <w:rsid w:val="004C33A5"/>
    <w:rsid w:val="004C33FC"/>
    <w:rsid w:val="004C3545"/>
    <w:rsid w:val="004C35A7"/>
    <w:rsid w:val="004C360F"/>
    <w:rsid w:val="004C3658"/>
    <w:rsid w:val="004C370F"/>
    <w:rsid w:val="004C395D"/>
    <w:rsid w:val="004C39D8"/>
    <w:rsid w:val="004C3A15"/>
    <w:rsid w:val="004C3B0B"/>
    <w:rsid w:val="004C3B91"/>
    <w:rsid w:val="004C3D3E"/>
    <w:rsid w:val="004C3DEA"/>
    <w:rsid w:val="004C3DFD"/>
    <w:rsid w:val="004C3E91"/>
    <w:rsid w:val="004C3F26"/>
    <w:rsid w:val="004C3F9D"/>
    <w:rsid w:val="004C3FA3"/>
    <w:rsid w:val="004C3FF0"/>
    <w:rsid w:val="004C4043"/>
    <w:rsid w:val="004C40A5"/>
    <w:rsid w:val="004C4162"/>
    <w:rsid w:val="004C4197"/>
    <w:rsid w:val="004C41B6"/>
    <w:rsid w:val="004C41C3"/>
    <w:rsid w:val="004C42F6"/>
    <w:rsid w:val="004C436A"/>
    <w:rsid w:val="004C439D"/>
    <w:rsid w:val="004C43B4"/>
    <w:rsid w:val="004C43E0"/>
    <w:rsid w:val="004C446B"/>
    <w:rsid w:val="004C4481"/>
    <w:rsid w:val="004C451C"/>
    <w:rsid w:val="004C46C9"/>
    <w:rsid w:val="004C470B"/>
    <w:rsid w:val="004C477C"/>
    <w:rsid w:val="004C480F"/>
    <w:rsid w:val="004C4833"/>
    <w:rsid w:val="004C489A"/>
    <w:rsid w:val="004C48D0"/>
    <w:rsid w:val="004C48D5"/>
    <w:rsid w:val="004C4949"/>
    <w:rsid w:val="004C495F"/>
    <w:rsid w:val="004C4A20"/>
    <w:rsid w:val="004C4A25"/>
    <w:rsid w:val="004C4A80"/>
    <w:rsid w:val="004C4A95"/>
    <w:rsid w:val="004C4CF6"/>
    <w:rsid w:val="004C4DBC"/>
    <w:rsid w:val="004C4DC0"/>
    <w:rsid w:val="004C4E7C"/>
    <w:rsid w:val="004C4EB7"/>
    <w:rsid w:val="004C4F27"/>
    <w:rsid w:val="004C4FA6"/>
    <w:rsid w:val="004C4FED"/>
    <w:rsid w:val="004C515E"/>
    <w:rsid w:val="004C516F"/>
    <w:rsid w:val="004C5258"/>
    <w:rsid w:val="004C525A"/>
    <w:rsid w:val="004C5380"/>
    <w:rsid w:val="004C562D"/>
    <w:rsid w:val="004C56BA"/>
    <w:rsid w:val="004C58BD"/>
    <w:rsid w:val="004C59C0"/>
    <w:rsid w:val="004C5AB8"/>
    <w:rsid w:val="004C5C28"/>
    <w:rsid w:val="004C5C4D"/>
    <w:rsid w:val="004C5C93"/>
    <w:rsid w:val="004C5CA7"/>
    <w:rsid w:val="004C5D68"/>
    <w:rsid w:val="004C5DB7"/>
    <w:rsid w:val="004C5DFC"/>
    <w:rsid w:val="004C5E0D"/>
    <w:rsid w:val="004C5EB4"/>
    <w:rsid w:val="004C5F2C"/>
    <w:rsid w:val="004C5F61"/>
    <w:rsid w:val="004C5FEA"/>
    <w:rsid w:val="004C6027"/>
    <w:rsid w:val="004C605E"/>
    <w:rsid w:val="004C612D"/>
    <w:rsid w:val="004C61B6"/>
    <w:rsid w:val="004C6200"/>
    <w:rsid w:val="004C6356"/>
    <w:rsid w:val="004C63BC"/>
    <w:rsid w:val="004C63FB"/>
    <w:rsid w:val="004C6438"/>
    <w:rsid w:val="004C6567"/>
    <w:rsid w:val="004C65DE"/>
    <w:rsid w:val="004C66AD"/>
    <w:rsid w:val="004C66FB"/>
    <w:rsid w:val="004C678A"/>
    <w:rsid w:val="004C678B"/>
    <w:rsid w:val="004C679E"/>
    <w:rsid w:val="004C6806"/>
    <w:rsid w:val="004C68AE"/>
    <w:rsid w:val="004C68EE"/>
    <w:rsid w:val="004C69AC"/>
    <w:rsid w:val="004C6A73"/>
    <w:rsid w:val="004C6AB8"/>
    <w:rsid w:val="004C6AC1"/>
    <w:rsid w:val="004C6B0B"/>
    <w:rsid w:val="004C6B52"/>
    <w:rsid w:val="004C6BA3"/>
    <w:rsid w:val="004C6C1C"/>
    <w:rsid w:val="004C6C2B"/>
    <w:rsid w:val="004C6D70"/>
    <w:rsid w:val="004C6DCF"/>
    <w:rsid w:val="004C6F5D"/>
    <w:rsid w:val="004C6FF9"/>
    <w:rsid w:val="004C704B"/>
    <w:rsid w:val="004C7065"/>
    <w:rsid w:val="004C712C"/>
    <w:rsid w:val="004C717D"/>
    <w:rsid w:val="004C7196"/>
    <w:rsid w:val="004C71AA"/>
    <w:rsid w:val="004C71D7"/>
    <w:rsid w:val="004C71F6"/>
    <w:rsid w:val="004C720B"/>
    <w:rsid w:val="004C7220"/>
    <w:rsid w:val="004C7335"/>
    <w:rsid w:val="004C734C"/>
    <w:rsid w:val="004C73BE"/>
    <w:rsid w:val="004C73EC"/>
    <w:rsid w:val="004C74F4"/>
    <w:rsid w:val="004C7500"/>
    <w:rsid w:val="004C7559"/>
    <w:rsid w:val="004C768C"/>
    <w:rsid w:val="004C7718"/>
    <w:rsid w:val="004C7731"/>
    <w:rsid w:val="004C782A"/>
    <w:rsid w:val="004C783A"/>
    <w:rsid w:val="004C788F"/>
    <w:rsid w:val="004C7898"/>
    <w:rsid w:val="004C79E8"/>
    <w:rsid w:val="004C79EE"/>
    <w:rsid w:val="004C79FE"/>
    <w:rsid w:val="004C7A83"/>
    <w:rsid w:val="004C7AF6"/>
    <w:rsid w:val="004C7B4E"/>
    <w:rsid w:val="004C7B8C"/>
    <w:rsid w:val="004C7BC1"/>
    <w:rsid w:val="004C7CA9"/>
    <w:rsid w:val="004C7CF9"/>
    <w:rsid w:val="004C7CFB"/>
    <w:rsid w:val="004C7D0B"/>
    <w:rsid w:val="004C7EAE"/>
    <w:rsid w:val="004C7ECA"/>
    <w:rsid w:val="004C7F10"/>
    <w:rsid w:val="004C7F4C"/>
    <w:rsid w:val="004C7FE6"/>
    <w:rsid w:val="004D00B6"/>
    <w:rsid w:val="004D0212"/>
    <w:rsid w:val="004D021F"/>
    <w:rsid w:val="004D029E"/>
    <w:rsid w:val="004D0338"/>
    <w:rsid w:val="004D03E8"/>
    <w:rsid w:val="004D0403"/>
    <w:rsid w:val="004D06F5"/>
    <w:rsid w:val="004D0721"/>
    <w:rsid w:val="004D075E"/>
    <w:rsid w:val="004D0798"/>
    <w:rsid w:val="004D07CF"/>
    <w:rsid w:val="004D0A3D"/>
    <w:rsid w:val="004D0A57"/>
    <w:rsid w:val="004D0A74"/>
    <w:rsid w:val="004D0AD7"/>
    <w:rsid w:val="004D0C13"/>
    <w:rsid w:val="004D0D68"/>
    <w:rsid w:val="004D0DC1"/>
    <w:rsid w:val="004D0DE8"/>
    <w:rsid w:val="004D0F79"/>
    <w:rsid w:val="004D11F8"/>
    <w:rsid w:val="004D12A6"/>
    <w:rsid w:val="004D137A"/>
    <w:rsid w:val="004D139E"/>
    <w:rsid w:val="004D1630"/>
    <w:rsid w:val="004D165F"/>
    <w:rsid w:val="004D16EE"/>
    <w:rsid w:val="004D17A9"/>
    <w:rsid w:val="004D17AA"/>
    <w:rsid w:val="004D18A6"/>
    <w:rsid w:val="004D18ED"/>
    <w:rsid w:val="004D1945"/>
    <w:rsid w:val="004D1A92"/>
    <w:rsid w:val="004D1B84"/>
    <w:rsid w:val="004D1BFC"/>
    <w:rsid w:val="004D1D0A"/>
    <w:rsid w:val="004D1D9D"/>
    <w:rsid w:val="004D1DE7"/>
    <w:rsid w:val="004D1E5C"/>
    <w:rsid w:val="004D1E5D"/>
    <w:rsid w:val="004D1EAB"/>
    <w:rsid w:val="004D2027"/>
    <w:rsid w:val="004D2032"/>
    <w:rsid w:val="004D20DA"/>
    <w:rsid w:val="004D2177"/>
    <w:rsid w:val="004D21C8"/>
    <w:rsid w:val="004D21CA"/>
    <w:rsid w:val="004D228B"/>
    <w:rsid w:val="004D2444"/>
    <w:rsid w:val="004D24E9"/>
    <w:rsid w:val="004D250C"/>
    <w:rsid w:val="004D259A"/>
    <w:rsid w:val="004D25E6"/>
    <w:rsid w:val="004D2814"/>
    <w:rsid w:val="004D2869"/>
    <w:rsid w:val="004D2922"/>
    <w:rsid w:val="004D29F3"/>
    <w:rsid w:val="004D2A34"/>
    <w:rsid w:val="004D2A8B"/>
    <w:rsid w:val="004D2B8E"/>
    <w:rsid w:val="004D2B9D"/>
    <w:rsid w:val="004D2D8E"/>
    <w:rsid w:val="004D2E82"/>
    <w:rsid w:val="004D2ED9"/>
    <w:rsid w:val="004D2F15"/>
    <w:rsid w:val="004D2FA7"/>
    <w:rsid w:val="004D303E"/>
    <w:rsid w:val="004D30BB"/>
    <w:rsid w:val="004D30E3"/>
    <w:rsid w:val="004D30F5"/>
    <w:rsid w:val="004D3186"/>
    <w:rsid w:val="004D3347"/>
    <w:rsid w:val="004D3349"/>
    <w:rsid w:val="004D33E2"/>
    <w:rsid w:val="004D33FE"/>
    <w:rsid w:val="004D3467"/>
    <w:rsid w:val="004D3478"/>
    <w:rsid w:val="004D34B1"/>
    <w:rsid w:val="004D35C1"/>
    <w:rsid w:val="004D360F"/>
    <w:rsid w:val="004D367A"/>
    <w:rsid w:val="004D369D"/>
    <w:rsid w:val="004D36CC"/>
    <w:rsid w:val="004D36DF"/>
    <w:rsid w:val="004D3743"/>
    <w:rsid w:val="004D3752"/>
    <w:rsid w:val="004D37B5"/>
    <w:rsid w:val="004D3A12"/>
    <w:rsid w:val="004D3ABC"/>
    <w:rsid w:val="004D3BEC"/>
    <w:rsid w:val="004D3C07"/>
    <w:rsid w:val="004D3C67"/>
    <w:rsid w:val="004D3C8D"/>
    <w:rsid w:val="004D3D5F"/>
    <w:rsid w:val="004D3DAB"/>
    <w:rsid w:val="004D3E8B"/>
    <w:rsid w:val="004D3EDC"/>
    <w:rsid w:val="004D3F8B"/>
    <w:rsid w:val="004D4021"/>
    <w:rsid w:val="004D402A"/>
    <w:rsid w:val="004D40E6"/>
    <w:rsid w:val="004D4123"/>
    <w:rsid w:val="004D4304"/>
    <w:rsid w:val="004D436D"/>
    <w:rsid w:val="004D441C"/>
    <w:rsid w:val="004D4491"/>
    <w:rsid w:val="004D45AF"/>
    <w:rsid w:val="004D466B"/>
    <w:rsid w:val="004D46AB"/>
    <w:rsid w:val="004D46CD"/>
    <w:rsid w:val="004D4766"/>
    <w:rsid w:val="004D479E"/>
    <w:rsid w:val="004D48DC"/>
    <w:rsid w:val="004D4927"/>
    <w:rsid w:val="004D4B63"/>
    <w:rsid w:val="004D4BD6"/>
    <w:rsid w:val="004D4C60"/>
    <w:rsid w:val="004D4D87"/>
    <w:rsid w:val="004D4E25"/>
    <w:rsid w:val="004D4EAD"/>
    <w:rsid w:val="004D4FBC"/>
    <w:rsid w:val="004D5058"/>
    <w:rsid w:val="004D50C2"/>
    <w:rsid w:val="004D5308"/>
    <w:rsid w:val="004D54AA"/>
    <w:rsid w:val="004D54FF"/>
    <w:rsid w:val="004D553B"/>
    <w:rsid w:val="004D55B5"/>
    <w:rsid w:val="004D5698"/>
    <w:rsid w:val="004D56C5"/>
    <w:rsid w:val="004D56E3"/>
    <w:rsid w:val="004D5820"/>
    <w:rsid w:val="004D58F3"/>
    <w:rsid w:val="004D5A3A"/>
    <w:rsid w:val="004D5A4C"/>
    <w:rsid w:val="004D5B55"/>
    <w:rsid w:val="004D5B83"/>
    <w:rsid w:val="004D5BD0"/>
    <w:rsid w:val="004D5D8A"/>
    <w:rsid w:val="004D5EF4"/>
    <w:rsid w:val="004D5F17"/>
    <w:rsid w:val="004D61D0"/>
    <w:rsid w:val="004D6298"/>
    <w:rsid w:val="004D6304"/>
    <w:rsid w:val="004D6421"/>
    <w:rsid w:val="004D655C"/>
    <w:rsid w:val="004D666E"/>
    <w:rsid w:val="004D66A6"/>
    <w:rsid w:val="004D66BA"/>
    <w:rsid w:val="004D6707"/>
    <w:rsid w:val="004D6729"/>
    <w:rsid w:val="004D672D"/>
    <w:rsid w:val="004D67A7"/>
    <w:rsid w:val="004D68E1"/>
    <w:rsid w:val="004D6947"/>
    <w:rsid w:val="004D69EF"/>
    <w:rsid w:val="004D6AD5"/>
    <w:rsid w:val="004D6AE2"/>
    <w:rsid w:val="004D6E37"/>
    <w:rsid w:val="004D6F9E"/>
    <w:rsid w:val="004D6FB2"/>
    <w:rsid w:val="004D6FCC"/>
    <w:rsid w:val="004D700A"/>
    <w:rsid w:val="004D7167"/>
    <w:rsid w:val="004D7178"/>
    <w:rsid w:val="004D7179"/>
    <w:rsid w:val="004D7185"/>
    <w:rsid w:val="004D71D9"/>
    <w:rsid w:val="004D720C"/>
    <w:rsid w:val="004D72A8"/>
    <w:rsid w:val="004D7353"/>
    <w:rsid w:val="004D73E2"/>
    <w:rsid w:val="004D74B4"/>
    <w:rsid w:val="004D7590"/>
    <w:rsid w:val="004D7845"/>
    <w:rsid w:val="004D784B"/>
    <w:rsid w:val="004D785F"/>
    <w:rsid w:val="004D7887"/>
    <w:rsid w:val="004D7932"/>
    <w:rsid w:val="004D7941"/>
    <w:rsid w:val="004D7974"/>
    <w:rsid w:val="004D79D5"/>
    <w:rsid w:val="004D7A1D"/>
    <w:rsid w:val="004D7A4F"/>
    <w:rsid w:val="004D7A9E"/>
    <w:rsid w:val="004D7B18"/>
    <w:rsid w:val="004D7B2B"/>
    <w:rsid w:val="004D7C62"/>
    <w:rsid w:val="004D7DCE"/>
    <w:rsid w:val="004D7EA3"/>
    <w:rsid w:val="004D7EB3"/>
    <w:rsid w:val="004D7EBA"/>
    <w:rsid w:val="004D7F53"/>
    <w:rsid w:val="004E00D5"/>
    <w:rsid w:val="004E00EA"/>
    <w:rsid w:val="004E014A"/>
    <w:rsid w:val="004E01D5"/>
    <w:rsid w:val="004E03D7"/>
    <w:rsid w:val="004E03F9"/>
    <w:rsid w:val="004E0471"/>
    <w:rsid w:val="004E054D"/>
    <w:rsid w:val="004E05D9"/>
    <w:rsid w:val="004E05EC"/>
    <w:rsid w:val="004E0635"/>
    <w:rsid w:val="004E06A9"/>
    <w:rsid w:val="004E06AD"/>
    <w:rsid w:val="004E0946"/>
    <w:rsid w:val="004E09E3"/>
    <w:rsid w:val="004E0A54"/>
    <w:rsid w:val="004E0A92"/>
    <w:rsid w:val="004E0A93"/>
    <w:rsid w:val="004E0CCD"/>
    <w:rsid w:val="004E0D61"/>
    <w:rsid w:val="004E0D80"/>
    <w:rsid w:val="004E0DA2"/>
    <w:rsid w:val="004E0DDE"/>
    <w:rsid w:val="004E0E59"/>
    <w:rsid w:val="004E0EC1"/>
    <w:rsid w:val="004E0F06"/>
    <w:rsid w:val="004E0F21"/>
    <w:rsid w:val="004E0F5E"/>
    <w:rsid w:val="004E11A1"/>
    <w:rsid w:val="004E123C"/>
    <w:rsid w:val="004E1257"/>
    <w:rsid w:val="004E1373"/>
    <w:rsid w:val="004E138F"/>
    <w:rsid w:val="004E1487"/>
    <w:rsid w:val="004E14C8"/>
    <w:rsid w:val="004E14F3"/>
    <w:rsid w:val="004E15EE"/>
    <w:rsid w:val="004E1626"/>
    <w:rsid w:val="004E1628"/>
    <w:rsid w:val="004E162D"/>
    <w:rsid w:val="004E1653"/>
    <w:rsid w:val="004E169C"/>
    <w:rsid w:val="004E1700"/>
    <w:rsid w:val="004E170D"/>
    <w:rsid w:val="004E1738"/>
    <w:rsid w:val="004E175F"/>
    <w:rsid w:val="004E1770"/>
    <w:rsid w:val="004E1856"/>
    <w:rsid w:val="004E1993"/>
    <w:rsid w:val="004E1BB9"/>
    <w:rsid w:val="004E1BC8"/>
    <w:rsid w:val="004E1BD9"/>
    <w:rsid w:val="004E1C9C"/>
    <w:rsid w:val="004E1CE2"/>
    <w:rsid w:val="004E1D5E"/>
    <w:rsid w:val="004E1E06"/>
    <w:rsid w:val="004E1E36"/>
    <w:rsid w:val="004E1F0E"/>
    <w:rsid w:val="004E2001"/>
    <w:rsid w:val="004E213B"/>
    <w:rsid w:val="004E2169"/>
    <w:rsid w:val="004E2172"/>
    <w:rsid w:val="004E2204"/>
    <w:rsid w:val="004E223D"/>
    <w:rsid w:val="004E22E8"/>
    <w:rsid w:val="004E236E"/>
    <w:rsid w:val="004E2416"/>
    <w:rsid w:val="004E2471"/>
    <w:rsid w:val="004E2476"/>
    <w:rsid w:val="004E24A3"/>
    <w:rsid w:val="004E2547"/>
    <w:rsid w:val="004E2653"/>
    <w:rsid w:val="004E26A9"/>
    <w:rsid w:val="004E26E4"/>
    <w:rsid w:val="004E273F"/>
    <w:rsid w:val="004E286A"/>
    <w:rsid w:val="004E28F2"/>
    <w:rsid w:val="004E29C3"/>
    <w:rsid w:val="004E2A2C"/>
    <w:rsid w:val="004E2AF9"/>
    <w:rsid w:val="004E2B5B"/>
    <w:rsid w:val="004E2C07"/>
    <w:rsid w:val="004E2D54"/>
    <w:rsid w:val="004E2D8B"/>
    <w:rsid w:val="004E2E25"/>
    <w:rsid w:val="004E2E3D"/>
    <w:rsid w:val="004E2E51"/>
    <w:rsid w:val="004E2E98"/>
    <w:rsid w:val="004E2EDD"/>
    <w:rsid w:val="004E2EF8"/>
    <w:rsid w:val="004E2F66"/>
    <w:rsid w:val="004E2F96"/>
    <w:rsid w:val="004E2F9E"/>
    <w:rsid w:val="004E2FB4"/>
    <w:rsid w:val="004E300F"/>
    <w:rsid w:val="004E3299"/>
    <w:rsid w:val="004E33C5"/>
    <w:rsid w:val="004E343C"/>
    <w:rsid w:val="004E34B2"/>
    <w:rsid w:val="004E3629"/>
    <w:rsid w:val="004E367C"/>
    <w:rsid w:val="004E36CB"/>
    <w:rsid w:val="004E3738"/>
    <w:rsid w:val="004E37AE"/>
    <w:rsid w:val="004E380C"/>
    <w:rsid w:val="004E3862"/>
    <w:rsid w:val="004E3961"/>
    <w:rsid w:val="004E3992"/>
    <w:rsid w:val="004E39ED"/>
    <w:rsid w:val="004E3B4D"/>
    <w:rsid w:val="004E3BBE"/>
    <w:rsid w:val="004E3BF6"/>
    <w:rsid w:val="004E3C33"/>
    <w:rsid w:val="004E3CA1"/>
    <w:rsid w:val="004E3D7B"/>
    <w:rsid w:val="004E3DFD"/>
    <w:rsid w:val="004E3E0F"/>
    <w:rsid w:val="004E3E27"/>
    <w:rsid w:val="004E3EE3"/>
    <w:rsid w:val="004E3F22"/>
    <w:rsid w:val="004E3F50"/>
    <w:rsid w:val="004E3F5D"/>
    <w:rsid w:val="004E3F95"/>
    <w:rsid w:val="004E3F9D"/>
    <w:rsid w:val="004E3FAD"/>
    <w:rsid w:val="004E4042"/>
    <w:rsid w:val="004E40BE"/>
    <w:rsid w:val="004E4146"/>
    <w:rsid w:val="004E41DE"/>
    <w:rsid w:val="004E42EB"/>
    <w:rsid w:val="004E4324"/>
    <w:rsid w:val="004E435E"/>
    <w:rsid w:val="004E4405"/>
    <w:rsid w:val="004E4574"/>
    <w:rsid w:val="004E45B2"/>
    <w:rsid w:val="004E467A"/>
    <w:rsid w:val="004E47C7"/>
    <w:rsid w:val="004E47F0"/>
    <w:rsid w:val="004E48B7"/>
    <w:rsid w:val="004E490B"/>
    <w:rsid w:val="004E4982"/>
    <w:rsid w:val="004E4994"/>
    <w:rsid w:val="004E4A18"/>
    <w:rsid w:val="004E4A71"/>
    <w:rsid w:val="004E4A8A"/>
    <w:rsid w:val="004E4AA2"/>
    <w:rsid w:val="004E4ACC"/>
    <w:rsid w:val="004E4B29"/>
    <w:rsid w:val="004E4BB0"/>
    <w:rsid w:val="004E4D54"/>
    <w:rsid w:val="004E4E3C"/>
    <w:rsid w:val="004E4F9F"/>
    <w:rsid w:val="004E5054"/>
    <w:rsid w:val="004E50B2"/>
    <w:rsid w:val="004E520A"/>
    <w:rsid w:val="004E5303"/>
    <w:rsid w:val="004E537F"/>
    <w:rsid w:val="004E546D"/>
    <w:rsid w:val="004E5554"/>
    <w:rsid w:val="004E55AB"/>
    <w:rsid w:val="004E55EA"/>
    <w:rsid w:val="004E55ED"/>
    <w:rsid w:val="004E56FF"/>
    <w:rsid w:val="004E576E"/>
    <w:rsid w:val="004E578D"/>
    <w:rsid w:val="004E57F6"/>
    <w:rsid w:val="004E58D6"/>
    <w:rsid w:val="004E599E"/>
    <w:rsid w:val="004E59A2"/>
    <w:rsid w:val="004E59A5"/>
    <w:rsid w:val="004E59CF"/>
    <w:rsid w:val="004E5A16"/>
    <w:rsid w:val="004E5A34"/>
    <w:rsid w:val="004E5AB9"/>
    <w:rsid w:val="004E5ADA"/>
    <w:rsid w:val="004E5B8D"/>
    <w:rsid w:val="004E5C15"/>
    <w:rsid w:val="004E5C60"/>
    <w:rsid w:val="004E5CC6"/>
    <w:rsid w:val="004E5D74"/>
    <w:rsid w:val="004E5E30"/>
    <w:rsid w:val="004E5E5C"/>
    <w:rsid w:val="004E5F26"/>
    <w:rsid w:val="004E612C"/>
    <w:rsid w:val="004E6383"/>
    <w:rsid w:val="004E642B"/>
    <w:rsid w:val="004E64FE"/>
    <w:rsid w:val="004E6564"/>
    <w:rsid w:val="004E66DB"/>
    <w:rsid w:val="004E6725"/>
    <w:rsid w:val="004E6750"/>
    <w:rsid w:val="004E67BF"/>
    <w:rsid w:val="004E68BC"/>
    <w:rsid w:val="004E6962"/>
    <w:rsid w:val="004E6A5A"/>
    <w:rsid w:val="004E6B14"/>
    <w:rsid w:val="004E6B1F"/>
    <w:rsid w:val="004E6BCF"/>
    <w:rsid w:val="004E6CB1"/>
    <w:rsid w:val="004E6D19"/>
    <w:rsid w:val="004E6D4C"/>
    <w:rsid w:val="004E707C"/>
    <w:rsid w:val="004E709A"/>
    <w:rsid w:val="004E709B"/>
    <w:rsid w:val="004E7224"/>
    <w:rsid w:val="004E72E6"/>
    <w:rsid w:val="004E7337"/>
    <w:rsid w:val="004E736C"/>
    <w:rsid w:val="004E73E2"/>
    <w:rsid w:val="004E73FC"/>
    <w:rsid w:val="004E7457"/>
    <w:rsid w:val="004E7780"/>
    <w:rsid w:val="004E7796"/>
    <w:rsid w:val="004E779A"/>
    <w:rsid w:val="004E7899"/>
    <w:rsid w:val="004E78E9"/>
    <w:rsid w:val="004E7931"/>
    <w:rsid w:val="004E79DE"/>
    <w:rsid w:val="004E7A2A"/>
    <w:rsid w:val="004E7A66"/>
    <w:rsid w:val="004E7B1C"/>
    <w:rsid w:val="004E7BB9"/>
    <w:rsid w:val="004E7C90"/>
    <w:rsid w:val="004E7DD7"/>
    <w:rsid w:val="004E7F8B"/>
    <w:rsid w:val="004F017F"/>
    <w:rsid w:val="004F0184"/>
    <w:rsid w:val="004F024F"/>
    <w:rsid w:val="004F03BB"/>
    <w:rsid w:val="004F03F5"/>
    <w:rsid w:val="004F0422"/>
    <w:rsid w:val="004F04A9"/>
    <w:rsid w:val="004F04E2"/>
    <w:rsid w:val="004F04EE"/>
    <w:rsid w:val="004F0503"/>
    <w:rsid w:val="004F0539"/>
    <w:rsid w:val="004F05DC"/>
    <w:rsid w:val="004F068E"/>
    <w:rsid w:val="004F0736"/>
    <w:rsid w:val="004F07B5"/>
    <w:rsid w:val="004F0A15"/>
    <w:rsid w:val="004F0A56"/>
    <w:rsid w:val="004F0B27"/>
    <w:rsid w:val="004F0B4D"/>
    <w:rsid w:val="004F0D20"/>
    <w:rsid w:val="004F0D47"/>
    <w:rsid w:val="004F0DAF"/>
    <w:rsid w:val="004F0E3F"/>
    <w:rsid w:val="004F0EA8"/>
    <w:rsid w:val="004F0F04"/>
    <w:rsid w:val="004F1008"/>
    <w:rsid w:val="004F110C"/>
    <w:rsid w:val="004F12D5"/>
    <w:rsid w:val="004F1472"/>
    <w:rsid w:val="004F1581"/>
    <w:rsid w:val="004F1604"/>
    <w:rsid w:val="004F17D9"/>
    <w:rsid w:val="004F1873"/>
    <w:rsid w:val="004F1997"/>
    <w:rsid w:val="004F1B61"/>
    <w:rsid w:val="004F1B83"/>
    <w:rsid w:val="004F1C1D"/>
    <w:rsid w:val="004F1CB7"/>
    <w:rsid w:val="004F1D57"/>
    <w:rsid w:val="004F1D8A"/>
    <w:rsid w:val="004F1DD2"/>
    <w:rsid w:val="004F1EC0"/>
    <w:rsid w:val="004F1F2B"/>
    <w:rsid w:val="004F1FBD"/>
    <w:rsid w:val="004F1FF5"/>
    <w:rsid w:val="004F20AC"/>
    <w:rsid w:val="004F2132"/>
    <w:rsid w:val="004F224B"/>
    <w:rsid w:val="004F224E"/>
    <w:rsid w:val="004F229A"/>
    <w:rsid w:val="004F2330"/>
    <w:rsid w:val="004F24CF"/>
    <w:rsid w:val="004F2557"/>
    <w:rsid w:val="004F255A"/>
    <w:rsid w:val="004F2637"/>
    <w:rsid w:val="004F266C"/>
    <w:rsid w:val="004F2675"/>
    <w:rsid w:val="004F26EE"/>
    <w:rsid w:val="004F26FB"/>
    <w:rsid w:val="004F2703"/>
    <w:rsid w:val="004F2754"/>
    <w:rsid w:val="004F2885"/>
    <w:rsid w:val="004F296C"/>
    <w:rsid w:val="004F29AF"/>
    <w:rsid w:val="004F2A05"/>
    <w:rsid w:val="004F2A25"/>
    <w:rsid w:val="004F2A70"/>
    <w:rsid w:val="004F2AE9"/>
    <w:rsid w:val="004F2B9B"/>
    <w:rsid w:val="004F2DA3"/>
    <w:rsid w:val="004F2EEE"/>
    <w:rsid w:val="004F3001"/>
    <w:rsid w:val="004F3064"/>
    <w:rsid w:val="004F3118"/>
    <w:rsid w:val="004F318D"/>
    <w:rsid w:val="004F3252"/>
    <w:rsid w:val="004F3482"/>
    <w:rsid w:val="004F35CD"/>
    <w:rsid w:val="004F3606"/>
    <w:rsid w:val="004F3614"/>
    <w:rsid w:val="004F371E"/>
    <w:rsid w:val="004F37A0"/>
    <w:rsid w:val="004F37F8"/>
    <w:rsid w:val="004F39E9"/>
    <w:rsid w:val="004F3AD4"/>
    <w:rsid w:val="004F3AFC"/>
    <w:rsid w:val="004F3BDD"/>
    <w:rsid w:val="004F3BFC"/>
    <w:rsid w:val="004F3C3A"/>
    <w:rsid w:val="004F3CDB"/>
    <w:rsid w:val="004F3D14"/>
    <w:rsid w:val="004F3DE0"/>
    <w:rsid w:val="004F3F16"/>
    <w:rsid w:val="004F3F7B"/>
    <w:rsid w:val="004F3FB7"/>
    <w:rsid w:val="004F40C7"/>
    <w:rsid w:val="004F42A1"/>
    <w:rsid w:val="004F42E7"/>
    <w:rsid w:val="004F43EC"/>
    <w:rsid w:val="004F453F"/>
    <w:rsid w:val="004F464E"/>
    <w:rsid w:val="004F4650"/>
    <w:rsid w:val="004F4897"/>
    <w:rsid w:val="004F48EE"/>
    <w:rsid w:val="004F4995"/>
    <w:rsid w:val="004F49B1"/>
    <w:rsid w:val="004F49C2"/>
    <w:rsid w:val="004F4A05"/>
    <w:rsid w:val="004F4A4D"/>
    <w:rsid w:val="004F4A93"/>
    <w:rsid w:val="004F4B92"/>
    <w:rsid w:val="004F4B9A"/>
    <w:rsid w:val="004F4BB4"/>
    <w:rsid w:val="004F4C57"/>
    <w:rsid w:val="004F4D2D"/>
    <w:rsid w:val="004F4F19"/>
    <w:rsid w:val="004F4F37"/>
    <w:rsid w:val="004F4F84"/>
    <w:rsid w:val="004F4FD9"/>
    <w:rsid w:val="004F507B"/>
    <w:rsid w:val="004F5139"/>
    <w:rsid w:val="004F52AF"/>
    <w:rsid w:val="004F52CA"/>
    <w:rsid w:val="004F5377"/>
    <w:rsid w:val="004F53A2"/>
    <w:rsid w:val="004F54DD"/>
    <w:rsid w:val="004F5506"/>
    <w:rsid w:val="004F5531"/>
    <w:rsid w:val="004F55BC"/>
    <w:rsid w:val="004F5723"/>
    <w:rsid w:val="004F5792"/>
    <w:rsid w:val="004F588F"/>
    <w:rsid w:val="004F5973"/>
    <w:rsid w:val="004F5A3A"/>
    <w:rsid w:val="004F5AD5"/>
    <w:rsid w:val="004F5B30"/>
    <w:rsid w:val="004F5B71"/>
    <w:rsid w:val="004F5BC5"/>
    <w:rsid w:val="004F5D9B"/>
    <w:rsid w:val="004F5DD9"/>
    <w:rsid w:val="004F5E02"/>
    <w:rsid w:val="004F5E3A"/>
    <w:rsid w:val="004F5E99"/>
    <w:rsid w:val="004F5E9D"/>
    <w:rsid w:val="004F5EA7"/>
    <w:rsid w:val="004F5ECB"/>
    <w:rsid w:val="004F5EE4"/>
    <w:rsid w:val="004F600B"/>
    <w:rsid w:val="004F6020"/>
    <w:rsid w:val="004F621E"/>
    <w:rsid w:val="004F629F"/>
    <w:rsid w:val="004F62DE"/>
    <w:rsid w:val="004F645C"/>
    <w:rsid w:val="004F64FD"/>
    <w:rsid w:val="004F651E"/>
    <w:rsid w:val="004F6774"/>
    <w:rsid w:val="004F6813"/>
    <w:rsid w:val="004F68C7"/>
    <w:rsid w:val="004F6993"/>
    <w:rsid w:val="004F69DB"/>
    <w:rsid w:val="004F6A10"/>
    <w:rsid w:val="004F6A42"/>
    <w:rsid w:val="004F6AB4"/>
    <w:rsid w:val="004F6BFA"/>
    <w:rsid w:val="004F6C3B"/>
    <w:rsid w:val="004F6D49"/>
    <w:rsid w:val="004F6DAF"/>
    <w:rsid w:val="004F6E43"/>
    <w:rsid w:val="004F6F28"/>
    <w:rsid w:val="004F6FC8"/>
    <w:rsid w:val="004F7078"/>
    <w:rsid w:val="004F70A9"/>
    <w:rsid w:val="004F7186"/>
    <w:rsid w:val="004F7221"/>
    <w:rsid w:val="004F7287"/>
    <w:rsid w:val="004F728E"/>
    <w:rsid w:val="004F7460"/>
    <w:rsid w:val="004F748E"/>
    <w:rsid w:val="004F74AA"/>
    <w:rsid w:val="004F7603"/>
    <w:rsid w:val="004F761D"/>
    <w:rsid w:val="004F766D"/>
    <w:rsid w:val="004F76EB"/>
    <w:rsid w:val="004F7846"/>
    <w:rsid w:val="004F78B0"/>
    <w:rsid w:val="004F796C"/>
    <w:rsid w:val="004F7A56"/>
    <w:rsid w:val="004F7A82"/>
    <w:rsid w:val="004F7AAE"/>
    <w:rsid w:val="004F7AC7"/>
    <w:rsid w:val="004F7C1D"/>
    <w:rsid w:val="004F7CF6"/>
    <w:rsid w:val="004F7DE9"/>
    <w:rsid w:val="004F7E25"/>
    <w:rsid w:val="004F7E48"/>
    <w:rsid w:val="004F7E7C"/>
    <w:rsid w:val="004F7ECE"/>
    <w:rsid w:val="004F7FAB"/>
    <w:rsid w:val="00500026"/>
    <w:rsid w:val="0050005D"/>
    <w:rsid w:val="00500074"/>
    <w:rsid w:val="0050029B"/>
    <w:rsid w:val="00500349"/>
    <w:rsid w:val="0050037B"/>
    <w:rsid w:val="005003B6"/>
    <w:rsid w:val="005003C0"/>
    <w:rsid w:val="0050046C"/>
    <w:rsid w:val="00500545"/>
    <w:rsid w:val="0050068B"/>
    <w:rsid w:val="005006F4"/>
    <w:rsid w:val="005007C0"/>
    <w:rsid w:val="0050084A"/>
    <w:rsid w:val="00500887"/>
    <w:rsid w:val="00500A95"/>
    <w:rsid w:val="00500AFF"/>
    <w:rsid w:val="00500B17"/>
    <w:rsid w:val="00500B4C"/>
    <w:rsid w:val="00500C34"/>
    <w:rsid w:val="00500C72"/>
    <w:rsid w:val="00500D42"/>
    <w:rsid w:val="00500DB2"/>
    <w:rsid w:val="00500DCF"/>
    <w:rsid w:val="00500DD0"/>
    <w:rsid w:val="00500EBB"/>
    <w:rsid w:val="00500FCC"/>
    <w:rsid w:val="00500FEF"/>
    <w:rsid w:val="00501127"/>
    <w:rsid w:val="00501143"/>
    <w:rsid w:val="005011B6"/>
    <w:rsid w:val="00501342"/>
    <w:rsid w:val="0050135E"/>
    <w:rsid w:val="00501388"/>
    <w:rsid w:val="0050138B"/>
    <w:rsid w:val="005013F3"/>
    <w:rsid w:val="0050155F"/>
    <w:rsid w:val="0050159A"/>
    <w:rsid w:val="005015F4"/>
    <w:rsid w:val="00501646"/>
    <w:rsid w:val="005017FC"/>
    <w:rsid w:val="00501878"/>
    <w:rsid w:val="005019D2"/>
    <w:rsid w:val="005019E2"/>
    <w:rsid w:val="00501AB7"/>
    <w:rsid w:val="00501AD9"/>
    <w:rsid w:val="00501AEE"/>
    <w:rsid w:val="00501B6C"/>
    <w:rsid w:val="00501BBF"/>
    <w:rsid w:val="00501DC2"/>
    <w:rsid w:val="00501E7F"/>
    <w:rsid w:val="00501EA3"/>
    <w:rsid w:val="00501F40"/>
    <w:rsid w:val="0050208E"/>
    <w:rsid w:val="005020DC"/>
    <w:rsid w:val="005021D9"/>
    <w:rsid w:val="005022BA"/>
    <w:rsid w:val="005022D6"/>
    <w:rsid w:val="005024B6"/>
    <w:rsid w:val="005024CD"/>
    <w:rsid w:val="00502558"/>
    <w:rsid w:val="005025F4"/>
    <w:rsid w:val="005026BD"/>
    <w:rsid w:val="005026E1"/>
    <w:rsid w:val="005027F9"/>
    <w:rsid w:val="005028FF"/>
    <w:rsid w:val="0050294F"/>
    <w:rsid w:val="00502A00"/>
    <w:rsid w:val="00502A6E"/>
    <w:rsid w:val="00502A9D"/>
    <w:rsid w:val="00502B1A"/>
    <w:rsid w:val="00502B26"/>
    <w:rsid w:val="00502B6B"/>
    <w:rsid w:val="00502BC1"/>
    <w:rsid w:val="00502C95"/>
    <w:rsid w:val="00502CC5"/>
    <w:rsid w:val="00502D1A"/>
    <w:rsid w:val="00502E0E"/>
    <w:rsid w:val="00502E19"/>
    <w:rsid w:val="00502E2B"/>
    <w:rsid w:val="00502E9A"/>
    <w:rsid w:val="00502F09"/>
    <w:rsid w:val="00502F0D"/>
    <w:rsid w:val="00502F8A"/>
    <w:rsid w:val="00502FF1"/>
    <w:rsid w:val="005030D8"/>
    <w:rsid w:val="0050318B"/>
    <w:rsid w:val="0050319E"/>
    <w:rsid w:val="005031B9"/>
    <w:rsid w:val="0050321B"/>
    <w:rsid w:val="00503222"/>
    <w:rsid w:val="005032C5"/>
    <w:rsid w:val="005032D0"/>
    <w:rsid w:val="005032E9"/>
    <w:rsid w:val="005033AE"/>
    <w:rsid w:val="005033BC"/>
    <w:rsid w:val="005033EF"/>
    <w:rsid w:val="005034FD"/>
    <w:rsid w:val="00503507"/>
    <w:rsid w:val="005035AE"/>
    <w:rsid w:val="00503638"/>
    <w:rsid w:val="0050373C"/>
    <w:rsid w:val="005037CE"/>
    <w:rsid w:val="005037D4"/>
    <w:rsid w:val="005037EE"/>
    <w:rsid w:val="00503826"/>
    <w:rsid w:val="0050389E"/>
    <w:rsid w:val="005038DE"/>
    <w:rsid w:val="00503996"/>
    <w:rsid w:val="00503A93"/>
    <w:rsid w:val="00503B23"/>
    <w:rsid w:val="00503BF2"/>
    <w:rsid w:val="00503CA1"/>
    <w:rsid w:val="00503CF4"/>
    <w:rsid w:val="00503D2D"/>
    <w:rsid w:val="00503DD8"/>
    <w:rsid w:val="00503F63"/>
    <w:rsid w:val="00503F9C"/>
    <w:rsid w:val="0050406C"/>
    <w:rsid w:val="0050410C"/>
    <w:rsid w:val="0050421F"/>
    <w:rsid w:val="00504221"/>
    <w:rsid w:val="00504306"/>
    <w:rsid w:val="005043A0"/>
    <w:rsid w:val="00504621"/>
    <w:rsid w:val="0050462A"/>
    <w:rsid w:val="00504758"/>
    <w:rsid w:val="005048EB"/>
    <w:rsid w:val="00504987"/>
    <w:rsid w:val="00504A78"/>
    <w:rsid w:val="00504D44"/>
    <w:rsid w:val="00504D73"/>
    <w:rsid w:val="00504DCE"/>
    <w:rsid w:val="00504F3D"/>
    <w:rsid w:val="00504FB4"/>
    <w:rsid w:val="00504FCD"/>
    <w:rsid w:val="00504FE1"/>
    <w:rsid w:val="005050CE"/>
    <w:rsid w:val="005051B0"/>
    <w:rsid w:val="0050532B"/>
    <w:rsid w:val="00505341"/>
    <w:rsid w:val="005055D0"/>
    <w:rsid w:val="0050566D"/>
    <w:rsid w:val="005056D1"/>
    <w:rsid w:val="00505747"/>
    <w:rsid w:val="00505758"/>
    <w:rsid w:val="0050575B"/>
    <w:rsid w:val="005058FC"/>
    <w:rsid w:val="00505CB8"/>
    <w:rsid w:val="00505D3D"/>
    <w:rsid w:val="00505E80"/>
    <w:rsid w:val="00505E86"/>
    <w:rsid w:val="00505E95"/>
    <w:rsid w:val="00505F07"/>
    <w:rsid w:val="00506066"/>
    <w:rsid w:val="0050634E"/>
    <w:rsid w:val="005063EA"/>
    <w:rsid w:val="00506416"/>
    <w:rsid w:val="00506552"/>
    <w:rsid w:val="005067F7"/>
    <w:rsid w:val="0050685F"/>
    <w:rsid w:val="005069DB"/>
    <w:rsid w:val="00506A7B"/>
    <w:rsid w:val="00506AD3"/>
    <w:rsid w:val="00506B15"/>
    <w:rsid w:val="00506C08"/>
    <w:rsid w:val="00506CE5"/>
    <w:rsid w:val="00506D16"/>
    <w:rsid w:val="00506D6E"/>
    <w:rsid w:val="00506DAA"/>
    <w:rsid w:val="00506DD5"/>
    <w:rsid w:val="00506EA5"/>
    <w:rsid w:val="00507211"/>
    <w:rsid w:val="00507244"/>
    <w:rsid w:val="0050725C"/>
    <w:rsid w:val="00507274"/>
    <w:rsid w:val="005072A1"/>
    <w:rsid w:val="00507321"/>
    <w:rsid w:val="00507322"/>
    <w:rsid w:val="00507350"/>
    <w:rsid w:val="0050737F"/>
    <w:rsid w:val="00507394"/>
    <w:rsid w:val="005073A3"/>
    <w:rsid w:val="005074E3"/>
    <w:rsid w:val="005074FE"/>
    <w:rsid w:val="00507527"/>
    <w:rsid w:val="0050756D"/>
    <w:rsid w:val="005076E2"/>
    <w:rsid w:val="005076F5"/>
    <w:rsid w:val="0050772E"/>
    <w:rsid w:val="00507748"/>
    <w:rsid w:val="005077F0"/>
    <w:rsid w:val="005077F6"/>
    <w:rsid w:val="00507814"/>
    <w:rsid w:val="0050788A"/>
    <w:rsid w:val="00507892"/>
    <w:rsid w:val="0050789A"/>
    <w:rsid w:val="0050793A"/>
    <w:rsid w:val="0050798B"/>
    <w:rsid w:val="00507ABF"/>
    <w:rsid w:val="00507AE6"/>
    <w:rsid w:val="00507B86"/>
    <w:rsid w:val="00507CB1"/>
    <w:rsid w:val="00507DBC"/>
    <w:rsid w:val="00507F08"/>
    <w:rsid w:val="00507F31"/>
    <w:rsid w:val="00507F5B"/>
    <w:rsid w:val="0051015E"/>
    <w:rsid w:val="005101F2"/>
    <w:rsid w:val="0051036F"/>
    <w:rsid w:val="005103A8"/>
    <w:rsid w:val="0051044E"/>
    <w:rsid w:val="005105C4"/>
    <w:rsid w:val="005106F2"/>
    <w:rsid w:val="00510710"/>
    <w:rsid w:val="005107AD"/>
    <w:rsid w:val="005107DB"/>
    <w:rsid w:val="005109D6"/>
    <w:rsid w:val="00510A6D"/>
    <w:rsid w:val="00510ADA"/>
    <w:rsid w:val="00510B2E"/>
    <w:rsid w:val="00510B4F"/>
    <w:rsid w:val="00510B94"/>
    <w:rsid w:val="00510BCA"/>
    <w:rsid w:val="00510C85"/>
    <w:rsid w:val="00510C9E"/>
    <w:rsid w:val="00510DA7"/>
    <w:rsid w:val="00510DBC"/>
    <w:rsid w:val="00510E32"/>
    <w:rsid w:val="00510ECB"/>
    <w:rsid w:val="00510F59"/>
    <w:rsid w:val="00510F8A"/>
    <w:rsid w:val="00511078"/>
    <w:rsid w:val="005110C3"/>
    <w:rsid w:val="005110C9"/>
    <w:rsid w:val="005110D4"/>
    <w:rsid w:val="0051127F"/>
    <w:rsid w:val="00511602"/>
    <w:rsid w:val="00511650"/>
    <w:rsid w:val="005116F2"/>
    <w:rsid w:val="00511795"/>
    <w:rsid w:val="005118A9"/>
    <w:rsid w:val="00511AF8"/>
    <w:rsid w:val="00511AF9"/>
    <w:rsid w:val="00511B1C"/>
    <w:rsid w:val="00511B2D"/>
    <w:rsid w:val="00511B6A"/>
    <w:rsid w:val="00511BA3"/>
    <w:rsid w:val="00511BAC"/>
    <w:rsid w:val="00511C39"/>
    <w:rsid w:val="00511C47"/>
    <w:rsid w:val="00511D1C"/>
    <w:rsid w:val="00511D99"/>
    <w:rsid w:val="00511F75"/>
    <w:rsid w:val="00512016"/>
    <w:rsid w:val="0051217E"/>
    <w:rsid w:val="00512288"/>
    <w:rsid w:val="005122DE"/>
    <w:rsid w:val="005123C7"/>
    <w:rsid w:val="00512439"/>
    <w:rsid w:val="005125FE"/>
    <w:rsid w:val="0051260A"/>
    <w:rsid w:val="0051263C"/>
    <w:rsid w:val="0051264D"/>
    <w:rsid w:val="005126D4"/>
    <w:rsid w:val="005126E9"/>
    <w:rsid w:val="005126F9"/>
    <w:rsid w:val="005127CE"/>
    <w:rsid w:val="00512801"/>
    <w:rsid w:val="005129DE"/>
    <w:rsid w:val="00512C0E"/>
    <w:rsid w:val="00512C10"/>
    <w:rsid w:val="00512C4F"/>
    <w:rsid w:val="00512C8F"/>
    <w:rsid w:val="00512DCF"/>
    <w:rsid w:val="00512E6D"/>
    <w:rsid w:val="00512F21"/>
    <w:rsid w:val="005130D1"/>
    <w:rsid w:val="005130D6"/>
    <w:rsid w:val="0051318E"/>
    <w:rsid w:val="005132FA"/>
    <w:rsid w:val="005133CC"/>
    <w:rsid w:val="00513457"/>
    <w:rsid w:val="005134AA"/>
    <w:rsid w:val="00513542"/>
    <w:rsid w:val="0051355E"/>
    <w:rsid w:val="005135D5"/>
    <w:rsid w:val="00513771"/>
    <w:rsid w:val="00513938"/>
    <w:rsid w:val="00513A33"/>
    <w:rsid w:val="00513BA6"/>
    <w:rsid w:val="00513BAD"/>
    <w:rsid w:val="00513D68"/>
    <w:rsid w:val="00513D74"/>
    <w:rsid w:val="00513E74"/>
    <w:rsid w:val="00513EEE"/>
    <w:rsid w:val="00513F80"/>
    <w:rsid w:val="00513F8B"/>
    <w:rsid w:val="00513FAC"/>
    <w:rsid w:val="0051401B"/>
    <w:rsid w:val="005140A5"/>
    <w:rsid w:val="005141DB"/>
    <w:rsid w:val="00514234"/>
    <w:rsid w:val="00514250"/>
    <w:rsid w:val="00514260"/>
    <w:rsid w:val="0051429A"/>
    <w:rsid w:val="00514345"/>
    <w:rsid w:val="00514460"/>
    <w:rsid w:val="00514559"/>
    <w:rsid w:val="00514664"/>
    <w:rsid w:val="00514677"/>
    <w:rsid w:val="0051470A"/>
    <w:rsid w:val="0051470C"/>
    <w:rsid w:val="00514752"/>
    <w:rsid w:val="005147EB"/>
    <w:rsid w:val="00514828"/>
    <w:rsid w:val="00514882"/>
    <w:rsid w:val="005148E6"/>
    <w:rsid w:val="00514967"/>
    <w:rsid w:val="005149F8"/>
    <w:rsid w:val="00514AC8"/>
    <w:rsid w:val="00514B00"/>
    <w:rsid w:val="00514B68"/>
    <w:rsid w:val="00514BB7"/>
    <w:rsid w:val="00514BFD"/>
    <w:rsid w:val="00514C70"/>
    <w:rsid w:val="00514CEA"/>
    <w:rsid w:val="00514EFC"/>
    <w:rsid w:val="00514F00"/>
    <w:rsid w:val="00514FAF"/>
    <w:rsid w:val="00514FC6"/>
    <w:rsid w:val="005150A2"/>
    <w:rsid w:val="005151C7"/>
    <w:rsid w:val="005151F8"/>
    <w:rsid w:val="00515256"/>
    <w:rsid w:val="005153F4"/>
    <w:rsid w:val="00515560"/>
    <w:rsid w:val="00515595"/>
    <w:rsid w:val="005155C4"/>
    <w:rsid w:val="005157B8"/>
    <w:rsid w:val="00515897"/>
    <w:rsid w:val="005158B8"/>
    <w:rsid w:val="005158C2"/>
    <w:rsid w:val="005159BF"/>
    <w:rsid w:val="005159CC"/>
    <w:rsid w:val="005159FB"/>
    <w:rsid w:val="00515A46"/>
    <w:rsid w:val="00515A51"/>
    <w:rsid w:val="00515BDE"/>
    <w:rsid w:val="00515C6E"/>
    <w:rsid w:val="00515C9A"/>
    <w:rsid w:val="00515CEB"/>
    <w:rsid w:val="00515D33"/>
    <w:rsid w:val="00515F48"/>
    <w:rsid w:val="00515F51"/>
    <w:rsid w:val="00515FD6"/>
    <w:rsid w:val="00516035"/>
    <w:rsid w:val="0051604F"/>
    <w:rsid w:val="005160DA"/>
    <w:rsid w:val="005160E7"/>
    <w:rsid w:val="00516146"/>
    <w:rsid w:val="005161D4"/>
    <w:rsid w:val="0051623C"/>
    <w:rsid w:val="005163CA"/>
    <w:rsid w:val="0051647D"/>
    <w:rsid w:val="005164A1"/>
    <w:rsid w:val="005164F1"/>
    <w:rsid w:val="0051651E"/>
    <w:rsid w:val="00516697"/>
    <w:rsid w:val="0051674C"/>
    <w:rsid w:val="00516785"/>
    <w:rsid w:val="0051678B"/>
    <w:rsid w:val="005167DA"/>
    <w:rsid w:val="0051680A"/>
    <w:rsid w:val="00516817"/>
    <w:rsid w:val="0051694B"/>
    <w:rsid w:val="00516A57"/>
    <w:rsid w:val="00516AFA"/>
    <w:rsid w:val="00516B43"/>
    <w:rsid w:val="00516B86"/>
    <w:rsid w:val="00516BBE"/>
    <w:rsid w:val="00516C54"/>
    <w:rsid w:val="00516C91"/>
    <w:rsid w:val="00516D40"/>
    <w:rsid w:val="00516E8C"/>
    <w:rsid w:val="00516EE4"/>
    <w:rsid w:val="00516F57"/>
    <w:rsid w:val="005170C0"/>
    <w:rsid w:val="00517123"/>
    <w:rsid w:val="005173CF"/>
    <w:rsid w:val="005175B6"/>
    <w:rsid w:val="0051763F"/>
    <w:rsid w:val="005176B1"/>
    <w:rsid w:val="005176F4"/>
    <w:rsid w:val="005177F1"/>
    <w:rsid w:val="00517859"/>
    <w:rsid w:val="00517928"/>
    <w:rsid w:val="00517A6B"/>
    <w:rsid w:val="00517AF2"/>
    <w:rsid w:val="00517C76"/>
    <w:rsid w:val="00517DAE"/>
    <w:rsid w:val="00517DC5"/>
    <w:rsid w:val="00517EC9"/>
    <w:rsid w:val="00517F24"/>
    <w:rsid w:val="00517F5C"/>
    <w:rsid w:val="00517FDB"/>
    <w:rsid w:val="00517FEC"/>
    <w:rsid w:val="00520013"/>
    <w:rsid w:val="00520403"/>
    <w:rsid w:val="005204C1"/>
    <w:rsid w:val="005204C8"/>
    <w:rsid w:val="005205BF"/>
    <w:rsid w:val="005205DE"/>
    <w:rsid w:val="0052076E"/>
    <w:rsid w:val="00520808"/>
    <w:rsid w:val="0052083F"/>
    <w:rsid w:val="00520A35"/>
    <w:rsid w:val="00520A5A"/>
    <w:rsid w:val="00520AE1"/>
    <w:rsid w:val="00520BF5"/>
    <w:rsid w:val="00520D4E"/>
    <w:rsid w:val="00520D7F"/>
    <w:rsid w:val="00520E0A"/>
    <w:rsid w:val="00520E23"/>
    <w:rsid w:val="00520F1E"/>
    <w:rsid w:val="00520FE1"/>
    <w:rsid w:val="00521098"/>
    <w:rsid w:val="0052114C"/>
    <w:rsid w:val="005211A4"/>
    <w:rsid w:val="00521347"/>
    <w:rsid w:val="00521378"/>
    <w:rsid w:val="005213EC"/>
    <w:rsid w:val="00521591"/>
    <w:rsid w:val="005215D4"/>
    <w:rsid w:val="00521965"/>
    <w:rsid w:val="005219A1"/>
    <w:rsid w:val="005219C8"/>
    <w:rsid w:val="00521A5E"/>
    <w:rsid w:val="00521AB6"/>
    <w:rsid w:val="00521B31"/>
    <w:rsid w:val="00521BFE"/>
    <w:rsid w:val="00521CD0"/>
    <w:rsid w:val="00521CE9"/>
    <w:rsid w:val="00521CFF"/>
    <w:rsid w:val="00521D49"/>
    <w:rsid w:val="00521D68"/>
    <w:rsid w:val="00521E05"/>
    <w:rsid w:val="00521F05"/>
    <w:rsid w:val="00521F40"/>
    <w:rsid w:val="00522083"/>
    <w:rsid w:val="005220AD"/>
    <w:rsid w:val="00522117"/>
    <w:rsid w:val="0052214B"/>
    <w:rsid w:val="00522173"/>
    <w:rsid w:val="00522199"/>
    <w:rsid w:val="00522250"/>
    <w:rsid w:val="005223C4"/>
    <w:rsid w:val="005225FF"/>
    <w:rsid w:val="00522649"/>
    <w:rsid w:val="00522829"/>
    <w:rsid w:val="00522844"/>
    <w:rsid w:val="00522867"/>
    <w:rsid w:val="005228E2"/>
    <w:rsid w:val="00522923"/>
    <w:rsid w:val="00522A5E"/>
    <w:rsid w:val="00522C01"/>
    <w:rsid w:val="00522C31"/>
    <w:rsid w:val="00522C61"/>
    <w:rsid w:val="00522CBF"/>
    <w:rsid w:val="00522D82"/>
    <w:rsid w:val="00522DAE"/>
    <w:rsid w:val="00522E80"/>
    <w:rsid w:val="00522EB2"/>
    <w:rsid w:val="00522EBB"/>
    <w:rsid w:val="00522EC9"/>
    <w:rsid w:val="00522EDE"/>
    <w:rsid w:val="00522F1E"/>
    <w:rsid w:val="00522F29"/>
    <w:rsid w:val="0052300D"/>
    <w:rsid w:val="0052301E"/>
    <w:rsid w:val="0052315F"/>
    <w:rsid w:val="0052329A"/>
    <w:rsid w:val="005232D5"/>
    <w:rsid w:val="00523385"/>
    <w:rsid w:val="00523486"/>
    <w:rsid w:val="00523501"/>
    <w:rsid w:val="00523505"/>
    <w:rsid w:val="00523516"/>
    <w:rsid w:val="005238B8"/>
    <w:rsid w:val="005238BC"/>
    <w:rsid w:val="0052393A"/>
    <w:rsid w:val="005239C9"/>
    <w:rsid w:val="005239CD"/>
    <w:rsid w:val="005239D2"/>
    <w:rsid w:val="00523B94"/>
    <w:rsid w:val="00523BBD"/>
    <w:rsid w:val="00523BC9"/>
    <w:rsid w:val="00523BCB"/>
    <w:rsid w:val="00523C63"/>
    <w:rsid w:val="00523C8D"/>
    <w:rsid w:val="00523D22"/>
    <w:rsid w:val="00523DAF"/>
    <w:rsid w:val="00524070"/>
    <w:rsid w:val="00524093"/>
    <w:rsid w:val="005240C2"/>
    <w:rsid w:val="005240F4"/>
    <w:rsid w:val="00524129"/>
    <w:rsid w:val="0052419D"/>
    <w:rsid w:val="0052430B"/>
    <w:rsid w:val="00524401"/>
    <w:rsid w:val="00524427"/>
    <w:rsid w:val="0052465A"/>
    <w:rsid w:val="0052468E"/>
    <w:rsid w:val="005246D7"/>
    <w:rsid w:val="00524797"/>
    <w:rsid w:val="00524865"/>
    <w:rsid w:val="005248AB"/>
    <w:rsid w:val="005248D7"/>
    <w:rsid w:val="005249A0"/>
    <w:rsid w:val="005249C0"/>
    <w:rsid w:val="00524A48"/>
    <w:rsid w:val="00524BB9"/>
    <w:rsid w:val="00524C28"/>
    <w:rsid w:val="00524C97"/>
    <w:rsid w:val="00524CFC"/>
    <w:rsid w:val="00524D07"/>
    <w:rsid w:val="00524D6F"/>
    <w:rsid w:val="00524E89"/>
    <w:rsid w:val="00524EAB"/>
    <w:rsid w:val="00524EC8"/>
    <w:rsid w:val="00524EF2"/>
    <w:rsid w:val="00524F5A"/>
    <w:rsid w:val="00524F92"/>
    <w:rsid w:val="005250B3"/>
    <w:rsid w:val="00525155"/>
    <w:rsid w:val="005251E5"/>
    <w:rsid w:val="00525270"/>
    <w:rsid w:val="005252A4"/>
    <w:rsid w:val="00525393"/>
    <w:rsid w:val="00525406"/>
    <w:rsid w:val="00525407"/>
    <w:rsid w:val="00525466"/>
    <w:rsid w:val="005254B2"/>
    <w:rsid w:val="005254D2"/>
    <w:rsid w:val="005254DC"/>
    <w:rsid w:val="0052563C"/>
    <w:rsid w:val="005256BD"/>
    <w:rsid w:val="00525873"/>
    <w:rsid w:val="00525895"/>
    <w:rsid w:val="00525ACC"/>
    <w:rsid w:val="00525AD1"/>
    <w:rsid w:val="00525AE5"/>
    <w:rsid w:val="00525B97"/>
    <w:rsid w:val="00525BC5"/>
    <w:rsid w:val="00525C04"/>
    <w:rsid w:val="00525C19"/>
    <w:rsid w:val="00525DDB"/>
    <w:rsid w:val="00525DE4"/>
    <w:rsid w:val="00525DF1"/>
    <w:rsid w:val="00525E9E"/>
    <w:rsid w:val="00525F2C"/>
    <w:rsid w:val="00525F3E"/>
    <w:rsid w:val="0052601E"/>
    <w:rsid w:val="005260E8"/>
    <w:rsid w:val="0052610A"/>
    <w:rsid w:val="0052630F"/>
    <w:rsid w:val="00526671"/>
    <w:rsid w:val="0052667E"/>
    <w:rsid w:val="00526764"/>
    <w:rsid w:val="00526765"/>
    <w:rsid w:val="005267AE"/>
    <w:rsid w:val="0052682F"/>
    <w:rsid w:val="00526844"/>
    <w:rsid w:val="005268EB"/>
    <w:rsid w:val="00526903"/>
    <w:rsid w:val="00526925"/>
    <w:rsid w:val="0052695F"/>
    <w:rsid w:val="005269FE"/>
    <w:rsid w:val="00526A9B"/>
    <w:rsid w:val="00526AA8"/>
    <w:rsid w:val="00526B0D"/>
    <w:rsid w:val="00526BFC"/>
    <w:rsid w:val="00526CCD"/>
    <w:rsid w:val="00526F16"/>
    <w:rsid w:val="00526F42"/>
    <w:rsid w:val="00526F80"/>
    <w:rsid w:val="00526FE0"/>
    <w:rsid w:val="00527035"/>
    <w:rsid w:val="00527066"/>
    <w:rsid w:val="00527090"/>
    <w:rsid w:val="005270AF"/>
    <w:rsid w:val="00527216"/>
    <w:rsid w:val="00527333"/>
    <w:rsid w:val="005273F3"/>
    <w:rsid w:val="00527591"/>
    <w:rsid w:val="005275AF"/>
    <w:rsid w:val="00527783"/>
    <w:rsid w:val="005277BB"/>
    <w:rsid w:val="005277F7"/>
    <w:rsid w:val="00527813"/>
    <w:rsid w:val="00527851"/>
    <w:rsid w:val="0052796A"/>
    <w:rsid w:val="00527A74"/>
    <w:rsid w:val="00527ADB"/>
    <w:rsid w:val="00527C5A"/>
    <w:rsid w:val="00527D34"/>
    <w:rsid w:val="00527E39"/>
    <w:rsid w:val="00527E4D"/>
    <w:rsid w:val="005300A8"/>
    <w:rsid w:val="0053013E"/>
    <w:rsid w:val="00530180"/>
    <w:rsid w:val="005301BC"/>
    <w:rsid w:val="005301F8"/>
    <w:rsid w:val="00530310"/>
    <w:rsid w:val="00530333"/>
    <w:rsid w:val="005303DF"/>
    <w:rsid w:val="00530430"/>
    <w:rsid w:val="00530436"/>
    <w:rsid w:val="00530586"/>
    <w:rsid w:val="00530624"/>
    <w:rsid w:val="00530688"/>
    <w:rsid w:val="005306E4"/>
    <w:rsid w:val="00530916"/>
    <w:rsid w:val="00530BE0"/>
    <w:rsid w:val="00530C4D"/>
    <w:rsid w:val="00530C74"/>
    <w:rsid w:val="00530CE2"/>
    <w:rsid w:val="00530D71"/>
    <w:rsid w:val="00530D95"/>
    <w:rsid w:val="00530F45"/>
    <w:rsid w:val="00530F67"/>
    <w:rsid w:val="005311C5"/>
    <w:rsid w:val="005311E4"/>
    <w:rsid w:val="005311FB"/>
    <w:rsid w:val="0053123A"/>
    <w:rsid w:val="005312FC"/>
    <w:rsid w:val="00531446"/>
    <w:rsid w:val="00531547"/>
    <w:rsid w:val="00531564"/>
    <w:rsid w:val="0053157F"/>
    <w:rsid w:val="0053164A"/>
    <w:rsid w:val="005316F3"/>
    <w:rsid w:val="005316F8"/>
    <w:rsid w:val="005317D5"/>
    <w:rsid w:val="00531827"/>
    <w:rsid w:val="00531905"/>
    <w:rsid w:val="00531939"/>
    <w:rsid w:val="00531A54"/>
    <w:rsid w:val="00531A67"/>
    <w:rsid w:val="00531B02"/>
    <w:rsid w:val="00531B2B"/>
    <w:rsid w:val="00531BE9"/>
    <w:rsid w:val="00531C08"/>
    <w:rsid w:val="00531C5A"/>
    <w:rsid w:val="00531C96"/>
    <w:rsid w:val="00531DE8"/>
    <w:rsid w:val="00531EA7"/>
    <w:rsid w:val="00531EB3"/>
    <w:rsid w:val="00531F7A"/>
    <w:rsid w:val="00531F95"/>
    <w:rsid w:val="0053205F"/>
    <w:rsid w:val="0053209D"/>
    <w:rsid w:val="005322C5"/>
    <w:rsid w:val="005322CD"/>
    <w:rsid w:val="0053233B"/>
    <w:rsid w:val="005323FF"/>
    <w:rsid w:val="0053242E"/>
    <w:rsid w:val="0053282C"/>
    <w:rsid w:val="005328A9"/>
    <w:rsid w:val="005328B7"/>
    <w:rsid w:val="00532A0F"/>
    <w:rsid w:val="00532AD2"/>
    <w:rsid w:val="00532C6D"/>
    <w:rsid w:val="00532D16"/>
    <w:rsid w:val="00532D61"/>
    <w:rsid w:val="00532D9E"/>
    <w:rsid w:val="00532DF6"/>
    <w:rsid w:val="00532EA4"/>
    <w:rsid w:val="00532F9A"/>
    <w:rsid w:val="0053302F"/>
    <w:rsid w:val="00533068"/>
    <w:rsid w:val="0053322E"/>
    <w:rsid w:val="005332A8"/>
    <w:rsid w:val="00533319"/>
    <w:rsid w:val="00533622"/>
    <w:rsid w:val="00533675"/>
    <w:rsid w:val="005336C0"/>
    <w:rsid w:val="005337F9"/>
    <w:rsid w:val="00533855"/>
    <w:rsid w:val="005338D2"/>
    <w:rsid w:val="00533918"/>
    <w:rsid w:val="00533A7C"/>
    <w:rsid w:val="00533B5B"/>
    <w:rsid w:val="00533BCC"/>
    <w:rsid w:val="00533C77"/>
    <w:rsid w:val="00533C7C"/>
    <w:rsid w:val="00533CD5"/>
    <w:rsid w:val="00533F33"/>
    <w:rsid w:val="00533F7D"/>
    <w:rsid w:val="005340B6"/>
    <w:rsid w:val="00534102"/>
    <w:rsid w:val="00534188"/>
    <w:rsid w:val="005341BE"/>
    <w:rsid w:val="005342E0"/>
    <w:rsid w:val="00534306"/>
    <w:rsid w:val="005345F8"/>
    <w:rsid w:val="00534746"/>
    <w:rsid w:val="00534839"/>
    <w:rsid w:val="00534846"/>
    <w:rsid w:val="00534894"/>
    <w:rsid w:val="0053496C"/>
    <w:rsid w:val="005349C0"/>
    <w:rsid w:val="005349FF"/>
    <w:rsid w:val="00534A52"/>
    <w:rsid w:val="00534CF0"/>
    <w:rsid w:val="00534D9F"/>
    <w:rsid w:val="00534DC2"/>
    <w:rsid w:val="00534DFE"/>
    <w:rsid w:val="00534E92"/>
    <w:rsid w:val="00534F14"/>
    <w:rsid w:val="00534FA0"/>
    <w:rsid w:val="00534FF4"/>
    <w:rsid w:val="00535183"/>
    <w:rsid w:val="00535196"/>
    <w:rsid w:val="00535204"/>
    <w:rsid w:val="0053523F"/>
    <w:rsid w:val="0053524F"/>
    <w:rsid w:val="005353AC"/>
    <w:rsid w:val="0053543F"/>
    <w:rsid w:val="0053547B"/>
    <w:rsid w:val="00535550"/>
    <w:rsid w:val="00535571"/>
    <w:rsid w:val="005355E5"/>
    <w:rsid w:val="00535648"/>
    <w:rsid w:val="00535672"/>
    <w:rsid w:val="0053569E"/>
    <w:rsid w:val="00535891"/>
    <w:rsid w:val="00535907"/>
    <w:rsid w:val="005359BC"/>
    <w:rsid w:val="00535A55"/>
    <w:rsid w:val="00535AB2"/>
    <w:rsid w:val="00535AE6"/>
    <w:rsid w:val="00535B13"/>
    <w:rsid w:val="00535B5F"/>
    <w:rsid w:val="00535B73"/>
    <w:rsid w:val="00535D40"/>
    <w:rsid w:val="00535E74"/>
    <w:rsid w:val="00535F5B"/>
    <w:rsid w:val="00535FA5"/>
    <w:rsid w:val="0053603B"/>
    <w:rsid w:val="0053603C"/>
    <w:rsid w:val="0053603D"/>
    <w:rsid w:val="0053618A"/>
    <w:rsid w:val="005362B4"/>
    <w:rsid w:val="00536342"/>
    <w:rsid w:val="00536464"/>
    <w:rsid w:val="0053646F"/>
    <w:rsid w:val="00536481"/>
    <w:rsid w:val="005365C0"/>
    <w:rsid w:val="00536715"/>
    <w:rsid w:val="0053673B"/>
    <w:rsid w:val="00536770"/>
    <w:rsid w:val="0053677D"/>
    <w:rsid w:val="00536806"/>
    <w:rsid w:val="0053684E"/>
    <w:rsid w:val="0053689C"/>
    <w:rsid w:val="0053699D"/>
    <w:rsid w:val="00536A41"/>
    <w:rsid w:val="00536AFE"/>
    <w:rsid w:val="00536B78"/>
    <w:rsid w:val="00536B86"/>
    <w:rsid w:val="00536C70"/>
    <w:rsid w:val="00536C8A"/>
    <w:rsid w:val="00536CBA"/>
    <w:rsid w:val="00536D52"/>
    <w:rsid w:val="00536D83"/>
    <w:rsid w:val="00536D9A"/>
    <w:rsid w:val="00536DD8"/>
    <w:rsid w:val="00536E7A"/>
    <w:rsid w:val="00536E84"/>
    <w:rsid w:val="00536ECC"/>
    <w:rsid w:val="00536FE3"/>
    <w:rsid w:val="00537046"/>
    <w:rsid w:val="00537061"/>
    <w:rsid w:val="00537140"/>
    <w:rsid w:val="00537148"/>
    <w:rsid w:val="00537222"/>
    <w:rsid w:val="005372D5"/>
    <w:rsid w:val="0053742A"/>
    <w:rsid w:val="00537552"/>
    <w:rsid w:val="00537583"/>
    <w:rsid w:val="00537592"/>
    <w:rsid w:val="005375CB"/>
    <w:rsid w:val="005375F9"/>
    <w:rsid w:val="00537636"/>
    <w:rsid w:val="005377C2"/>
    <w:rsid w:val="005378F0"/>
    <w:rsid w:val="0053798D"/>
    <w:rsid w:val="005379E1"/>
    <w:rsid w:val="00537ABE"/>
    <w:rsid w:val="00537AC3"/>
    <w:rsid w:val="00537ACD"/>
    <w:rsid w:val="00537B19"/>
    <w:rsid w:val="00537BA1"/>
    <w:rsid w:val="00537C54"/>
    <w:rsid w:val="00537C85"/>
    <w:rsid w:val="00537D9C"/>
    <w:rsid w:val="00537DEA"/>
    <w:rsid w:val="00537E37"/>
    <w:rsid w:val="0054006A"/>
    <w:rsid w:val="005400F4"/>
    <w:rsid w:val="00540128"/>
    <w:rsid w:val="005401AD"/>
    <w:rsid w:val="005401C5"/>
    <w:rsid w:val="00540237"/>
    <w:rsid w:val="0054026D"/>
    <w:rsid w:val="005402C7"/>
    <w:rsid w:val="005403B1"/>
    <w:rsid w:val="0054048C"/>
    <w:rsid w:val="005404E7"/>
    <w:rsid w:val="005406B8"/>
    <w:rsid w:val="00540743"/>
    <w:rsid w:val="0054092B"/>
    <w:rsid w:val="00540946"/>
    <w:rsid w:val="005409B9"/>
    <w:rsid w:val="00540A5D"/>
    <w:rsid w:val="00540AF9"/>
    <w:rsid w:val="00540CCD"/>
    <w:rsid w:val="00540E16"/>
    <w:rsid w:val="00540F36"/>
    <w:rsid w:val="00540F44"/>
    <w:rsid w:val="0054100A"/>
    <w:rsid w:val="00541051"/>
    <w:rsid w:val="0054106D"/>
    <w:rsid w:val="00541125"/>
    <w:rsid w:val="00541259"/>
    <w:rsid w:val="005412AF"/>
    <w:rsid w:val="00541301"/>
    <w:rsid w:val="005413B2"/>
    <w:rsid w:val="0054142E"/>
    <w:rsid w:val="00541654"/>
    <w:rsid w:val="005416CB"/>
    <w:rsid w:val="005417DA"/>
    <w:rsid w:val="005417DF"/>
    <w:rsid w:val="0054182C"/>
    <w:rsid w:val="0054185B"/>
    <w:rsid w:val="005418F1"/>
    <w:rsid w:val="0054193A"/>
    <w:rsid w:val="0054194D"/>
    <w:rsid w:val="005419F0"/>
    <w:rsid w:val="00541A39"/>
    <w:rsid w:val="00541A7B"/>
    <w:rsid w:val="00541A92"/>
    <w:rsid w:val="00541B37"/>
    <w:rsid w:val="00541B44"/>
    <w:rsid w:val="00541B54"/>
    <w:rsid w:val="00541B7E"/>
    <w:rsid w:val="00541D19"/>
    <w:rsid w:val="00541D1E"/>
    <w:rsid w:val="00541D29"/>
    <w:rsid w:val="00541D7D"/>
    <w:rsid w:val="00541D9C"/>
    <w:rsid w:val="00541DEB"/>
    <w:rsid w:val="00541DF3"/>
    <w:rsid w:val="00541E4A"/>
    <w:rsid w:val="00541EBB"/>
    <w:rsid w:val="00541FAF"/>
    <w:rsid w:val="0054206C"/>
    <w:rsid w:val="00542106"/>
    <w:rsid w:val="005422C6"/>
    <w:rsid w:val="00542431"/>
    <w:rsid w:val="00542533"/>
    <w:rsid w:val="00542589"/>
    <w:rsid w:val="005425BD"/>
    <w:rsid w:val="005426E0"/>
    <w:rsid w:val="00542732"/>
    <w:rsid w:val="00542804"/>
    <w:rsid w:val="00542879"/>
    <w:rsid w:val="005428AF"/>
    <w:rsid w:val="00542A2F"/>
    <w:rsid w:val="00542AD3"/>
    <w:rsid w:val="00542BCA"/>
    <w:rsid w:val="00542C5C"/>
    <w:rsid w:val="00542C75"/>
    <w:rsid w:val="00542CAF"/>
    <w:rsid w:val="00542D7D"/>
    <w:rsid w:val="00542DBA"/>
    <w:rsid w:val="00542E1B"/>
    <w:rsid w:val="00542F23"/>
    <w:rsid w:val="00542F70"/>
    <w:rsid w:val="00543114"/>
    <w:rsid w:val="005431FF"/>
    <w:rsid w:val="0054321F"/>
    <w:rsid w:val="00543234"/>
    <w:rsid w:val="00543327"/>
    <w:rsid w:val="0054338E"/>
    <w:rsid w:val="005433C0"/>
    <w:rsid w:val="005433C8"/>
    <w:rsid w:val="00543795"/>
    <w:rsid w:val="005437E4"/>
    <w:rsid w:val="00543876"/>
    <w:rsid w:val="005438C8"/>
    <w:rsid w:val="00543919"/>
    <w:rsid w:val="0054399C"/>
    <w:rsid w:val="00543A28"/>
    <w:rsid w:val="00543A70"/>
    <w:rsid w:val="00543A9B"/>
    <w:rsid w:val="00543AC9"/>
    <w:rsid w:val="00543C6F"/>
    <w:rsid w:val="00543D56"/>
    <w:rsid w:val="00543D6F"/>
    <w:rsid w:val="00543DA5"/>
    <w:rsid w:val="00543DD6"/>
    <w:rsid w:val="00543E11"/>
    <w:rsid w:val="00543E79"/>
    <w:rsid w:val="00543F23"/>
    <w:rsid w:val="00543F58"/>
    <w:rsid w:val="00543FF2"/>
    <w:rsid w:val="0054401B"/>
    <w:rsid w:val="0054401D"/>
    <w:rsid w:val="00544082"/>
    <w:rsid w:val="005441BC"/>
    <w:rsid w:val="00544336"/>
    <w:rsid w:val="0054443C"/>
    <w:rsid w:val="00544452"/>
    <w:rsid w:val="0054446F"/>
    <w:rsid w:val="005444C6"/>
    <w:rsid w:val="00544591"/>
    <w:rsid w:val="00544626"/>
    <w:rsid w:val="00544633"/>
    <w:rsid w:val="0054470C"/>
    <w:rsid w:val="00544724"/>
    <w:rsid w:val="00544863"/>
    <w:rsid w:val="00544865"/>
    <w:rsid w:val="0054486B"/>
    <w:rsid w:val="00544874"/>
    <w:rsid w:val="005448F7"/>
    <w:rsid w:val="00544939"/>
    <w:rsid w:val="00544956"/>
    <w:rsid w:val="005449AA"/>
    <w:rsid w:val="00544ADA"/>
    <w:rsid w:val="00544B56"/>
    <w:rsid w:val="00544B57"/>
    <w:rsid w:val="00544B5A"/>
    <w:rsid w:val="00544BAF"/>
    <w:rsid w:val="00544C34"/>
    <w:rsid w:val="00544CAC"/>
    <w:rsid w:val="00544DAE"/>
    <w:rsid w:val="00544DE2"/>
    <w:rsid w:val="00544DE3"/>
    <w:rsid w:val="00544E4A"/>
    <w:rsid w:val="00544F62"/>
    <w:rsid w:val="005451BA"/>
    <w:rsid w:val="005451C9"/>
    <w:rsid w:val="00545229"/>
    <w:rsid w:val="00545299"/>
    <w:rsid w:val="005452F7"/>
    <w:rsid w:val="00545405"/>
    <w:rsid w:val="00545503"/>
    <w:rsid w:val="0054558E"/>
    <w:rsid w:val="00545608"/>
    <w:rsid w:val="005457C9"/>
    <w:rsid w:val="00545865"/>
    <w:rsid w:val="005458B2"/>
    <w:rsid w:val="00545921"/>
    <w:rsid w:val="0054592C"/>
    <w:rsid w:val="0054597B"/>
    <w:rsid w:val="00545983"/>
    <w:rsid w:val="00545BD7"/>
    <w:rsid w:val="00545C1C"/>
    <w:rsid w:val="00545CFD"/>
    <w:rsid w:val="00545D74"/>
    <w:rsid w:val="00545DC4"/>
    <w:rsid w:val="00545EBC"/>
    <w:rsid w:val="00545F12"/>
    <w:rsid w:val="005460D6"/>
    <w:rsid w:val="005461CC"/>
    <w:rsid w:val="005462BB"/>
    <w:rsid w:val="00546466"/>
    <w:rsid w:val="005464CE"/>
    <w:rsid w:val="00546504"/>
    <w:rsid w:val="00546534"/>
    <w:rsid w:val="00546561"/>
    <w:rsid w:val="00546582"/>
    <w:rsid w:val="005465C6"/>
    <w:rsid w:val="00546604"/>
    <w:rsid w:val="00546689"/>
    <w:rsid w:val="00546711"/>
    <w:rsid w:val="00546717"/>
    <w:rsid w:val="00546743"/>
    <w:rsid w:val="005467DF"/>
    <w:rsid w:val="005467FA"/>
    <w:rsid w:val="00546839"/>
    <w:rsid w:val="00546993"/>
    <w:rsid w:val="005469C2"/>
    <w:rsid w:val="005469DA"/>
    <w:rsid w:val="00546AC4"/>
    <w:rsid w:val="00546B4C"/>
    <w:rsid w:val="00546B7D"/>
    <w:rsid w:val="00546BC4"/>
    <w:rsid w:val="00546BE4"/>
    <w:rsid w:val="00546CDA"/>
    <w:rsid w:val="00546D00"/>
    <w:rsid w:val="00546D11"/>
    <w:rsid w:val="00546D75"/>
    <w:rsid w:val="00546EFD"/>
    <w:rsid w:val="005470AE"/>
    <w:rsid w:val="0054716E"/>
    <w:rsid w:val="0054721F"/>
    <w:rsid w:val="0054729B"/>
    <w:rsid w:val="00547301"/>
    <w:rsid w:val="0054730A"/>
    <w:rsid w:val="0054735E"/>
    <w:rsid w:val="005473A3"/>
    <w:rsid w:val="00547487"/>
    <w:rsid w:val="005474A2"/>
    <w:rsid w:val="00547634"/>
    <w:rsid w:val="0054767F"/>
    <w:rsid w:val="005477AC"/>
    <w:rsid w:val="00547850"/>
    <w:rsid w:val="005478C5"/>
    <w:rsid w:val="005478E8"/>
    <w:rsid w:val="005479D4"/>
    <w:rsid w:val="00547A05"/>
    <w:rsid w:val="00547A58"/>
    <w:rsid w:val="00547C24"/>
    <w:rsid w:val="00547C30"/>
    <w:rsid w:val="00547EF2"/>
    <w:rsid w:val="00547F05"/>
    <w:rsid w:val="00547F95"/>
    <w:rsid w:val="00550005"/>
    <w:rsid w:val="005500B0"/>
    <w:rsid w:val="005500D3"/>
    <w:rsid w:val="00550179"/>
    <w:rsid w:val="005501CD"/>
    <w:rsid w:val="005501E7"/>
    <w:rsid w:val="005501FA"/>
    <w:rsid w:val="0055023A"/>
    <w:rsid w:val="00550280"/>
    <w:rsid w:val="0055029A"/>
    <w:rsid w:val="005503FE"/>
    <w:rsid w:val="005504B9"/>
    <w:rsid w:val="005504EB"/>
    <w:rsid w:val="00550574"/>
    <w:rsid w:val="00550601"/>
    <w:rsid w:val="00550603"/>
    <w:rsid w:val="00550666"/>
    <w:rsid w:val="00550701"/>
    <w:rsid w:val="00550725"/>
    <w:rsid w:val="00550730"/>
    <w:rsid w:val="00550766"/>
    <w:rsid w:val="0055078F"/>
    <w:rsid w:val="00550805"/>
    <w:rsid w:val="0055080A"/>
    <w:rsid w:val="005508CC"/>
    <w:rsid w:val="00550984"/>
    <w:rsid w:val="005509CA"/>
    <w:rsid w:val="00550C07"/>
    <w:rsid w:val="00550C12"/>
    <w:rsid w:val="00550C77"/>
    <w:rsid w:val="00550E22"/>
    <w:rsid w:val="00550EFF"/>
    <w:rsid w:val="00550FBB"/>
    <w:rsid w:val="00550FEB"/>
    <w:rsid w:val="00551175"/>
    <w:rsid w:val="005512EB"/>
    <w:rsid w:val="005512EC"/>
    <w:rsid w:val="005512FC"/>
    <w:rsid w:val="00551317"/>
    <w:rsid w:val="0055153E"/>
    <w:rsid w:val="00551544"/>
    <w:rsid w:val="00551719"/>
    <w:rsid w:val="0055173E"/>
    <w:rsid w:val="005517EC"/>
    <w:rsid w:val="00551815"/>
    <w:rsid w:val="0055187F"/>
    <w:rsid w:val="00551A31"/>
    <w:rsid w:val="00551A36"/>
    <w:rsid w:val="00551B04"/>
    <w:rsid w:val="00551CD2"/>
    <w:rsid w:val="00551CFF"/>
    <w:rsid w:val="00551D11"/>
    <w:rsid w:val="00551D2E"/>
    <w:rsid w:val="00551DE1"/>
    <w:rsid w:val="00551E3E"/>
    <w:rsid w:val="00551EB9"/>
    <w:rsid w:val="00551F40"/>
    <w:rsid w:val="00551F4A"/>
    <w:rsid w:val="00551FB5"/>
    <w:rsid w:val="00551FBD"/>
    <w:rsid w:val="00552010"/>
    <w:rsid w:val="0055204F"/>
    <w:rsid w:val="00552079"/>
    <w:rsid w:val="00552097"/>
    <w:rsid w:val="00552228"/>
    <w:rsid w:val="0055229A"/>
    <w:rsid w:val="005522A4"/>
    <w:rsid w:val="0055230D"/>
    <w:rsid w:val="005523F1"/>
    <w:rsid w:val="00552496"/>
    <w:rsid w:val="005524C5"/>
    <w:rsid w:val="005524DC"/>
    <w:rsid w:val="00552558"/>
    <w:rsid w:val="00552664"/>
    <w:rsid w:val="005526CC"/>
    <w:rsid w:val="00552703"/>
    <w:rsid w:val="0055274B"/>
    <w:rsid w:val="00552754"/>
    <w:rsid w:val="0055277C"/>
    <w:rsid w:val="005527A7"/>
    <w:rsid w:val="005527C2"/>
    <w:rsid w:val="005527D3"/>
    <w:rsid w:val="00552824"/>
    <w:rsid w:val="00552883"/>
    <w:rsid w:val="005528A7"/>
    <w:rsid w:val="0055298E"/>
    <w:rsid w:val="00552A0D"/>
    <w:rsid w:val="00552A45"/>
    <w:rsid w:val="00552A8A"/>
    <w:rsid w:val="00552A99"/>
    <w:rsid w:val="00552B23"/>
    <w:rsid w:val="00552B2F"/>
    <w:rsid w:val="00552C4A"/>
    <w:rsid w:val="00552D4F"/>
    <w:rsid w:val="00552DD1"/>
    <w:rsid w:val="00552E62"/>
    <w:rsid w:val="00552E65"/>
    <w:rsid w:val="00552E8A"/>
    <w:rsid w:val="00552F77"/>
    <w:rsid w:val="00553078"/>
    <w:rsid w:val="00553084"/>
    <w:rsid w:val="005530B2"/>
    <w:rsid w:val="00553204"/>
    <w:rsid w:val="00553351"/>
    <w:rsid w:val="00553372"/>
    <w:rsid w:val="005533C4"/>
    <w:rsid w:val="00553433"/>
    <w:rsid w:val="00553473"/>
    <w:rsid w:val="005534FB"/>
    <w:rsid w:val="00553647"/>
    <w:rsid w:val="00553797"/>
    <w:rsid w:val="005537C4"/>
    <w:rsid w:val="00553816"/>
    <w:rsid w:val="0055384B"/>
    <w:rsid w:val="005538E0"/>
    <w:rsid w:val="0055390A"/>
    <w:rsid w:val="00553930"/>
    <w:rsid w:val="0055397C"/>
    <w:rsid w:val="005539BC"/>
    <w:rsid w:val="00553A24"/>
    <w:rsid w:val="00553A85"/>
    <w:rsid w:val="00553AE8"/>
    <w:rsid w:val="00553C71"/>
    <w:rsid w:val="00553C79"/>
    <w:rsid w:val="00553D12"/>
    <w:rsid w:val="00553D80"/>
    <w:rsid w:val="00553DFC"/>
    <w:rsid w:val="00553E99"/>
    <w:rsid w:val="00553ECB"/>
    <w:rsid w:val="00554128"/>
    <w:rsid w:val="00554129"/>
    <w:rsid w:val="00554202"/>
    <w:rsid w:val="0055422D"/>
    <w:rsid w:val="00554308"/>
    <w:rsid w:val="00554343"/>
    <w:rsid w:val="00554363"/>
    <w:rsid w:val="00554476"/>
    <w:rsid w:val="005545A6"/>
    <w:rsid w:val="005546BC"/>
    <w:rsid w:val="00554823"/>
    <w:rsid w:val="00554846"/>
    <w:rsid w:val="005548A3"/>
    <w:rsid w:val="00554957"/>
    <w:rsid w:val="0055498B"/>
    <w:rsid w:val="00554A45"/>
    <w:rsid w:val="00554AB1"/>
    <w:rsid w:val="00554AB7"/>
    <w:rsid w:val="00554ADF"/>
    <w:rsid w:val="00554AEF"/>
    <w:rsid w:val="00554B46"/>
    <w:rsid w:val="00554B69"/>
    <w:rsid w:val="00554BBB"/>
    <w:rsid w:val="00554BD4"/>
    <w:rsid w:val="00554E26"/>
    <w:rsid w:val="00554F0C"/>
    <w:rsid w:val="00555004"/>
    <w:rsid w:val="00555037"/>
    <w:rsid w:val="00555079"/>
    <w:rsid w:val="005550EC"/>
    <w:rsid w:val="0055512E"/>
    <w:rsid w:val="0055515A"/>
    <w:rsid w:val="005551E6"/>
    <w:rsid w:val="005551F7"/>
    <w:rsid w:val="00555273"/>
    <w:rsid w:val="00555274"/>
    <w:rsid w:val="00555396"/>
    <w:rsid w:val="005555A6"/>
    <w:rsid w:val="005555AE"/>
    <w:rsid w:val="005555B3"/>
    <w:rsid w:val="00555630"/>
    <w:rsid w:val="00555645"/>
    <w:rsid w:val="0055569D"/>
    <w:rsid w:val="00555712"/>
    <w:rsid w:val="00555718"/>
    <w:rsid w:val="0055571D"/>
    <w:rsid w:val="00555781"/>
    <w:rsid w:val="005557BE"/>
    <w:rsid w:val="00555859"/>
    <w:rsid w:val="005559B3"/>
    <w:rsid w:val="005559C0"/>
    <w:rsid w:val="00555B26"/>
    <w:rsid w:val="00555B5F"/>
    <w:rsid w:val="00555B76"/>
    <w:rsid w:val="00555B98"/>
    <w:rsid w:val="00555DA7"/>
    <w:rsid w:val="00555DE3"/>
    <w:rsid w:val="00555E08"/>
    <w:rsid w:val="00555E0B"/>
    <w:rsid w:val="00555E6A"/>
    <w:rsid w:val="00555E70"/>
    <w:rsid w:val="00555F30"/>
    <w:rsid w:val="00556095"/>
    <w:rsid w:val="005561F4"/>
    <w:rsid w:val="00556370"/>
    <w:rsid w:val="00556558"/>
    <w:rsid w:val="005565D1"/>
    <w:rsid w:val="0055660A"/>
    <w:rsid w:val="0055663C"/>
    <w:rsid w:val="00556765"/>
    <w:rsid w:val="0055689B"/>
    <w:rsid w:val="005568CE"/>
    <w:rsid w:val="00556A78"/>
    <w:rsid w:val="00556B86"/>
    <w:rsid w:val="00556CFD"/>
    <w:rsid w:val="00556EFA"/>
    <w:rsid w:val="00557042"/>
    <w:rsid w:val="0055707C"/>
    <w:rsid w:val="00557116"/>
    <w:rsid w:val="00557194"/>
    <w:rsid w:val="0055722D"/>
    <w:rsid w:val="00557279"/>
    <w:rsid w:val="005572B3"/>
    <w:rsid w:val="005572D1"/>
    <w:rsid w:val="005573A2"/>
    <w:rsid w:val="005573FC"/>
    <w:rsid w:val="0055746D"/>
    <w:rsid w:val="00557500"/>
    <w:rsid w:val="00557549"/>
    <w:rsid w:val="005575DA"/>
    <w:rsid w:val="00557637"/>
    <w:rsid w:val="0055765A"/>
    <w:rsid w:val="005576D3"/>
    <w:rsid w:val="0055784E"/>
    <w:rsid w:val="005578B7"/>
    <w:rsid w:val="005578E9"/>
    <w:rsid w:val="005579E1"/>
    <w:rsid w:val="00557A3C"/>
    <w:rsid w:val="00557A63"/>
    <w:rsid w:val="00557B8D"/>
    <w:rsid w:val="00557BEB"/>
    <w:rsid w:val="00557CBC"/>
    <w:rsid w:val="00557D4A"/>
    <w:rsid w:val="00557F26"/>
    <w:rsid w:val="00557F96"/>
    <w:rsid w:val="005601AF"/>
    <w:rsid w:val="005601E0"/>
    <w:rsid w:val="0056026D"/>
    <w:rsid w:val="005603D9"/>
    <w:rsid w:val="005604A0"/>
    <w:rsid w:val="005604C2"/>
    <w:rsid w:val="005605DF"/>
    <w:rsid w:val="005605FB"/>
    <w:rsid w:val="00560662"/>
    <w:rsid w:val="005606B0"/>
    <w:rsid w:val="005606BA"/>
    <w:rsid w:val="0056079A"/>
    <w:rsid w:val="005607CD"/>
    <w:rsid w:val="005608E8"/>
    <w:rsid w:val="0056097A"/>
    <w:rsid w:val="00560A25"/>
    <w:rsid w:val="00560E7A"/>
    <w:rsid w:val="00560EAC"/>
    <w:rsid w:val="0056109A"/>
    <w:rsid w:val="005610A6"/>
    <w:rsid w:val="00561197"/>
    <w:rsid w:val="0056131F"/>
    <w:rsid w:val="00561366"/>
    <w:rsid w:val="005614DE"/>
    <w:rsid w:val="00561513"/>
    <w:rsid w:val="00561663"/>
    <w:rsid w:val="005616EF"/>
    <w:rsid w:val="0056174D"/>
    <w:rsid w:val="00561863"/>
    <w:rsid w:val="00561873"/>
    <w:rsid w:val="005618CA"/>
    <w:rsid w:val="00561933"/>
    <w:rsid w:val="0056198D"/>
    <w:rsid w:val="0056199D"/>
    <w:rsid w:val="00561D01"/>
    <w:rsid w:val="00561E49"/>
    <w:rsid w:val="00562005"/>
    <w:rsid w:val="00562070"/>
    <w:rsid w:val="005620B3"/>
    <w:rsid w:val="005620BD"/>
    <w:rsid w:val="005620DC"/>
    <w:rsid w:val="00562327"/>
    <w:rsid w:val="005623EA"/>
    <w:rsid w:val="00562587"/>
    <w:rsid w:val="005625D5"/>
    <w:rsid w:val="00562652"/>
    <w:rsid w:val="005626D8"/>
    <w:rsid w:val="005626DB"/>
    <w:rsid w:val="005626FA"/>
    <w:rsid w:val="005627DC"/>
    <w:rsid w:val="0056281B"/>
    <w:rsid w:val="0056282D"/>
    <w:rsid w:val="005629FB"/>
    <w:rsid w:val="00562E44"/>
    <w:rsid w:val="00562E61"/>
    <w:rsid w:val="00562F17"/>
    <w:rsid w:val="00562FE3"/>
    <w:rsid w:val="00563034"/>
    <w:rsid w:val="00563118"/>
    <w:rsid w:val="00563122"/>
    <w:rsid w:val="0056318A"/>
    <w:rsid w:val="005632F3"/>
    <w:rsid w:val="0056344B"/>
    <w:rsid w:val="0056347C"/>
    <w:rsid w:val="00563775"/>
    <w:rsid w:val="00563A4C"/>
    <w:rsid w:val="00563A59"/>
    <w:rsid w:val="00563A5B"/>
    <w:rsid w:val="00563B44"/>
    <w:rsid w:val="00563BC1"/>
    <w:rsid w:val="00563CE5"/>
    <w:rsid w:val="00563DBB"/>
    <w:rsid w:val="00563E8A"/>
    <w:rsid w:val="00563FEA"/>
    <w:rsid w:val="00564070"/>
    <w:rsid w:val="0056408C"/>
    <w:rsid w:val="00564102"/>
    <w:rsid w:val="00564360"/>
    <w:rsid w:val="005644EB"/>
    <w:rsid w:val="0056451E"/>
    <w:rsid w:val="005645D8"/>
    <w:rsid w:val="00564631"/>
    <w:rsid w:val="00564642"/>
    <w:rsid w:val="00564652"/>
    <w:rsid w:val="005646AA"/>
    <w:rsid w:val="0056473D"/>
    <w:rsid w:val="0056474C"/>
    <w:rsid w:val="00564775"/>
    <w:rsid w:val="005647B8"/>
    <w:rsid w:val="0056484E"/>
    <w:rsid w:val="005648AF"/>
    <w:rsid w:val="005648D2"/>
    <w:rsid w:val="0056490E"/>
    <w:rsid w:val="00564977"/>
    <w:rsid w:val="00564B84"/>
    <w:rsid w:val="00564CB8"/>
    <w:rsid w:val="00564DE1"/>
    <w:rsid w:val="00565034"/>
    <w:rsid w:val="005650BC"/>
    <w:rsid w:val="005650D4"/>
    <w:rsid w:val="00565123"/>
    <w:rsid w:val="0056514C"/>
    <w:rsid w:val="005651FA"/>
    <w:rsid w:val="0056523E"/>
    <w:rsid w:val="005652FC"/>
    <w:rsid w:val="0056539F"/>
    <w:rsid w:val="00565430"/>
    <w:rsid w:val="00565461"/>
    <w:rsid w:val="0056551C"/>
    <w:rsid w:val="005655D5"/>
    <w:rsid w:val="0056560E"/>
    <w:rsid w:val="00565648"/>
    <w:rsid w:val="00565661"/>
    <w:rsid w:val="0056574B"/>
    <w:rsid w:val="0056582C"/>
    <w:rsid w:val="00565970"/>
    <w:rsid w:val="005659ED"/>
    <w:rsid w:val="00565D16"/>
    <w:rsid w:val="00565D70"/>
    <w:rsid w:val="00565E64"/>
    <w:rsid w:val="00565EBB"/>
    <w:rsid w:val="00565F75"/>
    <w:rsid w:val="00566017"/>
    <w:rsid w:val="00566056"/>
    <w:rsid w:val="005660D4"/>
    <w:rsid w:val="005660D9"/>
    <w:rsid w:val="005662FC"/>
    <w:rsid w:val="0056631C"/>
    <w:rsid w:val="00566378"/>
    <w:rsid w:val="00566397"/>
    <w:rsid w:val="005663A6"/>
    <w:rsid w:val="00566423"/>
    <w:rsid w:val="00566475"/>
    <w:rsid w:val="00566483"/>
    <w:rsid w:val="0056658B"/>
    <w:rsid w:val="0056659D"/>
    <w:rsid w:val="0056662C"/>
    <w:rsid w:val="00566692"/>
    <w:rsid w:val="00566835"/>
    <w:rsid w:val="00566868"/>
    <w:rsid w:val="005668A1"/>
    <w:rsid w:val="00566945"/>
    <w:rsid w:val="005669BE"/>
    <w:rsid w:val="00566A8C"/>
    <w:rsid w:val="00566B87"/>
    <w:rsid w:val="00566BA3"/>
    <w:rsid w:val="00566BF8"/>
    <w:rsid w:val="00566C77"/>
    <w:rsid w:val="00566D31"/>
    <w:rsid w:val="00566D42"/>
    <w:rsid w:val="00566DA5"/>
    <w:rsid w:val="00566DB1"/>
    <w:rsid w:val="00566E8E"/>
    <w:rsid w:val="00566F83"/>
    <w:rsid w:val="00566F93"/>
    <w:rsid w:val="00566FC0"/>
    <w:rsid w:val="0056702F"/>
    <w:rsid w:val="005670EB"/>
    <w:rsid w:val="0056715C"/>
    <w:rsid w:val="0056724C"/>
    <w:rsid w:val="0056726C"/>
    <w:rsid w:val="0056737D"/>
    <w:rsid w:val="00567390"/>
    <w:rsid w:val="00567423"/>
    <w:rsid w:val="00567491"/>
    <w:rsid w:val="005675C7"/>
    <w:rsid w:val="00567605"/>
    <w:rsid w:val="0056771B"/>
    <w:rsid w:val="0056789A"/>
    <w:rsid w:val="005678A3"/>
    <w:rsid w:val="005678E8"/>
    <w:rsid w:val="005679C9"/>
    <w:rsid w:val="005679FE"/>
    <w:rsid w:val="00567A36"/>
    <w:rsid w:val="00567CB3"/>
    <w:rsid w:val="00567DFA"/>
    <w:rsid w:val="00570073"/>
    <w:rsid w:val="0057009A"/>
    <w:rsid w:val="005700DD"/>
    <w:rsid w:val="00570157"/>
    <w:rsid w:val="00570176"/>
    <w:rsid w:val="005701DB"/>
    <w:rsid w:val="00570232"/>
    <w:rsid w:val="005703FC"/>
    <w:rsid w:val="00570411"/>
    <w:rsid w:val="0057049B"/>
    <w:rsid w:val="005704B1"/>
    <w:rsid w:val="00570518"/>
    <w:rsid w:val="0057068D"/>
    <w:rsid w:val="00570696"/>
    <w:rsid w:val="00570744"/>
    <w:rsid w:val="00570776"/>
    <w:rsid w:val="0057087E"/>
    <w:rsid w:val="00570904"/>
    <w:rsid w:val="0057093B"/>
    <w:rsid w:val="00570946"/>
    <w:rsid w:val="00570962"/>
    <w:rsid w:val="00570A38"/>
    <w:rsid w:val="00570AF0"/>
    <w:rsid w:val="00570B6D"/>
    <w:rsid w:val="00570C3F"/>
    <w:rsid w:val="00570CD2"/>
    <w:rsid w:val="00570D13"/>
    <w:rsid w:val="00570D51"/>
    <w:rsid w:val="00570D7A"/>
    <w:rsid w:val="00570DD8"/>
    <w:rsid w:val="00570F01"/>
    <w:rsid w:val="00570FF9"/>
    <w:rsid w:val="00571060"/>
    <w:rsid w:val="00571066"/>
    <w:rsid w:val="0057109E"/>
    <w:rsid w:val="005710B0"/>
    <w:rsid w:val="0057116E"/>
    <w:rsid w:val="00571196"/>
    <w:rsid w:val="0057119A"/>
    <w:rsid w:val="00571250"/>
    <w:rsid w:val="005712DA"/>
    <w:rsid w:val="00571348"/>
    <w:rsid w:val="00571349"/>
    <w:rsid w:val="00571374"/>
    <w:rsid w:val="005713B0"/>
    <w:rsid w:val="00571435"/>
    <w:rsid w:val="0057158F"/>
    <w:rsid w:val="0057172F"/>
    <w:rsid w:val="0057177D"/>
    <w:rsid w:val="005717A8"/>
    <w:rsid w:val="005717B0"/>
    <w:rsid w:val="005718F2"/>
    <w:rsid w:val="0057193B"/>
    <w:rsid w:val="005719ED"/>
    <w:rsid w:val="00571A0F"/>
    <w:rsid w:val="00571A58"/>
    <w:rsid w:val="00571BFB"/>
    <w:rsid w:val="00571DDA"/>
    <w:rsid w:val="00571DEE"/>
    <w:rsid w:val="00571ED7"/>
    <w:rsid w:val="00571FF2"/>
    <w:rsid w:val="0057202F"/>
    <w:rsid w:val="005720AE"/>
    <w:rsid w:val="005720BF"/>
    <w:rsid w:val="005721A5"/>
    <w:rsid w:val="00572222"/>
    <w:rsid w:val="005722E1"/>
    <w:rsid w:val="005723C0"/>
    <w:rsid w:val="005723EB"/>
    <w:rsid w:val="005724EB"/>
    <w:rsid w:val="00572593"/>
    <w:rsid w:val="00572694"/>
    <w:rsid w:val="00572759"/>
    <w:rsid w:val="00572775"/>
    <w:rsid w:val="0057278D"/>
    <w:rsid w:val="005727A4"/>
    <w:rsid w:val="005727EF"/>
    <w:rsid w:val="00572820"/>
    <w:rsid w:val="00572828"/>
    <w:rsid w:val="0057284F"/>
    <w:rsid w:val="0057289E"/>
    <w:rsid w:val="005728BE"/>
    <w:rsid w:val="00572998"/>
    <w:rsid w:val="005729DE"/>
    <w:rsid w:val="00572A2A"/>
    <w:rsid w:val="00572A3A"/>
    <w:rsid w:val="00572ADA"/>
    <w:rsid w:val="00572C41"/>
    <w:rsid w:val="00572DE2"/>
    <w:rsid w:val="00572E91"/>
    <w:rsid w:val="00572F9F"/>
    <w:rsid w:val="00572FDC"/>
    <w:rsid w:val="0057304C"/>
    <w:rsid w:val="00573085"/>
    <w:rsid w:val="005731D0"/>
    <w:rsid w:val="00573283"/>
    <w:rsid w:val="00573284"/>
    <w:rsid w:val="005732E3"/>
    <w:rsid w:val="00573465"/>
    <w:rsid w:val="00573484"/>
    <w:rsid w:val="0057368D"/>
    <w:rsid w:val="0057372B"/>
    <w:rsid w:val="005737A2"/>
    <w:rsid w:val="0057383D"/>
    <w:rsid w:val="0057392F"/>
    <w:rsid w:val="005739A6"/>
    <w:rsid w:val="00573A57"/>
    <w:rsid w:val="00573A64"/>
    <w:rsid w:val="00573AC7"/>
    <w:rsid w:val="00573AFD"/>
    <w:rsid w:val="00573B4C"/>
    <w:rsid w:val="00573C17"/>
    <w:rsid w:val="00573C69"/>
    <w:rsid w:val="00573D84"/>
    <w:rsid w:val="00573E2B"/>
    <w:rsid w:val="00573EF7"/>
    <w:rsid w:val="00573FB9"/>
    <w:rsid w:val="00574077"/>
    <w:rsid w:val="0057414A"/>
    <w:rsid w:val="005741ED"/>
    <w:rsid w:val="0057424F"/>
    <w:rsid w:val="0057425E"/>
    <w:rsid w:val="00574293"/>
    <w:rsid w:val="00574366"/>
    <w:rsid w:val="005743D2"/>
    <w:rsid w:val="005744DD"/>
    <w:rsid w:val="00574519"/>
    <w:rsid w:val="0057452C"/>
    <w:rsid w:val="00574683"/>
    <w:rsid w:val="005748A3"/>
    <w:rsid w:val="005748CE"/>
    <w:rsid w:val="00574A3A"/>
    <w:rsid w:val="00574AD3"/>
    <w:rsid w:val="00574C61"/>
    <w:rsid w:val="00574C97"/>
    <w:rsid w:val="00574EAE"/>
    <w:rsid w:val="00574F8C"/>
    <w:rsid w:val="00574FC1"/>
    <w:rsid w:val="00574FE9"/>
    <w:rsid w:val="0057509C"/>
    <w:rsid w:val="00575209"/>
    <w:rsid w:val="005752C6"/>
    <w:rsid w:val="0057538C"/>
    <w:rsid w:val="005753C7"/>
    <w:rsid w:val="00575443"/>
    <w:rsid w:val="00575460"/>
    <w:rsid w:val="00575505"/>
    <w:rsid w:val="00575572"/>
    <w:rsid w:val="005755A8"/>
    <w:rsid w:val="005755EF"/>
    <w:rsid w:val="0057564A"/>
    <w:rsid w:val="0057564F"/>
    <w:rsid w:val="005756F1"/>
    <w:rsid w:val="005756FE"/>
    <w:rsid w:val="00575761"/>
    <w:rsid w:val="0057582C"/>
    <w:rsid w:val="00575914"/>
    <w:rsid w:val="00575943"/>
    <w:rsid w:val="00575A75"/>
    <w:rsid w:val="00575AA9"/>
    <w:rsid w:val="00575BFE"/>
    <w:rsid w:val="00575C12"/>
    <w:rsid w:val="00575CDA"/>
    <w:rsid w:val="00575CFE"/>
    <w:rsid w:val="00575D59"/>
    <w:rsid w:val="00575E24"/>
    <w:rsid w:val="00575E53"/>
    <w:rsid w:val="00575EE3"/>
    <w:rsid w:val="00575EFA"/>
    <w:rsid w:val="00575F3F"/>
    <w:rsid w:val="00575F4C"/>
    <w:rsid w:val="00575F85"/>
    <w:rsid w:val="0057609C"/>
    <w:rsid w:val="00576113"/>
    <w:rsid w:val="00576182"/>
    <w:rsid w:val="00576190"/>
    <w:rsid w:val="00576217"/>
    <w:rsid w:val="00576245"/>
    <w:rsid w:val="00576298"/>
    <w:rsid w:val="0057638E"/>
    <w:rsid w:val="005763E7"/>
    <w:rsid w:val="005764E6"/>
    <w:rsid w:val="00576514"/>
    <w:rsid w:val="00576582"/>
    <w:rsid w:val="005765D1"/>
    <w:rsid w:val="005767A6"/>
    <w:rsid w:val="005767B4"/>
    <w:rsid w:val="005767DE"/>
    <w:rsid w:val="00576827"/>
    <w:rsid w:val="0057686F"/>
    <w:rsid w:val="005768C2"/>
    <w:rsid w:val="00576A1C"/>
    <w:rsid w:val="00576AEA"/>
    <w:rsid w:val="00576B33"/>
    <w:rsid w:val="00576C77"/>
    <w:rsid w:val="00576C8C"/>
    <w:rsid w:val="00576D9C"/>
    <w:rsid w:val="00576E03"/>
    <w:rsid w:val="00576F1B"/>
    <w:rsid w:val="00576F70"/>
    <w:rsid w:val="00576F72"/>
    <w:rsid w:val="00576F86"/>
    <w:rsid w:val="00577030"/>
    <w:rsid w:val="0057703B"/>
    <w:rsid w:val="00577094"/>
    <w:rsid w:val="00577180"/>
    <w:rsid w:val="00577254"/>
    <w:rsid w:val="00577279"/>
    <w:rsid w:val="00577305"/>
    <w:rsid w:val="00577453"/>
    <w:rsid w:val="005774EC"/>
    <w:rsid w:val="005776B2"/>
    <w:rsid w:val="005776D5"/>
    <w:rsid w:val="00577778"/>
    <w:rsid w:val="00577AA2"/>
    <w:rsid w:val="00577B25"/>
    <w:rsid w:val="00577F8B"/>
    <w:rsid w:val="00577FF6"/>
    <w:rsid w:val="00580003"/>
    <w:rsid w:val="0058009F"/>
    <w:rsid w:val="005800AC"/>
    <w:rsid w:val="00580106"/>
    <w:rsid w:val="0058023C"/>
    <w:rsid w:val="00580246"/>
    <w:rsid w:val="00580336"/>
    <w:rsid w:val="005803D1"/>
    <w:rsid w:val="00580472"/>
    <w:rsid w:val="005805C6"/>
    <w:rsid w:val="0058064D"/>
    <w:rsid w:val="0058065A"/>
    <w:rsid w:val="0058065C"/>
    <w:rsid w:val="005806D8"/>
    <w:rsid w:val="005807A9"/>
    <w:rsid w:val="00580AFA"/>
    <w:rsid w:val="00580CC7"/>
    <w:rsid w:val="00580CF8"/>
    <w:rsid w:val="00580D2A"/>
    <w:rsid w:val="00580D3B"/>
    <w:rsid w:val="00580FF3"/>
    <w:rsid w:val="00581016"/>
    <w:rsid w:val="0058108E"/>
    <w:rsid w:val="005810C7"/>
    <w:rsid w:val="0058129B"/>
    <w:rsid w:val="00581349"/>
    <w:rsid w:val="005813EC"/>
    <w:rsid w:val="00581485"/>
    <w:rsid w:val="005814F3"/>
    <w:rsid w:val="00581563"/>
    <w:rsid w:val="005815C0"/>
    <w:rsid w:val="005816A0"/>
    <w:rsid w:val="005816B7"/>
    <w:rsid w:val="005819E6"/>
    <w:rsid w:val="00581A4F"/>
    <w:rsid w:val="00581A61"/>
    <w:rsid w:val="00581B02"/>
    <w:rsid w:val="00581B7C"/>
    <w:rsid w:val="00581BF7"/>
    <w:rsid w:val="00581C3E"/>
    <w:rsid w:val="00581C77"/>
    <w:rsid w:val="00581D73"/>
    <w:rsid w:val="00581D95"/>
    <w:rsid w:val="00581DB6"/>
    <w:rsid w:val="00581ECB"/>
    <w:rsid w:val="00581F5D"/>
    <w:rsid w:val="00581F75"/>
    <w:rsid w:val="00581F80"/>
    <w:rsid w:val="00581FA0"/>
    <w:rsid w:val="0058201F"/>
    <w:rsid w:val="005820AB"/>
    <w:rsid w:val="00582178"/>
    <w:rsid w:val="005821FA"/>
    <w:rsid w:val="0058220A"/>
    <w:rsid w:val="0058223F"/>
    <w:rsid w:val="005822D3"/>
    <w:rsid w:val="00582329"/>
    <w:rsid w:val="00582396"/>
    <w:rsid w:val="005823D8"/>
    <w:rsid w:val="005823E6"/>
    <w:rsid w:val="005824D4"/>
    <w:rsid w:val="005826DE"/>
    <w:rsid w:val="00582740"/>
    <w:rsid w:val="005827E6"/>
    <w:rsid w:val="00582983"/>
    <w:rsid w:val="00582A5A"/>
    <w:rsid w:val="00582B24"/>
    <w:rsid w:val="00582B7E"/>
    <w:rsid w:val="00582C96"/>
    <w:rsid w:val="00582D58"/>
    <w:rsid w:val="00582E05"/>
    <w:rsid w:val="00582E81"/>
    <w:rsid w:val="00582E8B"/>
    <w:rsid w:val="00582E9F"/>
    <w:rsid w:val="00582EA3"/>
    <w:rsid w:val="00582EED"/>
    <w:rsid w:val="00582EF5"/>
    <w:rsid w:val="00582EFF"/>
    <w:rsid w:val="00582F55"/>
    <w:rsid w:val="00582F74"/>
    <w:rsid w:val="00582FA8"/>
    <w:rsid w:val="00583127"/>
    <w:rsid w:val="00583168"/>
    <w:rsid w:val="00583199"/>
    <w:rsid w:val="005831E7"/>
    <w:rsid w:val="0058323F"/>
    <w:rsid w:val="005832BD"/>
    <w:rsid w:val="005832E7"/>
    <w:rsid w:val="00583323"/>
    <w:rsid w:val="00583386"/>
    <w:rsid w:val="00583401"/>
    <w:rsid w:val="005834E9"/>
    <w:rsid w:val="00583551"/>
    <w:rsid w:val="005835D0"/>
    <w:rsid w:val="0058360B"/>
    <w:rsid w:val="00583676"/>
    <w:rsid w:val="0058369C"/>
    <w:rsid w:val="005836B0"/>
    <w:rsid w:val="0058380B"/>
    <w:rsid w:val="0058381C"/>
    <w:rsid w:val="00583ADA"/>
    <w:rsid w:val="00583B5B"/>
    <w:rsid w:val="00583B5F"/>
    <w:rsid w:val="00583C2D"/>
    <w:rsid w:val="00583CE6"/>
    <w:rsid w:val="00583D3D"/>
    <w:rsid w:val="00583D6D"/>
    <w:rsid w:val="00583DFB"/>
    <w:rsid w:val="00583E33"/>
    <w:rsid w:val="00583E5A"/>
    <w:rsid w:val="00583F41"/>
    <w:rsid w:val="00584028"/>
    <w:rsid w:val="00584045"/>
    <w:rsid w:val="00584079"/>
    <w:rsid w:val="00584136"/>
    <w:rsid w:val="00584159"/>
    <w:rsid w:val="00584186"/>
    <w:rsid w:val="005841A5"/>
    <w:rsid w:val="00584259"/>
    <w:rsid w:val="00584353"/>
    <w:rsid w:val="00584470"/>
    <w:rsid w:val="005844EF"/>
    <w:rsid w:val="00584526"/>
    <w:rsid w:val="0058462C"/>
    <w:rsid w:val="00584710"/>
    <w:rsid w:val="0058480D"/>
    <w:rsid w:val="00584835"/>
    <w:rsid w:val="00584861"/>
    <w:rsid w:val="00584868"/>
    <w:rsid w:val="00584884"/>
    <w:rsid w:val="0058499A"/>
    <w:rsid w:val="005849A2"/>
    <w:rsid w:val="005849D3"/>
    <w:rsid w:val="00584A4E"/>
    <w:rsid w:val="00584A8C"/>
    <w:rsid w:val="00584AF4"/>
    <w:rsid w:val="00584BC0"/>
    <w:rsid w:val="00584BD6"/>
    <w:rsid w:val="00584C47"/>
    <w:rsid w:val="00584D9F"/>
    <w:rsid w:val="00584FA0"/>
    <w:rsid w:val="00584FCD"/>
    <w:rsid w:val="00585026"/>
    <w:rsid w:val="00585069"/>
    <w:rsid w:val="0058509E"/>
    <w:rsid w:val="00585241"/>
    <w:rsid w:val="005853E1"/>
    <w:rsid w:val="0058551F"/>
    <w:rsid w:val="00585553"/>
    <w:rsid w:val="005857A8"/>
    <w:rsid w:val="00585840"/>
    <w:rsid w:val="00585954"/>
    <w:rsid w:val="0058596C"/>
    <w:rsid w:val="0058597F"/>
    <w:rsid w:val="0058598D"/>
    <w:rsid w:val="005859B3"/>
    <w:rsid w:val="00585A51"/>
    <w:rsid w:val="00585A75"/>
    <w:rsid w:val="00585B04"/>
    <w:rsid w:val="00585B0A"/>
    <w:rsid w:val="00585BDF"/>
    <w:rsid w:val="00585BEF"/>
    <w:rsid w:val="00585CFC"/>
    <w:rsid w:val="00585D18"/>
    <w:rsid w:val="00585DFB"/>
    <w:rsid w:val="00585E81"/>
    <w:rsid w:val="00585EB7"/>
    <w:rsid w:val="00585EE6"/>
    <w:rsid w:val="00585F2F"/>
    <w:rsid w:val="00585FC9"/>
    <w:rsid w:val="00585FE0"/>
    <w:rsid w:val="005860EF"/>
    <w:rsid w:val="00586194"/>
    <w:rsid w:val="005861B7"/>
    <w:rsid w:val="005861F3"/>
    <w:rsid w:val="00586234"/>
    <w:rsid w:val="00586255"/>
    <w:rsid w:val="005862C4"/>
    <w:rsid w:val="005862D8"/>
    <w:rsid w:val="00586414"/>
    <w:rsid w:val="00586451"/>
    <w:rsid w:val="005865A7"/>
    <w:rsid w:val="00586605"/>
    <w:rsid w:val="00586607"/>
    <w:rsid w:val="00586738"/>
    <w:rsid w:val="005868A1"/>
    <w:rsid w:val="005868DE"/>
    <w:rsid w:val="00586962"/>
    <w:rsid w:val="005869A0"/>
    <w:rsid w:val="00586A9B"/>
    <w:rsid w:val="00586C6E"/>
    <w:rsid w:val="00586C99"/>
    <w:rsid w:val="00586CB0"/>
    <w:rsid w:val="00586D8B"/>
    <w:rsid w:val="00586D90"/>
    <w:rsid w:val="00586F70"/>
    <w:rsid w:val="00586FC6"/>
    <w:rsid w:val="0058713B"/>
    <w:rsid w:val="005871E7"/>
    <w:rsid w:val="00587226"/>
    <w:rsid w:val="00587279"/>
    <w:rsid w:val="00587281"/>
    <w:rsid w:val="00587290"/>
    <w:rsid w:val="00587341"/>
    <w:rsid w:val="005873B9"/>
    <w:rsid w:val="00587429"/>
    <w:rsid w:val="005874AE"/>
    <w:rsid w:val="005874B0"/>
    <w:rsid w:val="005875E5"/>
    <w:rsid w:val="005877AC"/>
    <w:rsid w:val="0058786A"/>
    <w:rsid w:val="00587989"/>
    <w:rsid w:val="00587A7C"/>
    <w:rsid w:val="00587AEC"/>
    <w:rsid w:val="00587C31"/>
    <w:rsid w:val="00587CB9"/>
    <w:rsid w:val="00587DFB"/>
    <w:rsid w:val="00587E23"/>
    <w:rsid w:val="00587E61"/>
    <w:rsid w:val="00587F3E"/>
    <w:rsid w:val="00587F70"/>
    <w:rsid w:val="00590068"/>
    <w:rsid w:val="005901D0"/>
    <w:rsid w:val="00590203"/>
    <w:rsid w:val="0059022F"/>
    <w:rsid w:val="0059026A"/>
    <w:rsid w:val="0059037B"/>
    <w:rsid w:val="005903C8"/>
    <w:rsid w:val="005903E5"/>
    <w:rsid w:val="00590519"/>
    <w:rsid w:val="00590545"/>
    <w:rsid w:val="0059055D"/>
    <w:rsid w:val="005905DA"/>
    <w:rsid w:val="00590708"/>
    <w:rsid w:val="00590837"/>
    <w:rsid w:val="0059084C"/>
    <w:rsid w:val="005908E0"/>
    <w:rsid w:val="00590905"/>
    <w:rsid w:val="005909B4"/>
    <w:rsid w:val="005909C0"/>
    <w:rsid w:val="005909ED"/>
    <w:rsid w:val="00590B9D"/>
    <w:rsid w:val="00590C19"/>
    <w:rsid w:val="00590C44"/>
    <w:rsid w:val="00590CF2"/>
    <w:rsid w:val="00590D63"/>
    <w:rsid w:val="00590DAD"/>
    <w:rsid w:val="00590DB4"/>
    <w:rsid w:val="00590DD1"/>
    <w:rsid w:val="00590EEC"/>
    <w:rsid w:val="00590F8F"/>
    <w:rsid w:val="005912B6"/>
    <w:rsid w:val="00591429"/>
    <w:rsid w:val="005915F3"/>
    <w:rsid w:val="0059182E"/>
    <w:rsid w:val="00591869"/>
    <w:rsid w:val="00591BEB"/>
    <w:rsid w:val="00591E60"/>
    <w:rsid w:val="00591FF4"/>
    <w:rsid w:val="005920F6"/>
    <w:rsid w:val="00592174"/>
    <w:rsid w:val="005921BB"/>
    <w:rsid w:val="005922BC"/>
    <w:rsid w:val="005922EB"/>
    <w:rsid w:val="00592326"/>
    <w:rsid w:val="005923BB"/>
    <w:rsid w:val="005924B2"/>
    <w:rsid w:val="005925C1"/>
    <w:rsid w:val="00592622"/>
    <w:rsid w:val="0059268D"/>
    <w:rsid w:val="00592858"/>
    <w:rsid w:val="00592900"/>
    <w:rsid w:val="005929D7"/>
    <w:rsid w:val="00592A95"/>
    <w:rsid w:val="00592AAC"/>
    <w:rsid w:val="00592ADB"/>
    <w:rsid w:val="00592BBC"/>
    <w:rsid w:val="00592CD6"/>
    <w:rsid w:val="00592D7B"/>
    <w:rsid w:val="00592D83"/>
    <w:rsid w:val="00592DBA"/>
    <w:rsid w:val="00592E8F"/>
    <w:rsid w:val="00592ED9"/>
    <w:rsid w:val="00592F89"/>
    <w:rsid w:val="00593101"/>
    <w:rsid w:val="00593179"/>
    <w:rsid w:val="005931C8"/>
    <w:rsid w:val="005932E1"/>
    <w:rsid w:val="00593311"/>
    <w:rsid w:val="00593368"/>
    <w:rsid w:val="0059363E"/>
    <w:rsid w:val="00593688"/>
    <w:rsid w:val="00593697"/>
    <w:rsid w:val="00593754"/>
    <w:rsid w:val="0059379A"/>
    <w:rsid w:val="005937F1"/>
    <w:rsid w:val="0059387F"/>
    <w:rsid w:val="00593970"/>
    <w:rsid w:val="005939CC"/>
    <w:rsid w:val="00593A90"/>
    <w:rsid w:val="00593BB1"/>
    <w:rsid w:val="00593C46"/>
    <w:rsid w:val="00593C80"/>
    <w:rsid w:val="00593C8C"/>
    <w:rsid w:val="00593CF3"/>
    <w:rsid w:val="00593D3B"/>
    <w:rsid w:val="00593DFA"/>
    <w:rsid w:val="00593E64"/>
    <w:rsid w:val="00593EDA"/>
    <w:rsid w:val="00593EFE"/>
    <w:rsid w:val="00593EFF"/>
    <w:rsid w:val="0059406F"/>
    <w:rsid w:val="0059412F"/>
    <w:rsid w:val="00594142"/>
    <w:rsid w:val="00594154"/>
    <w:rsid w:val="005941EC"/>
    <w:rsid w:val="00594263"/>
    <w:rsid w:val="005942E5"/>
    <w:rsid w:val="0059435C"/>
    <w:rsid w:val="0059446F"/>
    <w:rsid w:val="0059450C"/>
    <w:rsid w:val="005946D5"/>
    <w:rsid w:val="00594747"/>
    <w:rsid w:val="00594843"/>
    <w:rsid w:val="00594924"/>
    <w:rsid w:val="00594A3E"/>
    <w:rsid w:val="00594B75"/>
    <w:rsid w:val="00594BA4"/>
    <w:rsid w:val="00594BC2"/>
    <w:rsid w:val="00594C0D"/>
    <w:rsid w:val="00594CCE"/>
    <w:rsid w:val="00594CE2"/>
    <w:rsid w:val="00594E31"/>
    <w:rsid w:val="00594E41"/>
    <w:rsid w:val="00594E66"/>
    <w:rsid w:val="00594FDC"/>
    <w:rsid w:val="00595074"/>
    <w:rsid w:val="005950FA"/>
    <w:rsid w:val="005950FD"/>
    <w:rsid w:val="00595167"/>
    <w:rsid w:val="0059517C"/>
    <w:rsid w:val="0059519B"/>
    <w:rsid w:val="005951E8"/>
    <w:rsid w:val="00595218"/>
    <w:rsid w:val="005952E6"/>
    <w:rsid w:val="005954F6"/>
    <w:rsid w:val="00595519"/>
    <w:rsid w:val="00595594"/>
    <w:rsid w:val="005955EC"/>
    <w:rsid w:val="0059563A"/>
    <w:rsid w:val="005956FF"/>
    <w:rsid w:val="00595924"/>
    <w:rsid w:val="00595B45"/>
    <w:rsid w:val="00595B4C"/>
    <w:rsid w:val="00595BB3"/>
    <w:rsid w:val="00595D29"/>
    <w:rsid w:val="00595D53"/>
    <w:rsid w:val="00595D7F"/>
    <w:rsid w:val="00595ED4"/>
    <w:rsid w:val="00595EDC"/>
    <w:rsid w:val="00595F2A"/>
    <w:rsid w:val="00595F84"/>
    <w:rsid w:val="00595FF8"/>
    <w:rsid w:val="0059605D"/>
    <w:rsid w:val="005960F2"/>
    <w:rsid w:val="0059613A"/>
    <w:rsid w:val="0059621D"/>
    <w:rsid w:val="00596258"/>
    <w:rsid w:val="005962BD"/>
    <w:rsid w:val="005962C9"/>
    <w:rsid w:val="005963FD"/>
    <w:rsid w:val="00596500"/>
    <w:rsid w:val="00596576"/>
    <w:rsid w:val="005965F3"/>
    <w:rsid w:val="005966B7"/>
    <w:rsid w:val="0059673E"/>
    <w:rsid w:val="0059684B"/>
    <w:rsid w:val="00596855"/>
    <w:rsid w:val="005968D3"/>
    <w:rsid w:val="00596976"/>
    <w:rsid w:val="00596A19"/>
    <w:rsid w:val="00596A94"/>
    <w:rsid w:val="00596AA8"/>
    <w:rsid w:val="00596B62"/>
    <w:rsid w:val="00596B9B"/>
    <w:rsid w:val="00596BF3"/>
    <w:rsid w:val="00596CD9"/>
    <w:rsid w:val="00596CF1"/>
    <w:rsid w:val="00596D0B"/>
    <w:rsid w:val="00596DC4"/>
    <w:rsid w:val="00597054"/>
    <w:rsid w:val="005971DD"/>
    <w:rsid w:val="00597216"/>
    <w:rsid w:val="005972A7"/>
    <w:rsid w:val="005973AB"/>
    <w:rsid w:val="005974A3"/>
    <w:rsid w:val="005975F0"/>
    <w:rsid w:val="00597620"/>
    <w:rsid w:val="00597643"/>
    <w:rsid w:val="0059767A"/>
    <w:rsid w:val="0059769E"/>
    <w:rsid w:val="005976C0"/>
    <w:rsid w:val="00597706"/>
    <w:rsid w:val="00597740"/>
    <w:rsid w:val="005977DD"/>
    <w:rsid w:val="0059783A"/>
    <w:rsid w:val="005979AF"/>
    <w:rsid w:val="00597A5D"/>
    <w:rsid w:val="00597A77"/>
    <w:rsid w:val="00597A79"/>
    <w:rsid w:val="00597ACD"/>
    <w:rsid w:val="00597B35"/>
    <w:rsid w:val="00597BB3"/>
    <w:rsid w:val="00597BD0"/>
    <w:rsid w:val="00597C22"/>
    <w:rsid w:val="00597C67"/>
    <w:rsid w:val="00597D50"/>
    <w:rsid w:val="00597E8F"/>
    <w:rsid w:val="00597E98"/>
    <w:rsid w:val="00597EEF"/>
    <w:rsid w:val="00597F87"/>
    <w:rsid w:val="005A01DB"/>
    <w:rsid w:val="005A0206"/>
    <w:rsid w:val="005A0238"/>
    <w:rsid w:val="005A0379"/>
    <w:rsid w:val="005A0411"/>
    <w:rsid w:val="005A0587"/>
    <w:rsid w:val="005A05CD"/>
    <w:rsid w:val="005A06F8"/>
    <w:rsid w:val="005A078D"/>
    <w:rsid w:val="005A078F"/>
    <w:rsid w:val="005A0982"/>
    <w:rsid w:val="005A09C7"/>
    <w:rsid w:val="005A0AB0"/>
    <w:rsid w:val="005A0AD0"/>
    <w:rsid w:val="005A0AE6"/>
    <w:rsid w:val="005A0C28"/>
    <w:rsid w:val="005A0CCA"/>
    <w:rsid w:val="005A0D1D"/>
    <w:rsid w:val="005A0DBC"/>
    <w:rsid w:val="005A0E60"/>
    <w:rsid w:val="005A0F73"/>
    <w:rsid w:val="005A0FAF"/>
    <w:rsid w:val="005A0FD2"/>
    <w:rsid w:val="005A1029"/>
    <w:rsid w:val="005A109F"/>
    <w:rsid w:val="005A10B2"/>
    <w:rsid w:val="005A1127"/>
    <w:rsid w:val="005A121C"/>
    <w:rsid w:val="005A1223"/>
    <w:rsid w:val="005A1348"/>
    <w:rsid w:val="005A1526"/>
    <w:rsid w:val="005A155A"/>
    <w:rsid w:val="005A1622"/>
    <w:rsid w:val="005A1640"/>
    <w:rsid w:val="005A168C"/>
    <w:rsid w:val="005A17AA"/>
    <w:rsid w:val="005A17CA"/>
    <w:rsid w:val="005A1897"/>
    <w:rsid w:val="005A18AC"/>
    <w:rsid w:val="005A18EF"/>
    <w:rsid w:val="005A193D"/>
    <w:rsid w:val="005A1962"/>
    <w:rsid w:val="005A19D1"/>
    <w:rsid w:val="005A1A20"/>
    <w:rsid w:val="005A1B73"/>
    <w:rsid w:val="005A1B83"/>
    <w:rsid w:val="005A1B9D"/>
    <w:rsid w:val="005A1DD1"/>
    <w:rsid w:val="005A1F1C"/>
    <w:rsid w:val="005A204F"/>
    <w:rsid w:val="005A2066"/>
    <w:rsid w:val="005A2155"/>
    <w:rsid w:val="005A22A3"/>
    <w:rsid w:val="005A231B"/>
    <w:rsid w:val="005A2332"/>
    <w:rsid w:val="005A2366"/>
    <w:rsid w:val="005A2431"/>
    <w:rsid w:val="005A2491"/>
    <w:rsid w:val="005A2498"/>
    <w:rsid w:val="005A24E2"/>
    <w:rsid w:val="005A251F"/>
    <w:rsid w:val="005A2540"/>
    <w:rsid w:val="005A2575"/>
    <w:rsid w:val="005A26CB"/>
    <w:rsid w:val="005A27A8"/>
    <w:rsid w:val="005A299E"/>
    <w:rsid w:val="005A2A5C"/>
    <w:rsid w:val="005A2BC5"/>
    <w:rsid w:val="005A2BC8"/>
    <w:rsid w:val="005A2CF1"/>
    <w:rsid w:val="005A2CFB"/>
    <w:rsid w:val="005A2E04"/>
    <w:rsid w:val="005A2E4E"/>
    <w:rsid w:val="005A2FDC"/>
    <w:rsid w:val="005A30D6"/>
    <w:rsid w:val="005A3171"/>
    <w:rsid w:val="005A3174"/>
    <w:rsid w:val="005A3293"/>
    <w:rsid w:val="005A3369"/>
    <w:rsid w:val="005A36A7"/>
    <w:rsid w:val="005A3756"/>
    <w:rsid w:val="005A37A0"/>
    <w:rsid w:val="005A37F9"/>
    <w:rsid w:val="005A3865"/>
    <w:rsid w:val="005A3A19"/>
    <w:rsid w:val="005A3AE7"/>
    <w:rsid w:val="005A3B12"/>
    <w:rsid w:val="005A3B29"/>
    <w:rsid w:val="005A3BA3"/>
    <w:rsid w:val="005A3BCA"/>
    <w:rsid w:val="005A3BE7"/>
    <w:rsid w:val="005A3C4F"/>
    <w:rsid w:val="005A3CDF"/>
    <w:rsid w:val="005A3CE8"/>
    <w:rsid w:val="005A3D7A"/>
    <w:rsid w:val="005A3D93"/>
    <w:rsid w:val="005A3F73"/>
    <w:rsid w:val="005A3FAA"/>
    <w:rsid w:val="005A3FAC"/>
    <w:rsid w:val="005A3FE4"/>
    <w:rsid w:val="005A405A"/>
    <w:rsid w:val="005A40A9"/>
    <w:rsid w:val="005A4138"/>
    <w:rsid w:val="005A4177"/>
    <w:rsid w:val="005A4181"/>
    <w:rsid w:val="005A43BD"/>
    <w:rsid w:val="005A43EC"/>
    <w:rsid w:val="005A44F9"/>
    <w:rsid w:val="005A4542"/>
    <w:rsid w:val="005A4546"/>
    <w:rsid w:val="005A468F"/>
    <w:rsid w:val="005A4743"/>
    <w:rsid w:val="005A486A"/>
    <w:rsid w:val="005A4A07"/>
    <w:rsid w:val="005A4A8F"/>
    <w:rsid w:val="005A4B6C"/>
    <w:rsid w:val="005A4B8C"/>
    <w:rsid w:val="005A4BEF"/>
    <w:rsid w:val="005A4CE5"/>
    <w:rsid w:val="005A4E02"/>
    <w:rsid w:val="005A4E4D"/>
    <w:rsid w:val="005A4EC1"/>
    <w:rsid w:val="005A4F6A"/>
    <w:rsid w:val="005A5084"/>
    <w:rsid w:val="005A5144"/>
    <w:rsid w:val="005A5167"/>
    <w:rsid w:val="005A5238"/>
    <w:rsid w:val="005A527C"/>
    <w:rsid w:val="005A52F9"/>
    <w:rsid w:val="005A531E"/>
    <w:rsid w:val="005A5333"/>
    <w:rsid w:val="005A56A2"/>
    <w:rsid w:val="005A56BE"/>
    <w:rsid w:val="005A56E6"/>
    <w:rsid w:val="005A5880"/>
    <w:rsid w:val="005A58E3"/>
    <w:rsid w:val="005A59C9"/>
    <w:rsid w:val="005A5A70"/>
    <w:rsid w:val="005A5A73"/>
    <w:rsid w:val="005A5ACE"/>
    <w:rsid w:val="005A5ADF"/>
    <w:rsid w:val="005A5B0B"/>
    <w:rsid w:val="005A5B61"/>
    <w:rsid w:val="005A5BC2"/>
    <w:rsid w:val="005A5C14"/>
    <w:rsid w:val="005A5DCE"/>
    <w:rsid w:val="005A5EE1"/>
    <w:rsid w:val="005A64A3"/>
    <w:rsid w:val="005A64C8"/>
    <w:rsid w:val="005A66A8"/>
    <w:rsid w:val="005A6741"/>
    <w:rsid w:val="005A6781"/>
    <w:rsid w:val="005A67E6"/>
    <w:rsid w:val="005A68A5"/>
    <w:rsid w:val="005A69CE"/>
    <w:rsid w:val="005A6A78"/>
    <w:rsid w:val="005A6A8B"/>
    <w:rsid w:val="005A6B4B"/>
    <w:rsid w:val="005A6CC1"/>
    <w:rsid w:val="005A6D76"/>
    <w:rsid w:val="005A6D96"/>
    <w:rsid w:val="005A6EBF"/>
    <w:rsid w:val="005A6EEE"/>
    <w:rsid w:val="005A6F0F"/>
    <w:rsid w:val="005A6F4B"/>
    <w:rsid w:val="005A6FA3"/>
    <w:rsid w:val="005A6FDE"/>
    <w:rsid w:val="005A6FFD"/>
    <w:rsid w:val="005A7029"/>
    <w:rsid w:val="005A71C9"/>
    <w:rsid w:val="005A71D2"/>
    <w:rsid w:val="005A71E1"/>
    <w:rsid w:val="005A71FA"/>
    <w:rsid w:val="005A73BC"/>
    <w:rsid w:val="005A73C3"/>
    <w:rsid w:val="005A7543"/>
    <w:rsid w:val="005A76B1"/>
    <w:rsid w:val="005A7761"/>
    <w:rsid w:val="005A77B4"/>
    <w:rsid w:val="005A77D5"/>
    <w:rsid w:val="005A782E"/>
    <w:rsid w:val="005A7A89"/>
    <w:rsid w:val="005A7AA6"/>
    <w:rsid w:val="005A7ACE"/>
    <w:rsid w:val="005A7B43"/>
    <w:rsid w:val="005A7BE2"/>
    <w:rsid w:val="005A7BEE"/>
    <w:rsid w:val="005A7CE9"/>
    <w:rsid w:val="005A7D90"/>
    <w:rsid w:val="005A7E52"/>
    <w:rsid w:val="005A7FD9"/>
    <w:rsid w:val="005B00E7"/>
    <w:rsid w:val="005B01FA"/>
    <w:rsid w:val="005B034D"/>
    <w:rsid w:val="005B0373"/>
    <w:rsid w:val="005B03AB"/>
    <w:rsid w:val="005B05A9"/>
    <w:rsid w:val="005B0606"/>
    <w:rsid w:val="005B06E3"/>
    <w:rsid w:val="005B07C9"/>
    <w:rsid w:val="005B088F"/>
    <w:rsid w:val="005B09C3"/>
    <w:rsid w:val="005B09D3"/>
    <w:rsid w:val="005B09F3"/>
    <w:rsid w:val="005B0B54"/>
    <w:rsid w:val="005B0BC4"/>
    <w:rsid w:val="005B0C1C"/>
    <w:rsid w:val="005B0C59"/>
    <w:rsid w:val="005B0CAE"/>
    <w:rsid w:val="005B0DB8"/>
    <w:rsid w:val="005B0DE8"/>
    <w:rsid w:val="005B0F79"/>
    <w:rsid w:val="005B1092"/>
    <w:rsid w:val="005B1162"/>
    <w:rsid w:val="005B11E6"/>
    <w:rsid w:val="005B13E8"/>
    <w:rsid w:val="005B144A"/>
    <w:rsid w:val="005B1497"/>
    <w:rsid w:val="005B15F9"/>
    <w:rsid w:val="005B17D9"/>
    <w:rsid w:val="005B181C"/>
    <w:rsid w:val="005B1952"/>
    <w:rsid w:val="005B1D25"/>
    <w:rsid w:val="005B1D63"/>
    <w:rsid w:val="005B1E0F"/>
    <w:rsid w:val="005B1ED5"/>
    <w:rsid w:val="005B1F6B"/>
    <w:rsid w:val="005B1FE6"/>
    <w:rsid w:val="005B1FE7"/>
    <w:rsid w:val="005B2079"/>
    <w:rsid w:val="005B20B7"/>
    <w:rsid w:val="005B2113"/>
    <w:rsid w:val="005B21BB"/>
    <w:rsid w:val="005B22A1"/>
    <w:rsid w:val="005B22C4"/>
    <w:rsid w:val="005B2354"/>
    <w:rsid w:val="005B23C2"/>
    <w:rsid w:val="005B23C5"/>
    <w:rsid w:val="005B2447"/>
    <w:rsid w:val="005B2523"/>
    <w:rsid w:val="005B2559"/>
    <w:rsid w:val="005B25E4"/>
    <w:rsid w:val="005B269F"/>
    <w:rsid w:val="005B2724"/>
    <w:rsid w:val="005B2742"/>
    <w:rsid w:val="005B280D"/>
    <w:rsid w:val="005B286B"/>
    <w:rsid w:val="005B2A2F"/>
    <w:rsid w:val="005B2A68"/>
    <w:rsid w:val="005B2B41"/>
    <w:rsid w:val="005B2BE3"/>
    <w:rsid w:val="005B2C04"/>
    <w:rsid w:val="005B2C11"/>
    <w:rsid w:val="005B2C67"/>
    <w:rsid w:val="005B2C9B"/>
    <w:rsid w:val="005B2CC4"/>
    <w:rsid w:val="005B2DE4"/>
    <w:rsid w:val="005B2E8B"/>
    <w:rsid w:val="005B3078"/>
    <w:rsid w:val="005B30E2"/>
    <w:rsid w:val="005B3133"/>
    <w:rsid w:val="005B3183"/>
    <w:rsid w:val="005B325E"/>
    <w:rsid w:val="005B326B"/>
    <w:rsid w:val="005B3317"/>
    <w:rsid w:val="005B3363"/>
    <w:rsid w:val="005B33BB"/>
    <w:rsid w:val="005B33C1"/>
    <w:rsid w:val="005B348F"/>
    <w:rsid w:val="005B34B1"/>
    <w:rsid w:val="005B34BE"/>
    <w:rsid w:val="005B3543"/>
    <w:rsid w:val="005B36AF"/>
    <w:rsid w:val="005B36CC"/>
    <w:rsid w:val="005B3731"/>
    <w:rsid w:val="005B373B"/>
    <w:rsid w:val="005B3748"/>
    <w:rsid w:val="005B3756"/>
    <w:rsid w:val="005B380E"/>
    <w:rsid w:val="005B3861"/>
    <w:rsid w:val="005B3914"/>
    <w:rsid w:val="005B39E6"/>
    <w:rsid w:val="005B3B0C"/>
    <w:rsid w:val="005B3BFD"/>
    <w:rsid w:val="005B3CBD"/>
    <w:rsid w:val="005B3EB0"/>
    <w:rsid w:val="005B3F1E"/>
    <w:rsid w:val="005B3F1F"/>
    <w:rsid w:val="005B4051"/>
    <w:rsid w:val="005B407C"/>
    <w:rsid w:val="005B4088"/>
    <w:rsid w:val="005B4097"/>
    <w:rsid w:val="005B4116"/>
    <w:rsid w:val="005B429E"/>
    <w:rsid w:val="005B42B9"/>
    <w:rsid w:val="005B430A"/>
    <w:rsid w:val="005B440D"/>
    <w:rsid w:val="005B444E"/>
    <w:rsid w:val="005B44DA"/>
    <w:rsid w:val="005B45A0"/>
    <w:rsid w:val="005B4671"/>
    <w:rsid w:val="005B46B2"/>
    <w:rsid w:val="005B46B6"/>
    <w:rsid w:val="005B478E"/>
    <w:rsid w:val="005B48D7"/>
    <w:rsid w:val="005B4940"/>
    <w:rsid w:val="005B49B2"/>
    <w:rsid w:val="005B4B82"/>
    <w:rsid w:val="005B4BA9"/>
    <w:rsid w:val="005B4BB0"/>
    <w:rsid w:val="005B4C10"/>
    <w:rsid w:val="005B4C86"/>
    <w:rsid w:val="005B4CF4"/>
    <w:rsid w:val="005B4EBF"/>
    <w:rsid w:val="005B4F1E"/>
    <w:rsid w:val="005B4F4C"/>
    <w:rsid w:val="005B4F9F"/>
    <w:rsid w:val="005B5011"/>
    <w:rsid w:val="005B5032"/>
    <w:rsid w:val="005B5061"/>
    <w:rsid w:val="005B5094"/>
    <w:rsid w:val="005B5195"/>
    <w:rsid w:val="005B5196"/>
    <w:rsid w:val="005B51EA"/>
    <w:rsid w:val="005B524A"/>
    <w:rsid w:val="005B52A3"/>
    <w:rsid w:val="005B52F2"/>
    <w:rsid w:val="005B5459"/>
    <w:rsid w:val="005B5480"/>
    <w:rsid w:val="005B54E4"/>
    <w:rsid w:val="005B5580"/>
    <w:rsid w:val="005B55C0"/>
    <w:rsid w:val="005B5680"/>
    <w:rsid w:val="005B572F"/>
    <w:rsid w:val="005B5743"/>
    <w:rsid w:val="005B58A0"/>
    <w:rsid w:val="005B58E7"/>
    <w:rsid w:val="005B59E8"/>
    <w:rsid w:val="005B5A2D"/>
    <w:rsid w:val="005B5AFB"/>
    <w:rsid w:val="005B5B0E"/>
    <w:rsid w:val="005B5BE2"/>
    <w:rsid w:val="005B5CA3"/>
    <w:rsid w:val="005B5D66"/>
    <w:rsid w:val="005B5DBD"/>
    <w:rsid w:val="005B5E2A"/>
    <w:rsid w:val="005B5EAA"/>
    <w:rsid w:val="005B5FB6"/>
    <w:rsid w:val="005B61A2"/>
    <w:rsid w:val="005B6313"/>
    <w:rsid w:val="005B6341"/>
    <w:rsid w:val="005B65A5"/>
    <w:rsid w:val="005B65F7"/>
    <w:rsid w:val="005B67A3"/>
    <w:rsid w:val="005B6855"/>
    <w:rsid w:val="005B6899"/>
    <w:rsid w:val="005B68BA"/>
    <w:rsid w:val="005B68F2"/>
    <w:rsid w:val="005B68FE"/>
    <w:rsid w:val="005B691F"/>
    <w:rsid w:val="005B693A"/>
    <w:rsid w:val="005B6A08"/>
    <w:rsid w:val="005B6B6C"/>
    <w:rsid w:val="005B6C0F"/>
    <w:rsid w:val="005B6CC2"/>
    <w:rsid w:val="005B6D99"/>
    <w:rsid w:val="005B6F1E"/>
    <w:rsid w:val="005B6F26"/>
    <w:rsid w:val="005B6F76"/>
    <w:rsid w:val="005B7094"/>
    <w:rsid w:val="005B70D9"/>
    <w:rsid w:val="005B712B"/>
    <w:rsid w:val="005B72F0"/>
    <w:rsid w:val="005B734A"/>
    <w:rsid w:val="005B73F8"/>
    <w:rsid w:val="005B7469"/>
    <w:rsid w:val="005B752D"/>
    <w:rsid w:val="005B75D4"/>
    <w:rsid w:val="005B767F"/>
    <w:rsid w:val="005B7691"/>
    <w:rsid w:val="005B769B"/>
    <w:rsid w:val="005B76A0"/>
    <w:rsid w:val="005B7758"/>
    <w:rsid w:val="005B77BF"/>
    <w:rsid w:val="005B78E9"/>
    <w:rsid w:val="005B7920"/>
    <w:rsid w:val="005B795F"/>
    <w:rsid w:val="005B7999"/>
    <w:rsid w:val="005B79B5"/>
    <w:rsid w:val="005B7A02"/>
    <w:rsid w:val="005B7A9D"/>
    <w:rsid w:val="005B7AE1"/>
    <w:rsid w:val="005B7BA1"/>
    <w:rsid w:val="005B7C50"/>
    <w:rsid w:val="005B7C76"/>
    <w:rsid w:val="005B7CF1"/>
    <w:rsid w:val="005B7D71"/>
    <w:rsid w:val="005C00EF"/>
    <w:rsid w:val="005C00F1"/>
    <w:rsid w:val="005C0167"/>
    <w:rsid w:val="005C0199"/>
    <w:rsid w:val="005C01F9"/>
    <w:rsid w:val="005C0235"/>
    <w:rsid w:val="005C023D"/>
    <w:rsid w:val="005C029D"/>
    <w:rsid w:val="005C02A4"/>
    <w:rsid w:val="005C036B"/>
    <w:rsid w:val="005C03A7"/>
    <w:rsid w:val="005C0449"/>
    <w:rsid w:val="005C049F"/>
    <w:rsid w:val="005C060D"/>
    <w:rsid w:val="005C0625"/>
    <w:rsid w:val="005C0660"/>
    <w:rsid w:val="005C06B1"/>
    <w:rsid w:val="005C0746"/>
    <w:rsid w:val="005C0842"/>
    <w:rsid w:val="005C0871"/>
    <w:rsid w:val="005C0925"/>
    <w:rsid w:val="005C098F"/>
    <w:rsid w:val="005C0A8B"/>
    <w:rsid w:val="005C0AA4"/>
    <w:rsid w:val="005C0AD4"/>
    <w:rsid w:val="005C0D45"/>
    <w:rsid w:val="005C0D4D"/>
    <w:rsid w:val="005C0D7A"/>
    <w:rsid w:val="005C0DCE"/>
    <w:rsid w:val="005C0EEF"/>
    <w:rsid w:val="005C0FB4"/>
    <w:rsid w:val="005C101F"/>
    <w:rsid w:val="005C109F"/>
    <w:rsid w:val="005C10C4"/>
    <w:rsid w:val="005C118D"/>
    <w:rsid w:val="005C11AC"/>
    <w:rsid w:val="005C129A"/>
    <w:rsid w:val="005C12AC"/>
    <w:rsid w:val="005C13E1"/>
    <w:rsid w:val="005C13F2"/>
    <w:rsid w:val="005C1445"/>
    <w:rsid w:val="005C14D3"/>
    <w:rsid w:val="005C152C"/>
    <w:rsid w:val="005C159B"/>
    <w:rsid w:val="005C1621"/>
    <w:rsid w:val="005C163E"/>
    <w:rsid w:val="005C16EE"/>
    <w:rsid w:val="005C1729"/>
    <w:rsid w:val="005C176D"/>
    <w:rsid w:val="005C195B"/>
    <w:rsid w:val="005C19D7"/>
    <w:rsid w:val="005C1A9E"/>
    <w:rsid w:val="005C1B2C"/>
    <w:rsid w:val="005C1C11"/>
    <w:rsid w:val="005C1CBE"/>
    <w:rsid w:val="005C1DCC"/>
    <w:rsid w:val="005C1DF6"/>
    <w:rsid w:val="005C1E61"/>
    <w:rsid w:val="005C1E6D"/>
    <w:rsid w:val="005C1F86"/>
    <w:rsid w:val="005C20D2"/>
    <w:rsid w:val="005C20DC"/>
    <w:rsid w:val="005C214A"/>
    <w:rsid w:val="005C23EF"/>
    <w:rsid w:val="005C2403"/>
    <w:rsid w:val="005C253B"/>
    <w:rsid w:val="005C255F"/>
    <w:rsid w:val="005C256E"/>
    <w:rsid w:val="005C2584"/>
    <w:rsid w:val="005C25FD"/>
    <w:rsid w:val="005C263C"/>
    <w:rsid w:val="005C26DC"/>
    <w:rsid w:val="005C26E4"/>
    <w:rsid w:val="005C26F5"/>
    <w:rsid w:val="005C279E"/>
    <w:rsid w:val="005C28FF"/>
    <w:rsid w:val="005C2948"/>
    <w:rsid w:val="005C2A3D"/>
    <w:rsid w:val="005C2AE6"/>
    <w:rsid w:val="005C2B8D"/>
    <w:rsid w:val="005C2D41"/>
    <w:rsid w:val="005C2E04"/>
    <w:rsid w:val="005C2EC2"/>
    <w:rsid w:val="005C2FBF"/>
    <w:rsid w:val="005C2FC7"/>
    <w:rsid w:val="005C300B"/>
    <w:rsid w:val="005C3024"/>
    <w:rsid w:val="005C3095"/>
    <w:rsid w:val="005C31D3"/>
    <w:rsid w:val="005C3279"/>
    <w:rsid w:val="005C3286"/>
    <w:rsid w:val="005C32AD"/>
    <w:rsid w:val="005C32E6"/>
    <w:rsid w:val="005C32FE"/>
    <w:rsid w:val="005C333D"/>
    <w:rsid w:val="005C3352"/>
    <w:rsid w:val="005C3355"/>
    <w:rsid w:val="005C33DC"/>
    <w:rsid w:val="005C345A"/>
    <w:rsid w:val="005C349F"/>
    <w:rsid w:val="005C3507"/>
    <w:rsid w:val="005C362F"/>
    <w:rsid w:val="005C371C"/>
    <w:rsid w:val="005C37A4"/>
    <w:rsid w:val="005C3918"/>
    <w:rsid w:val="005C3934"/>
    <w:rsid w:val="005C3B0A"/>
    <w:rsid w:val="005C3C00"/>
    <w:rsid w:val="005C3C01"/>
    <w:rsid w:val="005C3C7B"/>
    <w:rsid w:val="005C3C9A"/>
    <w:rsid w:val="005C3DCD"/>
    <w:rsid w:val="005C3E6F"/>
    <w:rsid w:val="005C3FA4"/>
    <w:rsid w:val="005C405A"/>
    <w:rsid w:val="005C40D9"/>
    <w:rsid w:val="005C41CD"/>
    <w:rsid w:val="005C42A2"/>
    <w:rsid w:val="005C42C4"/>
    <w:rsid w:val="005C4380"/>
    <w:rsid w:val="005C43E8"/>
    <w:rsid w:val="005C44E1"/>
    <w:rsid w:val="005C453C"/>
    <w:rsid w:val="005C45C2"/>
    <w:rsid w:val="005C45D6"/>
    <w:rsid w:val="005C466C"/>
    <w:rsid w:val="005C46F8"/>
    <w:rsid w:val="005C4879"/>
    <w:rsid w:val="005C4A36"/>
    <w:rsid w:val="005C4A64"/>
    <w:rsid w:val="005C4AA5"/>
    <w:rsid w:val="005C4AF8"/>
    <w:rsid w:val="005C4BD1"/>
    <w:rsid w:val="005C4BF2"/>
    <w:rsid w:val="005C4C37"/>
    <w:rsid w:val="005C4D0A"/>
    <w:rsid w:val="005C4D35"/>
    <w:rsid w:val="005C4DBD"/>
    <w:rsid w:val="005C4DE7"/>
    <w:rsid w:val="005C4E43"/>
    <w:rsid w:val="005C503A"/>
    <w:rsid w:val="005C505E"/>
    <w:rsid w:val="005C5111"/>
    <w:rsid w:val="005C5125"/>
    <w:rsid w:val="005C5136"/>
    <w:rsid w:val="005C5164"/>
    <w:rsid w:val="005C5387"/>
    <w:rsid w:val="005C547C"/>
    <w:rsid w:val="005C547D"/>
    <w:rsid w:val="005C54B7"/>
    <w:rsid w:val="005C54B9"/>
    <w:rsid w:val="005C56DB"/>
    <w:rsid w:val="005C577B"/>
    <w:rsid w:val="005C595F"/>
    <w:rsid w:val="005C59FE"/>
    <w:rsid w:val="005C5ABC"/>
    <w:rsid w:val="005C5B0C"/>
    <w:rsid w:val="005C5B44"/>
    <w:rsid w:val="005C5BC1"/>
    <w:rsid w:val="005C5BCC"/>
    <w:rsid w:val="005C5C28"/>
    <w:rsid w:val="005C5CAC"/>
    <w:rsid w:val="005C5D77"/>
    <w:rsid w:val="005C5DC3"/>
    <w:rsid w:val="005C5DC4"/>
    <w:rsid w:val="005C5E46"/>
    <w:rsid w:val="005C5E88"/>
    <w:rsid w:val="005C5E9D"/>
    <w:rsid w:val="005C5FEF"/>
    <w:rsid w:val="005C6164"/>
    <w:rsid w:val="005C6236"/>
    <w:rsid w:val="005C63A9"/>
    <w:rsid w:val="005C63D8"/>
    <w:rsid w:val="005C64BD"/>
    <w:rsid w:val="005C6561"/>
    <w:rsid w:val="005C6670"/>
    <w:rsid w:val="005C6706"/>
    <w:rsid w:val="005C6841"/>
    <w:rsid w:val="005C685B"/>
    <w:rsid w:val="005C68E5"/>
    <w:rsid w:val="005C6AB3"/>
    <w:rsid w:val="005C6C2E"/>
    <w:rsid w:val="005C6DB2"/>
    <w:rsid w:val="005C6DFB"/>
    <w:rsid w:val="005C6E1F"/>
    <w:rsid w:val="005C6E47"/>
    <w:rsid w:val="005C6E66"/>
    <w:rsid w:val="005C6EB0"/>
    <w:rsid w:val="005C6EEA"/>
    <w:rsid w:val="005C6F39"/>
    <w:rsid w:val="005C6F52"/>
    <w:rsid w:val="005C7003"/>
    <w:rsid w:val="005C714E"/>
    <w:rsid w:val="005C7266"/>
    <w:rsid w:val="005C7317"/>
    <w:rsid w:val="005C739C"/>
    <w:rsid w:val="005C73C8"/>
    <w:rsid w:val="005C7472"/>
    <w:rsid w:val="005C74E8"/>
    <w:rsid w:val="005C7543"/>
    <w:rsid w:val="005C75DA"/>
    <w:rsid w:val="005C75ED"/>
    <w:rsid w:val="005C76F5"/>
    <w:rsid w:val="005C7751"/>
    <w:rsid w:val="005C7760"/>
    <w:rsid w:val="005C7787"/>
    <w:rsid w:val="005C799C"/>
    <w:rsid w:val="005C7A0A"/>
    <w:rsid w:val="005C7A5D"/>
    <w:rsid w:val="005C7AE5"/>
    <w:rsid w:val="005C7B82"/>
    <w:rsid w:val="005C7BA4"/>
    <w:rsid w:val="005C7BF2"/>
    <w:rsid w:val="005C7BFB"/>
    <w:rsid w:val="005C7C22"/>
    <w:rsid w:val="005C7C6A"/>
    <w:rsid w:val="005C7CC7"/>
    <w:rsid w:val="005C7D28"/>
    <w:rsid w:val="005C7D73"/>
    <w:rsid w:val="005C7FA5"/>
    <w:rsid w:val="005C7FC2"/>
    <w:rsid w:val="005D00CC"/>
    <w:rsid w:val="005D01DC"/>
    <w:rsid w:val="005D0242"/>
    <w:rsid w:val="005D024A"/>
    <w:rsid w:val="005D0428"/>
    <w:rsid w:val="005D0437"/>
    <w:rsid w:val="005D0625"/>
    <w:rsid w:val="005D0879"/>
    <w:rsid w:val="005D0C8C"/>
    <w:rsid w:val="005D0CF1"/>
    <w:rsid w:val="005D0CFC"/>
    <w:rsid w:val="005D0D42"/>
    <w:rsid w:val="005D0F53"/>
    <w:rsid w:val="005D1070"/>
    <w:rsid w:val="005D10AF"/>
    <w:rsid w:val="005D1179"/>
    <w:rsid w:val="005D117D"/>
    <w:rsid w:val="005D1187"/>
    <w:rsid w:val="005D1193"/>
    <w:rsid w:val="005D11BA"/>
    <w:rsid w:val="005D11C3"/>
    <w:rsid w:val="005D11CA"/>
    <w:rsid w:val="005D12D6"/>
    <w:rsid w:val="005D1395"/>
    <w:rsid w:val="005D14FE"/>
    <w:rsid w:val="005D158A"/>
    <w:rsid w:val="005D164F"/>
    <w:rsid w:val="005D166F"/>
    <w:rsid w:val="005D16AC"/>
    <w:rsid w:val="005D16F2"/>
    <w:rsid w:val="005D1768"/>
    <w:rsid w:val="005D17A7"/>
    <w:rsid w:val="005D1832"/>
    <w:rsid w:val="005D1958"/>
    <w:rsid w:val="005D197B"/>
    <w:rsid w:val="005D19C8"/>
    <w:rsid w:val="005D1A9B"/>
    <w:rsid w:val="005D1B01"/>
    <w:rsid w:val="005D1B2A"/>
    <w:rsid w:val="005D1B37"/>
    <w:rsid w:val="005D1B40"/>
    <w:rsid w:val="005D1B8A"/>
    <w:rsid w:val="005D1D00"/>
    <w:rsid w:val="005D1D27"/>
    <w:rsid w:val="005D1DCC"/>
    <w:rsid w:val="005D1F01"/>
    <w:rsid w:val="005D1F0A"/>
    <w:rsid w:val="005D1F7E"/>
    <w:rsid w:val="005D2022"/>
    <w:rsid w:val="005D2036"/>
    <w:rsid w:val="005D2079"/>
    <w:rsid w:val="005D209A"/>
    <w:rsid w:val="005D20EC"/>
    <w:rsid w:val="005D21DD"/>
    <w:rsid w:val="005D23A5"/>
    <w:rsid w:val="005D23CB"/>
    <w:rsid w:val="005D2442"/>
    <w:rsid w:val="005D2556"/>
    <w:rsid w:val="005D2614"/>
    <w:rsid w:val="005D26D4"/>
    <w:rsid w:val="005D2714"/>
    <w:rsid w:val="005D28FB"/>
    <w:rsid w:val="005D2A5E"/>
    <w:rsid w:val="005D2AC8"/>
    <w:rsid w:val="005D2B04"/>
    <w:rsid w:val="005D2C67"/>
    <w:rsid w:val="005D2D18"/>
    <w:rsid w:val="005D2DFC"/>
    <w:rsid w:val="005D309F"/>
    <w:rsid w:val="005D31FF"/>
    <w:rsid w:val="005D3392"/>
    <w:rsid w:val="005D341E"/>
    <w:rsid w:val="005D3446"/>
    <w:rsid w:val="005D3948"/>
    <w:rsid w:val="005D3A8D"/>
    <w:rsid w:val="005D3AE8"/>
    <w:rsid w:val="005D3B30"/>
    <w:rsid w:val="005D3C00"/>
    <w:rsid w:val="005D3C1C"/>
    <w:rsid w:val="005D3D37"/>
    <w:rsid w:val="005D3D52"/>
    <w:rsid w:val="005D3D65"/>
    <w:rsid w:val="005D3D7F"/>
    <w:rsid w:val="005D3DDE"/>
    <w:rsid w:val="005D3DF2"/>
    <w:rsid w:val="005D3E18"/>
    <w:rsid w:val="005D40B0"/>
    <w:rsid w:val="005D40C9"/>
    <w:rsid w:val="005D40EB"/>
    <w:rsid w:val="005D40FB"/>
    <w:rsid w:val="005D4155"/>
    <w:rsid w:val="005D417E"/>
    <w:rsid w:val="005D41EB"/>
    <w:rsid w:val="005D4265"/>
    <w:rsid w:val="005D4295"/>
    <w:rsid w:val="005D4346"/>
    <w:rsid w:val="005D43B1"/>
    <w:rsid w:val="005D43B2"/>
    <w:rsid w:val="005D43DE"/>
    <w:rsid w:val="005D43EA"/>
    <w:rsid w:val="005D43F9"/>
    <w:rsid w:val="005D44EE"/>
    <w:rsid w:val="005D44F9"/>
    <w:rsid w:val="005D45D8"/>
    <w:rsid w:val="005D465C"/>
    <w:rsid w:val="005D4666"/>
    <w:rsid w:val="005D474D"/>
    <w:rsid w:val="005D477F"/>
    <w:rsid w:val="005D4803"/>
    <w:rsid w:val="005D4846"/>
    <w:rsid w:val="005D494D"/>
    <w:rsid w:val="005D4A60"/>
    <w:rsid w:val="005D4B75"/>
    <w:rsid w:val="005D4BCA"/>
    <w:rsid w:val="005D4DC9"/>
    <w:rsid w:val="005D4E3C"/>
    <w:rsid w:val="005D4F34"/>
    <w:rsid w:val="005D4FD4"/>
    <w:rsid w:val="005D5059"/>
    <w:rsid w:val="005D5113"/>
    <w:rsid w:val="005D51F4"/>
    <w:rsid w:val="005D544A"/>
    <w:rsid w:val="005D5575"/>
    <w:rsid w:val="005D559C"/>
    <w:rsid w:val="005D55CF"/>
    <w:rsid w:val="005D561B"/>
    <w:rsid w:val="005D567D"/>
    <w:rsid w:val="005D5755"/>
    <w:rsid w:val="005D57FA"/>
    <w:rsid w:val="005D5940"/>
    <w:rsid w:val="005D59DA"/>
    <w:rsid w:val="005D5C7A"/>
    <w:rsid w:val="005D5CAC"/>
    <w:rsid w:val="005D5DC4"/>
    <w:rsid w:val="005D5E6B"/>
    <w:rsid w:val="005D5E7E"/>
    <w:rsid w:val="005D5EB4"/>
    <w:rsid w:val="005D5F32"/>
    <w:rsid w:val="005D5F64"/>
    <w:rsid w:val="005D6150"/>
    <w:rsid w:val="005D6151"/>
    <w:rsid w:val="005D62EB"/>
    <w:rsid w:val="005D6314"/>
    <w:rsid w:val="005D6329"/>
    <w:rsid w:val="005D6378"/>
    <w:rsid w:val="005D63F0"/>
    <w:rsid w:val="005D652B"/>
    <w:rsid w:val="005D652C"/>
    <w:rsid w:val="005D65FD"/>
    <w:rsid w:val="005D6619"/>
    <w:rsid w:val="005D6684"/>
    <w:rsid w:val="005D6784"/>
    <w:rsid w:val="005D6859"/>
    <w:rsid w:val="005D6861"/>
    <w:rsid w:val="005D694A"/>
    <w:rsid w:val="005D6A3C"/>
    <w:rsid w:val="005D6A40"/>
    <w:rsid w:val="005D6A80"/>
    <w:rsid w:val="005D6B0D"/>
    <w:rsid w:val="005D6B96"/>
    <w:rsid w:val="005D6BFD"/>
    <w:rsid w:val="005D6C63"/>
    <w:rsid w:val="005D6C7A"/>
    <w:rsid w:val="005D6CA3"/>
    <w:rsid w:val="005D6D5B"/>
    <w:rsid w:val="005D6D64"/>
    <w:rsid w:val="005D70E2"/>
    <w:rsid w:val="005D715D"/>
    <w:rsid w:val="005D7446"/>
    <w:rsid w:val="005D7496"/>
    <w:rsid w:val="005D74F2"/>
    <w:rsid w:val="005D77C6"/>
    <w:rsid w:val="005D77D1"/>
    <w:rsid w:val="005D77E9"/>
    <w:rsid w:val="005D789F"/>
    <w:rsid w:val="005D7947"/>
    <w:rsid w:val="005D794E"/>
    <w:rsid w:val="005D7A22"/>
    <w:rsid w:val="005D7A80"/>
    <w:rsid w:val="005D7AAC"/>
    <w:rsid w:val="005D7B1F"/>
    <w:rsid w:val="005D7B92"/>
    <w:rsid w:val="005D7C10"/>
    <w:rsid w:val="005D7CBE"/>
    <w:rsid w:val="005D7CD4"/>
    <w:rsid w:val="005D7D2F"/>
    <w:rsid w:val="005D7D3D"/>
    <w:rsid w:val="005D7E58"/>
    <w:rsid w:val="005D7F31"/>
    <w:rsid w:val="005E01AB"/>
    <w:rsid w:val="005E01BF"/>
    <w:rsid w:val="005E01ED"/>
    <w:rsid w:val="005E02EA"/>
    <w:rsid w:val="005E035E"/>
    <w:rsid w:val="005E038C"/>
    <w:rsid w:val="005E03A8"/>
    <w:rsid w:val="005E043E"/>
    <w:rsid w:val="005E050C"/>
    <w:rsid w:val="005E05BA"/>
    <w:rsid w:val="005E063F"/>
    <w:rsid w:val="005E06F0"/>
    <w:rsid w:val="005E08BD"/>
    <w:rsid w:val="005E08D7"/>
    <w:rsid w:val="005E094A"/>
    <w:rsid w:val="005E0A1B"/>
    <w:rsid w:val="005E0A3D"/>
    <w:rsid w:val="005E0A85"/>
    <w:rsid w:val="005E0CF7"/>
    <w:rsid w:val="005E0D55"/>
    <w:rsid w:val="005E0D68"/>
    <w:rsid w:val="005E0D6B"/>
    <w:rsid w:val="005E0E2A"/>
    <w:rsid w:val="005E0EED"/>
    <w:rsid w:val="005E0FE1"/>
    <w:rsid w:val="005E100C"/>
    <w:rsid w:val="005E1020"/>
    <w:rsid w:val="005E1169"/>
    <w:rsid w:val="005E12B6"/>
    <w:rsid w:val="005E1305"/>
    <w:rsid w:val="005E1322"/>
    <w:rsid w:val="005E1359"/>
    <w:rsid w:val="005E135E"/>
    <w:rsid w:val="005E13BA"/>
    <w:rsid w:val="005E1590"/>
    <w:rsid w:val="005E15D1"/>
    <w:rsid w:val="005E15E1"/>
    <w:rsid w:val="005E1680"/>
    <w:rsid w:val="005E16BF"/>
    <w:rsid w:val="005E1727"/>
    <w:rsid w:val="005E1759"/>
    <w:rsid w:val="005E1780"/>
    <w:rsid w:val="005E1783"/>
    <w:rsid w:val="005E17DB"/>
    <w:rsid w:val="005E1991"/>
    <w:rsid w:val="005E19B8"/>
    <w:rsid w:val="005E1AAD"/>
    <w:rsid w:val="005E1B43"/>
    <w:rsid w:val="005E1B51"/>
    <w:rsid w:val="005E1B5A"/>
    <w:rsid w:val="005E1B74"/>
    <w:rsid w:val="005E1C62"/>
    <w:rsid w:val="005E1C65"/>
    <w:rsid w:val="005E1D96"/>
    <w:rsid w:val="005E1E58"/>
    <w:rsid w:val="005E1E5A"/>
    <w:rsid w:val="005E1EDD"/>
    <w:rsid w:val="005E1FA6"/>
    <w:rsid w:val="005E1FC0"/>
    <w:rsid w:val="005E205A"/>
    <w:rsid w:val="005E21F9"/>
    <w:rsid w:val="005E2222"/>
    <w:rsid w:val="005E2278"/>
    <w:rsid w:val="005E2299"/>
    <w:rsid w:val="005E22AB"/>
    <w:rsid w:val="005E22FD"/>
    <w:rsid w:val="005E234B"/>
    <w:rsid w:val="005E2583"/>
    <w:rsid w:val="005E2698"/>
    <w:rsid w:val="005E26EC"/>
    <w:rsid w:val="005E274A"/>
    <w:rsid w:val="005E27B0"/>
    <w:rsid w:val="005E28AD"/>
    <w:rsid w:val="005E2A32"/>
    <w:rsid w:val="005E2A73"/>
    <w:rsid w:val="005E2C66"/>
    <w:rsid w:val="005E2D1A"/>
    <w:rsid w:val="005E2D78"/>
    <w:rsid w:val="005E2E0D"/>
    <w:rsid w:val="005E2E5D"/>
    <w:rsid w:val="005E2EBF"/>
    <w:rsid w:val="005E2F1E"/>
    <w:rsid w:val="005E2FB8"/>
    <w:rsid w:val="005E306E"/>
    <w:rsid w:val="005E3098"/>
    <w:rsid w:val="005E31BE"/>
    <w:rsid w:val="005E31F4"/>
    <w:rsid w:val="005E323F"/>
    <w:rsid w:val="005E32B1"/>
    <w:rsid w:val="005E331C"/>
    <w:rsid w:val="005E3364"/>
    <w:rsid w:val="005E3400"/>
    <w:rsid w:val="005E3508"/>
    <w:rsid w:val="005E3595"/>
    <w:rsid w:val="005E360D"/>
    <w:rsid w:val="005E36B9"/>
    <w:rsid w:val="005E3726"/>
    <w:rsid w:val="005E377B"/>
    <w:rsid w:val="005E3784"/>
    <w:rsid w:val="005E3915"/>
    <w:rsid w:val="005E3BA5"/>
    <w:rsid w:val="005E3CBB"/>
    <w:rsid w:val="005E3CBD"/>
    <w:rsid w:val="005E3D09"/>
    <w:rsid w:val="005E3D32"/>
    <w:rsid w:val="005E3E54"/>
    <w:rsid w:val="005E3E85"/>
    <w:rsid w:val="005E3EDF"/>
    <w:rsid w:val="005E3F60"/>
    <w:rsid w:val="005E3F88"/>
    <w:rsid w:val="005E3FCD"/>
    <w:rsid w:val="005E409E"/>
    <w:rsid w:val="005E40E8"/>
    <w:rsid w:val="005E41FB"/>
    <w:rsid w:val="005E4576"/>
    <w:rsid w:val="005E45C7"/>
    <w:rsid w:val="005E460A"/>
    <w:rsid w:val="005E478E"/>
    <w:rsid w:val="005E4801"/>
    <w:rsid w:val="005E481E"/>
    <w:rsid w:val="005E48AE"/>
    <w:rsid w:val="005E4A02"/>
    <w:rsid w:val="005E4A87"/>
    <w:rsid w:val="005E4A8D"/>
    <w:rsid w:val="005E4E57"/>
    <w:rsid w:val="005E4F14"/>
    <w:rsid w:val="005E4FA9"/>
    <w:rsid w:val="005E50E2"/>
    <w:rsid w:val="005E5122"/>
    <w:rsid w:val="005E522E"/>
    <w:rsid w:val="005E5264"/>
    <w:rsid w:val="005E5306"/>
    <w:rsid w:val="005E5318"/>
    <w:rsid w:val="005E5410"/>
    <w:rsid w:val="005E54CD"/>
    <w:rsid w:val="005E5514"/>
    <w:rsid w:val="005E5592"/>
    <w:rsid w:val="005E5669"/>
    <w:rsid w:val="005E5694"/>
    <w:rsid w:val="005E56FF"/>
    <w:rsid w:val="005E57B2"/>
    <w:rsid w:val="005E59F7"/>
    <w:rsid w:val="005E5A49"/>
    <w:rsid w:val="005E5A68"/>
    <w:rsid w:val="005E5AE5"/>
    <w:rsid w:val="005E5B40"/>
    <w:rsid w:val="005E5B60"/>
    <w:rsid w:val="005E5B9B"/>
    <w:rsid w:val="005E5BBA"/>
    <w:rsid w:val="005E5BBB"/>
    <w:rsid w:val="005E5C1E"/>
    <w:rsid w:val="005E5C84"/>
    <w:rsid w:val="005E5CD4"/>
    <w:rsid w:val="005E5CF7"/>
    <w:rsid w:val="005E5D46"/>
    <w:rsid w:val="005E5DD4"/>
    <w:rsid w:val="005E5DDF"/>
    <w:rsid w:val="005E5E35"/>
    <w:rsid w:val="005E5E79"/>
    <w:rsid w:val="005E5E82"/>
    <w:rsid w:val="005E6109"/>
    <w:rsid w:val="005E61EC"/>
    <w:rsid w:val="005E6270"/>
    <w:rsid w:val="005E6278"/>
    <w:rsid w:val="005E627E"/>
    <w:rsid w:val="005E62DA"/>
    <w:rsid w:val="005E6317"/>
    <w:rsid w:val="005E6439"/>
    <w:rsid w:val="005E647F"/>
    <w:rsid w:val="005E654B"/>
    <w:rsid w:val="005E6676"/>
    <w:rsid w:val="005E66A5"/>
    <w:rsid w:val="005E6759"/>
    <w:rsid w:val="005E675D"/>
    <w:rsid w:val="005E68F6"/>
    <w:rsid w:val="005E6928"/>
    <w:rsid w:val="005E696A"/>
    <w:rsid w:val="005E6979"/>
    <w:rsid w:val="005E697D"/>
    <w:rsid w:val="005E69B2"/>
    <w:rsid w:val="005E6A38"/>
    <w:rsid w:val="005E6ABB"/>
    <w:rsid w:val="005E6BB0"/>
    <w:rsid w:val="005E6CD3"/>
    <w:rsid w:val="005E6D4F"/>
    <w:rsid w:val="005E6D82"/>
    <w:rsid w:val="005E6E50"/>
    <w:rsid w:val="005E6E91"/>
    <w:rsid w:val="005E6EAF"/>
    <w:rsid w:val="005E6F15"/>
    <w:rsid w:val="005E6F75"/>
    <w:rsid w:val="005E70E3"/>
    <w:rsid w:val="005E7199"/>
    <w:rsid w:val="005E72B4"/>
    <w:rsid w:val="005E7376"/>
    <w:rsid w:val="005E7490"/>
    <w:rsid w:val="005E749C"/>
    <w:rsid w:val="005E755C"/>
    <w:rsid w:val="005E75E9"/>
    <w:rsid w:val="005E76FD"/>
    <w:rsid w:val="005E77B7"/>
    <w:rsid w:val="005E7A74"/>
    <w:rsid w:val="005E7ACF"/>
    <w:rsid w:val="005E7B0D"/>
    <w:rsid w:val="005E7B85"/>
    <w:rsid w:val="005E7C00"/>
    <w:rsid w:val="005E7CD8"/>
    <w:rsid w:val="005E7E63"/>
    <w:rsid w:val="005E7EAF"/>
    <w:rsid w:val="005E7F37"/>
    <w:rsid w:val="005F014F"/>
    <w:rsid w:val="005F0203"/>
    <w:rsid w:val="005F02D9"/>
    <w:rsid w:val="005F0374"/>
    <w:rsid w:val="005F0474"/>
    <w:rsid w:val="005F04AD"/>
    <w:rsid w:val="005F0626"/>
    <w:rsid w:val="005F065E"/>
    <w:rsid w:val="005F067A"/>
    <w:rsid w:val="005F06D3"/>
    <w:rsid w:val="005F06FE"/>
    <w:rsid w:val="005F08B4"/>
    <w:rsid w:val="005F08FB"/>
    <w:rsid w:val="005F0930"/>
    <w:rsid w:val="005F0964"/>
    <w:rsid w:val="005F0AE1"/>
    <w:rsid w:val="005F0BA4"/>
    <w:rsid w:val="005F0D0C"/>
    <w:rsid w:val="005F0F00"/>
    <w:rsid w:val="005F0F89"/>
    <w:rsid w:val="005F0FF2"/>
    <w:rsid w:val="005F103C"/>
    <w:rsid w:val="005F10BE"/>
    <w:rsid w:val="005F11D1"/>
    <w:rsid w:val="005F14F0"/>
    <w:rsid w:val="005F1623"/>
    <w:rsid w:val="005F1627"/>
    <w:rsid w:val="005F16AD"/>
    <w:rsid w:val="005F1706"/>
    <w:rsid w:val="005F170A"/>
    <w:rsid w:val="005F1824"/>
    <w:rsid w:val="005F1887"/>
    <w:rsid w:val="005F18A7"/>
    <w:rsid w:val="005F1A03"/>
    <w:rsid w:val="005F1A4C"/>
    <w:rsid w:val="005F1A86"/>
    <w:rsid w:val="005F1AF6"/>
    <w:rsid w:val="005F1B33"/>
    <w:rsid w:val="005F1C7F"/>
    <w:rsid w:val="005F1D5C"/>
    <w:rsid w:val="005F1DD0"/>
    <w:rsid w:val="005F1E0F"/>
    <w:rsid w:val="005F1E73"/>
    <w:rsid w:val="005F1EB1"/>
    <w:rsid w:val="005F208F"/>
    <w:rsid w:val="005F20C2"/>
    <w:rsid w:val="005F21AC"/>
    <w:rsid w:val="005F21E9"/>
    <w:rsid w:val="005F225F"/>
    <w:rsid w:val="005F227A"/>
    <w:rsid w:val="005F2285"/>
    <w:rsid w:val="005F23B8"/>
    <w:rsid w:val="005F23E8"/>
    <w:rsid w:val="005F23F9"/>
    <w:rsid w:val="005F241D"/>
    <w:rsid w:val="005F2539"/>
    <w:rsid w:val="005F255D"/>
    <w:rsid w:val="005F25BE"/>
    <w:rsid w:val="005F25DD"/>
    <w:rsid w:val="005F263C"/>
    <w:rsid w:val="005F270B"/>
    <w:rsid w:val="005F2784"/>
    <w:rsid w:val="005F27F5"/>
    <w:rsid w:val="005F2862"/>
    <w:rsid w:val="005F2880"/>
    <w:rsid w:val="005F2884"/>
    <w:rsid w:val="005F28BF"/>
    <w:rsid w:val="005F2910"/>
    <w:rsid w:val="005F2923"/>
    <w:rsid w:val="005F2926"/>
    <w:rsid w:val="005F2934"/>
    <w:rsid w:val="005F29C3"/>
    <w:rsid w:val="005F29D9"/>
    <w:rsid w:val="005F29DC"/>
    <w:rsid w:val="005F2A87"/>
    <w:rsid w:val="005F2C22"/>
    <w:rsid w:val="005F2CCC"/>
    <w:rsid w:val="005F2DA0"/>
    <w:rsid w:val="005F2E1A"/>
    <w:rsid w:val="005F2E26"/>
    <w:rsid w:val="005F2F55"/>
    <w:rsid w:val="005F2F6C"/>
    <w:rsid w:val="005F2F9D"/>
    <w:rsid w:val="005F31AA"/>
    <w:rsid w:val="005F3271"/>
    <w:rsid w:val="005F327D"/>
    <w:rsid w:val="005F32F0"/>
    <w:rsid w:val="005F3362"/>
    <w:rsid w:val="005F346E"/>
    <w:rsid w:val="005F347E"/>
    <w:rsid w:val="005F3490"/>
    <w:rsid w:val="005F35FA"/>
    <w:rsid w:val="005F3628"/>
    <w:rsid w:val="005F3696"/>
    <w:rsid w:val="005F376F"/>
    <w:rsid w:val="005F378D"/>
    <w:rsid w:val="005F386B"/>
    <w:rsid w:val="005F3AED"/>
    <w:rsid w:val="005F3BD7"/>
    <w:rsid w:val="005F3C00"/>
    <w:rsid w:val="005F3D06"/>
    <w:rsid w:val="005F3DD1"/>
    <w:rsid w:val="005F3E3B"/>
    <w:rsid w:val="005F3E8E"/>
    <w:rsid w:val="005F3EBB"/>
    <w:rsid w:val="005F3F07"/>
    <w:rsid w:val="005F401C"/>
    <w:rsid w:val="005F40D3"/>
    <w:rsid w:val="005F40E0"/>
    <w:rsid w:val="005F415D"/>
    <w:rsid w:val="005F4187"/>
    <w:rsid w:val="005F42EA"/>
    <w:rsid w:val="005F4487"/>
    <w:rsid w:val="005F45F8"/>
    <w:rsid w:val="005F4826"/>
    <w:rsid w:val="005F4873"/>
    <w:rsid w:val="005F48C0"/>
    <w:rsid w:val="005F4A00"/>
    <w:rsid w:val="005F4A9E"/>
    <w:rsid w:val="005F4AF1"/>
    <w:rsid w:val="005F4BBF"/>
    <w:rsid w:val="005F4BE9"/>
    <w:rsid w:val="005F4C2F"/>
    <w:rsid w:val="005F4C71"/>
    <w:rsid w:val="005F4CCA"/>
    <w:rsid w:val="005F4DCD"/>
    <w:rsid w:val="005F4F92"/>
    <w:rsid w:val="005F4FBB"/>
    <w:rsid w:val="005F4FE4"/>
    <w:rsid w:val="005F50B7"/>
    <w:rsid w:val="005F5100"/>
    <w:rsid w:val="005F52B2"/>
    <w:rsid w:val="005F5390"/>
    <w:rsid w:val="005F542B"/>
    <w:rsid w:val="005F5461"/>
    <w:rsid w:val="005F54AD"/>
    <w:rsid w:val="005F54F3"/>
    <w:rsid w:val="005F579E"/>
    <w:rsid w:val="005F57A0"/>
    <w:rsid w:val="005F5806"/>
    <w:rsid w:val="005F584D"/>
    <w:rsid w:val="005F5855"/>
    <w:rsid w:val="005F59B7"/>
    <w:rsid w:val="005F5A68"/>
    <w:rsid w:val="005F5B16"/>
    <w:rsid w:val="005F5B5F"/>
    <w:rsid w:val="005F5BE4"/>
    <w:rsid w:val="005F5C3E"/>
    <w:rsid w:val="005F5DE7"/>
    <w:rsid w:val="005F5E11"/>
    <w:rsid w:val="005F5E9D"/>
    <w:rsid w:val="005F5F5D"/>
    <w:rsid w:val="005F6007"/>
    <w:rsid w:val="005F6039"/>
    <w:rsid w:val="005F6060"/>
    <w:rsid w:val="005F6090"/>
    <w:rsid w:val="005F60CD"/>
    <w:rsid w:val="005F6120"/>
    <w:rsid w:val="005F613B"/>
    <w:rsid w:val="005F6143"/>
    <w:rsid w:val="005F61F3"/>
    <w:rsid w:val="005F6219"/>
    <w:rsid w:val="005F62C5"/>
    <w:rsid w:val="005F6370"/>
    <w:rsid w:val="005F63AE"/>
    <w:rsid w:val="005F64F4"/>
    <w:rsid w:val="005F6545"/>
    <w:rsid w:val="005F6581"/>
    <w:rsid w:val="005F6583"/>
    <w:rsid w:val="005F658A"/>
    <w:rsid w:val="005F66D4"/>
    <w:rsid w:val="005F671C"/>
    <w:rsid w:val="005F683D"/>
    <w:rsid w:val="005F6917"/>
    <w:rsid w:val="005F6A6E"/>
    <w:rsid w:val="005F6B60"/>
    <w:rsid w:val="005F6CD3"/>
    <w:rsid w:val="005F6D6E"/>
    <w:rsid w:val="005F6D8F"/>
    <w:rsid w:val="005F6E27"/>
    <w:rsid w:val="005F6E8F"/>
    <w:rsid w:val="005F6FE8"/>
    <w:rsid w:val="005F7018"/>
    <w:rsid w:val="005F701A"/>
    <w:rsid w:val="005F70A2"/>
    <w:rsid w:val="005F7182"/>
    <w:rsid w:val="005F7246"/>
    <w:rsid w:val="005F7266"/>
    <w:rsid w:val="005F7317"/>
    <w:rsid w:val="005F733B"/>
    <w:rsid w:val="005F743E"/>
    <w:rsid w:val="005F74DE"/>
    <w:rsid w:val="005F7634"/>
    <w:rsid w:val="005F76E0"/>
    <w:rsid w:val="005F76E5"/>
    <w:rsid w:val="005F775A"/>
    <w:rsid w:val="005F7777"/>
    <w:rsid w:val="005F78B6"/>
    <w:rsid w:val="005F7A16"/>
    <w:rsid w:val="005F7A43"/>
    <w:rsid w:val="005F7A77"/>
    <w:rsid w:val="005F7B37"/>
    <w:rsid w:val="005F7B3E"/>
    <w:rsid w:val="005F7BE9"/>
    <w:rsid w:val="005F7CD6"/>
    <w:rsid w:val="005F7DAC"/>
    <w:rsid w:val="005F7E20"/>
    <w:rsid w:val="005F7E6E"/>
    <w:rsid w:val="005F7E80"/>
    <w:rsid w:val="005F7F3A"/>
    <w:rsid w:val="005F7F4D"/>
    <w:rsid w:val="005F7F8E"/>
    <w:rsid w:val="005F7FB2"/>
    <w:rsid w:val="00600014"/>
    <w:rsid w:val="0060005E"/>
    <w:rsid w:val="00600206"/>
    <w:rsid w:val="00600256"/>
    <w:rsid w:val="00600331"/>
    <w:rsid w:val="0060035B"/>
    <w:rsid w:val="006003FB"/>
    <w:rsid w:val="006004C7"/>
    <w:rsid w:val="006005D3"/>
    <w:rsid w:val="0060064B"/>
    <w:rsid w:val="00600652"/>
    <w:rsid w:val="006006AB"/>
    <w:rsid w:val="00600786"/>
    <w:rsid w:val="006007CE"/>
    <w:rsid w:val="006007EE"/>
    <w:rsid w:val="006007F9"/>
    <w:rsid w:val="00600954"/>
    <w:rsid w:val="00600980"/>
    <w:rsid w:val="00600BB8"/>
    <w:rsid w:val="00600BE1"/>
    <w:rsid w:val="00600DFD"/>
    <w:rsid w:val="00600E1F"/>
    <w:rsid w:val="00600EE2"/>
    <w:rsid w:val="00600FBB"/>
    <w:rsid w:val="00601015"/>
    <w:rsid w:val="0060106F"/>
    <w:rsid w:val="0060111C"/>
    <w:rsid w:val="00601152"/>
    <w:rsid w:val="0060128C"/>
    <w:rsid w:val="006012E4"/>
    <w:rsid w:val="00601371"/>
    <w:rsid w:val="00601497"/>
    <w:rsid w:val="00601650"/>
    <w:rsid w:val="0060168F"/>
    <w:rsid w:val="006016BF"/>
    <w:rsid w:val="006016D3"/>
    <w:rsid w:val="00601836"/>
    <w:rsid w:val="006019AE"/>
    <w:rsid w:val="00601A02"/>
    <w:rsid w:val="00601A29"/>
    <w:rsid w:val="00601AB6"/>
    <w:rsid w:val="00601B40"/>
    <w:rsid w:val="00601B51"/>
    <w:rsid w:val="00601BE9"/>
    <w:rsid w:val="00601C20"/>
    <w:rsid w:val="00601C27"/>
    <w:rsid w:val="00601D0F"/>
    <w:rsid w:val="00601E38"/>
    <w:rsid w:val="00601F5C"/>
    <w:rsid w:val="00601FF1"/>
    <w:rsid w:val="006021AC"/>
    <w:rsid w:val="0060220C"/>
    <w:rsid w:val="0060222B"/>
    <w:rsid w:val="006022CF"/>
    <w:rsid w:val="006022F0"/>
    <w:rsid w:val="006022FC"/>
    <w:rsid w:val="00602306"/>
    <w:rsid w:val="006024B0"/>
    <w:rsid w:val="006025D9"/>
    <w:rsid w:val="006026D6"/>
    <w:rsid w:val="006026EE"/>
    <w:rsid w:val="00602751"/>
    <w:rsid w:val="00602756"/>
    <w:rsid w:val="0060286D"/>
    <w:rsid w:val="00602B6F"/>
    <w:rsid w:val="00602E3B"/>
    <w:rsid w:val="00602EA5"/>
    <w:rsid w:val="00602F8A"/>
    <w:rsid w:val="00602F90"/>
    <w:rsid w:val="00602FF8"/>
    <w:rsid w:val="00603144"/>
    <w:rsid w:val="00603146"/>
    <w:rsid w:val="0060317E"/>
    <w:rsid w:val="00603200"/>
    <w:rsid w:val="006033F5"/>
    <w:rsid w:val="00603496"/>
    <w:rsid w:val="0060354D"/>
    <w:rsid w:val="0060359D"/>
    <w:rsid w:val="00603617"/>
    <w:rsid w:val="0060363D"/>
    <w:rsid w:val="00603704"/>
    <w:rsid w:val="0060377E"/>
    <w:rsid w:val="00603A4B"/>
    <w:rsid w:val="00603A9F"/>
    <w:rsid w:val="00603B21"/>
    <w:rsid w:val="00603B90"/>
    <w:rsid w:val="00603C0A"/>
    <w:rsid w:val="00603C78"/>
    <w:rsid w:val="00603CB2"/>
    <w:rsid w:val="00603D0B"/>
    <w:rsid w:val="00603D43"/>
    <w:rsid w:val="00603DE9"/>
    <w:rsid w:val="00603E40"/>
    <w:rsid w:val="00603E7E"/>
    <w:rsid w:val="00603E93"/>
    <w:rsid w:val="00603E9D"/>
    <w:rsid w:val="00603EE3"/>
    <w:rsid w:val="00603F98"/>
    <w:rsid w:val="00603FDA"/>
    <w:rsid w:val="00604002"/>
    <w:rsid w:val="0060412E"/>
    <w:rsid w:val="0060418C"/>
    <w:rsid w:val="00604200"/>
    <w:rsid w:val="00604280"/>
    <w:rsid w:val="0060441F"/>
    <w:rsid w:val="0060442A"/>
    <w:rsid w:val="006044C8"/>
    <w:rsid w:val="006045C8"/>
    <w:rsid w:val="00604693"/>
    <w:rsid w:val="006046D7"/>
    <w:rsid w:val="006046E5"/>
    <w:rsid w:val="0060476F"/>
    <w:rsid w:val="006047BF"/>
    <w:rsid w:val="00604808"/>
    <w:rsid w:val="0060480C"/>
    <w:rsid w:val="006049A3"/>
    <w:rsid w:val="006049A5"/>
    <w:rsid w:val="006049D6"/>
    <w:rsid w:val="00604AE4"/>
    <w:rsid w:val="00604B3C"/>
    <w:rsid w:val="00604BA8"/>
    <w:rsid w:val="00604D2F"/>
    <w:rsid w:val="00604D43"/>
    <w:rsid w:val="00604D6F"/>
    <w:rsid w:val="00604D7F"/>
    <w:rsid w:val="00604DB8"/>
    <w:rsid w:val="00604E42"/>
    <w:rsid w:val="00604EED"/>
    <w:rsid w:val="00604EEF"/>
    <w:rsid w:val="00604F79"/>
    <w:rsid w:val="00605010"/>
    <w:rsid w:val="0060508A"/>
    <w:rsid w:val="006050F8"/>
    <w:rsid w:val="00605102"/>
    <w:rsid w:val="0060512B"/>
    <w:rsid w:val="00605294"/>
    <w:rsid w:val="006052A3"/>
    <w:rsid w:val="006052FB"/>
    <w:rsid w:val="006052FF"/>
    <w:rsid w:val="0060532F"/>
    <w:rsid w:val="00605358"/>
    <w:rsid w:val="0060537A"/>
    <w:rsid w:val="00605388"/>
    <w:rsid w:val="0060539C"/>
    <w:rsid w:val="00605453"/>
    <w:rsid w:val="00605823"/>
    <w:rsid w:val="0060582B"/>
    <w:rsid w:val="00605862"/>
    <w:rsid w:val="00605A13"/>
    <w:rsid w:val="00605AFC"/>
    <w:rsid w:val="00605AFD"/>
    <w:rsid w:val="00605BFB"/>
    <w:rsid w:val="00605C1C"/>
    <w:rsid w:val="00605C27"/>
    <w:rsid w:val="00605DBE"/>
    <w:rsid w:val="00605DE7"/>
    <w:rsid w:val="00605E52"/>
    <w:rsid w:val="00605ED4"/>
    <w:rsid w:val="00606050"/>
    <w:rsid w:val="0060605A"/>
    <w:rsid w:val="006061E8"/>
    <w:rsid w:val="0060624E"/>
    <w:rsid w:val="00606296"/>
    <w:rsid w:val="00606367"/>
    <w:rsid w:val="006064A2"/>
    <w:rsid w:val="0060672E"/>
    <w:rsid w:val="00606760"/>
    <w:rsid w:val="006067BD"/>
    <w:rsid w:val="006068B3"/>
    <w:rsid w:val="006068E2"/>
    <w:rsid w:val="00606935"/>
    <w:rsid w:val="0060699D"/>
    <w:rsid w:val="00606A04"/>
    <w:rsid w:val="00606A62"/>
    <w:rsid w:val="00606A65"/>
    <w:rsid w:val="00606AC9"/>
    <w:rsid w:val="00606C87"/>
    <w:rsid w:val="00606C8C"/>
    <w:rsid w:val="00606CCB"/>
    <w:rsid w:val="00606D8C"/>
    <w:rsid w:val="00606EA6"/>
    <w:rsid w:val="00606EEF"/>
    <w:rsid w:val="00606F38"/>
    <w:rsid w:val="00606FD3"/>
    <w:rsid w:val="00606FEB"/>
    <w:rsid w:val="006070FE"/>
    <w:rsid w:val="0060714D"/>
    <w:rsid w:val="006071B0"/>
    <w:rsid w:val="006071E5"/>
    <w:rsid w:val="00607214"/>
    <w:rsid w:val="006072FC"/>
    <w:rsid w:val="00607548"/>
    <w:rsid w:val="00607588"/>
    <w:rsid w:val="006075A7"/>
    <w:rsid w:val="006078E7"/>
    <w:rsid w:val="00607985"/>
    <w:rsid w:val="006079A4"/>
    <w:rsid w:val="00607A13"/>
    <w:rsid w:val="00607A5E"/>
    <w:rsid w:val="00607A7D"/>
    <w:rsid w:val="00607AB6"/>
    <w:rsid w:val="00607AC2"/>
    <w:rsid w:val="00607ACD"/>
    <w:rsid w:val="00607B73"/>
    <w:rsid w:val="00607D06"/>
    <w:rsid w:val="00607DBE"/>
    <w:rsid w:val="00607DF5"/>
    <w:rsid w:val="00607E2D"/>
    <w:rsid w:val="00607E9C"/>
    <w:rsid w:val="00607F95"/>
    <w:rsid w:val="00610035"/>
    <w:rsid w:val="0061015A"/>
    <w:rsid w:val="0061015E"/>
    <w:rsid w:val="00610354"/>
    <w:rsid w:val="0061055D"/>
    <w:rsid w:val="006105EB"/>
    <w:rsid w:val="0061060A"/>
    <w:rsid w:val="006106BB"/>
    <w:rsid w:val="0061078D"/>
    <w:rsid w:val="006107C6"/>
    <w:rsid w:val="00610908"/>
    <w:rsid w:val="006109CC"/>
    <w:rsid w:val="00610B58"/>
    <w:rsid w:val="00610B79"/>
    <w:rsid w:val="00610BAF"/>
    <w:rsid w:val="00610C76"/>
    <w:rsid w:val="00610D4C"/>
    <w:rsid w:val="00610D92"/>
    <w:rsid w:val="00610D9B"/>
    <w:rsid w:val="00610DB6"/>
    <w:rsid w:val="00610FEF"/>
    <w:rsid w:val="0061110B"/>
    <w:rsid w:val="00611189"/>
    <w:rsid w:val="006111BE"/>
    <w:rsid w:val="0061121E"/>
    <w:rsid w:val="006112C3"/>
    <w:rsid w:val="006112D5"/>
    <w:rsid w:val="00611356"/>
    <w:rsid w:val="00611432"/>
    <w:rsid w:val="0061146E"/>
    <w:rsid w:val="0061147D"/>
    <w:rsid w:val="0061168C"/>
    <w:rsid w:val="006116C2"/>
    <w:rsid w:val="0061173C"/>
    <w:rsid w:val="00611813"/>
    <w:rsid w:val="00611855"/>
    <w:rsid w:val="00611930"/>
    <w:rsid w:val="00611A5D"/>
    <w:rsid w:val="00611AAA"/>
    <w:rsid w:val="00611B13"/>
    <w:rsid w:val="00611B28"/>
    <w:rsid w:val="00611C89"/>
    <w:rsid w:val="00611C98"/>
    <w:rsid w:val="00611DD0"/>
    <w:rsid w:val="00611EE7"/>
    <w:rsid w:val="00611F58"/>
    <w:rsid w:val="00611F5F"/>
    <w:rsid w:val="00611F8E"/>
    <w:rsid w:val="00612077"/>
    <w:rsid w:val="006120CE"/>
    <w:rsid w:val="00612107"/>
    <w:rsid w:val="0061216B"/>
    <w:rsid w:val="00612178"/>
    <w:rsid w:val="006121C9"/>
    <w:rsid w:val="00612228"/>
    <w:rsid w:val="0061236E"/>
    <w:rsid w:val="00612377"/>
    <w:rsid w:val="00612393"/>
    <w:rsid w:val="006123D4"/>
    <w:rsid w:val="006123F2"/>
    <w:rsid w:val="00612468"/>
    <w:rsid w:val="00612519"/>
    <w:rsid w:val="006125F8"/>
    <w:rsid w:val="00612679"/>
    <w:rsid w:val="00612703"/>
    <w:rsid w:val="00612739"/>
    <w:rsid w:val="0061276A"/>
    <w:rsid w:val="006127CF"/>
    <w:rsid w:val="0061283A"/>
    <w:rsid w:val="00612A38"/>
    <w:rsid w:val="00612A3D"/>
    <w:rsid w:val="00612B46"/>
    <w:rsid w:val="00612B8F"/>
    <w:rsid w:val="00612B96"/>
    <w:rsid w:val="00612BA5"/>
    <w:rsid w:val="00612C50"/>
    <w:rsid w:val="00612D0C"/>
    <w:rsid w:val="00612E30"/>
    <w:rsid w:val="00612F13"/>
    <w:rsid w:val="00612FE2"/>
    <w:rsid w:val="00613116"/>
    <w:rsid w:val="006131A8"/>
    <w:rsid w:val="0061332F"/>
    <w:rsid w:val="0061334A"/>
    <w:rsid w:val="00613474"/>
    <w:rsid w:val="00613591"/>
    <w:rsid w:val="00613811"/>
    <w:rsid w:val="00613966"/>
    <w:rsid w:val="00613976"/>
    <w:rsid w:val="00613C78"/>
    <w:rsid w:val="00613D78"/>
    <w:rsid w:val="00613DF9"/>
    <w:rsid w:val="00613E1A"/>
    <w:rsid w:val="00613E91"/>
    <w:rsid w:val="00613F4D"/>
    <w:rsid w:val="00613FD6"/>
    <w:rsid w:val="006140D7"/>
    <w:rsid w:val="006140E1"/>
    <w:rsid w:val="00614154"/>
    <w:rsid w:val="0061418B"/>
    <w:rsid w:val="006141F0"/>
    <w:rsid w:val="006142AF"/>
    <w:rsid w:val="006142E3"/>
    <w:rsid w:val="0061445B"/>
    <w:rsid w:val="0061449E"/>
    <w:rsid w:val="00614511"/>
    <w:rsid w:val="006145DB"/>
    <w:rsid w:val="006146E2"/>
    <w:rsid w:val="00614746"/>
    <w:rsid w:val="006147F3"/>
    <w:rsid w:val="00614890"/>
    <w:rsid w:val="0061489C"/>
    <w:rsid w:val="00614924"/>
    <w:rsid w:val="00614927"/>
    <w:rsid w:val="0061498B"/>
    <w:rsid w:val="00614B8A"/>
    <w:rsid w:val="00614D4C"/>
    <w:rsid w:val="00614E38"/>
    <w:rsid w:val="00614EB5"/>
    <w:rsid w:val="00614F15"/>
    <w:rsid w:val="00614F20"/>
    <w:rsid w:val="0061504E"/>
    <w:rsid w:val="00615079"/>
    <w:rsid w:val="006150B4"/>
    <w:rsid w:val="006150F2"/>
    <w:rsid w:val="0061510D"/>
    <w:rsid w:val="006151F2"/>
    <w:rsid w:val="00615237"/>
    <w:rsid w:val="006152B3"/>
    <w:rsid w:val="0061536A"/>
    <w:rsid w:val="00615558"/>
    <w:rsid w:val="00615781"/>
    <w:rsid w:val="0061578E"/>
    <w:rsid w:val="00615792"/>
    <w:rsid w:val="00615937"/>
    <w:rsid w:val="0061597C"/>
    <w:rsid w:val="0061599B"/>
    <w:rsid w:val="006159D6"/>
    <w:rsid w:val="00615A04"/>
    <w:rsid w:val="00615B6F"/>
    <w:rsid w:val="00615D22"/>
    <w:rsid w:val="00615D34"/>
    <w:rsid w:val="00615D64"/>
    <w:rsid w:val="00615DEF"/>
    <w:rsid w:val="00615EBE"/>
    <w:rsid w:val="00615F85"/>
    <w:rsid w:val="0061609E"/>
    <w:rsid w:val="006160CF"/>
    <w:rsid w:val="006161D8"/>
    <w:rsid w:val="00616205"/>
    <w:rsid w:val="0061621E"/>
    <w:rsid w:val="006163B7"/>
    <w:rsid w:val="006163FA"/>
    <w:rsid w:val="00616402"/>
    <w:rsid w:val="0061649F"/>
    <w:rsid w:val="00616526"/>
    <w:rsid w:val="0061676C"/>
    <w:rsid w:val="006167A6"/>
    <w:rsid w:val="00616911"/>
    <w:rsid w:val="00616933"/>
    <w:rsid w:val="0061697A"/>
    <w:rsid w:val="00616A4E"/>
    <w:rsid w:val="00616A80"/>
    <w:rsid w:val="00616CB4"/>
    <w:rsid w:val="00616CD7"/>
    <w:rsid w:val="00616D08"/>
    <w:rsid w:val="00616E7C"/>
    <w:rsid w:val="00616F1F"/>
    <w:rsid w:val="00616F9C"/>
    <w:rsid w:val="006170AD"/>
    <w:rsid w:val="006170E2"/>
    <w:rsid w:val="006170E4"/>
    <w:rsid w:val="00617165"/>
    <w:rsid w:val="006171B6"/>
    <w:rsid w:val="00617238"/>
    <w:rsid w:val="00617261"/>
    <w:rsid w:val="00617305"/>
    <w:rsid w:val="006173F4"/>
    <w:rsid w:val="00617433"/>
    <w:rsid w:val="006174B6"/>
    <w:rsid w:val="006174F8"/>
    <w:rsid w:val="006174FA"/>
    <w:rsid w:val="006175CF"/>
    <w:rsid w:val="0061769B"/>
    <w:rsid w:val="00617715"/>
    <w:rsid w:val="00617757"/>
    <w:rsid w:val="006178D2"/>
    <w:rsid w:val="006178EC"/>
    <w:rsid w:val="0061791D"/>
    <w:rsid w:val="00617B83"/>
    <w:rsid w:val="00617BCA"/>
    <w:rsid w:val="00617BCD"/>
    <w:rsid w:val="00617D26"/>
    <w:rsid w:val="00617D64"/>
    <w:rsid w:val="00617E54"/>
    <w:rsid w:val="00617ED8"/>
    <w:rsid w:val="00617EDB"/>
    <w:rsid w:val="00617F3A"/>
    <w:rsid w:val="00617FF3"/>
    <w:rsid w:val="00617FFC"/>
    <w:rsid w:val="0062012A"/>
    <w:rsid w:val="00620376"/>
    <w:rsid w:val="0062038A"/>
    <w:rsid w:val="00620407"/>
    <w:rsid w:val="0062046F"/>
    <w:rsid w:val="00620470"/>
    <w:rsid w:val="006204BD"/>
    <w:rsid w:val="00620554"/>
    <w:rsid w:val="0062058E"/>
    <w:rsid w:val="006205B2"/>
    <w:rsid w:val="006206F1"/>
    <w:rsid w:val="006206FF"/>
    <w:rsid w:val="00620712"/>
    <w:rsid w:val="006207CE"/>
    <w:rsid w:val="0062098E"/>
    <w:rsid w:val="006209B1"/>
    <w:rsid w:val="00620A5C"/>
    <w:rsid w:val="00620AC5"/>
    <w:rsid w:val="00620B47"/>
    <w:rsid w:val="00620CE7"/>
    <w:rsid w:val="00620D78"/>
    <w:rsid w:val="00620EF1"/>
    <w:rsid w:val="00620F97"/>
    <w:rsid w:val="00620F9D"/>
    <w:rsid w:val="00620FDE"/>
    <w:rsid w:val="0062106C"/>
    <w:rsid w:val="00621170"/>
    <w:rsid w:val="00621186"/>
    <w:rsid w:val="006211B0"/>
    <w:rsid w:val="006211B8"/>
    <w:rsid w:val="006211DD"/>
    <w:rsid w:val="006211E9"/>
    <w:rsid w:val="00621297"/>
    <w:rsid w:val="006213FB"/>
    <w:rsid w:val="0062149A"/>
    <w:rsid w:val="00621506"/>
    <w:rsid w:val="0062151C"/>
    <w:rsid w:val="0062161B"/>
    <w:rsid w:val="0062165F"/>
    <w:rsid w:val="0062166B"/>
    <w:rsid w:val="0062169F"/>
    <w:rsid w:val="006216C6"/>
    <w:rsid w:val="00621759"/>
    <w:rsid w:val="00621804"/>
    <w:rsid w:val="00621866"/>
    <w:rsid w:val="006218FD"/>
    <w:rsid w:val="0062194E"/>
    <w:rsid w:val="00621968"/>
    <w:rsid w:val="00621AC3"/>
    <w:rsid w:val="00621ACF"/>
    <w:rsid w:val="00621B03"/>
    <w:rsid w:val="00621C8D"/>
    <w:rsid w:val="00621D81"/>
    <w:rsid w:val="00621E19"/>
    <w:rsid w:val="00621E6D"/>
    <w:rsid w:val="00621F71"/>
    <w:rsid w:val="00621F9C"/>
    <w:rsid w:val="00621FAB"/>
    <w:rsid w:val="00621FBB"/>
    <w:rsid w:val="00622018"/>
    <w:rsid w:val="006220A6"/>
    <w:rsid w:val="0062210B"/>
    <w:rsid w:val="00622181"/>
    <w:rsid w:val="006221B0"/>
    <w:rsid w:val="0062239F"/>
    <w:rsid w:val="0062240B"/>
    <w:rsid w:val="006224EA"/>
    <w:rsid w:val="0062260D"/>
    <w:rsid w:val="0062261D"/>
    <w:rsid w:val="00622695"/>
    <w:rsid w:val="00622823"/>
    <w:rsid w:val="0062285D"/>
    <w:rsid w:val="0062289C"/>
    <w:rsid w:val="006228D8"/>
    <w:rsid w:val="00622970"/>
    <w:rsid w:val="00622A6F"/>
    <w:rsid w:val="00622A92"/>
    <w:rsid w:val="00622B41"/>
    <w:rsid w:val="00622B75"/>
    <w:rsid w:val="00622C2D"/>
    <w:rsid w:val="00622CE8"/>
    <w:rsid w:val="00622D10"/>
    <w:rsid w:val="00622E25"/>
    <w:rsid w:val="00622E76"/>
    <w:rsid w:val="00623189"/>
    <w:rsid w:val="00623440"/>
    <w:rsid w:val="006234A5"/>
    <w:rsid w:val="00623572"/>
    <w:rsid w:val="006237D6"/>
    <w:rsid w:val="006237E8"/>
    <w:rsid w:val="006237FF"/>
    <w:rsid w:val="00623829"/>
    <w:rsid w:val="00623842"/>
    <w:rsid w:val="00623868"/>
    <w:rsid w:val="006238C7"/>
    <w:rsid w:val="00623985"/>
    <w:rsid w:val="006239F2"/>
    <w:rsid w:val="00623BEC"/>
    <w:rsid w:val="00623D94"/>
    <w:rsid w:val="00623DAC"/>
    <w:rsid w:val="00623DE3"/>
    <w:rsid w:val="00623EC8"/>
    <w:rsid w:val="00623F52"/>
    <w:rsid w:val="00623FB6"/>
    <w:rsid w:val="0062401D"/>
    <w:rsid w:val="00624020"/>
    <w:rsid w:val="00624057"/>
    <w:rsid w:val="0062407C"/>
    <w:rsid w:val="006240D5"/>
    <w:rsid w:val="00624206"/>
    <w:rsid w:val="00624424"/>
    <w:rsid w:val="00624501"/>
    <w:rsid w:val="00624736"/>
    <w:rsid w:val="0062480B"/>
    <w:rsid w:val="00624845"/>
    <w:rsid w:val="00624A99"/>
    <w:rsid w:val="00624AC5"/>
    <w:rsid w:val="00624B16"/>
    <w:rsid w:val="00624B44"/>
    <w:rsid w:val="00624BA0"/>
    <w:rsid w:val="00624C4B"/>
    <w:rsid w:val="00624C77"/>
    <w:rsid w:val="00624CDF"/>
    <w:rsid w:val="00624E19"/>
    <w:rsid w:val="00624E4F"/>
    <w:rsid w:val="00624E86"/>
    <w:rsid w:val="00624ED8"/>
    <w:rsid w:val="00624FA3"/>
    <w:rsid w:val="00624FDC"/>
    <w:rsid w:val="006250A5"/>
    <w:rsid w:val="006252B0"/>
    <w:rsid w:val="00625458"/>
    <w:rsid w:val="00625474"/>
    <w:rsid w:val="006254A3"/>
    <w:rsid w:val="006255CB"/>
    <w:rsid w:val="00625660"/>
    <w:rsid w:val="006256CC"/>
    <w:rsid w:val="00625774"/>
    <w:rsid w:val="006257DA"/>
    <w:rsid w:val="006259A5"/>
    <w:rsid w:val="006259D1"/>
    <w:rsid w:val="00625A2C"/>
    <w:rsid w:val="00625B02"/>
    <w:rsid w:val="00625B47"/>
    <w:rsid w:val="00625BD5"/>
    <w:rsid w:val="00625D14"/>
    <w:rsid w:val="00625D83"/>
    <w:rsid w:val="00625DD9"/>
    <w:rsid w:val="00625E10"/>
    <w:rsid w:val="00625EB0"/>
    <w:rsid w:val="00625EE3"/>
    <w:rsid w:val="00625FA2"/>
    <w:rsid w:val="00625FC1"/>
    <w:rsid w:val="0062605C"/>
    <w:rsid w:val="00626069"/>
    <w:rsid w:val="006260FB"/>
    <w:rsid w:val="0062616E"/>
    <w:rsid w:val="006262D7"/>
    <w:rsid w:val="0062630E"/>
    <w:rsid w:val="00626346"/>
    <w:rsid w:val="00626399"/>
    <w:rsid w:val="006264BB"/>
    <w:rsid w:val="006264D8"/>
    <w:rsid w:val="006265CA"/>
    <w:rsid w:val="006267A0"/>
    <w:rsid w:val="006267D8"/>
    <w:rsid w:val="0062686D"/>
    <w:rsid w:val="006269A5"/>
    <w:rsid w:val="006269EA"/>
    <w:rsid w:val="00626A47"/>
    <w:rsid w:val="00626AC3"/>
    <w:rsid w:val="00626AE8"/>
    <w:rsid w:val="00626B0F"/>
    <w:rsid w:val="00626BA9"/>
    <w:rsid w:val="00626C45"/>
    <w:rsid w:val="00626C4D"/>
    <w:rsid w:val="00626CC8"/>
    <w:rsid w:val="00626DE9"/>
    <w:rsid w:val="00626DF2"/>
    <w:rsid w:val="00626E2E"/>
    <w:rsid w:val="00626EDE"/>
    <w:rsid w:val="0062713F"/>
    <w:rsid w:val="0062724A"/>
    <w:rsid w:val="0062738A"/>
    <w:rsid w:val="006275A7"/>
    <w:rsid w:val="006276AF"/>
    <w:rsid w:val="006277A6"/>
    <w:rsid w:val="006277AF"/>
    <w:rsid w:val="006277CC"/>
    <w:rsid w:val="00627866"/>
    <w:rsid w:val="00627876"/>
    <w:rsid w:val="00627919"/>
    <w:rsid w:val="0062796C"/>
    <w:rsid w:val="006279D8"/>
    <w:rsid w:val="006279E8"/>
    <w:rsid w:val="00627AA6"/>
    <w:rsid w:val="00627ADF"/>
    <w:rsid w:val="00627B47"/>
    <w:rsid w:val="00627B5F"/>
    <w:rsid w:val="00627B8A"/>
    <w:rsid w:val="00627BF5"/>
    <w:rsid w:val="00627C3C"/>
    <w:rsid w:val="00627CCB"/>
    <w:rsid w:val="00627D03"/>
    <w:rsid w:val="00627D57"/>
    <w:rsid w:val="00627D9B"/>
    <w:rsid w:val="00627ECE"/>
    <w:rsid w:val="00627F92"/>
    <w:rsid w:val="00627FDA"/>
    <w:rsid w:val="00630007"/>
    <w:rsid w:val="00630052"/>
    <w:rsid w:val="006300B8"/>
    <w:rsid w:val="006300F9"/>
    <w:rsid w:val="00630131"/>
    <w:rsid w:val="0063019A"/>
    <w:rsid w:val="006301EC"/>
    <w:rsid w:val="0063029F"/>
    <w:rsid w:val="006302D1"/>
    <w:rsid w:val="0063038E"/>
    <w:rsid w:val="006303CC"/>
    <w:rsid w:val="00630551"/>
    <w:rsid w:val="0063069A"/>
    <w:rsid w:val="006306D3"/>
    <w:rsid w:val="006306E7"/>
    <w:rsid w:val="00630734"/>
    <w:rsid w:val="00630770"/>
    <w:rsid w:val="0063090E"/>
    <w:rsid w:val="0063093F"/>
    <w:rsid w:val="006309F8"/>
    <w:rsid w:val="00630AE1"/>
    <w:rsid w:val="00630AF3"/>
    <w:rsid w:val="00630B7C"/>
    <w:rsid w:val="00630C56"/>
    <w:rsid w:val="00630C82"/>
    <w:rsid w:val="00630CA7"/>
    <w:rsid w:val="00630CB8"/>
    <w:rsid w:val="00630CBA"/>
    <w:rsid w:val="00630D20"/>
    <w:rsid w:val="00630E0D"/>
    <w:rsid w:val="00630EDA"/>
    <w:rsid w:val="00630F0C"/>
    <w:rsid w:val="00630F35"/>
    <w:rsid w:val="00630F96"/>
    <w:rsid w:val="006310D0"/>
    <w:rsid w:val="006311C9"/>
    <w:rsid w:val="00631245"/>
    <w:rsid w:val="00631302"/>
    <w:rsid w:val="006313A8"/>
    <w:rsid w:val="006313B1"/>
    <w:rsid w:val="00631402"/>
    <w:rsid w:val="006314A3"/>
    <w:rsid w:val="006314E8"/>
    <w:rsid w:val="0063155A"/>
    <w:rsid w:val="006315D1"/>
    <w:rsid w:val="0063166B"/>
    <w:rsid w:val="00631821"/>
    <w:rsid w:val="00631822"/>
    <w:rsid w:val="00631939"/>
    <w:rsid w:val="006319BF"/>
    <w:rsid w:val="00631A15"/>
    <w:rsid w:val="00631A32"/>
    <w:rsid w:val="00631A43"/>
    <w:rsid w:val="00631AA4"/>
    <w:rsid w:val="00631B39"/>
    <w:rsid w:val="00631B49"/>
    <w:rsid w:val="00631C22"/>
    <w:rsid w:val="00631C37"/>
    <w:rsid w:val="00631CAE"/>
    <w:rsid w:val="00631D23"/>
    <w:rsid w:val="00631F2D"/>
    <w:rsid w:val="00631FFC"/>
    <w:rsid w:val="0063201B"/>
    <w:rsid w:val="0063202C"/>
    <w:rsid w:val="0063203B"/>
    <w:rsid w:val="00632059"/>
    <w:rsid w:val="0063206D"/>
    <w:rsid w:val="0063217C"/>
    <w:rsid w:val="00632235"/>
    <w:rsid w:val="0063223E"/>
    <w:rsid w:val="0063250B"/>
    <w:rsid w:val="0063254A"/>
    <w:rsid w:val="006325CC"/>
    <w:rsid w:val="00632666"/>
    <w:rsid w:val="00632685"/>
    <w:rsid w:val="006326E5"/>
    <w:rsid w:val="00632830"/>
    <w:rsid w:val="006328D8"/>
    <w:rsid w:val="0063290B"/>
    <w:rsid w:val="00632963"/>
    <w:rsid w:val="00632A49"/>
    <w:rsid w:val="00632AD1"/>
    <w:rsid w:val="00632CA2"/>
    <w:rsid w:val="00632D16"/>
    <w:rsid w:val="00632D19"/>
    <w:rsid w:val="00632D67"/>
    <w:rsid w:val="00632E16"/>
    <w:rsid w:val="00632E4A"/>
    <w:rsid w:val="00632F48"/>
    <w:rsid w:val="00632F78"/>
    <w:rsid w:val="00632F92"/>
    <w:rsid w:val="0063308B"/>
    <w:rsid w:val="006330D8"/>
    <w:rsid w:val="00633193"/>
    <w:rsid w:val="00633198"/>
    <w:rsid w:val="00633314"/>
    <w:rsid w:val="0063331B"/>
    <w:rsid w:val="006333C5"/>
    <w:rsid w:val="00633418"/>
    <w:rsid w:val="0063345B"/>
    <w:rsid w:val="006334F8"/>
    <w:rsid w:val="00633516"/>
    <w:rsid w:val="00633669"/>
    <w:rsid w:val="0063368B"/>
    <w:rsid w:val="006336A9"/>
    <w:rsid w:val="00633762"/>
    <w:rsid w:val="00633792"/>
    <w:rsid w:val="0063396A"/>
    <w:rsid w:val="00633980"/>
    <w:rsid w:val="00633BA7"/>
    <w:rsid w:val="00633C15"/>
    <w:rsid w:val="00633CE1"/>
    <w:rsid w:val="00633CF9"/>
    <w:rsid w:val="00633D0F"/>
    <w:rsid w:val="00633F98"/>
    <w:rsid w:val="00633FC1"/>
    <w:rsid w:val="006341F0"/>
    <w:rsid w:val="006342A3"/>
    <w:rsid w:val="006342AF"/>
    <w:rsid w:val="006344F7"/>
    <w:rsid w:val="00634512"/>
    <w:rsid w:val="006346E1"/>
    <w:rsid w:val="0063473A"/>
    <w:rsid w:val="00634878"/>
    <w:rsid w:val="006348B1"/>
    <w:rsid w:val="006348D6"/>
    <w:rsid w:val="0063492C"/>
    <w:rsid w:val="006349CD"/>
    <w:rsid w:val="00634A30"/>
    <w:rsid w:val="00634A72"/>
    <w:rsid w:val="00634AB4"/>
    <w:rsid w:val="00634ACB"/>
    <w:rsid w:val="00634B22"/>
    <w:rsid w:val="00634CB2"/>
    <w:rsid w:val="00634CC2"/>
    <w:rsid w:val="00634F3A"/>
    <w:rsid w:val="00635188"/>
    <w:rsid w:val="00635190"/>
    <w:rsid w:val="006351FA"/>
    <w:rsid w:val="0063520C"/>
    <w:rsid w:val="0063523A"/>
    <w:rsid w:val="0063527D"/>
    <w:rsid w:val="006352AE"/>
    <w:rsid w:val="006352EA"/>
    <w:rsid w:val="006352F2"/>
    <w:rsid w:val="00635373"/>
    <w:rsid w:val="006353AA"/>
    <w:rsid w:val="006353CF"/>
    <w:rsid w:val="0063541D"/>
    <w:rsid w:val="00635500"/>
    <w:rsid w:val="00635562"/>
    <w:rsid w:val="00635686"/>
    <w:rsid w:val="00635698"/>
    <w:rsid w:val="006356FF"/>
    <w:rsid w:val="0063575C"/>
    <w:rsid w:val="006357B3"/>
    <w:rsid w:val="006357C6"/>
    <w:rsid w:val="006357E5"/>
    <w:rsid w:val="0063580E"/>
    <w:rsid w:val="0063581A"/>
    <w:rsid w:val="00635854"/>
    <w:rsid w:val="00635DF2"/>
    <w:rsid w:val="00635E2E"/>
    <w:rsid w:val="00635F15"/>
    <w:rsid w:val="00635F96"/>
    <w:rsid w:val="006360B8"/>
    <w:rsid w:val="006360D4"/>
    <w:rsid w:val="00636100"/>
    <w:rsid w:val="00636185"/>
    <w:rsid w:val="006361FE"/>
    <w:rsid w:val="00636235"/>
    <w:rsid w:val="00636240"/>
    <w:rsid w:val="0063624C"/>
    <w:rsid w:val="00636272"/>
    <w:rsid w:val="00636307"/>
    <w:rsid w:val="00636374"/>
    <w:rsid w:val="0063643E"/>
    <w:rsid w:val="006364AF"/>
    <w:rsid w:val="006364C6"/>
    <w:rsid w:val="006364E1"/>
    <w:rsid w:val="006365CC"/>
    <w:rsid w:val="00636711"/>
    <w:rsid w:val="00636790"/>
    <w:rsid w:val="006369AD"/>
    <w:rsid w:val="00636A04"/>
    <w:rsid w:val="00636C42"/>
    <w:rsid w:val="00636C65"/>
    <w:rsid w:val="00636C77"/>
    <w:rsid w:val="00636CEA"/>
    <w:rsid w:val="00636F52"/>
    <w:rsid w:val="00636FA0"/>
    <w:rsid w:val="00637028"/>
    <w:rsid w:val="0063709D"/>
    <w:rsid w:val="0063713B"/>
    <w:rsid w:val="006371FC"/>
    <w:rsid w:val="006372BF"/>
    <w:rsid w:val="006373B1"/>
    <w:rsid w:val="0063742A"/>
    <w:rsid w:val="00637459"/>
    <w:rsid w:val="006374B0"/>
    <w:rsid w:val="006374D5"/>
    <w:rsid w:val="0063762B"/>
    <w:rsid w:val="00637650"/>
    <w:rsid w:val="006376F7"/>
    <w:rsid w:val="0063771B"/>
    <w:rsid w:val="0063772C"/>
    <w:rsid w:val="0063775D"/>
    <w:rsid w:val="006378DE"/>
    <w:rsid w:val="006378E0"/>
    <w:rsid w:val="0063790F"/>
    <w:rsid w:val="00637932"/>
    <w:rsid w:val="00637993"/>
    <w:rsid w:val="006379AB"/>
    <w:rsid w:val="00637A1E"/>
    <w:rsid w:val="00637AB4"/>
    <w:rsid w:val="00637B2B"/>
    <w:rsid w:val="00637C96"/>
    <w:rsid w:val="00637DD7"/>
    <w:rsid w:val="00637E87"/>
    <w:rsid w:val="00637EE8"/>
    <w:rsid w:val="00637F5A"/>
    <w:rsid w:val="00637FBC"/>
    <w:rsid w:val="0064013A"/>
    <w:rsid w:val="006401DE"/>
    <w:rsid w:val="006402D1"/>
    <w:rsid w:val="00640487"/>
    <w:rsid w:val="006404CF"/>
    <w:rsid w:val="0064050E"/>
    <w:rsid w:val="00640619"/>
    <w:rsid w:val="0064063D"/>
    <w:rsid w:val="00640694"/>
    <w:rsid w:val="006406A2"/>
    <w:rsid w:val="00640750"/>
    <w:rsid w:val="006407E3"/>
    <w:rsid w:val="006408F4"/>
    <w:rsid w:val="0064097A"/>
    <w:rsid w:val="00640AF8"/>
    <w:rsid w:val="00640C00"/>
    <w:rsid w:val="00640D65"/>
    <w:rsid w:val="00640E56"/>
    <w:rsid w:val="00640F89"/>
    <w:rsid w:val="00641141"/>
    <w:rsid w:val="00641197"/>
    <w:rsid w:val="006412FC"/>
    <w:rsid w:val="00641373"/>
    <w:rsid w:val="0064140A"/>
    <w:rsid w:val="006414E7"/>
    <w:rsid w:val="006414F2"/>
    <w:rsid w:val="00641580"/>
    <w:rsid w:val="006415B5"/>
    <w:rsid w:val="00641600"/>
    <w:rsid w:val="006416FB"/>
    <w:rsid w:val="0064174F"/>
    <w:rsid w:val="006418F0"/>
    <w:rsid w:val="006419A3"/>
    <w:rsid w:val="006419F1"/>
    <w:rsid w:val="00641AAE"/>
    <w:rsid w:val="00641AC5"/>
    <w:rsid w:val="00641B2B"/>
    <w:rsid w:val="00641C39"/>
    <w:rsid w:val="00641CDB"/>
    <w:rsid w:val="00641D53"/>
    <w:rsid w:val="00641DC4"/>
    <w:rsid w:val="00641E76"/>
    <w:rsid w:val="00641EA0"/>
    <w:rsid w:val="00641EFE"/>
    <w:rsid w:val="00641F84"/>
    <w:rsid w:val="00641FA3"/>
    <w:rsid w:val="006420D2"/>
    <w:rsid w:val="00642123"/>
    <w:rsid w:val="0064212D"/>
    <w:rsid w:val="00642161"/>
    <w:rsid w:val="00642286"/>
    <w:rsid w:val="006423B5"/>
    <w:rsid w:val="0064257F"/>
    <w:rsid w:val="0064263F"/>
    <w:rsid w:val="006426D0"/>
    <w:rsid w:val="00642755"/>
    <w:rsid w:val="006428D2"/>
    <w:rsid w:val="00642984"/>
    <w:rsid w:val="006429C6"/>
    <w:rsid w:val="00642A1B"/>
    <w:rsid w:val="00642A80"/>
    <w:rsid w:val="00642B7E"/>
    <w:rsid w:val="00642BBD"/>
    <w:rsid w:val="00642C57"/>
    <w:rsid w:val="00642D89"/>
    <w:rsid w:val="00642EAA"/>
    <w:rsid w:val="00642F77"/>
    <w:rsid w:val="00642FCB"/>
    <w:rsid w:val="0064317C"/>
    <w:rsid w:val="00643197"/>
    <w:rsid w:val="006431C7"/>
    <w:rsid w:val="00643265"/>
    <w:rsid w:val="0064338B"/>
    <w:rsid w:val="006434C6"/>
    <w:rsid w:val="006434E5"/>
    <w:rsid w:val="0064371C"/>
    <w:rsid w:val="0064374C"/>
    <w:rsid w:val="00643784"/>
    <w:rsid w:val="006437D3"/>
    <w:rsid w:val="006438BB"/>
    <w:rsid w:val="006438E7"/>
    <w:rsid w:val="006438E8"/>
    <w:rsid w:val="00643905"/>
    <w:rsid w:val="00643911"/>
    <w:rsid w:val="0064392B"/>
    <w:rsid w:val="0064396F"/>
    <w:rsid w:val="00643AD2"/>
    <w:rsid w:val="00643B0B"/>
    <w:rsid w:val="00643B4E"/>
    <w:rsid w:val="00643B90"/>
    <w:rsid w:val="00643D25"/>
    <w:rsid w:val="00643D42"/>
    <w:rsid w:val="00643E3F"/>
    <w:rsid w:val="00643ECA"/>
    <w:rsid w:val="00643F15"/>
    <w:rsid w:val="00643FD9"/>
    <w:rsid w:val="006440B3"/>
    <w:rsid w:val="006441DE"/>
    <w:rsid w:val="0064420A"/>
    <w:rsid w:val="0064420B"/>
    <w:rsid w:val="0064427F"/>
    <w:rsid w:val="00644331"/>
    <w:rsid w:val="00644509"/>
    <w:rsid w:val="00644522"/>
    <w:rsid w:val="0064465F"/>
    <w:rsid w:val="00644705"/>
    <w:rsid w:val="006448BB"/>
    <w:rsid w:val="00644A74"/>
    <w:rsid w:val="00644AD6"/>
    <w:rsid w:val="00644B00"/>
    <w:rsid w:val="00644C2B"/>
    <w:rsid w:val="00644CE7"/>
    <w:rsid w:val="00644D93"/>
    <w:rsid w:val="00644EA0"/>
    <w:rsid w:val="00645011"/>
    <w:rsid w:val="0064501F"/>
    <w:rsid w:val="0064505E"/>
    <w:rsid w:val="00645131"/>
    <w:rsid w:val="00645173"/>
    <w:rsid w:val="006451AE"/>
    <w:rsid w:val="006452EE"/>
    <w:rsid w:val="00645393"/>
    <w:rsid w:val="006453FB"/>
    <w:rsid w:val="00645431"/>
    <w:rsid w:val="0064548D"/>
    <w:rsid w:val="006454DD"/>
    <w:rsid w:val="00645549"/>
    <w:rsid w:val="00645725"/>
    <w:rsid w:val="0064584B"/>
    <w:rsid w:val="006458B1"/>
    <w:rsid w:val="00645901"/>
    <w:rsid w:val="00645942"/>
    <w:rsid w:val="0064594E"/>
    <w:rsid w:val="006459B0"/>
    <w:rsid w:val="006459D0"/>
    <w:rsid w:val="00645A08"/>
    <w:rsid w:val="00645A33"/>
    <w:rsid w:val="00645F69"/>
    <w:rsid w:val="00645F96"/>
    <w:rsid w:val="00646096"/>
    <w:rsid w:val="00646216"/>
    <w:rsid w:val="006463B1"/>
    <w:rsid w:val="006463B4"/>
    <w:rsid w:val="006463C9"/>
    <w:rsid w:val="00646408"/>
    <w:rsid w:val="0064643B"/>
    <w:rsid w:val="0064644B"/>
    <w:rsid w:val="00646470"/>
    <w:rsid w:val="006464AE"/>
    <w:rsid w:val="00646561"/>
    <w:rsid w:val="00646646"/>
    <w:rsid w:val="00646673"/>
    <w:rsid w:val="006466A3"/>
    <w:rsid w:val="006466FB"/>
    <w:rsid w:val="00646707"/>
    <w:rsid w:val="00646724"/>
    <w:rsid w:val="0064673E"/>
    <w:rsid w:val="006467D3"/>
    <w:rsid w:val="00646869"/>
    <w:rsid w:val="00646891"/>
    <w:rsid w:val="00646964"/>
    <w:rsid w:val="006469CC"/>
    <w:rsid w:val="00646A5C"/>
    <w:rsid w:val="00646B0D"/>
    <w:rsid w:val="00646B37"/>
    <w:rsid w:val="00646B9D"/>
    <w:rsid w:val="00646CB0"/>
    <w:rsid w:val="00646CB5"/>
    <w:rsid w:val="00646CFB"/>
    <w:rsid w:val="00646DBD"/>
    <w:rsid w:val="00646DDE"/>
    <w:rsid w:val="00646E0C"/>
    <w:rsid w:val="00646E34"/>
    <w:rsid w:val="00646F1A"/>
    <w:rsid w:val="00646F97"/>
    <w:rsid w:val="00647093"/>
    <w:rsid w:val="006470FE"/>
    <w:rsid w:val="0064719C"/>
    <w:rsid w:val="00647271"/>
    <w:rsid w:val="006472DC"/>
    <w:rsid w:val="006472E4"/>
    <w:rsid w:val="0064730C"/>
    <w:rsid w:val="006473A0"/>
    <w:rsid w:val="006473A7"/>
    <w:rsid w:val="006473C2"/>
    <w:rsid w:val="006474DA"/>
    <w:rsid w:val="00647573"/>
    <w:rsid w:val="006475DA"/>
    <w:rsid w:val="00647618"/>
    <w:rsid w:val="0064761E"/>
    <w:rsid w:val="006476F9"/>
    <w:rsid w:val="00647774"/>
    <w:rsid w:val="006477B3"/>
    <w:rsid w:val="006477E2"/>
    <w:rsid w:val="006478FC"/>
    <w:rsid w:val="00647A48"/>
    <w:rsid w:val="00647A8A"/>
    <w:rsid w:val="00647BFD"/>
    <w:rsid w:val="00647C58"/>
    <w:rsid w:val="00647CCF"/>
    <w:rsid w:val="00647D52"/>
    <w:rsid w:val="00647D6D"/>
    <w:rsid w:val="00647E07"/>
    <w:rsid w:val="00647E73"/>
    <w:rsid w:val="00647F2E"/>
    <w:rsid w:val="00647F74"/>
    <w:rsid w:val="00647FB7"/>
    <w:rsid w:val="0065009B"/>
    <w:rsid w:val="0065019E"/>
    <w:rsid w:val="00650273"/>
    <w:rsid w:val="00650504"/>
    <w:rsid w:val="00650552"/>
    <w:rsid w:val="0065055F"/>
    <w:rsid w:val="00650585"/>
    <w:rsid w:val="0065068E"/>
    <w:rsid w:val="00650775"/>
    <w:rsid w:val="0065078F"/>
    <w:rsid w:val="006507E3"/>
    <w:rsid w:val="006508C0"/>
    <w:rsid w:val="006508DC"/>
    <w:rsid w:val="006509FB"/>
    <w:rsid w:val="00650AAB"/>
    <w:rsid w:val="00650AC5"/>
    <w:rsid w:val="00650B18"/>
    <w:rsid w:val="00650B4E"/>
    <w:rsid w:val="00650BAD"/>
    <w:rsid w:val="00650BBF"/>
    <w:rsid w:val="00650C55"/>
    <w:rsid w:val="00650C71"/>
    <w:rsid w:val="00650CF9"/>
    <w:rsid w:val="00650E18"/>
    <w:rsid w:val="00650F36"/>
    <w:rsid w:val="00650FB4"/>
    <w:rsid w:val="00650FC9"/>
    <w:rsid w:val="006510F1"/>
    <w:rsid w:val="0065110D"/>
    <w:rsid w:val="00651128"/>
    <w:rsid w:val="0065117F"/>
    <w:rsid w:val="006511B5"/>
    <w:rsid w:val="0065121C"/>
    <w:rsid w:val="0065122E"/>
    <w:rsid w:val="0065123C"/>
    <w:rsid w:val="00651308"/>
    <w:rsid w:val="00651359"/>
    <w:rsid w:val="00651379"/>
    <w:rsid w:val="0065137C"/>
    <w:rsid w:val="006513F4"/>
    <w:rsid w:val="006513F9"/>
    <w:rsid w:val="00651469"/>
    <w:rsid w:val="00651495"/>
    <w:rsid w:val="006514EE"/>
    <w:rsid w:val="00651772"/>
    <w:rsid w:val="006517B0"/>
    <w:rsid w:val="006517FF"/>
    <w:rsid w:val="0065183A"/>
    <w:rsid w:val="006518D7"/>
    <w:rsid w:val="0065196D"/>
    <w:rsid w:val="006519B5"/>
    <w:rsid w:val="00651A2E"/>
    <w:rsid w:val="00651A6B"/>
    <w:rsid w:val="00651BC4"/>
    <w:rsid w:val="00651BC8"/>
    <w:rsid w:val="00651C1E"/>
    <w:rsid w:val="00651C2D"/>
    <w:rsid w:val="00651C8E"/>
    <w:rsid w:val="00651CE8"/>
    <w:rsid w:val="00651DC7"/>
    <w:rsid w:val="00651DD7"/>
    <w:rsid w:val="00651E2B"/>
    <w:rsid w:val="00651E64"/>
    <w:rsid w:val="00651F9C"/>
    <w:rsid w:val="00652010"/>
    <w:rsid w:val="00652155"/>
    <w:rsid w:val="006521A3"/>
    <w:rsid w:val="0065231E"/>
    <w:rsid w:val="006526B1"/>
    <w:rsid w:val="006526CE"/>
    <w:rsid w:val="006526ED"/>
    <w:rsid w:val="00652875"/>
    <w:rsid w:val="00652A21"/>
    <w:rsid w:val="00652A82"/>
    <w:rsid w:val="00652AB3"/>
    <w:rsid w:val="00652B11"/>
    <w:rsid w:val="00652BB0"/>
    <w:rsid w:val="00652BF7"/>
    <w:rsid w:val="00652C00"/>
    <w:rsid w:val="00652CE2"/>
    <w:rsid w:val="00652D0C"/>
    <w:rsid w:val="00652D39"/>
    <w:rsid w:val="00652D67"/>
    <w:rsid w:val="00652E54"/>
    <w:rsid w:val="00652F12"/>
    <w:rsid w:val="0065307F"/>
    <w:rsid w:val="00653083"/>
    <w:rsid w:val="0065310B"/>
    <w:rsid w:val="0065310C"/>
    <w:rsid w:val="006531A8"/>
    <w:rsid w:val="0065330D"/>
    <w:rsid w:val="00653349"/>
    <w:rsid w:val="0065342F"/>
    <w:rsid w:val="00653603"/>
    <w:rsid w:val="006536BB"/>
    <w:rsid w:val="006537F8"/>
    <w:rsid w:val="00653927"/>
    <w:rsid w:val="00653A0E"/>
    <w:rsid w:val="00653A6D"/>
    <w:rsid w:val="00653A80"/>
    <w:rsid w:val="00653B10"/>
    <w:rsid w:val="00653BB3"/>
    <w:rsid w:val="00653D6D"/>
    <w:rsid w:val="00653DB2"/>
    <w:rsid w:val="00653DDB"/>
    <w:rsid w:val="00653E2B"/>
    <w:rsid w:val="00653E5F"/>
    <w:rsid w:val="00653EA7"/>
    <w:rsid w:val="00653FAD"/>
    <w:rsid w:val="00653FC6"/>
    <w:rsid w:val="00653FD4"/>
    <w:rsid w:val="006540D4"/>
    <w:rsid w:val="006541CE"/>
    <w:rsid w:val="006541EA"/>
    <w:rsid w:val="00654234"/>
    <w:rsid w:val="0065432A"/>
    <w:rsid w:val="00654337"/>
    <w:rsid w:val="0065445E"/>
    <w:rsid w:val="0065448A"/>
    <w:rsid w:val="006544D0"/>
    <w:rsid w:val="0065450C"/>
    <w:rsid w:val="006545A5"/>
    <w:rsid w:val="006545D0"/>
    <w:rsid w:val="00654641"/>
    <w:rsid w:val="00654651"/>
    <w:rsid w:val="00654681"/>
    <w:rsid w:val="00654709"/>
    <w:rsid w:val="006547C6"/>
    <w:rsid w:val="006547FE"/>
    <w:rsid w:val="00654AF7"/>
    <w:rsid w:val="00654B6B"/>
    <w:rsid w:val="00654B75"/>
    <w:rsid w:val="00654C38"/>
    <w:rsid w:val="00654CEC"/>
    <w:rsid w:val="00654D33"/>
    <w:rsid w:val="00654D5C"/>
    <w:rsid w:val="00654E33"/>
    <w:rsid w:val="00654F4E"/>
    <w:rsid w:val="0065503F"/>
    <w:rsid w:val="006551F8"/>
    <w:rsid w:val="0065539C"/>
    <w:rsid w:val="006553ED"/>
    <w:rsid w:val="006554E7"/>
    <w:rsid w:val="006555A3"/>
    <w:rsid w:val="00655670"/>
    <w:rsid w:val="0065568D"/>
    <w:rsid w:val="006556B7"/>
    <w:rsid w:val="0065576B"/>
    <w:rsid w:val="006557C1"/>
    <w:rsid w:val="006558D9"/>
    <w:rsid w:val="006558E0"/>
    <w:rsid w:val="0065596D"/>
    <w:rsid w:val="00655B6F"/>
    <w:rsid w:val="00655BEB"/>
    <w:rsid w:val="00655CCA"/>
    <w:rsid w:val="00655DE9"/>
    <w:rsid w:val="00655E21"/>
    <w:rsid w:val="00655F2A"/>
    <w:rsid w:val="00655F5A"/>
    <w:rsid w:val="00655FD7"/>
    <w:rsid w:val="00655FE1"/>
    <w:rsid w:val="00656068"/>
    <w:rsid w:val="0065612C"/>
    <w:rsid w:val="006562DD"/>
    <w:rsid w:val="006563DE"/>
    <w:rsid w:val="006565C6"/>
    <w:rsid w:val="006565CD"/>
    <w:rsid w:val="00656621"/>
    <w:rsid w:val="006566B5"/>
    <w:rsid w:val="006566C2"/>
    <w:rsid w:val="006567AC"/>
    <w:rsid w:val="00656944"/>
    <w:rsid w:val="00656963"/>
    <w:rsid w:val="00656AB4"/>
    <w:rsid w:val="00656BA3"/>
    <w:rsid w:val="00656BAE"/>
    <w:rsid w:val="00656C34"/>
    <w:rsid w:val="00656CC0"/>
    <w:rsid w:val="00656CF7"/>
    <w:rsid w:val="00656D0D"/>
    <w:rsid w:val="00656D24"/>
    <w:rsid w:val="00656D2E"/>
    <w:rsid w:val="00656E38"/>
    <w:rsid w:val="00656EB6"/>
    <w:rsid w:val="00656EDD"/>
    <w:rsid w:val="00656EE2"/>
    <w:rsid w:val="00656EF0"/>
    <w:rsid w:val="00657038"/>
    <w:rsid w:val="00657070"/>
    <w:rsid w:val="006571AC"/>
    <w:rsid w:val="0065727B"/>
    <w:rsid w:val="00657350"/>
    <w:rsid w:val="006574D7"/>
    <w:rsid w:val="00657569"/>
    <w:rsid w:val="0065757A"/>
    <w:rsid w:val="006575F7"/>
    <w:rsid w:val="00657866"/>
    <w:rsid w:val="0065788C"/>
    <w:rsid w:val="006578AC"/>
    <w:rsid w:val="00657927"/>
    <w:rsid w:val="00657A0E"/>
    <w:rsid w:val="00657A73"/>
    <w:rsid w:val="00657CD7"/>
    <w:rsid w:val="00657D47"/>
    <w:rsid w:val="00657D78"/>
    <w:rsid w:val="00657D84"/>
    <w:rsid w:val="00657EA3"/>
    <w:rsid w:val="00657F2A"/>
    <w:rsid w:val="00657F61"/>
    <w:rsid w:val="00657FB6"/>
    <w:rsid w:val="00660099"/>
    <w:rsid w:val="006600C3"/>
    <w:rsid w:val="006600E3"/>
    <w:rsid w:val="00660142"/>
    <w:rsid w:val="00660223"/>
    <w:rsid w:val="00660300"/>
    <w:rsid w:val="00660378"/>
    <w:rsid w:val="0066037F"/>
    <w:rsid w:val="0066052E"/>
    <w:rsid w:val="006605DC"/>
    <w:rsid w:val="0066076C"/>
    <w:rsid w:val="006607F0"/>
    <w:rsid w:val="006608B1"/>
    <w:rsid w:val="0066097A"/>
    <w:rsid w:val="00660992"/>
    <w:rsid w:val="00660AA3"/>
    <w:rsid w:val="00660AD7"/>
    <w:rsid w:val="00660BCA"/>
    <w:rsid w:val="00660BCD"/>
    <w:rsid w:val="00660BFA"/>
    <w:rsid w:val="00660C31"/>
    <w:rsid w:val="00660C8F"/>
    <w:rsid w:val="00660CDF"/>
    <w:rsid w:val="00660E6C"/>
    <w:rsid w:val="0066107B"/>
    <w:rsid w:val="00661110"/>
    <w:rsid w:val="006611D0"/>
    <w:rsid w:val="006612B3"/>
    <w:rsid w:val="006612BA"/>
    <w:rsid w:val="006614AA"/>
    <w:rsid w:val="0066159A"/>
    <w:rsid w:val="006615CC"/>
    <w:rsid w:val="006617DE"/>
    <w:rsid w:val="00661835"/>
    <w:rsid w:val="006618DF"/>
    <w:rsid w:val="00661925"/>
    <w:rsid w:val="00661998"/>
    <w:rsid w:val="006619AF"/>
    <w:rsid w:val="00661A09"/>
    <w:rsid w:val="00661A90"/>
    <w:rsid w:val="00661CEC"/>
    <w:rsid w:val="00661D1B"/>
    <w:rsid w:val="00661D27"/>
    <w:rsid w:val="00661D38"/>
    <w:rsid w:val="00661D87"/>
    <w:rsid w:val="00661DB8"/>
    <w:rsid w:val="00661DED"/>
    <w:rsid w:val="00661EE7"/>
    <w:rsid w:val="00661FAC"/>
    <w:rsid w:val="00662087"/>
    <w:rsid w:val="006620A7"/>
    <w:rsid w:val="006620AC"/>
    <w:rsid w:val="0066210D"/>
    <w:rsid w:val="0066211C"/>
    <w:rsid w:val="0066224B"/>
    <w:rsid w:val="0066237F"/>
    <w:rsid w:val="00662440"/>
    <w:rsid w:val="00662652"/>
    <w:rsid w:val="0066267B"/>
    <w:rsid w:val="00662771"/>
    <w:rsid w:val="006627AD"/>
    <w:rsid w:val="006627D3"/>
    <w:rsid w:val="0066283D"/>
    <w:rsid w:val="00662860"/>
    <w:rsid w:val="006629E0"/>
    <w:rsid w:val="00662AC9"/>
    <w:rsid w:val="00662C3F"/>
    <w:rsid w:val="00662C8B"/>
    <w:rsid w:val="00662CA2"/>
    <w:rsid w:val="00662CB3"/>
    <w:rsid w:val="00662CCF"/>
    <w:rsid w:val="00662E65"/>
    <w:rsid w:val="00662E67"/>
    <w:rsid w:val="00662E97"/>
    <w:rsid w:val="00662EBE"/>
    <w:rsid w:val="006630C3"/>
    <w:rsid w:val="00663111"/>
    <w:rsid w:val="00663205"/>
    <w:rsid w:val="0066328F"/>
    <w:rsid w:val="00663386"/>
    <w:rsid w:val="006633D9"/>
    <w:rsid w:val="00663565"/>
    <w:rsid w:val="006636B6"/>
    <w:rsid w:val="0066373B"/>
    <w:rsid w:val="006637A8"/>
    <w:rsid w:val="006637FA"/>
    <w:rsid w:val="006637FE"/>
    <w:rsid w:val="0066385E"/>
    <w:rsid w:val="0066391F"/>
    <w:rsid w:val="00663933"/>
    <w:rsid w:val="00663B4E"/>
    <w:rsid w:val="00663B6B"/>
    <w:rsid w:val="00663BF6"/>
    <w:rsid w:val="00663C2F"/>
    <w:rsid w:val="00663C47"/>
    <w:rsid w:val="00663D1C"/>
    <w:rsid w:val="00663D26"/>
    <w:rsid w:val="00663D7C"/>
    <w:rsid w:val="00663DE0"/>
    <w:rsid w:val="00663DEF"/>
    <w:rsid w:val="00663E98"/>
    <w:rsid w:val="00663F86"/>
    <w:rsid w:val="006640EA"/>
    <w:rsid w:val="006640EE"/>
    <w:rsid w:val="006640FC"/>
    <w:rsid w:val="00664128"/>
    <w:rsid w:val="00664159"/>
    <w:rsid w:val="006641BA"/>
    <w:rsid w:val="00664345"/>
    <w:rsid w:val="0066441D"/>
    <w:rsid w:val="0066444A"/>
    <w:rsid w:val="00664641"/>
    <w:rsid w:val="00664679"/>
    <w:rsid w:val="00664711"/>
    <w:rsid w:val="00664739"/>
    <w:rsid w:val="00664756"/>
    <w:rsid w:val="00664792"/>
    <w:rsid w:val="006647DC"/>
    <w:rsid w:val="0066485B"/>
    <w:rsid w:val="00664A06"/>
    <w:rsid w:val="00664A2D"/>
    <w:rsid w:val="00664AB9"/>
    <w:rsid w:val="00664AE8"/>
    <w:rsid w:val="00664B02"/>
    <w:rsid w:val="00664C17"/>
    <w:rsid w:val="00664C6D"/>
    <w:rsid w:val="00664D65"/>
    <w:rsid w:val="00664D71"/>
    <w:rsid w:val="00664ED3"/>
    <w:rsid w:val="00664F8A"/>
    <w:rsid w:val="00664FC7"/>
    <w:rsid w:val="0066503F"/>
    <w:rsid w:val="00665066"/>
    <w:rsid w:val="0066508B"/>
    <w:rsid w:val="00665187"/>
    <w:rsid w:val="00665227"/>
    <w:rsid w:val="00665386"/>
    <w:rsid w:val="006653A7"/>
    <w:rsid w:val="006653D6"/>
    <w:rsid w:val="00665449"/>
    <w:rsid w:val="006654A8"/>
    <w:rsid w:val="0066560E"/>
    <w:rsid w:val="0066562A"/>
    <w:rsid w:val="006656D8"/>
    <w:rsid w:val="0066586B"/>
    <w:rsid w:val="006659C1"/>
    <w:rsid w:val="00665AAD"/>
    <w:rsid w:val="00665AD7"/>
    <w:rsid w:val="00665B36"/>
    <w:rsid w:val="00665BA0"/>
    <w:rsid w:val="00665C0D"/>
    <w:rsid w:val="00665CFA"/>
    <w:rsid w:val="00665DA9"/>
    <w:rsid w:val="00665EB5"/>
    <w:rsid w:val="00665EDC"/>
    <w:rsid w:val="00665FF5"/>
    <w:rsid w:val="006660A3"/>
    <w:rsid w:val="00666122"/>
    <w:rsid w:val="00666140"/>
    <w:rsid w:val="006661D1"/>
    <w:rsid w:val="00666250"/>
    <w:rsid w:val="0066641C"/>
    <w:rsid w:val="0066643B"/>
    <w:rsid w:val="00666452"/>
    <w:rsid w:val="006664C6"/>
    <w:rsid w:val="006664F6"/>
    <w:rsid w:val="00666519"/>
    <w:rsid w:val="00666637"/>
    <w:rsid w:val="0066678E"/>
    <w:rsid w:val="006667CD"/>
    <w:rsid w:val="006669C5"/>
    <w:rsid w:val="006669CF"/>
    <w:rsid w:val="006669D5"/>
    <w:rsid w:val="00666A8E"/>
    <w:rsid w:val="00666AC7"/>
    <w:rsid w:val="00666B89"/>
    <w:rsid w:val="00666B93"/>
    <w:rsid w:val="00666BB4"/>
    <w:rsid w:val="00666BE7"/>
    <w:rsid w:val="00666BF1"/>
    <w:rsid w:val="00666D97"/>
    <w:rsid w:val="006670CC"/>
    <w:rsid w:val="006671D4"/>
    <w:rsid w:val="0066720B"/>
    <w:rsid w:val="0066722F"/>
    <w:rsid w:val="006672AD"/>
    <w:rsid w:val="00667373"/>
    <w:rsid w:val="006673DF"/>
    <w:rsid w:val="00667494"/>
    <w:rsid w:val="006674B6"/>
    <w:rsid w:val="006675B8"/>
    <w:rsid w:val="006676DE"/>
    <w:rsid w:val="0066779A"/>
    <w:rsid w:val="0066782C"/>
    <w:rsid w:val="00667858"/>
    <w:rsid w:val="006678D1"/>
    <w:rsid w:val="006678FC"/>
    <w:rsid w:val="00667924"/>
    <w:rsid w:val="00667B15"/>
    <w:rsid w:val="00667B8A"/>
    <w:rsid w:val="00667C03"/>
    <w:rsid w:val="00667CC7"/>
    <w:rsid w:val="00667CEE"/>
    <w:rsid w:val="00667D51"/>
    <w:rsid w:val="00667EF7"/>
    <w:rsid w:val="00667FB5"/>
    <w:rsid w:val="00670059"/>
    <w:rsid w:val="00670121"/>
    <w:rsid w:val="00670142"/>
    <w:rsid w:val="0067016B"/>
    <w:rsid w:val="0067024E"/>
    <w:rsid w:val="00670326"/>
    <w:rsid w:val="00670360"/>
    <w:rsid w:val="00670438"/>
    <w:rsid w:val="00670449"/>
    <w:rsid w:val="00670486"/>
    <w:rsid w:val="0067050F"/>
    <w:rsid w:val="006705CC"/>
    <w:rsid w:val="006705F9"/>
    <w:rsid w:val="00670625"/>
    <w:rsid w:val="00670649"/>
    <w:rsid w:val="006706AF"/>
    <w:rsid w:val="00670726"/>
    <w:rsid w:val="0067073C"/>
    <w:rsid w:val="006707DD"/>
    <w:rsid w:val="00670AEF"/>
    <w:rsid w:val="00670B1E"/>
    <w:rsid w:val="00670B61"/>
    <w:rsid w:val="00670C02"/>
    <w:rsid w:val="00670C99"/>
    <w:rsid w:val="00670D06"/>
    <w:rsid w:val="00670D74"/>
    <w:rsid w:val="00670E3A"/>
    <w:rsid w:val="00670F6B"/>
    <w:rsid w:val="00670F79"/>
    <w:rsid w:val="00670F8D"/>
    <w:rsid w:val="0067101F"/>
    <w:rsid w:val="006710DF"/>
    <w:rsid w:val="00671105"/>
    <w:rsid w:val="00671197"/>
    <w:rsid w:val="00671299"/>
    <w:rsid w:val="006712BA"/>
    <w:rsid w:val="006712CA"/>
    <w:rsid w:val="0067132D"/>
    <w:rsid w:val="006713FD"/>
    <w:rsid w:val="006714BB"/>
    <w:rsid w:val="00671570"/>
    <w:rsid w:val="0067158D"/>
    <w:rsid w:val="006715D8"/>
    <w:rsid w:val="0067164E"/>
    <w:rsid w:val="006716B0"/>
    <w:rsid w:val="0067174C"/>
    <w:rsid w:val="006717B1"/>
    <w:rsid w:val="00671821"/>
    <w:rsid w:val="0067183F"/>
    <w:rsid w:val="00671842"/>
    <w:rsid w:val="006718EB"/>
    <w:rsid w:val="006719B7"/>
    <w:rsid w:val="00671A25"/>
    <w:rsid w:val="00671AA3"/>
    <w:rsid w:val="00671B97"/>
    <w:rsid w:val="00671C3D"/>
    <w:rsid w:val="00671D00"/>
    <w:rsid w:val="00671D31"/>
    <w:rsid w:val="00671DA7"/>
    <w:rsid w:val="00671E65"/>
    <w:rsid w:val="00671E9E"/>
    <w:rsid w:val="00671FEB"/>
    <w:rsid w:val="00672008"/>
    <w:rsid w:val="006720E7"/>
    <w:rsid w:val="006721E4"/>
    <w:rsid w:val="006721EA"/>
    <w:rsid w:val="0067224F"/>
    <w:rsid w:val="00672275"/>
    <w:rsid w:val="00672288"/>
    <w:rsid w:val="006722A7"/>
    <w:rsid w:val="006723A6"/>
    <w:rsid w:val="006723F0"/>
    <w:rsid w:val="006723F7"/>
    <w:rsid w:val="00672454"/>
    <w:rsid w:val="00672482"/>
    <w:rsid w:val="006724A8"/>
    <w:rsid w:val="006724C1"/>
    <w:rsid w:val="00672593"/>
    <w:rsid w:val="006726CB"/>
    <w:rsid w:val="00672769"/>
    <w:rsid w:val="006727DF"/>
    <w:rsid w:val="0067286D"/>
    <w:rsid w:val="00672944"/>
    <w:rsid w:val="006729A7"/>
    <w:rsid w:val="00672A25"/>
    <w:rsid w:val="00672A9F"/>
    <w:rsid w:val="00672B5D"/>
    <w:rsid w:val="00672CFD"/>
    <w:rsid w:val="00672E1D"/>
    <w:rsid w:val="00672F06"/>
    <w:rsid w:val="00672FCD"/>
    <w:rsid w:val="00673154"/>
    <w:rsid w:val="0067316C"/>
    <w:rsid w:val="006731A7"/>
    <w:rsid w:val="00673293"/>
    <w:rsid w:val="006733AA"/>
    <w:rsid w:val="006734FC"/>
    <w:rsid w:val="0067351B"/>
    <w:rsid w:val="0067359D"/>
    <w:rsid w:val="00673711"/>
    <w:rsid w:val="006738AB"/>
    <w:rsid w:val="00673995"/>
    <w:rsid w:val="006739B6"/>
    <w:rsid w:val="00673B30"/>
    <w:rsid w:val="00673B75"/>
    <w:rsid w:val="00673BA6"/>
    <w:rsid w:val="00673C0B"/>
    <w:rsid w:val="00673C12"/>
    <w:rsid w:val="00673C31"/>
    <w:rsid w:val="00673C5F"/>
    <w:rsid w:val="00673C70"/>
    <w:rsid w:val="00673CB5"/>
    <w:rsid w:val="00673CBB"/>
    <w:rsid w:val="00673CFE"/>
    <w:rsid w:val="00673D0F"/>
    <w:rsid w:val="00673D81"/>
    <w:rsid w:val="00673F41"/>
    <w:rsid w:val="00673F80"/>
    <w:rsid w:val="00674089"/>
    <w:rsid w:val="006741A4"/>
    <w:rsid w:val="0067422A"/>
    <w:rsid w:val="006742D1"/>
    <w:rsid w:val="00674403"/>
    <w:rsid w:val="0067442F"/>
    <w:rsid w:val="006744C8"/>
    <w:rsid w:val="00674564"/>
    <w:rsid w:val="00674571"/>
    <w:rsid w:val="00674645"/>
    <w:rsid w:val="0067474B"/>
    <w:rsid w:val="00674925"/>
    <w:rsid w:val="00674963"/>
    <w:rsid w:val="006749C0"/>
    <w:rsid w:val="006749F4"/>
    <w:rsid w:val="00674A2E"/>
    <w:rsid w:val="00674BC2"/>
    <w:rsid w:val="00674BDE"/>
    <w:rsid w:val="00674C37"/>
    <w:rsid w:val="00674C79"/>
    <w:rsid w:val="00674D46"/>
    <w:rsid w:val="00674D4E"/>
    <w:rsid w:val="00674D98"/>
    <w:rsid w:val="00674DAF"/>
    <w:rsid w:val="00674EB0"/>
    <w:rsid w:val="00674ED5"/>
    <w:rsid w:val="00674F3E"/>
    <w:rsid w:val="00674F87"/>
    <w:rsid w:val="00674F97"/>
    <w:rsid w:val="006751B6"/>
    <w:rsid w:val="0067529E"/>
    <w:rsid w:val="006752AE"/>
    <w:rsid w:val="00675367"/>
    <w:rsid w:val="00675382"/>
    <w:rsid w:val="006753AB"/>
    <w:rsid w:val="00675498"/>
    <w:rsid w:val="006755C1"/>
    <w:rsid w:val="00675644"/>
    <w:rsid w:val="00675671"/>
    <w:rsid w:val="00675731"/>
    <w:rsid w:val="0067579B"/>
    <w:rsid w:val="00675871"/>
    <w:rsid w:val="006758A6"/>
    <w:rsid w:val="0067595A"/>
    <w:rsid w:val="00675970"/>
    <w:rsid w:val="0067597E"/>
    <w:rsid w:val="00675C4A"/>
    <w:rsid w:val="00675CFE"/>
    <w:rsid w:val="00675D95"/>
    <w:rsid w:val="00675D9A"/>
    <w:rsid w:val="00675E0E"/>
    <w:rsid w:val="00675E3A"/>
    <w:rsid w:val="00675EB0"/>
    <w:rsid w:val="00675F1E"/>
    <w:rsid w:val="00675F2A"/>
    <w:rsid w:val="00676017"/>
    <w:rsid w:val="0067604C"/>
    <w:rsid w:val="00676075"/>
    <w:rsid w:val="006760B3"/>
    <w:rsid w:val="0067622C"/>
    <w:rsid w:val="006762DE"/>
    <w:rsid w:val="0067634C"/>
    <w:rsid w:val="006763F3"/>
    <w:rsid w:val="00676585"/>
    <w:rsid w:val="006765D0"/>
    <w:rsid w:val="006765E7"/>
    <w:rsid w:val="00676648"/>
    <w:rsid w:val="00676727"/>
    <w:rsid w:val="006769C0"/>
    <w:rsid w:val="00676A09"/>
    <w:rsid w:val="00676A2F"/>
    <w:rsid w:val="00676C65"/>
    <w:rsid w:val="00676DCC"/>
    <w:rsid w:val="00676E25"/>
    <w:rsid w:val="00676E29"/>
    <w:rsid w:val="00676EA7"/>
    <w:rsid w:val="006770C3"/>
    <w:rsid w:val="006770F3"/>
    <w:rsid w:val="006772B1"/>
    <w:rsid w:val="00677362"/>
    <w:rsid w:val="006773AC"/>
    <w:rsid w:val="006773E6"/>
    <w:rsid w:val="006774CC"/>
    <w:rsid w:val="006774EE"/>
    <w:rsid w:val="0067766E"/>
    <w:rsid w:val="006776AB"/>
    <w:rsid w:val="00677736"/>
    <w:rsid w:val="00677792"/>
    <w:rsid w:val="006777B5"/>
    <w:rsid w:val="0067783D"/>
    <w:rsid w:val="00677864"/>
    <w:rsid w:val="006778BF"/>
    <w:rsid w:val="00677A12"/>
    <w:rsid w:val="00677A4D"/>
    <w:rsid w:val="00677BAB"/>
    <w:rsid w:val="00677C15"/>
    <w:rsid w:val="00677C49"/>
    <w:rsid w:val="00677C64"/>
    <w:rsid w:val="00677D18"/>
    <w:rsid w:val="00677D24"/>
    <w:rsid w:val="00677D4C"/>
    <w:rsid w:val="00677E56"/>
    <w:rsid w:val="00677F88"/>
    <w:rsid w:val="00680026"/>
    <w:rsid w:val="00680323"/>
    <w:rsid w:val="00680399"/>
    <w:rsid w:val="006803A5"/>
    <w:rsid w:val="006804F0"/>
    <w:rsid w:val="00680655"/>
    <w:rsid w:val="00680745"/>
    <w:rsid w:val="0068080A"/>
    <w:rsid w:val="006808EA"/>
    <w:rsid w:val="0068092F"/>
    <w:rsid w:val="00680B64"/>
    <w:rsid w:val="00680CB2"/>
    <w:rsid w:val="00680DE9"/>
    <w:rsid w:val="00680E97"/>
    <w:rsid w:val="00680F2D"/>
    <w:rsid w:val="00680F8D"/>
    <w:rsid w:val="0068112E"/>
    <w:rsid w:val="006811DE"/>
    <w:rsid w:val="006812C7"/>
    <w:rsid w:val="006812E4"/>
    <w:rsid w:val="006812EE"/>
    <w:rsid w:val="00681312"/>
    <w:rsid w:val="00681343"/>
    <w:rsid w:val="0068137F"/>
    <w:rsid w:val="006813F3"/>
    <w:rsid w:val="006816C5"/>
    <w:rsid w:val="00681728"/>
    <w:rsid w:val="006817B5"/>
    <w:rsid w:val="0068185B"/>
    <w:rsid w:val="00681B19"/>
    <w:rsid w:val="00681B1F"/>
    <w:rsid w:val="00681B21"/>
    <w:rsid w:val="00681E0E"/>
    <w:rsid w:val="00681E22"/>
    <w:rsid w:val="006820F0"/>
    <w:rsid w:val="00682110"/>
    <w:rsid w:val="0068217C"/>
    <w:rsid w:val="006821AE"/>
    <w:rsid w:val="006821DD"/>
    <w:rsid w:val="00682243"/>
    <w:rsid w:val="00682249"/>
    <w:rsid w:val="0068226D"/>
    <w:rsid w:val="00682587"/>
    <w:rsid w:val="00682590"/>
    <w:rsid w:val="00682598"/>
    <w:rsid w:val="006825DB"/>
    <w:rsid w:val="0068260B"/>
    <w:rsid w:val="0068261F"/>
    <w:rsid w:val="00682818"/>
    <w:rsid w:val="00682856"/>
    <w:rsid w:val="00682965"/>
    <w:rsid w:val="006829A9"/>
    <w:rsid w:val="006829B2"/>
    <w:rsid w:val="00682A19"/>
    <w:rsid w:val="00682B8E"/>
    <w:rsid w:val="00682BE2"/>
    <w:rsid w:val="00682C48"/>
    <w:rsid w:val="00682CC8"/>
    <w:rsid w:val="00682D00"/>
    <w:rsid w:val="00682E23"/>
    <w:rsid w:val="00682E42"/>
    <w:rsid w:val="00682FBA"/>
    <w:rsid w:val="00683204"/>
    <w:rsid w:val="00683330"/>
    <w:rsid w:val="00683361"/>
    <w:rsid w:val="0068341E"/>
    <w:rsid w:val="00683489"/>
    <w:rsid w:val="006834B8"/>
    <w:rsid w:val="006834D2"/>
    <w:rsid w:val="00683583"/>
    <w:rsid w:val="0068377C"/>
    <w:rsid w:val="0068381D"/>
    <w:rsid w:val="0068399D"/>
    <w:rsid w:val="006839F7"/>
    <w:rsid w:val="00683A30"/>
    <w:rsid w:val="00683BB7"/>
    <w:rsid w:val="00683C4F"/>
    <w:rsid w:val="00683CA6"/>
    <w:rsid w:val="00683DBE"/>
    <w:rsid w:val="00683DD2"/>
    <w:rsid w:val="00683DF1"/>
    <w:rsid w:val="00683E2C"/>
    <w:rsid w:val="00683EF7"/>
    <w:rsid w:val="00683F6F"/>
    <w:rsid w:val="00683F84"/>
    <w:rsid w:val="006840D9"/>
    <w:rsid w:val="00684127"/>
    <w:rsid w:val="00684230"/>
    <w:rsid w:val="00684367"/>
    <w:rsid w:val="006843F3"/>
    <w:rsid w:val="00684490"/>
    <w:rsid w:val="006844D4"/>
    <w:rsid w:val="006845C6"/>
    <w:rsid w:val="0068474B"/>
    <w:rsid w:val="00684780"/>
    <w:rsid w:val="00684829"/>
    <w:rsid w:val="00684962"/>
    <w:rsid w:val="006849CB"/>
    <w:rsid w:val="00684B74"/>
    <w:rsid w:val="00684C75"/>
    <w:rsid w:val="00684C8F"/>
    <w:rsid w:val="00684C93"/>
    <w:rsid w:val="00684CB4"/>
    <w:rsid w:val="00684CFA"/>
    <w:rsid w:val="00684D0C"/>
    <w:rsid w:val="00684DBF"/>
    <w:rsid w:val="00684DC9"/>
    <w:rsid w:val="00684DDF"/>
    <w:rsid w:val="00684DF6"/>
    <w:rsid w:val="00684E2C"/>
    <w:rsid w:val="00684E2E"/>
    <w:rsid w:val="00684E76"/>
    <w:rsid w:val="00684F06"/>
    <w:rsid w:val="00684F53"/>
    <w:rsid w:val="00684F74"/>
    <w:rsid w:val="0068504F"/>
    <w:rsid w:val="006850A9"/>
    <w:rsid w:val="006851DC"/>
    <w:rsid w:val="006851F2"/>
    <w:rsid w:val="00685462"/>
    <w:rsid w:val="00685473"/>
    <w:rsid w:val="006854FB"/>
    <w:rsid w:val="006855DE"/>
    <w:rsid w:val="0068566C"/>
    <w:rsid w:val="00685790"/>
    <w:rsid w:val="00685866"/>
    <w:rsid w:val="00685881"/>
    <w:rsid w:val="006858F4"/>
    <w:rsid w:val="0068596E"/>
    <w:rsid w:val="00685981"/>
    <w:rsid w:val="006859C7"/>
    <w:rsid w:val="00685A68"/>
    <w:rsid w:val="00685ACE"/>
    <w:rsid w:val="00685AFC"/>
    <w:rsid w:val="00685CF7"/>
    <w:rsid w:val="00685D5B"/>
    <w:rsid w:val="00685F62"/>
    <w:rsid w:val="00686165"/>
    <w:rsid w:val="00686257"/>
    <w:rsid w:val="006862B0"/>
    <w:rsid w:val="006862E4"/>
    <w:rsid w:val="006862EF"/>
    <w:rsid w:val="0068639D"/>
    <w:rsid w:val="006863DF"/>
    <w:rsid w:val="006863E4"/>
    <w:rsid w:val="0068643A"/>
    <w:rsid w:val="00686479"/>
    <w:rsid w:val="00686486"/>
    <w:rsid w:val="006864D1"/>
    <w:rsid w:val="006864E6"/>
    <w:rsid w:val="00686573"/>
    <w:rsid w:val="00686683"/>
    <w:rsid w:val="006866AC"/>
    <w:rsid w:val="0068681F"/>
    <w:rsid w:val="0068682A"/>
    <w:rsid w:val="006868CB"/>
    <w:rsid w:val="006868D4"/>
    <w:rsid w:val="006868DB"/>
    <w:rsid w:val="00686957"/>
    <w:rsid w:val="0068697D"/>
    <w:rsid w:val="006869B6"/>
    <w:rsid w:val="00686B26"/>
    <w:rsid w:val="00686C9E"/>
    <w:rsid w:val="00686D54"/>
    <w:rsid w:val="00686E00"/>
    <w:rsid w:val="00686F8A"/>
    <w:rsid w:val="00687018"/>
    <w:rsid w:val="00687172"/>
    <w:rsid w:val="00687192"/>
    <w:rsid w:val="006871CF"/>
    <w:rsid w:val="00687229"/>
    <w:rsid w:val="006873D3"/>
    <w:rsid w:val="00687439"/>
    <w:rsid w:val="006874AB"/>
    <w:rsid w:val="00687500"/>
    <w:rsid w:val="00687514"/>
    <w:rsid w:val="006875DA"/>
    <w:rsid w:val="006875EB"/>
    <w:rsid w:val="006877DF"/>
    <w:rsid w:val="00687853"/>
    <w:rsid w:val="006878AF"/>
    <w:rsid w:val="00687972"/>
    <w:rsid w:val="00687A10"/>
    <w:rsid w:val="00687A30"/>
    <w:rsid w:val="00687A42"/>
    <w:rsid w:val="00687AFA"/>
    <w:rsid w:val="00687C59"/>
    <w:rsid w:val="00687CEA"/>
    <w:rsid w:val="00687DBD"/>
    <w:rsid w:val="00687DD0"/>
    <w:rsid w:val="00687DE1"/>
    <w:rsid w:val="00687DED"/>
    <w:rsid w:val="00687E34"/>
    <w:rsid w:val="00687EE9"/>
    <w:rsid w:val="00687F82"/>
    <w:rsid w:val="006900B8"/>
    <w:rsid w:val="006900D7"/>
    <w:rsid w:val="00690120"/>
    <w:rsid w:val="0069012B"/>
    <w:rsid w:val="006901A2"/>
    <w:rsid w:val="006901B8"/>
    <w:rsid w:val="006901C3"/>
    <w:rsid w:val="006901ED"/>
    <w:rsid w:val="0069025A"/>
    <w:rsid w:val="00690333"/>
    <w:rsid w:val="00690366"/>
    <w:rsid w:val="006903E4"/>
    <w:rsid w:val="006903E6"/>
    <w:rsid w:val="00690416"/>
    <w:rsid w:val="00690460"/>
    <w:rsid w:val="0069047C"/>
    <w:rsid w:val="0069051E"/>
    <w:rsid w:val="00690557"/>
    <w:rsid w:val="00690572"/>
    <w:rsid w:val="006905C4"/>
    <w:rsid w:val="006906BE"/>
    <w:rsid w:val="006907EC"/>
    <w:rsid w:val="006908A1"/>
    <w:rsid w:val="0069092A"/>
    <w:rsid w:val="0069095F"/>
    <w:rsid w:val="00690960"/>
    <w:rsid w:val="00690A41"/>
    <w:rsid w:val="00690AF1"/>
    <w:rsid w:val="00690AFD"/>
    <w:rsid w:val="00690B52"/>
    <w:rsid w:val="00690BC4"/>
    <w:rsid w:val="00690BCA"/>
    <w:rsid w:val="00690C11"/>
    <w:rsid w:val="00690D94"/>
    <w:rsid w:val="00690D96"/>
    <w:rsid w:val="00690DE3"/>
    <w:rsid w:val="00690E53"/>
    <w:rsid w:val="00690FF1"/>
    <w:rsid w:val="00691059"/>
    <w:rsid w:val="006911D1"/>
    <w:rsid w:val="00691353"/>
    <w:rsid w:val="0069136D"/>
    <w:rsid w:val="00691479"/>
    <w:rsid w:val="006914A8"/>
    <w:rsid w:val="00691527"/>
    <w:rsid w:val="0069178C"/>
    <w:rsid w:val="0069180A"/>
    <w:rsid w:val="00691846"/>
    <w:rsid w:val="0069186B"/>
    <w:rsid w:val="006918C8"/>
    <w:rsid w:val="00691972"/>
    <w:rsid w:val="00691B44"/>
    <w:rsid w:val="00691CB5"/>
    <w:rsid w:val="00691E0C"/>
    <w:rsid w:val="00691E37"/>
    <w:rsid w:val="00691E85"/>
    <w:rsid w:val="00691E8B"/>
    <w:rsid w:val="00692048"/>
    <w:rsid w:val="006921BF"/>
    <w:rsid w:val="006921DB"/>
    <w:rsid w:val="006921FD"/>
    <w:rsid w:val="00692208"/>
    <w:rsid w:val="0069235A"/>
    <w:rsid w:val="006923BA"/>
    <w:rsid w:val="006923DF"/>
    <w:rsid w:val="006923F2"/>
    <w:rsid w:val="006923F3"/>
    <w:rsid w:val="00692438"/>
    <w:rsid w:val="00692585"/>
    <w:rsid w:val="006927DA"/>
    <w:rsid w:val="00692851"/>
    <w:rsid w:val="00692992"/>
    <w:rsid w:val="00692996"/>
    <w:rsid w:val="00692AD3"/>
    <w:rsid w:val="00692AF5"/>
    <w:rsid w:val="00692B47"/>
    <w:rsid w:val="00692BCD"/>
    <w:rsid w:val="00692D16"/>
    <w:rsid w:val="00692D39"/>
    <w:rsid w:val="00692DB3"/>
    <w:rsid w:val="00692E35"/>
    <w:rsid w:val="00692F6F"/>
    <w:rsid w:val="0069310F"/>
    <w:rsid w:val="0069323A"/>
    <w:rsid w:val="006932B8"/>
    <w:rsid w:val="0069331B"/>
    <w:rsid w:val="00693330"/>
    <w:rsid w:val="00693422"/>
    <w:rsid w:val="00693450"/>
    <w:rsid w:val="006934C3"/>
    <w:rsid w:val="0069352D"/>
    <w:rsid w:val="00693542"/>
    <w:rsid w:val="0069364A"/>
    <w:rsid w:val="006936FD"/>
    <w:rsid w:val="006937F3"/>
    <w:rsid w:val="00693805"/>
    <w:rsid w:val="00693931"/>
    <w:rsid w:val="00693994"/>
    <w:rsid w:val="006939C1"/>
    <w:rsid w:val="00693A55"/>
    <w:rsid w:val="00693A8A"/>
    <w:rsid w:val="00693AB7"/>
    <w:rsid w:val="00693BC1"/>
    <w:rsid w:val="00693C9A"/>
    <w:rsid w:val="00693DB6"/>
    <w:rsid w:val="00693E1A"/>
    <w:rsid w:val="00693E67"/>
    <w:rsid w:val="006941A0"/>
    <w:rsid w:val="00694307"/>
    <w:rsid w:val="00694313"/>
    <w:rsid w:val="00694354"/>
    <w:rsid w:val="00694429"/>
    <w:rsid w:val="00694436"/>
    <w:rsid w:val="00694469"/>
    <w:rsid w:val="0069447F"/>
    <w:rsid w:val="006944B5"/>
    <w:rsid w:val="006944ED"/>
    <w:rsid w:val="0069450E"/>
    <w:rsid w:val="006945E1"/>
    <w:rsid w:val="0069461A"/>
    <w:rsid w:val="0069469E"/>
    <w:rsid w:val="00694708"/>
    <w:rsid w:val="006947E6"/>
    <w:rsid w:val="006947F8"/>
    <w:rsid w:val="006948D7"/>
    <w:rsid w:val="00694994"/>
    <w:rsid w:val="006949BE"/>
    <w:rsid w:val="00694B3C"/>
    <w:rsid w:val="00694B5A"/>
    <w:rsid w:val="00694BFA"/>
    <w:rsid w:val="00694C1A"/>
    <w:rsid w:val="00694CBC"/>
    <w:rsid w:val="00694CC6"/>
    <w:rsid w:val="00694D1D"/>
    <w:rsid w:val="00694E80"/>
    <w:rsid w:val="00694FE4"/>
    <w:rsid w:val="0069500D"/>
    <w:rsid w:val="00695122"/>
    <w:rsid w:val="0069515F"/>
    <w:rsid w:val="0069525C"/>
    <w:rsid w:val="00695337"/>
    <w:rsid w:val="00695352"/>
    <w:rsid w:val="00695445"/>
    <w:rsid w:val="00695489"/>
    <w:rsid w:val="00695647"/>
    <w:rsid w:val="006956A6"/>
    <w:rsid w:val="0069589D"/>
    <w:rsid w:val="0069593B"/>
    <w:rsid w:val="00695975"/>
    <w:rsid w:val="00695A92"/>
    <w:rsid w:val="00695AB5"/>
    <w:rsid w:val="00695AF2"/>
    <w:rsid w:val="00695C56"/>
    <w:rsid w:val="00695CCC"/>
    <w:rsid w:val="00695DFE"/>
    <w:rsid w:val="00695E13"/>
    <w:rsid w:val="00695EFA"/>
    <w:rsid w:val="00695F91"/>
    <w:rsid w:val="00695FF5"/>
    <w:rsid w:val="0069601E"/>
    <w:rsid w:val="006961F9"/>
    <w:rsid w:val="00696240"/>
    <w:rsid w:val="00696314"/>
    <w:rsid w:val="00696322"/>
    <w:rsid w:val="00696323"/>
    <w:rsid w:val="0069639C"/>
    <w:rsid w:val="006963FB"/>
    <w:rsid w:val="00696419"/>
    <w:rsid w:val="00696430"/>
    <w:rsid w:val="00696608"/>
    <w:rsid w:val="00696722"/>
    <w:rsid w:val="00696771"/>
    <w:rsid w:val="006967A4"/>
    <w:rsid w:val="00696815"/>
    <w:rsid w:val="00696829"/>
    <w:rsid w:val="00696975"/>
    <w:rsid w:val="00696A1F"/>
    <w:rsid w:val="00696AEB"/>
    <w:rsid w:val="00696C75"/>
    <w:rsid w:val="00696D07"/>
    <w:rsid w:val="00696DBC"/>
    <w:rsid w:val="00696E54"/>
    <w:rsid w:val="00696F3A"/>
    <w:rsid w:val="00696F69"/>
    <w:rsid w:val="00696FB6"/>
    <w:rsid w:val="00696FBA"/>
    <w:rsid w:val="006970EE"/>
    <w:rsid w:val="0069711A"/>
    <w:rsid w:val="00697125"/>
    <w:rsid w:val="00697131"/>
    <w:rsid w:val="006971EE"/>
    <w:rsid w:val="0069731A"/>
    <w:rsid w:val="0069737D"/>
    <w:rsid w:val="00697392"/>
    <w:rsid w:val="006974E4"/>
    <w:rsid w:val="006975CD"/>
    <w:rsid w:val="00697655"/>
    <w:rsid w:val="006976A6"/>
    <w:rsid w:val="00697806"/>
    <w:rsid w:val="006978E1"/>
    <w:rsid w:val="00697909"/>
    <w:rsid w:val="00697B7E"/>
    <w:rsid w:val="00697D11"/>
    <w:rsid w:val="00697D85"/>
    <w:rsid w:val="00697DC4"/>
    <w:rsid w:val="00697DD6"/>
    <w:rsid w:val="00697E0B"/>
    <w:rsid w:val="00697F72"/>
    <w:rsid w:val="006A008C"/>
    <w:rsid w:val="006A00B7"/>
    <w:rsid w:val="006A00EE"/>
    <w:rsid w:val="006A0179"/>
    <w:rsid w:val="006A030A"/>
    <w:rsid w:val="006A034D"/>
    <w:rsid w:val="006A043F"/>
    <w:rsid w:val="006A047D"/>
    <w:rsid w:val="006A04B0"/>
    <w:rsid w:val="006A04F9"/>
    <w:rsid w:val="006A0759"/>
    <w:rsid w:val="006A07FA"/>
    <w:rsid w:val="006A0905"/>
    <w:rsid w:val="006A0977"/>
    <w:rsid w:val="006A0BD7"/>
    <w:rsid w:val="006A0C1F"/>
    <w:rsid w:val="006A0C39"/>
    <w:rsid w:val="006A0E27"/>
    <w:rsid w:val="006A0E9E"/>
    <w:rsid w:val="006A0F46"/>
    <w:rsid w:val="006A0F5D"/>
    <w:rsid w:val="006A0F7B"/>
    <w:rsid w:val="006A1015"/>
    <w:rsid w:val="006A1072"/>
    <w:rsid w:val="006A109E"/>
    <w:rsid w:val="006A1162"/>
    <w:rsid w:val="006A11AD"/>
    <w:rsid w:val="006A120A"/>
    <w:rsid w:val="006A125A"/>
    <w:rsid w:val="006A14E3"/>
    <w:rsid w:val="006A1541"/>
    <w:rsid w:val="006A15C6"/>
    <w:rsid w:val="006A16DC"/>
    <w:rsid w:val="006A1801"/>
    <w:rsid w:val="006A19D5"/>
    <w:rsid w:val="006A1A00"/>
    <w:rsid w:val="006A1A4F"/>
    <w:rsid w:val="006A1B09"/>
    <w:rsid w:val="006A1BA2"/>
    <w:rsid w:val="006A1BC1"/>
    <w:rsid w:val="006A1C18"/>
    <w:rsid w:val="006A1CA0"/>
    <w:rsid w:val="006A1CA8"/>
    <w:rsid w:val="006A1D2C"/>
    <w:rsid w:val="006A1D39"/>
    <w:rsid w:val="006A1D40"/>
    <w:rsid w:val="006A1E89"/>
    <w:rsid w:val="006A1EB7"/>
    <w:rsid w:val="006A1F02"/>
    <w:rsid w:val="006A1F95"/>
    <w:rsid w:val="006A20DA"/>
    <w:rsid w:val="006A2203"/>
    <w:rsid w:val="006A2226"/>
    <w:rsid w:val="006A2363"/>
    <w:rsid w:val="006A25F2"/>
    <w:rsid w:val="006A2671"/>
    <w:rsid w:val="006A2686"/>
    <w:rsid w:val="006A26C3"/>
    <w:rsid w:val="006A2767"/>
    <w:rsid w:val="006A278D"/>
    <w:rsid w:val="006A2858"/>
    <w:rsid w:val="006A28BE"/>
    <w:rsid w:val="006A2A08"/>
    <w:rsid w:val="006A2A10"/>
    <w:rsid w:val="006A2A1A"/>
    <w:rsid w:val="006A2A46"/>
    <w:rsid w:val="006A2C1D"/>
    <w:rsid w:val="006A2C9B"/>
    <w:rsid w:val="006A2CC2"/>
    <w:rsid w:val="006A2CC7"/>
    <w:rsid w:val="006A2CD0"/>
    <w:rsid w:val="006A2D4F"/>
    <w:rsid w:val="006A2D61"/>
    <w:rsid w:val="006A2DFD"/>
    <w:rsid w:val="006A2E5F"/>
    <w:rsid w:val="006A2E95"/>
    <w:rsid w:val="006A2F26"/>
    <w:rsid w:val="006A30CB"/>
    <w:rsid w:val="006A30F1"/>
    <w:rsid w:val="006A3238"/>
    <w:rsid w:val="006A331F"/>
    <w:rsid w:val="006A3380"/>
    <w:rsid w:val="006A33C4"/>
    <w:rsid w:val="006A3427"/>
    <w:rsid w:val="006A34DD"/>
    <w:rsid w:val="006A37E6"/>
    <w:rsid w:val="006A37F5"/>
    <w:rsid w:val="006A3803"/>
    <w:rsid w:val="006A3829"/>
    <w:rsid w:val="006A384B"/>
    <w:rsid w:val="006A391E"/>
    <w:rsid w:val="006A3CE2"/>
    <w:rsid w:val="006A3D45"/>
    <w:rsid w:val="006A3D90"/>
    <w:rsid w:val="006A3D9B"/>
    <w:rsid w:val="006A3E14"/>
    <w:rsid w:val="006A3E3D"/>
    <w:rsid w:val="006A3F49"/>
    <w:rsid w:val="006A3F4F"/>
    <w:rsid w:val="006A3FBE"/>
    <w:rsid w:val="006A3FE7"/>
    <w:rsid w:val="006A40A0"/>
    <w:rsid w:val="006A40CD"/>
    <w:rsid w:val="006A40EF"/>
    <w:rsid w:val="006A4121"/>
    <w:rsid w:val="006A4265"/>
    <w:rsid w:val="006A4271"/>
    <w:rsid w:val="006A4277"/>
    <w:rsid w:val="006A42B1"/>
    <w:rsid w:val="006A436D"/>
    <w:rsid w:val="006A4431"/>
    <w:rsid w:val="006A45E2"/>
    <w:rsid w:val="006A4648"/>
    <w:rsid w:val="006A4717"/>
    <w:rsid w:val="006A474B"/>
    <w:rsid w:val="006A478E"/>
    <w:rsid w:val="006A4795"/>
    <w:rsid w:val="006A47CE"/>
    <w:rsid w:val="006A4898"/>
    <w:rsid w:val="006A48BC"/>
    <w:rsid w:val="006A492A"/>
    <w:rsid w:val="006A4969"/>
    <w:rsid w:val="006A4B42"/>
    <w:rsid w:val="006A4B66"/>
    <w:rsid w:val="006A4BB8"/>
    <w:rsid w:val="006A4C35"/>
    <w:rsid w:val="006A4D03"/>
    <w:rsid w:val="006A4D5E"/>
    <w:rsid w:val="006A4DE5"/>
    <w:rsid w:val="006A4E86"/>
    <w:rsid w:val="006A4F1C"/>
    <w:rsid w:val="006A4FC6"/>
    <w:rsid w:val="006A5051"/>
    <w:rsid w:val="006A5170"/>
    <w:rsid w:val="006A5283"/>
    <w:rsid w:val="006A530E"/>
    <w:rsid w:val="006A5330"/>
    <w:rsid w:val="006A5360"/>
    <w:rsid w:val="006A5414"/>
    <w:rsid w:val="006A546B"/>
    <w:rsid w:val="006A5484"/>
    <w:rsid w:val="006A548A"/>
    <w:rsid w:val="006A548E"/>
    <w:rsid w:val="006A554B"/>
    <w:rsid w:val="006A57B7"/>
    <w:rsid w:val="006A589B"/>
    <w:rsid w:val="006A5B73"/>
    <w:rsid w:val="006A5CCB"/>
    <w:rsid w:val="006A5D0E"/>
    <w:rsid w:val="006A5D2A"/>
    <w:rsid w:val="006A5D3B"/>
    <w:rsid w:val="006A5E8B"/>
    <w:rsid w:val="006A5F47"/>
    <w:rsid w:val="006A6096"/>
    <w:rsid w:val="006A60F0"/>
    <w:rsid w:val="006A6125"/>
    <w:rsid w:val="006A6248"/>
    <w:rsid w:val="006A626F"/>
    <w:rsid w:val="006A62D5"/>
    <w:rsid w:val="006A634E"/>
    <w:rsid w:val="006A638B"/>
    <w:rsid w:val="006A654F"/>
    <w:rsid w:val="006A655C"/>
    <w:rsid w:val="006A65AC"/>
    <w:rsid w:val="006A6674"/>
    <w:rsid w:val="006A67F4"/>
    <w:rsid w:val="006A6858"/>
    <w:rsid w:val="006A68FB"/>
    <w:rsid w:val="006A69A1"/>
    <w:rsid w:val="006A69CB"/>
    <w:rsid w:val="006A69CF"/>
    <w:rsid w:val="006A6AA3"/>
    <w:rsid w:val="006A6B10"/>
    <w:rsid w:val="006A6D72"/>
    <w:rsid w:val="006A6D9F"/>
    <w:rsid w:val="006A6DD6"/>
    <w:rsid w:val="006A6DFD"/>
    <w:rsid w:val="006A6E1B"/>
    <w:rsid w:val="006A6E39"/>
    <w:rsid w:val="006A6EB9"/>
    <w:rsid w:val="006A6F1A"/>
    <w:rsid w:val="006A6F1C"/>
    <w:rsid w:val="006A6F6B"/>
    <w:rsid w:val="006A6FB9"/>
    <w:rsid w:val="006A7014"/>
    <w:rsid w:val="006A7051"/>
    <w:rsid w:val="006A713F"/>
    <w:rsid w:val="006A71B2"/>
    <w:rsid w:val="006A733F"/>
    <w:rsid w:val="006A7371"/>
    <w:rsid w:val="006A737E"/>
    <w:rsid w:val="006A7388"/>
    <w:rsid w:val="006A741C"/>
    <w:rsid w:val="006A7443"/>
    <w:rsid w:val="006A745B"/>
    <w:rsid w:val="006A74C7"/>
    <w:rsid w:val="006A768E"/>
    <w:rsid w:val="006A7849"/>
    <w:rsid w:val="006A787F"/>
    <w:rsid w:val="006A793A"/>
    <w:rsid w:val="006A7944"/>
    <w:rsid w:val="006A79B9"/>
    <w:rsid w:val="006A7A63"/>
    <w:rsid w:val="006A7ABE"/>
    <w:rsid w:val="006A7B82"/>
    <w:rsid w:val="006A7C4C"/>
    <w:rsid w:val="006A7EE6"/>
    <w:rsid w:val="006A7F05"/>
    <w:rsid w:val="006A7F11"/>
    <w:rsid w:val="006A7F38"/>
    <w:rsid w:val="006A7FD8"/>
    <w:rsid w:val="006A7FDF"/>
    <w:rsid w:val="006B00A6"/>
    <w:rsid w:val="006B00C1"/>
    <w:rsid w:val="006B0265"/>
    <w:rsid w:val="006B02C1"/>
    <w:rsid w:val="006B0419"/>
    <w:rsid w:val="006B054E"/>
    <w:rsid w:val="006B05DB"/>
    <w:rsid w:val="006B060A"/>
    <w:rsid w:val="006B06C8"/>
    <w:rsid w:val="006B070D"/>
    <w:rsid w:val="006B072B"/>
    <w:rsid w:val="006B072C"/>
    <w:rsid w:val="006B0919"/>
    <w:rsid w:val="006B0A20"/>
    <w:rsid w:val="006B0A42"/>
    <w:rsid w:val="006B0B0B"/>
    <w:rsid w:val="006B0B9C"/>
    <w:rsid w:val="006B0C3F"/>
    <w:rsid w:val="006B0C56"/>
    <w:rsid w:val="006B0D7D"/>
    <w:rsid w:val="006B10BD"/>
    <w:rsid w:val="006B1304"/>
    <w:rsid w:val="006B13D5"/>
    <w:rsid w:val="006B14B9"/>
    <w:rsid w:val="006B14EC"/>
    <w:rsid w:val="006B1573"/>
    <w:rsid w:val="006B168B"/>
    <w:rsid w:val="006B16BA"/>
    <w:rsid w:val="006B18CC"/>
    <w:rsid w:val="006B18DB"/>
    <w:rsid w:val="006B1971"/>
    <w:rsid w:val="006B1A0B"/>
    <w:rsid w:val="006B1BB5"/>
    <w:rsid w:val="006B1C26"/>
    <w:rsid w:val="006B1E2D"/>
    <w:rsid w:val="006B20D8"/>
    <w:rsid w:val="006B2167"/>
    <w:rsid w:val="006B2293"/>
    <w:rsid w:val="006B229C"/>
    <w:rsid w:val="006B2328"/>
    <w:rsid w:val="006B256F"/>
    <w:rsid w:val="006B2659"/>
    <w:rsid w:val="006B267A"/>
    <w:rsid w:val="006B26C0"/>
    <w:rsid w:val="006B2720"/>
    <w:rsid w:val="006B272A"/>
    <w:rsid w:val="006B2859"/>
    <w:rsid w:val="006B28F8"/>
    <w:rsid w:val="006B2988"/>
    <w:rsid w:val="006B29A3"/>
    <w:rsid w:val="006B2A2E"/>
    <w:rsid w:val="006B2B15"/>
    <w:rsid w:val="006B2B38"/>
    <w:rsid w:val="006B2B4B"/>
    <w:rsid w:val="006B2B69"/>
    <w:rsid w:val="006B2DF6"/>
    <w:rsid w:val="006B2E3E"/>
    <w:rsid w:val="006B2EBE"/>
    <w:rsid w:val="006B2F79"/>
    <w:rsid w:val="006B2FE0"/>
    <w:rsid w:val="006B301C"/>
    <w:rsid w:val="006B30D7"/>
    <w:rsid w:val="006B318F"/>
    <w:rsid w:val="006B31E9"/>
    <w:rsid w:val="006B320C"/>
    <w:rsid w:val="006B3266"/>
    <w:rsid w:val="006B32E7"/>
    <w:rsid w:val="006B3461"/>
    <w:rsid w:val="006B3512"/>
    <w:rsid w:val="006B3557"/>
    <w:rsid w:val="006B35EC"/>
    <w:rsid w:val="006B369A"/>
    <w:rsid w:val="006B36F8"/>
    <w:rsid w:val="006B3798"/>
    <w:rsid w:val="006B381F"/>
    <w:rsid w:val="006B38A0"/>
    <w:rsid w:val="006B38FF"/>
    <w:rsid w:val="006B3917"/>
    <w:rsid w:val="006B3990"/>
    <w:rsid w:val="006B39F4"/>
    <w:rsid w:val="006B3AF7"/>
    <w:rsid w:val="006B3C1A"/>
    <w:rsid w:val="006B3C49"/>
    <w:rsid w:val="006B3DAB"/>
    <w:rsid w:val="006B3F61"/>
    <w:rsid w:val="006B4010"/>
    <w:rsid w:val="006B40F8"/>
    <w:rsid w:val="006B41D2"/>
    <w:rsid w:val="006B41F6"/>
    <w:rsid w:val="006B42C3"/>
    <w:rsid w:val="006B4360"/>
    <w:rsid w:val="006B43A7"/>
    <w:rsid w:val="006B43D1"/>
    <w:rsid w:val="006B45AC"/>
    <w:rsid w:val="006B471C"/>
    <w:rsid w:val="006B476D"/>
    <w:rsid w:val="006B47B5"/>
    <w:rsid w:val="006B4873"/>
    <w:rsid w:val="006B48D1"/>
    <w:rsid w:val="006B4972"/>
    <w:rsid w:val="006B498A"/>
    <w:rsid w:val="006B4A03"/>
    <w:rsid w:val="006B4A1E"/>
    <w:rsid w:val="006B4A49"/>
    <w:rsid w:val="006B4A6B"/>
    <w:rsid w:val="006B4AB6"/>
    <w:rsid w:val="006B4BB5"/>
    <w:rsid w:val="006B4C40"/>
    <w:rsid w:val="006B4DEB"/>
    <w:rsid w:val="006B4E3C"/>
    <w:rsid w:val="006B4E53"/>
    <w:rsid w:val="006B4F27"/>
    <w:rsid w:val="006B4FCD"/>
    <w:rsid w:val="006B500E"/>
    <w:rsid w:val="006B50C6"/>
    <w:rsid w:val="006B514A"/>
    <w:rsid w:val="006B5171"/>
    <w:rsid w:val="006B5217"/>
    <w:rsid w:val="006B5353"/>
    <w:rsid w:val="006B538E"/>
    <w:rsid w:val="006B5606"/>
    <w:rsid w:val="006B569C"/>
    <w:rsid w:val="006B56FC"/>
    <w:rsid w:val="006B5725"/>
    <w:rsid w:val="006B5769"/>
    <w:rsid w:val="006B58FE"/>
    <w:rsid w:val="006B593C"/>
    <w:rsid w:val="006B595F"/>
    <w:rsid w:val="006B5B13"/>
    <w:rsid w:val="006B5B95"/>
    <w:rsid w:val="006B5BFE"/>
    <w:rsid w:val="006B5C30"/>
    <w:rsid w:val="006B5C98"/>
    <w:rsid w:val="006B5F7D"/>
    <w:rsid w:val="006B5FBC"/>
    <w:rsid w:val="006B5FD3"/>
    <w:rsid w:val="006B6005"/>
    <w:rsid w:val="006B6086"/>
    <w:rsid w:val="006B61B3"/>
    <w:rsid w:val="006B61FB"/>
    <w:rsid w:val="006B6288"/>
    <w:rsid w:val="006B62CC"/>
    <w:rsid w:val="006B63C7"/>
    <w:rsid w:val="006B63F8"/>
    <w:rsid w:val="006B640C"/>
    <w:rsid w:val="006B6508"/>
    <w:rsid w:val="006B6522"/>
    <w:rsid w:val="006B657A"/>
    <w:rsid w:val="006B659D"/>
    <w:rsid w:val="006B668B"/>
    <w:rsid w:val="006B66B2"/>
    <w:rsid w:val="006B68AC"/>
    <w:rsid w:val="006B693A"/>
    <w:rsid w:val="006B69D1"/>
    <w:rsid w:val="006B6AA3"/>
    <w:rsid w:val="006B6AE8"/>
    <w:rsid w:val="006B6B9E"/>
    <w:rsid w:val="006B6BA9"/>
    <w:rsid w:val="006B6BD3"/>
    <w:rsid w:val="006B6C47"/>
    <w:rsid w:val="006B6C9D"/>
    <w:rsid w:val="006B6D51"/>
    <w:rsid w:val="006B6E11"/>
    <w:rsid w:val="006B6E9E"/>
    <w:rsid w:val="006B6F11"/>
    <w:rsid w:val="006B7166"/>
    <w:rsid w:val="006B725D"/>
    <w:rsid w:val="006B725F"/>
    <w:rsid w:val="006B7263"/>
    <w:rsid w:val="006B728D"/>
    <w:rsid w:val="006B7295"/>
    <w:rsid w:val="006B734A"/>
    <w:rsid w:val="006B73E7"/>
    <w:rsid w:val="006B749D"/>
    <w:rsid w:val="006B78C0"/>
    <w:rsid w:val="006B78E7"/>
    <w:rsid w:val="006B78FC"/>
    <w:rsid w:val="006B7935"/>
    <w:rsid w:val="006B7B2A"/>
    <w:rsid w:val="006B7B46"/>
    <w:rsid w:val="006B7E74"/>
    <w:rsid w:val="006B7EA0"/>
    <w:rsid w:val="006B7EB6"/>
    <w:rsid w:val="006B7F9A"/>
    <w:rsid w:val="006B7F9C"/>
    <w:rsid w:val="006B7FD6"/>
    <w:rsid w:val="006B7FDF"/>
    <w:rsid w:val="006C0058"/>
    <w:rsid w:val="006C0387"/>
    <w:rsid w:val="006C03AC"/>
    <w:rsid w:val="006C0453"/>
    <w:rsid w:val="006C059D"/>
    <w:rsid w:val="006C05CC"/>
    <w:rsid w:val="006C0600"/>
    <w:rsid w:val="006C060C"/>
    <w:rsid w:val="006C0666"/>
    <w:rsid w:val="006C07C6"/>
    <w:rsid w:val="006C07CA"/>
    <w:rsid w:val="006C07FF"/>
    <w:rsid w:val="006C08B6"/>
    <w:rsid w:val="006C0A34"/>
    <w:rsid w:val="006C0A52"/>
    <w:rsid w:val="006C0B8D"/>
    <w:rsid w:val="006C0BA5"/>
    <w:rsid w:val="006C0C2C"/>
    <w:rsid w:val="006C0E3C"/>
    <w:rsid w:val="006C1161"/>
    <w:rsid w:val="006C11A2"/>
    <w:rsid w:val="006C11B2"/>
    <w:rsid w:val="006C12C6"/>
    <w:rsid w:val="006C137F"/>
    <w:rsid w:val="006C1380"/>
    <w:rsid w:val="006C1461"/>
    <w:rsid w:val="006C1467"/>
    <w:rsid w:val="006C1502"/>
    <w:rsid w:val="006C16C3"/>
    <w:rsid w:val="006C1701"/>
    <w:rsid w:val="006C1824"/>
    <w:rsid w:val="006C185E"/>
    <w:rsid w:val="006C1892"/>
    <w:rsid w:val="006C19AA"/>
    <w:rsid w:val="006C1B8F"/>
    <w:rsid w:val="006C1B90"/>
    <w:rsid w:val="006C1BF7"/>
    <w:rsid w:val="006C1C33"/>
    <w:rsid w:val="006C1CEA"/>
    <w:rsid w:val="006C1D16"/>
    <w:rsid w:val="006C1DDF"/>
    <w:rsid w:val="006C1F44"/>
    <w:rsid w:val="006C1F63"/>
    <w:rsid w:val="006C1FCB"/>
    <w:rsid w:val="006C2045"/>
    <w:rsid w:val="006C20A7"/>
    <w:rsid w:val="006C20AD"/>
    <w:rsid w:val="006C21AF"/>
    <w:rsid w:val="006C21CC"/>
    <w:rsid w:val="006C2201"/>
    <w:rsid w:val="006C2311"/>
    <w:rsid w:val="006C23E5"/>
    <w:rsid w:val="006C249B"/>
    <w:rsid w:val="006C2507"/>
    <w:rsid w:val="006C2529"/>
    <w:rsid w:val="006C2577"/>
    <w:rsid w:val="006C2638"/>
    <w:rsid w:val="006C264D"/>
    <w:rsid w:val="006C274C"/>
    <w:rsid w:val="006C27C2"/>
    <w:rsid w:val="006C27E8"/>
    <w:rsid w:val="006C27EF"/>
    <w:rsid w:val="006C2852"/>
    <w:rsid w:val="006C2996"/>
    <w:rsid w:val="006C2A1C"/>
    <w:rsid w:val="006C2A48"/>
    <w:rsid w:val="006C2AB5"/>
    <w:rsid w:val="006C2B27"/>
    <w:rsid w:val="006C2B3D"/>
    <w:rsid w:val="006C2B84"/>
    <w:rsid w:val="006C2C06"/>
    <w:rsid w:val="006C2DDC"/>
    <w:rsid w:val="006C2E0E"/>
    <w:rsid w:val="006C2F39"/>
    <w:rsid w:val="006C2FE1"/>
    <w:rsid w:val="006C30B4"/>
    <w:rsid w:val="006C3358"/>
    <w:rsid w:val="006C3466"/>
    <w:rsid w:val="006C34D9"/>
    <w:rsid w:val="006C34DA"/>
    <w:rsid w:val="006C35AD"/>
    <w:rsid w:val="006C35D8"/>
    <w:rsid w:val="006C35F8"/>
    <w:rsid w:val="006C3660"/>
    <w:rsid w:val="006C36A9"/>
    <w:rsid w:val="006C36EC"/>
    <w:rsid w:val="006C3745"/>
    <w:rsid w:val="006C3909"/>
    <w:rsid w:val="006C397C"/>
    <w:rsid w:val="006C39D1"/>
    <w:rsid w:val="006C3A47"/>
    <w:rsid w:val="006C3A9A"/>
    <w:rsid w:val="006C3AF6"/>
    <w:rsid w:val="006C3AFA"/>
    <w:rsid w:val="006C3AFE"/>
    <w:rsid w:val="006C3C2A"/>
    <w:rsid w:val="006C3CC6"/>
    <w:rsid w:val="006C3CE3"/>
    <w:rsid w:val="006C3D05"/>
    <w:rsid w:val="006C3D46"/>
    <w:rsid w:val="006C3D85"/>
    <w:rsid w:val="006C3F6B"/>
    <w:rsid w:val="006C3F9D"/>
    <w:rsid w:val="006C3FA4"/>
    <w:rsid w:val="006C42DC"/>
    <w:rsid w:val="006C436C"/>
    <w:rsid w:val="006C43E8"/>
    <w:rsid w:val="006C44D0"/>
    <w:rsid w:val="006C4559"/>
    <w:rsid w:val="006C46D0"/>
    <w:rsid w:val="006C47B7"/>
    <w:rsid w:val="006C483F"/>
    <w:rsid w:val="006C4844"/>
    <w:rsid w:val="006C488E"/>
    <w:rsid w:val="006C491D"/>
    <w:rsid w:val="006C4999"/>
    <w:rsid w:val="006C4AC6"/>
    <w:rsid w:val="006C4C25"/>
    <w:rsid w:val="006C4D8B"/>
    <w:rsid w:val="006C4DBB"/>
    <w:rsid w:val="006C4EA4"/>
    <w:rsid w:val="006C4F2E"/>
    <w:rsid w:val="006C4FB0"/>
    <w:rsid w:val="006C4FE2"/>
    <w:rsid w:val="006C5004"/>
    <w:rsid w:val="006C5010"/>
    <w:rsid w:val="006C5030"/>
    <w:rsid w:val="006C5093"/>
    <w:rsid w:val="006C51BC"/>
    <w:rsid w:val="006C5234"/>
    <w:rsid w:val="006C5425"/>
    <w:rsid w:val="006C5429"/>
    <w:rsid w:val="006C54DE"/>
    <w:rsid w:val="006C5501"/>
    <w:rsid w:val="006C5514"/>
    <w:rsid w:val="006C569E"/>
    <w:rsid w:val="006C576F"/>
    <w:rsid w:val="006C5826"/>
    <w:rsid w:val="006C585D"/>
    <w:rsid w:val="006C598C"/>
    <w:rsid w:val="006C5B3B"/>
    <w:rsid w:val="006C5B5A"/>
    <w:rsid w:val="006C5B73"/>
    <w:rsid w:val="006C5BA4"/>
    <w:rsid w:val="006C5BE9"/>
    <w:rsid w:val="006C5C58"/>
    <w:rsid w:val="006C5C7B"/>
    <w:rsid w:val="006C5D4F"/>
    <w:rsid w:val="006C5D84"/>
    <w:rsid w:val="006C5E01"/>
    <w:rsid w:val="006C5F31"/>
    <w:rsid w:val="006C5FD0"/>
    <w:rsid w:val="006C602C"/>
    <w:rsid w:val="006C6102"/>
    <w:rsid w:val="006C6135"/>
    <w:rsid w:val="006C61EF"/>
    <w:rsid w:val="006C61F0"/>
    <w:rsid w:val="006C6227"/>
    <w:rsid w:val="006C624C"/>
    <w:rsid w:val="006C62B3"/>
    <w:rsid w:val="006C6317"/>
    <w:rsid w:val="006C6341"/>
    <w:rsid w:val="006C6390"/>
    <w:rsid w:val="006C645D"/>
    <w:rsid w:val="006C65C4"/>
    <w:rsid w:val="006C6754"/>
    <w:rsid w:val="006C67F3"/>
    <w:rsid w:val="006C686A"/>
    <w:rsid w:val="006C69B9"/>
    <w:rsid w:val="006C6ADB"/>
    <w:rsid w:val="006C6AFE"/>
    <w:rsid w:val="006C6B61"/>
    <w:rsid w:val="006C6BD4"/>
    <w:rsid w:val="006C6C54"/>
    <w:rsid w:val="006C6C57"/>
    <w:rsid w:val="006C6C5A"/>
    <w:rsid w:val="006C6D02"/>
    <w:rsid w:val="006C6F27"/>
    <w:rsid w:val="006C6F5E"/>
    <w:rsid w:val="006C6F67"/>
    <w:rsid w:val="006C70BB"/>
    <w:rsid w:val="006C716E"/>
    <w:rsid w:val="006C71E6"/>
    <w:rsid w:val="006C72A8"/>
    <w:rsid w:val="006C72C8"/>
    <w:rsid w:val="006C7411"/>
    <w:rsid w:val="006C76C1"/>
    <w:rsid w:val="006C77A5"/>
    <w:rsid w:val="006C7887"/>
    <w:rsid w:val="006C78B8"/>
    <w:rsid w:val="006C7968"/>
    <w:rsid w:val="006C7970"/>
    <w:rsid w:val="006C7A24"/>
    <w:rsid w:val="006C7A52"/>
    <w:rsid w:val="006C7D23"/>
    <w:rsid w:val="006C7DC4"/>
    <w:rsid w:val="006C7E3E"/>
    <w:rsid w:val="006C7E7E"/>
    <w:rsid w:val="006C7ED7"/>
    <w:rsid w:val="006C7F40"/>
    <w:rsid w:val="006C7F5B"/>
    <w:rsid w:val="006C7FF9"/>
    <w:rsid w:val="006D0092"/>
    <w:rsid w:val="006D03E8"/>
    <w:rsid w:val="006D0411"/>
    <w:rsid w:val="006D0436"/>
    <w:rsid w:val="006D0518"/>
    <w:rsid w:val="006D055D"/>
    <w:rsid w:val="006D06F9"/>
    <w:rsid w:val="006D0768"/>
    <w:rsid w:val="006D0B4C"/>
    <w:rsid w:val="006D0C6B"/>
    <w:rsid w:val="006D0CC8"/>
    <w:rsid w:val="006D0D6A"/>
    <w:rsid w:val="006D0DC1"/>
    <w:rsid w:val="006D0DF9"/>
    <w:rsid w:val="006D0FF2"/>
    <w:rsid w:val="006D10D8"/>
    <w:rsid w:val="006D111D"/>
    <w:rsid w:val="006D1154"/>
    <w:rsid w:val="006D118A"/>
    <w:rsid w:val="006D11B8"/>
    <w:rsid w:val="006D1224"/>
    <w:rsid w:val="006D13AC"/>
    <w:rsid w:val="006D13B2"/>
    <w:rsid w:val="006D1495"/>
    <w:rsid w:val="006D14AE"/>
    <w:rsid w:val="006D1511"/>
    <w:rsid w:val="006D156F"/>
    <w:rsid w:val="006D16C1"/>
    <w:rsid w:val="006D176C"/>
    <w:rsid w:val="006D17B4"/>
    <w:rsid w:val="006D1908"/>
    <w:rsid w:val="006D1981"/>
    <w:rsid w:val="006D19F3"/>
    <w:rsid w:val="006D1AC7"/>
    <w:rsid w:val="006D1BF4"/>
    <w:rsid w:val="006D1E3D"/>
    <w:rsid w:val="006D1E7B"/>
    <w:rsid w:val="006D2135"/>
    <w:rsid w:val="006D2188"/>
    <w:rsid w:val="006D218B"/>
    <w:rsid w:val="006D222B"/>
    <w:rsid w:val="006D22A2"/>
    <w:rsid w:val="006D22FF"/>
    <w:rsid w:val="006D248F"/>
    <w:rsid w:val="006D24CD"/>
    <w:rsid w:val="006D24E0"/>
    <w:rsid w:val="006D24EA"/>
    <w:rsid w:val="006D24F9"/>
    <w:rsid w:val="006D267B"/>
    <w:rsid w:val="006D2739"/>
    <w:rsid w:val="006D2919"/>
    <w:rsid w:val="006D291D"/>
    <w:rsid w:val="006D298C"/>
    <w:rsid w:val="006D29B5"/>
    <w:rsid w:val="006D2A3A"/>
    <w:rsid w:val="006D2A5E"/>
    <w:rsid w:val="006D2A89"/>
    <w:rsid w:val="006D2AB9"/>
    <w:rsid w:val="006D2D4A"/>
    <w:rsid w:val="006D2DA2"/>
    <w:rsid w:val="006D2DA4"/>
    <w:rsid w:val="006D2DE5"/>
    <w:rsid w:val="006D2E65"/>
    <w:rsid w:val="006D2E90"/>
    <w:rsid w:val="006D2F45"/>
    <w:rsid w:val="006D2F4C"/>
    <w:rsid w:val="006D2FFA"/>
    <w:rsid w:val="006D3075"/>
    <w:rsid w:val="006D30CB"/>
    <w:rsid w:val="006D32A3"/>
    <w:rsid w:val="006D32BA"/>
    <w:rsid w:val="006D3473"/>
    <w:rsid w:val="006D347E"/>
    <w:rsid w:val="006D35B7"/>
    <w:rsid w:val="006D35DA"/>
    <w:rsid w:val="006D35F3"/>
    <w:rsid w:val="006D3670"/>
    <w:rsid w:val="006D3745"/>
    <w:rsid w:val="006D383D"/>
    <w:rsid w:val="006D397B"/>
    <w:rsid w:val="006D3DC1"/>
    <w:rsid w:val="006D3FD2"/>
    <w:rsid w:val="006D40C9"/>
    <w:rsid w:val="006D41B4"/>
    <w:rsid w:val="006D41D0"/>
    <w:rsid w:val="006D43CC"/>
    <w:rsid w:val="006D4487"/>
    <w:rsid w:val="006D44A3"/>
    <w:rsid w:val="006D44F1"/>
    <w:rsid w:val="006D451B"/>
    <w:rsid w:val="006D45CF"/>
    <w:rsid w:val="006D4660"/>
    <w:rsid w:val="006D4799"/>
    <w:rsid w:val="006D47AD"/>
    <w:rsid w:val="006D4932"/>
    <w:rsid w:val="006D4989"/>
    <w:rsid w:val="006D4A32"/>
    <w:rsid w:val="006D4A4E"/>
    <w:rsid w:val="006D4B12"/>
    <w:rsid w:val="006D4C5A"/>
    <w:rsid w:val="006D4DCA"/>
    <w:rsid w:val="006D4DF1"/>
    <w:rsid w:val="006D4E81"/>
    <w:rsid w:val="006D4EEA"/>
    <w:rsid w:val="006D4FB5"/>
    <w:rsid w:val="006D4FCA"/>
    <w:rsid w:val="006D5062"/>
    <w:rsid w:val="006D513C"/>
    <w:rsid w:val="006D5173"/>
    <w:rsid w:val="006D52E7"/>
    <w:rsid w:val="006D530F"/>
    <w:rsid w:val="006D5317"/>
    <w:rsid w:val="006D53E0"/>
    <w:rsid w:val="006D55E9"/>
    <w:rsid w:val="006D56DE"/>
    <w:rsid w:val="006D57A4"/>
    <w:rsid w:val="006D58A6"/>
    <w:rsid w:val="006D58F3"/>
    <w:rsid w:val="006D5968"/>
    <w:rsid w:val="006D5BBE"/>
    <w:rsid w:val="006D5C43"/>
    <w:rsid w:val="006D5C5E"/>
    <w:rsid w:val="006D5C60"/>
    <w:rsid w:val="006D5C9F"/>
    <w:rsid w:val="006D5CDC"/>
    <w:rsid w:val="006D5D4C"/>
    <w:rsid w:val="006D5F02"/>
    <w:rsid w:val="006D5F1E"/>
    <w:rsid w:val="006D6076"/>
    <w:rsid w:val="006D609E"/>
    <w:rsid w:val="006D6135"/>
    <w:rsid w:val="006D614B"/>
    <w:rsid w:val="006D6166"/>
    <w:rsid w:val="006D616D"/>
    <w:rsid w:val="006D6235"/>
    <w:rsid w:val="006D6236"/>
    <w:rsid w:val="006D633A"/>
    <w:rsid w:val="006D6356"/>
    <w:rsid w:val="006D63FC"/>
    <w:rsid w:val="006D645B"/>
    <w:rsid w:val="006D64DF"/>
    <w:rsid w:val="006D64F2"/>
    <w:rsid w:val="006D66BD"/>
    <w:rsid w:val="006D671E"/>
    <w:rsid w:val="006D672D"/>
    <w:rsid w:val="006D673F"/>
    <w:rsid w:val="006D674B"/>
    <w:rsid w:val="006D6951"/>
    <w:rsid w:val="006D6B79"/>
    <w:rsid w:val="006D6BD5"/>
    <w:rsid w:val="006D6CF8"/>
    <w:rsid w:val="006D6DC3"/>
    <w:rsid w:val="006D6E7F"/>
    <w:rsid w:val="006D6EB5"/>
    <w:rsid w:val="006D6EFF"/>
    <w:rsid w:val="006D6F1B"/>
    <w:rsid w:val="006D70B2"/>
    <w:rsid w:val="006D7110"/>
    <w:rsid w:val="006D7370"/>
    <w:rsid w:val="006D73CC"/>
    <w:rsid w:val="006D73E2"/>
    <w:rsid w:val="006D753E"/>
    <w:rsid w:val="006D7603"/>
    <w:rsid w:val="006D760B"/>
    <w:rsid w:val="006D76DE"/>
    <w:rsid w:val="006D77C3"/>
    <w:rsid w:val="006D77E0"/>
    <w:rsid w:val="006D7892"/>
    <w:rsid w:val="006D7A30"/>
    <w:rsid w:val="006D7A55"/>
    <w:rsid w:val="006D7B38"/>
    <w:rsid w:val="006D7BE0"/>
    <w:rsid w:val="006D7C85"/>
    <w:rsid w:val="006D7D0F"/>
    <w:rsid w:val="006D7D5C"/>
    <w:rsid w:val="006D7D6F"/>
    <w:rsid w:val="006D7DF4"/>
    <w:rsid w:val="006D7E5E"/>
    <w:rsid w:val="006D7E7D"/>
    <w:rsid w:val="006D7EC8"/>
    <w:rsid w:val="006D7F9E"/>
    <w:rsid w:val="006E004C"/>
    <w:rsid w:val="006E0053"/>
    <w:rsid w:val="006E0065"/>
    <w:rsid w:val="006E00FD"/>
    <w:rsid w:val="006E0142"/>
    <w:rsid w:val="006E0145"/>
    <w:rsid w:val="006E016D"/>
    <w:rsid w:val="006E0192"/>
    <w:rsid w:val="006E022A"/>
    <w:rsid w:val="006E0232"/>
    <w:rsid w:val="006E0292"/>
    <w:rsid w:val="006E03F3"/>
    <w:rsid w:val="006E0403"/>
    <w:rsid w:val="006E0454"/>
    <w:rsid w:val="006E0570"/>
    <w:rsid w:val="006E058E"/>
    <w:rsid w:val="006E05ED"/>
    <w:rsid w:val="006E067E"/>
    <w:rsid w:val="006E0682"/>
    <w:rsid w:val="006E0705"/>
    <w:rsid w:val="006E071E"/>
    <w:rsid w:val="006E0751"/>
    <w:rsid w:val="006E07E1"/>
    <w:rsid w:val="006E0843"/>
    <w:rsid w:val="006E0847"/>
    <w:rsid w:val="006E0881"/>
    <w:rsid w:val="006E0910"/>
    <w:rsid w:val="006E09A3"/>
    <w:rsid w:val="006E0A12"/>
    <w:rsid w:val="006E0AD6"/>
    <w:rsid w:val="006E0B2B"/>
    <w:rsid w:val="006E0B66"/>
    <w:rsid w:val="006E0BC6"/>
    <w:rsid w:val="006E0C4D"/>
    <w:rsid w:val="006E0DFA"/>
    <w:rsid w:val="006E0E61"/>
    <w:rsid w:val="006E0EE8"/>
    <w:rsid w:val="006E104A"/>
    <w:rsid w:val="006E1064"/>
    <w:rsid w:val="006E10DC"/>
    <w:rsid w:val="006E10E6"/>
    <w:rsid w:val="006E110A"/>
    <w:rsid w:val="006E116B"/>
    <w:rsid w:val="006E12EE"/>
    <w:rsid w:val="006E13B7"/>
    <w:rsid w:val="006E14EE"/>
    <w:rsid w:val="006E14FE"/>
    <w:rsid w:val="006E155F"/>
    <w:rsid w:val="006E1577"/>
    <w:rsid w:val="006E174C"/>
    <w:rsid w:val="006E17D3"/>
    <w:rsid w:val="006E1815"/>
    <w:rsid w:val="006E18AE"/>
    <w:rsid w:val="006E18BD"/>
    <w:rsid w:val="006E1907"/>
    <w:rsid w:val="006E19D1"/>
    <w:rsid w:val="006E1A0F"/>
    <w:rsid w:val="006E1A1B"/>
    <w:rsid w:val="006E1A74"/>
    <w:rsid w:val="006E1A81"/>
    <w:rsid w:val="006E1D29"/>
    <w:rsid w:val="006E1D57"/>
    <w:rsid w:val="006E1D85"/>
    <w:rsid w:val="006E1E9F"/>
    <w:rsid w:val="006E1F2B"/>
    <w:rsid w:val="006E1F9E"/>
    <w:rsid w:val="006E1FB4"/>
    <w:rsid w:val="006E1FB6"/>
    <w:rsid w:val="006E1FE4"/>
    <w:rsid w:val="006E20FC"/>
    <w:rsid w:val="006E211A"/>
    <w:rsid w:val="006E2166"/>
    <w:rsid w:val="006E21A6"/>
    <w:rsid w:val="006E2314"/>
    <w:rsid w:val="006E243B"/>
    <w:rsid w:val="006E2453"/>
    <w:rsid w:val="006E2461"/>
    <w:rsid w:val="006E24E0"/>
    <w:rsid w:val="006E252A"/>
    <w:rsid w:val="006E254B"/>
    <w:rsid w:val="006E2580"/>
    <w:rsid w:val="006E275E"/>
    <w:rsid w:val="006E27DA"/>
    <w:rsid w:val="006E27F1"/>
    <w:rsid w:val="006E280B"/>
    <w:rsid w:val="006E28CC"/>
    <w:rsid w:val="006E2947"/>
    <w:rsid w:val="006E29C2"/>
    <w:rsid w:val="006E29F6"/>
    <w:rsid w:val="006E2A31"/>
    <w:rsid w:val="006E2A3D"/>
    <w:rsid w:val="006E2B0C"/>
    <w:rsid w:val="006E2B89"/>
    <w:rsid w:val="006E2BC2"/>
    <w:rsid w:val="006E2BD3"/>
    <w:rsid w:val="006E2CB9"/>
    <w:rsid w:val="006E2D07"/>
    <w:rsid w:val="006E2D2A"/>
    <w:rsid w:val="006E2D5D"/>
    <w:rsid w:val="006E2D8B"/>
    <w:rsid w:val="006E2DD8"/>
    <w:rsid w:val="006E2E52"/>
    <w:rsid w:val="006E2FC7"/>
    <w:rsid w:val="006E30A1"/>
    <w:rsid w:val="006E30F4"/>
    <w:rsid w:val="006E3139"/>
    <w:rsid w:val="006E3167"/>
    <w:rsid w:val="006E316B"/>
    <w:rsid w:val="006E3219"/>
    <w:rsid w:val="006E322A"/>
    <w:rsid w:val="006E3251"/>
    <w:rsid w:val="006E3279"/>
    <w:rsid w:val="006E3335"/>
    <w:rsid w:val="006E3343"/>
    <w:rsid w:val="006E3359"/>
    <w:rsid w:val="006E34C0"/>
    <w:rsid w:val="006E34D3"/>
    <w:rsid w:val="006E362A"/>
    <w:rsid w:val="006E367F"/>
    <w:rsid w:val="006E36DB"/>
    <w:rsid w:val="006E36E1"/>
    <w:rsid w:val="006E3730"/>
    <w:rsid w:val="006E3821"/>
    <w:rsid w:val="006E3843"/>
    <w:rsid w:val="006E38BA"/>
    <w:rsid w:val="006E38DC"/>
    <w:rsid w:val="006E394A"/>
    <w:rsid w:val="006E396E"/>
    <w:rsid w:val="006E3A72"/>
    <w:rsid w:val="006E3A93"/>
    <w:rsid w:val="006E3ACD"/>
    <w:rsid w:val="006E3B66"/>
    <w:rsid w:val="006E3CC3"/>
    <w:rsid w:val="006E3E30"/>
    <w:rsid w:val="006E402E"/>
    <w:rsid w:val="006E4091"/>
    <w:rsid w:val="006E40E4"/>
    <w:rsid w:val="006E4270"/>
    <w:rsid w:val="006E42B2"/>
    <w:rsid w:val="006E432E"/>
    <w:rsid w:val="006E43BD"/>
    <w:rsid w:val="006E44F6"/>
    <w:rsid w:val="006E463F"/>
    <w:rsid w:val="006E4667"/>
    <w:rsid w:val="006E467C"/>
    <w:rsid w:val="006E4778"/>
    <w:rsid w:val="006E4809"/>
    <w:rsid w:val="006E499A"/>
    <w:rsid w:val="006E4A2D"/>
    <w:rsid w:val="006E4AC7"/>
    <w:rsid w:val="006E4C3E"/>
    <w:rsid w:val="006E4F0C"/>
    <w:rsid w:val="006E4F98"/>
    <w:rsid w:val="006E4FD9"/>
    <w:rsid w:val="006E4FE4"/>
    <w:rsid w:val="006E50D2"/>
    <w:rsid w:val="006E52DB"/>
    <w:rsid w:val="006E5301"/>
    <w:rsid w:val="006E537D"/>
    <w:rsid w:val="006E53A7"/>
    <w:rsid w:val="006E5453"/>
    <w:rsid w:val="006E54E3"/>
    <w:rsid w:val="006E5576"/>
    <w:rsid w:val="006E55A4"/>
    <w:rsid w:val="006E55E4"/>
    <w:rsid w:val="006E570E"/>
    <w:rsid w:val="006E5775"/>
    <w:rsid w:val="006E57A8"/>
    <w:rsid w:val="006E58A2"/>
    <w:rsid w:val="006E58ED"/>
    <w:rsid w:val="006E5956"/>
    <w:rsid w:val="006E595F"/>
    <w:rsid w:val="006E5A61"/>
    <w:rsid w:val="006E5AE5"/>
    <w:rsid w:val="006E5B94"/>
    <w:rsid w:val="006E5BD1"/>
    <w:rsid w:val="006E5BE4"/>
    <w:rsid w:val="006E5D2B"/>
    <w:rsid w:val="006E5DE8"/>
    <w:rsid w:val="006E5E17"/>
    <w:rsid w:val="006E5F0F"/>
    <w:rsid w:val="006E5FB1"/>
    <w:rsid w:val="006E6014"/>
    <w:rsid w:val="006E61EC"/>
    <w:rsid w:val="006E6453"/>
    <w:rsid w:val="006E64AA"/>
    <w:rsid w:val="006E64FC"/>
    <w:rsid w:val="006E6556"/>
    <w:rsid w:val="006E65A7"/>
    <w:rsid w:val="006E66CD"/>
    <w:rsid w:val="006E66CF"/>
    <w:rsid w:val="006E66FE"/>
    <w:rsid w:val="006E68CA"/>
    <w:rsid w:val="006E68E7"/>
    <w:rsid w:val="006E6A7A"/>
    <w:rsid w:val="006E6AE1"/>
    <w:rsid w:val="006E6D29"/>
    <w:rsid w:val="006E6D44"/>
    <w:rsid w:val="006E6F98"/>
    <w:rsid w:val="006E7003"/>
    <w:rsid w:val="006E7011"/>
    <w:rsid w:val="006E70DA"/>
    <w:rsid w:val="006E7175"/>
    <w:rsid w:val="006E72A4"/>
    <w:rsid w:val="006E72AD"/>
    <w:rsid w:val="006E734C"/>
    <w:rsid w:val="006E73BD"/>
    <w:rsid w:val="006E7457"/>
    <w:rsid w:val="006E74A6"/>
    <w:rsid w:val="006E7587"/>
    <w:rsid w:val="006E77C7"/>
    <w:rsid w:val="006E787E"/>
    <w:rsid w:val="006E78C6"/>
    <w:rsid w:val="006E7985"/>
    <w:rsid w:val="006E7ACB"/>
    <w:rsid w:val="006E7B3B"/>
    <w:rsid w:val="006E7DD1"/>
    <w:rsid w:val="006E7DE9"/>
    <w:rsid w:val="006E7E32"/>
    <w:rsid w:val="006E7F12"/>
    <w:rsid w:val="006E7F29"/>
    <w:rsid w:val="006E7FCE"/>
    <w:rsid w:val="006F0006"/>
    <w:rsid w:val="006F0057"/>
    <w:rsid w:val="006F0123"/>
    <w:rsid w:val="006F0156"/>
    <w:rsid w:val="006F017F"/>
    <w:rsid w:val="006F02B3"/>
    <w:rsid w:val="006F02D7"/>
    <w:rsid w:val="006F03BF"/>
    <w:rsid w:val="006F0407"/>
    <w:rsid w:val="006F0425"/>
    <w:rsid w:val="006F04C1"/>
    <w:rsid w:val="006F04CE"/>
    <w:rsid w:val="006F04F6"/>
    <w:rsid w:val="006F057D"/>
    <w:rsid w:val="006F05BF"/>
    <w:rsid w:val="006F05E0"/>
    <w:rsid w:val="006F0642"/>
    <w:rsid w:val="006F069B"/>
    <w:rsid w:val="006F06F2"/>
    <w:rsid w:val="006F077B"/>
    <w:rsid w:val="006F07F5"/>
    <w:rsid w:val="006F0809"/>
    <w:rsid w:val="006F0832"/>
    <w:rsid w:val="006F08ED"/>
    <w:rsid w:val="006F0984"/>
    <w:rsid w:val="006F0A47"/>
    <w:rsid w:val="006F0AD0"/>
    <w:rsid w:val="006F0BD8"/>
    <w:rsid w:val="006F0C42"/>
    <w:rsid w:val="006F0C51"/>
    <w:rsid w:val="006F0CAD"/>
    <w:rsid w:val="006F0CB8"/>
    <w:rsid w:val="006F0DFD"/>
    <w:rsid w:val="006F0E9D"/>
    <w:rsid w:val="006F0EA3"/>
    <w:rsid w:val="006F0FA7"/>
    <w:rsid w:val="006F10D1"/>
    <w:rsid w:val="006F11BE"/>
    <w:rsid w:val="006F1233"/>
    <w:rsid w:val="006F14E0"/>
    <w:rsid w:val="006F1807"/>
    <w:rsid w:val="006F19A4"/>
    <w:rsid w:val="006F1A94"/>
    <w:rsid w:val="006F1CD8"/>
    <w:rsid w:val="006F1E69"/>
    <w:rsid w:val="006F1E8D"/>
    <w:rsid w:val="006F1E92"/>
    <w:rsid w:val="006F1EC7"/>
    <w:rsid w:val="006F1F0D"/>
    <w:rsid w:val="006F1F34"/>
    <w:rsid w:val="006F1F37"/>
    <w:rsid w:val="006F1F53"/>
    <w:rsid w:val="006F1F57"/>
    <w:rsid w:val="006F21BB"/>
    <w:rsid w:val="006F22F1"/>
    <w:rsid w:val="006F2361"/>
    <w:rsid w:val="006F2486"/>
    <w:rsid w:val="006F2497"/>
    <w:rsid w:val="006F24D4"/>
    <w:rsid w:val="006F2566"/>
    <w:rsid w:val="006F25D8"/>
    <w:rsid w:val="006F2600"/>
    <w:rsid w:val="006F27CA"/>
    <w:rsid w:val="006F28A7"/>
    <w:rsid w:val="006F2900"/>
    <w:rsid w:val="006F2A17"/>
    <w:rsid w:val="006F2A62"/>
    <w:rsid w:val="006F2AE9"/>
    <w:rsid w:val="006F2B17"/>
    <w:rsid w:val="006F2B40"/>
    <w:rsid w:val="006F2DA2"/>
    <w:rsid w:val="006F2DFD"/>
    <w:rsid w:val="006F2E6E"/>
    <w:rsid w:val="006F2E9B"/>
    <w:rsid w:val="006F2EAE"/>
    <w:rsid w:val="006F2F9B"/>
    <w:rsid w:val="006F2FC3"/>
    <w:rsid w:val="006F3019"/>
    <w:rsid w:val="006F322D"/>
    <w:rsid w:val="006F330F"/>
    <w:rsid w:val="006F332E"/>
    <w:rsid w:val="006F33AF"/>
    <w:rsid w:val="006F33FB"/>
    <w:rsid w:val="006F34A8"/>
    <w:rsid w:val="006F3561"/>
    <w:rsid w:val="006F3592"/>
    <w:rsid w:val="006F35C8"/>
    <w:rsid w:val="006F3605"/>
    <w:rsid w:val="006F3663"/>
    <w:rsid w:val="006F3707"/>
    <w:rsid w:val="006F373A"/>
    <w:rsid w:val="006F37D4"/>
    <w:rsid w:val="006F3825"/>
    <w:rsid w:val="006F3867"/>
    <w:rsid w:val="006F3955"/>
    <w:rsid w:val="006F3985"/>
    <w:rsid w:val="006F39CD"/>
    <w:rsid w:val="006F3A24"/>
    <w:rsid w:val="006F3A75"/>
    <w:rsid w:val="006F3AB2"/>
    <w:rsid w:val="006F3B11"/>
    <w:rsid w:val="006F3BF8"/>
    <w:rsid w:val="006F3C7F"/>
    <w:rsid w:val="006F3C81"/>
    <w:rsid w:val="006F3D03"/>
    <w:rsid w:val="006F3D8C"/>
    <w:rsid w:val="006F3E52"/>
    <w:rsid w:val="006F3E71"/>
    <w:rsid w:val="006F3F27"/>
    <w:rsid w:val="006F3F60"/>
    <w:rsid w:val="006F3FF7"/>
    <w:rsid w:val="006F40DA"/>
    <w:rsid w:val="006F418C"/>
    <w:rsid w:val="006F422E"/>
    <w:rsid w:val="006F4311"/>
    <w:rsid w:val="006F439B"/>
    <w:rsid w:val="006F441C"/>
    <w:rsid w:val="006F4504"/>
    <w:rsid w:val="006F4597"/>
    <w:rsid w:val="006F4624"/>
    <w:rsid w:val="006F467D"/>
    <w:rsid w:val="006F4691"/>
    <w:rsid w:val="006F4697"/>
    <w:rsid w:val="006F46DE"/>
    <w:rsid w:val="006F487C"/>
    <w:rsid w:val="006F488B"/>
    <w:rsid w:val="006F48A5"/>
    <w:rsid w:val="006F48A6"/>
    <w:rsid w:val="006F49FF"/>
    <w:rsid w:val="006F4AD9"/>
    <w:rsid w:val="006F4B25"/>
    <w:rsid w:val="006F4B27"/>
    <w:rsid w:val="006F4C04"/>
    <w:rsid w:val="006F4C9D"/>
    <w:rsid w:val="006F4CF3"/>
    <w:rsid w:val="006F4DD6"/>
    <w:rsid w:val="006F4E5A"/>
    <w:rsid w:val="006F4E92"/>
    <w:rsid w:val="006F4F91"/>
    <w:rsid w:val="006F4FD0"/>
    <w:rsid w:val="006F5175"/>
    <w:rsid w:val="006F5215"/>
    <w:rsid w:val="006F5222"/>
    <w:rsid w:val="006F523C"/>
    <w:rsid w:val="006F5258"/>
    <w:rsid w:val="006F5289"/>
    <w:rsid w:val="006F5381"/>
    <w:rsid w:val="006F53D1"/>
    <w:rsid w:val="006F542B"/>
    <w:rsid w:val="006F5727"/>
    <w:rsid w:val="006F5732"/>
    <w:rsid w:val="006F5735"/>
    <w:rsid w:val="006F57FF"/>
    <w:rsid w:val="006F5818"/>
    <w:rsid w:val="006F58EC"/>
    <w:rsid w:val="006F5972"/>
    <w:rsid w:val="006F5A23"/>
    <w:rsid w:val="006F5B40"/>
    <w:rsid w:val="006F5C93"/>
    <w:rsid w:val="006F5CD5"/>
    <w:rsid w:val="006F5D5B"/>
    <w:rsid w:val="006F5DED"/>
    <w:rsid w:val="006F5E49"/>
    <w:rsid w:val="006F5E9C"/>
    <w:rsid w:val="006F5EFF"/>
    <w:rsid w:val="006F5F62"/>
    <w:rsid w:val="006F5FB3"/>
    <w:rsid w:val="006F603E"/>
    <w:rsid w:val="006F6040"/>
    <w:rsid w:val="006F606F"/>
    <w:rsid w:val="006F60A7"/>
    <w:rsid w:val="006F61A1"/>
    <w:rsid w:val="006F61B1"/>
    <w:rsid w:val="006F6280"/>
    <w:rsid w:val="006F63DB"/>
    <w:rsid w:val="006F63EF"/>
    <w:rsid w:val="006F649F"/>
    <w:rsid w:val="006F669A"/>
    <w:rsid w:val="006F66FE"/>
    <w:rsid w:val="006F6839"/>
    <w:rsid w:val="006F68AB"/>
    <w:rsid w:val="006F6976"/>
    <w:rsid w:val="006F69A1"/>
    <w:rsid w:val="006F6A53"/>
    <w:rsid w:val="006F6AD1"/>
    <w:rsid w:val="006F6B17"/>
    <w:rsid w:val="006F6B62"/>
    <w:rsid w:val="006F6CBC"/>
    <w:rsid w:val="006F6D56"/>
    <w:rsid w:val="006F6D84"/>
    <w:rsid w:val="006F6E72"/>
    <w:rsid w:val="006F6ED1"/>
    <w:rsid w:val="006F6FAB"/>
    <w:rsid w:val="006F6FD5"/>
    <w:rsid w:val="006F7001"/>
    <w:rsid w:val="006F7041"/>
    <w:rsid w:val="006F704C"/>
    <w:rsid w:val="006F7056"/>
    <w:rsid w:val="006F70AA"/>
    <w:rsid w:val="006F70C2"/>
    <w:rsid w:val="006F7159"/>
    <w:rsid w:val="006F71B3"/>
    <w:rsid w:val="006F72DA"/>
    <w:rsid w:val="006F73FE"/>
    <w:rsid w:val="006F75EB"/>
    <w:rsid w:val="006F7667"/>
    <w:rsid w:val="006F7708"/>
    <w:rsid w:val="006F7716"/>
    <w:rsid w:val="006F7975"/>
    <w:rsid w:val="006F79C4"/>
    <w:rsid w:val="006F79EB"/>
    <w:rsid w:val="006F7BE7"/>
    <w:rsid w:val="006F7BE8"/>
    <w:rsid w:val="006F7C1C"/>
    <w:rsid w:val="006F7C2C"/>
    <w:rsid w:val="006F7C7C"/>
    <w:rsid w:val="006F7CA0"/>
    <w:rsid w:val="006F7CE4"/>
    <w:rsid w:val="006F7D65"/>
    <w:rsid w:val="006F7E27"/>
    <w:rsid w:val="006F7F81"/>
    <w:rsid w:val="006F7F9E"/>
    <w:rsid w:val="00700074"/>
    <w:rsid w:val="00700111"/>
    <w:rsid w:val="00700134"/>
    <w:rsid w:val="00700158"/>
    <w:rsid w:val="00700264"/>
    <w:rsid w:val="00700287"/>
    <w:rsid w:val="0070038D"/>
    <w:rsid w:val="0070042A"/>
    <w:rsid w:val="00700632"/>
    <w:rsid w:val="0070063F"/>
    <w:rsid w:val="0070082F"/>
    <w:rsid w:val="00700A12"/>
    <w:rsid w:val="00700A5F"/>
    <w:rsid w:val="00700A92"/>
    <w:rsid w:val="00700AC8"/>
    <w:rsid w:val="00700AFF"/>
    <w:rsid w:val="00700B12"/>
    <w:rsid w:val="00700B4F"/>
    <w:rsid w:val="00700B5C"/>
    <w:rsid w:val="00700BE9"/>
    <w:rsid w:val="00700C81"/>
    <w:rsid w:val="00700CB2"/>
    <w:rsid w:val="00700D08"/>
    <w:rsid w:val="00700E64"/>
    <w:rsid w:val="00700E6A"/>
    <w:rsid w:val="00700F0E"/>
    <w:rsid w:val="00700F19"/>
    <w:rsid w:val="00700F49"/>
    <w:rsid w:val="00701041"/>
    <w:rsid w:val="00701080"/>
    <w:rsid w:val="007010F2"/>
    <w:rsid w:val="00701141"/>
    <w:rsid w:val="0070115C"/>
    <w:rsid w:val="00701236"/>
    <w:rsid w:val="00701274"/>
    <w:rsid w:val="007012DD"/>
    <w:rsid w:val="00701409"/>
    <w:rsid w:val="0070145D"/>
    <w:rsid w:val="00701468"/>
    <w:rsid w:val="00701477"/>
    <w:rsid w:val="007014CF"/>
    <w:rsid w:val="007015A6"/>
    <w:rsid w:val="007015F1"/>
    <w:rsid w:val="00701654"/>
    <w:rsid w:val="00701759"/>
    <w:rsid w:val="00701776"/>
    <w:rsid w:val="00701778"/>
    <w:rsid w:val="00701898"/>
    <w:rsid w:val="0070189A"/>
    <w:rsid w:val="007018AA"/>
    <w:rsid w:val="007018E2"/>
    <w:rsid w:val="00701929"/>
    <w:rsid w:val="00701ABC"/>
    <w:rsid w:val="00701B87"/>
    <w:rsid w:val="00701B99"/>
    <w:rsid w:val="00701C19"/>
    <w:rsid w:val="00701E45"/>
    <w:rsid w:val="00701F08"/>
    <w:rsid w:val="00702124"/>
    <w:rsid w:val="00702164"/>
    <w:rsid w:val="007021D1"/>
    <w:rsid w:val="007021EA"/>
    <w:rsid w:val="00702326"/>
    <w:rsid w:val="0070232D"/>
    <w:rsid w:val="007023D3"/>
    <w:rsid w:val="0070242B"/>
    <w:rsid w:val="0070244C"/>
    <w:rsid w:val="00702499"/>
    <w:rsid w:val="007025BA"/>
    <w:rsid w:val="0070265C"/>
    <w:rsid w:val="00702670"/>
    <w:rsid w:val="007026AB"/>
    <w:rsid w:val="007026C5"/>
    <w:rsid w:val="00702778"/>
    <w:rsid w:val="0070278F"/>
    <w:rsid w:val="00702815"/>
    <w:rsid w:val="00702840"/>
    <w:rsid w:val="00702A33"/>
    <w:rsid w:val="00702A4E"/>
    <w:rsid w:val="00702AAA"/>
    <w:rsid w:val="00702D06"/>
    <w:rsid w:val="00702DEF"/>
    <w:rsid w:val="00702E47"/>
    <w:rsid w:val="00703176"/>
    <w:rsid w:val="00703250"/>
    <w:rsid w:val="0070346B"/>
    <w:rsid w:val="00703478"/>
    <w:rsid w:val="0070350C"/>
    <w:rsid w:val="0070352D"/>
    <w:rsid w:val="0070356C"/>
    <w:rsid w:val="00703591"/>
    <w:rsid w:val="007035C9"/>
    <w:rsid w:val="0070362F"/>
    <w:rsid w:val="00703647"/>
    <w:rsid w:val="0070370E"/>
    <w:rsid w:val="00703732"/>
    <w:rsid w:val="0070377C"/>
    <w:rsid w:val="00703844"/>
    <w:rsid w:val="0070398A"/>
    <w:rsid w:val="00703A93"/>
    <w:rsid w:val="00703A97"/>
    <w:rsid w:val="00703ACA"/>
    <w:rsid w:val="00703B01"/>
    <w:rsid w:val="00703B1A"/>
    <w:rsid w:val="00703BBA"/>
    <w:rsid w:val="00703BD9"/>
    <w:rsid w:val="00703C24"/>
    <w:rsid w:val="00703C2B"/>
    <w:rsid w:val="00703CEB"/>
    <w:rsid w:val="00703DC2"/>
    <w:rsid w:val="00703E52"/>
    <w:rsid w:val="00703EAA"/>
    <w:rsid w:val="00703EE1"/>
    <w:rsid w:val="00703F31"/>
    <w:rsid w:val="00703F85"/>
    <w:rsid w:val="007040C1"/>
    <w:rsid w:val="007040CB"/>
    <w:rsid w:val="00704159"/>
    <w:rsid w:val="0070427D"/>
    <w:rsid w:val="007042C4"/>
    <w:rsid w:val="00704390"/>
    <w:rsid w:val="007044BC"/>
    <w:rsid w:val="007044CB"/>
    <w:rsid w:val="0070455A"/>
    <w:rsid w:val="0070466A"/>
    <w:rsid w:val="007046CB"/>
    <w:rsid w:val="007047C6"/>
    <w:rsid w:val="007047E7"/>
    <w:rsid w:val="0070480F"/>
    <w:rsid w:val="00704829"/>
    <w:rsid w:val="00704843"/>
    <w:rsid w:val="0070488A"/>
    <w:rsid w:val="00704898"/>
    <w:rsid w:val="0070493C"/>
    <w:rsid w:val="00704A11"/>
    <w:rsid w:val="00704C16"/>
    <w:rsid w:val="00704C3B"/>
    <w:rsid w:val="00704C98"/>
    <w:rsid w:val="00704CB4"/>
    <w:rsid w:val="00704DBA"/>
    <w:rsid w:val="00704DCB"/>
    <w:rsid w:val="00704E66"/>
    <w:rsid w:val="00704EA5"/>
    <w:rsid w:val="00704EBA"/>
    <w:rsid w:val="00704F2E"/>
    <w:rsid w:val="00704F3C"/>
    <w:rsid w:val="00704FEA"/>
    <w:rsid w:val="0070513E"/>
    <w:rsid w:val="00705154"/>
    <w:rsid w:val="0070519E"/>
    <w:rsid w:val="007051EE"/>
    <w:rsid w:val="00705238"/>
    <w:rsid w:val="007052E9"/>
    <w:rsid w:val="007055CA"/>
    <w:rsid w:val="007055CF"/>
    <w:rsid w:val="00705643"/>
    <w:rsid w:val="00705804"/>
    <w:rsid w:val="0070581D"/>
    <w:rsid w:val="00705826"/>
    <w:rsid w:val="007058A9"/>
    <w:rsid w:val="007058BC"/>
    <w:rsid w:val="007058CA"/>
    <w:rsid w:val="00705945"/>
    <w:rsid w:val="007059EA"/>
    <w:rsid w:val="00705A0D"/>
    <w:rsid w:val="00705A4B"/>
    <w:rsid w:val="00705A4E"/>
    <w:rsid w:val="00705AED"/>
    <w:rsid w:val="00705AFF"/>
    <w:rsid w:val="00705B3E"/>
    <w:rsid w:val="00705BF1"/>
    <w:rsid w:val="00705C91"/>
    <w:rsid w:val="00705D01"/>
    <w:rsid w:val="00705D1A"/>
    <w:rsid w:val="00705D7A"/>
    <w:rsid w:val="0070604B"/>
    <w:rsid w:val="0070604E"/>
    <w:rsid w:val="0070607C"/>
    <w:rsid w:val="007060C6"/>
    <w:rsid w:val="007061C7"/>
    <w:rsid w:val="007061EC"/>
    <w:rsid w:val="007062D9"/>
    <w:rsid w:val="0070631D"/>
    <w:rsid w:val="00706349"/>
    <w:rsid w:val="00706379"/>
    <w:rsid w:val="007063F3"/>
    <w:rsid w:val="0070647F"/>
    <w:rsid w:val="007064C5"/>
    <w:rsid w:val="00706514"/>
    <w:rsid w:val="0070658E"/>
    <w:rsid w:val="0070662A"/>
    <w:rsid w:val="00706686"/>
    <w:rsid w:val="0070677E"/>
    <w:rsid w:val="007068D3"/>
    <w:rsid w:val="007068E3"/>
    <w:rsid w:val="0070694A"/>
    <w:rsid w:val="00706983"/>
    <w:rsid w:val="0070698C"/>
    <w:rsid w:val="00706A11"/>
    <w:rsid w:val="00706D17"/>
    <w:rsid w:val="00706D74"/>
    <w:rsid w:val="00706E5D"/>
    <w:rsid w:val="00706E63"/>
    <w:rsid w:val="00706E67"/>
    <w:rsid w:val="00706E81"/>
    <w:rsid w:val="00706E8E"/>
    <w:rsid w:val="00706FB4"/>
    <w:rsid w:val="0070704C"/>
    <w:rsid w:val="00707092"/>
    <w:rsid w:val="00707097"/>
    <w:rsid w:val="00707273"/>
    <w:rsid w:val="007072B4"/>
    <w:rsid w:val="007073A0"/>
    <w:rsid w:val="007073BD"/>
    <w:rsid w:val="00707404"/>
    <w:rsid w:val="00707469"/>
    <w:rsid w:val="007074A4"/>
    <w:rsid w:val="00707559"/>
    <w:rsid w:val="00707813"/>
    <w:rsid w:val="00707854"/>
    <w:rsid w:val="00707924"/>
    <w:rsid w:val="0070792A"/>
    <w:rsid w:val="007079C5"/>
    <w:rsid w:val="00707A05"/>
    <w:rsid w:val="00707A22"/>
    <w:rsid w:val="00707A64"/>
    <w:rsid w:val="00707B25"/>
    <w:rsid w:val="00707B3C"/>
    <w:rsid w:val="00707B46"/>
    <w:rsid w:val="00707CCC"/>
    <w:rsid w:val="00707D23"/>
    <w:rsid w:val="00707D9B"/>
    <w:rsid w:val="00707E2A"/>
    <w:rsid w:val="00707E50"/>
    <w:rsid w:val="00707F04"/>
    <w:rsid w:val="00707F0C"/>
    <w:rsid w:val="0071003C"/>
    <w:rsid w:val="0071008C"/>
    <w:rsid w:val="00710154"/>
    <w:rsid w:val="007101D1"/>
    <w:rsid w:val="00710200"/>
    <w:rsid w:val="00710536"/>
    <w:rsid w:val="007105C3"/>
    <w:rsid w:val="00710641"/>
    <w:rsid w:val="00710661"/>
    <w:rsid w:val="007106A4"/>
    <w:rsid w:val="00710701"/>
    <w:rsid w:val="0071079E"/>
    <w:rsid w:val="007107C4"/>
    <w:rsid w:val="007108EF"/>
    <w:rsid w:val="00710B48"/>
    <w:rsid w:val="00710D4E"/>
    <w:rsid w:val="00710E45"/>
    <w:rsid w:val="00710E4E"/>
    <w:rsid w:val="00710FE8"/>
    <w:rsid w:val="0071109B"/>
    <w:rsid w:val="007110FB"/>
    <w:rsid w:val="00711163"/>
    <w:rsid w:val="007111C0"/>
    <w:rsid w:val="00711221"/>
    <w:rsid w:val="007112A0"/>
    <w:rsid w:val="0071130C"/>
    <w:rsid w:val="007113D1"/>
    <w:rsid w:val="0071146E"/>
    <w:rsid w:val="007115CB"/>
    <w:rsid w:val="0071166A"/>
    <w:rsid w:val="0071169E"/>
    <w:rsid w:val="0071173A"/>
    <w:rsid w:val="007117ED"/>
    <w:rsid w:val="00711917"/>
    <w:rsid w:val="00711992"/>
    <w:rsid w:val="00711A06"/>
    <w:rsid w:val="00711A70"/>
    <w:rsid w:val="00711AA0"/>
    <w:rsid w:val="00711B5C"/>
    <w:rsid w:val="00711D8D"/>
    <w:rsid w:val="00711DC5"/>
    <w:rsid w:val="00711EC3"/>
    <w:rsid w:val="00711EFE"/>
    <w:rsid w:val="00712001"/>
    <w:rsid w:val="007120AC"/>
    <w:rsid w:val="007122F2"/>
    <w:rsid w:val="00712471"/>
    <w:rsid w:val="00712479"/>
    <w:rsid w:val="00712483"/>
    <w:rsid w:val="00712528"/>
    <w:rsid w:val="0071257A"/>
    <w:rsid w:val="007125B5"/>
    <w:rsid w:val="007125F2"/>
    <w:rsid w:val="00712611"/>
    <w:rsid w:val="00712720"/>
    <w:rsid w:val="0071274E"/>
    <w:rsid w:val="00712776"/>
    <w:rsid w:val="007127AA"/>
    <w:rsid w:val="00712838"/>
    <w:rsid w:val="0071288B"/>
    <w:rsid w:val="00712953"/>
    <w:rsid w:val="00712973"/>
    <w:rsid w:val="00712A68"/>
    <w:rsid w:val="00712BE0"/>
    <w:rsid w:val="00712C56"/>
    <w:rsid w:val="00712CAD"/>
    <w:rsid w:val="00712F80"/>
    <w:rsid w:val="00712F8F"/>
    <w:rsid w:val="00712FD6"/>
    <w:rsid w:val="00712FFC"/>
    <w:rsid w:val="007130A8"/>
    <w:rsid w:val="007130C8"/>
    <w:rsid w:val="0071310D"/>
    <w:rsid w:val="0071317C"/>
    <w:rsid w:val="007131B7"/>
    <w:rsid w:val="00713343"/>
    <w:rsid w:val="0071340A"/>
    <w:rsid w:val="00713444"/>
    <w:rsid w:val="00713549"/>
    <w:rsid w:val="00713666"/>
    <w:rsid w:val="00713758"/>
    <w:rsid w:val="007138A4"/>
    <w:rsid w:val="00713A54"/>
    <w:rsid w:val="00713B01"/>
    <w:rsid w:val="00713C00"/>
    <w:rsid w:val="00713C35"/>
    <w:rsid w:val="00713CA5"/>
    <w:rsid w:val="00713DC6"/>
    <w:rsid w:val="00713DFD"/>
    <w:rsid w:val="00713E26"/>
    <w:rsid w:val="00713F1E"/>
    <w:rsid w:val="00714190"/>
    <w:rsid w:val="0071420B"/>
    <w:rsid w:val="0071433F"/>
    <w:rsid w:val="007143CE"/>
    <w:rsid w:val="00714455"/>
    <w:rsid w:val="00714527"/>
    <w:rsid w:val="007145D9"/>
    <w:rsid w:val="0071463D"/>
    <w:rsid w:val="00714703"/>
    <w:rsid w:val="00714705"/>
    <w:rsid w:val="0071480F"/>
    <w:rsid w:val="00714863"/>
    <w:rsid w:val="00714966"/>
    <w:rsid w:val="00714A5A"/>
    <w:rsid w:val="00714AE6"/>
    <w:rsid w:val="00714B37"/>
    <w:rsid w:val="00714BC2"/>
    <w:rsid w:val="00714DEC"/>
    <w:rsid w:val="00714E8F"/>
    <w:rsid w:val="0071503C"/>
    <w:rsid w:val="00715105"/>
    <w:rsid w:val="00715119"/>
    <w:rsid w:val="0071521D"/>
    <w:rsid w:val="007152B8"/>
    <w:rsid w:val="00715375"/>
    <w:rsid w:val="007153B9"/>
    <w:rsid w:val="0071554F"/>
    <w:rsid w:val="0071560B"/>
    <w:rsid w:val="0071565F"/>
    <w:rsid w:val="007156E5"/>
    <w:rsid w:val="007156F0"/>
    <w:rsid w:val="00715907"/>
    <w:rsid w:val="007159C5"/>
    <w:rsid w:val="00715A40"/>
    <w:rsid w:val="00715AA6"/>
    <w:rsid w:val="00715AFC"/>
    <w:rsid w:val="00715CCD"/>
    <w:rsid w:val="00715CEB"/>
    <w:rsid w:val="00715DAB"/>
    <w:rsid w:val="00715DEC"/>
    <w:rsid w:val="00715E99"/>
    <w:rsid w:val="00715F4B"/>
    <w:rsid w:val="00715F92"/>
    <w:rsid w:val="00716002"/>
    <w:rsid w:val="007161D4"/>
    <w:rsid w:val="0071625F"/>
    <w:rsid w:val="00716286"/>
    <w:rsid w:val="00716453"/>
    <w:rsid w:val="00716466"/>
    <w:rsid w:val="0071647B"/>
    <w:rsid w:val="007164C5"/>
    <w:rsid w:val="007165D6"/>
    <w:rsid w:val="00716718"/>
    <w:rsid w:val="007167D6"/>
    <w:rsid w:val="00716808"/>
    <w:rsid w:val="0071687B"/>
    <w:rsid w:val="007169E2"/>
    <w:rsid w:val="00716AF9"/>
    <w:rsid w:val="00716B81"/>
    <w:rsid w:val="00716BD8"/>
    <w:rsid w:val="00716C2D"/>
    <w:rsid w:val="00716C50"/>
    <w:rsid w:val="00716CA9"/>
    <w:rsid w:val="00716CB8"/>
    <w:rsid w:val="00716D84"/>
    <w:rsid w:val="00716E19"/>
    <w:rsid w:val="00716F3F"/>
    <w:rsid w:val="00717014"/>
    <w:rsid w:val="00717131"/>
    <w:rsid w:val="0071728F"/>
    <w:rsid w:val="00717401"/>
    <w:rsid w:val="0071744B"/>
    <w:rsid w:val="0071745A"/>
    <w:rsid w:val="00717510"/>
    <w:rsid w:val="00717553"/>
    <w:rsid w:val="00717573"/>
    <w:rsid w:val="0071761E"/>
    <w:rsid w:val="00717679"/>
    <w:rsid w:val="0071775E"/>
    <w:rsid w:val="007178EF"/>
    <w:rsid w:val="007178FC"/>
    <w:rsid w:val="00717960"/>
    <w:rsid w:val="00717A5D"/>
    <w:rsid w:val="00717A8F"/>
    <w:rsid w:val="00717B8A"/>
    <w:rsid w:val="00717BF9"/>
    <w:rsid w:val="00717D17"/>
    <w:rsid w:val="00717D24"/>
    <w:rsid w:val="00717E7D"/>
    <w:rsid w:val="00717F6E"/>
    <w:rsid w:val="007200DA"/>
    <w:rsid w:val="00720172"/>
    <w:rsid w:val="0072027F"/>
    <w:rsid w:val="007202A7"/>
    <w:rsid w:val="007202CB"/>
    <w:rsid w:val="007203C9"/>
    <w:rsid w:val="00720567"/>
    <w:rsid w:val="007205B3"/>
    <w:rsid w:val="00720677"/>
    <w:rsid w:val="00720859"/>
    <w:rsid w:val="007209AD"/>
    <w:rsid w:val="007209B8"/>
    <w:rsid w:val="007209EF"/>
    <w:rsid w:val="00720B62"/>
    <w:rsid w:val="00720BB1"/>
    <w:rsid w:val="00720F2C"/>
    <w:rsid w:val="00720F71"/>
    <w:rsid w:val="0072102F"/>
    <w:rsid w:val="007210F1"/>
    <w:rsid w:val="007210F6"/>
    <w:rsid w:val="0072119E"/>
    <w:rsid w:val="007211B1"/>
    <w:rsid w:val="007212F6"/>
    <w:rsid w:val="00721355"/>
    <w:rsid w:val="00721503"/>
    <w:rsid w:val="0072178D"/>
    <w:rsid w:val="007218E0"/>
    <w:rsid w:val="007218F4"/>
    <w:rsid w:val="007219C2"/>
    <w:rsid w:val="00721A24"/>
    <w:rsid w:val="00721CA6"/>
    <w:rsid w:val="00721CD3"/>
    <w:rsid w:val="00721CDE"/>
    <w:rsid w:val="00721DAB"/>
    <w:rsid w:val="00721DEF"/>
    <w:rsid w:val="00721EC1"/>
    <w:rsid w:val="00721FB8"/>
    <w:rsid w:val="00722254"/>
    <w:rsid w:val="007222A8"/>
    <w:rsid w:val="007223E3"/>
    <w:rsid w:val="0072240D"/>
    <w:rsid w:val="007224CC"/>
    <w:rsid w:val="007225A1"/>
    <w:rsid w:val="007225B1"/>
    <w:rsid w:val="00722754"/>
    <w:rsid w:val="007227B2"/>
    <w:rsid w:val="0072286F"/>
    <w:rsid w:val="00722914"/>
    <w:rsid w:val="00722951"/>
    <w:rsid w:val="007229FA"/>
    <w:rsid w:val="00722B53"/>
    <w:rsid w:val="00722C1A"/>
    <w:rsid w:val="00722D09"/>
    <w:rsid w:val="00722DFA"/>
    <w:rsid w:val="00722EF1"/>
    <w:rsid w:val="00722F4B"/>
    <w:rsid w:val="007230AE"/>
    <w:rsid w:val="007230CB"/>
    <w:rsid w:val="007230D3"/>
    <w:rsid w:val="007231D8"/>
    <w:rsid w:val="00723238"/>
    <w:rsid w:val="007232A6"/>
    <w:rsid w:val="007232F9"/>
    <w:rsid w:val="0072334B"/>
    <w:rsid w:val="007233EE"/>
    <w:rsid w:val="0072342E"/>
    <w:rsid w:val="0072355F"/>
    <w:rsid w:val="00723596"/>
    <w:rsid w:val="007235EE"/>
    <w:rsid w:val="0072362F"/>
    <w:rsid w:val="0072365C"/>
    <w:rsid w:val="007236B5"/>
    <w:rsid w:val="00723762"/>
    <w:rsid w:val="00723764"/>
    <w:rsid w:val="00723876"/>
    <w:rsid w:val="007238DC"/>
    <w:rsid w:val="00723A86"/>
    <w:rsid w:val="00723A9F"/>
    <w:rsid w:val="00723B5F"/>
    <w:rsid w:val="00723BAA"/>
    <w:rsid w:val="00723C55"/>
    <w:rsid w:val="00723C82"/>
    <w:rsid w:val="00723C8C"/>
    <w:rsid w:val="00723D56"/>
    <w:rsid w:val="00723DE8"/>
    <w:rsid w:val="00723EAA"/>
    <w:rsid w:val="00723ECB"/>
    <w:rsid w:val="00723F38"/>
    <w:rsid w:val="00723F3E"/>
    <w:rsid w:val="00723F52"/>
    <w:rsid w:val="00723F86"/>
    <w:rsid w:val="00724057"/>
    <w:rsid w:val="007240E3"/>
    <w:rsid w:val="00724128"/>
    <w:rsid w:val="00724193"/>
    <w:rsid w:val="007241CC"/>
    <w:rsid w:val="0072421D"/>
    <w:rsid w:val="00724267"/>
    <w:rsid w:val="0072428D"/>
    <w:rsid w:val="0072432D"/>
    <w:rsid w:val="007243C4"/>
    <w:rsid w:val="007243D9"/>
    <w:rsid w:val="00724408"/>
    <w:rsid w:val="0072477A"/>
    <w:rsid w:val="00724832"/>
    <w:rsid w:val="007248BB"/>
    <w:rsid w:val="007249B4"/>
    <w:rsid w:val="00724A34"/>
    <w:rsid w:val="00724AAE"/>
    <w:rsid w:val="00724AEE"/>
    <w:rsid w:val="00724B05"/>
    <w:rsid w:val="00724BC6"/>
    <w:rsid w:val="00724BE3"/>
    <w:rsid w:val="00724C2E"/>
    <w:rsid w:val="00724E07"/>
    <w:rsid w:val="00724F30"/>
    <w:rsid w:val="0072506B"/>
    <w:rsid w:val="0072519B"/>
    <w:rsid w:val="007251DF"/>
    <w:rsid w:val="0072523D"/>
    <w:rsid w:val="007254C4"/>
    <w:rsid w:val="007256D7"/>
    <w:rsid w:val="00725738"/>
    <w:rsid w:val="00725742"/>
    <w:rsid w:val="00725808"/>
    <w:rsid w:val="007258E6"/>
    <w:rsid w:val="0072591D"/>
    <w:rsid w:val="00725943"/>
    <w:rsid w:val="00725A37"/>
    <w:rsid w:val="00725A8B"/>
    <w:rsid w:val="00725B4D"/>
    <w:rsid w:val="00725C91"/>
    <w:rsid w:val="00725CAB"/>
    <w:rsid w:val="00725CCC"/>
    <w:rsid w:val="00725DF2"/>
    <w:rsid w:val="00725E75"/>
    <w:rsid w:val="00725EA5"/>
    <w:rsid w:val="00725FD9"/>
    <w:rsid w:val="00726236"/>
    <w:rsid w:val="0072626E"/>
    <w:rsid w:val="007262DD"/>
    <w:rsid w:val="00726527"/>
    <w:rsid w:val="0072657E"/>
    <w:rsid w:val="00726598"/>
    <w:rsid w:val="007265D5"/>
    <w:rsid w:val="007265EE"/>
    <w:rsid w:val="00726718"/>
    <w:rsid w:val="0072677D"/>
    <w:rsid w:val="007267A4"/>
    <w:rsid w:val="007267E0"/>
    <w:rsid w:val="00726939"/>
    <w:rsid w:val="00726B07"/>
    <w:rsid w:val="00726B4F"/>
    <w:rsid w:val="00726BAA"/>
    <w:rsid w:val="00726BD0"/>
    <w:rsid w:val="00726BDA"/>
    <w:rsid w:val="00726C5E"/>
    <w:rsid w:val="00726C7A"/>
    <w:rsid w:val="00726CBC"/>
    <w:rsid w:val="00726DDA"/>
    <w:rsid w:val="00726DF3"/>
    <w:rsid w:val="00726E91"/>
    <w:rsid w:val="00726F1D"/>
    <w:rsid w:val="007270D5"/>
    <w:rsid w:val="00727250"/>
    <w:rsid w:val="0072734E"/>
    <w:rsid w:val="00727640"/>
    <w:rsid w:val="00727716"/>
    <w:rsid w:val="00727758"/>
    <w:rsid w:val="00727783"/>
    <w:rsid w:val="007277D8"/>
    <w:rsid w:val="007278CD"/>
    <w:rsid w:val="00727BA7"/>
    <w:rsid w:val="00727D3E"/>
    <w:rsid w:val="00727E54"/>
    <w:rsid w:val="00727EA6"/>
    <w:rsid w:val="00727FFA"/>
    <w:rsid w:val="0073029A"/>
    <w:rsid w:val="00730323"/>
    <w:rsid w:val="00730534"/>
    <w:rsid w:val="00730638"/>
    <w:rsid w:val="007306D5"/>
    <w:rsid w:val="00730756"/>
    <w:rsid w:val="00730824"/>
    <w:rsid w:val="007309E7"/>
    <w:rsid w:val="00730A4B"/>
    <w:rsid w:val="00730A7E"/>
    <w:rsid w:val="00730B99"/>
    <w:rsid w:val="00730C08"/>
    <w:rsid w:val="00730D61"/>
    <w:rsid w:val="00730DA1"/>
    <w:rsid w:val="00730DB2"/>
    <w:rsid w:val="00730E86"/>
    <w:rsid w:val="00730E8E"/>
    <w:rsid w:val="00730EC2"/>
    <w:rsid w:val="007310CF"/>
    <w:rsid w:val="007311D8"/>
    <w:rsid w:val="0073129F"/>
    <w:rsid w:val="007312BF"/>
    <w:rsid w:val="00731380"/>
    <w:rsid w:val="0073142F"/>
    <w:rsid w:val="00731533"/>
    <w:rsid w:val="00731543"/>
    <w:rsid w:val="00731696"/>
    <w:rsid w:val="00731789"/>
    <w:rsid w:val="007317C4"/>
    <w:rsid w:val="00731978"/>
    <w:rsid w:val="00731A26"/>
    <w:rsid w:val="00731B4C"/>
    <w:rsid w:val="00731B6B"/>
    <w:rsid w:val="00731BCB"/>
    <w:rsid w:val="00731BE4"/>
    <w:rsid w:val="00731D4F"/>
    <w:rsid w:val="00731DB8"/>
    <w:rsid w:val="00731DFB"/>
    <w:rsid w:val="00731E23"/>
    <w:rsid w:val="00731E5F"/>
    <w:rsid w:val="00731F50"/>
    <w:rsid w:val="00731FED"/>
    <w:rsid w:val="0073201E"/>
    <w:rsid w:val="0073211B"/>
    <w:rsid w:val="0073217E"/>
    <w:rsid w:val="00732191"/>
    <w:rsid w:val="0073231C"/>
    <w:rsid w:val="007324FC"/>
    <w:rsid w:val="007325EB"/>
    <w:rsid w:val="00732666"/>
    <w:rsid w:val="0073266B"/>
    <w:rsid w:val="007326D9"/>
    <w:rsid w:val="00732959"/>
    <w:rsid w:val="00732A64"/>
    <w:rsid w:val="00732B11"/>
    <w:rsid w:val="00732BC8"/>
    <w:rsid w:val="00732CF0"/>
    <w:rsid w:val="00732E98"/>
    <w:rsid w:val="00732EED"/>
    <w:rsid w:val="00732EF2"/>
    <w:rsid w:val="00732F1F"/>
    <w:rsid w:val="00732FC3"/>
    <w:rsid w:val="00732FDD"/>
    <w:rsid w:val="0073319B"/>
    <w:rsid w:val="007331AA"/>
    <w:rsid w:val="007331FE"/>
    <w:rsid w:val="007332DD"/>
    <w:rsid w:val="007333D2"/>
    <w:rsid w:val="00733418"/>
    <w:rsid w:val="007334C3"/>
    <w:rsid w:val="007334D6"/>
    <w:rsid w:val="007335F8"/>
    <w:rsid w:val="007336E4"/>
    <w:rsid w:val="00733789"/>
    <w:rsid w:val="0073378E"/>
    <w:rsid w:val="007337D2"/>
    <w:rsid w:val="007338D3"/>
    <w:rsid w:val="00733961"/>
    <w:rsid w:val="0073397A"/>
    <w:rsid w:val="00733A01"/>
    <w:rsid w:val="00733A8A"/>
    <w:rsid w:val="00733B52"/>
    <w:rsid w:val="00733B87"/>
    <w:rsid w:val="00733C78"/>
    <w:rsid w:val="00733CE7"/>
    <w:rsid w:val="00733D33"/>
    <w:rsid w:val="00733EB3"/>
    <w:rsid w:val="0073418C"/>
    <w:rsid w:val="00734215"/>
    <w:rsid w:val="007342F6"/>
    <w:rsid w:val="00734328"/>
    <w:rsid w:val="0073437E"/>
    <w:rsid w:val="0073438F"/>
    <w:rsid w:val="00734396"/>
    <w:rsid w:val="00734490"/>
    <w:rsid w:val="0073454B"/>
    <w:rsid w:val="00734555"/>
    <w:rsid w:val="00734596"/>
    <w:rsid w:val="007348BA"/>
    <w:rsid w:val="007349F0"/>
    <w:rsid w:val="00734A03"/>
    <w:rsid w:val="00734D15"/>
    <w:rsid w:val="00734D17"/>
    <w:rsid w:val="00734D4D"/>
    <w:rsid w:val="00734D6D"/>
    <w:rsid w:val="00734F22"/>
    <w:rsid w:val="00734F28"/>
    <w:rsid w:val="00734FB2"/>
    <w:rsid w:val="00734FE4"/>
    <w:rsid w:val="00735175"/>
    <w:rsid w:val="0073518E"/>
    <w:rsid w:val="0073519D"/>
    <w:rsid w:val="007352AC"/>
    <w:rsid w:val="007352AF"/>
    <w:rsid w:val="00735361"/>
    <w:rsid w:val="00735401"/>
    <w:rsid w:val="00735421"/>
    <w:rsid w:val="007354BE"/>
    <w:rsid w:val="0073554D"/>
    <w:rsid w:val="00735674"/>
    <w:rsid w:val="0073569F"/>
    <w:rsid w:val="0073577A"/>
    <w:rsid w:val="007357BB"/>
    <w:rsid w:val="007358D6"/>
    <w:rsid w:val="00735921"/>
    <w:rsid w:val="0073596B"/>
    <w:rsid w:val="00735B4B"/>
    <w:rsid w:val="00735B8E"/>
    <w:rsid w:val="00735BBE"/>
    <w:rsid w:val="00735BC8"/>
    <w:rsid w:val="00735BE9"/>
    <w:rsid w:val="00735C4A"/>
    <w:rsid w:val="00735E11"/>
    <w:rsid w:val="00735E3E"/>
    <w:rsid w:val="00735E62"/>
    <w:rsid w:val="00735F55"/>
    <w:rsid w:val="00735FDD"/>
    <w:rsid w:val="0073605B"/>
    <w:rsid w:val="007360F7"/>
    <w:rsid w:val="007362AB"/>
    <w:rsid w:val="007363B0"/>
    <w:rsid w:val="0073641B"/>
    <w:rsid w:val="00736468"/>
    <w:rsid w:val="00736496"/>
    <w:rsid w:val="00736505"/>
    <w:rsid w:val="00736655"/>
    <w:rsid w:val="007366A8"/>
    <w:rsid w:val="007366AE"/>
    <w:rsid w:val="0073674F"/>
    <w:rsid w:val="00736751"/>
    <w:rsid w:val="00736797"/>
    <w:rsid w:val="00736804"/>
    <w:rsid w:val="00736834"/>
    <w:rsid w:val="00736921"/>
    <w:rsid w:val="00736939"/>
    <w:rsid w:val="00736A15"/>
    <w:rsid w:val="00736AB5"/>
    <w:rsid w:val="00736ABD"/>
    <w:rsid w:val="00736B0B"/>
    <w:rsid w:val="00736B1C"/>
    <w:rsid w:val="00736B74"/>
    <w:rsid w:val="00736C31"/>
    <w:rsid w:val="00736C84"/>
    <w:rsid w:val="00736CE1"/>
    <w:rsid w:val="00736D31"/>
    <w:rsid w:val="00736DC7"/>
    <w:rsid w:val="0073700A"/>
    <w:rsid w:val="00737038"/>
    <w:rsid w:val="007370B3"/>
    <w:rsid w:val="00737123"/>
    <w:rsid w:val="0073725F"/>
    <w:rsid w:val="007375A9"/>
    <w:rsid w:val="00737684"/>
    <w:rsid w:val="0073790B"/>
    <w:rsid w:val="00737973"/>
    <w:rsid w:val="007379B6"/>
    <w:rsid w:val="00737A0A"/>
    <w:rsid w:val="00737A2D"/>
    <w:rsid w:val="00737A95"/>
    <w:rsid w:val="00737CC1"/>
    <w:rsid w:val="00737D28"/>
    <w:rsid w:val="00737D34"/>
    <w:rsid w:val="00737D67"/>
    <w:rsid w:val="00737DC1"/>
    <w:rsid w:val="00737DDE"/>
    <w:rsid w:val="00737DE5"/>
    <w:rsid w:val="00737E92"/>
    <w:rsid w:val="00737EDB"/>
    <w:rsid w:val="00737EF6"/>
    <w:rsid w:val="00737F1A"/>
    <w:rsid w:val="00737FAA"/>
    <w:rsid w:val="0074005E"/>
    <w:rsid w:val="0074008D"/>
    <w:rsid w:val="007400E8"/>
    <w:rsid w:val="007400EC"/>
    <w:rsid w:val="007400FB"/>
    <w:rsid w:val="0074012A"/>
    <w:rsid w:val="0074015C"/>
    <w:rsid w:val="00740217"/>
    <w:rsid w:val="00740239"/>
    <w:rsid w:val="007402B4"/>
    <w:rsid w:val="0074045E"/>
    <w:rsid w:val="007405FA"/>
    <w:rsid w:val="007407C3"/>
    <w:rsid w:val="00740837"/>
    <w:rsid w:val="0074094F"/>
    <w:rsid w:val="0074097F"/>
    <w:rsid w:val="00740A2B"/>
    <w:rsid w:val="00740A8C"/>
    <w:rsid w:val="00740AEF"/>
    <w:rsid w:val="00740B3E"/>
    <w:rsid w:val="00740CB1"/>
    <w:rsid w:val="00740D32"/>
    <w:rsid w:val="00740E08"/>
    <w:rsid w:val="00740EE4"/>
    <w:rsid w:val="00740EE5"/>
    <w:rsid w:val="00740EF8"/>
    <w:rsid w:val="00740F0E"/>
    <w:rsid w:val="00740F74"/>
    <w:rsid w:val="00741005"/>
    <w:rsid w:val="0074109E"/>
    <w:rsid w:val="007412B4"/>
    <w:rsid w:val="00741415"/>
    <w:rsid w:val="007414C0"/>
    <w:rsid w:val="00741519"/>
    <w:rsid w:val="0074154C"/>
    <w:rsid w:val="007416AF"/>
    <w:rsid w:val="00741853"/>
    <w:rsid w:val="00741886"/>
    <w:rsid w:val="0074191A"/>
    <w:rsid w:val="007419B4"/>
    <w:rsid w:val="007419BD"/>
    <w:rsid w:val="00741B7B"/>
    <w:rsid w:val="00741B9F"/>
    <w:rsid w:val="00741D6B"/>
    <w:rsid w:val="00741DE8"/>
    <w:rsid w:val="00741EF3"/>
    <w:rsid w:val="00741F51"/>
    <w:rsid w:val="00741FA0"/>
    <w:rsid w:val="00741FA1"/>
    <w:rsid w:val="00741FCD"/>
    <w:rsid w:val="0074203B"/>
    <w:rsid w:val="00742061"/>
    <w:rsid w:val="0074208E"/>
    <w:rsid w:val="007420AF"/>
    <w:rsid w:val="007420C7"/>
    <w:rsid w:val="007420EF"/>
    <w:rsid w:val="00742169"/>
    <w:rsid w:val="007422A4"/>
    <w:rsid w:val="007422C7"/>
    <w:rsid w:val="007422CE"/>
    <w:rsid w:val="00742331"/>
    <w:rsid w:val="00742366"/>
    <w:rsid w:val="00742516"/>
    <w:rsid w:val="00742575"/>
    <w:rsid w:val="00742644"/>
    <w:rsid w:val="007426F0"/>
    <w:rsid w:val="00742737"/>
    <w:rsid w:val="00742743"/>
    <w:rsid w:val="00742753"/>
    <w:rsid w:val="00742797"/>
    <w:rsid w:val="007428EF"/>
    <w:rsid w:val="00742987"/>
    <w:rsid w:val="00742991"/>
    <w:rsid w:val="00742A32"/>
    <w:rsid w:val="00742B49"/>
    <w:rsid w:val="00742CD4"/>
    <w:rsid w:val="00742D73"/>
    <w:rsid w:val="00742EEE"/>
    <w:rsid w:val="00743030"/>
    <w:rsid w:val="0074319A"/>
    <w:rsid w:val="0074319B"/>
    <w:rsid w:val="007431A9"/>
    <w:rsid w:val="00743342"/>
    <w:rsid w:val="00743356"/>
    <w:rsid w:val="007434A6"/>
    <w:rsid w:val="007434C2"/>
    <w:rsid w:val="0074350F"/>
    <w:rsid w:val="007436AF"/>
    <w:rsid w:val="00743728"/>
    <w:rsid w:val="007437D9"/>
    <w:rsid w:val="007437FD"/>
    <w:rsid w:val="00743A1D"/>
    <w:rsid w:val="00743A88"/>
    <w:rsid w:val="00743ACA"/>
    <w:rsid w:val="00743BA9"/>
    <w:rsid w:val="00743C23"/>
    <w:rsid w:val="00743D47"/>
    <w:rsid w:val="00743E76"/>
    <w:rsid w:val="00743FD3"/>
    <w:rsid w:val="00743FF8"/>
    <w:rsid w:val="00744017"/>
    <w:rsid w:val="0074409F"/>
    <w:rsid w:val="007440A5"/>
    <w:rsid w:val="00744271"/>
    <w:rsid w:val="007442F8"/>
    <w:rsid w:val="007443A2"/>
    <w:rsid w:val="007443CB"/>
    <w:rsid w:val="007443D4"/>
    <w:rsid w:val="00744484"/>
    <w:rsid w:val="007444A0"/>
    <w:rsid w:val="00744512"/>
    <w:rsid w:val="0074470E"/>
    <w:rsid w:val="00744729"/>
    <w:rsid w:val="0074480E"/>
    <w:rsid w:val="00744855"/>
    <w:rsid w:val="0074495B"/>
    <w:rsid w:val="00744ADA"/>
    <w:rsid w:val="00744BC6"/>
    <w:rsid w:val="00744BFD"/>
    <w:rsid w:val="00744F16"/>
    <w:rsid w:val="00744FFB"/>
    <w:rsid w:val="00745054"/>
    <w:rsid w:val="00745070"/>
    <w:rsid w:val="0074508F"/>
    <w:rsid w:val="00745110"/>
    <w:rsid w:val="00745178"/>
    <w:rsid w:val="0074519A"/>
    <w:rsid w:val="0074532C"/>
    <w:rsid w:val="0074537F"/>
    <w:rsid w:val="007453A4"/>
    <w:rsid w:val="007453D4"/>
    <w:rsid w:val="00745417"/>
    <w:rsid w:val="0074545F"/>
    <w:rsid w:val="007454C1"/>
    <w:rsid w:val="0074554B"/>
    <w:rsid w:val="007455C3"/>
    <w:rsid w:val="00745798"/>
    <w:rsid w:val="007458A4"/>
    <w:rsid w:val="007458B8"/>
    <w:rsid w:val="0074590D"/>
    <w:rsid w:val="00745A71"/>
    <w:rsid w:val="00745A94"/>
    <w:rsid w:val="00745AC5"/>
    <w:rsid w:val="00745BC3"/>
    <w:rsid w:val="00745BE7"/>
    <w:rsid w:val="00745CE6"/>
    <w:rsid w:val="00745E2F"/>
    <w:rsid w:val="00746042"/>
    <w:rsid w:val="0074608D"/>
    <w:rsid w:val="00746183"/>
    <w:rsid w:val="0074619F"/>
    <w:rsid w:val="007461CE"/>
    <w:rsid w:val="0074637A"/>
    <w:rsid w:val="0074641A"/>
    <w:rsid w:val="0074642F"/>
    <w:rsid w:val="0074646D"/>
    <w:rsid w:val="0074653C"/>
    <w:rsid w:val="00746590"/>
    <w:rsid w:val="0074669E"/>
    <w:rsid w:val="007467B6"/>
    <w:rsid w:val="007467BD"/>
    <w:rsid w:val="007468B5"/>
    <w:rsid w:val="00746A11"/>
    <w:rsid w:val="00746B09"/>
    <w:rsid w:val="00746B2C"/>
    <w:rsid w:val="00746B4D"/>
    <w:rsid w:val="00746C48"/>
    <w:rsid w:val="00746D00"/>
    <w:rsid w:val="00746D86"/>
    <w:rsid w:val="00746E93"/>
    <w:rsid w:val="00746EB7"/>
    <w:rsid w:val="00746F15"/>
    <w:rsid w:val="00747034"/>
    <w:rsid w:val="00747137"/>
    <w:rsid w:val="007471A1"/>
    <w:rsid w:val="007471A5"/>
    <w:rsid w:val="0074726D"/>
    <w:rsid w:val="0074763B"/>
    <w:rsid w:val="00747714"/>
    <w:rsid w:val="00747726"/>
    <w:rsid w:val="0074773C"/>
    <w:rsid w:val="0074778A"/>
    <w:rsid w:val="007478DB"/>
    <w:rsid w:val="0074796A"/>
    <w:rsid w:val="00747A0C"/>
    <w:rsid w:val="00747A6B"/>
    <w:rsid w:val="00747B4E"/>
    <w:rsid w:val="00747B58"/>
    <w:rsid w:val="00747D1C"/>
    <w:rsid w:val="00747D31"/>
    <w:rsid w:val="00747D32"/>
    <w:rsid w:val="00747E5A"/>
    <w:rsid w:val="00747E96"/>
    <w:rsid w:val="00747ECF"/>
    <w:rsid w:val="00747F3B"/>
    <w:rsid w:val="00747FAB"/>
    <w:rsid w:val="00747FC1"/>
    <w:rsid w:val="00747FD8"/>
    <w:rsid w:val="007500C3"/>
    <w:rsid w:val="0075012E"/>
    <w:rsid w:val="0075021E"/>
    <w:rsid w:val="0075025F"/>
    <w:rsid w:val="007502DB"/>
    <w:rsid w:val="007503AD"/>
    <w:rsid w:val="007503D3"/>
    <w:rsid w:val="00750423"/>
    <w:rsid w:val="0075050D"/>
    <w:rsid w:val="0075055B"/>
    <w:rsid w:val="00750576"/>
    <w:rsid w:val="00750578"/>
    <w:rsid w:val="007505BB"/>
    <w:rsid w:val="00750604"/>
    <w:rsid w:val="007508A3"/>
    <w:rsid w:val="00750905"/>
    <w:rsid w:val="0075090F"/>
    <w:rsid w:val="00750937"/>
    <w:rsid w:val="007509B9"/>
    <w:rsid w:val="007509DD"/>
    <w:rsid w:val="00750A13"/>
    <w:rsid w:val="00750A9F"/>
    <w:rsid w:val="00750C09"/>
    <w:rsid w:val="00750C59"/>
    <w:rsid w:val="00750C93"/>
    <w:rsid w:val="00750D67"/>
    <w:rsid w:val="00750D84"/>
    <w:rsid w:val="00750E4C"/>
    <w:rsid w:val="00750EE3"/>
    <w:rsid w:val="00750F7E"/>
    <w:rsid w:val="00751098"/>
    <w:rsid w:val="007510B3"/>
    <w:rsid w:val="0075116C"/>
    <w:rsid w:val="007511A8"/>
    <w:rsid w:val="0075125E"/>
    <w:rsid w:val="00751298"/>
    <w:rsid w:val="0075132F"/>
    <w:rsid w:val="007513CC"/>
    <w:rsid w:val="00751428"/>
    <w:rsid w:val="0075159B"/>
    <w:rsid w:val="007515D2"/>
    <w:rsid w:val="00751644"/>
    <w:rsid w:val="00751707"/>
    <w:rsid w:val="00751753"/>
    <w:rsid w:val="007518F5"/>
    <w:rsid w:val="007518F8"/>
    <w:rsid w:val="00751BDC"/>
    <w:rsid w:val="00751BF9"/>
    <w:rsid w:val="00751C7E"/>
    <w:rsid w:val="00751C9B"/>
    <w:rsid w:val="00751D25"/>
    <w:rsid w:val="00751D39"/>
    <w:rsid w:val="00751D7A"/>
    <w:rsid w:val="00751DB5"/>
    <w:rsid w:val="00751EA7"/>
    <w:rsid w:val="00751F38"/>
    <w:rsid w:val="00751F61"/>
    <w:rsid w:val="0075201D"/>
    <w:rsid w:val="00752048"/>
    <w:rsid w:val="00752068"/>
    <w:rsid w:val="007520F7"/>
    <w:rsid w:val="007521B0"/>
    <w:rsid w:val="00752240"/>
    <w:rsid w:val="0075232E"/>
    <w:rsid w:val="00752332"/>
    <w:rsid w:val="0075238D"/>
    <w:rsid w:val="007523BE"/>
    <w:rsid w:val="007525AB"/>
    <w:rsid w:val="0075263D"/>
    <w:rsid w:val="007526DA"/>
    <w:rsid w:val="0075277B"/>
    <w:rsid w:val="007527DD"/>
    <w:rsid w:val="00752811"/>
    <w:rsid w:val="007528CD"/>
    <w:rsid w:val="00752949"/>
    <w:rsid w:val="00752997"/>
    <w:rsid w:val="00752A49"/>
    <w:rsid w:val="00752A62"/>
    <w:rsid w:val="00752C1A"/>
    <w:rsid w:val="00752C23"/>
    <w:rsid w:val="00752C83"/>
    <w:rsid w:val="00752D73"/>
    <w:rsid w:val="00753141"/>
    <w:rsid w:val="00753150"/>
    <w:rsid w:val="00753151"/>
    <w:rsid w:val="00753189"/>
    <w:rsid w:val="007531A1"/>
    <w:rsid w:val="00753234"/>
    <w:rsid w:val="00753275"/>
    <w:rsid w:val="00753298"/>
    <w:rsid w:val="00753445"/>
    <w:rsid w:val="007535E4"/>
    <w:rsid w:val="00753644"/>
    <w:rsid w:val="00753688"/>
    <w:rsid w:val="0075368B"/>
    <w:rsid w:val="00753739"/>
    <w:rsid w:val="007537D9"/>
    <w:rsid w:val="00753818"/>
    <w:rsid w:val="007538E7"/>
    <w:rsid w:val="00753AA7"/>
    <w:rsid w:val="00753AC4"/>
    <w:rsid w:val="00753AF0"/>
    <w:rsid w:val="00753B38"/>
    <w:rsid w:val="00753BB7"/>
    <w:rsid w:val="00753BF9"/>
    <w:rsid w:val="00753C9D"/>
    <w:rsid w:val="00753CAF"/>
    <w:rsid w:val="00753D75"/>
    <w:rsid w:val="00753DBE"/>
    <w:rsid w:val="00753DC6"/>
    <w:rsid w:val="00753DFD"/>
    <w:rsid w:val="00753E85"/>
    <w:rsid w:val="00753EAE"/>
    <w:rsid w:val="00753EFC"/>
    <w:rsid w:val="00754013"/>
    <w:rsid w:val="00754074"/>
    <w:rsid w:val="00754081"/>
    <w:rsid w:val="007540DC"/>
    <w:rsid w:val="0075411F"/>
    <w:rsid w:val="007541A1"/>
    <w:rsid w:val="007541A8"/>
    <w:rsid w:val="00754261"/>
    <w:rsid w:val="00754298"/>
    <w:rsid w:val="00754382"/>
    <w:rsid w:val="00754485"/>
    <w:rsid w:val="007544E1"/>
    <w:rsid w:val="00754500"/>
    <w:rsid w:val="00754514"/>
    <w:rsid w:val="0075457E"/>
    <w:rsid w:val="00754936"/>
    <w:rsid w:val="007549C4"/>
    <w:rsid w:val="00754AEF"/>
    <w:rsid w:val="00754B5C"/>
    <w:rsid w:val="00754BE5"/>
    <w:rsid w:val="00754E55"/>
    <w:rsid w:val="00755052"/>
    <w:rsid w:val="00755076"/>
    <w:rsid w:val="0075511E"/>
    <w:rsid w:val="007551D7"/>
    <w:rsid w:val="007552A6"/>
    <w:rsid w:val="0075543B"/>
    <w:rsid w:val="007554A8"/>
    <w:rsid w:val="00755650"/>
    <w:rsid w:val="00755857"/>
    <w:rsid w:val="00755955"/>
    <w:rsid w:val="007559E2"/>
    <w:rsid w:val="00755B09"/>
    <w:rsid w:val="00755B0F"/>
    <w:rsid w:val="00755BB7"/>
    <w:rsid w:val="00755BBC"/>
    <w:rsid w:val="00755C20"/>
    <w:rsid w:val="00755CF2"/>
    <w:rsid w:val="00755D16"/>
    <w:rsid w:val="00755D22"/>
    <w:rsid w:val="00755D97"/>
    <w:rsid w:val="00755E9C"/>
    <w:rsid w:val="00755EE6"/>
    <w:rsid w:val="00756012"/>
    <w:rsid w:val="0075603E"/>
    <w:rsid w:val="007560B0"/>
    <w:rsid w:val="007560C5"/>
    <w:rsid w:val="007560FF"/>
    <w:rsid w:val="00756147"/>
    <w:rsid w:val="00756268"/>
    <w:rsid w:val="0075627A"/>
    <w:rsid w:val="007564D9"/>
    <w:rsid w:val="00756665"/>
    <w:rsid w:val="0075675C"/>
    <w:rsid w:val="0075678A"/>
    <w:rsid w:val="0075684B"/>
    <w:rsid w:val="00756910"/>
    <w:rsid w:val="00756A00"/>
    <w:rsid w:val="00756A76"/>
    <w:rsid w:val="00756AF1"/>
    <w:rsid w:val="00756B6E"/>
    <w:rsid w:val="00756BBA"/>
    <w:rsid w:val="00756C97"/>
    <w:rsid w:val="00756F09"/>
    <w:rsid w:val="00756FCF"/>
    <w:rsid w:val="0075700F"/>
    <w:rsid w:val="0075706B"/>
    <w:rsid w:val="0075713C"/>
    <w:rsid w:val="00757166"/>
    <w:rsid w:val="007571A1"/>
    <w:rsid w:val="00757201"/>
    <w:rsid w:val="0075728F"/>
    <w:rsid w:val="00757379"/>
    <w:rsid w:val="007574EF"/>
    <w:rsid w:val="00757586"/>
    <w:rsid w:val="007575C5"/>
    <w:rsid w:val="0075760A"/>
    <w:rsid w:val="00757612"/>
    <w:rsid w:val="0075763C"/>
    <w:rsid w:val="00757655"/>
    <w:rsid w:val="0075767E"/>
    <w:rsid w:val="00757699"/>
    <w:rsid w:val="0075773F"/>
    <w:rsid w:val="007578B7"/>
    <w:rsid w:val="007578CC"/>
    <w:rsid w:val="007578D7"/>
    <w:rsid w:val="00757935"/>
    <w:rsid w:val="007579EF"/>
    <w:rsid w:val="00757A0B"/>
    <w:rsid w:val="00757AF7"/>
    <w:rsid w:val="00757BEE"/>
    <w:rsid w:val="00757C46"/>
    <w:rsid w:val="00757D9B"/>
    <w:rsid w:val="00757FC4"/>
    <w:rsid w:val="00760047"/>
    <w:rsid w:val="0076004E"/>
    <w:rsid w:val="007600F8"/>
    <w:rsid w:val="00760379"/>
    <w:rsid w:val="007603EC"/>
    <w:rsid w:val="0076055E"/>
    <w:rsid w:val="0076058A"/>
    <w:rsid w:val="0076069F"/>
    <w:rsid w:val="007606A4"/>
    <w:rsid w:val="0076096E"/>
    <w:rsid w:val="00760BD8"/>
    <w:rsid w:val="00760C93"/>
    <w:rsid w:val="00760D0A"/>
    <w:rsid w:val="00760DD6"/>
    <w:rsid w:val="00760EEF"/>
    <w:rsid w:val="00760FBB"/>
    <w:rsid w:val="007610C2"/>
    <w:rsid w:val="007610ED"/>
    <w:rsid w:val="0076123D"/>
    <w:rsid w:val="00761259"/>
    <w:rsid w:val="007612CB"/>
    <w:rsid w:val="00761351"/>
    <w:rsid w:val="0076135C"/>
    <w:rsid w:val="0076139A"/>
    <w:rsid w:val="00761422"/>
    <w:rsid w:val="0076150C"/>
    <w:rsid w:val="007615D5"/>
    <w:rsid w:val="0076163B"/>
    <w:rsid w:val="00761727"/>
    <w:rsid w:val="00761734"/>
    <w:rsid w:val="0076176D"/>
    <w:rsid w:val="007617D3"/>
    <w:rsid w:val="00761830"/>
    <w:rsid w:val="00761862"/>
    <w:rsid w:val="0076186E"/>
    <w:rsid w:val="007618CB"/>
    <w:rsid w:val="0076192D"/>
    <w:rsid w:val="00761943"/>
    <w:rsid w:val="007619D6"/>
    <w:rsid w:val="00761A42"/>
    <w:rsid w:val="00761B15"/>
    <w:rsid w:val="00761B9F"/>
    <w:rsid w:val="00761C04"/>
    <w:rsid w:val="00761C75"/>
    <w:rsid w:val="00761D98"/>
    <w:rsid w:val="00761E65"/>
    <w:rsid w:val="00761FED"/>
    <w:rsid w:val="0076204B"/>
    <w:rsid w:val="00762111"/>
    <w:rsid w:val="007622A9"/>
    <w:rsid w:val="00762356"/>
    <w:rsid w:val="0076236A"/>
    <w:rsid w:val="00762586"/>
    <w:rsid w:val="007625B6"/>
    <w:rsid w:val="007626DF"/>
    <w:rsid w:val="0076281D"/>
    <w:rsid w:val="00762881"/>
    <w:rsid w:val="0076289C"/>
    <w:rsid w:val="0076295B"/>
    <w:rsid w:val="007629B4"/>
    <w:rsid w:val="00762A44"/>
    <w:rsid w:val="00762A65"/>
    <w:rsid w:val="00762AAE"/>
    <w:rsid w:val="00762AB3"/>
    <w:rsid w:val="00762BA1"/>
    <w:rsid w:val="00762BCD"/>
    <w:rsid w:val="00762CBE"/>
    <w:rsid w:val="00762D1B"/>
    <w:rsid w:val="00762D1D"/>
    <w:rsid w:val="00762D32"/>
    <w:rsid w:val="00762D86"/>
    <w:rsid w:val="00762DE5"/>
    <w:rsid w:val="00762F0B"/>
    <w:rsid w:val="00762F5D"/>
    <w:rsid w:val="00762F88"/>
    <w:rsid w:val="0076304A"/>
    <w:rsid w:val="007630E8"/>
    <w:rsid w:val="0076312B"/>
    <w:rsid w:val="00763201"/>
    <w:rsid w:val="007632C7"/>
    <w:rsid w:val="007632F0"/>
    <w:rsid w:val="0076333B"/>
    <w:rsid w:val="007633C7"/>
    <w:rsid w:val="00763474"/>
    <w:rsid w:val="00763477"/>
    <w:rsid w:val="0076347C"/>
    <w:rsid w:val="007634D8"/>
    <w:rsid w:val="0076357C"/>
    <w:rsid w:val="007635EB"/>
    <w:rsid w:val="00763603"/>
    <w:rsid w:val="00763612"/>
    <w:rsid w:val="00763734"/>
    <w:rsid w:val="007637AA"/>
    <w:rsid w:val="007637E2"/>
    <w:rsid w:val="00763822"/>
    <w:rsid w:val="00763852"/>
    <w:rsid w:val="00763866"/>
    <w:rsid w:val="0076390A"/>
    <w:rsid w:val="00763B77"/>
    <w:rsid w:val="00763D91"/>
    <w:rsid w:val="00763D9A"/>
    <w:rsid w:val="00763EE2"/>
    <w:rsid w:val="00763F03"/>
    <w:rsid w:val="00763F99"/>
    <w:rsid w:val="00763FC6"/>
    <w:rsid w:val="0076411A"/>
    <w:rsid w:val="0076413A"/>
    <w:rsid w:val="00764181"/>
    <w:rsid w:val="0076423A"/>
    <w:rsid w:val="00764374"/>
    <w:rsid w:val="00764381"/>
    <w:rsid w:val="00764460"/>
    <w:rsid w:val="007644A7"/>
    <w:rsid w:val="007644C7"/>
    <w:rsid w:val="007645B1"/>
    <w:rsid w:val="0076464E"/>
    <w:rsid w:val="00764675"/>
    <w:rsid w:val="00764682"/>
    <w:rsid w:val="007646C4"/>
    <w:rsid w:val="007646F9"/>
    <w:rsid w:val="00764749"/>
    <w:rsid w:val="00764782"/>
    <w:rsid w:val="007647DB"/>
    <w:rsid w:val="007647F0"/>
    <w:rsid w:val="00764A1C"/>
    <w:rsid w:val="00764B72"/>
    <w:rsid w:val="00764BCA"/>
    <w:rsid w:val="00764BD8"/>
    <w:rsid w:val="00764DB6"/>
    <w:rsid w:val="00764EF0"/>
    <w:rsid w:val="00764FC4"/>
    <w:rsid w:val="00765026"/>
    <w:rsid w:val="00765216"/>
    <w:rsid w:val="00765293"/>
    <w:rsid w:val="00765336"/>
    <w:rsid w:val="0076544F"/>
    <w:rsid w:val="007654DB"/>
    <w:rsid w:val="00765682"/>
    <w:rsid w:val="007657C2"/>
    <w:rsid w:val="00765845"/>
    <w:rsid w:val="00765897"/>
    <w:rsid w:val="007658CC"/>
    <w:rsid w:val="00765927"/>
    <w:rsid w:val="00765983"/>
    <w:rsid w:val="00765A4A"/>
    <w:rsid w:val="00765A52"/>
    <w:rsid w:val="00765AB6"/>
    <w:rsid w:val="00765C8B"/>
    <w:rsid w:val="00765D24"/>
    <w:rsid w:val="00765F3B"/>
    <w:rsid w:val="00765F41"/>
    <w:rsid w:val="00766014"/>
    <w:rsid w:val="00766018"/>
    <w:rsid w:val="00766097"/>
    <w:rsid w:val="00766184"/>
    <w:rsid w:val="007661F9"/>
    <w:rsid w:val="00766236"/>
    <w:rsid w:val="00766322"/>
    <w:rsid w:val="0076633C"/>
    <w:rsid w:val="007663CB"/>
    <w:rsid w:val="00766423"/>
    <w:rsid w:val="00766437"/>
    <w:rsid w:val="00766560"/>
    <w:rsid w:val="0076657F"/>
    <w:rsid w:val="007666C8"/>
    <w:rsid w:val="0076688C"/>
    <w:rsid w:val="0076696A"/>
    <w:rsid w:val="00766ABF"/>
    <w:rsid w:val="00766C3F"/>
    <w:rsid w:val="00766C62"/>
    <w:rsid w:val="00766C76"/>
    <w:rsid w:val="00766D3A"/>
    <w:rsid w:val="00766D3D"/>
    <w:rsid w:val="00766D4F"/>
    <w:rsid w:val="00766ED7"/>
    <w:rsid w:val="0076706A"/>
    <w:rsid w:val="00767184"/>
    <w:rsid w:val="00767481"/>
    <w:rsid w:val="00767520"/>
    <w:rsid w:val="00767558"/>
    <w:rsid w:val="0076759C"/>
    <w:rsid w:val="00767615"/>
    <w:rsid w:val="00767655"/>
    <w:rsid w:val="0076767F"/>
    <w:rsid w:val="0076770F"/>
    <w:rsid w:val="007677BD"/>
    <w:rsid w:val="007677FC"/>
    <w:rsid w:val="00767889"/>
    <w:rsid w:val="007678D3"/>
    <w:rsid w:val="007679AD"/>
    <w:rsid w:val="00767A98"/>
    <w:rsid w:val="00767B0E"/>
    <w:rsid w:val="00767B13"/>
    <w:rsid w:val="00767B27"/>
    <w:rsid w:val="00767B47"/>
    <w:rsid w:val="00767C07"/>
    <w:rsid w:val="00767CC0"/>
    <w:rsid w:val="00767CC1"/>
    <w:rsid w:val="00767DE8"/>
    <w:rsid w:val="00767E71"/>
    <w:rsid w:val="00767EDD"/>
    <w:rsid w:val="00767FAF"/>
    <w:rsid w:val="007700B2"/>
    <w:rsid w:val="00770130"/>
    <w:rsid w:val="007701E6"/>
    <w:rsid w:val="00770295"/>
    <w:rsid w:val="007702E4"/>
    <w:rsid w:val="00770437"/>
    <w:rsid w:val="0077054B"/>
    <w:rsid w:val="0077078C"/>
    <w:rsid w:val="007707D0"/>
    <w:rsid w:val="007709A1"/>
    <w:rsid w:val="007709AE"/>
    <w:rsid w:val="00770A75"/>
    <w:rsid w:val="00770AA1"/>
    <w:rsid w:val="00770ADA"/>
    <w:rsid w:val="00771062"/>
    <w:rsid w:val="007710CE"/>
    <w:rsid w:val="0077118F"/>
    <w:rsid w:val="0077120E"/>
    <w:rsid w:val="00771246"/>
    <w:rsid w:val="0077127C"/>
    <w:rsid w:val="007712B2"/>
    <w:rsid w:val="00771433"/>
    <w:rsid w:val="007714F7"/>
    <w:rsid w:val="007717CC"/>
    <w:rsid w:val="0077186F"/>
    <w:rsid w:val="0077193C"/>
    <w:rsid w:val="00771B23"/>
    <w:rsid w:val="00771B8F"/>
    <w:rsid w:val="00771D02"/>
    <w:rsid w:val="00771D26"/>
    <w:rsid w:val="00771D54"/>
    <w:rsid w:val="00771DB8"/>
    <w:rsid w:val="00771DF4"/>
    <w:rsid w:val="00771DFB"/>
    <w:rsid w:val="00771EE1"/>
    <w:rsid w:val="00771FD9"/>
    <w:rsid w:val="007720A3"/>
    <w:rsid w:val="00772100"/>
    <w:rsid w:val="00772164"/>
    <w:rsid w:val="00772210"/>
    <w:rsid w:val="007723D5"/>
    <w:rsid w:val="00772434"/>
    <w:rsid w:val="007724DD"/>
    <w:rsid w:val="007724E4"/>
    <w:rsid w:val="00772572"/>
    <w:rsid w:val="00772586"/>
    <w:rsid w:val="0077262D"/>
    <w:rsid w:val="0077264E"/>
    <w:rsid w:val="007726BA"/>
    <w:rsid w:val="007726BD"/>
    <w:rsid w:val="0077273E"/>
    <w:rsid w:val="00772740"/>
    <w:rsid w:val="0077275A"/>
    <w:rsid w:val="00772835"/>
    <w:rsid w:val="0077288B"/>
    <w:rsid w:val="007728A2"/>
    <w:rsid w:val="00772A06"/>
    <w:rsid w:val="00772BA6"/>
    <w:rsid w:val="00772D1B"/>
    <w:rsid w:val="00772D76"/>
    <w:rsid w:val="00772DF0"/>
    <w:rsid w:val="00772E53"/>
    <w:rsid w:val="00772E7E"/>
    <w:rsid w:val="00772EEA"/>
    <w:rsid w:val="00772F0B"/>
    <w:rsid w:val="00772FCD"/>
    <w:rsid w:val="00772FDC"/>
    <w:rsid w:val="007730EF"/>
    <w:rsid w:val="00773157"/>
    <w:rsid w:val="00773193"/>
    <w:rsid w:val="007731E9"/>
    <w:rsid w:val="007732E6"/>
    <w:rsid w:val="007732F4"/>
    <w:rsid w:val="0077332C"/>
    <w:rsid w:val="0077338B"/>
    <w:rsid w:val="00773418"/>
    <w:rsid w:val="00773614"/>
    <w:rsid w:val="00773705"/>
    <w:rsid w:val="0077376C"/>
    <w:rsid w:val="0077379D"/>
    <w:rsid w:val="007737AC"/>
    <w:rsid w:val="007737E8"/>
    <w:rsid w:val="0077396D"/>
    <w:rsid w:val="0077398A"/>
    <w:rsid w:val="007739A6"/>
    <w:rsid w:val="00773AAA"/>
    <w:rsid w:val="00773C19"/>
    <w:rsid w:val="00773C5E"/>
    <w:rsid w:val="00773D29"/>
    <w:rsid w:val="00773D42"/>
    <w:rsid w:val="00773D54"/>
    <w:rsid w:val="00773E8B"/>
    <w:rsid w:val="00773EB8"/>
    <w:rsid w:val="00774078"/>
    <w:rsid w:val="007740A4"/>
    <w:rsid w:val="00774226"/>
    <w:rsid w:val="00774230"/>
    <w:rsid w:val="007742B6"/>
    <w:rsid w:val="007742D9"/>
    <w:rsid w:val="007742FA"/>
    <w:rsid w:val="00774306"/>
    <w:rsid w:val="007744DE"/>
    <w:rsid w:val="007744EB"/>
    <w:rsid w:val="0077457F"/>
    <w:rsid w:val="007745EA"/>
    <w:rsid w:val="007745FC"/>
    <w:rsid w:val="00774646"/>
    <w:rsid w:val="0077466D"/>
    <w:rsid w:val="0077470A"/>
    <w:rsid w:val="007747A8"/>
    <w:rsid w:val="007747DA"/>
    <w:rsid w:val="00774811"/>
    <w:rsid w:val="00774879"/>
    <w:rsid w:val="007749AC"/>
    <w:rsid w:val="007749B4"/>
    <w:rsid w:val="00774A17"/>
    <w:rsid w:val="00774A4B"/>
    <w:rsid w:val="00774A73"/>
    <w:rsid w:val="00774BA1"/>
    <w:rsid w:val="00774C39"/>
    <w:rsid w:val="00774DA1"/>
    <w:rsid w:val="00774DA6"/>
    <w:rsid w:val="00774DD4"/>
    <w:rsid w:val="00774E5B"/>
    <w:rsid w:val="00774E71"/>
    <w:rsid w:val="00774EA2"/>
    <w:rsid w:val="00774F6A"/>
    <w:rsid w:val="00774FDE"/>
    <w:rsid w:val="00775115"/>
    <w:rsid w:val="007751DF"/>
    <w:rsid w:val="00775347"/>
    <w:rsid w:val="007753EE"/>
    <w:rsid w:val="00775487"/>
    <w:rsid w:val="0077548B"/>
    <w:rsid w:val="007754A2"/>
    <w:rsid w:val="007754C3"/>
    <w:rsid w:val="00775586"/>
    <w:rsid w:val="0077559F"/>
    <w:rsid w:val="007755AE"/>
    <w:rsid w:val="007755C5"/>
    <w:rsid w:val="0077565C"/>
    <w:rsid w:val="007756AA"/>
    <w:rsid w:val="0077590A"/>
    <w:rsid w:val="00775AE5"/>
    <w:rsid w:val="00775B4F"/>
    <w:rsid w:val="00775BD4"/>
    <w:rsid w:val="00775C17"/>
    <w:rsid w:val="00775C57"/>
    <w:rsid w:val="00775C70"/>
    <w:rsid w:val="00775D31"/>
    <w:rsid w:val="00775D98"/>
    <w:rsid w:val="00775DCF"/>
    <w:rsid w:val="00775DEA"/>
    <w:rsid w:val="00775EC7"/>
    <w:rsid w:val="00775F09"/>
    <w:rsid w:val="00775F47"/>
    <w:rsid w:val="00775F69"/>
    <w:rsid w:val="00775FB0"/>
    <w:rsid w:val="007760D7"/>
    <w:rsid w:val="00776113"/>
    <w:rsid w:val="007761F9"/>
    <w:rsid w:val="00776289"/>
    <w:rsid w:val="007763F5"/>
    <w:rsid w:val="00776463"/>
    <w:rsid w:val="00776481"/>
    <w:rsid w:val="007764CB"/>
    <w:rsid w:val="007765B3"/>
    <w:rsid w:val="007766CF"/>
    <w:rsid w:val="00776733"/>
    <w:rsid w:val="00776763"/>
    <w:rsid w:val="00776791"/>
    <w:rsid w:val="007767C3"/>
    <w:rsid w:val="00776839"/>
    <w:rsid w:val="007768C9"/>
    <w:rsid w:val="00776A77"/>
    <w:rsid w:val="00776BD2"/>
    <w:rsid w:val="00776C0F"/>
    <w:rsid w:val="00776D41"/>
    <w:rsid w:val="00776E68"/>
    <w:rsid w:val="00776ECC"/>
    <w:rsid w:val="00777020"/>
    <w:rsid w:val="007770CB"/>
    <w:rsid w:val="007770E6"/>
    <w:rsid w:val="0077717B"/>
    <w:rsid w:val="007771C8"/>
    <w:rsid w:val="00777261"/>
    <w:rsid w:val="00777299"/>
    <w:rsid w:val="007772CC"/>
    <w:rsid w:val="007773CE"/>
    <w:rsid w:val="007773DE"/>
    <w:rsid w:val="007773FE"/>
    <w:rsid w:val="00777416"/>
    <w:rsid w:val="007774F4"/>
    <w:rsid w:val="0077770C"/>
    <w:rsid w:val="00777774"/>
    <w:rsid w:val="00777795"/>
    <w:rsid w:val="00777855"/>
    <w:rsid w:val="00777864"/>
    <w:rsid w:val="0077787D"/>
    <w:rsid w:val="00777930"/>
    <w:rsid w:val="00777A12"/>
    <w:rsid w:val="00777A2B"/>
    <w:rsid w:val="00777B61"/>
    <w:rsid w:val="00777B64"/>
    <w:rsid w:val="00777B84"/>
    <w:rsid w:val="00777BC2"/>
    <w:rsid w:val="00777CBF"/>
    <w:rsid w:val="00777D3B"/>
    <w:rsid w:val="00777E4F"/>
    <w:rsid w:val="00777EDF"/>
    <w:rsid w:val="00777EE8"/>
    <w:rsid w:val="00780048"/>
    <w:rsid w:val="00780139"/>
    <w:rsid w:val="00780157"/>
    <w:rsid w:val="007801DA"/>
    <w:rsid w:val="007801E2"/>
    <w:rsid w:val="007801F4"/>
    <w:rsid w:val="00780257"/>
    <w:rsid w:val="00780318"/>
    <w:rsid w:val="0078032D"/>
    <w:rsid w:val="007803DE"/>
    <w:rsid w:val="007804D5"/>
    <w:rsid w:val="0078057C"/>
    <w:rsid w:val="0078066E"/>
    <w:rsid w:val="00780703"/>
    <w:rsid w:val="0078083F"/>
    <w:rsid w:val="0078086F"/>
    <w:rsid w:val="007808E0"/>
    <w:rsid w:val="007808EE"/>
    <w:rsid w:val="00780900"/>
    <w:rsid w:val="00780990"/>
    <w:rsid w:val="00780A87"/>
    <w:rsid w:val="00780B30"/>
    <w:rsid w:val="00780C40"/>
    <w:rsid w:val="00780EAE"/>
    <w:rsid w:val="00780F08"/>
    <w:rsid w:val="00780FCE"/>
    <w:rsid w:val="00781008"/>
    <w:rsid w:val="007810D4"/>
    <w:rsid w:val="00781178"/>
    <w:rsid w:val="007811F5"/>
    <w:rsid w:val="0078122E"/>
    <w:rsid w:val="00781234"/>
    <w:rsid w:val="00781385"/>
    <w:rsid w:val="007813A2"/>
    <w:rsid w:val="007813C7"/>
    <w:rsid w:val="00781423"/>
    <w:rsid w:val="007814A8"/>
    <w:rsid w:val="00781536"/>
    <w:rsid w:val="0078163A"/>
    <w:rsid w:val="00781659"/>
    <w:rsid w:val="0078187B"/>
    <w:rsid w:val="007818A0"/>
    <w:rsid w:val="00781942"/>
    <w:rsid w:val="0078196A"/>
    <w:rsid w:val="00781AAB"/>
    <w:rsid w:val="00781ABF"/>
    <w:rsid w:val="00781CC8"/>
    <w:rsid w:val="00781CDA"/>
    <w:rsid w:val="00781DE6"/>
    <w:rsid w:val="00781E74"/>
    <w:rsid w:val="00781EAB"/>
    <w:rsid w:val="00781F00"/>
    <w:rsid w:val="00781F38"/>
    <w:rsid w:val="0078200F"/>
    <w:rsid w:val="007823B5"/>
    <w:rsid w:val="0078257B"/>
    <w:rsid w:val="00782630"/>
    <w:rsid w:val="0078266E"/>
    <w:rsid w:val="007826E6"/>
    <w:rsid w:val="00782731"/>
    <w:rsid w:val="007827C3"/>
    <w:rsid w:val="00782910"/>
    <w:rsid w:val="00782A02"/>
    <w:rsid w:val="00782A69"/>
    <w:rsid w:val="00782A99"/>
    <w:rsid w:val="00782AD3"/>
    <w:rsid w:val="00782B28"/>
    <w:rsid w:val="00782B29"/>
    <w:rsid w:val="00782B3D"/>
    <w:rsid w:val="00782B5A"/>
    <w:rsid w:val="00782B5C"/>
    <w:rsid w:val="00782BA7"/>
    <w:rsid w:val="00782D43"/>
    <w:rsid w:val="00782E5A"/>
    <w:rsid w:val="00782F5A"/>
    <w:rsid w:val="0078301A"/>
    <w:rsid w:val="00783186"/>
    <w:rsid w:val="00783262"/>
    <w:rsid w:val="00783299"/>
    <w:rsid w:val="007832C4"/>
    <w:rsid w:val="007832E7"/>
    <w:rsid w:val="00783351"/>
    <w:rsid w:val="00783371"/>
    <w:rsid w:val="007833A8"/>
    <w:rsid w:val="007833D7"/>
    <w:rsid w:val="00783448"/>
    <w:rsid w:val="00783460"/>
    <w:rsid w:val="00783532"/>
    <w:rsid w:val="007835C7"/>
    <w:rsid w:val="007835C8"/>
    <w:rsid w:val="007835CE"/>
    <w:rsid w:val="00783669"/>
    <w:rsid w:val="007836F8"/>
    <w:rsid w:val="007837EE"/>
    <w:rsid w:val="0078382F"/>
    <w:rsid w:val="007839DE"/>
    <w:rsid w:val="00783A79"/>
    <w:rsid w:val="00783ACE"/>
    <w:rsid w:val="00783B81"/>
    <w:rsid w:val="00783BF7"/>
    <w:rsid w:val="00783CFF"/>
    <w:rsid w:val="00783D69"/>
    <w:rsid w:val="00783D75"/>
    <w:rsid w:val="00783DC3"/>
    <w:rsid w:val="00783DC5"/>
    <w:rsid w:val="00783E44"/>
    <w:rsid w:val="00783FD9"/>
    <w:rsid w:val="00783FDA"/>
    <w:rsid w:val="00784099"/>
    <w:rsid w:val="00784138"/>
    <w:rsid w:val="0078421A"/>
    <w:rsid w:val="00784312"/>
    <w:rsid w:val="007843D3"/>
    <w:rsid w:val="007845C0"/>
    <w:rsid w:val="00784786"/>
    <w:rsid w:val="007847BC"/>
    <w:rsid w:val="00784886"/>
    <w:rsid w:val="007848C4"/>
    <w:rsid w:val="0078490B"/>
    <w:rsid w:val="00784958"/>
    <w:rsid w:val="00784ABE"/>
    <w:rsid w:val="00784AF4"/>
    <w:rsid w:val="00784AF8"/>
    <w:rsid w:val="00784C0A"/>
    <w:rsid w:val="00784CAA"/>
    <w:rsid w:val="00784D88"/>
    <w:rsid w:val="00784DAE"/>
    <w:rsid w:val="00784FD6"/>
    <w:rsid w:val="0078506B"/>
    <w:rsid w:val="007850F3"/>
    <w:rsid w:val="00785185"/>
    <w:rsid w:val="007851DA"/>
    <w:rsid w:val="0078522C"/>
    <w:rsid w:val="00785285"/>
    <w:rsid w:val="0078537A"/>
    <w:rsid w:val="00785385"/>
    <w:rsid w:val="007853ED"/>
    <w:rsid w:val="007855D4"/>
    <w:rsid w:val="007855ED"/>
    <w:rsid w:val="00785796"/>
    <w:rsid w:val="00785836"/>
    <w:rsid w:val="0078587F"/>
    <w:rsid w:val="007858AA"/>
    <w:rsid w:val="00785929"/>
    <w:rsid w:val="00785943"/>
    <w:rsid w:val="00785A0A"/>
    <w:rsid w:val="00785A20"/>
    <w:rsid w:val="00785B2D"/>
    <w:rsid w:val="00785B75"/>
    <w:rsid w:val="00785BAC"/>
    <w:rsid w:val="00785C8B"/>
    <w:rsid w:val="00785C91"/>
    <w:rsid w:val="00785D35"/>
    <w:rsid w:val="00785D68"/>
    <w:rsid w:val="00785DA7"/>
    <w:rsid w:val="00785DC1"/>
    <w:rsid w:val="00785E57"/>
    <w:rsid w:val="00785E69"/>
    <w:rsid w:val="00786051"/>
    <w:rsid w:val="0078608F"/>
    <w:rsid w:val="00786157"/>
    <w:rsid w:val="00786345"/>
    <w:rsid w:val="007863A6"/>
    <w:rsid w:val="007863A8"/>
    <w:rsid w:val="00786465"/>
    <w:rsid w:val="007866B3"/>
    <w:rsid w:val="0078677E"/>
    <w:rsid w:val="00786880"/>
    <w:rsid w:val="007868BB"/>
    <w:rsid w:val="007869BB"/>
    <w:rsid w:val="007869E9"/>
    <w:rsid w:val="00786A1F"/>
    <w:rsid w:val="00786AB3"/>
    <w:rsid w:val="00786AF6"/>
    <w:rsid w:val="00786BEF"/>
    <w:rsid w:val="00786C7D"/>
    <w:rsid w:val="00786C8A"/>
    <w:rsid w:val="00786D25"/>
    <w:rsid w:val="00786DC1"/>
    <w:rsid w:val="00786E10"/>
    <w:rsid w:val="00786EE4"/>
    <w:rsid w:val="00786F54"/>
    <w:rsid w:val="0078702F"/>
    <w:rsid w:val="0078706A"/>
    <w:rsid w:val="0078707B"/>
    <w:rsid w:val="007870B6"/>
    <w:rsid w:val="0078711A"/>
    <w:rsid w:val="0078740F"/>
    <w:rsid w:val="0078743B"/>
    <w:rsid w:val="0078751B"/>
    <w:rsid w:val="0078753B"/>
    <w:rsid w:val="0078764D"/>
    <w:rsid w:val="007877D8"/>
    <w:rsid w:val="007878C3"/>
    <w:rsid w:val="0078792B"/>
    <w:rsid w:val="00787954"/>
    <w:rsid w:val="0078796B"/>
    <w:rsid w:val="007879EF"/>
    <w:rsid w:val="00787A30"/>
    <w:rsid w:val="00787A3B"/>
    <w:rsid w:val="00787A5F"/>
    <w:rsid w:val="00787BB0"/>
    <w:rsid w:val="00787C18"/>
    <w:rsid w:val="00787CD2"/>
    <w:rsid w:val="00787D1B"/>
    <w:rsid w:val="00787D9E"/>
    <w:rsid w:val="00787DC8"/>
    <w:rsid w:val="00787EEB"/>
    <w:rsid w:val="00787FEE"/>
    <w:rsid w:val="00790014"/>
    <w:rsid w:val="0079001D"/>
    <w:rsid w:val="007900C9"/>
    <w:rsid w:val="0079013E"/>
    <w:rsid w:val="007901B5"/>
    <w:rsid w:val="00790248"/>
    <w:rsid w:val="00790284"/>
    <w:rsid w:val="0079030E"/>
    <w:rsid w:val="00790391"/>
    <w:rsid w:val="007903CE"/>
    <w:rsid w:val="00790412"/>
    <w:rsid w:val="00790624"/>
    <w:rsid w:val="00790676"/>
    <w:rsid w:val="00790731"/>
    <w:rsid w:val="0079089C"/>
    <w:rsid w:val="00790B19"/>
    <w:rsid w:val="00790BC5"/>
    <w:rsid w:val="00790BE3"/>
    <w:rsid w:val="00790C41"/>
    <w:rsid w:val="00790C9A"/>
    <w:rsid w:val="00790ED0"/>
    <w:rsid w:val="00790F92"/>
    <w:rsid w:val="00790F93"/>
    <w:rsid w:val="00790F9A"/>
    <w:rsid w:val="0079104A"/>
    <w:rsid w:val="00791146"/>
    <w:rsid w:val="00791150"/>
    <w:rsid w:val="00791167"/>
    <w:rsid w:val="007911BB"/>
    <w:rsid w:val="0079121B"/>
    <w:rsid w:val="00791317"/>
    <w:rsid w:val="007915AA"/>
    <w:rsid w:val="00791692"/>
    <w:rsid w:val="007916B4"/>
    <w:rsid w:val="007916F1"/>
    <w:rsid w:val="00791868"/>
    <w:rsid w:val="007918DA"/>
    <w:rsid w:val="007918FE"/>
    <w:rsid w:val="0079198F"/>
    <w:rsid w:val="00791A35"/>
    <w:rsid w:val="00791B4C"/>
    <w:rsid w:val="00791BBD"/>
    <w:rsid w:val="00791CCA"/>
    <w:rsid w:val="00791E46"/>
    <w:rsid w:val="00791F77"/>
    <w:rsid w:val="00791FFA"/>
    <w:rsid w:val="00792014"/>
    <w:rsid w:val="0079201D"/>
    <w:rsid w:val="00792170"/>
    <w:rsid w:val="00792186"/>
    <w:rsid w:val="007922C9"/>
    <w:rsid w:val="007926AA"/>
    <w:rsid w:val="0079280A"/>
    <w:rsid w:val="0079280D"/>
    <w:rsid w:val="007929B8"/>
    <w:rsid w:val="007929BD"/>
    <w:rsid w:val="00792A11"/>
    <w:rsid w:val="00792ABA"/>
    <w:rsid w:val="00792B86"/>
    <w:rsid w:val="00792BF4"/>
    <w:rsid w:val="00792E2D"/>
    <w:rsid w:val="00792E3D"/>
    <w:rsid w:val="00792E57"/>
    <w:rsid w:val="00792E75"/>
    <w:rsid w:val="00792ECF"/>
    <w:rsid w:val="00792FA1"/>
    <w:rsid w:val="0079300B"/>
    <w:rsid w:val="0079301F"/>
    <w:rsid w:val="00793055"/>
    <w:rsid w:val="007930C9"/>
    <w:rsid w:val="007931B3"/>
    <w:rsid w:val="0079323E"/>
    <w:rsid w:val="0079340F"/>
    <w:rsid w:val="00793416"/>
    <w:rsid w:val="0079356E"/>
    <w:rsid w:val="007935A5"/>
    <w:rsid w:val="0079360D"/>
    <w:rsid w:val="00793663"/>
    <w:rsid w:val="007936A4"/>
    <w:rsid w:val="007936C4"/>
    <w:rsid w:val="007937B2"/>
    <w:rsid w:val="007937F8"/>
    <w:rsid w:val="007938F8"/>
    <w:rsid w:val="00793928"/>
    <w:rsid w:val="00793A54"/>
    <w:rsid w:val="00793BF9"/>
    <w:rsid w:val="00793D32"/>
    <w:rsid w:val="00793DA3"/>
    <w:rsid w:val="00793DFC"/>
    <w:rsid w:val="00793E42"/>
    <w:rsid w:val="00793E8D"/>
    <w:rsid w:val="00793EBF"/>
    <w:rsid w:val="00793FC1"/>
    <w:rsid w:val="00794190"/>
    <w:rsid w:val="007941BF"/>
    <w:rsid w:val="00794275"/>
    <w:rsid w:val="007942E1"/>
    <w:rsid w:val="00794332"/>
    <w:rsid w:val="007943BA"/>
    <w:rsid w:val="00794480"/>
    <w:rsid w:val="007944C6"/>
    <w:rsid w:val="007945B4"/>
    <w:rsid w:val="007945F9"/>
    <w:rsid w:val="0079465E"/>
    <w:rsid w:val="0079469E"/>
    <w:rsid w:val="007946B6"/>
    <w:rsid w:val="00794791"/>
    <w:rsid w:val="00794826"/>
    <w:rsid w:val="007948AA"/>
    <w:rsid w:val="007948DD"/>
    <w:rsid w:val="00794907"/>
    <w:rsid w:val="007949D6"/>
    <w:rsid w:val="00794A8A"/>
    <w:rsid w:val="00794A98"/>
    <w:rsid w:val="00794B40"/>
    <w:rsid w:val="00794BC2"/>
    <w:rsid w:val="00794C40"/>
    <w:rsid w:val="00794C44"/>
    <w:rsid w:val="00794D07"/>
    <w:rsid w:val="00794D24"/>
    <w:rsid w:val="00794D37"/>
    <w:rsid w:val="00794DAC"/>
    <w:rsid w:val="00794E84"/>
    <w:rsid w:val="00794F17"/>
    <w:rsid w:val="00794F34"/>
    <w:rsid w:val="00794F3C"/>
    <w:rsid w:val="00794FE0"/>
    <w:rsid w:val="007950A2"/>
    <w:rsid w:val="0079517C"/>
    <w:rsid w:val="00795185"/>
    <w:rsid w:val="0079519B"/>
    <w:rsid w:val="0079527C"/>
    <w:rsid w:val="00795291"/>
    <w:rsid w:val="00795317"/>
    <w:rsid w:val="00795339"/>
    <w:rsid w:val="00795440"/>
    <w:rsid w:val="007956C2"/>
    <w:rsid w:val="007957AC"/>
    <w:rsid w:val="007957CE"/>
    <w:rsid w:val="007957DA"/>
    <w:rsid w:val="00795817"/>
    <w:rsid w:val="00795838"/>
    <w:rsid w:val="00795871"/>
    <w:rsid w:val="00795883"/>
    <w:rsid w:val="007959B8"/>
    <w:rsid w:val="00795A58"/>
    <w:rsid w:val="00795B2A"/>
    <w:rsid w:val="00795B6A"/>
    <w:rsid w:val="00795BAE"/>
    <w:rsid w:val="00795C2C"/>
    <w:rsid w:val="00795C8E"/>
    <w:rsid w:val="00795E2A"/>
    <w:rsid w:val="00795E96"/>
    <w:rsid w:val="00795EDB"/>
    <w:rsid w:val="00795F41"/>
    <w:rsid w:val="00795FC7"/>
    <w:rsid w:val="00795FD4"/>
    <w:rsid w:val="00796080"/>
    <w:rsid w:val="00796136"/>
    <w:rsid w:val="007961E1"/>
    <w:rsid w:val="00796202"/>
    <w:rsid w:val="007964A2"/>
    <w:rsid w:val="00796510"/>
    <w:rsid w:val="00796601"/>
    <w:rsid w:val="00796605"/>
    <w:rsid w:val="0079662A"/>
    <w:rsid w:val="00796699"/>
    <w:rsid w:val="00796785"/>
    <w:rsid w:val="0079685A"/>
    <w:rsid w:val="00796931"/>
    <w:rsid w:val="007969CF"/>
    <w:rsid w:val="00796AD9"/>
    <w:rsid w:val="00796BAF"/>
    <w:rsid w:val="00796D95"/>
    <w:rsid w:val="00796E26"/>
    <w:rsid w:val="00796E54"/>
    <w:rsid w:val="00796FB5"/>
    <w:rsid w:val="00796FCA"/>
    <w:rsid w:val="0079724B"/>
    <w:rsid w:val="007972CE"/>
    <w:rsid w:val="0079730A"/>
    <w:rsid w:val="00797367"/>
    <w:rsid w:val="007973D1"/>
    <w:rsid w:val="007973EF"/>
    <w:rsid w:val="00797517"/>
    <w:rsid w:val="0079755B"/>
    <w:rsid w:val="00797786"/>
    <w:rsid w:val="00797849"/>
    <w:rsid w:val="0079798F"/>
    <w:rsid w:val="007979C4"/>
    <w:rsid w:val="00797C63"/>
    <w:rsid w:val="00797DE6"/>
    <w:rsid w:val="00797DEE"/>
    <w:rsid w:val="00797E9C"/>
    <w:rsid w:val="007A0006"/>
    <w:rsid w:val="007A0276"/>
    <w:rsid w:val="007A0345"/>
    <w:rsid w:val="007A03AD"/>
    <w:rsid w:val="007A044A"/>
    <w:rsid w:val="007A04A0"/>
    <w:rsid w:val="007A04E8"/>
    <w:rsid w:val="007A0544"/>
    <w:rsid w:val="007A062C"/>
    <w:rsid w:val="007A0760"/>
    <w:rsid w:val="007A07D7"/>
    <w:rsid w:val="007A0822"/>
    <w:rsid w:val="007A08CB"/>
    <w:rsid w:val="007A0990"/>
    <w:rsid w:val="007A09DC"/>
    <w:rsid w:val="007A0A4F"/>
    <w:rsid w:val="007A0A9E"/>
    <w:rsid w:val="007A0AE6"/>
    <w:rsid w:val="007A0C1C"/>
    <w:rsid w:val="007A0D9E"/>
    <w:rsid w:val="007A0F03"/>
    <w:rsid w:val="007A0F41"/>
    <w:rsid w:val="007A0F86"/>
    <w:rsid w:val="007A0FE2"/>
    <w:rsid w:val="007A1038"/>
    <w:rsid w:val="007A103A"/>
    <w:rsid w:val="007A1079"/>
    <w:rsid w:val="007A10BE"/>
    <w:rsid w:val="007A1157"/>
    <w:rsid w:val="007A1203"/>
    <w:rsid w:val="007A12B2"/>
    <w:rsid w:val="007A12D1"/>
    <w:rsid w:val="007A12E7"/>
    <w:rsid w:val="007A13EC"/>
    <w:rsid w:val="007A140C"/>
    <w:rsid w:val="007A1415"/>
    <w:rsid w:val="007A14CE"/>
    <w:rsid w:val="007A1528"/>
    <w:rsid w:val="007A1530"/>
    <w:rsid w:val="007A15C1"/>
    <w:rsid w:val="007A15F5"/>
    <w:rsid w:val="007A1633"/>
    <w:rsid w:val="007A16D5"/>
    <w:rsid w:val="007A1737"/>
    <w:rsid w:val="007A177C"/>
    <w:rsid w:val="007A178B"/>
    <w:rsid w:val="007A17E7"/>
    <w:rsid w:val="007A18E0"/>
    <w:rsid w:val="007A1BB9"/>
    <w:rsid w:val="007A1C7C"/>
    <w:rsid w:val="007A1D22"/>
    <w:rsid w:val="007A20D6"/>
    <w:rsid w:val="007A21C3"/>
    <w:rsid w:val="007A2204"/>
    <w:rsid w:val="007A2212"/>
    <w:rsid w:val="007A2218"/>
    <w:rsid w:val="007A226B"/>
    <w:rsid w:val="007A22AA"/>
    <w:rsid w:val="007A2376"/>
    <w:rsid w:val="007A2410"/>
    <w:rsid w:val="007A2424"/>
    <w:rsid w:val="007A24BE"/>
    <w:rsid w:val="007A24F4"/>
    <w:rsid w:val="007A259D"/>
    <w:rsid w:val="007A2634"/>
    <w:rsid w:val="007A26B4"/>
    <w:rsid w:val="007A26FC"/>
    <w:rsid w:val="007A2791"/>
    <w:rsid w:val="007A281D"/>
    <w:rsid w:val="007A28CE"/>
    <w:rsid w:val="007A29E9"/>
    <w:rsid w:val="007A2A15"/>
    <w:rsid w:val="007A2A26"/>
    <w:rsid w:val="007A2AAF"/>
    <w:rsid w:val="007A2AE7"/>
    <w:rsid w:val="007A2B55"/>
    <w:rsid w:val="007A2B61"/>
    <w:rsid w:val="007A2C44"/>
    <w:rsid w:val="007A2C4E"/>
    <w:rsid w:val="007A2D21"/>
    <w:rsid w:val="007A2D4E"/>
    <w:rsid w:val="007A2DEA"/>
    <w:rsid w:val="007A2DEE"/>
    <w:rsid w:val="007A2E49"/>
    <w:rsid w:val="007A2ED1"/>
    <w:rsid w:val="007A2FC8"/>
    <w:rsid w:val="007A306B"/>
    <w:rsid w:val="007A30A7"/>
    <w:rsid w:val="007A30E2"/>
    <w:rsid w:val="007A3159"/>
    <w:rsid w:val="007A3166"/>
    <w:rsid w:val="007A31C6"/>
    <w:rsid w:val="007A31FB"/>
    <w:rsid w:val="007A3373"/>
    <w:rsid w:val="007A3445"/>
    <w:rsid w:val="007A34B3"/>
    <w:rsid w:val="007A3557"/>
    <w:rsid w:val="007A35B1"/>
    <w:rsid w:val="007A387D"/>
    <w:rsid w:val="007A3892"/>
    <w:rsid w:val="007A396D"/>
    <w:rsid w:val="007A3977"/>
    <w:rsid w:val="007A3C01"/>
    <w:rsid w:val="007A3D76"/>
    <w:rsid w:val="007A3DAC"/>
    <w:rsid w:val="007A3E78"/>
    <w:rsid w:val="007A3EE3"/>
    <w:rsid w:val="007A3EF9"/>
    <w:rsid w:val="007A3F22"/>
    <w:rsid w:val="007A3FBB"/>
    <w:rsid w:val="007A400E"/>
    <w:rsid w:val="007A4115"/>
    <w:rsid w:val="007A4143"/>
    <w:rsid w:val="007A41E2"/>
    <w:rsid w:val="007A42A1"/>
    <w:rsid w:val="007A42C3"/>
    <w:rsid w:val="007A4342"/>
    <w:rsid w:val="007A4431"/>
    <w:rsid w:val="007A45ED"/>
    <w:rsid w:val="007A46A7"/>
    <w:rsid w:val="007A46F3"/>
    <w:rsid w:val="007A4792"/>
    <w:rsid w:val="007A47D8"/>
    <w:rsid w:val="007A4847"/>
    <w:rsid w:val="007A4894"/>
    <w:rsid w:val="007A49BF"/>
    <w:rsid w:val="007A4AFE"/>
    <w:rsid w:val="007A4B62"/>
    <w:rsid w:val="007A4CB9"/>
    <w:rsid w:val="007A4E53"/>
    <w:rsid w:val="007A4E57"/>
    <w:rsid w:val="007A4E62"/>
    <w:rsid w:val="007A4EAD"/>
    <w:rsid w:val="007A50EB"/>
    <w:rsid w:val="007A5109"/>
    <w:rsid w:val="007A517D"/>
    <w:rsid w:val="007A5223"/>
    <w:rsid w:val="007A52C9"/>
    <w:rsid w:val="007A53A2"/>
    <w:rsid w:val="007A53DA"/>
    <w:rsid w:val="007A5416"/>
    <w:rsid w:val="007A548F"/>
    <w:rsid w:val="007A5588"/>
    <w:rsid w:val="007A55BE"/>
    <w:rsid w:val="007A5618"/>
    <w:rsid w:val="007A5719"/>
    <w:rsid w:val="007A5721"/>
    <w:rsid w:val="007A5783"/>
    <w:rsid w:val="007A5875"/>
    <w:rsid w:val="007A592D"/>
    <w:rsid w:val="007A596D"/>
    <w:rsid w:val="007A5A35"/>
    <w:rsid w:val="007A5BAB"/>
    <w:rsid w:val="007A5BC4"/>
    <w:rsid w:val="007A5D93"/>
    <w:rsid w:val="007A5EAF"/>
    <w:rsid w:val="007A5EED"/>
    <w:rsid w:val="007A60B0"/>
    <w:rsid w:val="007A6124"/>
    <w:rsid w:val="007A6318"/>
    <w:rsid w:val="007A63BE"/>
    <w:rsid w:val="007A63CF"/>
    <w:rsid w:val="007A647B"/>
    <w:rsid w:val="007A657A"/>
    <w:rsid w:val="007A6588"/>
    <w:rsid w:val="007A65B4"/>
    <w:rsid w:val="007A6653"/>
    <w:rsid w:val="007A66C0"/>
    <w:rsid w:val="007A66CB"/>
    <w:rsid w:val="007A6803"/>
    <w:rsid w:val="007A6879"/>
    <w:rsid w:val="007A68CB"/>
    <w:rsid w:val="007A69D4"/>
    <w:rsid w:val="007A6AA4"/>
    <w:rsid w:val="007A6B32"/>
    <w:rsid w:val="007A6C0A"/>
    <w:rsid w:val="007A6C55"/>
    <w:rsid w:val="007A6C80"/>
    <w:rsid w:val="007A6CA1"/>
    <w:rsid w:val="007A6D49"/>
    <w:rsid w:val="007A6E06"/>
    <w:rsid w:val="007A6E1B"/>
    <w:rsid w:val="007A6F47"/>
    <w:rsid w:val="007A6FB2"/>
    <w:rsid w:val="007A7008"/>
    <w:rsid w:val="007A7029"/>
    <w:rsid w:val="007A7030"/>
    <w:rsid w:val="007A704E"/>
    <w:rsid w:val="007A7105"/>
    <w:rsid w:val="007A721A"/>
    <w:rsid w:val="007A74F2"/>
    <w:rsid w:val="007A7537"/>
    <w:rsid w:val="007A7971"/>
    <w:rsid w:val="007A7A06"/>
    <w:rsid w:val="007A7AD0"/>
    <w:rsid w:val="007A7B7E"/>
    <w:rsid w:val="007A7B81"/>
    <w:rsid w:val="007A7BAD"/>
    <w:rsid w:val="007A7C80"/>
    <w:rsid w:val="007A7D22"/>
    <w:rsid w:val="007A7E1F"/>
    <w:rsid w:val="007A7EA6"/>
    <w:rsid w:val="007A7F34"/>
    <w:rsid w:val="007A7F68"/>
    <w:rsid w:val="007B0008"/>
    <w:rsid w:val="007B013C"/>
    <w:rsid w:val="007B018D"/>
    <w:rsid w:val="007B01DC"/>
    <w:rsid w:val="007B0261"/>
    <w:rsid w:val="007B0268"/>
    <w:rsid w:val="007B030C"/>
    <w:rsid w:val="007B0359"/>
    <w:rsid w:val="007B039E"/>
    <w:rsid w:val="007B03D7"/>
    <w:rsid w:val="007B0407"/>
    <w:rsid w:val="007B046C"/>
    <w:rsid w:val="007B04CE"/>
    <w:rsid w:val="007B04F2"/>
    <w:rsid w:val="007B0506"/>
    <w:rsid w:val="007B05B4"/>
    <w:rsid w:val="007B071F"/>
    <w:rsid w:val="007B08E1"/>
    <w:rsid w:val="007B092C"/>
    <w:rsid w:val="007B0A98"/>
    <w:rsid w:val="007B0A9C"/>
    <w:rsid w:val="007B0B10"/>
    <w:rsid w:val="007B0BC3"/>
    <w:rsid w:val="007B0C6A"/>
    <w:rsid w:val="007B0D85"/>
    <w:rsid w:val="007B0D8D"/>
    <w:rsid w:val="007B0E06"/>
    <w:rsid w:val="007B0E7B"/>
    <w:rsid w:val="007B0EC4"/>
    <w:rsid w:val="007B0FF1"/>
    <w:rsid w:val="007B1171"/>
    <w:rsid w:val="007B117E"/>
    <w:rsid w:val="007B11F5"/>
    <w:rsid w:val="007B1217"/>
    <w:rsid w:val="007B124C"/>
    <w:rsid w:val="007B13FC"/>
    <w:rsid w:val="007B146C"/>
    <w:rsid w:val="007B14F6"/>
    <w:rsid w:val="007B152C"/>
    <w:rsid w:val="007B1709"/>
    <w:rsid w:val="007B1758"/>
    <w:rsid w:val="007B18C5"/>
    <w:rsid w:val="007B1904"/>
    <w:rsid w:val="007B197B"/>
    <w:rsid w:val="007B1988"/>
    <w:rsid w:val="007B199B"/>
    <w:rsid w:val="007B1A02"/>
    <w:rsid w:val="007B1ADE"/>
    <w:rsid w:val="007B1BA0"/>
    <w:rsid w:val="007B1D51"/>
    <w:rsid w:val="007B1D53"/>
    <w:rsid w:val="007B1E5F"/>
    <w:rsid w:val="007B1F35"/>
    <w:rsid w:val="007B2081"/>
    <w:rsid w:val="007B2104"/>
    <w:rsid w:val="007B21D7"/>
    <w:rsid w:val="007B2268"/>
    <w:rsid w:val="007B227B"/>
    <w:rsid w:val="007B2372"/>
    <w:rsid w:val="007B23A1"/>
    <w:rsid w:val="007B23B6"/>
    <w:rsid w:val="007B23FC"/>
    <w:rsid w:val="007B24A3"/>
    <w:rsid w:val="007B255A"/>
    <w:rsid w:val="007B2677"/>
    <w:rsid w:val="007B2712"/>
    <w:rsid w:val="007B27C1"/>
    <w:rsid w:val="007B2874"/>
    <w:rsid w:val="007B28BE"/>
    <w:rsid w:val="007B2A0A"/>
    <w:rsid w:val="007B2A3E"/>
    <w:rsid w:val="007B2C3C"/>
    <w:rsid w:val="007B2CC9"/>
    <w:rsid w:val="007B2D89"/>
    <w:rsid w:val="007B2EEC"/>
    <w:rsid w:val="007B33B7"/>
    <w:rsid w:val="007B33EB"/>
    <w:rsid w:val="007B3438"/>
    <w:rsid w:val="007B3475"/>
    <w:rsid w:val="007B34CE"/>
    <w:rsid w:val="007B354B"/>
    <w:rsid w:val="007B355E"/>
    <w:rsid w:val="007B3639"/>
    <w:rsid w:val="007B3687"/>
    <w:rsid w:val="007B3779"/>
    <w:rsid w:val="007B37DD"/>
    <w:rsid w:val="007B37E8"/>
    <w:rsid w:val="007B37EE"/>
    <w:rsid w:val="007B381C"/>
    <w:rsid w:val="007B38F2"/>
    <w:rsid w:val="007B3948"/>
    <w:rsid w:val="007B3972"/>
    <w:rsid w:val="007B39DF"/>
    <w:rsid w:val="007B3AA3"/>
    <w:rsid w:val="007B3AD4"/>
    <w:rsid w:val="007B3B45"/>
    <w:rsid w:val="007B3C37"/>
    <w:rsid w:val="007B3D39"/>
    <w:rsid w:val="007B3D51"/>
    <w:rsid w:val="007B3D93"/>
    <w:rsid w:val="007B3E40"/>
    <w:rsid w:val="007B3F14"/>
    <w:rsid w:val="007B3F99"/>
    <w:rsid w:val="007B414A"/>
    <w:rsid w:val="007B418C"/>
    <w:rsid w:val="007B4281"/>
    <w:rsid w:val="007B4291"/>
    <w:rsid w:val="007B4292"/>
    <w:rsid w:val="007B42C3"/>
    <w:rsid w:val="007B43D5"/>
    <w:rsid w:val="007B4529"/>
    <w:rsid w:val="007B4558"/>
    <w:rsid w:val="007B459B"/>
    <w:rsid w:val="007B4781"/>
    <w:rsid w:val="007B4841"/>
    <w:rsid w:val="007B48F6"/>
    <w:rsid w:val="007B4902"/>
    <w:rsid w:val="007B4977"/>
    <w:rsid w:val="007B49F9"/>
    <w:rsid w:val="007B4AFB"/>
    <w:rsid w:val="007B4B05"/>
    <w:rsid w:val="007B4B76"/>
    <w:rsid w:val="007B4C36"/>
    <w:rsid w:val="007B4D9C"/>
    <w:rsid w:val="007B4E8E"/>
    <w:rsid w:val="007B4F51"/>
    <w:rsid w:val="007B4FE9"/>
    <w:rsid w:val="007B51C1"/>
    <w:rsid w:val="007B5212"/>
    <w:rsid w:val="007B5326"/>
    <w:rsid w:val="007B538C"/>
    <w:rsid w:val="007B53A2"/>
    <w:rsid w:val="007B53A7"/>
    <w:rsid w:val="007B5413"/>
    <w:rsid w:val="007B5656"/>
    <w:rsid w:val="007B56E3"/>
    <w:rsid w:val="007B5776"/>
    <w:rsid w:val="007B5777"/>
    <w:rsid w:val="007B5799"/>
    <w:rsid w:val="007B58FB"/>
    <w:rsid w:val="007B5997"/>
    <w:rsid w:val="007B5A01"/>
    <w:rsid w:val="007B5A36"/>
    <w:rsid w:val="007B5B8D"/>
    <w:rsid w:val="007B5C14"/>
    <w:rsid w:val="007B5C2B"/>
    <w:rsid w:val="007B5CB6"/>
    <w:rsid w:val="007B5DBA"/>
    <w:rsid w:val="007B5E1A"/>
    <w:rsid w:val="007B5E5F"/>
    <w:rsid w:val="007B5EC7"/>
    <w:rsid w:val="007B5F7A"/>
    <w:rsid w:val="007B5F97"/>
    <w:rsid w:val="007B5FBC"/>
    <w:rsid w:val="007B6095"/>
    <w:rsid w:val="007B60B8"/>
    <w:rsid w:val="007B610A"/>
    <w:rsid w:val="007B618E"/>
    <w:rsid w:val="007B626E"/>
    <w:rsid w:val="007B62ED"/>
    <w:rsid w:val="007B633B"/>
    <w:rsid w:val="007B653C"/>
    <w:rsid w:val="007B66A3"/>
    <w:rsid w:val="007B6754"/>
    <w:rsid w:val="007B6818"/>
    <w:rsid w:val="007B683C"/>
    <w:rsid w:val="007B68A2"/>
    <w:rsid w:val="007B6A9E"/>
    <w:rsid w:val="007B6C69"/>
    <w:rsid w:val="007B6D06"/>
    <w:rsid w:val="007B6D9E"/>
    <w:rsid w:val="007B6DF6"/>
    <w:rsid w:val="007B6EDD"/>
    <w:rsid w:val="007B6F18"/>
    <w:rsid w:val="007B6F9A"/>
    <w:rsid w:val="007B7026"/>
    <w:rsid w:val="007B70D9"/>
    <w:rsid w:val="007B726A"/>
    <w:rsid w:val="007B731A"/>
    <w:rsid w:val="007B7371"/>
    <w:rsid w:val="007B7377"/>
    <w:rsid w:val="007B73A0"/>
    <w:rsid w:val="007B73EE"/>
    <w:rsid w:val="007B7452"/>
    <w:rsid w:val="007B7491"/>
    <w:rsid w:val="007B74B8"/>
    <w:rsid w:val="007B76AB"/>
    <w:rsid w:val="007B76FB"/>
    <w:rsid w:val="007B77C4"/>
    <w:rsid w:val="007B786B"/>
    <w:rsid w:val="007B7926"/>
    <w:rsid w:val="007B7A57"/>
    <w:rsid w:val="007B7A9D"/>
    <w:rsid w:val="007B7AFE"/>
    <w:rsid w:val="007B7B82"/>
    <w:rsid w:val="007B7C1F"/>
    <w:rsid w:val="007B7E45"/>
    <w:rsid w:val="007B7E84"/>
    <w:rsid w:val="007B7F36"/>
    <w:rsid w:val="007B7F5B"/>
    <w:rsid w:val="007C009E"/>
    <w:rsid w:val="007C00DA"/>
    <w:rsid w:val="007C0125"/>
    <w:rsid w:val="007C0169"/>
    <w:rsid w:val="007C024A"/>
    <w:rsid w:val="007C02C4"/>
    <w:rsid w:val="007C02DD"/>
    <w:rsid w:val="007C0319"/>
    <w:rsid w:val="007C0360"/>
    <w:rsid w:val="007C0414"/>
    <w:rsid w:val="007C047A"/>
    <w:rsid w:val="007C05EA"/>
    <w:rsid w:val="007C0657"/>
    <w:rsid w:val="007C080A"/>
    <w:rsid w:val="007C088F"/>
    <w:rsid w:val="007C09AA"/>
    <w:rsid w:val="007C0A34"/>
    <w:rsid w:val="007C0B02"/>
    <w:rsid w:val="007C0B36"/>
    <w:rsid w:val="007C0BEA"/>
    <w:rsid w:val="007C0C17"/>
    <w:rsid w:val="007C0C71"/>
    <w:rsid w:val="007C0D75"/>
    <w:rsid w:val="007C0E5B"/>
    <w:rsid w:val="007C0EFC"/>
    <w:rsid w:val="007C0FE6"/>
    <w:rsid w:val="007C0FF0"/>
    <w:rsid w:val="007C1062"/>
    <w:rsid w:val="007C108D"/>
    <w:rsid w:val="007C1188"/>
    <w:rsid w:val="007C11B9"/>
    <w:rsid w:val="007C11D4"/>
    <w:rsid w:val="007C122F"/>
    <w:rsid w:val="007C141D"/>
    <w:rsid w:val="007C1431"/>
    <w:rsid w:val="007C1601"/>
    <w:rsid w:val="007C18CC"/>
    <w:rsid w:val="007C1976"/>
    <w:rsid w:val="007C19F7"/>
    <w:rsid w:val="007C1B53"/>
    <w:rsid w:val="007C1C0A"/>
    <w:rsid w:val="007C1C81"/>
    <w:rsid w:val="007C1CDB"/>
    <w:rsid w:val="007C1D94"/>
    <w:rsid w:val="007C1DB6"/>
    <w:rsid w:val="007C1E41"/>
    <w:rsid w:val="007C1E7E"/>
    <w:rsid w:val="007C1F8C"/>
    <w:rsid w:val="007C209E"/>
    <w:rsid w:val="007C20BA"/>
    <w:rsid w:val="007C22C6"/>
    <w:rsid w:val="007C23A3"/>
    <w:rsid w:val="007C23C1"/>
    <w:rsid w:val="007C2457"/>
    <w:rsid w:val="007C24C9"/>
    <w:rsid w:val="007C24D5"/>
    <w:rsid w:val="007C2568"/>
    <w:rsid w:val="007C25A5"/>
    <w:rsid w:val="007C25FE"/>
    <w:rsid w:val="007C2765"/>
    <w:rsid w:val="007C298D"/>
    <w:rsid w:val="007C2A28"/>
    <w:rsid w:val="007C2C73"/>
    <w:rsid w:val="007C2C82"/>
    <w:rsid w:val="007C2D20"/>
    <w:rsid w:val="007C2E25"/>
    <w:rsid w:val="007C2EB4"/>
    <w:rsid w:val="007C2EEB"/>
    <w:rsid w:val="007C2F2D"/>
    <w:rsid w:val="007C2F4E"/>
    <w:rsid w:val="007C2FAB"/>
    <w:rsid w:val="007C2FC5"/>
    <w:rsid w:val="007C2FCD"/>
    <w:rsid w:val="007C30EA"/>
    <w:rsid w:val="007C30F9"/>
    <w:rsid w:val="007C3122"/>
    <w:rsid w:val="007C315B"/>
    <w:rsid w:val="007C3249"/>
    <w:rsid w:val="007C3324"/>
    <w:rsid w:val="007C3391"/>
    <w:rsid w:val="007C33A6"/>
    <w:rsid w:val="007C33DD"/>
    <w:rsid w:val="007C33F0"/>
    <w:rsid w:val="007C34E6"/>
    <w:rsid w:val="007C36E7"/>
    <w:rsid w:val="007C3918"/>
    <w:rsid w:val="007C3B1C"/>
    <w:rsid w:val="007C3BC4"/>
    <w:rsid w:val="007C3DDE"/>
    <w:rsid w:val="007C3E52"/>
    <w:rsid w:val="007C3F41"/>
    <w:rsid w:val="007C3F5D"/>
    <w:rsid w:val="007C403F"/>
    <w:rsid w:val="007C4086"/>
    <w:rsid w:val="007C4094"/>
    <w:rsid w:val="007C413B"/>
    <w:rsid w:val="007C413E"/>
    <w:rsid w:val="007C416C"/>
    <w:rsid w:val="007C41EC"/>
    <w:rsid w:val="007C43AC"/>
    <w:rsid w:val="007C43E8"/>
    <w:rsid w:val="007C4423"/>
    <w:rsid w:val="007C44A8"/>
    <w:rsid w:val="007C44CC"/>
    <w:rsid w:val="007C44D5"/>
    <w:rsid w:val="007C4553"/>
    <w:rsid w:val="007C460D"/>
    <w:rsid w:val="007C4696"/>
    <w:rsid w:val="007C471E"/>
    <w:rsid w:val="007C474E"/>
    <w:rsid w:val="007C4773"/>
    <w:rsid w:val="007C47DB"/>
    <w:rsid w:val="007C4822"/>
    <w:rsid w:val="007C48BD"/>
    <w:rsid w:val="007C48BE"/>
    <w:rsid w:val="007C48F5"/>
    <w:rsid w:val="007C4921"/>
    <w:rsid w:val="007C494E"/>
    <w:rsid w:val="007C495C"/>
    <w:rsid w:val="007C49C6"/>
    <w:rsid w:val="007C49CA"/>
    <w:rsid w:val="007C4A15"/>
    <w:rsid w:val="007C4BB6"/>
    <w:rsid w:val="007C4BD4"/>
    <w:rsid w:val="007C4C31"/>
    <w:rsid w:val="007C4C55"/>
    <w:rsid w:val="007C4CD7"/>
    <w:rsid w:val="007C4D0B"/>
    <w:rsid w:val="007C4D0D"/>
    <w:rsid w:val="007C4E42"/>
    <w:rsid w:val="007C4F0A"/>
    <w:rsid w:val="007C4F3F"/>
    <w:rsid w:val="007C4F43"/>
    <w:rsid w:val="007C4F9F"/>
    <w:rsid w:val="007C5014"/>
    <w:rsid w:val="007C505A"/>
    <w:rsid w:val="007C5124"/>
    <w:rsid w:val="007C519A"/>
    <w:rsid w:val="007C5287"/>
    <w:rsid w:val="007C551E"/>
    <w:rsid w:val="007C555D"/>
    <w:rsid w:val="007C55EE"/>
    <w:rsid w:val="007C55F6"/>
    <w:rsid w:val="007C5601"/>
    <w:rsid w:val="007C566B"/>
    <w:rsid w:val="007C56AB"/>
    <w:rsid w:val="007C571F"/>
    <w:rsid w:val="007C5743"/>
    <w:rsid w:val="007C577B"/>
    <w:rsid w:val="007C57C9"/>
    <w:rsid w:val="007C594C"/>
    <w:rsid w:val="007C59A8"/>
    <w:rsid w:val="007C5A60"/>
    <w:rsid w:val="007C5B1A"/>
    <w:rsid w:val="007C5B3E"/>
    <w:rsid w:val="007C5BBE"/>
    <w:rsid w:val="007C5BF5"/>
    <w:rsid w:val="007C5CAC"/>
    <w:rsid w:val="007C5CDF"/>
    <w:rsid w:val="007C5D1C"/>
    <w:rsid w:val="007C5D4C"/>
    <w:rsid w:val="007C5DC6"/>
    <w:rsid w:val="007C5DE0"/>
    <w:rsid w:val="007C5E80"/>
    <w:rsid w:val="007C5E83"/>
    <w:rsid w:val="007C5EA8"/>
    <w:rsid w:val="007C5FAB"/>
    <w:rsid w:val="007C5FBB"/>
    <w:rsid w:val="007C6038"/>
    <w:rsid w:val="007C616A"/>
    <w:rsid w:val="007C61A9"/>
    <w:rsid w:val="007C622E"/>
    <w:rsid w:val="007C6349"/>
    <w:rsid w:val="007C638F"/>
    <w:rsid w:val="007C63D4"/>
    <w:rsid w:val="007C63ED"/>
    <w:rsid w:val="007C6415"/>
    <w:rsid w:val="007C660F"/>
    <w:rsid w:val="007C6707"/>
    <w:rsid w:val="007C675C"/>
    <w:rsid w:val="007C67BA"/>
    <w:rsid w:val="007C67D2"/>
    <w:rsid w:val="007C67D4"/>
    <w:rsid w:val="007C6807"/>
    <w:rsid w:val="007C689E"/>
    <w:rsid w:val="007C68A9"/>
    <w:rsid w:val="007C68EB"/>
    <w:rsid w:val="007C6AFF"/>
    <w:rsid w:val="007C6B3C"/>
    <w:rsid w:val="007C6C52"/>
    <w:rsid w:val="007C6C82"/>
    <w:rsid w:val="007C6CCE"/>
    <w:rsid w:val="007C6E60"/>
    <w:rsid w:val="007C6EF8"/>
    <w:rsid w:val="007C702E"/>
    <w:rsid w:val="007C7063"/>
    <w:rsid w:val="007C7077"/>
    <w:rsid w:val="007C7095"/>
    <w:rsid w:val="007C7273"/>
    <w:rsid w:val="007C73A2"/>
    <w:rsid w:val="007C740B"/>
    <w:rsid w:val="007C7417"/>
    <w:rsid w:val="007C7441"/>
    <w:rsid w:val="007C75F5"/>
    <w:rsid w:val="007C76CF"/>
    <w:rsid w:val="007C77DB"/>
    <w:rsid w:val="007C77DD"/>
    <w:rsid w:val="007C782D"/>
    <w:rsid w:val="007C789A"/>
    <w:rsid w:val="007C78E1"/>
    <w:rsid w:val="007C7A91"/>
    <w:rsid w:val="007C7ABE"/>
    <w:rsid w:val="007C7AC4"/>
    <w:rsid w:val="007C7C33"/>
    <w:rsid w:val="007C7C60"/>
    <w:rsid w:val="007C7DCB"/>
    <w:rsid w:val="007C7E44"/>
    <w:rsid w:val="007C7E61"/>
    <w:rsid w:val="007C7FEA"/>
    <w:rsid w:val="007D00CE"/>
    <w:rsid w:val="007D010F"/>
    <w:rsid w:val="007D0250"/>
    <w:rsid w:val="007D0305"/>
    <w:rsid w:val="007D0388"/>
    <w:rsid w:val="007D03D0"/>
    <w:rsid w:val="007D0415"/>
    <w:rsid w:val="007D04AA"/>
    <w:rsid w:val="007D0513"/>
    <w:rsid w:val="007D0547"/>
    <w:rsid w:val="007D0566"/>
    <w:rsid w:val="007D05F2"/>
    <w:rsid w:val="007D0607"/>
    <w:rsid w:val="007D0737"/>
    <w:rsid w:val="007D0746"/>
    <w:rsid w:val="007D08BC"/>
    <w:rsid w:val="007D0912"/>
    <w:rsid w:val="007D0943"/>
    <w:rsid w:val="007D097D"/>
    <w:rsid w:val="007D09C2"/>
    <w:rsid w:val="007D09E6"/>
    <w:rsid w:val="007D09FA"/>
    <w:rsid w:val="007D0A7F"/>
    <w:rsid w:val="007D0AC8"/>
    <w:rsid w:val="007D0AF4"/>
    <w:rsid w:val="007D0CBB"/>
    <w:rsid w:val="007D0DB1"/>
    <w:rsid w:val="007D0E02"/>
    <w:rsid w:val="007D0EBC"/>
    <w:rsid w:val="007D0F66"/>
    <w:rsid w:val="007D0F6D"/>
    <w:rsid w:val="007D0FFC"/>
    <w:rsid w:val="007D122B"/>
    <w:rsid w:val="007D1246"/>
    <w:rsid w:val="007D1318"/>
    <w:rsid w:val="007D1398"/>
    <w:rsid w:val="007D139D"/>
    <w:rsid w:val="007D1579"/>
    <w:rsid w:val="007D15E0"/>
    <w:rsid w:val="007D16AB"/>
    <w:rsid w:val="007D170C"/>
    <w:rsid w:val="007D17D5"/>
    <w:rsid w:val="007D18E9"/>
    <w:rsid w:val="007D18F4"/>
    <w:rsid w:val="007D1954"/>
    <w:rsid w:val="007D1A71"/>
    <w:rsid w:val="007D1A73"/>
    <w:rsid w:val="007D1A81"/>
    <w:rsid w:val="007D1BD1"/>
    <w:rsid w:val="007D1C28"/>
    <w:rsid w:val="007D1C41"/>
    <w:rsid w:val="007D1C4D"/>
    <w:rsid w:val="007D1CB6"/>
    <w:rsid w:val="007D1F64"/>
    <w:rsid w:val="007D1FAB"/>
    <w:rsid w:val="007D200F"/>
    <w:rsid w:val="007D2094"/>
    <w:rsid w:val="007D2169"/>
    <w:rsid w:val="007D2451"/>
    <w:rsid w:val="007D24F3"/>
    <w:rsid w:val="007D2824"/>
    <w:rsid w:val="007D294C"/>
    <w:rsid w:val="007D2981"/>
    <w:rsid w:val="007D2A1F"/>
    <w:rsid w:val="007D2AE6"/>
    <w:rsid w:val="007D2C07"/>
    <w:rsid w:val="007D2E11"/>
    <w:rsid w:val="007D2EBF"/>
    <w:rsid w:val="007D2EF8"/>
    <w:rsid w:val="007D2F3A"/>
    <w:rsid w:val="007D2F76"/>
    <w:rsid w:val="007D2FDB"/>
    <w:rsid w:val="007D303F"/>
    <w:rsid w:val="007D310A"/>
    <w:rsid w:val="007D3227"/>
    <w:rsid w:val="007D331F"/>
    <w:rsid w:val="007D3374"/>
    <w:rsid w:val="007D3455"/>
    <w:rsid w:val="007D347D"/>
    <w:rsid w:val="007D3495"/>
    <w:rsid w:val="007D34B2"/>
    <w:rsid w:val="007D372C"/>
    <w:rsid w:val="007D3821"/>
    <w:rsid w:val="007D3823"/>
    <w:rsid w:val="007D3956"/>
    <w:rsid w:val="007D395E"/>
    <w:rsid w:val="007D3A17"/>
    <w:rsid w:val="007D3B88"/>
    <w:rsid w:val="007D3B93"/>
    <w:rsid w:val="007D3C14"/>
    <w:rsid w:val="007D3CA8"/>
    <w:rsid w:val="007D3D9C"/>
    <w:rsid w:val="007D3DC8"/>
    <w:rsid w:val="007D3E8C"/>
    <w:rsid w:val="007D3EF0"/>
    <w:rsid w:val="007D3F88"/>
    <w:rsid w:val="007D4174"/>
    <w:rsid w:val="007D41FB"/>
    <w:rsid w:val="007D42C9"/>
    <w:rsid w:val="007D4563"/>
    <w:rsid w:val="007D4750"/>
    <w:rsid w:val="007D4853"/>
    <w:rsid w:val="007D48B8"/>
    <w:rsid w:val="007D499C"/>
    <w:rsid w:val="007D49B0"/>
    <w:rsid w:val="007D49BB"/>
    <w:rsid w:val="007D49F9"/>
    <w:rsid w:val="007D4AEC"/>
    <w:rsid w:val="007D4B1B"/>
    <w:rsid w:val="007D4B66"/>
    <w:rsid w:val="007D4BBE"/>
    <w:rsid w:val="007D4C11"/>
    <w:rsid w:val="007D4CA2"/>
    <w:rsid w:val="007D4EF5"/>
    <w:rsid w:val="007D4F64"/>
    <w:rsid w:val="007D4F95"/>
    <w:rsid w:val="007D4FA0"/>
    <w:rsid w:val="007D4FB6"/>
    <w:rsid w:val="007D500C"/>
    <w:rsid w:val="007D503B"/>
    <w:rsid w:val="007D50AD"/>
    <w:rsid w:val="007D5157"/>
    <w:rsid w:val="007D5392"/>
    <w:rsid w:val="007D566C"/>
    <w:rsid w:val="007D57D6"/>
    <w:rsid w:val="007D592B"/>
    <w:rsid w:val="007D5A55"/>
    <w:rsid w:val="007D5A97"/>
    <w:rsid w:val="007D5AA6"/>
    <w:rsid w:val="007D5B21"/>
    <w:rsid w:val="007D5CF8"/>
    <w:rsid w:val="007D5E0E"/>
    <w:rsid w:val="007D5E25"/>
    <w:rsid w:val="007D5E2A"/>
    <w:rsid w:val="007D5E60"/>
    <w:rsid w:val="007D5EB6"/>
    <w:rsid w:val="007D5F45"/>
    <w:rsid w:val="007D5F4E"/>
    <w:rsid w:val="007D608F"/>
    <w:rsid w:val="007D60DF"/>
    <w:rsid w:val="007D61B7"/>
    <w:rsid w:val="007D622B"/>
    <w:rsid w:val="007D626D"/>
    <w:rsid w:val="007D6270"/>
    <w:rsid w:val="007D6292"/>
    <w:rsid w:val="007D62CD"/>
    <w:rsid w:val="007D63BD"/>
    <w:rsid w:val="007D649E"/>
    <w:rsid w:val="007D64BD"/>
    <w:rsid w:val="007D6546"/>
    <w:rsid w:val="007D6721"/>
    <w:rsid w:val="007D679F"/>
    <w:rsid w:val="007D67E1"/>
    <w:rsid w:val="007D68D1"/>
    <w:rsid w:val="007D693F"/>
    <w:rsid w:val="007D69A7"/>
    <w:rsid w:val="007D69EB"/>
    <w:rsid w:val="007D6A46"/>
    <w:rsid w:val="007D6A55"/>
    <w:rsid w:val="007D6CAA"/>
    <w:rsid w:val="007D6D72"/>
    <w:rsid w:val="007D702E"/>
    <w:rsid w:val="007D7050"/>
    <w:rsid w:val="007D719F"/>
    <w:rsid w:val="007D71D8"/>
    <w:rsid w:val="007D7284"/>
    <w:rsid w:val="007D73D2"/>
    <w:rsid w:val="007D742F"/>
    <w:rsid w:val="007D7441"/>
    <w:rsid w:val="007D7539"/>
    <w:rsid w:val="007D7557"/>
    <w:rsid w:val="007D759E"/>
    <w:rsid w:val="007D75E8"/>
    <w:rsid w:val="007D773E"/>
    <w:rsid w:val="007D780C"/>
    <w:rsid w:val="007D784A"/>
    <w:rsid w:val="007D7850"/>
    <w:rsid w:val="007D78E9"/>
    <w:rsid w:val="007D7A2E"/>
    <w:rsid w:val="007D7A84"/>
    <w:rsid w:val="007D7A91"/>
    <w:rsid w:val="007D7AF2"/>
    <w:rsid w:val="007D7AFB"/>
    <w:rsid w:val="007D7C25"/>
    <w:rsid w:val="007D7C85"/>
    <w:rsid w:val="007D7C90"/>
    <w:rsid w:val="007D7CFD"/>
    <w:rsid w:val="007D7D13"/>
    <w:rsid w:val="007D7D16"/>
    <w:rsid w:val="007D7D2F"/>
    <w:rsid w:val="007D7D88"/>
    <w:rsid w:val="007D7EBA"/>
    <w:rsid w:val="007D7FB4"/>
    <w:rsid w:val="007E0002"/>
    <w:rsid w:val="007E000D"/>
    <w:rsid w:val="007E00E5"/>
    <w:rsid w:val="007E010D"/>
    <w:rsid w:val="007E015A"/>
    <w:rsid w:val="007E0285"/>
    <w:rsid w:val="007E04FF"/>
    <w:rsid w:val="007E0634"/>
    <w:rsid w:val="007E0643"/>
    <w:rsid w:val="007E06FE"/>
    <w:rsid w:val="007E07EE"/>
    <w:rsid w:val="007E0A59"/>
    <w:rsid w:val="007E0A9D"/>
    <w:rsid w:val="007E0AA9"/>
    <w:rsid w:val="007E0AB8"/>
    <w:rsid w:val="007E0ADA"/>
    <w:rsid w:val="007E0C68"/>
    <w:rsid w:val="007E0C83"/>
    <w:rsid w:val="007E0DDA"/>
    <w:rsid w:val="007E0EAD"/>
    <w:rsid w:val="007E0EC2"/>
    <w:rsid w:val="007E0EF1"/>
    <w:rsid w:val="007E0FCE"/>
    <w:rsid w:val="007E0FDC"/>
    <w:rsid w:val="007E1035"/>
    <w:rsid w:val="007E10A0"/>
    <w:rsid w:val="007E10B6"/>
    <w:rsid w:val="007E1167"/>
    <w:rsid w:val="007E1185"/>
    <w:rsid w:val="007E11DF"/>
    <w:rsid w:val="007E12C1"/>
    <w:rsid w:val="007E147E"/>
    <w:rsid w:val="007E149D"/>
    <w:rsid w:val="007E1509"/>
    <w:rsid w:val="007E1603"/>
    <w:rsid w:val="007E1693"/>
    <w:rsid w:val="007E16D8"/>
    <w:rsid w:val="007E1806"/>
    <w:rsid w:val="007E1880"/>
    <w:rsid w:val="007E18FB"/>
    <w:rsid w:val="007E1928"/>
    <w:rsid w:val="007E1B3E"/>
    <w:rsid w:val="007E1B42"/>
    <w:rsid w:val="007E1B57"/>
    <w:rsid w:val="007E1C63"/>
    <w:rsid w:val="007E1D75"/>
    <w:rsid w:val="007E1D9B"/>
    <w:rsid w:val="007E1DD3"/>
    <w:rsid w:val="007E1DED"/>
    <w:rsid w:val="007E1E77"/>
    <w:rsid w:val="007E1EEB"/>
    <w:rsid w:val="007E20A3"/>
    <w:rsid w:val="007E2124"/>
    <w:rsid w:val="007E2171"/>
    <w:rsid w:val="007E219B"/>
    <w:rsid w:val="007E2210"/>
    <w:rsid w:val="007E2242"/>
    <w:rsid w:val="007E2285"/>
    <w:rsid w:val="007E2294"/>
    <w:rsid w:val="007E237C"/>
    <w:rsid w:val="007E2386"/>
    <w:rsid w:val="007E2395"/>
    <w:rsid w:val="007E23C4"/>
    <w:rsid w:val="007E2434"/>
    <w:rsid w:val="007E257A"/>
    <w:rsid w:val="007E258A"/>
    <w:rsid w:val="007E25FC"/>
    <w:rsid w:val="007E267C"/>
    <w:rsid w:val="007E26B6"/>
    <w:rsid w:val="007E26D3"/>
    <w:rsid w:val="007E279B"/>
    <w:rsid w:val="007E2804"/>
    <w:rsid w:val="007E2814"/>
    <w:rsid w:val="007E294E"/>
    <w:rsid w:val="007E29B7"/>
    <w:rsid w:val="007E2A90"/>
    <w:rsid w:val="007E2A9F"/>
    <w:rsid w:val="007E2B15"/>
    <w:rsid w:val="007E2CCC"/>
    <w:rsid w:val="007E2D62"/>
    <w:rsid w:val="007E2F44"/>
    <w:rsid w:val="007E2F5D"/>
    <w:rsid w:val="007E3018"/>
    <w:rsid w:val="007E30AF"/>
    <w:rsid w:val="007E319B"/>
    <w:rsid w:val="007E31C7"/>
    <w:rsid w:val="007E325F"/>
    <w:rsid w:val="007E32D4"/>
    <w:rsid w:val="007E3376"/>
    <w:rsid w:val="007E33E7"/>
    <w:rsid w:val="007E34A5"/>
    <w:rsid w:val="007E3649"/>
    <w:rsid w:val="007E366A"/>
    <w:rsid w:val="007E37BC"/>
    <w:rsid w:val="007E37CA"/>
    <w:rsid w:val="007E38C7"/>
    <w:rsid w:val="007E3900"/>
    <w:rsid w:val="007E3916"/>
    <w:rsid w:val="007E3921"/>
    <w:rsid w:val="007E39D4"/>
    <w:rsid w:val="007E3C5E"/>
    <w:rsid w:val="007E3C70"/>
    <w:rsid w:val="007E3C83"/>
    <w:rsid w:val="007E3CC0"/>
    <w:rsid w:val="007E3D9A"/>
    <w:rsid w:val="007E3DD7"/>
    <w:rsid w:val="007E3E38"/>
    <w:rsid w:val="007E3F69"/>
    <w:rsid w:val="007E3F74"/>
    <w:rsid w:val="007E3FB9"/>
    <w:rsid w:val="007E40D1"/>
    <w:rsid w:val="007E40DE"/>
    <w:rsid w:val="007E41B6"/>
    <w:rsid w:val="007E42E2"/>
    <w:rsid w:val="007E4300"/>
    <w:rsid w:val="007E43AB"/>
    <w:rsid w:val="007E4601"/>
    <w:rsid w:val="007E4650"/>
    <w:rsid w:val="007E465C"/>
    <w:rsid w:val="007E484A"/>
    <w:rsid w:val="007E4A00"/>
    <w:rsid w:val="007E4AF1"/>
    <w:rsid w:val="007E4B10"/>
    <w:rsid w:val="007E4B4F"/>
    <w:rsid w:val="007E4B53"/>
    <w:rsid w:val="007E4B74"/>
    <w:rsid w:val="007E4BB2"/>
    <w:rsid w:val="007E4BC5"/>
    <w:rsid w:val="007E4BD0"/>
    <w:rsid w:val="007E4BE6"/>
    <w:rsid w:val="007E4C11"/>
    <w:rsid w:val="007E4C2F"/>
    <w:rsid w:val="007E4C5F"/>
    <w:rsid w:val="007E4CAB"/>
    <w:rsid w:val="007E4D10"/>
    <w:rsid w:val="007E4E0B"/>
    <w:rsid w:val="007E4E68"/>
    <w:rsid w:val="007E4F20"/>
    <w:rsid w:val="007E5031"/>
    <w:rsid w:val="007E5065"/>
    <w:rsid w:val="007E5182"/>
    <w:rsid w:val="007E528B"/>
    <w:rsid w:val="007E52A8"/>
    <w:rsid w:val="007E5316"/>
    <w:rsid w:val="007E5374"/>
    <w:rsid w:val="007E557C"/>
    <w:rsid w:val="007E5587"/>
    <w:rsid w:val="007E55CB"/>
    <w:rsid w:val="007E55DD"/>
    <w:rsid w:val="007E5662"/>
    <w:rsid w:val="007E5685"/>
    <w:rsid w:val="007E5690"/>
    <w:rsid w:val="007E5714"/>
    <w:rsid w:val="007E5718"/>
    <w:rsid w:val="007E572B"/>
    <w:rsid w:val="007E578B"/>
    <w:rsid w:val="007E58F7"/>
    <w:rsid w:val="007E58FE"/>
    <w:rsid w:val="007E5904"/>
    <w:rsid w:val="007E590B"/>
    <w:rsid w:val="007E5934"/>
    <w:rsid w:val="007E59AA"/>
    <w:rsid w:val="007E59D0"/>
    <w:rsid w:val="007E5B56"/>
    <w:rsid w:val="007E5DE7"/>
    <w:rsid w:val="007E5E43"/>
    <w:rsid w:val="007E5E52"/>
    <w:rsid w:val="007E5F10"/>
    <w:rsid w:val="007E6055"/>
    <w:rsid w:val="007E60FA"/>
    <w:rsid w:val="007E6251"/>
    <w:rsid w:val="007E625E"/>
    <w:rsid w:val="007E631F"/>
    <w:rsid w:val="007E634F"/>
    <w:rsid w:val="007E6410"/>
    <w:rsid w:val="007E6456"/>
    <w:rsid w:val="007E65CF"/>
    <w:rsid w:val="007E6827"/>
    <w:rsid w:val="007E6834"/>
    <w:rsid w:val="007E69B9"/>
    <w:rsid w:val="007E69CC"/>
    <w:rsid w:val="007E6A89"/>
    <w:rsid w:val="007E6B00"/>
    <w:rsid w:val="007E6C18"/>
    <w:rsid w:val="007E6CE5"/>
    <w:rsid w:val="007E6D07"/>
    <w:rsid w:val="007E6DD2"/>
    <w:rsid w:val="007E6E07"/>
    <w:rsid w:val="007E6F1A"/>
    <w:rsid w:val="007E6F99"/>
    <w:rsid w:val="007E702D"/>
    <w:rsid w:val="007E70B5"/>
    <w:rsid w:val="007E7188"/>
    <w:rsid w:val="007E7325"/>
    <w:rsid w:val="007E733E"/>
    <w:rsid w:val="007E73C7"/>
    <w:rsid w:val="007E73D6"/>
    <w:rsid w:val="007E7450"/>
    <w:rsid w:val="007E7464"/>
    <w:rsid w:val="007E74DE"/>
    <w:rsid w:val="007E74E0"/>
    <w:rsid w:val="007E7513"/>
    <w:rsid w:val="007E7542"/>
    <w:rsid w:val="007E75C5"/>
    <w:rsid w:val="007E7653"/>
    <w:rsid w:val="007E7655"/>
    <w:rsid w:val="007E7667"/>
    <w:rsid w:val="007E771B"/>
    <w:rsid w:val="007E77F9"/>
    <w:rsid w:val="007E789B"/>
    <w:rsid w:val="007E78DA"/>
    <w:rsid w:val="007E7936"/>
    <w:rsid w:val="007E7B18"/>
    <w:rsid w:val="007E7B87"/>
    <w:rsid w:val="007E7BD4"/>
    <w:rsid w:val="007E7BF7"/>
    <w:rsid w:val="007E7C5E"/>
    <w:rsid w:val="007E7CCC"/>
    <w:rsid w:val="007E7CFA"/>
    <w:rsid w:val="007E7D38"/>
    <w:rsid w:val="007E7D61"/>
    <w:rsid w:val="007E7EB3"/>
    <w:rsid w:val="007E7FF6"/>
    <w:rsid w:val="007F004E"/>
    <w:rsid w:val="007F0123"/>
    <w:rsid w:val="007F0257"/>
    <w:rsid w:val="007F047D"/>
    <w:rsid w:val="007F04F3"/>
    <w:rsid w:val="007F0548"/>
    <w:rsid w:val="007F057C"/>
    <w:rsid w:val="007F05BD"/>
    <w:rsid w:val="007F064C"/>
    <w:rsid w:val="007F072A"/>
    <w:rsid w:val="007F0BFA"/>
    <w:rsid w:val="007F0C9D"/>
    <w:rsid w:val="007F0DBA"/>
    <w:rsid w:val="007F0EFB"/>
    <w:rsid w:val="007F0F1A"/>
    <w:rsid w:val="007F0F24"/>
    <w:rsid w:val="007F0F81"/>
    <w:rsid w:val="007F1113"/>
    <w:rsid w:val="007F1149"/>
    <w:rsid w:val="007F1270"/>
    <w:rsid w:val="007F1299"/>
    <w:rsid w:val="007F12AD"/>
    <w:rsid w:val="007F12B1"/>
    <w:rsid w:val="007F12FB"/>
    <w:rsid w:val="007F1428"/>
    <w:rsid w:val="007F1506"/>
    <w:rsid w:val="007F15D6"/>
    <w:rsid w:val="007F1679"/>
    <w:rsid w:val="007F17FE"/>
    <w:rsid w:val="007F1986"/>
    <w:rsid w:val="007F1A27"/>
    <w:rsid w:val="007F1A4A"/>
    <w:rsid w:val="007F1D1B"/>
    <w:rsid w:val="007F1D66"/>
    <w:rsid w:val="007F1E2C"/>
    <w:rsid w:val="007F1E6C"/>
    <w:rsid w:val="007F1FC3"/>
    <w:rsid w:val="007F1FD5"/>
    <w:rsid w:val="007F2065"/>
    <w:rsid w:val="007F2147"/>
    <w:rsid w:val="007F214B"/>
    <w:rsid w:val="007F2168"/>
    <w:rsid w:val="007F216C"/>
    <w:rsid w:val="007F2232"/>
    <w:rsid w:val="007F223C"/>
    <w:rsid w:val="007F226B"/>
    <w:rsid w:val="007F244B"/>
    <w:rsid w:val="007F25E1"/>
    <w:rsid w:val="007F25EA"/>
    <w:rsid w:val="007F271E"/>
    <w:rsid w:val="007F272B"/>
    <w:rsid w:val="007F2736"/>
    <w:rsid w:val="007F278C"/>
    <w:rsid w:val="007F27A3"/>
    <w:rsid w:val="007F2829"/>
    <w:rsid w:val="007F293C"/>
    <w:rsid w:val="007F299B"/>
    <w:rsid w:val="007F29D0"/>
    <w:rsid w:val="007F29D1"/>
    <w:rsid w:val="007F29F1"/>
    <w:rsid w:val="007F2A87"/>
    <w:rsid w:val="007F2AB5"/>
    <w:rsid w:val="007F2B5A"/>
    <w:rsid w:val="007F2BA6"/>
    <w:rsid w:val="007F2CEC"/>
    <w:rsid w:val="007F2DE2"/>
    <w:rsid w:val="007F2E2E"/>
    <w:rsid w:val="007F2E44"/>
    <w:rsid w:val="007F2E4A"/>
    <w:rsid w:val="007F2EE5"/>
    <w:rsid w:val="007F2F76"/>
    <w:rsid w:val="007F3023"/>
    <w:rsid w:val="007F331A"/>
    <w:rsid w:val="007F342E"/>
    <w:rsid w:val="007F3478"/>
    <w:rsid w:val="007F34BD"/>
    <w:rsid w:val="007F3590"/>
    <w:rsid w:val="007F35F7"/>
    <w:rsid w:val="007F366A"/>
    <w:rsid w:val="007F368A"/>
    <w:rsid w:val="007F3849"/>
    <w:rsid w:val="007F3892"/>
    <w:rsid w:val="007F3A2C"/>
    <w:rsid w:val="007F3A62"/>
    <w:rsid w:val="007F3BF4"/>
    <w:rsid w:val="007F3C0A"/>
    <w:rsid w:val="007F3C31"/>
    <w:rsid w:val="007F3D8A"/>
    <w:rsid w:val="007F3E77"/>
    <w:rsid w:val="007F3F2E"/>
    <w:rsid w:val="007F4002"/>
    <w:rsid w:val="007F401B"/>
    <w:rsid w:val="007F4212"/>
    <w:rsid w:val="007F42AA"/>
    <w:rsid w:val="007F4300"/>
    <w:rsid w:val="007F43BC"/>
    <w:rsid w:val="007F4486"/>
    <w:rsid w:val="007F44CA"/>
    <w:rsid w:val="007F44F5"/>
    <w:rsid w:val="007F461C"/>
    <w:rsid w:val="007F46E7"/>
    <w:rsid w:val="007F4744"/>
    <w:rsid w:val="007F477B"/>
    <w:rsid w:val="007F47C2"/>
    <w:rsid w:val="007F499F"/>
    <w:rsid w:val="007F49C5"/>
    <w:rsid w:val="007F4A58"/>
    <w:rsid w:val="007F4A5F"/>
    <w:rsid w:val="007F4AFB"/>
    <w:rsid w:val="007F4C32"/>
    <w:rsid w:val="007F4DB6"/>
    <w:rsid w:val="007F4EF2"/>
    <w:rsid w:val="007F4FC2"/>
    <w:rsid w:val="007F4FFE"/>
    <w:rsid w:val="007F5059"/>
    <w:rsid w:val="007F511E"/>
    <w:rsid w:val="007F5212"/>
    <w:rsid w:val="007F527F"/>
    <w:rsid w:val="007F52B6"/>
    <w:rsid w:val="007F52B7"/>
    <w:rsid w:val="007F5351"/>
    <w:rsid w:val="007F5373"/>
    <w:rsid w:val="007F538F"/>
    <w:rsid w:val="007F53FE"/>
    <w:rsid w:val="007F5644"/>
    <w:rsid w:val="007F576E"/>
    <w:rsid w:val="007F587E"/>
    <w:rsid w:val="007F58A5"/>
    <w:rsid w:val="007F5989"/>
    <w:rsid w:val="007F59C5"/>
    <w:rsid w:val="007F5C45"/>
    <w:rsid w:val="007F5E49"/>
    <w:rsid w:val="007F5EAC"/>
    <w:rsid w:val="007F5EBA"/>
    <w:rsid w:val="007F5F14"/>
    <w:rsid w:val="007F5F8E"/>
    <w:rsid w:val="007F5FA3"/>
    <w:rsid w:val="007F5FAC"/>
    <w:rsid w:val="007F6083"/>
    <w:rsid w:val="007F6139"/>
    <w:rsid w:val="007F6175"/>
    <w:rsid w:val="007F623D"/>
    <w:rsid w:val="007F626A"/>
    <w:rsid w:val="007F62F5"/>
    <w:rsid w:val="007F63A2"/>
    <w:rsid w:val="007F6483"/>
    <w:rsid w:val="007F64E8"/>
    <w:rsid w:val="007F64EB"/>
    <w:rsid w:val="007F6522"/>
    <w:rsid w:val="007F6585"/>
    <w:rsid w:val="007F65F3"/>
    <w:rsid w:val="007F6623"/>
    <w:rsid w:val="007F666E"/>
    <w:rsid w:val="007F6685"/>
    <w:rsid w:val="007F668B"/>
    <w:rsid w:val="007F693B"/>
    <w:rsid w:val="007F694A"/>
    <w:rsid w:val="007F69FC"/>
    <w:rsid w:val="007F6A6E"/>
    <w:rsid w:val="007F6B54"/>
    <w:rsid w:val="007F6C7B"/>
    <w:rsid w:val="007F6CE7"/>
    <w:rsid w:val="007F6DE0"/>
    <w:rsid w:val="007F6E14"/>
    <w:rsid w:val="007F6E94"/>
    <w:rsid w:val="007F6EAB"/>
    <w:rsid w:val="007F7010"/>
    <w:rsid w:val="007F70A2"/>
    <w:rsid w:val="007F70B0"/>
    <w:rsid w:val="007F7172"/>
    <w:rsid w:val="007F720B"/>
    <w:rsid w:val="007F73BA"/>
    <w:rsid w:val="007F7401"/>
    <w:rsid w:val="007F7474"/>
    <w:rsid w:val="007F751D"/>
    <w:rsid w:val="007F7568"/>
    <w:rsid w:val="007F763B"/>
    <w:rsid w:val="007F76D8"/>
    <w:rsid w:val="007F76E1"/>
    <w:rsid w:val="007F773C"/>
    <w:rsid w:val="007F779F"/>
    <w:rsid w:val="007F77C5"/>
    <w:rsid w:val="007F7808"/>
    <w:rsid w:val="007F79A0"/>
    <w:rsid w:val="007F7A00"/>
    <w:rsid w:val="007F7BB2"/>
    <w:rsid w:val="007F7C14"/>
    <w:rsid w:val="007F7C28"/>
    <w:rsid w:val="007F7C56"/>
    <w:rsid w:val="007F7DBE"/>
    <w:rsid w:val="007F7E3B"/>
    <w:rsid w:val="007F7E8A"/>
    <w:rsid w:val="007F7F17"/>
    <w:rsid w:val="007F7F50"/>
    <w:rsid w:val="00800184"/>
    <w:rsid w:val="008001D6"/>
    <w:rsid w:val="00800220"/>
    <w:rsid w:val="00800267"/>
    <w:rsid w:val="0080028D"/>
    <w:rsid w:val="00800303"/>
    <w:rsid w:val="0080033A"/>
    <w:rsid w:val="00800383"/>
    <w:rsid w:val="008003AA"/>
    <w:rsid w:val="00800467"/>
    <w:rsid w:val="008004AE"/>
    <w:rsid w:val="008004D7"/>
    <w:rsid w:val="0080055F"/>
    <w:rsid w:val="0080059B"/>
    <w:rsid w:val="008006EE"/>
    <w:rsid w:val="00800711"/>
    <w:rsid w:val="00800799"/>
    <w:rsid w:val="008008F5"/>
    <w:rsid w:val="00800956"/>
    <w:rsid w:val="0080095C"/>
    <w:rsid w:val="008009AB"/>
    <w:rsid w:val="00800A0A"/>
    <w:rsid w:val="00800A32"/>
    <w:rsid w:val="00800A4E"/>
    <w:rsid w:val="00800AA6"/>
    <w:rsid w:val="00800B08"/>
    <w:rsid w:val="00800B45"/>
    <w:rsid w:val="00800C38"/>
    <w:rsid w:val="00800C7B"/>
    <w:rsid w:val="00800C8A"/>
    <w:rsid w:val="00800DFF"/>
    <w:rsid w:val="00800EA2"/>
    <w:rsid w:val="00800EBF"/>
    <w:rsid w:val="00800F51"/>
    <w:rsid w:val="0080100F"/>
    <w:rsid w:val="00801156"/>
    <w:rsid w:val="00801166"/>
    <w:rsid w:val="0080120E"/>
    <w:rsid w:val="00801219"/>
    <w:rsid w:val="00801456"/>
    <w:rsid w:val="008015AE"/>
    <w:rsid w:val="00801629"/>
    <w:rsid w:val="00801685"/>
    <w:rsid w:val="00801738"/>
    <w:rsid w:val="0080177B"/>
    <w:rsid w:val="0080181B"/>
    <w:rsid w:val="008018F4"/>
    <w:rsid w:val="0080190A"/>
    <w:rsid w:val="00801A6F"/>
    <w:rsid w:val="00801B72"/>
    <w:rsid w:val="00801BB3"/>
    <w:rsid w:val="00801C08"/>
    <w:rsid w:val="00801DCF"/>
    <w:rsid w:val="00801E05"/>
    <w:rsid w:val="00801E54"/>
    <w:rsid w:val="00801ED2"/>
    <w:rsid w:val="00801FA8"/>
    <w:rsid w:val="00802024"/>
    <w:rsid w:val="00802032"/>
    <w:rsid w:val="0080208B"/>
    <w:rsid w:val="008020FB"/>
    <w:rsid w:val="00802175"/>
    <w:rsid w:val="008021F5"/>
    <w:rsid w:val="008023F4"/>
    <w:rsid w:val="00802491"/>
    <w:rsid w:val="008024C9"/>
    <w:rsid w:val="0080258C"/>
    <w:rsid w:val="00802742"/>
    <w:rsid w:val="0080274C"/>
    <w:rsid w:val="00802788"/>
    <w:rsid w:val="008028C1"/>
    <w:rsid w:val="0080292E"/>
    <w:rsid w:val="00802938"/>
    <w:rsid w:val="00802AD7"/>
    <w:rsid w:val="00802B85"/>
    <w:rsid w:val="00802BE4"/>
    <w:rsid w:val="00802C50"/>
    <w:rsid w:val="00802C9F"/>
    <w:rsid w:val="00802D3F"/>
    <w:rsid w:val="00802D65"/>
    <w:rsid w:val="00802E3A"/>
    <w:rsid w:val="00802E9C"/>
    <w:rsid w:val="00802ED3"/>
    <w:rsid w:val="00802F50"/>
    <w:rsid w:val="00802F58"/>
    <w:rsid w:val="00802FFE"/>
    <w:rsid w:val="0080302F"/>
    <w:rsid w:val="00803132"/>
    <w:rsid w:val="008032C1"/>
    <w:rsid w:val="0080342F"/>
    <w:rsid w:val="00803551"/>
    <w:rsid w:val="00803557"/>
    <w:rsid w:val="0080359E"/>
    <w:rsid w:val="008036E9"/>
    <w:rsid w:val="0080376B"/>
    <w:rsid w:val="008037B3"/>
    <w:rsid w:val="00803824"/>
    <w:rsid w:val="0080386A"/>
    <w:rsid w:val="008038A7"/>
    <w:rsid w:val="00803A60"/>
    <w:rsid w:val="00803A72"/>
    <w:rsid w:val="00803A9C"/>
    <w:rsid w:val="00803CAC"/>
    <w:rsid w:val="00803CB8"/>
    <w:rsid w:val="00803CC1"/>
    <w:rsid w:val="00803D93"/>
    <w:rsid w:val="00803E69"/>
    <w:rsid w:val="00803E82"/>
    <w:rsid w:val="00803F50"/>
    <w:rsid w:val="00803FA9"/>
    <w:rsid w:val="00803FC6"/>
    <w:rsid w:val="00804098"/>
    <w:rsid w:val="00804174"/>
    <w:rsid w:val="0080417C"/>
    <w:rsid w:val="00804280"/>
    <w:rsid w:val="008042C9"/>
    <w:rsid w:val="00804338"/>
    <w:rsid w:val="008043D0"/>
    <w:rsid w:val="008043ED"/>
    <w:rsid w:val="00804407"/>
    <w:rsid w:val="00804452"/>
    <w:rsid w:val="008044CF"/>
    <w:rsid w:val="00804554"/>
    <w:rsid w:val="00804578"/>
    <w:rsid w:val="0080458F"/>
    <w:rsid w:val="008046AC"/>
    <w:rsid w:val="008046FB"/>
    <w:rsid w:val="00804739"/>
    <w:rsid w:val="008047AD"/>
    <w:rsid w:val="008047B3"/>
    <w:rsid w:val="0080485B"/>
    <w:rsid w:val="00804931"/>
    <w:rsid w:val="008049CB"/>
    <w:rsid w:val="00804A9D"/>
    <w:rsid w:val="00804ABC"/>
    <w:rsid w:val="00804BCC"/>
    <w:rsid w:val="00804C46"/>
    <w:rsid w:val="00804C9C"/>
    <w:rsid w:val="00804CF7"/>
    <w:rsid w:val="00804D4A"/>
    <w:rsid w:val="00804D54"/>
    <w:rsid w:val="00804EC5"/>
    <w:rsid w:val="00804EEE"/>
    <w:rsid w:val="00804F31"/>
    <w:rsid w:val="00804F96"/>
    <w:rsid w:val="00804FAA"/>
    <w:rsid w:val="00804FFC"/>
    <w:rsid w:val="0080509F"/>
    <w:rsid w:val="008052E0"/>
    <w:rsid w:val="008052F9"/>
    <w:rsid w:val="0080532E"/>
    <w:rsid w:val="00805338"/>
    <w:rsid w:val="0080542F"/>
    <w:rsid w:val="008054BC"/>
    <w:rsid w:val="0080551A"/>
    <w:rsid w:val="00805520"/>
    <w:rsid w:val="00805572"/>
    <w:rsid w:val="008055DE"/>
    <w:rsid w:val="00805669"/>
    <w:rsid w:val="0080569C"/>
    <w:rsid w:val="00805748"/>
    <w:rsid w:val="00805776"/>
    <w:rsid w:val="008058AF"/>
    <w:rsid w:val="00805980"/>
    <w:rsid w:val="00805ABC"/>
    <w:rsid w:val="00805BB0"/>
    <w:rsid w:val="00805BCC"/>
    <w:rsid w:val="00805C7B"/>
    <w:rsid w:val="00805CB4"/>
    <w:rsid w:val="00805D8D"/>
    <w:rsid w:val="00805DFB"/>
    <w:rsid w:val="00805E0A"/>
    <w:rsid w:val="00805E75"/>
    <w:rsid w:val="00805F84"/>
    <w:rsid w:val="008060A2"/>
    <w:rsid w:val="0080622B"/>
    <w:rsid w:val="00806259"/>
    <w:rsid w:val="008062D8"/>
    <w:rsid w:val="00806322"/>
    <w:rsid w:val="00806335"/>
    <w:rsid w:val="00806375"/>
    <w:rsid w:val="008063B2"/>
    <w:rsid w:val="00806411"/>
    <w:rsid w:val="008065D0"/>
    <w:rsid w:val="0080668E"/>
    <w:rsid w:val="0080675E"/>
    <w:rsid w:val="00806848"/>
    <w:rsid w:val="00806916"/>
    <w:rsid w:val="0080696F"/>
    <w:rsid w:val="00806A26"/>
    <w:rsid w:val="00806A53"/>
    <w:rsid w:val="00806A74"/>
    <w:rsid w:val="00806A7B"/>
    <w:rsid w:val="00806ADB"/>
    <w:rsid w:val="00806AE0"/>
    <w:rsid w:val="00806B39"/>
    <w:rsid w:val="00806B55"/>
    <w:rsid w:val="00806B7F"/>
    <w:rsid w:val="00806B9C"/>
    <w:rsid w:val="00806CF4"/>
    <w:rsid w:val="00806D10"/>
    <w:rsid w:val="00806DD9"/>
    <w:rsid w:val="00806EE8"/>
    <w:rsid w:val="00806EF3"/>
    <w:rsid w:val="00806F17"/>
    <w:rsid w:val="00806F5A"/>
    <w:rsid w:val="00806F74"/>
    <w:rsid w:val="00806F77"/>
    <w:rsid w:val="00806F9C"/>
    <w:rsid w:val="00806FC4"/>
    <w:rsid w:val="0080704B"/>
    <w:rsid w:val="008071F6"/>
    <w:rsid w:val="00807245"/>
    <w:rsid w:val="0080730A"/>
    <w:rsid w:val="00807424"/>
    <w:rsid w:val="00807428"/>
    <w:rsid w:val="00807480"/>
    <w:rsid w:val="008075CC"/>
    <w:rsid w:val="0080772D"/>
    <w:rsid w:val="00807869"/>
    <w:rsid w:val="008078EC"/>
    <w:rsid w:val="0080796A"/>
    <w:rsid w:val="008079A2"/>
    <w:rsid w:val="008079E1"/>
    <w:rsid w:val="008079EE"/>
    <w:rsid w:val="00807B54"/>
    <w:rsid w:val="00807BA2"/>
    <w:rsid w:val="00807C24"/>
    <w:rsid w:val="00807C7B"/>
    <w:rsid w:val="00807CA3"/>
    <w:rsid w:val="00807CC6"/>
    <w:rsid w:val="00807D06"/>
    <w:rsid w:val="00807E2B"/>
    <w:rsid w:val="00807E47"/>
    <w:rsid w:val="00807E71"/>
    <w:rsid w:val="00810156"/>
    <w:rsid w:val="0081038C"/>
    <w:rsid w:val="00810573"/>
    <w:rsid w:val="00810746"/>
    <w:rsid w:val="008107A9"/>
    <w:rsid w:val="008107B6"/>
    <w:rsid w:val="00810828"/>
    <w:rsid w:val="008108C6"/>
    <w:rsid w:val="00810973"/>
    <w:rsid w:val="0081099F"/>
    <w:rsid w:val="00810A57"/>
    <w:rsid w:val="00810B7D"/>
    <w:rsid w:val="00810B98"/>
    <w:rsid w:val="00810B9D"/>
    <w:rsid w:val="00810BC3"/>
    <w:rsid w:val="00810C40"/>
    <w:rsid w:val="00810C68"/>
    <w:rsid w:val="00810C6E"/>
    <w:rsid w:val="00810C9C"/>
    <w:rsid w:val="00810CCF"/>
    <w:rsid w:val="00810D01"/>
    <w:rsid w:val="00810DB8"/>
    <w:rsid w:val="00811009"/>
    <w:rsid w:val="0081105B"/>
    <w:rsid w:val="0081105C"/>
    <w:rsid w:val="00811087"/>
    <w:rsid w:val="008110BD"/>
    <w:rsid w:val="00811118"/>
    <w:rsid w:val="008111CB"/>
    <w:rsid w:val="00811330"/>
    <w:rsid w:val="0081133A"/>
    <w:rsid w:val="008113CD"/>
    <w:rsid w:val="008113E4"/>
    <w:rsid w:val="008113E6"/>
    <w:rsid w:val="008113EA"/>
    <w:rsid w:val="00811401"/>
    <w:rsid w:val="008114F7"/>
    <w:rsid w:val="0081166D"/>
    <w:rsid w:val="00811681"/>
    <w:rsid w:val="00811721"/>
    <w:rsid w:val="00811743"/>
    <w:rsid w:val="0081179A"/>
    <w:rsid w:val="008117FA"/>
    <w:rsid w:val="00811814"/>
    <w:rsid w:val="00811943"/>
    <w:rsid w:val="008119BC"/>
    <w:rsid w:val="008119CB"/>
    <w:rsid w:val="00811A69"/>
    <w:rsid w:val="00811B04"/>
    <w:rsid w:val="00811DCB"/>
    <w:rsid w:val="00811E83"/>
    <w:rsid w:val="00811F44"/>
    <w:rsid w:val="00811F51"/>
    <w:rsid w:val="00811F6E"/>
    <w:rsid w:val="0081219A"/>
    <w:rsid w:val="008122DF"/>
    <w:rsid w:val="008123D1"/>
    <w:rsid w:val="00812487"/>
    <w:rsid w:val="0081284A"/>
    <w:rsid w:val="0081286E"/>
    <w:rsid w:val="008128B1"/>
    <w:rsid w:val="00812901"/>
    <w:rsid w:val="008129EA"/>
    <w:rsid w:val="00812A33"/>
    <w:rsid w:val="00812AE5"/>
    <w:rsid w:val="00812BA9"/>
    <w:rsid w:val="00812BC9"/>
    <w:rsid w:val="00812C0C"/>
    <w:rsid w:val="00812CF5"/>
    <w:rsid w:val="00812D1A"/>
    <w:rsid w:val="00812DC4"/>
    <w:rsid w:val="00812DFF"/>
    <w:rsid w:val="00812EAC"/>
    <w:rsid w:val="00812ECF"/>
    <w:rsid w:val="00812F84"/>
    <w:rsid w:val="00812F93"/>
    <w:rsid w:val="00813119"/>
    <w:rsid w:val="00813174"/>
    <w:rsid w:val="008131B2"/>
    <w:rsid w:val="008131BF"/>
    <w:rsid w:val="00813257"/>
    <w:rsid w:val="0081327A"/>
    <w:rsid w:val="00813286"/>
    <w:rsid w:val="008132A0"/>
    <w:rsid w:val="0081335C"/>
    <w:rsid w:val="00813397"/>
    <w:rsid w:val="00813478"/>
    <w:rsid w:val="00813488"/>
    <w:rsid w:val="0081348B"/>
    <w:rsid w:val="008134AE"/>
    <w:rsid w:val="008134DC"/>
    <w:rsid w:val="00813558"/>
    <w:rsid w:val="00813563"/>
    <w:rsid w:val="00813596"/>
    <w:rsid w:val="00813670"/>
    <w:rsid w:val="0081368F"/>
    <w:rsid w:val="008136BA"/>
    <w:rsid w:val="008136EF"/>
    <w:rsid w:val="00813802"/>
    <w:rsid w:val="008138E3"/>
    <w:rsid w:val="008138F4"/>
    <w:rsid w:val="008139BC"/>
    <w:rsid w:val="008139EF"/>
    <w:rsid w:val="00813A1D"/>
    <w:rsid w:val="00813BF0"/>
    <w:rsid w:val="00813C70"/>
    <w:rsid w:val="00813C96"/>
    <w:rsid w:val="00813DC1"/>
    <w:rsid w:val="00813E20"/>
    <w:rsid w:val="00813F1B"/>
    <w:rsid w:val="00813F22"/>
    <w:rsid w:val="00813F4C"/>
    <w:rsid w:val="00813FB3"/>
    <w:rsid w:val="0081406D"/>
    <w:rsid w:val="008140BD"/>
    <w:rsid w:val="008141DA"/>
    <w:rsid w:val="008141F9"/>
    <w:rsid w:val="008142D4"/>
    <w:rsid w:val="00814323"/>
    <w:rsid w:val="008143F9"/>
    <w:rsid w:val="00814441"/>
    <w:rsid w:val="00814555"/>
    <w:rsid w:val="008145AC"/>
    <w:rsid w:val="00814764"/>
    <w:rsid w:val="008147EC"/>
    <w:rsid w:val="00814812"/>
    <w:rsid w:val="00814962"/>
    <w:rsid w:val="00814978"/>
    <w:rsid w:val="008149E4"/>
    <w:rsid w:val="00814A01"/>
    <w:rsid w:val="00814A53"/>
    <w:rsid w:val="00814BED"/>
    <w:rsid w:val="00814C87"/>
    <w:rsid w:val="00814CCB"/>
    <w:rsid w:val="00814CF4"/>
    <w:rsid w:val="00814D32"/>
    <w:rsid w:val="00814DF0"/>
    <w:rsid w:val="00814FAB"/>
    <w:rsid w:val="0081505B"/>
    <w:rsid w:val="008152CC"/>
    <w:rsid w:val="00815313"/>
    <w:rsid w:val="00815410"/>
    <w:rsid w:val="00815415"/>
    <w:rsid w:val="0081546B"/>
    <w:rsid w:val="00815503"/>
    <w:rsid w:val="00815505"/>
    <w:rsid w:val="00815517"/>
    <w:rsid w:val="00815543"/>
    <w:rsid w:val="008155AD"/>
    <w:rsid w:val="008156CF"/>
    <w:rsid w:val="008157A1"/>
    <w:rsid w:val="008157EA"/>
    <w:rsid w:val="00815808"/>
    <w:rsid w:val="0081584D"/>
    <w:rsid w:val="008158E9"/>
    <w:rsid w:val="00815914"/>
    <w:rsid w:val="0081598C"/>
    <w:rsid w:val="008159F0"/>
    <w:rsid w:val="008159F1"/>
    <w:rsid w:val="00815A6C"/>
    <w:rsid w:val="00815A9F"/>
    <w:rsid w:val="00815AC4"/>
    <w:rsid w:val="00815BEA"/>
    <w:rsid w:val="00815BF5"/>
    <w:rsid w:val="00815C0A"/>
    <w:rsid w:val="00815C0B"/>
    <w:rsid w:val="00815C81"/>
    <w:rsid w:val="00815CFD"/>
    <w:rsid w:val="00815D76"/>
    <w:rsid w:val="00815DBF"/>
    <w:rsid w:val="00815DE5"/>
    <w:rsid w:val="00815E10"/>
    <w:rsid w:val="00815E32"/>
    <w:rsid w:val="00815EC7"/>
    <w:rsid w:val="00815F67"/>
    <w:rsid w:val="00815FE6"/>
    <w:rsid w:val="0081604C"/>
    <w:rsid w:val="00816090"/>
    <w:rsid w:val="00816095"/>
    <w:rsid w:val="008160FD"/>
    <w:rsid w:val="0081614C"/>
    <w:rsid w:val="00816162"/>
    <w:rsid w:val="00816338"/>
    <w:rsid w:val="0081634D"/>
    <w:rsid w:val="008163E1"/>
    <w:rsid w:val="00816424"/>
    <w:rsid w:val="008164F4"/>
    <w:rsid w:val="00816650"/>
    <w:rsid w:val="008166BA"/>
    <w:rsid w:val="008166BC"/>
    <w:rsid w:val="008166D4"/>
    <w:rsid w:val="008167E2"/>
    <w:rsid w:val="0081688E"/>
    <w:rsid w:val="00816910"/>
    <w:rsid w:val="008169DE"/>
    <w:rsid w:val="00816A83"/>
    <w:rsid w:val="00816AF3"/>
    <w:rsid w:val="00816E6C"/>
    <w:rsid w:val="00816E9F"/>
    <w:rsid w:val="00816F8C"/>
    <w:rsid w:val="008170FF"/>
    <w:rsid w:val="0081710B"/>
    <w:rsid w:val="008171F1"/>
    <w:rsid w:val="00817211"/>
    <w:rsid w:val="008172DE"/>
    <w:rsid w:val="008172E2"/>
    <w:rsid w:val="008172ED"/>
    <w:rsid w:val="00817330"/>
    <w:rsid w:val="00817462"/>
    <w:rsid w:val="008174C1"/>
    <w:rsid w:val="00817514"/>
    <w:rsid w:val="008175E2"/>
    <w:rsid w:val="00817605"/>
    <w:rsid w:val="0081762F"/>
    <w:rsid w:val="0081771D"/>
    <w:rsid w:val="008177DA"/>
    <w:rsid w:val="008178CE"/>
    <w:rsid w:val="008179C8"/>
    <w:rsid w:val="00817BEE"/>
    <w:rsid w:val="00817C06"/>
    <w:rsid w:val="00817D18"/>
    <w:rsid w:val="00817D6E"/>
    <w:rsid w:val="00817D93"/>
    <w:rsid w:val="00817EB4"/>
    <w:rsid w:val="00817F43"/>
    <w:rsid w:val="008200CA"/>
    <w:rsid w:val="00820223"/>
    <w:rsid w:val="008202ED"/>
    <w:rsid w:val="00820378"/>
    <w:rsid w:val="00820387"/>
    <w:rsid w:val="008203AA"/>
    <w:rsid w:val="0082041B"/>
    <w:rsid w:val="0082048B"/>
    <w:rsid w:val="008204B6"/>
    <w:rsid w:val="00820557"/>
    <w:rsid w:val="00820598"/>
    <w:rsid w:val="00820678"/>
    <w:rsid w:val="0082068E"/>
    <w:rsid w:val="0082071B"/>
    <w:rsid w:val="008207E8"/>
    <w:rsid w:val="00820A02"/>
    <w:rsid w:val="00820A5F"/>
    <w:rsid w:val="00820AA6"/>
    <w:rsid w:val="00820AC1"/>
    <w:rsid w:val="00820B33"/>
    <w:rsid w:val="00820C2A"/>
    <w:rsid w:val="00820C59"/>
    <w:rsid w:val="00820C5E"/>
    <w:rsid w:val="00820D3A"/>
    <w:rsid w:val="00820D83"/>
    <w:rsid w:val="00820DA0"/>
    <w:rsid w:val="00820DF1"/>
    <w:rsid w:val="00820E56"/>
    <w:rsid w:val="00820E68"/>
    <w:rsid w:val="00820F5A"/>
    <w:rsid w:val="00820FD9"/>
    <w:rsid w:val="00820FEA"/>
    <w:rsid w:val="00820FF8"/>
    <w:rsid w:val="0082105E"/>
    <w:rsid w:val="00821120"/>
    <w:rsid w:val="00821167"/>
    <w:rsid w:val="00821529"/>
    <w:rsid w:val="00821558"/>
    <w:rsid w:val="0082156F"/>
    <w:rsid w:val="00821707"/>
    <w:rsid w:val="00821791"/>
    <w:rsid w:val="008217CA"/>
    <w:rsid w:val="0082187B"/>
    <w:rsid w:val="008218EA"/>
    <w:rsid w:val="00821902"/>
    <w:rsid w:val="00821AA3"/>
    <w:rsid w:val="00821AC6"/>
    <w:rsid w:val="00821AF6"/>
    <w:rsid w:val="00821B02"/>
    <w:rsid w:val="00821B36"/>
    <w:rsid w:val="00821B9F"/>
    <w:rsid w:val="00821BA2"/>
    <w:rsid w:val="00821BB7"/>
    <w:rsid w:val="00821C8B"/>
    <w:rsid w:val="00821DC2"/>
    <w:rsid w:val="00821E4C"/>
    <w:rsid w:val="00821E6C"/>
    <w:rsid w:val="00821F0A"/>
    <w:rsid w:val="00821FC1"/>
    <w:rsid w:val="00822141"/>
    <w:rsid w:val="008222AB"/>
    <w:rsid w:val="0082231F"/>
    <w:rsid w:val="008223C6"/>
    <w:rsid w:val="00822459"/>
    <w:rsid w:val="0082247A"/>
    <w:rsid w:val="008224B8"/>
    <w:rsid w:val="00822675"/>
    <w:rsid w:val="00822703"/>
    <w:rsid w:val="0082287A"/>
    <w:rsid w:val="008228D4"/>
    <w:rsid w:val="0082297E"/>
    <w:rsid w:val="008229A2"/>
    <w:rsid w:val="008229A7"/>
    <w:rsid w:val="008229C9"/>
    <w:rsid w:val="00822A27"/>
    <w:rsid w:val="00822A2E"/>
    <w:rsid w:val="00822AAD"/>
    <w:rsid w:val="00822BC6"/>
    <w:rsid w:val="00822BF5"/>
    <w:rsid w:val="00822CB5"/>
    <w:rsid w:val="00822D0C"/>
    <w:rsid w:val="00822E79"/>
    <w:rsid w:val="00822F66"/>
    <w:rsid w:val="00822F69"/>
    <w:rsid w:val="00822F84"/>
    <w:rsid w:val="0082300E"/>
    <w:rsid w:val="00823016"/>
    <w:rsid w:val="00823018"/>
    <w:rsid w:val="0082306F"/>
    <w:rsid w:val="00823070"/>
    <w:rsid w:val="00823167"/>
    <w:rsid w:val="00823275"/>
    <w:rsid w:val="008232D8"/>
    <w:rsid w:val="00823354"/>
    <w:rsid w:val="008233B7"/>
    <w:rsid w:val="008233C2"/>
    <w:rsid w:val="00823401"/>
    <w:rsid w:val="008234C0"/>
    <w:rsid w:val="008234F7"/>
    <w:rsid w:val="00823699"/>
    <w:rsid w:val="008237A5"/>
    <w:rsid w:val="00823840"/>
    <w:rsid w:val="0082386A"/>
    <w:rsid w:val="008239A7"/>
    <w:rsid w:val="00823A23"/>
    <w:rsid w:val="00823BCC"/>
    <w:rsid w:val="00823C42"/>
    <w:rsid w:val="00823C46"/>
    <w:rsid w:val="00823D04"/>
    <w:rsid w:val="00823D3C"/>
    <w:rsid w:val="00823D60"/>
    <w:rsid w:val="00823D78"/>
    <w:rsid w:val="00823EC3"/>
    <w:rsid w:val="00823F8C"/>
    <w:rsid w:val="00823FC0"/>
    <w:rsid w:val="0082406C"/>
    <w:rsid w:val="00824254"/>
    <w:rsid w:val="0082425C"/>
    <w:rsid w:val="008243A5"/>
    <w:rsid w:val="00824439"/>
    <w:rsid w:val="00824466"/>
    <w:rsid w:val="00824470"/>
    <w:rsid w:val="0082447F"/>
    <w:rsid w:val="008244BB"/>
    <w:rsid w:val="008245F8"/>
    <w:rsid w:val="00824771"/>
    <w:rsid w:val="00824774"/>
    <w:rsid w:val="008247A9"/>
    <w:rsid w:val="0082484E"/>
    <w:rsid w:val="008248CA"/>
    <w:rsid w:val="00824A1B"/>
    <w:rsid w:val="00824A2F"/>
    <w:rsid w:val="00824A3D"/>
    <w:rsid w:val="00824AE7"/>
    <w:rsid w:val="00824CBE"/>
    <w:rsid w:val="00824D04"/>
    <w:rsid w:val="00824D9D"/>
    <w:rsid w:val="00824F15"/>
    <w:rsid w:val="0082502E"/>
    <w:rsid w:val="0082505E"/>
    <w:rsid w:val="008251FC"/>
    <w:rsid w:val="00825418"/>
    <w:rsid w:val="00825461"/>
    <w:rsid w:val="0082548A"/>
    <w:rsid w:val="00825576"/>
    <w:rsid w:val="008255A0"/>
    <w:rsid w:val="008255D4"/>
    <w:rsid w:val="0082560E"/>
    <w:rsid w:val="008256CE"/>
    <w:rsid w:val="00825713"/>
    <w:rsid w:val="008258D6"/>
    <w:rsid w:val="008258E0"/>
    <w:rsid w:val="0082598B"/>
    <w:rsid w:val="00825B20"/>
    <w:rsid w:val="00825B24"/>
    <w:rsid w:val="00825C9E"/>
    <w:rsid w:val="00825CA4"/>
    <w:rsid w:val="00825D2D"/>
    <w:rsid w:val="00825D98"/>
    <w:rsid w:val="00825ECE"/>
    <w:rsid w:val="00825F6F"/>
    <w:rsid w:val="00825FCC"/>
    <w:rsid w:val="0082619B"/>
    <w:rsid w:val="00826306"/>
    <w:rsid w:val="00826365"/>
    <w:rsid w:val="00826386"/>
    <w:rsid w:val="008263FA"/>
    <w:rsid w:val="00826547"/>
    <w:rsid w:val="00826557"/>
    <w:rsid w:val="008265A1"/>
    <w:rsid w:val="008265C6"/>
    <w:rsid w:val="00826631"/>
    <w:rsid w:val="0082667C"/>
    <w:rsid w:val="00826880"/>
    <w:rsid w:val="0082690E"/>
    <w:rsid w:val="0082697D"/>
    <w:rsid w:val="008269CB"/>
    <w:rsid w:val="00826A26"/>
    <w:rsid w:val="00826AAD"/>
    <w:rsid w:val="00826BD0"/>
    <w:rsid w:val="00826CCC"/>
    <w:rsid w:val="00826CDE"/>
    <w:rsid w:val="00826D9C"/>
    <w:rsid w:val="00826E0C"/>
    <w:rsid w:val="00826E71"/>
    <w:rsid w:val="00826EB3"/>
    <w:rsid w:val="00826F23"/>
    <w:rsid w:val="00826FC1"/>
    <w:rsid w:val="00826FE3"/>
    <w:rsid w:val="008270B0"/>
    <w:rsid w:val="00827120"/>
    <w:rsid w:val="00827174"/>
    <w:rsid w:val="00827377"/>
    <w:rsid w:val="008273A1"/>
    <w:rsid w:val="008274E7"/>
    <w:rsid w:val="0082751C"/>
    <w:rsid w:val="0082759B"/>
    <w:rsid w:val="00827753"/>
    <w:rsid w:val="00827763"/>
    <w:rsid w:val="00827773"/>
    <w:rsid w:val="008278CE"/>
    <w:rsid w:val="008279DD"/>
    <w:rsid w:val="00827A2A"/>
    <w:rsid w:val="00827A3D"/>
    <w:rsid w:val="00827ABA"/>
    <w:rsid w:val="00827AE1"/>
    <w:rsid w:val="00827BC0"/>
    <w:rsid w:val="00827DB8"/>
    <w:rsid w:val="00827E24"/>
    <w:rsid w:val="00827E87"/>
    <w:rsid w:val="00827FA0"/>
    <w:rsid w:val="00827FDB"/>
    <w:rsid w:val="00830011"/>
    <w:rsid w:val="008301DE"/>
    <w:rsid w:val="008304CF"/>
    <w:rsid w:val="00830547"/>
    <w:rsid w:val="0083067E"/>
    <w:rsid w:val="008306FE"/>
    <w:rsid w:val="00830778"/>
    <w:rsid w:val="0083081E"/>
    <w:rsid w:val="00830848"/>
    <w:rsid w:val="008308B7"/>
    <w:rsid w:val="008308F5"/>
    <w:rsid w:val="008309B2"/>
    <w:rsid w:val="008309BE"/>
    <w:rsid w:val="00830A6F"/>
    <w:rsid w:val="00830A96"/>
    <w:rsid w:val="00830B00"/>
    <w:rsid w:val="00830B57"/>
    <w:rsid w:val="00830C15"/>
    <w:rsid w:val="00830C6E"/>
    <w:rsid w:val="00830DC9"/>
    <w:rsid w:val="00830E4A"/>
    <w:rsid w:val="00830E5D"/>
    <w:rsid w:val="00830E8D"/>
    <w:rsid w:val="00830EC5"/>
    <w:rsid w:val="00830F6C"/>
    <w:rsid w:val="00830F88"/>
    <w:rsid w:val="00830F8C"/>
    <w:rsid w:val="00830FF7"/>
    <w:rsid w:val="0083108A"/>
    <w:rsid w:val="00831096"/>
    <w:rsid w:val="0083110D"/>
    <w:rsid w:val="008311B8"/>
    <w:rsid w:val="00831244"/>
    <w:rsid w:val="00831283"/>
    <w:rsid w:val="008313E9"/>
    <w:rsid w:val="0083154F"/>
    <w:rsid w:val="0083158E"/>
    <w:rsid w:val="008315CF"/>
    <w:rsid w:val="008315F9"/>
    <w:rsid w:val="008315FC"/>
    <w:rsid w:val="0083164A"/>
    <w:rsid w:val="0083166F"/>
    <w:rsid w:val="008316B5"/>
    <w:rsid w:val="00831738"/>
    <w:rsid w:val="008317DA"/>
    <w:rsid w:val="00831AE3"/>
    <w:rsid w:val="00831B3C"/>
    <w:rsid w:val="00831B83"/>
    <w:rsid w:val="00831C32"/>
    <w:rsid w:val="00831C5A"/>
    <w:rsid w:val="00831CA0"/>
    <w:rsid w:val="00831DAD"/>
    <w:rsid w:val="00831DFE"/>
    <w:rsid w:val="00832062"/>
    <w:rsid w:val="008320FD"/>
    <w:rsid w:val="00832114"/>
    <w:rsid w:val="00832155"/>
    <w:rsid w:val="00832192"/>
    <w:rsid w:val="0083235F"/>
    <w:rsid w:val="00832480"/>
    <w:rsid w:val="008324AB"/>
    <w:rsid w:val="008325AC"/>
    <w:rsid w:val="008325F8"/>
    <w:rsid w:val="00832645"/>
    <w:rsid w:val="00832646"/>
    <w:rsid w:val="00832689"/>
    <w:rsid w:val="008326F3"/>
    <w:rsid w:val="00832913"/>
    <w:rsid w:val="0083297F"/>
    <w:rsid w:val="00832986"/>
    <w:rsid w:val="008329AD"/>
    <w:rsid w:val="008329DE"/>
    <w:rsid w:val="00832A2C"/>
    <w:rsid w:val="00832B4B"/>
    <w:rsid w:val="00832C08"/>
    <w:rsid w:val="00832CE1"/>
    <w:rsid w:val="00832D10"/>
    <w:rsid w:val="00832DE4"/>
    <w:rsid w:val="00832E14"/>
    <w:rsid w:val="00832E46"/>
    <w:rsid w:val="00832E47"/>
    <w:rsid w:val="00832F2D"/>
    <w:rsid w:val="00832F67"/>
    <w:rsid w:val="00833004"/>
    <w:rsid w:val="00833074"/>
    <w:rsid w:val="008330B7"/>
    <w:rsid w:val="008330F2"/>
    <w:rsid w:val="00833150"/>
    <w:rsid w:val="008331DC"/>
    <w:rsid w:val="00833206"/>
    <w:rsid w:val="0083326B"/>
    <w:rsid w:val="00833333"/>
    <w:rsid w:val="00833354"/>
    <w:rsid w:val="00833373"/>
    <w:rsid w:val="00833429"/>
    <w:rsid w:val="0083379F"/>
    <w:rsid w:val="00833875"/>
    <w:rsid w:val="008338F4"/>
    <w:rsid w:val="008339B3"/>
    <w:rsid w:val="00833BBB"/>
    <w:rsid w:val="00833C7C"/>
    <w:rsid w:val="00833CB2"/>
    <w:rsid w:val="00833CF2"/>
    <w:rsid w:val="00833D48"/>
    <w:rsid w:val="00833DD7"/>
    <w:rsid w:val="00833E29"/>
    <w:rsid w:val="00833E2F"/>
    <w:rsid w:val="00833E34"/>
    <w:rsid w:val="00833ECD"/>
    <w:rsid w:val="00833ED5"/>
    <w:rsid w:val="00833EE1"/>
    <w:rsid w:val="00833F24"/>
    <w:rsid w:val="00833F52"/>
    <w:rsid w:val="00833FB3"/>
    <w:rsid w:val="00834065"/>
    <w:rsid w:val="008340F1"/>
    <w:rsid w:val="008341D0"/>
    <w:rsid w:val="00834200"/>
    <w:rsid w:val="00834243"/>
    <w:rsid w:val="00834252"/>
    <w:rsid w:val="008342A5"/>
    <w:rsid w:val="0083433E"/>
    <w:rsid w:val="0083445A"/>
    <w:rsid w:val="00834494"/>
    <w:rsid w:val="00834500"/>
    <w:rsid w:val="0083461B"/>
    <w:rsid w:val="00834626"/>
    <w:rsid w:val="00834660"/>
    <w:rsid w:val="00834676"/>
    <w:rsid w:val="008346FF"/>
    <w:rsid w:val="0083478B"/>
    <w:rsid w:val="0083478E"/>
    <w:rsid w:val="00834830"/>
    <w:rsid w:val="008348FC"/>
    <w:rsid w:val="0083493B"/>
    <w:rsid w:val="00834A4C"/>
    <w:rsid w:val="00834B15"/>
    <w:rsid w:val="00834B99"/>
    <w:rsid w:val="00834D2E"/>
    <w:rsid w:val="00834DA3"/>
    <w:rsid w:val="00834DC4"/>
    <w:rsid w:val="00834E59"/>
    <w:rsid w:val="00834F42"/>
    <w:rsid w:val="0083502D"/>
    <w:rsid w:val="00835096"/>
    <w:rsid w:val="008350A1"/>
    <w:rsid w:val="00835125"/>
    <w:rsid w:val="00835126"/>
    <w:rsid w:val="00835140"/>
    <w:rsid w:val="00835152"/>
    <w:rsid w:val="00835256"/>
    <w:rsid w:val="00835386"/>
    <w:rsid w:val="0083539C"/>
    <w:rsid w:val="008355CA"/>
    <w:rsid w:val="00835682"/>
    <w:rsid w:val="00835723"/>
    <w:rsid w:val="00835726"/>
    <w:rsid w:val="008358ED"/>
    <w:rsid w:val="008358F8"/>
    <w:rsid w:val="008358FC"/>
    <w:rsid w:val="0083592F"/>
    <w:rsid w:val="0083597B"/>
    <w:rsid w:val="0083598D"/>
    <w:rsid w:val="00835B15"/>
    <w:rsid w:val="00835B28"/>
    <w:rsid w:val="00835BEA"/>
    <w:rsid w:val="00835BEC"/>
    <w:rsid w:val="00835C3D"/>
    <w:rsid w:val="00835D6C"/>
    <w:rsid w:val="00835D82"/>
    <w:rsid w:val="00835E4D"/>
    <w:rsid w:val="00835F23"/>
    <w:rsid w:val="00835F9B"/>
    <w:rsid w:val="008360AE"/>
    <w:rsid w:val="0083633E"/>
    <w:rsid w:val="008363B8"/>
    <w:rsid w:val="00836462"/>
    <w:rsid w:val="008364A3"/>
    <w:rsid w:val="0083650A"/>
    <w:rsid w:val="0083651C"/>
    <w:rsid w:val="0083651E"/>
    <w:rsid w:val="008365AE"/>
    <w:rsid w:val="00836613"/>
    <w:rsid w:val="00836733"/>
    <w:rsid w:val="008367E1"/>
    <w:rsid w:val="00836829"/>
    <w:rsid w:val="00836876"/>
    <w:rsid w:val="008368B8"/>
    <w:rsid w:val="00836A1D"/>
    <w:rsid w:val="00836A89"/>
    <w:rsid w:val="00836A91"/>
    <w:rsid w:val="00836EBE"/>
    <w:rsid w:val="00836ECF"/>
    <w:rsid w:val="00836F0B"/>
    <w:rsid w:val="00836F9E"/>
    <w:rsid w:val="008370A8"/>
    <w:rsid w:val="0083723A"/>
    <w:rsid w:val="008372EB"/>
    <w:rsid w:val="008372F4"/>
    <w:rsid w:val="00837314"/>
    <w:rsid w:val="0083741F"/>
    <w:rsid w:val="0083747D"/>
    <w:rsid w:val="008374A9"/>
    <w:rsid w:val="008374C4"/>
    <w:rsid w:val="008374EA"/>
    <w:rsid w:val="008375BA"/>
    <w:rsid w:val="008376C9"/>
    <w:rsid w:val="008376F9"/>
    <w:rsid w:val="00837769"/>
    <w:rsid w:val="008377C2"/>
    <w:rsid w:val="00837A50"/>
    <w:rsid w:val="00837AA9"/>
    <w:rsid w:val="00837AFD"/>
    <w:rsid w:val="00837B82"/>
    <w:rsid w:val="00837C2B"/>
    <w:rsid w:val="00837C52"/>
    <w:rsid w:val="00837D14"/>
    <w:rsid w:val="00837D19"/>
    <w:rsid w:val="00837DC3"/>
    <w:rsid w:val="00837DF2"/>
    <w:rsid w:val="00837E88"/>
    <w:rsid w:val="00837F02"/>
    <w:rsid w:val="00837F68"/>
    <w:rsid w:val="00840057"/>
    <w:rsid w:val="00840129"/>
    <w:rsid w:val="008401B9"/>
    <w:rsid w:val="008401D4"/>
    <w:rsid w:val="00840235"/>
    <w:rsid w:val="0084024A"/>
    <w:rsid w:val="008402E6"/>
    <w:rsid w:val="008403A6"/>
    <w:rsid w:val="008403A7"/>
    <w:rsid w:val="008403F1"/>
    <w:rsid w:val="00840405"/>
    <w:rsid w:val="00840530"/>
    <w:rsid w:val="00840577"/>
    <w:rsid w:val="0084065B"/>
    <w:rsid w:val="00840669"/>
    <w:rsid w:val="008407D1"/>
    <w:rsid w:val="008407FE"/>
    <w:rsid w:val="00840842"/>
    <w:rsid w:val="008409F8"/>
    <w:rsid w:val="00840A56"/>
    <w:rsid w:val="00840B26"/>
    <w:rsid w:val="00840B8A"/>
    <w:rsid w:val="00840C2C"/>
    <w:rsid w:val="00840E04"/>
    <w:rsid w:val="00840F8F"/>
    <w:rsid w:val="00841126"/>
    <w:rsid w:val="008412BA"/>
    <w:rsid w:val="00841384"/>
    <w:rsid w:val="0084150C"/>
    <w:rsid w:val="008415CF"/>
    <w:rsid w:val="0084162B"/>
    <w:rsid w:val="0084162E"/>
    <w:rsid w:val="008417F3"/>
    <w:rsid w:val="0084188C"/>
    <w:rsid w:val="008418B5"/>
    <w:rsid w:val="008419DB"/>
    <w:rsid w:val="00841A9F"/>
    <w:rsid w:val="00841B39"/>
    <w:rsid w:val="00841B50"/>
    <w:rsid w:val="00841B58"/>
    <w:rsid w:val="00841B6A"/>
    <w:rsid w:val="00841CC5"/>
    <w:rsid w:val="00841EC1"/>
    <w:rsid w:val="00841F92"/>
    <w:rsid w:val="00841FA1"/>
    <w:rsid w:val="00842128"/>
    <w:rsid w:val="008421A3"/>
    <w:rsid w:val="00842205"/>
    <w:rsid w:val="00842245"/>
    <w:rsid w:val="00842261"/>
    <w:rsid w:val="008422F8"/>
    <w:rsid w:val="0084230C"/>
    <w:rsid w:val="00842486"/>
    <w:rsid w:val="00842490"/>
    <w:rsid w:val="008425D2"/>
    <w:rsid w:val="008425E6"/>
    <w:rsid w:val="00842644"/>
    <w:rsid w:val="008426F2"/>
    <w:rsid w:val="0084271E"/>
    <w:rsid w:val="008427AF"/>
    <w:rsid w:val="0084289D"/>
    <w:rsid w:val="008428EC"/>
    <w:rsid w:val="00842A22"/>
    <w:rsid w:val="00842B8B"/>
    <w:rsid w:val="00842B9C"/>
    <w:rsid w:val="00842BAD"/>
    <w:rsid w:val="00842BCC"/>
    <w:rsid w:val="00842CB6"/>
    <w:rsid w:val="00842D30"/>
    <w:rsid w:val="00842D33"/>
    <w:rsid w:val="00842D79"/>
    <w:rsid w:val="00842DCA"/>
    <w:rsid w:val="00842DF4"/>
    <w:rsid w:val="00842E94"/>
    <w:rsid w:val="0084302A"/>
    <w:rsid w:val="00843037"/>
    <w:rsid w:val="0084307E"/>
    <w:rsid w:val="00843150"/>
    <w:rsid w:val="0084315B"/>
    <w:rsid w:val="00843189"/>
    <w:rsid w:val="00843193"/>
    <w:rsid w:val="008431CF"/>
    <w:rsid w:val="008432D1"/>
    <w:rsid w:val="0084339B"/>
    <w:rsid w:val="008433C8"/>
    <w:rsid w:val="0084341A"/>
    <w:rsid w:val="0084343B"/>
    <w:rsid w:val="00843549"/>
    <w:rsid w:val="0084354B"/>
    <w:rsid w:val="00843553"/>
    <w:rsid w:val="00843684"/>
    <w:rsid w:val="008436F0"/>
    <w:rsid w:val="008437B3"/>
    <w:rsid w:val="008437C5"/>
    <w:rsid w:val="008437D5"/>
    <w:rsid w:val="00843808"/>
    <w:rsid w:val="0084387F"/>
    <w:rsid w:val="00843A59"/>
    <w:rsid w:val="00843AAE"/>
    <w:rsid w:val="00843CCE"/>
    <w:rsid w:val="00843D78"/>
    <w:rsid w:val="00843E32"/>
    <w:rsid w:val="00843EB7"/>
    <w:rsid w:val="008440F3"/>
    <w:rsid w:val="008440FB"/>
    <w:rsid w:val="00844129"/>
    <w:rsid w:val="008441DB"/>
    <w:rsid w:val="008441F4"/>
    <w:rsid w:val="008441FF"/>
    <w:rsid w:val="008443D6"/>
    <w:rsid w:val="008443F4"/>
    <w:rsid w:val="00844422"/>
    <w:rsid w:val="00844463"/>
    <w:rsid w:val="0084447A"/>
    <w:rsid w:val="00844563"/>
    <w:rsid w:val="00844657"/>
    <w:rsid w:val="00844666"/>
    <w:rsid w:val="008446B1"/>
    <w:rsid w:val="008446BD"/>
    <w:rsid w:val="00844718"/>
    <w:rsid w:val="00844777"/>
    <w:rsid w:val="008447B1"/>
    <w:rsid w:val="008447ED"/>
    <w:rsid w:val="008447F5"/>
    <w:rsid w:val="00844832"/>
    <w:rsid w:val="00844873"/>
    <w:rsid w:val="008449BF"/>
    <w:rsid w:val="00844A68"/>
    <w:rsid w:val="00844A8D"/>
    <w:rsid w:val="00844AA3"/>
    <w:rsid w:val="00844B40"/>
    <w:rsid w:val="00844BBB"/>
    <w:rsid w:val="00844BDC"/>
    <w:rsid w:val="00844BEF"/>
    <w:rsid w:val="00844C26"/>
    <w:rsid w:val="00844D16"/>
    <w:rsid w:val="00844E64"/>
    <w:rsid w:val="00844FE2"/>
    <w:rsid w:val="00844FE9"/>
    <w:rsid w:val="00845077"/>
    <w:rsid w:val="008450AC"/>
    <w:rsid w:val="00845103"/>
    <w:rsid w:val="0084524D"/>
    <w:rsid w:val="00845281"/>
    <w:rsid w:val="008453A2"/>
    <w:rsid w:val="008454F2"/>
    <w:rsid w:val="0084558E"/>
    <w:rsid w:val="00845615"/>
    <w:rsid w:val="008457A7"/>
    <w:rsid w:val="008457CD"/>
    <w:rsid w:val="008457D4"/>
    <w:rsid w:val="008458CA"/>
    <w:rsid w:val="00845A04"/>
    <w:rsid w:val="00845B38"/>
    <w:rsid w:val="00845CD7"/>
    <w:rsid w:val="00845D16"/>
    <w:rsid w:val="00845F87"/>
    <w:rsid w:val="00846003"/>
    <w:rsid w:val="0084616D"/>
    <w:rsid w:val="00846240"/>
    <w:rsid w:val="008462BC"/>
    <w:rsid w:val="00846300"/>
    <w:rsid w:val="00846301"/>
    <w:rsid w:val="0084635D"/>
    <w:rsid w:val="008464CF"/>
    <w:rsid w:val="0084651A"/>
    <w:rsid w:val="0084659B"/>
    <w:rsid w:val="0084661C"/>
    <w:rsid w:val="00846668"/>
    <w:rsid w:val="008466FC"/>
    <w:rsid w:val="0084676C"/>
    <w:rsid w:val="008467A1"/>
    <w:rsid w:val="00846927"/>
    <w:rsid w:val="00846A4E"/>
    <w:rsid w:val="00846AF8"/>
    <w:rsid w:val="00846B53"/>
    <w:rsid w:val="00846B69"/>
    <w:rsid w:val="00846C32"/>
    <w:rsid w:val="00846CE6"/>
    <w:rsid w:val="00846CF2"/>
    <w:rsid w:val="00846D92"/>
    <w:rsid w:val="00846E3F"/>
    <w:rsid w:val="00846E61"/>
    <w:rsid w:val="00846E9A"/>
    <w:rsid w:val="00846FEB"/>
    <w:rsid w:val="0084706B"/>
    <w:rsid w:val="008470D6"/>
    <w:rsid w:val="00847164"/>
    <w:rsid w:val="008471AE"/>
    <w:rsid w:val="00847228"/>
    <w:rsid w:val="0084728B"/>
    <w:rsid w:val="008473A0"/>
    <w:rsid w:val="008473B7"/>
    <w:rsid w:val="008474E4"/>
    <w:rsid w:val="00847569"/>
    <w:rsid w:val="00847619"/>
    <w:rsid w:val="00847721"/>
    <w:rsid w:val="00847773"/>
    <w:rsid w:val="008477B4"/>
    <w:rsid w:val="00847A68"/>
    <w:rsid w:val="00847C6A"/>
    <w:rsid w:val="00847F0E"/>
    <w:rsid w:val="00847F81"/>
    <w:rsid w:val="00847FBC"/>
    <w:rsid w:val="00850038"/>
    <w:rsid w:val="00850196"/>
    <w:rsid w:val="008501DF"/>
    <w:rsid w:val="00850284"/>
    <w:rsid w:val="00850349"/>
    <w:rsid w:val="00850384"/>
    <w:rsid w:val="00850477"/>
    <w:rsid w:val="00850544"/>
    <w:rsid w:val="008505D0"/>
    <w:rsid w:val="008505E0"/>
    <w:rsid w:val="00850866"/>
    <w:rsid w:val="00850869"/>
    <w:rsid w:val="008508E8"/>
    <w:rsid w:val="00850904"/>
    <w:rsid w:val="00850917"/>
    <w:rsid w:val="008509C0"/>
    <w:rsid w:val="00850B01"/>
    <w:rsid w:val="00850B17"/>
    <w:rsid w:val="00850B64"/>
    <w:rsid w:val="00850BF1"/>
    <w:rsid w:val="00850CEF"/>
    <w:rsid w:val="00850E63"/>
    <w:rsid w:val="00850EF2"/>
    <w:rsid w:val="00850F01"/>
    <w:rsid w:val="00851028"/>
    <w:rsid w:val="00851100"/>
    <w:rsid w:val="00851129"/>
    <w:rsid w:val="008511A2"/>
    <w:rsid w:val="008511A7"/>
    <w:rsid w:val="008511AC"/>
    <w:rsid w:val="008511B2"/>
    <w:rsid w:val="008512CC"/>
    <w:rsid w:val="008513F6"/>
    <w:rsid w:val="00851547"/>
    <w:rsid w:val="008515FD"/>
    <w:rsid w:val="00851769"/>
    <w:rsid w:val="008517F4"/>
    <w:rsid w:val="0085189C"/>
    <w:rsid w:val="0085191B"/>
    <w:rsid w:val="0085199E"/>
    <w:rsid w:val="00851C0E"/>
    <w:rsid w:val="00851C2B"/>
    <w:rsid w:val="00851CD6"/>
    <w:rsid w:val="00851E4C"/>
    <w:rsid w:val="00851E55"/>
    <w:rsid w:val="00851ECB"/>
    <w:rsid w:val="00851F93"/>
    <w:rsid w:val="00852218"/>
    <w:rsid w:val="00852248"/>
    <w:rsid w:val="008522CB"/>
    <w:rsid w:val="008522F9"/>
    <w:rsid w:val="0085236D"/>
    <w:rsid w:val="00852429"/>
    <w:rsid w:val="0085263F"/>
    <w:rsid w:val="008526A1"/>
    <w:rsid w:val="008526E9"/>
    <w:rsid w:val="00852770"/>
    <w:rsid w:val="00852776"/>
    <w:rsid w:val="0085287C"/>
    <w:rsid w:val="008528C6"/>
    <w:rsid w:val="008528D2"/>
    <w:rsid w:val="008528DD"/>
    <w:rsid w:val="0085291F"/>
    <w:rsid w:val="00852965"/>
    <w:rsid w:val="00852A42"/>
    <w:rsid w:val="00852A74"/>
    <w:rsid w:val="00852B03"/>
    <w:rsid w:val="00852B29"/>
    <w:rsid w:val="00852CF2"/>
    <w:rsid w:val="00852E89"/>
    <w:rsid w:val="00852EE6"/>
    <w:rsid w:val="00852F19"/>
    <w:rsid w:val="00852F4A"/>
    <w:rsid w:val="008530E9"/>
    <w:rsid w:val="008531E6"/>
    <w:rsid w:val="0085321B"/>
    <w:rsid w:val="0085325F"/>
    <w:rsid w:val="0085337C"/>
    <w:rsid w:val="00853415"/>
    <w:rsid w:val="0085341E"/>
    <w:rsid w:val="008536D3"/>
    <w:rsid w:val="0085383E"/>
    <w:rsid w:val="008538F9"/>
    <w:rsid w:val="00853912"/>
    <w:rsid w:val="00853926"/>
    <w:rsid w:val="008539E8"/>
    <w:rsid w:val="00853A8C"/>
    <w:rsid w:val="00853AA2"/>
    <w:rsid w:val="00853AF0"/>
    <w:rsid w:val="00853BD1"/>
    <w:rsid w:val="00853C34"/>
    <w:rsid w:val="00853DFD"/>
    <w:rsid w:val="00853F13"/>
    <w:rsid w:val="00853FB2"/>
    <w:rsid w:val="00853FBC"/>
    <w:rsid w:val="0085415D"/>
    <w:rsid w:val="008541CF"/>
    <w:rsid w:val="00854237"/>
    <w:rsid w:val="008542E4"/>
    <w:rsid w:val="00854405"/>
    <w:rsid w:val="00854434"/>
    <w:rsid w:val="0085446F"/>
    <w:rsid w:val="008544CD"/>
    <w:rsid w:val="00854560"/>
    <w:rsid w:val="0085456B"/>
    <w:rsid w:val="00854597"/>
    <w:rsid w:val="0085469E"/>
    <w:rsid w:val="0085470F"/>
    <w:rsid w:val="0085473F"/>
    <w:rsid w:val="0085492C"/>
    <w:rsid w:val="008549A8"/>
    <w:rsid w:val="008549FC"/>
    <w:rsid w:val="00854A09"/>
    <w:rsid w:val="00854A28"/>
    <w:rsid w:val="00854B79"/>
    <w:rsid w:val="00854B99"/>
    <w:rsid w:val="00854D0E"/>
    <w:rsid w:val="00854D29"/>
    <w:rsid w:val="00854D9C"/>
    <w:rsid w:val="00854DE9"/>
    <w:rsid w:val="00854DF1"/>
    <w:rsid w:val="00854E55"/>
    <w:rsid w:val="00854EB1"/>
    <w:rsid w:val="00854F41"/>
    <w:rsid w:val="008550B9"/>
    <w:rsid w:val="00855116"/>
    <w:rsid w:val="0085521C"/>
    <w:rsid w:val="0085523F"/>
    <w:rsid w:val="00855397"/>
    <w:rsid w:val="0085543D"/>
    <w:rsid w:val="00855460"/>
    <w:rsid w:val="00855480"/>
    <w:rsid w:val="008554BC"/>
    <w:rsid w:val="008555F7"/>
    <w:rsid w:val="00855646"/>
    <w:rsid w:val="008556DE"/>
    <w:rsid w:val="00855774"/>
    <w:rsid w:val="00855873"/>
    <w:rsid w:val="008558E4"/>
    <w:rsid w:val="008558F7"/>
    <w:rsid w:val="00855936"/>
    <w:rsid w:val="0085594F"/>
    <w:rsid w:val="00855ACF"/>
    <w:rsid w:val="00855D23"/>
    <w:rsid w:val="00855DFF"/>
    <w:rsid w:val="00855E81"/>
    <w:rsid w:val="00855FE8"/>
    <w:rsid w:val="00855FFF"/>
    <w:rsid w:val="0085616E"/>
    <w:rsid w:val="0085618A"/>
    <w:rsid w:val="008561B0"/>
    <w:rsid w:val="00856341"/>
    <w:rsid w:val="00856356"/>
    <w:rsid w:val="00856399"/>
    <w:rsid w:val="008563F5"/>
    <w:rsid w:val="008563F6"/>
    <w:rsid w:val="00856523"/>
    <w:rsid w:val="008566C9"/>
    <w:rsid w:val="008566CC"/>
    <w:rsid w:val="0085680A"/>
    <w:rsid w:val="008568E4"/>
    <w:rsid w:val="0085699C"/>
    <w:rsid w:val="00856A4E"/>
    <w:rsid w:val="00856A51"/>
    <w:rsid w:val="00856A94"/>
    <w:rsid w:val="00856B6E"/>
    <w:rsid w:val="00856BA1"/>
    <w:rsid w:val="00856D7D"/>
    <w:rsid w:val="00856D80"/>
    <w:rsid w:val="00856D90"/>
    <w:rsid w:val="00856DA3"/>
    <w:rsid w:val="00856F98"/>
    <w:rsid w:val="00856FEE"/>
    <w:rsid w:val="00857019"/>
    <w:rsid w:val="008570DF"/>
    <w:rsid w:val="00857192"/>
    <w:rsid w:val="00857230"/>
    <w:rsid w:val="00857318"/>
    <w:rsid w:val="008573EE"/>
    <w:rsid w:val="0085744A"/>
    <w:rsid w:val="0085746B"/>
    <w:rsid w:val="008575D2"/>
    <w:rsid w:val="00857630"/>
    <w:rsid w:val="00857648"/>
    <w:rsid w:val="00857709"/>
    <w:rsid w:val="00857858"/>
    <w:rsid w:val="008578C8"/>
    <w:rsid w:val="008578FF"/>
    <w:rsid w:val="00857900"/>
    <w:rsid w:val="00857969"/>
    <w:rsid w:val="00857A1C"/>
    <w:rsid w:val="00857AAC"/>
    <w:rsid w:val="00857AD0"/>
    <w:rsid w:val="00857C0D"/>
    <w:rsid w:val="00857C65"/>
    <w:rsid w:val="00857D0A"/>
    <w:rsid w:val="00857D3E"/>
    <w:rsid w:val="00857EA5"/>
    <w:rsid w:val="00857F4C"/>
    <w:rsid w:val="00857F5F"/>
    <w:rsid w:val="0086004A"/>
    <w:rsid w:val="00860142"/>
    <w:rsid w:val="008601A6"/>
    <w:rsid w:val="00860246"/>
    <w:rsid w:val="008603DF"/>
    <w:rsid w:val="00860408"/>
    <w:rsid w:val="008604EE"/>
    <w:rsid w:val="0086053B"/>
    <w:rsid w:val="00860551"/>
    <w:rsid w:val="008606F6"/>
    <w:rsid w:val="00860706"/>
    <w:rsid w:val="008608A1"/>
    <w:rsid w:val="008609E1"/>
    <w:rsid w:val="00860AAF"/>
    <w:rsid w:val="00860B08"/>
    <w:rsid w:val="00860CDB"/>
    <w:rsid w:val="00860D9B"/>
    <w:rsid w:val="00860E8D"/>
    <w:rsid w:val="00860ED4"/>
    <w:rsid w:val="00860F1F"/>
    <w:rsid w:val="00860FB3"/>
    <w:rsid w:val="00861070"/>
    <w:rsid w:val="00861379"/>
    <w:rsid w:val="008614D4"/>
    <w:rsid w:val="008615CB"/>
    <w:rsid w:val="00861623"/>
    <w:rsid w:val="0086163B"/>
    <w:rsid w:val="00861669"/>
    <w:rsid w:val="0086167C"/>
    <w:rsid w:val="00861825"/>
    <w:rsid w:val="00861847"/>
    <w:rsid w:val="008618A2"/>
    <w:rsid w:val="00861900"/>
    <w:rsid w:val="00861A54"/>
    <w:rsid w:val="00861B3C"/>
    <w:rsid w:val="00861B3E"/>
    <w:rsid w:val="00861C1C"/>
    <w:rsid w:val="00861CC6"/>
    <w:rsid w:val="00861D39"/>
    <w:rsid w:val="00861D66"/>
    <w:rsid w:val="00861DB4"/>
    <w:rsid w:val="00861F7D"/>
    <w:rsid w:val="00862048"/>
    <w:rsid w:val="008620D7"/>
    <w:rsid w:val="0086212C"/>
    <w:rsid w:val="00862186"/>
    <w:rsid w:val="00862222"/>
    <w:rsid w:val="00862307"/>
    <w:rsid w:val="00862370"/>
    <w:rsid w:val="008623C1"/>
    <w:rsid w:val="008623EC"/>
    <w:rsid w:val="008624EA"/>
    <w:rsid w:val="00862786"/>
    <w:rsid w:val="0086283F"/>
    <w:rsid w:val="00862875"/>
    <w:rsid w:val="00862883"/>
    <w:rsid w:val="00862999"/>
    <w:rsid w:val="00862A7A"/>
    <w:rsid w:val="00862A99"/>
    <w:rsid w:val="00862BFD"/>
    <w:rsid w:val="00862CAA"/>
    <w:rsid w:val="00862E98"/>
    <w:rsid w:val="00862F14"/>
    <w:rsid w:val="00863043"/>
    <w:rsid w:val="008630C1"/>
    <w:rsid w:val="008630DF"/>
    <w:rsid w:val="008631F1"/>
    <w:rsid w:val="00863271"/>
    <w:rsid w:val="008632E5"/>
    <w:rsid w:val="0086339F"/>
    <w:rsid w:val="008633ED"/>
    <w:rsid w:val="00863456"/>
    <w:rsid w:val="008634AA"/>
    <w:rsid w:val="00863605"/>
    <w:rsid w:val="00863639"/>
    <w:rsid w:val="00863684"/>
    <w:rsid w:val="00863744"/>
    <w:rsid w:val="00863785"/>
    <w:rsid w:val="00863805"/>
    <w:rsid w:val="0086388B"/>
    <w:rsid w:val="00863946"/>
    <w:rsid w:val="00863A5A"/>
    <w:rsid w:val="00863A68"/>
    <w:rsid w:val="00863A8D"/>
    <w:rsid w:val="00863B3D"/>
    <w:rsid w:val="00863BE7"/>
    <w:rsid w:val="00863C27"/>
    <w:rsid w:val="00863C2D"/>
    <w:rsid w:val="00863CB1"/>
    <w:rsid w:val="00863D56"/>
    <w:rsid w:val="00863DDF"/>
    <w:rsid w:val="00863E16"/>
    <w:rsid w:val="00863E5E"/>
    <w:rsid w:val="00863E71"/>
    <w:rsid w:val="00863EFF"/>
    <w:rsid w:val="00863F5B"/>
    <w:rsid w:val="00863F64"/>
    <w:rsid w:val="0086403A"/>
    <w:rsid w:val="008640BA"/>
    <w:rsid w:val="0086410D"/>
    <w:rsid w:val="0086416A"/>
    <w:rsid w:val="0086417A"/>
    <w:rsid w:val="0086425B"/>
    <w:rsid w:val="008642FB"/>
    <w:rsid w:val="00864602"/>
    <w:rsid w:val="0086461B"/>
    <w:rsid w:val="00864715"/>
    <w:rsid w:val="00864724"/>
    <w:rsid w:val="008647D6"/>
    <w:rsid w:val="0086481B"/>
    <w:rsid w:val="0086487F"/>
    <w:rsid w:val="0086492B"/>
    <w:rsid w:val="00864976"/>
    <w:rsid w:val="00864A29"/>
    <w:rsid w:val="00864A40"/>
    <w:rsid w:val="00864A4D"/>
    <w:rsid w:val="00864BD7"/>
    <w:rsid w:val="00864BDB"/>
    <w:rsid w:val="00864CC7"/>
    <w:rsid w:val="00864D5A"/>
    <w:rsid w:val="00864DF6"/>
    <w:rsid w:val="00864E90"/>
    <w:rsid w:val="00864EA7"/>
    <w:rsid w:val="00864EAB"/>
    <w:rsid w:val="00864FB7"/>
    <w:rsid w:val="0086500E"/>
    <w:rsid w:val="0086505B"/>
    <w:rsid w:val="008651C3"/>
    <w:rsid w:val="00865235"/>
    <w:rsid w:val="008653D0"/>
    <w:rsid w:val="008653E1"/>
    <w:rsid w:val="0086541D"/>
    <w:rsid w:val="00865450"/>
    <w:rsid w:val="0086545D"/>
    <w:rsid w:val="008654D2"/>
    <w:rsid w:val="00865522"/>
    <w:rsid w:val="00865606"/>
    <w:rsid w:val="008656A6"/>
    <w:rsid w:val="0086574B"/>
    <w:rsid w:val="008657B2"/>
    <w:rsid w:val="0086580A"/>
    <w:rsid w:val="00865A0E"/>
    <w:rsid w:val="00865ADC"/>
    <w:rsid w:val="00865B9C"/>
    <w:rsid w:val="00865C0A"/>
    <w:rsid w:val="00865CBA"/>
    <w:rsid w:val="00865CF4"/>
    <w:rsid w:val="00865D31"/>
    <w:rsid w:val="00865D68"/>
    <w:rsid w:val="00865DC0"/>
    <w:rsid w:val="00865E05"/>
    <w:rsid w:val="00865F4C"/>
    <w:rsid w:val="0086607F"/>
    <w:rsid w:val="0086608E"/>
    <w:rsid w:val="008660C3"/>
    <w:rsid w:val="0086611E"/>
    <w:rsid w:val="008661DA"/>
    <w:rsid w:val="00866236"/>
    <w:rsid w:val="008662A5"/>
    <w:rsid w:val="008664EA"/>
    <w:rsid w:val="00866596"/>
    <w:rsid w:val="00866613"/>
    <w:rsid w:val="00866630"/>
    <w:rsid w:val="0086678E"/>
    <w:rsid w:val="00866792"/>
    <w:rsid w:val="00866832"/>
    <w:rsid w:val="008668B4"/>
    <w:rsid w:val="008668E1"/>
    <w:rsid w:val="00866906"/>
    <w:rsid w:val="00866975"/>
    <w:rsid w:val="00866A09"/>
    <w:rsid w:val="00866CA5"/>
    <w:rsid w:val="00866D9C"/>
    <w:rsid w:val="00866DD3"/>
    <w:rsid w:val="00866E00"/>
    <w:rsid w:val="00866E8A"/>
    <w:rsid w:val="00866EEA"/>
    <w:rsid w:val="00866F72"/>
    <w:rsid w:val="0086702B"/>
    <w:rsid w:val="0086714E"/>
    <w:rsid w:val="0086715D"/>
    <w:rsid w:val="00867340"/>
    <w:rsid w:val="0086736B"/>
    <w:rsid w:val="0086748B"/>
    <w:rsid w:val="00867493"/>
    <w:rsid w:val="008674E8"/>
    <w:rsid w:val="00867529"/>
    <w:rsid w:val="00867572"/>
    <w:rsid w:val="0086765A"/>
    <w:rsid w:val="008677B1"/>
    <w:rsid w:val="00867919"/>
    <w:rsid w:val="00867935"/>
    <w:rsid w:val="00867974"/>
    <w:rsid w:val="00867A7F"/>
    <w:rsid w:val="00867AFA"/>
    <w:rsid w:val="00867B51"/>
    <w:rsid w:val="00867BD7"/>
    <w:rsid w:val="00867C5F"/>
    <w:rsid w:val="00867CC6"/>
    <w:rsid w:val="00867CD2"/>
    <w:rsid w:val="00867CF1"/>
    <w:rsid w:val="00867D36"/>
    <w:rsid w:val="00867DBC"/>
    <w:rsid w:val="00867F2F"/>
    <w:rsid w:val="00870002"/>
    <w:rsid w:val="008702A4"/>
    <w:rsid w:val="00870360"/>
    <w:rsid w:val="00870373"/>
    <w:rsid w:val="008703EF"/>
    <w:rsid w:val="00870575"/>
    <w:rsid w:val="008705E9"/>
    <w:rsid w:val="008705FB"/>
    <w:rsid w:val="00870650"/>
    <w:rsid w:val="008706F8"/>
    <w:rsid w:val="0087071D"/>
    <w:rsid w:val="008708DD"/>
    <w:rsid w:val="00870ACD"/>
    <w:rsid w:val="00870BB4"/>
    <w:rsid w:val="00870BD0"/>
    <w:rsid w:val="00870CE3"/>
    <w:rsid w:val="00870CFA"/>
    <w:rsid w:val="00870FAB"/>
    <w:rsid w:val="00870FAE"/>
    <w:rsid w:val="008710A7"/>
    <w:rsid w:val="0087110D"/>
    <w:rsid w:val="008712A5"/>
    <w:rsid w:val="0087136E"/>
    <w:rsid w:val="00871397"/>
    <w:rsid w:val="008713C9"/>
    <w:rsid w:val="00871423"/>
    <w:rsid w:val="00871440"/>
    <w:rsid w:val="00871452"/>
    <w:rsid w:val="008715C9"/>
    <w:rsid w:val="008717DE"/>
    <w:rsid w:val="00871860"/>
    <w:rsid w:val="008718A8"/>
    <w:rsid w:val="008719A0"/>
    <w:rsid w:val="00871A4E"/>
    <w:rsid w:val="00871A7B"/>
    <w:rsid w:val="00871A84"/>
    <w:rsid w:val="00871BF3"/>
    <w:rsid w:val="00871C7C"/>
    <w:rsid w:val="00871E81"/>
    <w:rsid w:val="00872038"/>
    <w:rsid w:val="0087203E"/>
    <w:rsid w:val="00872069"/>
    <w:rsid w:val="0087209C"/>
    <w:rsid w:val="00872141"/>
    <w:rsid w:val="00872190"/>
    <w:rsid w:val="008721EB"/>
    <w:rsid w:val="00872201"/>
    <w:rsid w:val="00872223"/>
    <w:rsid w:val="00872230"/>
    <w:rsid w:val="008722AF"/>
    <w:rsid w:val="008722DA"/>
    <w:rsid w:val="00872343"/>
    <w:rsid w:val="0087239E"/>
    <w:rsid w:val="00872489"/>
    <w:rsid w:val="008724C3"/>
    <w:rsid w:val="008724F8"/>
    <w:rsid w:val="008725AB"/>
    <w:rsid w:val="00872795"/>
    <w:rsid w:val="008727FE"/>
    <w:rsid w:val="00872890"/>
    <w:rsid w:val="008728CD"/>
    <w:rsid w:val="0087298C"/>
    <w:rsid w:val="00872B21"/>
    <w:rsid w:val="00872B68"/>
    <w:rsid w:val="00872B7F"/>
    <w:rsid w:val="00872C37"/>
    <w:rsid w:val="00872CED"/>
    <w:rsid w:val="00872D65"/>
    <w:rsid w:val="00872D75"/>
    <w:rsid w:val="00872D96"/>
    <w:rsid w:val="00872E5F"/>
    <w:rsid w:val="00872EBD"/>
    <w:rsid w:val="00873081"/>
    <w:rsid w:val="008730C1"/>
    <w:rsid w:val="008732C5"/>
    <w:rsid w:val="008734ED"/>
    <w:rsid w:val="00873510"/>
    <w:rsid w:val="00873538"/>
    <w:rsid w:val="00873675"/>
    <w:rsid w:val="008736AA"/>
    <w:rsid w:val="0087372E"/>
    <w:rsid w:val="008737CB"/>
    <w:rsid w:val="00873896"/>
    <w:rsid w:val="00873948"/>
    <w:rsid w:val="0087395A"/>
    <w:rsid w:val="008739EB"/>
    <w:rsid w:val="00873A03"/>
    <w:rsid w:val="00873A41"/>
    <w:rsid w:val="00873A8E"/>
    <w:rsid w:val="00873A95"/>
    <w:rsid w:val="00873B47"/>
    <w:rsid w:val="00873CC5"/>
    <w:rsid w:val="00873CE3"/>
    <w:rsid w:val="00873E09"/>
    <w:rsid w:val="00873E2C"/>
    <w:rsid w:val="00873F03"/>
    <w:rsid w:val="00873F21"/>
    <w:rsid w:val="00873F49"/>
    <w:rsid w:val="00873F95"/>
    <w:rsid w:val="0087404F"/>
    <w:rsid w:val="008740B6"/>
    <w:rsid w:val="0087410B"/>
    <w:rsid w:val="0087423B"/>
    <w:rsid w:val="00874292"/>
    <w:rsid w:val="00874390"/>
    <w:rsid w:val="008743D4"/>
    <w:rsid w:val="00874483"/>
    <w:rsid w:val="00874484"/>
    <w:rsid w:val="008744EF"/>
    <w:rsid w:val="008745C8"/>
    <w:rsid w:val="008746DE"/>
    <w:rsid w:val="008746E7"/>
    <w:rsid w:val="008747A3"/>
    <w:rsid w:val="008747A9"/>
    <w:rsid w:val="0087483D"/>
    <w:rsid w:val="00874844"/>
    <w:rsid w:val="0087484E"/>
    <w:rsid w:val="0087485F"/>
    <w:rsid w:val="008748EF"/>
    <w:rsid w:val="00874910"/>
    <w:rsid w:val="00874924"/>
    <w:rsid w:val="00874A72"/>
    <w:rsid w:val="00874A84"/>
    <w:rsid w:val="00874B2C"/>
    <w:rsid w:val="00874BC4"/>
    <w:rsid w:val="00874BCD"/>
    <w:rsid w:val="00874BFC"/>
    <w:rsid w:val="00874D29"/>
    <w:rsid w:val="00874D6E"/>
    <w:rsid w:val="00874DD9"/>
    <w:rsid w:val="00874EB9"/>
    <w:rsid w:val="00874ECD"/>
    <w:rsid w:val="00874F7A"/>
    <w:rsid w:val="0087500D"/>
    <w:rsid w:val="008750A8"/>
    <w:rsid w:val="008750EA"/>
    <w:rsid w:val="008751A0"/>
    <w:rsid w:val="008751BF"/>
    <w:rsid w:val="00875285"/>
    <w:rsid w:val="008752B6"/>
    <w:rsid w:val="008752B9"/>
    <w:rsid w:val="008753B4"/>
    <w:rsid w:val="008753C3"/>
    <w:rsid w:val="00875520"/>
    <w:rsid w:val="00875660"/>
    <w:rsid w:val="008756D0"/>
    <w:rsid w:val="008757E2"/>
    <w:rsid w:val="008757FC"/>
    <w:rsid w:val="0087588E"/>
    <w:rsid w:val="008758E7"/>
    <w:rsid w:val="008758F5"/>
    <w:rsid w:val="00875983"/>
    <w:rsid w:val="008759DD"/>
    <w:rsid w:val="00875B48"/>
    <w:rsid w:val="00875BB3"/>
    <w:rsid w:val="00875C07"/>
    <w:rsid w:val="00875C2E"/>
    <w:rsid w:val="00875CAB"/>
    <w:rsid w:val="00875CAF"/>
    <w:rsid w:val="00875CB5"/>
    <w:rsid w:val="00875D49"/>
    <w:rsid w:val="00875F6D"/>
    <w:rsid w:val="00876096"/>
    <w:rsid w:val="00876182"/>
    <w:rsid w:val="0087620C"/>
    <w:rsid w:val="0087628A"/>
    <w:rsid w:val="0087636F"/>
    <w:rsid w:val="0087649B"/>
    <w:rsid w:val="0087649E"/>
    <w:rsid w:val="00876519"/>
    <w:rsid w:val="00876544"/>
    <w:rsid w:val="008765A8"/>
    <w:rsid w:val="0087663C"/>
    <w:rsid w:val="008766B6"/>
    <w:rsid w:val="008766EC"/>
    <w:rsid w:val="00876740"/>
    <w:rsid w:val="0087675F"/>
    <w:rsid w:val="00876978"/>
    <w:rsid w:val="00876AF8"/>
    <w:rsid w:val="00876BC1"/>
    <w:rsid w:val="00876BDE"/>
    <w:rsid w:val="00876BEC"/>
    <w:rsid w:val="00876C35"/>
    <w:rsid w:val="00876E63"/>
    <w:rsid w:val="00876E80"/>
    <w:rsid w:val="00876F6B"/>
    <w:rsid w:val="00876FE9"/>
    <w:rsid w:val="00877048"/>
    <w:rsid w:val="00877156"/>
    <w:rsid w:val="008771C7"/>
    <w:rsid w:val="008771FE"/>
    <w:rsid w:val="00877364"/>
    <w:rsid w:val="008773E6"/>
    <w:rsid w:val="0087749A"/>
    <w:rsid w:val="008775AF"/>
    <w:rsid w:val="00877646"/>
    <w:rsid w:val="00877707"/>
    <w:rsid w:val="0087770F"/>
    <w:rsid w:val="00877726"/>
    <w:rsid w:val="0087781C"/>
    <w:rsid w:val="008778B2"/>
    <w:rsid w:val="008778FB"/>
    <w:rsid w:val="00877948"/>
    <w:rsid w:val="008779A9"/>
    <w:rsid w:val="008779AD"/>
    <w:rsid w:val="008779EA"/>
    <w:rsid w:val="00877A5C"/>
    <w:rsid w:val="00877AD8"/>
    <w:rsid w:val="00877B1A"/>
    <w:rsid w:val="00877B6B"/>
    <w:rsid w:val="00877BB4"/>
    <w:rsid w:val="00877C44"/>
    <w:rsid w:val="00877CC7"/>
    <w:rsid w:val="00877CDC"/>
    <w:rsid w:val="00877DAC"/>
    <w:rsid w:val="00877E70"/>
    <w:rsid w:val="00880074"/>
    <w:rsid w:val="00880186"/>
    <w:rsid w:val="00880480"/>
    <w:rsid w:val="008804FF"/>
    <w:rsid w:val="0088053B"/>
    <w:rsid w:val="0088056F"/>
    <w:rsid w:val="00880582"/>
    <w:rsid w:val="00880652"/>
    <w:rsid w:val="008806FA"/>
    <w:rsid w:val="0088095D"/>
    <w:rsid w:val="00880970"/>
    <w:rsid w:val="008809E4"/>
    <w:rsid w:val="00880A9D"/>
    <w:rsid w:val="00880AD9"/>
    <w:rsid w:val="00880B40"/>
    <w:rsid w:val="00880BD5"/>
    <w:rsid w:val="00880BDD"/>
    <w:rsid w:val="00880C0A"/>
    <w:rsid w:val="00880C68"/>
    <w:rsid w:val="00880C86"/>
    <w:rsid w:val="00880D34"/>
    <w:rsid w:val="00880D44"/>
    <w:rsid w:val="00880DC3"/>
    <w:rsid w:val="00880F4F"/>
    <w:rsid w:val="00880F56"/>
    <w:rsid w:val="00880FAD"/>
    <w:rsid w:val="00880FDA"/>
    <w:rsid w:val="0088111F"/>
    <w:rsid w:val="00881141"/>
    <w:rsid w:val="008811BD"/>
    <w:rsid w:val="008811DB"/>
    <w:rsid w:val="00881212"/>
    <w:rsid w:val="0088140F"/>
    <w:rsid w:val="008815E3"/>
    <w:rsid w:val="00881687"/>
    <w:rsid w:val="0088172B"/>
    <w:rsid w:val="0088172C"/>
    <w:rsid w:val="00881780"/>
    <w:rsid w:val="008817E1"/>
    <w:rsid w:val="00881832"/>
    <w:rsid w:val="008818B2"/>
    <w:rsid w:val="008818B6"/>
    <w:rsid w:val="008819B7"/>
    <w:rsid w:val="008819E0"/>
    <w:rsid w:val="00881AE6"/>
    <w:rsid w:val="00881B03"/>
    <w:rsid w:val="00881D11"/>
    <w:rsid w:val="00881D15"/>
    <w:rsid w:val="00881D36"/>
    <w:rsid w:val="00881E43"/>
    <w:rsid w:val="00881EF6"/>
    <w:rsid w:val="00882050"/>
    <w:rsid w:val="0088223A"/>
    <w:rsid w:val="00882325"/>
    <w:rsid w:val="008823CF"/>
    <w:rsid w:val="008826AF"/>
    <w:rsid w:val="0088278F"/>
    <w:rsid w:val="00882816"/>
    <w:rsid w:val="008828E2"/>
    <w:rsid w:val="008829D3"/>
    <w:rsid w:val="00882A32"/>
    <w:rsid w:val="00882B13"/>
    <w:rsid w:val="00882B99"/>
    <w:rsid w:val="00882BEF"/>
    <w:rsid w:val="00882C78"/>
    <w:rsid w:val="00882CC4"/>
    <w:rsid w:val="00882D14"/>
    <w:rsid w:val="00882D9C"/>
    <w:rsid w:val="00882E4F"/>
    <w:rsid w:val="00882E7C"/>
    <w:rsid w:val="00882EA0"/>
    <w:rsid w:val="00882F68"/>
    <w:rsid w:val="00882FB0"/>
    <w:rsid w:val="0088307B"/>
    <w:rsid w:val="00883239"/>
    <w:rsid w:val="008832D3"/>
    <w:rsid w:val="00883356"/>
    <w:rsid w:val="0088335A"/>
    <w:rsid w:val="00883377"/>
    <w:rsid w:val="008833E4"/>
    <w:rsid w:val="0088343E"/>
    <w:rsid w:val="00883460"/>
    <w:rsid w:val="00883494"/>
    <w:rsid w:val="00883599"/>
    <w:rsid w:val="00883736"/>
    <w:rsid w:val="008837E5"/>
    <w:rsid w:val="00883835"/>
    <w:rsid w:val="008839AD"/>
    <w:rsid w:val="008839E7"/>
    <w:rsid w:val="00883A39"/>
    <w:rsid w:val="00883A59"/>
    <w:rsid w:val="00883AD5"/>
    <w:rsid w:val="00883B5D"/>
    <w:rsid w:val="00883D5B"/>
    <w:rsid w:val="00883DA5"/>
    <w:rsid w:val="00883DE7"/>
    <w:rsid w:val="00883EDB"/>
    <w:rsid w:val="00883F9D"/>
    <w:rsid w:val="00883FE3"/>
    <w:rsid w:val="008841B6"/>
    <w:rsid w:val="0088429D"/>
    <w:rsid w:val="00884308"/>
    <w:rsid w:val="0088432E"/>
    <w:rsid w:val="00884384"/>
    <w:rsid w:val="008843AA"/>
    <w:rsid w:val="008843AB"/>
    <w:rsid w:val="00884469"/>
    <w:rsid w:val="0088447E"/>
    <w:rsid w:val="008844AC"/>
    <w:rsid w:val="00884530"/>
    <w:rsid w:val="008845F8"/>
    <w:rsid w:val="0088463A"/>
    <w:rsid w:val="008846D9"/>
    <w:rsid w:val="008847A5"/>
    <w:rsid w:val="008847AB"/>
    <w:rsid w:val="008847C9"/>
    <w:rsid w:val="0088496E"/>
    <w:rsid w:val="00884A08"/>
    <w:rsid w:val="00884A4C"/>
    <w:rsid w:val="00884A81"/>
    <w:rsid w:val="00884A9D"/>
    <w:rsid w:val="00884B73"/>
    <w:rsid w:val="00884B82"/>
    <w:rsid w:val="00884DB8"/>
    <w:rsid w:val="00884E0E"/>
    <w:rsid w:val="00884E16"/>
    <w:rsid w:val="00884EA0"/>
    <w:rsid w:val="00884EB0"/>
    <w:rsid w:val="00884FB8"/>
    <w:rsid w:val="0088509D"/>
    <w:rsid w:val="008851CB"/>
    <w:rsid w:val="008851CC"/>
    <w:rsid w:val="0088528B"/>
    <w:rsid w:val="008852A4"/>
    <w:rsid w:val="008852E3"/>
    <w:rsid w:val="00885319"/>
    <w:rsid w:val="008854A0"/>
    <w:rsid w:val="008854BF"/>
    <w:rsid w:val="008854F3"/>
    <w:rsid w:val="008854FF"/>
    <w:rsid w:val="0088554C"/>
    <w:rsid w:val="0088556D"/>
    <w:rsid w:val="008855E3"/>
    <w:rsid w:val="00885689"/>
    <w:rsid w:val="008856FA"/>
    <w:rsid w:val="008857A9"/>
    <w:rsid w:val="008858FF"/>
    <w:rsid w:val="0088598A"/>
    <w:rsid w:val="008859BB"/>
    <w:rsid w:val="008859EA"/>
    <w:rsid w:val="00885A3D"/>
    <w:rsid w:val="00885AA1"/>
    <w:rsid w:val="00885AF7"/>
    <w:rsid w:val="00885AFC"/>
    <w:rsid w:val="00885BBD"/>
    <w:rsid w:val="00885BD6"/>
    <w:rsid w:val="00885BE9"/>
    <w:rsid w:val="00885DCB"/>
    <w:rsid w:val="00885E22"/>
    <w:rsid w:val="00885E4C"/>
    <w:rsid w:val="00885E96"/>
    <w:rsid w:val="00885F19"/>
    <w:rsid w:val="0088611B"/>
    <w:rsid w:val="00886154"/>
    <w:rsid w:val="00886268"/>
    <w:rsid w:val="0088640A"/>
    <w:rsid w:val="00886449"/>
    <w:rsid w:val="008864E4"/>
    <w:rsid w:val="0088653C"/>
    <w:rsid w:val="008866E7"/>
    <w:rsid w:val="008866EE"/>
    <w:rsid w:val="008866FA"/>
    <w:rsid w:val="00886885"/>
    <w:rsid w:val="008868D4"/>
    <w:rsid w:val="00886905"/>
    <w:rsid w:val="00886B14"/>
    <w:rsid w:val="00886B33"/>
    <w:rsid w:val="00886B5A"/>
    <w:rsid w:val="00886CA9"/>
    <w:rsid w:val="00886CCA"/>
    <w:rsid w:val="00886D8F"/>
    <w:rsid w:val="00886E3D"/>
    <w:rsid w:val="00886E49"/>
    <w:rsid w:val="00886E7B"/>
    <w:rsid w:val="00886F7E"/>
    <w:rsid w:val="008871D9"/>
    <w:rsid w:val="0088723E"/>
    <w:rsid w:val="0088726D"/>
    <w:rsid w:val="0088728A"/>
    <w:rsid w:val="00887409"/>
    <w:rsid w:val="00887452"/>
    <w:rsid w:val="008875CF"/>
    <w:rsid w:val="00887698"/>
    <w:rsid w:val="00887775"/>
    <w:rsid w:val="00887800"/>
    <w:rsid w:val="008879CC"/>
    <w:rsid w:val="00887A43"/>
    <w:rsid w:val="00887C1E"/>
    <w:rsid w:val="00887C78"/>
    <w:rsid w:val="00887CB2"/>
    <w:rsid w:val="00887E02"/>
    <w:rsid w:val="00887E46"/>
    <w:rsid w:val="00887F83"/>
    <w:rsid w:val="0089006C"/>
    <w:rsid w:val="008901BD"/>
    <w:rsid w:val="00890212"/>
    <w:rsid w:val="0089033A"/>
    <w:rsid w:val="008903E7"/>
    <w:rsid w:val="0089040A"/>
    <w:rsid w:val="00890448"/>
    <w:rsid w:val="0089047F"/>
    <w:rsid w:val="008904EB"/>
    <w:rsid w:val="00890539"/>
    <w:rsid w:val="0089063A"/>
    <w:rsid w:val="008906D1"/>
    <w:rsid w:val="00890773"/>
    <w:rsid w:val="0089078B"/>
    <w:rsid w:val="008907A9"/>
    <w:rsid w:val="008907BE"/>
    <w:rsid w:val="008909E2"/>
    <w:rsid w:val="00890A05"/>
    <w:rsid w:val="00890A3C"/>
    <w:rsid w:val="00890AFC"/>
    <w:rsid w:val="00890C3D"/>
    <w:rsid w:val="00890CAD"/>
    <w:rsid w:val="00890E43"/>
    <w:rsid w:val="00890E76"/>
    <w:rsid w:val="00890EAC"/>
    <w:rsid w:val="00890EEB"/>
    <w:rsid w:val="00890F1F"/>
    <w:rsid w:val="00890F76"/>
    <w:rsid w:val="00890F93"/>
    <w:rsid w:val="0089105F"/>
    <w:rsid w:val="00891064"/>
    <w:rsid w:val="008911A8"/>
    <w:rsid w:val="008911EB"/>
    <w:rsid w:val="00891210"/>
    <w:rsid w:val="00891238"/>
    <w:rsid w:val="008912E2"/>
    <w:rsid w:val="0089163A"/>
    <w:rsid w:val="008918E9"/>
    <w:rsid w:val="00891942"/>
    <w:rsid w:val="008919CD"/>
    <w:rsid w:val="00891A8C"/>
    <w:rsid w:val="00891AA0"/>
    <w:rsid w:val="00891B07"/>
    <w:rsid w:val="00891B6F"/>
    <w:rsid w:val="00891C49"/>
    <w:rsid w:val="00891CA6"/>
    <w:rsid w:val="00891D04"/>
    <w:rsid w:val="00891D58"/>
    <w:rsid w:val="00891D89"/>
    <w:rsid w:val="00891DE3"/>
    <w:rsid w:val="00891E98"/>
    <w:rsid w:val="00891F36"/>
    <w:rsid w:val="00891F73"/>
    <w:rsid w:val="00891FCB"/>
    <w:rsid w:val="00892169"/>
    <w:rsid w:val="00892202"/>
    <w:rsid w:val="0089241E"/>
    <w:rsid w:val="008924DD"/>
    <w:rsid w:val="0089251C"/>
    <w:rsid w:val="0089255A"/>
    <w:rsid w:val="00892591"/>
    <w:rsid w:val="00892752"/>
    <w:rsid w:val="008927B3"/>
    <w:rsid w:val="0089282F"/>
    <w:rsid w:val="008928FC"/>
    <w:rsid w:val="00892911"/>
    <w:rsid w:val="008929CF"/>
    <w:rsid w:val="00892A2A"/>
    <w:rsid w:val="00892A6F"/>
    <w:rsid w:val="00892A98"/>
    <w:rsid w:val="00892AD8"/>
    <w:rsid w:val="00892B43"/>
    <w:rsid w:val="00892CE3"/>
    <w:rsid w:val="00892D31"/>
    <w:rsid w:val="00892D5D"/>
    <w:rsid w:val="00892D7E"/>
    <w:rsid w:val="00892DF6"/>
    <w:rsid w:val="00892F1F"/>
    <w:rsid w:val="00893055"/>
    <w:rsid w:val="0089305A"/>
    <w:rsid w:val="008930E1"/>
    <w:rsid w:val="008930F5"/>
    <w:rsid w:val="0089313D"/>
    <w:rsid w:val="008931E3"/>
    <w:rsid w:val="00893201"/>
    <w:rsid w:val="00893232"/>
    <w:rsid w:val="0089324E"/>
    <w:rsid w:val="00893296"/>
    <w:rsid w:val="008932DA"/>
    <w:rsid w:val="00893340"/>
    <w:rsid w:val="00893358"/>
    <w:rsid w:val="00893482"/>
    <w:rsid w:val="0089350F"/>
    <w:rsid w:val="00893576"/>
    <w:rsid w:val="00893595"/>
    <w:rsid w:val="00893627"/>
    <w:rsid w:val="0089363F"/>
    <w:rsid w:val="00893719"/>
    <w:rsid w:val="0089371D"/>
    <w:rsid w:val="00893781"/>
    <w:rsid w:val="00893809"/>
    <w:rsid w:val="0089397D"/>
    <w:rsid w:val="008939AD"/>
    <w:rsid w:val="008939E7"/>
    <w:rsid w:val="00893A6A"/>
    <w:rsid w:val="00893BED"/>
    <w:rsid w:val="00893BF1"/>
    <w:rsid w:val="00893D79"/>
    <w:rsid w:val="00893DC0"/>
    <w:rsid w:val="00893F94"/>
    <w:rsid w:val="008940A8"/>
    <w:rsid w:val="008940EA"/>
    <w:rsid w:val="00894113"/>
    <w:rsid w:val="0089411E"/>
    <w:rsid w:val="008941A4"/>
    <w:rsid w:val="00894207"/>
    <w:rsid w:val="00894271"/>
    <w:rsid w:val="008943B2"/>
    <w:rsid w:val="008943C6"/>
    <w:rsid w:val="008943DD"/>
    <w:rsid w:val="008944F3"/>
    <w:rsid w:val="00894513"/>
    <w:rsid w:val="0089455F"/>
    <w:rsid w:val="0089467F"/>
    <w:rsid w:val="008947AC"/>
    <w:rsid w:val="0089486E"/>
    <w:rsid w:val="00894979"/>
    <w:rsid w:val="00894997"/>
    <w:rsid w:val="008949B3"/>
    <w:rsid w:val="00894AF8"/>
    <w:rsid w:val="00894B12"/>
    <w:rsid w:val="00894BA2"/>
    <w:rsid w:val="00894C9F"/>
    <w:rsid w:val="00894D2D"/>
    <w:rsid w:val="00894D3F"/>
    <w:rsid w:val="00894F1D"/>
    <w:rsid w:val="00894F5A"/>
    <w:rsid w:val="00894F73"/>
    <w:rsid w:val="00894FCE"/>
    <w:rsid w:val="00894FD4"/>
    <w:rsid w:val="00895039"/>
    <w:rsid w:val="00895081"/>
    <w:rsid w:val="0089518B"/>
    <w:rsid w:val="008951A0"/>
    <w:rsid w:val="008951EE"/>
    <w:rsid w:val="008951F8"/>
    <w:rsid w:val="0089524A"/>
    <w:rsid w:val="00895262"/>
    <w:rsid w:val="00895294"/>
    <w:rsid w:val="008952BD"/>
    <w:rsid w:val="008952E5"/>
    <w:rsid w:val="00895305"/>
    <w:rsid w:val="00895336"/>
    <w:rsid w:val="00895406"/>
    <w:rsid w:val="0089542A"/>
    <w:rsid w:val="00895474"/>
    <w:rsid w:val="008954B4"/>
    <w:rsid w:val="008954C6"/>
    <w:rsid w:val="00895554"/>
    <w:rsid w:val="008955E7"/>
    <w:rsid w:val="00895629"/>
    <w:rsid w:val="00895763"/>
    <w:rsid w:val="0089586E"/>
    <w:rsid w:val="008958C1"/>
    <w:rsid w:val="0089596E"/>
    <w:rsid w:val="00895B01"/>
    <w:rsid w:val="00895B6A"/>
    <w:rsid w:val="00895C1D"/>
    <w:rsid w:val="00895D2F"/>
    <w:rsid w:val="00895D60"/>
    <w:rsid w:val="00895E45"/>
    <w:rsid w:val="00895E70"/>
    <w:rsid w:val="00895EC9"/>
    <w:rsid w:val="00895F92"/>
    <w:rsid w:val="00895F99"/>
    <w:rsid w:val="00896002"/>
    <w:rsid w:val="0089609D"/>
    <w:rsid w:val="0089615E"/>
    <w:rsid w:val="00896247"/>
    <w:rsid w:val="0089627B"/>
    <w:rsid w:val="008963AB"/>
    <w:rsid w:val="00896424"/>
    <w:rsid w:val="0089643A"/>
    <w:rsid w:val="00896545"/>
    <w:rsid w:val="00896623"/>
    <w:rsid w:val="0089676D"/>
    <w:rsid w:val="008968B9"/>
    <w:rsid w:val="00896912"/>
    <w:rsid w:val="0089692A"/>
    <w:rsid w:val="00896AF6"/>
    <w:rsid w:val="00896BCD"/>
    <w:rsid w:val="00896BEB"/>
    <w:rsid w:val="00896C7B"/>
    <w:rsid w:val="00896D44"/>
    <w:rsid w:val="00896DDA"/>
    <w:rsid w:val="00896E37"/>
    <w:rsid w:val="00896E51"/>
    <w:rsid w:val="00896E5B"/>
    <w:rsid w:val="00896EC4"/>
    <w:rsid w:val="00897089"/>
    <w:rsid w:val="008970CD"/>
    <w:rsid w:val="0089719F"/>
    <w:rsid w:val="008971D9"/>
    <w:rsid w:val="008972BF"/>
    <w:rsid w:val="0089731B"/>
    <w:rsid w:val="00897321"/>
    <w:rsid w:val="00897386"/>
    <w:rsid w:val="008975BE"/>
    <w:rsid w:val="00897793"/>
    <w:rsid w:val="008977DC"/>
    <w:rsid w:val="00897863"/>
    <w:rsid w:val="008979C2"/>
    <w:rsid w:val="008979DA"/>
    <w:rsid w:val="00897C22"/>
    <w:rsid w:val="00897C23"/>
    <w:rsid w:val="00897C50"/>
    <w:rsid w:val="00897CFF"/>
    <w:rsid w:val="00897DA6"/>
    <w:rsid w:val="00897E08"/>
    <w:rsid w:val="00897E35"/>
    <w:rsid w:val="00897ED4"/>
    <w:rsid w:val="00897F46"/>
    <w:rsid w:val="00897F79"/>
    <w:rsid w:val="00897FAE"/>
    <w:rsid w:val="008A007F"/>
    <w:rsid w:val="008A00C3"/>
    <w:rsid w:val="008A0110"/>
    <w:rsid w:val="008A0134"/>
    <w:rsid w:val="008A01A1"/>
    <w:rsid w:val="008A01D3"/>
    <w:rsid w:val="008A01E1"/>
    <w:rsid w:val="008A0256"/>
    <w:rsid w:val="008A0353"/>
    <w:rsid w:val="008A03FE"/>
    <w:rsid w:val="008A04CE"/>
    <w:rsid w:val="008A0575"/>
    <w:rsid w:val="008A0576"/>
    <w:rsid w:val="008A05C1"/>
    <w:rsid w:val="008A05CD"/>
    <w:rsid w:val="008A05E7"/>
    <w:rsid w:val="008A0673"/>
    <w:rsid w:val="008A06B6"/>
    <w:rsid w:val="008A06C8"/>
    <w:rsid w:val="008A080E"/>
    <w:rsid w:val="008A081E"/>
    <w:rsid w:val="008A0836"/>
    <w:rsid w:val="008A08B2"/>
    <w:rsid w:val="008A090C"/>
    <w:rsid w:val="008A09F6"/>
    <w:rsid w:val="008A0A4F"/>
    <w:rsid w:val="008A0AEC"/>
    <w:rsid w:val="008A0B09"/>
    <w:rsid w:val="008A0B9F"/>
    <w:rsid w:val="008A0BB4"/>
    <w:rsid w:val="008A0C85"/>
    <w:rsid w:val="008A0D25"/>
    <w:rsid w:val="008A0D36"/>
    <w:rsid w:val="008A0D49"/>
    <w:rsid w:val="008A0E25"/>
    <w:rsid w:val="008A0E29"/>
    <w:rsid w:val="008A0F82"/>
    <w:rsid w:val="008A0FD1"/>
    <w:rsid w:val="008A1010"/>
    <w:rsid w:val="008A1028"/>
    <w:rsid w:val="008A11BB"/>
    <w:rsid w:val="008A13D7"/>
    <w:rsid w:val="008A1431"/>
    <w:rsid w:val="008A1447"/>
    <w:rsid w:val="008A14DC"/>
    <w:rsid w:val="008A152F"/>
    <w:rsid w:val="008A15C1"/>
    <w:rsid w:val="008A15EF"/>
    <w:rsid w:val="008A16E2"/>
    <w:rsid w:val="008A1721"/>
    <w:rsid w:val="008A18BF"/>
    <w:rsid w:val="008A18CD"/>
    <w:rsid w:val="008A18D7"/>
    <w:rsid w:val="008A1A3E"/>
    <w:rsid w:val="008A1AC5"/>
    <w:rsid w:val="008A1BA0"/>
    <w:rsid w:val="008A1C57"/>
    <w:rsid w:val="008A1D63"/>
    <w:rsid w:val="008A1D64"/>
    <w:rsid w:val="008A1F5A"/>
    <w:rsid w:val="008A1F88"/>
    <w:rsid w:val="008A20CB"/>
    <w:rsid w:val="008A20F3"/>
    <w:rsid w:val="008A2186"/>
    <w:rsid w:val="008A238D"/>
    <w:rsid w:val="008A23F0"/>
    <w:rsid w:val="008A24F8"/>
    <w:rsid w:val="008A24FE"/>
    <w:rsid w:val="008A257A"/>
    <w:rsid w:val="008A259E"/>
    <w:rsid w:val="008A25EA"/>
    <w:rsid w:val="008A261C"/>
    <w:rsid w:val="008A26DF"/>
    <w:rsid w:val="008A26E2"/>
    <w:rsid w:val="008A27E1"/>
    <w:rsid w:val="008A2914"/>
    <w:rsid w:val="008A2924"/>
    <w:rsid w:val="008A2936"/>
    <w:rsid w:val="008A29B0"/>
    <w:rsid w:val="008A29E9"/>
    <w:rsid w:val="008A2A09"/>
    <w:rsid w:val="008A2AD0"/>
    <w:rsid w:val="008A2C05"/>
    <w:rsid w:val="008A2D90"/>
    <w:rsid w:val="008A2DEB"/>
    <w:rsid w:val="008A2F53"/>
    <w:rsid w:val="008A2F82"/>
    <w:rsid w:val="008A2FBE"/>
    <w:rsid w:val="008A3056"/>
    <w:rsid w:val="008A30E5"/>
    <w:rsid w:val="008A30ED"/>
    <w:rsid w:val="008A32EE"/>
    <w:rsid w:val="008A3355"/>
    <w:rsid w:val="008A33DA"/>
    <w:rsid w:val="008A36AD"/>
    <w:rsid w:val="008A3722"/>
    <w:rsid w:val="008A3783"/>
    <w:rsid w:val="008A38DC"/>
    <w:rsid w:val="008A390E"/>
    <w:rsid w:val="008A39ED"/>
    <w:rsid w:val="008A3A48"/>
    <w:rsid w:val="008A3B44"/>
    <w:rsid w:val="008A3C03"/>
    <w:rsid w:val="008A3C6C"/>
    <w:rsid w:val="008A3D3B"/>
    <w:rsid w:val="008A3D68"/>
    <w:rsid w:val="008A3DC1"/>
    <w:rsid w:val="008A3DC3"/>
    <w:rsid w:val="008A3EE9"/>
    <w:rsid w:val="008A3F39"/>
    <w:rsid w:val="008A3F94"/>
    <w:rsid w:val="008A3FF4"/>
    <w:rsid w:val="008A4017"/>
    <w:rsid w:val="008A4191"/>
    <w:rsid w:val="008A41D9"/>
    <w:rsid w:val="008A4377"/>
    <w:rsid w:val="008A4420"/>
    <w:rsid w:val="008A4447"/>
    <w:rsid w:val="008A46B5"/>
    <w:rsid w:val="008A46F0"/>
    <w:rsid w:val="008A4848"/>
    <w:rsid w:val="008A4878"/>
    <w:rsid w:val="008A48A9"/>
    <w:rsid w:val="008A48C7"/>
    <w:rsid w:val="008A4AD2"/>
    <w:rsid w:val="008A4B1D"/>
    <w:rsid w:val="008A4C14"/>
    <w:rsid w:val="008A4CD1"/>
    <w:rsid w:val="008A4CF7"/>
    <w:rsid w:val="008A4EF8"/>
    <w:rsid w:val="008A5011"/>
    <w:rsid w:val="008A5028"/>
    <w:rsid w:val="008A517A"/>
    <w:rsid w:val="008A521E"/>
    <w:rsid w:val="008A5220"/>
    <w:rsid w:val="008A52D0"/>
    <w:rsid w:val="008A52D6"/>
    <w:rsid w:val="008A532C"/>
    <w:rsid w:val="008A55B2"/>
    <w:rsid w:val="008A55CD"/>
    <w:rsid w:val="008A55DD"/>
    <w:rsid w:val="008A5743"/>
    <w:rsid w:val="008A5752"/>
    <w:rsid w:val="008A592A"/>
    <w:rsid w:val="008A59B9"/>
    <w:rsid w:val="008A5AE8"/>
    <w:rsid w:val="008A5BDA"/>
    <w:rsid w:val="008A5BE6"/>
    <w:rsid w:val="008A5C23"/>
    <w:rsid w:val="008A5C5D"/>
    <w:rsid w:val="008A5CEA"/>
    <w:rsid w:val="008A5DB9"/>
    <w:rsid w:val="008A5E15"/>
    <w:rsid w:val="008A5FA8"/>
    <w:rsid w:val="008A6078"/>
    <w:rsid w:val="008A60A0"/>
    <w:rsid w:val="008A60E8"/>
    <w:rsid w:val="008A6188"/>
    <w:rsid w:val="008A618B"/>
    <w:rsid w:val="008A622F"/>
    <w:rsid w:val="008A6295"/>
    <w:rsid w:val="008A62D2"/>
    <w:rsid w:val="008A62E1"/>
    <w:rsid w:val="008A6371"/>
    <w:rsid w:val="008A637C"/>
    <w:rsid w:val="008A63ED"/>
    <w:rsid w:val="008A648C"/>
    <w:rsid w:val="008A649A"/>
    <w:rsid w:val="008A64A8"/>
    <w:rsid w:val="008A64DF"/>
    <w:rsid w:val="008A652A"/>
    <w:rsid w:val="008A65DF"/>
    <w:rsid w:val="008A6678"/>
    <w:rsid w:val="008A66DE"/>
    <w:rsid w:val="008A674C"/>
    <w:rsid w:val="008A67BF"/>
    <w:rsid w:val="008A697E"/>
    <w:rsid w:val="008A6BE5"/>
    <w:rsid w:val="008A6C96"/>
    <w:rsid w:val="008A6CEF"/>
    <w:rsid w:val="008A6D71"/>
    <w:rsid w:val="008A6E0A"/>
    <w:rsid w:val="008A6E84"/>
    <w:rsid w:val="008A6E95"/>
    <w:rsid w:val="008A6EEB"/>
    <w:rsid w:val="008A7005"/>
    <w:rsid w:val="008A7013"/>
    <w:rsid w:val="008A70BA"/>
    <w:rsid w:val="008A70EA"/>
    <w:rsid w:val="008A716F"/>
    <w:rsid w:val="008A71B0"/>
    <w:rsid w:val="008A71BA"/>
    <w:rsid w:val="008A723B"/>
    <w:rsid w:val="008A729A"/>
    <w:rsid w:val="008A72C5"/>
    <w:rsid w:val="008A7317"/>
    <w:rsid w:val="008A734B"/>
    <w:rsid w:val="008A73A2"/>
    <w:rsid w:val="008A745F"/>
    <w:rsid w:val="008A7469"/>
    <w:rsid w:val="008A751C"/>
    <w:rsid w:val="008A7682"/>
    <w:rsid w:val="008A77F4"/>
    <w:rsid w:val="008A790C"/>
    <w:rsid w:val="008A792D"/>
    <w:rsid w:val="008A799D"/>
    <w:rsid w:val="008A799F"/>
    <w:rsid w:val="008A7A1A"/>
    <w:rsid w:val="008A7AA3"/>
    <w:rsid w:val="008A7ABD"/>
    <w:rsid w:val="008A7B1D"/>
    <w:rsid w:val="008A7DC4"/>
    <w:rsid w:val="008A7E44"/>
    <w:rsid w:val="008A7E65"/>
    <w:rsid w:val="008A7E97"/>
    <w:rsid w:val="008A7EB1"/>
    <w:rsid w:val="008A7F0F"/>
    <w:rsid w:val="008B0063"/>
    <w:rsid w:val="008B0076"/>
    <w:rsid w:val="008B014D"/>
    <w:rsid w:val="008B015A"/>
    <w:rsid w:val="008B0277"/>
    <w:rsid w:val="008B02CD"/>
    <w:rsid w:val="008B0465"/>
    <w:rsid w:val="008B0467"/>
    <w:rsid w:val="008B04E8"/>
    <w:rsid w:val="008B053F"/>
    <w:rsid w:val="008B05EA"/>
    <w:rsid w:val="008B0631"/>
    <w:rsid w:val="008B06AF"/>
    <w:rsid w:val="008B07F2"/>
    <w:rsid w:val="008B081C"/>
    <w:rsid w:val="008B0833"/>
    <w:rsid w:val="008B0A59"/>
    <w:rsid w:val="008B0A8B"/>
    <w:rsid w:val="008B0AD8"/>
    <w:rsid w:val="008B0B91"/>
    <w:rsid w:val="008B0C07"/>
    <w:rsid w:val="008B0C34"/>
    <w:rsid w:val="008B0C88"/>
    <w:rsid w:val="008B0C9B"/>
    <w:rsid w:val="008B0DC0"/>
    <w:rsid w:val="008B1091"/>
    <w:rsid w:val="008B10F6"/>
    <w:rsid w:val="008B1184"/>
    <w:rsid w:val="008B11A4"/>
    <w:rsid w:val="008B122E"/>
    <w:rsid w:val="008B133B"/>
    <w:rsid w:val="008B1375"/>
    <w:rsid w:val="008B1456"/>
    <w:rsid w:val="008B1553"/>
    <w:rsid w:val="008B162B"/>
    <w:rsid w:val="008B1794"/>
    <w:rsid w:val="008B183A"/>
    <w:rsid w:val="008B19CB"/>
    <w:rsid w:val="008B19D8"/>
    <w:rsid w:val="008B1A23"/>
    <w:rsid w:val="008B1A62"/>
    <w:rsid w:val="008B1B9A"/>
    <w:rsid w:val="008B1BD3"/>
    <w:rsid w:val="008B1D30"/>
    <w:rsid w:val="008B1DEF"/>
    <w:rsid w:val="008B1E48"/>
    <w:rsid w:val="008B1EDA"/>
    <w:rsid w:val="008B1FF0"/>
    <w:rsid w:val="008B210D"/>
    <w:rsid w:val="008B2183"/>
    <w:rsid w:val="008B21DD"/>
    <w:rsid w:val="008B229C"/>
    <w:rsid w:val="008B22FB"/>
    <w:rsid w:val="008B23DD"/>
    <w:rsid w:val="008B23F0"/>
    <w:rsid w:val="008B2492"/>
    <w:rsid w:val="008B24D9"/>
    <w:rsid w:val="008B2542"/>
    <w:rsid w:val="008B25AE"/>
    <w:rsid w:val="008B25B5"/>
    <w:rsid w:val="008B2653"/>
    <w:rsid w:val="008B26A2"/>
    <w:rsid w:val="008B26CC"/>
    <w:rsid w:val="008B2758"/>
    <w:rsid w:val="008B27B2"/>
    <w:rsid w:val="008B2939"/>
    <w:rsid w:val="008B2A68"/>
    <w:rsid w:val="008B2BDE"/>
    <w:rsid w:val="008B2C9F"/>
    <w:rsid w:val="008B2DFF"/>
    <w:rsid w:val="008B2E40"/>
    <w:rsid w:val="008B2F40"/>
    <w:rsid w:val="008B2F57"/>
    <w:rsid w:val="008B30A7"/>
    <w:rsid w:val="008B31E1"/>
    <w:rsid w:val="008B31F2"/>
    <w:rsid w:val="008B32AC"/>
    <w:rsid w:val="008B33FE"/>
    <w:rsid w:val="008B3428"/>
    <w:rsid w:val="008B34DB"/>
    <w:rsid w:val="008B34E4"/>
    <w:rsid w:val="008B35D5"/>
    <w:rsid w:val="008B3693"/>
    <w:rsid w:val="008B36EC"/>
    <w:rsid w:val="008B3753"/>
    <w:rsid w:val="008B3838"/>
    <w:rsid w:val="008B3910"/>
    <w:rsid w:val="008B3956"/>
    <w:rsid w:val="008B3B9F"/>
    <w:rsid w:val="008B3C56"/>
    <w:rsid w:val="008B3D8D"/>
    <w:rsid w:val="008B3EAA"/>
    <w:rsid w:val="008B3F12"/>
    <w:rsid w:val="008B3FAA"/>
    <w:rsid w:val="008B40AF"/>
    <w:rsid w:val="008B4155"/>
    <w:rsid w:val="008B4172"/>
    <w:rsid w:val="008B42D3"/>
    <w:rsid w:val="008B4466"/>
    <w:rsid w:val="008B44D6"/>
    <w:rsid w:val="008B4532"/>
    <w:rsid w:val="008B45A8"/>
    <w:rsid w:val="008B46D4"/>
    <w:rsid w:val="008B4711"/>
    <w:rsid w:val="008B472B"/>
    <w:rsid w:val="008B4807"/>
    <w:rsid w:val="008B4834"/>
    <w:rsid w:val="008B486D"/>
    <w:rsid w:val="008B4975"/>
    <w:rsid w:val="008B49AD"/>
    <w:rsid w:val="008B49C6"/>
    <w:rsid w:val="008B4A2E"/>
    <w:rsid w:val="008B4A7C"/>
    <w:rsid w:val="008B4AD8"/>
    <w:rsid w:val="008B4BF5"/>
    <w:rsid w:val="008B4C92"/>
    <w:rsid w:val="008B4D4A"/>
    <w:rsid w:val="008B4E78"/>
    <w:rsid w:val="008B4ECB"/>
    <w:rsid w:val="008B4EFF"/>
    <w:rsid w:val="008B4F5C"/>
    <w:rsid w:val="008B503E"/>
    <w:rsid w:val="008B525C"/>
    <w:rsid w:val="008B5293"/>
    <w:rsid w:val="008B52C6"/>
    <w:rsid w:val="008B52F5"/>
    <w:rsid w:val="008B5346"/>
    <w:rsid w:val="008B538D"/>
    <w:rsid w:val="008B53B1"/>
    <w:rsid w:val="008B54E4"/>
    <w:rsid w:val="008B556C"/>
    <w:rsid w:val="008B5A0B"/>
    <w:rsid w:val="008B5B24"/>
    <w:rsid w:val="008B5B25"/>
    <w:rsid w:val="008B5E57"/>
    <w:rsid w:val="008B5FBF"/>
    <w:rsid w:val="008B6103"/>
    <w:rsid w:val="008B610D"/>
    <w:rsid w:val="008B6161"/>
    <w:rsid w:val="008B621D"/>
    <w:rsid w:val="008B62F8"/>
    <w:rsid w:val="008B6333"/>
    <w:rsid w:val="008B63A1"/>
    <w:rsid w:val="008B6510"/>
    <w:rsid w:val="008B6516"/>
    <w:rsid w:val="008B651B"/>
    <w:rsid w:val="008B657B"/>
    <w:rsid w:val="008B65E9"/>
    <w:rsid w:val="008B6629"/>
    <w:rsid w:val="008B662C"/>
    <w:rsid w:val="008B673E"/>
    <w:rsid w:val="008B677A"/>
    <w:rsid w:val="008B6797"/>
    <w:rsid w:val="008B67AD"/>
    <w:rsid w:val="008B67B7"/>
    <w:rsid w:val="008B67DA"/>
    <w:rsid w:val="008B67F1"/>
    <w:rsid w:val="008B6831"/>
    <w:rsid w:val="008B6917"/>
    <w:rsid w:val="008B69CF"/>
    <w:rsid w:val="008B6B50"/>
    <w:rsid w:val="008B6CC9"/>
    <w:rsid w:val="008B6D65"/>
    <w:rsid w:val="008B6DB4"/>
    <w:rsid w:val="008B6E65"/>
    <w:rsid w:val="008B6F51"/>
    <w:rsid w:val="008B6F8F"/>
    <w:rsid w:val="008B6F97"/>
    <w:rsid w:val="008B707A"/>
    <w:rsid w:val="008B708C"/>
    <w:rsid w:val="008B73C5"/>
    <w:rsid w:val="008B7423"/>
    <w:rsid w:val="008B7444"/>
    <w:rsid w:val="008B749D"/>
    <w:rsid w:val="008B74D3"/>
    <w:rsid w:val="008B75E0"/>
    <w:rsid w:val="008B75FC"/>
    <w:rsid w:val="008B775F"/>
    <w:rsid w:val="008B77CF"/>
    <w:rsid w:val="008B7890"/>
    <w:rsid w:val="008B78CD"/>
    <w:rsid w:val="008B7900"/>
    <w:rsid w:val="008B79BE"/>
    <w:rsid w:val="008B79FF"/>
    <w:rsid w:val="008B7A16"/>
    <w:rsid w:val="008B7A5D"/>
    <w:rsid w:val="008B7AE7"/>
    <w:rsid w:val="008B7B92"/>
    <w:rsid w:val="008B7D0B"/>
    <w:rsid w:val="008B7E4C"/>
    <w:rsid w:val="008B7E9B"/>
    <w:rsid w:val="008B7FB8"/>
    <w:rsid w:val="008C0004"/>
    <w:rsid w:val="008C0107"/>
    <w:rsid w:val="008C010E"/>
    <w:rsid w:val="008C0180"/>
    <w:rsid w:val="008C03F8"/>
    <w:rsid w:val="008C03FB"/>
    <w:rsid w:val="008C044B"/>
    <w:rsid w:val="008C07BF"/>
    <w:rsid w:val="008C0805"/>
    <w:rsid w:val="008C088C"/>
    <w:rsid w:val="008C08F0"/>
    <w:rsid w:val="008C0AB5"/>
    <w:rsid w:val="008C0B09"/>
    <w:rsid w:val="008C0B44"/>
    <w:rsid w:val="008C0C85"/>
    <w:rsid w:val="008C0C94"/>
    <w:rsid w:val="008C0DD3"/>
    <w:rsid w:val="008C0E07"/>
    <w:rsid w:val="008C0E22"/>
    <w:rsid w:val="008C0FBD"/>
    <w:rsid w:val="008C10C6"/>
    <w:rsid w:val="008C1204"/>
    <w:rsid w:val="008C127A"/>
    <w:rsid w:val="008C139D"/>
    <w:rsid w:val="008C13CC"/>
    <w:rsid w:val="008C152B"/>
    <w:rsid w:val="008C152C"/>
    <w:rsid w:val="008C1530"/>
    <w:rsid w:val="008C1583"/>
    <w:rsid w:val="008C1805"/>
    <w:rsid w:val="008C1809"/>
    <w:rsid w:val="008C1931"/>
    <w:rsid w:val="008C198B"/>
    <w:rsid w:val="008C19A2"/>
    <w:rsid w:val="008C1A5C"/>
    <w:rsid w:val="008C1A84"/>
    <w:rsid w:val="008C1B43"/>
    <w:rsid w:val="008C1C46"/>
    <w:rsid w:val="008C1C54"/>
    <w:rsid w:val="008C1D0C"/>
    <w:rsid w:val="008C1D65"/>
    <w:rsid w:val="008C1DA4"/>
    <w:rsid w:val="008C1EB6"/>
    <w:rsid w:val="008C1EEF"/>
    <w:rsid w:val="008C1EFC"/>
    <w:rsid w:val="008C200E"/>
    <w:rsid w:val="008C206E"/>
    <w:rsid w:val="008C2083"/>
    <w:rsid w:val="008C20D3"/>
    <w:rsid w:val="008C20E6"/>
    <w:rsid w:val="008C21B8"/>
    <w:rsid w:val="008C2218"/>
    <w:rsid w:val="008C2236"/>
    <w:rsid w:val="008C22A0"/>
    <w:rsid w:val="008C2385"/>
    <w:rsid w:val="008C241C"/>
    <w:rsid w:val="008C2441"/>
    <w:rsid w:val="008C2446"/>
    <w:rsid w:val="008C245A"/>
    <w:rsid w:val="008C2658"/>
    <w:rsid w:val="008C268E"/>
    <w:rsid w:val="008C2713"/>
    <w:rsid w:val="008C2750"/>
    <w:rsid w:val="008C2758"/>
    <w:rsid w:val="008C277C"/>
    <w:rsid w:val="008C27B8"/>
    <w:rsid w:val="008C284A"/>
    <w:rsid w:val="008C28E9"/>
    <w:rsid w:val="008C29A3"/>
    <w:rsid w:val="008C29DF"/>
    <w:rsid w:val="008C2A7B"/>
    <w:rsid w:val="008C2E63"/>
    <w:rsid w:val="008C2E69"/>
    <w:rsid w:val="008C2E73"/>
    <w:rsid w:val="008C2E93"/>
    <w:rsid w:val="008C3009"/>
    <w:rsid w:val="008C317A"/>
    <w:rsid w:val="008C31A3"/>
    <w:rsid w:val="008C32F0"/>
    <w:rsid w:val="008C33A2"/>
    <w:rsid w:val="008C3412"/>
    <w:rsid w:val="008C3442"/>
    <w:rsid w:val="008C3488"/>
    <w:rsid w:val="008C34F8"/>
    <w:rsid w:val="008C3516"/>
    <w:rsid w:val="008C355A"/>
    <w:rsid w:val="008C35CE"/>
    <w:rsid w:val="008C3790"/>
    <w:rsid w:val="008C383F"/>
    <w:rsid w:val="008C3966"/>
    <w:rsid w:val="008C399C"/>
    <w:rsid w:val="008C3A47"/>
    <w:rsid w:val="008C3A6C"/>
    <w:rsid w:val="008C3A6F"/>
    <w:rsid w:val="008C3A86"/>
    <w:rsid w:val="008C3AC0"/>
    <w:rsid w:val="008C3BB1"/>
    <w:rsid w:val="008C3DB8"/>
    <w:rsid w:val="008C3DBE"/>
    <w:rsid w:val="008C3DED"/>
    <w:rsid w:val="008C3E43"/>
    <w:rsid w:val="008C405F"/>
    <w:rsid w:val="008C4077"/>
    <w:rsid w:val="008C407B"/>
    <w:rsid w:val="008C40A1"/>
    <w:rsid w:val="008C4225"/>
    <w:rsid w:val="008C4332"/>
    <w:rsid w:val="008C4372"/>
    <w:rsid w:val="008C4516"/>
    <w:rsid w:val="008C4532"/>
    <w:rsid w:val="008C4660"/>
    <w:rsid w:val="008C48DC"/>
    <w:rsid w:val="008C49B0"/>
    <w:rsid w:val="008C49C7"/>
    <w:rsid w:val="008C49EF"/>
    <w:rsid w:val="008C4A14"/>
    <w:rsid w:val="008C4AF8"/>
    <w:rsid w:val="008C4B26"/>
    <w:rsid w:val="008C4BA3"/>
    <w:rsid w:val="008C4E2E"/>
    <w:rsid w:val="008C4E8A"/>
    <w:rsid w:val="008C4F44"/>
    <w:rsid w:val="008C4F69"/>
    <w:rsid w:val="008C4FCD"/>
    <w:rsid w:val="008C4FD8"/>
    <w:rsid w:val="008C5076"/>
    <w:rsid w:val="008C50DF"/>
    <w:rsid w:val="008C50E2"/>
    <w:rsid w:val="008C52FC"/>
    <w:rsid w:val="008C547A"/>
    <w:rsid w:val="008C548E"/>
    <w:rsid w:val="008C54C4"/>
    <w:rsid w:val="008C56E0"/>
    <w:rsid w:val="008C56F0"/>
    <w:rsid w:val="008C5850"/>
    <w:rsid w:val="008C58F0"/>
    <w:rsid w:val="008C592D"/>
    <w:rsid w:val="008C5A19"/>
    <w:rsid w:val="008C5C55"/>
    <w:rsid w:val="008C5C66"/>
    <w:rsid w:val="008C5D18"/>
    <w:rsid w:val="008C5D31"/>
    <w:rsid w:val="008C5D36"/>
    <w:rsid w:val="008C5D41"/>
    <w:rsid w:val="008C5D4B"/>
    <w:rsid w:val="008C5D6F"/>
    <w:rsid w:val="008C5D8B"/>
    <w:rsid w:val="008C5D96"/>
    <w:rsid w:val="008C5F2C"/>
    <w:rsid w:val="008C5F41"/>
    <w:rsid w:val="008C5F5D"/>
    <w:rsid w:val="008C600A"/>
    <w:rsid w:val="008C61BF"/>
    <w:rsid w:val="008C62C1"/>
    <w:rsid w:val="008C62E4"/>
    <w:rsid w:val="008C632B"/>
    <w:rsid w:val="008C6376"/>
    <w:rsid w:val="008C639C"/>
    <w:rsid w:val="008C63BC"/>
    <w:rsid w:val="008C63E1"/>
    <w:rsid w:val="008C65EA"/>
    <w:rsid w:val="008C6612"/>
    <w:rsid w:val="008C6623"/>
    <w:rsid w:val="008C6664"/>
    <w:rsid w:val="008C66B3"/>
    <w:rsid w:val="008C66DF"/>
    <w:rsid w:val="008C66FE"/>
    <w:rsid w:val="008C68DC"/>
    <w:rsid w:val="008C691C"/>
    <w:rsid w:val="008C692A"/>
    <w:rsid w:val="008C695D"/>
    <w:rsid w:val="008C696D"/>
    <w:rsid w:val="008C69CF"/>
    <w:rsid w:val="008C6A09"/>
    <w:rsid w:val="008C6AEB"/>
    <w:rsid w:val="008C6AF6"/>
    <w:rsid w:val="008C6C0A"/>
    <w:rsid w:val="008C6C40"/>
    <w:rsid w:val="008C6C72"/>
    <w:rsid w:val="008C6D60"/>
    <w:rsid w:val="008C6D6E"/>
    <w:rsid w:val="008C6DF3"/>
    <w:rsid w:val="008C6E66"/>
    <w:rsid w:val="008C6E73"/>
    <w:rsid w:val="008C6EC7"/>
    <w:rsid w:val="008C6EC9"/>
    <w:rsid w:val="008C6F1C"/>
    <w:rsid w:val="008C70E0"/>
    <w:rsid w:val="008C7121"/>
    <w:rsid w:val="008C7132"/>
    <w:rsid w:val="008C7291"/>
    <w:rsid w:val="008C7318"/>
    <w:rsid w:val="008C7341"/>
    <w:rsid w:val="008C7379"/>
    <w:rsid w:val="008C7481"/>
    <w:rsid w:val="008C74AB"/>
    <w:rsid w:val="008C759A"/>
    <w:rsid w:val="008C77C3"/>
    <w:rsid w:val="008C7821"/>
    <w:rsid w:val="008C788F"/>
    <w:rsid w:val="008C7A72"/>
    <w:rsid w:val="008C7A99"/>
    <w:rsid w:val="008C7AF6"/>
    <w:rsid w:val="008C7BF3"/>
    <w:rsid w:val="008C7C07"/>
    <w:rsid w:val="008C7C2D"/>
    <w:rsid w:val="008C7CEF"/>
    <w:rsid w:val="008C7D1B"/>
    <w:rsid w:val="008C7D97"/>
    <w:rsid w:val="008C7E52"/>
    <w:rsid w:val="008C7E9B"/>
    <w:rsid w:val="008C7ECE"/>
    <w:rsid w:val="008C7F24"/>
    <w:rsid w:val="008C7F71"/>
    <w:rsid w:val="008D0036"/>
    <w:rsid w:val="008D00EA"/>
    <w:rsid w:val="008D013E"/>
    <w:rsid w:val="008D0248"/>
    <w:rsid w:val="008D0404"/>
    <w:rsid w:val="008D0476"/>
    <w:rsid w:val="008D07A0"/>
    <w:rsid w:val="008D07D3"/>
    <w:rsid w:val="008D0920"/>
    <w:rsid w:val="008D0960"/>
    <w:rsid w:val="008D09A1"/>
    <w:rsid w:val="008D09B5"/>
    <w:rsid w:val="008D09DC"/>
    <w:rsid w:val="008D0A11"/>
    <w:rsid w:val="008D0A27"/>
    <w:rsid w:val="008D0A96"/>
    <w:rsid w:val="008D0AC1"/>
    <w:rsid w:val="008D0B92"/>
    <w:rsid w:val="008D0C2E"/>
    <w:rsid w:val="008D0C42"/>
    <w:rsid w:val="008D0C70"/>
    <w:rsid w:val="008D0C9E"/>
    <w:rsid w:val="008D0CA2"/>
    <w:rsid w:val="008D0CDF"/>
    <w:rsid w:val="008D0D29"/>
    <w:rsid w:val="008D0D58"/>
    <w:rsid w:val="008D0D6B"/>
    <w:rsid w:val="008D0DC9"/>
    <w:rsid w:val="008D0E84"/>
    <w:rsid w:val="008D0EE5"/>
    <w:rsid w:val="008D0F35"/>
    <w:rsid w:val="008D0F4F"/>
    <w:rsid w:val="008D1172"/>
    <w:rsid w:val="008D127C"/>
    <w:rsid w:val="008D12AD"/>
    <w:rsid w:val="008D136F"/>
    <w:rsid w:val="008D1391"/>
    <w:rsid w:val="008D13EB"/>
    <w:rsid w:val="008D13F6"/>
    <w:rsid w:val="008D144A"/>
    <w:rsid w:val="008D145A"/>
    <w:rsid w:val="008D1481"/>
    <w:rsid w:val="008D149F"/>
    <w:rsid w:val="008D1528"/>
    <w:rsid w:val="008D1654"/>
    <w:rsid w:val="008D1676"/>
    <w:rsid w:val="008D1716"/>
    <w:rsid w:val="008D1728"/>
    <w:rsid w:val="008D17E1"/>
    <w:rsid w:val="008D191C"/>
    <w:rsid w:val="008D196B"/>
    <w:rsid w:val="008D1C84"/>
    <w:rsid w:val="008D1E0B"/>
    <w:rsid w:val="008D1E52"/>
    <w:rsid w:val="008D1E5D"/>
    <w:rsid w:val="008D1E5E"/>
    <w:rsid w:val="008D1E82"/>
    <w:rsid w:val="008D212E"/>
    <w:rsid w:val="008D21A5"/>
    <w:rsid w:val="008D21CA"/>
    <w:rsid w:val="008D227D"/>
    <w:rsid w:val="008D23D9"/>
    <w:rsid w:val="008D2518"/>
    <w:rsid w:val="008D266E"/>
    <w:rsid w:val="008D2874"/>
    <w:rsid w:val="008D288E"/>
    <w:rsid w:val="008D28D0"/>
    <w:rsid w:val="008D29A4"/>
    <w:rsid w:val="008D29DB"/>
    <w:rsid w:val="008D2A47"/>
    <w:rsid w:val="008D2A9E"/>
    <w:rsid w:val="008D2CB3"/>
    <w:rsid w:val="008D2CFC"/>
    <w:rsid w:val="008D2DD6"/>
    <w:rsid w:val="008D2DF4"/>
    <w:rsid w:val="008D2E66"/>
    <w:rsid w:val="008D2EC9"/>
    <w:rsid w:val="008D2FA4"/>
    <w:rsid w:val="008D307F"/>
    <w:rsid w:val="008D30F6"/>
    <w:rsid w:val="008D31A7"/>
    <w:rsid w:val="008D3275"/>
    <w:rsid w:val="008D32A7"/>
    <w:rsid w:val="008D32BC"/>
    <w:rsid w:val="008D339F"/>
    <w:rsid w:val="008D33B4"/>
    <w:rsid w:val="008D3403"/>
    <w:rsid w:val="008D3410"/>
    <w:rsid w:val="008D3449"/>
    <w:rsid w:val="008D3557"/>
    <w:rsid w:val="008D355C"/>
    <w:rsid w:val="008D371B"/>
    <w:rsid w:val="008D38F4"/>
    <w:rsid w:val="008D39C4"/>
    <w:rsid w:val="008D3B34"/>
    <w:rsid w:val="008D3B71"/>
    <w:rsid w:val="008D3BC4"/>
    <w:rsid w:val="008D3C00"/>
    <w:rsid w:val="008D3C6A"/>
    <w:rsid w:val="008D3D63"/>
    <w:rsid w:val="008D3F72"/>
    <w:rsid w:val="008D3F91"/>
    <w:rsid w:val="008D41AE"/>
    <w:rsid w:val="008D423E"/>
    <w:rsid w:val="008D42AF"/>
    <w:rsid w:val="008D42CE"/>
    <w:rsid w:val="008D42F6"/>
    <w:rsid w:val="008D4357"/>
    <w:rsid w:val="008D43A0"/>
    <w:rsid w:val="008D43F5"/>
    <w:rsid w:val="008D4443"/>
    <w:rsid w:val="008D449B"/>
    <w:rsid w:val="008D44B8"/>
    <w:rsid w:val="008D44C5"/>
    <w:rsid w:val="008D45C0"/>
    <w:rsid w:val="008D45C6"/>
    <w:rsid w:val="008D45E7"/>
    <w:rsid w:val="008D45F4"/>
    <w:rsid w:val="008D4660"/>
    <w:rsid w:val="008D4677"/>
    <w:rsid w:val="008D47C0"/>
    <w:rsid w:val="008D4802"/>
    <w:rsid w:val="008D489E"/>
    <w:rsid w:val="008D48A9"/>
    <w:rsid w:val="008D4998"/>
    <w:rsid w:val="008D49F9"/>
    <w:rsid w:val="008D4B27"/>
    <w:rsid w:val="008D4B6E"/>
    <w:rsid w:val="008D4C00"/>
    <w:rsid w:val="008D4C4B"/>
    <w:rsid w:val="008D4CC6"/>
    <w:rsid w:val="008D4D09"/>
    <w:rsid w:val="008D4D1B"/>
    <w:rsid w:val="008D4D97"/>
    <w:rsid w:val="008D4FBC"/>
    <w:rsid w:val="008D5028"/>
    <w:rsid w:val="008D5173"/>
    <w:rsid w:val="008D5188"/>
    <w:rsid w:val="008D518B"/>
    <w:rsid w:val="008D532B"/>
    <w:rsid w:val="008D5333"/>
    <w:rsid w:val="008D547A"/>
    <w:rsid w:val="008D547E"/>
    <w:rsid w:val="008D557F"/>
    <w:rsid w:val="008D55E3"/>
    <w:rsid w:val="008D5659"/>
    <w:rsid w:val="008D56D3"/>
    <w:rsid w:val="008D5766"/>
    <w:rsid w:val="008D5897"/>
    <w:rsid w:val="008D589A"/>
    <w:rsid w:val="008D58F3"/>
    <w:rsid w:val="008D59D5"/>
    <w:rsid w:val="008D5A3C"/>
    <w:rsid w:val="008D5B86"/>
    <w:rsid w:val="008D5B8F"/>
    <w:rsid w:val="008D5B9F"/>
    <w:rsid w:val="008D5C05"/>
    <w:rsid w:val="008D5C62"/>
    <w:rsid w:val="008D5C9B"/>
    <w:rsid w:val="008D5CE0"/>
    <w:rsid w:val="008D5D40"/>
    <w:rsid w:val="008D5D60"/>
    <w:rsid w:val="008D5D73"/>
    <w:rsid w:val="008D5E10"/>
    <w:rsid w:val="008D5EF0"/>
    <w:rsid w:val="008D5F7F"/>
    <w:rsid w:val="008D5FA8"/>
    <w:rsid w:val="008D6074"/>
    <w:rsid w:val="008D60ED"/>
    <w:rsid w:val="008D6157"/>
    <w:rsid w:val="008D6160"/>
    <w:rsid w:val="008D616B"/>
    <w:rsid w:val="008D61B8"/>
    <w:rsid w:val="008D61DC"/>
    <w:rsid w:val="008D61F7"/>
    <w:rsid w:val="008D6239"/>
    <w:rsid w:val="008D6243"/>
    <w:rsid w:val="008D6268"/>
    <w:rsid w:val="008D6292"/>
    <w:rsid w:val="008D6322"/>
    <w:rsid w:val="008D637A"/>
    <w:rsid w:val="008D6393"/>
    <w:rsid w:val="008D63FB"/>
    <w:rsid w:val="008D6414"/>
    <w:rsid w:val="008D643D"/>
    <w:rsid w:val="008D648C"/>
    <w:rsid w:val="008D64CD"/>
    <w:rsid w:val="008D6515"/>
    <w:rsid w:val="008D6525"/>
    <w:rsid w:val="008D6532"/>
    <w:rsid w:val="008D653E"/>
    <w:rsid w:val="008D65EA"/>
    <w:rsid w:val="008D663C"/>
    <w:rsid w:val="008D6649"/>
    <w:rsid w:val="008D6807"/>
    <w:rsid w:val="008D6963"/>
    <w:rsid w:val="008D6987"/>
    <w:rsid w:val="008D699F"/>
    <w:rsid w:val="008D6A38"/>
    <w:rsid w:val="008D6B01"/>
    <w:rsid w:val="008D6B2B"/>
    <w:rsid w:val="008D6C74"/>
    <w:rsid w:val="008D6DC4"/>
    <w:rsid w:val="008D6E19"/>
    <w:rsid w:val="008D6EEA"/>
    <w:rsid w:val="008D6F32"/>
    <w:rsid w:val="008D6F78"/>
    <w:rsid w:val="008D7028"/>
    <w:rsid w:val="008D7072"/>
    <w:rsid w:val="008D7094"/>
    <w:rsid w:val="008D70A7"/>
    <w:rsid w:val="008D7101"/>
    <w:rsid w:val="008D7242"/>
    <w:rsid w:val="008D7257"/>
    <w:rsid w:val="008D7285"/>
    <w:rsid w:val="008D72AA"/>
    <w:rsid w:val="008D72E9"/>
    <w:rsid w:val="008D7302"/>
    <w:rsid w:val="008D7414"/>
    <w:rsid w:val="008D74F2"/>
    <w:rsid w:val="008D74FF"/>
    <w:rsid w:val="008D751D"/>
    <w:rsid w:val="008D753E"/>
    <w:rsid w:val="008D76C9"/>
    <w:rsid w:val="008D76E7"/>
    <w:rsid w:val="008D7770"/>
    <w:rsid w:val="008D7774"/>
    <w:rsid w:val="008D7777"/>
    <w:rsid w:val="008D77F9"/>
    <w:rsid w:val="008D785E"/>
    <w:rsid w:val="008D7902"/>
    <w:rsid w:val="008D7990"/>
    <w:rsid w:val="008D7A3F"/>
    <w:rsid w:val="008D7A56"/>
    <w:rsid w:val="008D7B62"/>
    <w:rsid w:val="008D7BED"/>
    <w:rsid w:val="008D7CCC"/>
    <w:rsid w:val="008D7D43"/>
    <w:rsid w:val="008D7EFB"/>
    <w:rsid w:val="008D7EFF"/>
    <w:rsid w:val="008D7F3A"/>
    <w:rsid w:val="008D7FA0"/>
    <w:rsid w:val="008E0041"/>
    <w:rsid w:val="008E019A"/>
    <w:rsid w:val="008E0217"/>
    <w:rsid w:val="008E0400"/>
    <w:rsid w:val="008E0410"/>
    <w:rsid w:val="008E04BA"/>
    <w:rsid w:val="008E04C5"/>
    <w:rsid w:val="008E06C1"/>
    <w:rsid w:val="008E0725"/>
    <w:rsid w:val="008E07DA"/>
    <w:rsid w:val="008E08E3"/>
    <w:rsid w:val="008E08F1"/>
    <w:rsid w:val="008E0980"/>
    <w:rsid w:val="008E0A4D"/>
    <w:rsid w:val="008E0A89"/>
    <w:rsid w:val="008E0A95"/>
    <w:rsid w:val="008E0D9E"/>
    <w:rsid w:val="008E0DA9"/>
    <w:rsid w:val="008E0E83"/>
    <w:rsid w:val="008E0EA1"/>
    <w:rsid w:val="008E0F34"/>
    <w:rsid w:val="008E0F95"/>
    <w:rsid w:val="008E0FB1"/>
    <w:rsid w:val="008E0FCD"/>
    <w:rsid w:val="008E10B4"/>
    <w:rsid w:val="008E129F"/>
    <w:rsid w:val="008E1625"/>
    <w:rsid w:val="008E16B5"/>
    <w:rsid w:val="008E1787"/>
    <w:rsid w:val="008E1791"/>
    <w:rsid w:val="008E18CD"/>
    <w:rsid w:val="008E1965"/>
    <w:rsid w:val="008E1A75"/>
    <w:rsid w:val="008E1BAE"/>
    <w:rsid w:val="008E1BFD"/>
    <w:rsid w:val="008E1C2E"/>
    <w:rsid w:val="008E1CF5"/>
    <w:rsid w:val="008E1D92"/>
    <w:rsid w:val="008E1E60"/>
    <w:rsid w:val="008E1EAD"/>
    <w:rsid w:val="008E1F78"/>
    <w:rsid w:val="008E2000"/>
    <w:rsid w:val="008E201B"/>
    <w:rsid w:val="008E20C2"/>
    <w:rsid w:val="008E2156"/>
    <w:rsid w:val="008E21D0"/>
    <w:rsid w:val="008E2268"/>
    <w:rsid w:val="008E238B"/>
    <w:rsid w:val="008E2467"/>
    <w:rsid w:val="008E24D2"/>
    <w:rsid w:val="008E2559"/>
    <w:rsid w:val="008E2573"/>
    <w:rsid w:val="008E25A8"/>
    <w:rsid w:val="008E2684"/>
    <w:rsid w:val="008E2728"/>
    <w:rsid w:val="008E2774"/>
    <w:rsid w:val="008E2C0C"/>
    <w:rsid w:val="008E2E59"/>
    <w:rsid w:val="008E2EF5"/>
    <w:rsid w:val="008E2FBC"/>
    <w:rsid w:val="008E3034"/>
    <w:rsid w:val="008E314A"/>
    <w:rsid w:val="008E328F"/>
    <w:rsid w:val="008E3318"/>
    <w:rsid w:val="008E343F"/>
    <w:rsid w:val="008E34EC"/>
    <w:rsid w:val="008E3531"/>
    <w:rsid w:val="008E3669"/>
    <w:rsid w:val="008E36A9"/>
    <w:rsid w:val="008E37E4"/>
    <w:rsid w:val="008E3B54"/>
    <w:rsid w:val="008E3B6F"/>
    <w:rsid w:val="008E3BA1"/>
    <w:rsid w:val="008E3CF3"/>
    <w:rsid w:val="008E3D02"/>
    <w:rsid w:val="008E3F4F"/>
    <w:rsid w:val="008E3FDC"/>
    <w:rsid w:val="008E40E4"/>
    <w:rsid w:val="008E40E9"/>
    <w:rsid w:val="008E40FD"/>
    <w:rsid w:val="008E42B3"/>
    <w:rsid w:val="008E430F"/>
    <w:rsid w:val="008E4339"/>
    <w:rsid w:val="008E4525"/>
    <w:rsid w:val="008E4607"/>
    <w:rsid w:val="008E46A9"/>
    <w:rsid w:val="008E46C2"/>
    <w:rsid w:val="008E472F"/>
    <w:rsid w:val="008E4742"/>
    <w:rsid w:val="008E474C"/>
    <w:rsid w:val="008E481F"/>
    <w:rsid w:val="008E4A0C"/>
    <w:rsid w:val="008E4BDE"/>
    <w:rsid w:val="008E4C56"/>
    <w:rsid w:val="008E4C5E"/>
    <w:rsid w:val="008E4CE0"/>
    <w:rsid w:val="008E4DB7"/>
    <w:rsid w:val="008E4E34"/>
    <w:rsid w:val="008E4EBB"/>
    <w:rsid w:val="008E4F74"/>
    <w:rsid w:val="008E5117"/>
    <w:rsid w:val="008E513A"/>
    <w:rsid w:val="008E5173"/>
    <w:rsid w:val="008E51F3"/>
    <w:rsid w:val="008E5299"/>
    <w:rsid w:val="008E52CE"/>
    <w:rsid w:val="008E52DB"/>
    <w:rsid w:val="008E540C"/>
    <w:rsid w:val="008E5466"/>
    <w:rsid w:val="008E54B0"/>
    <w:rsid w:val="008E5644"/>
    <w:rsid w:val="008E5725"/>
    <w:rsid w:val="008E57AA"/>
    <w:rsid w:val="008E5835"/>
    <w:rsid w:val="008E588A"/>
    <w:rsid w:val="008E58EE"/>
    <w:rsid w:val="008E59B0"/>
    <w:rsid w:val="008E5A9B"/>
    <w:rsid w:val="008E5B5B"/>
    <w:rsid w:val="008E5B77"/>
    <w:rsid w:val="008E5C21"/>
    <w:rsid w:val="008E5C5D"/>
    <w:rsid w:val="008E5D6C"/>
    <w:rsid w:val="008E5DDF"/>
    <w:rsid w:val="008E5E9C"/>
    <w:rsid w:val="008E5F05"/>
    <w:rsid w:val="008E5F08"/>
    <w:rsid w:val="008E5FE7"/>
    <w:rsid w:val="008E609E"/>
    <w:rsid w:val="008E612C"/>
    <w:rsid w:val="008E6158"/>
    <w:rsid w:val="008E619E"/>
    <w:rsid w:val="008E6252"/>
    <w:rsid w:val="008E6292"/>
    <w:rsid w:val="008E63E1"/>
    <w:rsid w:val="008E64F3"/>
    <w:rsid w:val="008E6683"/>
    <w:rsid w:val="008E68D6"/>
    <w:rsid w:val="008E68DF"/>
    <w:rsid w:val="008E68E6"/>
    <w:rsid w:val="008E6A76"/>
    <w:rsid w:val="008E6A77"/>
    <w:rsid w:val="008E6BD9"/>
    <w:rsid w:val="008E6C35"/>
    <w:rsid w:val="008E6C8E"/>
    <w:rsid w:val="008E6CD8"/>
    <w:rsid w:val="008E6DA2"/>
    <w:rsid w:val="008E6DDE"/>
    <w:rsid w:val="008E6E44"/>
    <w:rsid w:val="008E6E80"/>
    <w:rsid w:val="008E6EEB"/>
    <w:rsid w:val="008E6F3D"/>
    <w:rsid w:val="008E6F4F"/>
    <w:rsid w:val="008E6F76"/>
    <w:rsid w:val="008E6FDC"/>
    <w:rsid w:val="008E6FE9"/>
    <w:rsid w:val="008E702F"/>
    <w:rsid w:val="008E70FC"/>
    <w:rsid w:val="008E71EE"/>
    <w:rsid w:val="008E73C8"/>
    <w:rsid w:val="008E7533"/>
    <w:rsid w:val="008E75ED"/>
    <w:rsid w:val="008E7695"/>
    <w:rsid w:val="008E7714"/>
    <w:rsid w:val="008E7722"/>
    <w:rsid w:val="008E78D0"/>
    <w:rsid w:val="008E796B"/>
    <w:rsid w:val="008E7989"/>
    <w:rsid w:val="008E7A20"/>
    <w:rsid w:val="008E7BCA"/>
    <w:rsid w:val="008E7C82"/>
    <w:rsid w:val="008E7CFB"/>
    <w:rsid w:val="008E7E20"/>
    <w:rsid w:val="008E7E54"/>
    <w:rsid w:val="008E7E73"/>
    <w:rsid w:val="008E7F2D"/>
    <w:rsid w:val="008E7F5C"/>
    <w:rsid w:val="008F0040"/>
    <w:rsid w:val="008F0079"/>
    <w:rsid w:val="008F018A"/>
    <w:rsid w:val="008F03F2"/>
    <w:rsid w:val="008F048A"/>
    <w:rsid w:val="008F052D"/>
    <w:rsid w:val="008F05CB"/>
    <w:rsid w:val="008F0824"/>
    <w:rsid w:val="008F0831"/>
    <w:rsid w:val="008F0855"/>
    <w:rsid w:val="008F08AD"/>
    <w:rsid w:val="008F092D"/>
    <w:rsid w:val="008F0943"/>
    <w:rsid w:val="008F09ED"/>
    <w:rsid w:val="008F09FC"/>
    <w:rsid w:val="008F0A08"/>
    <w:rsid w:val="008F0B3A"/>
    <w:rsid w:val="008F0B4C"/>
    <w:rsid w:val="008F0DB1"/>
    <w:rsid w:val="008F0E04"/>
    <w:rsid w:val="008F0E6A"/>
    <w:rsid w:val="008F0FCC"/>
    <w:rsid w:val="008F0FEF"/>
    <w:rsid w:val="008F1008"/>
    <w:rsid w:val="008F10C2"/>
    <w:rsid w:val="008F1147"/>
    <w:rsid w:val="008F114F"/>
    <w:rsid w:val="008F11EB"/>
    <w:rsid w:val="008F11F9"/>
    <w:rsid w:val="008F1258"/>
    <w:rsid w:val="008F13BC"/>
    <w:rsid w:val="008F14FB"/>
    <w:rsid w:val="008F1595"/>
    <w:rsid w:val="008F16E7"/>
    <w:rsid w:val="008F1746"/>
    <w:rsid w:val="008F174D"/>
    <w:rsid w:val="008F179F"/>
    <w:rsid w:val="008F17F5"/>
    <w:rsid w:val="008F1804"/>
    <w:rsid w:val="008F181E"/>
    <w:rsid w:val="008F1893"/>
    <w:rsid w:val="008F1904"/>
    <w:rsid w:val="008F1A29"/>
    <w:rsid w:val="008F1A49"/>
    <w:rsid w:val="008F1A72"/>
    <w:rsid w:val="008F1BF4"/>
    <w:rsid w:val="008F1BFC"/>
    <w:rsid w:val="008F1C16"/>
    <w:rsid w:val="008F1C22"/>
    <w:rsid w:val="008F1DB8"/>
    <w:rsid w:val="008F1E36"/>
    <w:rsid w:val="008F1E82"/>
    <w:rsid w:val="008F1EBC"/>
    <w:rsid w:val="008F22BF"/>
    <w:rsid w:val="008F23C3"/>
    <w:rsid w:val="008F23EB"/>
    <w:rsid w:val="008F2408"/>
    <w:rsid w:val="008F240B"/>
    <w:rsid w:val="008F2491"/>
    <w:rsid w:val="008F24FD"/>
    <w:rsid w:val="008F25C8"/>
    <w:rsid w:val="008F25E4"/>
    <w:rsid w:val="008F2614"/>
    <w:rsid w:val="008F2657"/>
    <w:rsid w:val="008F266C"/>
    <w:rsid w:val="008F26C4"/>
    <w:rsid w:val="008F296C"/>
    <w:rsid w:val="008F29E5"/>
    <w:rsid w:val="008F2A31"/>
    <w:rsid w:val="008F2A4C"/>
    <w:rsid w:val="008F2A69"/>
    <w:rsid w:val="008F2B35"/>
    <w:rsid w:val="008F2B58"/>
    <w:rsid w:val="008F2BB5"/>
    <w:rsid w:val="008F2C1A"/>
    <w:rsid w:val="008F2CAD"/>
    <w:rsid w:val="008F2CB3"/>
    <w:rsid w:val="008F2CF5"/>
    <w:rsid w:val="008F2CF8"/>
    <w:rsid w:val="008F2D80"/>
    <w:rsid w:val="008F2EF4"/>
    <w:rsid w:val="008F2F5B"/>
    <w:rsid w:val="008F3027"/>
    <w:rsid w:val="008F3097"/>
    <w:rsid w:val="008F30DC"/>
    <w:rsid w:val="008F3121"/>
    <w:rsid w:val="008F3175"/>
    <w:rsid w:val="008F319D"/>
    <w:rsid w:val="008F327B"/>
    <w:rsid w:val="008F3313"/>
    <w:rsid w:val="008F345D"/>
    <w:rsid w:val="008F3460"/>
    <w:rsid w:val="008F356A"/>
    <w:rsid w:val="008F3579"/>
    <w:rsid w:val="008F35C9"/>
    <w:rsid w:val="008F3629"/>
    <w:rsid w:val="008F3685"/>
    <w:rsid w:val="008F3692"/>
    <w:rsid w:val="008F3774"/>
    <w:rsid w:val="008F386F"/>
    <w:rsid w:val="008F3926"/>
    <w:rsid w:val="008F3A32"/>
    <w:rsid w:val="008F3E49"/>
    <w:rsid w:val="008F3F03"/>
    <w:rsid w:val="008F4115"/>
    <w:rsid w:val="008F4130"/>
    <w:rsid w:val="008F425C"/>
    <w:rsid w:val="008F4273"/>
    <w:rsid w:val="008F42CA"/>
    <w:rsid w:val="008F438F"/>
    <w:rsid w:val="008F44A7"/>
    <w:rsid w:val="008F4503"/>
    <w:rsid w:val="008F455D"/>
    <w:rsid w:val="008F45D8"/>
    <w:rsid w:val="008F4699"/>
    <w:rsid w:val="008F4755"/>
    <w:rsid w:val="008F4954"/>
    <w:rsid w:val="008F4B70"/>
    <w:rsid w:val="008F4C9F"/>
    <w:rsid w:val="008F4D10"/>
    <w:rsid w:val="008F4E22"/>
    <w:rsid w:val="008F4E62"/>
    <w:rsid w:val="008F4E6B"/>
    <w:rsid w:val="008F4E90"/>
    <w:rsid w:val="008F4E96"/>
    <w:rsid w:val="008F4FBE"/>
    <w:rsid w:val="008F5089"/>
    <w:rsid w:val="008F50A5"/>
    <w:rsid w:val="008F50AB"/>
    <w:rsid w:val="008F5107"/>
    <w:rsid w:val="008F5230"/>
    <w:rsid w:val="008F5323"/>
    <w:rsid w:val="008F5357"/>
    <w:rsid w:val="008F5367"/>
    <w:rsid w:val="008F539C"/>
    <w:rsid w:val="008F53C1"/>
    <w:rsid w:val="008F53E3"/>
    <w:rsid w:val="008F5819"/>
    <w:rsid w:val="008F5907"/>
    <w:rsid w:val="008F5918"/>
    <w:rsid w:val="008F596A"/>
    <w:rsid w:val="008F5997"/>
    <w:rsid w:val="008F59CF"/>
    <w:rsid w:val="008F59F9"/>
    <w:rsid w:val="008F59FB"/>
    <w:rsid w:val="008F59FF"/>
    <w:rsid w:val="008F5A59"/>
    <w:rsid w:val="008F5BCB"/>
    <w:rsid w:val="008F5D71"/>
    <w:rsid w:val="008F5D7A"/>
    <w:rsid w:val="008F5E37"/>
    <w:rsid w:val="008F5E59"/>
    <w:rsid w:val="008F5E89"/>
    <w:rsid w:val="008F5EF6"/>
    <w:rsid w:val="008F5F49"/>
    <w:rsid w:val="008F5F96"/>
    <w:rsid w:val="008F5FA2"/>
    <w:rsid w:val="008F5FA7"/>
    <w:rsid w:val="008F620B"/>
    <w:rsid w:val="008F6217"/>
    <w:rsid w:val="008F642B"/>
    <w:rsid w:val="008F643B"/>
    <w:rsid w:val="008F6498"/>
    <w:rsid w:val="008F6499"/>
    <w:rsid w:val="008F6552"/>
    <w:rsid w:val="008F6554"/>
    <w:rsid w:val="008F658A"/>
    <w:rsid w:val="008F658F"/>
    <w:rsid w:val="008F662F"/>
    <w:rsid w:val="008F668D"/>
    <w:rsid w:val="008F6734"/>
    <w:rsid w:val="008F67AF"/>
    <w:rsid w:val="008F67D3"/>
    <w:rsid w:val="008F684C"/>
    <w:rsid w:val="008F686F"/>
    <w:rsid w:val="008F68CF"/>
    <w:rsid w:val="008F6947"/>
    <w:rsid w:val="008F69AE"/>
    <w:rsid w:val="008F69D2"/>
    <w:rsid w:val="008F6A03"/>
    <w:rsid w:val="008F6A14"/>
    <w:rsid w:val="008F6AD6"/>
    <w:rsid w:val="008F6AF1"/>
    <w:rsid w:val="008F6B0F"/>
    <w:rsid w:val="008F6C1A"/>
    <w:rsid w:val="008F6CA0"/>
    <w:rsid w:val="008F6CB9"/>
    <w:rsid w:val="008F6CCF"/>
    <w:rsid w:val="008F6F09"/>
    <w:rsid w:val="008F6F62"/>
    <w:rsid w:val="008F7052"/>
    <w:rsid w:val="008F70CD"/>
    <w:rsid w:val="008F70D4"/>
    <w:rsid w:val="008F7187"/>
    <w:rsid w:val="008F718B"/>
    <w:rsid w:val="008F72C9"/>
    <w:rsid w:val="008F72F5"/>
    <w:rsid w:val="008F7303"/>
    <w:rsid w:val="008F73A2"/>
    <w:rsid w:val="008F7422"/>
    <w:rsid w:val="008F7434"/>
    <w:rsid w:val="008F74FE"/>
    <w:rsid w:val="008F758D"/>
    <w:rsid w:val="008F761C"/>
    <w:rsid w:val="008F7763"/>
    <w:rsid w:val="008F791E"/>
    <w:rsid w:val="008F7922"/>
    <w:rsid w:val="008F7A0C"/>
    <w:rsid w:val="008F7A2D"/>
    <w:rsid w:val="008F7A87"/>
    <w:rsid w:val="008F7AF0"/>
    <w:rsid w:val="008F7B19"/>
    <w:rsid w:val="008F7BD1"/>
    <w:rsid w:val="008F7C45"/>
    <w:rsid w:val="008F7D15"/>
    <w:rsid w:val="008F7D2B"/>
    <w:rsid w:val="008F7EB4"/>
    <w:rsid w:val="009000C7"/>
    <w:rsid w:val="00900216"/>
    <w:rsid w:val="00900228"/>
    <w:rsid w:val="0090023F"/>
    <w:rsid w:val="009002C8"/>
    <w:rsid w:val="00900361"/>
    <w:rsid w:val="00900490"/>
    <w:rsid w:val="009004B5"/>
    <w:rsid w:val="00900687"/>
    <w:rsid w:val="009006A3"/>
    <w:rsid w:val="009007BE"/>
    <w:rsid w:val="009007C8"/>
    <w:rsid w:val="00900822"/>
    <w:rsid w:val="00900858"/>
    <w:rsid w:val="009008C3"/>
    <w:rsid w:val="0090096B"/>
    <w:rsid w:val="00900981"/>
    <w:rsid w:val="009009D6"/>
    <w:rsid w:val="00900A06"/>
    <w:rsid w:val="00900B6E"/>
    <w:rsid w:val="00900C5E"/>
    <w:rsid w:val="00900D14"/>
    <w:rsid w:val="00900D9F"/>
    <w:rsid w:val="00900E9E"/>
    <w:rsid w:val="00900F4C"/>
    <w:rsid w:val="009010E4"/>
    <w:rsid w:val="00901137"/>
    <w:rsid w:val="009011B9"/>
    <w:rsid w:val="00901460"/>
    <w:rsid w:val="009014AF"/>
    <w:rsid w:val="00901627"/>
    <w:rsid w:val="00901701"/>
    <w:rsid w:val="0090171B"/>
    <w:rsid w:val="00901996"/>
    <w:rsid w:val="009019A0"/>
    <w:rsid w:val="009019C2"/>
    <w:rsid w:val="00901AC8"/>
    <w:rsid w:val="00901B21"/>
    <w:rsid w:val="00901BBF"/>
    <w:rsid w:val="00901D70"/>
    <w:rsid w:val="00901D79"/>
    <w:rsid w:val="00901DA3"/>
    <w:rsid w:val="00901DBD"/>
    <w:rsid w:val="00901E09"/>
    <w:rsid w:val="00901E1D"/>
    <w:rsid w:val="009020A7"/>
    <w:rsid w:val="0090216C"/>
    <w:rsid w:val="009022F6"/>
    <w:rsid w:val="0090244D"/>
    <w:rsid w:val="00902482"/>
    <w:rsid w:val="009024FC"/>
    <w:rsid w:val="00902520"/>
    <w:rsid w:val="00902664"/>
    <w:rsid w:val="0090268D"/>
    <w:rsid w:val="009026EC"/>
    <w:rsid w:val="009026FC"/>
    <w:rsid w:val="00902768"/>
    <w:rsid w:val="009027BD"/>
    <w:rsid w:val="009028A8"/>
    <w:rsid w:val="009029CE"/>
    <w:rsid w:val="00902A02"/>
    <w:rsid w:val="00902AA2"/>
    <w:rsid w:val="00902B20"/>
    <w:rsid w:val="00902C09"/>
    <w:rsid w:val="00902C1F"/>
    <w:rsid w:val="00902C8C"/>
    <w:rsid w:val="00902D77"/>
    <w:rsid w:val="00902D95"/>
    <w:rsid w:val="00902DD8"/>
    <w:rsid w:val="00902DFD"/>
    <w:rsid w:val="00902EB2"/>
    <w:rsid w:val="00902EEB"/>
    <w:rsid w:val="00902F93"/>
    <w:rsid w:val="00902FD5"/>
    <w:rsid w:val="0090327A"/>
    <w:rsid w:val="0090329D"/>
    <w:rsid w:val="009032EC"/>
    <w:rsid w:val="0090330C"/>
    <w:rsid w:val="0090338E"/>
    <w:rsid w:val="0090342F"/>
    <w:rsid w:val="009035D2"/>
    <w:rsid w:val="009035DC"/>
    <w:rsid w:val="009035FF"/>
    <w:rsid w:val="009036AE"/>
    <w:rsid w:val="00903743"/>
    <w:rsid w:val="00903765"/>
    <w:rsid w:val="009037FF"/>
    <w:rsid w:val="0090380C"/>
    <w:rsid w:val="009038A2"/>
    <w:rsid w:val="009038B9"/>
    <w:rsid w:val="009038BC"/>
    <w:rsid w:val="00903BC4"/>
    <w:rsid w:val="00903BF9"/>
    <w:rsid w:val="00903CF7"/>
    <w:rsid w:val="00903CFB"/>
    <w:rsid w:val="00903D98"/>
    <w:rsid w:val="00903E35"/>
    <w:rsid w:val="00903E57"/>
    <w:rsid w:val="00903F5D"/>
    <w:rsid w:val="00903FA1"/>
    <w:rsid w:val="00904130"/>
    <w:rsid w:val="0090427B"/>
    <w:rsid w:val="009042AB"/>
    <w:rsid w:val="009042F2"/>
    <w:rsid w:val="009042F6"/>
    <w:rsid w:val="00904340"/>
    <w:rsid w:val="00904376"/>
    <w:rsid w:val="009043EE"/>
    <w:rsid w:val="009044E7"/>
    <w:rsid w:val="0090455A"/>
    <w:rsid w:val="009045AE"/>
    <w:rsid w:val="0090461B"/>
    <w:rsid w:val="00904664"/>
    <w:rsid w:val="009046B6"/>
    <w:rsid w:val="00904722"/>
    <w:rsid w:val="00904850"/>
    <w:rsid w:val="00904A89"/>
    <w:rsid w:val="00904AF8"/>
    <w:rsid w:val="00904B39"/>
    <w:rsid w:val="00904D03"/>
    <w:rsid w:val="00904D26"/>
    <w:rsid w:val="00904D42"/>
    <w:rsid w:val="00904D68"/>
    <w:rsid w:val="00904D73"/>
    <w:rsid w:val="00904E13"/>
    <w:rsid w:val="00904E4D"/>
    <w:rsid w:val="00904EAF"/>
    <w:rsid w:val="00904F67"/>
    <w:rsid w:val="00904F72"/>
    <w:rsid w:val="00904F7D"/>
    <w:rsid w:val="0090501F"/>
    <w:rsid w:val="00905088"/>
    <w:rsid w:val="009051A7"/>
    <w:rsid w:val="009051E5"/>
    <w:rsid w:val="00905279"/>
    <w:rsid w:val="00905296"/>
    <w:rsid w:val="00905334"/>
    <w:rsid w:val="009053FE"/>
    <w:rsid w:val="00905430"/>
    <w:rsid w:val="00905573"/>
    <w:rsid w:val="0090559B"/>
    <w:rsid w:val="0090559D"/>
    <w:rsid w:val="009055DF"/>
    <w:rsid w:val="009055E0"/>
    <w:rsid w:val="00905679"/>
    <w:rsid w:val="009056BB"/>
    <w:rsid w:val="00905730"/>
    <w:rsid w:val="00905750"/>
    <w:rsid w:val="009057B5"/>
    <w:rsid w:val="00905951"/>
    <w:rsid w:val="00905A25"/>
    <w:rsid w:val="00905AEE"/>
    <w:rsid w:val="00905B81"/>
    <w:rsid w:val="00905C63"/>
    <w:rsid w:val="00905CDA"/>
    <w:rsid w:val="00905D4F"/>
    <w:rsid w:val="00905FAE"/>
    <w:rsid w:val="009060F3"/>
    <w:rsid w:val="0090615F"/>
    <w:rsid w:val="00906195"/>
    <w:rsid w:val="00906199"/>
    <w:rsid w:val="00906214"/>
    <w:rsid w:val="009062EB"/>
    <w:rsid w:val="009063FE"/>
    <w:rsid w:val="0090640A"/>
    <w:rsid w:val="00906618"/>
    <w:rsid w:val="009066A5"/>
    <w:rsid w:val="009066A7"/>
    <w:rsid w:val="009067CE"/>
    <w:rsid w:val="009067FD"/>
    <w:rsid w:val="009068A8"/>
    <w:rsid w:val="0090691B"/>
    <w:rsid w:val="0090695C"/>
    <w:rsid w:val="00906AD1"/>
    <w:rsid w:val="00906C5F"/>
    <w:rsid w:val="00906C87"/>
    <w:rsid w:val="00906D13"/>
    <w:rsid w:val="00906DE1"/>
    <w:rsid w:val="00906E61"/>
    <w:rsid w:val="00906E84"/>
    <w:rsid w:val="00906FE6"/>
    <w:rsid w:val="0090706C"/>
    <w:rsid w:val="009071F8"/>
    <w:rsid w:val="00907287"/>
    <w:rsid w:val="009072C8"/>
    <w:rsid w:val="00907408"/>
    <w:rsid w:val="00907419"/>
    <w:rsid w:val="0090754F"/>
    <w:rsid w:val="009075A4"/>
    <w:rsid w:val="00907807"/>
    <w:rsid w:val="0090783B"/>
    <w:rsid w:val="00907973"/>
    <w:rsid w:val="00907A27"/>
    <w:rsid w:val="00907A9A"/>
    <w:rsid w:val="00907AAF"/>
    <w:rsid w:val="00907B5C"/>
    <w:rsid w:val="00907B89"/>
    <w:rsid w:val="00907BA4"/>
    <w:rsid w:val="00907C0D"/>
    <w:rsid w:val="00907C16"/>
    <w:rsid w:val="00907C29"/>
    <w:rsid w:val="00907C2B"/>
    <w:rsid w:val="00907D30"/>
    <w:rsid w:val="00907E7A"/>
    <w:rsid w:val="00907E91"/>
    <w:rsid w:val="00907F9B"/>
    <w:rsid w:val="00907FDC"/>
    <w:rsid w:val="009101A0"/>
    <w:rsid w:val="009102A3"/>
    <w:rsid w:val="00910390"/>
    <w:rsid w:val="00910401"/>
    <w:rsid w:val="0091048C"/>
    <w:rsid w:val="0091049E"/>
    <w:rsid w:val="00910529"/>
    <w:rsid w:val="00910558"/>
    <w:rsid w:val="00910562"/>
    <w:rsid w:val="0091079C"/>
    <w:rsid w:val="009107E0"/>
    <w:rsid w:val="0091080C"/>
    <w:rsid w:val="009108B0"/>
    <w:rsid w:val="009108EF"/>
    <w:rsid w:val="00910A00"/>
    <w:rsid w:val="00910AC4"/>
    <w:rsid w:val="00910B0E"/>
    <w:rsid w:val="00910B54"/>
    <w:rsid w:val="00910BD5"/>
    <w:rsid w:val="00910E9B"/>
    <w:rsid w:val="00910F48"/>
    <w:rsid w:val="00910F96"/>
    <w:rsid w:val="00910FB8"/>
    <w:rsid w:val="00911008"/>
    <w:rsid w:val="009110E5"/>
    <w:rsid w:val="0091117D"/>
    <w:rsid w:val="0091121A"/>
    <w:rsid w:val="0091124E"/>
    <w:rsid w:val="009112D8"/>
    <w:rsid w:val="0091137C"/>
    <w:rsid w:val="009114B8"/>
    <w:rsid w:val="00911674"/>
    <w:rsid w:val="00911716"/>
    <w:rsid w:val="009117FC"/>
    <w:rsid w:val="00911849"/>
    <w:rsid w:val="009118D7"/>
    <w:rsid w:val="00911A1C"/>
    <w:rsid w:val="00911AB8"/>
    <w:rsid w:val="00911AC6"/>
    <w:rsid w:val="00911B4B"/>
    <w:rsid w:val="00911C1F"/>
    <w:rsid w:val="00911D98"/>
    <w:rsid w:val="00911E14"/>
    <w:rsid w:val="00911E21"/>
    <w:rsid w:val="00911F22"/>
    <w:rsid w:val="00911F2D"/>
    <w:rsid w:val="00912042"/>
    <w:rsid w:val="00912064"/>
    <w:rsid w:val="00912116"/>
    <w:rsid w:val="009121E3"/>
    <w:rsid w:val="00912261"/>
    <w:rsid w:val="00912467"/>
    <w:rsid w:val="009125B6"/>
    <w:rsid w:val="009127C1"/>
    <w:rsid w:val="00912803"/>
    <w:rsid w:val="009128E0"/>
    <w:rsid w:val="0091290E"/>
    <w:rsid w:val="0091296A"/>
    <w:rsid w:val="009129E6"/>
    <w:rsid w:val="009129EF"/>
    <w:rsid w:val="00912AFE"/>
    <w:rsid w:val="00912B65"/>
    <w:rsid w:val="00912C86"/>
    <w:rsid w:val="00912CB1"/>
    <w:rsid w:val="00912D57"/>
    <w:rsid w:val="00912DCC"/>
    <w:rsid w:val="00912E3A"/>
    <w:rsid w:val="00912FF7"/>
    <w:rsid w:val="00913043"/>
    <w:rsid w:val="00913160"/>
    <w:rsid w:val="00913179"/>
    <w:rsid w:val="00913204"/>
    <w:rsid w:val="00913301"/>
    <w:rsid w:val="00913351"/>
    <w:rsid w:val="00913391"/>
    <w:rsid w:val="009134C6"/>
    <w:rsid w:val="00913786"/>
    <w:rsid w:val="009137D1"/>
    <w:rsid w:val="00913897"/>
    <w:rsid w:val="00913900"/>
    <w:rsid w:val="00913906"/>
    <w:rsid w:val="009139A3"/>
    <w:rsid w:val="009139CF"/>
    <w:rsid w:val="00913A1A"/>
    <w:rsid w:val="00913AE6"/>
    <w:rsid w:val="00913B92"/>
    <w:rsid w:val="00913C70"/>
    <w:rsid w:val="00913CEE"/>
    <w:rsid w:val="00913D00"/>
    <w:rsid w:val="00913D42"/>
    <w:rsid w:val="00913DD9"/>
    <w:rsid w:val="00913E60"/>
    <w:rsid w:val="00913F16"/>
    <w:rsid w:val="00913F27"/>
    <w:rsid w:val="00914002"/>
    <w:rsid w:val="0091411A"/>
    <w:rsid w:val="0091416C"/>
    <w:rsid w:val="00914301"/>
    <w:rsid w:val="00914519"/>
    <w:rsid w:val="0091457B"/>
    <w:rsid w:val="009145F1"/>
    <w:rsid w:val="0091466F"/>
    <w:rsid w:val="009146B9"/>
    <w:rsid w:val="00914755"/>
    <w:rsid w:val="009147D6"/>
    <w:rsid w:val="00914852"/>
    <w:rsid w:val="00914857"/>
    <w:rsid w:val="00914913"/>
    <w:rsid w:val="00914969"/>
    <w:rsid w:val="0091498D"/>
    <w:rsid w:val="00914B35"/>
    <w:rsid w:val="00914B7D"/>
    <w:rsid w:val="00914C12"/>
    <w:rsid w:val="00914C23"/>
    <w:rsid w:val="00914CC6"/>
    <w:rsid w:val="00914D51"/>
    <w:rsid w:val="00914D53"/>
    <w:rsid w:val="00914E41"/>
    <w:rsid w:val="00914E84"/>
    <w:rsid w:val="00914E9D"/>
    <w:rsid w:val="00914F5B"/>
    <w:rsid w:val="00914FFF"/>
    <w:rsid w:val="00915086"/>
    <w:rsid w:val="00915132"/>
    <w:rsid w:val="0091513E"/>
    <w:rsid w:val="0091517D"/>
    <w:rsid w:val="009151D7"/>
    <w:rsid w:val="0091526D"/>
    <w:rsid w:val="0091545A"/>
    <w:rsid w:val="0091546F"/>
    <w:rsid w:val="009155AB"/>
    <w:rsid w:val="009156B4"/>
    <w:rsid w:val="009157F2"/>
    <w:rsid w:val="00915809"/>
    <w:rsid w:val="0091593D"/>
    <w:rsid w:val="009159DA"/>
    <w:rsid w:val="00915AA0"/>
    <w:rsid w:val="00915AA7"/>
    <w:rsid w:val="00915AA9"/>
    <w:rsid w:val="00915C46"/>
    <w:rsid w:val="00915CF0"/>
    <w:rsid w:val="00915DBB"/>
    <w:rsid w:val="00915DC3"/>
    <w:rsid w:val="00915DC6"/>
    <w:rsid w:val="00915DCF"/>
    <w:rsid w:val="00915E2F"/>
    <w:rsid w:val="00915F2B"/>
    <w:rsid w:val="0091607C"/>
    <w:rsid w:val="009160E1"/>
    <w:rsid w:val="009160ED"/>
    <w:rsid w:val="00916144"/>
    <w:rsid w:val="0091628A"/>
    <w:rsid w:val="00916377"/>
    <w:rsid w:val="0091639A"/>
    <w:rsid w:val="009163C0"/>
    <w:rsid w:val="0091647C"/>
    <w:rsid w:val="00916490"/>
    <w:rsid w:val="009164AC"/>
    <w:rsid w:val="009165C2"/>
    <w:rsid w:val="0091665B"/>
    <w:rsid w:val="009166D8"/>
    <w:rsid w:val="009166F1"/>
    <w:rsid w:val="009167F9"/>
    <w:rsid w:val="00916869"/>
    <w:rsid w:val="00916A76"/>
    <w:rsid w:val="00916BA3"/>
    <w:rsid w:val="00916CCD"/>
    <w:rsid w:val="00916D28"/>
    <w:rsid w:val="00916D52"/>
    <w:rsid w:val="00916DB0"/>
    <w:rsid w:val="00916F4D"/>
    <w:rsid w:val="00916F98"/>
    <w:rsid w:val="009170AB"/>
    <w:rsid w:val="00917149"/>
    <w:rsid w:val="00917185"/>
    <w:rsid w:val="00917235"/>
    <w:rsid w:val="0091727D"/>
    <w:rsid w:val="009172A3"/>
    <w:rsid w:val="009173D9"/>
    <w:rsid w:val="009174E9"/>
    <w:rsid w:val="009175C6"/>
    <w:rsid w:val="00917688"/>
    <w:rsid w:val="0091770E"/>
    <w:rsid w:val="00917729"/>
    <w:rsid w:val="00917853"/>
    <w:rsid w:val="00917B2D"/>
    <w:rsid w:val="00917BC1"/>
    <w:rsid w:val="00917C0C"/>
    <w:rsid w:val="00917CCF"/>
    <w:rsid w:val="00917CF5"/>
    <w:rsid w:val="00917D2B"/>
    <w:rsid w:val="00917D96"/>
    <w:rsid w:val="00917DC5"/>
    <w:rsid w:val="00917DDF"/>
    <w:rsid w:val="00917E28"/>
    <w:rsid w:val="00917EB0"/>
    <w:rsid w:val="0092014A"/>
    <w:rsid w:val="0092024F"/>
    <w:rsid w:val="0092025E"/>
    <w:rsid w:val="009206D4"/>
    <w:rsid w:val="009209EA"/>
    <w:rsid w:val="00920A2B"/>
    <w:rsid w:val="00920AB3"/>
    <w:rsid w:val="00920B4E"/>
    <w:rsid w:val="00920BA6"/>
    <w:rsid w:val="00920D1D"/>
    <w:rsid w:val="00920D6C"/>
    <w:rsid w:val="00920E4A"/>
    <w:rsid w:val="00920E5B"/>
    <w:rsid w:val="00920FA1"/>
    <w:rsid w:val="00921051"/>
    <w:rsid w:val="009210EF"/>
    <w:rsid w:val="009211D9"/>
    <w:rsid w:val="0092120E"/>
    <w:rsid w:val="0092127A"/>
    <w:rsid w:val="009212F7"/>
    <w:rsid w:val="00921330"/>
    <w:rsid w:val="00921390"/>
    <w:rsid w:val="009214EB"/>
    <w:rsid w:val="00921512"/>
    <w:rsid w:val="0092151B"/>
    <w:rsid w:val="00921538"/>
    <w:rsid w:val="0092153D"/>
    <w:rsid w:val="0092157D"/>
    <w:rsid w:val="00921791"/>
    <w:rsid w:val="009217B5"/>
    <w:rsid w:val="00921ACE"/>
    <w:rsid w:val="00921ACF"/>
    <w:rsid w:val="00921AE9"/>
    <w:rsid w:val="00921BCC"/>
    <w:rsid w:val="00921BE7"/>
    <w:rsid w:val="00921C3E"/>
    <w:rsid w:val="00921C73"/>
    <w:rsid w:val="00921EBA"/>
    <w:rsid w:val="00922060"/>
    <w:rsid w:val="009220BB"/>
    <w:rsid w:val="009220E6"/>
    <w:rsid w:val="009221DF"/>
    <w:rsid w:val="00922285"/>
    <w:rsid w:val="009222BD"/>
    <w:rsid w:val="00922354"/>
    <w:rsid w:val="009223FD"/>
    <w:rsid w:val="00922424"/>
    <w:rsid w:val="0092243C"/>
    <w:rsid w:val="00922451"/>
    <w:rsid w:val="009225C2"/>
    <w:rsid w:val="0092263D"/>
    <w:rsid w:val="00922688"/>
    <w:rsid w:val="009226D2"/>
    <w:rsid w:val="00922752"/>
    <w:rsid w:val="009227DC"/>
    <w:rsid w:val="0092283B"/>
    <w:rsid w:val="0092285E"/>
    <w:rsid w:val="00922939"/>
    <w:rsid w:val="00922976"/>
    <w:rsid w:val="00922A67"/>
    <w:rsid w:val="00922A72"/>
    <w:rsid w:val="00922B72"/>
    <w:rsid w:val="00922BC7"/>
    <w:rsid w:val="00922C2A"/>
    <w:rsid w:val="00922CCE"/>
    <w:rsid w:val="00922DCA"/>
    <w:rsid w:val="00922DEE"/>
    <w:rsid w:val="00922DF2"/>
    <w:rsid w:val="00922E56"/>
    <w:rsid w:val="00922E59"/>
    <w:rsid w:val="00922F2C"/>
    <w:rsid w:val="00922F3B"/>
    <w:rsid w:val="00922F93"/>
    <w:rsid w:val="00923071"/>
    <w:rsid w:val="00923077"/>
    <w:rsid w:val="00923172"/>
    <w:rsid w:val="009231A1"/>
    <w:rsid w:val="009231E7"/>
    <w:rsid w:val="00923205"/>
    <w:rsid w:val="0092357D"/>
    <w:rsid w:val="009235AC"/>
    <w:rsid w:val="009235ED"/>
    <w:rsid w:val="009236AB"/>
    <w:rsid w:val="00923773"/>
    <w:rsid w:val="009237B2"/>
    <w:rsid w:val="00923834"/>
    <w:rsid w:val="009238B2"/>
    <w:rsid w:val="009238BD"/>
    <w:rsid w:val="00923902"/>
    <w:rsid w:val="00923A43"/>
    <w:rsid w:val="00923BD6"/>
    <w:rsid w:val="00923BE0"/>
    <w:rsid w:val="00923CE9"/>
    <w:rsid w:val="00923D2A"/>
    <w:rsid w:val="00923DC4"/>
    <w:rsid w:val="00923EA5"/>
    <w:rsid w:val="00923F59"/>
    <w:rsid w:val="00923FD7"/>
    <w:rsid w:val="00924025"/>
    <w:rsid w:val="009240CD"/>
    <w:rsid w:val="009240D8"/>
    <w:rsid w:val="009240E2"/>
    <w:rsid w:val="00924168"/>
    <w:rsid w:val="009241A7"/>
    <w:rsid w:val="009242B2"/>
    <w:rsid w:val="009242D3"/>
    <w:rsid w:val="00924496"/>
    <w:rsid w:val="009244C0"/>
    <w:rsid w:val="009244FE"/>
    <w:rsid w:val="00924563"/>
    <w:rsid w:val="00924599"/>
    <w:rsid w:val="00924664"/>
    <w:rsid w:val="00924774"/>
    <w:rsid w:val="00924787"/>
    <w:rsid w:val="009247A1"/>
    <w:rsid w:val="009247AF"/>
    <w:rsid w:val="009247DD"/>
    <w:rsid w:val="009247E4"/>
    <w:rsid w:val="009247E6"/>
    <w:rsid w:val="0092499D"/>
    <w:rsid w:val="009249CB"/>
    <w:rsid w:val="00924BF9"/>
    <w:rsid w:val="00924C44"/>
    <w:rsid w:val="00924C69"/>
    <w:rsid w:val="00924CF4"/>
    <w:rsid w:val="00924D32"/>
    <w:rsid w:val="00924D9F"/>
    <w:rsid w:val="00924DBF"/>
    <w:rsid w:val="00924E0E"/>
    <w:rsid w:val="00924F20"/>
    <w:rsid w:val="00925049"/>
    <w:rsid w:val="00925075"/>
    <w:rsid w:val="0092508A"/>
    <w:rsid w:val="00925201"/>
    <w:rsid w:val="00925215"/>
    <w:rsid w:val="00925301"/>
    <w:rsid w:val="0092530A"/>
    <w:rsid w:val="00925385"/>
    <w:rsid w:val="009253A1"/>
    <w:rsid w:val="00925480"/>
    <w:rsid w:val="009254A1"/>
    <w:rsid w:val="00925517"/>
    <w:rsid w:val="009255C4"/>
    <w:rsid w:val="00925713"/>
    <w:rsid w:val="00925734"/>
    <w:rsid w:val="00925861"/>
    <w:rsid w:val="009258D1"/>
    <w:rsid w:val="00925935"/>
    <w:rsid w:val="00925999"/>
    <w:rsid w:val="00925AA5"/>
    <w:rsid w:val="00925BD2"/>
    <w:rsid w:val="00925BDF"/>
    <w:rsid w:val="00925BF3"/>
    <w:rsid w:val="00925C2A"/>
    <w:rsid w:val="00925CB1"/>
    <w:rsid w:val="00925CF6"/>
    <w:rsid w:val="00925E77"/>
    <w:rsid w:val="00925EB4"/>
    <w:rsid w:val="00925F33"/>
    <w:rsid w:val="00926034"/>
    <w:rsid w:val="0092613B"/>
    <w:rsid w:val="009262BD"/>
    <w:rsid w:val="009262F5"/>
    <w:rsid w:val="0092631B"/>
    <w:rsid w:val="0092635F"/>
    <w:rsid w:val="00926407"/>
    <w:rsid w:val="009265D5"/>
    <w:rsid w:val="00926620"/>
    <w:rsid w:val="00926770"/>
    <w:rsid w:val="009267D6"/>
    <w:rsid w:val="0092698E"/>
    <w:rsid w:val="009269A1"/>
    <w:rsid w:val="00926A51"/>
    <w:rsid w:val="00926B53"/>
    <w:rsid w:val="00926BB9"/>
    <w:rsid w:val="00926C38"/>
    <w:rsid w:val="00926C68"/>
    <w:rsid w:val="00926CD4"/>
    <w:rsid w:val="00926E86"/>
    <w:rsid w:val="00926F92"/>
    <w:rsid w:val="00926FC3"/>
    <w:rsid w:val="0092701C"/>
    <w:rsid w:val="0092711E"/>
    <w:rsid w:val="00927120"/>
    <w:rsid w:val="0092717F"/>
    <w:rsid w:val="009271FD"/>
    <w:rsid w:val="00927477"/>
    <w:rsid w:val="009274B6"/>
    <w:rsid w:val="009275E2"/>
    <w:rsid w:val="009275FC"/>
    <w:rsid w:val="00927668"/>
    <w:rsid w:val="009276E8"/>
    <w:rsid w:val="00927726"/>
    <w:rsid w:val="00927746"/>
    <w:rsid w:val="0092786D"/>
    <w:rsid w:val="009278BE"/>
    <w:rsid w:val="009279CA"/>
    <w:rsid w:val="00927C28"/>
    <w:rsid w:val="00927C33"/>
    <w:rsid w:val="00927CC6"/>
    <w:rsid w:val="00927D57"/>
    <w:rsid w:val="00927D5C"/>
    <w:rsid w:val="00927DB1"/>
    <w:rsid w:val="00930012"/>
    <w:rsid w:val="00930084"/>
    <w:rsid w:val="0093012C"/>
    <w:rsid w:val="00930159"/>
    <w:rsid w:val="00930191"/>
    <w:rsid w:val="009301F6"/>
    <w:rsid w:val="00930325"/>
    <w:rsid w:val="00930499"/>
    <w:rsid w:val="00930539"/>
    <w:rsid w:val="00930580"/>
    <w:rsid w:val="009305AA"/>
    <w:rsid w:val="009306B3"/>
    <w:rsid w:val="0093075A"/>
    <w:rsid w:val="0093075B"/>
    <w:rsid w:val="00930851"/>
    <w:rsid w:val="00930872"/>
    <w:rsid w:val="00930875"/>
    <w:rsid w:val="0093089E"/>
    <w:rsid w:val="00930996"/>
    <w:rsid w:val="00930A09"/>
    <w:rsid w:val="00930B11"/>
    <w:rsid w:val="00930CD6"/>
    <w:rsid w:val="00930E7F"/>
    <w:rsid w:val="00930EAA"/>
    <w:rsid w:val="00930EC0"/>
    <w:rsid w:val="00930FDD"/>
    <w:rsid w:val="0093103C"/>
    <w:rsid w:val="0093138B"/>
    <w:rsid w:val="009313C9"/>
    <w:rsid w:val="009313CB"/>
    <w:rsid w:val="0093143C"/>
    <w:rsid w:val="0093143E"/>
    <w:rsid w:val="00931496"/>
    <w:rsid w:val="0093150C"/>
    <w:rsid w:val="0093157B"/>
    <w:rsid w:val="009315A7"/>
    <w:rsid w:val="00931636"/>
    <w:rsid w:val="009316EB"/>
    <w:rsid w:val="0093170D"/>
    <w:rsid w:val="0093171D"/>
    <w:rsid w:val="009317C9"/>
    <w:rsid w:val="009317CF"/>
    <w:rsid w:val="0093181A"/>
    <w:rsid w:val="00931863"/>
    <w:rsid w:val="0093189A"/>
    <w:rsid w:val="00931A49"/>
    <w:rsid w:val="00931BAF"/>
    <w:rsid w:val="00931C00"/>
    <w:rsid w:val="00931CB8"/>
    <w:rsid w:val="00931CDB"/>
    <w:rsid w:val="00931D0D"/>
    <w:rsid w:val="00931D31"/>
    <w:rsid w:val="00931D90"/>
    <w:rsid w:val="00931DB3"/>
    <w:rsid w:val="00931E25"/>
    <w:rsid w:val="00931F27"/>
    <w:rsid w:val="00931F47"/>
    <w:rsid w:val="00932003"/>
    <w:rsid w:val="00932017"/>
    <w:rsid w:val="009320F3"/>
    <w:rsid w:val="009320F9"/>
    <w:rsid w:val="0093212E"/>
    <w:rsid w:val="00932182"/>
    <w:rsid w:val="0093219C"/>
    <w:rsid w:val="009321EC"/>
    <w:rsid w:val="009322C5"/>
    <w:rsid w:val="009322F9"/>
    <w:rsid w:val="00932333"/>
    <w:rsid w:val="009323EA"/>
    <w:rsid w:val="009324CD"/>
    <w:rsid w:val="009325C3"/>
    <w:rsid w:val="00932692"/>
    <w:rsid w:val="00932717"/>
    <w:rsid w:val="0093276A"/>
    <w:rsid w:val="0093283F"/>
    <w:rsid w:val="00932885"/>
    <w:rsid w:val="00932904"/>
    <w:rsid w:val="00932A45"/>
    <w:rsid w:val="00932A9E"/>
    <w:rsid w:val="00932B6F"/>
    <w:rsid w:val="00932C18"/>
    <w:rsid w:val="00932C80"/>
    <w:rsid w:val="00932CA5"/>
    <w:rsid w:val="00932CD7"/>
    <w:rsid w:val="00932DEA"/>
    <w:rsid w:val="00932E27"/>
    <w:rsid w:val="00932E7C"/>
    <w:rsid w:val="00932ECE"/>
    <w:rsid w:val="00932ED1"/>
    <w:rsid w:val="00932EF4"/>
    <w:rsid w:val="0093315B"/>
    <w:rsid w:val="009332D5"/>
    <w:rsid w:val="00933347"/>
    <w:rsid w:val="009333D1"/>
    <w:rsid w:val="009333DA"/>
    <w:rsid w:val="0093340A"/>
    <w:rsid w:val="0093384B"/>
    <w:rsid w:val="0093391E"/>
    <w:rsid w:val="0093399C"/>
    <w:rsid w:val="009339A7"/>
    <w:rsid w:val="009339CC"/>
    <w:rsid w:val="009339DD"/>
    <w:rsid w:val="009339E3"/>
    <w:rsid w:val="00933A31"/>
    <w:rsid w:val="00933AE1"/>
    <w:rsid w:val="00933C57"/>
    <w:rsid w:val="00933D12"/>
    <w:rsid w:val="00933E60"/>
    <w:rsid w:val="00933F2A"/>
    <w:rsid w:val="00933F6B"/>
    <w:rsid w:val="00934128"/>
    <w:rsid w:val="009341B8"/>
    <w:rsid w:val="009341F0"/>
    <w:rsid w:val="009343D1"/>
    <w:rsid w:val="009343FA"/>
    <w:rsid w:val="00934429"/>
    <w:rsid w:val="00934438"/>
    <w:rsid w:val="0093445E"/>
    <w:rsid w:val="0093447A"/>
    <w:rsid w:val="00934480"/>
    <w:rsid w:val="0093452C"/>
    <w:rsid w:val="00934587"/>
    <w:rsid w:val="0093465F"/>
    <w:rsid w:val="009347EF"/>
    <w:rsid w:val="00934870"/>
    <w:rsid w:val="00934A22"/>
    <w:rsid w:val="00934AE5"/>
    <w:rsid w:val="00934B1E"/>
    <w:rsid w:val="00934B6F"/>
    <w:rsid w:val="00934CF0"/>
    <w:rsid w:val="00934D4A"/>
    <w:rsid w:val="00934D99"/>
    <w:rsid w:val="00934E2C"/>
    <w:rsid w:val="00934E70"/>
    <w:rsid w:val="00934EC9"/>
    <w:rsid w:val="00934FD8"/>
    <w:rsid w:val="00935004"/>
    <w:rsid w:val="00935049"/>
    <w:rsid w:val="0093512E"/>
    <w:rsid w:val="009352AD"/>
    <w:rsid w:val="0093533F"/>
    <w:rsid w:val="00935351"/>
    <w:rsid w:val="009353D9"/>
    <w:rsid w:val="009353E9"/>
    <w:rsid w:val="00935406"/>
    <w:rsid w:val="0093540D"/>
    <w:rsid w:val="00935483"/>
    <w:rsid w:val="0093550C"/>
    <w:rsid w:val="00935544"/>
    <w:rsid w:val="009355EC"/>
    <w:rsid w:val="00935622"/>
    <w:rsid w:val="0093567E"/>
    <w:rsid w:val="00935812"/>
    <w:rsid w:val="009359C0"/>
    <w:rsid w:val="009359C7"/>
    <w:rsid w:val="00935A00"/>
    <w:rsid w:val="00935A31"/>
    <w:rsid w:val="00935E3B"/>
    <w:rsid w:val="00935F3C"/>
    <w:rsid w:val="00935F4B"/>
    <w:rsid w:val="00936045"/>
    <w:rsid w:val="00936053"/>
    <w:rsid w:val="0093614E"/>
    <w:rsid w:val="009361AE"/>
    <w:rsid w:val="00936205"/>
    <w:rsid w:val="00936206"/>
    <w:rsid w:val="0093630D"/>
    <w:rsid w:val="00936348"/>
    <w:rsid w:val="009363AB"/>
    <w:rsid w:val="009365B6"/>
    <w:rsid w:val="009365EA"/>
    <w:rsid w:val="00936639"/>
    <w:rsid w:val="00936649"/>
    <w:rsid w:val="00936697"/>
    <w:rsid w:val="009366E4"/>
    <w:rsid w:val="009367CD"/>
    <w:rsid w:val="009367D1"/>
    <w:rsid w:val="009367F8"/>
    <w:rsid w:val="0093690A"/>
    <w:rsid w:val="00936976"/>
    <w:rsid w:val="00936AB6"/>
    <w:rsid w:val="00936AD9"/>
    <w:rsid w:val="00936CA2"/>
    <w:rsid w:val="00936E85"/>
    <w:rsid w:val="0093701E"/>
    <w:rsid w:val="0093706F"/>
    <w:rsid w:val="009370A9"/>
    <w:rsid w:val="009371B9"/>
    <w:rsid w:val="009371E5"/>
    <w:rsid w:val="009371E7"/>
    <w:rsid w:val="0093725F"/>
    <w:rsid w:val="00937269"/>
    <w:rsid w:val="009372A7"/>
    <w:rsid w:val="009373B8"/>
    <w:rsid w:val="0093744F"/>
    <w:rsid w:val="00937471"/>
    <w:rsid w:val="00937480"/>
    <w:rsid w:val="009376CE"/>
    <w:rsid w:val="0093770E"/>
    <w:rsid w:val="0093780F"/>
    <w:rsid w:val="00937C03"/>
    <w:rsid w:val="00937C15"/>
    <w:rsid w:val="00937C3E"/>
    <w:rsid w:val="00937C45"/>
    <w:rsid w:val="00937D2B"/>
    <w:rsid w:val="00937D75"/>
    <w:rsid w:val="00937E14"/>
    <w:rsid w:val="00937F80"/>
    <w:rsid w:val="00937FAB"/>
    <w:rsid w:val="00937FD7"/>
    <w:rsid w:val="0094006D"/>
    <w:rsid w:val="009400E2"/>
    <w:rsid w:val="0094012E"/>
    <w:rsid w:val="0094019D"/>
    <w:rsid w:val="0094030C"/>
    <w:rsid w:val="00940345"/>
    <w:rsid w:val="0094038B"/>
    <w:rsid w:val="00940454"/>
    <w:rsid w:val="00940601"/>
    <w:rsid w:val="00940755"/>
    <w:rsid w:val="00940824"/>
    <w:rsid w:val="00940981"/>
    <w:rsid w:val="00940AAE"/>
    <w:rsid w:val="00940B12"/>
    <w:rsid w:val="00940B17"/>
    <w:rsid w:val="00940B21"/>
    <w:rsid w:val="00940BF0"/>
    <w:rsid w:val="00940C7B"/>
    <w:rsid w:val="00940CAD"/>
    <w:rsid w:val="00940CC9"/>
    <w:rsid w:val="00940D51"/>
    <w:rsid w:val="00940EBA"/>
    <w:rsid w:val="00940F5F"/>
    <w:rsid w:val="00940FC0"/>
    <w:rsid w:val="0094116E"/>
    <w:rsid w:val="0094119C"/>
    <w:rsid w:val="0094123D"/>
    <w:rsid w:val="0094140A"/>
    <w:rsid w:val="00941537"/>
    <w:rsid w:val="00941748"/>
    <w:rsid w:val="00941772"/>
    <w:rsid w:val="00941821"/>
    <w:rsid w:val="00941879"/>
    <w:rsid w:val="00941957"/>
    <w:rsid w:val="00941958"/>
    <w:rsid w:val="0094196F"/>
    <w:rsid w:val="00941A7A"/>
    <w:rsid w:val="00941A89"/>
    <w:rsid w:val="00941AB8"/>
    <w:rsid w:val="00941B8C"/>
    <w:rsid w:val="00941C07"/>
    <w:rsid w:val="00941C9B"/>
    <w:rsid w:val="00941CF2"/>
    <w:rsid w:val="00941EE4"/>
    <w:rsid w:val="00941F62"/>
    <w:rsid w:val="0094205F"/>
    <w:rsid w:val="0094214F"/>
    <w:rsid w:val="009422D7"/>
    <w:rsid w:val="009423BF"/>
    <w:rsid w:val="009423C4"/>
    <w:rsid w:val="009424E5"/>
    <w:rsid w:val="0094256D"/>
    <w:rsid w:val="0094259E"/>
    <w:rsid w:val="009425C7"/>
    <w:rsid w:val="0094260B"/>
    <w:rsid w:val="00942752"/>
    <w:rsid w:val="00942768"/>
    <w:rsid w:val="00942814"/>
    <w:rsid w:val="00942827"/>
    <w:rsid w:val="0094285F"/>
    <w:rsid w:val="00942953"/>
    <w:rsid w:val="009429FE"/>
    <w:rsid w:val="00942AD5"/>
    <w:rsid w:val="00942B55"/>
    <w:rsid w:val="00942BEA"/>
    <w:rsid w:val="00942C11"/>
    <w:rsid w:val="00942C7E"/>
    <w:rsid w:val="00942CCC"/>
    <w:rsid w:val="00942CE8"/>
    <w:rsid w:val="00942DFD"/>
    <w:rsid w:val="00942E59"/>
    <w:rsid w:val="00942EC4"/>
    <w:rsid w:val="00942F4B"/>
    <w:rsid w:val="00942F56"/>
    <w:rsid w:val="00942F85"/>
    <w:rsid w:val="009430B7"/>
    <w:rsid w:val="00943172"/>
    <w:rsid w:val="0094335C"/>
    <w:rsid w:val="009433D8"/>
    <w:rsid w:val="00943407"/>
    <w:rsid w:val="00943417"/>
    <w:rsid w:val="00943443"/>
    <w:rsid w:val="009434D8"/>
    <w:rsid w:val="0094351F"/>
    <w:rsid w:val="00943548"/>
    <w:rsid w:val="00943578"/>
    <w:rsid w:val="009435A0"/>
    <w:rsid w:val="009435FF"/>
    <w:rsid w:val="00943691"/>
    <w:rsid w:val="00943718"/>
    <w:rsid w:val="00943730"/>
    <w:rsid w:val="009437C9"/>
    <w:rsid w:val="009438F4"/>
    <w:rsid w:val="0094395E"/>
    <w:rsid w:val="009439B3"/>
    <w:rsid w:val="009439BD"/>
    <w:rsid w:val="00943A53"/>
    <w:rsid w:val="00943B18"/>
    <w:rsid w:val="00943BA0"/>
    <w:rsid w:val="00943BDE"/>
    <w:rsid w:val="00943D4F"/>
    <w:rsid w:val="00943D5D"/>
    <w:rsid w:val="00943E02"/>
    <w:rsid w:val="00943E21"/>
    <w:rsid w:val="00943F83"/>
    <w:rsid w:val="0094408F"/>
    <w:rsid w:val="00944113"/>
    <w:rsid w:val="00944153"/>
    <w:rsid w:val="00944163"/>
    <w:rsid w:val="00944297"/>
    <w:rsid w:val="00944342"/>
    <w:rsid w:val="00944594"/>
    <w:rsid w:val="0094464C"/>
    <w:rsid w:val="0094468F"/>
    <w:rsid w:val="009446CB"/>
    <w:rsid w:val="00944753"/>
    <w:rsid w:val="00944854"/>
    <w:rsid w:val="0094488B"/>
    <w:rsid w:val="00944891"/>
    <w:rsid w:val="00944948"/>
    <w:rsid w:val="009449C7"/>
    <w:rsid w:val="009449F9"/>
    <w:rsid w:val="00944AD8"/>
    <w:rsid w:val="00944B39"/>
    <w:rsid w:val="00944BC1"/>
    <w:rsid w:val="00944C7A"/>
    <w:rsid w:val="00944C99"/>
    <w:rsid w:val="00944CE0"/>
    <w:rsid w:val="00944D25"/>
    <w:rsid w:val="00944D5B"/>
    <w:rsid w:val="00944D79"/>
    <w:rsid w:val="00944DAE"/>
    <w:rsid w:val="00944EC3"/>
    <w:rsid w:val="00944F21"/>
    <w:rsid w:val="00944F3C"/>
    <w:rsid w:val="00944FB2"/>
    <w:rsid w:val="0094504C"/>
    <w:rsid w:val="0094504E"/>
    <w:rsid w:val="0094510B"/>
    <w:rsid w:val="00945275"/>
    <w:rsid w:val="0094532B"/>
    <w:rsid w:val="00945477"/>
    <w:rsid w:val="00945489"/>
    <w:rsid w:val="00945609"/>
    <w:rsid w:val="00945641"/>
    <w:rsid w:val="00945895"/>
    <w:rsid w:val="009458BD"/>
    <w:rsid w:val="009459EC"/>
    <w:rsid w:val="00945B68"/>
    <w:rsid w:val="00945B6D"/>
    <w:rsid w:val="00945C6F"/>
    <w:rsid w:val="00945D0B"/>
    <w:rsid w:val="00945D9A"/>
    <w:rsid w:val="00945DEC"/>
    <w:rsid w:val="00945EF3"/>
    <w:rsid w:val="00945F41"/>
    <w:rsid w:val="00946049"/>
    <w:rsid w:val="00946073"/>
    <w:rsid w:val="00946091"/>
    <w:rsid w:val="009461FD"/>
    <w:rsid w:val="00946202"/>
    <w:rsid w:val="0094629A"/>
    <w:rsid w:val="009462A8"/>
    <w:rsid w:val="009462BF"/>
    <w:rsid w:val="009462C2"/>
    <w:rsid w:val="00946328"/>
    <w:rsid w:val="00946386"/>
    <w:rsid w:val="009463EB"/>
    <w:rsid w:val="0094644F"/>
    <w:rsid w:val="009464B0"/>
    <w:rsid w:val="009464B8"/>
    <w:rsid w:val="0094652A"/>
    <w:rsid w:val="0094657A"/>
    <w:rsid w:val="009465B7"/>
    <w:rsid w:val="00946611"/>
    <w:rsid w:val="00946662"/>
    <w:rsid w:val="009466DF"/>
    <w:rsid w:val="00946771"/>
    <w:rsid w:val="009467BA"/>
    <w:rsid w:val="00946802"/>
    <w:rsid w:val="00946874"/>
    <w:rsid w:val="0094692C"/>
    <w:rsid w:val="00946B1B"/>
    <w:rsid w:val="00946B52"/>
    <w:rsid w:val="00946BA2"/>
    <w:rsid w:val="00946BD7"/>
    <w:rsid w:val="00946D8D"/>
    <w:rsid w:val="00946D92"/>
    <w:rsid w:val="00946EE7"/>
    <w:rsid w:val="00946F30"/>
    <w:rsid w:val="00946FDB"/>
    <w:rsid w:val="00947014"/>
    <w:rsid w:val="00947181"/>
    <w:rsid w:val="00947205"/>
    <w:rsid w:val="0094721D"/>
    <w:rsid w:val="009472A5"/>
    <w:rsid w:val="009472D9"/>
    <w:rsid w:val="00947358"/>
    <w:rsid w:val="00947363"/>
    <w:rsid w:val="00947365"/>
    <w:rsid w:val="009473FA"/>
    <w:rsid w:val="00947498"/>
    <w:rsid w:val="0094755F"/>
    <w:rsid w:val="009475A0"/>
    <w:rsid w:val="009475BF"/>
    <w:rsid w:val="0094776A"/>
    <w:rsid w:val="0094776E"/>
    <w:rsid w:val="00947771"/>
    <w:rsid w:val="009477BF"/>
    <w:rsid w:val="00947866"/>
    <w:rsid w:val="00947998"/>
    <w:rsid w:val="00947A15"/>
    <w:rsid w:val="00947AC2"/>
    <w:rsid w:val="00947AFD"/>
    <w:rsid w:val="00947B33"/>
    <w:rsid w:val="00947BF0"/>
    <w:rsid w:val="00947C3F"/>
    <w:rsid w:val="00947D4D"/>
    <w:rsid w:val="00947E87"/>
    <w:rsid w:val="00947F40"/>
    <w:rsid w:val="00947F5E"/>
    <w:rsid w:val="0095008A"/>
    <w:rsid w:val="009500DD"/>
    <w:rsid w:val="00950111"/>
    <w:rsid w:val="0095013C"/>
    <w:rsid w:val="009501E3"/>
    <w:rsid w:val="009502A1"/>
    <w:rsid w:val="00950327"/>
    <w:rsid w:val="0095048B"/>
    <w:rsid w:val="009504A8"/>
    <w:rsid w:val="009505D5"/>
    <w:rsid w:val="009505F7"/>
    <w:rsid w:val="00950727"/>
    <w:rsid w:val="0095073E"/>
    <w:rsid w:val="00950793"/>
    <w:rsid w:val="009507E1"/>
    <w:rsid w:val="00950807"/>
    <w:rsid w:val="00950832"/>
    <w:rsid w:val="00950841"/>
    <w:rsid w:val="00950849"/>
    <w:rsid w:val="0095085B"/>
    <w:rsid w:val="00950864"/>
    <w:rsid w:val="009508F1"/>
    <w:rsid w:val="0095094A"/>
    <w:rsid w:val="0095097C"/>
    <w:rsid w:val="009509D9"/>
    <w:rsid w:val="00950A87"/>
    <w:rsid w:val="00950B62"/>
    <w:rsid w:val="00950BF2"/>
    <w:rsid w:val="00950C82"/>
    <w:rsid w:val="00950DF7"/>
    <w:rsid w:val="00950EAD"/>
    <w:rsid w:val="00950FA2"/>
    <w:rsid w:val="00950FDC"/>
    <w:rsid w:val="00951083"/>
    <w:rsid w:val="00951201"/>
    <w:rsid w:val="00951354"/>
    <w:rsid w:val="009514A8"/>
    <w:rsid w:val="0095153F"/>
    <w:rsid w:val="00951676"/>
    <w:rsid w:val="009518CF"/>
    <w:rsid w:val="00951906"/>
    <w:rsid w:val="00951996"/>
    <w:rsid w:val="00951AEC"/>
    <w:rsid w:val="00951BCF"/>
    <w:rsid w:val="00951C97"/>
    <w:rsid w:val="00951C9D"/>
    <w:rsid w:val="00951CCA"/>
    <w:rsid w:val="00951CFA"/>
    <w:rsid w:val="00951D67"/>
    <w:rsid w:val="00951D6D"/>
    <w:rsid w:val="00951DB9"/>
    <w:rsid w:val="00951EA4"/>
    <w:rsid w:val="00951EFA"/>
    <w:rsid w:val="00952066"/>
    <w:rsid w:val="009521AC"/>
    <w:rsid w:val="0095227D"/>
    <w:rsid w:val="009522F5"/>
    <w:rsid w:val="009523AA"/>
    <w:rsid w:val="0095246C"/>
    <w:rsid w:val="00952506"/>
    <w:rsid w:val="00952644"/>
    <w:rsid w:val="00952721"/>
    <w:rsid w:val="00952777"/>
    <w:rsid w:val="009527F4"/>
    <w:rsid w:val="0095288C"/>
    <w:rsid w:val="0095290F"/>
    <w:rsid w:val="00952AAD"/>
    <w:rsid w:val="00952B15"/>
    <w:rsid w:val="00952B5D"/>
    <w:rsid w:val="00952BA1"/>
    <w:rsid w:val="00952BD0"/>
    <w:rsid w:val="00952CD5"/>
    <w:rsid w:val="00952D46"/>
    <w:rsid w:val="00952D9E"/>
    <w:rsid w:val="00952EEA"/>
    <w:rsid w:val="0095300F"/>
    <w:rsid w:val="00953208"/>
    <w:rsid w:val="0095324F"/>
    <w:rsid w:val="009532A6"/>
    <w:rsid w:val="009534C9"/>
    <w:rsid w:val="0095360C"/>
    <w:rsid w:val="00953616"/>
    <w:rsid w:val="0095361B"/>
    <w:rsid w:val="009536D0"/>
    <w:rsid w:val="0095398D"/>
    <w:rsid w:val="00953A10"/>
    <w:rsid w:val="00953A57"/>
    <w:rsid w:val="00953A7A"/>
    <w:rsid w:val="00953BEE"/>
    <w:rsid w:val="00953DAE"/>
    <w:rsid w:val="00953DCF"/>
    <w:rsid w:val="00953E1F"/>
    <w:rsid w:val="00953F8F"/>
    <w:rsid w:val="00954070"/>
    <w:rsid w:val="00954073"/>
    <w:rsid w:val="009540A5"/>
    <w:rsid w:val="009540F5"/>
    <w:rsid w:val="00954108"/>
    <w:rsid w:val="0095416E"/>
    <w:rsid w:val="00954177"/>
    <w:rsid w:val="00954229"/>
    <w:rsid w:val="009543FF"/>
    <w:rsid w:val="0095446C"/>
    <w:rsid w:val="00954485"/>
    <w:rsid w:val="00954585"/>
    <w:rsid w:val="0095458F"/>
    <w:rsid w:val="00954596"/>
    <w:rsid w:val="00954600"/>
    <w:rsid w:val="00954607"/>
    <w:rsid w:val="009547F8"/>
    <w:rsid w:val="0095483B"/>
    <w:rsid w:val="00954895"/>
    <w:rsid w:val="00954899"/>
    <w:rsid w:val="009548F4"/>
    <w:rsid w:val="00954B0D"/>
    <w:rsid w:val="00954B61"/>
    <w:rsid w:val="0095502F"/>
    <w:rsid w:val="009550AE"/>
    <w:rsid w:val="009550CF"/>
    <w:rsid w:val="0095511A"/>
    <w:rsid w:val="00955150"/>
    <w:rsid w:val="009552F5"/>
    <w:rsid w:val="00955448"/>
    <w:rsid w:val="00955474"/>
    <w:rsid w:val="009554EF"/>
    <w:rsid w:val="0095553D"/>
    <w:rsid w:val="009556BA"/>
    <w:rsid w:val="00955703"/>
    <w:rsid w:val="00955870"/>
    <w:rsid w:val="0095587C"/>
    <w:rsid w:val="00955927"/>
    <w:rsid w:val="00955A9A"/>
    <w:rsid w:val="00955B6B"/>
    <w:rsid w:val="00955D03"/>
    <w:rsid w:val="00955D2F"/>
    <w:rsid w:val="00955D9A"/>
    <w:rsid w:val="00955E8E"/>
    <w:rsid w:val="00955ED0"/>
    <w:rsid w:val="00955F0F"/>
    <w:rsid w:val="00955FAA"/>
    <w:rsid w:val="00956001"/>
    <w:rsid w:val="00956097"/>
    <w:rsid w:val="00956108"/>
    <w:rsid w:val="00956141"/>
    <w:rsid w:val="00956150"/>
    <w:rsid w:val="00956255"/>
    <w:rsid w:val="0095629E"/>
    <w:rsid w:val="009562FF"/>
    <w:rsid w:val="00956328"/>
    <w:rsid w:val="0095643E"/>
    <w:rsid w:val="0095650A"/>
    <w:rsid w:val="00956554"/>
    <w:rsid w:val="009565B2"/>
    <w:rsid w:val="00956601"/>
    <w:rsid w:val="00956669"/>
    <w:rsid w:val="009567CB"/>
    <w:rsid w:val="009568D6"/>
    <w:rsid w:val="0095696E"/>
    <w:rsid w:val="00956A10"/>
    <w:rsid w:val="00956A8A"/>
    <w:rsid w:val="00956C38"/>
    <w:rsid w:val="00956C72"/>
    <w:rsid w:val="00956CA1"/>
    <w:rsid w:val="00956E5A"/>
    <w:rsid w:val="00956F70"/>
    <w:rsid w:val="0095707A"/>
    <w:rsid w:val="009570BB"/>
    <w:rsid w:val="009571DE"/>
    <w:rsid w:val="009573D9"/>
    <w:rsid w:val="0095744A"/>
    <w:rsid w:val="00957454"/>
    <w:rsid w:val="00957490"/>
    <w:rsid w:val="00957537"/>
    <w:rsid w:val="009575A0"/>
    <w:rsid w:val="0095771F"/>
    <w:rsid w:val="00957720"/>
    <w:rsid w:val="00957746"/>
    <w:rsid w:val="0095774F"/>
    <w:rsid w:val="00957791"/>
    <w:rsid w:val="00957848"/>
    <w:rsid w:val="00957869"/>
    <w:rsid w:val="0095798C"/>
    <w:rsid w:val="00957996"/>
    <w:rsid w:val="00957A57"/>
    <w:rsid w:val="00957C43"/>
    <w:rsid w:val="00957D45"/>
    <w:rsid w:val="00957DFA"/>
    <w:rsid w:val="00957F1D"/>
    <w:rsid w:val="009600C9"/>
    <w:rsid w:val="009601B1"/>
    <w:rsid w:val="0096020C"/>
    <w:rsid w:val="00960228"/>
    <w:rsid w:val="0096028E"/>
    <w:rsid w:val="009602E5"/>
    <w:rsid w:val="00960403"/>
    <w:rsid w:val="00960450"/>
    <w:rsid w:val="0096049B"/>
    <w:rsid w:val="009604AF"/>
    <w:rsid w:val="00960565"/>
    <w:rsid w:val="0096057E"/>
    <w:rsid w:val="009605CD"/>
    <w:rsid w:val="00960720"/>
    <w:rsid w:val="009607A1"/>
    <w:rsid w:val="0096088A"/>
    <w:rsid w:val="00960890"/>
    <w:rsid w:val="009608B7"/>
    <w:rsid w:val="00960AC8"/>
    <w:rsid w:val="00960BF9"/>
    <w:rsid w:val="00960D35"/>
    <w:rsid w:val="00960DC9"/>
    <w:rsid w:val="00960EE6"/>
    <w:rsid w:val="00960EED"/>
    <w:rsid w:val="00960F3F"/>
    <w:rsid w:val="00960F5D"/>
    <w:rsid w:val="00960FDD"/>
    <w:rsid w:val="009610C3"/>
    <w:rsid w:val="0096110E"/>
    <w:rsid w:val="009611C9"/>
    <w:rsid w:val="00961298"/>
    <w:rsid w:val="009612D0"/>
    <w:rsid w:val="009614EA"/>
    <w:rsid w:val="00961536"/>
    <w:rsid w:val="009615CA"/>
    <w:rsid w:val="009615D4"/>
    <w:rsid w:val="00961667"/>
    <w:rsid w:val="0096168B"/>
    <w:rsid w:val="0096169C"/>
    <w:rsid w:val="00961751"/>
    <w:rsid w:val="00961851"/>
    <w:rsid w:val="009618E5"/>
    <w:rsid w:val="009619C0"/>
    <w:rsid w:val="009619FF"/>
    <w:rsid w:val="00961A50"/>
    <w:rsid w:val="00961AA3"/>
    <w:rsid w:val="00961C1F"/>
    <w:rsid w:val="00961C55"/>
    <w:rsid w:val="00961CAB"/>
    <w:rsid w:val="00961CAC"/>
    <w:rsid w:val="00961CFB"/>
    <w:rsid w:val="00961F97"/>
    <w:rsid w:val="00961FE1"/>
    <w:rsid w:val="00961FF5"/>
    <w:rsid w:val="00962041"/>
    <w:rsid w:val="0096208E"/>
    <w:rsid w:val="009620C1"/>
    <w:rsid w:val="009620D1"/>
    <w:rsid w:val="009620E4"/>
    <w:rsid w:val="00962129"/>
    <w:rsid w:val="009621C0"/>
    <w:rsid w:val="009621DF"/>
    <w:rsid w:val="009621E1"/>
    <w:rsid w:val="009621E3"/>
    <w:rsid w:val="00962248"/>
    <w:rsid w:val="0096226E"/>
    <w:rsid w:val="009622B7"/>
    <w:rsid w:val="009622CE"/>
    <w:rsid w:val="00962332"/>
    <w:rsid w:val="0096244B"/>
    <w:rsid w:val="009625C5"/>
    <w:rsid w:val="009625D5"/>
    <w:rsid w:val="00962674"/>
    <w:rsid w:val="00962688"/>
    <w:rsid w:val="009627DB"/>
    <w:rsid w:val="009628A3"/>
    <w:rsid w:val="009629C1"/>
    <w:rsid w:val="009629D9"/>
    <w:rsid w:val="009629F4"/>
    <w:rsid w:val="00962A32"/>
    <w:rsid w:val="00962ACF"/>
    <w:rsid w:val="00962BB1"/>
    <w:rsid w:val="00962C20"/>
    <w:rsid w:val="00962F17"/>
    <w:rsid w:val="00962F48"/>
    <w:rsid w:val="00962F70"/>
    <w:rsid w:val="0096303D"/>
    <w:rsid w:val="0096308C"/>
    <w:rsid w:val="00963125"/>
    <w:rsid w:val="0096317B"/>
    <w:rsid w:val="00963184"/>
    <w:rsid w:val="00963187"/>
    <w:rsid w:val="009631BD"/>
    <w:rsid w:val="0096320E"/>
    <w:rsid w:val="009632C3"/>
    <w:rsid w:val="0096337D"/>
    <w:rsid w:val="0096342C"/>
    <w:rsid w:val="00963431"/>
    <w:rsid w:val="0096344F"/>
    <w:rsid w:val="0096354A"/>
    <w:rsid w:val="009635BC"/>
    <w:rsid w:val="009635C4"/>
    <w:rsid w:val="009636FC"/>
    <w:rsid w:val="00963732"/>
    <w:rsid w:val="00963834"/>
    <w:rsid w:val="00963960"/>
    <w:rsid w:val="009639D1"/>
    <w:rsid w:val="00963A01"/>
    <w:rsid w:val="00963AC9"/>
    <w:rsid w:val="00963ADE"/>
    <w:rsid w:val="00963BA5"/>
    <w:rsid w:val="00963C03"/>
    <w:rsid w:val="00963C23"/>
    <w:rsid w:val="00963E22"/>
    <w:rsid w:val="00963E54"/>
    <w:rsid w:val="00963E9F"/>
    <w:rsid w:val="00963F29"/>
    <w:rsid w:val="00964028"/>
    <w:rsid w:val="009640C8"/>
    <w:rsid w:val="00964112"/>
    <w:rsid w:val="0096421A"/>
    <w:rsid w:val="00964266"/>
    <w:rsid w:val="009643C1"/>
    <w:rsid w:val="009643E8"/>
    <w:rsid w:val="00964442"/>
    <w:rsid w:val="00964443"/>
    <w:rsid w:val="009644C4"/>
    <w:rsid w:val="009644E4"/>
    <w:rsid w:val="009645FB"/>
    <w:rsid w:val="00964613"/>
    <w:rsid w:val="00964770"/>
    <w:rsid w:val="00964834"/>
    <w:rsid w:val="009648EF"/>
    <w:rsid w:val="0096497C"/>
    <w:rsid w:val="00964996"/>
    <w:rsid w:val="009649D7"/>
    <w:rsid w:val="00964A3E"/>
    <w:rsid w:val="00964AF1"/>
    <w:rsid w:val="00964BAB"/>
    <w:rsid w:val="00964BF0"/>
    <w:rsid w:val="00964C46"/>
    <w:rsid w:val="00964CD5"/>
    <w:rsid w:val="00964CE6"/>
    <w:rsid w:val="00964D72"/>
    <w:rsid w:val="00964E01"/>
    <w:rsid w:val="00964E43"/>
    <w:rsid w:val="00964E7D"/>
    <w:rsid w:val="00964F3C"/>
    <w:rsid w:val="00964F8A"/>
    <w:rsid w:val="00965017"/>
    <w:rsid w:val="009650D8"/>
    <w:rsid w:val="00965122"/>
    <w:rsid w:val="00965126"/>
    <w:rsid w:val="0096516E"/>
    <w:rsid w:val="00965201"/>
    <w:rsid w:val="00965234"/>
    <w:rsid w:val="0096524E"/>
    <w:rsid w:val="00965284"/>
    <w:rsid w:val="009652FC"/>
    <w:rsid w:val="00965310"/>
    <w:rsid w:val="00965352"/>
    <w:rsid w:val="00965383"/>
    <w:rsid w:val="0096562B"/>
    <w:rsid w:val="009656CB"/>
    <w:rsid w:val="009656F7"/>
    <w:rsid w:val="009657F0"/>
    <w:rsid w:val="0096584A"/>
    <w:rsid w:val="00965852"/>
    <w:rsid w:val="00965891"/>
    <w:rsid w:val="009658DF"/>
    <w:rsid w:val="00965A27"/>
    <w:rsid w:val="00965A9A"/>
    <w:rsid w:val="00965AB4"/>
    <w:rsid w:val="00965AD8"/>
    <w:rsid w:val="00965B5D"/>
    <w:rsid w:val="00965BFD"/>
    <w:rsid w:val="00965D13"/>
    <w:rsid w:val="00965D83"/>
    <w:rsid w:val="00965E49"/>
    <w:rsid w:val="00965FA1"/>
    <w:rsid w:val="00966016"/>
    <w:rsid w:val="009660EC"/>
    <w:rsid w:val="0096617B"/>
    <w:rsid w:val="0096629F"/>
    <w:rsid w:val="00966352"/>
    <w:rsid w:val="00966393"/>
    <w:rsid w:val="00966487"/>
    <w:rsid w:val="009664D4"/>
    <w:rsid w:val="00966616"/>
    <w:rsid w:val="0096668E"/>
    <w:rsid w:val="009668FA"/>
    <w:rsid w:val="00966912"/>
    <w:rsid w:val="00966968"/>
    <w:rsid w:val="00966A99"/>
    <w:rsid w:val="00966B6F"/>
    <w:rsid w:val="00966B81"/>
    <w:rsid w:val="00966B97"/>
    <w:rsid w:val="00966D90"/>
    <w:rsid w:val="00966DBB"/>
    <w:rsid w:val="00966E16"/>
    <w:rsid w:val="00966EBC"/>
    <w:rsid w:val="00967070"/>
    <w:rsid w:val="00967077"/>
    <w:rsid w:val="009670E1"/>
    <w:rsid w:val="009672C7"/>
    <w:rsid w:val="00967319"/>
    <w:rsid w:val="00967343"/>
    <w:rsid w:val="00967367"/>
    <w:rsid w:val="0096743E"/>
    <w:rsid w:val="0096754C"/>
    <w:rsid w:val="00967623"/>
    <w:rsid w:val="009676CA"/>
    <w:rsid w:val="00967846"/>
    <w:rsid w:val="00967992"/>
    <w:rsid w:val="00967A5F"/>
    <w:rsid w:val="00967A76"/>
    <w:rsid w:val="00967ACB"/>
    <w:rsid w:val="00967C80"/>
    <w:rsid w:val="00967E04"/>
    <w:rsid w:val="00967E40"/>
    <w:rsid w:val="00967E5D"/>
    <w:rsid w:val="00967E86"/>
    <w:rsid w:val="00967EBF"/>
    <w:rsid w:val="00967F31"/>
    <w:rsid w:val="00967F5B"/>
    <w:rsid w:val="0097009B"/>
    <w:rsid w:val="009701B2"/>
    <w:rsid w:val="0097032B"/>
    <w:rsid w:val="009704A4"/>
    <w:rsid w:val="009705F4"/>
    <w:rsid w:val="0097077B"/>
    <w:rsid w:val="009707AB"/>
    <w:rsid w:val="009707B6"/>
    <w:rsid w:val="0097089F"/>
    <w:rsid w:val="0097092E"/>
    <w:rsid w:val="0097094F"/>
    <w:rsid w:val="00970B39"/>
    <w:rsid w:val="00970B82"/>
    <w:rsid w:val="00970B8A"/>
    <w:rsid w:val="00970B95"/>
    <w:rsid w:val="00970BAC"/>
    <w:rsid w:val="00970BEC"/>
    <w:rsid w:val="00970C5E"/>
    <w:rsid w:val="00970D28"/>
    <w:rsid w:val="00970EDA"/>
    <w:rsid w:val="00970F08"/>
    <w:rsid w:val="00970F6C"/>
    <w:rsid w:val="00970FA4"/>
    <w:rsid w:val="0097100D"/>
    <w:rsid w:val="00971020"/>
    <w:rsid w:val="009710CC"/>
    <w:rsid w:val="00971147"/>
    <w:rsid w:val="009711C3"/>
    <w:rsid w:val="009712BF"/>
    <w:rsid w:val="009712DC"/>
    <w:rsid w:val="009712F9"/>
    <w:rsid w:val="00971353"/>
    <w:rsid w:val="00971379"/>
    <w:rsid w:val="0097139E"/>
    <w:rsid w:val="0097142A"/>
    <w:rsid w:val="00971542"/>
    <w:rsid w:val="0097167D"/>
    <w:rsid w:val="00971714"/>
    <w:rsid w:val="00971760"/>
    <w:rsid w:val="0097184B"/>
    <w:rsid w:val="00971879"/>
    <w:rsid w:val="009718B4"/>
    <w:rsid w:val="0097194A"/>
    <w:rsid w:val="009719CC"/>
    <w:rsid w:val="009719D4"/>
    <w:rsid w:val="009719DC"/>
    <w:rsid w:val="00971A31"/>
    <w:rsid w:val="00971B37"/>
    <w:rsid w:val="00971B5E"/>
    <w:rsid w:val="00971B6C"/>
    <w:rsid w:val="00971BCF"/>
    <w:rsid w:val="00971C1C"/>
    <w:rsid w:val="00971CD5"/>
    <w:rsid w:val="00971CF7"/>
    <w:rsid w:val="00971D8C"/>
    <w:rsid w:val="00971E3A"/>
    <w:rsid w:val="00971E71"/>
    <w:rsid w:val="00971F02"/>
    <w:rsid w:val="00971F2D"/>
    <w:rsid w:val="009720DA"/>
    <w:rsid w:val="00972167"/>
    <w:rsid w:val="00972191"/>
    <w:rsid w:val="00972197"/>
    <w:rsid w:val="009721A3"/>
    <w:rsid w:val="0097225F"/>
    <w:rsid w:val="00972282"/>
    <w:rsid w:val="00972319"/>
    <w:rsid w:val="009723D2"/>
    <w:rsid w:val="0097247A"/>
    <w:rsid w:val="00972545"/>
    <w:rsid w:val="0097259F"/>
    <w:rsid w:val="009725A6"/>
    <w:rsid w:val="00972758"/>
    <w:rsid w:val="009727B7"/>
    <w:rsid w:val="00972873"/>
    <w:rsid w:val="009728A8"/>
    <w:rsid w:val="00972916"/>
    <w:rsid w:val="00972961"/>
    <w:rsid w:val="0097297A"/>
    <w:rsid w:val="009729BD"/>
    <w:rsid w:val="009729D4"/>
    <w:rsid w:val="009729E5"/>
    <w:rsid w:val="00972B6B"/>
    <w:rsid w:val="00972C58"/>
    <w:rsid w:val="00972CCF"/>
    <w:rsid w:val="00972CF0"/>
    <w:rsid w:val="00972D1B"/>
    <w:rsid w:val="00972D8C"/>
    <w:rsid w:val="00972E55"/>
    <w:rsid w:val="00972FA4"/>
    <w:rsid w:val="00972FD9"/>
    <w:rsid w:val="00973072"/>
    <w:rsid w:val="00973199"/>
    <w:rsid w:val="009731A0"/>
    <w:rsid w:val="009731B7"/>
    <w:rsid w:val="00973354"/>
    <w:rsid w:val="0097337B"/>
    <w:rsid w:val="009733A2"/>
    <w:rsid w:val="009733C0"/>
    <w:rsid w:val="009733D3"/>
    <w:rsid w:val="009733EC"/>
    <w:rsid w:val="00973471"/>
    <w:rsid w:val="00973557"/>
    <w:rsid w:val="009735E7"/>
    <w:rsid w:val="0097373A"/>
    <w:rsid w:val="009737C7"/>
    <w:rsid w:val="0097382B"/>
    <w:rsid w:val="0097388A"/>
    <w:rsid w:val="0097394D"/>
    <w:rsid w:val="0097398A"/>
    <w:rsid w:val="00973999"/>
    <w:rsid w:val="009739B6"/>
    <w:rsid w:val="009739ED"/>
    <w:rsid w:val="00973A48"/>
    <w:rsid w:val="00973C61"/>
    <w:rsid w:val="00973C69"/>
    <w:rsid w:val="00973C87"/>
    <w:rsid w:val="00973F2B"/>
    <w:rsid w:val="00973FFF"/>
    <w:rsid w:val="0097403D"/>
    <w:rsid w:val="009740F0"/>
    <w:rsid w:val="0097418D"/>
    <w:rsid w:val="00974191"/>
    <w:rsid w:val="00974203"/>
    <w:rsid w:val="009742FF"/>
    <w:rsid w:val="0097435B"/>
    <w:rsid w:val="0097455A"/>
    <w:rsid w:val="009745D3"/>
    <w:rsid w:val="00974718"/>
    <w:rsid w:val="009748C9"/>
    <w:rsid w:val="00974996"/>
    <w:rsid w:val="00974A2E"/>
    <w:rsid w:val="00974A5F"/>
    <w:rsid w:val="00974A98"/>
    <w:rsid w:val="00974B34"/>
    <w:rsid w:val="00974BA9"/>
    <w:rsid w:val="00974BC2"/>
    <w:rsid w:val="00974C42"/>
    <w:rsid w:val="00974D64"/>
    <w:rsid w:val="00974E72"/>
    <w:rsid w:val="00974E8D"/>
    <w:rsid w:val="00974EC7"/>
    <w:rsid w:val="00974FC1"/>
    <w:rsid w:val="00975003"/>
    <w:rsid w:val="0097501F"/>
    <w:rsid w:val="0097505F"/>
    <w:rsid w:val="0097508F"/>
    <w:rsid w:val="009750F2"/>
    <w:rsid w:val="00975132"/>
    <w:rsid w:val="00975196"/>
    <w:rsid w:val="00975215"/>
    <w:rsid w:val="0097526F"/>
    <w:rsid w:val="009752E7"/>
    <w:rsid w:val="0097533C"/>
    <w:rsid w:val="009754CC"/>
    <w:rsid w:val="0097559A"/>
    <w:rsid w:val="009755D6"/>
    <w:rsid w:val="00975651"/>
    <w:rsid w:val="00975654"/>
    <w:rsid w:val="00975686"/>
    <w:rsid w:val="00975753"/>
    <w:rsid w:val="00975906"/>
    <w:rsid w:val="00975AE2"/>
    <w:rsid w:val="00975AFC"/>
    <w:rsid w:val="00975D68"/>
    <w:rsid w:val="00975D7C"/>
    <w:rsid w:val="00975DB2"/>
    <w:rsid w:val="00975E1A"/>
    <w:rsid w:val="00975E3C"/>
    <w:rsid w:val="00975EB3"/>
    <w:rsid w:val="00975F7A"/>
    <w:rsid w:val="009760D9"/>
    <w:rsid w:val="00976164"/>
    <w:rsid w:val="00976168"/>
    <w:rsid w:val="00976237"/>
    <w:rsid w:val="0097633A"/>
    <w:rsid w:val="00976342"/>
    <w:rsid w:val="00976441"/>
    <w:rsid w:val="00976456"/>
    <w:rsid w:val="0097648C"/>
    <w:rsid w:val="00976521"/>
    <w:rsid w:val="0097652E"/>
    <w:rsid w:val="00976644"/>
    <w:rsid w:val="009767E2"/>
    <w:rsid w:val="009768EC"/>
    <w:rsid w:val="00976952"/>
    <w:rsid w:val="009769C5"/>
    <w:rsid w:val="00976B58"/>
    <w:rsid w:val="00976B62"/>
    <w:rsid w:val="00976C03"/>
    <w:rsid w:val="00976C18"/>
    <w:rsid w:val="00976C1D"/>
    <w:rsid w:val="00976C50"/>
    <w:rsid w:val="00976C9A"/>
    <w:rsid w:val="00977055"/>
    <w:rsid w:val="00977078"/>
    <w:rsid w:val="00977107"/>
    <w:rsid w:val="009771C7"/>
    <w:rsid w:val="009772E1"/>
    <w:rsid w:val="00977416"/>
    <w:rsid w:val="009774DD"/>
    <w:rsid w:val="009775EF"/>
    <w:rsid w:val="00977669"/>
    <w:rsid w:val="00977678"/>
    <w:rsid w:val="009778E2"/>
    <w:rsid w:val="0097791A"/>
    <w:rsid w:val="009779FE"/>
    <w:rsid w:val="00977A79"/>
    <w:rsid w:val="00977AED"/>
    <w:rsid w:val="00977BCD"/>
    <w:rsid w:val="00977BD7"/>
    <w:rsid w:val="00977C38"/>
    <w:rsid w:val="00977CD2"/>
    <w:rsid w:val="00977D96"/>
    <w:rsid w:val="00977D98"/>
    <w:rsid w:val="00977DD8"/>
    <w:rsid w:val="00977DF8"/>
    <w:rsid w:val="00980113"/>
    <w:rsid w:val="009801C1"/>
    <w:rsid w:val="009801E8"/>
    <w:rsid w:val="009802C6"/>
    <w:rsid w:val="00980399"/>
    <w:rsid w:val="009803F5"/>
    <w:rsid w:val="00980401"/>
    <w:rsid w:val="00980533"/>
    <w:rsid w:val="0098053D"/>
    <w:rsid w:val="009805F0"/>
    <w:rsid w:val="009806DC"/>
    <w:rsid w:val="00980759"/>
    <w:rsid w:val="0098078A"/>
    <w:rsid w:val="009807C4"/>
    <w:rsid w:val="009807DF"/>
    <w:rsid w:val="009807EB"/>
    <w:rsid w:val="0098081A"/>
    <w:rsid w:val="00980927"/>
    <w:rsid w:val="009809BB"/>
    <w:rsid w:val="009809DA"/>
    <w:rsid w:val="00980AC4"/>
    <w:rsid w:val="00980B11"/>
    <w:rsid w:val="00980B24"/>
    <w:rsid w:val="00980BA0"/>
    <w:rsid w:val="00980BD3"/>
    <w:rsid w:val="00980C0B"/>
    <w:rsid w:val="00980C76"/>
    <w:rsid w:val="00980CDF"/>
    <w:rsid w:val="00980E07"/>
    <w:rsid w:val="00980E57"/>
    <w:rsid w:val="00980E7F"/>
    <w:rsid w:val="00980F43"/>
    <w:rsid w:val="009810FB"/>
    <w:rsid w:val="00981159"/>
    <w:rsid w:val="00981202"/>
    <w:rsid w:val="00981234"/>
    <w:rsid w:val="00981457"/>
    <w:rsid w:val="0098147F"/>
    <w:rsid w:val="009814AC"/>
    <w:rsid w:val="009814BA"/>
    <w:rsid w:val="00981643"/>
    <w:rsid w:val="00981713"/>
    <w:rsid w:val="009817B0"/>
    <w:rsid w:val="009818E0"/>
    <w:rsid w:val="00981AF4"/>
    <w:rsid w:val="00981B30"/>
    <w:rsid w:val="00981B53"/>
    <w:rsid w:val="00981C08"/>
    <w:rsid w:val="00981C4B"/>
    <w:rsid w:val="00981D27"/>
    <w:rsid w:val="00981DD9"/>
    <w:rsid w:val="00981F84"/>
    <w:rsid w:val="00982028"/>
    <w:rsid w:val="009821CE"/>
    <w:rsid w:val="00982212"/>
    <w:rsid w:val="009822CF"/>
    <w:rsid w:val="009822E3"/>
    <w:rsid w:val="009823C1"/>
    <w:rsid w:val="0098250F"/>
    <w:rsid w:val="00982539"/>
    <w:rsid w:val="009826E8"/>
    <w:rsid w:val="00982812"/>
    <w:rsid w:val="009828B4"/>
    <w:rsid w:val="00982AD7"/>
    <w:rsid w:val="00982AF7"/>
    <w:rsid w:val="00982B98"/>
    <w:rsid w:val="00982BCF"/>
    <w:rsid w:val="00982C12"/>
    <w:rsid w:val="00982CFD"/>
    <w:rsid w:val="00982D4F"/>
    <w:rsid w:val="00982D5F"/>
    <w:rsid w:val="00982D84"/>
    <w:rsid w:val="00982DE3"/>
    <w:rsid w:val="00982EEF"/>
    <w:rsid w:val="0098310B"/>
    <w:rsid w:val="00983147"/>
    <w:rsid w:val="0098314B"/>
    <w:rsid w:val="009831F6"/>
    <w:rsid w:val="00983252"/>
    <w:rsid w:val="00983308"/>
    <w:rsid w:val="00983389"/>
    <w:rsid w:val="00983425"/>
    <w:rsid w:val="0098361C"/>
    <w:rsid w:val="009836BF"/>
    <w:rsid w:val="00983742"/>
    <w:rsid w:val="0098376E"/>
    <w:rsid w:val="00983814"/>
    <w:rsid w:val="00983906"/>
    <w:rsid w:val="0098390D"/>
    <w:rsid w:val="009839FB"/>
    <w:rsid w:val="00983AA2"/>
    <w:rsid w:val="00983B5B"/>
    <w:rsid w:val="00983B5F"/>
    <w:rsid w:val="00983C87"/>
    <w:rsid w:val="00983C89"/>
    <w:rsid w:val="00983C8A"/>
    <w:rsid w:val="00983D43"/>
    <w:rsid w:val="00983F6F"/>
    <w:rsid w:val="00983FD2"/>
    <w:rsid w:val="00983FF1"/>
    <w:rsid w:val="00983FFB"/>
    <w:rsid w:val="00984141"/>
    <w:rsid w:val="00984149"/>
    <w:rsid w:val="009841DD"/>
    <w:rsid w:val="00984298"/>
    <w:rsid w:val="009843D0"/>
    <w:rsid w:val="009843D4"/>
    <w:rsid w:val="00984413"/>
    <w:rsid w:val="009844B4"/>
    <w:rsid w:val="009844E2"/>
    <w:rsid w:val="00984528"/>
    <w:rsid w:val="00984539"/>
    <w:rsid w:val="009845CF"/>
    <w:rsid w:val="00984664"/>
    <w:rsid w:val="00984677"/>
    <w:rsid w:val="00984761"/>
    <w:rsid w:val="00984857"/>
    <w:rsid w:val="009848CB"/>
    <w:rsid w:val="00984B62"/>
    <w:rsid w:val="00984BBA"/>
    <w:rsid w:val="00984D07"/>
    <w:rsid w:val="00984DFA"/>
    <w:rsid w:val="00984F27"/>
    <w:rsid w:val="00985025"/>
    <w:rsid w:val="0098513B"/>
    <w:rsid w:val="00985175"/>
    <w:rsid w:val="00985236"/>
    <w:rsid w:val="009852C8"/>
    <w:rsid w:val="009852F0"/>
    <w:rsid w:val="009852F3"/>
    <w:rsid w:val="00985303"/>
    <w:rsid w:val="00985493"/>
    <w:rsid w:val="0098555A"/>
    <w:rsid w:val="009855C8"/>
    <w:rsid w:val="009855CA"/>
    <w:rsid w:val="0098560E"/>
    <w:rsid w:val="00985646"/>
    <w:rsid w:val="00985681"/>
    <w:rsid w:val="009856AE"/>
    <w:rsid w:val="0098575D"/>
    <w:rsid w:val="00985862"/>
    <w:rsid w:val="00985905"/>
    <w:rsid w:val="00985929"/>
    <w:rsid w:val="0098596D"/>
    <w:rsid w:val="009859D5"/>
    <w:rsid w:val="00985A27"/>
    <w:rsid w:val="00985A56"/>
    <w:rsid w:val="00985A6F"/>
    <w:rsid w:val="00985AB0"/>
    <w:rsid w:val="00985B37"/>
    <w:rsid w:val="00985BA4"/>
    <w:rsid w:val="00985CCF"/>
    <w:rsid w:val="00985D2C"/>
    <w:rsid w:val="00985DA4"/>
    <w:rsid w:val="00985DBB"/>
    <w:rsid w:val="00985DE9"/>
    <w:rsid w:val="00985E94"/>
    <w:rsid w:val="00985EF9"/>
    <w:rsid w:val="00985F18"/>
    <w:rsid w:val="0098605F"/>
    <w:rsid w:val="009860E5"/>
    <w:rsid w:val="00986224"/>
    <w:rsid w:val="00986238"/>
    <w:rsid w:val="00986348"/>
    <w:rsid w:val="0098643F"/>
    <w:rsid w:val="0098649B"/>
    <w:rsid w:val="009864D2"/>
    <w:rsid w:val="009865B0"/>
    <w:rsid w:val="00986637"/>
    <w:rsid w:val="00986700"/>
    <w:rsid w:val="0098680C"/>
    <w:rsid w:val="00986867"/>
    <w:rsid w:val="009868E4"/>
    <w:rsid w:val="0098695A"/>
    <w:rsid w:val="0098696D"/>
    <w:rsid w:val="00986A12"/>
    <w:rsid w:val="00986A38"/>
    <w:rsid w:val="00986A3D"/>
    <w:rsid w:val="00986A57"/>
    <w:rsid w:val="00986C14"/>
    <w:rsid w:val="00986CB3"/>
    <w:rsid w:val="00986D10"/>
    <w:rsid w:val="00986FDB"/>
    <w:rsid w:val="0098701D"/>
    <w:rsid w:val="00987073"/>
    <w:rsid w:val="00987098"/>
    <w:rsid w:val="009870AD"/>
    <w:rsid w:val="0098719C"/>
    <w:rsid w:val="009871BF"/>
    <w:rsid w:val="00987216"/>
    <w:rsid w:val="0098729A"/>
    <w:rsid w:val="00987367"/>
    <w:rsid w:val="0098744B"/>
    <w:rsid w:val="009874DC"/>
    <w:rsid w:val="00987556"/>
    <w:rsid w:val="0098755A"/>
    <w:rsid w:val="0098755E"/>
    <w:rsid w:val="0098755F"/>
    <w:rsid w:val="009876BA"/>
    <w:rsid w:val="009878C4"/>
    <w:rsid w:val="0098791E"/>
    <w:rsid w:val="00987973"/>
    <w:rsid w:val="00987C04"/>
    <w:rsid w:val="00987C7E"/>
    <w:rsid w:val="00987CB4"/>
    <w:rsid w:val="00987DE9"/>
    <w:rsid w:val="00987F4C"/>
    <w:rsid w:val="00987F88"/>
    <w:rsid w:val="0099005F"/>
    <w:rsid w:val="009900AE"/>
    <w:rsid w:val="009900C6"/>
    <w:rsid w:val="009900DC"/>
    <w:rsid w:val="009900E2"/>
    <w:rsid w:val="009900F9"/>
    <w:rsid w:val="00990131"/>
    <w:rsid w:val="00990136"/>
    <w:rsid w:val="00990192"/>
    <w:rsid w:val="00990214"/>
    <w:rsid w:val="0099028C"/>
    <w:rsid w:val="00990310"/>
    <w:rsid w:val="0099050F"/>
    <w:rsid w:val="00990560"/>
    <w:rsid w:val="0099067F"/>
    <w:rsid w:val="009906C7"/>
    <w:rsid w:val="00990798"/>
    <w:rsid w:val="009908CB"/>
    <w:rsid w:val="00990A3B"/>
    <w:rsid w:val="00990A73"/>
    <w:rsid w:val="00990B97"/>
    <w:rsid w:val="00990BE5"/>
    <w:rsid w:val="00990D5F"/>
    <w:rsid w:val="00990E1D"/>
    <w:rsid w:val="00990E68"/>
    <w:rsid w:val="00990EF4"/>
    <w:rsid w:val="00990F40"/>
    <w:rsid w:val="00991139"/>
    <w:rsid w:val="00991156"/>
    <w:rsid w:val="00991235"/>
    <w:rsid w:val="0099128D"/>
    <w:rsid w:val="00991360"/>
    <w:rsid w:val="00991465"/>
    <w:rsid w:val="00991516"/>
    <w:rsid w:val="0099158E"/>
    <w:rsid w:val="0099170D"/>
    <w:rsid w:val="0099175C"/>
    <w:rsid w:val="0099176D"/>
    <w:rsid w:val="009917F6"/>
    <w:rsid w:val="009917FC"/>
    <w:rsid w:val="00991904"/>
    <w:rsid w:val="00991918"/>
    <w:rsid w:val="00991940"/>
    <w:rsid w:val="00991968"/>
    <w:rsid w:val="009919A7"/>
    <w:rsid w:val="00991A6F"/>
    <w:rsid w:val="00991B1E"/>
    <w:rsid w:val="00991B48"/>
    <w:rsid w:val="00991B83"/>
    <w:rsid w:val="00991B98"/>
    <w:rsid w:val="00991D05"/>
    <w:rsid w:val="00991D5B"/>
    <w:rsid w:val="00991D5C"/>
    <w:rsid w:val="00991DBD"/>
    <w:rsid w:val="00991E4F"/>
    <w:rsid w:val="00991EAF"/>
    <w:rsid w:val="00991F80"/>
    <w:rsid w:val="00991FA8"/>
    <w:rsid w:val="00992001"/>
    <w:rsid w:val="009920AB"/>
    <w:rsid w:val="00992109"/>
    <w:rsid w:val="00992330"/>
    <w:rsid w:val="009924F7"/>
    <w:rsid w:val="00992578"/>
    <w:rsid w:val="00992602"/>
    <w:rsid w:val="00992741"/>
    <w:rsid w:val="009927D1"/>
    <w:rsid w:val="009928BE"/>
    <w:rsid w:val="009928D1"/>
    <w:rsid w:val="00992A17"/>
    <w:rsid w:val="00992A1F"/>
    <w:rsid w:val="00992A55"/>
    <w:rsid w:val="00992AD6"/>
    <w:rsid w:val="00992B4C"/>
    <w:rsid w:val="00992CBE"/>
    <w:rsid w:val="00992DFB"/>
    <w:rsid w:val="00992EE5"/>
    <w:rsid w:val="00992F16"/>
    <w:rsid w:val="00992F86"/>
    <w:rsid w:val="0099308B"/>
    <w:rsid w:val="009931A1"/>
    <w:rsid w:val="009931EF"/>
    <w:rsid w:val="0099331E"/>
    <w:rsid w:val="00993420"/>
    <w:rsid w:val="00993442"/>
    <w:rsid w:val="009936C0"/>
    <w:rsid w:val="009936E7"/>
    <w:rsid w:val="009938B0"/>
    <w:rsid w:val="00993A2A"/>
    <w:rsid w:val="00993B0A"/>
    <w:rsid w:val="00993B64"/>
    <w:rsid w:val="00993BF4"/>
    <w:rsid w:val="00993CAD"/>
    <w:rsid w:val="00993D29"/>
    <w:rsid w:val="00993D79"/>
    <w:rsid w:val="00993F32"/>
    <w:rsid w:val="009940F1"/>
    <w:rsid w:val="0099418C"/>
    <w:rsid w:val="00994217"/>
    <w:rsid w:val="009943AF"/>
    <w:rsid w:val="0099446C"/>
    <w:rsid w:val="009944E6"/>
    <w:rsid w:val="0099459D"/>
    <w:rsid w:val="00994662"/>
    <w:rsid w:val="009946B1"/>
    <w:rsid w:val="00994795"/>
    <w:rsid w:val="009947D1"/>
    <w:rsid w:val="00994826"/>
    <w:rsid w:val="00994875"/>
    <w:rsid w:val="00994946"/>
    <w:rsid w:val="00994999"/>
    <w:rsid w:val="009949FD"/>
    <w:rsid w:val="00994A2E"/>
    <w:rsid w:val="00994B2B"/>
    <w:rsid w:val="00994BA7"/>
    <w:rsid w:val="00994D19"/>
    <w:rsid w:val="00994D28"/>
    <w:rsid w:val="00994D5F"/>
    <w:rsid w:val="00994F85"/>
    <w:rsid w:val="00994F87"/>
    <w:rsid w:val="00994FCC"/>
    <w:rsid w:val="00995002"/>
    <w:rsid w:val="0099518E"/>
    <w:rsid w:val="00995205"/>
    <w:rsid w:val="00995249"/>
    <w:rsid w:val="009952FD"/>
    <w:rsid w:val="0099549E"/>
    <w:rsid w:val="009954D7"/>
    <w:rsid w:val="009955B7"/>
    <w:rsid w:val="009955CD"/>
    <w:rsid w:val="009955F7"/>
    <w:rsid w:val="00995623"/>
    <w:rsid w:val="009957B6"/>
    <w:rsid w:val="009957C6"/>
    <w:rsid w:val="009957D4"/>
    <w:rsid w:val="0099595E"/>
    <w:rsid w:val="00995990"/>
    <w:rsid w:val="00995A35"/>
    <w:rsid w:val="00995A6E"/>
    <w:rsid w:val="00995A7A"/>
    <w:rsid w:val="00995AAD"/>
    <w:rsid w:val="00995B44"/>
    <w:rsid w:val="00995B75"/>
    <w:rsid w:val="00995C34"/>
    <w:rsid w:val="00995D8B"/>
    <w:rsid w:val="00995DBE"/>
    <w:rsid w:val="00995DC2"/>
    <w:rsid w:val="00995E50"/>
    <w:rsid w:val="00995EA4"/>
    <w:rsid w:val="00995F7B"/>
    <w:rsid w:val="00996023"/>
    <w:rsid w:val="0099604B"/>
    <w:rsid w:val="0099612B"/>
    <w:rsid w:val="0099618D"/>
    <w:rsid w:val="009961B9"/>
    <w:rsid w:val="009962B1"/>
    <w:rsid w:val="009964D6"/>
    <w:rsid w:val="00996571"/>
    <w:rsid w:val="00996603"/>
    <w:rsid w:val="00996617"/>
    <w:rsid w:val="009966E4"/>
    <w:rsid w:val="009967D4"/>
    <w:rsid w:val="00996805"/>
    <w:rsid w:val="009969CA"/>
    <w:rsid w:val="009969F7"/>
    <w:rsid w:val="00996B08"/>
    <w:rsid w:val="00996B33"/>
    <w:rsid w:val="00996BBB"/>
    <w:rsid w:val="00996BE3"/>
    <w:rsid w:val="00996C02"/>
    <w:rsid w:val="00996C88"/>
    <w:rsid w:val="00996CC3"/>
    <w:rsid w:val="00996D02"/>
    <w:rsid w:val="00996E7B"/>
    <w:rsid w:val="00996ED4"/>
    <w:rsid w:val="00996EE4"/>
    <w:rsid w:val="00996FC8"/>
    <w:rsid w:val="00997073"/>
    <w:rsid w:val="009970D5"/>
    <w:rsid w:val="009971D8"/>
    <w:rsid w:val="0099745F"/>
    <w:rsid w:val="009974A7"/>
    <w:rsid w:val="0099763F"/>
    <w:rsid w:val="0099776F"/>
    <w:rsid w:val="00997895"/>
    <w:rsid w:val="009978CC"/>
    <w:rsid w:val="0099797D"/>
    <w:rsid w:val="009979A4"/>
    <w:rsid w:val="009979AB"/>
    <w:rsid w:val="009979F6"/>
    <w:rsid w:val="00997AE2"/>
    <w:rsid w:val="00997B29"/>
    <w:rsid w:val="00997B42"/>
    <w:rsid w:val="00997B50"/>
    <w:rsid w:val="00997B8A"/>
    <w:rsid w:val="00997BC1"/>
    <w:rsid w:val="00997C36"/>
    <w:rsid w:val="00997C8A"/>
    <w:rsid w:val="00997CC7"/>
    <w:rsid w:val="00997DD3"/>
    <w:rsid w:val="00997DFD"/>
    <w:rsid w:val="00997E1B"/>
    <w:rsid w:val="00997E71"/>
    <w:rsid w:val="00997E85"/>
    <w:rsid w:val="00997E89"/>
    <w:rsid w:val="00997E8B"/>
    <w:rsid w:val="00997E9B"/>
    <w:rsid w:val="00997F58"/>
    <w:rsid w:val="00997F9E"/>
    <w:rsid w:val="009A020D"/>
    <w:rsid w:val="009A02AE"/>
    <w:rsid w:val="009A0316"/>
    <w:rsid w:val="009A0423"/>
    <w:rsid w:val="009A0429"/>
    <w:rsid w:val="009A04E2"/>
    <w:rsid w:val="009A04F6"/>
    <w:rsid w:val="009A0669"/>
    <w:rsid w:val="009A068D"/>
    <w:rsid w:val="009A072D"/>
    <w:rsid w:val="009A07D0"/>
    <w:rsid w:val="009A092D"/>
    <w:rsid w:val="009A095A"/>
    <w:rsid w:val="009A0986"/>
    <w:rsid w:val="009A09BE"/>
    <w:rsid w:val="009A0A78"/>
    <w:rsid w:val="009A0ACB"/>
    <w:rsid w:val="009A0B9B"/>
    <w:rsid w:val="009A0C22"/>
    <w:rsid w:val="009A0C7B"/>
    <w:rsid w:val="009A0C9F"/>
    <w:rsid w:val="009A0E48"/>
    <w:rsid w:val="009A0EB0"/>
    <w:rsid w:val="009A0EC5"/>
    <w:rsid w:val="009A0F12"/>
    <w:rsid w:val="009A0F5A"/>
    <w:rsid w:val="009A0F5C"/>
    <w:rsid w:val="009A0F65"/>
    <w:rsid w:val="009A0F74"/>
    <w:rsid w:val="009A0FCC"/>
    <w:rsid w:val="009A1049"/>
    <w:rsid w:val="009A1070"/>
    <w:rsid w:val="009A1195"/>
    <w:rsid w:val="009A11FA"/>
    <w:rsid w:val="009A1248"/>
    <w:rsid w:val="009A125F"/>
    <w:rsid w:val="009A1260"/>
    <w:rsid w:val="009A129E"/>
    <w:rsid w:val="009A139A"/>
    <w:rsid w:val="009A148B"/>
    <w:rsid w:val="009A1528"/>
    <w:rsid w:val="009A15BC"/>
    <w:rsid w:val="009A15CB"/>
    <w:rsid w:val="009A15D8"/>
    <w:rsid w:val="009A1674"/>
    <w:rsid w:val="009A1949"/>
    <w:rsid w:val="009A1A1B"/>
    <w:rsid w:val="009A1C1E"/>
    <w:rsid w:val="009A1E66"/>
    <w:rsid w:val="009A1F34"/>
    <w:rsid w:val="009A206E"/>
    <w:rsid w:val="009A20FD"/>
    <w:rsid w:val="009A22E0"/>
    <w:rsid w:val="009A23A9"/>
    <w:rsid w:val="009A23E3"/>
    <w:rsid w:val="009A23FF"/>
    <w:rsid w:val="009A24AF"/>
    <w:rsid w:val="009A265B"/>
    <w:rsid w:val="009A273C"/>
    <w:rsid w:val="009A277C"/>
    <w:rsid w:val="009A2805"/>
    <w:rsid w:val="009A28EC"/>
    <w:rsid w:val="009A2B21"/>
    <w:rsid w:val="009A2BA3"/>
    <w:rsid w:val="009A2C4C"/>
    <w:rsid w:val="009A2D2D"/>
    <w:rsid w:val="009A2D39"/>
    <w:rsid w:val="009A2DA0"/>
    <w:rsid w:val="009A2EF2"/>
    <w:rsid w:val="009A2F42"/>
    <w:rsid w:val="009A2F5A"/>
    <w:rsid w:val="009A2F78"/>
    <w:rsid w:val="009A3001"/>
    <w:rsid w:val="009A3002"/>
    <w:rsid w:val="009A30C2"/>
    <w:rsid w:val="009A30C9"/>
    <w:rsid w:val="009A30E4"/>
    <w:rsid w:val="009A31B9"/>
    <w:rsid w:val="009A31BD"/>
    <w:rsid w:val="009A31D6"/>
    <w:rsid w:val="009A33DA"/>
    <w:rsid w:val="009A33FF"/>
    <w:rsid w:val="009A3409"/>
    <w:rsid w:val="009A3413"/>
    <w:rsid w:val="009A34CD"/>
    <w:rsid w:val="009A356F"/>
    <w:rsid w:val="009A3627"/>
    <w:rsid w:val="009A3631"/>
    <w:rsid w:val="009A36D3"/>
    <w:rsid w:val="009A36D6"/>
    <w:rsid w:val="009A36DB"/>
    <w:rsid w:val="009A3830"/>
    <w:rsid w:val="009A3882"/>
    <w:rsid w:val="009A39BA"/>
    <w:rsid w:val="009A3B2E"/>
    <w:rsid w:val="009A3D14"/>
    <w:rsid w:val="009A3D1D"/>
    <w:rsid w:val="009A3D4C"/>
    <w:rsid w:val="009A3D5F"/>
    <w:rsid w:val="009A3D9A"/>
    <w:rsid w:val="009A3E00"/>
    <w:rsid w:val="009A3E22"/>
    <w:rsid w:val="009A3ED2"/>
    <w:rsid w:val="009A4081"/>
    <w:rsid w:val="009A40B5"/>
    <w:rsid w:val="009A40B6"/>
    <w:rsid w:val="009A40D1"/>
    <w:rsid w:val="009A4163"/>
    <w:rsid w:val="009A42E8"/>
    <w:rsid w:val="009A4313"/>
    <w:rsid w:val="009A44AE"/>
    <w:rsid w:val="009A44B3"/>
    <w:rsid w:val="009A4529"/>
    <w:rsid w:val="009A4608"/>
    <w:rsid w:val="009A463E"/>
    <w:rsid w:val="009A4690"/>
    <w:rsid w:val="009A46A8"/>
    <w:rsid w:val="009A46FC"/>
    <w:rsid w:val="009A4725"/>
    <w:rsid w:val="009A4744"/>
    <w:rsid w:val="009A474F"/>
    <w:rsid w:val="009A4757"/>
    <w:rsid w:val="009A485A"/>
    <w:rsid w:val="009A49AE"/>
    <w:rsid w:val="009A49E6"/>
    <w:rsid w:val="009A4A46"/>
    <w:rsid w:val="009A4B15"/>
    <w:rsid w:val="009A4C1F"/>
    <w:rsid w:val="009A4C42"/>
    <w:rsid w:val="009A4C57"/>
    <w:rsid w:val="009A4DE5"/>
    <w:rsid w:val="009A4DEB"/>
    <w:rsid w:val="009A4E45"/>
    <w:rsid w:val="009A4F31"/>
    <w:rsid w:val="009A5026"/>
    <w:rsid w:val="009A5081"/>
    <w:rsid w:val="009A5135"/>
    <w:rsid w:val="009A52B6"/>
    <w:rsid w:val="009A5311"/>
    <w:rsid w:val="009A5344"/>
    <w:rsid w:val="009A53D5"/>
    <w:rsid w:val="009A545C"/>
    <w:rsid w:val="009A5517"/>
    <w:rsid w:val="009A5523"/>
    <w:rsid w:val="009A5674"/>
    <w:rsid w:val="009A5689"/>
    <w:rsid w:val="009A5692"/>
    <w:rsid w:val="009A573D"/>
    <w:rsid w:val="009A57FF"/>
    <w:rsid w:val="009A585D"/>
    <w:rsid w:val="009A589D"/>
    <w:rsid w:val="009A5B55"/>
    <w:rsid w:val="009A5B8F"/>
    <w:rsid w:val="009A5CBE"/>
    <w:rsid w:val="009A5CDD"/>
    <w:rsid w:val="009A5DFD"/>
    <w:rsid w:val="009A5E45"/>
    <w:rsid w:val="009A5F32"/>
    <w:rsid w:val="009A5F9D"/>
    <w:rsid w:val="009A6005"/>
    <w:rsid w:val="009A6041"/>
    <w:rsid w:val="009A6047"/>
    <w:rsid w:val="009A6078"/>
    <w:rsid w:val="009A625A"/>
    <w:rsid w:val="009A6264"/>
    <w:rsid w:val="009A627F"/>
    <w:rsid w:val="009A62DC"/>
    <w:rsid w:val="009A62E8"/>
    <w:rsid w:val="009A62FC"/>
    <w:rsid w:val="009A6361"/>
    <w:rsid w:val="009A63DC"/>
    <w:rsid w:val="009A658F"/>
    <w:rsid w:val="009A66AC"/>
    <w:rsid w:val="009A67F0"/>
    <w:rsid w:val="009A68AD"/>
    <w:rsid w:val="009A6904"/>
    <w:rsid w:val="009A69A9"/>
    <w:rsid w:val="009A6A2D"/>
    <w:rsid w:val="009A6A5F"/>
    <w:rsid w:val="009A6AB3"/>
    <w:rsid w:val="009A6AC3"/>
    <w:rsid w:val="009A6B05"/>
    <w:rsid w:val="009A6B1A"/>
    <w:rsid w:val="009A6B64"/>
    <w:rsid w:val="009A6B7D"/>
    <w:rsid w:val="009A6BCB"/>
    <w:rsid w:val="009A6CAD"/>
    <w:rsid w:val="009A6CD6"/>
    <w:rsid w:val="009A6E4F"/>
    <w:rsid w:val="009A6F42"/>
    <w:rsid w:val="009A7052"/>
    <w:rsid w:val="009A711E"/>
    <w:rsid w:val="009A7185"/>
    <w:rsid w:val="009A71D0"/>
    <w:rsid w:val="009A7284"/>
    <w:rsid w:val="009A7311"/>
    <w:rsid w:val="009A73FA"/>
    <w:rsid w:val="009A742D"/>
    <w:rsid w:val="009A7444"/>
    <w:rsid w:val="009A754E"/>
    <w:rsid w:val="009A7573"/>
    <w:rsid w:val="009A7600"/>
    <w:rsid w:val="009A7714"/>
    <w:rsid w:val="009A7762"/>
    <w:rsid w:val="009A77C6"/>
    <w:rsid w:val="009A78BD"/>
    <w:rsid w:val="009A794E"/>
    <w:rsid w:val="009A7A06"/>
    <w:rsid w:val="009A7A0C"/>
    <w:rsid w:val="009A7A43"/>
    <w:rsid w:val="009A7A4E"/>
    <w:rsid w:val="009A7B05"/>
    <w:rsid w:val="009A7B3A"/>
    <w:rsid w:val="009A7CC9"/>
    <w:rsid w:val="009A7CED"/>
    <w:rsid w:val="009A7E9D"/>
    <w:rsid w:val="009A7F4C"/>
    <w:rsid w:val="009A7FEA"/>
    <w:rsid w:val="009B0042"/>
    <w:rsid w:val="009B008F"/>
    <w:rsid w:val="009B01CF"/>
    <w:rsid w:val="009B02C5"/>
    <w:rsid w:val="009B02CC"/>
    <w:rsid w:val="009B05A8"/>
    <w:rsid w:val="009B05F4"/>
    <w:rsid w:val="009B06F2"/>
    <w:rsid w:val="009B06F4"/>
    <w:rsid w:val="009B0722"/>
    <w:rsid w:val="009B074A"/>
    <w:rsid w:val="009B07F2"/>
    <w:rsid w:val="009B080F"/>
    <w:rsid w:val="009B088F"/>
    <w:rsid w:val="009B091F"/>
    <w:rsid w:val="009B09A6"/>
    <w:rsid w:val="009B0A00"/>
    <w:rsid w:val="009B0A30"/>
    <w:rsid w:val="009B0BA1"/>
    <w:rsid w:val="009B0C4B"/>
    <w:rsid w:val="009B0CD1"/>
    <w:rsid w:val="009B0D44"/>
    <w:rsid w:val="009B0DBF"/>
    <w:rsid w:val="009B0E63"/>
    <w:rsid w:val="009B0ECC"/>
    <w:rsid w:val="009B0F1D"/>
    <w:rsid w:val="009B0F45"/>
    <w:rsid w:val="009B1032"/>
    <w:rsid w:val="009B1069"/>
    <w:rsid w:val="009B110D"/>
    <w:rsid w:val="009B1226"/>
    <w:rsid w:val="009B1240"/>
    <w:rsid w:val="009B1297"/>
    <w:rsid w:val="009B1392"/>
    <w:rsid w:val="009B145C"/>
    <w:rsid w:val="009B151D"/>
    <w:rsid w:val="009B1578"/>
    <w:rsid w:val="009B167B"/>
    <w:rsid w:val="009B17B6"/>
    <w:rsid w:val="009B1808"/>
    <w:rsid w:val="009B18D3"/>
    <w:rsid w:val="009B18D8"/>
    <w:rsid w:val="009B18E3"/>
    <w:rsid w:val="009B18F3"/>
    <w:rsid w:val="009B1900"/>
    <w:rsid w:val="009B1A23"/>
    <w:rsid w:val="009B1BFC"/>
    <w:rsid w:val="009B1D30"/>
    <w:rsid w:val="009B1EAB"/>
    <w:rsid w:val="009B1F6B"/>
    <w:rsid w:val="009B1F87"/>
    <w:rsid w:val="009B1FC8"/>
    <w:rsid w:val="009B2048"/>
    <w:rsid w:val="009B2054"/>
    <w:rsid w:val="009B2095"/>
    <w:rsid w:val="009B2123"/>
    <w:rsid w:val="009B2249"/>
    <w:rsid w:val="009B2288"/>
    <w:rsid w:val="009B2299"/>
    <w:rsid w:val="009B22A6"/>
    <w:rsid w:val="009B22B9"/>
    <w:rsid w:val="009B23A6"/>
    <w:rsid w:val="009B24D0"/>
    <w:rsid w:val="009B252F"/>
    <w:rsid w:val="009B2565"/>
    <w:rsid w:val="009B2609"/>
    <w:rsid w:val="009B2653"/>
    <w:rsid w:val="009B275B"/>
    <w:rsid w:val="009B280A"/>
    <w:rsid w:val="009B2986"/>
    <w:rsid w:val="009B2A01"/>
    <w:rsid w:val="009B2A27"/>
    <w:rsid w:val="009B2AFC"/>
    <w:rsid w:val="009B2BA6"/>
    <w:rsid w:val="009B2BDA"/>
    <w:rsid w:val="009B2C5D"/>
    <w:rsid w:val="009B2CBE"/>
    <w:rsid w:val="009B2D6A"/>
    <w:rsid w:val="009B2D9C"/>
    <w:rsid w:val="009B2DAA"/>
    <w:rsid w:val="009B2EA4"/>
    <w:rsid w:val="009B2F3E"/>
    <w:rsid w:val="009B3010"/>
    <w:rsid w:val="009B3067"/>
    <w:rsid w:val="009B30EB"/>
    <w:rsid w:val="009B31C1"/>
    <w:rsid w:val="009B3263"/>
    <w:rsid w:val="009B335B"/>
    <w:rsid w:val="009B3378"/>
    <w:rsid w:val="009B3611"/>
    <w:rsid w:val="009B36F0"/>
    <w:rsid w:val="009B3768"/>
    <w:rsid w:val="009B376D"/>
    <w:rsid w:val="009B3842"/>
    <w:rsid w:val="009B39A5"/>
    <w:rsid w:val="009B39B0"/>
    <w:rsid w:val="009B3C71"/>
    <w:rsid w:val="009B3CAB"/>
    <w:rsid w:val="009B3D37"/>
    <w:rsid w:val="009B3EA6"/>
    <w:rsid w:val="009B3F74"/>
    <w:rsid w:val="009B410A"/>
    <w:rsid w:val="009B4338"/>
    <w:rsid w:val="009B4373"/>
    <w:rsid w:val="009B43C7"/>
    <w:rsid w:val="009B43D8"/>
    <w:rsid w:val="009B43E7"/>
    <w:rsid w:val="009B455A"/>
    <w:rsid w:val="009B4594"/>
    <w:rsid w:val="009B45B5"/>
    <w:rsid w:val="009B4679"/>
    <w:rsid w:val="009B4789"/>
    <w:rsid w:val="009B478C"/>
    <w:rsid w:val="009B482C"/>
    <w:rsid w:val="009B48B5"/>
    <w:rsid w:val="009B4A37"/>
    <w:rsid w:val="009B4AB6"/>
    <w:rsid w:val="009B4B3E"/>
    <w:rsid w:val="009B4B7B"/>
    <w:rsid w:val="009B4DA0"/>
    <w:rsid w:val="009B4DBB"/>
    <w:rsid w:val="009B4F3B"/>
    <w:rsid w:val="009B5056"/>
    <w:rsid w:val="009B505E"/>
    <w:rsid w:val="009B515D"/>
    <w:rsid w:val="009B5365"/>
    <w:rsid w:val="009B536B"/>
    <w:rsid w:val="009B537E"/>
    <w:rsid w:val="009B53F3"/>
    <w:rsid w:val="009B5569"/>
    <w:rsid w:val="009B55FD"/>
    <w:rsid w:val="009B579E"/>
    <w:rsid w:val="009B5810"/>
    <w:rsid w:val="009B58E1"/>
    <w:rsid w:val="009B596A"/>
    <w:rsid w:val="009B5A00"/>
    <w:rsid w:val="009B5A0C"/>
    <w:rsid w:val="009B5B3E"/>
    <w:rsid w:val="009B5B7B"/>
    <w:rsid w:val="009B5C77"/>
    <w:rsid w:val="009B5CD7"/>
    <w:rsid w:val="009B5CE0"/>
    <w:rsid w:val="009B5CFA"/>
    <w:rsid w:val="009B5D0E"/>
    <w:rsid w:val="009B5D4A"/>
    <w:rsid w:val="009B5E0F"/>
    <w:rsid w:val="009B6048"/>
    <w:rsid w:val="009B60FC"/>
    <w:rsid w:val="009B6127"/>
    <w:rsid w:val="009B61CB"/>
    <w:rsid w:val="009B61D0"/>
    <w:rsid w:val="009B624B"/>
    <w:rsid w:val="009B626E"/>
    <w:rsid w:val="009B62E2"/>
    <w:rsid w:val="009B635C"/>
    <w:rsid w:val="009B63C9"/>
    <w:rsid w:val="009B6426"/>
    <w:rsid w:val="009B6448"/>
    <w:rsid w:val="009B6515"/>
    <w:rsid w:val="009B6589"/>
    <w:rsid w:val="009B65B2"/>
    <w:rsid w:val="009B66A1"/>
    <w:rsid w:val="009B69E3"/>
    <w:rsid w:val="009B6B1D"/>
    <w:rsid w:val="009B6BA1"/>
    <w:rsid w:val="009B6BBB"/>
    <w:rsid w:val="009B6C0E"/>
    <w:rsid w:val="009B6CC9"/>
    <w:rsid w:val="009B6D2B"/>
    <w:rsid w:val="009B6D97"/>
    <w:rsid w:val="009B6E9D"/>
    <w:rsid w:val="009B6F02"/>
    <w:rsid w:val="009B7146"/>
    <w:rsid w:val="009B723C"/>
    <w:rsid w:val="009B733C"/>
    <w:rsid w:val="009B7346"/>
    <w:rsid w:val="009B73C8"/>
    <w:rsid w:val="009B745F"/>
    <w:rsid w:val="009B75B8"/>
    <w:rsid w:val="009B7613"/>
    <w:rsid w:val="009B7676"/>
    <w:rsid w:val="009B76A1"/>
    <w:rsid w:val="009B76D8"/>
    <w:rsid w:val="009B77B5"/>
    <w:rsid w:val="009B79DE"/>
    <w:rsid w:val="009B7C43"/>
    <w:rsid w:val="009B7DFF"/>
    <w:rsid w:val="009B7E41"/>
    <w:rsid w:val="009B7F12"/>
    <w:rsid w:val="009B7F25"/>
    <w:rsid w:val="009B7F2C"/>
    <w:rsid w:val="009B7F96"/>
    <w:rsid w:val="009B7FBC"/>
    <w:rsid w:val="009C0018"/>
    <w:rsid w:val="009C002E"/>
    <w:rsid w:val="009C003E"/>
    <w:rsid w:val="009C02C3"/>
    <w:rsid w:val="009C0425"/>
    <w:rsid w:val="009C0494"/>
    <w:rsid w:val="009C04BB"/>
    <w:rsid w:val="009C0513"/>
    <w:rsid w:val="009C05CF"/>
    <w:rsid w:val="009C05D8"/>
    <w:rsid w:val="009C05DE"/>
    <w:rsid w:val="009C069C"/>
    <w:rsid w:val="009C0813"/>
    <w:rsid w:val="009C085C"/>
    <w:rsid w:val="009C0873"/>
    <w:rsid w:val="009C0881"/>
    <w:rsid w:val="009C0910"/>
    <w:rsid w:val="009C098F"/>
    <w:rsid w:val="009C09D8"/>
    <w:rsid w:val="009C0A7C"/>
    <w:rsid w:val="009C0B76"/>
    <w:rsid w:val="009C0BA6"/>
    <w:rsid w:val="009C0C46"/>
    <w:rsid w:val="009C0C9C"/>
    <w:rsid w:val="009C0CFD"/>
    <w:rsid w:val="009C0E5A"/>
    <w:rsid w:val="009C0E77"/>
    <w:rsid w:val="009C0EA5"/>
    <w:rsid w:val="009C0FEE"/>
    <w:rsid w:val="009C0FF2"/>
    <w:rsid w:val="009C1031"/>
    <w:rsid w:val="009C1232"/>
    <w:rsid w:val="009C13BD"/>
    <w:rsid w:val="009C1497"/>
    <w:rsid w:val="009C154E"/>
    <w:rsid w:val="009C1566"/>
    <w:rsid w:val="009C159F"/>
    <w:rsid w:val="009C1616"/>
    <w:rsid w:val="009C1674"/>
    <w:rsid w:val="009C16B3"/>
    <w:rsid w:val="009C1733"/>
    <w:rsid w:val="009C176B"/>
    <w:rsid w:val="009C18C4"/>
    <w:rsid w:val="009C18DE"/>
    <w:rsid w:val="009C1915"/>
    <w:rsid w:val="009C1917"/>
    <w:rsid w:val="009C19DC"/>
    <w:rsid w:val="009C1B23"/>
    <w:rsid w:val="009C1BFF"/>
    <w:rsid w:val="009C1CC0"/>
    <w:rsid w:val="009C1D49"/>
    <w:rsid w:val="009C1D4D"/>
    <w:rsid w:val="009C1DE5"/>
    <w:rsid w:val="009C1E86"/>
    <w:rsid w:val="009C1F10"/>
    <w:rsid w:val="009C20E7"/>
    <w:rsid w:val="009C20FD"/>
    <w:rsid w:val="009C210E"/>
    <w:rsid w:val="009C2159"/>
    <w:rsid w:val="009C2190"/>
    <w:rsid w:val="009C226E"/>
    <w:rsid w:val="009C22AA"/>
    <w:rsid w:val="009C2306"/>
    <w:rsid w:val="009C232F"/>
    <w:rsid w:val="009C23AB"/>
    <w:rsid w:val="009C24EB"/>
    <w:rsid w:val="009C25C2"/>
    <w:rsid w:val="009C2729"/>
    <w:rsid w:val="009C27FA"/>
    <w:rsid w:val="009C2807"/>
    <w:rsid w:val="009C281B"/>
    <w:rsid w:val="009C28BF"/>
    <w:rsid w:val="009C294E"/>
    <w:rsid w:val="009C29C7"/>
    <w:rsid w:val="009C2A82"/>
    <w:rsid w:val="009C2C5C"/>
    <w:rsid w:val="009C2C62"/>
    <w:rsid w:val="009C2CAE"/>
    <w:rsid w:val="009C2CB2"/>
    <w:rsid w:val="009C2CC1"/>
    <w:rsid w:val="009C2D01"/>
    <w:rsid w:val="009C2D1F"/>
    <w:rsid w:val="009C2D91"/>
    <w:rsid w:val="009C2E90"/>
    <w:rsid w:val="009C2F04"/>
    <w:rsid w:val="009C303E"/>
    <w:rsid w:val="009C3056"/>
    <w:rsid w:val="009C30D6"/>
    <w:rsid w:val="009C3160"/>
    <w:rsid w:val="009C3267"/>
    <w:rsid w:val="009C3328"/>
    <w:rsid w:val="009C3421"/>
    <w:rsid w:val="009C35E9"/>
    <w:rsid w:val="009C3682"/>
    <w:rsid w:val="009C374E"/>
    <w:rsid w:val="009C37C2"/>
    <w:rsid w:val="009C3824"/>
    <w:rsid w:val="009C384C"/>
    <w:rsid w:val="009C3899"/>
    <w:rsid w:val="009C38C3"/>
    <w:rsid w:val="009C38CD"/>
    <w:rsid w:val="009C3954"/>
    <w:rsid w:val="009C3BE7"/>
    <w:rsid w:val="009C3CD0"/>
    <w:rsid w:val="009C3CD5"/>
    <w:rsid w:val="009C3CED"/>
    <w:rsid w:val="009C3D7D"/>
    <w:rsid w:val="009C3D9B"/>
    <w:rsid w:val="009C3E12"/>
    <w:rsid w:val="009C3E2E"/>
    <w:rsid w:val="009C3E4C"/>
    <w:rsid w:val="009C3F88"/>
    <w:rsid w:val="009C407C"/>
    <w:rsid w:val="009C4122"/>
    <w:rsid w:val="009C4215"/>
    <w:rsid w:val="009C42C6"/>
    <w:rsid w:val="009C446F"/>
    <w:rsid w:val="009C4480"/>
    <w:rsid w:val="009C4652"/>
    <w:rsid w:val="009C46F8"/>
    <w:rsid w:val="009C4867"/>
    <w:rsid w:val="009C48F9"/>
    <w:rsid w:val="009C4904"/>
    <w:rsid w:val="009C4938"/>
    <w:rsid w:val="009C494A"/>
    <w:rsid w:val="009C4969"/>
    <w:rsid w:val="009C497F"/>
    <w:rsid w:val="009C49C4"/>
    <w:rsid w:val="009C4A2D"/>
    <w:rsid w:val="009C4A58"/>
    <w:rsid w:val="009C4A95"/>
    <w:rsid w:val="009C4B57"/>
    <w:rsid w:val="009C4B60"/>
    <w:rsid w:val="009C4B66"/>
    <w:rsid w:val="009C4BD0"/>
    <w:rsid w:val="009C4C82"/>
    <w:rsid w:val="009C4C8D"/>
    <w:rsid w:val="009C4CAB"/>
    <w:rsid w:val="009C4DB0"/>
    <w:rsid w:val="009C4E42"/>
    <w:rsid w:val="009C5034"/>
    <w:rsid w:val="009C504F"/>
    <w:rsid w:val="009C50E3"/>
    <w:rsid w:val="009C515E"/>
    <w:rsid w:val="009C5187"/>
    <w:rsid w:val="009C51CC"/>
    <w:rsid w:val="009C52F6"/>
    <w:rsid w:val="009C5315"/>
    <w:rsid w:val="009C5345"/>
    <w:rsid w:val="009C536D"/>
    <w:rsid w:val="009C5390"/>
    <w:rsid w:val="009C5490"/>
    <w:rsid w:val="009C54B3"/>
    <w:rsid w:val="009C54F1"/>
    <w:rsid w:val="009C5609"/>
    <w:rsid w:val="009C5712"/>
    <w:rsid w:val="009C57F6"/>
    <w:rsid w:val="009C5811"/>
    <w:rsid w:val="009C58F9"/>
    <w:rsid w:val="009C5949"/>
    <w:rsid w:val="009C594A"/>
    <w:rsid w:val="009C5978"/>
    <w:rsid w:val="009C59AD"/>
    <w:rsid w:val="009C59CF"/>
    <w:rsid w:val="009C59FB"/>
    <w:rsid w:val="009C5A0F"/>
    <w:rsid w:val="009C5A25"/>
    <w:rsid w:val="009C5A30"/>
    <w:rsid w:val="009C5A7B"/>
    <w:rsid w:val="009C5B77"/>
    <w:rsid w:val="009C5B8F"/>
    <w:rsid w:val="009C5BDE"/>
    <w:rsid w:val="009C5C5F"/>
    <w:rsid w:val="009C5D09"/>
    <w:rsid w:val="009C5E2D"/>
    <w:rsid w:val="009C5E54"/>
    <w:rsid w:val="009C5E64"/>
    <w:rsid w:val="009C5F65"/>
    <w:rsid w:val="009C5F6A"/>
    <w:rsid w:val="009C609E"/>
    <w:rsid w:val="009C6188"/>
    <w:rsid w:val="009C6246"/>
    <w:rsid w:val="009C6342"/>
    <w:rsid w:val="009C634D"/>
    <w:rsid w:val="009C645F"/>
    <w:rsid w:val="009C6481"/>
    <w:rsid w:val="009C6697"/>
    <w:rsid w:val="009C66B5"/>
    <w:rsid w:val="009C679E"/>
    <w:rsid w:val="009C67A5"/>
    <w:rsid w:val="009C67B8"/>
    <w:rsid w:val="009C68A6"/>
    <w:rsid w:val="009C6928"/>
    <w:rsid w:val="009C6986"/>
    <w:rsid w:val="009C6A78"/>
    <w:rsid w:val="009C6AE2"/>
    <w:rsid w:val="009C6B48"/>
    <w:rsid w:val="009C6B86"/>
    <w:rsid w:val="009C6C50"/>
    <w:rsid w:val="009C6CF1"/>
    <w:rsid w:val="009C6D32"/>
    <w:rsid w:val="009C6D4F"/>
    <w:rsid w:val="009C6D58"/>
    <w:rsid w:val="009C6DB3"/>
    <w:rsid w:val="009C7016"/>
    <w:rsid w:val="009C70E3"/>
    <w:rsid w:val="009C720E"/>
    <w:rsid w:val="009C7249"/>
    <w:rsid w:val="009C72E9"/>
    <w:rsid w:val="009C74A4"/>
    <w:rsid w:val="009C755A"/>
    <w:rsid w:val="009C7615"/>
    <w:rsid w:val="009C76C2"/>
    <w:rsid w:val="009C7742"/>
    <w:rsid w:val="009C791B"/>
    <w:rsid w:val="009C7967"/>
    <w:rsid w:val="009C7B82"/>
    <w:rsid w:val="009C7B9B"/>
    <w:rsid w:val="009C7CA7"/>
    <w:rsid w:val="009C7D00"/>
    <w:rsid w:val="009C7D2A"/>
    <w:rsid w:val="009C7D39"/>
    <w:rsid w:val="009C7DFD"/>
    <w:rsid w:val="009C7E7B"/>
    <w:rsid w:val="009C7F38"/>
    <w:rsid w:val="009D001D"/>
    <w:rsid w:val="009D0176"/>
    <w:rsid w:val="009D0239"/>
    <w:rsid w:val="009D0377"/>
    <w:rsid w:val="009D0398"/>
    <w:rsid w:val="009D0428"/>
    <w:rsid w:val="009D066B"/>
    <w:rsid w:val="009D068E"/>
    <w:rsid w:val="009D0746"/>
    <w:rsid w:val="009D0798"/>
    <w:rsid w:val="009D08DB"/>
    <w:rsid w:val="009D0973"/>
    <w:rsid w:val="009D0B44"/>
    <w:rsid w:val="009D0CA3"/>
    <w:rsid w:val="009D0D16"/>
    <w:rsid w:val="009D0D20"/>
    <w:rsid w:val="009D0D67"/>
    <w:rsid w:val="009D0DD6"/>
    <w:rsid w:val="009D0E88"/>
    <w:rsid w:val="009D0E99"/>
    <w:rsid w:val="009D10A1"/>
    <w:rsid w:val="009D10EA"/>
    <w:rsid w:val="009D1131"/>
    <w:rsid w:val="009D1386"/>
    <w:rsid w:val="009D13A3"/>
    <w:rsid w:val="009D1418"/>
    <w:rsid w:val="009D14A8"/>
    <w:rsid w:val="009D14AA"/>
    <w:rsid w:val="009D154E"/>
    <w:rsid w:val="009D16FD"/>
    <w:rsid w:val="009D1738"/>
    <w:rsid w:val="009D1833"/>
    <w:rsid w:val="009D1870"/>
    <w:rsid w:val="009D1938"/>
    <w:rsid w:val="009D1965"/>
    <w:rsid w:val="009D1981"/>
    <w:rsid w:val="009D1A1D"/>
    <w:rsid w:val="009D1A90"/>
    <w:rsid w:val="009D1C8E"/>
    <w:rsid w:val="009D1D6E"/>
    <w:rsid w:val="009D1FB3"/>
    <w:rsid w:val="009D20FD"/>
    <w:rsid w:val="009D2112"/>
    <w:rsid w:val="009D2141"/>
    <w:rsid w:val="009D21C1"/>
    <w:rsid w:val="009D21F6"/>
    <w:rsid w:val="009D2365"/>
    <w:rsid w:val="009D2738"/>
    <w:rsid w:val="009D28B1"/>
    <w:rsid w:val="009D2A48"/>
    <w:rsid w:val="009D2A60"/>
    <w:rsid w:val="009D2B15"/>
    <w:rsid w:val="009D2B92"/>
    <w:rsid w:val="009D2BAB"/>
    <w:rsid w:val="009D2C81"/>
    <w:rsid w:val="009D2CA0"/>
    <w:rsid w:val="009D2CCA"/>
    <w:rsid w:val="009D2CFF"/>
    <w:rsid w:val="009D2D3C"/>
    <w:rsid w:val="009D2D50"/>
    <w:rsid w:val="009D2D74"/>
    <w:rsid w:val="009D2D7F"/>
    <w:rsid w:val="009D2D86"/>
    <w:rsid w:val="009D2DAA"/>
    <w:rsid w:val="009D2EDD"/>
    <w:rsid w:val="009D2F20"/>
    <w:rsid w:val="009D2F83"/>
    <w:rsid w:val="009D2FBA"/>
    <w:rsid w:val="009D3000"/>
    <w:rsid w:val="009D309D"/>
    <w:rsid w:val="009D311F"/>
    <w:rsid w:val="009D31FC"/>
    <w:rsid w:val="009D337F"/>
    <w:rsid w:val="009D3399"/>
    <w:rsid w:val="009D34A5"/>
    <w:rsid w:val="009D34A8"/>
    <w:rsid w:val="009D36C4"/>
    <w:rsid w:val="009D372D"/>
    <w:rsid w:val="009D393A"/>
    <w:rsid w:val="009D39D1"/>
    <w:rsid w:val="009D3BA6"/>
    <w:rsid w:val="009D3C43"/>
    <w:rsid w:val="009D3C65"/>
    <w:rsid w:val="009D3C8A"/>
    <w:rsid w:val="009D3DED"/>
    <w:rsid w:val="009D3DF9"/>
    <w:rsid w:val="009D3F3B"/>
    <w:rsid w:val="009D3F75"/>
    <w:rsid w:val="009D3FC6"/>
    <w:rsid w:val="009D41FA"/>
    <w:rsid w:val="009D4232"/>
    <w:rsid w:val="009D42D1"/>
    <w:rsid w:val="009D4347"/>
    <w:rsid w:val="009D4368"/>
    <w:rsid w:val="009D4433"/>
    <w:rsid w:val="009D46D9"/>
    <w:rsid w:val="009D480B"/>
    <w:rsid w:val="009D4864"/>
    <w:rsid w:val="009D493C"/>
    <w:rsid w:val="009D4A43"/>
    <w:rsid w:val="009D4C67"/>
    <w:rsid w:val="009D4FA6"/>
    <w:rsid w:val="009D4FB7"/>
    <w:rsid w:val="009D4FE9"/>
    <w:rsid w:val="009D504D"/>
    <w:rsid w:val="009D516B"/>
    <w:rsid w:val="009D5289"/>
    <w:rsid w:val="009D52BD"/>
    <w:rsid w:val="009D52C9"/>
    <w:rsid w:val="009D5371"/>
    <w:rsid w:val="009D5407"/>
    <w:rsid w:val="009D54E0"/>
    <w:rsid w:val="009D5518"/>
    <w:rsid w:val="009D5597"/>
    <w:rsid w:val="009D567C"/>
    <w:rsid w:val="009D579B"/>
    <w:rsid w:val="009D57BF"/>
    <w:rsid w:val="009D5AF1"/>
    <w:rsid w:val="009D5B61"/>
    <w:rsid w:val="009D5C09"/>
    <w:rsid w:val="009D5E00"/>
    <w:rsid w:val="009D5E71"/>
    <w:rsid w:val="009D5E98"/>
    <w:rsid w:val="009D5EED"/>
    <w:rsid w:val="009D5F18"/>
    <w:rsid w:val="009D5F47"/>
    <w:rsid w:val="009D61D4"/>
    <w:rsid w:val="009D61E2"/>
    <w:rsid w:val="009D6201"/>
    <w:rsid w:val="009D6294"/>
    <w:rsid w:val="009D62DF"/>
    <w:rsid w:val="009D62F4"/>
    <w:rsid w:val="009D6501"/>
    <w:rsid w:val="009D65D2"/>
    <w:rsid w:val="009D65DD"/>
    <w:rsid w:val="009D670F"/>
    <w:rsid w:val="009D683C"/>
    <w:rsid w:val="009D687B"/>
    <w:rsid w:val="009D68EA"/>
    <w:rsid w:val="009D695A"/>
    <w:rsid w:val="009D69CF"/>
    <w:rsid w:val="009D6B6C"/>
    <w:rsid w:val="009D6B77"/>
    <w:rsid w:val="009D6D40"/>
    <w:rsid w:val="009D6D4D"/>
    <w:rsid w:val="009D6D50"/>
    <w:rsid w:val="009D6EC4"/>
    <w:rsid w:val="009D6FCC"/>
    <w:rsid w:val="009D6FE7"/>
    <w:rsid w:val="009D714C"/>
    <w:rsid w:val="009D7184"/>
    <w:rsid w:val="009D7195"/>
    <w:rsid w:val="009D719C"/>
    <w:rsid w:val="009D71A1"/>
    <w:rsid w:val="009D72C9"/>
    <w:rsid w:val="009D731D"/>
    <w:rsid w:val="009D7373"/>
    <w:rsid w:val="009D738F"/>
    <w:rsid w:val="009D73A7"/>
    <w:rsid w:val="009D73AD"/>
    <w:rsid w:val="009D7627"/>
    <w:rsid w:val="009D7723"/>
    <w:rsid w:val="009D779C"/>
    <w:rsid w:val="009D7918"/>
    <w:rsid w:val="009D799F"/>
    <w:rsid w:val="009D7A34"/>
    <w:rsid w:val="009D7AC1"/>
    <w:rsid w:val="009D7ACF"/>
    <w:rsid w:val="009D7AEF"/>
    <w:rsid w:val="009D7B66"/>
    <w:rsid w:val="009D7BB1"/>
    <w:rsid w:val="009D7CC9"/>
    <w:rsid w:val="009D7D3A"/>
    <w:rsid w:val="009D7DB6"/>
    <w:rsid w:val="009D7DDA"/>
    <w:rsid w:val="009D7E4C"/>
    <w:rsid w:val="009D7E77"/>
    <w:rsid w:val="009D7F0A"/>
    <w:rsid w:val="009D7F76"/>
    <w:rsid w:val="009D7F8F"/>
    <w:rsid w:val="009D7FD3"/>
    <w:rsid w:val="009D7FEB"/>
    <w:rsid w:val="009E0136"/>
    <w:rsid w:val="009E0293"/>
    <w:rsid w:val="009E0316"/>
    <w:rsid w:val="009E03B4"/>
    <w:rsid w:val="009E03EC"/>
    <w:rsid w:val="009E04BB"/>
    <w:rsid w:val="009E0560"/>
    <w:rsid w:val="009E0602"/>
    <w:rsid w:val="009E0622"/>
    <w:rsid w:val="009E064A"/>
    <w:rsid w:val="009E070E"/>
    <w:rsid w:val="009E0752"/>
    <w:rsid w:val="009E08AB"/>
    <w:rsid w:val="009E08F0"/>
    <w:rsid w:val="009E0992"/>
    <w:rsid w:val="009E099F"/>
    <w:rsid w:val="009E09A4"/>
    <w:rsid w:val="009E0B3F"/>
    <w:rsid w:val="009E0BCB"/>
    <w:rsid w:val="009E0C67"/>
    <w:rsid w:val="009E0CA5"/>
    <w:rsid w:val="009E0D5C"/>
    <w:rsid w:val="009E0DAB"/>
    <w:rsid w:val="009E0DCD"/>
    <w:rsid w:val="009E0FA4"/>
    <w:rsid w:val="009E0FC1"/>
    <w:rsid w:val="009E1053"/>
    <w:rsid w:val="009E10B9"/>
    <w:rsid w:val="009E117C"/>
    <w:rsid w:val="009E11ED"/>
    <w:rsid w:val="009E11F2"/>
    <w:rsid w:val="009E1204"/>
    <w:rsid w:val="009E13B5"/>
    <w:rsid w:val="009E144B"/>
    <w:rsid w:val="009E145D"/>
    <w:rsid w:val="009E1494"/>
    <w:rsid w:val="009E14B3"/>
    <w:rsid w:val="009E14B9"/>
    <w:rsid w:val="009E14C2"/>
    <w:rsid w:val="009E14FD"/>
    <w:rsid w:val="009E1530"/>
    <w:rsid w:val="009E15AB"/>
    <w:rsid w:val="009E15B0"/>
    <w:rsid w:val="009E171B"/>
    <w:rsid w:val="009E17AE"/>
    <w:rsid w:val="009E1988"/>
    <w:rsid w:val="009E19B1"/>
    <w:rsid w:val="009E1A26"/>
    <w:rsid w:val="009E1A5D"/>
    <w:rsid w:val="009E1A62"/>
    <w:rsid w:val="009E1A6D"/>
    <w:rsid w:val="009E1A81"/>
    <w:rsid w:val="009E1AA9"/>
    <w:rsid w:val="009E1B05"/>
    <w:rsid w:val="009E1C1A"/>
    <w:rsid w:val="009E1C27"/>
    <w:rsid w:val="009E1C2B"/>
    <w:rsid w:val="009E1C34"/>
    <w:rsid w:val="009E1DB0"/>
    <w:rsid w:val="009E1DB1"/>
    <w:rsid w:val="009E1EDF"/>
    <w:rsid w:val="009E1F40"/>
    <w:rsid w:val="009E1F5A"/>
    <w:rsid w:val="009E1F7A"/>
    <w:rsid w:val="009E2065"/>
    <w:rsid w:val="009E2198"/>
    <w:rsid w:val="009E21CC"/>
    <w:rsid w:val="009E22EF"/>
    <w:rsid w:val="009E23DA"/>
    <w:rsid w:val="009E2631"/>
    <w:rsid w:val="009E269F"/>
    <w:rsid w:val="009E2744"/>
    <w:rsid w:val="009E286B"/>
    <w:rsid w:val="009E28F4"/>
    <w:rsid w:val="009E296E"/>
    <w:rsid w:val="009E2A58"/>
    <w:rsid w:val="009E2A5A"/>
    <w:rsid w:val="009E2AA0"/>
    <w:rsid w:val="009E2B22"/>
    <w:rsid w:val="009E2B9F"/>
    <w:rsid w:val="009E2DBD"/>
    <w:rsid w:val="009E2E42"/>
    <w:rsid w:val="009E2E83"/>
    <w:rsid w:val="009E2F54"/>
    <w:rsid w:val="009E2F75"/>
    <w:rsid w:val="009E2FBE"/>
    <w:rsid w:val="009E30C5"/>
    <w:rsid w:val="009E31A0"/>
    <w:rsid w:val="009E3471"/>
    <w:rsid w:val="009E3472"/>
    <w:rsid w:val="009E34C0"/>
    <w:rsid w:val="009E3536"/>
    <w:rsid w:val="009E356A"/>
    <w:rsid w:val="009E35DB"/>
    <w:rsid w:val="009E3643"/>
    <w:rsid w:val="009E3795"/>
    <w:rsid w:val="009E386B"/>
    <w:rsid w:val="009E3883"/>
    <w:rsid w:val="009E3A73"/>
    <w:rsid w:val="009E3A80"/>
    <w:rsid w:val="009E3AB8"/>
    <w:rsid w:val="009E3ADF"/>
    <w:rsid w:val="009E3AFD"/>
    <w:rsid w:val="009E3B10"/>
    <w:rsid w:val="009E3B39"/>
    <w:rsid w:val="009E3D3F"/>
    <w:rsid w:val="009E3E20"/>
    <w:rsid w:val="009E3E62"/>
    <w:rsid w:val="009E3E96"/>
    <w:rsid w:val="009E3F03"/>
    <w:rsid w:val="009E3FC5"/>
    <w:rsid w:val="009E4180"/>
    <w:rsid w:val="009E4220"/>
    <w:rsid w:val="009E434F"/>
    <w:rsid w:val="009E4404"/>
    <w:rsid w:val="009E44D2"/>
    <w:rsid w:val="009E458B"/>
    <w:rsid w:val="009E462A"/>
    <w:rsid w:val="009E475C"/>
    <w:rsid w:val="009E47FB"/>
    <w:rsid w:val="009E4806"/>
    <w:rsid w:val="009E483B"/>
    <w:rsid w:val="009E48FA"/>
    <w:rsid w:val="009E494E"/>
    <w:rsid w:val="009E499F"/>
    <w:rsid w:val="009E4BB9"/>
    <w:rsid w:val="009E4DC2"/>
    <w:rsid w:val="009E4DF5"/>
    <w:rsid w:val="009E4E08"/>
    <w:rsid w:val="009E4E74"/>
    <w:rsid w:val="009E4E80"/>
    <w:rsid w:val="009E4EA3"/>
    <w:rsid w:val="009E4F21"/>
    <w:rsid w:val="009E5013"/>
    <w:rsid w:val="009E5068"/>
    <w:rsid w:val="009E5092"/>
    <w:rsid w:val="009E5291"/>
    <w:rsid w:val="009E52A8"/>
    <w:rsid w:val="009E5432"/>
    <w:rsid w:val="009E544E"/>
    <w:rsid w:val="009E5463"/>
    <w:rsid w:val="009E54A1"/>
    <w:rsid w:val="009E54F2"/>
    <w:rsid w:val="009E5573"/>
    <w:rsid w:val="009E557A"/>
    <w:rsid w:val="009E55DE"/>
    <w:rsid w:val="009E5644"/>
    <w:rsid w:val="009E567C"/>
    <w:rsid w:val="009E56E7"/>
    <w:rsid w:val="009E57FB"/>
    <w:rsid w:val="009E592B"/>
    <w:rsid w:val="009E59D8"/>
    <w:rsid w:val="009E59E1"/>
    <w:rsid w:val="009E5A50"/>
    <w:rsid w:val="009E5AB4"/>
    <w:rsid w:val="009E5AD9"/>
    <w:rsid w:val="009E5C9C"/>
    <w:rsid w:val="009E5D4E"/>
    <w:rsid w:val="009E5E3E"/>
    <w:rsid w:val="009E5E4D"/>
    <w:rsid w:val="009E5F0C"/>
    <w:rsid w:val="009E5F80"/>
    <w:rsid w:val="009E5FB0"/>
    <w:rsid w:val="009E6026"/>
    <w:rsid w:val="009E6073"/>
    <w:rsid w:val="009E6103"/>
    <w:rsid w:val="009E61BA"/>
    <w:rsid w:val="009E628A"/>
    <w:rsid w:val="009E628C"/>
    <w:rsid w:val="009E62F9"/>
    <w:rsid w:val="009E637B"/>
    <w:rsid w:val="009E6395"/>
    <w:rsid w:val="009E63EA"/>
    <w:rsid w:val="009E6594"/>
    <w:rsid w:val="009E673A"/>
    <w:rsid w:val="009E673F"/>
    <w:rsid w:val="009E67F9"/>
    <w:rsid w:val="009E687C"/>
    <w:rsid w:val="009E6882"/>
    <w:rsid w:val="009E68BF"/>
    <w:rsid w:val="009E6947"/>
    <w:rsid w:val="009E69DA"/>
    <w:rsid w:val="009E6A5D"/>
    <w:rsid w:val="009E6CA1"/>
    <w:rsid w:val="009E6D14"/>
    <w:rsid w:val="009E6D27"/>
    <w:rsid w:val="009E6D73"/>
    <w:rsid w:val="009E6EC9"/>
    <w:rsid w:val="009E71F1"/>
    <w:rsid w:val="009E7202"/>
    <w:rsid w:val="009E7342"/>
    <w:rsid w:val="009E7364"/>
    <w:rsid w:val="009E74B4"/>
    <w:rsid w:val="009E75DA"/>
    <w:rsid w:val="009E75EE"/>
    <w:rsid w:val="009E76FC"/>
    <w:rsid w:val="009E77AB"/>
    <w:rsid w:val="009E77DE"/>
    <w:rsid w:val="009E77FA"/>
    <w:rsid w:val="009E7845"/>
    <w:rsid w:val="009E78A5"/>
    <w:rsid w:val="009E78CC"/>
    <w:rsid w:val="009E78CD"/>
    <w:rsid w:val="009E7914"/>
    <w:rsid w:val="009E7941"/>
    <w:rsid w:val="009E7945"/>
    <w:rsid w:val="009E7972"/>
    <w:rsid w:val="009E79DB"/>
    <w:rsid w:val="009E7A1D"/>
    <w:rsid w:val="009E7A7A"/>
    <w:rsid w:val="009E7AEB"/>
    <w:rsid w:val="009E7AEE"/>
    <w:rsid w:val="009E7B69"/>
    <w:rsid w:val="009E7B9C"/>
    <w:rsid w:val="009E7BD7"/>
    <w:rsid w:val="009E7BFD"/>
    <w:rsid w:val="009E7DDD"/>
    <w:rsid w:val="009E7E42"/>
    <w:rsid w:val="009E7ECB"/>
    <w:rsid w:val="009F014B"/>
    <w:rsid w:val="009F0179"/>
    <w:rsid w:val="009F0291"/>
    <w:rsid w:val="009F02A0"/>
    <w:rsid w:val="009F02FB"/>
    <w:rsid w:val="009F031B"/>
    <w:rsid w:val="009F033A"/>
    <w:rsid w:val="009F03C0"/>
    <w:rsid w:val="009F03D2"/>
    <w:rsid w:val="009F03E8"/>
    <w:rsid w:val="009F0413"/>
    <w:rsid w:val="009F0472"/>
    <w:rsid w:val="009F0831"/>
    <w:rsid w:val="009F084C"/>
    <w:rsid w:val="009F098C"/>
    <w:rsid w:val="009F0993"/>
    <w:rsid w:val="009F09BE"/>
    <w:rsid w:val="009F0AE7"/>
    <w:rsid w:val="009F0B10"/>
    <w:rsid w:val="009F0BEA"/>
    <w:rsid w:val="009F0C6D"/>
    <w:rsid w:val="009F0CF7"/>
    <w:rsid w:val="009F0D0C"/>
    <w:rsid w:val="009F0D36"/>
    <w:rsid w:val="009F0E56"/>
    <w:rsid w:val="009F0E5D"/>
    <w:rsid w:val="009F0F3D"/>
    <w:rsid w:val="009F100C"/>
    <w:rsid w:val="009F11A6"/>
    <w:rsid w:val="009F11FA"/>
    <w:rsid w:val="009F131D"/>
    <w:rsid w:val="009F13B1"/>
    <w:rsid w:val="009F143D"/>
    <w:rsid w:val="009F14A5"/>
    <w:rsid w:val="009F164C"/>
    <w:rsid w:val="009F1658"/>
    <w:rsid w:val="009F1670"/>
    <w:rsid w:val="009F16A6"/>
    <w:rsid w:val="009F1725"/>
    <w:rsid w:val="009F175F"/>
    <w:rsid w:val="009F182D"/>
    <w:rsid w:val="009F1924"/>
    <w:rsid w:val="009F1A49"/>
    <w:rsid w:val="009F1A60"/>
    <w:rsid w:val="009F1C4D"/>
    <w:rsid w:val="009F1C55"/>
    <w:rsid w:val="009F1DBC"/>
    <w:rsid w:val="009F1E53"/>
    <w:rsid w:val="009F1F65"/>
    <w:rsid w:val="009F1F6C"/>
    <w:rsid w:val="009F1FF0"/>
    <w:rsid w:val="009F2065"/>
    <w:rsid w:val="009F2071"/>
    <w:rsid w:val="009F2087"/>
    <w:rsid w:val="009F20BD"/>
    <w:rsid w:val="009F2240"/>
    <w:rsid w:val="009F23A7"/>
    <w:rsid w:val="009F23CF"/>
    <w:rsid w:val="009F2513"/>
    <w:rsid w:val="009F25CE"/>
    <w:rsid w:val="009F267F"/>
    <w:rsid w:val="009F270B"/>
    <w:rsid w:val="009F2810"/>
    <w:rsid w:val="009F297A"/>
    <w:rsid w:val="009F29A2"/>
    <w:rsid w:val="009F2A23"/>
    <w:rsid w:val="009F2A44"/>
    <w:rsid w:val="009F2AEE"/>
    <w:rsid w:val="009F2B24"/>
    <w:rsid w:val="009F2B4B"/>
    <w:rsid w:val="009F2B61"/>
    <w:rsid w:val="009F2BB0"/>
    <w:rsid w:val="009F2BDB"/>
    <w:rsid w:val="009F2CEB"/>
    <w:rsid w:val="009F2D6D"/>
    <w:rsid w:val="009F2DD4"/>
    <w:rsid w:val="009F2DE3"/>
    <w:rsid w:val="009F2E89"/>
    <w:rsid w:val="009F2EE8"/>
    <w:rsid w:val="009F2F40"/>
    <w:rsid w:val="009F2F96"/>
    <w:rsid w:val="009F2F98"/>
    <w:rsid w:val="009F2FEE"/>
    <w:rsid w:val="009F3087"/>
    <w:rsid w:val="009F30AD"/>
    <w:rsid w:val="009F316C"/>
    <w:rsid w:val="009F3259"/>
    <w:rsid w:val="009F3357"/>
    <w:rsid w:val="009F33B2"/>
    <w:rsid w:val="009F3428"/>
    <w:rsid w:val="009F3488"/>
    <w:rsid w:val="009F3573"/>
    <w:rsid w:val="009F35EE"/>
    <w:rsid w:val="009F3684"/>
    <w:rsid w:val="009F373C"/>
    <w:rsid w:val="009F3743"/>
    <w:rsid w:val="009F3773"/>
    <w:rsid w:val="009F379A"/>
    <w:rsid w:val="009F3871"/>
    <w:rsid w:val="009F3A51"/>
    <w:rsid w:val="009F3B34"/>
    <w:rsid w:val="009F3B38"/>
    <w:rsid w:val="009F3BCD"/>
    <w:rsid w:val="009F3D92"/>
    <w:rsid w:val="009F3DC6"/>
    <w:rsid w:val="009F3DC9"/>
    <w:rsid w:val="009F3DDF"/>
    <w:rsid w:val="009F3E3A"/>
    <w:rsid w:val="009F3EB5"/>
    <w:rsid w:val="009F3ECA"/>
    <w:rsid w:val="009F3EE6"/>
    <w:rsid w:val="009F3EEC"/>
    <w:rsid w:val="009F3F1A"/>
    <w:rsid w:val="009F3F57"/>
    <w:rsid w:val="009F40E4"/>
    <w:rsid w:val="009F416A"/>
    <w:rsid w:val="009F421E"/>
    <w:rsid w:val="009F422F"/>
    <w:rsid w:val="009F4257"/>
    <w:rsid w:val="009F42D6"/>
    <w:rsid w:val="009F4363"/>
    <w:rsid w:val="009F4434"/>
    <w:rsid w:val="009F45A0"/>
    <w:rsid w:val="009F45AB"/>
    <w:rsid w:val="009F46A4"/>
    <w:rsid w:val="009F47BA"/>
    <w:rsid w:val="009F481F"/>
    <w:rsid w:val="009F494A"/>
    <w:rsid w:val="009F495F"/>
    <w:rsid w:val="009F49AE"/>
    <w:rsid w:val="009F4A23"/>
    <w:rsid w:val="009F4B91"/>
    <w:rsid w:val="009F4C6A"/>
    <w:rsid w:val="009F4C77"/>
    <w:rsid w:val="009F4F3C"/>
    <w:rsid w:val="009F4F85"/>
    <w:rsid w:val="009F4FED"/>
    <w:rsid w:val="009F5076"/>
    <w:rsid w:val="009F51A3"/>
    <w:rsid w:val="009F51CE"/>
    <w:rsid w:val="009F5225"/>
    <w:rsid w:val="009F548F"/>
    <w:rsid w:val="009F54B8"/>
    <w:rsid w:val="009F54DB"/>
    <w:rsid w:val="009F55D5"/>
    <w:rsid w:val="009F5784"/>
    <w:rsid w:val="009F5820"/>
    <w:rsid w:val="009F587D"/>
    <w:rsid w:val="009F590F"/>
    <w:rsid w:val="009F59B3"/>
    <w:rsid w:val="009F59E4"/>
    <w:rsid w:val="009F5A67"/>
    <w:rsid w:val="009F5A9F"/>
    <w:rsid w:val="009F5D0C"/>
    <w:rsid w:val="009F5D29"/>
    <w:rsid w:val="009F5D41"/>
    <w:rsid w:val="009F5E22"/>
    <w:rsid w:val="009F6095"/>
    <w:rsid w:val="009F610C"/>
    <w:rsid w:val="009F6157"/>
    <w:rsid w:val="009F61F0"/>
    <w:rsid w:val="009F623E"/>
    <w:rsid w:val="009F623F"/>
    <w:rsid w:val="009F6289"/>
    <w:rsid w:val="009F62E5"/>
    <w:rsid w:val="009F6428"/>
    <w:rsid w:val="009F6497"/>
    <w:rsid w:val="009F65E3"/>
    <w:rsid w:val="009F6644"/>
    <w:rsid w:val="009F6676"/>
    <w:rsid w:val="009F679B"/>
    <w:rsid w:val="009F6808"/>
    <w:rsid w:val="009F684B"/>
    <w:rsid w:val="009F6906"/>
    <w:rsid w:val="009F6919"/>
    <w:rsid w:val="009F69D4"/>
    <w:rsid w:val="009F6A70"/>
    <w:rsid w:val="009F6A78"/>
    <w:rsid w:val="009F6B28"/>
    <w:rsid w:val="009F6B8E"/>
    <w:rsid w:val="009F6BF7"/>
    <w:rsid w:val="009F6D89"/>
    <w:rsid w:val="009F6ED2"/>
    <w:rsid w:val="009F6F8B"/>
    <w:rsid w:val="009F6FC7"/>
    <w:rsid w:val="009F6FD5"/>
    <w:rsid w:val="009F701D"/>
    <w:rsid w:val="009F7031"/>
    <w:rsid w:val="009F71A3"/>
    <w:rsid w:val="009F7296"/>
    <w:rsid w:val="009F72F2"/>
    <w:rsid w:val="009F7331"/>
    <w:rsid w:val="009F7350"/>
    <w:rsid w:val="009F73B2"/>
    <w:rsid w:val="009F740F"/>
    <w:rsid w:val="009F742A"/>
    <w:rsid w:val="009F76AD"/>
    <w:rsid w:val="009F773A"/>
    <w:rsid w:val="009F7812"/>
    <w:rsid w:val="009F783C"/>
    <w:rsid w:val="009F78B8"/>
    <w:rsid w:val="009F7937"/>
    <w:rsid w:val="009F79B6"/>
    <w:rsid w:val="009F7B4B"/>
    <w:rsid w:val="009F7CEF"/>
    <w:rsid w:val="009F7D0C"/>
    <w:rsid w:val="009F7DCD"/>
    <w:rsid w:val="009F7DDD"/>
    <w:rsid w:val="009F7E93"/>
    <w:rsid w:val="009F7F08"/>
    <w:rsid w:val="009F7F37"/>
    <w:rsid w:val="009F7F5B"/>
    <w:rsid w:val="009F7F6A"/>
    <w:rsid w:val="009F7F96"/>
    <w:rsid w:val="009F7FA0"/>
    <w:rsid w:val="009F7FF9"/>
    <w:rsid w:val="00A00318"/>
    <w:rsid w:val="00A004F4"/>
    <w:rsid w:val="00A0071F"/>
    <w:rsid w:val="00A007A6"/>
    <w:rsid w:val="00A009FB"/>
    <w:rsid w:val="00A00AA1"/>
    <w:rsid w:val="00A00AC4"/>
    <w:rsid w:val="00A00B0B"/>
    <w:rsid w:val="00A00B14"/>
    <w:rsid w:val="00A00B8E"/>
    <w:rsid w:val="00A00C20"/>
    <w:rsid w:val="00A00CC6"/>
    <w:rsid w:val="00A00E71"/>
    <w:rsid w:val="00A00F85"/>
    <w:rsid w:val="00A01072"/>
    <w:rsid w:val="00A010B0"/>
    <w:rsid w:val="00A0112A"/>
    <w:rsid w:val="00A01178"/>
    <w:rsid w:val="00A011ED"/>
    <w:rsid w:val="00A01210"/>
    <w:rsid w:val="00A0123F"/>
    <w:rsid w:val="00A013AE"/>
    <w:rsid w:val="00A0144E"/>
    <w:rsid w:val="00A0148B"/>
    <w:rsid w:val="00A014D3"/>
    <w:rsid w:val="00A01545"/>
    <w:rsid w:val="00A015BD"/>
    <w:rsid w:val="00A015E8"/>
    <w:rsid w:val="00A0162D"/>
    <w:rsid w:val="00A017EA"/>
    <w:rsid w:val="00A019F3"/>
    <w:rsid w:val="00A01AAA"/>
    <w:rsid w:val="00A01C3B"/>
    <w:rsid w:val="00A01CF0"/>
    <w:rsid w:val="00A01D30"/>
    <w:rsid w:val="00A01D76"/>
    <w:rsid w:val="00A01DE3"/>
    <w:rsid w:val="00A01E9F"/>
    <w:rsid w:val="00A01EC3"/>
    <w:rsid w:val="00A01FA2"/>
    <w:rsid w:val="00A01FB8"/>
    <w:rsid w:val="00A01FD2"/>
    <w:rsid w:val="00A0201F"/>
    <w:rsid w:val="00A0208D"/>
    <w:rsid w:val="00A020D5"/>
    <w:rsid w:val="00A0214E"/>
    <w:rsid w:val="00A022F4"/>
    <w:rsid w:val="00A02331"/>
    <w:rsid w:val="00A0244D"/>
    <w:rsid w:val="00A0245C"/>
    <w:rsid w:val="00A0263D"/>
    <w:rsid w:val="00A0277C"/>
    <w:rsid w:val="00A0277D"/>
    <w:rsid w:val="00A027BC"/>
    <w:rsid w:val="00A027C3"/>
    <w:rsid w:val="00A02849"/>
    <w:rsid w:val="00A02855"/>
    <w:rsid w:val="00A0285A"/>
    <w:rsid w:val="00A028F9"/>
    <w:rsid w:val="00A02930"/>
    <w:rsid w:val="00A02AD6"/>
    <w:rsid w:val="00A02BBC"/>
    <w:rsid w:val="00A02BF0"/>
    <w:rsid w:val="00A02C2A"/>
    <w:rsid w:val="00A02C49"/>
    <w:rsid w:val="00A02C4C"/>
    <w:rsid w:val="00A02C77"/>
    <w:rsid w:val="00A02D12"/>
    <w:rsid w:val="00A02E8B"/>
    <w:rsid w:val="00A02F29"/>
    <w:rsid w:val="00A02FFA"/>
    <w:rsid w:val="00A03000"/>
    <w:rsid w:val="00A03041"/>
    <w:rsid w:val="00A0316F"/>
    <w:rsid w:val="00A0317D"/>
    <w:rsid w:val="00A031CE"/>
    <w:rsid w:val="00A031F3"/>
    <w:rsid w:val="00A032A9"/>
    <w:rsid w:val="00A032F1"/>
    <w:rsid w:val="00A0345F"/>
    <w:rsid w:val="00A0358C"/>
    <w:rsid w:val="00A03648"/>
    <w:rsid w:val="00A03779"/>
    <w:rsid w:val="00A03856"/>
    <w:rsid w:val="00A03AFA"/>
    <w:rsid w:val="00A03B47"/>
    <w:rsid w:val="00A03BBF"/>
    <w:rsid w:val="00A03BEA"/>
    <w:rsid w:val="00A03C35"/>
    <w:rsid w:val="00A03D0D"/>
    <w:rsid w:val="00A03D3F"/>
    <w:rsid w:val="00A03D97"/>
    <w:rsid w:val="00A03EB7"/>
    <w:rsid w:val="00A03EC1"/>
    <w:rsid w:val="00A03F1C"/>
    <w:rsid w:val="00A03F69"/>
    <w:rsid w:val="00A03FC0"/>
    <w:rsid w:val="00A04002"/>
    <w:rsid w:val="00A0406F"/>
    <w:rsid w:val="00A0412A"/>
    <w:rsid w:val="00A041BA"/>
    <w:rsid w:val="00A041BB"/>
    <w:rsid w:val="00A041E8"/>
    <w:rsid w:val="00A0428D"/>
    <w:rsid w:val="00A042CA"/>
    <w:rsid w:val="00A04341"/>
    <w:rsid w:val="00A04467"/>
    <w:rsid w:val="00A045E9"/>
    <w:rsid w:val="00A04636"/>
    <w:rsid w:val="00A0463C"/>
    <w:rsid w:val="00A0463D"/>
    <w:rsid w:val="00A046CF"/>
    <w:rsid w:val="00A0475A"/>
    <w:rsid w:val="00A0477F"/>
    <w:rsid w:val="00A04814"/>
    <w:rsid w:val="00A049F2"/>
    <w:rsid w:val="00A04BF7"/>
    <w:rsid w:val="00A04CDA"/>
    <w:rsid w:val="00A04CDD"/>
    <w:rsid w:val="00A04D9B"/>
    <w:rsid w:val="00A04F2A"/>
    <w:rsid w:val="00A05084"/>
    <w:rsid w:val="00A050BD"/>
    <w:rsid w:val="00A05230"/>
    <w:rsid w:val="00A0523E"/>
    <w:rsid w:val="00A0526D"/>
    <w:rsid w:val="00A053DC"/>
    <w:rsid w:val="00A05442"/>
    <w:rsid w:val="00A05499"/>
    <w:rsid w:val="00A055A8"/>
    <w:rsid w:val="00A056D4"/>
    <w:rsid w:val="00A05805"/>
    <w:rsid w:val="00A058A1"/>
    <w:rsid w:val="00A05A27"/>
    <w:rsid w:val="00A05A80"/>
    <w:rsid w:val="00A05AAA"/>
    <w:rsid w:val="00A05B0B"/>
    <w:rsid w:val="00A05B65"/>
    <w:rsid w:val="00A05BC2"/>
    <w:rsid w:val="00A05BDB"/>
    <w:rsid w:val="00A05C5E"/>
    <w:rsid w:val="00A05C8D"/>
    <w:rsid w:val="00A05CD7"/>
    <w:rsid w:val="00A05D30"/>
    <w:rsid w:val="00A05EB8"/>
    <w:rsid w:val="00A05FA8"/>
    <w:rsid w:val="00A05FF3"/>
    <w:rsid w:val="00A0619E"/>
    <w:rsid w:val="00A0628F"/>
    <w:rsid w:val="00A062A2"/>
    <w:rsid w:val="00A06339"/>
    <w:rsid w:val="00A06387"/>
    <w:rsid w:val="00A063D5"/>
    <w:rsid w:val="00A064DE"/>
    <w:rsid w:val="00A06556"/>
    <w:rsid w:val="00A06673"/>
    <w:rsid w:val="00A0676C"/>
    <w:rsid w:val="00A06784"/>
    <w:rsid w:val="00A0682B"/>
    <w:rsid w:val="00A06A8C"/>
    <w:rsid w:val="00A06B7B"/>
    <w:rsid w:val="00A06BC7"/>
    <w:rsid w:val="00A06C2E"/>
    <w:rsid w:val="00A06C47"/>
    <w:rsid w:val="00A06CD6"/>
    <w:rsid w:val="00A06D9D"/>
    <w:rsid w:val="00A06EBB"/>
    <w:rsid w:val="00A06F62"/>
    <w:rsid w:val="00A0708D"/>
    <w:rsid w:val="00A07181"/>
    <w:rsid w:val="00A071CD"/>
    <w:rsid w:val="00A0722D"/>
    <w:rsid w:val="00A072F9"/>
    <w:rsid w:val="00A073DD"/>
    <w:rsid w:val="00A0741B"/>
    <w:rsid w:val="00A07551"/>
    <w:rsid w:val="00A075D0"/>
    <w:rsid w:val="00A075FF"/>
    <w:rsid w:val="00A07634"/>
    <w:rsid w:val="00A07734"/>
    <w:rsid w:val="00A07A4E"/>
    <w:rsid w:val="00A07D47"/>
    <w:rsid w:val="00A07DD4"/>
    <w:rsid w:val="00A07E24"/>
    <w:rsid w:val="00A07E95"/>
    <w:rsid w:val="00A07EA3"/>
    <w:rsid w:val="00A07EAA"/>
    <w:rsid w:val="00A07F3E"/>
    <w:rsid w:val="00A07FB1"/>
    <w:rsid w:val="00A07FB6"/>
    <w:rsid w:val="00A07FBB"/>
    <w:rsid w:val="00A07FD1"/>
    <w:rsid w:val="00A1015F"/>
    <w:rsid w:val="00A101CE"/>
    <w:rsid w:val="00A10265"/>
    <w:rsid w:val="00A103FF"/>
    <w:rsid w:val="00A10593"/>
    <w:rsid w:val="00A106C1"/>
    <w:rsid w:val="00A1090F"/>
    <w:rsid w:val="00A1098D"/>
    <w:rsid w:val="00A10A15"/>
    <w:rsid w:val="00A10B7C"/>
    <w:rsid w:val="00A10C0E"/>
    <w:rsid w:val="00A10DD8"/>
    <w:rsid w:val="00A10E81"/>
    <w:rsid w:val="00A10F08"/>
    <w:rsid w:val="00A10F14"/>
    <w:rsid w:val="00A1106A"/>
    <w:rsid w:val="00A11093"/>
    <w:rsid w:val="00A110B0"/>
    <w:rsid w:val="00A11173"/>
    <w:rsid w:val="00A1137A"/>
    <w:rsid w:val="00A1139B"/>
    <w:rsid w:val="00A1139C"/>
    <w:rsid w:val="00A1139E"/>
    <w:rsid w:val="00A113A8"/>
    <w:rsid w:val="00A11428"/>
    <w:rsid w:val="00A1159F"/>
    <w:rsid w:val="00A116C7"/>
    <w:rsid w:val="00A11823"/>
    <w:rsid w:val="00A11826"/>
    <w:rsid w:val="00A11942"/>
    <w:rsid w:val="00A119E8"/>
    <w:rsid w:val="00A11A16"/>
    <w:rsid w:val="00A11A2A"/>
    <w:rsid w:val="00A11C82"/>
    <w:rsid w:val="00A11D03"/>
    <w:rsid w:val="00A11D6A"/>
    <w:rsid w:val="00A11D6C"/>
    <w:rsid w:val="00A11E2C"/>
    <w:rsid w:val="00A11EC3"/>
    <w:rsid w:val="00A11F75"/>
    <w:rsid w:val="00A11FE7"/>
    <w:rsid w:val="00A12032"/>
    <w:rsid w:val="00A12064"/>
    <w:rsid w:val="00A120B1"/>
    <w:rsid w:val="00A120DC"/>
    <w:rsid w:val="00A121D6"/>
    <w:rsid w:val="00A12218"/>
    <w:rsid w:val="00A1226B"/>
    <w:rsid w:val="00A122AE"/>
    <w:rsid w:val="00A12323"/>
    <w:rsid w:val="00A12385"/>
    <w:rsid w:val="00A1244E"/>
    <w:rsid w:val="00A124C2"/>
    <w:rsid w:val="00A1253B"/>
    <w:rsid w:val="00A125E4"/>
    <w:rsid w:val="00A126E6"/>
    <w:rsid w:val="00A1279F"/>
    <w:rsid w:val="00A127CD"/>
    <w:rsid w:val="00A12876"/>
    <w:rsid w:val="00A12879"/>
    <w:rsid w:val="00A128D8"/>
    <w:rsid w:val="00A1293B"/>
    <w:rsid w:val="00A12941"/>
    <w:rsid w:val="00A129F5"/>
    <w:rsid w:val="00A12B63"/>
    <w:rsid w:val="00A12C19"/>
    <w:rsid w:val="00A12F30"/>
    <w:rsid w:val="00A12F62"/>
    <w:rsid w:val="00A12F8D"/>
    <w:rsid w:val="00A12FEB"/>
    <w:rsid w:val="00A1317B"/>
    <w:rsid w:val="00A13182"/>
    <w:rsid w:val="00A131E9"/>
    <w:rsid w:val="00A1323F"/>
    <w:rsid w:val="00A1325F"/>
    <w:rsid w:val="00A13285"/>
    <w:rsid w:val="00A1352E"/>
    <w:rsid w:val="00A13541"/>
    <w:rsid w:val="00A13563"/>
    <w:rsid w:val="00A13574"/>
    <w:rsid w:val="00A13592"/>
    <w:rsid w:val="00A1369D"/>
    <w:rsid w:val="00A136B1"/>
    <w:rsid w:val="00A136C8"/>
    <w:rsid w:val="00A136E7"/>
    <w:rsid w:val="00A1383C"/>
    <w:rsid w:val="00A13998"/>
    <w:rsid w:val="00A139A2"/>
    <w:rsid w:val="00A13A26"/>
    <w:rsid w:val="00A13B70"/>
    <w:rsid w:val="00A13BC8"/>
    <w:rsid w:val="00A13BE3"/>
    <w:rsid w:val="00A13CF2"/>
    <w:rsid w:val="00A13E09"/>
    <w:rsid w:val="00A13FF8"/>
    <w:rsid w:val="00A1413F"/>
    <w:rsid w:val="00A1419A"/>
    <w:rsid w:val="00A141CC"/>
    <w:rsid w:val="00A1421F"/>
    <w:rsid w:val="00A142C5"/>
    <w:rsid w:val="00A14409"/>
    <w:rsid w:val="00A14444"/>
    <w:rsid w:val="00A14451"/>
    <w:rsid w:val="00A144A3"/>
    <w:rsid w:val="00A14528"/>
    <w:rsid w:val="00A14644"/>
    <w:rsid w:val="00A1466D"/>
    <w:rsid w:val="00A149A3"/>
    <w:rsid w:val="00A14A40"/>
    <w:rsid w:val="00A14A55"/>
    <w:rsid w:val="00A14AD9"/>
    <w:rsid w:val="00A14BFE"/>
    <w:rsid w:val="00A14C67"/>
    <w:rsid w:val="00A14C7D"/>
    <w:rsid w:val="00A14CA3"/>
    <w:rsid w:val="00A14D96"/>
    <w:rsid w:val="00A14DF1"/>
    <w:rsid w:val="00A14E8B"/>
    <w:rsid w:val="00A14ED5"/>
    <w:rsid w:val="00A14EDB"/>
    <w:rsid w:val="00A14FE9"/>
    <w:rsid w:val="00A14FF0"/>
    <w:rsid w:val="00A150F7"/>
    <w:rsid w:val="00A15158"/>
    <w:rsid w:val="00A151E0"/>
    <w:rsid w:val="00A152BF"/>
    <w:rsid w:val="00A15445"/>
    <w:rsid w:val="00A15482"/>
    <w:rsid w:val="00A1551B"/>
    <w:rsid w:val="00A155F0"/>
    <w:rsid w:val="00A1567B"/>
    <w:rsid w:val="00A15715"/>
    <w:rsid w:val="00A15747"/>
    <w:rsid w:val="00A1578D"/>
    <w:rsid w:val="00A158B3"/>
    <w:rsid w:val="00A15921"/>
    <w:rsid w:val="00A15948"/>
    <w:rsid w:val="00A159CD"/>
    <w:rsid w:val="00A15A08"/>
    <w:rsid w:val="00A15A4B"/>
    <w:rsid w:val="00A15A94"/>
    <w:rsid w:val="00A15AAC"/>
    <w:rsid w:val="00A15B05"/>
    <w:rsid w:val="00A15B7A"/>
    <w:rsid w:val="00A15BEB"/>
    <w:rsid w:val="00A15BFA"/>
    <w:rsid w:val="00A15C56"/>
    <w:rsid w:val="00A15ED6"/>
    <w:rsid w:val="00A15F65"/>
    <w:rsid w:val="00A15F89"/>
    <w:rsid w:val="00A15FB7"/>
    <w:rsid w:val="00A16028"/>
    <w:rsid w:val="00A160D2"/>
    <w:rsid w:val="00A1621E"/>
    <w:rsid w:val="00A16250"/>
    <w:rsid w:val="00A1627C"/>
    <w:rsid w:val="00A1631D"/>
    <w:rsid w:val="00A1635D"/>
    <w:rsid w:val="00A16361"/>
    <w:rsid w:val="00A16416"/>
    <w:rsid w:val="00A16473"/>
    <w:rsid w:val="00A1665C"/>
    <w:rsid w:val="00A16750"/>
    <w:rsid w:val="00A167F7"/>
    <w:rsid w:val="00A169A0"/>
    <w:rsid w:val="00A16BB4"/>
    <w:rsid w:val="00A16C96"/>
    <w:rsid w:val="00A16D15"/>
    <w:rsid w:val="00A16D17"/>
    <w:rsid w:val="00A16D4F"/>
    <w:rsid w:val="00A16D5C"/>
    <w:rsid w:val="00A16D9E"/>
    <w:rsid w:val="00A16EA0"/>
    <w:rsid w:val="00A17056"/>
    <w:rsid w:val="00A1713E"/>
    <w:rsid w:val="00A17232"/>
    <w:rsid w:val="00A172E2"/>
    <w:rsid w:val="00A17302"/>
    <w:rsid w:val="00A17365"/>
    <w:rsid w:val="00A1758C"/>
    <w:rsid w:val="00A17590"/>
    <w:rsid w:val="00A176EE"/>
    <w:rsid w:val="00A17779"/>
    <w:rsid w:val="00A177CD"/>
    <w:rsid w:val="00A177E2"/>
    <w:rsid w:val="00A1781D"/>
    <w:rsid w:val="00A178A7"/>
    <w:rsid w:val="00A179C0"/>
    <w:rsid w:val="00A17A4B"/>
    <w:rsid w:val="00A17B49"/>
    <w:rsid w:val="00A17BA1"/>
    <w:rsid w:val="00A17C06"/>
    <w:rsid w:val="00A17D09"/>
    <w:rsid w:val="00A17DAF"/>
    <w:rsid w:val="00A2005F"/>
    <w:rsid w:val="00A201E3"/>
    <w:rsid w:val="00A20375"/>
    <w:rsid w:val="00A20393"/>
    <w:rsid w:val="00A203EA"/>
    <w:rsid w:val="00A2040C"/>
    <w:rsid w:val="00A205EB"/>
    <w:rsid w:val="00A20609"/>
    <w:rsid w:val="00A2063B"/>
    <w:rsid w:val="00A207DF"/>
    <w:rsid w:val="00A208C3"/>
    <w:rsid w:val="00A20930"/>
    <w:rsid w:val="00A20945"/>
    <w:rsid w:val="00A20A5D"/>
    <w:rsid w:val="00A20A7E"/>
    <w:rsid w:val="00A20ACE"/>
    <w:rsid w:val="00A20B49"/>
    <w:rsid w:val="00A20C19"/>
    <w:rsid w:val="00A20C31"/>
    <w:rsid w:val="00A20D36"/>
    <w:rsid w:val="00A20D3A"/>
    <w:rsid w:val="00A20DB3"/>
    <w:rsid w:val="00A20E99"/>
    <w:rsid w:val="00A20F69"/>
    <w:rsid w:val="00A20F70"/>
    <w:rsid w:val="00A21094"/>
    <w:rsid w:val="00A210B9"/>
    <w:rsid w:val="00A21133"/>
    <w:rsid w:val="00A21224"/>
    <w:rsid w:val="00A213BE"/>
    <w:rsid w:val="00A213E8"/>
    <w:rsid w:val="00A21432"/>
    <w:rsid w:val="00A21529"/>
    <w:rsid w:val="00A215A9"/>
    <w:rsid w:val="00A2161B"/>
    <w:rsid w:val="00A21690"/>
    <w:rsid w:val="00A21757"/>
    <w:rsid w:val="00A21785"/>
    <w:rsid w:val="00A21864"/>
    <w:rsid w:val="00A218EE"/>
    <w:rsid w:val="00A21931"/>
    <w:rsid w:val="00A2196E"/>
    <w:rsid w:val="00A219A5"/>
    <w:rsid w:val="00A219D2"/>
    <w:rsid w:val="00A21BB6"/>
    <w:rsid w:val="00A21C52"/>
    <w:rsid w:val="00A21CCF"/>
    <w:rsid w:val="00A21D4A"/>
    <w:rsid w:val="00A21D74"/>
    <w:rsid w:val="00A21DF2"/>
    <w:rsid w:val="00A21E41"/>
    <w:rsid w:val="00A21E9A"/>
    <w:rsid w:val="00A21F3F"/>
    <w:rsid w:val="00A21FF4"/>
    <w:rsid w:val="00A22004"/>
    <w:rsid w:val="00A2202E"/>
    <w:rsid w:val="00A22049"/>
    <w:rsid w:val="00A2205C"/>
    <w:rsid w:val="00A2219A"/>
    <w:rsid w:val="00A221FC"/>
    <w:rsid w:val="00A22342"/>
    <w:rsid w:val="00A223A9"/>
    <w:rsid w:val="00A223F7"/>
    <w:rsid w:val="00A2240D"/>
    <w:rsid w:val="00A22554"/>
    <w:rsid w:val="00A2261A"/>
    <w:rsid w:val="00A2268C"/>
    <w:rsid w:val="00A226B5"/>
    <w:rsid w:val="00A22764"/>
    <w:rsid w:val="00A22874"/>
    <w:rsid w:val="00A228D7"/>
    <w:rsid w:val="00A228FE"/>
    <w:rsid w:val="00A2294F"/>
    <w:rsid w:val="00A22A4A"/>
    <w:rsid w:val="00A22BC8"/>
    <w:rsid w:val="00A22BED"/>
    <w:rsid w:val="00A22D36"/>
    <w:rsid w:val="00A22E60"/>
    <w:rsid w:val="00A22F97"/>
    <w:rsid w:val="00A2311B"/>
    <w:rsid w:val="00A231A0"/>
    <w:rsid w:val="00A231D5"/>
    <w:rsid w:val="00A23203"/>
    <w:rsid w:val="00A23262"/>
    <w:rsid w:val="00A23279"/>
    <w:rsid w:val="00A23356"/>
    <w:rsid w:val="00A234BA"/>
    <w:rsid w:val="00A23596"/>
    <w:rsid w:val="00A23758"/>
    <w:rsid w:val="00A237ED"/>
    <w:rsid w:val="00A23839"/>
    <w:rsid w:val="00A2385A"/>
    <w:rsid w:val="00A238AA"/>
    <w:rsid w:val="00A238D2"/>
    <w:rsid w:val="00A238E8"/>
    <w:rsid w:val="00A23917"/>
    <w:rsid w:val="00A23A32"/>
    <w:rsid w:val="00A23AA2"/>
    <w:rsid w:val="00A23ACC"/>
    <w:rsid w:val="00A23CFE"/>
    <w:rsid w:val="00A23DCC"/>
    <w:rsid w:val="00A23DE1"/>
    <w:rsid w:val="00A23E64"/>
    <w:rsid w:val="00A24028"/>
    <w:rsid w:val="00A2406C"/>
    <w:rsid w:val="00A240E7"/>
    <w:rsid w:val="00A24265"/>
    <w:rsid w:val="00A24286"/>
    <w:rsid w:val="00A2432B"/>
    <w:rsid w:val="00A24351"/>
    <w:rsid w:val="00A2435D"/>
    <w:rsid w:val="00A244DF"/>
    <w:rsid w:val="00A245F2"/>
    <w:rsid w:val="00A24714"/>
    <w:rsid w:val="00A247A2"/>
    <w:rsid w:val="00A248ED"/>
    <w:rsid w:val="00A24915"/>
    <w:rsid w:val="00A24976"/>
    <w:rsid w:val="00A24A86"/>
    <w:rsid w:val="00A24A9A"/>
    <w:rsid w:val="00A24AEE"/>
    <w:rsid w:val="00A24B21"/>
    <w:rsid w:val="00A24B76"/>
    <w:rsid w:val="00A24BE9"/>
    <w:rsid w:val="00A24BF5"/>
    <w:rsid w:val="00A24CE9"/>
    <w:rsid w:val="00A24DF6"/>
    <w:rsid w:val="00A24EC3"/>
    <w:rsid w:val="00A2504F"/>
    <w:rsid w:val="00A252BE"/>
    <w:rsid w:val="00A253B4"/>
    <w:rsid w:val="00A25452"/>
    <w:rsid w:val="00A2546B"/>
    <w:rsid w:val="00A25472"/>
    <w:rsid w:val="00A2547C"/>
    <w:rsid w:val="00A25533"/>
    <w:rsid w:val="00A25555"/>
    <w:rsid w:val="00A25605"/>
    <w:rsid w:val="00A256E5"/>
    <w:rsid w:val="00A25AB2"/>
    <w:rsid w:val="00A25D54"/>
    <w:rsid w:val="00A25D72"/>
    <w:rsid w:val="00A25E2E"/>
    <w:rsid w:val="00A25E54"/>
    <w:rsid w:val="00A25F5B"/>
    <w:rsid w:val="00A25F9C"/>
    <w:rsid w:val="00A261A5"/>
    <w:rsid w:val="00A2625E"/>
    <w:rsid w:val="00A262FB"/>
    <w:rsid w:val="00A26311"/>
    <w:rsid w:val="00A26382"/>
    <w:rsid w:val="00A26546"/>
    <w:rsid w:val="00A2654B"/>
    <w:rsid w:val="00A26634"/>
    <w:rsid w:val="00A2664C"/>
    <w:rsid w:val="00A2666C"/>
    <w:rsid w:val="00A2668D"/>
    <w:rsid w:val="00A266B6"/>
    <w:rsid w:val="00A26746"/>
    <w:rsid w:val="00A26765"/>
    <w:rsid w:val="00A269AC"/>
    <w:rsid w:val="00A269B7"/>
    <w:rsid w:val="00A269C4"/>
    <w:rsid w:val="00A26A03"/>
    <w:rsid w:val="00A26BED"/>
    <w:rsid w:val="00A26CCD"/>
    <w:rsid w:val="00A26DB0"/>
    <w:rsid w:val="00A26E43"/>
    <w:rsid w:val="00A26EC4"/>
    <w:rsid w:val="00A26F00"/>
    <w:rsid w:val="00A2706F"/>
    <w:rsid w:val="00A270B2"/>
    <w:rsid w:val="00A2728D"/>
    <w:rsid w:val="00A272E7"/>
    <w:rsid w:val="00A2737F"/>
    <w:rsid w:val="00A2739B"/>
    <w:rsid w:val="00A27412"/>
    <w:rsid w:val="00A2747D"/>
    <w:rsid w:val="00A275C3"/>
    <w:rsid w:val="00A27647"/>
    <w:rsid w:val="00A27725"/>
    <w:rsid w:val="00A27764"/>
    <w:rsid w:val="00A2799B"/>
    <w:rsid w:val="00A27A0E"/>
    <w:rsid w:val="00A27A1E"/>
    <w:rsid w:val="00A27A3B"/>
    <w:rsid w:val="00A27A87"/>
    <w:rsid w:val="00A27AB6"/>
    <w:rsid w:val="00A27D2B"/>
    <w:rsid w:val="00A27D58"/>
    <w:rsid w:val="00A27D98"/>
    <w:rsid w:val="00A27EA2"/>
    <w:rsid w:val="00A27EE7"/>
    <w:rsid w:val="00A27F5F"/>
    <w:rsid w:val="00A27F89"/>
    <w:rsid w:val="00A27FB6"/>
    <w:rsid w:val="00A30123"/>
    <w:rsid w:val="00A30142"/>
    <w:rsid w:val="00A3018F"/>
    <w:rsid w:val="00A301C2"/>
    <w:rsid w:val="00A3020E"/>
    <w:rsid w:val="00A30236"/>
    <w:rsid w:val="00A303B5"/>
    <w:rsid w:val="00A304D2"/>
    <w:rsid w:val="00A306A6"/>
    <w:rsid w:val="00A306B7"/>
    <w:rsid w:val="00A306F1"/>
    <w:rsid w:val="00A3079A"/>
    <w:rsid w:val="00A307B7"/>
    <w:rsid w:val="00A3086B"/>
    <w:rsid w:val="00A30921"/>
    <w:rsid w:val="00A309AF"/>
    <w:rsid w:val="00A309D5"/>
    <w:rsid w:val="00A30A36"/>
    <w:rsid w:val="00A30A78"/>
    <w:rsid w:val="00A30AB8"/>
    <w:rsid w:val="00A30AF2"/>
    <w:rsid w:val="00A30CDC"/>
    <w:rsid w:val="00A30D64"/>
    <w:rsid w:val="00A30D78"/>
    <w:rsid w:val="00A30D93"/>
    <w:rsid w:val="00A30DFA"/>
    <w:rsid w:val="00A30E22"/>
    <w:rsid w:val="00A30F15"/>
    <w:rsid w:val="00A31059"/>
    <w:rsid w:val="00A31096"/>
    <w:rsid w:val="00A31157"/>
    <w:rsid w:val="00A311BB"/>
    <w:rsid w:val="00A311DA"/>
    <w:rsid w:val="00A3129E"/>
    <w:rsid w:val="00A312D3"/>
    <w:rsid w:val="00A3130A"/>
    <w:rsid w:val="00A31405"/>
    <w:rsid w:val="00A3144E"/>
    <w:rsid w:val="00A3151C"/>
    <w:rsid w:val="00A31634"/>
    <w:rsid w:val="00A316B4"/>
    <w:rsid w:val="00A316EF"/>
    <w:rsid w:val="00A31869"/>
    <w:rsid w:val="00A31A13"/>
    <w:rsid w:val="00A31A87"/>
    <w:rsid w:val="00A31B2A"/>
    <w:rsid w:val="00A31B6D"/>
    <w:rsid w:val="00A31B7A"/>
    <w:rsid w:val="00A31C0E"/>
    <w:rsid w:val="00A31CAF"/>
    <w:rsid w:val="00A31D4B"/>
    <w:rsid w:val="00A31DBE"/>
    <w:rsid w:val="00A31E4F"/>
    <w:rsid w:val="00A31EAA"/>
    <w:rsid w:val="00A31F9D"/>
    <w:rsid w:val="00A31FA5"/>
    <w:rsid w:val="00A3207B"/>
    <w:rsid w:val="00A320F6"/>
    <w:rsid w:val="00A32182"/>
    <w:rsid w:val="00A32194"/>
    <w:rsid w:val="00A32304"/>
    <w:rsid w:val="00A32561"/>
    <w:rsid w:val="00A3258D"/>
    <w:rsid w:val="00A32595"/>
    <w:rsid w:val="00A325AA"/>
    <w:rsid w:val="00A32665"/>
    <w:rsid w:val="00A32676"/>
    <w:rsid w:val="00A326D0"/>
    <w:rsid w:val="00A32732"/>
    <w:rsid w:val="00A32788"/>
    <w:rsid w:val="00A3286B"/>
    <w:rsid w:val="00A32917"/>
    <w:rsid w:val="00A329E2"/>
    <w:rsid w:val="00A32A48"/>
    <w:rsid w:val="00A32A74"/>
    <w:rsid w:val="00A32A7A"/>
    <w:rsid w:val="00A32AAC"/>
    <w:rsid w:val="00A32BA6"/>
    <w:rsid w:val="00A32BAF"/>
    <w:rsid w:val="00A32C80"/>
    <w:rsid w:val="00A32DAA"/>
    <w:rsid w:val="00A32E8B"/>
    <w:rsid w:val="00A32ED2"/>
    <w:rsid w:val="00A32FF1"/>
    <w:rsid w:val="00A33104"/>
    <w:rsid w:val="00A33149"/>
    <w:rsid w:val="00A331E6"/>
    <w:rsid w:val="00A33290"/>
    <w:rsid w:val="00A33326"/>
    <w:rsid w:val="00A3344C"/>
    <w:rsid w:val="00A33525"/>
    <w:rsid w:val="00A33607"/>
    <w:rsid w:val="00A3365D"/>
    <w:rsid w:val="00A33708"/>
    <w:rsid w:val="00A3371B"/>
    <w:rsid w:val="00A33761"/>
    <w:rsid w:val="00A33792"/>
    <w:rsid w:val="00A337A1"/>
    <w:rsid w:val="00A3385B"/>
    <w:rsid w:val="00A338E5"/>
    <w:rsid w:val="00A3391B"/>
    <w:rsid w:val="00A33948"/>
    <w:rsid w:val="00A33965"/>
    <w:rsid w:val="00A33BAC"/>
    <w:rsid w:val="00A33CAC"/>
    <w:rsid w:val="00A33CBC"/>
    <w:rsid w:val="00A33CCD"/>
    <w:rsid w:val="00A33D99"/>
    <w:rsid w:val="00A33DD0"/>
    <w:rsid w:val="00A34166"/>
    <w:rsid w:val="00A342AB"/>
    <w:rsid w:val="00A34313"/>
    <w:rsid w:val="00A34471"/>
    <w:rsid w:val="00A3453B"/>
    <w:rsid w:val="00A345B4"/>
    <w:rsid w:val="00A346A3"/>
    <w:rsid w:val="00A34702"/>
    <w:rsid w:val="00A34717"/>
    <w:rsid w:val="00A349A9"/>
    <w:rsid w:val="00A34B01"/>
    <w:rsid w:val="00A34B16"/>
    <w:rsid w:val="00A34BE4"/>
    <w:rsid w:val="00A34C1C"/>
    <w:rsid w:val="00A34C47"/>
    <w:rsid w:val="00A34C52"/>
    <w:rsid w:val="00A34C63"/>
    <w:rsid w:val="00A34D40"/>
    <w:rsid w:val="00A34D71"/>
    <w:rsid w:val="00A34DE1"/>
    <w:rsid w:val="00A34E89"/>
    <w:rsid w:val="00A34EF6"/>
    <w:rsid w:val="00A34F16"/>
    <w:rsid w:val="00A34FE9"/>
    <w:rsid w:val="00A3507A"/>
    <w:rsid w:val="00A352E9"/>
    <w:rsid w:val="00A354B6"/>
    <w:rsid w:val="00A354B8"/>
    <w:rsid w:val="00A354C4"/>
    <w:rsid w:val="00A354DC"/>
    <w:rsid w:val="00A356D6"/>
    <w:rsid w:val="00A35740"/>
    <w:rsid w:val="00A35932"/>
    <w:rsid w:val="00A359DC"/>
    <w:rsid w:val="00A35A08"/>
    <w:rsid w:val="00A35B05"/>
    <w:rsid w:val="00A35BF5"/>
    <w:rsid w:val="00A35C6E"/>
    <w:rsid w:val="00A35C9E"/>
    <w:rsid w:val="00A35CAD"/>
    <w:rsid w:val="00A35D43"/>
    <w:rsid w:val="00A35D93"/>
    <w:rsid w:val="00A35EC1"/>
    <w:rsid w:val="00A36077"/>
    <w:rsid w:val="00A36129"/>
    <w:rsid w:val="00A3614E"/>
    <w:rsid w:val="00A36182"/>
    <w:rsid w:val="00A361AB"/>
    <w:rsid w:val="00A361D1"/>
    <w:rsid w:val="00A3621C"/>
    <w:rsid w:val="00A362B6"/>
    <w:rsid w:val="00A3635F"/>
    <w:rsid w:val="00A3636F"/>
    <w:rsid w:val="00A36453"/>
    <w:rsid w:val="00A36587"/>
    <w:rsid w:val="00A365B5"/>
    <w:rsid w:val="00A365F8"/>
    <w:rsid w:val="00A36620"/>
    <w:rsid w:val="00A36766"/>
    <w:rsid w:val="00A3677E"/>
    <w:rsid w:val="00A3687D"/>
    <w:rsid w:val="00A36939"/>
    <w:rsid w:val="00A369C9"/>
    <w:rsid w:val="00A36A42"/>
    <w:rsid w:val="00A36A82"/>
    <w:rsid w:val="00A36CBF"/>
    <w:rsid w:val="00A36CDB"/>
    <w:rsid w:val="00A36DC6"/>
    <w:rsid w:val="00A36E78"/>
    <w:rsid w:val="00A36EB7"/>
    <w:rsid w:val="00A36F1E"/>
    <w:rsid w:val="00A36FB9"/>
    <w:rsid w:val="00A36FE3"/>
    <w:rsid w:val="00A37002"/>
    <w:rsid w:val="00A37051"/>
    <w:rsid w:val="00A37062"/>
    <w:rsid w:val="00A370F7"/>
    <w:rsid w:val="00A37443"/>
    <w:rsid w:val="00A3749B"/>
    <w:rsid w:val="00A374A2"/>
    <w:rsid w:val="00A375C9"/>
    <w:rsid w:val="00A375DA"/>
    <w:rsid w:val="00A375E4"/>
    <w:rsid w:val="00A3761C"/>
    <w:rsid w:val="00A37742"/>
    <w:rsid w:val="00A37766"/>
    <w:rsid w:val="00A37801"/>
    <w:rsid w:val="00A37837"/>
    <w:rsid w:val="00A37860"/>
    <w:rsid w:val="00A378CA"/>
    <w:rsid w:val="00A37936"/>
    <w:rsid w:val="00A379CC"/>
    <w:rsid w:val="00A37A70"/>
    <w:rsid w:val="00A37AC5"/>
    <w:rsid w:val="00A37AEB"/>
    <w:rsid w:val="00A37B45"/>
    <w:rsid w:val="00A37B6B"/>
    <w:rsid w:val="00A37BFF"/>
    <w:rsid w:val="00A37C03"/>
    <w:rsid w:val="00A37D87"/>
    <w:rsid w:val="00A37D9D"/>
    <w:rsid w:val="00A37E80"/>
    <w:rsid w:val="00A37F77"/>
    <w:rsid w:val="00A4015F"/>
    <w:rsid w:val="00A40193"/>
    <w:rsid w:val="00A401DC"/>
    <w:rsid w:val="00A40258"/>
    <w:rsid w:val="00A4028D"/>
    <w:rsid w:val="00A4028E"/>
    <w:rsid w:val="00A404AF"/>
    <w:rsid w:val="00A4064F"/>
    <w:rsid w:val="00A406F7"/>
    <w:rsid w:val="00A407B5"/>
    <w:rsid w:val="00A40913"/>
    <w:rsid w:val="00A409D1"/>
    <w:rsid w:val="00A40AF9"/>
    <w:rsid w:val="00A40B1B"/>
    <w:rsid w:val="00A40BDE"/>
    <w:rsid w:val="00A40C31"/>
    <w:rsid w:val="00A40DA8"/>
    <w:rsid w:val="00A40DC8"/>
    <w:rsid w:val="00A40E1D"/>
    <w:rsid w:val="00A40E74"/>
    <w:rsid w:val="00A40FB5"/>
    <w:rsid w:val="00A40FF1"/>
    <w:rsid w:val="00A41045"/>
    <w:rsid w:val="00A410F8"/>
    <w:rsid w:val="00A41128"/>
    <w:rsid w:val="00A41130"/>
    <w:rsid w:val="00A4117A"/>
    <w:rsid w:val="00A4127B"/>
    <w:rsid w:val="00A41369"/>
    <w:rsid w:val="00A413F2"/>
    <w:rsid w:val="00A413FA"/>
    <w:rsid w:val="00A41531"/>
    <w:rsid w:val="00A416E0"/>
    <w:rsid w:val="00A4188B"/>
    <w:rsid w:val="00A418BA"/>
    <w:rsid w:val="00A419DD"/>
    <w:rsid w:val="00A41A22"/>
    <w:rsid w:val="00A41A4F"/>
    <w:rsid w:val="00A41B28"/>
    <w:rsid w:val="00A41C44"/>
    <w:rsid w:val="00A41C5E"/>
    <w:rsid w:val="00A41E4F"/>
    <w:rsid w:val="00A41F8F"/>
    <w:rsid w:val="00A42046"/>
    <w:rsid w:val="00A420BB"/>
    <w:rsid w:val="00A42268"/>
    <w:rsid w:val="00A422B9"/>
    <w:rsid w:val="00A4231A"/>
    <w:rsid w:val="00A4231F"/>
    <w:rsid w:val="00A4247A"/>
    <w:rsid w:val="00A424AE"/>
    <w:rsid w:val="00A4250B"/>
    <w:rsid w:val="00A425AB"/>
    <w:rsid w:val="00A425EA"/>
    <w:rsid w:val="00A4261B"/>
    <w:rsid w:val="00A42726"/>
    <w:rsid w:val="00A42763"/>
    <w:rsid w:val="00A42857"/>
    <w:rsid w:val="00A428F3"/>
    <w:rsid w:val="00A429A7"/>
    <w:rsid w:val="00A42A6C"/>
    <w:rsid w:val="00A42A82"/>
    <w:rsid w:val="00A42B1A"/>
    <w:rsid w:val="00A42B2E"/>
    <w:rsid w:val="00A42B81"/>
    <w:rsid w:val="00A42BD8"/>
    <w:rsid w:val="00A42C48"/>
    <w:rsid w:val="00A42CCA"/>
    <w:rsid w:val="00A42DDF"/>
    <w:rsid w:val="00A42F0A"/>
    <w:rsid w:val="00A42F48"/>
    <w:rsid w:val="00A4302B"/>
    <w:rsid w:val="00A4308B"/>
    <w:rsid w:val="00A43122"/>
    <w:rsid w:val="00A433F1"/>
    <w:rsid w:val="00A4366B"/>
    <w:rsid w:val="00A43695"/>
    <w:rsid w:val="00A43754"/>
    <w:rsid w:val="00A43779"/>
    <w:rsid w:val="00A437AA"/>
    <w:rsid w:val="00A437D8"/>
    <w:rsid w:val="00A4393F"/>
    <w:rsid w:val="00A43A58"/>
    <w:rsid w:val="00A43AEA"/>
    <w:rsid w:val="00A43AF0"/>
    <w:rsid w:val="00A43BCC"/>
    <w:rsid w:val="00A43DFB"/>
    <w:rsid w:val="00A43E67"/>
    <w:rsid w:val="00A43EB8"/>
    <w:rsid w:val="00A43ECC"/>
    <w:rsid w:val="00A43EDD"/>
    <w:rsid w:val="00A43F42"/>
    <w:rsid w:val="00A4400D"/>
    <w:rsid w:val="00A440C6"/>
    <w:rsid w:val="00A440FB"/>
    <w:rsid w:val="00A44102"/>
    <w:rsid w:val="00A44123"/>
    <w:rsid w:val="00A4418F"/>
    <w:rsid w:val="00A441F8"/>
    <w:rsid w:val="00A44527"/>
    <w:rsid w:val="00A4453B"/>
    <w:rsid w:val="00A44560"/>
    <w:rsid w:val="00A44584"/>
    <w:rsid w:val="00A446AB"/>
    <w:rsid w:val="00A44813"/>
    <w:rsid w:val="00A44841"/>
    <w:rsid w:val="00A4489C"/>
    <w:rsid w:val="00A448C6"/>
    <w:rsid w:val="00A44958"/>
    <w:rsid w:val="00A449BE"/>
    <w:rsid w:val="00A449D8"/>
    <w:rsid w:val="00A44A77"/>
    <w:rsid w:val="00A44A9D"/>
    <w:rsid w:val="00A44B74"/>
    <w:rsid w:val="00A44BA0"/>
    <w:rsid w:val="00A44BD6"/>
    <w:rsid w:val="00A44C0A"/>
    <w:rsid w:val="00A44C52"/>
    <w:rsid w:val="00A44C9B"/>
    <w:rsid w:val="00A44E7F"/>
    <w:rsid w:val="00A44E84"/>
    <w:rsid w:val="00A44EDF"/>
    <w:rsid w:val="00A44F02"/>
    <w:rsid w:val="00A44F4A"/>
    <w:rsid w:val="00A44FB7"/>
    <w:rsid w:val="00A45082"/>
    <w:rsid w:val="00A4508A"/>
    <w:rsid w:val="00A450C6"/>
    <w:rsid w:val="00A450C7"/>
    <w:rsid w:val="00A450F5"/>
    <w:rsid w:val="00A4510B"/>
    <w:rsid w:val="00A4525A"/>
    <w:rsid w:val="00A452D8"/>
    <w:rsid w:val="00A45306"/>
    <w:rsid w:val="00A45432"/>
    <w:rsid w:val="00A45615"/>
    <w:rsid w:val="00A4569C"/>
    <w:rsid w:val="00A4572A"/>
    <w:rsid w:val="00A45776"/>
    <w:rsid w:val="00A457E4"/>
    <w:rsid w:val="00A457ED"/>
    <w:rsid w:val="00A4584D"/>
    <w:rsid w:val="00A458A5"/>
    <w:rsid w:val="00A45909"/>
    <w:rsid w:val="00A4599F"/>
    <w:rsid w:val="00A459A8"/>
    <w:rsid w:val="00A459CC"/>
    <w:rsid w:val="00A45A63"/>
    <w:rsid w:val="00A45AE9"/>
    <w:rsid w:val="00A45BCE"/>
    <w:rsid w:val="00A45BCF"/>
    <w:rsid w:val="00A45C7E"/>
    <w:rsid w:val="00A45C83"/>
    <w:rsid w:val="00A45C85"/>
    <w:rsid w:val="00A45C92"/>
    <w:rsid w:val="00A45D0A"/>
    <w:rsid w:val="00A45DA5"/>
    <w:rsid w:val="00A45E1E"/>
    <w:rsid w:val="00A45E59"/>
    <w:rsid w:val="00A46030"/>
    <w:rsid w:val="00A46045"/>
    <w:rsid w:val="00A4607A"/>
    <w:rsid w:val="00A460C8"/>
    <w:rsid w:val="00A460CD"/>
    <w:rsid w:val="00A460EF"/>
    <w:rsid w:val="00A46161"/>
    <w:rsid w:val="00A4618C"/>
    <w:rsid w:val="00A46254"/>
    <w:rsid w:val="00A4633C"/>
    <w:rsid w:val="00A463B6"/>
    <w:rsid w:val="00A46476"/>
    <w:rsid w:val="00A46486"/>
    <w:rsid w:val="00A46571"/>
    <w:rsid w:val="00A4669E"/>
    <w:rsid w:val="00A466C9"/>
    <w:rsid w:val="00A466E4"/>
    <w:rsid w:val="00A46755"/>
    <w:rsid w:val="00A46793"/>
    <w:rsid w:val="00A467A0"/>
    <w:rsid w:val="00A468C9"/>
    <w:rsid w:val="00A469C6"/>
    <w:rsid w:val="00A46A1A"/>
    <w:rsid w:val="00A46A54"/>
    <w:rsid w:val="00A46A63"/>
    <w:rsid w:val="00A46BCA"/>
    <w:rsid w:val="00A46C10"/>
    <w:rsid w:val="00A46C6F"/>
    <w:rsid w:val="00A46DB4"/>
    <w:rsid w:val="00A47018"/>
    <w:rsid w:val="00A47052"/>
    <w:rsid w:val="00A470CD"/>
    <w:rsid w:val="00A470D0"/>
    <w:rsid w:val="00A4711A"/>
    <w:rsid w:val="00A4713B"/>
    <w:rsid w:val="00A47196"/>
    <w:rsid w:val="00A471A3"/>
    <w:rsid w:val="00A47200"/>
    <w:rsid w:val="00A47528"/>
    <w:rsid w:val="00A476E5"/>
    <w:rsid w:val="00A476EC"/>
    <w:rsid w:val="00A47701"/>
    <w:rsid w:val="00A4771C"/>
    <w:rsid w:val="00A47746"/>
    <w:rsid w:val="00A47873"/>
    <w:rsid w:val="00A47965"/>
    <w:rsid w:val="00A4797C"/>
    <w:rsid w:val="00A4798E"/>
    <w:rsid w:val="00A47A30"/>
    <w:rsid w:val="00A47ADF"/>
    <w:rsid w:val="00A47B49"/>
    <w:rsid w:val="00A47B55"/>
    <w:rsid w:val="00A47B96"/>
    <w:rsid w:val="00A47C16"/>
    <w:rsid w:val="00A47C40"/>
    <w:rsid w:val="00A47CC3"/>
    <w:rsid w:val="00A47D06"/>
    <w:rsid w:val="00A47E37"/>
    <w:rsid w:val="00A47EE3"/>
    <w:rsid w:val="00A47F92"/>
    <w:rsid w:val="00A47FC0"/>
    <w:rsid w:val="00A5002E"/>
    <w:rsid w:val="00A500BE"/>
    <w:rsid w:val="00A50152"/>
    <w:rsid w:val="00A501FD"/>
    <w:rsid w:val="00A50226"/>
    <w:rsid w:val="00A50247"/>
    <w:rsid w:val="00A502A2"/>
    <w:rsid w:val="00A502A3"/>
    <w:rsid w:val="00A502CF"/>
    <w:rsid w:val="00A502EE"/>
    <w:rsid w:val="00A505A7"/>
    <w:rsid w:val="00A50613"/>
    <w:rsid w:val="00A5087E"/>
    <w:rsid w:val="00A508B1"/>
    <w:rsid w:val="00A508EA"/>
    <w:rsid w:val="00A50953"/>
    <w:rsid w:val="00A509F0"/>
    <w:rsid w:val="00A50A0C"/>
    <w:rsid w:val="00A50A6A"/>
    <w:rsid w:val="00A50C10"/>
    <w:rsid w:val="00A50D88"/>
    <w:rsid w:val="00A50DBF"/>
    <w:rsid w:val="00A50E17"/>
    <w:rsid w:val="00A510F8"/>
    <w:rsid w:val="00A51123"/>
    <w:rsid w:val="00A51164"/>
    <w:rsid w:val="00A5127A"/>
    <w:rsid w:val="00A5139A"/>
    <w:rsid w:val="00A51453"/>
    <w:rsid w:val="00A51540"/>
    <w:rsid w:val="00A515F2"/>
    <w:rsid w:val="00A51A0E"/>
    <w:rsid w:val="00A51A8B"/>
    <w:rsid w:val="00A51AFD"/>
    <w:rsid w:val="00A51B29"/>
    <w:rsid w:val="00A51BAC"/>
    <w:rsid w:val="00A51CA6"/>
    <w:rsid w:val="00A51CF1"/>
    <w:rsid w:val="00A51CF2"/>
    <w:rsid w:val="00A51E9B"/>
    <w:rsid w:val="00A51EEE"/>
    <w:rsid w:val="00A52082"/>
    <w:rsid w:val="00A5211A"/>
    <w:rsid w:val="00A52405"/>
    <w:rsid w:val="00A5246A"/>
    <w:rsid w:val="00A525EC"/>
    <w:rsid w:val="00A52628"/>
    <w:rsid w:val="00A52763"/>
    <w:rsid w:val="00A52793"/>
    <w:rsid w:val="00A5280F"/>
    <w:rsid w:val="00A52821"/>
    <w:rsid w:val="00A5283D"/>
    <w:rsid w:val="00A52900"/>
    <w:rsid w:val="00A52948"/>
    <w:rsid w:val="00A52A89"/>
    <w:rsid w:val="00A52A8B"/>
    <w:rsid w:val="00A52B1B"/>
    <w:rsid w:val="00A52CA0"/>
    <w:rsid w:val="00A52CEC"/>
    <w:rsid w:val="00A52DC5"/>
    <w:rsid w:val="00A52E96"/>
    <w:rsid w:val="00A52ED2"/>
    <w:rsid w:val="00A52EEF"/>
    <w:rsid w:val="00A52F05"/>
    <w:rsid w:val="00A52FEA"/>
    <w:rsid w:val="00A53039"/>
    <w:rsid w:val="00A530EF"/>
    <w:rsid w:val="00A53167"/>
    <w:rsid w:val="00A531F5"/>
    <w:rsid w:val="00A53241"/>
    <w:rsid w:val="00A532B7"/>
    <w:rsid w:val="00A532D1"/>
    <w:rsid w:val="00A5331D"/>
    <w:rsid w:val="00A53355"/>
    <w:rsid w:val="00A5348B"/>
    <w:rsid w:val="00A534FE"/>
    <w:rsid w:val="00A53503"/>
    <w:rsid w:val="00A5359A"/>
    <w:rsid w:val="00A5363A"/>
    <w:rsid w:val="00A536D3"/>
    <w:rsid w:val="00A53764"/>
    <w:rsid w:val="00A537B5"/>
    <w:rsid w:val="00A537E8"/>
    <w:rsid w:val="00A53850"/>
    <w:rsid w:val="00A5385E"/>
    <w:rsid w:val="00A5389A"/>
    <w:rsid w:val="00A538AF"/>
    <w:rsid w:val="00A53A9E"/>
    <w:rsid w:val="00A53AAD"/>
    <w:rsid w:val="00A53B53"/>
    <w:rsid w:val="00A53BB8"/>
    <w:rsid w:val="00A53C5A"/>
    <w:rsid w:val="00A53DE3"/>
    <w:rsid w:val="00A53E6F"/>
    <w:rsid w:val="00A53E7A"/>
    <w:rsid w:val="00A53F0E"/>
    <w:rsid w:val="00A53F28"/>
    <w:rsid w:val="00A53FE7"/>
    <w:rsid w:val="00A54040"/>
    <w:rsid w:val="00A5409D"/>
    <w:rsid w:val="00A5410C"/>
    <w:rsid w:val="00A5415A"/>
    <w:rsid w:val="00A54432"/>
    <w:rsid w:val="00A54441"/>
    <w:rsid w:val="00A54447"/>
    <w:rsid w:val="00A5445D"/>
    <w:rsid w:val="00A544A4"/>
    <w:rsid w:val="00A54569"/>
    <w:rsid w:val="00A545CA"/>
    <w:rsid w:val="00A545EC"/>
    <w:rsid w:val="00A54654"/>
    <w:rsid w:val="00A54659"/>
    <w:rsid w:val="00A54770"/>
    <w:rsid w:val="00A54813"/>
    <w:rsid w:val="00A54991"/>
    <w:rsid w:val="00A549DD"/>
    <w:rsid w:val="00A549F2"/>
    <w:rsid w:val="00A54B2B"/>
    <w:rsid w:val="00A54BB6"/>
    <w:rsid w:val="00A54C22"/>
    <w:rsid w:val="00A54C7C"/>
    <w:rsid w:val="00A54CA9"/>
    <w:rsid w:val="00A54DFB"/>
    <w:rsid w:val="00A5508F"/>
    <w:rsid w:val="00A5510A"/>
    <w:rsid w:val="00A5513F"/>
    <w:rsid w:val="00A55161"/>
    <w:rsid w:val="00A551BE"/>
    <w:rsid w:val="00A553F5"/>
    <w:rsid w:val="00A554F6"/>
    <w:rsid w:val="00A5554A"/>
    <w:rsid w:val="00A555C8"/>
    <w:rsid w:val="00A55623"/>
    <w:rsid w:val="00A55628"/>
    <w:rsid w:val="00A55641"/>
    <w:rsid w:val="00A55677"/>
    <w:rsid w:val="00A55809"/>
    <w:rsid w:val="00A559BE"/>
    <w:rsid w:val="00A55A0C"/>
    <w:rsid w:val="00A55A33"/>
    <w:rsid w:val="00A55A81"/>
    <w:rsid w:val="00A55A98"/>
    <w:rsid w:val="00A55D36"/>
    <w:rsid w:val="00A55D6E"/>
    <w:rsid w:val="00A55D98"/>
    <w:rsid w:val="00A55E10"/>
    <w:rsid w:val="00A55F8A"/>
    <w:rsid w:val="00A56008"/>
    <w:rsid w:val="00A56200"/>
    <w:rsid w:val="00A5628F"/>
    <w:rsid w:val="00A56322"/>
    <w:rsid w:val="00A563AB"/>
    <w:rsid w:val="00A5640F"/>
    <w:rsid w:val="00A564D0"/>
    <w:rsid w:val="00A56540"/>
    <w:rsid w:val="00A5660F"/>
    <w:rsid w:val="00A566B1"/>
    <w:rsid w:val="00A566F8"/>
    <w:rsid w:val="00A56707"/>
    <w:rsid w:val="00A5671E"/>
    <w:rsid w:val="00A5676E"/>
    <w:rsid w:val="00A56787"/>
    <w:rsid w:val="00A567BB"/>
    <w:rsid w:val="00A567FB"/>
    <w:rsid w:val="00A56902"/>
    <w:rsid w:val="00A56923"/>
    <w:rsid w:val="00A56959"/>
    <w:rsid w:val="00A56994"/>
    <w:rsid w:val="00A5699E"/>
    <w:rsid w:val="00A569D7"/>
    <w:rsid w:val="00A56B5A"/>
    <w:rsid w:val="00A56BF1"/>
    <w:rsid w:val="00A56C62"/>
    <w:rsid w:val="00A56D2E"/>
    <w:rsid w:val="00A56DA2"/>
    <w:rsid w:val="00A56DF0"/>
    <w:rsid w:val="00A56EA0"/>
    <w:rsid w:val="00A56EB6"/>
    <w:rsid w:val="00A56ECA"/>
    <w:rsid w:val="00A56F14"/>
    <w:rsid w:val="00A56F3C"/>
    <w:rsid w:val="00A56F41"/>
    <w:rsid w:val="00A57011"/>
    <w:rsid w:val="00A5704D"/>
    <w:rsid w:val="00A570CA"/>
    <w:rsid w:val="00A57252"/>
    <w:rsid w:val="00A573A7"/>
    <w:rsid w:val="00A57484"/>
    <w:rsid w:val="00A574B1"/>
    <w:rsid w:val="00A574FD"/>
    <w:rsid w:val="00A57589"/>
    <w:rsid w:val="00A57656"/>
    <w:rsid w:val="00A57694"/>
    <w:rsid w:val="00A5772B"/>
    <w:rsid w:val="00A577A7"/>
    <w:rsid w:val="00A578B1"/>
    <w:rsid w:val="00A57933"/>
    <w:rsid w:val="00A5794B"/>
    <w:rsid w:val="00A57991"/>
    <w:rsid w:val="00A57AB8"/>
    <w:rsid w:val="00A57B41"/>
    <w:rsid w:val="00A57C69"/>
    <w:rsid w:val="00A57C96"/>
    <w:rsid w:val="00A57CCC"/>
    <w:rsid w:val="00A57D1D"/>
    <w:rsid w:val="00A57D65"/>
    <w:rsid w:val="00A57E8E"/>
    <w:rsid w:val="00A57EC1"/>
    <w:rsid w:val="00A57F91"/>
    <w:rsid w:val="00A57F9C"/>
    <w:rsid w:val="00A57FBF"/>
    <w:rsid w:val="00A60033"/>
    <w:rsid w:val="00A6016A"/>
    <w:rsid w:val="00A60257"/>
    <w:rsid w:val="00A6025D"/>
    <w:rsid w:val="00A602CF"/>
    <w:rsid w:val="00A603E2"/>
    <w:rsid w:val="00A604CB"/>
    <w:rsid w:val="00A604D0"/>
    <w:rsid w:val="00A6056E"/>
    <w:rsid w:val="00A60576"/>
    <w:rsid w:val="00A605D1"/>
    <w:rsid w:val="00A605DF"/>
    <w:rsid w:val="00A605F8"/>
    <w:rsid w:val="00A60608"/>
    <w:rsid w:val="00A6060C"/>
    <w:rsid w:val="00A60638"/>
    <w:rsid w:val="00A606FE"/>
    <w:rsid w:val="00A60741"/>
    <w:rsid w:val="00A609D2"/>
    <w:rsid w:val="00A60A3B"/>
    <w:rsid w:val="00A60ADB"/>
    <w:rsid w:val="00A60AF1"/>
    <w:rsid w:val="00A60B2E"/>
    <w:rsid w:val="00A60B4A"/>
    <w:rsid w:val="00A60BEC"/>
    <w:rsid w:val="00A60C1C"/>
    <w:rsid w:val="00A60C1E"/>
    <w:rsid w:val="00A60CBC"/>
    <w:rsid w:val="00A60CBF"/>
    <w:rsid w:val="00A60CD0"/>
    <w:rsid w:val="00A60D36"/>
    <w:rsid w:val="00A60D6F"/>
    <w:rsid w:val="00A60DCA"/>
    <w:rsid w:val="00A60E04"/>
    <w:rsid w:val="00A60E98"/>
    <w:rsid w:val="00A60FA3"/>
    <w:rsid w:val="00A60FAB"/>
    <w:rsid w:val="00A60FC1"/>
    <w:rsid w:val="00A61057"/>
    <w:rsid w:val="00A610B1"/>
    <w:rsid w:val="00A611AE"/>
    <w:rsid w:val="00A61296"/>
    <w:rsid w:val="00A61359"/>
    <w:rsid w:val="00A61460"/>
    <w:rsid w:val="00A61463"/>
    <w:rsid w:val="00A6146D"/>
    <w:rsid w:val="00A614EA"/>
    <w:rsid w:val="00A615FC"/>
    <w:rsid w:val="00A616C8"/>
    <w:rsid w:val="00A61740"/>
    <w:rsid w:val="00A6180D"/>
    <w:rsid w:val="00A61868"/>
    <w:rsid w:val="00A6192A"/>
    <w:rsid w:val="00A6193F"/>
    <w:rsid w:val="00A61980"/>
    <w:rsid w:val="00A61A83"/>
    <w:rsid w:val="00A61AB4"/>
    <w:rsid w:val="00A61AD4"/>
    <w:rsid w:val="00A61AED"/>
    <w:rsid w:val="00A61B42"/>
    <w:rsid w:val="00A61B55"/>
    <w:rsid w:val="00A61BF4"/>
    <w:rsid w:val="00A61BF9"/>
    <w:rsid w:val="00A61C08"/>
    <w:rsid w:val="00A61CE9"/>
    <w:rsid w:val="00A61D2A"/>
    <w:rsid w:val="00A61E04"/>
    <w:rsid w:val="00A61E41"/>
    <w:rsid w:val="00A62028"/>
    <w:rsid w:val="00A620A7"/>
    <w:rsid w:val="00A621EC"/>
    <w:rsid w:val="00A623F1"/>
    <w:rsid w:val="00A62452"/>
    <w:rsid w:val="00A624FE"/>
    <w:rsid w:val="00A625B1"/>
    <w:rsid w:val="00A6261F"/>
    <w:rsid w:val="00A626A2"/>
    <w:rsid w:val="00A627EA"/>
    <w:rsid w:val="00A6280E"/>
    <w:rsid w:val="00A62830"/>
    <w:rsid w:val="00A62906"/>
    <w:rsid w:val="00A62E42"/>
    <w:rsid w:val="00A62EFA"/>
    <w:rsid w:val="00A62F8C"/>
    <w:rsid w:val="00A630C7"/>
    <w:rsid w:val="00A631D2"/>
    <w:rsid w:val="00A6333A"/>
    <w:rsid w:val="00A633BB"/>
    <w:rsid w:val="00A6340F"/>
    <w:rsid w:val="00A6341E"/>
    <w:rsid w:val="00A6350B"/>
    <w:rsid w:val="00A63718"/>
    <w:rsid w:val="00A6384E"/>
    <w:rsid w:val="00A639E1"/>
    <w:rsid w:val="00A63A4A"/>
    <w:rsid w:val="00A63A96"/>
    <w:rsid w:val="00A63B55"/>
    <w:rsid w:val="00A63C79"/>
    <w:rsid w:val="00A63CAE"/>
    <w:rsid w:val="00A63CE2"/>
    <w:rsid w:val="00A63D78"/>
    <w:rsid w:val="00A63E13"/>
    <w:rsid w:val="00A63E95"/>
    <w:rsid w:val="00A63EFF"/>
    <w:rsid w:val="00A63F50"/>
    <w:rsid w:val="00A64014"/>
    <w:rsid w:val="00A6402C"/>
    <w:rsid w:val="00A64083"/>
    <w:rsid w:val="00A640B4"/>
    <w:rsid w:val="00A641C0"/>
    <w:rsid w:val="00A64217"/>
    <w:rsid w:val="00A64282"/>
    <w:rsid w:val="00A64405"/>
    <w:rsid w:val="00A644CF"/>
    <w:rsid w:val="00A6459A"/>
    <w:rsid w:val="00A6459D"/>
    <w:rsid w:val="00A645C8"/>
    <w:rsid w:val="00A64683"/>
    <w:rsid w:val="00A647B0"/>
    <w:rsid w:val="00A647C7"/>
    <w:rsid w:val="00A647F4"/>
    <w:rsid w:val="00A64874"/>
    <w:rsid w:val="00A64935"/>
    <w:rsid w:val="00A6494C"/>
    <w:rsid w:val="00A6495E"/>
    <w:rsid w:val="00A649B9"/>
    <w:rsid w:val="00A64A71"/>
    <w:rsid w:val="00A64B21"/>
    <w:rsid w:val="00A64B4C"/>
    <w:rsid w:val="00A64B88"/>
    <w:rsid w:val="00A64C1B"/>
    <w:rsid w:val="00A64C66"/>
    <w:rsid w:val="00A64C78"/>
    <w:rsid w:val="00A64DDE"/>
    <w:rsid w:val="00A65072"/>
    <w:rsid w:val="00A650AB"/>
    <w:rsid w:val="00A650C5"/>
    <w:rsid w:val="00A650DA"/>
    <w:rsid w:val="00A650FF"/>
    <w:rsid w:val="00A65110"/>
    <w:rsid w:val="00A65170"/>
    <w:rsid w:val="00A651B5"/>
    <w:rsid w:val="00A651D9"/>
    <w:rsid w:val="00A651DA"/>
    <w:rsid w:val="00A652A5"/>
    <w:rsid w:val="00A652D6"/>
    <w:rsid w:val="00A6531D"/>
    <w:rsid w:val="00A6532C"/>
    <w:rsid w:val="00A653CB"/>
    <w:rsid w:val="00A653D6"/>
    <w:rsid w:val="00A6540A"/>
    <w:rsid w:val="00A654A3"/>
    <w:rsid w:val="00A654E2"/>
    <w:rsid w:val="00A65559"/>
    <w:rsid w:val="00A65582"/>
    <w:rsid w:val="00A655D1"/>
    <w:rsid w:val="00A6561F"/>
    <w:rsid w:val="00A65736"/>
    <w:rsid w:val="00A65761"/>
    <w:rsid w:val="00A65861"/>
    <w:rsid w:val="00A6587C"/>
    <w:rsid w:val="00A658D4"/>
    <w:rsid w:val="00A6594B"/>
    <w:rsid w:val="00A659F1"/>
    <w:rsid w:val="00A65A97"/>
    <w:rsid w:val="00A65A9B"/>
    <w:rsid w:val="00A65AAB"/>
    <w:rsid w:val="00A65B5B"/>
    <w:rsid w:val="00A65BE8"/>
    <w:rsid w:val="00A65C17"/>
    <w:rsid w:val="00A65CB7"/>
    <w:rsid w:val="00A65D10"/>
    <w:rsid w:val="00A65DC8"/>
    <w:rsid w:val="00A65E14"/>
    <w:rsid w:val="00A65E18"/>
    <w:rsid w:val="00A65E1F"/>
    <w:rsid w:val="00A65E50"/>
    <w:rsid w:val="00A65E64"/>
    <w:rsid w:val="00A65EE8"/>
    <w:rsid w:val="00A65F55"/>
    <w:rsid w:val="00A65F77"/>
    <w:rsid w:val="00A65F78"/>
    <w:rsid w:val="00A66142"/>
    <w:rsid w:val="00A66187"/>
    <w:rsid w:val="00A6621A"/>
    <w:rsid w:val="00A66262"/>
    <w:rsid w:val="00A66271"/>
    <w:rsid w:val="00A6628E"/>
    <w:rsid w:val="00A662ED"/>
    <w:rsid w:val="00A663A7"/>
    <w:rsid w:val="00A664F5"/>
    <w:rsid w:val="00A6650C"/>
    <w:rsid w:val="00A66664"/>
    <w:rsid w:val="00A666CF"/>
    <w:rsid w:val="00A66973"/>
    <w:rsid w:val="00A6699A"/>
    <w:rsid w:val="00A669D3"/>
    <w:rsid w:val="00A669D8"/>
    <w:rsid w:val="00A66A16"/>
    <w:rsid w:val="00A66B68"/>
    <w:rsid w:val="00A66C3E"/>
    <w:rsid w:val="00A66D35"/>
    <w:rsid w:val="00A66E27"/>
    <w:rsid w:val="00A66E58"/>
    <w:rsid w:val="00A66FBF"/>
    <w:rsid w:val="00A67023"/>
    <w:rsid w:val="00A67031"/>
    <w:rsid w:val="00A6711A"/>
    <w:rsid w:val="00A6715F"/>
    <w:rsid w:val="00A67183"/>
    <w:rsid w:val="00A672E4"/>
    <w:rsid w:val="00A6736F"/>
    <w:rsid w:val="00A6740A"/>
    <w:rsid w:val="00A67438"/>
    <w:rsid w:val="00A67456"/>
    <w:rsid w:val="00A67478"/>
    <w:rsid w:val="00A674A1"/>
    <w:rsid w:val="00A67681"/>
    <w:rsid w:val="00A676D3"/>
    <w:rsid w:val="00A676F5"/>
    <w:rsid w:val="00A67857"/>
    <w:rsid w:val="00A67A7A"/>
    <w:rsid w:val="00A67B43"/>
    <w:rsid w:val="00A67C70"/>
    <w:rsid w:val="00A67CE4"/>
    <w:rsid w:val="00A67D6A"/>
    <w:rsid w:val="00A67F6D"/>
    <w:rsid w:val="00A67FCC"/>
    <w:rsid w:val="00A700A7"/>
    <w:rsid w:val="00A700B5"/>
    <w:rsid w:val="00A700F5"/>
    <w:rsid w:val="00A70168"/>
    <w:rsid w:val="00A70197"/>
    <w:rsid w:val="00A701A7"/>
    <w:rsid w:val="00A7023A"/>
    <w:rsid w:val="00A703AA"/>
    <w:rsid w:val="00A7054F"/>
    <w:rsid w:val="00A705AE"/>
    <w:rsid w:val="00A705DC"/>
    <w:rsid w:val="00A70631"/>
    <w:rsid w:val="00A70768"/>
    <w:rsid w:val="00A707DC"/>
    <w:rsid w:val="00A7082C"/>
    <w:rsid w:val="00A70857"/>
    <w:rsid w:val="00A70859"/>
    <w:rsid w:val="00A708DC"/>
    <w:rsid w:val="00A708E7"/>
    <w:rsid w:val="00A70936"/>
    <w:rsid w:val="00A70976"/>
    <w:rsid w:val="00A70A26"/>
    <w:rsid w:val="00A70B84"/>
    <w:rsid w:val="00A70BF7"/>
    <w:rsid w:val="00A70C38"/>
    <w:rsid w:val="00A70CF7"/>
    <w:rsid w:val="00A70D15"/>
    <w:rsid w:val="00A70F1D"/>
    <w:rsid w:val="00A70F98"/>
    <w:rsid w:val="00A7100D"/>
    <w:rsid w:val="00A7107C"/>
    <w:rsid w:val="00A710D7"/>
    <w:rsid w:val="00A71170"/>
    <w:rsid w:val="00A71183"/>
    <w:rsid w:val="00A711D2"/>
    <w:rsid w:val="00A7123A"/>
    <w:rsid w:val="00A7126A"/>
    <w:rsid w:val="00A712D0"/>
    <w:rsid w:val="00A71354"/>
    <w:rsid w:val="00A71359"/>
    <w:rsid w:val="00A713A7"/>
    <w:rsid w:val="00A71460"/>
    <w:rsid w:val="00A71462"/>
    <w:rsid w:val="00A71478"/>
    <w:rsid w:val="00A71587"/>
    <w:rsid w:val="00A717EA"/>
    <w:rsid w:val="00A71965"/>
    <w:rsid w:val="00A719A8"/>
    <w:rsid w:val="00A71B47"/>
    <w:rsid w:val="00A71BE1"/>
    <w:rsid w:val="00A71C6F"/>
    <w:rsid w:val="00A71D8F"/>
    <w:rsid w:val="00A71D91"/>
    <w:rsid w:val="00A71E88"/>
    <w:rsid w:val="00A71EAA"/>
    <w:rsid w:val="00A71F69"/>
    <w:rsid w:val="00A7216F"/>
    <w:rsid w:val="00A721BA"/>
    <w:rsid w:val="00A72204"/>
    <w:rsid w:val="00A72250"/>
    <w:rsid w:val="00A72266"/>
    <w:rsid w:val="00A722E1"/>
    <w:rsid w:val="00A7236C"/>
    <w:rsid w:val="00A7240D"/>
    <w:rsid w:val="00A724B1"/>
    <w:rsid w:val="00A724E8"/>
    <w:rsid w:val="00A724EF"/>
    <w:rsid w:val="00A7250F"/>
    <w:rsid w:val="00A7255B"/>
    <w:rsid w:val="00A725FF"/>
    <w:rsid w:val="00A72771"/>
    <w:rsid w:val="00A72800"/>
    <w:rsid w:val="00A728A5"/>
    <w:rsid w:val="00A72917"/>
    <w:rsid w:val="00A72960"/>
    <w:rsid w:val="00A72965"/>
    <w:rsid w:val="00A72990"/>
    <w:rsid w:val="00A729BB"/>
    <w:rsid w:val="00A729F9"/>
    <w:rsid w:val="00A72B26"/>
    <w:rsid w:val="00A72C1F"/>
    <w:rsid w:val="00A72C82"/>
    <w:rsid w:val="00A72D40"/>
    <w:rsid w:val="00A72D5D"/>
    <w:rsid w:val="00A72D8F"/>
    <w:rsid w:val="00A72E08"/>
    <w:rsid w:val="00A72E42"/>
    <w:rsid w:val="00A72E54"/>
    <w:rsid w:val="00A72F01"/>
    <w:rsid w:val="00A72F15"/>
    <w:rsid w:val="00A72F99"/>
    <w:rsid w:val="00A72FFD"/>
    <w:rsid w:val="00A731BA"/>
    <w:rsid w:val="00A73261"/>
    <w:rsid w:val="00A73272"/>
    <w:rsid w:val="00A73284"/>
    <w:rsid w:val="00A73365"/>
    <w:rsid w:val="00A733A0"/>
    <w:rsid w:val="00A733A6"/>
    <w:rsid w:val="00A733E9"/>
    <w:rsid w:val="00A73437"/>
    <w:rsid w:val="00A734AC"/>
    <w:rsid w:val="00A734D5"/>
    <w:rsid w:val="00A73717"/>
    <w:rsid w:val="00A7377C"/>
    <w:rsid w:val="00A73817"/>
    <w:rsid w:val="00A7383C"/>
    <w:rsid w:val="00A73848"/>
    <w:rsid w:val="00A73921"/>
    <w:rsid w:val="00A73BB4"/>
    <w:rsid w:val="00A73C23"/>
    <w:rsid w:val="00A73C4D"/>
    <w:rsid w:val="00A73D38"/>
    <w:rsid w:val="00A73D39"/>
    <w:rsid w:val="00A73E0C"/>
    <w:rsid w:val="00A73EF2"/>
    <w:rsid w:val="00A7411C"/>
    <w:rsid w:val="00A741C8"/>
    <w:rsid w:val="00A7422E"/>
    <w:rsid w:val="00A74288"/>
    <w:rsid w:val="00A74293"/>
    <w:rsid w:val="00A7440E"/>
    <w:rsid w:val="00A7443B"/>
    <w:rsid w:val="00A744B3"/>
    <w:rsid w:val="00A7455D"/>
    <w:rsid w:val="00A745F0"/>
    <w:rsid w:val="00A74685"/>
    <w:rsid w:val="00A7468A"/>
    <w:rsid w:val="00A746AC"/>
    <w:rsid w:val="00A7471F"/>
    <w:rsid w:val="00A74815"/>
    <w:rsid w:val="00A74905"/>
    <w:rsid w:val="00A74974"/>
    <w:rsid w:val="00A74A1D"/>
    <w:rsid w:val="00A74ACB"/>
    <w:rsid w:val="00A74B70"/>
    <w:rsid w:val="00A74BA2"/>
    <w:rsid w:val="00A74BD9"/>
    <w:rsid w:val="00A74C8B"/>
    <w:rsid w:val="00A74D2A"/>
    <w:rsid w:val="00A74DDD"/>
    <w:rsid w:val="00A74E08"/>
    <w:rsid w:val="00A74E2C"/>
    <w:rsid w:val="00A74F19"/>
    <w:rsid w:val="00A74F51"/>
    <w:rsid w:val="00A75121"/>
    <w:rsid w:val="00A75184"/>
    <w:rsid w:val="00A7536D"/>
    <w:rsid w:val="00A7551B"/>
    <w:rsid w:val="00A756ED"/>
    <w:rsid w:val="00A75785"/>
    <w:rsid w:val="00A758B9"/>
    <w:rsid w:val="00A7593F"/>
    <w:rsid w:val="00A7599E"/>
    <w:rsid w:val="00A75A5B"/>
    <w:rsid w:val="00A75AE3"/>
    <w:rsid w:val="00A75B31"/>
    <w:rsid w:val="00A75B6A"/>
    <w:rsid w:val="00A75BED"/>
    <w:rsid w:val="00A75C39"/>
    <w:rsid w:val="00A75C53"/>
    <w:rsid w:val="00A75CC9"/>
    <w:rsid w:val="00A75EF9"/>
    <w:rsid w:val="00A760B4"/>
    <w:rsid w:val="00A760DB"/>
    <w:rsid w:val="00A76194"/>
    <w:rsid w:val="00A7622F"/>
    <w:rsid w:val="00A76287"/>
    <w:rsid w:val="00A76320"/>
    <w:rsid w:val="00A76351"/>
    <w:rsid w:val="00A76395"/>
    <w:rsid w:val="00A76397"/>
    <w:rsid w:val="00A76408"/>
    <w:rsid w:val="00A7642F"/>
    <w:rsid w:val="00A764A2"/>
    <w:rsid w:val="00A764FE"/>
    <w:rsid w:val="00A76555"/>
    <w:rsid w:val="00A76614"/>
    <w:rsid w:val="00A76629"/>
    <w:rsid w:val="00A7668D"/>
    <w:rsid w:val="00A76693"/>
    <w:rsid w:val="00A766C7"/>
    <w:rsid w:val="00A767B3"/>
    <w:rsid w:val="00A76854"/>
    <w:rsid w:val="00A7687D"/>
    <w:rsid w:val="00A768FE"/>
    <w:rsid w:val="00A76A16"/>
    <w:rsid w:val="00A76ABB"/>
    <w:rsid w:val="00A76B7C"/>
    <w:rsid w:val="00A76CC1"/>
    <w:rsid w:val="00A76CC5"/>
    <w:rsid w:val="00A76EE6"/>
    <w:rsid w:val="00A76F12"/>
    <w:rsid w:val="00A76F42"/>
    <w:rsid w:val="00A77007"/>
    <w:rsid w:val="00A7703C"/>
    <w:rsid w:val="00A7705C"/>
    <w:rsid w:val="00A77237"/>
    <w:rsid w:val="00A77267"/>
    <w:rsid w:val="00A772E7"/>
    <w:rsid w:val="00A773B7"/>
    <w:rsid w:val="00A773F8"/>
    <w:rsid w:val="00A7749B"/>
    <w:rsid w:val="00A775B4"/>
    <w:rsid w:val="00A7767E"/>
    <w:rsid w:val="00A778D5"/>
    <w:rsid w:val="00A77996"/>
    <w:rsid w:val="00A77BA0"/>
    <w:rsid w:val="00A77BF8"/>
    <w:rsid w:val="00A77C7B"/>
    <w:rsid w:val="00A77CF9"/>
    <w:rsid w:val="00A77CFE"/>
    <w:rsid w:val="00A77D07"/>
    <w:rsid w:val="00A77D33"/>
    <w:rsid w:val="00A77DD8"/>
    <w:rsid w:val="00A77E50"/>
    <w:rsid w:val="00A77F29"/>
    <w:rsid w:val="00A77F6C"/>
    <w:rsid w:val="00A80047"/>
    <w:rsid w:val="00A80106"/>
    <w:rsid w:val="00A80145"/>
    <w:rsid w:val="00A8023E"/>
    <w:rsid w:val="00A802B5"/>
    <w:rsid w:val="00A80340"/>
    <w:rsid w:val="00A8064D"/>
    <w:rsid w:val="00A80653"/>
    <w:rsid w:val="00A80755"/>
    <w:rsid w:val="00A80778"/>
    <w:rsid w:val="00A80966"/>
    <w:rsid w:val="00A80A14"/>
    <w:rsid w:val="00A80A1C"/>
    <w:rsid w:val="00A80B32"/>
    <w:rsid w:val="00A80B59"/>
    <w:rsid w:val="00A80C43"/>
    <w:rsid w:val="00A80C51"/>
    <w:rsid w:val="00A80C7C"/>
    <w:rsid w:val="00A80CA6"/>
    <w:rsid w:val="00A80CC6"/>
    <w:rsid w:val="00A80D07"/>
    <w:rsid w:val="00A80D85"/>
    <w:rsid w:val="00A80DA3"/>
    <w:rsid w:val="00A80DD6"/>
    <w:rsid w:val="00A80EC4"/>
    <w:rsid w:val="00A80FA5"/>
    <w:rsid w:val="00A80FB5"/>
    <w:rsid w:val="00A81014"/>
    <w:rsid w:val="00A811A3"/>
    <w:rsid w:val="00A811AE"/>
    <w:rsid w:val="00A81221"/>
    <w:rsid w:val="00A8122F"/>
    <w:rsid w:val="00A81310"/>
    <w:rsid w:val="00A8135A"/>
    <w:rsid w:val="00A81400"/>
    <w:rsid w:val="00A814A7"/>
    <w:rsid w:val="00A81605"/>
    <w:rsid w:val="00A8162C"/>
    <w:rsid w:val="00A816F1"/>
    <w:rsid w:val="00A8173A"/>
    <w:rsid w:val="00A81789"/>
    <w:rsid w:val="00A817F6"/>
    <w:rsid w:val="00A817FE"/>
    <w:rsid w:val="00A818D6"/>
    <w:rsid w:val="00A819C5"/>
    <w:rsid w:val="00A81A4B"/>
    <w:rsid w:val="00A81A61"/>
    <w:rsid w:val="00A81A75"/>
    <w:rsid w:val="00A81A7B"/>
    <w:rsid w:val="00A81A88"/>
    <w:rsid w:val="00A81AAA"/>
    <w:rsid w:val="00A81B95"/>
    <w:rsid w:val="00A81D6B"/>
    <w:rsid w:val="00A81F79"/>
    <w:rsid w:val="00A82013"/>
    <w:rsid w:val="00A82057"/>
    <w:rsid w:val="00A82068"/>
    <w:rsid w:val="00A82103"/>
    <w:rsid w:val="00A82115"/>
    <w:rsid w:val="00A8217A"/>
    <w:rsid w:val="00A821CB"/>
    <w:rsid w:val="00A822BF"/>
    <w:rsid w:val="00A82416"/>
    <w:rsid w:val="00A82632"/>
    <w:rsid w:val="00A8263B"/>
    <w:rsid w:val="00A82673"/>
    <w:rsid w:val="00A826FE"/>
    <w:rsid w:val="00A82926"/>
    <w:rsid w:val="00A82951"/>
    <w:rsid w:val="00A82BFB"/>
    <w:rsid w:val="00A82C25"/>
    <w:rsid w:val="00A82DA8"/>
    <w:rsid w:val="00A82DC9"/>
    <w:rsid w:val="00A82DFD"/>
    <w:rsid w:val="00A82E47"/>
    <w:rsid w:val="00A82F46"/>
    <w:rsid w:val="00A82F5A"/>
    <w:rsid w:val="00A8312D"/>
    <w:rsid w:val="00A83144"/>
    <w:rsid w:val="00A83397"/>
    <w:rsid w:val="00A8340D"/>
    <w:rsid w:val="00A8359A"/>
    <w:rsid w:val="00A835DF"/>
    <w:rsid w:val="00A8379E"/>
    <w:rsid w:val="00A83A72"/>
    <w:rsid w:val="00A83AB9"/>
    <w:rsid w:val="00A83ADC"/>
    <w:rsid w:val="00A83BC9"/>
    <w:rsid w:val="00A83BCA"/>
    <w:rsid w:val="00A83C26"/>
    <w:rsid w:val="00A83D47"/>
    <w:rsid w:val="00A83D7F"/>
    <w:rsid w:val="00A83DF5"/>
    <w:rsid w:val="00A83E8D"/>
    <w:rsid w:val="00A83F04"/>
    <w:rsid w:val="00A83F8A"/>
    <w:rsid w:val="00A8405B"/>
    <w:rsid w:val="00A8409E"/>
    <w:rsid w:val="00A840B4"/>
    <w:rsid w:val="00A84120"/>
    <w:rsid w:val="00A841D8"/>
    <w:rsid w:val="00A84345"/>
    <w:rsid w:val="00A8442B"/>
    <w:rsid w:val="00A84488"/>
    <w:rsid w:val="00A844A3"/>
    <w:rsid w:val="00A844CD"/>
    <w:rsid w:val="00A84521"/>
    <w:rsid w:val="00A84572"/>
    <w:rsid w:val="00A84586"/>
    <w:rsid w:val="00A8467B"/>
    <w:rsid w:val="00A846D1"/>
    <w:rsid w:val="00A84769"/>
    <w:rsid w:val="00A8476B"/>
    <w:rsid w:val="00A847DF"/>
    <w:rsid w:val="00A84937"/>
    <w:rsid w:val="00A8493B"/>
    <w:rsid w:val="00A849A3"/>
    <w:rsid w:val="00A84BC1"/>
    <w:rsid w:val="00A84C03"/>
    <w:rsid w:val="00A84C4D"/>
    <w:rsid w:val="00A84D4D"/>
    <w:rsid w:val="00A84D8A"/>
    <w:rsid w:val="00A84DE2"/>
    <w:rsid w:val="00A84E2C"/>
    <w:rsid w:val="00A84EBF"/>
    <w:rsid w:val="00A84F2A"/>
    <w:rsid w:val="00A84FE3"/>
    <w:rsid w:val="00A8500E"/>
    <w:rsid w:val="00A85015"/>
    <w:rsid w:val="00A85181"/>
    <w:rsid w:val="00A8519F"/>
    <w:rsid w:val="00A851E4"/>
    <w:rsid w:val="00A852B5"/>
    <w:rsid w:val="00A85365"/>
    <w:rsid w:val="00A853F0"/>
    <w:rsid w:val="00A8544D"/>
    <w:rsid w:val="00A8550A"/>
    <w:rsid w:val="00A85563"/>
    <w:rsid w:val="00A856AA"/>
    <w:rsid w:val="00A856C2"/>
    <w:rsid w:val="00A856F4"/>
    <w:rsid w:val="00A85785"/>
    <w:rsid w:val="00A8581C"/>
    <w:rsid w:val="00A8583F"/>
    <w:rsid w:val="00A8589C"/>
    <w:rsid w:val="00A858AA"/>
    <w:rsid w:val="00A8596C"/>
    <w:rsid w:val="00A85A2D"/>
    <w:rsid w:val="00A85B04"/>
    <w:rsid w:val="00A85B99"/>
    <w:rsid w:val="00A85CAE"/>
    <w:rsid w:val="00A85CD9"/>
    <w:rsid w:val="00A85D0F"/>
    <w:rsid w:val="00A85D32"/>
    <w:rsid w:val="00A85E46"/>
    <w:rsid w:val="00A85E87"/>
    <w:rsid w:val="00A85EA3"/>
    <w:rsid w:val="00A85FFB"/>
    <w:rsid w:val="00A8601F"/>
    <w:rsid w:val="00A86044"/>
    <w:rsid w:val="00A860A8"/>
    <w:rsid w:val="00A860F9"/>
    <w:rsid w:val="00A86181"/>
    <w:rsid w:val="00A861E3"/>
    <w:rsid w:val="00A86421"/>
    <w:rsid w:val="00A86496"/>
    <w:rsid w:val="00A8650B"/>
    <w:rsid w:val="00A86521"/>
    <w:rsid w:val="00A86561"/>
    <w:rsid w:val="00A865C0"/>
    <w:rsid w:val="00A866C5"/>
    <w:rsid w:val="00A8674F"/>
    <w:rsid w:val="00A86832"/>
    <w:rsid w:val="00A86833"/>
    <w:rsid w:val="00A86856"/>
    <w:rsid w:val="00A869CB"/>
    <w:rsid w:val="00A869DD"/>
    <w:rsid w:val="00A869ED"/>
    <w:rsid w:val="00A869F0"/>
    <w:rsid w:val="00A86AD3"/>
    <w:rsid w:val="00A86B47"/>
    <w:rsid w:val="00A86C64"/>
    <w:rsid w:val="00A86CAE"/>
    <w:rsid w:val="00A86D22"/>
    <w:rsid w:val="00A86D91"/>
    <w:rsid w:val="00A86E40"/>
    <w:rsid w:val="00A86F47"/>
    <w:rsid w:val="00A86F58"/>
    <w:rsid w:val="00A86FC6"/>
    <w:rsid w:val="00A86FD1"/>
    <w:rsid w:val="00A870B3"/>
    <w:rsid w:val="00A87148"/>
    <w:rsid w:val="00A872E3"/>
    <w:rsid w:val="00A873C2"/>
    <w:rsid w:val="00A87458"/>
    <w:rsid w:val="00A87654"/>
    <w:rsid w:val="00A87667"/>
    <w:rsid w:val="00A8771C"/>
    <w:rsid w:val="00A8778E"/>
    <w:rsid w:val="00A878EA"/>
    <w:rsid w:val="00A878FE"/>
    <w:rsid w:val="00A87982"/>
    <w:rsid w:val="00A87B14"/>
    <w:rsid w:val="00A87C67"/>
    <w:rsid w:val="00A87CB2"/>
    <w:rsid w:val="00A87CD3"/>
    <w:rsid w:val="00A87CF4"/>
    <w:rsid w:val="00A87D18"/>
    <w:rsid w:val="00A87DDC"/>
    <w:rsid w:val="00A87DF3"/>
    <w:rsid w:val="00A87E45"/>
    <w:rsid w:val="00A87E88"/>
    <w:rsid w:val="00A87EA4"/>
    <w:rsid w:val="00A87FB5"/>
    <w:rsid w:val="00A87FE4"/>
    <w:rsid w:val="00A87FEC"/>
    <w:rsid w:val="00A9018C"/>
    <w:rsid w:val="00A90195"/>
    <w:rsid w:val="00A90197"/>
    <w:rsid w:val="00A901C4"/>
    <w:rsid w:val="00A9023D"/>
    <w:rsid w:val="00A902DE"/>
    <w:rsid w:val="00A90378"/>
    <w:rsid w:val="00A90487"/>
    <w:rsid w:val="00A90670"/>
    <w:rsid w:val="00A90710"/>
    <w:rsid w:val="00A90787"/>
    <w:rsid w:val="00A907FA"/>
    <w:rsid w:val="00A90805"/>
    <w:rsid w:val="00A9084F"/>
    <w:rsid w:val="00A908C5"/>
    <w:rsid w:val="00A90947"/>
    <w:rsid w:val="00A90A3B"/>
    <w:rsid w:val="00A90AA1"/>
    <w:rsid w:val="00A90BCC"/>
    <w:rsid w:val="00A90BEE"/>
    <w:rsid w:val="00A90C50"/>
    <w:rsid w:val="00A90CC4"/>
    <w:rsid w:val="00A90D51"/>
    <w:rsid w:val="00A90E4D"/>
    <w:rsid w:val="00A90E90"/>
    <w:rsid w:val="00A90ECA"/>
    <w:rsid w:val="00A90FB6"/>
    <w:rsid w:val="00A90FEB"/>
    <w:rsid w:val="00A9109F"/>
    <w:rsid w:val="00A9110D"/>
    <w:rsid w:val="00A911D4"/>
    <w:rsid w:val="00A911F4"/>
    <w:rsid w:val="00A91248"/>
    <w:rsid w:val="00A91309"/>
    <w:rsid w:val="00A9133B"/>
    <w:rsid w:val="00A9136E"/>
    <w:rsid w:val="00A9146C"/>
    <w:rsid w:val="00A91478"/>
    <w:rsid w:val="00A914FF"/>
    <w:rsid w:val="00A9157E"/>
    <w:rsid w:val="00A915B2"/>
    <w:rsid w:val="00A915D0"/>
    <w:rsid w:val="00A915EF"/>
    <w:rsid w:val="00A91620"/>
    <w:rsid w:val="00A9172E"/>
    <w:rsid w:val="00A9175E"/>
    <w:rsid w:val="00A917CD"/>
    <w:rsid w:val="00A91840"/>
    <w:rsid w:val="00A918FC"/>
    <w:rsid w:val="00A9198F"/>
    <w:rsid w:val="00A91995"/>
    <w:rsid w:val="00A91A08"/>
    <w:rsid w:val="00A91A3E"/>
    <w:rsid w:val="00A91A8C"/>
    <w:rsid w:val="00A91B4F"/>
    <w:rsid w:val="00A91B6E"/>
    <w:rsid w:val="00A91C15"/>
    <w:rsid w:val="00A91FD0"/>
    <w:rsid w:val="00A91FD5"/>
    <w:rsid w:val="00A91FF2"/>
    <w:rsid w:val="00A9208B"/>
    <w:rsid w:val="00A92171"/>
    <w:rsid w:val="00A921DA"/>
    <w:rsid w:val="00A92257"/>
    <w:rsid w:val="00A9231A"/>
    <w:rsid w:val="00A92443"/>
    <w:rsid w:val="00A92475"/>
    <w:rsid w:val="00A924D5"/>
    <w:rsid w:val="00A924DC"/>
    <w:rsid w:val="00A9257F"/>
    <w:rsid w:val="00A9269B"/>
    <w:rsid w:val="00A927AA"/>
    <w:rsid w:val="00A927C7"/>
    <w:rsid w:val="00A927E6"/>
    <w:rsid w:val="00A92820"/>
    <w:rsid w:val="00A928C1"/>
    <w:rsid w:val="00A92978"/>
    <w:rsid w:val="00A92B1C"/>
    <w:rsid w:val="00A92B8B"/>
    <w:rsid w:val="00A92BB0"/>
    <w:rsid w:val="00A92C96"/>
    <w:rsid w:val="00A92CD8"/>
    <w:rsid w:val="00A92E3B"/>
    <w:rsid w:val="00A92E4F"/>
    <w:rsid w:val="00A92E9F"/>
    <w:rsid w:val="00A92F33"/>
    <w:rsid w:val="00A92F5F"/>
    <w:rsid w:val="00A93070"/>
    <w:rsid w:val="00A93174"/>
    <w:rsid w:val="00A93252"/>
    <w:rsid w:val="00A93263"/>
    <w:rsid w:val="00A93363"/>
    <w:rsid w:val="00A9339A"/>
    <w:rsid w:val="00A933C8"/>
    <w:rsid w:val="00A933D4"/>
    <w:rsid w:val="00A93401"/>
    <w:rsid w:val="00A9342C"/>
    <w:rsid w:val="00A934C6"/>
    <w:rsid w:val="00A934C7"/>
    <w:rsid w:val="00A934CC"/>
    <w:rsid w:val="00A934FF"/>
    <w:rsid w:val="00A93543"/>
    <w:rsid w:val="00A935B3"/>
    <w:rsid w:val="00A9364C"/>
    <w:rsid w:val="00A936F0"/>
    <w:rsid w:val="00A93730"/>
    <w:rsid w:val="00A938DF"/>
    <w:rsid w:val="00A9393A"/>
    <w:rsid w:val="00A93BA4"/>
    <w:rsid w:val="00A93C24"/>
    <w:rsid w:val="00A93C2F"/>
    <w:rsid w:val="00A93E70"/>
    <w:rsid w:val="00A93EDA"/>
    <w:rsid w:val="00A93F5A"/>
    <w:rsid w:val="00A94085"/>
    <w:rsid w:val="00A9416A"/>
    <w:rsid w:val="00A94188"/>
    <w:rsid w:val="00A941C3"/>
    <w:rsid w:val="00A941C7"/>
    <w:rsid w:val="00A941E9"/>
    <w:rsid w:val="00A94225"/>
    <w:rsid w:val="00A94262"/>
    <w:rsid w:val="00A942C0"/>
    <w:rsid w:val="00A94348"/>
    <w:rsid w:val="00A943D8"/>
    <w:rsid w:val="00A944C9"/>
    <w:rsid w:val="00A94523"/>
    <w:rsid w:val="00A9453D"/>
    <w:rsid w:val="00A945C3"/>
    <w:rsid w:val="00A94614"/>
    <w:rsid w:val="00A94640"/>
    <w:rsid w:val="00A9479A"/>
    <w:rsid w:val="00A947C9"/>
    <w:rsid w:val="00A9481C"/>
    <w:rsid w:val="00A948AB"/>
    <w:rsid w:val="00A949E9"/>
    <w:rsid w:val="00A949FB"/>
    <w:rsid w:val="00A94B75"/>
    <w:rsid w:val="00A94BFB"/>
    <w:rsid w:val="00A94C10"/>
    <w:rsid w:val="00A94C95"/>
    <w:rsid w:val="00A94CC8"/>
    <w:rsid w:val="00A94D7E"/>
    <w:rsid w:val="00A95140"/>
    <w:rsid w:val="00A9518C"/>
    <w:rsid w:val="00A95457"/>
    <w:rsid w:val="00A9547A"/>
    <w:rsid w:val="00A954FE"/>
    <w:rsid w:val="00A955F9"/>
    <w:rsid w:val="00A956CF"/>
    <w:rsid w:val="00A95739"/>
    <w:rsid w:val="00A957FF"/>
    <w:rsid w:val="00A95824"/>
    <w:rsid w:val="00A9582A"/>
    <w:rsid w:val="00A958C3"/>
    <w:rsid w:val="00A958DC"/>
    <w:rsid w:val="00A95D32"/>
    <w:rsid w:val="00A95DB1"/>
    <w:rsid w:val="00A95DF6"/>
    <w:rsid w:val="00A95E2F"/>
    <w:rsid w:val="00A95E7A"/>
    <w:rsid w:val="00A95EFA"/>
    <w:rsid w:val="00A95EFE"/>
    <w:rsid w:val="00A960D1"/>
    <w:rsid w:val="00A96175"/>
    <w:rsid w:val="00A9621D"/>
    <w:rsid w:val="00A9623C"/>
    <w:rsid w:val="00A96258"/>
    <w:rsid w:val="00A96306"/>
    <w:rsid w:val="00A96316"/>
    <w:rsid w:val="00A96406"/>
    <w:rsid w:val="00A9645D"/>
    <w:rsid w:val="00A9654C"/>
    <w:rsid w:val="00A96648"/>
    <w:rsid w:val="00A9673B"/>
    <w:rsid w:val="00A96791"/>
    <w:rsid w:val="00A967AC"/>
    <w:rsid w:val="00A967D9"/>
    <w:rsid w:val="00A968DE"/>
    <w:rsid w:val="00A969AD"/>
    <w:rsid w:val="00A969BE"/>
    <w:rsid w:val="00A969C0"/>
    <w:rsid w:val="00A96AD2"/>
    <w:rsid w:val="00A96B4A"/>
    <w:rsid w:val="00A96C13"/>
    <w:rsid w:val="00A96D85"/>
    <w:rsid w:val="00A96E10"/>
    <w:rsid w:val="00A96ED8"/>
    <w:rsid w:val="00A96F8D"/>
    <w:rsid w:val="00A970BE"/>
    <w:rsid w:val="00A9713A"/>
    <w:rsid w:val="00A97160"/>
    <w:rsid w:val="00A971D1"/>
    <w:rsid w:val="00A97205"/>
    <w:rsid w:val="00A9720C"/>
    <w:rsid w:val="00A97221"/>
    <w:rsid w:val="00A97223"/>
    <w:rsid w:val="00A972D4"/>
    <w:rsid w:val="00A9765E"/>
    <w:rsid w:val="00A9779C"/>
    <w:rsid w:val="00A97859"/>
    <w:rsid w:val="00A978E9"/>
    <w:rsid w:val="00A97A1F"/>
    <w:rsid w:val="00A97B2A"/>
    <w:rsid w:val="00A97B63"/>
    <w:rsid w:val="00A97C86"/>
    <w:rsid w:val="00A97CC2"/>
    <w:rsid w:val="00A97D79"/>
    <w:rsid w:val="00A97E8D"/>
    <w:rsid w:val="00A97E9D"/>
    <w:rsid w:val="00AA006E"/>
    <w:rsid w:val="00AA007C"/>
    <w:rsid w:val="00AA0117"/>
    <w:rsid w:val="00AA0168"/>
    <w:rsid w:val="00AA01BD"/>
    <w:rsid w:val="00AA01D4"/>
    <w:rsid w:val="00AA01D7"/>
    <w:rsid w:val="00AA0232"/>
    <w:rsid w:val="00AA047A"/>
    <w:rsid w:val="00AA05ED"/>
    <w:rsid w:val="00AA07DE"/>
    <w:rsid w:val="00AA07E9"/>
    <w:rsid w:val="00AA080A"/>
    <w:rsid w:val="00AA097D"/>
    <w:rsid w:val="00AA0999"/>
    <w:rsid w:val="00AA09F9"/>
    <w:rsid w:val="00AA09FC"/>
    <w:rsid w:val="00AA0A1F"/>
    <w:rsid w:val="00AA0A25"/>
    <w:rsid w:val="00AA0A99"/>
    <w:rsid w:val="00AA0AFB"/>
    <w:rsid w:val="00AA0BB8"/>
    <w:rsid w:val="00AA0BD7"/>
    <w:rsid w:val="00AA0CE3"/>
    <w:rsid w:val="00AA0D20"/>
    <w:rsid w:val="00AA0D51"/>
    <w:rsid w:val="00AA0DCB"/>
    <w:rsid w:val="00AA0E5A"/>
    <w:rsid w:val="00AA0F18"/>
    <w:rsid w:val="00AA0FFC"/>
    <w:rsid w:val="00AA1155"/>
    <w:rsid w:val="00AA11F2"/>
    <w:rsid w:val="00AA1224"/>
    <w:rsid w:val="00AA1264"/>
    <w:rsid w:val="00AA13BE"/>
    <w:rsid w:val="00AA13DA"/>
    <w:rsid w:val="00AA13E6"/>
    <w:rsid w:val="00AA1462"/>
    <w:rsid w:val="00AA14C2"/>
    <w:rsid w:val="00AA14CA"/>
    <w:rsid w:val="00AA1500"/>
    <w:rsid w:val="00AA1551"/>
    <w:rsid w:val="00AA169E"/>
    <w:rsid w:val="00AA17B6"/>
    <w:rsid w:val="00AA18BF"/>
    <w:rsid w:val="00AA18CA"/>
    <w:rsid w:val="00AA1A3B"/>
    <w:rsid w:val="00AA1B1C"/>
    <w:rsid w:val="00AA1B84"/>
    <w:rsid w:val="00AA1C77"/>
    <w:rsid w:val="00AA1C90"/>
    <w:rsid w:val="00AA1CB0"/>
    <w:rsid w:val="00AA1E19"/>
    <w:rsid w:val="00AA1E2B"/>
    <w:rsid w:val="00AA1F02"/>
    <w:rsid w:val="00AA200C"/>
    <w:rsid w:val="00AA2061"/>
    <w:rsid w:val="00AA20BD"/>
    <w:rsid w:val="00AA210C"/>
    <w:rsid w:val="00AA2173"/>
    <w:rsid w:val="00AA21A9"/>
    <w:rsid w:val="00AA23D0"/>
    <w:rsid w:val="00AA2405"/>
    <w:rsid w:val="00AA24B7"/>
    <w:rsid w:val="00AA24D3"/>
    <w:rsid w:val="00AA25F5"/>
    <w:rsid w:val="00AA25FA"/>
    <w:rsid w:val="00AA265D"/>
    <w:rsid w:val="00AA2662"/>
    <w:rsid w:val="00AA26CC"/>
    <w:rsid w:val="00AA26E2"/>
    <w:rsid w:val="00AA2774"/>
    <w:rsid w:val="00AA2872"/>
    <w:rsid w:val="00AA289B"/>
    <w:rsid w:val="00AA2950"/>
    <w:rsid w:val="00AA29CF"/>
    <w:rsid w:val="00AA2AF2"/>
    <w:rsid w:val="00AA2C25"/>
    <w:rsid w:val="00AA2EE8"/>
    <w:rsid w:val="00AA2FDD"/>
    <w:rsid w:val="00AA314D"/>
    <w:rsid w:val="00AA32AD"/>
    <w:rsid w:val="00AA353E"/>
    <w:rsid w:val="00AA3839"/>
    <w:rsid w:val="00AA38C7"/>
    <w:rsid w:val="00AA3A4C"/>
    <w:rsid w:val="00AA3A99"/>
    <w:rsid w:val="00AA3AEA"/>
    <w:rsid w:val="00AA3BB9"/>
    <w:rsid w:val="00AA3CAD"/>
    <w:rsid w:val="00AA3D8B"/>
    <w:rsid w:val="00AA3D9D"/>
    <w:rsid w:val="00AA3DB0"/>
    <w:rsid w:val="00AA3E0A"/>
    <w:rsid w:val="00AA3EA6"/>
    <w:rsid w:val="00AA3EEB"/>
    <w:rsid w:val="00AA3EED"/>
    <w:rsid w:val="00AA3F9D"/>
    <w:rsid w:val="00AA402A"/>
    <w:rsid w:val="00AA4082"/>
    <w:rsid w:val="00AA411C"/>
    <w:rsid w:val="00AA412D"/>
    <w:rsid w:val="00AA412E"/>
    <w:rsid w:val="00AA4146"/>
    <w:rsid w:val="00AA432C"/>
    <w:rsid w:val="00AA443B"/>
    <w:rsid w:val="00AA4469"/>
    <w:rsid w:val="00AA44AC"/>
    <w:rsid w:val="00AA44C6"/>
    <w:rsid w:val="00AA44F6"/>
    <w:rsid w:val="00AA4635"/>
    <w:rsid w:val="00AA4669"/>
    <w:rsid w:val="00AA4740"/>
    <w:rsid w:val="00AA4754"/>
    <w:rsid w:val="00AA48F3"/>
    <w:rsid w:val="00AA490D"/>
    <w:rsid w:val="00AA495C"/>
    <w:rsid w:val="00AA499C"/>
    <w:rsid w:val="00AA49ED"/>
    <w:rsid w:val="00AA4D5C"/>
    <w:rsid w:val="00AA4D82"/>
    <w:rsid w:val="00AA4E13"/>
    <w:rsid w:val="00AA4F2B"/>
    <w:rsid w:val="00AA4FF1"/>
    <w:rsid w:val="00AA4FF8"/>
    <w:rsid w:val="00AA5051"/>
    <w:rsid w:val="00AA507D"/>
    <w:rsid w:val="00AA510C"/>
    <w:rsid w:val="00AA517D"/>
    <w:rsid w:val="00AA52F3"/>
    <w:rsid w:val="00AA54F8"/>
    <w:rsid w:val="00AA55DF"/>
    <w:rsid w:val="00AA5644"/>
    <w:rsid w:val="00AA5712"/>
    <w:rsid w:val="00AA5795"/>
    <w:rsid w:val="00AA57E9"/>
    <w:rsid w:val="00AA58B2"/>
    <w:rsid w:val="00AA5970"/>
    <w:rsid w:val="00AA5AAA"/>
    <w:rsid w:val="00AA5B7F"/>
    <w:rsid w:val="00AA5C95"/>
    <w:rsid w:val="00AA5CB6"/>
    <w:rsid w:val="00AA5D2A"/>
    <w:rsid w:val="00AA5D3A"/>
    <w:rsid w:val="00AA5D86"/>
    <w:rsid w:val="00AA5E00"/>
    <w:rsid w:val="00AA5E59"/>
    <w:rsid w:val="00AA5ECC"/>
    <w:rsid w:val="00AA5F84"/>
    <w:rsid w:val="00AA5F9B"/>
    <w:rsid w:val="00AA5FE1"/>
    <w:rsid w:val="00AA6058"/>
    <w:rsid w:val="00AA6071"/>
    <w:rsid w:val="00AA6090"/>
    <w:rsid w:val="00AA61C1"/>
    <w:rsid w:val="00AA61C4"/>
    <w:rsid w:val="00AA6223"/>
    <w:rsid w:val="00AA627B"/>
    <w:rsid w:val="00AA6503"/>
    <w:rsid w:val="00AA654F"/>
    <w:rsid w:val="00AA658F"/>
    <w:rsid w:val="00AA65B6"/>
    <w:rsid w:val="00AA67C4"/>
    <w:rsid w:val="00AA67EF"/>
    <w:rsid w:val="00AA6829"/>
    <w:rsid w:val="00AA68C4"/>
    <w:rsid w:val="00AA68EA"/>
    <w:rsid w:val="00AA6910"/>
    <w:rsid w:val="00AA69A7"/>
    <w:rsid w:val="00AA69BA"/>
    <w:rsid w:val="00AA6A01"/>
    <w:rsid w:val="00AA6A22"/>
    <w:rsid w:val="00AA6B09"/>
    <w:rsid w:val="00AA6B1F"/>
    <w:rsid w:val="00AA6BDE"/>
    <w:rsid w:val="00AA6CFE"/>
    <w:rsid w:val="00AA6D88"/>
    <w:rsid w:val="00AA6E01"/>
    <w:rsid w:val="00AA6E74"/>
    <w:rsid w:val="00AA6E9A"/>
    <w:rsid w:val="00AA6F38"/>
    <w:rsid w:val="00AA6F4B"/>
    <w:rsid w:val="00AA7046"/>
    <w:rsid w:val="00AA71BD"/>
    <w:rsid w:val="00AA7222"/>
    <w:rsid w:val="00AA72D5"/>
    <w:rsid w:val="00AA73A6"/>
    <w:rsid w:val="00AA73E7"/>
    <w:rsid w:val="00AA7461"/>
    <w:rsid w:val="00AA7499"/>
    <w:rsid w:val="00AA75D7"/>
    <w:rsid w:val="00AA7682"/>
    <w:rsid w:val="00AA76B0"/>
    <w:rsid w:val="00AA77A9"/>
    <w:rsid w:val="00AA78A1"/>
    <w:rsid w:val="00AA7981"/>
    <w:rsid w:val="00AA79CF"/>
    <w:rsid w:val="00AA7B0A"/>
    <w:rsid w:val="00AA7B50"/>
    <w:rsid w:val="00AA7B61"/>
    <w:rsid w:val="00AA7B80"/>
    <w:rsid w:val="00AA7C57"/>
    <w:rsid w:val="00AA7D1C"/>
    <w:rsid w:val="00AA7D61"/>
    <w:rsid w:val="00AA7D66"/>
    <w:rsid w:val="00AA7EC7"/>
    <w:rsid w:val="00AA7F96"/>
    <w:rsid w:val="00AA7FB0"/>
    <w:rsid w:val="00AA7FC2"/>
    <w:rsid w:val="00AA7FD0"/>
    <w:rsid w:val="00AB0037"/>
    <w:rsid w:val="00AB0048"/>
    <w:rsid w:val="00AB00AF"/>
    <w:rsid w:val="00AB0267"/>
    <w:rsid w:val="00AB028B"/>
    <w:rsid w:val="00AB03FE"/>
    <w:rsid w:val="00AB0443"/>
    <w:rsid w:val="00AB045C"/>
    <w:rsid w:val="00AB0463"/>
    <w:rsid w:val="00AB05AD"/>
    <w:rsid w:val="00AB05FE"/>
    <w:rsid w:val="00AB0657"/>
    <w:rsid w:val="00AB069E"/>
    <w:rsid w:val="00AB0711"/>
    <w:rsid w:val="00AB0841"/>
    <w:rsid w:val="00AB09B8"/>
    <w:rsid w:val="00AB0A34"/>
    <w:rsid w:val="00AB0B1A"/>
    <w:rsid w:val="00AB0BF7"/>
    <w:rsid w:val="00AB0C26"/>
    <w:rsid w:val="00AB0C7E"/>
    <w:rsid w:val="00AB0CB6"/>
    <w:rsid w:val="00AB0D9A"/>
    <w:rsid w:val="00AB0DF1"/>
    <w:rsid w:val="00AB0E41"/>
    <w:rsid w:val="00AB0E89"/>
    <w:rsid w:val="00AB0ED0"/>
    <w:rsid w:val="00AB0F29"/>
    <w:rsid w:val="00AB0F41"/>
    <w:rsid w:val="00AB1003"/>
    <w:rsid w:val="00AB107B"/>
    <w:rsid w:val="00AB10A4"/>
    <w:rsid w:val="00AB10DF"/>
    <w:rsid w:val="00AB12A4"/>
    <w:rsid w:val="00AB12B2"/>
    <w:rsid w:val="00AB12CD"/>
    <w:rsid w:val="00AB142D"/>
    <w:rsid w:val="00AB149D"/>
    <w:rsid w:val="00AB153F"/>
    <w:rsid w:val="00AB1610"/>
    <w:rsid w:val="00AB1656"/>
    <w:rsid w:val="00AB1695"/>
    <w:rsid w:val="00AB177B"/>
    <w:rsid w:val="00AB1780"/>
    <w:rsid w:val="00AB1842"/>
    <w:rsid w:val="00AB185A"/>
    <w:rsid w:val="00AB18EE"/>
    <w:rsid w:val="00AB1955"/>
    <w:rsid w:val="00AB19D7"/>
    <w:rsid w:val="00AB19DC"/>
    <w:rsid w:val="00AB1A1C"/>
    <w:rsid w:val="00AB1A89"/>
    <w:rsid w:val="00AB1B88"/>
    <w:rsid w:val="00AB1BA7"/>
    <w:rsid w:val="00AB1BD9"/>
    <w:rsid w:val="00AB1BEE"/>
    <w:rsid w:val="00AB1C70"/>
    <w:rsid w:val="00AB1D98"/>
    <w:rsid w:val="00AB1EC2"/>
    <w:rsid w:val="00AB1F4B"/>
    <w:rsid w:val="00AB2106"/>
    <w:rsid w:val="00AB2259"/>
    <w:rsid w:val="00AB23F7"/>
    <w:rsid w:val="00AB243C"/>
    <w:rsid w:val="00AB246F"/>
    <w:rsid w:val="00AB2589"/>
    <w:rsid w:val="00AB2598"/>
    <w:rsid w:val="00AB2606"/>
    <w:rsid w:val="00AB2711"/>
    <w:rsid w:val="00AB278C"/>
    <w:rsid w:val="00AB27F4"/>
    <w:rsid w:val="00AB282B"/>
    <w:rsid w:val="00AB2891"/>
    <w:rsid w:val="00AB28C1"/>
    <w:rsid w:val="00AB28E3"/>
    <w:rsid w:val="00AB2983"/>
    <w:rsid w:val="00AB2984"/>
    <w:rsid w:val="00AB29E5"/>
    <w:rsid w:val="00AB2C42"/>
    <w:rsid w:val="00AB2C91"/>
    <w:rsid w:val="00AB2DA4"/>
    <w:rsid w:val="00AB2E13"/>
    <w:rsid w:val="00AB2E1D"/>
    <w:rsid w:val="00AB2EB0"/>
    <w:rsid w:val="00AB2EE3"/>
    <w:rsid w:val="00AB2FB4"/>
    <w:rsid w:val="00AB2FFE"/>
    <w:rsid w:val="00AB3014"/>
    <w:rsid w:val="00AB30B8"/>
    <w:rsid w:val="00AB30C3"/>
    <w:rsid w:val="00AB3193"/>
    <w:rsid w:val="00AB320F"/>
    <w:rsid w:val="00AB326E"/>
    <w:rsid w:val="00AB3296"/>
    <w:rsid w:val="00AB32D8"/>
    <w:rsid w:val="00AB33AC"/>
    <w:rsid w:val="00AB342B"/>
    <w:rsid w:val="00AB34F5"/>
    <w:rsid w:val="00AB360D"/>
    <w:rsid w:val="00AB361C"/>
    <w:rsid w:val="00AB3673"/>
    <w:rsid w:val="00AB3676"/>
    <w:rsid w:val="00AB3903"/>
    <w:rsid w:val="00AB3956"/>
    <w:rsid w:val="00AB3967"/>
    <w:rsid w:val="00AB39A2"/>
    <w:rsid w:val="00AB3A70"/>
    <w:rsid w:val="00AB3B68"/>
    <w:rsid w:val="00AB3B86"/>
    <w:rsid w:val="00AB3C20"/>
    <w:rsid w:val="00AB3D7F"/>
    <w:rsid w:val="00AB3DC8"/>
    <w:rsid w:val="00AB3E23"/>
    <w:rsid w:val="00AB3FE8"/>
    <w:rsid w:val="00AB403F"/>
    <w:rsid w:val="00AB4062"/>
    <w:rsid w:val="00AB418D"/>
    <w:rsid w:val="00AB427B"/>
    <w:rsid w:val="00AB42D9"/>
    <w:rsid w:val="00AB4318"/>
    <w:rsid w:val="00AB4360"/>
    <w:rsid w:val="00AB43E1"/>
    <w:rsid w:val="00AB43FC"/>
    <w:rsid w:val="00AB45F9"/>
    <w:rsid w:val="00AB46F7"/>
    <w:rsid w:val="00AB4799"/>
    <w:rsid w:val="00AB47C7"/>
    <w:rsid w:val="00AB4838"/>
    <w:rsid w:val="00AB4886"/>
    <w:rsid w:val="00AB48B4"/>
    <w:rsid w:val="00AB4A31"/>
    <w:rsid w:val="00AB4AB4"/>
    <w:rsid w:val="00AB4BED"/>
    <w:rsid w:val="00AB4D07"/>
    <w:rsid w:val="00AB4D84"/>
    <w:rsid w:val="00AB4DB4"/>
    <w:rsid w:val="00AB4E5D"/>
    <w:rsid w:val="00AB4EFF"/>
    <w:rsid w:val="00AB4FCE"/>
    <w:rsid w:val="00AB506C"/>
    <w:rsid w:val="00AB50E3"/>
    <w:rsid w:val="00AB52D5"/>
    <w:rsid w:val="00AB53D2"/>
    <w:rsid w:val="00AB552E"/>
    <w:rsid w:val="00AB5569"/>
    <w:rsid w:val="00AB559C"/>
    <w:rsid w:val="00AB56A3"/>
    <w:rsid w:val="00AB5722"/>
    <w:rsid w:val="00AB5895"/>
    <w:rsid w:val="00AB58D7"/>
    <w:rsid w:val="00AB5930"/>
    <w:rsid w:val="00AB5AF9"/>
    <w:rsid w:val="00AB5B46"/>
    <w:rsid w:val="00AB5C9D"/>
    <w:rsid w:val="00AB5F98"/>
    <w:rsid w:val="00AB5FE4"/>
    <w:rsid w:val="00AB5FFD"/>
    <w:rsid w:val="00AB603C"/>
    <w:rsid w:val="00AB617C"/>
    <w:rsid w:val="00AB6226"/>
    <w:rsid w:val="00AB6249"/>
    <w:rsid w:val="00AB629F"/>
    <w:rsid w:val="00AB62C2"/>
    <w:rsid w:val="00AB6366"/>
    <w:rsid w:val="00AB63A2"/>
    <w:rsid w:val="00AB6436"/>
    <w:rsid w:val="00AB64C2"/>
    <w:rsid w:val="00AB6571"/>
    <w:rsid w:val="00AB6596"/>
    <w:rsid w:val="00AB6689"/>
    <w:rsid w:val="00AB66D9"/>
    <w:rsid w:val="00AB677E"/>
    <w:rsid w:val="00AB67A6"/>
    <w:rsid w:val="00AB67D4"/>
    <w:rsid w:val="00AB6829"/>
    <w:rsid w:val="00AB692C"/>
    <w:rsid w:val="00AB6A0E"/>
    <w:rsid w:val="00AB6B16"/>
    <w:rsid w:val="00AB6B62"/>
    <w:rsid w:val="00AB6CA5"/>
    <w:rsid w:val="00AB6D01"/>
    <w:rsid w:val="00AB6D63"/>
    <w:rsid w:val="00AB6DF6"/>
    <w:rsid w:val="00AB6FC5"/>
    <w:rsid w:val="00AB70AF"/>
    <w:rsid w:val="00AB731F"/>
    <w:rsid w:val="00AB734F"/>
    <w:rsid w:val="00AB73AE"/>
    <w:rsid w:val="00AB73EE"/>
    <w:rsid w:val="00AB742D"/>
    <w:rsid w:val="00AB743E"/>
    <w:rsid w:val="00AB74DB"/>
    <w:rsid w:val="00AB7574"/>
    <w:rsid w:val="00AB7705"/>
    <w:rsid w:val="00AB77C0"/>
    <w:rsid w:val="00AB78EA"/>
    <w:rsid w:val="00AB7AC5"/>
    <w:rsid w:val="00AB7AD9"/>
    <w:rsid w:val="00AB7C75"/>
    <w:rsid w:val="00AB7CFA"/>
    <w:rsid w:val="00AB7E44"/>
    <w:rsid w:val="00AB7FAF"/>
    <w:rsid w:val="00AB7FDD"/>
    <w:rsid w:val="00AC0060"/>
    <w:rsid w:val="00AC0072"/>
    <w:rsid w:val="00AC0088"/>
    <w:rsid w:val="00AC008D"/>
    <w:rsid w:val="00AC00D1"/>
    <w:rsid w:val="00AC01ED"/>
    <w:rsid w:val="00AC01F8"/>
    <w:rsid w:val="00AC022C"/>
    <w:rsid w:val="00AC02B9"/>
    <w:rsid w:val="00AC0387"/>
    <w:rsid w:val="00AC0407"/>
    <w:rsid w:val="00AC0568"/>
    <w:rsid w:val="00AC05E5"/>
    <w:rsid w:val="00AC0616"/>
    <w:rsid w:val="00AC066F"/>
    <w:rsid w:val="00AC06FE"/>
    <w:rsid w:val="00AC0727"/>
    <w:rsid w:val="00AC075D"/>
    <w:rsid w:val="00AC079B"/>
    <w:rsid w:val="00AC086E"/>
    <w:rsid w:val="00AC090E"/>
    <w:rsid w:val="00AC09B2"/>
    <w:rsid w:val="00AC09C3"/>
    <w:rsid w:val="00AC0A21"/>
    <w:rsid w:val="00AC0A42"/>
    <w:rsid w:val="00AC0AB1"/>
    <w:rsid w:val="00AC0B99"/>
    <w:rsid w:val="00AC0BC7"/>
    <w:rsid w:val="00AC0C2A"/>
    <w:rsid w:val="00AC0D21"/>
    <w:rsid w:val="00AC0F19"/>
    <w:rsid w:val="00AC0FDC"/>
    <w:rsid w:val="00AC1039"/>
    <w:rsid w:val="00AC1235"/>
    <w:rsid w:val="00AC1351"/>
    <w:rsid w:val="00AC13D4"/>
    <w:rsid w:val="00AC13E8"/>
    <w:rsid w:val="00AC1443"/>
    <w:rsid w:val="00AC1476"/>
    <w:rsid w:val="00AC1481"/>
    <w:rsid w:val="00AC14B8"/>
    <w:rsid w:val="00AC14CB"/>
    <w:rsid w:val="00AC14CF"/>
    <w:rsid w:val="00AC14E1"/>
    <w:rsid w:val="00AC151C"/>
    <w:rsid w:val="00AC153A"/>
    <w:rsid w:val="00AC1699"/>
    <w:rsid w:val="00AC1751"/>
    <w:rsid w:val="00AC183B"/>
    <w:rsid w:val="00AC184C"/>
    <w:rsid w:val="00AC1882"/>
    <w:rsid w:val="00AC1970"/>
    <w:rsid w:val="00AC19A8"/>
    <w:rsid w:val="00AC19DC"/>
    <w:rsid w:val="00AC19E2"/>
    <w:rsid w:val="00AC1A93"/>
    <w:rsid w:val="00AC1B02"/>
    <w:rsid w:val="00AC1BDE"/>
    <w:rsid w:val="00AC1C96"/>
    <w:rsid w:val="00AC1CB0"/>
    <w:rsid w:val="00AC1D69"/>
    <w:rsid w:val="00AC1D86"/>
    <w:rsid w:val="00AC1DE1"/>
    <w:rsid w:val="00AC1E72"/>
    <w:rsid w:val="00AC1EC1"/>
    <w:rsid w:val="00AC1EF8"/>
    <w:rsid w:val="00AC1F59"/>
    <w:rsid w:val="00AC1FC7"/>
    <w:rsid w:val="00AC202D"/>
    <w:rsid w:val="00AC209B"/>
    <w:rsid w:val="00AC2244"/>
    <w:rsid w:val="00AC239E"/>
    <w:rsid w:val="00AC24B3"/>
    <w:rsid w:val="00AC24E7"/>
    <w:rsid w:val="00AC24EF"/>
    <w:rsid w:val="00AC2681"/>
    <w:rsid w:val="00AC26FB"/>
    <w:rsid w:val="00AC27BC"/>
    <w:rsid w:val="00AC28A8"/>
    <w:rsid w:val="00AC29E7"/>
    <w:rsid w:val="00AC2A3F"/>
    <w:rsid w:val="00AC2BAA"/>
    <w:rsid w:val="00AC2C02"/>
    <w:rsid w:val="00AC2C1A"/>
    <w:rsid w:val="00AC2C6D"/>
    <w:rsid w:val="00AC2C83"/>
    <w:rsid w:val="00AC2C9C"/>
    <w:rsid w:val="00AC2DF7"/>
    <w:rsid w:val="00AC2E86"/>
    <w:rsid w:val="00AC2F5F"/>
    <w:rsid w:val="00AC2F79"/>
    <w:rsid w:val="00AC2F8B"/>
    <w:rsid w:val="00AC2FD3"/>
    <w:rsid w:val="00AC312E"/>
    <w:rsid w:val="00AC3196"/>
    <w:rsid w:val="00AC3213"/>
    <w:rsid w:val="00AC331F"/>
    <w:rsid w:val="00AC332B"/>
    <w:rsid w:val="00AC3357"/>
    <w:rsid w:val="00AC34F8"/>
    <w:rsid w:val="00AC3531"/>
    <w:rsid w:val="00AC3706"/>
    <w:rsid w:val="00AC37AD"/>
    <w:rsid w:val="00AC38DE"/>
    <w:rsid w:val="00AC3937"/>
    <w:rsid w:val="00AC3968"/>
    <w:rsid w:val="00AC3993"/>
    <w:rsid w:val="00AC3AF1"/>
    <w:rsid w:val="00AC3C8E"/>
    <w:rsid w:val="00AC3D75"/>
    <w:rsid w:val="00AC3DDD"/>
    <w:rsid w:val="00AC3ED0"/>
    <w:rsid w:val="00AC3F1A"/>
    <w:rsid w:val="00AC4065"/>
    <w:rsid w:val="00AC41DC"/>
    <w:rsid w:val="00AC423B"/>
    <w:rsid w:val="00AC429E"/>
    <w:rsid w:val="00AC4320"/>
    <w:rsid w:val="00AC4402"/>
    <w:rsid w:val="00AC4428"/>
    <w:rsid w:val="00AC4455"/>
    <w:rsid w:val="00AC4466"/>
    <w:rsid w:val="00AC451F"/>
    <w:rsid w:val="00AC453C"/>
    <w:rsid w:val="00AC454A"/>
    <w:rsid w:val="00AC4612"/>
    <w:rsid w:val="00AC4715"/>
    <w:rsid w:val="00AC4AE2"/>
    <w:rsid w:val="00AC4B31"/>
    <w:rsid w:val="00AC4B9A"/>
    <w:rsid w:val="00AC4C0F"/>
    <w:rsid w:val="00AC4C8C"/>
    <w:rsid w:val="00AC4D9E"/>
    <w:rsid w:val="00AC4DBA"/>
    <w:rsid w:val="00AC4DDC"/>
    <w:rsid w:val="00AC4ED0"/>
    <w:rsid w:val="00AC4ED9"/>
    <w:rsid w:val="00AC4F90"/>
    <w:rsid w:val="00AC5184"/>
    <w:rsid w:val="00AC51BA"/>
    <w:rsid w:val="00AC5286"/>
    <w:rsid w:val="00AC529C"/>
    <w:rsid w:val="00AC52A0"/>
    <w:rsid w:val="00AC5312"/>
    <w:rsid w:val="00AC5336"/>
    <w:rsid w:val="00AC5385"/>
    <w:rsid w:val="00AC5411"/>
    <w:rsid w:val="00AC5546"/>
    <w:rsid w:val="00AC5598"/>
    <w:rsid w:val="00AC560B"/>
    <w:rsid w:val="00AC57F4"/>
    <w:rsid w:val="00AC5828"/>
    <w:rsid w:val="00AC58E8"/>
    <w:rsid w:val="00AC5987"/>
    <w:rsid w:val="00AC599F"/>
    <w:rsid w:val="00AC5A53"/>
    <w:rsid w:val="00AC5A57"/>
    <w:rsid w:val="00AC5AC8"/>
    <w:rsid w:val="00AC5BAB"/>
    <w:rsid w:val="00AC5BC8"/>
    <w:rsid w:val="00AC5C7B"/>
    <w:rsid w:val="00AC5CD6"/>
    <w:rsid w:val="00AC5CD9"/>
    <w:rsid w:val="00AC5E0C"/>
    <w:rsid w:val="00AC5E23"/>
    <w:rsid w:val="00AC5EF8"/>
    <w:rsid w:val="00AC5F00"/>
    <w:rsid w:val="00AC5F93"/>
    <w:rsid w:val="00AC5FAB"/>
    <w:rsid w:val="00AC604D"/>
    <w:rsid w:val="00AC60A1"/>
    <w:rsid w:val="00AC62B7"/>
    <w:rsid w:val="00AC6367"/>
    <w:rsid w:val="00AC6418"/>
    <w:rsid w:val="00AC6433"/>
    <w:rsid w:val="00AC6443"/>
    <w:rsid w:val="00AC64DC"/>
    <w:rsid w:val="00AC6500"/>
    <w:rsid w:val="00AC670A"/>
    <w:rsid w:val="00AC673E"/>
    <w:rsid w:val="00AC6780"/>
    <w:rsid w:val="00AC69BA"/>
    <w:rsid w:val="00AC6A31"/>
    <w:rsid w:val="00AC6B46"/>
    <w:rsid w:val="00AC6B88"/>
    <w:rsid w:val="00AC6BE3"/>
    <w:rsid w:val="00AC6C0D"/>
    <w:rsid w:val="00AC6C53"/>
    <w:rsid w:val="00AC6CF8"/>
    <w:rsid w:val="00AC6D6D"/>
    <w:rsid w:val="00AC6DB3"/>
    <w:rsid w:val="00AC6E8D"/>
    <w:rsid w:val="00AC6ED9"/>
    <w:rsid w:val="00AC6EDF"/>
    <w:rsid w:val="00AC6F4C"/>
    <w:rsid w:val="00AC7105"/>
    <w:rsid w:val="00AC726D"/>
    <w:rsid w:val="00AC7382"/>
    <w:rsid w:val="00AC7558"/>
    <w:rsid w:val="00AC755F"/>
    <w:rsid w:val="00AC75E2"/>
    <w:rsid w:val="00AC75E9"/>
    <w:rsid w:val="00AC7644"/>
    <w:rsid w:val="00AC7746"/>
    <w:rsid w:val="00AC77BA"/>
    <w:rsid w:val="00AC788C"/>
    <w:rsid w:val="00AC795E"/>
    <w:rsid w:val="00AC797B"/>
    <w:rsid w:val="00AC79A1"/>
    <w:rsid w:val="00AC7B62"/>
    <w:rsid w:val="00AC7D14"/>
    <w:rsid w:val="00AC7E73"/>
    <w:rsid w:val="00AC7E76"/>
    <w:rsid w:val="00AC7F5E"/>
    <w:rsid w:val="00AC7FB4"/>
    <w:rsid w:val="00AD014D"/>
    <w:rsid w:val="00AD01AD"/>
    <w:rsid w:val="00AD0291"/>
    <w:rsid w:val="00AD0359"/>
    <w:rsid w:val="00AD03FC"/>
    <w:rsid w:val="00AD05C9"/>
    <w:rsid w:val="00AD0669"/>
    <w:rsid w:val="00AD06BF"/>
    <w:rsid w:val="00AD06CF"/>
    <w:rsid w:val="00AD079B"/>
    <w:rsid w:val="00AD07BF"/>
    <w:rsid w:val="00AD080C"/>
    <w:rsid w:val="00AD081F"/>
    <w:rsid w:val="00AD09EC"/>
    <w:rsid w:val="00AD0A2E"/>
    <w:rsid w:val="00AD0BAD"/>
    <w:rsid w:val="00AD0C4C"/>
    <w:rsid w:val="00AD0DBD"/>
    <w:rsid w:val="00AD0E43"/>
    <w:rsid w:val="00AD0E77"/>
    <w:rsid w:val="00AD0EC6"/>
    <w:rsid w:val="00AD0F7F"/>
    <w:rsid w:val="00AD0FA0"/>
    <w:rsid w:val="00AD107F"/>
    <w:rsid w:val="00AD10A6"/>
    <w:rsid w:val="00AD10AB"/>
    <w:rsid w:val="00AD114A"/>
    <w:rsid w:val="00AD114F"/>
    <w:rsid w:val="00AD11A7"/>
    <w:rsid w:val="00AD1281"/>
    <w:rsid w:val="00AD12BC"/>
    <w:rsid w:val="00AD12F0"/>
    <w:rsid w:val="00AD130D"/>
    <w:rsid w:val="00AD132B"/>
    <w:rsid w:val="00AD1426"/>
    <w:rsid w:val="00AD1641"/>
    <w:rsid w:val="00AD16E3"/>
    <w:rsid w:val="00AD171D"/>
    <w:rsid w:val="00AD177D"/>
    <w:rsid w:val="00AD1794"/>
    <w:rsid w:val="00AD189F"/>
    <w:rsid w:val="00AD18B5"/>
    <w:rsid w:val="00AD18C5"/>
    <w:rsid w:val="00AD1924"/>
    <w:rsid w:val="00AD1A03"/>
    <w:rsid w:val="00AD1BB9"/>
    <w:rsid w:val="00AD1BF2"/>
    <w:rsid w:val="00AD1CBC"/>
    <w:rsid w:val="00AD1D90"/>
    <w:rsid w:val="00AD1D9D"/>
    <w:rsid w:val="00AD1E9D"/>
    <w:rsid w:val="00AD1ED7"/>
    <w:rsid w:val="00AD1EFB"/>
    <w:rsid w:val="00AD1FD5"/>
    <w:rsid w:val="00AD218A"/>
    <w:rsid w:val="00AD21CC"/>
    <w:rsid w:val="00AD22B7"/>
    <w:rsid w:val="00AD25D3"/>
    <w:rsid w:val="00AD2637"/>
    <w:rsid w:val="00AD26C7"/>
    <w:rsid w:val="00AD26E5"/>
    <w:rsid w:val="00AD2736"/>
    <w:rsid w:val="00AD27FB"/>
    <w:rsid w:val="00AD28A1"/>
    <w:rsid w:val="00AD298E"/>
    <w:rsid w:val="00AD2999"/>
    <w:rsid w:val="00AD29B2"/>
    <w:rsid w:val="00AD2B2E"/>
    <w:rsid w:val="00AD2D48"/>
    <w:rsid w:val="00AD2E56"/>
    <w:rsid w:val="00AD2EC0"/>
    <w:rsid w:val="00AD2F43"/>
    <w:rsid w:val="00AD2F50"/>
    <w:rsid w:val="00AD2FD1"/>
    <w:rsid w:val="00AD307D"/>
    <w:rsid w:val="00AD3107"/>
    <w:rsid w:val="00AD3302"/>
    <w:rsid w:val="00AD34BF"/>
    <w:rsid w:val="00AD34D1"/>
    <w:rsid w:val="00AD3564"/>
    <w:rsid w:val="00AD35A1"/>
    <w:rsid w:val="00AD3618"/>
    <w:rsid w:val="00AD3723"/>
    <w:rsid w:val="00AD3869"/>
    <w:rsid w:val="00AD39D5"/>
    <w:rsid w:val="00AD3A0F"/>
    <w:rsid w:val="00AD3B2E"/>
    <w:rsid w:val="00AD3CB9"/>
    <w:rsid w:val="00AD3D36"/>
    <w:rsid w:val="00AD3D8E"/>
    <w:rsid w:val="00AD3E4F"/>
    <w:rsid w:val="00AD3E5B"/>
    <w:rsid w:val="00AD3F0D"/>
    <w:rsid w:val="00AD3F0E"/>
    <w:rsid w:val="00AD3F4E"/>
    <w:rsid w:val="00AD3FAB"/>
    <w:rsid w:val="00AD40EC"/>
    <w:rsid w:val="00AD4231"/>
    <w:rsid w:val="00AD4245"/>
    <w:rsid w:val="00AD431F"/>
    <w:rsid w:val="00AD4342"/>
    <w:rsid w:val="00AD4347"/>
    <w:rsid w:val="00AD4371"/>
    <w:rsid w:val="00AD43A9"/>
    <w:rsid w:val="00AD443A"/>
    <w:rsid w:val="00AD4441"/>
    <w:rsid w:val="00AD4457"/>
    <w:rsid w:val="00AD44A0"/>
    <w:rsid w:val="00AD44C1"/>
    <w:rsid w:val="00AD4540"/>
    <w:rsid w:val="00AD45D9"/>
    <w:rsid w:val="00AD45EC"/>
    <w:rsid w:val="00AD46EC"/>
    <w:rsid w:val="00AD4753"/>
    <w:rsid w:val="00AD47B3"/>
    <w:rsid w:val="00AD47F1"/>
    <w:rsid w:val="00AD481B"/>
    <w:rsid w:val="00AD49DC"/>
    <w:rsid w:val="00AD49E0"/>
    <w:rsid w:val="00AD4A36"/>
    <w:rsid w:val="00AD4A79"/>
    <w:rsid w:val="00AD4C69"/>
    <w:rsid w:val="00AD4C77"/>
    <w:rsid w:val="00AD4CAE"/>
    <w:rsid w:val="00AD4D5E"/>
    <w:rsid w:val="00AD4DC8"/>
    <w:rsid w:val="00AD4EB9"/>
    <w:rsid w:val="00AD4F0F"/>
    <w:rsid w:val="00AD50EE"/>
    <w:rsid w:val="00AD50EF"/>
    <w:rsid w:val="00AD513B"/>
    <w:rsid w:val="00AD51E7"/>
    <w:rsid w:val="00AD5239"/>
    <w:rsid w:val="00AD527C"/>
    <w:rsid w:val="00AD53A1"/>
    <w:rsid w:val="00AD53B6"/>
    <w:rsid w:val="00AD5486"/>
    <w:rsid w:val="00AD549B"/>
    <w:rsid w:val="00AD5504"/>
    <w:rsid w:val="00AD56E5"/>
    <w:rsid w:val="00AD56F6"/>
    <w:rsid w:val="00AD59BD"/>
    <w:rsid w:val="00AD5A41"/>
    <w:rsid w:val="00AD5A46"/>
    <w:rsid w:val="00AD5A5E"/>
    <w:rsid w:val="00AD5A80"/>
    <w:rsid w:val="00AD5A81"/>
    <w:rsid w:val="00AD5B46"/>
    <w:rsid w:val="00AD5B98"/>
    <w:rsid w:val="00AD5C35"/>
    <w:rsid w:val="00AD5F2A"/>
    <w:rsid w:val="00AD5FCF"/>
    <w:rsid w:val="00AD6076"/>
    <w:rsid w:val="00AD6090"/>
    <w:rsid w:val="00AD6091"/>
    <w:rsid w:val="00AD6098"/>
    <w:rsid w:val="00AD609A"/>
    <w:rsid w:val="00AD61C8"/>
    <w:rsid w:val="00AD61DC"/>
    <w:rsid w:val="00AD6231"/>
    <w:rsid w:val="00AD6297"/>
    <w:rsid w:val="00AD62A6"/>
    <w:rsid w:val="00AD631E"/>
    <w:rsid w:val="00AD6330"/>
    <w:rsid w:val="00AD6405"/>
    <w:rsid w:val="00AD6491"/>
    <w:rsid w:val="00AD672C"/>
    <w:rsid w:val="00AD67F0"/>
    <w:rsid w:val="00AD6846"/>
    <w:rsid w:val="00AD684E"/>
    <w:rsid w:val="00AD68B3"/>
    <w:rsid w:val="00AD68EF"/>
    <w:rsid w:val="00AD69D9"/>
    <w:rsid w:val="00AD6A21"/>
    <w:rsid w:val="00AD6A2D"/>
    <w:rsid w:val="00AD6A36"/>
    <w:rsid w:val="00AD6B16"/>
    <w:rsid w:val="00AD6BE4"/>
    <w:rsid w:val="00AD6E42"/>
    <w:rsid w:val="00AD6FE7"/>
    <w:rsid w:val="00AD70FF"/>
    <w:rsid w:val="00AD7249"/>
    <w:rsid w:val="00AD725E"/>
    <w:rsid w:val="00AD734E"/>
    <w:rsid w:val="00AD73FC"/>
    <w:rsid w:val="00AD74C8"/>
    <w:rsid w:val="00AD7610"/>
    <w:rsid w:val="00AD766B"/>
    <w:rsid w:val="00AD77BF"/>
    <w:rsid w:val="00AD77CA"/>
    <w:rsid w:val="00AD7855"/>
    <w:rsid w:val="00AD7864"/>
    <w:rsid w:val="00AD7881"/>
    <w:rsid w:val="00AD7908"/>
    <w:rsid w:val="00AD7919"/>
    <w:rsid w:val="00AD791B"/>
    <w:rsid w:val="00AD7A27"/>
    <w:rsid w:val="00AD7A53"/>
    <w:rsid w:val="00AD7A62"/>
    <w:rsid w:val="00AD7AE7"/>
    <w:rsid w:val="00AD7B34"/>
    <w:rsid w:val="00AD7B4B"/>
    <w:rsid w:val="00AD7BA3"/>
    <w:rsid w:val="00AD7D0C"/>
    <w:rsid w:val="00AD7D3A"/>
    <w:rsid w:val="00AD7D82"/>
    <w:rsid w:val="00AD7DF7"/>
    <w:rsid w:val="00AD7E82"/>
    <w:rsid w:val="00AD7E8B"/>
    <w:rsid w:val="00AD7F4F"/>
    <w:rsid w:val="00AE0020"/>
    <w:rsid w:val="00AE012D"/>
    <w:rsid w:val="00AE01A6"/>
    <w:rsid w:val="00AE01F8"/>
    <w:rsid w:val="00AE022A"/>
    <w:rsid w:val="00AE02E1"/>
    <w:rsid w:val="00AE0426"/>
    <w:rsid w:val="00AE0471"/>
    <w:rsid w:val="00AE04B9"/>
    <w:rsid w:val="00AE04D9"/>
    <w:rsid w:val="00AE04DC"/>
    <w:rsid w:val="00AE04EA"/>
    <w:rsid w:val="00AE04EF"/>
    <w:rsid w:val="00AE053E"/>
    <w:rsid w:val="00AE0542"/>
    <w:rsid w:val="00AE0589"/>
    <w:rsid w:val="00AE068A"/>
    <w:rsid w:val="00AE06C5"/>
    <w:rsid w:val="00AE0799"/>
    <w:rsid w:val="00AE07A5"/>
    <w:rsid w:val="00AE07E5"/>
    <w:rsid w:val="00AE084E"/>
    <w:rsid w:val="00AE09C2"/>
    <w:rsid w:val="00AE0A26"/>
    <w:rsid w:val="00AE0ACB"/>
    <w:rsid w:val="00AE0B8F"/>
    <w:rsid w:val="00AE0BD1"/>
    <w:rsid w:val="00AE0C06"/>
    <w:rsid w:val="00AE0C0F"/>
    <w:rsid w:val="00AE0C17"/>
    <w:rsid w:val="00AE0C1E"/>
    <w:rsid w:val="00AE0D93"/>
    <w:rsid w:val="00AE0E14"/>
    <w:rsid w:val="00AE0E1B"/>
    <w:rsid w:val="00AE0E47"/>
    <w:rsid w:val="00AE100E"/>
    <w:rsid w:val="00AE1150"/>
    <w:rsid w:val="00AE137F"/>
    <w:rsid w:val="00AE13B9"/>
    <w:rsid w:val="00AE13DA"/>
    <w:rsid w:val="00AE1469"/>
    <w:rsid w:val="00AE14AA"/>
    <w:rsid w:val="00AE14B9"/>
    <w:rsid w:val="00AE1519"/>
    <w:rsid w:val="00AE151D"/>
    <w:rsid w:val="00AE1585"/>
    <w:rsid w:val="00AE158F"/>
    <w:rsid w:val="00AE163E"/>
    <w:rsid w:val="00AE1643"/>
    <w:rsid w:val="00AE16F1"/>
    <w:rsid w:val="00AE17FE"/>
    <w:rsid w:val="00AE1835"/>
    <w:rsid w:val="00AE187E"/>
    <w:rsid w:val="00AE189C"/>
    <w:rsid w:val="00AE19C8"/>
    <w:rsid w:val="00AE19D6"/>
    <w:rsid w:val="00AE19D7"/>
    <w:rsid w:val="00AE19DF"/>
    <w:rsid w:val="00AE1A80"/>
    <w:rsid w:val="00AE1B46"/>
    <w:rsid w:val="00AE1B68"/>
    <w:rsid w:val="00AE1EC6"/>
    <w:rsid w:val="00AE1F01"/>
    <w:rsid w:val="00AE2031"/>
    <w:rsid w:val="00AE2151"/>
    <w:rsid w:val="00AE23CD"/>
    <w:rsid w:val="00AE23F6"/>
    <w:rsid w:val="00AE252E"/>
    <w:rsid w:val="00AE25D8"/>
    <w:rsid w:val="00AE26AC"/>
    <w:rsid w:val="00AE26B2"/>
    <w:rsid w:val="00AE26CA"/>
    <w:rsid w:val="00AE2786"/>
    <w:rsid w:val="00AE28B3"/>
    <w:rsid w:val="00AE290B"/>
    <w:rsid w:val="00AE2913"/>
    <w:rsid w:val="00AE29ED"/>
    <w:rsid w:val="00AE29F5"/>
    <w:rsid w:val="00AE2A46"/>
    <w:rsid w:val="00AE2AC6"/>
    <w:rsid w:val="00AE2C34"/>
    <w:rsid w:val="00AE2C60"/>
    <w:rsid w:val="00AE2EBF"/>
    <w:rsid w:val="00AE2F90"/>
    <w:rsid w:val="00AE30A7"/>
    <w:rsid w:val="00AE30B4"/>
    <w:rsid w:val="00AE3110"/>
    <w:rsid w:val="00AE3194"/>
    <w:rsid w:val="00AE338F"/>
    <w:rsid w:val="00AE33DB"/>
    <w:rsid w:val="00AE340B"/>
    <w:rsid w:val="00AE3442"/>
    <w:rsid w:val="00AE3543"/>
    <w:rsid w:val="00AE35C7"/>
    <w:rsid w:val="00AE3861"/>
    <w:rsid w:val="00AE38F2"/>
    <w:rsid w:val="00AE3953"/>
    <w:rsid w:val="00AE39D9"/>
    <w:rsid w:val="00AE39FD"/>
    <w:rsid w:val="00AE3AEF"/>
    <w:rsid w:val="00AE3B1D"/>
    <w:rsid w:val="00AE3B3B"/>
    <w:rsid w:val="00AE3BE5"/>
    <w:rsid w:val="00AE3C6C"/>
    <w:rsid w:val="00AE3CFE"/>
    <w:rsid w:val="00AE3DB3"/>
    <w:rsid w:val="00AE3F34"/>
    <w:rsid w:val="00AE3FA8"/>
    <w:rsid w:val="00AE4096"/>
    <w:rsid w:val="00AE41D9"/>
    <w:rsid w:val="00AE42BD"/>
    <w:rsid w:val="00AE4324"/>
    <w:rsid w:val="00AE4410"/>
    <w:rsid w:val="00AE463A"/>
    <w:rsid w:val="00AE4781"/>
    <w:rsid w:val="00AE4954"/>
    <w:rsid w:val="00AE4985"/>
    <w:rsid w:val="00AE4C44"/>
    <w:rsid w:val="00AE4C87"/>
    <w:rsid w:val="00AE4E6D"/>
    <w:rsid w:val="00AE4E6F"/>
    <w:rsid w:val="00AE4EBB"/>
    <w:rsid w:val="00AE4EDE"/>
    <w:rsid w:val="00AE4F8C"/>
    <w:rsid w:val="00AE4FA3"/>
    <w:rsid w:val="00AE4FB2"/>
    <w:rsid w:val="00AE50B4"/>
    <w:rsid w:val="00AE5152"/>
    <w:rsid w:val="00AE51DB"/>
    <w:rsid w:val="00AE5237"/>
    <w:rsid w:val="00AE5255"/>
    <w:rsid w:val="00AE52B0"/>
    <w:rsid w:val="00AE52C9"/>
    <w:rsid w:val="00AE53C8"/>
    <w:rsid w:val="00AE5494"/>
    <w:rsid w:val="00AE55F9"/>
    <w:rsid w:val="00AE5620"/>
    <w:rsid w:val="00AE5634"/>
    <w:rsid w:val="00AE57A8"/>
    <w:rsid w:val="00AE5858"/>
    <w:rsid w:val="00AE5861"/>
    <w:rsid w:val="00AE58EE"/>
    <w:rsid w:val="00AE5971"/>
    <w:rsid w:val="00AE59EB"/>
    <w:rsid w:val="00AE5A8C"/>
    <w:rsid w:val="00AE5AEB"/>
    <w:rsid w:val="00AE5B6A"/>
    <w:rsid w:val="00AE5D92"/>
    <w:rsid w:val="00AE5E1F"/>
    <w:rsid w:val="00AE5F74"/>
    <w:rsid w:val="00AE6219"/>
    <w:rsid w:val="00AE6242"/>
    <w:rsid w:val="00AE625D"/>
    <w:rsid w:val="00AE62C7"/>
    <w:rsid w:val="00AE62ED"/>
    <w:rsid w:val="00AE62F0"/>
    <w:rsid w:val="00AE631F"/>
    <w:rsid w:val="00AE6380"/>
    <w:rsid w:val="00AE639D"/>
    <w:rsid w:val="00AE6478"/>
    <w:rsid w:val="00AE65B4"/>
    <w:rsid w:val="00AE65FF"/>
    <w:rsid w:val="00AE662D"/>
    <w:rsid w:val="00AE6668"/>
    <w:rsid w:val="00AE688B"/>
    <w:rsid w:val="00AE68D1"/>
    <w:rsid w:val="00AE697C"/>
    <w:rsid w:val="00AE69C4"/>
    <w:rsid w:val="00AE6A30"/>
    <w:rsid w:val="00AE6AC4"/>
    <w:rsid w:val="00AE6BA2"/>
    <w:rsid w:val="00AE6BA6"/>
    <w:rsid w:val="00AE6C14"/>
    <w:rsid w:val="00AE6C6A"/>
    <w:rsid w:val="00AE6D50"/>
    <w:rsid w:val="00AE6DD7"/>
    <w:rsid w:val="00AE6EC4"/>
    <w:rsid w:val="00AE70C9"/>
    <w:rsid w:val="00AE72DC"/>
    <w:rsid w:val="00AE72E9"/>
    <w:rsid w:val="00AE749C"/>
    <w:rsid w:val="00AE74B5"/>
    <w:rsid w:val="00AE76AB"/>
    <w:rsid w:val="00AE7742"/>
    <w:rsid w:val="00AE7817"/>
    <w:rsid w:val="00AE78ED"/>
    <w:rsid w:val="00AE7AEA"/>
    <w:rsid w:val="00AE7C41"/>
    <w:rsid w:val="00AE7D53"/>
    <w:rsid w:val="00AE7E04"/>
    <w:rsid w:val="00AE7EE9"/>
    <w:rsid w:val="00AE7F52"/>
    <w:rsid w:val="00AE7F70"/>
    <w:rsid w:val="00AE7FB9"/>
    <w:rsid w:val="00AF006E"/>
    <w:rsid w:val="00AF00E0"/>
    <w:rsid w:val="00AF012F"/>
    <w:rsid w:val="00AF0242"/>
    <w:rsid w:val="00AF0323"/>
    <w:rsid w:val="00AF033B"/>
    <w:rsid w:val="00AF03F4"/>
    <w:rsid w:val="00AF0491"/>
    <w:rsid w:val="00AF0534"/>
    <w:rsid w:val="00AF0603"/>
    <w:rsid w:val="00AF0640"/>
    <w:rsid w:val="00AF064B"/>
    <w:rsid w:val="00AF064F"/>
    <w:rsid w:val="00AF0677"/>
    <w:rsid w:val="00AF06EC"/>
    <w:rsid w:val="00AF0720"/>
    <w:rsid w:val="00AF0776"/>
    <w:rsid w:val="00AF07AC"/>
    <w:rsid w:val="00AF0841"/>
    <w:rsid w:val="00AF0858"/>
    <w:rsid w:val="00AF095F"/>
    <w:rsid w:val="00AF0B58"/>
    <w:rsid w:val="00AF0DC2"/>
    <w:rsid w:val="00AF0E06"/>
    <w:rsid w:val="00AF0E49"/>
    <w:rsid w:val="00AF0E86"/>
    <w:rsid w:val="00AF0ECC"/>
    <w:rsid w:val="00AF0ED3"/>
    <w:rsid w:val="00AF0F33"/>
    <w:rsid w:val="00AF1138"/>
    <w:rsid w:val="00AF1287"/>
    <w:rsid w:val="00AF12E2"/>
    <w:rsid w:val="00AF12EA"/>
    <w:rsid w:val="00AF139E"/>
    <w:rsid w:val="00AF1460"/>
    <w:rsid w:val="00AF1479"/>
    <w:rsid w:val="00AF14B3"/>
    <w:rsid w:val="00AF14C5"/>
    <w:rsid w:val="00AF15A6"/>
    <w:rsid w:val="00AF168C"/>
    <w:rsid w:val="00AF1695"/>
    <w:rsid w:val="00AF16E8"/>
    <w:rsid w:val="00AF17B8"/>
    <w:rsid w:val="00AF17FE"/>
    <w:rsid w:val="00AF1819"/>
    <w:rsid w:val="00AF1859"/>
    <w:rsid w:val="00AF1A13"/>
    <w:rsid w:val="00AF1A76"/>
    <w:rsid w:val="00AF1A7A"/>
    <w:rsid w:val="00AF1A99"/>
    <w:rsid w:val="00AF1ADB"/>
    <w:rsid w:val="00AF1B61"/>
    <w:rsid w:val="00AF1BF2"/>
    <w:rsid w:val="00AF1C31"/>
    <w:rsid w:val="00AF1C55"/>
    <w:rsid w:val="00AF1C6D"/>
    <w:rsid w:val="00AF1D0C"/>
    <w:rsid w:val="00AF1D21"/>
    <w:rsid w:val="00AF1D29"/>
    <w:rsid w:val="00AF1DF4"/>
    <w:rsid w:val="00AF1DFD"/>
    <w:rsid w:val="00AF1E4B"/>
    <w:rsid w:val="00AF1FFC"/>
    <w:rsid w:val="00AF1FFE"/>
    <w:rsid w:val="00AF2072"/>
    <w:rsid w:val="00AF2118"/>
    <w:rsid w:val="00AF2174"/>
    <w:rsid w:val="00AF230E"/>
    <w:rsid w:val="00AF2352"/>
    <w:rsid w:val="00AF24F8"/>
    <w:rsid w:val="00AF2540"/>
    <w:rsid w:val="00AF2551"/>
    <w:rsid w:val="00AF2671"/>
    <w:rsid w:val="00AF272C"/>
    <w:rsid w:val="00AF2745"/>
    <w:rsid w:val="00AF27F5"/>
    <w:rsid w:val="00AF2815"/>
    <w:rsid w:val="00AF286C"/>
    <w:rsid w:val="00AF2A54"/>
    <w:rsid w:val="00AF2C44"/>
    <w:rsid w:val="00AF2CBB"/>
    <w:rsid w:val="00AF2D05"/>
    <w:rsid w:val="00AF2EC5"/>
    <w:rsid w:val="00AF2EC6"/>
    <w:rsid w:val="00AF3098"/>
    <w:rsid w:val="00AF30E3"/>
    <w:rsid w:val="00AF325C"/>
    <w:rsid w:val="00AF327D"/>
    <w:rsid w:val="00AF33CF"/>
    <w:rsid w:val="00AF34A7"/>
    <w:rsid w:val="00AF3578"/>
    <w:rsid w:val="00AF358F"/>
    <w:rsid w:val="00AF3602"/>
    <w:rsid w:val="00AF36C0"/>
    <w:rsid w:val="00AF37B8"/>
    <w:rsid w:val="00AF3855"/>
    <w:rsid w:val="00AF3887"/>
    <w:rsid w:val="00AF3946"/>
    <w:rsid w:val="00AF3A10"/>
    <w:rsid w:val="00AF3A68"/>
    <w:rsid w:val="00AF3B61"/>
    <w:rsid w:val="00AF3BB3"/>
    <w:rsid w:val="00AF3CCC"/>
    <w:rsid w:val="00AF3D5B"/>
    <w:rsid w:val="00AF3DC2"/>
    <w:rsid w:val="00AF3DDE"/>
    <w:rsid w:val="00AF3E03"/>
    <w:rsid w:val="00AF3E0A"/>
    <w:rsid w:val="00AF3E2B"/>
    <w:rsid w:val="00AF3FED"/>
    <w:rsid w:val="00AF406A"/>
    <w:rsid w:val="00AF40FA"/>
    <w:rsid w:val="00AF4116"/>
    <w:rsid w:val="00AF41B3"/>
    <w:rsid w:val="00AF427F"/>
    <w:rsid w:val="00AF428E"/>
    <w:rsid w:val="00AF4388"/>
    <w:rsid w:val="00AF4438"/>
    <w:rsid w:val="00AF444A"/>
    <w:rsid w:val="00AF4462"/>
    <w:rsid w:val="00AF4497"/>
    <w:rsid w:val="00AF4580"/>
    <w:rsid w:val="00AF475A"/>
    <w:rsid w:val="00AF49C2"/>
    <w:rsid w:val="00AF4A4C"/>
    <w:rsid w:val="00AF4A72"/>
    <w:rsid w:val="00AF4C3C"/>
    <w:rsid w:val="00AF4FCC"/>
    <w:rsid w:val="00AF5011"/>
    <w:rsid w:val="00AF5078"/>
    <w:rsid w:val="00AF50E1"/>
    <w:rsid w:val="00AF51C7"/>
    <w:rsid w:val="00AF5255"/>
    <w:rsid w:val="00AF5266"/>
    <w:rsid w:val="00AF52EA"/>
    <w:rsid w:val="00AF52F9"/>
    <w:rsid w:val="00AF531B"/>
    <w:rsid w:val="00AF552B"/>
    <w:rsid w:val="00AF55D2"/>
    <w:rsid w:val="00AF5720"/>
    <w:rsid w:val="00AF57A9"/>
    <w:rsid w:val="00AF5916"/>
    <w:rsid w:val="00AF599C"/>
    <w:rsid w:val="00AF59E6"/>
    <w:rsid w:val="00AF5A65"/>
    <w:rsid w:val="00AF5AAA"/>
    <w:rsid w:val="00AF5C78"/>
    <w:rsid w:val="00AF5E8A"/>
    <w:rsid w:val="00AF5F0A"/>
    <w:rsid w:val="00AF5FE2"/>
    <w:rsid w:val="00AF6009"/>
    <w:rsid w:val="00AF6066"/>
    <w:rsid w:val="00AF60AE"/>
    <w:rsid w:val="00AF60CC"/>
    <w:rsid w:val="00AF6155"/>
    <w:rsid w:val="00AF617E"/>
    <w:rsid w:val="00AF61F9"/>
    <w:rsid w:val="00AF6337"/>
    <w:rsid w:val="00AF6376"/>
    <w:rsid w:val="00AF63AE"/>
    <w:rsid w:val="00AF63E9"/>
    <w:rsid w:val="00AF643A"/>
    <w:rsid w:val="00AF64F6"/>
    <w:rsid w:val="00AF6556"/>
    <w:rsid w:val="00AF65A6"/>
    <w:rsid w:val="00AF65B8"/>
    <w:rsid w:val="00AF65C9"/>
    <w:rsid w:val="00AF65CE"/>
    <w:rsid w:val="00AF660A"/>
    <w:rsid w:val="00AF6704"/>
    <w:rsid w:val="00AF670C"/>
    <w:rsid w:val="00AF6732"/>
    <w:rsid w:val="00AF674C"/>
    <w:rsid w:val="00AF6779"/>
    <w:rsid w:val="00AF67C1"/>
    <w:rsid w:val="00AF67F7"/>
    <w:rsid w:val="00AF683F"/>
    <w:rsid w:val="00AF698F"/>
    <w:rsid w:val="00AF6992"/>
    <w:rsid w:val="00AF6998"/>
    <w:rsid w:val="00AF6A69"/>
    <w:rsid w:val="00AF6AAB"/>
    <w:rsid w:val="00AF6AB4"/>
    <w:rsid w:val="00AF6AF4"/>
    <w:rsid w:val="00AF6B11"/>
    <w:rsid w:val="00AF6C2F"/>
    <w:rsid w:val="00AF6CDB"/>
    <w:rsid w:val="00AF6CFD"/>
    <w:rsid w:val="00AF6E5C"/>
    <w:rsid w:val="00AF6EB1"/>
    <w:rsid w:val="00AF70D9"/>
    <w:rsid w:val="00AF7164"/>
    <w:rsid w:val="00AF71D0"/>
    <w:rsid w:val="00AF7256"/>
    <w:rsid w:val="00AF725C"/>
    <w:rsid w:val="00AF72E0"/>
    <w:rsid w:val="00AF747C"/>
    <w:rsid w:val="00AF7783"/>
    <w:rsid w:val="00AF77B4"/>
    <w:rsid w:val="00AF7821"/>
    <w:rsid w:val="00AF78E8"/>
    <w:rsid w:val="00AF7BED"/>
    <w:rsid w:val="00AF7D05"/>
    <w:rsid w:val="00AF7DC6"/>
    <w:rsid w:val="00AF7E43"/>
    <w:rsid w:val="00AF7E5B"/>
    <w:rsid w:val="00AF7F8A"/>
    <w:rsid w:val="00AF7FC9"/>
    <w:rsid w:val="00B0001B"/>
    <w:rsid w:val="00B0014A"/>
    <w:rsid w:val="00B00287"/>
    <w:rsid w:val="00B0048A"/>
    <w:rsid w:val="00B00576"/>
    <w:rsid w:val="00B00581"/>
    <w:rsid w:val="00B005C2"/>
    <w:rsid w:val="00B00667"/>
    <w:rsid w:val="00B00696"/>
    <w:rsid w:val="00B006A4"/>
    <w:rsid w:val="00B00747"/>
    <w:rsid w:val="00B007CA"/>
    <w:rsid w:val="00B007FD"/>
    <w:rsid w:val="00B0088D"/>
    <w:rsid w:val="00B009AC"/>
    <w:rsid w:val="00B009B0"/>
    <w:rsid w:val="00B009DA"/>
    <w:rsid w:val="00B009F3"/>
    <w:rsid w:val="00B009F8"/>
    <w:rsid w:val="00B00AF0"/>
    <w:rsid w:val="00B00B4E"/>
    <w:rsid w:val="00B00B53"/>
    <w:rsid w:val="00B00BCE"/>
    <w:rsid w:val="00B00FA2"/>
    <w:rsid w:val="00B00FAE"/>
    <w:rsid w:val="00B00FB4"/>
    <w:rsid w:val="00B00FE4"/>
    <w:rsid w:val="00B010F7"/>
    <w:rsid w:val="00B012B3"/>
    <w:rsid w:val="00B01330"/>
    <w:rsid w:val="00B013D0"/>
    <w:rsid w:val="00B013E1"/>
    <w:rsid w:val="00B014F0"/>
    <w:rsid w:val="00B014FE"/>
    <w:rsid w:val="00B015AE"/>
    <w:rsid w:val="00B015DC"/>
    <w:rsid w:val="00B01612"/>
    <w:rsid w:val="00B0171C"/>
    <w:rsid w:val="00B01811"/>
    <w:rsid w:val="00B01967"/>
    <w:rsid w:val="00B01A3A"/>
    <w:rsid w:val="00B01A90"/>
    <w:rsid w:val="00B01AB1"/>
    <w:rsid w:val="00B01ACF"/>
    <w:rsid w:val="00B01AD2"/>
    <w:rsid w:val="00B01B4C"/>
    <w:rsid w:val="00B01CCD"/>
    <w:rsid w:val="00B01D47"/>
    <w:rsid w:val="00B01D51"/>
    <w:rsid w:val="00B01D5A"/>
    <w:rsid w:val="00B01D67"/>
    <w:rsid w:val="00B01D9C"/>
    <w:rsid w:val="00B01FE1"/>
    <w:rsid w:val="00B02020"/>
    <w:rsid w:val="00B02059"/>
    <w:rsid w:val="00B020A6"/>
    <w:rsid w:val="00B0210F"/>
    <w:rsid w:val="00B0221F"/>
    <w:rsid w:val="00B02238"/>
    <w:rsid w:val="00B02268"/>
    <w:rsid w:val="00B022B6"/>
    <w:rsid w:val="00B0240C"/>
    <w:rsid w:val="00B0252E"/>
    <w:rsid w:val="00B0256E"/>
    <w:rsid w:val="00B0258B"/>
    <w:rsid w:val="00B02635"/>
    <w:rsid w:val="00B02647"/>
    <w:rsid w:val="00B02657"/>
    <w:rsid w:val="00B0267D"/>
    <w:rsid w:val="00B02683"/>
    <w:rsid w:val="00B026CB"/>
    <w:rsid w:val="00B02715"/>
    <w:rsid w:val="00B027A8"/>
    <w:rsid w:val="00B02825"/>
    <w:rsid w:val="00B0282F"/>
    <w:rsid w:val="00B028E2"/>
    <w:rsid w:val="00B02993"/>
    <w:rsid w:val="00B029CA"/>
    <w:rsid w:val="00B029D7"/>
    <w:rsid w:val="00B029FB"/>
    <w:rsid w:val="00B02AD0"/>
    <w:rsid w:val="00B02C85"/>
    <w:rsid w:val="00B02DDC"/>
    <w:rsid w:val="00B02DE7"/>
    <w:rsid w:val="00B02E5E"/>
    <w:rsid w:val="00B02E76"/>
    <w:rsid w:val="00B03001"/>
    <w:rsid w:val="00B031CB"/>
    <w:rsid w:val="00B03493"/>
    <w:rsid w:val="00B03651"/>
    <w:rsid w:val="00B03678"/>
    <w:rsid w:val="00B0393F"/>
    <w:rsid w:val="00B0398D"/>
    <w:rsid w:val="00B039D6"/>
    <w:rsid w:val="00B039DB"/>
    <w:rsid w:val="00B03BC2"/>
    <w:rsid w:val="00B03C95"/>
    <w:rsid w:val="00B03DD6"/>
    <w:rsid w:val="00B03E58"/>
    <w:rsid w:val="00B03F5B"/>
    <w:rsid w:val="00B03FCC"/>
    <w:rsid w:val="00B04100"/>
    <w:rsid w:val="00B04198"/>
    <w:rsid w:val="00B04252"/>
    <w:rsid w:val="00B04329"/>
    <w:rsid w:val="00B0446A"/>
    <w:rsid w:val="00B04571"/>
    <w:rsid w:val="00B047C0"/>
    <w:rsid w:val="00B0487B"/>
    <w:rsid w:val="00B04A3E"/>
    <w:rsid w:val="00B04B33"/>
    <w:rsid w:val="00B04B4E"/>
    <w:rsid w:val="00B04C0B"/>
    <w:rsid w:val="00B04C57"/>
    <w:rsid w:val="00B04CB3"/>
    <w:rsid w:val="00B04CC0"/>
    <w:rsid w:val="00B04D44"/>
    <w:rsid w:val="00B04E37"/>
    <w:rsid w:val="00B04EC3"/>
    <w:rsid w:val="00B04EEE"/>
    <w:rsid w:val="00B04FB1"/>
    <w:rsid w:val="00B0520A"/>
    <w:rsid w:val="00B0521B"/>
    <w:rsid w:val="00B05265"/>
    <w:rsid w:val="00B0530A"/>
    <w:rsid w:val="00B05385"/>
    <w:rsid w:val="00B053D5"/>
    <w:rsid w:val="00B054ED"/>
    <w:rsid w:val="00B0550E"/>
    <w:rsid w:val="00B0552F"/>
    <w:rsid w:val="00B05611"/>
    <w:rsid w:val="00B0565F"/>
    <w:rsid w:val="00B059CB"/>
    <w:rsid w:val="00B05A02"/>
    <w:rsid w:val="00B05A9E"/>
    <w:rsid w:val="00B05ACC"/>
    <w:rsid w:val="00B05C03"/>
    <w:rsid w:val="00B05C24"/>
    <w:rsid w:val="00B05CCA"/>
    <w:rsid w:val="00B05CF6"/>
    <w:rsid w:val="00B05EBA"/>
    <w:rsid w:val="00B060C9"/>
    <w:rsid w:val="00B061DA"/>
    <w:rsid w:val="00B06213"/>
    <w:rsid w:val="00B063DF"/>
    <w:rsid w:val="00B063FE"/>
    <w:rsid w:val="00B06425"/>
    <w:rsid w:val="00B065C7"/>
    <w:rsid w:val="00B065C9"/>
    <w:rsid w:val="00B065F2"/>
    <w:rsid w:val="00B066F6"/>
    <w:rsid w:val="00B0670C"/>
    <w:rsid w:val="00B0680C"/>
    <w:rsid w:val="00B068C3"/>
    <w:rsid w:val="00B069EC"/>
    <w:rsid w:val="00B06A6B"/>
    <w:rsid w:val="00B06A9B"/>
    <w:rsid w:val="00B06ABB"/>
    <w:rsid w:val="00B06B06"/>
    <w:rsid w:val="00B06B3D"/>
    <w:rsid w:val="00B06C12"/>
    <w:rsid w:val="00B06C29"/>
    <w:rsid w:val="00B06C9D"/>
    <w:rsid w:val="00B06EA2"/>
    <w:rsid w:val="00B06EA5"/>
    <w:rsid w:val="00B06F9F"/>
    <w:rsid w:val="00B07067"/>
    <w:rsid w:val="00B0707E"/>
    <w:rsid w:val="00B070EA"/>
    <w:rsid w:val="00B07159"/>
    <w:rsid w:val="00B072C3"/>
    <w:rsid w:val="00B072C8"/>
    <w:rsid w:val="00B07330"/>
    <w:rsid w:val="00B073F3"/>
    <w:rsid w:val="00B07417"/>
    <w:rsid w:val="00B0741F"/>
    <w:rsid w:val="00B0748B"/>
    <w:rsid w:val="00B075A2"/>
    <w:rsid w:val="00B0770F"/>
    <w:rsid w:val="00B07776"/>
    <w:rsid w:val="00B07786"/>
    <w:rsid w:val="00B077A4"/>
    <w:rsid w:val="00B078E6"/>
    <w:rsid w:val="00B07966"/>
    <w:rsid w:val="00B0799C"/>
    <w:rsid w:val="00B079FD"/>
    <w:rsid w:val="00B07B02"/>
    <w:rsid w:val="00B07B82"/>
    <w:rsid w:val="00B07BEE"/>
    <w:rsid w:val="00B07C4F"/>
    <w:rsid w:val="00B07D15"/>
    <w:rsid w:val="00B07D8E"/>
    <w:rsid w:val="00B07DF5"/>
    <w:rsid w:val="00B07E68"/>
    <w:rsid w:val="00B07F67"/>
    <w:rsid w:val="00B10016"/>
    <w:rsid w:val="00B10164"/>
    <w:rsid w:val="00B1016D"/>
    <w:rsid w:val="00B103F2"/>
    <w:rsid w:val="00B105C2"/>
    <w:rsid w:val="00B107E0"/>
    <w:rsid w:val="00B108D8"/>
    <w:rsid w:val="00B10962"/>
    <w:rsid w:val="00B109BD"/>
    <w:rsid w:val="00B109E6"/>
    <w:rsid w:val="00B10A1E"/>
    <w:rsid w:val="00B10C87"/>
    <w:rsid w:val="00B10DB3"/>
    <w:rsid w:val="00B110BB"/>
    <w:rsid w:val="00B1126C"/>
    <w:rsid w:val="00B11405"/>
    <w:rsid w:val="00B114D1"/>
    <w:rsid w:val="00B115A4"/>
    <w:rsid w:val="00B116DB"/>
    <w:rsid w:val="00B11828"/>
    <w:rsid w:val="00B11837"/>
    <w:rsid w:val="00B11875"/>
    <w:rsid w:val="00B119D7"/>
    <w:rsid w:val="00B11B66"/>
    <w:rsid w:val="00B11C34"/>
    <w:rsid w:val="00B11CD6"/>
    <w:rsid w:val="00B11DD7"/>
    <w:rsid w:val="00B11DF1"/>
    <w:rsid w:val="00B11EF7"/>
    <w:rsid w:val="00B11FC1"/>
    <w:rsid w:val="00B120BD"/>
    <w:rsid w:val="00B1210A"/>
    <w:rsid w:val="00B121AB"/>
    <w:rsid w:val="00B1221D"/>
    <w:rsid w:val="00B1247F"/>
    <w:rsid w:val="00B1251E"/>
    <w:rsid w:val="00B1259F"/>
    <w:rsid w:val="00B1268E"/>
    <w:rsid w:val="00B1272D"/>
    <w:rsid w:val="00B12791"/>
    <w:rsid w:val="00B1279D"/>
    <w:rsid w:val="00B1295C"/>
    <w:rsid w:val="00B129BA"/>
    <w:rsid w:val="00B129FD"/>
    <w:rsid w:val="00B12A14"/>
    <w:rsid w:val="00B12A54"/>
    <w:rsid w:val="00B12C61"/>
    <w:rsid w:val="00B12CE1"/>
    <w:rsid w:val="00B12D01"/>
    <w:rsid w:val="00B12DC2"/>
    <w:rsid w:val="00B12EC1"/>
    <w:rsid w:val="00B12F51"/>
    <w:rsid w:val="00B12FAA"/>
    <w:rsid w:val="00B12FD6"/>
    <w:rsid w:val="00B12FE2"/>
    <w:rsid w:val="00B13072"/>
    <w:rsid w:val="00B13080"/>
    <w:rsid w:val="00B13087"/>
    <w:rsid w:val="00B130B8"/>
    <w:rsid w:val="00B130C5"/>
    <w:rsid w:val="00B13218"/>
    <w:rsid w:val="00B13288"/>
    <w:rsid w:val="00B132BC"/>
    <w:rsid w:val="00B132C4"/>
    <w:rsid w:val="00B1347E"/>
    <w:rsid w:val="00B13497"/>
    <w:rsid w:val="00B135EB"/>
    <w:rsid w:val="00B13644"/>
    <w:rsid w:val="00B13745"/>
    <w:rsid w:val="00B13761"/>
    <w:rsid w:val="00B1388C"/>
    <w:rsid w:val="00B13897"/>
    <w:rsid w:val="00B138EF"/>
    <w:rsid w:val="00B13A30"/>
    <w:rsid w:val="00B13AE8"/>
    <w:rsid w:val="00B13AED"/>
    <w:rsid w:val="00B13B49"/>
    <w:rsid w:val="00B13BCE"/>
    <w:rsid w:val="00B13D25"/>
    <w:rsid w:val="00B13DA9"/>
    <w:rsid w:val="00B13DDC"/>
    <w:rsid w:val="00B13DF3"/>
    <w:rsid w:val="00B13E51"/>
    <w:rsid w:val="00B13EBE"/>
    <w:rsid w:val="00B13EF2"/>
    <w:rsid w:val="00B13F16"/>
    <w:rsid w:val="00B14015"/>
    <w:rsid w:val="00B14020"/>
    <w:rsid w:val="00B14396"/>
    <w:rsid w:val="00B143C5"/>
    <w:rsid w:val="00B144E4"/>
    <w:rsid w:val="00B144F0"/>
    <w:rsid w:val="00B145C1"/>
    <w:rsid w:val="00B1476E"/>
    <w:rsid w:val="00B14796"/>
    <w:rsid w:val="00B147A5"/>
    <w:rsid w:val="00B14860"/>
    <w:rsid w:val="00B1489C"/>
    <w:rsid w:val="00B14A24"/>
    <w:rsid w:val="00B14AA5"/>
    <w:rsid w:val="00B14B89"/>
    <w:rsid w:val="00B14BB6"/>
    <w:rsid w:val="00B14CEF"/>
    <w:rsid w:val="00B14DF4"/>
    <w:rsid w:val="00B14E0E"/>
    <w:rsid w:val="00B14EDB"/>
    <w:rsid w:val="00B14FC7"/>
    <w:rsid w:val="00B15080"/>
    <w:rsid w:val="00B15089"/>
    <w:rsid w:val="00B150D7"/>
    <w:rsid w:val="00B1517F"/>
    <w:rsid w:val="00B15240"/>
    <w:rsid w:val="00B1528B"/>
    <w:rsid w:val="00B152E2"/>
    <w:rsid w:val="00B152E7"/>
    <w:rsid w:val="00B15387"/>
    <w:rsid w:val="00B154AF"/>
    <w:rsid w:val="00B1551A"/>
    <w:rsid w:val="00B156E8"/>
    <w:rsid w:val="00B156EE"/>
    <w:rsid w:val="00B15708"/>
    <w:rsid w:val="00B15915"/>
    <w:rsid w:val="00B1597B"/>
    <w:rsid w:val="00B15A0A"/>
    <w:rsid w:val="00B15B1D"/>
    <w:rsid w:val="00B15D16"/>
    <w:rsid w:val="00B15DA3"/>
    <w:rsid w:val="00B15DD0"/>
    <w:rsid w:val="00B15E63"/>
    <w:rsid w:val="00B15F60"/>
    <w:rsid w:val="00B15F62"/>
    <w:rsid w:val="00B16089"/>
    <w:rsid w:val="00B1608C"/>
    <w:rsid w:val="00B16127"/>
    <w:rsid w:val="00B16171"/>
    <w:rsid w:val="00B161D4"/>
    <w:rsid w:val="00B161DB"/>
    <w:rsid w:val="00B161FF"/>
    <w:rsid w:val="00B1621E"/>
    <w:rsid w:val="00B162DE"/>
    <w:rsid w:val="00B162EE"/>
    <w:rsid w:val="00B163F3"/>
    <w:rsid w:val="00B1649B"/>
    <w:rsid w:val="00B164A5"/>
    <w:rsid w:val="00B164DF"/>
    <w:rsid w:val="00B1655A"/>
    <w:rsid w:val="00B1678C"/>
    <w:rsid w:val="00B1679C"/>
    <w:rsid w:val="00B167BB"/>
    <w:rsid w:val="00B16A33"/>
    <w:rsid w:val="00B16A45"/>
    <w:rsid w:val="00B16B29"/>
    <w:rsid w:val="00B16BAD"/>
    <w:rsid w:val="00B16C1F"/>
    <w:rsid w:val="00B16CA2"/>
    <w:rsid w:val="00B16CB7"/>
    <w:rsid w:val="00B16D61"/>
    <w:rsid w:val="00B16DC5"/>
    <w:rsid w:val="00B16DCE"/>
    <w:rsid w:val="00B16DFA"/>
    <w:rsid w:val="00B16F00"/>
    <w:rsid w:val="00B16F07"/>
    <w:rsid w:val="00B16F3E"/>
    <w:rsid w:val="00B16F7C"/>
    <w:rsid w:val="00B1707E"/>
    <w:rsid w:val="00B1719D"/>
    <w:rsid w:val="00B1728A"/>
    <w:rsid w:val="00B172C1"/>
    <w:rsid w:val="00B1738B"/>
    <w:rsid w:val="00B173AD"/>
    <w:rsid w:val="00B173EB"/>
    <w:rsid w:val="00B1743D"/>
    <w:rsid w:val="00B17520"/>
    <w:rsid w:val="00B17653"/>
    <w:rsid w:val="00B1796A"/>
    <w:rsid w:val="00B179DB"/>
    <w:rsid w:val="00B17A16"/>
    <w:rsid w:val="00B17A3A"/>
    <w:rsid w:val="00B17A62"/>
    <w:rsid w:val="00B17A6A"/>
    <w:rsid w:val="00B17B3B"/>
    <w:rsid w:val="00B17BB2"/>
    <w:rsid w:val="00B17C6C"/>
    <w:rsid w:val="00B17D19"/>
    <w:rsid w:val="00B17D3F"/>
    <w:rsid w:val="00B17DE5"/>
    <w:rsid w:val="00B17EA8"/>
    <w:rsid w:val="00B17F74"/>
    <w:rsid w:val="00B17FD6"/>
    <w:rsid w:val="00B2001B"/>
    <w:rsid w:val="00B20153"/>
    <w:rsid w:val="00B2016C"/>
    <w:rsid w:val="00B20182"/>
    <w:rsid w:val="00B20228"/>
    <w:rsid w:val="00B2037E"/>
    <w:rsid w:val="00B20391"/>
    <w:rsid w:val="00B203BB"/>
    <w:rsid w:val="00B203F6"/>
    <w:rsid w:val="00B204EF"/>
    <w:rsid w:val="00B2050D"/>
    <w:rsid w:val="00B20544"/>
    <w:rsid w:val="00B205D7"/>
    <w:rsid w:val="00B205F7"/>
    <w:rsid w:val="00B2061C"/>
    <w:rsid w:val="00B2065B"/>
    <w:rsid w:val="00B20705"/>
    <w:rsid w:val="00B207C6"/>
    <w:rsid w:val="00B207F7"/>
    <w:rsid w:val="00B20829"/>
    <w:rsid w:val="00B2088F"/>
    <w:rsid w:val="00B208D5"/>
    <w:rsid w:val="00B20920"/>
    <w:rsid w:val="00B20930"/>
    <w:rsid w:val="00B2094C"/>
    <w:rsid w:val="00B20A22"/>
    <w:rsid w:val="00B20C00"/>
    <w:rsid w:val="00B20C56"/>
    <w:rsid w:val="00B20C62"/>
    <w:rsid w:val="00B20CD0"/>
    <w:rsid w:val="00B20D0E"/>
    <w:rsid w:val="00B20E14"/>
    <w:rsid w:val="00B20EBB"/>
    <w:rsid w:val="00B20F5D"/>
    <w:rsid w:val="00B21071"/>
    <w:rsid w:val="00B2116C"/>
    <w:rsid w:val="00B212AE"/>
    <w:rsid w:val="00B214AF"/>
    <w:rsid w:val="00B214C6"/>
    <w:rsid w:val="00B21536"/>
    <w:rsid w:val="00B216D1"/>
    <w:rsid w:val="00B2181C"/>
    <w:rsid w:val="00B218D5"/>
    <w:rsid w:val="00B219D1"/>
    <w:rsid w:val="00B21B41"/>
    <w:rsid w:val="00B21BC8"/>
    <w:rsid w:val="00B21C70"/>
    <w:rsid w:val="00B21E63"/>
    <w:rsid w:val="00B21EF7"/>
    <w:rsid w:val="00B21F36"/>
    <w:rsid w:val="00B21FB6"/>
    <w:rsid w:val="00B22064"/>
    <w:rsid w:val="00B220C7"/>
    <w:rsid w:val="00B221ED"/>
    <w:rsid w:val="00B22275"/>
    <w:rsid w:val="00B2239C"/>
    <w:rsid w:val="00B223C1"/>
    <w:rsid w:val="00B223E7"/>
    <w:rsid w:val="00B22418"/>
    <w:rsid w:val="00B224F6"/>
    <w:rsid w:val="00B22501"/>
    <w:rsid w:val="00B22525"/>
    <w:rsid w:val="00B2257E"/>
    <w:rsid w:val="00B225C6"/>
    <w:rsid w:val="00B226B1"/>
    <w:rsid w:val="00B226B7"/>
    <w:rsid w:val="00B2272A"/>
    <w:rsid w:val="00B227F3"/>
    <w:rsid w:val="00B229BC"/>
    <w:rsid w:val="00B22BED"/>
    <w:rsid w:val="00B22C4F"/>
    <w:rsid w:val="00B22EC7"/>
    <w:rsid w:val="00B22F69"/>
    <w:rsid w:val="00B22F6B"/>
    <w:rsid w:val="00B230D5"/>
    <w:rsid w:val="00B230D6"/>
    <w:rsid w:val="00B230E4"/>
    <w:rsid w:val="00B231A8"/>
    <w:rsid w:val="00B2327B"/>
    <w:rsid w:val="00B23427"/>
    <w:rsid w:val="00B23446"/>
    <w:rsid w:val="00B23478"/>
    <w:rsid w:val="00B2347B"/>
    <w:rsid w:val="00B23566"/>
    <w:rsid w:val="00B23570"/>
    <w:rsid w:val="00B236AD"/>
    <w:rsid w:val="00B236BC"/>
    <w:rsid w:val="00B236C6"/>
    <w:rsid w:val="00B236D4"/>
    <w:rsid w:val="00B236F1"/>
    <w:rsid w:val="00B23710"/>
    <w:rsid w:val="00B237EF"/>
    <w:rsid w:val="00B23994"/>
    <w:rsid w:val="00B239EB"/>
    <w:rsid w:val="00B23ACA"/>
    <w:rsid w:val="00B23B57"/>
    <w:rsid w:val="00B23B88"/>
    <w:rsid w:val="00B23BED"/>
    <w:rsid w:val="00B23C5F"/>
    <w:rsid w:val="00B23CB8"/>
    <w:rsid w:val="00B23D01"/>
    <w:rsid w:val="00B23D18"/>
    <w:rsid w:val="00B23D55"/>
    <w:rsid w:val="00B23DA1"/>
    <w:rsid w:val="00B23EBC"/>
    <w:rsid w:val="00B23EFF"/>
    <w:rsid w:val="00B23F5F"/>
    <w:rsid w:val="00B23F8D"/>
    <w:rsid w:val="00B23FB5"/>
    <w:rsid w:val="00B23FEC"/>
    <w:rsid w:val="00B23FFC"/>
    <w:rsid w:val="00B24037"/>
    <w:rsid w:val="00B240CB"/>
    <w:rsid w:val="00B240D0"/>
    <w:rsid w:val="00B24118"/>
    <w:rsid w:val="00B24122"/>
    <w:rsid w:val="00B24186"/>
    <w:rsid w:val="00B241AA"/>
    <w:rsid w:val="00B241E9"/>
    <w:rsid w:val="00B2423B"/>
    <w:rsid w:val="00B2426E"/>
    <w:rsid w:val="00B2434C"/>
    <w:rsid w:val="00B24366"/>
    <w:rsid w:val="00B245DA"/>
    <w:rsid w:val="00B2473F"/>
    <w:rsid w:val="00B2474D"/>
    <w:rsid w:val="00B24756"/>
    <w:rsid w:val="00B249C4"/>
    <w:rsid w:val="00B24A2F"/>
    <w:rsid w:val="00B24A96"/>
    <w:rsid w:val="00B24BAC"/>
    <w:rsid w:val="00B24D78"/>
    <w:rsid w:val="00B24DFE"/>
    <w:rsid w:val="00B24E5D"/>
    <w:rsid w:val="00B24E76"/>
    <w:rsid w:val="00B24E8F"/>
    <w:rsid w:val="00B24EAE"/>
    <w:rsid w:val="00B24EB4"/>
    <w:rsid w:val="00B2504C"/>
    <w:rsid w:val="00B25054"/>
    <w:rsid w:val="00B251DA"/>
    <w:rsid w:val="00B25337"/>
    <w:rsid w:val="00B253F0"/>
    <w:rsid w:val="00B2542F"/>
    <w:rsid w:val="00B25432"/>
    <w:rsid w:val="00B25461"/>
    <w:rsid w:val="00B254E9"/>
    <w:rsid w:val="00B25545"/>
    <w:rsid w:val="00B255CC"/>
    <w:rsid w:val="00B255F9"/>
    <w:rsid w:val="00B2561E"/>
    <w:rsid w:val="00B256EB"/>
    <w:rsid w:val="00B25797"/>
    <w:rsid w:val="00B25820"/>
    <w:rsid w:val="00B25A45"/>
    <w:rsid w:val="00B25BE6"/>
    <w:rsid w:val="00B25BEE"/>
    <w:rsid w:val="00B25C07"/>
    <w:rsid w:val="00B25CFD"/>
    <w:rsid w:val="00B25D00"/>
    <w:rsid w:val="00B25D60"/>
    <w:rsid w:val="00B25E11"/>
    <w:rsid w:val="00B25ED9"/>
    <w:rsid w:val="00B25EE5"/>
    <w:rsid w:val="00B25EFF"/>
    <w:rsid w:val="00B25F0C"/>
    <w:rsid w:val="00B25F26"/>
    <w:rsid w:val="00B25F97"/>
    <w:rsid w:val="00B26000"/>
    <w:rsid w:val="00B2614D"/>
    <w:rsid w:val="00B261FF"/>
    <w:rsid w:val="00B26230"/>
    <w:rsid w:val="00B2628F"/>
    <w:rsid w:val="00B2631F"/>
    <w:rsid w:val="00B264F4"/>
    <w:rsid w:val="00B2652B"/>
    <w:rsid w:val="00B26548"/>
    <w:rsid w:val="00B2656D"/>
    <w:rsid w:val="00B265DA"/>
    <w:rsid w:val="00B2661C"/>
    <w:rsid w:val="00B26677"/>
    <w:rsid w:val="00B266C3"/>
    <w:rsid w:val="00B26772"/>
    <w:rsid w:val="00B268E8"/>
    <w:rsid w:val="00B26975"/>
    <w:rsid w:val="00B269A3"/>
    <w:rsid w:val="00B269E2"/>
    <w:rsid w:val="00B26AE0"/>
    <w:rsid w:val="00B26CB4"/>
    <w:rsid w:val="00B26D38"/>
    <w:rsid w:val="00B26D70"/>
    <w:rsid w:val="00B26D9F"/>
    <w:rsid w:val="00B26E33"/>
    <w:rsid w:val="00B26E86"/>
    <w:rsid w:val="00B26F90"/>
    <w:rsid w:val="00B27068"/>
    <w:rsid w:val="00B27071"/>
    <w:rsid w:val="00B270D1"/>
    <w:rsid w:val="00B2725D"/>
    <w:rsid w:val="00B273E3"/>
    <w:rsid w:val="00B27461"/>
    <w:rsid w:val="00B276FC"/>
    <w:rsid w:val="00B277AF"/>
    <w:rsid w:val="00B27849"/>
    <w:rsid w:val="00B2789E"/>
    <w:rsid w:val="00B278AC"/>
    <w:rsid w:val="00B279AE"/>
    <w:rsid w:val="00B279C2"/>
    <w:rsid w:val="00B27AB5"/>
    <w:rsid w:val="00B27AC4"/>
    <w:rsid w:val="00B27AE6"/>
    <w:rsid w:val="00B27BC1"/>
    <w:rsid w:val="00B27CCA"/>
    <w:rsid w:val="00B27DDC"/>
    <w:rsid w:val="00B27E25"/>
    <w:rsid w:val="00B30038"/>
    <w:rsid w:val="00B30119"/>
    <w:rsid w:val="00B30135"/>
    <w:rsid w:val="00B30151"/>
    <w:rsid w:val="00B3017C"/>
    <w:rsid w:val="00B303F4"/>
    <w:rsid w:val="00B3043D"/>
    <w:rsid w:val="00B304AB"/>
    <w:rsid w:val="00B3062B"/>
    <w:rsid w:val="00B30777"/>
    <w:rsid w:val="00B307EE"/>
    <w:rsid w:val="00B30818"/>
    <w:rsid w:val="00B3088F"/>
    <w:rsid w:val="00B308EC"/>
    <w:rsid w:val="00B309BF"/>
    <w:rsid w:val="00B30A0F"/>
    <w:rsid w:val="00B30A9B"/>
    <w:rsid w:val="00B30C2F"/>
    <w:rsid w:val="00B30C66"/>
    <w:rsid w:val="00B30CA4"/>
    <w:rsid w:val="00B30CB4"/>
    <w:rsid w:val="00B30CDD"/>
    <w:rsid w:val="00B30E25"/>
    <w:rsid w:val="00B30E6F"/>
    <w:rsid w:val="00B30E9D"/>
    <w:rsid w:val="00B30F3A"/>
    <w:rsid w:val="00B30F9C"/>
    <w:rsid w:val="00B30F9E"/>
    <w:rsid w:val="00B30FBC"/>
    <w:rsid w:val="00B3102E"/>
    <w:rsid w:val="00B31193"/>
    <w:rsid w:val="00B311E6"/>
    <w:rsid w:val="00B31266"/>
    <w:rsid w:val="00B3145E"/>
    <w:rsid w:val="00B31488"/>
    <w:rsid w:val="00B314E6"/>
    <w:rsid w:val="00B314F0"/>
    <w:rsid w:val="00B31536"/>
    <w:rsid w:val="00B315B1"/>
    <w:rsid w:val="00B316D3"/>
    <w:rsid w:val="00B3172E"/>
    <w:rsid w:val="00B317EF"/>
    <w:rsid w:val="00B3185E"/>
    <w:rsid w:val="00B318A9"/>
    <w:rsid w:val="00B318B6"/>
    <w:rsid w:val="00B3194C"/>
    <w:rsid w:val="00B319AD"/>
    <w:rsid w:val="00B319F5"/>
    <w:rsid w:val="00B31A05"/>
    <w:rsid w:val="00B31A06"/>
    <w:rsid w:val="00B31A8C"/>
    <w:rsid w:val="00B31B97"/>
    <w:rsid w:val="00B31CE5"/>
    <w:rsid w:val="00B31E66"/>
    <w:rsid w:val="00B31E82"/>
    <w:rsid w:val="00B31EB8"/>
    <w:rsid w:val="00B31EE1"/>
    <w:rsid w:val="00B32184"/>
    <w:rsid w:val="00B321B7"/>
    <w:rsid w:val="00B321C7"/>
    <w:rsid w:val="00B3224E"/>
    <w:rsid w:val="00B32278"/>
    <w:rsid w:val="00B322DB"/>
    <w:rsid w:val="00B322E1"/>
    <w:rsid w:val="00B3234B"/>
    <w:rsid w:val="00B32365"/>
    <w:rsid w:val="00B3243A"/>
    <w:rsid w:val="00B324A5"/>
    <w:rsid w:val="00B3262F"/>
    <w:rsid w:val="00B3280D"/>
    <w:rsid w:val="00B32946"/>
    <w:rsid w:val="00B329F2"/>
    <w:rsid w:val="00B32ADE"/>
    <w:rsid w:val="00B32C82"/>
    <w:rsid w:val="00B32D05"/>
    <w:rsid w:val="00B32D31"/>
    <w:rsid w:val="00B32E0C"/>
    <w:rsid w:val="00B32E9F"/>
    <w:rsid w:val="00B32EB0"/>
    <w:rsid w:val="00B32EC0"/>
    <w:rsid w:val="00B330F6"/>
    <w:rsid w:val="00B33114"/>
    <w:rsid w:val="00B33137"/>
    <w:rsid w:val="00B3319A"/>
    <w:rsid w:val="00B333F1"/>
    <w:rsid w:val="00B3342F"/>
    <w:rsid w:val="00B33574"/>
    <w:rsid w:val="00B33579"/>
    <w:rsid w:val="00B3364B"/>
    <w:rsid w:val="00B33666"/>
    <w:rsid w:val="00B336DF"/>
    <w:rsid w:val="00B33730"/>
    <w:rsid w:val="00B33795"/>
    <w:rsid w:val="00B33808"/>
    <w:rsid w:val="00B338AD"/>
    <w:rsid w:val="00B33938"/>
    <w:rsid w:val="00B33958"/>
    <w:rsid w:val="00B33B2E"/>
    <w:rsid w:val="00B33B54"/>
    <w:rsid w:val="00B33B9A"/>
    <w:rsid w:val="00B33BB8"/>
    <w:rsid w:val="00B33C43"/>
    <w:rsid w:val="00B33CB9"/>
    <w:rsid w:val="00B33DB4"/>
    <w:rsid w:val="00B33DE0"/>
    <w:rsid w:val="00B33E40"/>
    <w:rsid w:val="00B33E59"/>
    <w:rsid w:val="00B33F3E"/>
    <w:rsid w:val="00B33FAB"/>
    <w:rsid w:val="00B3400F"/>
    <w:rsid w:val="00B3406D"/>
    <w:rsid w:val="00B340BA"/>
    <w:rsid w:val="00B34101"/>
    <w:rsid w:val="00B34192"/>
    <w:rsid w:val="00B34243"/>
    <w:rsid w:val="00B34258"/>
    <w:rsid w:val="00B34289"/>
    <w:rsid w:val="00B3430F"/>
    <w:rsid w:val="00B3435D"/>
    <w:rsid w:val="00B34366"/>
    <w:rsid w:val="00B343A4"/>
    <w:rsid w:val="00B34427"/>
    <w:rsid w:val="00B344D9"/>
    <w:rsid w:val="00B3452C"/>
    <w:rsid w:val="00B3466B"/>
    <w:rsid w:val="00B34689"/>
    <w:rsid w:val="00B346EA"/>
    <w:rsid w:val="00B3473F"/>
    <w:rsid w:val="00B34821"/>
    <w:rsid w:val="00B34865"/>
    <w:rsid w:val="00B349EC"/>
    <w:rsid w:val="00B34A2A"/>
    <w:rsid w:val="00B34A39"/>
    <w:rsid w:val="00B34A3C"/>
    <w:rsid w:val="00B34BCF"/>
    <w:rsid w:val="00B34C21"/>
    <w:rsid w:val="00B34C92"/>
    <w:rsid w:val="00B34CC2"/>
    <w:rsid w:val="00B34CD2"/>
    <w:rsid w:val="00B34CF8"/>
    <w:rsid w:val="00B34D87"/>
    <w:rsid w:val="00B34DEE"/>
    <w:rsid w:val="00B34E93"/>
    <w:rsid w:val="00B34EC3"/>
    <w:rsid w:val="00B34F80"/>
    <w:rsid w:val="00B34F8B"/>
    <w:rsid w:val="00B34F9F"/>
    <w:rsid w:val="00B34FE0"/>
    <w:rsid w:val="00B34FEA"/>
    <w:rsid w:val="00B35007"/>
    <w:rsid w:val="00B35046"/>
    <w:rsid w:val="00B3524E"/>
    <w:rsid w:val="00B35293"/>
    <w:rsid w:val="00B352EF"/>
    <w:rsid w:val="00B35327"/>
    <w:rsid w:val="00B3535A"/>
    <w:rsid w:val="00B3535C"/>
    <w:rsid w:val="00B353BC"/>
    <w:rsid w:val="00B35476"/>
    <w:rsid w:val="00B354DF"/>
    <w:rsid w:val="00B3563A"/>
    <w:rsid w:val="00B356EE"/>
    <w:rsid w:val="00B35747"/>
    <w:rsid w:val="00B35813"/>
    <w:rsid w:val="00B3583B"/>
    <w:rsid w:val="00B35943"/>
    <w:rsid w:val="00B35967"/>
    <w:rsid w:val="00B3598C"/>
    <w:rsid w:val="00B35AE7"/>
    <w:rsid w:val="00B35AF8"/>
    <w:rsid w:val="00B35BB3"/>
    <w:rsid w:val="00B35BD5"/>
    <w:rsid w:val="00B35C7A"/>
    <w:rsid w:val="00B35D2C"/>
    <w:rsid w:val="00B35D6E"/>
    <w:rsid w:val="00B35E95"/>
    <w:rsid w:val="00B35EFD"/>
    <w:rsid w:val="00B35FE2"/>
    <w:rsid w:val="00B36039"/>
    <w:rsid w:val="00B3605D"/>
    <w:rsid w:val="00B36062"/>
    <w:rsid w:val="00B36118"/>
    <w:rsid w:val="00B36186"/>
    <w:rsid w:val="00B361BC"/>
    <w:rsid w:val="00B361C8"/>
    <w:rsid w:val="00B36213"/>
    <w:rsid w:val="00B363F4"/>
    <w:rsid w:val="00B363FD"/>
    <w:rsid w:val="00B36418"/>
    <w:rsid w:val="00B36511"/>
    <w:rsid w:val="00B36629"/>
    <w:rsid w:val="00B36738"/>
    <w:rsid w:val="00B36777"/>
    <w:rsid w:val="00B367C0"/>
    <w:rsid w:val="00B3684C"/>
    <w:rsid w:val="00B3685D"/>
    <w:rsid w:val="00B36929"/>
    <w:rsid w:val="00B36A25"/>
    <w:rsid w:val="00B36A86"/>
    <w:rsid w:val="00B36AA2"/>
    <w:rsid w:val="00B36AC6"/>
    <w:rsid w:val="00B36AF9"/>
    <w:rsid w:val="00B36BAC"/>
    <w:rsid w:val="00B36C51"/>
    <w:rsid w:val="00B36C7F"/>
    <w:rsid w:val="00B36CBE"/>
    <w:rsid w:val="00B36D39"/>
    <w:rsid w:val="00B36DA1"/>
    <w:rsid w:val="00B36E90"/>
    <w:rsid w:val="00B36ED9"/>
    <w:rsid w:val="00B36EDF"/>
    <w:rsid w:val="00B36F70"/>
    <w:rsid w:val="00B36FD3"/>
    <w:rsid w:val="00B3701D"/>
    <w:rsid w:val="00B371AC"/>
    <w:rsid w:val="00B371BD"/>
    <w:rsid w:val="00B371C5"/>
    <w:rsid w:val="00B37268"/>
    <w:rsid w:val="00B373C5"/>
    <w:rsid w:val="00B373FB"/>
    <w:rsid w:val="00B375E2"/>
    <w:rsid w:val="00B3760A"/>
    <w:rsid w:val="00B37691"/>
    <w:rsid w:val="00B3769D"/>
    <w:rsid w:val="00B376D3"/>
    <w:rsid w:val="00B377C9"/>
    <w:rsid w:val="00B377D9"/>
    <w:rsid w:val="00B37851"/>
    <w:rsid w:val="00B3789B"/>
    <w:rsid w:val="00B37A0D"/>
    <w:rsid w:val="00B37A0F"/>
    <w:rsid w:val="00B37A8F"/>
    <w:rsid w:val="00B37AA4"/>
    <w:rsid w:val="00B37B0E"/>
    <w:rsid w:val="00B37B26"/>
    <w:rsid w:val="00B37B4A"/>
    <w:rsid w:val="00B37B76"/>
    <w:rsid w:val="00B37BB2"/>
    <w:rsid w:val="00B37CE1"/>
    <w:rsid w:val="00B37CEB"/>
    <w:rsid w:val="00B37D2A"/>
    <w:rsid w:val="00B37D6F"/>
    <w:rsid w:val="00B37EDC"/>
    <w:rsid w:val="00B40098"/>
    <w:rsid w:val="00B400BE"/>
    <w:rsid w:val="00B4015A"/>
    <w:rsid w:val="00B401E5"/>
    <w:rsid w:val="00B40399"/>
    <w:rsid w:val="00B40539"/>
    <w:rsid w:val="00B40584"/>
    <w:rsid w:val="00B4073C"/>
    <w:rsid w:val="00B40790"/>
    <w:rsid w:val="00B407A3"/>
    <w:rsid w:val="00B407CA"/>
    <w:rsid w:val="00B40865"/>
    <w:rsid w:val="00B4087F"/>
    <w:rsid w:val="00B4096C"/>
    <w:rsid w:val="00B40B1E"/>
    <w:rsid w:val="00B40B95"/>
    <w:rsid w:val="00B40C1D"/>
    <w:rsid w:val="00B40C9A"/>
    <w:rsid w:val="00B40CF0"/>
    <w:rsid w:val="00B40D60"/>
    <w:rsid w:val="00B40DB7"/>
    <w:rsid w:val="00B40EFD"/>
    <w:rsid w:val="00B41241"/>
    <w:rsid w:val="00B41243"/>
    <w:rsid w:val="00B41377"/>
    <w:rsid w:val="00B41398"/>
    <w:rsid w:val="00B41436"/>
    <w:rsid w:val="00B4156B"/>
    <w:rsid w:val="00B415B6"/>
    <w:rsid w:val="00B4165E"/>
    <w:rsid w:val="00B41701"/>
    <w:rsid w:val="00B41A06"/>
    <w:rsid w:val="00B41C39"/>
    <w:rsid w:val="00B41CDF"/>
    <w:rsid w:val="00B41D92"/>
    <w:rsid w:val="00B41E28"/>
    <w:rsid w:val="00B41E2C"/>
    <w:rsid w:val="00B41EF0"/>
    <w:rsid w:val="00B41F99"/>
    <w:rsid w:val="00B41FC0"/>
    <w:rsid w:val="00B42042"/>
    <w:rsid w:val="00B42065"/>
    <w:rsid w:val="00B420F6"/>
    <w:rsid w:val="00B42136"/>
    <w:rsid w:val="00B421B0"/>
    <w:rsid w:val="00B42209"/>
    <w:rsid w:val="00B42217"/>
    <w:rsid w:val="00B4232E"/>
    <w:rsid w:val="00B42353"/>
    <w:rsid w:val="00B423B9"/>
    <w:rsid w:val="00B423DC"/>
    <w:rsid w:val="00B423FF"/>
    <w:rsid w:val="00B4245E"/>
    <w:rsid w:val="00B42468"/>
    <w:rsid w:val="00B425F4"/>
    <w:rsid w:val="00B42715"/>
    <w:rsid w:val="00B42769"/>
    <w:rsid w:val="00B4289C"/>
    <w:rsid w:val="00B428D2"/>
    <w:rsid w:val="00B4294A"/>
    <w:rsid w:val="00B42964"/>
    <w:rsid w:val="00B42971"/>
    <w:rsid w:val="00B42994"/>
    <w:rsid w:val="00B42997"/>
    <w:rsid w:val="00B42B0C"/>
    <w:rsid w:val="00B42D22"/>
    <w:rsid w:val="00B42D4C"/>
    <w:rsid w:val="00B42E1E"/>
    <w:rsid w:val="00B42E28"/>
    <w:rsid w:val="00B42E7C"/>
    <w:rsid w:val="00B42F46"/>
    <w:rsid w:val="00B43062"/>
    <w:rsid w:val="00B4306C"/>
    <w:rsid w:val="00B430B6"/>
    <w:rsid w:val="00B430C8"/>
    <w:rsid w:val="00B430DA"/>
    <w:rsid w:val="00B43184"/>
    <w:rsid w:val="00B432B5"/>
    <w:rsid w:val="00B4340B"/>
    <w:rsid w:val="00B43474"/>
    <w:rsid w:val="00B43485"/>
    <w:rsid w:val="00B43528"/>
    <w:rsid w:val="00B435BD"/>
    <w:rsid w:val="00B43964"/>
    <w:rsid w:val="00B439BE"/>
    <w:rsid w:val="00B43BC8"/>
    <w:rsid w:val="00B43E69"/>
    <w:rsid w:val="00B43EA4"/>
    <w:rsid w:val="00B43F0B"/>
    <w:rsid w:val="00B43F55"/>
    <w:rsid w:val="00B440FA"/>
    <w:rsid w:val="00B44121"/>
    <w:rsid w:val="00B44193"/>
    <w:rsid w:val="00B441E2"/>
    <w:rsid w:val="00B4421B"/>
    <w:rsid w:val="00B442F6"/>
    <w:rsid w:val="00B4434F"/>
    <w:rsid w:val="00B4436B"/>
    <w:rsid w:val="00B44392"/>
    <w:rsid w:val="00B44541"/>
    <w:rsid w:val="00B4457F"/>
    <w:rsid w:val="00B4464F"/>
    <w:rsid w:val="00B446A9"/>
    <w:rsid w:val="00B446D5"/>
    <w:rsid w:val="00B44855"/>
    <w:rsid w:val="00B448B3"/>
    <w:rsid w:val="00B44976"/>
    <w:rsid w:val="00B44A82"/>
    <w:rsid w:val="00B44C8D"/>
    <w:rsid w:val="00B44D59"/>
    <w:rsid w:val="00B44D70"/>
    <w:rsid w:val="00B44EAB"/>
    <w:rsid w:val="00B44EDB"/>
    <w:rsid w:val="00B44EED"/>
    <w:rsid w:val="00B4506B"/>
    <w:rsid w:val="00B4523D"/>
    <w:rsid w:val="00B45349"/>
    <w:rsid w:val="00B453AA"/>
    <w:rsid w:val="00B453BA"/>
    <w:rsid w:val="00B45414"/>
    <w:rsid w:val="00B454FA"/>
    <w:rsid w:val="00B45500"/>
    <w:rsid w:val="00B455B3"/>
    <w:rsid w:val="00B455EE"/>
    <w:rsid w:val="00B45618"/>
    <w:rsid w:val="00B4563B"/>
    <w:rsid w:val="00B458EB"/>
    <w:rsid w:val="00B45967"/>
    <w:rsid w:val="00B459C1"/>
    <w:rsid w:val="00B45A10"/>
    <w:rsid w:val="00B45A2E"/>
    <w:rsid w:val="00B45A53"/>
    <w:rsid w:val="00B45AC4"/>
    <w:rsid w:val="00B45B08"/>
    <w:rsid w:val="00B45B13"/>
    <w:rsid w:val="00B45B1D"/>
    <w:rsid w:val="00B45B59"/>
    <w:rsid w:val="00B45B9B"/>
    <w:rsid w:val="00B45BC9"/>
    <w:rsid w:val="00B45CEC"/>
    <w:rsid w:val="00B45D67"/>
    <w:rsid w:val="00B45DF6"/>
    <w:rsid w:val="00B45FDE"/>
    <w:rsid w:val="00B46087"/>
    <w:rsid w:val="00B4608C"/>
    <w:rsid w:val="00B4615F"/>
    <w:rsid w:val="00B4626D"/>
    <w:rsid w:val="00B46273"/>
    <w:rsid w:val="00B4627D"/>
    <w:rsid w:val="00B462F6"/>
    <w:rsid w:val="00B46347"/>
    <w:rsid w:val="00B464CC"/>
    <w:rsid w:val="00B464D2"/>
    <w:rsid w:val="00B46554"/>
    <w:rsid w:val="00B4655B"/>
    <w:rsid w:val="00B465AF"/>
    <w:rsid w:val="00B465D1"/>
    <w:rsid w:val="00B4664E"/>
    <w:rsid w:val="00B466D0"/>
    <w:rsid w:val="00B46A2D"/>
    <w:rsid w:val="00B46A78"/>
    <w:rsid w:val="00B46BBC"/>
    <w:rsid w:val="00B46C42"/>
    <w:rsid w:val="00B46C7D"/>
    <w:rsid w:val="00B46CC6"/>
    <w:rsid w:val="00B46D2A"/>
    <w:rsid w:val="00B46E86"/>
    <w:rsid w:val="00B46E91"/>
    <w:rsid w:val="00B46ED0"/>
    <w:rsid w:val="00B47013"/>
    <w:rsid w:val="00B470A9"/>
    <w:rsid w:val="00B470B3"/>
    <w:rsid w:val="00B470EA"/>
    <w:rsid w:val="00B472A5"/>
    <w:rsid w:val="00B472DF"/>
    <w:rsid w:val="00B47417"/>
    <w:rsid w:val="00B4742A"/>
    <w:rsid w:val="00B4752B"/>
    <w:rsid w:val="00B4753F"/>
    <w:rsid w:val="00B475A5"/>
    <w:rsid w:val="00B475AE"/>
    <w:rsid w:val="00B4764A"/>
    <w:rsid w:val="00B47733"/>
    <w:rsid w:val="00B4775D"/>
    <w:rsid w:val="00B47873"/>
    <w:rsid w:val="00B4790F"/>
    <w:rsid w:val="00B479E7"/>
    <w:rsid w:val="00B479FB"/>
    <w:rsid w:val="00B47AF1"/>
    <w:rsid w:val="00B47BD2"/>
    <w:rsid w:val="00B47C58"/>
    <w:rsid w:val="00B47C70"/>
    <w:rsid w:val="00B47CB9"/>
    <w:rsid w:val="00B47EE0"/>
    <w:rsid w:val="00B47F22"/>
    <w:rsid w:val="00B47F73"/>
    <w:rsid w:val="00B47FD5"/>
    <w:rsid w:val="00B5002E"/>
    <w:rsid w:val="00B50052"/>
    <w:rsid w:val="00B50213"/>
    <w:rsid w:val="00B50367"/>
    <w:rsid w:val="00B504B0"/>
    <w:rsid w:val="00B504D1"/>
    <w:rsid w:val="00B50572"/>
    <w:rsid w:val="00B50660"/>
    <w:rsid w:val="00B50674"/>
    <w:rsid w:val="00B5071D"/>
    <w:rsid w:val="00B509C0"/>
    <w:rsid w:val="00B50A15"/>
    <w:rsid w:val="00B50AF1"/>
    <w:rsid w:val="00B50B09"/>
    <w:rsid w:val="00B50D4D"/>
    <w:rsid w:val="00B50D62"/>
    <w:rsid w:val="00B50D9C"/>
    <w:rsid w:val="00B50DAD"/>
    <w:rsid w:val="00B50ED7"/>
    <w:rsid w:val="00B51092"/>
    <w:rsid w:val="00B510C8"/>
    <w:rsid w:val="00B510F5"/>
    <w:rsid w:val="00B510F7"/>
    <w:rsid w:val="00B512DE"/>
    <w:rsid w:val="00B51307"/>
    <w:rsid w:val="00B514C3"/>
    <w:rsid w:val="00B5150B"/>
    <w:rsid w:val="00B51539"/>
    <w:rsid w:val="00B515CC"/>
    <w:rsid w:val="00B51679"/>
    <w:rsid w:val="00B51687"/>
    <w:rsid w:val="00B517AF"/>
    <w:rsid w:val="00B51884"/>
    <w:rsid w:val="00B518E7"/>
    <w:rsid w:val="00B5193D"/>
    <w:rsid w:val="00B51BA5"/>
    <w:rsid w:val="00B51DB6"/>
    <w:rsid w:val="00B51E78"/>
    <w:rsid w:val="00B51ED0"/>
    <w:rsid w:val="00B51EE3"/>
    <w:rsid w:val="00B52014"/>
    <w:rsid w:val="00B52029"/>
    <w:rsid w:val="00B520F5"/>
    <w:rsid w:val="00B52152"/>
    <w:rsid w:val="00B5231A"/>
    <w:rsid w:val="00B52350"/>
    <w:rsid w:val="00B52477"/>
    <w:rsid w:val="00B52485"/>
    <w:rsid w:val="00B524B6"/>
    <w:rsid w:val="00B525C6"/>
    <w:rsid w:val="00B526C2"/>
    <w:rsid w:val="00B5270C"/>
    <w:rsid w:val="00B527E9"/>
    <w:rsid w:val="00B52834"/>
    <w:rsid w:val="00B528AE"/>
    <w:rsid w:val="00B5291D"/>
    <w:rsid w:val="00B52A65"/>
    <w:rsid w:val="00B52B33"/>
    <w:rsid w:val="00B52B4F"/>
    <w:rsid w:val="00B52BA5"/>
    <w:rsid w:val="00B52DF6"/>
    <w:rsid w:val="00B52ECA"/>
    <w:rsid w:val="00B52ED5"/>
    <w:rsid w:val="00B52F38"/>
    <w:rsid w:val="00B52F68"/>
    <w:rsid w:val="00B5310A"/>
    <w:rsid w:val="00B531BB"/>
    <w:rsid w:val="00B531FE"/>
    <w:rsid w:val="00B5325E"/>
    <w:rsid w:val="00B53283"/>
    <w:rsid w:val="00B53308"/>
    <w:rsid w:val="00B533CE"/>
    <w:rsid w:val="00B53400"/>
    <w:rsid w:val="00B53447"/>
    <w:rsid w:val="00B534E9"/>
    <w:rsid w:val="00B534EC"/>
    <w:rsid w:val="00B5354D"/>
    <w:rsid w:val="00B5363D"/>
    <w:rsid w:val="00B5374C"/>
    <w:rsid w:val="00B537FC"/>
    <w:rsid w:val="00B53833"/>
    <w:rsid w:val="00B538CD"/>
    <w:rsid w:val="00B53A61"/>
    <w:rsid w:val="00B53B4B"/>
    <w:rsid w:val="00B53BC6"/>
    <w:rsid w:val="00B53CC9"/>
    <w:rsid w:val="00B53D05"/>
    <w:rsid w:val="00B53D1F"/>
    <w:rsid w:val="00B53F15"/>
    <w:rsid w:val="00B53FB3"/>
    <w:rsid w:val="00B540B9"/>
    <w:rsid w:val="00B54121"/>
    <w:rsid w:val="00B5422C"/>
    <w:rsid w:val="00B5440D"/>
    <w:rsid w:val="00B54470"/>
    <w:rsid w:val="00B54491"/>
    <w:rsid w:val="00B544FB"/>
    <w:rsid w:val="00B545EB"/>
    <w:rsid w:val="00B54735"/>
    <w:rsid w:val="00B54743"/>
    <w:rsid w:val="00B54749"/>
    <w:rsid w:val="00B5493E"/>
    <w:rsid w:val="00B54B69"/>
    <w:rsid w:val="00B54BA8"/>
    <w:rsid w:val="00B54BBA"/>
    <w:rsid w:val="00B54BE4"/>
    <w:rsid w:val="00B54BF6"/>
    <w:rsid w:val="00B54C5A"/>
    <w:rsid w:val="00B54C72"/>
    <w:rsid w:val="00B54D67"/>
    <w:rsid w:val="00B54D83"/>
    <w:rsid w:val="00B54E34"/>
    <w:rsid w:val="00B54E7D"/>
    <w:rsid w:val="00B54EC3"/>
    <w:rsid w:val="00B54FA4"/>
    <w:rsid w:val="00B5507E"/>
    <w:rsid w:val="00B550C8"/>
    <w:rsid w:val="00B550DD"/>
    <w:rsid w:val="00B552BE"/>
    <w:rsid w:val="00B5537C"/>
    <w:rsid w:val="00B5563D"/>
    <w:rsid w:val="00B5565A"/>
    <w:rsid w:val="00B556B6"/>
    <w:rsid w:val="00B556CC"/>
    <w:rsid w:val="00B558E4"/>
    <w:rsid w:val="00B559DD"/>
    <w:rsid w:val="00B55AD6"/>
    <w:rsid w:val="00B55AF3"/>
    <w:rsid w:val="00B55B04"/>
    <w:rsid w:val="00B55B11"/>
    <w:rsid w:val="00B55B90"/>
    <w:rsid w:val="00B55D2E"/>
    <w:rsid w:val="00B55D32"/>
    <w:rsid w:val="00B55E50"/>
    <w:rsid w:val="00B55ECF"/>
    <w:rsid w:val="00B55FF7"/>
    <w:rsid w:val="00B560FA"/>
    <w:rsid w:val="00B5610F"/>
    <w:rsid w:val="00B5616D"/>
    <w:rsid w:val="00B56205"/>
    <w:rsid w:val="00B56273"/>
    <w:rsid w:val="00B562C5"/>
    <w:rsid w:val="00B56394"/>
    <w:rsid w:val="00B56429"/>
    <w:rsid w:val="00B56482"/>
    <w:rsid w:val="00B56504"/>
    <w:rsid w:val="00B56587"/>
    <w:rsid w:val="00B56622"/>
    <w:rsid w:val="00B5673D"/>
    <w:rsid w:val="00B56800"/>
    <w:rsid w:val="00B56886"/>
    <w:rsid w:val="00B56A3C"/>
    <w:rsid w:val="00B56A5D"/>
    <w:rsid w:val="00B56A9E"/>
    <w:rsid w:val="00B56AF0"/>
    <w:rsid w:val="00B56B10"/>
    <w:rsid w:val="00B56B45"/>
    <w:rsid w:val="00B56B7C"/>
    <w:rsid w:val="00B56C63"/>
    <w:rsid w:val="00B56C64"/>
    <w:rsid w:val="00B56CB1"/>
    <w:rsid w:val="00B56CCF"/>
    <w:rsid w:val="00B56D1A"/>
    <w:rsid w:val="00B56D3B"/>
    <w:rsid w:val="00B56D69"/>
    <w:rsid w:val="00B56E95"/>
    <w:rsid w:val="00B56EBD"/>
    <w:rsid w:val="00B56ED8"/>
    <w:rsid w:val="00B56FA0"/>
    <w:rsid w:val="00B56FA6"/>
    <w:rsid w:val="00B56FB1"/>
    <w:rsid w:val="00B57147"/>
    <w:rsid w:val="00B57313"/>
    <w:rsid w:val="00B57334"/>
    <w:rsid w:val="00B5742F"/>
    <w:rsid w:val="00B5744B"/>
    <w:rsid w:val="00B57495"/>
    <w:rsid w:val="00B574AD"/>
    <w:rsid w:val="00B574B3"/>
    <w:rsid w:val="00B575E3"/>
    <w:rsid w:val="00B57652"/>
    <w:rsid w:val="00B5776E"/>
    <w:rsid w:val="00B57793"/>
    <w:rsid w:val="00B5781E"/>
    <w:rsid w:val="00B57844"/>
    <w:rsid w:val="00B57915"/>
    <w:rsid w:val="00B57960"/>
    <w:rsid w:val="00B5798F"/>
    <w:rsid w:val="00B57993"/>
    <w:rsid w:val="00B57A0A"/>
    <w:rsid w:val="00B57A48"/>
    <w:rsid w:val="00B57A54"/>
    <w:rsid w:val="00B57B0B"/>
    <w:rsid w:val="00B57D47"/>
    <w:rsid w:val="00B57D71"/>
    <w:rsid w:val="00B57EEB"/>
    <w:rsid w:val="00B6006F"/>
    <w:rsid w:val="00B60099"/>
    <w:rsid w:val="00B600EA"/>
    <w:rsid w:val="00B601BB"/>
    <w:rsid w:val="00B601D1"/>
    <w:rsid w:val="00B601D3"/>
    <w:rsid w:val="00B602C6"/>
    <w:rsid w:val="00B603AA"/>
    <w:rsid w:val="00B603D9"/>
    <w:rsid w:val="00B60435"/>
    <w:rsid w:val="00B605FA"/>
    <w:rsid w:val="00B606FC"/>
    <w:rsid w:val="00B6097D"/>
    <w:rsid w:val="00B609C6"/>
    <w:rsid w:val="00B609DC"/>
    <w:rsid w:val="00B60A0F"/>
    <w:rsid w:val="00B60B89"/>
    <w:rsid w:val="00B60D1A"/>
    <w:rsid w:val="00B60D54"/>
    <w:rsid w:val="00B60D81"/>
    <w:rsid w:val="00B60F0A"/>
    <w:rsid w:val="00B60F0F"/>
    <w:rsid w:val="00B60F23"/>
    <w:rsid w:val="00B60F61"/>
    <w:rsid w:val="00B60FEA"/>
    <w:rsid w:val="00B61116"/>
    <w:rsid w:val="00B6117D"/>
    <w:rsid w:val="00B611A1"/>
    <w:rsid w:val="00B611B6"/>
    <w:rsid w:val="00B61428"/>
    <w:rsid w:val="00B614ED"/>
    <w:rsid w:val="00B614F1"/>
    <w:rsid w:val="00B6158B"/>
    <w:rsid w:val="00B6159C"/>
    <w:rsid w:val="00B615EA"/>
    <w:rsid w:val="00B61648"/>
    <w:rsid w:val="00B61656"/>
    <w:rsid w:val="00B616AD"/>
    <w:rsid w:val="00B61741"/>
    <w:rsid w:val="00B617D9"/>
    <w:rsid w:val="00B617DD"/>
    <w:rsid w:val="00B618C9"/>
    <w:rsid w:val="00B61A04"/>
    <w:rsid w:val="00B61A88"/>
    <w:rsid w:val="00B61B11"/>
    <w:rsid w:val="00B61B9E"/>
    <w:rsid w:val="00B61C0D"/>
    <w:rsid w:val="00B61C3B"/>
    <w:rsid w:val="00B61CD7"/>
    <w:rsid w:val="00B61D77"/>
    <w:rsid w:val="00B61EDB"/>
    <w:rsid w:val="00B6205A"/>
    <w:rsid w:val="00B6213D"/>
    <w:rsid w:val="00B622D5"/>
    <w:rsid w:val="00B62465"/>
    <w:rsid w:val="00B624A1"/>
    <w:rsid w:val="00B62525"/>
    <w:rsid w:val="00B625A3"/>
    <w:rsid w:val="00B62700"/>
    <w:rsid w:val="00B62817"/>
    <w:rsid w:val="00B62883"/>
    <w:rsid w:val="00B62957"/>
    <w:rsid w:val="00B6295B"/>
    <w:rsid w:val="00B6297F"/>
    <w:rsid w:val="00B6299A"/>
    <w:rsid w:val="00B62A18"/>
    <w:rsid w:val="00B62B96"/>
    <w:rsid w:val="00B62D36"/>
    <w:rsid w:val="00B62E30"/>
    <w:rsid w:val="00B62EE3"/>
    <w:rsid w:val="00B62F3B"/>
    <w:rsid w:val="00B62F70"/>
    <w:rsid w:val="00B62F79"/>
    <w:rsid w:val="00B63016"/>
    <w:rsid w:val="00B6306F"/>
    <w:rsid w:val="00B63079"/>
    <w:rsid w:val="00B63114"/>
    <w:rsid w:val="00B631B8"/>
    <w:rsid w:val="00B631FB"/>
    <w:rsid w:val="00B63416"/>
    <w:rsid w:val="00B63497"/>
    <w:rsid w:val="00B634BB"/>
    <w:rsid w:val="00B634BC"/>
    <w:rsid w:val="00B634C9"/>
    <w:rsid w:val="00B63531"/>
    <w:rsid w:val="00B63575"/>
    <w:rsid w:val="00B635AC"/>
    <w:rsid w:val="00B635E3"/>
    <w:rsid w:val="00B6362C"/>
    <w:rsid w:val="00B63758"/>
    <w:rsid w:val="00B637E5"/>
    <w:rsid w:val="00B63802"/>
    <w:rsid w:val="00B6387E"/>
    <w:rsid w:val="00B63893"/>
    <w:rsid w:val="00B638D1"/>
    <w:rsid w:val="00B63914"/>
    <w:rsid w:val="00B6391B"/>
    <w:rsid w:val="00B639DD"/>
    <w:rsid w:val="00B63A3E"/>
    <w:rsid w:val="00B63C22"/>
    <w:rsid w:val="00B63C39"/>
    <w:rsid w:val="00B63C43"/>
    <w:rsid w:val="00B63E7C"/>
    <w:rsid w:val="00B63EB8"/>
    <w:rsid w:val="00B63EFF"/>
    <w:rsid w:val="00B63F38"/>
    <w:rsid w:val="00B63F5E"/>
    <w:rsid w:val="00B6403E"/>
    <w:rsid w:val="00B64198"/>
    <w:rsid w:val="00B641DD"/>
    <w:rsid w:val="00B641E8"/>
    <w:rsid w:val="00B641FC"/>
    <w:rsid w:val="00B64374"/>
    <w:rsid w:val="00B64420"/>
    <w:rsid w:val="00B64438"/>
    <w:rsid w:val="00B645FD"/>
    <w:rsid w:val="00B646EE"/>
    <w:rsid w:val="00B64766"/>
    <w:rsid w:val="00B64866"/>
    <w:rsid w:val="00B6486E"/>
    <w:rsid w:val="00B64892"/>
    <w:rsid w:val="00B6489F"/>
    <w:rsid w:val="00B64913"/>
    <w:rsid w:val="00B64929"/>
    <w:rsid w:val="00B6493E"/>
    <w:rsid w:val="00B649AF"/>
    <w:rsid w:val="00B64A14"/>
    <w:rsid w:val="00B64A48"/>
    <w:rsid w:val="00B64AFF"/>
    <w:rsid w:val="00B64C2A"/>
    <w:rsid w:val="00B64C38"/>
    <w:rsid w:val="00B64C5E"/>
    <w:rsid w:val="00B64C64"/>
    <w:rsid w:val="00B64C85"/>
    <w:rsid w:val="00B64D0E"/>
    <w:rsid w:val="00B64D42"/>
    <w:rsid w:val="00B64D9E"/>
    <w:rsid w:val="00B64DCF"/>
    <w:rsid w:val="00B64E76"/>
    <w:rsid w:val="00B64EB8"/>
    <w:rsid w:val="00B64ECA"/>
    <w:rsid w:val="00B64EEA"/>
    <w:rsid w:val="00B64F86"/>
    <w:rsid w:val="00B65095"/>
    <w:rsid w:val="00B650C8"/>
    <w:rsid w:val="00B65145"/>
    <w:rsid w:val="00B6515E"/>
    <w:rsid w:val="00B65206"/>
    <w:rsid w:val="00B65268"/>
    <w:rsid w:val="00B65347"/>
    <w:rsid w:val="00B653C4"/>
    <w:rsid w:val="00B653F4"/>
    <w:rsid w:val="00B65428"/>
    <w:rsid w:val="00B65487"/>
    <w:rsid w:val="00B6559A"/>
    <w:rsid w:val="00B656F9"/>
    <w:rsid w:val="00B65796"/>
    <w:rsid w:val="00B657C5"/>
    <w:rsid w:val="00B65825"/>
    <w:rsid w:val="00B6583F"/>
    <w:rsid w:val="00B658CF"/>
    <w:rsid w:val="00B65923"/>
    <w:rsid w:val="00B65972"/>
    <w:rsid w:val="00B65AFB"/>
    <w:rsid w:val="00B65B96"/>
    <w:rsid w:val="00B65C05"/>
    <w:rsid w:val="00B65C7A"/>
    <w:rsid w:val="00B65C86"/>
    <w:rsid w:val="00B65D03"/>
    <w:rsid w:val="00B65DDA"/>
    <w:rsid w:val="00B65DE1"/>
    <w:rsid w:val="00B65E46"/>
    <w:rsid w:val="00B65E4B"/>
    <w:rsid w:val="00B65F68"/>
    <w:rsid w:val="00B660DB"/>
    <w:rsid w:val="00B660F3"/>
    <w:rsid w:val="00B66115"/>
    <w:rsid w:val="00B66121"/>
    <w:rsid w:val="00B6613F"/>
    <w:rsid w:val="00B661A2"/>
    <w:rsid w:val="00B661BA"/>
    <w:rsid w:val="00B66418"/>
    <w:rsid w:val="00B66472"/>
    <w:rsid w:val="00B664AB"/>
    <w:rsid w:val="00B665B8"/>
    <w:rsid w:val="00B66663"/>
    <w:rsid w:val="00B666A9"/>
    <w:rsid w:val="00B667C0"/>
    <w:rsid w:val="00B667DA"/>
    <w:rsid w:val="00B6681E"/>
    <w:rsid w:val="00B6689E"/>
    <w:rsid w:val="00B668C9"/>
    <w:rsid w:val="00B66973"/>
    <w:rsid w:val="00B669A7"/>
    <w:rsid w:val="00B66B14"/>
    <w:rsid w:val="00B66C08"/>
    <w:rsid w:val="00B66C15"/>
    <w:rsid w:val="00B66D0E"/>
    <w:rsid w:val="00B66D39"/>
    <w:rsid w:val="00B66D81"/>
    <w:rsid w:val="00B66DE2"/>
    <w:rsid w:val="00B66E1E"/>
    <w:rsid w:val="00B66E61"/>
    <w:rsid w:val="00B66E84"/>
    <w:rsid w:val="00B66EBD"/>
    <w:rsid w:val="00B66EDF"/>
    <w:rsid w:val="00B66F4E"/>
    <w:rsid w:val="00B6700D"/>
    <w:rsid w:val="00B6710A"/>
    <w:rsid w:val="00B6710B"/>
    <w:rsid w:val="00B67113"/>
    <w:rsid w:val="00B671EB"/>
    <w:rsid w:val="00B67222"/>
    <w:rsid w:val="00B6731C"/>
    <w:rsid w:val="00B6744E"/>
    <w:rsid w:val="00B675EB"/>
    <w:rsid w:val="00B6769B"/>
    <w:rsid w:val="00B6773C"/>
    <w:rsid w:val="00B6780A"/>
    <w:rsid w:val="00B678D6"/>
    <w:rsid w:val="00B67943"/>
    <w:rsid w:val="00B67A32"/>
    <w:rsid w:val="00B67B08"/>
    <w:rsid w:val="00B67BE0"/>
    <w:rsid w:val="00B67E82"/>
    <w:rsid w:val="00B67E84"/>
    <w:rsid w:val="00B7001D"/>
    <w:rsid w:val="00B70045"/>
    <w:rsid w:val="00B70075"/>
    <w:rsid w:val="00B7008C"/>
    <w:rsid w:val="00B70149"/>
    <w:rsid w:val="00B7017F"/>
    <w:rsid w:val="00B70196"/>
    <w:rsid w:val="00B701EC"/>
    <w:rsid w:val="00B70222"/>
    <w:rsid w:val="00B70241"/>
    <w:rsid w:val="00B70274"/>
    <w:rsid w:val="00B702C3"/>
    <w:rsid w:val="00B703CC"/>
    <w:rsid w:val="00B7041C"/>
    <w:rsid w:val="00B705A7"/>
    <w:rsid w:val="00B706D1"/>
    <w:rsid w:val="00B706FB"/>
    <w:rsid w:val="00B70725"/>
    <w:rsid w:val="00B7087A"/>
    <w:rsid w:val="00B7087F"/>
    <w:rsid w:val="00B7089D"/>
    <w:rsid w:val="00B708A2"/>
    <w:rsid w:val="00B70973"/>
    <w:rsid w:val="00B709DB"/>
    <w:rsid w:val="00B70A39"/>
    <w:rsid w:val="00B70A88"/>
    <w:rsid w:val="00B70ADE"/>
    <w:rsid w:val="00B70B20"/>
    <w:rsid w:val="00B70B84"/>
    <w:rsid w:val="00B70E7E"/>
    <w:rsid w:val="00B70EDE"/>
    <w:rsid w:val="00B70F08"/>
    <w:rsid w:val="00B710EE"/>
    <w:rsid w:val="00B71200"/>
    <w:rsid w:val="00B7124C"/>
    <w:rsid w:val="00B7125B"/>
    <w:rsid w:val="00B712F1"/>
    <w:rsid w:val="00B71351"/>
    <w:rsid w:val="00B713FA"/>
    <w:rsid w:val="00B71439"/>
    <w:rsid w:val="00B71448"/>
    <w:rsid w:val="00B71501"/>
    <w:rsid w:val="00B715AA"/>
    <w:rsid w:val="00B715C4"/>
    <w:rsid w:val="00B7184D"/>
    <w:rsid w:val="00B71874"/>
    <w:rsid w:val="00B719EC"/>
    <w:rsid w:val="00B71ADB"/>
    <w:rsid w:val="00B71B43"/>
    <w:rsid w:val="00B71B51"/>
    <w:rsid w:val="00B71BDE"/>
    <w:rsid w:val="00B71BF3"/>
    <w:rsid w:val="00B71BF9"/>
    <w:rsid w:val="00B71C24"/>
    <w:rsid w:val="00B71C79"/>
    <w:rsid w:val="00B71CE0"/>
    <w:rsid w:val="00B71D06"/>
    <w:rsid w:val="00B71D17"/>
    <w:rsid w:val="00B71D67"/>
    <w:rsid w:val="00B71E08"/>
    <w:rsid w:val="00B71F35"/>
    <w:rsid w:val="00B71F4C"/>
    <w:rsid w:val="00B71F85"/>
    <w:rsid w:val="00B71F8D"/>
    <w:rsid w:val="00B72021"/>
    <w:rsid w:val="00B72095"/>
    <w:rsid w:val="00B72194"/>
    <w:rsid w:val="00B7220E"/>
    <w:rsid w:val="00B72268"/>
    <w:rsid w:val="00B725CB"/>
    <w:rsid w:val="00B725E6"/>
    <w:rsid w:val="00B725E7"/>
    <w:rsid w:val="00B7261C"/>
    <w:rsid w:val="00B7268D"/>
    <w:rsid w:val="00B7269A"/>
    <w:rsid w:val="00B72743"/>
    <w:rsid w:val="00B72796"/>
    <w:rsid w:val="00B7279E"/>
    <w:rsid w:val="00B72842"/>
    <w:rsid w:val="00B729F5"/>
    <w:rsid w:val="00B72A1A"/>
    <w:rsid w:val="00B72A72"/>
    <w:rsid w:val="00B72AF0"/>
    <w:rsid w:val="00B72AF6"/>
    <w:rsid w:val="00B72BA1"/>
    <w:rsid w:val="00B72CAF"/>
    <w:rsid w:val="00B72D4A"/>
    <w:rsid w:val="00B72E77"/>
    <w:rsid w:val="00B72EA6"/>
    <w:rsid w:val="00B72F15"/>
    <w:rsid w:val="00B73091"/>
    <w:rsid w:val="00B730C8"/>
    <w:rsid w:val="00B7317C"/>
    <w:rsid w:val="00B732F7"/>
    <w:rsid w:val="00B73309"/>
    <w:rsid w:val="00B7339B"/>
    <w:rsid w:val="00B733C0"/>
    <w:rsid w:val="00B73455"/>
    <w:rsid w:val="00B735D2"/>
    <w:rsid w:val="00B7365B"/>
    <w:rsid w:val="00B73663"/>
    <w:rsid w:val="00B7366E"/>
    <w:rsid w:val="00B736A7"/>
    <w:rsid w:val="00B737EB"/>
    <w:rsid w:val="00B73837"/>
    <w:rsid w:val="00B73856"/>
    <w:rsid w:val="00B73990"/>
    <w:rsid w:val="00B73B1B"/>
    <w:rsid w:val="00B73B3A"/>
    <w:rsid w:val="00B73BFF"/>
    <w:rsid w:val="00B73D61"/>
    <w:rsid w:val="00B73EBF"/>
    <w:rsid w:val="00B73F62"/>
    <w:rsid w:val="00B73F6A"/>
    <w:rsid w:val="00B73F73"/>
    <w:rsid w:val="00B7404A"/>
    <w:rsid w:val="00B7414E"/>
    <w:rsid w:val="00B74281"/>
    <w:rsid w:val="00B7446C"/>
    <w:rsid w:val="00B74490"/>
    <w:rsid w:val="00B7466B"/>
    <w:rsid w:val="00B74699"/>
    <w:rsid w:val="00B7469D"/>
    <w:rsid w:val="00B7470B"/>
    <w:rsid w:val="00B747A1"/>
    <w:rsid w:val="00B747B5"/>
    <w:rsid w:val="00B74DDF"/>
    <w:rsid w:val="00B74EC2"/>
    <w:rsid w:val="00B74F1A"/>
    <w:rsid w:val="00B74F32"/>
    <w:rsid w:val="00B75072"/>
    <w:rsid w:val="00B751D4"/>
    <w:rsid w:val="00B751FF"/>
    <w:rsid w:val="00B7535D"/>
    <w:rsid w:val="00B75383"/>
    <w:rsid w:val="00B7538C"/>
    <w:rsid w:val="00B753E6"/>
    <w:rsid w:val="00B7543B"/>
    <w:rsid w:val="00B754C8"/>
    <w:rsid w:val="00B754CA"/>
    <w:rsid w:val="00B754E7"/>
    <w:rsid w:val="00B755CE"/>
    <w:rsid w:val="00B7561D"/>
    <w:rsid w:val="00B75646"/>
    <w:rsid w:val="00B7574A"/>
    <w:rsid w:val="00B75762"/>
    <w:rsid w:val="00B75763"/>
    <w:rsid w:val="00B757E0"/>
    <w:rsid w:val="00B75839"/>
    <w:rsid w:val="00B758D2"/>
    <w:rsid w:val="00B7599E"/>
    <w:rsid w:val="00B75A78"/>
    <w:rsid w:val="00B75BAA"/>
    <w:rsid w:val="00B75C10"/>
    <w:rsid w:val="00B75C2D"/>
    <w:rsid w:val="00B75C6F"/>
    <w:rsid w:val="00B75CF3"/>
    <w:rsid w:val="00B75D70"/>
    <w:rsid w:val="00B75EDF"/>
    <w:rsid w:val="00B75F0B"/>
    <w:rsid w:val="00B76057"/>
    <w:rsid w:val="00B761C1"/>
    <w:rsid w:val="00B7620E"/>
    <w:rsid w:val="00B7626B"/>
    <w:rsid w:val="00B762BA"/>
    <w:rsid w:val="00B7638F"/>
    <w:rsid w:val="00B764B7"/>
    <w:rsid w:val="00B76554"/>
    <w:rsid w:val="00B76704"/>
    <w:rsid w:val="00B767ED"/>
    <w:rsid w:val="00B768E0"/>
    <w:rsid w:val="00B7692E"/>
    <w:rsid w:val="00B769F3"/>
    <w:rsid w:val="00B76BE9"/>
    <w:rsid w:val="00B76CDB"/>
    <w:rsid w:val="00B76D06"/>
    <w:rsid w:val="00B76DE4"/>
    <w:rsid w:val="00B76E2F"/>
    <w:rsid w:val="00B76EBF"/>
    <w:rsid w:val="00B76EC0"/>
    <w:rsid w:val="00B76F12"/>
    <w:rsid w:val="00B76F66"/>
    <w:rsid w:val="00B7703C"/>
    <w:rsid w:val="00B7706F"/>
    <w:rsid w:val="00B7715F"/>
    <w:rsid w:val="00B77183"/>
    <w:rsid w:val="00B771E9"/>
    <w:rsid w:val="00B771F9"/>
    <w:rsid w:val="00B7720E"/>
    <w:rsid w:val="00B77266"/>
    <w:rsid w:val="00B77411"/>
    <w:rsid w:val="00B774F6"/>
    <w:rsid w:val="00B775E2"/>
    <w:rsid w:val="00B775EE"/>
    <w:rsid w:val="00B776FA"/>
    <w:rsid w:val="00B77A19"/>
    <w:rsid w:val="00B77AF1"/>
    <w:rsid w:val="00B77B9C"/>
    <w:rsid w:val="00B77C91"/>
    <w:rsid w:val="00B77CA9"/>
    <w:rsid w:val="00B77CC2"/>
    <w:rsid w:val="00B77CF9"/>
    <w:rsid w:val="00B77D2D"/>
    <w:rsid w:val="00B77E8F"/>
    <w:rsid w:val="00B77F12"/>
    <w:rsid w:val="00B77F76"/>
    <w:rsid w:val="00B80073"/>
    <w:rsid w:val="00B800D3"/>
    <w:rsid w:val="00B800D5"/>
    <w:rsid w:val="00B800E1"/>
    <w:rsid w:val="00B801C1"/>
    <w:rsid w:val="00B80214"/>
    <w:rsid w:val="00B8024C"/>
    <w:rsid w:val="00B80255"/>
    <w:rsid w:val="00B802DC"/>
    <w:rsid w:val="00B802DD"/>
    <w:rsid w:val="00B8036C"/>
    <w:rsid w:val="00B8038C"/>
    <w:rsid w:val="00B80423"/>
    <w:rsid w:val="00B8052A"/>
    <w:rsid w:val="00B80536"/>
    <w:rsid w:val="00B80626"/>
    <w:rsid w:val="00B80734"/>
    <w:rsid w:val="00B80740"/>
    <w:rsid w:val="00B80770"/>
    <w:rsid w:val="00B807E9"/>
    <w:rsid w:val="00B80897"/>
    <w:rsid w:val="00B80A37"/>
    <w:rsid w:val="00B80A46"/>
    <w:rsid w:val="00B80AA6"/>
    <w:rsid w:val="00B80AA9"/>
    <w:rsid w:val="00B80ADC"/>
    <w:rsid w:val="00B80C5B"/>
    <w:rsid w:val="00B80C65"/>
    <w:rsid w:val="00B80DC0"/>
    <w:rsid w:val="00B80DF9"/>
    <w:rsid w:val="00B80E16"/>
    <w:rsid w:val="00B80E43"/>
    <w:rsid w:val="00B80F6E"/>
    <w:rsid w:val="00B80F77"/>
    <w:rsid w:val="00B80F82"/>
    <w:rsid w:val="00B80F93"/>
    <w:rsid w:val="00B810B8"/>
    <w:rsid w:val="00B810C6"/>
    <w:rsid w:val="00B81123"/>
    <w:rsid w:val="00B8139F"/>
    <w:rsid w:val="00B8142C"/>
    <w:rsid w:val="00B81438"/>
    <w:rsid w:val="00B81478"/>
    <w:rsid w:val="00B8156F"/>
    <w:rsid w:val="00B815E0"/>
    <w:rsid w:val="00B8160A"/>
    <w:rsid w:val="00B8161A"/>
    <w:rsid w:val="00B81624"/>
    <w:rsid w:val="00B81651"/>
    <w:rsid w:val="00B816E6"/>
    <w:rsid w:val="00B8171B"/>
    <w:rsid w:val="00B818B8"/>
    <w:rsid w:val="00B81969"/>
    <w:rsid w:val="00B819D4"/>
    <w:rsid w:val="00B81A35"/>
    <w:rsid w:val="00B81A5B"/>
    <w:rsid w:val="00B81AB1"/>
    <w:rsid w:val="00B81AE7"/>
    <w:rsid w:val="00B81B34"/>
    <w:rsid w:val="00B81CAF"/>
    <w:rsid w:val="00B81CBD"/>
    <w:rsid w:val="00B81D06"/>
    <w:rsid w:val="00B81DAE"/>
    <w:rsid w:val="00B81F40"/>
    <w:rsid w:val="00B81F46"/>
    <w:rsid w:val="00B82073"/>
    <w:rsid w:val="00B820D5"/>
    <w:rsid w:val="00B820FF"/>
    <w:rsid w:val="00B82215"/>
    <w:rsid w:val="00B822B3"/>
    <w:rsid w:val="00B822C2"/>
    <w:rsid w:val="00B82384"/>
    <w:rsid w:val="00B82439"/>
    <w:rsid w:val="00B825D1"/>
    <w:rsid w:val="00B825D7"/>
    <w:rsid w:val="00B82630"/>
    <w:rsid w:val="00B8264A"/>
    <w:rsid w:val="00B826F7"/>
    <w:rsid w:val="00B8281C"/>
    <w:rsid w:val="00B8282F"/>
    <w:rsid w:val="00B82831"/>
    <w:rsid w:val="00B829CB"/>
    <w:rsid w:val="00B82A39"/>
    <w:rsid w:val="00B82B42"/>
    <w:rsid w:val="00B82C22"/>
    <w:rsid w:val="00B82C29"/>
    <w:rsid w:val="00B82CD3"/>
    <w:rsid w:val="00B82CFF"/>
    <w:rsid w:val="00B82D55"/>
    <w:rsid w:val="00B82D5C"/>
    <w:rsid w:val="00B82DAA"/>
    <w:rsid w:val="00B82DAC"/>
    <w:rsid w:val="00B82DE8"/>
    <w:rsid w:val="00B82E79"/>
    <w:rsid w:val="00B82F2C"/>
    <w:rsid w:val="00B83040"/>
    <w:rsid w:val="00B830D7"/>
    <w:rsid w:val="00B83187"/>
    <w:rsid w:val="00B83346"/>
    <w:rsid w:val="00B83362"/>
    <w:rsid w:val="00B833B6"/>
    <w:rsid w:val="00B8343B"/>
    <w:rsid w:val="00B83445"/>
    <w:rsid w:val="00B83451"/>
    <w:rsid w:val="00B83619"/>
    <w:rsid w:val="00B83707"/>
    <w:rsid w:val="00B8373F"/>
    <w:rsid w:val="00B83994"/>
    <w:rsid w:val="00B83A5B"/>
    <w:rsid w:val="00B83A8C"/>
    <w:rsid w:val="00B83B34"/>
    <w:rsid w:val="00B83B52"/>
    <w:rsid w:val="00B83B8D"/>
    <w:rsid w:val="00B83BC2"/>
    <w:rsid w:val="00B83BD9"/>
    <w:rsid w:val="00B83C7B"/>
    <w:rsid w:val="00B83CB1"/>
    <w:rsid w:val="00B83E14"/>
    <w:rsid w:val="00B83FCB"/>
    <w:rsid w:val="00B83FD4"/>
    <w:rsid w:val="00B8400C"/>
    <w:rsid w:val="00B84134"/>
    <w:rsid w:val="00B84205"/>
    <w:rsid w:val="00B8427E"/>
    <w:rsid w:val="00B84305"/>
    <w:rsid w:val="00B84377"/>
    <w:rsid w:val="00B844B6"/>
    <w:rsid w:val="00B845E9"/>
    <w:rsid w:val="00B84634"/>
    <w:rsid w:val="00B84635"/>
    <w:rsid w:val="00B84699"/>
    <w:rsid w:val="00B84789"/>
    <w:rsid w:val="00B847A6"/>
    <w:rsid w:val="00B84815"/>
    <w:rsid w:val="00B849DB"/>
    <w:rsid w:val="00B84A65"/>
    <w:rsid w:val="00B84BD0"/>
    <w:rsid w:val="00B84D38"/>
    <w:rsid w:val="00B84D48"/>
    <w:rsid w:val="00B84DB6"/>
    <w:rsid w:val="00B84DFA"/>
    <w:rsid w:val="00B84F7B"/>
    <w:rsid w:val="00B84F89"/>
    <w:rsid w:val="00B84FB4"/>
    <w:rsid w:val="00B85013"/>
    <w:rsid w:val="00B850AF"/>
    <w:rsid w:val="00B850CE"/>
    <w:rsid w:val="00B85144"/>
    <w:rsid w:val="00B85191"/>
    <w:rsid w:val="00B8539D"/>
    <w:rsid w:val="00B85531"/>
    <w:rsid w:val="00B8566E"/>
    <w:rsid w:val="00B8568C"/>
    <w:rsid w:val="00B856BF"/>
    <w:rsid w:val="00B85767"/>
    <w:rsid w:val="00B8576F"/>
    <w:rsid w:val="00B85824"/>
    <w:rsid w:val="00B85978"/>
    <w:rsid w:val="00B85AA7"/>
    <w:rsid w:val="00B85B26"/>
    <w:rsid w:val="00B85B9C"/>
    <w:rsid w:val="00B85BC1"/>
    <w:rsid w:val="00B85C0C"/>
    <w:rsid w:val="00B85DAA"/>
    <w:rsid w:val="00B85EB6"/>
    <w:rsid w:val="00B85F39"/>
    <w:rsid w:val="00B85F74"/>
    <w:rsid w:val="00B8605E"/>
    <w:rsid w:val="00B86157"/>
    <w:rsid w:val="00B862EF"/>
    <w:rsid w:val="00B86477"/>
    <w:rsid w:val="00B8647F"/>
    <w:rsid w:val="00B86489"/>
    <w:rsid w:val="00B86584"/>
    <w:rsid w:val="00B865FD"/>
    <w:rsid w:val="00B8663B"/>
    <w:rsid w:val="00B86725"/>
    <w:rsid w:val="00B86727"/>
    <w:rsid w:val="00B8674F"/>
    <w:rsid w:val="00B86841"/>
    <w:rsid w:val="00B86860"/>
    <w:rsid w:val="00B868D3"/>
    <w:rsid w:val="00B868D5"/>
    <w:rsid w:val="00B868E6"/>
    <w:rsid w:val="00B868FC"/>
    <w:rsid w:val="00B86916"/>
    <w:rsid w:val="00B8691E"/>
    <w:rsid w:val="00B86952"/>
    <w:rsid w:val="00B86A33"/>
    <w:rsid w:val="00B86B03"/>
    <w:rsid w:val="00B86BCA"/>
    <w:rsid w:val="00B86BF2"/>
    <w:rsid w:val="00B86C9E"/>
    <w:rsid w:val="00B86CDA"/>
    <w:rsid w:val="00B86ED4"/>
    <w:rsid w:val="00B86F7B"/>
    <w:rsid w:val="00B8701C"/>
    <w:rsid w:val="00B8704A"/>
    <w:rsid w:val="00B87147"/>
    <w:rsid w:val="00B871E9"/>
    <w:rsid w:val="00B87304"/>
    <w:rsid w:val="00B874E8"/>
    <w:rsid w:val="00B87615"/>
    <w:rsid w:val="00B87651"/>
    <w:rsid w:val="00B87737"/>
    <w:rsid w:val="00B87897"/>
    <w:rsid w:val="00B878E1"/>
    <w:rsid w:val="00B87911"/>
    <w:rsid w:val="00B87927"/>
    <w:rsid w:val="00B8799E"/>
    <w:rsid w:val="00B879CE"/>
    <w:rsid w:val="00B87AB0"/>
    <w:rsid w:val="00B87C66"/>
    <w:rsid w:val="00B87CC5"/>
    <w:rsid w:val="00B87D86"/>
    <w:rsid w:val="00B87E34"/>
    <w:rsid w:val="00B87ECC"/>
    <w:rsid w:val="00B87F95"/>
    <w:rsid w:val="00B900AF"/>
    <w:rsid w:val="00B900BA"/>
    <w:rsid w:val="00B9019A"/>
    <w:rsid w:val="00B9021E"/>
    <w:rsid w:val="00B902F1"/>
    <w:rsid w:val="00B90470"/>
    <w:rsid w:val="00B904C1"/>
    <w:rsid w:val="00B905B5"/>
    <w:rsid w:val="00B906AB"/>
    <w:rsid w:val="00B906E7"/>
    <w:rsid w:val="00B906F4"/>
    <w:rsid w:val="00B90717"/>
    <w:rsid w:val="00B90789"/>
    <w:rsid w:val="00B907D1"/>
    <w:rsid w:val="00B90A15"/>
    <w:rsid w:val="00B90AD8"/>
    <w:rsid w:val="00B90C03"/>
    <w:rsid w:val="00B90CA6"/>
    <w:rsid w:val="00B90D66"/>
    <w:rsid w:val="00B90D95"/>
    <w:rsid w:val="00B90E06"/>
    <w:rsid w:val="00B90ED0"/>
    <w:rsid w:val="00B90FC9"/>
    <w:rsid w:val="00B91002"/>
    <w:rsid w:val="00B91008"/>
    <w:rsid w:val="00B910A8"/>
    <w:rsid w:val="00B911CC"/>
    <w:rsid w:val="00B91221"/>
    <w:rsid w:val="00B91225"/>
    <w:rsid w:val="00B9132A"/>
    <w:rsid w:val="00B91348"/>
    <w:rsid w:val="00B91417"/>
    <w:rsid w:val="00B915E5"/>
    <w:rsid w:val="00B9160A"/>
    <w:rsid w:val="00B916D6"/>
    <w:rsid w:val="00B9178D"/>
    <w:rsid w:val="00B91792"/>
    <w:rsid w:val="00B91861"/>
    <w:rsid w:val="00B91969"/>
    <w:rsid w:val="00B91971"/>
    <w:rsid w:val="00B91B22"/>
    <w:rsid w:val="00B91B8A"/>
    <w:rsid w:val="00B91C27"/>
    <w:rsid w:val="00B91C96"/>
    <w:rsid w:val="00B91D93"/>
    <w:rsid w:val="00B91DFF"/>
    <w:rsid w:val="00B91F1F"/>
    <w:rsid w:val="00B91F6C"/>
    <w:rsid w:val="00B92034"/>
    <w:rsid w:val="00B9217D"/>
    <w:rsid w:val="00B9237E"/>
    <w:rsid w:val="00B923A0"/>
    <w:rsid w:val="00B923E6"/>
    <w:rsid w:val="00B92467"/>
    <w:rsid w:val="00B92475"/>
    <w:rsid w:val="00B924D3"/>
    <w:rsid w:val="00B92578"/>
    <w:rsid w:val="00B9257B"/>
    <w:rsid w:val="00B92639"/>
    <w:rsid w:val="00B92777"/>
    <w:rsid w:val="00B9278E"/>
    <w:rsid w:val="00B927EE"/>
    <w:rsid w:val="00B9292E"/>
    <w:rsid w:val="00B92944"/>
    <w:rsid w:val="00B92B84"/>
    <w:rsid w:val="00B92BAA"/>
    <w:rsid w:val="00B92BAF"/>
    <w:rsid w:val="00B92C2E"/>
    <w:rsid w:val="00B92D2F"/>
    <w:rsid w:val="00B92E08"/>
    <w:rsid w:val="00B92E3F"/>
    <w:rsid w:val="00B92E95"/>
    <w:rsid w:val="00B92F85"/>
    <w:rsid w:val="00B92FF0"/>
    <w:rsid w:val="00B93019"/>
    <w:rsid w:val="00B93060"/>
    <w:rsid w:val="00B931A7"/>
    <w:rsid w:val="00B931CA"/>
    <w:rsid w:val="00B9321D"/>
    <w:rsid w:val="00B93258"/>
    <w:rsid w:val="00B93344"/>
    <w:rsid w:val="00B933F0"/>
    <w:rsid w:val="00B93487"/>
    <w:rsid w:val="00B934BA"/>
    <w:rsid w:val="00B93519"/>
    <w:rsid w:val="00B93556"/>
    <w:rsid w:val="00B93798"/>
    <w:rsid w:val="00B937BD"/>
    <w:rsid w:val="00B937BE"/>
    <w:rsid w:val="00B93834"/>
    <w:rsid w:val="00B93970"/>
    <w:rsid w:val="00B93A5A"/>
    <w:rsid w:val="00B93ADA"/>
    <w:rsid w:val="00B93B26"/>
    <w:rsid w:val="00B93BAC"/>
    <w:rsid w:val="00B93BED"/>
    <w:rsid w:val="00B93C0D"/>
    <w:rsid w:val="00B93D70"/>
    <w:rsid w:val="00B93DC7"/>
    <w:rsid w:val="00B93DF2"/>
    <w:rsid w:val="00B93E40"/>
    <w:rsid w:val="00B93EB4"/>
    <w:rsid w:val="00B93EE0"/>
    <w:rsid w:val="00B93FBA"/>
    <w:rsid w:val="00B93FF0"/>
    <w:rsid w:val="00B9400F"/>
    <w:rsid w:val="00B940B8"/>
    <w:rsid w:val="00B940ED"/>
    <w:rsid w:val="00B94167"/>
    <w:rsid w:val="00B9417E"/>
    <w:rsid w:val="00B941D2"/>
    <w:rsid w:val="00B9434B"/>
    <w:rsid w:val="00B9448D"/>
    <w:rsid w:val="00B9450B"/>
    <w:rsid w:val="00B946F4"/>
    <w:rsid w:val="00B9477F"/>
    <w:rsid w:val="00B94815"/>
    <w:rsid w:val="00B9488F"/>
    <w:rsid w:val="00B949FE"/>
    <w:rsid w:val="00B94B1B"/>
    <w:rsid w:val="00B94B63"/>
    <w:rsid w:val="00B94BC1"/>
    <w:rsid w:val="00B94CD8"/>
    <w:rsid w:val="00B94CF4"/>
    <w:rsid w:val="00B950E0"/>
    <w:rsid w:val="00B950E3"/>
    <w:rsid w:val="00B95121"/>
    <w:rsid w:val="00B951F3"/>
    <w:rsid w:val="00B952F6"/>
    <w:rsid w:val="00B953F0"/>
    <w:rsid w:val="00B954AE"/>
    <w:rsid w:val="00B954EC"/>
    <w:rsid w:val="00B95715"/>
    <w:rsid w:val="00B957B1"/>
    <w:rsid w:val="00B957C3"/>
    <w:rsid w:val="00B957E1"/>
    <w:rsid w:val="00B95840"/>
    <w:rsid w:val="00B95B64"/>
    <w:rsid w:val="00B95C37"/>
    <w:rsid w:val="00B95C93"/>
    <w:rsid w:val="00B95D54"/>
    <w:rsid w:val="00B95E96"/>
    <w:rsid w:val="00B95F11"/>
    <w:rsid w:val="00B960A3"/>
    <w:rsid w:val="00B9616F"/>
    <w:rsid w:val="00B961A4"/>
    <w:rsid w:val="00B961AA"/>
    <w:rsid w:val="00B961B5"/>
    <w:rsid w:val="00B961E5"/>
    <w:rsid w:val="00B96239"/>
    <w:rsid w:val="00B96436"/>
    <w:rsid w:val="00B96491"/>
    <w:rsid w:val="00B964CC"/>
    <w:rsid w:val="00B96518"/>
    <w:rsid w:val="00B96600"/>
    <w:rsid w:val="00B9670D"/>
    <w:rsid w:val="00B96824"/>
    <w:rsid w:val="00B9695B"/>
    <w:rsid w:val="00B969E4"/>
    <w:rsid w:val="00B96A58"/>
    <w:rsid w:val="00B96AB1"/>
    <w:rsid w:val="00B96ADE"/>
    <w:rsid w:val="00B96B27"/>
    <w:rsid w:val="00B96B32"/>
    <w:rsid w:val="00B96B6C"/>
    <w:rsid w:val="00B96C49"/>
    <w:rsid w:val="00B96D6F"/>
    <w:rsid w:val="00B96D84"/>
    <w:rsid w:val="00B96DD9"/>
    <w:rsid w:val="00B96E95"/>
    <w:rsid w:val="00B96ECF"/>
    <w:rsid w:val="00B96F4A"/>
    <w:rsid w:val="00B96FE0"/>
    <w:rsid w:val="00B97028"/>
    <w:rsid w:val="00B9708F"/>
    <w:rsid w:val="00B97099"/>
    <w:rsid w:val="00B971BC"/>
    <w:rsid w:val="00B972CC"/>
    <w:rsid w:val="00B97314"/>
    <w:rsid w:val="00B97436"/>
    <w:rsid w:val="00B97506"/>
    <w:rsid w:val="00B97672"/>
    <w:rsid w:val="00B97698"/>
    <w:rsid w:val="00B976DF"/>
    <w:rsid w:val="00B97702"/>
    <w:rsid w:val="00B97726"/>
    <w:rsid w:val="00B9775F"/>
    <w:rsid w:val="00B97803"/>
    <w:rsid w:val="00B97824"/>
    <w:rsid w:val="00B97901"/>
    <w:rsid w:val="00B979D5"/>
    <w:rsid w:val="00B979D6"/>
    <w:rsid w:val="00B979DD"/>
    <w:rsid w:val="00B979F0"/>
    <w:rsid w:val="00B97A04"/>
    <w:rsid w:val="00B97AD2"/>
    <w:rsid w:val="00B97BA6"/>
    <w:rsid w:val="00B97C38"/>
    <w:rsid w:val="00B97DC3"/>
    <w:rsid w:val="00B97E71"/>
    <w:rsid w:val="00B97FD3"/>
    <w:rsid w:val="00BA0017"/>
    <w:rsid w:val="00BA015B"/>
    <w:rsid w:val="00BA01AD"/>
    <w:rsid w:val="00BA020C"/>
    <w:rsid w:val="00BA0294"/>
    <w:rsid w:val="00BA02C6"/>
    <w:rsid w:val="00BA0397"/>
    <w:rsid w:val="00BA03C0"/>
    <w:rsid w:val="00BA0451"/>
    <w:rsid w:val="00BA0555"/>
    <w:rsid w:val="00BA06F4"/>
    <w:rsid w:val="00BA077C"/>
    <w:rsid w:val="00BA0818"/>
    <w:rsid w:val="00BA08FD"/>
    <w:rsid w:val="00BA097D"/>
    <w:rsid w:val="00BA09A5"/>
    <w:rsid w:val="00BA09EE"/>
    <w:rsid w:val="00BA0B13"/>
    <w:rsid w:val="00BA0B1F"/>
    <w:rsid w:val="00BA0B64"/>
    <w:rsid w:val="00BA0C4A"/>
    <w:rsid w:val="00BA0C85"/>
    <w:rsid w:val="00BA0C90"/>
    <w:rsid w:val="00BA0D93"/>
    <w:rsid w:val="00BA0E12"/>
    <w:rsid w:val="00BA0F13"/>
    <w:rsid w:val="00BA0F6E"/>
    <w:rsid w:val="00BA1072"/>
    <w:rsid w:val="00BA1215"/>
    <w:rsid w:val="00BA124A"/>
    <w:rsid w:val="00BA1250"/>
    <w:rsid w:val="00BA126D"/>
    <w:rsid w:val="00BA12C9"/>
    <w:rsid w:val="00BA1420"/>
    <w:rsid w:val="00BA1456"/>
    <w:rsid w:val="00BA153F"/>
    <w:rsid w:val="00BA1604"/>
    <w:rsid w:val="00BA16FE"/>
    <w:rsid w:val="00BA17DD"/>
    <w:rsid w:val="00BA1827"/>
    <w:rsid w:val="00BA1855"/>
    <w:rsid w:val="00BA18FB"/>
    <w:rsid w:val="00BA1980"/>
    <w:rsid w:val="00BA1BC9"/>
    <w:rsid w:val="00BA1CFB"/>
    <w:rsid w:val="00BA1DD2"/>
    <w:rsid w:val="00BA1E82"/>
    <w:rsid w:val="00BA1E94"/>
    <w:rsid w:val="00BA1FB3"/>
    <w:rsid w:val="00BA2104"/>
    <w:rsid w:val="00BA2164"/>
    <w:rsid w:val="00BA21D5"/>
    <w:rsid w:val="00BA21E5"/>
    <w:rsid w:val="00BA22C6"/>
    <w:rsid w:val="00BA22F9"/>
    <w:rsid w:val="00BA23FB"/>
    <w:rsid w:val="00BA241A"/>
    <w:rsid w:val="00BA2478"/>
    <w:rsid w:val="00BA247A"/>
    <w:rsid w:val="00BA2525"/>
    <w:rsid w:val="00BA2593"/>
    <w:rsid w:val="00BA25E2"/>
    <w:rsid w:val="00BA26B6"/>
    <w:rsid w:val="00BA2830"/>
    <w:rsid w:val="00BA2853"/>
    <w:rsid w:val="00BA2884"/>
    <w:rsid w:val="00BA2887"/>
    <w:rsid w:val="00BA28AA"/>
    <w:rsid w:val="00BA292F"/>
    <w:rsid w:val="00BA29E1"/>
    <w:rsid w:val="00BA2B05"/>
    <w:rsid w:val="00BA2B47"/>
    <w:rsid w:val="00BA2B81"/>
    <w:rsid w:val="00BA2BCC"/>
    <w:rsid w:val="00BA2C07"/>
    <w:rsid w:val="00BA2CE7"/>
    <w:rsid w:val="00BA2D16"/>
    <w:rsid w:val="00BA2F72"/>
    <w:rsid w:val="00BA2F91"/>
    <w:rsid w:val="00BA2FE9"/>
    <w:rsid w:val="00BA3090"/>
    <w:rsid w:val="00BA309C"/>
    <w:rsid w:val="00BA30BB"/>
    <w:rsid w:val="00BA30BE"/>
    <w:rsid w:val="00BA31B0"/>
    <w:rsid w:val="00BA31D1"/>
    <w:rsid w:val="00BA32F3"/>
    <w:rsid w:val="00BA3399"/>
    <w:rsid w:val="00BA342B"/>
    <w:rsid w:val="00BA3597"/>
    <w:rsid w:val="00BA35F9"/>
    <w:rsid w:val="00BA381D"/>
    <w:rsid w:val="00BA38B8"/>
    <w:rsid w:val="00BA38E0"/>
    <w:rsid w:val="00BA38F1"/>
    <w:rsid w:val="00BA3910"/>
    <w:rsid w:val="00BA3942"/>
    <w:rsid w:val="00BA3A7B"/>
    <w:rsid w:val="00BA3B79"/>
    <w:rsid w:val="00BA3C12"/>
    <w:rsid w:val="00BA3CA9"/>
    <w:rsid w:val="00BA3CFA"/>
    <w:rsid w:val="00BA3DE3"/>
    <w:rsid w:val="00BA3DF2"/>
    <w:rsid w:val="00BA3E78"/>
    <w:rsid w:val="00BA4065"/>
    <w:rsid w:val="00BA4104"/>
    <w:rsid w:val="00BA4171"/>
    <w:rsid w:val="00BA41C9"/>
    <w:rsid w:val="00BA4284"/>
    <w:rsid w:val="00BA4335"/>
    <w:rsid w:val="00BA4358"/>
    <w:rsid w:val="00BA43F4"/>
    <w:rsid w:val="00BA440A"/>
    <w:rsid w:val="00BA4417"/>
    <w:rsid w:val="00BA4478"/>
    <w:rsid w:val="00BA4490"/>
    <w:rsid w:val="00BA44AC"/>
    <w:rsid w:val="00BA46DC"/>
    <w:rsid w:val="00BA4780"/>
    <w:rsid w:val="00BA47BD"/>
    <w:rsid w:val="00BA47DE"/>
    <w:rsid w:val="00BA47FC"/>
    <w:rsid w:val="00BA48FB"/>
    <w:rsid w:val="00BA4938"/>
    <w:rsid w:val="00BA4A77"/>
    <w:rsid w:val="00BA4B38"/>
    <w:rsid w:val="00BA4B63"/>
    <w:rsid w:val="00BA4D3A"/>
    <w:rsid w:val="00BA4DCE"/>
    <w:rsid w:val="00BA4E50"/>
    <w:rsid w:val="00BA4F49"/>
    <w:rsid w:val="00BA4F85"/>
    <w:rsid w:val="00BA5171"/>
    <w:rsid w:val="00BA529A"/>
    <w:rsid w:val="00BA52A9"/>
    <w:rsid w:val="00BA52B3"/>
    <w:rsid w:val="00BA5352"/>
    <w:rsid w:val="00BA535B"/>
    <w:rsid w:val="00BA54C0"/>
    <w:rsid w:val="00BA54C8"/>
    <w:rsid w:val="00BA5507"/>
    <w:rsid w:val="00BA5665"/>
    <w:rsid w:val="00BA5866"/>
    <w:rsid w:val="00BA5879"/>
    <w:rsid w:val="00BA5882"/>
    <w:rsid w:val="00BA58A4"/>
    <w:rsid w:val="00BA5971"/>
    <w:rsid w:val="00BA5A3A"/>
    <w:rsid w:val="00BA5A66"/>
    <w:rsid w:val="00BA5AAB"/>
    <w:rsid w:val="00BA5CBA"/>
    <w:rsid w:val="00BA5D29"/>
    <w:rsid w:val="00BA5D69"/>
    <w:rsid w:val="00BA5ED9"/>
    <w:rsid w:val="00BA5F34"/>
    <w:rsid w:val="00BA600B"/>
    <w:rsid w:val="00BA6090"/>
    <w:rsid w:val="00BA60A1"/>
    <w:rsid w:val="00BA6110"/>
    <w:rsid w:val="00BA624C"/>
    <w:rsid w:val="00BA6280"/>
    <w:rsid w:val="00BA63C3"/>
    <w:rsid w:val="00BA647D"/>
    <w:rsid w:val="00BA6535"/>
    <w:rsid w:val="00BA6541"/>
    <w:rsid w:val="00BA656C"/>
    <w:rsid w:val="00BA65B4"/>
    <w:rsid w:val="00BA6629"/>
    <w:rsid w:val="00BA6639"/>
    <w:rsid w:val="00BA665A"/>
    <w:rsid w:val="00BA66B0"/>
    <w:rsid w:val="00BA677A"/>
    <w:rsid w:val="00BA67C1"/>
    <w:rsid w:val="00BA6872"/>
    <w:rsid w:val="00BA6965"/>
    <w:rsid w:val="00BA69B9"/>
    <w:rsid w:val="00BA69D2"/>
    <w:rsid w:val="00BA6B07"/>
    <w:rsid w:val="00BA6C45"/>
    <w:rsid w:val="00BA6C4F"/>
    <w:rsid w:val="00BA6C58"/>
    <w:rsid w:val="00BA6CB7"/>
    <w:rsid w:val="00BA6CED"/>
    <w:rsid w:val="00BA6D19"/>
    <w:rsid w:val="00BA6DF1"/>
    <w:rsid w:val="00BA6DF8"/>
    <w:rsid w:val="00BA6E09"/>
    <w:rsid w:val="00BA6E14"/>
    <w:rsid w:val="00BA6E3F"/>
    <w:rsid w:val="00BA6F0E"/>
    <w:rsid w:val="00BA6F32"/>
    <w:rsid w:val="00BA6F3A"/>
    <w:rsid w:val="00BA6FDB"/>
    <w:rsid w:val="00BA6FE8"/>
    <w:rsid w:val="00BA7038"/>
    <w:rsid w:val="00BA7090"/>
    <w:rsid w:val="00BA70AA"/>
    <w:rsid w:val="00BA73D1"/>
    <w:rsid w:val="00BA7439"/>
    <w:rsid w:val="00BA74CB"/>
    <w:rsid w:val="00BA7568"/>
    <w:rsid w:val="00BA76A9"/>
    <w:rsid w:val="00BA775D"/>
    <w:rsid w:val="00BA7782"/>
    <w:rsid w:val="00BA7900"/>
    <w:rsid w:val="00BA794C"/>
    <w:rsid w:val="00BA79D6"/>
    <w:rsid w:val="00BA7A71"/>
    <w:rsid w:val="00BA7B3B"/>
    <w:rsid w:val="00BA7B72"/>
    <w:rsid w:val="00BA7BDC"/>
    <w:rsid w:val="00BA7CB6"/>
    <w:rsid w:val="00BA7D4C"/>
    <w:rsid w:val="00BA7EB5"/>
    <w:rsid w:val="00BA7EBE"/>
    <w:rsid w:val="00BA7F5F"/>
    <w:rsid w:val="00BB001F"/>
    <w:rsid w:val="00BB00B6"/>
    <w:rsid w:val="00BB00F3"/>
    <w:rsid w:val="00BB00F9"/>
    <w:rsid w:val="00BB01AE"/>
    <w:rsid w:val="00BB030C"/>
    <w:rsid w:val="00BB049C"/>
    <w:rsid w:val="00BB04C1"/>
    <w:rsid w:val="00BB04E1"/>
    <w:rsid w:val="00BB0529"/>
    <w:rsid w:val="00BB054B"/>
    <w:rsid w:val="00BB059D"/>
    <w:rsid w:val="00BB05E3"/>
    <w:rsid w:val="00BB0866"/>
    <w:rsid w:val="00BB08BA"/>
    <w:rsid w:val="00BB09CB"/>
    <w:rsid w:val="00BB09DB"/>
    <w:rsid w:val="00BB0A58"/>
    <w:rsid w:val="00BB0B21"/>
    <w:rsid w:val="00BB0B25"/>
    <w:rsid w:val="00BB0B72"/>
    <w:rsid w:val="00BB0C16"/>
    <w:rsid w:val="00BB0C45"/>
    <w:rsid w:val="00BB0C5C"/>
    <w:rsid w:val="00BB0D04"/>
    <w:rsid w:val="00BB0D7A"/>
    <w:rsid w:val="00BB0F04"/>
    <w:rsid w:val="00BB0F18"/>
    <w:rsid w:val="00BB0F60"/>
    <w:rsid w:val="00BB1000"/>
    <w:rsid w:val="00BB103E"/>
    <w:rsid w:val="00BB1058"/>
    <w:rsid w:val="00BB107A"/>
    <w:rsid w:val="00BB10BE"/>
    <w:rsid w:val="00BB110D"/>
    <w:rsid w:val="00BB123F"/>
    <w:rsid w:val="00BB12F7"/>
    <w:rsid w:val="00BB137A"/>
    <w:rsid w:val="00BB13D2"/>
    <w:rsid w:val="00BB1474"/>
    <w:rsid w:val="00BB1542"/>
    <w:rsid w:val="00BB1609"/>
    <w:rsid w:val="00BB1664"/>
    <w:rsid w:val="00BB16D0"/>
    <w:rsid w:val="00BB178D"/>
    <w:rsid w:val="00BB17F7"/>
    <w:rsid w:val="00BB1815"/>
    <w:rsid w:val="00BB1822"/>
    <w:rsid w:val="00BB184A"/>
    <w:rsid w:val="00BB186A"/>
    <w:rsid w:val="00BB1937"/>
    <w:rsid w:val="00BB19AC"/>
    <w:rsid w:val="00BB1AA0"/>
    <w:rsid w:val="00BB1B06"/>
    <w:rsid w:val="00BB1B7C"/>
    <w:rsid w:val="00BB1C70"/>
    <w:rsid w:val="00BB1CAA"/>
    <w:rsid w:val="00BB1D25"/>
    <w:rsid w:val="00BB1E47"/>
    <w:rsid w:val="00BB1F37"/>
    <w:rsid w:val="00BB1F72"/>
    <w:rsid w:val="00BB204F"/>
    <w:rsid w:val="00BB2198"/>
    <w:rsid w:val="00BB21C0"/>
    <w:rsid w:val="00BB21E6"/>
    <w:rsid w:val="00BB2349"/>
    <w:rsid w:val="00BB24E7"/>
    <w:rsid w:val="00BB2540"/>
    <w:rsid w:val="00BB25DF"/>
    <w:rsid w:val="00BB260E"/>
    <w:rsid w:val="00BB2624"/>
    <w:rsid w:val="00BB27BF"/>
    <w:rsid w:val="00BB282C"/>
    <w:rsid w:val="00BB2996"/>
    <w:rsid w:val="00BB29ED"/>
    <w:rsid w:val="00BB2A21"/>
    <w:rsid w:val="00BB2A98"/>
    <w:rsid w:val="00BB2AA2"/>
    <w:rsid w:val="00BB2CAC"/>
    <w:rsid w:val="00BB2D10"/>
    <w:rsid w:val="00BB2D42"/>
    <w:rsid w:val="00BB2D6B"/>
    <w:rsid w:val="00BB2DC3"/>
    <w:rsid w:val="00BB2E55"/>
    <w:rsid w:val="00BB2FB7"/>
    <w:rsid w:val="00BB3122"/>
    <w:rsid w:val="00BB3144"/>
    <w:rsid w:val="00BB32A8"/>
    <w:rsid w:val="00BB32EE"/>
    <w:rsid w:val="00BB3361"/>
    <w:rsid w:val="00BB33CE"/>
    <w:rsid w:val="00BB3424"/>
    <w:rsid w:val="00BB34EE"/>
    <w:rsid w:val="00BB3676"/>
    <w:rsid w:val="00BB36AC"/>
    <w:rsid w:val="00BB3826"/>
    <w:rsid w:val="00BB38D5"/>
    <w:rsid w:val="00BB38E0"/>
    <w:rsid w:val="00BB391D"/>
    <w:rsid w:val="00BB39F2"/>
    <w:rsid w:val="00BB3A38"/>
    <w:rsid w:val="00BB3AD1"/>
    <w:rsid w:val="00BB3B04"/>
    <w:rsid w:val="00BB3BD4"/>
    <w:rsid w:val="00BB3C72"/>
    <w:rsid w:val="00BB3D58"/>
    <w:rsid w:val="00BB3D59"/>
    <w:rsid w:val="00BB3D66"/>
    <w:rsid w:val="00BB3F59"/>
    <w:rsid w:val="00BB4046"/>
    <w:rsid w:val="00BB43C0"/>
    <w:rsid w:val="00BB4450"/>
    <w:rsid w:val="00BB44F6"/>
    <w:rsid w:val="00BB4558"/>
    <w:rsid w:val="00BB45D3"/>
    <w:rsid w:val="00BB45DF"/>
    <w:rsid w:val="00BB46CB"/>
    <w:rsid w:val="00BB46D7"/>
    <w:rsid w:val="00BB46E4"/>
    <w:rsid w:val="00BB4756"/>
    <w:rsid w:val="00BB481F"/>
    <w:rsid w:val="00BB48B2"/>
    <w:rsid w:val="00BB48FF"/>
    <w:rsid w:val="00BB4995"/>
    <w:rsid w:val="00BB49AD"/>
    <w:rsid w:val="00BB4AFD"/>
    <w:rsid w:val="00BB4D2A"/>
    <w:rsid w:val="00BB4D50"/>
    <w:rsid w:val="00BB4E3D"/>
    <w:rsid w:val="00BB4E47"/>
    <w:rsid w:val="00BB4EC0"/>
    <w:rsid w:val="00BB4F0F"/>
    <w:rsid w:val="00BB4F55"/>
    <w:rsid w:val="00BB4FED"/>
    <w:rsid w:val="00BB505E"/>
    <w:rsid w:val="00BB5083"/>
    <w:rsid w:val="00BB50C0"/>
    <w:rsid w:val="00BB5107"/>
    <w:rsid w:val="00BB51B4"/>
    <w:rsid w:val="00BB51F8"/>
    <w:rsid w:val="00BB52A0"/>
    <w:rsid w:val="00BB52F3"/>
    <w:rsid w:val="00BB537C"/>
    <w:rsid w:val="00BB54E4"/>
    <w:rsid w:val="00BB5538"/>
    <w:rsid w:val="00BB5659"/>
    <w:rsid w:val="00BB56A0"/>
    <w:rsid w:val="00BB5932"/>
    <w:rsid w:val="00BB5A0B"/>
    <w:rsid w:val="00BB5AAF"/>
    <w:rsid w:val="00BB5ABF"/>
    <w:rsid w:val="00BB5AE0"/>
    <w:rsid w:val="00BB5B56"/>
    <w:rsid w:val="00BB5BCC"/>
    <w:rsid w:val="00BB5D65"/>
    <w:rsid w:val="00BB5D80"/>
    <w:rsid w:val="00BB5D9C"/>
    <w:rsid w:val="00BB5E18"/>
    <w:rsid w:val="00BB5E26"/>
    <w:rsid w:val="00BB5E2B"/>
    <w:rsid w:val="00BB5E58"/>
    <w:rsid w:val="00BB5F4A"/>
    <w:rsid w:val="00BB5F9F"/>
    <w:rsid w:val="00BB60BF"/>
    <w:rsid w:val="00BB63D4"/>
    <w:rsid w:val="00BB6448"/>
    <w:rsid w:val="00BB658D"/>
    <w:rsid w:val="00BB6605"/>
    <w:rsid w:val="00BB6627"/>
    <w:rsid w:val="00BB674C"/>
    <w:rsid w:val="00BB67F7"/>
    <w:rsid w:val="00BB6846"/>
    <w:rsid w:val="00BB68D3"/>
    <w:rsid w:val="00BB69B5"/>
    <w:rsid w:val="00BB6A02"/>
    <w:rsid w:val="00BB6A73"/>
    <w:rsid w:val="00BB6AEE"/>
    <w:rsid w:val="00BB6B5C"/>
    <w:rsid w:val="00BB6C18"/>
    <w:rsid w:val="00BB6CAC"/>
    <w:rsid w:val="00BB6D2E"/>
    <w:rsid w:val="00BB6EE3"/>
    <w:rsid w:val="00BB7090"/>
    <w:rsid w:val="00BB7289"/>
    <w:rsid w:val="00BB73B9"/>
    <w:rsid w:val="00BB7434"/>
    <w:rsid w:val="00BB743B"/>
    <w:rsid w:val="00BB743D"/>
    <w:rsid w:val="00BB7576"/>
    <w:rsid w:val="00BB769B"/>
    <w:rsid w:val="00BB778E"/>
    <w:rsid w:val="00BB794B"/>
    <w:rsid w:val="00BB7A8A"/>
    <w:rsid w:val="00BB7A97"/>
    <w:rsid w:val="00BB7B92"/>
    <w:rsid w:val="00BB7B9C"/>
    <w:rsid w:val="00BB7C04"/>
    <w:rsid w:val="00BB7C05"/>
    <w:rsid w:val="00BB7CDC"/>
    <w:rsid w:val="00BB7E10"/>
    <w:rsid w:val="00BB7EAA"/>
    <w:rsid w:val="00BB7F30"/>
    <w:rsid w:val="00BB7F98"/>
    <w:rsid w:val="00BB7FAA"/>
    <w:rsid w:val="00BB7FBC"/>
    <w:rsid w:val="00BC009B"/>
    <w:rsid w:val="00BC00C5"/>
    <w:rsid w:val="00BC0177"/>
    <w:rsid w:val="00BC0183"/>
    <w:rsid w:val="00BC03D9"/>
    <w:rsid w:val="00BC05B6"/>
    <w:rsid w:val="00BC05D4"/>
    <w:rsid w:val="00BC06DF"/>
    <w:rsid w:val="00BC083E"/>
    <w:rsid w:val="00BC0888"/>
    <w:rsid w:val="00BC08A7"/>
    <w:rsid w:val="00BC08C4"/>
    <w:rsid w:val="00BC08E9"/>
    <w:rsid w:val="00BC09FF"/>
    <w:rsid w:val="00BC0A87"/>
    <w:rsid w:val="00BC0BA1"/>
    <w:rsid w:val="00BC0C08"/>
    <w:rsid w:val="00BC0C87"/>
    <w:rsid w:val="00BC0D08"/>
    <w:rsid w:val="00BC0D6C"/>
    <w:rsid w:val="00BC0DE8"/>
    <w:rsid w:val="00BC0E4B"/>
    <w:rsid w:val="00BC1112"/>
    <w:rsid w:val="00BC1204"/>
    <w:rsid w:val="00BC1272"/>
    <w:rsid w:val="00BC12B2"/>
    <w:rsid w:val="00BC132E"/>
    <w:rsid w:val="00BC1390"/>
    <w:rsid w:val="00BC13AD"/>
    <w:rsid w:val="00BC150C"/>
    <w:rsid w:val="00BC1554"/>
    <w:rsid w:val="00BC1598"/>
    <w:rsid w:val="00BC1675"/>
    <w:rsid w:val="00BC1810"/>
    <w:rsid w:val="00BC1902"/>
    <w:rsid w:val="00BC19A3"/>
    <w:rsid w:val="00BC19AD"/>
    <w:rsid w:val="00BC1A8F"/>
    <w:rsid w:val="00BC1AAD"/>
    <w:rsid w:val="00BC1B49"/>
    <w:rsid w:val="00BC1B8C"/>
    <w:rsid w:val="00BC1BAC"/>
    <w:rsid w:val="00BC1C03"/>
    <w:rsid w:val="00BC1C39"/>
    <w:rsid w:val="00BC1C54"/>
    <w:rsid w:val="00BC1D05"/>
    <w:rsid w:val="00BC206D"/>
    <w:rsid w:val="00BC208B"/>
    <w:rsid w:val="00BC2094"/>
    <w:rsid w:val="00BC21DF"/>
    <w:rsid w:val="00BC226C"/>
    <w:rsid w:val="00BC2275"/>
    <w:rsid w:val="00BC233F"/>
    <w:rsid w:val="00BC2488"/>
    <w:rsid w:val="00BC24BE"/>
    <w:rsid w:val="00BC24C5"/>
    <w:rsid w:val="00BC255B"/>
    <w:rsid w:val="00BC25B9"/>
    <w:rsid w:val="00BC25E9"/>
    <w:rsid w:val="00BC2633"/>
    <w:rsid w:val="00BC268B"/>
    <w:rsid w:val="00BC26F8"/>
    <w:rsid w:val="00BC2729"/>
    <w:rsid w:val="00BC2740"/>
    <w:rsid w:val="00BC2752"/>
    <w:rsid w:val="00BC2868"/>
    <w:rsid w:val="00BC287F"/>
    <w:rsid w:val="00BC2893"/>
    <w:rsid w:val="00BC28BC"/>
    <w:rsid w:val="00BC2A23"/>
    <w:rsid w:val="00BC2A4C"/>
    <w:rsid w:val="00BC2B10"/>
    <w:rsid w:val="00BC2B34"/>
    <w:rsid w:val="00BC2B98"/>
    <w:rsid w:val="00BC2C69"/>
    <w:rsid w:val="00BC2D21"/>
    <w:rsid w:val="00BC2D28"/>
    <w:rsid w:val="00BC2D73"/>
    <w:rsid w:val="00BC2E1D"/>
    <w:rsid w:val="00BC2E39"/>
    <w:rsid w:val="00BC2E5F"/>
    <w:rsid w:val="00BC2FAF"/>
    <w:rsid w:val="00BC2FB4"/>
    <w:rsid w:val="00BC2FD9"/>
    <w:rsid w:val="00BC3062"/>
    <w:rsid w:val="00BC30F3"/>
    <w:rsid w:val="00BC3234"/>
    <w:rsid w:val="00BC339A"/>
    <w:rsid w:val="00BC3441"/>
    <w:rsid w:val="00BC3458"/>
    <w:rsid w:val="00BC3478"/>
    <w:rsid w:val="00BC35C0"/>
    <w:rsid w:val="00BC35C1"/>
    <w:rsid w:val="00BC365A"/>
    <w:rsid w:val="00BC36C1"/>
    <w:rsid w:val="00BC36D6"/>
    <w:rsid w:val="00BC370B"/>
    <w:rsid w:val="00BC379E"/>
    <w:rsid w:val="00BC3813"/>
    <w:rsid w:val="00BC385D"/>
    <w:rsid w:val="00BC3936"/>
    <w:rsid w:val="00BC3B7E"/>
    <w:rsid w:val="00BC3BE1"/>
    <w:rsid w:val="00BC3D5B"/>
    <w:rsid w:val="00BC3DDA"/>
    <w:rsid w:val="00BC3F27"/>
    <w:rsid w:val="00BC3F2A"/>
    <w:rsid w:val="00BC4112"/>
    <w:rsid w:val="00BC41A9"/>
    <w:rsid w:val="00BC4283"/>
    <w:rsid w:val="00BC42DE"/>
    <w:rsid w:val="00BC4419"/>
    <w:rsid w:val="00BC4446"/>
    <w:rsid w:val="00BC44E7"/>
    <w:rsid w:val="00BC4632"/>
    <w:rsid w:val="00BC4635"/>
    <w:rsid w:val="00BC477A"/>
    <w:rsid w:val="00BC489C"/>
    <w:rsid w:val="00BC498B"/>
    <w:rsid w:val="00BC4A0A"/>
    <w:rsid w:val="00BC4A2E"/>
    <w:rsid w:val="00BC4A66"/>
    <w:rsid w:val="00BC4B20"/>
    <w:rsid w:val="00BC4B7C"/>
    <w:rsid w:val="00BC4B9B"/>
    <w:rsid w:val="00BC4BEB"/>
    <w:rsid w:val="00BC4F00"/>
    <w:rsid w:val="00BC50D1"/>
    <w:rsid w:val="00BC546C"/>
    <w:rsid w:val="00BC55BF"/>
    <w:rsid w:val="00BC5615"/>
    <w:rsid w:val="00BC571B"/>
    <w:rsid w:val="00BC5745"/>
    <w:rsid w:val="00BC57B5"/>
    <w:rsid w:val="00BC583B"/>
    <w:rsid w:val="00BC5944"/>
    <w:rsid w:val="00BC5947"/>
    <w:rsid w:val="00BC5996"/>
    <w:rsid w:val="00BC59FA"/>
    <w:rsid w:val="00BC5B17"/>
    <w:rsid w:val="00BC5BCB"/>
    <w:rsid w:val="00BC5C2B"/>
    <w:rsid w:val="00BC5CF1"/>
    <w:rsid w:val="00BC5ED8"/>
    <w:rsid w:val="00BC5F16"/>
    <w:rsid w:val="00BC5FEB"/>
    <w:rsid w:val="00BC6045"/>
    <w:rsid w:val="00BC609D"/>
    <w:rsid w:val="00BC611F"/>
    <w:rsid w:val="00BC6126"/>
    <w:rsid w:val="00BC61F3"/>
    <w:rsid w:val="00BC61FF"/>
    <w:rsid w:val="00BC62A7"/>
    <w:rsid w:val="00BC62C5"/>
    <w:rsid w:val="00BC637C"/>
    <w:rsid w:val="00BC657E"/>
    <w:rsid w:val="00BC65DD"/>
    <w:rsid w:val="00BC6635"/>
    <w:rsid w:val="00BC6645"/>
    <w:rsid w:val="00BC67A2"/>
    <w:rsid w:val="00BC67C3"/>
    <w:rsid w:val="00BC67F9"/>
    <w:rsid w:val="00BC6833"/>
    <w:rsid w:val="00BC685F"/>
    <w:rsid w:val="00BC6937"/>
    <w:rsid w:val="00BC69B6"/>
    <w:rsid w:val="00BC69F5"/>
    <w:rsid w:val="00BC6A2E"/>
    <w:rsid w:val="00BC6A9A"/>
    <w:rsid w:val="00BC6B09"/>
    <w:rsid w:val="00BC6B7B"/>
    <w:rsid w:val="00BC6BC7"/>
    <w:rsid w:val="00BC6C3F"/>
    <w:rsid w:val="00BC6E1A"/>
    <w:rsid w:val="00BC6E69"/>
    <w:rsid w:val="00BC6EA4"/>
    <w:rsid w:val="00BC6FDD"/>
    <w:rsid w:val="00BC7104"/>
    <w:rsid w:val="00BC7145"/>
    <w:rsid w:val="00BC7163"/>
    <w:rsid w:val="00BC71DE"/>
    <w:rsid w:val="00BC7224"/>
    <w:rsid w:val="00BC7320"/>
    <w:rsid w:val="00BC7459"/>
    <w:rsid w:val="00BC746B"/>
    <w:rsid w:val="00BC749F"/>
    <w:rsid w:val="00BC74A2"/>
    <w:rsid w:val="00BC74D2"/>
    <w:rsid w:val="00BC74E8"/>
    <w:rsid w:val="00BC7590"/>
    <w:rsid w:val="00BC7624"/>
    <w:rsid w:val="00BC777C"/>
    <w:rsid w:val="00BC77BD"/>
    <w:rsid w:val="00BC786A"/>
    <w:rsid w:val="00BC7888"/>
    <w:rsid w:val="00BC7922"/>
    <w:rsid w:val="00BC7996"/>
    <w:rsid w:val="00BC79E3"/>
    <w:rsid w:val="00BC79F0"/>
    <w:rsid w:val="00BC7AB2"/>
    <w:rsid w:val="00BC7BAF"/>
    <w:rsid w:val="00BC7BF8"/>
    <w:rsid w:val="00BC7C43"/>
    <w:rsid w:val="00BC7FA2"/>
    <w:rsid w:val="00BC7FAF"/>
    <w:rsid w:val="00BD01BA"/>
    <w:rsid w:val="00BD01CF"/>
    <w:rsid w:val="00BD0244"/>
    <w:rsid w:val="00BD0264"/>
    <w:rsid w:val="00BD0285"/>
    <w:rsid w:val="00BD03F7"/>
    <w:rsid w:val="00BD0472"/>
    <w:rsid w:val="00BD04B9"/>
    <w:rsid w:val="00BD04C8"/>
    <w:rsid w:val="00BD04F0"/>
    <w:rsid w:val="00BD0526"/>
    <w:rsid w:val="00BD0544"/>
    <w:rsid w:val="00BD056C"/>
    <w:rsid w:val="00BD0583"/>
    <w:rsid w:val="00BD05BF"/>
    <w:rsid w:val="00BD061E"/>
    <w:rsid w:val="00BD0654"/>
    <w:rsid w:val="00BD07A3"/>
    <w:rsid w:val="00BD07B7"/>
    <w:rsid w:val="00BD07D2"/>
    <w:rsid w:val="00BD081A"/>
    <w:rsid w:val="00BD084D"/>
    <w:rsid w:val="00BD08E5"/>
    <w:rsid w:val="00BD0954"/>
    <w:rsid w:val="00BD096F"/>
    <w:rsid w:val="00BD09CD"/>
    <w:rsid w:val="00BD0A38"/>
    <w:rsid w:val="00BD0A8B"/>
    <w:rsid w:val="00BD0B26"/>
    <w:rsid w:val="00BD0B88"/>
    <w:rsid w:val="00BD0BD0"/>
    <w:rsid w:val="00BD0C08"/>
    <w:rsid w:val="00BD0C36"/>
    <w:rsid w:val="00BD0C88"/>
    <w:rsid w:val="00BD0D08"/>
    <w:rsid w:val="00BD0D35"/>
    <w:rsid w:val="00BD0DDC"/>
    <w:rsid w:val="00BD0E22"/>
    <w:rsid w:val="00BD0ECC"/>
    <w:rsid w:val="00BD0FD9"/>
    <w:rsid w:val="00BD0FE6"/>
    <w:rsid w:val="00BD0FF3"/>
    <w:rsid w:val="00BD1005"/>
    <w:rsid w:val="00BD1048"/>
    <w:rsid w:val="00BD11FA"/>
    <w:rsid w:val="00BD12F5"/>
    <w:rsid w:val="00BD15A0"/>
    <w:rsid w:val="00BD165F"/>
    <w:rsid w:val="00BD1728"/>
    <w:rsid w:val="00BD1774"/>
    <w:rsid w:val="00BD1795"/>
    <w:rsid w:val="00BD19E0"/>
    <w:rsid w:val="00BD1A43"/>
    <w:rsid w:val="00BD1AB6"/>
    <w:rsid w:val="00BD1B5D"/>
    <w:rsid w:val="00BD1F45"/>
    <w:rsid w:val="00BD208A"/>
    <w:rsid w:val="00BD2309"/>
    <w:rsid w:val="00BD2351"/>
    <w:rsid w:val="00BD2353"/>
    <w:rsid w:val="00BD2377"/>
    <w:rsid w:val="00BD23C8"/>
    <w:rsid w:val="00BD2405"/>
    <w:rsid w:val="00BD247D"/>
    <w:rsid w:val="00BD255C"/>
    <w:rsid w:val="00BD26AA"/>
    <w:rsid w:val="00BD26E0"/>
    <w:rsid w:val="00BD273E"/>
    <w:rsid w:val="00BD27E5"/>
    <w:rsid w:val="00BD27E9"/>
    <w:rsid w:val="00BD281C"/>
    <w:rsid w:val="00BD2902"/>
    <w:rsid w:val="00BD293B"/>
    <w:rsid w:val="00BD2AD4"/>
    <w:rsid w:val="00BD2B12"/>
    <w:rsid w:val="00BD2CDA"/>
    <w:rsid w:val="00BD2D2D"/>
    <w:rsid w:val="00BD2D50"/>
    <w:rsid w:val="00BD2D88"/>
    <w:rsid w:val="00BD2EF2"/>
    <w:rsid w:val="00BD2F37"/>
    <w:rsid w:val="00BD2F67"/>
    <w:rsid w:val="00BD2F85"/>
    <w:rsid w:val="00BD2FD9"/>
    <w:rsid w:val="00BD32F4"/>
    <w:rsid w:val="00BD3491"/>
    <w:rsid w:val="00BD349E"/>
    <w:rsid w:val="00BD34F1"/>
    <w:rsid w:val="00BD35EB"/>
    <w:rsid w:val="00BD3700"/>
    <w:rsid w:val="00BD3885"/>
    <w:rsid w:val="00BD3968"/>
    <w:rsid w:val="00BD39EA"/>
    <w:rsid w:val="00BD3B5B"/>
    <w:rsid w:val="00BD3D4F"/>
    <w:rsid w:val="00BD3D82"/>
    <w:rsid w:val="00BD3E0B"/>
    <w:rsid w:val="00BD3E1D"/>
    <w:rsid w:val="00BD4079"/>
    <w:rsid w:val="00BD40B7"/>
    <w:rsid w:val="00BD40BD"/>
    <w:rsid w:val="00BD4153"/>
    <w:rsid w:val="00BD41F3"/>
    <w:rsid w:val="00BD41FF"/>
    <w:rsid w:val="00BD4232"/>
    <w:rsid w:val="00BD42D0"/>
    <w:rsid w:val="00BD454F"/>
    <w:rsid w:val="00BD45D4"/>
    <w:rsid w:val="00BD45E6"/>
    <w:rsid w:val="00BD46D5"/>
    <w:rsid w:val="00BD47F6"/>
    <w:rsid w:val="00BD4872"/>
    <w:rsid w:val="00BD48B1"/>
    <w:rsid w:val="00BD4922"/>
    <w:rsid w:val="00BD4A19"/>
    <w:rsid w:val="00BD4A3F"/>
    <w:rsid w:val="00BD4C2D"/>
    <w:rsid w:val="00BD4C69"/>
    <w:rsid w:val="00BD4CEA"/>
    <w:rsid w:val="00BD4DDD"/>
    <w:rsid w:val="00BD4E66"/>
    <w:rsid w:val="00BD4E7B"/>
    <w:rsid w:val="00BD4F4C"/>
    <w:rsid w:val="00BD5035"/>
    <w:rsid w:val="00BD509B"/>
    <w:rsid w:val="00BD50C6"/>
    <w:rsid w:val="00BD518D"/>
    <w:rsid w:val="00BD5292"/>
    <w:rsid w:val="00BD5293"/>
    <w:rsid w:val="00BD5321"/>
    <w:rsid w:val="00BD5387"/>
    <w:rsid w:val="00BD5483"/>
    <w:rsid w:val="00BD56D7"/>
    <w:rsid w:val="00BD5767"/>
    <w:rsid w:val="00BD57EC"/>
    <w:rsid w:val="00BD5865"/>
    <w:rsid w:val="00BD5872"/>
    <w:rsid w:val="00BD5982"/>
    <w:rsid w:val="00BD598E"/>
    <w:rsid w:val="00BD5A19"/>
    <w:rsid w:val="00BD5AB8"/>
    <w:rsid w:val="00BD5D0F"/>
    <w:rsid w:val="00BD5DC4"/>
    <w:rsid w:val="00BD5E87"/>
    <w:rsid w:val="00BD5FC6"/>
    <w:rsid w:val="00BD6010"/>
    <w:rsid w:val="00BD601E"/>
    <w:rsid w:val="00BD602C"/>
    <w:rsid w:val="00BD6158"/>
    <w:rsid w:val="00BD61CA"/>
    <w:rsid w:val="00BD6201"/>
    <w:rsid w:val="00BD6220"/>
    <w:rsid w:val="00BD6331"/>
    <w:rsid w:val="00BD63BB"/>
    <w:rsid w:val="00BD6408"/>
    <w:rsid w:val="00BD642E"/>
    <w:rsid w:val="00BD647A"/>
    <w:rsid w:val="00BD64E5"/>
    <w:rsid w:val="00BD65A2"/>
    <w:rsid w:val="00BD666C"/>
    <w:rsid w:val="00BD66F0"/>
    <w:rsid w:val="00BD685B"/>
    <w:rsid w:val="00BD687C"/>
    <w:rsid w:val="00BD68A7"/>
    <w:rsid w:val="00BD6920"/>
    <w:rsid w:val="00BD6933"/>
    <w:rsid w:val="00BD698A"/>
    <w:rsid w:val="00BD69A8"/>
    <w:rsid w:val="00BD69EA"/>
    <w:rsid w:val="00BD6A40"/>
    <w:rsid w:val="00BD6B73"/>
    <w:rsid w:val="00BD6BC0"/>
    <w:rsid w:val="00BD6CD8"/>
    <w:rsid w:val="00BD6CE3"/>
    <w:rsid w:val="00BD6D2D"/>
    <w:rsid w:val="00BD6D95"/>
    <w:rsid w:val="00BD6E19"/>
    <w:rsid w:val="00BD6E25"/>
    <w:rsid w:val="00BD6E68"/>
    <w:rsid w:val="00BD6EC7"/>
    <w:rsid w:val="00BD6EE4"/>
    <w:rsid w:val="00BD7026"/>
    <w:rsid w:val="00BD70C4"/>
    <w:rsid w:val="00BD7177"/>
    <w:rsid w:val="00BD7266"/>
    <w:rsid w:val="00BD7319"/>
    <w:rsid w:val="00BD7492"/>
    <w:rsid w:val="00BD7580"/>
    <w:rsid w:val="00BD7707"/>
    <w:rsid w:val="00BD7720"/>
    <w:rsid w:val="00BD7766"/>
    <w:rsid w:val="00BD77BA"/>
    <w:rsid w:val="00BD78FB"/>
    <w:rsid w:val="00BD7A54"/>
    <w:rsid w:val="00BD7A7E"/>
    <w:rsid w:val="00BD7AFD"/>
    <w:rsid w:val="00BD7B6F"/>
    <w:rsid w:val="00BD7B80"/>
    <w:rsid w:val="00BD7BD3"/>
    <w:rsid w:val="00BD7BE7"/>
    <w:rsid w:val="00BD7D07"/>
    <w:rsid w:val="00BD7E8F"/>
    <w:rsid w:val="00BD7EF3"/>
    <w:rsid w:val="00BD7FAF"/>
    <w:rsid w:val="00BD7FE9"/>
    <w:rsid w:val="00BD7FF7"/>
    <w:rsid w:val="00BE01C4"/>
    <w:rsid w:val="00BE022C"/>
    <w:rsid w:val="00BE0232"/>
    <w:rsid w:val="00BE0274"/>
    <w:rsid w:val="00BE03C8"/>
    <w:rsid w:val="00BE03E0"/>
    <w:rsid w:val="00BE03F6"/>
    <w:rsid w:val="00BE04B5"/>
    <w:rsid w:val="00BE067A"/>
    <w:rsid w:val="00BE06F6"/>
    <w:rsid w:val="00BE0755"/>
    <w:rsid w:val="00BE07D2"/>
    <w:rsid w:val="00BE080E"/>
    <w:rsid w:val="00BE0856"/>
    <w:rsid w:val="00BE092B"/>
    <w:rsid w:val="00BE0952"/>
    <w:rsid w:val="00BE0A43"/>
    <w:rsid w:val="00BE0AC6"/>
    <w:rsid w:val="00BE0AE2"/>
    <w:rsid w:val="00BE0B20"/>
    <w:rsid w:val="00BE0B67"/>
    <w:rsid w:val="00BE0CC6"/>
    <w:rsid w:val="00BE0CE9"/>
    <w:rsid w:val="00BE0DC4"/>
    <w:rsid w:val="00BE0DE0"/>
    <w:rsid w:val="00BE0E37"/>
    <w:rsid w:val="00BE0E41"/>
    <w:rsid w:val="00BE0E8B"/>
    <w:rsid w:val="00BE0EEA"/>
    <w:rsid w:val="00BE0FC1"/>
    <w:rsid w:val="00BE1003"/>
    <w:rsid w:val="00BE113A"/>
    <w:rsid w:val="00BE129F"/>
    <w:rsid w:val="00BE12CB"/>
    <w:rsid w:val="00BE12F8"/>
    <w:rsid w:val="00BE135C"/>
    <w:rsid w:val="00BE13B0"/>
    <w:rsid w:val="00BE13B9"/>
    <w:rsid w:val="00BE13C4"/>
    <w:rsid w:val="00BE13FB"/>
    <w:rsid w:val="00BE1424"/>
    <w:rsid w:val="00BE14A3"/>
    <w:rsid w:val="00BE14E8"/>
    <w:rsid w:val="00BE14FF"/>
    <w:rsid w:val="00BE1519"/>
    <w:rsid w:val="00BE15CF"/>
    <w:rsid w:val="00BE1601"/>
    <w:rsid w:val="00BE1671"/>
    <w:rsid w:val="00BE16AE"/>
    <w:rsid w:val="00BE16BC"/>
    <w:rsid w:val="00BE1725"/>
    <w:rsid w:val="00BE1744"/>
    <w:rsid w:val="00BE1ADE"/>
    <w:rsid w:val="00BE1BA4"/>
    <w:rsid w:val="00BE1C67"/>
    <w:rsid w:val="00BE1C91"/>
    <w:rsid w:val="00BE1CFA"/>
    <w:rsid w:val="00BE1D13"/>
    <w:rsid w:val="00BE1ECA"/>
    <w:rsid w:val="00BE1EF0"/>
    <w:rsid w:val="00BE1F5F"/>
    <w:rsid w:val="00BE1FD5"/>
    <w:rsid w:val="00BE219C"/>
    <w:rsid w:val="00BE21BD"/>
    <w:rsid w:val="00BE2206"/>
    <w:rsid w:val="00BE2235"/>
    <w:rsid w:val="00BE2347"/>
    <w:rsid w:val="00BE2373"/>
    <w:rsid w:val="00BE242C"/>
    <w:rsid w:val="00BE2463"/>
    <w:rsid w:val="00BE2530"/>
    <w:rsid w:val="00BE25A8"/>
    <w:rsid w:val="00BE2637"/>
    <w:rsid w:val="00BE2694"/>
    <w:rsid w:val="00BE2703"/>
    <w:rsid w:val="00BE294C"/>
    <w:rsid w:val="00BE2977"/>
    <w:rsid w:val="00BE2B89"/>
    <w:rsid w:val="00BE2C10"/>
    <w:rsid w:val="00BE2C4D"/>
    <w:rsid w:val="00BE2C52"/>
    <w:rsid w:val="00BE2C8B"/>
    <w:rsid w:val="00BE2C91"/>
    <w:rsid w:val="00BE2CB0"/>
    <w:rsid w:val="00BE2D2D"/>
    <w:rsid w:val="00BE2DE1"/>
    <w:rsid w:val="00BE2E7A"/>
    <w:rsid w:val="00BE2E88"/>
    <w:rsid w:val="00BE2F18"/>
    <w:rsid w:val="00BE2F6D"/>
    <w:rsid w:val="00BE30B9"/>
    <w:rsid w:val="00BE30F2"/>
    <w:rsid w:val="00BE3175"/>
    <w:rsid w:val="00BE329D"/>
    <w:rsid w:val="00BE32F4"/>
    <w:rsid w:val="00BE334F"/>
    <w:rsid w:val="00BE3351"/>
    <w:rsid w:val="00BE346D"/>
    <w:rsid w:val="00BE34C3"/>
    <w:rsid w:val="00BE352B"/>
    <w:rsid w:val="00BE357F"/>
    <w:rsid w:val="00BE35DE"/>
    <w:rsid w:val="00BE378F"/>
    <w:rsid w:val="00BE3814"/>
    <w:rsid w:val="00BE3846"/>
    <w:rsid w:val="00BE391D"/>
    <w:rsid w:val="00BE3932"/>
    <w:rsid w:val="00BE3A11"/>
    <w:rsid w:val="00BE3A33"/>
    <w:rsid w:val="00BE3B71"/>
    <w:rsid w:val="00BE3BCE"/>
    <w:rsid w:val="00BE3BF6"/>
    <w:rsid w:val="00BE3D45"/>
    <w:rsid w:val="00BE3D85"/>
    <w:rsid w:val="00BE3D90"/>
    <w:rsid w:val="00BE3E53"/>
    <w:rsid w:val="00BE4145"/>
    <w:rsid w:val="00BE41EB"/>
    <w:rsid w:val="00BE427D"/>
    <w:rsid w:val="00BE4294"/>
    <w:rsid w:val="00BE442E"/>
    <w:rsid w:val="00BE4468"/>
    <w:rsid w:val="00BE4512"/>
    <w:rsid w:val="00BE4636"/>
    <w:rsid w:val="00BE46B7"/>
    <w:rsid w:val="00BE46C5"/>
    <w:rsid w:val="00BE46C9"/>
    <w:rsid w:val="00BE46E5"/>
    <w:rsid w:val="00BE4720"/>
    <w:rsid w:val="00BE4732"/>
    <w:rsid w:val="00BE48CE"/>
    <w:rsid w:val="00BE48D5"/>
    <w:rsid w:val="00BE4948"/>
    <w:rsid w:val="00BE4A0A"/>
    <w:rsid w:val="00BE4A8D"/>
    <w:rsid w:val="00BE4A94"/>
    <w:rsid w:val="00BE4BB4"/>
    <w:rsid w:val="00BE4D9E"/>
    <w:rsid w:val="00BE4DCA"/>
    <w:rsid w:val="00BE4DCD"/>
    <w:rsid w:val="00BE4DD0"/>
    <w:rsid w:val="00BE4EA5"/>
    <w:rsid w:val="00BE4F04"/>
    <w:rsid w:val="00BE4F59"/>
    <w:rsid w:val="00BE4F8C"/>
    <w:rsid w:val="00BE5014"/>
    <w:rsid w:val="00BE5100"/>
    <w:rsid w:val="00BE518A"/>
    <w:rsid w:val="00BE51FF"/>
    <w:rsid w:val="00BE52B0"/>
    <w:rsid w:val="00BE5303"/>
    <w:rsid w:val="00BE54B5"/>
    <w:rsid w:val="00BE54F8"/>
    <w:rsid w:val="00BE56C0"/>
    <w:rsid w:val="00BE59E2"/>
    <w:rsid w:val="00BE5A01"/>
    <w:rsid w:val="00BE5A0F"/>
    <w:rsid w:val="00BE5B81"/>
    <w:rsid w:val="00BE5BA0"/>
    <w:rsid w:val="00BE5C2B"/>
    <w:rsid w:val="00BE5C4B"/>
    <w:rsid w:val="00BE5CB4"/>
    <w:rsid w:val="00BE5CFC"/>
    <w:rsid w:val="00BE5D17"/>
    <w:rsid w:val="00BE5D1F"/>
    <w:rsid w:val="00BE5D26"/>
    <w:rsid w:val="00BE5D7B"/>
    <w:rsid w:val="00BE5DFE"/>
    <w:rsid w:val="00BE5E81"/>
    <w:rsid w:val="00BE5EE4"/>
    <w:rsid w:val="00BE5EF3"/>
    <w:rsid w:val="00BE6075"/>
    <w:rsid w:val="00BE61C8"/>
    <w:rsid w:val="00BE61E5"/>
    <w:rsid w:val="00BE6240"/>
    <w:rsid w:val="00BE6373"/>
    <w:rsid w:val="00BE6404"/>
    <w:rsid w:val="00BE644A"/>
    <w:rsid w:val="00BE64F7"/>
    <w:rsid w:val="00BE650F"/>
    <w:rsid w:val="00BE684F"/>
    <w:rsid w:val="00BE6989"/>
    <w:rsid w:val="00BE6998"/>
    <w:rsid w:val="00BE6B0C"/>
    <w:rsid w:val="00BE6B6C"/>
    <w:rsid w:val="00BE6BA7"/>
    <w:rsid w:val="00BE6BD5"/>
    <w:rsid w:val="00BE6C49"/>
    <w:rsid w:val="00BE6C8F"/>
    <w:rsid w:val="00BE6CCA"/>
    <w:rsid w:val="00BE6EBE"/>
    <w:rsid w:val="00BE6ED9"/>
    <w:rsid w:val="00BE706A"/>
    <w:rsid w:val="00BE7099"/>
    <w:rsid w:val="00BE70EF"/>
    <w:rsid w:val="00BE7152"/>
    <w:rsid w:val="00BE73C6"/>
    <w:rsid w:val="00BE749D"/>
    <w:rsid w:val="00BE74E8"/>
    <w:rsid w:val="00BE74F1"/>
    <w:rsid w:val="00BE7547"/>
    <w:rsid w:val="00BE75D0"/>
    <w:rsid w:val="00BE76E4"/>
    <w:rsid w:val="00BE76F0"/>
    <w:rsid w:val="00BE7755"/>
    <w:rsid w:val="00BE7767"/>
    <w:rsid w:val="00BE777B"/>
    <w:rsid w:val="00BE77CA"/>
    <w:rsid w:val="00BE784F"/>
    <w:rsid w:val="00BE7884"/>
    <w:rsid w:val="00BE78E0"/>
    <w:rsid w:val="00BE790C"/>
    <w:rsid w:val="00BE7919"/>
    <w:rsid w:val="00BE7940"/>
    <w:rsid w:val="00BE79B1"/>
    <w:rsid w:val="00BE7A52"/>
    <w:rsid w:val="00BE7A60"/>
    <w:rsid w:val="00BE7B23"/>
    <w:rsid w:val="00BE7C18"/>
    <w:rsid w:val="00BE7C3F"/>
    <w:rsid w:val="00BE7D44"/>
    <w:rsid w:val="00BE7D4D"/>
    <w:rsid w:val="00BE7D6F"/>
    <w:rsid w:val="00BE7DC9"/>
    <w:rsid w:val="00BE7E6E"/>
    <w:rsid w:val="00BE7EA0"/>
    <w:rsid w:val="00BE7EA5"/>
    <w:rsid w:val="00BE7EDE"/>
    <w:rsid w:val="00BE7FC1"/>
    <w:rsid w:val="00BF01B6"/>
    <w:rsid w:val="00BF0224"/>
    <w:rsid w:val="00BF030B"/>
    <w:rsid w:val="00BF0352"/>
    <w:rsid w:val="00BF045A"/>
    <w:rsid w:val="00BF0573"/>
    <w:rsid w:val="00BF05E3"/>
    <w:rsid w:val="00BF0664"/>
    <w:rsid w:val="00BF078F"/>
    <w:rsid w:val="00BF07B1"/>
    <w:rsid w:val="00BF0825"/>
    <w:rsid w:val="00BF095B"/>
    <w:rsid w:val="00BF0C83"/>
    <w:rsid w:val="00BF0CB3"/>
    <w:rsid w:val="00BF0CB6"/>
    <w:rsid w:val="00BF0CDE"/>
    <w:rsid w:val="00BF0D4B"/>
    <w:rsid w:val="00BF0DE4"/>
    <w:rsid w:val="00BF0E19"/>
    <w:rsid w:val="00BF0E5F"/>
    <w:rsid w:val="00BF0E60"/>
    <w:rsid w:val="00BF0EA3"/>
    <w:rsid w:val="00BF0F5B"/>
    <w:rsid w:val="00BF0FE0"/>
    <w:rsid w:val="00BF1099"/>
    <w:rsid w:val="00BF1105"/>
    <w:rsid w:val="00BF1121"/>
    <w:rsid w:val="00BF121A"/>
    <w:rsid w:val="00BF13AF"/>
    <w:rsid w:val="00BF1402"/>
    <w:rsid w:val="00BF1407"/>
    <w:rsid w:val="00BF1646"/>
    <w:rsid w:val="00BF16FD"/>
    <w:rsid w:val="00BF1729"/>
    <w:rsid w:val="00BF18B9"/>
    <w:rsid w:val="00BF193E"/>
    <w:rsid w:val="00BF194D"/>
    <w:rsid w:val="00BF19BB"/>
    <w:rsid w:val="00BF19E0"/>
    <w:rsid w:val="00BF1A38"/>
    <w:rsid w:val="00BF1C20"/>
    <w:rsid w:val="00BF1CC3"/>
    <w:rsid w:val="00BF1CC8"/>
    <w:rsid w:val="00BF1D0C"/>
    <w:rsid w:val="00BF1D11"/>
    <w:rsid w:val="00BF1D6C"/>
    <w:rsid w:val="00BF1DFC"/>
    <w:rsid w:val="00BF1E1D"/>
    <w:rsid w:val="00BF1E29"/>
    <w:rsid w:val="00BF1E6E"/>
    <w:rsid w:val="00BF1EB2"/>
    <w:rsid w:val="00BF209C"/>
    <w:rsid w:val="00BF217D"/>
    <w:rsid w:val="00BF21B8"/>
    <w:rsid w:val="00BF2272"/>
    <w:rsid w:val="00BF2287"/>
    <w:rsid w:val="00BF233C"/>
    <w:rsid w:val="00BF2399"/>
    <w:rsid w:val="00BF24C5"/>
    <w:rsid w:val="00BF24D5"/>
    <w:rsid w:val="00BF2573"/>
    <w:rsid w:val="00BF26C7"/>
    <w:rsid w:val="00BF26D9"/>
    <w:rsid w:val="00BF2735"/>
    <w:rsid w:val="00BF27D7"/>
    <w:rsid w:val="00BF28AB"/>
    <w:rsid w:val="00BF2935"/>
    <w:rsid w:val="00BF2A79"/>
    <w:rsid w:val="00BF2A9F"/>
    <w:rsid w:val="00BF2AB1"/>
    <w:rsid w:val="00BF2AC6"/>
    <w:rsid w:val="00BF2BA9"/>
    <w:rsid w:val="00BF2CF9"/>
    <w:rsid w:val="00BF2D7B"/>
    <w:rsid w:val="00BF2E20"/>
    <w:rsid w:val="00BF2E9F"/>
    <w:rsid w:val="00BF2EAA"/>
    <w:rsid w:val="00BF2EC3"/>
    <w:rsid w:val="00BF2F8C"/>
    <w:rsid w:val="00BF3062"/>
    <w:rsid w:val="00BF31CC"/>
    <w:rsid w:val="00BF342A"/>
    <w:rsid w:val="00BF344B"/>
    <w:rsid w:val="00BF3484"/>
    <w:rsid w:val="00BF3581"/>
    <w:rsid w:val="00BF35A0"/>
    <w:rsid w:val="00BF3794"/>
    <w:rsid w:val="00BF385B"/>
    <w:rsid w:val="00BF38A0"/>
    <w:rsid w:val="00BF3925"/>
    <w:rsid w:val="00BF3988"/>
    <w:rsid w:val="00BF39F2"/>
    <w:rsid w:val="00BF3A8C"/>
    <w:rsid w:val="00BF3B9E"/>
    <w:rsid w:val="00BF3C1E"/>
    <w:rsid w:val="00BF3C6E"/>
    <w:rsid w:val="00BF3C7A"/>
    <w:rsid w:val="00BF3D34"/>
    <w:rsid w:val="00BF3E76"/>
    <w:rsid w:val="00BF3F06"/>
    <w:rsid w:val="00BF4002"/>
    <w:rsid w:val="00BF405C"/>
    <w:rsid w:val="00BF40DD"/>
    <w:rsid w:val="00BF424E"/>
    <w:rsid w:val="00BF4264"/>
    <w:rsid w:val="00BF447C"/>
    <w:rsid w:val="00BF44B2"/>
    <w:rsid w:val="00BF44D0"/>
    <w:rsid w:val="00BF454A"/>
    <w:rsid w:val="00BF455C"/>
    <w:rsid w:val="00BF4729"/>
    <w:rsid w:val="00BF476B"/>
    <w:rsid w:val="00BF47AA"/>
    <w:rsid w:val="00BF47D5"/>
    <w:rsid w:val="00BF4860"/>
    <w:rsid w:val="00BF48C9"/>
    <w:rsid w:val="00BF48F6"/>
    <w:rsid w:val="00BF491D"/>
    <w:rsid w:val="00BF49B5"/>
    <w:rsid w:val="00BF4A77"/>
    <w:rsid w:val="00BF4AD1"/>
    <w:rsid w:val="00BF4D59"/>
    <w:rsid w:val="00BF4D84"/>
    <w:rsid w:val="00BF4E65"/>
    <w:rsid w:val="00BF4FB8"/>
    <w:rsid w:val="00BF5031"/>
    <w:rsid w:val="00BF50B0"/>
    <w:rsid w:val="00BF50FB"/>
    <w:rsid w:val="00BF5185"/>
    <w:rsid w:val="00BF51C5"/>
    <w:rsid w:val="00BF5303"/>
    <w:rsid w:val="00BF53B1"/>
    <w:rsid w:val="00BF54EB"/>
    <w:rsid w:val="00BF55C0"/>
    <w:rsid w:val="00BF55C6"/>
    <w:rsid w:val="00BF55C8"/>
    <w:rsid w:val="00BF57DC"/>
    <w:rsid w:val="00BF5808"/>
    <w:rsid w:val="00BF584E"/>
    <w:rsid w:val="00BF58B2"/>
    <w:rsid w:val="00BF5913"/>
    <w:rsid w:val="00BF59DE"/>
    <w:rsid w:val="00BF5A46"/>
    <w:rsid w:val="00BF5A89"/>
    <w:rsid w:val="00BF5AEC"/>
    <w:rsid w:val="00BF5C9A"/>
    <w:rsid w:val="00BF5D28"/>
    <w:rsid w:val="00BF5D54"/>
    <w:rsid w:val="00BF5D95"/>
    <w:rsid w:val="00BF5DE2"/>
    <w:rsid w:val="00BF5E8C"/>
    <w:rsid w:val="00BF5F01"/>
    <w:rsid w:val="00BF5F8C"/>
    <w:rsid w:val="00BF61B8"/>
    <w:rsid w:val="00BF6296"/>
    <w:rsid w:val="00BF62E8"/>
    <w:rsid w:val="00BF6315"/>
    <w:rsid w:val="00BF6361"/>
    <w:rsid w:val="00BF6451"/>
    <w:rsid w:val="00BF6460"/>
    <w:rsid w:val="00BF6494"/>
    <w:rsid w:val="00BF64F1"/>
    <w:rsid w:val="00BF6547"/>
    <w:rsid w:val="00BF6693"/>
    <w:rsid w:val="00BF6747"/>
    <w:rsid w:val="00BF6767"/>
    <w:rsid w:val="00BF6886"/>
    <w:rsid w:val="00BF6A8B"/>
    <w:rsid w:val="00BF6A8C"/>
    <w:rsid w:val="00BF6AD7"/>
    <w:rsid w:val="00BF6AFE"/>
    <w:rsid w:val="00BF6BB8"/>
    <w:rsid w:val="00BF6BC1"/>
    <w:rsid w:val="00BF6C50"/>
    <w:rsid w:val="00BF6CAF"/>
    <w:rsid w:val="00BF6DF6"/>
    <w:rsid w:val="00BF6E6D"/>
    <w:rsid w:val="00BF6E80"/>
    <w:rsid w:val="00BF6EA3"/>
    <w:rsid w:val="00BF6F82"/>
    <w:rsid w:val="00BF6F96"/>
    <w:rsid w:val="00BF710C"/>
    <w:rsid w:val="00BF71D2"/>
    <w:rsid w:val="00BF720E"/>
    <w:rsid w:val="00BF721F"/>
    <w:rsid w:val="00BF73FC"/>
    <w:rsid w:val="00BF743F"/>
    <w:rsid w:val="00BF746E"/>
    <w:rsid w:val="00BF74D3"/>
    <w:rsid w:val="00BF759E"/>
    <w:rsid w:val="00BF7607"/>
    <w:rsid w:val="00BF7661"/>
    <w:rsid w:val="00BF7744"/>
    <w:rsid w:val="00BF77AA"/>
    <w:rsid w:val="00BF780B"/>
    <w:rsid w:val="00BF7813"/>
    <w:rsid w:val="00BF78F0"/>
    <w:rsid w:val="00BF7927"/>
    <w:rsid w:val="00BF7966"/>
    <w:rsid w:val="00BF79BE"/>
    <w:rsid w:val="00BF7A80"/>
    <w:rsid w:val="00BF7B3D"/>
    <w:rsid w:val="00BF7B43"/>
    <w:rsid w:val="00BF7BA3"/>
    <w:rsid w:val="00BF7C0A"/>
    <w:rsid w:val="00BF7E42"/>
    <w:rsid w:val="00C0009F"/>
    <w:rsid w:val="00C0017E"/>
    <w:rsid w:val="00C001C4"/>
    <w:rsid w:val="00C0036B"/>
    <w:rsid w:val="00C003F0"/>
    <w:rsid w:val="00C00426"/>
    <w:rsid w:val="00C004D4"/>
    <w:rsid w:val="00C00502"/>
    <w:rsid w:val="00C005BF"/>
    <w:rsid w:val="00C006C6"/>
    <w:rsid w:val="00C00935"/>
    <w:rsid w:val="00C00A08"/>
    <w:rsid w:val="00C00AEB"/>
    <w:rsid w:val="00C00C85"/>
    <w:rsid w:val="00C00CC0"/>
    <w:rsid w:val="00C00D9C"/>
    <w:rsid w:val="00C00DC1"/>
    <w:rsid w:val="00C00F9A"/>
    <w:rsid w:val="00C00FD9"/>
    <w:rsid w:val="00C01049"/>
    <w:rsid w:val="00C0104C"/>
    <w:rsid w:val="00C010F3"/>
    <w:rsid w:val="00C01114"/>
    <w:rsid w:val="00C012BC"/>
    <w:rsid w:val="00C01368"/>
    <w:rsid w:val="00C013B9"/>
    <w:rsid w:val="00C015F3"/>
    <w:rsid w:val="00C01744"/>
    <w:rsid w:val="00C017BE"/>
    <w:rsid w:val="00C01844"/>
    <w:rsid w:val="00C01876"/>
    <w:rsid w:val="00C018D9"/>
    <w:rsid w:val="00C01A6A"/>
    <w:rsid w:val="00C01ADA"/>
    <w:rsid w:val="00C01C0D"/>
    <w:rsid w:val="00C01D00"/>
    <w:rsid w:val="00C01DA6"/>
    <w:rsid w:val="00C01DCC"/>
    <w:rsid w:val="00C01E42"/>
    <w:rsid w:val="00C01E94"/>
    <w:rsid w:val="00C01FE1"/>
    <w:rsid w:val="00C0205E"/>
    <w:rsid w:val="00C0209D"/>
    <w:rsid w:val="00C02157"/>
    <w:rsid w:val="00C021BB"/>
    <w:rsid w:val="00C022F1"/>
    <w:rsid w:val="00C02338"/>
    <w:rsid w:val="00C023BF"/>
    <w:rsid w:val="00C02434"/>
    <w:rsid w:val="00C02444"/>
    <w:rsid w:val="00C02481"/>
    <w:rsid w:val="00C02560"/>
    <w:rsid w:val="00C025C0"/>
    <w:rsid w:val="00C025D7"/>
    <w:rsid w:val="00C025F8"/>
    <w:rsid w:val="00C02692"/>
    <w:rsid w:val="00C026A5"/>
    <w:rsid w:val="00C026DE"/>
    <w:rsid w:val="00C0279E"/>
    <w:rsid w:val="00C028EF"/>
    <w:rsid w:val="00C0292C"/>
    <w:rsid w:val="00C02949"/>
    <w:rsid w:val="00C02A07"/>
    <w:rsid w:val="00C02B24"/>
    <w:rsid w:val="00C02B2F"/>
    <w:rsid w:val="00C02BC9"/>
    <w:rsid w:val="00C02CBD"/>
    <w:rsid w:val="00C02DA8"/>
    <w:rsid w:val="00C02E07"/>
    <w:rsid w:val="00C02E10"/>
    <w:rsid w:val="00C02EEA"/>
    <w:rsid w:val="00C02F6E"/>
    <w:rsid w:val="00C03021"/>
    <w:rsid w:val="00C03092"/>
    <w:rsid w:val="00C030E9"/>
    <w:rsid w:val="00C031C6"/>
    <w:rsid w:val="00C03216"/>
    <w:rsid w:val="00C03249"/>
    <w:rsid w:val="00C0327A"/>
    <w:rsid w:val="00C0328F"/>
    <w:rsid w:val="00C03480"/>
    <w:rsid w:val="00C03481"/>
    <w:rsid w:val="00C03635"/>
    <w:rsid w:val="00C0363F"/>
    <w:rsid w:val="00C037D0"/>
    <w:rsid w:val="00C0395D"/>
    <w:rsid w:val="00C039D8"/>
    <w:rsid w:val="00C03A2C"/>
    <w:rsid w:val="00C03AF5"/>
    <w:rsid w:val="00C03B20"/>
    <w:rsid w:val="00C03B45"/>
    <w:rsid w:val="00C03C3C"/>
    <w:rsid w:val="00C03C7B"/>
    <w:rsid w:val="00C03D4E"/>
    <w:rsid w:val="00C03D7A"/>
    <w:rsid w:val="00C03E24"/>
    <w:rsid w:val="00C03F6E"/>
    <w:rsid w:val="00C04087"/>
    <w:rsid w:val="00C04129"/>
    <w:rsid w:val="00C0417E"/>
    <w:rsid w:val="00C041E0"/>
    <w:rsid w:val="00C043DA"/>
    <w:rsid w:val="00C043F7"/>
    <w:rsid w:val="00C043FB"/>
    <w:rsid w:val="00C04432"/>
    <w:rsid w:val="00C044EA"/>
    <w:rsid w:val="00C04554"/>
    <w:rsid w:val="00C04581"/>
    <w:rsid w:val="00C045AE"/>
    <w:rsid w:val="00C045FE"/>
    <w:rsid w:val="00C0464F"/>
    <w:rsid w:val="00C046A0"/>
    <w:rsid w:val="00C04747"/>
    <w:rsid w:val="00C047C7"/>
    <w:rsid w:val="00C0483D"/>
    <w:rsid w:val="00C048C0"/>
    <w:rsid w:val="00C048D1"/>
    <w:rsid w:val="00C049AE"/>
    <w:rsid w:val="00C049C6"/>
    <w:rsid w:val="00C04A98"/>
    <w:rsid w:val="00C04A9A"/>
    <w:rsid w:val="00C04AF0"/>
    <w:rsid w:val="00C04B41"/>
    <w:rsid w:val="00C04B59"/>
    <w:rsid w:val="00C04B79"/>
    <w:rsid w:val="00C04C50"/>
    <w:rsid w:val="00C04D35"/>
    <w:rsid w:val="00C04D68"/>
    <w:rsid w:val="00C04EC7"/>
    <w:rsid w:val="00C04FED"/>
    <w:rsid w:val="00C051D3"/>
    <w:rsid w:val="00C05265"/>
    <w:rsid w:val="00C052BA"/>
    <w:rsid w:val="00C052C8"/>
    <w:rsid w:val="00C05313"/>
    <w:rsid w:val="00C05343"/>
    <w:rsid w:val="00C05461"/>
    <w:rsid w:val="00C05616"/>
    <w:rsid w:val="00C05870"/>
    <w:rsid w:val="00C058D0"/>
    <w:rsid w:val="00C059C4"/>
    <w:rsid w:val="00C059D9"/>
    <w:rsid w:val="00C05A10"/>
    <w:rsid w:val="00C05A3B"/>
    <w:rsid w:val="00C05A44"/>
    <w:rsid w:val="00C05AD7"/>
    <w:rsid w:val="00C05B59"/>
    <w:rsid w:val="00C05B81"/>
    <w:rsid w:val="00C05C37"/>
    <w:rsid w:val="00C05C95"/>
    <w:rsid w:val="00C05EAA"/>
    <w:rsid w:val="00C05F76"/>
    <w:rsid w:val="00C0603A"/>
    <w:rsid w:val="00C060A0"/>
    <w:rsid w:val="00C060DC"/>
    <w:rsid w:val="00C060F1"/>
    <w:rsid w:val="00C061A8"/>
    <w:rsid w:val="00C061E5"/>
    <w:rsid w:val="00C06215"/>
    <w:rsid w:val="00C06370"/>
    <w:rsid w:val="00C0640F"/>
    <w:rsid w:val="00C066A5"/>
    <w:rsid w:val="00C0670C"/>
    <w:rsid w:val="00C067E1"/>
    <w:rsid w:val="00C068B9"/>
    <w:rsid w:val="00C069B5"/>
    <w:rsid w:val="00C06A6B"/>
    <w:rsid w:val="00C06A76"/>
    <w:rsid w:val="00C06AFC"/>
    <w:rsid w:val="00C06B27"/>
    <w:rsid w:val="00C06B52"/>
    <w:rsid w:val="00C06B79"/>
    <w:rsid w:val="00C06BD6"/>
    <w:rsid w:val="00C06C01"/>
    <w:rsid w:val="00C06C36"/>
    <w:rsid w:val="00C06CDE"/>
    <w:rsid w:val="00C06D10"/>
    <w:rsid w:val="00C06E0A"/>
    <w:rsid w:val="00C06EA2"/>
    <w:rsid w:val="00C06EF8"/>
    <w:rsid w:val="00C06F45"/>
    <w:rsid w:val="00C06F48"/>
    <w:rsid w:val="00C06FA9"/>
    <w:rsid w:val="00C0700B"/>
    <w:rsid w:val="00C07142"/>
    <w:rsid w:val="00C0723E"/>
    <w:rsid w:val="00C07242"/>
    <w:rsid w:val="00C0726B"/>
    <w:rsid w:val="00C072A5"/>
    <w:rsid w:val="00C07432"/>
    <w:rsid w:val="00C0751C"/>
    <w:rsid w:val="00C07833"/>
    <w:rsid w:val="00C079A8"/>
    <w:rsid w:val="00C079C8"/>
    <w:rsid w:val="00C07C2C"/>
    <w:rsid w:val="00C07C4A"/>
    <w:rsid w:val="00C07D00"/>
    <w:rsid w:val="00C10062"/>
    <w:rsid w:val="00C100D6"/>
    <w:rsid w:val="00C10214"/>
    <w:rsid w:val="00C10397"/>
    <w:rsid w:val="00C103EE"/>
    <w:rsid w:val="00C104AD"/>
    <w:rsid w:val="00C105ED"/>
    <w:rsid w:val="00C10685"/>
    <w:rsid w:val="00C10693"/>
    <w:rsid w:val="00C10718"/>
    <w:rsid w:val="00C10767"/>
    <w:rsid w:val="00C107F4"/>
    <w:rsid w:val="00C10921"/>
    <w:rsid w:val="00C1097A"/>
    <w:rsid w:val="00C10AC6"/>
    <w:rsid w:val="00C10AD9"/>
    <w:rsid w:val="00C10AF2"/>
    <w:rsid w:val="00C10BEE"/>
    <w:rsid w:val="00C10C5C"/>
    <w:rsid w:val="00C10CC8"/>
    <w:rsid w:val="00C10CEC"/>
    <w:rsid w:val="00C10EC6"/>
    <w:rsid w:val="00C10F68"/>
    <w:rsid w:val="00C10FBE"/>
    <w:rsid w:val="00C1110A"/>
    <w:rsid w:val="00C1113C"/>
    <w:rsid w:val="00C11185"/>
    <w:rsid w:val="00C111FD"/>
    <w:rsid w:val="00C11278"/>
    <w:rsid w:val="00C1130F"/>
    <w:rsid w:val="00C11650"/>
    <w:rsid w:val="00C1174D"/>
    <w:rsid w:val="00C117B4"/>
    <w:rsid w:val="00C118DE"/>
    <w:rsid w:val="00C118E2"/>
    <w:rsid w:val="00C11B44"/>
    <w:rsid w:val="00C11BD9"/>
    <w:rsid w:val="00C11C00"/>
    <w:rsid w:val="00C11C9F"/>
    <w:rsid w:val="00C11CC9"/>
    <w:rsid w:val="00C11D7F"/>
    <w:rsid w:val="00C11D87"/>
    <w:rsid w:val="00C11E09"/>
    <w:rsid w:val="00C11ED7"/>
    <w:rsid w:val="00C11F13"/>
    <w:rsid w:val="00C11FE2"/>
    <w:rsid w:val="00C12077"/>
    <w:rsid w:val="00C1207D"/>
    <w:rsid w:val="00C120B5"/>
    <w:rsid w:val="00C120B8"/>
    <w:rsid w:val="00C120D7"/>
    <w:rsid w:val="00C120EB"/>
    <w:rsid w:val="00C12159"/>
    <w:rsid w:val="00C122F2"/>
    <w:rsid w:val="00C122F3"/>
    <w:rsid w:val="00C122F9"/>
    <w:rsid w:val="00C1235C"/>
    <w:rsid w:val="00C123A6"/>
    <w:rsid w:val="00C12475"/>
    <w:rsid w:val="00C124C0"/>
    <w:rsid w:val="00C1253D"/>
    <w:rsid w:val="00C1259E"/>
    <w:rsid w:val="00C125D6"/>
    <w:rsid w:val="00C1261E"/>
    <w:rsid w:val="00C1268C"/>
    <w:rsid w:val="00C128D3"/>
    <w:rsid w:val="00C12966"/>
    <w:rsid w:val="00C12ABC"/>
    <w:rsid w:val="00C12B03"/>
    <w:rsid w:val="00C12B1D"/>
    <w:rsid w:val="00C12B26"/>
    <w:rsid w:val="00C12B36"/>
    <w:rsid w:val="00C12D3E"/>
    <w:rsid w:val="00C12D43"/>
    <w:rsid w:val="00C12D5A"/>
    <w:rsid w:val="00C12DC9"/>
    <w:rsid w:val="00C12F7C"/>
    <w:rsid w:val="00C12F98"/>
    <w:rsid w:val="00C13110"/>
    <w:rsid w:val="00C13189"/>
    <w:rsid w:val="00C1319C"/>
    <w:rsid w:val="00C1336B"/>
    <w:rsid w:val="00C133BD"/>
    <w:rsid w:val="00C133D7"/>
    <w:rsid w:val="00C1340A"/>
    <w:rsid w:val="00C1343D"/>
    <w:rsid w:val="00C13699"/>
    <w:rsid w:val="00C13911"/>
    <w:rsid w:val="00C13984"/>
    <w:rsid w:val="00C1398F"/>
    <w:rsid w:val="00C139F0"/>
    <w:rsid w:val="00C13A01"/>
    <w:rsid w:val="00C13A97"/>
    <w:rsid w:val="00C13AED"/>
    <w:rsid w:val="00C13B2E"/>
    <w:rsid w:val="00C13D2F"/>
    <w:rsid w:val="00C1410C"/>
    <w:rsid w:val="00C14216"/>
    <w:rsid w:val="00C142AB"/>
    <w:rsid w:val="00C142FF"/>
    <w:rsid w:val="00C14354"/>
    <w:rsid w:val="00C143C2"/>
    <w:rsid w:val="00C144CD"/>
    <w:rsid w:val="00C144CE"/>
    <w:rsid w:val="00C14526"/>
    <w:rsid w:val="00C14547"/>
    <w:rsid w:val="00C145A0"/>
    <w:rsid w:val="00C14627"/>
    <w:rsid w:val="00C1483D"/>
    <w:rsid w:val="00C148BB"/>
    <w:rsid w:val="00C148CE"/>
    <w:rsid w:val="00C14A4F"/>
    <w:rsid w:val="00C14A86"/>
    <w:rsid w:val="00C14A87"/>
    <w:rsid w:val="00C14AD0"/>
    <w:rsid w:val="00C14B2C"/>
    <w:rsid w:val="00C14C33"/>
    <w:rsid w:val="00C14CF0"/>
    <w:rsid w:val="00C14EBC"/>
    <w:rsid w:val="00C14F25"/>
    <w:rsid w:val="00C15080"/>
    <w:rsid w:val="00C15173"/>
    <w:rsid w:val="00C15200"/>
    <w:rsid w:val="00C15272"/>
    <w:rsid w:val="00C15475"/>
    <w:rsid w:val="00C15512"/>
    <w:rsid w:val="00C15532"/>
    <w:rsid w:val="00C15590"/>
    <w:rsid w:val="00C156D6"/>
    <w:rsid w:val="00C15729"/>
    <w:rsid w:val="00C1576E"/>
    <w:rsid w:val="00C15779"/>
    <w:rsid w:val="00C157B0"/>
    <w:rsid w:val="00C15C04"/>
    <w:rsid w:val="00C15CF5"/>
    <w:rsid w:val="00C15D58"/>
    <w:rsid w:val="00C15E93"/>
    <w:rsid w:val="00C15E9B"/>
    <w:rsid w:val="00C15EFA"/>
    <w:rsid w:val="00C15F14"/>
    <w:rsid w:val="00C15FE9"/>
    <w:rsid w:val="00C162D6"/>
    <w:rsid w:val="00C163E4"/>
    <w:rsid w:val="00C16411"/>
    <w:rsid w:val="00C164F5"/>
    <w:rsid w:val="00C16523"/>
    <w:rsid w:val="00C1667F"/>
    <w:rsid w:val="00C1678C"/>
    <w:rsid w:val="00C168C8"/>
    <w:rsid w:val="00C1693A"/>
    <w:rsid w:val="00C16984"/>
    <w:rsid w:val="00C16A29"/>
    <w:rsid w:val="00C16A33"/>
    <w:rsid w:val="00C16ABA"/>
    <w:rsid w:val="00C16AEE"/>
    <w:rsid w:val="00C16BA3"/>
    <w:rsid w:val="00C16BF2"/>
    <w:rsid w:val="00C16C83"/>
    <w:rsid w:val="00C16D1D"/>
    <w:rsid w:val="00C16D3A"/>
    <w:rsid w:val="00C16D3D"/>
    <w:rsid w:val="00C16DF0"/>
    <w:rsid w:val="00C16F64"/>
    <w:rsid w:val="00C16FCB"/>
    <w:rsid w:val="00C17340"/>
    <w:rsid w:val="00C17409"/>
    <w:rsid w:val="00C17430"/>
    <w:rsid w:val="00C174C8"/>
    <w:rsid w:val="00C174C9"/>
    <w:rsid w:val="00C175A5"/>
    <w:rsid w:val="00C176EF"/>
    <w:rsid w:val="00C17798"/>
    <w:rsid w:val="00C17893"/>
    <w:rsid w:val="00C17ACF"/>
    <w:rsid w:val="00C17B35"/>
    <w:rsid w:val="00C17B4C"/>
    <w:rsid w:val="00C17BFB"/>
    <w:rsid w:val="00C17C46"/>
    <w:rsid w:val="00C17CBF"/>
    <w:rsid w:val="00C17D5B"/>
    <w:rsid w:val="00C17E1D"/>
    <w:rsid w:val="00C20002"/>
    <w:rsid w:val="00C20142"/>
    <w:rsid w:val="00C2023B"/>
    <w:rsid w:val="00C20258"/>
    <w:rsid w:val="00C202B3"/>
    <w:rsid w:val="00C202D7"/>
    <w:rsid w:val="00C20354"/>
    <w:rsid w:val="00C20356"/>
    <w:rsid w:val="00C203CF"/>
    <w:rsid w:val="00C204CA"/>
    <w:rsid w:val="00C204E0"/>
    <w:rsid w:val="00C2054C"/>
    <w:rsid w:val="00C20738"/>
    <w:rsid w:val="00C20874"/>
    <w:rsid w:val="00C20890"/>
    <w:rsid w:val="00C208AD"/>
    <w:rsid w:val="00C20971"/>
    <w:rsid w:val="00C209CC"/>
    <w:rsid w:val="00C20E06"/>
    <w:rsid w:val="00C20E33"/>
    <w:rsid w:val="00C20EBD"/>
    <w:rsid w:val="00C20EE8"/>
    <w:rsid w:val="00C20F07"/>
    <w:rsid w:val="00C20F36"/>
    <w:rsid w:val="00C20F37"/>
    <w:rsid w:val="00C2104A"/>
    <w:rsid w:val="00C210D4"/>
    <w:rsid w:val="00C21167"/>
    <w:rsid w:val="00C211C3"/>
    <w:rsid w:val="00C21201"/>
    <w:rsid w:val="00C2125F"/>
    <w:rsid w:val="00C21271"/>
    <w:rsid w:val="00C21638"/>
    <w:rsid w:val="00C21668"/>
    <w:rsid w:val="00C21758"/>
    <w:rsid w:val="00C21904"/>
    <w:rsid w:val="00C219A6"/>
    <w:rsid w:val="00C21AC9"/>
    <w:rsid w:val="00C21C47"/>
    <w:rsid w:val="00C21C4E"/>
    <w:rsid w:val="00C21CD6"/>
    <w:rsid w:val="00C21D5D"/>
    <w:rsid w:val="00C21DA3"/>
    <w:rsid w:val="00C21E75"/>
    <w:rsid w:val="00C21E95"/>
    <w:rsid w:val="00C21EE0"/>
    <w:rsid w:val="00C21F1B"/>
    <w:rsid w:val="00C21F2E"/>
    <w:rsid w:val="00C21FD6"/>
    <w:rsid w:val="00C22149"/>
    <w:rsid w:val="00C22178"/>
    <w:rsid w:val="00C2219C"/>
    <w:rsid w:val="00C221DD"/>
    <w:rsid w:val="00C22401"/>
    <w:rsid w:val="00C22454"/>
    <w:rsid w:val="00C224BA"/>
    <w:rsid w:val="00C224E8"/>
    <w:rsid w:val="00C22519"/>
    <w:rsid w:val="00C2269F"/>
    <w:rsid w:val="00C22740"/>
    <w:rsid w:val="00C227D2"/>
    <w:rsid w:val="00C227EF"/>
    <w:rsid w:val="00C227FD"/>
    <w:rsid w:val="00C2283F"/>
    <w:rsid w:val="00C2284C"/>
    <w:rsid w:val="00C22862"/>
    <w:rsid w:val="00C22869"/>
    <w:rsid w:val="00C22885"/>
    <w:rsid w:val="00C2295C"/>
    <w:rsid w:val="00C229ED"/>
    <w:rsid w:val="00C22A67"/>
    <w:rsid w:val="00C22AB0"/>
    <w:rsid w:val="00C22AD2"/>
    <w:rsid w:val="00C22CE4"/>
    <w:rsid w:val="00C22D81"/>
    <w:rsid w:val="00C22E45"/>
    <w:rsid w:val="00C22E52"/>
    <w:rsid w:val="00C22EBA"/>
    <w:rsid w:val="00C22FB9"/>
    <w:rsid w:val="00C22FE0"/>
    <w:rsid w:val="00C230B0"/>
    <w:rsid w:val="00C2321A"/>
    <w:rsid w:val="00C23255"/>
    <w:rsid w:val="00C232D6"/>
    <w:rsid w:val="00C2347E"/>
    <w:rsid w:val="00C234DE"/>
    <w:rsid w:val="00C23698"/>
    <w:rsid w:val="00C236CF"/>
    <w:rsid w:val="00C23751"/>
    <w:rsid w:val="00C23844"/>
    <w:rsid w:val="00C23882"/>
    <w:rsid w:val="00C239D2"/>
    <w:rsid w:val="00C23AB2"/>
    <w:rsid w:val="00C23BC3"/>
    <w:rsid w:val="00C23CF3"/>
    <w:rsid w:val="00C23D5A"/>
    <w:rsid w:val="00C23DC4"/>
    <w:rsid w:val="00C23DE4"/>
    <w:rsid w:val="00C23DE6"/>
    <w:rsid w:val="00C23EDC"/>
    <w:rsid w:val="00C23F14"/>
    <w:rsid w:val="00C23F6D"/>
    <w:rsid w:val="00C24008"/>
    <w:rsid w:val="00C2401F"/>
    <w:rsid w:val="00C24067"/>
    <w:rsid w:val="00C24158"/>
    <w:rsid w:val="00C24177"/>
    <w:rsid w:val="00C2417B"/>
    <w:rsid w:val="00C241C6"/>
    <w:rsid w:val="00C244B7"/>
    <w:rsid w:val="00C24518"/>
    <w:rsid w:val="00C245B7"/>
    <w:rsid w:val="00C24719"/>
    <w:rsid w:val="00C2483F"/>
    <w:rsid w:val="00C248CD"/>
    <w:rsid w:val="00C24955"/>
    <w:rsid w:val="00C24A9A"/>
    <w:rsid w:val="00C24ACA"/>
    <w:rsid w:val="00C24B3C"/>
    <w:rsid w:val="00C24BAE"/>
    <w:rsid w:val="00C24CE7"/>
    <w:rsid w:val="00C24DE6"/>
    <w:rsid w:val="00C24E4D"/>
    <w:rsid w:val="00C24F5A"/>
    <w:rsid w:val="00C25031"/>
    <w:rsid w:val="00C25175"/>
    <w:rsid w:val="00C252E0"/>
    <w:rsid w:val="00C252E7"/>
    <w:rsid w:val="00C25363"/>
    <w:rsid w:val="00C253A4"/>
    <w:rsid w:val="00C253F4"/>
    <w:rsid w:val="00C254D4"/>
    <w:rsid w:val="00C25559"/>
    <w:rsid w:val="00C256AF"/>
    <w:rsid w:val="00C256E0"/>
    <w:rsid w:val="00C256E5"/>
    <w:rsid w:val="00C25892"/>
    <w:rsid w:val="00C2592B"/>
    <w:rsid w:val="00C2594D"/>
    <w:rsid w:val="00C25953"/>
    <w:rsid w:val="00C259C8"/>
    <w:rsid w:val="00C25A5A"/>
    <w:rsid w:val="00C25AB4"/>
    <w:rsid w:val="00C25B25"/>
    <w:rsid w:val="00C25C09"/>
    <w:rsid w:val="00C25C98"/>
    <w:rsid w:val="00C25E05"/>
    <w:rsid w:val="00C25E35"/>
    <w:rsid w:val="00C25E53"/>
    <w:rsid w:val="00C25F04"/>
    <w:rsid w:val="00C25F5D"/>
    <w:rsid w:val="00C25F95"/>
    <w:rsid w:val="00C25FE7"/>
    <w:rsid w:val="00C2600F"/>
    <w:rsid w:val="00C26080"/>
    <w:rsid w:val="00C2609D"/>
    <w:rsid w:val="00C2614B"/>
    <w:rsid w:val="00C26288"/>
    <w:rsid w:val="00C2634B"/>
    <w:rsid w:val="00C26362"/>
    <w:rsid w:val="00C263B7"/>
    <w:rsid w:val="00C263FD"/>
    <w:rsid w:val="00C2647D"/>
    <w:rsid w:val="00C26485"/>
    <w:rsid w:val="00C26512"/>
    <w:rsid w:val="00C26558"/>
    <w:rsid w:val="00C26563"/>
    <w:rsid w:val="00C2657F"/>
    <w:rsid w:val="00C265B0"/>
    <w:rsid w:val="00C265BD"/>
    <w:rsid w:val="00C2660C"/>
    <w:rsid w:val="00C26746"/>
    <w:rsid w:val="00C268A4"/>
    <w:rsid w:val="00C268A6"/>
    <w:rsid w:val="00C26902"/>
    <w:rsid w:val="00C2690A"/>
    <w:rsid w:val="00C269A1"/>
    <w:rsid w:val="00C26BF0"/>
    <w:rsid w:val="00C26DBF"/>
    <w:rsid w:val="00C26DC1"/>
    <w:rsid w:val="00C26F99"/>
    <w:rsid w:val="00C26FBD"/>
    <w:rsid w:val="00C27191"/>
    <w:rsid w:val="00C27206"/>
    <w:rsid w:val="00C272A5"/>
    <w:rsid w:val="00C272D3"/>
    <w:rsid w:val="00C27453"/>
    <w:rsid w:val="00C274B6"/>
    <w:rsid w:val="00C27606"/>
    <w:rsid w:val="00C2760C"/>
    <w:rsid w:val="00C27639"/>
    <w:rsid w:val="00C27642"/>
    <w:rsid w:val="00C27725"/>
    <w:rsid w:val="00C2794F"/>
    <w:rsid w:val="00C27963"/>
    <w:rsid w:val="00C27B20"/>
    <w:rsid w:val="00C27C36"/>
    <w:rsid w:val="00C27CED"/>
    <w:rsid w:val="00C27D0F"/>
    <w:rsid w:val="00C27D6F"/>
    <w:rsid w:val="00C27E7C"/>
    <w:rsid w:val="00C27F2C"/>
    <w:rsid w:val="00C27FB1"/>
    <w:rsid w:val="00C300A6"/>
    <w:rsid w:val="00C3010E"/>
    <w:rsid w:val="00C30119"/>
    <w:rsid w:val="00C3017A"/>
    <w:rsid w:val="00C301A3"/>
    <w:rsid w:val="00C30207"/>
    <w:rsid w:val="00C3022B"/>
    <w:rsid w:val="00C30297"/>
    <w:rsid w:val="00C3035A"/>
    <w:rsid w:val="00C303C6"/>
    <w:rsid w:val="00C30417"/>
    <w:rsid w:val="00C30441"/>
    <w:rsid w:val="00C30506"/>
    <w:rsid w:val="00C305F5"/>
    <w:rsid w:val="00C3061F"/>
    <w:rsid w:val="00C30691"/>
    <w:rsid w:val="00C306FD"/>
    <w:rsid w:val="00C30710"/>
    <w:rsid w:val="00C3073C"/>
    <w:rsid w:val="00C3082E"/>
    <w:rsid w:val="00C30832"/>
    <w:rsid w:val="00C308B5"/>
    <w:rsid w:val="00C308FA"/>
    <w:rsid w:val="00C30900"/>
    <w:rsid w:val="00C3091B"/>
    <w:rsid w:val="00C30947"/>
    <w:rsid w:val="00C3095D"/>
    <w:rsid w:val="00C309BD"/>
    <w:rsid w:val="00C30A81"/>
    <w:rsid w:val="00C30A9A"/>
    <w:rsid w:val="00C30BB5"/>
    <w:rsid w:val="00C30BFF"/>
    <w:rsid w:val="00C30C22"/>
    <w:rsid w:val="00C30C81"/>
    <w:rsid w:val="00C30CA7"/>
    <w:rsid w:val="00C30CB5"/>
    <w:rsid w:val="00C30CDE"/>
    <w:rsid w:val="00C30D49"/>
    <w:rsid w:val="00C30D52"/>
    <w:rsid w:val="00C30DA5"/>
    <w:rsid w:val="00C30E1C"/>
    <w:rsid w:val="00C30E3D"/>
    <w:rsid w:val="00C30E5E"/>
    <w:rsid w:val="00C30F4E"/>
    <w:rsid w:val="00C30F58"/>
    <w:rsid w:val="00C31132"/>
    <w:rsid w:val="00C311D9"/>
    <w:rsid w:val="00C312A8"/>
    <w:rsid w:val="00C31424"/>
    <w:rsid w:val="00C3155B"/>
    <w:rsid w:val="00C31691"/>
    <w:rsid w:val="00C31851"/>
    <w:rsid w:val="00C318AC"/>
    <w:rsid w:val="00C31AE7"/>
    <w:rsid w:val="00C31BD4"/>
    <w:rsid w:val="00C31CC3"/>
    <w:rsid w:val="00C31CF2"/>
    <w:rsid w:val="00C31D80"/>
    <w:rsid w:val="00C31DAC"/>
    <w:rsid w:val="00C31DC0"/>
    <w:rsid w:val="00C31E72"/>
    <w:rsid w:val="00C31EA1"/>
    <w:rsid w:val="00C31FF4"/>
    <w:rsid w:val="00C321D2"/>
    <w:rsid w:val="00C322F8"/>
    <w:rsid w:val="00C323E9"/>
    <w:rsid w:val="00C32426"/>
    <w:rsid w:val="00C32452"/>
    <w:rsid w:val="00C32493"/>
    <w:rsid w:val="00C324FA"/>
    <w:rsid w:val="00C3250C"/>
    <w:rsid w:val="00C3254A"/>
    <w:rsid w:val="00C325B9"/>
    <w:rsid w:val="00C32637"/>
    <w:rsid w:val="00C3267C"/>
    <w:rsid w:val="00C326BA"/>
    <w:rsid w:val="00C32762"/>
    <w:rsid w:val="00C327DC"/>
    <w:rsid w:val="00C327E0"/>
    <w:rsid w:val="00C327F2"/>
    <w:rsid w:val="00C328B1"/>
    <w:rsid w:val="00C3297E"/>
    <w:rsid w:val="00C32A03"/>
    <w:rsid w:val="00C32A23"/>
    <w:rsid w:val="00C32A95"/>
    <w:rsid w:val="00C32C1D"/>
    <w:rsid w:val="00C32E67"/>
    <w:rsid w:val="00C32E82"/>
    <w:rsid w:val="00C32F77"/>
    <w:rsid w:val="00C32F95"/>
    <w:rsid w:val="00C3304B"/>
    <w:rsid w:val="00C330F5"/>
    <w:rsid w:val="00C3333E"/>
    <w:rsid w:val="00C33418"/>
    <w:rsid w:val="00C335AF"/>
    <w:rsid w:val="00C335D3"/>
    <w:rsid w:val="00C335F8"/>
    <w:rsid w:val="00C33680"/>
    <w:rsid w:val="00C33912"/>
    <w:rsid w:val="00C33964"/>
    <w:rsid w:val="00C33A15"/>
    <w:rsid w:val="00C33A2E"/>
    <w:rsid w:val="00C33B25"/>
    <w:rsid w:val="00C33B3F"/>
    <w:rsid w:val="00C33C1A"/>
    <w:rsid w:val="00C33CCE"/>
    <w:rsid w:val="00C33DC6"/>
    <w:rsid w:val="00C33E45"/>
    <w:rsid w:val="00C33E65"/>
    <w:rsid w:val="00C34057"/>
    <w:rsid w:val="00C34125"/>
    <w:rsid w:val="00C3418E"/>
    <w:rsid w:val="00C341F6"/>
    <w:rsid w:val="00C343FD"/>
    <w:rsid w:val="00C34642"/>
    <w:rsid w:val="00C3475E"/>
    <w:rsid w:val="00C34867"/>
    <w:rsid w:val="00C3487D"/>
    <w:rsid w:val="00C3488A"/>
    <w:rsid w:val="00C34952"/>
    <w:rsid w:val="00C349DF"/>
    <w:rsid w:val="00C349EF"/>
    <w:rsid w:val="00C34A93"/>
    <w:rsid w:val="00C34B5B"/>
    <w:rsid w:val="00C34B63"/>
    <w:rsid w:val="00C34CDE"/>
    <w:rsid w:val="00C34E42"/>
    <w:rsid w:val="00C34FE0"/>
    <w:rsid w:val="00C35044"/>
    <w:rsid w:val="00C350AD"/>
    <w:rsid w:val="00C350ED"/>
    <w:rsid w:val="00C35143"/>
    <w:rsid w:val="00C3520E"/>
    <w:rsid w:val="00C35305"/>
    <w:rsid w:val="00C35363"/>
    <w:rsid w:val="00C353BD"/>
    <w:rsid w:val="00C35423"/>
    <w:rsid w:val="00C35645"/>
    <w:rsid w:val="00C3568D"/>
    <w:rsid w:val="00C356C2"/>
    <w:rsid w:val="00C35764"/>
    <w:rsid w:val="00C35765"/>
    <w:rsid w:val="00C357A0"/>
    <w:rsid w:val="00C357DC"/>
    <w:rsid w:val="00C358D6"/>
    <w:rsid w:val="00C358DE"/>
    <w:rsid w:val="00C35948"/>
    <w:rsid w:val="00C35A7F"/>
    <w:rsid w:val="00C35A84"/>
    <w:rsid w:val="00C35A97"/>
    <w:rsid w:val="00C35A9E"/>
    <w:rsid w:val="00C35ADD"/>
    <w:rsid w:val="00C35CCD"/>
    <w:rsid w:val="00C35E98"/>
    <w:rsid w:val="00C35EB8"/>
    <w:rsid w:val="00C35EBE"/>
    <w:rsid w:val="00C35FA2"/>
    <w:rsid w:val="00C36083"/>
    <w:rsid w:val="00C360C7"/>
    <w:rsid w:val="00C3613E"/>
    <w:rsid w:val="00C3624A"/>
    <w:rsid w:val="00C36279"/>
    <w:rsid w:val="00C362BD"/>
    <w:rsid w:val="00C3633F"/>
    <w:rsid w:val="00C36375"/>
    <w:rsid w:val="00C36459"/>
    <w:rsid w:val="00C36483"/>
    <w:rsid w:val="00C3652C"/>
    <w:rsid w:val="00C36545"/>
    <w:rsid w:val="00C3658C"/>
    <w:rsid w:val="00C365CD"/>
    <w:rsid w:val="00C36606"/>
    <w:rsid w:val="00C3673E"/>
    <w:rsid w:val="00C36832"/>
    <w:rsid w:val="00C36912"/>
    <w:rsid w:val="00C36956"/>
    <w:rsid w:val="00C36982"/>
    <w:rsid w:val="00C36A0E"/>
    <w:rsid w:val="00C36BAA"/>
    <w:rsid w:val="00C36BFE"/>
    <w:rsid w:val="00C36C84"/>
    <w:rsid w:val="00C36CD3"/>
    <w:rsid w:val="00C36D7C"/>
    <w:rsid w:val="00C36DB2"/>
    <w:rsid w:val="00C36E10"/>
    <w:rsid w:val="00C36E33"/>
    <w:rsid w:val="00C36E7C"/>
    <w:rsid w:val="00C36EBC"/>
    <w:rsid w:val="00C36EBF"/>
    <w:rsid w:val="00C36EEF"/>
    <w:rsid w:val="00C36FDF"/>
    <w:rsid w:val="00C3713B"/>
    <w:rsid w:val="00C3736A"/>
    <w:rsid w:val="00C373F2"/>
    <w:rsid w:val="00C37530"/>
    <w:rsid w:val="00C375B2"/>
    <w:rsid w:val="00C37643"/>
    <w:rsid w:val="00C3783B"/>
    <w:rsid w:val="00C378CD"/>
    <w:rsid w:val="00C37977"/>
    <w:rsid w:val="00C37A53"/>
    <w:rsid w:val="00C37A78"/>
    <w:rsid w:val="00C37AC5"/>
    <w:rsid w:val="00C37BCA"/>
    <w:rsid w:val="00C37C2A"/>
    <w:rsid w:val="00C37C3F"/>
    <w:rsid w:val="00C37C72"/>
    <w:rsid w:val="00C37E0F"/>
    <w:rsid w:val="00C37E26"/>
    <w:rsid w:val="00C37F86"/>
    <w:rsid w:val="00C37FD2"/>
    <w:rsid w:val="00C37FF3"/>
    <w:rsid w:val="00C40008"/>
    <w:rsid w:val="00C40033"/>
    <w:rsid w:val="00C4009B"/>
    <w:rsid w:val="00C4015B"/>
    <w:rsid w:val="00C402B1"/>
    <w:rsid w:val="00C4038C"/>
    <w:rsid w:val="00C403DE"/>
    <w:rsid w:val="00C403E9"/>
    <w:rsid w:val="00C40428"/>
    <w:rsid w:val="00C4045B"/>
    <w:rsid w:val="00C404DB"/>
    <w:rsid w:val="00C40503"/>
    <w:rsid w:val="00C405C4"/>
    <w:rsid w:val="00C405F4"/>
    <w:rsid w:val="00C40608"/>
    <w:rsid w:val="00C40784"/>
    <w:rsid w:val="00C407B0"/>
    <w:rsid w:val="00C4089B"/>
    <w:rsid w:val="00C4097E"/>
    <w:rsid w:val="00C40A56"/>
    <w:rsid w:val="00C40AD8"/>
    <w:rsid w:val="00C40B06"/>
    <w:rsid w:val="00C40CDA"/>
    <w:rsid w:val="00C40E77"/>
    <w:rsid w:val="00C40E7D"/>
    <w:rsid w:val="00C40EA2"/>
    <w:rsid w:val="00C40EDC"/>
    <w:rsid w:val="00C40F42"/>
    <w:rsid w:val="00C40FB3"/>
    <w:rsid w:val="00C41051"/>
    <w:rsid w:val="00C410AA"/>
    <w:rsid w:val="00C41209"/>
    <w:rsid w:val="00C41260"/>
    <w:rsid w:val="00C412DF"/>
    <w:rsid w:val="00C41498"/>
    <w:rsid w:val="00C414C6"/>
    <w:rsid w:val="00C4161C"/>
    <w:rsid w:val="00C41627"/>
    <w:rsid w:val="00C416EF"/>
    <w:rsid w:val="00C4170C"/>
    <w:rsid w:val="00C4170D"/>
    <w:rsid w:val="00C417D4"/>
    <w:rsid w:val="00C41832"/>
    <w:rsid w:val="00C41A3E"/>
    <w:rsid w:val="00C41BBD"/>
    <w:rsid w:val="00C41D7F"/>
    <w:rsid w:val="00C41D90"/>
    <w:rsid w:val="00C41E2A"/>
    <w:rsid w:val="00C41E56"/>
    <w:rsid w:val="00C41E5F"/>
    <w:rsid w:val="00C41ED2"/>
    <w:rsid w:val="00C41EF7"/>
    <w:rsid w:val="00C41F7C"/>
    <w:rsid w:val="00C42082"/>
    <w:rsid w:val="00C420E4"/>
    <w:rsid w:val="00C4215E"/>
    <w:rsid w:val="00C42182"/>
    <w:rsid w:val="00C42203"/>
    <w:rsid w:val="00C4222A"/>
    <w:rsid w:val="00C42263"/>
    <w:rsid w:val="00C422BC"/>
    <w:rsid w:val="00C4247D"/>
    <w:rsid w:val="00C42633"/>
    <w:rsid w:val="00C42689"/>
    <w:rsid w:val="00C4269C"/>
    <w:rsid w:val="00C426F7"/>
    <w:rsid w:val="00C42710"/>
    <w:rsid w:val="00C428EE"/>
    <w:rsid w:val="00C4295C"/>
    <w:rsid w:val="00C42964"/>
    <w:rsid w:val="00C42A06"/>
    <w:rsid w:val="00C42C63"/>
    <w:rsid w:val="00C42C6A"/>
    <w:rsid w:val="00C42CDF"/>
    <w:rsid w:val="00C42E3E"/>
    <w:rsid w:val="00C42F1B"/>
    <w:rsid w:val="00C43059"/>
    <w:rsid w:val="00C4306C"/>
    <w:rsid w:val="00C432B7"/>
    <w:rsid w:val="00C432DB"/>
    <w:rsid w:val="00C43627"/>
    <w:rsid w:val="00C43628"/>
    <w:rsid w:val="00C436D9"/>
    <w:rsid w:val="00C4378A"/>
    <w:rsid w:val="00C43881"/>
    <w:rsid w:val="00C439A7"/>
    <w:rsid w:val="00C43A90"/>
    <w:rsid w:val="00C43AC7"/>
    <w:rsid w:val="00C43AED"/>
    <w:rsid w:val="00C43B6E"/>
    <w:rsid w:val="00C43B70"/>
    <w:rsid w:val="00C43B75"/>
    <w:rsid w:val="00C43B99"/>
    <w:rsid w:val="00C43C0C"/>
    <w:rsid w:val="00C43CAF"/>
    <w:rsid w:val="00C43DD0"/>
    <w:rsid w:val="00C43E04"/>
    <w:rsid w:val="00C43F48"/>
    <w:rsid w:val="00C43F53"/>
    <w:rsid w:val="00C43F73"/>
    <w:rsid w:val="00C43FC5"/>
    <w:rsid w:val="00C44025"/>
    <w:rsid w:val="00C4409C"/>
    <w:rsid w:val="00C440BB"/>
    <w:rsid w:val="00C440D3"/>
    <w:rsid w:val="00C441EA"/>
    <w:rsid w:val="00C44288"/>
    <w:rsid w:val="00C4432A"/>
    <w:rsid w:val="00C4432B"/>
    <w:rsid w:val="00C44358"/>
    <w:rsid w:val="00C44362"/>
    <w:rsid w:val="00C44368"/>
    <w:rsid w:val="00C443F9"/>
    <w:rsid w:val="00C4445D"/>
    <w:rsid w:val="00C444B1"/>
    <w:rsid w:val="00C444DC"/>
    <w:rsid w:val="00C44541"/>
    <w:rsid w:val="00C44560"/>
    <w:rsid w:val="00C446A8"/>
    <w:rsid w:val="00C446F3"/>
    <w:rsid w:val="00C4473D"/>
    <w:rsid w:val="00C447E8"/>
    <w:rsid w:val="00C44804"/>
    <w:rsid w:val="00C448A0"/>
    <w:rsid w:val="00C44A0D"/>
    <w:rsid w:val="00C44C6A"/>
    <w:rsid w:val="00C44DFD"/>
    <w:rsid w:val="00C44E17"/>
    <w:rsid w:val="00C45019"/>
    <w:rsid w:val="00C450D6"/>
    <w:rsid w:val="00C45104"/>
    <w:rsid w:val="00C452AF"/>
    <w:rsid w:val="00C452FD"/>
    <w:rsid w:val="00C453BB"/>
    <w:rsid w:val="00C45438"/>
    <w:rsid w:val="00C4543D"/>
    <w:rsid w:val="00C4549A"/>
    <w:rsid w:val="00C4556F"/>
    <w:rsid w:val="00C455BB"/>
    <w:rsid w:val="00C45749"/>
    <w:rsid w:val="00C457F3"/>
    <w:rsid w:val="00C457F5"/>
    <w:rsid w:val="00C457FA"/>
    <w:rsid w:val="00C45958"/>
    <w:rsid w:val="00C45969"/>
    <w:rsid w:val="00C45A99"/>
    <w:rsid w:val="00C45B15"/>
    <w:rsid w:val="00C45B40"/>
    <w:rsid w:val="00C45C37"/>
    <w:rsid w:val="00C45CDE"/>
    <w:rsid w:val="00C45DD4"/>
    <w:rsid w:val="00C45E61"/>
    <w:rsid w:val="00C45E76"/>
    <w:rsid w:val="00C45E85"/>
    <w:rsid w:val="00C4601C"/>
    <w:rsid w:val="00C461BE"/>
    <w:rsid w:val="00C46215"/>
    <w:rsid w:val="00C46224"/>
    <w:rsid w:val="00C4625D"/>
    <w:rsid w:val="00C462E2"/>
    <w:rsid w:val="00C463CF"/>
    <w:rsid w:val="00C46461"/>
    <w:rsid w:val="00C46462"/>
    <w:rsid w:val="00C464A1"/>
    <w:rsid w:val="00C46536"/>
    <w:rsid w:val="00C4654A"/>
    <w:rsid w:val="00C4668B"/>
    <w:rsid w:val="00C466F5"/>
    <w:rsid w:val="00C4670B"/>
    <w:rsid w:val="00C46714"/>
    <w:rsid w:val="00C46831"/>
    <w:rsid w:val="00C4685B"/>
    <w:rsid w:val="00C468BA"/>
    <w:rsid w:val="00C4697F"/>
    <w:rsid w:val="00C469B5"/>
    <w:rsid w:val="00C46A12"/>
    <w:rsid w:val="00C46AE0"/>
    <w:rsid w:val="00C46B07"/>
    <w:rsid w:val="00C46B8C"/>
    <w:rsid w:val="00C46BB2"/>
    <w:rsid w:val="00C46BDD"/>
    <w:rsid w:val="00C46BF4"/>
    <w:rsid w:val="00C46C57"/>
    <w:rsid w:val="00C46E02"/>
    <w:rsid w:val="00C46E2D"/>
    <w:rsid w:val="00C46E79"/>
    <w:rsid w:val="00C46F18"/>
    <w:rsid w:val="00C46F7A"/>
    <w:rsid w:val="00C46F7B"/>
    <w:rsid w:val="00C470B3"/>
    <w:rsid w:val="00C47101"/>
    <w:rsid w:val="00C471D0"/>
    <w:rsid w:val="00C47377"/>
    <w:rsid w:val="00C47393"/>
    <w:rsid w:val="00C47437"/>
    <w:rsid w:val="00C474AD"/>
    <w:rsid w:val="00C476B2"/>
    <w:rsid w:val="00C476F5"/>
    <w:rsid w:val="00C4789E"/>
    <w:rsid w:val="00C47904"/>
    <w:rsid w:val="00C4796A"/>
    <w:rsid w:val="00C479DA"/>
    <w:rsid w:val="00C47A34"/>
    <w:rsid w:val="00C47A8B"/>
    <w:rsid w:val="00C47CA8"/>
    <w:rsid w:val="00C47CF7"/>
    <w:rsid w:val="00C47DC6"/>
    <w:rsid w:val="00C47E2F"/>
    <w:rsid w:val="00C47E57"/>
    <w:rsid w:val="00C47EAA"/>
    <w:rsid w:val="00C47FAF"/>
    <w:rsid w:val="00C5008A"/>
    <w:rsid w:val="00C500B0"/>
    <w:rsid w:val="00C500C0"/>
    <w:rsid w:val="00C50129"/>
    <w:rsid w:val="00C5020F"/>
    <w:rsid w:val="00C50230"/>
    <w:rsid w:val="00C50336"/>
    <w:rsid w:val="00C503E6"/>
    <w:rsid w:val="00C50514"/>
    <w:rsid w:val="00C50660"/>
    <w:rsid w:val="00C50768"/>
    <w:rsid w:val="00C5085D"/>
    <w:rsid w:val="00C508BE"/>
    <w:rsid w:val="00C50999"/>
    <w:rsid w:val="00C50A91"/>
    <w:rsid w:val="00C50B1F"/>
    <w:rsid w:val="00C50B48"/>
    <w:rsid w:val="00C50B6F"/>
    <w:rsid w:val="00C50BA1"/>
    <w:rsid w:val="00C50BC4"/>
    <w:rsid w:val="00C50BCD"/>
    <w:rsid w:val="00C50C3A"/>
    <w:rsid w:val="00C50D26"/>
    <w:rsid w:val="00C50E0A"/>
    <w:rsid w:val="00C50E26"/>
    <w:rsid w:val="00C50F0B"/>
    <w:rsid w:val="00C50F8A"/>
    <w:rsid w:val="00C50FE3"/>
    <w:rsid w:val="00C510AE"/>
    <w:rsid w:val="00C511E3"/>
    <w:rsid w:val="00C51213"/>
    <w:rsid w:val="00C5121D"/>
    <w:rsid w:val="00C5129D"/>
    <w:rsid w:val="00C5136F"/>
    <w:rsid w:val="00C51432"/>
    <w:rsid w:val="00C51444"/>
    <w:rsid w:val="00C514B1"/>
    <w:rsid w:val="00C514B4"/>
    <w:rsid w:val="00C51639"/>
    <w:rsid w:val="00C5167D"/>
    <w:rsid w:val="00C51740"/>
    <w:rsid w:val="00C5177F"/>
    <w:rsid w:val="00C518D4"/>
    <w:rsid w:val="00C51A81"/>
    <w:rsid w:val="00C51CBA"/>
    <w:rsid w:val="00C51D8C"/>
    <w:rsid w:val="00C51DB6"/>
    <w:rsid w:val="00C51DE2"/>
    <w:rsid w:val="00C51F62"/>
    <w:rsid w:val="00C51F8C"/>
    <w:rsid w:val="00C51FD2"/>
    <w:rsid w:val="00C52021"/>
    <w:rsid w:val="00C520DB"/>
    <w:rsid w:val="00C521D5"/>
    <w:rsid w:val="00C522AF"/>
    <w:rsid w:val="00C52302"/>
    <w:rsid w:val="00C52379"/>
    <w:rsid w:val="00C5243B"/>
    <w:rsid w:val="00C5246E"/>
    <w:rsid w:val="00C5251E"/>
    <w:rsid w:val="00C52554"/>
    <w:rsid w:val="00C526E5"/>
    <w:rsid w:val="00C5271C"/>
    <w:rsid w:val="00C5272B"/>
    <w:rsid w:val="00C527DC"/>
    <w:rsid w:val="00C52807"/>
    <w:rsid w:val="00C5283F"/>
    <w:rsid w:val="00C5286C"/>
    <w:rsid w:val="00C52885"/>
    <w:rsid w:val="00C52962"/>
    <w:rsid w:val="00C529C6"/>
    <w:rsid w:val="00C52AC5"/>
    <w:rsid w:val="00C52B1D"/>
    <w:rsid w:val="00C52B81"/>
    <w:rsid w:val="00C52CB8"/>
    <w:rsid w:val="00C52DFC"/>
    <w:rsid w:val="00C52EA7"/>
    <w:rsid w:val="00C52F6B"/>
    <w:rsid w:val="00C53084"/>
    <w:rsid w:val="00C5309F"/>
    <w:rsid w:val="00C530E0"/>
    <w:rsid w:val="00C5311C"/>
    <w:rsid w:val="00C53127"/>
    <w:rsid w:val="00C53174"/>
    <w:rsid w:val="00C5322D"/>
    <w:rsid w:val="00C532A9"/>
    <w:rsid w:val="00C532EF"/>
    <w:rsid w:val="00C53318"/>
    <w:rsid w:val="00C5336E"/>
    <w:rsid w:val="00C53538"/>
    <w:rsid w:val="00C53647"/>
    <w:rsid w:val="00C53770"/>
    <w:rsid w:val="00C53825"/>
    <w:rsid w:val="00C5391C"/>
    <w:rsid w:val="00C539DF"/>
    <w:rsid w:val="00C539F9"/>
    <w:rsid w:val="00C53A00"/>
    <w:rsid w:val="00C53A11"/>
    <w:rsid w:val="00C53B4E"/>
    <w:rsid w:val="00C53BCD"/>
    <w:rsid w:val="00C53C4D"/>
    <w:rsid w:val="00C53CF3"/>
    <w:rsid w:val="00C53E0C"/>
    <w:rsid w:val="00C53E36"/>
    <w:rsid w:val="00C53F67"/>
    <w:rsid w:val="00C542DA"/>
    <w:rsid w:val="00C544D2"/>
    <w:rsid w:val="00C546D1"/>
    <w:rsid w:val="00C547B0"/>
    <w:rsid w:val="00C54851"/>
    <w:rsid w:val="00C548A7"/>
    <w:rsid w:val="00C548EB"/>
    <w:rsid w:val="00C54976"/>
    <w:rsid w:val="00C5499B"/>
    <w:rsid w:val="00C549E9"/>
    <w:rsid w:val="00C54A15"/>
    <w:rsid w:val="00C54A40"/>
    <w:rsid w:val="00C54BA7"/>
    <w:rsid w:val="00C54BF1"/>
    <w:rsid w:val="00C54BF9"/>
    <w:rsid w:val="00C54DD1"/>
    <w:rsid w:val="00C54DD3"/>
    <w:rsid w:val="00C54DE1"/>
    <w:rsid w:val="00C54EE1"/>
    <w:rsid w:val="00C54FFD"/>
    <w:rsid w:val="00C55063"/>
    <w:rsid w:val="00C5506C"/>
    <w:rsid w:val="00C55206"/>
    <w:rsid w:val="00C5523D"/>
    <w:rsid w:val="00C55276"/>
    <w:rsid w:val="00C553C2"/>
    <w:rsid w:val="00C5540E"/>
    <w:rsid w:val="00C5541D"/>
    <w:rsid w:val="00C554D2"/>
    <w:rsid w:val="00C555AC"/>
    <w:rsid w:val="00C55651"/>
    <w:rsid w:val="00C5567E"/>
    <w:rsid w:val="00C55698"/>
    <w:rsid w:val="00C556EE"/>
    <w:rsid w:val="00C55740"/>
    <w:rsid w:val="00C5577D"/>
    <w:rsid w:val="00C55877"/>
    <w:rsid w:val="00C55890"/>
    <w:rsid w:val="00C5590B"/>
    <w:rsid w:val="00C5596E"/>
    <w:rsid w:val="00C559BA"/>
    <w:rsid w:val="00C559E1"/>
    <w:rsid w:val="00C559F7"/>
    <w:rsid w:val="00C55A1C"/>
    <w:rsid w:val="00C55B6D"/>
    <w:rsid w:val="00C55C66"/>
    <w:rsid w:val="00C55CAA"/>
    <w:rsid w:val="00C55E2A"/>
    <w:rsid w:val="00C55EB4"/>
    <w:rsid w:val="00C55EEA"/>
    <w:rsid w:val="00C55F59"/>
    <w:rsid w:val="00C55F70"/>
    <w:rsid w:val="00C55F92"/>
    <w:rsid w:val="00C55FB4"/>
    <w:rsid w:val="00C55FB8"/>
    <w:rsid w:val="00C55FED"/>
    <w:rsid w:val="00C56023"/>
    <w:rsid w:val="00C56053"/>
    <w:rsid w:val="00C560E0"/>
    <w:rsid w:val="00C56101"/>
    <w:rsid w:val="00C56181"/>
    <w:rsid w:val="00C561F9"/>
    <w:rsid w:val="00C56249"/>
    <w:rsid w:val="00C562D9"/>
    <w:rsid w:val="00C5637F"/>
    <w:rsid w:val="00C563B9"/>
    <w:rsid w:val="00C564E8"/>
    <w:rsid w:val="00C56595"/>
    <w:rsid w:val="00C5666F"/>
    <w:rsid w:val="00C566CF"/>
    <w:rsid w:val="00C56727"/>
    <w:rsid w:val="00C5686E"/>
    <w:rsid w:val="00C569CA"/>
    <w:rsid w:val="00C569DC"/>
    <w:rsid w:val="00C569E4"/>
    <w:rsid w:val="00C56BD7"/>
    <w:rsid w:val="00C56C0D"/>
    <w:rsid w:val="00C56C77"/>
    <w:rsid w:val="00C56C84"/>
    <w:rsid w:val="00C56CE7"/>
    <w:rsid w:val="00C56D55"/>
    <w:rsid w:val="00C56D90"/>
    <w:rsid w:val="00C56DF0"/>
    <w:rsid w:val="00C56E2F"/>
    <w:rsid w:val="00C56E49"/>
    <w:rsid w:val="00C56EEE"/>
    <w:rsid w:val="00C56F27"/>
    <w:rsid w:val="00C56F87"/>
    <w:rsid w:val="00C56FB7"/>
    <w:rsid w:val="00C56FBF"/>
    <w:rsid w:val="00C56FC9"/>
    <w:rsid w:val="00C57016"/>
    <w:rsid w:val="00C572FD"/>
    <w:rsid w:val="00C57353"/>
    <w:rsid w:val="00C5736D"/>
    <w:rsid w:val="00C574DF"/>
    <w:rsid w:val="00C5754F"/>
    <w:rsid w:val="00C57565"/>
    <w:rsid w:val="00C57614"/>
    <w:rsid w:val="00C576AA"/>
    <w:rsid w:val="00C576D2"/>
    <w:rsid w:val="00C576EE"/>
    <w:rsid w:val="00C57884"/>
    <w:rsid w:val="00C57910"/>
    <w:rsid w:val="00C57A05"/>
    <w:rsid w:val="00C57AD9"/>
    <w:rsid w:val="00C57C87"/>
    <w:rsid w:val="00C57D3D"/>
    <w:rsid w:val="00C57DB2"/>
    <w:rsid w:val="00C57E30"/>
    <w:rsid w:val="00C57E77"/>
    <w:rsid w:val="00C57E9D"/>
    <w:rsid w:val="00C57EBB"/>
    <w:rsid w:val="00C60071"/>
    <w:rsid w:val="00C600B0"/>
    <w:rsid w:val="00C6022D"/>
    <w:rsid w:val="00C6024D"/>
    <w:rsid w:val="00C60318"/>
    <w:rsid w:val="00C6047B"/>
    <w:rsid w:val="00C6050E"/>
    <w:rsid w:val="00C60592"/>
    <w:rsid w:val="00C605C6"/>
    <w:rsid w:val="00C60607"/>
    <w:rsid w:val="00C60615"/>
    <w:rsid w:val="00C6064D"/>
    <w:rsid w:val="00C60666"/>
    <w:rsid w:val="00C606F9"/>
    <w:rsid w:val="00C6087A"/>
    <w:rsid w:val="00C60B32"/>
    <w:rsid w:val="00C60B96"/>
    <w:rsid w:val="00C60BA8"/>
    <w:rsid w:val="00C60BFE"/>
    <w:rsid w:val="00C60D1C"/>
    <w:rsid w:val="00C6110B"/>
    <w:rsid w:val="00C611D2"/>
    <w:rsid w:val="00C611D4"/>
    <w:rsid w:val="00C61407"/>
    <w:rsid w:val="00C61470"/>
    <w:rsid w:val="00C615E2"/>
    <w:rsid w:val="00C616AC"/>
    <w:rsid w:val="00C616DE"/>
    <w:rsid w:val="00C616FC"/>
    <w:rsid w:val="00C61801"/>
    <w:rsid w:val="00C61973"/>
    <w:rsid w:val="00C61A41"/>
    <w:rsid w:val="00C61AFE"/>
    <w:rsid w:val="00C61B26"/>
    <w:rsid w:val="00C61B86"/>
    <w:rsid w:val="00C61D3E"/>
    <w:rsid w:val="00C61DF3"/>
    <w:rsid w:val="00C61E60"/>
    <w:rsid w:val="00C61EFA"/>
    <w:rsid w:val="00C61F46"/>
    <w:rsid w:val="00C62009"/>
    <w:rsid w:val="00C62088"/>
    <w:rsid w:val="00C62162"/>
    <w:rsid w:val="00C621A5"/>
    <w:rsid w:val="00C62373"/>
    <w:rsid w:val="00C62397"/>
    <w:rsid w:val="00C623A2"/>
    <w:rsid w:val="00C623D1"/>
    <w:rsid w:val="00C624DF"/>
    <w:rsid w:val="00C62520"/>
    <w:rsid w:val="00C62565"/>
    <w:rsid w:val="00C626CA"/>
    <w:rsid w:val="00C62798"/>
    <w:rsid w:val="00C628FE"/>
    <w:rsid w:val="00C62930"/>
    <w:rsid w:val="00C62ACC"/>
    <w:rsid w:val="00C62B3A"/>
    <w:rsid w:val="00C62BF7"/>
    <w:rsid w:val="00C62C2E"/>
    <w:rsid w:val="00C62CA2"/>
    <w:rsid w:val="00C62CEB"/>
    <w:rsid w:val="00C62D19"/>
    <w:rsid w:val="00C62D6F"/>
    <w:rsid w:val="00C62DA7"/>
    <w:rsid w:val="00C62E2C"/>
    <w:rsid w:val="00C62EC3"/>
    <w:rsid w:val="00C62F5E"/>
    <w:rsid w:val="00C62F77"/>
    <w:rsid w:val="00C63025"/>
    <w:rsid w:val="00C63033"/>
    <w:rsid w:val="00C63066"/>
    <w:rsid w:val="00C630E0"/>
    <w:rsid w:val="00C63248"/>
    <w:rsid w:val="00C63380"/>
    <w:rsid w:val="00C63387"/>
    <w:rsid w:val="00C634E8"/>
    <w:rsid w:val="00C6350E"/>
    <w:rsid w:val="00C6351F"/>
    <w:rsid w:val="00C63555"/>
    <w:rsid w:val="00C635DE"/>
    <w:rsid w:val="00C63611"/>
    <w:rsid w:val="00C637D4"/>
    <w:rsid w:val="00C63808"/>
    <w:rsid w:val="00C6390C"/>
    <w:rsid w:val="00C639B7"/>
    <w:rsid w:val="00C63A21"/>
    <w:rsid w:val="00C63A61"/>
    <w:rsid w:val="00C63B8F"/>
    <w:rsid w:val="00C63C61"/>
    <w:rsid w:val="00C63D63"/>
    <w:rsid w:val="00C63DE9"/>
    <w:rsid w:val="00C63E6B"/>
    <w:rsid w:val="00C63F42"/>
    <w:rsid w:val="00C641E5"/>
    <w:rsid w:val="00C64216"/>
    <w:rsid w:val="00C642E7"/>
    <w:rsid w:val="00C643D7"/>
    <w:rsid w:val="00C6449B"/>
    <w:rsid w:val="00C6465C"/>
    <w:rsid w:val="00C6488F"/>
    <w:rsid w:val="00C648D1"/>
    <w:rsid w:val="00C64928"/>
    <w:rsid w:val="00C6495A"/>
    <w:rsid w:val="00C649D8"/>
    <w:rsid w:val="00C649FA"/>
    <w:rsid w:val="00C64A96"/>
    <w:rsid w:val="00C64AF1"/>
    <w:rsid w:val="00C64D71"/>
    <w:rsid w:val="00C64E25"/>
    <w:rsid w:val="00C64E4C"/>
    <w:rsid w:val="00C64E67"/>
    <w:rsid w:val="00C64F2B"/>
    <w:rsid w:val="00C64F8A"/>
    <w:rsid w:val="00C64FD6"/>
    <w:rsid w:val="00C64FFB"/>
    <w:rsid w:val="00C6507D"/>
    <w:rsid w:val="00C650C1"/>
    <w:rsid w:val="00C65167"/>
    <w:rsid w:val="00C65247"/>
    <w:rsid w:val="00C6531F"/>
    <w:rsid w:val="00C65446"/>
    <w:rsid w:val="00C65465"/>
    <w:rsid w:val="00C6549E"/>
    <w:rsid w:val="00C654FD"/>
    <w:rsid w:val="00C65521"/>
    <w:rsid w:val="00C65528"/>
    <w:rsid w:val="00C65541"/>
    <w:rsid w:val="00C655A9"/>
    <w:rsid w:val="00C655E0"/>
    <w:rsid w:val="00C655FC"/>
    <w:rsid w:val="00C65764"/>
    <w:rsid w:val="00C657B1"/>
    <w:rsid w:val="00C657D7"/>
    <w:rsid w:val="00C65A63"/>
    <w:rsid w:val="00C65A64"/>
    <w:rsid w:val="00C65AA1"/>
    <w:rsid w:val="00C65B44"/>
    <w:rsid w:val="00C65B9F"/>
    <w:rsid w:val="00C65BB0"/>
    <w:rsid w:val="00C65BEA"/>
    <w:rsid w:val="00C65BF3"/>
    <w:rsid w:val="00C65D82"/>
    <w:rsid w:val="00C65E59"/>
    <w:rsid w:val="00C65E61"/>
    <w:rsid w:val="00C65E9E"/>
    <w:rsid w:val="00C65EC0"/>
    <w:rsid w:val="00C65F80"/>
    <w:rsid w:val="00C65FEB"/>
    <w:rsid w:val="00C66037"/>
    <w:rsid w:val="00C661B1"/>
    <w:rsid w:val="00C66281"/>
    <w:rsid w:val="00C66292"/>
    <w:rsid w:val="00C6636C"/>
    <w:rsid w:val="00C663A6"/>
    <w:rsid w:val="00C663DA"/>
    <w:rsid w:val="00C66408"/>
    <w:rsid w:val="00C664D0"/>
    <w:rsid w:val="00C664EC"/>
    <w:rsid w:val="00C6663A"/>
    <w:rsid w:val="00C6670B"/>
    <w:rsid w:val="00C66782"/>
    <w:rsid w:val="00C669E4"/>
    <w:rsid w:val="00C66A21"/>
    <w:rsid w:val="00C66A44"/>
    <w:rsid w:val="00C66A52"/>
    <w:rsid w:val="00C66B20"/>
    <w:rsid w:val="00C66BD1"/>
    <w:rsid w:val="00C66C28"/>
    <w:rsid w:val="00C66CB2"/>
    <w:rsid w:val="00C66D58"/>
    <w:rsid w:val="00C66E93"/>
    <w:rsid w:val="00C66FB0"/>
    <w:rsid w:val="00C67009"/>
    <w:rsid w:val="00C6704E"/>
    <w:rsid w:val="00C67087"/>
    <w:rsid w:val="00C67104"/>
    <w:rsid w:val="00C67126"/>
    <w:rsid w:val="00C671C8"/>
    <w:rsid w:val="00C671EF"/>
    <w:rsid w:val="00C6721D"/>
    <w:rsid w:val="00C67247"/>
    <w:rsid w:val="00C672EF"/>
    <w:rsid w:val="00C6737F"/>
    <w:rsid w:val="00C6739D"/>
    <w:rsid w:val="00C673EA"/>
    <w:rsid w:val="00C6740F"/>
    <w:rsid w:val="00C67499"/>
    <w:rsid w:val="00C67678"/>
    <w:rsid w:val="00C67862"/>
    <w:rsid w:val="00C678A4"/>
    <w:rsid w:val="00C67A47"/>
    <w:rsid w:val="00C67A65"/>
    <w:rsid w:val="00C67B22"/>
    <w:rsid w:val="00C67B3E"/>
    <w:rsid w:val="00C67B47"/>
    <w:rsid w:val="00C67B90"/>
    <w:rsid w:val="00C67BC6"/>
    <w:rsid w:val="00C67BE4"/>
    <w:rsid w:val="00C67E78"/>
    <w:rsid w:val="00C67EC7"/>
    <w:rsid w:val="00C67EF9"/>
    <w:rsid w:val="00C67F63"/>
    <w:rsid w:val="00C67FBC"/>
    <w:rsid w:val="00C700D7"/>
    <w:rsid w:val="00C7019D"/>
    <w:rsid w:val="00C704AB"/>
    <w:rsid w:val="00C704BE"/>
    <w:rsid w:val="00C70536"/>
    <w:rsid w:val="00C70572"/>
    <w:rsid w:val="00C7062A"/>
    <w:rsid w:val="00C70683"/>
    <w:rsid w:val="00C70729"/>
    <w:rsid w:val="00C70866"/>
    <w:rsid w:val="00C708FB"/>
    <w:rsid w:val="00C70967"/>
    <w:rsid w:val="00C70971"/>
    <w:rsid w:val="00C70993"/>
    <w:rsid w:val="00C709B0"/>
    <w:rsid w:val="00C709E5"/>
    <w:rsid w:val="00C70A01"/>
    <w:rsid w:val="00C70A05"/>
    <w:rsid w:val="00C70ADD"/>
    <w:rsid w:val="00C70B54"/>
    <w:rsid w:val="00C70B81"/>
    <w:rsid w:val="00C70C96"/>
    <w:rsid w:val="00C70CCE"/>
    <w:rsid w:val="00C70D4C"/>
    <w:rsid w:val="00C70D5F"/>
    <w:rsid w:val="00C70E16"/>
    <w:rsid w:val="00C70E4C"/>
    <w:rsid w:val="00C70EC5"/>
    <w:rsid w:val="00C70EE0"/>
    <w:rsid w:val="00C70EFD"/>
    <w:rsid w:val="00C70F04"/>
    <w:rsid w:val="00C70F54"/>
    <w:rsid w:val="00C70F83"/>
    <w:rsid w:val="00C70FDB"/>
    <w:rsid w:val="00C710A9"/>
    <w:rsid w:val="00C713E5"/>
    <w:rsid w:val="00C713ED"/>
    <w:rsid w:val="00C71498"/>
    <w:rsid w:val="00C714E3"/>
    <w:rsid w:val="00C71532"/>
    <w:rsid w:val="00C71555"/>
    <w:rsid w:val="00C71746"/>
    <w:rsid w:val="00C71819"/>
    <w:rsid w:val="00C71865"/>
    <w:rsid w:val="00C718BD"/>
    <w:rsid w:val="00C719D6"/>
    <w:rsid w:val="00C719ED"/>
    <w:rsid w:val="00C71AC3"/>
    <w:rsid w:val="00C71C2B"/>
    <w:rsid w:val="00C71CCE"/>
    <w:rsid w:val="00C71D12"/>
    <w:rsid w:val="00C71E33"/>
    <w:rsid w:val="00C71FD0"/>
    <w:rsid w:val="00C71FFF"/>
    <w:rsid w:val="00C72056"/>
    <w:rsid w:val="00C720CE"/>
    <w:rsid w:val="00C720ED"/>
    <w:rsid w:val="00C720FE"/>
    <w:rsid w:val="00C721DD"/>
    <w:rsid w:val="00C7223D"/>
    <w:rsid w:val="00C722AB"/>
    <w:rsid w:val="00C72311"/>
    <w:rsid w:val="00C72318"/>
    <w:rsid w:val="00C7236B"/>
    <w:rsid w:val="00C72382"/>
    <w:rsid w:val="00C723FC"/>
    <w:rsid w:val="00C72475"/>
    <w:rsid w:val="00C724C2"/>
    <w:rsid w:val="00C724E6"/>
    <w:rsid w:val="00C724FF"/>
    <w:rsid w:val="00C7251E"/>
    <w:rsid w:val="00C72570"/>
    <w:rsid w:val="00C72753"/>
    <w:rsid w:val="00C727CB"/>
    <w:rsid w:val="00C727F2"/>
    <w:rsid w:val="00C72822"/>
    <w:rsid w:val="00C7288F"/>
    <w:rsid w:val="00C728AB"/>
    <w:rsid w:val="00C728DE"/>
    <w:rsid w:val="00C72A7E"/>
    <w:rsid w:val="00C72BB6"/>
    <w:rsid w:val="00C72C3D"/>
    <w:rsid w:val="00C72C81"/>
    <w:rsid w:val="00C72CAB"/>
    <w:rsid w:val="00C72D64"/>
    <w:rsid w:val="00C72DB4"/>
    <w:rsid w:val="00C72DBB"/>
    <w:rsid w:val="00C72E36"/>
    <w:rsid w:val="00C72F06"/>
    <w:rsid w:val="00C72F94"/>
    <w:rsid w:val="00C7309D"/>
    <w:rsid w:val="00C730BB"/>
    <w:rsid w:val="00C7314A"/>
    <w:rsid w:val="00C731A3"/>
    <w:rsid w:val="00C731B9"/>
    <w:rsid w:val="00C7320B"/>
    <w:rsid w:val="00C7335D"/>
    <w:rsid w:val="00C733A8"/>
    <w:rsid w:val="00C7355D"/>
    <w:rsid w:val="00C73563"/>
    <w:rsid w:val="00C7364E"/>
    <w:rsid w:val="00C73680"/>
    <w:rsid w:val="00C737A3"/>
    <w:rsid w:val="00C738A3"/>
    <w:rsid w:val="00C738FD"/>
    <w:rsid w:val="00C7391F"/>
    <w:rsid w:val="00C7394A"/>
    <w:rsid w:val="00C739BD"/>
    <w:rsid w:val="00C739D3"/>
    <w:rsid w:val="00C73B5E"/>
    <w:rsid w:val="00C73D07"/>
    <w:rsid w:val="00C73D6E"/>
    <w:rsid w:val="00C73ED8"/>
    <w:rsid w:val="00C74043"/>
    <w:rsid w:val="00C740C1"/>
    <w:rsid w:val="00C740E0"/>
    <w:rsid w:val="00C74169"/>
    <w:rsid w:val="00C7432E"/>
    <w:rsid w:val="00C7435C"/>
    <w:rsid w:val="00C74414"/>
    <w:rsid w:val="00C74431"/>
    <w:rsid w:val="00C745BC"/>
    <w:rsid w:val="00C745C3"/>
    <w:rsid w:val="00C74614"/>
    <w:rsid w:val="00C7469F"/>
    <w:rsid w:val="00C746E0"/>
    <w:rsid w:val="00C747A5"/>
    <w:rsid w:val="00C748E9"/>
    <w:rsid w:val="00C749F2"/>
    <w:rsid w:val="00C74A52"/>
    <w:rsid w:val="00C74BA3"/>
    <w:rsid w:val="00C74BCD"/>
    <w:rsid w:val="00C74D43"/>
    <w:rsid w:val="00C74E4F"/>
    <w:rsid w:val="00C74EAC"/>
    <w:rsid w:val="00C74F18"/>
    <w:rsid w:val="00C7501D"/>
    <w:rsid w:val="00C750D2"/>
    <w:rsid w:val="00C750D7"/>
    <w:rsid w:val="00C7513E"/>
    <w:rsid w:val="00C75185"/>
    <w:rsid w:val="00C751DE"/>
    <w:rsid w:val="00C751F3"/>
    <w:rsid w:val="00C75297"/>
    <w:rsid w:val="00C75299"/>
    <w:rsid w:val="00C7531E"/>
    <w:rsid w:val="00C7532E"/>
    <w:rsid w:val="00C75421"/>
    <w:rsid w:val="00C7550B"/>
    <w:rsid w:val="00C75638"/>
    <w:rsid w:val="00C7566A"/>
    <w:rsid w:val="00C757AA"/>
    <w:rsid w:val="00C75897"/>
    <w:rsid w:val="00C758DC"/>
    <w:rsid w:val="00C7599F"/>
    <w:rsid w:val="00C75A23"/>
    <w:rsid w:val="00C75A7E"/>
    <w:rsid w:val="00C75AF4"/>
    <w:rsid w:val="00C75B39"/>
    <w:rsid w:val="00C75B5E"/>
    <w:rsid w:val="00C75BB8"/>
    <w:rsid w:val="00C75BD1"/>
    <w:rsid w:val="00C75C88"/>
    <w:rsid w:val="00C75C9F"/>
    <w:rsid w:val="00C75E32"/>
    <w:rsid w:val="00C75E3A"/>
    <w:rsid w:val="00C75F1E"/>
    <w:rsid w:val="00C75FB0"/>
    <w:rsid w:val="00C76015"/>
    <w:rsid w:val="00C76074"/>
    <w:rsid w:val="00C760EF"/>
    <w:rsid w:val="00C76269"/>
    <w:rsid w:val="00C76412"/>
    <w:rsid w:val="00C7648B"/>
    <w:rsid w:val="00C7654F"/>
    <w:rsid w:val="00C765BC"/>
    <w:rsid w:val="00C7665E"/>
    <w:rsid w:val="00C7665F"/>
    <w:rsid w:val="00C7666D"/>
    <w:rsid w:val="00C76696"/>
    <w:rsid w:val="00C76889"/>
    <w:rsid w:val="00C76899"/>
    <w:rsid w:val="00C76918"/>
    <w:rsid w:val="00C76933"/>
    <w:rsid w:val="00C76997"/>
    <w:rsid w:val="00C769D5"/>
    <w:rsid w:val="00C76A56"/>
    <w:rsid w:val="00C76A5C"/>
    <w:rsid w:val="00C76A74"/>
    <w:rsid w:val="00C76ACD"/>
    <w:rsid w:val="00C76B55"/>
    <w:rsid w:val="00C76E0F"/>
    <w:rsid w:val="00C76E12"/>
    <w:rsid w:val="00C76F60"/>
    <w:rsid w:val="00C76F84"/>
    <w:rsid w:val="00C77042"/>
    <w:rsid w:val="00C770F9"/>
    <w:rsid w:val="00C77137"/>
    <w:rsid w:val="00C77177"/>
    <w:rsid w:val="00C771ED"/>
    <w:rsid w:val="00C77215"/>
    <w:rsid w:val="00C77219"/>
    <w:rsid w:val="00C77234"/>
    <w:rsid w:val="00C77237"/>
    <w:rsid w:val="00C77290"/>
    <w:rsid w:val="00C77354"/>
    <w:rsid w:val="00C775CB"/>
    <w:rsid w:val="00C7766A"/>
    <w:rsid w:val="00C77676"/>
    <w:rsid w:val="00C776BB"/>
    <w:rsid w:val="00C776D0"/>
    <w:rsid w:val="00C77702"/>
    <w:rsid w:val="00C777F9"/>
    <w:rsid w:val="00C778A6"/>
    <w:rsid w:val="00C778DB"/>
    <w:rsid w:val="00C778EB"/>
    <w:rsid w:val="00C778FE"/>
    <w:rsid w:val="00C77DE0"/>
    <w:rsid w:val="00C77E3E"/>
    <w:rsid w:val="00C77E8C"/>
    <w:rsid w:val="00C77F18"/>
    <w:rsid w:val="00C77FAC"/>
    <w:rsid w:val="00C77FCE"/>
    <w:rsid w:val="00C80082"/>
    <w:rsid w:val="00C80127"/>
    <w:rsid w:val="00C801FB"/>
    <w:rsid w:val="00C80282"/>
    <w:rsid w:val="00C802C2"/>
    <w:rsid w:val="00C8042F"/>
    <w:rsid w:val="00C80432"/>
    <w:rsid w:val="00C8048F"/>
    <w:rsid w:val="00C804E0"/>
    <w:rsid w:val="00C804F6"/>
    <w:rsid w:val="00C8051F"/>
    <w:rsid w:val="00C80707"/>
    <w:rsid w:val="00C8070F"/>
    <w:rsid w:val="00C8079D"/>
    <w:rsid w:val="00C808C1"/>
    <w:rsid w:val="00C80A37"/>
    <w:rsid w:val="00C80A9E"/>
    <w:rsid w:val="00C80AA0"/>
    <w:rsid w:val="00C80AE0"/>
    <w:rsid w:val="00C80BA1"/>
    <w:rsid w:val="00C80BBC"/>
    <w:rsid w:val="00C80BC9"/>
    <w:rsid w:val="00C80CC9"/>
    <w:rsid w:val="00C80D30"/>
    <w:rsid w:val="00C80D49"/>
    <w:rsid w:val="00C80D64"/>
    <w:rsid w:val="00C80E57"/>
    <w:rsid w:val="00C80EE8"/>
    <w:rsid w:val="00C8101C"/>
    <w:rsid w:val="00C81035"/>
    <w:rsid w:val="00C811DF"/>
    <w:rsid w:val="00C8128C"/>
    <w:rsid w:val="00C812B5"/>
    <w:rsid w:val="00C8131C"/>
    <w:rsid w:val="00C81494"/>
    <w:rsid w:val="00C81678"/>
    <w:rsid w:val="00C816FF"/>
    <w:rsid w:val="00C81744"/>
    <w:rsid w:val="00C81811"/>
    <w:rsid w:val="00C81906"/>
    <w:rsid w:val="00C8191C"/>
    <w:rsid w:val="00C81A9B"/>
    <w:rsid w:val="00C81AA0"/>
    <w:rsid w:val="00C81ABA"/>
    <w:rsid w:val="00C81C05"/>
    <w:rsid w:val="00C81ECA"/>
    <w:rsid w:val="00C81FC3"/>
    <w:rsid w:val="00C82119"/>
    <w:rsid w:val="00C82139"/>
    <w:rsid w:val="00C8215F"/>
    <w:rsid w:val="00C822D3"/>
    <w:rsid w:val="00C8257B"/>
    <w:rsid w:val="00C82880"/>
    <w:rsid w:val="00C8290E"/>
    <w:rsid w:val="00C8293B"/>
    <w:rsid w:val="00C82998"/>
    <w:rsid w:val="00C829F3"/>
    <w:rsid w:val="00C82AD5"/>
    <w:rsid w:val="00C82BA2"/>
    <w:rsid w:val="00C82BB5"/>
    <w:rsid w:val="00C82BB6"/>
    <w:rsid w:val="00C82C0E"/>
    <w:rsid w:val="00C82C80"/>
    <w:rsid w:val="00C82CAF"/>
    <w:rsid w:val="00C82CC6"/>
    <w:rsid w:val="00C82D55"/>
    <w:rsid w:val="00C82E30"/>
    <w:rsid w:val="00C82E73"/>
    <w:rsid w:val="00C82E9D"/>
    <w:rsid w:val="00C82EBA"/>
    <w:rsid w:val="00C82ECB"/>
    <w:rsid w:val="00C82F0D"/>
    <w:rsid w:val="00C82F1C"/>
    <w:rsid w:val="00C82FF5"/>
    <w:rsid w:val="00C83075"/>
    <w:rsid w:val="00C830C7"/>
    <w:rsid w:val="00C831D5"/>
    <w:rsid w:val="00C831F3"/>
    <w:rsid w:val="00C8337C"/>
    <w:rsid w:val="00C833D3"/>
    <w:rsid w:val="00C83455"/>
    <w:rsid w:val="00C834D3"/>
    <w:rsid w:val="00C8352B"/>
    <w:rsid w:val="00C8362E"/>
    <w:rsid w:val="00C8386F"/>
    <w:rsid w:val="00C838F0"/>
    <w:rsid w:val="00C8390D"/>
    <w:rsid w:val="00C8391F"/>
    <w:rsid w:val="00C839D7"/>
    <w:rsid w:val="00C83A03"/>
    <w:rsid w:val="00C83A17"/>
    <w:rsid w:val="00C83A80"/>
    <w:rsid w:val="00C83B33"/>
    <w:rsid w:val="00C83B92"/>
    <w:rsid w:val="00C83D1C"/>
    <w:rsid w:val="00C83D40"/>
    <w:rsid w:val="00C83D64"/>
    <w:rsid w:val="00C83E1D"/>
    <w:rsid w:val="00C83E74"/>
    <w:rsid w:val="00C83E7A"/>
    <w:rsid w:val="00C83EC6"/>
    <w:rsid w:val="00C83FA9"/>
    <w:rsid w:val="00C8412E"/>
    <w:rsid w:val="00C841B3"/>
    <w:rsid w:val="00C84273"/>
    <w:rsid w:val="00C84300"/>
    <w:rsid w:val="00C843D8"/>
    <w:rsid w:val="00C844B3"/>
    <w:rsid w:val="00C84579"/>
    <w:rsid w:val="00C84671"/>
    <w:rsid w:val="00C846AB"/>
    <w:rsid w:val="00C846C2"/>
    <w:rsid w:val="00C846F3"/>
    <w:rsid w:val="00C8480A"/>
    <w:rsid w:val="00C84912"/>
    <w:rsid w:val="00C84991"/>
    <w:rsid w:val="00C84B18"/>
    <w:rsid w:val="00C84BF9"/>
    <w:rsid w:val="00C84C1D"/>
    <w:rsid w:val="00C84C33"/>
    <w:rsid w:val="00C84CFD"/>
    <w:rsid w:val="00C84DA5"/>
    <w:rsid w:val="00C84E14"/>
    <w:rsid w:val="00C84E18"/>
    <w:rsid w:val="00C84E1E"/>
    <w:rsid w:val="00C84E50"/>
    <w:rsid w:val="00C84FB3"/>
    <w:rsid w:val="00C8508F"/>
    <w:rsid w:val="00C850AC"/>
    <w:rsid w:val="00C85134"/>
    <w:rsid w:val="00C851DD"/>
    <w:rsid w:val="00C852B8"/>
    <w:rsid w:val="00C85314"/>
    <w:rsid w:val="00C85571"/>
    <w:rsid w:val="00C855C0"/>
    <w:rsid w:val="00C856EF"/>
    <w:rsid w:val="00C8576E"/>
    <w:rsid w:val="00C85777"/>
    <w:rsid w:val="00C8580A"/>
    <w:rsid w:val="00C85824"/>
    <w:rsid w:val="00C85A1B"/>
    <w:rsid w:val="00C85AEC"/>
    <w:rsid w:val="00C85C5A"/>
    <w:rsid w:val="00C85CDF"/>
    <w:rsid w:val="00C85DF0"/>
    <w:rsid w:val="00C85DF7"/>
    <w:rsid w:val="00C85EC4"/>
    <w:rsid w:val="00C85F04"/>
    <w:rsid w:val="00C85FE5"/>
    <w:rsid w:val="00C85FF9"/>
    <w:rsid w:val="00C85FFC"/>
    <w:rsid w:val="00C8601B"/>
    <w:rsid w:val="00C86074"/>
    <w:rsid w:val="00C860C9"/>
    <w:rsid w:val="00C86242"/>
    <w:rsid w:val="00C86245"/>
    <w:rsid w:val="00C86335"/>
    <w:rsid w:val="00C8633F"/>
    <w:rsid w:val="00C8647E"/>
    <w:rsid w:val="00C86525"/>
    <w:rsid w:val="00C86594"/>
    <w:rsid w:val="00C868BA"/>
    <w:rsid w:val="00C86A88"/>
    <w:rsid w:val="00C86B06"/>
    <w:rsid w:val="00C86B09"/>
    <w:rsid w:val="00C86B1A"/>
    <w:rsid w:val="00C86B2D"/>
    <w:rsid w:val="00C86BF1"/>
    <w:rsid w:val="00C86C47"/>
    <w:rsid w:val="00C86CA9"/>
    <w:rsid w:val="00C86D5D"/>
    <w:rsid w:val="00C86EC3"/>
    <w:rsid w:val="00C86F95"/>
    <w:rsid w:val="00C86FB0"/>
    <w:rsid w:val="00C870EC"/>
    <w:rsid w:val="00C871E8"/>
    <w:rsid w:val="00C87298"/>
    <w:rsid w:val="00C872B9"/>
    <w:rsid w:val="00C872D8"/>
    <w:rsid w:val="00C87380"/>
    <w:rsid w:val="00C873AC"/>
    <w:rsid w:val="00C874CD"/>
    <w:rsid w:val="00C8753F"/>
    <w:rsid w:val="00C875B1"/>
    <w:rsid w:val="00C87604"/>
    <w:rsid w:val="00C87694"/>
    <w:rsid w:val="00C876F4"/>
    <w:rsid w:val="00C87735"/>
    <w:rsid w:val="00C877C2"/>
    <w:rsid w:val="00C877CC"/>
    <w:rsid w:val="00C8782B"/>
    <w:rsid w:val="00C879B9"/>
    <w:rsid w:val="00C87B2C"/>
    <w:rsid w:val="00C87B97"/>
    <w:rsid w:val="00C87C11"/>
    <w:rsid w:val="00C87CDF"/>
    <w:rsid w:val="00C87DA4"/>
    <w:rsid w:val="00C87E2A"/>
    <w:rsid w:val="00C87EB2"/>
    <w:rsid w:val="00C87EB3"/>
    <w:rsid w:val="00C87EFB"/>
    <w:rsid w:val="00C87FE9"/>
    <w:rsid w:val="00C9000D"/>
    <w:rsid w:val="00C9013E"/>
    <w:rsid w:val="00C9017D"/>
    <w:rsid w:val="00C90221"/>
    <w:rsid w:val="00C90332"/>
    <w:rsid w:val="00C90485"/>
    <w:rsid w:val="00C906FD"/>
    <w:rsid w:val="00C90730"/>
    <w:rsid w:val="00C9075E"/>
    <w:rsid w:val="00C9083C"/>
    <w:rsid w:val="00C9085C"/>
    <w:rsid w:val="00C90A8E"/>
    <w:rsid w:val="00C90AC6"/>
    <w:rsid w:val="00C90BE1"/>
    <w:rsid w:val="00C90C9B"/>
    <w:rsid w:val="00C90CA6"/>
    <w:rsid w:val="00C90D65"/>
    <w:rsid w:val="00C90F5B"/>
    <w:rsid w:val="00C91009"/>
    <w:rsid w:val="00C91133"/>
    <w:rsid w:val="00C91176"/>
    <w:rsid w:val="00C91197"/>
    <w:rsid w:val="00C911AE"/>
    <w:rsid w:val="00C9135B"/>
    <w:rsid w:val="00C91398"/>
    <w:rsid w:val="00C91440"/>
    <w:rsid w:val="00C9151D"/>
    <w:rsid w:val="00C91756"/>
    <w:rsid w:val="00C917A9"/>
    <w:rsid w:val="00C9186B"/>
    <w:rsid w:val="00C9189B"/>
    <w:rsid w:val="00C918CB"/>
    <w:rsid w:val="00C9199B"/>
    <w:rsid w:val="00C91B21"/>
    <w:rsid w:val="00C91B52"/>
    <w:rsid w:val="00C91BDB"/>
    <w:rsid w:val="00C91C68"/>
    <w:rsid w:val="00C91C84"/>
    <w:rsid w:val="00C91D2E"/>
    <w:rsid w:val="00C92079"/>
    <w:rsid w:val="00C9217D"/>
    <w:rsid w:val="00C92180"/>
    <w:rsid w:val="00C922CE"/>
    <w:rsid w:val="00C92457"/>
    <w:rsid w:val="00C9245D"/>
    <w:rsid w:val="00C9249B"/>
    <w:rsid w:val="00C924A4"/>
    <w:rsid w:val="00C92550"/>
    <w:rsid w:val="00C92618"/>
    <w:rsid w:val="00C9264F"/>
    <w:rsid w:val="00C92848"/>
    <w:rsid w:val="00C928BB"/>
    <w:rsid w:val="00C92A3C"/>
    <w:rsid w:val="00C92AA2"/>
    <w:rsid w:val="00C92B03"/>
    <w:rsid w:val="00C92BFF"/>
    <w:rsid w:val="00C92C0C"/>
    <w:rsid w:val="00C92CC1"/>
    <w:rsid w:val="00C92D59"/>
    <w:rsid w:val="00C92E6F"/>
    <w:rsid w:val="00C92E71"/>
    <w:rsid w:val="00C92E80"/>
    <w:rsid w:val="00C92ED9"/>
    <w:rsid w:val="00C92F86"/>
    <w:rsid w:val="00C93099"/>
    <w:rsid w:val="00C930E9"/>
    <w:rsid w:val="00C9316E"/>
    <w:rsid w:val="00C932A3"/>
    <w:rsid w:val="00C93331"/>
    <w:rsid w:val="00C93408"/>
    <w:rsid w:val="00C93425"/>
    <w:rsid w:val="00C9367F"/>
    <w:rsid w:val="00C936F4"/>
    <w:rsid w:val="00C937CC"/>
    <w:rsid w:val="00C9385A"/>
    <w:rsid w:val="00C938DD"/>
    <w:rsid w:val="00C939BC"/>
    <w:rsid w:val="00C93B82"/>
    <w:rsid w:val="00C93C2B"/>
    <w:rsid w:val="00C93C5E"/>
    <w:rsid w:val="00C93CB5"/>
    <w:rsid w:val="00C93DC5"/>
    <w:rsid w:val="00C93DD6"/>
    <w:rsid w:val="00C93E7A"/>
    <w:rsid w:val="00C941BD"/>
    <w:rsid w:val="00C941E6"/>
    <w:rsid w:val="00C94209"/>
    <w:rsid w:val="00C94259"/>
    <w:rsid w:val="00C942D8"/>
    <w:rsid w:val="00C94349"/>
    <w:rsid w:val="00C94355"/>
    <w:rsid w:val="00C944B6"/>
    <w:rsid w:val="00C944EC"/>
    <w:rsid w:val="00C94762"/>
    <w:rsid w:val="00C94789"/>
    <w:rsid w:val="00C94889"/>
    <w:rsid w:val="00C94967"/>
    <w:rsid w:val="00C9496B"/>
    <w:rsid w:val="00C94A85"/>
    <w:rsid w:val="00C94A90"/>
    <w:rsid w:val="00C94B1B"/>
    <w:rsid w:val="00C94BA4"/>
    <w:rsid w:val="00C94BE7"/>
    <w:rsid w:val="00C94C3A"/>
    <w:rsid w:val="00C94D02"/>
    <w:rsid w:val="00C94D3E"/>
    <w:rsid w:val="00C94E47"/>
    <w:rsid w:val="00C94E65"/>
    <w:rsid w:val="00C94F7C"/>
    <w:rsid w:val="00C94FCF"/>
    <w:rsid w:val="00C9503A"/>
    <w:rsid w:val="00C9503C"/>
    <w:rsid w:val="00C9510D"/>
    <w:rsid w:val="00C9519E"/>
    <w:rsid w:val="00C951F5"/>
    <w:rsid w:val="00C9521D"/>
    <w:rsid w:val="00C95342"/>
    <w:rsid w:val="00C9546A"/>
    <w:rsid w:val="00C9548C"/>
    <w:rsid w:val="00C954B7"/>
    <w:rsid w:val="00C9555F"/>
    <w:rsid w:val="00C95573"/>
    <w:rsid w:val="00C957E9"/>
    <w:rsid w:val="00C95857"/>
    <w:rsid w:val="00C9598B"/>
    <w:rsid w:val="00C959A9"/>
    <w:rsid w:val="00C95A63"/>
    <w:rsid w:val="00C95AC5"/>
    <w:rsid w:val="00C95C4B"/>
    <w:rsid w:val="00C95E20"/>
    <w:rsid w:val="00C95E5C"/>
    <w:rsid w:val="00C95EC6"/>
    <w:rsid w:val="00C95F48"/>
    <w:rsid w:val="00C95FCB"/>
    <w:rsid w:val="00C96028"/>
    <w:rsid w:val="00C9606F"/>
    <w:rsid w:val="00C96201"/>
    <w:rsid w:val="00C962A3"/>
    <w:rsid w:val="00C96373"/>
    <w:rsid w:val="00C96389"/>
    <w:rsid w:val="00C964E0"/>
    <w:rsid w:val="00C96517"/>
    <w:rsid w:val="00C965AA"/>
    <w:rsid w:val="00C966E5"/>
    <w:rsid w:val="00C96787"/>
    <w:rsid w:val="00C9686E"/>
    <w:rsid w:val="00C969F4"/>
    <w:rsid w:val="00C96A8D"/>
    <w:rsid w:val="00C96A8F"/>
    <w:rsid w:val="00C96B3F"/>
    <w:rsid w:val="00C96B7D"/>
    <w:rsid w:val="00C96BB0"/>
    <w:rsid w:val="00C96C8E"/>
    <w:rsid w:val="00C96C95"/>
    <w:rsid w:val="00C96CB6"/>
    <w:rsid w:val="00C96D66"/>
    <w:rsid w:val="00C96FA0"/>
    <w:rsid w:val="00C96FD1"/>
    <w:rsid w:val="00C96FEA"/>
    <w:rsid w:val="00C96FF8"/>
    <w:rsid w:val="00C97146"/>
    <w:rsid w:val="00C97203"/>
    <w:rsid w:val="00C97361"/>
    <w:rsid w:val="00C974D0"/>
    <w:rsid w:val="00C975B0"/>
    <w:rsid w:val="00C97609"/>
    <w:rsid w:val="00C976FA"/>
    <w:rsid w:val="00C977FA"/>
    <w:rsid w:val="00C97859"/>
    <w:rsid w:val="00C978E2"/>
    <w:rsid w:val="00C97A28"/>
    <w:rsid w:val="00C97A56"/>
    <w:rsid w:val="00C97A5C"/>
    <w:rsid w:val="00C97A5E"/>
    <w:rsid w:val="00C97AA4"/>
    <w:rsid w:val="00C97B89"/>
    <w:rsid w:val="00C97C4E"/>
    <w:rsid w:val="00C97C6C"/>
    <w:rsid w:val="00C97CAD"/>
    <w:rsid w:val="00C97CC2"/>
    <w:rsid w:val="00C97CF3"/>
    <w:rsid w:val="00C97EE7"/>
    <w:rsid w:val="00C97FD1"/>
    <w:rsid w:val="00CA00E6"/>
    <w:rsid w:val="00CA0116"/>
    <w:rsid w:val="00CA0125"/>
    <w:rsid w:val="00CA01A5"/>
    <w:rsid w:val="00CA0258"/>
    <w:rsid w:val="00CA04A9"/>
    <w:rsid w:val="00CA04E3"/>
    <w:rsid w:val="00CA0510"/>
    <w:rsid w:val="00CA06BA"/>
    <w:rsid w:val="00CA06F0"/>
    <w:rsid w:val="00CA06FB"/>
    <w:rsid w:val="00CA07EF"/>
    <w:rsid w:val="00CA0833"/>
    <w:rsid w:val="00CA094E"/>
    <w:rsid w:val="00CA095C"/>
    <w:rsid w:val="00CA095D"/>
    <w:rsid w:val="00CA0A02"/>
    <w:rsid w:val="00CA0A93"/>
    <w:rsid w:val="00CA0AE9"/>
    <w:rsid w:val="00CA0BB5"/>
    <w:rsid w:val="00CA0C4B"/>
    <w:rsid w:val="00CA0DEA"/>
    <w:rsid w:val="00CA0EDB"/>
    <w:rsid w:val="00CA0F15"/>
    <w:rsid w:val="00CA106D"/>
    <w:rsid w:val="00CA1074"/>
    <w:rsid w:val="00CA11C0"/>
    <w:rsid w:val="00CA11E7"/>
    <w:rsid w:val="00CA1206"/>
    <w:rsid w:val="00CA1271"/>
    <w:rsid w:val="00CA139C"/>
    <w:rsid w:val="00CA139E"/>
    <w:rsid w:val="00CA1469"/>
    <w:rsid w:val="00CA1497"/>
    <w:rsid w:val="00CA14D4"/>
    <w:rsid w:val="00CA1560"/>
    <w:rsid w:val="00CA17FC"/>
    <w:rsid w:val="00CA1813"/>
    <w:rsid w:val="00CA190C"/>
    <w:rsid w:val="00CA1932"/>
    <w:rsid w:val="00CA1945"/>
    <w:rsid w:val="00CA196D"/>
    <w:rsid w:val="00CA19AD"/>
    <w:rsid w:val="00CA1A3B"/>
    <w:rsid w:val="00CA1A72"/>
    <w:rsid w:val="00CA1BA2"/>
    <w:rsid w:val="00CA1BDA"/>
    <w:rsid w:val="00CA1C4A"/>
    <w:rsid w:val="00CA1D14"/>
    <w:rsid w:val="00CA1DA5"/>
    <w:rsid w:val="00CA1E65"/>
    <w:rsid w:val="00CA1E6E"/>
    <w:rsid w:val="00CA1F39"/>
    <w:rsid w:val="00CA1F58"/>
    <w:rsid w:val="00CA1F92"/>
    <w:rsid w:val="00CA1FB0"/>
    <w:rsid w:val="00CA201A"/>
    <w:rsid w:val="00CA2060"/>
    <w:rsid w:val="00CA2071"/>
    <w:rsid w:val="00CA2125"/>
    <w:rsid w:val="00CA2313"/>
    <w:rsid w:val="00CA2387"/>
    <w:rsid w:val="00CA23E4"/>
    <w:rsid w:val="00CA245E"/>
    <w:rsid w:val="00CA249A"/>
    <w:rsid w:val="00CA2538"/>
    <w:rsid w:val="00CA2556"/>
    <w:rsid w:val="00CA25D4"/>
    <w:rsid w:val="00CA260F"/>
    <w:rsid w:val="00CA2614"/>
    <w:rsid w:val="00CA26C7"/>
    <w:rsid w:val="00CA272B"/>
    <w:rsid w:val="00CA2792"/>
    <w:rsid w:val="00CA2837"/>
    <w:rsid w:val="00CA28C5"/>
    <w:rsid w:val="00CA2913"/>
    <w:rsid w:val="00CA2998"/>
    <w:rsid w:val="00CA2A55"/>
    <w:rsid w:val="00CA2AC5"/>
    <w:rsid w:val="00CA2AD0"/>
    <w:rsid w:val="00CA2C15"/>
    <w:rsid w:val="00CA2CEC"/>
    <w:rsid w:val="00CA2D67"/>
    <w:rsid w:val="00CA2D83"/>
    <w:rsid w:val="00CA2D98"/>
    <w:rsid w:val="00CA2DBC"/>
    <w:rsid w:val="00CA2E12"/>
    <w:rsid w:val="00CA2EAD"/>
    <w:rsid w:val="00CA2F5B"/>
    <w:rsid w:val="00CA30DA"/>
    <w:rsid w:val="00CA3135"/>
    <w:rsid w:val="00CA31A6"/>
    <w:rsid w:val="00CA31E8"/>
    <w:rsid w:val="00CA3253"/>
    <w:rsid w:val="00CA32A8"/>
    <w:rsid w:val="00CA32DC"/>
    <w:rsid w:val="00CA3318"/>
    <w:rsid w:val="00CA33C1"/>
    <w:rsid w:val="00CA341B"/>
    <w:rsid w:val="00CA3480"/>
    <w:rsid w:val="00CA3564"/>
    <w:rsid w:val="00CA3578"/>
    <w:rsid w:val="00CA360A"/>
    <w:rsid w:val="00CA367B"/>
    <w:rsid w:val="00CA3716"/>
    <w:rsid w:val="00CA373A"/>
    <w:rsid w:val="00CA37DA"/>
    <w:rsid w:val="00CA37E4"/>
    <w:rsid w:val="00CA3856"/>
    <w:rsid w:val="00CA38C5"/>
    <w:rsid w:val="00CA38EA"/>
    <w:rsid w:val="00CA39E0"/>
    <w:rsid w:val="00CA3A13"/>
    <w:rsid w:val="00CA3A37"/>
    <w:rsid w:val="00CA3A79"/>
    <w:rsid w:val="00CA3BBA"/>
    <w:rsid w:val="00CA3C4B"/>
    <w:rsid w:val="00CA3C9C"/>
    <w:rsid w:val="00CA3CC7"/>
    <w:rsid w:val="00CA3D10"/>
    <w:rsid w:val="00CA3D63"/>
    <w:rsid w:val="00CA3F3D"/>
    <w:rsid w:val="00CA4095"/>
    <w:rsid w:val="00CA41C7"/>
    <w:rsid w:val="00CA4268"/>
    <w:rsid w:val="00CA427B"/>
    <w:rsid w:val="00CA42B9"/>
    <w:rsid w:val="00CA4317"/>
    <w:rsid w:val="00CA4360"/>
    <w:rsid w:val="00CA439D"/>
    <w:rsid w:val="00CA4494"/>
    <w:rsid w:val="00CA44BB"/>
    <w:rsid w:val="00CA4543"/>
    <w:rsid w:val="00CA455C"/>
    <w:rsid w:val="00CA4574"/>
    <w:rsid w:val="00CA4593"/>
    <w:rsid w:val="00CA46C9"/>
    <w:rsid w:val="00CA485B"/>
    <w:rsid w:val="00CA48C1"/>
    <w:rsid w:val="00CA493B"/>
    <w:rsid w:val="00CA495E"/>
    <w:rsid w:val="00CA4A1F"/>
    <w:rsid w:val="00CA4B01"/>
    <w:rsid w:val="00CA4B31"/>
    <w:rsid w:val="00CA4B6B"/>
    <w:rsid w:val="00CA4B74"/>
    <w:rsid w:val="00CA4BC0"/>
    <w:rsid w:val="00CA4C3E"/>
    <w:rsid w:val="00CA4C72"/>
    <w:rsid w:val="00CA4C96"/>
    <w:rsid w:val="00CA4C9A"/>
    <w:rsid w:val="00CA4D26"/>
    <w:rsid w:val="00CA4E7A"/>
    <w:rsid w:val="00CA4ECC"/>
    <w:rsid w:val="00CA4EF3"/>
    <w:rsid w:val="00CA4F50"/>
    <w:rsid w:val="00CA517C"/>
    <w:rsid w:val="00CA52E7"/>
    <w:rsid w:val="00CA52FD"/>
    <w:rsid w:val="00CA53D9"/>
    <w:rsid w:val="00CA568F"/>
    <w:rsid w:val="00CA56BF"/>
    <w:rsid w:val="00CA56E6"/>
    <w:rsid w:val="00CA5736"/>
    <w:rsid w:val="00CA57A2"/>
    <w:rsid w:val="00CA583D"/>
    <w:rsid w:val="00CA5916"/>
    <w:rsid w:val="00CA597E"/>
    <w:rsid w:val="00CA5A39"/>
    <w:rsid w:val="00CA5A87"/>
    <w:rsid w:val="00CA5AF1"/>
    <w:rsid w:val="00CA5B10"/>
    <w:rsid w:val="00CA5B2C"/>
    <w:rsid w:val="00CA5BBF"/>
    <w:rsid w:val="00CA5BF0"/>
    <w:rsid w:val="00CA5CA8"/>
    <w:rsid w:val="00CA5CEA"/>
    <w:rsid w:val="00CA5DB1"/>
    <w:rsid w:val="00CA5DEA"/>
    <w:rsid w:val="00CA5F2F"/>
    <w:rsid w:val="00CA5F45"/>
    <w:rsid w:val="00CA5F80"/>
    <w:rsid w:val="00CA5FEF"/>
    <w:rsid w:val="00CA6100"/>
    <w:rsid w:val="00CA616C"/>
    <w:rsid w:val="00CA619C"/>
    <w:rsid w:val="00CA6210"/>
    <w:rsid w:val="00CA63A3"/>
    <w:rsid w:val="00CA641E"/>
    <w:rsid w:val="00CA643B"/>
    <w:rsid w:val="00CA64CC"/>
    <w:rsid w:val="00CA64EA"/>
    <w:rsid w:val="00CA6580"/>
    <w:rsid w:val="00CA65DA"/>
    <w:rsid w:val="00CA6601"/>
    <w:rsid w:val="00CA66D0"/>
    <w:rsid w:val="00CA671E"/>
    <w:rsid w:val="00CA67EA"/>
    <w:rsid w:val="00CA6848"/>
    <w:rsid w:val="00CA6978"/>
    <w:rsid w:val="00CA6A61"/>
    <w:rsid w:val="00CA6BCF"/>
    <w:rsid w:val="00CA6C59"/>
    <w:rsid w:val="00CA6D0E"/>
    <w:rsid w:val="00CA6E05"/>
    <w:rsid w:val="00CA7009"/>
    <w:rsid w:val="00CA7069"/>
    <w:rsid w:val="00CA7075"/>
    <w:rsid w:val="00CA7209"/>
    <w:rsid w:val="00CA72ED"/>
    <w:rsid w:val="00CA73C0"/>
    <w:rsid w:val="00CA745A"/>
    <w:rsid w:val="00CA74D7"/>
    <w:rsid w:val="00CA75AE"/>
    <w:rsid w:val="00CA7629"/>
    <w:rsid w:val="00CA780A"/>
    <w:rsid w:val="00CA78BC"/>
    <w:rsid w:val="00CA794C"/>
    <w:rsid w:val="00CA7956"/>
    <w:rsid w:val="00CA7B18"/>
    <w:rsid w:val="00CA7B1B"/>
    <w:rsid w:val="00CA7C19"/>
    <w:rsid w:val="00CA7CC0"/>
    <w:rsid w:val="00CA7D55"/>
    <w:rsid w:val="00CA7E34"/>
    <w:rsid w:val="00CA7E39"/>
    <w:rsid w:val="00CA7EAE"/>
    <w:rsid w:val="00CA7F9C"/>
    <w:rsid w:val="00CB00B3"/>
    <w:rsid w:val="00CB0125"/>
    <w:rsid w:val="00CB0157"/>
    <w:rsid w:val="00CB0205"/>
    <w:rsid w:val="00CB022A"/>
    <w:rsid w:val="00CB0249"/>
    <w:rsid w:val="00CB02C3"/>
    <w:rsid w:val="00CB02D4"/>
    <w:rsid w:val="00CB057D"/>
    <w:rsid w:val="00CB05F4"/>
    <w:rsid w:val="00CB0699"/>
    <w:rsid w:val="00CB0742"/>
    <w:rsid w:val="00CB0775"/>
    <w:rsid w:val="00CB081F"/>
    <w:rsid w:val="00CB08C4"/>
    <w:rsid w:val="00CB0964"/>
    <w:rsid w:val="00CB0977"/>
    <w:rsid w:val="00CB0A16"/>
    <w:rsid w:val="00CB0A3B"/>
    <w:rsid w:val="00CB0ABF"/>
    <w:rsid w:val="00CB0AE0"/>
    <w:rsid w:val="00CB0AF2"/>
    <w:rsid w:val="00CB0B90"/>
    <w:rsid w:val="00CB0BD9"/>
    <w:rsid w:val="00CB0D9F"/>
    <w:rsid w:val="00CB0DB3"/>
    <w:rsid w:val="00CB0FBC"/>
    <w:rsid w:val="00CB104F"/>
    <w:rsid w:val="00CB1201"/>
    <w:rsid w:val="00CB12C8"/>
    <w:rsid w:val="00CB12F3"/>
    <w:rsid w:val="00CB1355"/>
    <w:rsid w:val="00CB13B3"/>
    <w:rsid w:val="00CB14DF"/>
    <w:rsid w:val="00CB14E9"/>
    <w:rsid w:val="00CB1688"/>
    <w:rsid w:val="00CB17F9"/>
    <w:rsid w:val="00CB1800"/>
    <w:rsid w:val="00CB1898"/>
    <w:rsid w:val="00CB18C9"/>
    <w:rsid w:val="00CB1992"/>
    <w:rsid w:val="00CB1A95"/>
    <w:rsid w:val="00CB1B26"/>
    <w:rsid w:val="00CB1B3A"/>
    <w:rsid w:val="00CB1B77"/>
    <w:rsid w:val="00CB1C01"/>
    <w:rsid w:val="00CB1C04"/>
    <w:rsid w:val="00CB1C46"/>
    <w:rsid w:val="00CB1CA2"/>
    <w:rsid w:val="00CB1CDA"/>
    <w:rsid w:val="00CB1D8C"/>
    <w:rsid w:val="00CB1EAA"/>
    <w:rsid w:val="00CB1F0C"/>
    <w:rsid w:val="00CB1F4C"/>
    <w:rsid w:val="00CB217E"/>
    <w:rsid w:val="00CB219D"/>
    <w:rsid w:val="00CB21CC"/>
    <w:rsid w:val="00CB21E5"/>
    <w:rsid w:val="00CB22D4"/>
    <w:rsid w:val="00CB2374"/>
    <w:rsid w:val="00CB23C1"/>
    <w:rsid w:val="00CB23CF"/>
    <w:rsid w:val="00CB242E"/>
    <w:rsid w:val="00CB25C9"/>
    <w:rsid w:val="00CB26E1"/>
    <w:rsid w:val="00CB271A"/>
    <w:rsid w:val="00CB27B3"/>
    <w:rsid w:val="00CB2840"/>
    <w:rsid w:val="00CB28AC"/>
    <w:rsid w:val="00CB28B7"/>
    <w:rsid w:val="00CB28E8"/>
    <w:rsid w:val="00CB28E9"/>
    <w:rsid w:val="00CB28F9"/>
    <w:rsid w:val="00CB2957"/>
    <w:rsid w:val="00CB2A1B"/>
    <w:rsid w:val="00CB2A92"/>
    <w:rsid w:val="00CB2B0C"/>
    <w:rsid w:val="00CB2CB8"/>
    <w:rsid w:val="00CB2D48"/>
    <w:rsid w:val="00CB2F14"/>
    <w:rsid w:val="00CB2F77"/>
    <w:rsid w:val="00CB301D"/>
    <w:rsid w:val="00CB304E"/>
    <w:rsid w:val="00CB3052"/>
    <w:rsid w:val="00CB30CC"/>
    <w:rsid w:val="00CB31D4"/>
    <w:rsid w:val="00CB31E2"/>
    <w:rsid w:val="00CB331A"/>
    <w:rsid w:val="00CB3353"/>
    <w:rsid w:val="00CB335B"/>
    <w:rsid w:val="00CB3362"/>
    <w:rsid w:val="00CB3467"/>
    <w:rsid w:val="00CB34A9"/>
    <w:rsid w:val="00CB35C2"/>
    <w:rsid w:val="00CB35F9"/>
    <w:rsid w:val="00CB3700"/>
    <w:rsid w:val="00CB370D"/>
    <w:rsid w:val="00CB37B3"/>
    <w:rsid w:val="00CB3801"/>
    <w:rsid w:val="00CB3863"/>
    <w:rsid w:val="00CB388B"/>
    <w:rsid w:val="00CB38C9"/>
    <w:rsid w:val="00CB38DB"/>
    <w:rsid w:val="00CB3926"/>
    <w:rsid w:val="00CB3A28"/>
    <w:rsid w:val="00CB3ACE"/>
    <w:rsid w:val="00CB3B42"/>
    <w:rsid w:val="00CB3C3D"/>
    <w:rsid w:val="00CB3D06"/>
    <w:rsid w:val="00CB3D8F"/>
    <w:rsid w:val="00CB3E4D"/>
    <w:rsid w:val="00CB3F14"/>
    <w:rsid w:val="00CB4088"/>
    <w:rsid w:val="00CB4092"/>
    <w:rsid w:val="00CB4183"/>
    <w:rsid w:val="00CB41AE"/>
    <w:rsid w:val="00CB41BE"/>
    <w:rsid w:val="00CB4279"/>
    <w:rsid w:val="00CB4287"/>
    <w:rsid w:val="00CB4296"/>
    <w:rsid w:val="00CB42AA"/>
    <w:rsid w:val="00CB437B"/>
    <w:rsid w:val="00CB447B"/>
    <w:rsid w:val="00CB469D"/>
    <w:rsid w:val="00CB46C9"/>
    <w:rsid w:val="00CB46E8"/>
    <w:rsid w:val="00CB47F1"/>
    <w:rsid w:val="00CB4809"/>
    <w:rsid w:val="00CB4836"/>
    <w:rsid w:val="00CB49BC"/>
    <w:rsid w:val="00CB4A83"/>
    <w:rsid w:val="00CB4BE8"/>
    <w:rsid w:val="00CB4C04"/>
    <w:rsid w:val="00CB4C2D"/>
    <w:rsid w:val="00CB4C44"/>
    <w:rsid w:val="00CB4C59"/>
    <w:rsid w:val="00CB4C5D"/>
    <w:rsid w:val="00CB4D69"/>
    <w:rsid w:val="00CB4D71"/>
    <w:rsid w:val="00CB4E75"/>
    <w:rsid w:val="00CB4F2E"/>
    <w:rsid w:val="00CB4F8C"/>
    <w:rsid w:val="00CB5020"/>
    <w:rsid w:val="00CB505E"/>
    <w:rsid w:val="00CB5205"/>
    <w:rsid w:val="00CB520F"/>
    <w:rsid w:val="00CB52F0"/>
    <w:rsid w:val="00CB5307"/>
    <w:rsid w:val="00CB5431"/>
    <w:rsid w:val="00CB5456"/>
    <w:rsid w:val="00CB549E"/>
    <w:rsid w:val="00CB54B1"/>
    <w:rsid w:val="00CB55C3"/>
    <w:rsid w:val="00CB5629"/>
    <w:rsid w:val="00CB5692"/>
    <w:rsid w:val="00CB5778"/>
    <w:rsid w:val="00CB58A9"/>
    <w:rsid w:val="00CB5A91"/>
    <w:rsid w:val="00CB5BB8"/>
    <w:rsid w:val="00CB5BE0"/>
    <w:rsid w:val="00CB5C24"/>
    <w:rsid w:val="00CB5CD7"/>
    <w:rsid w:val="00CB5D27"/>
    <w:rsid w:val="00CB5F07"/>
    <w:rsid w:val="00CB5F9C"/>
    <w:rsid w:val="00CB5F9D"/>
    <w:rsid w:val="00CB5FB2"/>
    <w:rsid w:val="00CB6060"/>
    <w:rsid w:val="00CB6088"/>
    <w:rsid w:val="00CB608E"/>
    <w:rsid w:val="00CB6098"/>
    <w:rsid w:val="00CB60A4"/>
    <w:rsid w:val="00CB614B"/>
    <w:rsid w:val="00CB61C4"/>
    <w:rsid w:val="00CB61D6"/>
    <w:rsid w:val="00CB62FA"/>
    <w:rsid w:val="00CB6333"/>
    <w:rsid w:val="00CB63A4"/>
    <w:rsid w:val="00CB63B6"/>
    <w:rsid w:val="00CB6552"/>
    <w:rsid w:val="00CB65E6"/>
    <w:rsid w:val="00CB65FB"/>
    <w:rsid w:val="00CB66C7"/>
    <w:rsid w:val="00CB670E"/>
    <w:rsid w:val="00CB68AF"/>
    <w:rsid w:val="00CB68D8"/>
    <w:rsid w:val="00CB6915"/>
    <w:rsid w:val="00CB6A20"/>
    <w:rsid w:val="00CB6A94"/>
    <w:rsid w:val="00CB6E2C"/>
    <w:rsid w:val="00CB6E3A"/>
    <w:rsid w:val="00CB6F37"/>
    <w:rsid w:val="00CB707C"/>
    <w:rsid w:val="00CB718B"/>
    <w:rsid w:val="00CB72A8"/>
    <w:rsid w:val="00CB72BB"/>
    <w:rsid w:val="00CB72FC"/>
    <w:rsid w:val="00CB74B5"/>
    <w:rsid w:val="00CB7508"/>
    <w:rsid w:val="00CB7598"/>
    <w:rsid w:val="00CB7617"/>
    <w:rsid w:val="00CB76C9"/>
    <w:rsid w:val="00CB77C4"/>
    <w:rsid w:val="00CB78BB"/>
    <w:rsid w:val="00CB7918"/>
    <w:rsid w:val="00CB792F"/>
    <w:rsid w:val="00CB7991"/>
    <w:rsid w:val="00CB79D6"/>
    <w:rsid w:val="00CB7C31"/>
    <w:rsid w:val="00CB7C9B"/>
    <w:rsid w:val="00CB7DC2"/>
    <w:rsid w:val="00CB7EDE"/>
    <w:rsid w:val="00CB7EE5"/>
    <w:rsid w:val="00CB7EEA"/>
    <w:rsid w:val="00CB7F0B"/>
    <w:rsid w:val="00CB7F50"/>
    <w:rsid w:val="00CBE69A"/>
    <w:rsid w:val="00CC00D1"/>
    <w:rsid w:val="00CC01D6"/>
    <w:rsid w:val="00CC0240"/>
    <w:rsid w:val="00CC0357"/>
    <w:rsid w:val="00CC0453"/>
    <w:rsid w:val="00CC0495"/>
    <w:rsid w:val="00CC04D0"/>
    <w:rsid w:val="00CC0546"/>
    <w:rsid w:val="00CC06A6"/>
    <w:rsid w:val="00CC0750"/>
    <w:rsid w:val="00CC0923"/>
    <w:rsid w:val="00CC09A2"/>
    <w:rsid w:val="00CC09FD"/>
    <w:rsid w:val="00CC0A0A"/>
    <w:rsid w:val="00CC0AB3"/>
    <w:rsid w:val="00CC0AC2"/>
    <w:rsid w:val="00CC0AD6"/>
    <w:rsid w:val="00CC0C7D"/>
    <w:rsid w:val="00CC0C98"/>
    <w:rsid w:val="00CC0CA9"/>
    <w:rsid w:val="00CC0CE7"/>
    <w:rsid w:val="00CC0D70"/>
    <w:rsid w:val="00CC0DF0"/>
    <w:rsid w:val="00CC0DFA"/>
    <w:rsid w:val="00CC0F5A"/>
    <w:rsid w:val="00CC0F71"/>
    <w:rsid w:val="00CC10B7"/>
    <w:rsid w:val="00CC10E3"/>
    <w:rsid w:val="00CC1173"/>
    <w:rsid w:val="00CC1248"/>
    <w:rsid w:val="00CC1715"/>
    <w:rsid w:val="00CC17C1"/>
    <w:rsid w:val="00CC184C"/>
    <w:rsid w:val="00CC1898"/>
    <w:rsid w:val="00CC1934"/>
    <w:rsid w:val="00CC1AE8"/>
    <w:rsid w:val="00CC1B0E"/>
    <w:rsid w:val="00CC1CF4"/>
    <w:rsid w:val="00CC1D04"/>
    <w:rsid w:val="00CC1D62"/>
    <w:rsid w:val="00CC1D7C"/>
    <w:rsid w:val="00CC1E29"/>
    <w:rsid w:val="00CC1EAF"/>
    <w:rsid w:val="00CC1F1C"/>
    <w:rsid w:val="00CC207E"/>
    <w:rsid w:val="00CC20ED"/>
    <w:rsid w:val="00CC2116"/>
    <w:rsid w:val="00CC211E"/>
    <w:rsid w:val="00CC2171"/>
    <w:rsid w:val="00CC218A"/>
    <w:rsid w:val="00CC2214"/>
    <w:rsid w:val="00CC2223"/>
    <w:rsid w:val="00CC2293"/>
    <w:rsid w:val="00CC22A1"/>
    <w:rsid w:val="00CC2338"/>
    <w:rsid w:val="00CC2428"/>
    <w:rsid w:val="00CC2439"/>
    <w:rsid w:val="00CC24D4"/>
    <w:rsid w:val="00CC24DC"/>
    <w:rsid w:val="00CC253D"/>
    <w:rsid w:val="00CC253F"/>
    <w:rsid w:val="00CC260F"/>
    <w:rsid w:val="00CC2690"/>
    <w:rsid w:val="00CC278B"/>
    <w:rsid w:val="00CC27D6"/>
    <w:rsid w:val="00CC2839"/>
    <w:rsid w:val="00CC297B"/>
    <w:rsid w:val="00CC29B0"/>
    <w:rsid w:val="00CC29F6"/>
    <w:rsid w:val="00CC2ADB"/>
    <w:rsid w:val="00CC2B26"/>
    <w:rsid w:val="00CC2CC0"/>
    <w:rsid w:val="00CC2F01"/>
    <w:rsid w:val="00CC2F57"/>
    <w:rsid w:val="00CC2FA8"/>
    <w:rsid w:val="00CC31C9"/>
    <w:rsid w:val="00CC31F3"/>
    <w:rsid w:val="00CC33B9"/>
    <w:rsid w:val="00CC34DA"/>
    <w:rsid w:val="00CC36EB"/>
    <w:rsid w:val="00CC378E"/>
    <w:rsid w:val="00CC3894"/>
    <w:rsid w:val="00CC38AC"/>
    <w:rsid w:val="00CC38C8"/>
    <w:rsid w:val="00CC38F5"/>
    <w:rsid w:val="00CC38F8"/>
    <w:rsid w:val="00CC39B4"/>
    <w:rsid w:val="00CC39EF"/>
    <w:rsid w:val="00CC3A8E"/>
    <w:rsid w:val="00CC3B3F"/>
    <w:rsid w:val="00CC3B5C"/>
    <w:rsid w:val="00CC3C05"/>
    <w:rsid w:val="00CC3CC3"/>
    <w:rsid w:val="00CC3E9F"/>
    <w:rsid w:val="00CC3F14"/>
    <w:rsid w:val="00CC4085"/>
    <w:rsid w:val="00CC4087"/>
    <w:rsid w:val="00CC413E"/>
    <w:rsid w:val="00CC416A"/>
    <w:rsid w:val="00CC41AF"/>
    <w:rsid w:val="00CC41D3"/>
    <w:rsid w:val="00CC4208"/>
    <w:rsid w:val="00CC420C"/>
    <w:rsid w:val="00CC426C"/>
    <w:rsid w:val="00CC42E6"/>
    <w:rsid w:val="00CC43AE"/>
    <w:rsid w:val="00CC4407"/>
    <w:rsid w:val="00CC443A"/>
    <w:rsid w:val="00CC459E"/>
    <w:rsid w:val="00CC45CE"/>
    <w:rsid w:val="00CC4637"/>
    <w:rsid w:val="00CC468E"/>
    <w:rsid w:val="00CC470F"/>
    <w:rsid w:val="00CC472F"/>
    <w:rsid w:val="00CC4799"/>
    <w:rsid w:val="00CC47BF"/>
    <w:rsid w:val="00CC4811"/>
    <w:rsid w:val="00CC485E"/>
    <w:rsid w:val="00CC488D"/>
    <w:rsid w:val="00CC4D48"/>
    <w:rsid w:val="00CC4DFC"/>
    <w:rsid w:val="00CC4E9E"/>
    <w:rsid w:val="00CC4EA1"/>
    <w:rsid w:val="00CC4EC6"/>
    <w:rsid w:val="00CC5065"/>
    <w:rsid w:val="00CC50FC"/>
    <w:rsid w:val="00CC516A"/>
    <w:rsid w:val="00CC5174"/>
    <w:rsid w:val="00CC5205"/>
    <w:rsid w:val="00CC5241"/>
    <w:rsid w:val="00CC525D"/>
    <w:rsid w:val="00CC52CE"/>
    <w:rsid w:val="00CC53E9"/>
    <w:rsid w:val="00CC5488"/>
    <w:rsid w:val="00CC559D"/>
    <w:rsid w:val="00CC5664"/>
    <w:rsid w:val="00CC5741"/>
    <w:rsid w:val="00CC5742"/>
    <w:rsid w:val="00CC582C"/>
    <w:rsid w:val="00CC59BE"/>
    <w:rsid w:val="00CC59C8"/>
    <w:rsid w:val="00CC5B40"/>
    <w:rsid w:val="00CC5B7D"/>
    <w:rsid w:val="00CC5BB2"/>
    <w:rsid w:val="00CC5C62"/>
    <w:rsid w:val="00CC5CA0"/>
    <w:rsid w:val="00CC5CE0"/>
    <w:rsid w:val="00CC5D34"/>
    <w:rsid w:val="00CC5E72"/>
    <w:rsid w:val="00CC5E73"/>
    <w:rsid w:val="00CC5E7F"/>
    <w:rsid w:val="00CC5F8E"/>
    <w:rsid w:val="00CC6003"/>
    <w:rsid w:val="00CC60F9"/>
    <w:rsid w:val="00CC6172"/>
    <w:rsid w:val="00CC618C"/>
    <w:rsid w:val="00CC6239"/>
    <w:rsid w:val="00CC628F"/>
    <w:rsid w:val="00CC63DF"/>
    <w:rsid w:val="00CC6403"/>
    <w:rsid w:val="00CC640E"/>
    <w:rsid w:val="00CC64CB"/>
    <w:rsid w:val="00CC65AE"/>
    <w:rsid w:val="00CC6707"/>
    <w:rsid w:val="00CC6716"/>
    <w:rsid w:val="00CC6740"/>
    <w:rsid w:val="00CC6802"/>
    <w:rsid w:val="00CC689F"/>
    <w:rsid w:val="00CC6931"/>
    <w:rsid w:val="00CC6937"/>
    <w:rsid w:val="00CC6A13"/>
    <w:rsid w:val="00CC6A79"/>
    <w:rsid w:val="00CC6ACC"/>
    <w:rsid w:val="00CC6BBD"/>
    <w:rsid w:val="00CC6C5D"/>
    <w:rsid w:val="00CC6C66"/>
    <w:rsid w:val="00CC6D9D"/>
    <w:rsid w:val="00CC6DDF"/>
    <w:rsid w:val="00CC6E90"/>
    <w:rsid w:val="00CC6EB6"/>
    <w:rsid w:val="00CC6ECE"/>
    <w:rsid w:val="00CC6F41"/>
    <w:rsid w:val="00CC6F65"/>
    <w:rsid w:val="00CC6FEE"/>
    <w:rsid w:val="00CC6FEF"/>
    <w:rsid w:val="00CC70EF"/>
    <w:rsid w:val="00CC71B4"/>
    <w:rsid w:val="00CC7253"/>
    <w:rsid w:val="00CC72E1"/>
    <w:rsid w:val="00CC737B"/>
    <w:rsid w:val="00CC7391"/>
    <w:rsid w:val="00CC7399"/>
    <w:rsid w:val="00CC73F1"/>
    <w:rsid w:val="00CC742B"/>
    <w:rsid w:val="00CC748F"/>
    <w:rsid w:val="00CC75A0"/>
    <w:rsid w:val="00CC75AB"/>
    <w:rsid w:val="00CC7717"/>
    <w:rsid w:val="00CC7733"/>
    <w:rsid w:val="00CC7986"/>
    <w:rsid w:val="00CC79EE"/>
    <w:rsid w:val="00CC7A41"/>
    <w:rsid w:val="00CC7A51"/>
    <w:rsid w:val="00CC7A6F"/>
    <w:rsid w:val="00CC7C03"/>
    <w:rsid w:val="00CC7D44"/>
    <w:rsid w:val="00CC7D7A"/>
    <w:rsid w:val="00CC7E33"/>
    <w:rsid w:val="00CC7EA9"/>
    <w:rsid w:val="00CC7F66"/>
    <w:rsid w:val="00CC7FBB"/>
    <w:rsid w:val="00CD012C"/>
    <w:rsid w:val="00CD01C4"/>
    <w:rsid w:val="00CD02B8"/>
    <w:rsid w:val="00CD0371"/>
    <w:rsid w:val="00CD0416"/>
    <w:rsid w:val="00CD047D"/>
    <w:rsid w:val="00CD0530"/>
    <w:rsid w:val="00CD05A3"/>
    <w:rsid w:val="00CD06EB"/>
    <w:rsid w:val="00CD09E9"/>
    <w:rsid w:val="00CD0A04"/>
    <w:rsid w:val="00CD0A46"/>
    <w:rsid w:val="00CD0B42"/>
    <w:rsid w:val="00CD0B4D"/>
    <w:rsid w:val="00CD0BED"/>
    <w:rsid w:val="00CD0C13"/>
    <w:rsid w:val="00CD0CCD"/>
    <w:rsid w:val="00CD0CF4"/>
    <w:rsid w:val="00CD0EB9"/>
    <w:rsid w:val="00CD0EFB"/>
    <w:rsid w:val="00CD0F78"/>
    <w:rsid w:val="00CD0F9B"/>
    <w:rsid w:val="00CD1004"/>
    <w:rsid w:val="00CD112C"/>
    <w:rsid w:val="00CD1152"/>
    <w:rsid w:val="00CD11D1"/>
    <w:rsid w:val="00CD1487"/>
    <w:rsid w:val="00CD16C2"/>
    <w:rsid w:val="00CD16D9"/>
    <w:rsid w:val="00CD1725"/>
    <w:rsid w:val="00CD188F"/>
    <w:rsid w:val="00CD19B8"/>
    <w:rsid w:val="00CD1A34"/>
    <w:rsid w:val="00CD1BDA"/>
    <w:rsid w:val="00CD1BF0"/>
    <w:rsid w:val="00CD1C6F"/>
    <w:rsid w:val="00CD1D4B"/>
    <w:rsid w:val="00CD1D7F"/>
    <w:rsid w:val="00CD1DDC"/>
    <w:rsid w:val="00CD1EFE"/>
    <w:rsid w:val="00CD1FD4"/>
    <w:rsid w:val="00CD2097"/>
    <w:rsid w:val="00CD20CA"/>
    <w:rsid w:val="00CD20F9"/>
    <w:rsid w:val="00CD21BA"/>
    <w:rsid w:val="00CD21E0"/>
    <w:rsid w:val="00CD21F8"/>
    <w:rsid w:val="00CD22DA"/>
    <w:rsid w:val="00CD2385"/>
    <w:rsid w:val="00CD24B6"/>
    <w:rsid w:val="00CD24CD"/>
    <w:rsid w:val="00CD251B"/>
    <w:rsid w:val="00CD2552"/>
    <w:rsid w:val="00CD263D"/>
    <w:rsid w:val="00CD2681"/>
    <w:rsid w:val="00CD269C"/>
    <w:rsid w:val="00CD26D3"/>
    <w:rsid w:val="00CD27CE"/>
    <w:rsid w:val="00CD27DE"/>
    <w:rsid w:val="00CD27E8"/>
    <w:rsid w:val="00CD2852"/>
    <w:rsid w:val="00CD2996"/>
    <w:rsid w:val="00CD29D1"/>
    <w:rsid w:val="00CD29F5"/>
    <w:rsid w:val="00CD2AF9"/>
    <w:rsid w:val="00CD2BD3"/>
    <w:rsid w:val="00CD2CB6"/>
    <w:rsid w:val="00CD2D26"/>
    <w:rsid w:val="00CD2DC8"/>
    <w:rsid w:val="00CD2E71"/>
    <w:rsid w:val="00CD2F90"/>
    <w:rsid w:val="00CD30B0"/>
    <w:rsid w:val="00CD3180"/>
    <w:rsid w:val="00CD3215"/>
    <w:rsid w:val="00CD325B"/>
    <w:rsid w:val="00CD332C"/>
    <w:rsid w:val="00CD33A9"/>
    <w:rsid w:val="00CD33B1"/>
    <w:rsid w:val="00CD3417"/>
    <w:rsid w:val="00CD3467"/>
    <w:rsid w:val="00CD3586"/>
    <w:rsid w:val="00CD3605"/>
    <w:rsid w:val="00CD36D8"/>
    <w:rsid w:val="00CD3763"/>
    <w:rsid w:val="00CD38F9"/>
    <w:rsid w:val="00CD3986"/>
    <w:rsid w:val="00CD3B78"/>
    <w:rsid w:val="00CD3BD8"/>
    <w:rsid w:val="00CD3BFE"/>
    <w:rsid w:val="00CD3C05"/>
    <w:rsid w:val="00CD3DA8"/>
    <w:rsid w:val="00CD3E71"/>
    <w:rsid w:val="00CD3F14"/>
    <w:rsid w:val="00CD3FE9"/>
    <w:rsid w:val="00CD4068"/>
    <w:rsid w:val="00CD40CD"/>
    <w:rsid w:val="00CD4275"/>
    <w:rsid w:val="00CD4277"/>
    <w:rsid w:val="00CD42C7"/>
    <w:rsid w:val="00CD44FA"/>
    <w:rsid w:val="00CD45C0"/>
    <w:rsid w:val="00CD45CE"/>
    <w:rsid w:val="00CD45D9"/>
    <w:rsid w:val="00CD45E8"/>
    <w:rsid w:val="00CD4A8C"/>
    <w:rsid w:val="00CD4BBC"/>
    <w:rsid w:val="00CD4BFD"/>
    <w:rsid w:val="00CD4CAF"/>
    <w:rsid w:val="00CD4DAE"/>
    <w:rsid w:val="00CD4FDC"/>
    <w:rsid w:val="00CD5029"/>
    <w:rsid w:val="00CD515D"/>
    <w:rsid w:val="00CD5294"/>
    <w:rsid w:val="00CD52DA"/>
    <w:rsid w:val="00CD53F2"/>
    <w:rsid w:val="00CD5474"/>
    <w:rsid w:val="00CD5486"/>
    <w:rsid w:val="00CD5495"/>
    <w:rsid w:val="00CD551B"/>
    <w:rsid w:val="00CD5532"/>
    <w:rsid w:val="00CD560E"/>
    <w:rsid w:val="00CD5661"/>
    <w:rsid w:val="00CD5677"/>
    <w:rsid w:val="00CD5721"/>
    <w:rsid w:val="00CD57F1"/>
    <w:rsid w:val="00CD58B9"/>
    <w:rsid w:val="00CD5A1B"/>
    <w:rsid w:val="00CD5AC2"/>
    <w:rsid w:val="00CD5C26"/>
    <w:rsid w:val="00CD5C37"/>
    <w:rsid w:val="00CD5D39"/>
    <w:rsid w:val="00CD5D42"/>
    <w:rsid w:val="00CD5DBE"/>
    <w:rsid w:val="00CD5E16"/>
    <w:rsid w:val="00CD5EBA"/>
    <w:rsid w:val="00CD5F1C"/>
    <w:rsid w:val="00CD6072"/>
    <w:rsid w:val="00CD6143"/>
    <w:rsid w:val="00CD6276"/>
    <w:rsid w:val="00CD63A4"/>
    <w:rsid w:val="00CD63A6"/>
    <w:rsid w:val="00CD63E1"/>
    <w:rsid w:val="00CD6403"/>
    <w:rsid w:val="00CD6415"/>
    <w:rsid w:val="00CD6424"/>
    <w:rsid w:val="00CD654B"/>
    <w:rsid w:val="00CD666F"/>
    <w:rsid w:val="00CD6726"/>
    <w:rsid w:val="00CD68D2"/>
    <w:rsid w:val="00CD6982"/>
    <w:rsid w:val="00CD6992"/>
    <w:rsid w:val="00CD69F7"/>
    <w:rsid w:val="00CD6A7A"/>
    <w:rsid w:val="00CD6C49"/>
    <w:rsid w:val="00CD6C85"/>
    <w:rsid w:val="00CD6E70"/>
    <w:rsid w:val="00CD6FC9"/>
    <w:rsid w:val="00CD6FCA"/>
    <w:rsid w:val="00CD709F"/>
    <w:rsid w:val="00CD70CB"/>
    <w:rsid w:val="00CD7107"/>
    <w:rsid w:val="00CD7193"/>
    <w:rsid w:val="00CD72E7"/>
    <w:rsid w:val="00CD7332"/>
    <w:rsid w:val="00CD73E4"/>
    <w:rsid w:val="00CD7448"/>
    <w:rsid w:val="00CD759E"/>
    <w:rsid w:val="00CD7704"/>
    <w:rsid w:val="00CD7740"/>
    <w:rsid w:val="00CD7804"/>
    <w:rsid w:val="00CD78B9"/>
    <w:rsid w:val="00CD793E"/>
    <w:rsid w:val="00CD7A09"/>
    <w:rsid w:val="00CD7A4F"/>
    <w:rsid w:val="00CD7A88"/>
    <w:rsid w:val="00CD7BF5"/>
    <w:rsid w:val="00CD7C17"/>
    <w:rsid w:val="00CD7D06"/>
    <w:rsid w:val="00CD7D1D"/>
    <w:rsid w:val="00CD7E05"/>
    <w:rsid w:val="00CD7E44"/>
    <w:rsid w:val="00CD7F23"/>
    <w:rsid w:val="00CD7FEB"/>
    <w:rsid w:val="00CE0076"/>
    <w:rsid w:val="00CE00A6"/>
    <w:rsid w:val="00CE01BA"/>
    <w:rsid w:val="00CE01E4"/>
    <w:rsid w:val="00CE02CB"/>
    <w:rsid w:val="00CE0302"/>
    <w:rsid w:val="00CE03F7"/>
    <w:rsid w:val="00CE043F"/>
    <w:rsid w:val="00CE0446"/>
    <w:rsid w:val="00CE0499"/>
    <w:rsid w:val="00CE04B0"/>
    <w:rsid w:val="00CE04CE"/>
    <w:rsid w:val="00CE0747"/>
    <w:rsid w:val="00CE0793"/>
    <w:rsid w:val="00CE0873"/>
    <w:rsid w:val="00CE088F"/>
    <w:rsid w:val="00CE08A4"/>
    <w:rsid w:val="00CE08A9"/>
    <w:rsid w:val="00CE097B"/>
    <w:rsid w:val="00CE097E"/>
    <w:rsid w:val="00CE0B67"/>
    <w:rsid w:val="00CE0BB2"/>
    <w:rsid w:val="00CE0BE9"/>
    <w:rsid w:val="00CE0C0C"/>
    <w:rsid w:val="00CE0C4A"/>
    <w:rsid w:val="00CE0FAE"/>
    <w:rsid w:val="00CE0FC3"/>
    <w:rsid w:val="00CE0FDA"/>
    <w:rsid w:val="00CE1097"/>
    <w:rsid w:val="00CE11D2"/>
    <w:rsid w:val="00CE11D8"/>
    <w:rsid w:val="00CE11E5"/>
    <w:rsid w:val="00CE131B"/>
    <w:rsid w:val="00CE1335"/>
    <w:rsid w:val="00CE1445"/>
    <w:rsid w:val="00CE145D"/>
    <w:rsid w:val="00CE14ED"/>
    <w:rsid w:val="00CE153D"/>
    <w:rsid w:val="00CE15CB"/>
    <w:rsid w:val="00CE15EB"/>
    <w:rsid w:val="00CE169B"/>
    <w:rsid w:val="00CE1710"/>
    <w:rsid w:val="00CE1711"/>
    <w:rsid w:val="00CE1752"/>
    <w:rsid w:val="00CE1756"/>
    <w:rsid w:val="00CE1761"/>
    <w:rsid w:val="00CE183C"/>
    <w:rsid w:val="00CE1878"/>
    <w:rsid w:val="00CE195C"/>
    <w:rsid w:val="00CE1B10"/>
    <w:rsid w:val="00CE1BEE"/>
    <w:rsid w:val="00CE1C23"/>
    <w:rsid w:val="00CE1C93"/>
    <w:rsid w:val="00CE1D5A"/>
    <w:rsid w:val="00CE1DC7"/>
    <w:rsid w:val="00CE1E14"/>
    <w:rsid w:val="00CE1F25"/>
    <w:rsid w:val="00CE202C"/>
    <w:rsid w:val="00CE2045"/>
    <w:rsid w:val="00CE20E2"/>
    <w:rsid w:val="00CE2170"/>
    <w:rsid w:val="00CE21A6"/>
    <w:rsid w:val="00CE223A"/>
    <w:rsid w:val="00CE223E"/>
    <w:rsid w:val="00CE2248"/>
    <w:rsid w:val="00CE22FD"/>
    <w:rsid w:val="00CE2316"/>
    <w:rsid w:val="00CE2336"/>
    <w:rsid w:val="00CE26D5"/>
    <w:rsid w:val="00CE2707"/>
    <w:rsid w:val="00CE276A"/>
    <w:rsid w:val="00CE282F"/>
    <w:rsid w:val="00CE2936"/>
    <w:rsid w:val="00CE298D"/>
    <w:rsid w:val="00CE2A3D"/>
    <w:rsid w:val="00CE2B8F"/>
    <w:rsid w:val="00CE2C51"/>
    <w:rsid w:val="00CE2CB9"/>
    <w:rsid w:val="00CE2CF2"/>
    <w:rsid w:val="00CE2D07"/>
    <w:rsid w:val="00CE2E06"/>
    <w:rsid w:val="00CE2E0E"/>
    <w:rsid w:val="00CE2E80"/>
    <w:rsid w:val="00CE2EB0"/>
    <w:rsid w:val="00CE2F73"/>
    <w:rsid w:val="00CE2F8B"/>
    <w:rsid w:val="00CE3108"/>
    <w:rsid w:val="00CE31A1"/>
    <w:rsid w:val="00CE31CB"/>
    <w:rsid w:val="00CE33B5"/>
    <w:rsid w:val="00CE3457"/>
    <w:rsid w:val="00CE3560"/>
    <w:rsid w:val="00CE357B"/>
    <w:rsid w:val="00CE36EE"/>
    <w:rsid w:val="00CE3701"/>
    <w:rsid w:val="00CE3725"/>
    <w:rsid w:val="00CE37A3"/>
    <w:rsid w:val="00CE37B4"/>
    <w:rsid w:val="00CE37E6"/>
    <w:rsid w:val="00CE386D"/>
    <w:rsid w:val="00CE38A7"/>
    <w:rsid w:val="00CE38CD"/>
    <w:rsid w:val="00CE38D9"/>
    <w:rsid w:val="00CE3A1E"/>
    <w:rsid w:val="00CE3B34"/>
    <w:rsid w:val="00CE3B40"/>
    <w:rsid w:val="00CE3D33"/>
    <w:rsid w:val="00CE3F00"/>
    <w:rsid w:val="00CE414C"/>
    <w:rsid w:val="00CE41E1"/>
    <w:rsid w:val="00CE42B7"/>
    <w:rsid w:val="00CE4380"/>
    <w:rsid w:val="00CE4392"/>
    <w:rsid w:val="00CE43D7"/>
    <w:rsid w:val="00CE43DA"/>
    <w:rsid w:val="00CE4471"/>
    <w:rsid w:val="00CE44BF"/>
    <w:rsid w:val="00CE44CB"/>
    <w:rsid w:val="00CE45C5"/>
    <w:rsid w:val="00CE4692"/>
    <w:rsid w:val="00CE46F7"/>
    <w:rsid w:val="00CE4720"/>
    <w:rsid w:val="00CE4737"/>
    <w:rsid w:val="00CE4830"/>
    <w:rsid w:val="00CE48BE"/>
    <w:rsid w:val="00CE48C5"/>
    <w:rsid w:val="00CE48E3"/>
    <w:rsid w:val="00CE48E5"/>
    <w:rsid w:val="00CE4AA6"/>
    <w:rsid w:val="00CE4ADA"/>
    <w:rsid w:val="00CE4B42"/>
    <w:rsid w:val="00CE4B9E"/>
    <w:rsid w:val="00CE4BEB"/>
    <w:rsid w:val="00CE4C12"/>
    <w:rsid w:val="00CE4C44"/>
    <w:rsid w:val="00CE4CF6"/>
    <w:rsid w:val="00CE4D0D"/>
    <w:rsid w:val="00CE4DE2"/>
    <w:rsid w:val="00CE4E7A"/>
    <w:rsid w:val="00CE4EAC"/>
    <w:rsid w:val="00CE4EEE"/>
    <w:rsid w:val="00CE4FAB"/>
    <w:rsid w:val="00CE516B"/>
    <w:rsid w:val="00CE51AB"/>
    <w:rsid w:val="00CE5201"/>
    <w:rsid w:val="00CE52E4"/>
    <w:rsid w:val="00CE553D"/>
    <w:rsid w:val="00CE558C"/>
    <w:rsid w:val="00CE563E"/>
    <w:rsid w:val="00CE56BB"/>
    <w:rsid w:val="00CE57AB"/>
    <w:rsid w:val="00CE57D0"/>
    <w:rsid w:val="00CE586E"/>
    <w:rsid w:val="00CE5975"/>
    <w:rsid w:val="00CE5A4E"/>
    <w:rsid w:val="00CE5AA1"/>
    <w:rsid w:val="00CE5AA8"/>
    <w:rsid w:val="00CE5B81"/>
    <w:rsid w:val="00CE5BAA"/>
    <w:rsid w:val="00CE5D07"/>
    <w:rsid w:val="00CE5DE2"/>
    <w:rsid w:val="00CE5E9F"/>
    <w:rsid w:val="00CE5F0A"/>
    <w:rsid w:val="00CE6091"/>
    <w:rsid w:val="00CE6092"/>
    <w:rsid w:val="00CE6263"/>
    <w:rsid w:val="00CE63A8"/>
    <w:rsid w:val="00CE63D5"/>
    <w:rsid w:val="00CE64B8"/>
    <w:rsid w:val="00CE6502"/>
    <w:rsid w:val="00CE663F"/>
    <w:rsid w:val="00CE6818"/>
    <w:rsid w:val="00CE6854"/>
    <w:rsid w:val="00CE68AB"/>
    <w:rsid w:val="00CE68D8"/>
    <w:rsid w:val="00CE6A6A"/>
    <w:rsid w:val="00CE6A9D"/>
    <w:rsid w:val="00CE6AB5"/>
    <w:rsid w:val="00CE6B7B"/>
    <w:rsid w:val="00CE6BA0"/>
    <w:rsid w:val="00CE6BB3"/>
    <w:rsid w:val="00CE6BEA"/>
    <w:rsid w:val="00CE6CA0"/>
    <w:rsid w:val="00CE6CFB"/>
    <w:rsid w:val="00CE6D8F"/>
    <w:rsid w:val="00CE6DB7"/>
    <w:rsid w:val="00CE6DD3"/>
    <w:rsid w:val="00CE6DFB"/>
    <w:rsid w:val="00CE6FC9"/>
    <w:rsid w:val="00CE701F"/>
    <w:rsid w:val="00CE7070"/>
    <w:rsid w:val="00CE7175"/>
    <w:rsid w:val="00CE72F0"/>
    <w:rsid w:val="00CE72F8"/>
    <w:rsid w:val="00CE7455"/>
    <w:rsid w:val="00CE7535"/>
    <w:rsid w:val="00CE75BB"/>
    <w:rsid w:val="00CE762E"/>
    <w:rsid w:val="00CE7749"/>
    <w:rsid w:val="00CE785F"/>
    <w:rsid w:val="00CE7A91"/>
    <w:rsid w:val="00CE7A94"/>
    <w:rsid w:val="00CE7B34"/>
    <w:rsid w:val="00CE7C6E"/>
    <w:rsid w:val="00CE7C85"/>
    <w:rsid w:val="00CE7D24"/>
    <w:rsid w:val="00CE7DC1"/>
    <w:rsid w:val="00CE7ECA"/>
    <w:rsid w:val="00CF0064"/>
    <w:rsid w:val="00CF0175"/>
    <w:rsid w:val="00CF01CB"/>
    <w:rsid w:val="00CF02D0"/>
    <w:rsid w:val="00CF0320"/>
    <w:rsid w:val="00CF039D"/>
    <w:rsid w:val="00CF046A"/>
    <w:rsid w:val="00CF04C2"/>
    <w:rsid w:val="00CF0647"/>
    <w:rsid w:val="00CF064D"/>
    <w:rsid w:val="00CF066A"/>
    <w:rsid w:val="00CF0725"/>
    <w:rsid w:val="00CF07F9"/>
    <w:rsid w:val="00CF091F"/>
    <w:rsid w:val="00CF095A"/>
    <w:rsid w:val="00CF0991"/>
    <w:rsid w:val="00CF0A4B"/>
    <w:rsid w:val="00CF0B1A"/>
    <w:rsid w:val="00CF0B1D"/>
    <w:rsid w:val="00CF0BB5"/>
    <w:rsid w:val="00CF0BC0"/>
    <w:rsid w:val="00CF0BF7"/>
    <w:rsid w:val="00CF0C4F"/>
    <w:rsid w:val="00CF0E75"/>
    <w:rsid w:val="00CF0F84"/>
    <w:rsid w:val="00CF1134"/>
    <w:rsid w:val="00CF115A"/>
    <w:rsid w:val="00CF11F8"/>
    <w:rsid w:val="00CF1208"/>
    <w:rsid w:val="00CF1423"/>
    <w:rsid w:val="00CF14B3"/>
    <w:rsid w:val="00CF14D0"/>
    <w:rsid w:val="00CF14F0"/>
    <w:rsid w:val="00CF158A"/>
    <w:rsid w:val="00CF15BC"/>
    <w:rsid w:val="00CF164A"/>
    <w:rsid w:val="00CF18FD"/>
    <w:rsid w:val="00CF190B"/>
    <w:rsid w:val="00CF1961"/>
    <w:rsid w:val="00CF1A03"/>
    <w:rsid w:val="00CF1B59"/>
    <w:rsid w:val="00CF1B64"/>
    <w:rsid w:val="00CF1BD6"/>
    <w:rsid w:val="00CF1CD8"/>
    <w:rsid w:val="00CF1DEE"/>
    <w:rsid w:val="00CF1E5C"/>
    <w:rsid w:val="00CF1EFB"/>
    <w:rsid w:val="00CF1F5A"/>
    <w:rsid w:val="00CF207B"/>
    <w:rsid w:val="00CF2087"/>
    <w:rsid w:val="00CF21E3"/>
    <w:rsid w:val="00CF234C"/>
    <w:rsid w:val="00CF23E3"/>
    <w:rsid w:val="00CF24D4"/>
    <w:rsid w:val="00CF252B"/>
    <w:rsid w:val="00CF25B6"/>
    <w:rsid w:val="00CF25DD"/>
    <w:rsid w:val="00CF25DF"/>
    <w:rsid w:val="00CF25F0"/>
    <w:rsid w:val="00CF2688"/>
    <w:rsid w:val="00CF2689"/>
    <w:rsid w:val="00CF269C"/>
    <w:rsid w:val="00CF26E2"/>
    <w:rsid w:val="00CF2894"/>
    <w:rsid w:val="00CF28A8"/>
    <w:rsid w:val="00CF2BFC"/>
    <w:rsid w:val="00CF2CC7"/>
    <w:rsid w:val="00CF2D32"/>
    <w:rsid w:val="00CF2D3E"/>
    <w:rsid w:val="00CF2D92"/>
    <w:rsid w:val="00CF2E51"/>
    <w:rsid w:val="00CF2EF9"/>
    <w:rsid w:val="00CF3191"/>
    <w:rsid w:val="00CF31D8"/>
    <w:rsid w:val="00CF323F"/>
    <w:rsid w:val="00CF325C"/>
    <w:rsid w:val="00CF333C"/>
    <w:rsid w:val="00CF3353"/>
    <w:rsid w:val="00CF337B"/>
    <w:rsid w:val="00CF344C"/>
    <w:rsid w:val="00CF348F"/>
    <w:rsid w:val="00CF35D2"/>
    <w:rsid w:val="00CF37F3"/>
    <w:rsid w:val="00CF381A"/>
    <w:rsid w:val="00CF3834"/>
    <w:rsid w:val="00CF3953"/>
    <w:rsid w:val="00CF3A17"/>
    <w:rsid w:val="00CF3AAA"/>
    <w:rsid w:val="00CF3ABF"/>
    <w:rsid w:val="00CF3AC8"/>
    <w:rsid w:val="00CF3ADD"/>
    <w:rsid w:val="00CF3B61"/>
    <w:rsid w:val="00CF3BA0"/>
    <w:rsid w:val="00CF3BA7"/>
    <w:rsid w:val="00CF3E39"/>
    <w:rsid w:val="00CF3F0D"/>
    <w:rsid w:val="00CF3FC8"/>
    <w:rsid w:val="00CF3FC9"/>
    <w:rsid w:val="00CF4034"/>
    <w:rsid w:val="00CF412A"/>
    <w:rsid w:val="00CF415B"/>
    <w:rsid w:val="00CF4193"/>
    <w:rsid w:val="00CF41B0"/>
    <w:rsid w:val="00CF41E0"/>
    <w:rsid w:val="00CF41FA"/>
    <w:rsid w:val="00CF4261"/>
    <w:rsid w:val="00CF44D5"/>
    <w:rsid w:val="00CF45D1"/>
    <w:rsid w:val="00CF4647"/>
    <w:rsid w:val="00CF485F"/>
    <w:rsid w:val="00CF4911"/>
    <w:rsid w:val="00CF4A07"/>
    <w:rsid w:val="00CF4A6C"/>
    <w:rsid w:val="00CF4ACD"/>
    <w:rsid w:val="00CF4BD6"/>
    <w:rsid w:val="00CF4C45"/>
    <w:rsid w:val="00CF4C47"/>
    <w:rsid w:val="00CF4CA0"/>
    <w:rsid w:val="00CF4D48"/>
    <w:rsid w:val="00CF4FFC"/>
    <w:rsid w:val="00CF50CD"/>
    <w:rsid w:val="00CF5122"/>
    <w:rsid w:val="00CF514D"/>
    <w:rsid w:val="00CF51ED"/>
    <w:rsid w:val="00CF529A"/>
    <w:rsid w:val="00CF52CC"/>
    <w:rsid w:val="00CF5339"/>
    <w:rsid w:val="00CF53E6"/>
    <w:rsid w:val="00CF5464"/>
    <w:rsid w:val="00CF55CF"/>
    <w:rsid w:val="00CF5653"/>
    <w:rsid w:val="00CF5669"/>
    <w:rsid w:val="00CF56A9"/>
    <w:rsid w:val="00CF56F8"/>
    <w:rsid w:val="00CF572A"/>
    <w:rsid w:val="00CF58F7"/>
    <w:rsid w:val="00CF5902"/>
    <w:rsid w:val="00CF5A0D"/>
    <w:rsid w:val="00CF5AEB"/>
    <w:rsid w:val="00CF5B6A"/>
    <w:rsid w:val="00CF5BD6"/>
    <w:rsid w:val="00CF5C20"/>
    <w:rsid w:val="00CF5C63"/>
    <w:rsid w:val="00CF5C67"/>
    <w:rsid w:val="00CF5C69"/>
    <w:rsid w:val="00CF5E23"/>
    <w:rsid w:val="00CF5E62"/>
    <w:rsid w:val="00CF5EC7"/>
    <w:rsid w:val="00CF5ECB"/>
    <w:rsid w:val="00CF6000"/>
    <w:rsid w:val="00CF6031"/>
    <w:rsid w:val="00CF603F"/>
    <w:rsid w:val="00CF60B1"/>
    <w:rsid w:val="00CF6121"/>
    <w:rsid w:val="00CF61DF"/>
    <w:rsid w:val="00CF62D8"/>
    <w:rsid w:val="00CF6316"/>
    <w:rsid w:val="00CF641C"/>
    <w:rsid w:val="00CF642A"/>
    <w:rsid w:val="00CF647E"/>
    <w:rsid w:val="00CF65BB"/>
    <w:rsid w:val="00CF6661"/>
    <w:rsid w:val="00CF66BA"/>
    <w:rsid w:val="00CF672C"/>
    <w:rsid w:val="00CF6730"/>
    <w:rsid w:val="00CF6801"/>
    <w:rsid w:val="00CF68A9"/>
    <w:rsid w:val="00CF6927"/>
    <w:rsid w:val="00CF69A8"/>
    <w:rsid w:val="00CF6A42"/>
    <w:rsid w:val="00CF6B59"/>
    <w:rsid w:val="00CF6C41"/>
    <w:rsid w:val="00CF6C5C"/>
    <w:rsid w:val="00CF6C5F"/>
    <w:rsid w:val="00CF6C96"/>
    <w:rsid w:val="00CF6CBF"/>
    <w:rsid w:val="00CF6D4D"/>
    <w:rsid w:val="00CF6D84"/>
    <w:rsid w:val="00CF6DA1"/>
    <w:rsid w:val="00CF6DAD"/>
    <w:rsid w:val="00CF6E34"/>
    <w:rsid w:val="00CF6E66"/>
    <w:rsid w:val="00CF6F55"/>
    <w:rsid w:val="00CF6F7F"/>
    <w:rsid w:val="00CF6F8A"/>
    <w:rsid w:val="00CF6FC8"/>
    <w:rsid w:val="00CF6FE0"/>
    <w:rsid w:val="00CF70E0"/>
    <w:rsid w:val="00CF7107"/>
    <w:rsid w:val="00CF713C"/>
    <w:rsid w:val="00CF71B4"/>
    <w:rsid w:val="00CF722D"/>
    <w:rsid w:val="00CF73DE"/>
    <w:rsid w:val="00CF740F"/>
    <w:rsid w:val="00CF747D"/>
    <w:rsid w:val="00CF752F"/>
    <w:rsid w:val="00CF75D3"/>
    <w:rsid w:val="00CF7615"/>
    <w:rsid w:val="00CF765E"/>
    <w:rsid w:val="00CF76EB"/>
    <w:rsid w:val="00CF76FA"/>
    <w:rsid w:val="00CF783C"/>
    <w:rsid w:val="00CF7924"/>
    <w:rsid w:val="00CF796A"/>
    <w:rsid w:val="00CF798C"/>
    <w:rsid w:val="00CF7A6B"/>
    <w:rsid w:val="00CF7B22"/>
    <w:rsid w:val="00CF7BD1"/>
    <w:rsid w:val="00CF7C07"/>
    <w:rsid w:val="00CF7C0C"/>
    <w:rsid w:val="00CF7C7A"/>
    <w:rsid w:val="00CF7CC8"/>
    <w:rsid w:val="00CF7D0F"/>
    <w:rsid w:val="00CF7D86"/>
    <w:rsid w:val="00CF7DAE"/>
    <w:rsid w:val="00CF7E89"/>
    <w:rsid w:val="00CF7FB4"/>
    <w:rsid w:val="00D00011"/>
    <w:rsid w:val="00D000D1"/>
    <w:rsid w:val="00D00106"/>
    <w:rsid w:val="00D0020E"/>
    <w:rsid w:val="00D00246"/>
    <w:rsid w:val="00D00250"/>
    <w:rsid w:val="00D002EF"/>
    <w:rsid w:val="00D0030C"/>
    <w:rsid w:val="00D00394"/>
    <w:rsid w:val="00D00453"/>
    <w:rsid w:val="00D0047A"/>
    <w:rsid w:val="00D0055D"/>
    <w:rsid w:val="00D005EC"/>
    <w:rsid w:val="00D006AC"/>
    <w:rsid w:val="00D006D5"/>
    <w:rsid w:val="00D0071F"/>
    <w:rsid w:val="00D008CF"/>
    <w:rsid w:val="00D00963"/>
    <w:rsid w:val="00D009EE"/>
    <w:rsid w:val="00D00B53"/>
    <w:rsid w:val="00D00C10"/>
    <w:rsid w:val="00D00C50"/>
    <w:rsid w:val="00D00D36"/>
    <w:rsid w:val="00D00D44"/>
    <w:rsid w:val="00D00E5F"/>
    <w:rsid w:val="00D00F58"/>
    <w:rsid w:val="00D00F76"/>
    <w:rsid w:val="00D00F97"/>
    <w:rsid w:val="00D00FC7"/>
    <w:rsid w:val="00D010A3"/>
    <w:rsid w:val="00D010DD"/>
    <w:rsid w:val="00D011CA"/>
    <w:rsid w:val="00D01364"/>
    <w:rsid w:val="00D013CF"/>
    <w:rsid w:val="00D0152C"/>
    <w:rsid w:val="00D0171C"/>
    <w:rsid w:val="00D01728"/>
    <w:rsid w:val="00D018D6"/>
    <w:rsid w:val="00D019A1"/>
    <w:rsid w:val="00D019AE"/>
    <w:rsid w:val="00D01A47"/>
    <w:rsid w:val="00D01B50"/>
    <w:rsid w:val="00D01B5F"/>
    <w:rsid w:val="00D01BB7"/>
    <w:rsid w:val="00D01BEB"/>
    <w:rsid w:val="00D01D77"/>
    <w:rsid w:val="00D01F42"/>
    <w:rsid w:val="00D01F72"/>
    <w:rsid w:val="00D01F8B"/>
    <w:rsid w:val="00D02074"/>
    <w:rsid w:val="00D0212E"/>
    <w:rsid w:val="00D022B9"/>
    <w:rsid w:val="00D022E1"/>
    <w:rsid w:val="00D0236A"/>
    <w:rsid w:val="00D023BB"/>
    <w:rsid w:val="00D0242B"/>
    <w:rsid w:val="00D024E5"/>
    <w:rsid w:val="00D0256A"/>
    <w:rsid w:val="00D02657"/>
    <w:rsid w:val="00D026FD"/>
    <w:rsid w:val="00D027F0"/>
    <w:rsid w:val="00D027F1"/>
    <w:rsid w:val="00D0283A"/>
    <w:rsid w:val="00D028B5"/>
    <w:rsid w:val="00D029E5"/>
    <w:rsid w:val="00D02ACE"/>
    <w:rsid w:val="00D02B4E"/>
    <w:rsid w:val="00D02C39"/>
    <w:rsid w:val="00D02C6C"/>
    <w:rsid w:val="00D02D75"/>
    <w:rsid w:val="00D02DD8"/>
    <w:rsid w:val="00D02ED5"/>
    <w:rsid w:val="00D02EFE"/>
    <w:rsid w:val="00D03091"/>
    <w:rsid w:val="00D030E3"/>
    <w:rsid w:val="00D030E7"/>
    <w:rsid w:val="00D030EF"/>
    <w:rsid w:val="00D0311F"/>
    <w:rsid w:val="00D03242"/>
    <w:rsid w:val="00D032CC"/>
    <w:rsid w:val="00D03363"/>
    <w:rsid w:val="00D0337F"/>
    <w:rsid w:val="00D033C6"/>
    <w:rsid w:val="00D03481"/>
    <w:rsid w:val="00D034EB"/>
    <w:rsid w:val="00D034F7"/>
    <w:rsid w:val="00D0355D"/>
    <w:rsid w:val="00D0355F"/>
    <w:rsid w:val="00D036B3"/>
    <w:rsid w:val="00D036C1"/>
    <w:rsid w:val="00D0370A"/>
    <w:rsid w:val="00D037AC"/>
    <w:rsid w:val="00D03866"/>
    <w:rsid w:val="00D038F1"/>
    <w:rsid w:val="00D03980"/>
    <w:rsid w:val="00D03A75"/>
    <w:rsid w:val="00D03AF1"/>
    <w:rsid w:val="00D03B3F"/>
    <w:rsid w:val="00D03BB4"/>
    <w:rsid w:val="00D03BF9"/>
    <w:rsid w:val="00D03C01"/>
    <w:rsid w:val="00D03D8B"/>
    <w:rsid w:val="00D03DC6"/>
    <w:rsid w:val="00D03E54"/>
    <w:rsid w:val="00D03E6E"/>
    <w:rsid w:val="00D03ED7"/>
    <w:rsid w:val="00D04011"/>
    <w:rsid w:val="00D04055"/>
    <w:rsid w:val="00D0407E"/>
    <w:rsid w:val="00D040AC"/>
    <w:rsid w:val="00D04197"/>
    <w:rsid w:val="00D041E7"/>
    <w:rsid w:val="00D0431D"/>
    <w:rsid w:val="00D04354"/>
    <w:rsid w:val="00D04367"/>
    <w:rsid w:val="00D043B5"/>
    <w:rsid w:val="00D04412"/>
    <w:rsid w:val="00D0448E"/>
    <w:rsid w:val="00D044D1"/>
    <w:rsid w:val="00D044D3"/>
    <w:rsid w:val="00D044EE"/>
    <w:rsid w:val="00D0465E"/>
    <w:rsid w:val="00D04877"/>
    <w:rsid w:val="00D04901"/>
    <w:rsid w:val="00D04905"/>
    <w:rsid w:val="00D0493E"/>
    <w:rsid w:val="00D04A39"/>
    <w:rsid w:val="00D04A78"/>
    <w:rsid w:val="00D04ABE"/>
    <w:rsid w:val="00D04AC7"/>
    <w:rsid w:val="00D04C58"/>
    <w:rsid w:val="00D04C76"/>
    <w:rsid w:val="00D04CC1"/>
    <w:rsid w:val="00D04E6F"/>
    <w:rsid w:val="00D051EC"/>
    <w:rsid w:val="00D052B0"/>
    <w:rsid w:val="00D053CA"/>
    <w:rsid w:val="00D053D5"/>
    <w:rsid w:val="00D054F1"/>
    <w:rsid w:val="00D05564"/>
    <w:rsid w:val="00D05583"/>
    <w:rsid w:val="00D055FE"/>
    <w:rsid w:val="00D056A2"/>
    <w:rsid w:val="00D05709"/>
    <w:rsid w:val="00D05856"/>
    <w:rsid w:val="00D058A4"/>
    <w:rsid w:val="00D058A8"/>
    <w:rsid w:val="00D0592B"/>
    <w:rsid w:val="00D05A6C"/>
    <w:rsid w:val="00D05ADF"/>
    <w:rsid w:val="00D05B83"/>
    <w:rsid w:val="00D05BEF"/>
    <w:rsid w:val="00D05C1B"/>
    <w:rsid w:val="00D05C42"/>
    <w:rsid w:val="00D05C49"/>
    <w:rsid w:val="00D05C8A"/>
    <w:rsid w:val="00D05CAD"/>
    <w:rsid w:val="00D05D28"/>
    <w:rsid w:val="00D05DE7"/>
    <w:rsid w:val="00D05E29"/>
    <w:rsid w:val="00D05EF0"/>
    <w:rsid w:val="00D06036"/>
    <w:rsid w:val="00D06125"/>
    <w:rsid w:val="00D06174"/>
    <w:rsid w:val="00D0617C"/>
    <w:rsid w:val="00D06194"/>
    <w:rsid w:val="00D06228"/>
    <w:rsid w:val="00D06239"/>
    <w:rsid w:val="00D062C8"/>
    <w:rsid w:val="00D064C8"/>
    <w:rsid w:val="00D064FC"/>
    <w:rsid w:val="00D06660"/>
    <w:rsid w:val="00D066EE"/>
    <w:rsid w:val="00D066F5"/>
    <w:rsid w:val="00D0670D"/>
    <w:rsid w:val="00D06749"/>
    <w:rsid w:val="00D06812"/>
    <w:rsid w:val="00D06891"/>
    <w:rsid w:val="00D068E9"/>
    <w:rsid w:val="00D06A0E"/>
    <w:rsid w:val="00D06A7F"/>
    <w:rsid w:val="00D06B86"/>
    <w:rsid w:val="00D06C7F"/>
    <w:rsid w:val="00D06D12"/>
    <w:rsid w:val="00D06D27"/>
    <w:rsid w:val="00D06D2D"/>
    <w:rsid w:val="00D06D42"/>
    <w:rsid w:val="00D06F04"/>
    <w:rsid w:val="00D06F15"/>
    <w:rsid w:val="00D06F17"/>
    <w:rsid w:val="00D06F57"/>
    <w:rsid w:val="00D06F7D"/>
    <w:rsid w:val="00D06FC8"/>
    <w:rsid w:val="00D0700D"/>
    <w:rsid w:val="00D07039"/>
    <w:rsid w:val="00D07087"/>
    <w:rsid w:val="00D07145"/>
    <w:rsid w:val="00D072D0"/>
    <w:rsid w:val="00D07368"/>
    <w:rsid w:val="00D073EC"/>
    <w:rsid w:val="00D073F7"/>
    <w:rsid w:val="00D07433"/>
    <w:rsid w:val="00D07626"/>
    <w:rsid w:val="00D0783C"/>
    <w:rsid w:val="00D07942"/>
    <w:rsid w:val="00D079A6"/>
    <w:rsid w:val="00D07A9B"/>
    <w:rsid w:val="00D07B17"/>
    <w:rsid w:val="00D07CC2"/>
    <w:rsid w:val="00D07CEE"/>
    <w:rsid w:val="00D07D21"/>
    <w:rsid w:val="00D07D6F"/>
    <w:rsid w:val="00D07D8E"/>
    <w:rsid w:val="00D07F90"/>
    <w:rsid w:val="00D10069"/>
    <w:rsid w:val="00D100A8"/>
    <w:rsid w:val="00D101F0"/>
    <w:rsid w:val="00D101F7"/>
    <w:rsid w:val="00D10260"/>
    <w:rsid w:val="00D10294"/>
    <w:rsid w:val="00D102AF"/>
    <w:rsid w:val="00D104B4"/>
    <w:rsid w:val="00D10597"/>
    <w:rsid w:val="00D105BA"/>
    <w:rsid w:val="00D105CE"/>
    <w:rsid w:val="00D105F5"/>
    <w:rsid w:val="00D10626"/>
    <w:rsid w:val="00D106B1"/>
    <w:rsid w:val="00D106E1"/>
    <w:rsid w:val="00D107A9"/>
    <w:rsid w:val="00D107C0"/>
    <w:rsid w:val="00D107D6"/>
    <w:rsid w:val="00D108B4"/>
    <w:rsid w:val="00D108F1"/>
    <w:rsid w:val="00D10952"/>
    <w:rsid w:val="00D1099D"/>
    <w:rsid w:val="00D10AF3"/>
    <w:rsid w:val="00D10D83"/>
    <w:rsid w:val="00D10DFF"/>
    <w:rsid w:val="00D10E3E"/>
    <w:rsid w:val="00D10F62"/>
    <w:rsid w:val="00D11099"/>
    <w:rsid w:val="00D110A3"/>
    <w:rsid w:val="00D110E9"/>
    <w:rsid w:val="00D1121E"/>
    <w:rsid w:val="00D11233"/>
    <w:rsid w:val="00D112D2"/>
    <w:rsid w:val="00D11381"/>
    <w:rsid w:val="00D113BA"/>
    <w:rsid w:val="00D113C4"/>
    <w:rsid w:val="00D113D4"/>
    <w:rsid w:val="00D11645"/>
    <w:rsid w:val="00D11672"/>
    <w:rsid w:val="00D1174A"/>
    <w:rsid w:val="00D11789"/>
    <w:rsid w:val="00D117ED"/>
    <w:rsid w:val="00D1196A"/>
    <w:rsid w:val="00D119CB"/>
    <w:rsid w:val="00D119FA"/>
    <w:rsid w:val="00D11A95"/>
    <w:rsid w:val="00D11AB5"/>
    <w:rsid w:val="00D11B59"/>
    <w:rsid w:val="00D11B5A"/>
    <w:rsid w:val="00D11BCF"/>
    <w:rsid w:val="00D11BF6"/>
    <w:rsid w:val="00D11C36"/>
    <w:rsid w:val="00D11C37"/>
    <w:rsid w:val="00D11C75"/>
    <w:rsid w:val="00D11CB9"/>
    <w:rsid w:val="00D11CEC"/>
    <w:rsid w:val="00D11CF4"/>
    <w:rsid w:val="00D11D6C"/>
    <w:rsid w:val="00D11DEE"/>
    <w:rsid w:val="00D11E22"/>
    <w:rsid w:val="00D12016"/>
    <w:rsid w:val="00D12076"/>
    <w:rsid w:val="00D120A0"/>
    <w:rsid w:val="00D12186"/>
    <w:rsid w:val="00D12350"/>
    <w:rsid w:val="00D1237E"/>
    <w:rsid w:val="00D1238E"/>
    <w:rsid w:val="00D1257E"/>
    <w:rsid w:val="00D12699"/>
    <w:rsid w:val="00D1288A"/>
    <w:rsid w:val="00D1290D"/>
    <w:rsid w:val="00D12948"/>
    <w:rsid w:val="00D12965"/>
    <w:rsid w:val="00D1296C"/>
    <w:rsid w:val="00D12A1C"/>
    <w:rsid w:val="00D12A91"/>
    <w:rsid w:val="00D12B41"/>
    <w:rsid w:val="00D12B65"/>
    <w:rsid w:val="00D12BD9"/>
    <w:rsid w:val="00D12DC8"/>
    <w:rsid w:val="00D12EF5"/>
    <w:rsid w:val="00D12F73"/>
    <w:rsid w:val="00D12F89"/>
    <w:rsid w:val="00D12F8C"/>
    <w:rsid w:val="00D12FA9"/>
    <w:rsid w:val="00D13038"/>
    <w:rsid w:val="00D130C8"/>
    <w:rsid w:val="00D131A0"/>
    <w:rsid w:val="00D131BC"/>
    <w:rsid w:val="00D13269"/>
    <w:rsid w:val="00D13275"/>
    <w:rsid w:val="00D1331A"/>
    <w:rsid w:val="00D1333C"/>
    <w:rsid w:val="00D1346A"/>
    <w:rsid w:val="00D13676"/>
    <w:rsid w:val="00D136BF"/>
    <w:rsid w:val="00D139EE"/>
    <w:rsid w:val="00D13A39"/>
    <w:rsid w:val="00D13A44"/>
    <w:rsid w:val="00D13A7A"/>
    <w:rsid w:val="00D13AD4"/>
    <w:rsid w:val="00D13AD9"/>
    <w:rsid w:val="00D13B03"/>
    <w:rsid w:val="00D13C74"/>
    <w:rsid w:val="00D13CA6"/>
    <w:rsid w:val="00D13CAF"/>
    <w:rsid w:val="00D13CFF"/>
    <w:rsid w:val="00D13D2C"/>
    <w:rsid w:val="00D13D51"/>
    <w:rsid w:val="00D13D91"/>
    <w:rsid w:val="00D13E09"/>
    <w:rsid w:val="00D13ED0"/>
    <w:rsid w:val="00D13ED5"/>
    <w:rsid w:val="00D13FA6"/>
    <w:rsid w:val="00D13FBB"/>
    <w:rsid w:val="00D13FD5"/>
    <w:rsid w:val="00D1409D"/>
    <w:rsid w:val="00D14106"/>
    <w:rsid w:val="00D14439"/>
    <w:rsid w:val="00D1448D"/>
    <w:rsid w:val="00D14584"/>
    <w:rsid w:val="00D1458B"/>
    <w:rsid w:val="00D145F5"/>
    <w:rsid w:val="00D14600"/>
    <w:rsid w:val="00D14644"/>
    <w:rsid w:val="00D14655"/>
    <w:rsid w:val="00D1465F"/>
    <w:rsid w:val="00D1466E"/>
    <w:rsid w:val="00D146B1"/>
    <w:rsid w:val="00D14705"/>
    <w:rsid w:val="00D147CA"/>
    <w:rsid w:val="00D148B0"/>
    <w:rsid w:val="00D148DC"/>
    <w:rsid w:val="00D1494B"/>
    <w:rsid w:val="00D14964"/>
    <w:rsid w:val="00D14BDE"/>
    <w:rsid w:val="00D14C15"/>
    <w:rsid w:val="00D14C50"/>
    <w:rsid w:val="00D14C54"/>
    <w:rsid w:val="00D14D83"/>
    <w:rsid w:val="00D14E0E"/>
    <w:rsid w:val="00D150B3"/>
    <w:rsid w:val="00D15167"/>
    <w:rsid w:val="00D15325"/>
    <w:rsid w:val="00D153ED"/>
    <w:rsid w:val="00D15434"/>
    <w:rsid w:val="00D1544F"/>
    <w:rsid w:val="00D154A7"/>
    <w:rsid w:val="00D154FA"/>
    <w:rsid w:val="00D15524"/>
    <w:rsid w:val="00D1564A"/>
    <w:rsid w:val="00D1581A"/>
    <w:rsid w:val="00D15846"/>
    <w:rsid w:val="00D15A7B"/>
    <w:rsid w:val="00D15A7D"/>
    <w:rsid w:val="00D15B24"/>
    <w:rsid w:val="00D15C6A"/>
    <w:rsid w:val="00D15D5E"/>
    <w:rsid w:val="00D15D64"/>
    <w:rsid w:val="00D15D68"/>
    <w:rsid w:val="00D15EC1"/>
    <w:rsid w:val="00D15F36"/>
    <w:rsid w:val="00D15F87"/>
    <w:rsid w:val="00D15FAC"/>
    <w:rsid w:val="00D16039"/>
    <w:rsid w:val="00D160E6"/>
    <w:rsid w:val="00D16139"/>
    <w:rsid w:val="00D161FC"/>
    <w:rsid w:val="00D16219"/>
    <w:rsid w:val="00D1627E"/>
    <w:rsid w:val="00D1630E"/>
    <w:rsid w:val="00D163DA"/>
    <w:rsid w:val="00D163E9"/>
    <w:rsid w:val="00D16406"/>
    <w:rsid w:val="00D164DD"/>
    <w:rsid w:val="00D16517"/>
    <w:rsid w:val="00D165AC"/>
    <w:rsid w:val="00D165C7"/>
    <w:rsid w:val="00D166A0"/>
    <w:rsid w:val="00D1676F"/>
    <w:rsid w:val="00D16789"/>
    <w:rsid w:val="00D16880"/>
    <w:rsid w:val="00D16890"/>
    <w:rsid w:val="00D1690F"/>
    <w:rsid w:val="00D16A4B"/>
    <w:rsid w:val="00D16A6D"/>
    <w:rsid w:val="00D16B3E"/>
    <w:rsid w:val="00D16B3F"/>
    <w:rsid w:val="00D16B8C"/>
    <w:rsid w:val="00D16BEB"/>
    <w:rsid w:val="00D16ED5"/>
    <w:rsid w:val="00D16FC7"/>
    <w:rsid w:val="00D17083"/>
    <w:rsid w:val="00D171DD"/>
    <w:rsid w:val="00D17209"/>
    <w:rsid w:val="00D17322"/>
    <w:rsid w:val="00D173FF"/>
    <w:rsid w:val="00D17474"/>
    <w:rsid w:val="00D1747A"/>
    <w:rsid w:val="00D174A7"/>
    <w:rsid w:val="00D17548"/>
    <w:rsid w:val="00D1754B"/>
    <w:rsid w:val="00D17598"/>
    <w:rsid w:val="00D17914"/>
    <w:rsid w:val="00D1791C"/>
    <w:rsid w:val="00D17A0F"/>
    <w:rsid w:val="00D17A17"/>
    <w:rsid w:val="00D17B3B"/>
    <w:rsid w:val="00D17BF1"/>
    <w:rsid w:val="00D17C1B"/>
    <w:rsid w:val="00D17C2D"/>
    <w:rsid w:val="00D17C5C"/>
    <w:rsid w:val="00D17CC7"/>
    <w:rsid w:val="00D17CE4"/>
    <w:rsid w:val="00D17D09"/>
    <w:rsid w:val="00D17DDF"/>
    <w:rsid w:val="00D2005D"/>
    <w:rsid w:val="00D200CF"/>
    <w:rsid w:val="00D20124"/>
    <w:rsid w:val="00D2016B"/>
    <w:rsid w:val="00D2019B"/>
    <w:rsid w:val="00D20214"/>
    <w:rsid w:val="00D20249"/>
    <w:rsid w:val="00D20319"/>
    <w:rsid w:val="00D20371"/>
    <w:rsid w:val="00D2054D"/>
    <w:rsid w:val="00D2056A"/>
    <w:rsid w:val="00D20581"/>
    <w:rsid w:val="00D2061A"/>
    <w:rsid w:val="00D206F1"/>
    <w:rsid w:val="00D206F3"/>
    <w:rsid w:val="00D20729"/>
    <w:rsid w:val="00D207D7"/>
    <w:rsid w:val="00D20806"/>
    <w:rsid w:val="00D2082E"/>
    <w:rsid w:val="00D209EF"/>
    <w:rsid w:val="00D20A56"/>
    <w:rsid w:val="00D20A66"/>
    <w:rsid w:val="00D20B1A"/>
    <w:rsid w:val="00D20C10"/>
    <w:rsid w:val="00D20C4B"/>
    <w:rsid w:val="00D20CEC"/>
    <w:rsid w:val="00D20E02"/>
    <w:rsid w:val="00D20E52"/>
    <w:rsid w:val="00D20E9F"/>
    <w:rsid w:val="00D20EA6"/>
    <w:rsid w:val="00D20EAE"/>
    <w:rsid w:val="00D20FD1"/>
    <w:rsid w:val="00D20FF2"/>
    <w:rsid w:val="00D21042"/>
    <w:rsid w:val="00D21090"/>
    <w:rsid w:val="00D21143"/>
    <w:rsid w:val="00D21146"/>
    <w:rsid w:val="00D21206"/>
    <w:rsid w:val="00D2120D"/>
    <w:rsid w:val="00D21309"/>
    <w:rsid w:val="00D2141D"/>
    <w:rsid w:val="00D21472"/>
    <w:rsid w:val="00D21570"/>
    <w:rsid w:val="00D215EC"/>
    <w:rsid w:val="00D2161F"/>
    <w:rsid w:val="00D216BE"/>
    <w:rsid w:val="00D2170F"/>
    <w:rsid w:val="00D218E5"/>
    <w:rsid w:val="00D21977"/>
    <w:rsid w:val="00D21A70"/>
    <w:rsid w:val="00D21B4C"/>
    <w:rsid w:val="00D21B76"/>
    <w:rsid w:val="00D21BE0"/>
    <w:rsid w:val="00D21C06"/>
    <w:rsid w:val="00D21C08"/>
    <w:rsid w:val="00D21D80"/>
    <w:rsid w:val="00D21E0B"/>
    <w:rsid w:val="00D21E1D"/>
    <w:rsid w:val="00D21E35"/>
    <w:rsid w:val="00D22001"/>
    <w:rsid w:val="00D22083"/>
    <w:rsid w:val="00D220AE"/>
    <w:rsid w:val="00D22273"/>
    <w:rsid w:val="00D2236F"/>
    <w:rsid w:val="00D22452"/>
    <w:rsid w:val="00D224AE"/>
    <w:rsid w:val="00D22561"/>
    <w:rsid w:val="00D225C7"/>
    <w:rsid w:val="00D225F0"/>
    <w:rsid w:val="00D2267A"/>
    <w:rsid w:val="00D226AE"/>
    <w:rsid w:val="00D2277F"/>
    <w:rsid w:val="00D22B17"/>
    <w:rsid w:val="00D22B18"/>
    <w:rsid w:val="00D22C36"/>
    <w:rsid w:val="00D22E27"/>
    <w:rsid w:val="00D22EC5"/>
    <w:rsid w:val="00D22FB3"/>
    <w:rsid w:val="00D22FB5"/>
    <w:rsid w:val="00D22FE4"/>
    <w:rsid w:val="00D23130"/>
    <w:rsid w:val="00D231A4"/>
    <w:rsid w:val="00D231C6"/>
    <w:rsid w:val="00D2324A"/>
    <w:rsid w:val="00D23281"/>
    <w:rsid w:val="00D2353E"/>
    <w:rsid w:val="00D235AA"/>
    <w:rsid w:val="00D2367E"/>
    <w:rsid w:val="00D23732"/>
    <w:rsid w:val="00D23758"/>
    <w:rsid w:val="00D237DE"/>
    <w:rsid w:val="00D2382B"/>
    <w:rsid w:val="00D2388D"/>
    <w:rsid w:val="00D2390B"/>
    <w:rsid w:val="00D23989"/>
    <w:rsid w:val="00D23A79"/>
    <w:rsid w:val="00D23ACE"/>
    <w:rsid w:val="00D23AE0"/>
    <w:rsid w:val="00D23AED"/>
    <w:rsid w:val="00D23B93"/>
    <w:rsid w:val="00D23E11"/>
    <w:rsid w:val="00D23F27"/>
    <w:rsid w:val="00D24017"/>
    <w:rsid w:val="00D240DB"/>
    <w:rsid w:val="00D240F9"/>
    <w:rsid w:val="00D2428D"/>
    <w:rsid w:val="00D242C5"/>
    <w:rsid w:val="00D244DC"/>
    <w:rsid w:val="00D24618"/>
    <w:rsid w:val="00D24677"/>
    <w:rsid w:val="00D246C6"/>
    <w:rsid w:val="00D24702"/>
    <w:rsid w:val="00D2474A"/>
    <w:rsid w:val="00D24832"/>
    <w:rsid w:val="00D248D0"/>
    <w:rsid w:val="00D24A40"/>
    <w:rsid w:val="00D24ACC"/>
    <w:rsid w:val="00D24BAA"/>
    <w:rsid w:val="00D24C63"/>
    <w:rsid w:val="00D24C70"/>
    <w:rsid w:val="00D24C87"/>
    <w:rsid w:val="00D24CA9"/>
    <w:rsid w:val="00D24CD1"/>
    <w:rsid w:val="00D24D20"/>
    <w:rsid w:val="00D24D3D"/>
    <w:rsid w:val="00D25051"/>
    <w:rsid w:val="00D250BD"/>
    <w:rsid w:val="00D251E9"/>
    <w:rsid w:val="00D25225"/>
    <w:rsid w:val="00D253A2"/>
    <w:rsid w:val="00D25402"/>
    <w:rsid w:val="00D2543B"/>
    <w:rsid w:val="00D2551F"/>
    <w:rsid w:val="00D25585"/>
    <w:rsid w:val="00D25617"/>
    <w:rsid w:val="00D2564E"/>
    <w:rsid w:val="00D2568C"/>
    <w:rsid w:val="00D2589E"/>
    <w:rsid w:val="00D259F1"/>
    <w:rsid w:val="00D25A64"/>
    <w:rsid w:val="00D25AE6"/>
    <w:rsid w:val="00D25AF5"/>
    <w:rsid w:val="00D25B3D"/>
    <w:rsid w:val="00D25B78"/>
    <w:rsid w:val="00D25BD1"/>
    <w:rsid w:val="00D25C91"/>
    <w:rsid w:val="00D25D16"/>
    <w:rsid w:val="00D25D2B"/>
    <w:rsid w:val="00D25D72"/>
    <w:rsid w:val="00D25E97"/>
    <w:rsid w:val="00D25F46"/>
    <w:rsid w:val="00D25FB1"/>
    <w:rsid w:val="00D26000"/>
    <w:rsid w:val="00D26037"/>
    <w:rsid w:val="00D26216"/>
    <w:rsid w:val="00D2630A"/>
    <w:rsid w:val="00D2662D"/>
    <w:rsid w:val="00D26668"/>
    <w:rsid w:val="00D2676A"/>
    <w:rsid w:val="00D26801"/>
    <w:rsid w:val="00D26876"/>
    <w:rsid w:val="00D268D4"/>
    <w:rsid w:val="00D2692C"/>
    <w:rsid w:val="00D26A67"/>
    <w:rsid w:val="00D26B06"/>
    <w:rsid w:val="00D26B2B"/>
    <w:rsid w:val="00D26B68"/>
    <w:rsid w:val="00D26D06"/>
    <w:rsid w:val="00D26D7F"/>
    <w:rsid w:val="00D26DDA"/>
    <w:rsid w:val="00D26DF1"/>
    <w:rsid w:val="00D26EA0"/>
    <w:rsid w:val="00D26EB1"/>
    <w:rsid w:val="00D27016"/>
    <w:rsid w:val="00D2719A"/>
    <w:rsid w:val="00D271AA"/>
    <w:rsid w:val="00D271C0"/>
    <w:rsid w:val="00D27259"/>
    <w:rsid w:val="00D27274"/>
    <w:rsid w:val="00D274FF"/>
    <w:rsid w:val="00D2764C"/>
    <w:rsid w:val="00D2772D"/>
    <w:rsid w:val="00D27786"/>
    <w:rsid w:val="00D2779C"/>
    <w:rsid w:val="00D277A2"/>
    <w:rsid w:val="00D277B1"/>
    <w:rsid w:val="00D277C0"/>
    <w:rsid w:val="00D277ED"/>
    <w:rsid w:val="00D27944"/>
    <w:rsid w:val="00D27B3C"/>
    <w:rsid w:val="00D27B68"/>
    <w:rsid w:val="00D27C6A"/>
    <w:rsid w:val="00D27D07"/>
    <w:rsid w:val="00D27E19"/>
    <w:rsid w:val="00D27EC4"/>
    <w:rsid w:val="00D27F9E"/>
    <w:rsid w:val="00D27FEC"/>
    <w:rsid w:val="00D300E2"/>
    <w:rsid w:val="00D301C8"/>
    <w:rsid w:val="00D301E8"/>
    <w:rsid w:val="00D3027C"/>
    <w:rsid w:val="00D30294"/>
    <w:rsid w:val="00D30338"/>
    <w:rsid w:val="00D303A2"/>
    <w:rsid w:val="00D303F9"/>
    <w:rsid w:val="00D303FE"/>
    <w:rsid w:val="00D30425"/>
    <w:rsid w:val="00D30467"/>
    <w:rsid w:val="00D3049D"/>
    <w:rsid w:val="00D304D3"/>
    <w:rsid w:val="00D3052A"/>
    <w:rsid w:val="00D30573"/>
    <w:rsid w:val="00D3058D"/>
    <w:rsid w:val="00D3064A"/>
    <w:rsid w:val="00D30650"/>
    <w:rsid w:val="00D306A8"/>
    <w:rsid w:val="00D30802"/>
    <w:rsid w:val="00D308FF"/>
    <w:rsid w:val="00D30978"/>
    <w:rsid w:val="00D30A86"/>
    <w:rsid w:val="00D30AEE"/>
    <w:rsid w:val="00D30BEA"/>
    <w:rsid w:val="00D30CE8"/>
    <w:rsid w:val="00D30D78"/>
    <w:rsid w:val="00D30D98"/>
    <w:rsid w:val="00D30DF9"/>
    <w:rsid w:val="00D30E10"/>
    <w:rsid w:val="00D30E3A"/>
    <w:rsid w:val="00D30ECE"/>
    <w:rsid w:val="00D30F0E"/>
    <w:rsid w:val="00D30F76"/>
    <w:rsid w:val="00D30FB2"/>
    <w:rsid w:val="00D3100A"/>
    <w:rsid w:val="00D311DA"/>
    <w:rsid w:val="00D31223"/>
    <w:rsid w:val="00D31229"/>
    <w:rsid w:val="00D312FF"/>
    <w:rsid w:val="00D3130D"/>
    <w:rsid w:val="00D314A8"/>
    <w:rsid w:val="00D314D4"/>
    <w:rsid w:val="00D314E2"/>
    <w:rsid w:val="00D315BE"/>
    <w:rsid w:val="00D316A1"/>
    <w:rsid w:val="00D316AC"/>
    <w:rsid w:val="00D3171B"/>
    <w:rsid w:val="00D31753"/>
    <w:rsid w:val="00D31780"/>
    <w:rsid w:val="00D317B5"/>
    <w:rsid w:val="00D319AD"/>
    <w:rsid w:val="00D31A3D"/>
    <w:rsid w:val="00D31BB8"/>
    <w:rsid w:val="00D31C40"/>
    <w:rsid w:val="00D31C85"/>
    <w:rsid w:val="00D31CF9"/>
    <w:rsid w:val="00D31F7C"/>
    <w:rsid w:val="00D31FF3"/>
    <w:rsid w:val="00D32078"/>
    <w:rsid w:val="00D3222E"/>
    <w:rsid w:val="00D3229C"/>
    <w:rsid w:val="00D322D8"/>
    <w:rsid w:val="00D32361"/>
    <w:rsid w:val="00D323B2"/>
    <w:rsid w:val="00D3247F"/>
    <w:rsid w:val="00D324A4"/>
    <w:rsid w:val="00D325C7"/>
    <w:rsid w:val="00D325C8"/>
    <w:rsid w:val="00D32708"/>
    <w:rsid w:val="00D3283A"/>
    <w:rsid w:val="00D32944"/>
    <w:rsid w:val="00D329F1"/>
    <w:rsid w:val="00D32A16"/>
    <w:rsid w:val="00D32A78"/>
    <w:rsid w:val="00D32ACD"/>
    <w:rsid w:val="00D32AD8"/>
    <w:rsid w:val="00D32C6F"/>
    <w:rsid w:val="00D32D29"/>
    <w:rsid w:val="00D32E46"/>
    <w:rsid w:val="00D32F2A"/>
    <w:rsid w:val="00D33125"/>
    <w:rsid w:val="00D33133"/>
    <w:rsid w:val="00D3316A"/>
    <w:rsid w:val="00D331BC"/>
    <w:rsid w:val="00D33525"/>
    <w:rsid w:val="00D3355A"/>
    <w:rsid w:val="00D335F9"/>
    <w:rsid w:val="00D33683"/>
    <w:rsid w:val="00D336D2"/>
    <w:rsid w:val="00D336E3"/>
    <w:rsid w:val="00D3371F"/>
    <w:rsid w:val="00D3386A"/>
    <w:rsid w:val="00D33935"/>
    <w:rsid w:val="00D3396A"/>
    <w:rsid w:val="00D3397E"/>
    <w:rsid w:val="00D33AB5"/>
    <w:rsid w:val="00D33BE1"/>
    <w:rsid w:val="00D33C35"/>
    <w:rsid w:val="00D33C68"/>
    <w:rsid w:val="00D33D16"/>
    <w:rsid w:val="00D33DDC"/>
    <w:rsid w:val="00D33E12"/>
    <w:rsid w:val="00D33E63"/>
    <w:rsid w:val="00D33EA8"/>
    <w:rsid w:val="00D34077"/>
    <w:rsid w:val="00D3411F"/>
    <w:rsid w:val="00D3432B"/>
    <w:rsid w:val="00D343AE"/>
    <w:rsid w:val="00D343DB"/>
    <w:rsid w:val="00D343EE"/>
    <w:rsid w:val="00D34433"/>
    <w:rsid w:val="00D3450D"/>
    <w:rsid w:val="00D3452E"/>
    <w:rsid w:val="00D34530"/>
    <w:rsid w:val="00D345B8"/>
    <w:rsid w:val="00D345ED"/>
    <w:rsid w:val="00D3465C"/>
    <w:rsid w:val="00D34669"/>
    <w:rsid w:val="00D3468E"/>
    <w:rsid w:val="00D346E2"/>
    <w:rsid w:val="00D34779"/>
    <w:rsid w:val="00D347D2"/>
    <w:rsid w:val="00D347DB"/>
    <w:rsid w:val="00D34826"/>
    <w:rsid w:val="00D3487F"/>
    <w:rsid w:val="00D348C7"/>
    <w:rsid w:val="00D34A3B"/>
    <w:rsid w:val="00D34ABB"/>
    <w:rsid w:val="00D34B0E"/>
    <w:rsid w:val="00D34B19"/>
    <w:rsid w:val="00D34B5E"/>
    <w:rsid w:val="00D34BC8"/>
    <w:rsid w:val="00D34BF7"/>
    <w:rsid w:val="00D34D96"/>
    <w:rsid w:val="00D34EEB"/>
    <w:rsid w:val="00D34EF5"/>
    <w:rsid w:val="00D34F3A"/>
    <w:rsid w:val="00D34F62"/>
    <w:rsid w:val="00D35033"/>
    <w:rsid w:val="00D3508C"/>
    <w:rsid w:val="00D3513E"/>
    <w:rsid w:val="00D3516E"/>
    <w:rsid w:val="00D3519E"/>
    <w:rsid w:val="00D35506"/>
    <w:rsid w:val="00D355A6"/>
    <w:rsid w:val="00D355F0"/>
    <w:rsid w:val="00D35630"/>
    <w:rsid w:val="00D35683"/>
    <w:rsid w:val="00D35744"/>
    <w:rsid w:val="00D35745"/>
    <w:rsid w:val="00D3579C"/>
    <w:rsid w:val="00D357D0"/>
    <w:rsid w:val="00D35894"/>
    <w:rsid w:val="00D358AA"/>
    <w:rsid w:val="00D35906"/>
    <w:rsid w:val="00D35A0E"/>
    <w:rsid w:val="00D35AF2"/>
    <w:rsid w:val="00D35AFB"/>
    <w:rsid w:val="00D35AFD"/>
    <w:rsid w:val="00D35B9F"/>
    <w:rsid w:val="00D35C47"/>
    <w:rsid w:val="00D35CC8"/>
    <w:rsid w:val="00D35CD4"/>
    <w:rsid w:val="00D35D03"/>
    <w:rsid w:val="00D35D0A"/>
    <w:rsid w:val="00D35D4E"/>
    <w:rsid w:val="00D360C8"/>
    <w:rsid w:val="00D36193"/>
    <w:rsid w:val="00D36207"/>
    <w:rsid w:val="00D36268"/>
    <w:rsid w:val="00D363C6"/>
    <w:rsid w:val="00D363E3"/>
    <w:rsid w:val="00D36439"/>
    <w:rsid w:val="00D364A2"/>
    <w:rsid w:val="00D36571"/>
    <w:rsid w:val="00D36575"/>
    <w:rsid w:val="00D365FB"/>
    <w:rsid w:val="00D36812"/>
    <w:rsid w:val="00D3685A"/>
    <w:rsid w:val="00D3695D"/>
    <w:rsid w:val="00D36AAE"/>
    <w:rsid w:val="00D36AF5"/>
    <w:rsid w:val="00D36B60"/>
    <w:rsid w:val="00D36BEA"/>
    <w:rsid w:val="00D36C76"/>
    <w:rsid w:val="00D36D0F"/>
    <w:rsid w:val="00D36D71"/>
    <w:rsid w:val="00D36D89"/>
    <w:rsid w:val="00D36D8D"/>
    <w:rsid w:val="00D36FAF"/>
    <w:rsid w:val="00D36FBF"/>
    <w:rsid w:val="00D36FDB"/>
    <w:rsid w:val="00D37004"/>
    <w:rsid w:val="00D3709D"/>
    <w:rsid w:val="00D370C6"/>
    <w:rsid w:val="00D372B7"/>
    <w:rsid w:val="00D372C8"/>
    <w:rsid w:val="00D375FD"/>
    <w:rsid w:val="00D37608"/>
    <w:rsid w:val="00D377C6"/>
    <w:rsid w:val="00D37857"/>
    <w:rsid w:val="00D37AAC"/>
    <w:rsid w:val="00D37BC7"/>
    <w:rsid w:val="00D37D2A"/>
    <w:rsid w:val="00D37DB5"/>
    <w:rsid w:val="00D37E4A"/>
    <w:rsid w:val="00D37E50"/>
    <w:rsid w:val="00D40099"/>
    <w:rsid w:val="00D40178"/>
    <w:rsid w:val="00D402C3"/>
    <w:rsid w:val="00D40462"/>
    <w:rsid w:val="00D40488"/>
    <w:rsid w:val="00D405A8"/>
    <w:rsid w:val="00D405D0"/>
    <w:rsid w:val="00D4099F"/>
    <w:rsid w:val="00D409E5"/>
    <w:rsid w:val="00D40BE9"/>
    <w:rsid w:val="00D40C9A"/>
    <w:rsid w:val="00D40D9A"/>
    <w:rsid w:val="00D40EC0"/>
    <w:rsid w:val="00D40FD7"/>
    <w:rsid w:val="00D41068"/>
    <w:rsid w:val="00D4109D"/>
    <w:rsid w:val="00D41189"/>
    <w:rsid w:val="00D411C3"/>
    <w:rsid w:val="00D412A2"/>
    <w:rsid w:val="00D412AD"/>
    <w:rsid w:val="00D414D6"/>
    <w:rsid w:val="00D41500"/>
    <w:rsid w:val="00D41556"/>
    <w:rsid w:val="00D4168B"/>
    <w:rsid w:val="00D41800"/>
    <w:rsid w:val="00D418A1"/>
    <w:rsid w:val="00D41917"/>
    <w:rsid w:val="00D4197B"/>
    <w:rsid w:val="00D41AD0"/>
    <w:rsid w:val="00D41B00"/>
    <w:rsid w:val="00D41EE7"/>
    <w:rsid w:val="00D41F95"/>
    <w:rsid w:val="00D41FC9"/>
    <w:rsid w:val="00D4201E"/>
    <w:rsid w:val="00D42049"/>
    <w:rsid w:val="00D42062"/>
    <w:rsid w:val="00D420FD"/>
    <w:rsid w:val="00D421AB"/>
    <w:rsid w:val="00D421E9"/>
    <w:rsid w:val="00D42390"/>
    <w:rsid w:val="00D423B7"/>
    <w:rsid w:val="00D423E5"/>
    <w:rsid w:val="00D4262E"/>
    <w:rsid w:val="00D426D3"/>
    <w:rsid w:val="00D42751"/>
    <w:rsid w:val="00D427BE"/>
    <w:rsid w:val="00D427DB"/>
    <w:rsid w:val="00D427DD"/>
    <w:rsid w:val="00D42839"/>
    <w:rsid w:val="00D428DC"/>
    <w:rsid w:val="00D42975"/>
    <w:rsid w:val="00D429A2"/>
    <w:rsid w:val="00D42A76"/>
    <w:rsid w:val="00D42DF7"/>
    <w:rsid w:val="00D42F0C"/>
    <w:rsid w:val="00D42F3E"/>
    <w:rsid w:val="00D430A8"/>
    <w:rsid w:val="00D430F6"/>
    <w:rsid w:val="00D431F9"/>
    <w:rsid w:val="00D4338C"/>
    <w:rsid w:val="00D433B4"/>
    <w:rsid w:val="00D433C2"/>
    <w:rsid w:val="00D433FB"/>
    <w:rsid w:val="00D43435"/>
    <w:rsid w:val="00D43598"/>
    <w:rsid w:val="00D435B1"/>
    <w:rsid w:val="00D435DD"/>
    <w:rsid w:val="00D436D0"/>
    <w:rsid w:val="00D4371B"/>
    <w:rsid w:val="00D43AC8"/>
    <w:rsid w:val="00D43AFC"/>
    <w:rsid w:val="00D43BAE"/>
    <w:rsid w:val="00D43C81"/>
    <w:rsid w:val="00D43CA9"/>
    <w:rsid w:val="00D43CC1"/>
    <w:rsid w:val="00D43D00"/>
    <w:rsid w:val="00D43D3E"/>
    <w:rsid w:val="00D43D59"/>
    <w:rsid w:val="00D43DEF"/>
    <w:rsid w:val="00D44014"/>
    <w:rsid w:val="00D4425A"/>
    <w:rsid w:val="00D442A5"/>
    <w:rsid w:val="00D442C6"/>
    <w:rsid w:val="00D442C7"/>
    <w:rsid w:val="00D4431A"/>
    <w:rsid w:val="00D443D4"/>
    <w:rsid w:val="00D44416"/>
    <w:rsid w:val="00D4444E"/>
    <w:rsid w:val="00D444F4"/>
    <w:rsid w:val="00D44542"/>
    <w:rsid w:val="00D44562"/>
    <w:rsid w:val="00D44618"/>
    <w:rsid w:val="00D446A7"/>
    <w:rsid w:val="00D446DB"/>
    <w:rsid w:val="00D446E6"/>
    <w:rsid w:val="00D4475F"/>
    <w:rsid w:val="00D44971"/>
    <w:rsid w:val="00D44984"/>
    <w:rsid w:val="00D449C1"/>
    <w:rsid w:val="00D44AF5"/>
    <w:rsid w:val="00D44BA3"/>
    <w:rsid w:val="00D44C0F"/>
    <w:rsid w:val="00D44C98"/>
    <w:rsid w:val="00D44D5F"/>
    <w:rsid w:val="00D44D6D"/>
    <w:rsid w:val="00D44D8D"/>
    <w:rsid w:val="00D44FAA"/>
    <w:rsid w:val="00D45064"/>
    <w:rsid w:val="00D450F6"/>
    <w:rsid w:val="00D45143"/>
    <w:rsid w:val="00D452E2"/>
    <w:rsid w:val="00D45397"/>
    <w:rsid w:val="00D453E0"/>
    <w:rsid w:val="00D45441"/>
    <w:rsid w:val="00D4549D"/>
    <w:rsid w:val="00D45581"/>
    <w:rsid w:val="00D45637"/>
    <w:rsid w:val="00D45657"/>
    <w:rsid w:val="00D456B4"/>
    <w:rsid w:val="00D45778"/>
    <w:rsid w:val="00D459D3"/>
    <w:rsid w:val="00D45A4C"/>
    <w:rsid w:val="00D45B10"/>
    <w:rsid w:val="00D45B6A"/>
    <w:rsid w:val="00D45C1F"/>
    <w:rsid w:val="00D45C7B"/>
    <w:rsid w:val="00D45CE3"/>
    <w:rsid w:val="00D45E7D"/>
    <w:rsid w:val="00D460DF"/>
    <w:rsid w:val="00D46105"/>
    <w:rsid w:val="00D462B7"/>
    <w:rsid w:val="00D46350"/>
    <w:rsid w:val="00D464AA"/>
    <w:rsid w:val="00D4661B"/>
    <w:rsid w:val="00D46639"/>
    <w:rsid w:val="00D46693"/>
    <w:rsid w:val="00D466D3"/>
    <w:rsid w:val="00D4671F"/>
    <w:rsid w:val="00D4672A"/>
    <w:rsid w:val="00D4678E"/>
    <w:rsid w:val="00D46852"/>
    <w:rsid w:val="00D468CE"/>
    <w:rsid w:val="00D46A24"/>
    <w:rsid w:val="00D46A29"/>
    <w:rsid w:val="00D46AFB"/>
    <w:rsid w:val="00D46C51"/>
    <w:rsid w:val="00D46D0A"/>
    <w:rsid w:val="00D46E6B"/>
    <w:rsid w:val="00D46FA1"/>
    <w:rsid w:val="00D46FE4"/>
    <w:rsid w:val="00D47033"/>
    <w:rsid w:val="00D47108"/>
    <w:rsid w:val="00D4713F"/>
    <w:rsid w:val="00D471A9"/>
    <w:rsid w:val="00D471B9"/>
    <w:rsid w:val="00D472A5"/>
    <w:rsid w:val="00D473A3"/>
    <w:rsid w:val="00D474C5"/>
    <w:rsid w:val="00D474CA"/>
    <w:rsid w:val="00D474EF"/>
    <w:rsid w:val="00D475CB"/>
    <w:rsid w:val="00D47673"/>
    <w:rsid w:val="00D47741"/>
    <w:rsid w:val="00D477FC"/>
    <w:rsid w:val="00D47B6C"/>
    <w:rsid w:val="00D47B9D"/>
    <w:rsid w:val="00D47BB5"/>
    <w:rsid w:val="00D47C48"/>
    <w:rsid w:val="00D47CDA"/>
    <w:rsid w:val="00D47D27"/>
    <w:rsid w:val="00D47E41"/>
    <w:rsid w:val="00D47EC9"/>
    <w:rsid w:val="00D47F63"/>
    <w:rsid w:val="00D47F91"/>
    <w:rsid w:val="00D50008"/>
    <w:rsid w:val="00D50080"/>
    <w:rsid w:val="00D500AD"/>
    <w:rsid w:val="00D501A0"/>
    <w:rsid w:val="00D50200"/>
    <w:rsid w:val="00D50296"/>
    <w:rsid w:val="00D50322"/>
    <w:rsid w:val="00D50441"/>
    <w:rsid w:val="00D505FE"/>
    <w:rsid w:val="00D506D7"/>
    <w:rsid w:val="00D507AA"/>
    <w:rsid w:val="00D507DE"/>
    <w:rsid w:val="00D507E7"/>
    <w:rsid w:val="00D507F1"/>
    <w:rsid w:val="00D50879"/>
    <w:rsid w:val="00D50880"/>
    <w:rsid w:val="00D50913"/>
    <w:rsid w:val="00D50972"/>
    <w:rsid w:val="00D50A2F"/>
    <w:rsid w:val="00D50A40"/>
    <w:rsid w:val="00D50A44"/>
    <w:rsid w:val="00D50A7A"/>
    <w:rsid w:val="00D50B21"/>
    <w:rsid w:val="00D50B3E"/>
    <w:rsid w:val="00D50C16"/>
    <w:rsid w:val="00D50C86"/>
    <w:rsid w:val="00D50CBB"/>
    <w:rsid w:val="00D50D06"/>
    <w:rsid w:val="00D50D36"/>
    <w:rsid w:val="00D50DB0"/>
    <w:rsid w:val="00D50E0D"/>
    <w:rsid w:val="00D50E85"/>
    <w:rsid w:val="00D50EC0"/>
    <w:rsid w:val="00D50F7C"/>
    <w:rsid w:val="00D50FF6"/>
    <w:rsid w:val="00D51153"/>
    <w:rsid w:val="00D511D0"/>
    <w:rsid w:val="00D511E5"/>
    <w:rsid w:val="00D5124D"/>
    <w:rsid w:val="00D512D7"/>
    <w:rsid w:val="00D51317"/>
    <w:rsid w:val="00D513A3"/>
    <w:rsid w:val="00D513BE"/>
    <w:rsid w:val="00D514DD"/>
    <w:rsid w:val="00D51501"/>
    <w:rsid w:val="00D5159B"/>
    <w:rsid w:val="00D515B2"/>
    <w:rsid w:val="00D515C1"/>
    <w:rsid w:val="00D515E3"/>
    <w:rsid w:val="00D51610"/>
    <w:rsid w:val="00D51613"/>
    <w:rsid w:val="00D5171C"/>
    <w:rsid w:val="00D51747"/>
    <w:rsid w:val="00D517D4"/>
    <w:rsid w:val="00D51874"/>
    <w:rsid w:val="00D51898"/>
    <w:rsid w:val="00D51945"/>
    <w:rsid w:val="00D51A1A"/>
    <w:rsid w:val="00D51A27"/>
    <w:rsid w:val="00D51A95"/>
    <w:rsid w:val="00D51ACD"/>
    <w:rsid w:val="00D51AFB"/>
    <w:rsid w:val="00D51B9C"/>
    <w:rsid w:val="00D51BFE"/>
    <w:rsid w:val="00D51C0F"/>
    <w:rsid w:val="00D51D87"/>
    <w:rsid w:val="00D51F4A"/>
    <w:rsid w:val="00D52199"/>
    <w:rsid w:val="00D52246"/>
    <w:rsid w:val="00D522BC"/>
    <w:rsid w:val="00D522CB"/>
    <w:rsid w:val="00D523A8"/>
    <w:rsid w:val="00D523B2"/>
    <w:rsid w:val="00D52494"/>
    <w:rsid w:val="00D5268A"/>
    <w:rsid w:val="00D52784"/>
    <w:rsid w:val="00D52857"/>
    <w:rsid w:val="00D5299F"/>
    <w:rsid w:val="00D52A02"/>
    <w:rsid w:val="00D52A22"/>
    <w:rsid w:val="00D52B48"/>
    <w:rsid w:val="00D52BDA"/>
    <w:rsid w:val="00D52C3C"/>
    <w:rsid w:val="00D52C3F"/>
    <w:rsid w:val="00D52C8D"/>
    <w:rsid w:val="00D52D1D"/>
    <w:rsid w:val="00D52EAD"/>
    <w:rsid w:val="00D52F3B"/>
    <w:rsid w:val="00D52FB4"/>
    <w:rsid w:val="00D53068"/>
    <w:rsid w:val="00D5311A"/>
    <w:rsid w:val="00D53126"/>
    <w:rsid w:val="00D5316E"/>
    <w:rsid w:val="00D531B3"/>
    <w:rsid w:val="00D531CB"/>
    <w:rsid w:val="00D53240"/>
    <w:rsid w:val="00D532F4"/>
    <w:rsid w:val="00D53318"/>
    <w:rsid w:val="00D53382"/>
    <w:rsid w:val="00D5346A"/>
    <w:rsid w:val="00D534E6"/>
    <w:rsid w:val="00D53518"/>
    <w:rsid w:val="00D53548"/>
    <w:rsid w:val="00D53615"/>
    <w:rsid w:val="00D53742"/>
    <w:rsid w:val="00D539DD"/>
    <w:rsid w:val="00D53AFD"/>
    <w:rsid w:val="00D53BEB"/>
    <w:rsid w:val="00D53BF0"/>
    <w:rsid w:val="00D53C16"/>
    <w:rsid w:val="00D53CB2"/>
    <w:rsid w:val="00D53CFA"/>
    <w:rsid w:val="00D53D77"/>
    <w:rsid w:val="00D53DC4"/>
    <w:rsid w:val="00D53E1E"/>
    <w:rsid w:val="00D53FC4"/>
    <w:rsid w:val="00D53FE0"/>
    <w:rsid w:val="00D54048"/>
    <w:rsid w:val="00D5411F"/>
    <w:rsid w:val="00D541C9"/>
    <w:rsid w:val="00D54287"/>
    <w:rsid w:val="00D542B2"/>
    <w:rsid w:val="00D542B6"/>
    <w:rsid w:val="00D54448"/>
    <w:rsid w:val="00D544ED"/>
    <w:rsid w:val="00D5457F"/>
    <w:rsid w:val="00D545E9"/>
    <w:rsid w:val="00D546C4"/>
    <w:rsid w:val="00D54752"/>
    <w:rsid w:val="00D5481E"/>
    <w:rsid w:val="00D548E3"/>
    <w:rsid w:val="00D54964"/>
    <w:rsid w:val="00D54969"/>
    <w:rsid w:val="00D54A0F"/>
    <w:rsid w:val="00D54A75"/>
    <w:rsid w:val="00D54AC2"/>
    <w:rsid w:val="00D54BF7"/>
    <w:rsid w:val="00D54CAC"/>
    <w:rsid w:val="00D54D19"/>
    <w:rsid w:val="00D54D4E"/>
    <w:rsid w:val="00D54DD2"/>
    <w:rsid w:val="00D54E00"/>
    <w:rsid w:val="00D54E9E"/>
    <w:rsid w:val="00D54F12"/>
    <w:rsid w:val="00D55091"/>
    <w:rsid w:val="00D55115"/>
    <w:rsid w:val="00D55224"/>
    <w:rsid w:val="00D5523F"/>
    <w:rsid w:val="00D552C7"/>
    <w:rsid w:val="00D55353"/>
    <w:rsid w:val="00D55424"/>
    <w:rsid w:val="00D55522"/>
    <w:rsid w:val="00D5568F"/>
    <w:rsid w:val="00D556AA"/>
    <w:rsid w:val="00D55915"/>
    <w:rsid w:val="00D55AC7"/>
    <w:rsid w:val="00D55AF2"/>
    <w:rsid w:val="00D55AFD"/>
    <w:rsid w:val="00D55BCD"/>
    <w:rsid w:val="00D55C76"/>
    <w:rsid w:val="00D55D70"/>
    <w:rsid w:val="00D5602D"/>
    <w:rsid w:val="00D56039"/>
    <w:rsid w:val="00D560B4"/>
    <w:rsid w:val="00D56113"/>
    <w:rsid w:val="00D56155"/>
    <w:rsid w:val="00D5615F"/>
    <w:rsid w:val="00D56165"/>
    <w:rsid w:val="00D5617C"/>
    <w:rsid w:val="00D56214"/>
    <w:rsid w:val="00D56305"/>
    <w:rsid w:val="00D564FE"/>
    <w:rsid w:val="00D56561"/>
    <w:rsid w:val="00D56588"/>
    <w:rsid w:val="00D5659B"/>
    <w:rsid w:val="00D565BB"/>
    <w:rsid w:val="00D56677"/>
    <w:rsid w:val="00D567AF"/>
    <w:rsid w:val="00D567E1"/>
    <w:rsid w:val="00D56900"/>
    <w:rsid w:val="00D56924"/>
    <w:rsid w:val="00D5694C"/>
    <w:rsid w:val="00D56954"/>
    <w:rsid w:val="00D569B2"/>
    <w:rsid w:val="00D56AD5"/>
    <w:rsid w:val="00D56BB4"/>
    <w:rsid w:val="00D56C2D"/>
    <w:rsid w:val="00D56CB6"/>
    <w:rsid w:val="00D56E59"/>
    <w:rsid w:val="00D56FBC"/>
    <w:rsid w:val="00D57020"/>
    <w:rsid w:val="00D5708C"/>
    <w:rsid w:val="00D5709D"/>
    <w:rsid w:val="00D570C6"/>
    <w:rsid w:val="00D570D1"/>
    <w:rsid w:val="00D573CD"/>
    <w:rsid w:val="00D57410"/>
    <w:rsid w:val="00D5744D"/>
    <w:rsid w:val="00D5753A"/>
    <w:rsid w:val="00D57570"/>
    <w:rsid w:val="00D57642"/>
    <w:rsid w:val="00D576EE"/>
    <w:rsid w:val="00D57765"/>
    <w:rsid w:val="00D578B9"/>
    <w:rsid w:val="00D579C8"/>
    <w:rsid w:val="00D57A7E"/>
    <w:rsid w:val="00D57AAA"/>
    <w:rsid w:val="00D57BBC"/>
    <w:rsid w:val="00D57C95"/>
    <w:rsid w:val="00D57FB3"/>
    <w:rsid w:val="00D60104"/>
    <w:rsid w:val="00D60137"/>
    <w:rsid w:val="00D6013F"/>
    <w:rsid w:val="00D60286"/>
    <w:rsid w:val="00D6028F"/>
    <w:rsid w:val="00D60293"/>
    <w:rsid w:val="00D602ED"/>
    <w:rsid w:val="00D60307"/>
    <w:rsid w:val="00D6057B"/>
    <w:rsid w:val="00D6059A"/>
    <w:rsid w:val="00D60605"/>
    <w:rsid w:val="00D60697"/>
    <w:rsid w:val="00D60745"/>
    <w:rsid w:val="00D607C7"/>
    <w:rsid w:val="00D60991"/>
    <w:rsid w:val="00D60A6E"/>
    <w:rsid w:val="00D60A87"/>
    <w:rsid w:val="00D60A9C"/>
    <w:rsid w:val="00D60AA0"/>
    <w:rsid w:val="00D60B82"/>
    <w:rsid w:val="00D60BAB"/>
    <w:rsid w:val="00D60D1A"/>
    <w:rsid w:val="00D60E9E"/>
    <w:rsid w:val="00D60EA5"/>
    <w:rsid w:val="00D60EC0"/>
    <w:rsid w:val="00D60F25"/>
    <w:rsid w:val="00D610B7"/>
    <w:rsid w:val="00D610F7"/>
    <w:rsid w:val="00D61165"/>
    <w:rsid w:val="00D611E3"/>
    <w:rsid w:val="00D61216"/>
    <w:rsid w:val="00D613D4"/>
    <w:rsid w:val="00D6146B"/>
    <w:rsid w:val="00D61554"/>
    <w:rsid w:val="00D6158B"/>
    <w:rsid w:val="00D61639"/>
    <w:rsid w:val="00D6169E"/>
    <w:rsid w:val="00D61704"/>
    <w:rsid w:val="00D617B9"/>
    <w:rsid w:val="00D61816"/>
    <w:rsid w:val="00D6182A"/>
    <w:rsid w:val="00D618B3"/>
    <w:rsid w:val="00D6197A"/>
    <w:rsid w:val="00D61A68"/>
    <w:rsid w:val="00D61A7E"/>
    <w:rsid w:val="00D61AEA"/>
    <w:rsid w:val="00D61B99"/>
    <w:rsid w:val="00D61BEE"/>
    <w:rsid w:val="00D61BFC"/>
    <w:rsid w:val="00D61CBD"/>
    <w:rsid w:val="00D61CEB"/>
    <w:rsid w:val="00D61D0B"/>
    <w:rsid w:val="00D61D5F"/>
    <w:rsid w:val="00D61D88"/>
    <w:rsid w:val="00D61DF9"/>
    <w:rsid w:val="00D61EB5"/>
    <w:rsid w:val="00D61F05"/>
    <w:rsid w:val="00D61FA4"/>
    <w:rsid w:val="00D61FF3"/>
    <w:rsid w:val="00D620A7"/>
    <w:rsid w:val="00D620DE"/>
    <w:rsid w:val="00D620F7"/>
    <w:rsid w:val="00D621BA"/>
    <w:rsid w:val="00D62302"/>
    <w:rsid w:val="00D62303"/>
    <w:rsid w:val="00D6234F"/>
    <w:rsid w:val="00D623BD"/>
    <w:rsid w:val="00D62545"/>
    <w:rsid w:val="00D6262C"/>
    <w:rsid w:val="00D6262F"/>
    <w:rsid w:val="00D62638"/>
    <w:rsid w:val="00D626AD"/>
    <w:rsid w:val="00D6271D"/>
    <w:rsid w:val="00D6274E"/>
    <w:rsid w:val="00D627AB"/>
    <w:rsid w:val="00D62892"/>
    <w:rsid w:val="00D628E1"/>
    <w:rsid w:val="00D629C3"/>
    <w:rsid w:val="00D62A81"/>
    <w:rsid w:val="00D62A96"/>
    <w:rsid w:val="00D62ACE"/>
    <w:rsid w:val="00D62B94"/>
    <w:rsid w:val="00D62BD7"/>
    <w:rsid w:val="00D62C32"/>
    <w:rsid w:val="00D62C95"/>
    <w:rsid w:val="00D62D1A"/>
    <w:rsid w:val="00D62F0A"/>
    <w:rsid w:val="00D62FB0"/>
    <w:rsid w:val="00D631C8"/>
    <w:rsid w:val="00D63217"/>
    <w:rsid w:val="00D63336"/>
    <w:rsid w:val="00D633F0"/>
    <w:rsid w:val="00D6340D"/>
    <w:rsid w:val="00D63412"/>
    <w:rsid w:val="00D6345E"/>
    <w:rsid w:val="00D63511"/>
    <w:rsid w:val="00D6352D"/>
    <w:rsid w:val="00D63645"/>
    <w:rsid w:val="00D6364A"/>
    <w:rsid w:val="00D63684"/>
    <w:rsid w:val="00D63741"/>
    <w:rsid w:val="00D6374D"/>
    <w:rsid w:val="00D637B2"/>
    <w:rsid w:val="00D63887"/>
    <w:rsid w:val="00D638BA"/>
    <w:rsid w:val="00D638C9"/>
    <w:rsid w:val="00D63937"/>
    <w:rsid w:val="00D63A24"/>
    <w:rsid w:val="00D63A8D"/>
    <w:rsid w:val="00D63C23"/>
    <w:rsid w:val="00D63C4C"/>
    <w:rsid w:val="00D63D7F"/>
    <w:rsid w:val="00D63DF3"/>
    <w:rsid w:val="00D63E95"/>
    <w:rsid w:val="00D63EDC"/>
    <w:rsid w:val="00D63F8B"/>
    <w:rsid w:val="00D63FD6"/>
    <w:rsid w:val="00D63FDA"/>
    <w:rsid w:val="00D64024"/>
    <w:rsid w:val="00D640F8"/>
    <w:rsid w:val="00D64137"/>
    <w:rsid w:val="00D6425C"/>
    <w:rsid w:val="00D64361"/>
    <w:rsid w:val="00D643F4"/>
    <w:rsid w:val="00D6441F"/>
    <w:rsid w:val="00D644CE"/>
    <w:rsid w:val="00D64525"/>
    <w:rsid w:val="00D645A9"/>
    <w:rsid w:val="00D6462D"/>
    <w:rsid w:val="00D646AD"/>
    <w:rsid w:val="00D64750"/>
    <w:rsid w:val="00D64808"/>
    <w:rsid w:val="00D648A5"/>
    <w:rsid w:val="00D64A5B"/>
    <w:rsid w:val="00D64A78"/>
    <w:rsid w:val="00D64A7E"/>
    <w:rsid w:val="00D64AD0"/>
    <w:rsid w:val="00D64B5A"/>
    <w:rsid w:val="00D64BAF"/>
    <w:rsid w:val="00D64C2A"/>
    <w:rsid w:val="00D64C2C"/>
    <w:rsid w:val="00D64D87"/>
    <w:rsid w:val="00D650B8"/>
    <w:rsid w:val="00D651F0"/>
    <w:rsid w:val="00D6523B"/>
    <w:rsid w:val="00D652BF"/>
    <w:rsid w:val="00D65307"/>
    <w:rsid w:val="00D6530D"/>
    <w:rsid w:val="00D655C4"/>
    <w:rsid w:val="00D655FE"/>
    <w:rsid w:val="00D656EE"/>
    <w:rsid w:val="00D65775"/>
    <w:rsid w:val="00D657E7"/>
    <w:rsid w:val="00D6587E"/>
    <w:rsid w:val="00D65926"/>
    <w:rsid w:val="00D65945"/>
    <w:rsid w:val="00D65AC2"/>
    <w:rsid w:val="00D65C81"/>
    <w:rsid w:val="00D65C8C"/>
    <w:rsid w:val="00D65D40"/>
    <w:rsid w:val="00D65E2A"/>
    <w:rsid w:val="00D65E80"/>
    <w:rsid w:val="00D65F63"/>
    <w:rsid w:val="00D66032"/>
    <w:rsid w:val="00D6609A"/>
    <w:rsid w:val="00D66133"/>
    <w:rsid w:val="00D662A9"/>
    <w:rsid w:val="00D662EE"/>
    <w:rsid w:val="00D6632C"/>
    <w:rsid w:val="00D66412"/>
    <w:rsid w:val="00D664A9"/>
    <w:rsid w:val="00D664B6"/>
    <w:rsid w:val="00D66521"/>
    <w:rsid w:val="00D66578"/>
    <w:rsid w:val="00D665F4"/>
    <w:rsid w:val="00D666C2"/>
    <w:rsid w:val="00D66770"/>
    <w:rsid w:val="00D668C8"/>
    <w:rsid w:val="00D668FD"/>
    <w:rsid w:val="00D66905"/>
    <w:rsid w:val="00D66967"/>
    <w:rsid w:val="00D669AC"/>
    <w:rsid w:val="00D66A11"/>
    <w:rsid w:val="00D66AC7"/>
    <w:rsid w:val="00D66B70"/>
    <w:rsid w:val="00D66C12"/>
    <w:rsid w:val="00D66CF4"/>
    <w:rsid w:val="00D66D1A"/>
    <w:rsid w:val="00D66D86"/>
    <w:rsid w:val="00D66DE3"/>
    <w:rsid w:val="00D66E41"/>
    <w:rsid w:val="00D66FA5"/>
    <w:rsid w:val="00D670D0"/>
    <w:rsid w:val="00D67112"/>
    <w:rsid w:val="00D671E6"/>
    <w:rsid w:val="00D671F1"/>
    <w:rsid w:val="00D67230"/>
    <w:rsid w:val="00D6723B"/>
    <w:rsid w:val="00D67345"/>
    <w:rsid w:val="00D6741E"/>
    <w:rsid w:val="00D674CD"/>
    <w:rsid w:val="00D675AB"/>
    <w:rsid w:val="00D676C1"/>
    <w:rsid w:val="00D6776C"/>
    <w:rsid w:val="00D6795A"/>
    <w:rsid w:val="00D67973"/>
    <w:rsid w:val="00D6798B"/>
    <w:rsid w:val="00D679B3"/>
    <w:rsid w:val="00D679CD"/>
    <w:rsid w:val="00D679FE"/>
    <w:rsid w:val="00D67BA1"/>
    <w:rsid w:val="00D67BE1"/>
    <w:rsid w:val="00D67C25"/>
    <w:rsid w:val="00D67CFB"/>
    <w:rsid w:val="00D67D52"/>
    <w:rsid w:val="00D67D74"/>
    <w:rsid w:val="00D67D91"/>
    <w:rsid w:val="00D67F48"/>
    <w:rsid w:val="00D67F4E"/>
    <w:rsid w:val="00D67FCC"/>
    <w:rsid w:val="00D67FF7"/>
    <w:rsid w:val="00D6B9C6"/>
    <w:rsid w:val="00D70073"/>
    <w:rsid w:val="00D701AE"/>
    <w:rsid w:val="00D7020C"/>
    <w:rsid w:val="00D70244"/>
    <w:rsid w:val="00D70275"/>
    <w:rsid w:val="00D70303"/>
    <w:rsid w:val="00D7037C"/>
    <w:rsid w:val="00D703BE"/>
    <w:rsid w:val="00D703D9"/>
    <w:rsid w:val="00D70435"/>
    <w:rsid w:val="00D70496"/>
    <w:rsid w:val="00D70555"/>
    <w:rsid w:val="00D705AB"/>
    <w:rsid w:val="00D7063D"/>
    <w:rsid w:val="00D706D2"/>
    <w:rsid w:val="00D70752"/>
    <w:rsid w:val="00D709FB"/>
    <w:rsid w:val="00D70A32"/>
    <w:rsid w:val="00D70ACD"/>
    <w:rsid w:val="00D70B72"/>
    <w:rsid w:val="00D70BE4"/>
    <w:rsid w:val="00D70E60"/>
    <w:rsid w:val="00D70EF8"/>
    <w:rsid w:val="00D71011"/>
    <w:rsid w:val="00D71088"/>
    <w:rsid w:val="00D7108F"/>
    <w:rsid w:val="00D711F8"/>
    <w:rsid w:val="00D71287"/>
    <w:rsid w:val="00D712C7"/>
    <w:rsid w:val="00D7131B"/>
    <w:rsid w:val="00D71332"/>
    <w:rsid w:val="00D7138B"/>
    <w:rsid w:val="00D713A4"/>
    <w:rsid w:val="00D713F8"/>
    <w:rsid w:val="00D71523"/>
    <w:rsid w:val="00D715BF"/>
    <w:rsid w:val="00D7166C"/>
    <w:rsid w:val="00D716F3"/>
    <w:rsid w:val="00D717A7"/>
    <w:rsid w:val="00D717FA"/>
    <w:rsid w:val="00D71836"/>
    <w:rsid w:val="00D7184A"/>
    <w:rsid w:val="00D7188D"/>
    <w:rsid w:val="00D71902"/>
    <w:rsid w:val="00D71A1F"/>
    <w:rsid w:val="00D71A26"/>
    <w:rsid w:val="00D71A2D"/>
    <w:rsid w:val="00D71ACA"/>
    <w:rsid w:val="00D71AEE"/>
    <w:rsid w:val="00D71AF1"/>
    <w:rsid w:val="00D71D1E"/>
    <w:rsid w:val="00D71DDD"/>
    <w:rsid w:val="00D71E44"/>
    <w:rsid w:val="00D71E8C"/>
    <w:rsid w:val="00D71F05"/>
    <w:rsid w:val="00D71FC3"/>
    <w:rsid w:val="00D71FF6"/>
    <w:rsid w:val="00D72003"/>
    <w:rsid w:val="00D72052"/>
    <w:rsid w:val="00D7206D"/>
    <w:rsid w:val="00D72177"/>
    <w:rsid w:val="00D7219C"/>
    <w:rsid w:val="00D7224B"/>
    <w:rsid w:val="00D72388"/>
    <w:rsid w:val="00D7238E"/>
    <w:rsid w:val="00D72393"/>
    <w:rsid w:val="00D723CA"/>
    <w:rsid w:val="00D72405"/>
    <w:rsid w:val="00D72457"/>
    <w:rsid w:val="00D72498"/>
    <w:rsid w:val="00D724FA"/>
    <w:rsid w:val="00D72592"/>
    <w:rsid w:val="00D7259A"/>
    <w:rsid w:val="00D725F7"/>
    <w:rsid w:val="00D7268A"/>
    <w:rsid w:val="00D7271B"/>
    <w:rsid w:val="00D7286F"/>
    <w:rsid w:val="00D72911"/>
    <w:rsid w:val="00D729AB"/>
    <w:rsid w:val="00D729FF"/>
    <w:rsid w:val="00D72B37"/>
    <w:rsid w:val="00D72B63"/>
    <w:rsid w:val="00D72B7D"/>
    <w:rsid w:val="00D72B97"/>
    <w:rsid w:val="00D72BC7"/>
    <w:rsid w:val="00D72C16"/>
    <w:rsid w:val="00D72C17"/>
    <w:rsid w:val="00D72D92"/>
    <w:rsid w:val="00D72E25"/>
    <w:rsid w:val="00D72E57"/>
    <w:rsid w:val="00D72F35"/>
    <w:rsid w:val="00D73036"/>
    <w:rsid w:val="00D7306A"/>
    <w:rsid w:val="00D730F3"/>
    <w:rsid w:val="00D73164"/>
    <w:rsid w:val="00D7318C"/>
    <w:rsid w:val="00D73254"/>
    <w:rsid w:val="00D733D8"/>
    <w:rsid w:val="00D73428"/>
    <w:rsid w:val="00D73514"/>
    <w:rsid w:val="00D735B5"/>
    <w:rsid w:val="00D735FC"/>
    <w:rsid w:val="00D73692"/>
    <w:rsid w:val="00D73714"/>
    <w:rsid w:val="00D737C0"/>
    <w:rsid w:val="00D7395F"/>
    <w:rsid w:val="00D7398C"/>
    <w:rsid w:val="00D73A50"/>
    <w:rsid w:val="00D73A66"/>
    <w:rsid w:val="00D73DF9"/>
    <w:rsid w:val="00D73EC3"/>
    <w:rsid w:val="00D73F01"/>
    <w:rsid w:val="00D73F86"/>
    <w:rsid w:val="00D7411C"/>
    <w:rsid w:val="00D74127"/>
    <w:rsid w:val="00D74223"/>
    <w:rsid w:val="00D7422A"/>
    <w:rsid w:val="00D74276"/>
    <w:rsid w:val="00D7437A"/>
    <w:rsid w:val="00D7438A"/>
    <w:rsid w:val="00D743C5"/>
    <w:rsid w:val="00D745E6"/>
    <w:rsid w:val="00D74717"/>
    <w:rsid w:val="00D7474A"/>
    <w:rsid w:val="00D74816"/>
    <w:rsid w:val="00D7490E"/>
    <w:rsid w:val="00D74946"/>
    <w:rsid w:val="00D7498B"/>
    <w:rsid w:val="00D74A2F"/>
    <w:rsid w:val="00D74B4E"/>
    <w:rsid w:val="00D74C04"/>
    <w:rsid w:val="00D74C1F"/>
    <w:rsid w:val="00D74C22"/>
    <w:rsid w:val="00D74C33"/>
    <w:rsid w:val="00D74C5D"/>
    <w:rsid w:val="00D74E61"/>
    <w:rsid w:val="00D74F25"/>
    <w:rsid w:val="00D74F92"/>
    <w:rsid w:val="00D75048"/>
    <w:rsid w:val="00D75168"/>
    <w:rsid w:val="00D752B4"/>
    <w:rsid w:val="00D753D5"/>
    <w:rsid w:val="00D753FD"/>
    <w:rsid w:val="00D754E3"/>
    <w:rsid w:val="00D754FD"/>
    <w:rsid w:val="00D7558E"/>
    <w:rsid w:val="00D7565E"/>
    <w:rsid w:val="00D75912"/>
    <w:rsid w:val="00D75921"/>
    <w:rsid w:val="00D759B4"/>
    <w:rsid w:val="00D759D8"/>
    <w:rsid w:val="00D75A10"/>
    <w:rsid w:val="00D75A98"/>
    <w:rsid w:val="00D75BA7"/>
    <w:rsid w:val="00D75BDF"/>
    <w:rsid w:val="00D75D16"/>
    <w:rsid w:val="00D75D7D"/>
    <w:rsid w:val="00D75D9A"/>
    <w:rsid w:val="00D75DC6"/>
    <w:rsid w:val="00D75EAF"/>
    <w:rsid w:val="00D75F7A"/>
    <w:rsid w:val="00D7602E"/>
    <w:rsid w:val="00D76074"/>
    <w:rsid w:val="00D76138"/>
    <w:rsid w:val="00D76174"/>
    <w:rsid w:val="00D7627A"/>
    <w:rsid w:val="00D762A8"/>
    <w:rsid w:val="00D764C6"/>
    <w:rsid w:val="00D76548"/>
    <w:rsid w:val="00D76663"/>
    <w:rsid w:val="00D7666F"/>
    <w:rsid w:val="00D7668B"/>
    <w:rsid w:val="00D766C0"/>
    <w:rsid w:val="00D76702"/>
    <w:rsid w:val="00D7671F"/>
    <w:rsid w:val="00D76726"/>
    <w:rsid w:val="00D767DB"/>
    <w:rsid w:val="00D767FA"/>
    <w:rsid w:val="00D76898"/>
    <w:rsid w:val="00D768DA"/>
    <w:rsid w:val="00D76AE3"/>
    <w:rsid w:val="00D76B1E"/>
    <w:rsid w:val="00D76B21"/>
    <w:rsid w:val="00D76B36"/>
    <w:rsid w:val="00D76CD2"/>
    <w:rsid w:val="00D76CE8"/>
    <w:rsid w:val="00D76D82"/>
    <w:rsid w:val="00D76E99"/>
    <w:rsid w:val="00D76F48"/>
    <w:rsid w:val="00D770B3"/>
    <w:rsid w:val="00D771F3"/>
    <w:rsid w:val="00D771FF"/>
    <w:rsid w:val="00D772A0"/>
    <w:rsid w:val="00D7732F"/>
    <w:rsid w:val="00D773FF"/>
    <w:rsid w:val="00D775EC"/>
    <w:rsid w:val="00D77648"/>
    <w:rsid w:val="00D7779E"/>
    <w:rsid w:val="00D777A3"/>
    <w:rsid w:val="00D7792B"/>
    <w:rsid w:val="00D7792D"/>
    <w:rsid w:val="00D77934"/>
    <w:rsid w:val="00D77977"/>
    <w:rsid w:val="00D779BA"/>
    <w:rsid w:val="00D77C09"/>
    <w:rsid w:val="00D77C7E"/>
    <w:rsid w:val="00D77DEE"/>
    <w:rsid w:val="00D77E94"/>
    <w:rsid w:val="00D80015"/>
    <w:rsid w:val="00D80078"/>
    <w:rsid w:val="00D800D3"/>
    <w:rsid w:val="00D8016B"/>
    <w:rsid w:val="00D801E9"/>
    <w:rsid w:val="00D80229"/>
    <w:rsid w:val="00D80297"/>
    <w:rsid w:val="00D802E3"/>
    <w:rsid w:val="00D802F0"/>
    <w:rsid w:val="00D80349"/>
    <w:rsid w:val="00D80432"/>
    <w:rsid w:val="00D804D5"/>
    <w:rsid w:val="00D80590"/>
    <w:rsid w:val="00D805BE"/>
    <w:rsid w:val="00D80714"/>
    <w:rsid w:val="00D807F6"/>
    <w:rsid w:val="00D80802"/>
    <w:rsid w:val="00D80855"/>
    <w:rsid w:val="00D808AC"/>
    <w:rsid w:val="00D808C5"/>
    <w:rsid w:val="00D808F9"/>
    <w:rsid w:val="00D80AD4"/>
    <w:rsid w:val="00D80AD5"/>
    <w:rsid w:val="00D80BFE"/>
    <w:rsid w:val="00D80C32"/>
    <w:rsid w:val="00D80C9D"/>
    <w:rsid w:val="00D80CC5"/>
    <w:rsid w:val="00D80E1D"/>
    <w:rsid w:val="00D80E38"/>
    <w:rsid w:val="00D80F09"/>
    <w:rsid w:val="00D80F84"/>
    <w:rsid w:val="00D80FEA"/>
    <w:rsid w:val="00D81074"/>
    <w:rsid w:val="00D81141"/>
    <w:rsid w:val="00D8125A"/>
    <w:rsid w:val="00D8130B"/>
    <w:rsid w:val="00D81315"/>
    <w:rsid w:val="00D81559"/>
    <w:rsid w:val="00D81579"/>
    <w:rsid w:val="00D81702"/>
    <w:rsid w:val="00D81851"/>
    <w:rsid w:val="00D81B7D"/>
    <w:rsid w:val="00D81B99"/>
    <w:rsid w:val="00D81CAB"/>
    <w:rsid w:val="00D81E90"/>
    <w:rsid w:val="00D81EBF"/>
    <w:rsid w:val="00D81EDA"/>
    <w:rsid w:val="00D81F6E"/>
    <w:rsid w:val="00D82011"/>
    <w:rsid w:val="00D82014"/>
    <w:rsid w:val="00D8208D"/>
    <w:rsid w:val="00D82154"/>
    <w:rsid w:val="00D821B9"/>
    <w:rsid w:val="00D821D3"/>
    <w:rsid w:val="00D82221"/>
    <w:rsid w:val="00D82275"/>
    <w:rsid w:val="00D823B9"/>
    <w:rsid w:val="00D8246F"/>
    <w:rsid w:val="00D824B6"/>
    <w:rsid w:val="00D8251B"/>
    <w:rsid w:val="00D82680"/>
    <w:rsid w:val="00D826A3"/>
    <w:rsid w:val="00D826CC"/>
    <w:rsid w:val="00D82751"/>
    <w:rsid w:val="00D82801"/>
    <w:rsid w:val="00D8289C"/>
    <w:rsid w:val="00D82944"/>
    <w:rsid w:val="00D82949"/>
    <w:rsid w:val="00D829B7"/>
    <w:rsid w:val="00D829FF"/>
    <w:rsid w:val="00D82A99"/>
    <w:rsid w:val="00D82B13"/>
    <w:rsid w:val="00D82B41"/>
    <w:rsid w:val="00D82C0C"/>
    <w:rsid w:val="00D82CDA"/>
    <w:rsid w:val="00D82DDA"/>
    <w:rsid w:val="00D82E52"/>
    <w:rsid w:val="00D82FC6"/>
    <w:rsid w:val="00D83008"/>
    <w:rsid w:val="00D8303C"/>
    <w:rsid w:val="00D830D8"/>
    <w:rsid w:val="00D8314E"/>
    <w:rsid w:val="00D831AF"/>
    <w:rsid w:val="00D831CB"/>
    <w:rsid w:val="00D832A0"/>
    <w:rsid w:val="00D833D9"/>
    <w:rsid w:val="00D83423"/>
    <w:rsid w:val="00D834B6"/>
    <w:rsid w:val="00D83642"/>
    <w:rsid w:val="00D83671"/>
    <w:rsid w:val="00D83689"/>
    <w:rsid w:val="00D836B3"/>
    <w:rsid w:val="00D8371D"/>
    <w:rsid w:val="00D83894"/>
    <w:rsid w:val="00D839DF"/>
    <w:rsid w:val="00D83A09"/>
    <w:rsid w:val="00D83A2F"/>
    <w:rsid w:val="00D83AF7"/>
    <w:rsid w:val="00D83B34"/>
    <w:rsid w:val="00D83BD9"/>
    <w:rsid w:val="00D83C61"/>
    <w:rsid w:val="00D83D86"/>
    <w:rsid w:val="00D83E5E"/>
    <w:rsid w:val="00D83EBE"/>
    <w:rsid w:val="00D83F44"/>
    <w:rsid w:val="00D83F59"/>
    <w:rsid w:val="00D84190"/>
    <w:rsid w:val="00D841BA"/>
    <w:rsid w:val="00D84307"/>
    <w:rsid w:val="00D84424"/>
    <w:rsid w:val="00D8443A"/>
    <w:rsid w:val="00D84474"/>
    <w:rsid w:val="00D844A2"/>
    <w:rsid w:val="00D844C0"/>
    <w:rsid w:val="00D844D8"/>
    <w:rsid w:val="00D844EB"/>
    <w:rsid w:val="00D8455A"/>
    <w:rsid w:val="00D845A3"/>
    <w:rsid w:val="00D845F1"/>
    <w:rsid w:val="00D84616"/>
    <w:rsid w:val="00D8468B"/>
    <w:rsid w:val="00D84695"/>
    <w:rsid w:val="00D8469A"/>
    <w:rsid w:val="00D84705"/>
    <w:rsid w:val="00D8472A"/>
    <w:rsid w:val="00D84734"/>
    <w:rsid w:val="00D847F7"/>
    <w:rsid w:val="00D84954"/>
    <w:rsid w:val="00D84B5D"/>
    <w:rsid w:val="00D84C16"/>
    <w:rsid w:val="00D84C7A"/>
    <w:rsid w:val="00D84CE9"/>
    <w:rsid w:val="00D84CED"/>
    <w:rsid w:val="00D84CFB"/>
    <w:rsid w:val="00D84D14"/>
    <w:rsid w:val="00D84DD5"/>
    <w:rsid w:val="00D84E12"/>
    <w:rsid w:val="00D84E14"/>
    <w:rsid w:val="00D84EB7"/>
    <w:rsid w:val="00D84FEA"/>
    <w:rsid w:val="00D85171"/>
    <w:rsid w:val="00D851C7"/>
    <w:rsid w:val="00D852D5"/>
    <w:rsid w:val="00D855C3"/>
    <w:rsid w:val="00D855CF"/>
    <w:rsid w:val="00D8560F"/>
    <w:rsid w:val="00D85658"/>
    <w:rsid w:val="00D8567B"/>
    <w:rsid w:val="00D85695"/>
    <w:rsid w:val="00D8580F"/>
    <w:rsid w:val="00D85934"/>
    <w:rsid w:val="00D85B42"/>
    <w:rsid w:val="00D85B58"/>
    <w:rsid w:val="00D85F0B"/>
    <w:rsid w:val="00D85F25"/>
    <w:rsid w:val="00D85FBD"/>
    <w:rsid w:val="00D85FE1"/>
    <w:rsid w:val="00D85FEB"/>
    <w:rsid w:val="00D860E2"/>
    <w:rsid w:val="00D86240"/>
    <w:rsid w:val="00D86306"/>
    <w:rsid w:val="00D863C4"/>
    <w:rsid w:val="00D86494"/>
    <w:rsid w:val="00D864CF"/>
    <w:rsid w:val="00D8657D"/>
    <w:rsid w:val="00D866A2"/>
    <w:rsid w:val="00D867A3"/>
    <w:rsid w:val="00D867B3"/>
    <w:rsid w:val="00D86940"/>
    <w:rsid w:val="00D869E0"/>
    <w:rsid w:val="00D86ACD"/>
    <w:rsid w:val="00D86B46"/>
    <w:rsid w:val="00D86BCB"/>
    <w:rsid w:val="00D86C69"/>
    <w:rsid w:val="00D86CC6"/>
    <w:rsid w:val="00D86D1C"/>
    <w:rsid w:val="00D86D8F"/>
    <w:rsid w:val="00D86E16"/>
    <w:rsid w:val="00D86E76"/>
    <w:rsid w:val="00D86EAC"/>
    <w:rsid w:val="00D86F7B"/>
    <w:rsid w:val="00D8702E"/>
    <w:rsid w:val="00D87090"/>
    <w:rsid w:val="00D870FD"/>
    <w:rsid w:val="00D8715D"/>
    <w:rsid w:val="00D87174"/>
    <w:rsid w:val="00D871CC"/>
    <w:rsid w:val="00D871DB"/>
    <w:rsid w:val="00D8736A"/>
    <w:rsid w:val="00D8737D"/>
    <w:rsid w:val="00D87405"/>
    <w:rsid w:val="00D8740F"/>
    <w:rsid w:val="00D87453"/>
    <w:rsid w:val="00D8749B"/>
    <w:rsid w:val="00D8762A"/>
    <w:rsid w:val="00D8763D"/>
    <w:rsid w:val="00D8774D"/>
    <w:rsid w:val="00D8782A"/>
    <w:rsid w:val="00D87892"/>
    <w:rsid w:val="00D8790D"/>
    <w:rsid w:val="00D87B59"/>
    <w:rsid w:val="00D87C63"/>
    <w:rsid w:val="00D87E2A"/>
    <w:rsid w:val="00D90293"/>
    <w:rsid w:val="00D9029A"/>
    <w:rsid w:val="00D90334"/>
    <w:rsid w:val="00D9037A"/>
    <w:rsid w:val="00D903CA"/>
    <w:rsid w:val="00D904C4"/>
    <w:rsid w:val="00D9051A"/>
    <w:rsid w:val="00D90527"/>
    <w:rsid w:val="00D9052A"/>
    <w:rsid w:val="00D9060A"/>
    <w:rsid w:val="00D9069B"/>
    <w:rsid w:val="00D906AB"/>
    <w:rsid w:val="00D907AF"/>
    <w:rsid w:val="00D907F0"/>
    <w:rsid w:val="00D90807"/>
    <w:rsid w:val="00D908A5"/>
    <w:rsid w:val="00D908FE"/>
    <w:rsid w:val="00D909AB"/>
    <w:rsid w:val="00D90A3C"/>
    <w:rsid w:val="00D90AB0"/>
    <w:rsid w:val="00D90AE7"/>
    <w:rsid w:val="00D90B3B"/>
    <w:rsid w:val="00D90C00"/>
    <w:rsid w:val="00D90CC0"/>
    <w:rsid w:val="00D90CED"/>
    <w:rsid w:val="00D90D1B"/>
    <w:rsid w:val="00D90D25"/>
    <w:rsid w:val="00D90D7A"/>
    <w:rsid w:val="00D90E02"/>
    <w:rsid w:val="00D90E48"/>
    <w:rsid w:val="00D91020"/>
    <w:rsid w:val="00D910D1"/>
    <w:rsid w:val="00D911D6"/>
    <w:rsid w:val="00D91385"/>
    <w:rsid w:val="00D913FD"/>
    <w:rsid w:val="00D914D0"/>
    <w:rsid w:val="00D91553"/>
    <w:rsid w:val="00D915C7"/>
    <w:rsid w:val="00D9162F"/>
    <w:rsid w:val="00D916DB"/>
    <w:rsid w:val="00D9194A"/>
    <w:rsid w:val="00D919BE"/>
    <w:rsid w:val="00D91A6F"/>
    <w:rsid w:val="00D91B89"/>
    <w:rsid w:val="00D91BE7"/>
    <w:rsid w:val="00D91CAE"/>
    <w:rsid w:val="00D91D44"/>
    <w:rsid w:val="00D91D89"/>
    <w:rsid w:val="00D91D99"/>
    <w:rsid w:val="00D91DEA"/>
    <w:rsid w:val="00D91FA5"/>
    <w:rsid w:val="00D92144"/>
    <w:rsid w:val="00D9217C"/>
    <w:rsid w:val="00D921A0"/>
    <w:rsid w:val="00D9240A"/>
    <w:rsid w:val="00D9245F"/>
    <w:rsid w:val="00D924C5"/>
    <w:rsid w:val="00D9255B"/>
    <w:rsid w:val="00D92589"/>
    <w:rsid w:val="00D92595"/>
    <w:rsid w:val="00D925A1"/>
    <w:rsid w:val="00D926D6"/>
    <w:rsid w:val="00D926EA"/>
    <w:rsid w:val="00D9270F"/>
    <w:rsid w:val="00D927C9"/>
    <w:rsid w:val="00D927E3"/>
    <w:rsid w:val="00D92831"/>
    <w:rsid w:val="00D928E6"/>
    <w:rsid w:val="00D92ABB"/>
    <w:rsid w:val="00D92ABF"/>
    <w:rsid w:val="00D92C2F"/>
    <w:rsid w:val="00D92CBE"/>
    <w:rsid w:val="00D92CC6"/>
    <w:rsid w:val="00D92CE0"/>
    <w:rsid w:val="00D92D74"/>
    <w:rsid w:val="00D92E72"/>
    <w:rsid w:val="00D92E88"/>
    <w:rsid w:val="00D92F0B"/>
    <w:rsid w:val="00D93096"/>
    <w:rsid w:val="00D930C3"/>
    <w:rsid w:val="00D9311D"/>
    <w:rsid w:val="00D93137"/>
    <w:rsid w:val="00D9317E"/>
    <w:rsid w:val="00D93236"/>
    <w:rsid w:val="00D9324F"/>
    <w:rsid w:val="00D93380"/>
    <w:rsid w:val="00D933A1"/>
    <w:rsid w:val="00D933F2"/>
    <w:rsid w:val="00D9345D"/>
    <w:rsid w:val="00D93547"/>
    <w:rsid w:val="00D93583"/>
    <w:rsid w:val="00D93599"/>
    <w:rsid w:val="00D936AF"/>
    <w:rsid w:val="00D936D1"/>
    <w:rsid w:val="00D93888"/>
    <w:rsid w:val="00D938B8"/>
    <w:rsid w:val="00D939AF"/>
    <w:rsid w:val="00D93B1C"/>
    <w:rsid w:val="00D93C40"/>
    <w:rsid w:val="00D93DFD"/>
    <w:rsid w:val="00D93E09"/>
    <w:rsid w:val="00D93E9C"/>
    <w:rsid w:val="00D93F61"/>
    <w:rsid w:val="00D94011"/>
    <w:rsid w:val="00D94015"/>
    <w:rsid w:val="00D9401E"/>
    <w:rsid w:val="00D9402A"/>
    <w:rsid w:val="00D94070"/>
    <w:rsid w:val="00D94274"/>
    <w:rsid w:val="00D945A1"/>
    <w:rsid w:val="00D94648"/>
    <w:rsid w:val="00D9478A"/>
    <w:rsid w:val="00D9483F"/>
    <w:rsid w:val="00D94866"/>
    <w:rsid w:val="00D94878"/>
    <w:rsid w:val="00D94886"/>
    <w:rsid w:val="00D948ED"/>
    <w:rsid w:val="00D94A68"/>
    <w:rsid w:val="00D94B45"/>
    <w:rsid w:val="00D94C1A"/>
    <w:rsid w:val="00D94D14"/>
    <w:rsid w:val="00D94DCF"/>
    <w:rsid w:val="00D94E00"/>
    <w:rsid w:val="00D94EAE"/>
    <w:rsid w:val="00D94FA0"/>
    <w:rsid w:val="00D94FFA"/>
    <w:rsid w:val="00D950CD"/>
    <w:rsid w:val="00D951AC"/>
    <w:rsid w:val="00D952A9"/>
    <w:rsid w:val="00D952C0"/>
    <w:rsid w:val="00D952E5"/>
    <w:rsid w:val="00D952FC"/>
    <w:rsid w:val="00D9536F"/>
    <w:rsid w:val="00D95393"/>
    <w:rsid w:val="00D953C8"/>
    <w:rsid w:val="00D954D2"/>
    <w:rsid w:val="00D95600"/>
    <w:rsid w:val="00D956AD"/>
    <w:rsid w:val="00D956B7"/>
    <w:rsid w:val="00D956E2"/>
    <w:rsid w:val="00D956E6"/>
    <w:rsid w:val="00D95772"/>
    <w:rsid w:val="00D95799"/>
    <w:rsid w:val="00D95A6D"/>
    <w:rsid w:val="00D95A89"/>
    <w:rsid w:val="00D95B6F"/>
    <w:rsid w:val="00D95B8B"/>
    <w:rsid w:val="00D95BFB"/>
    <w:rsid w:val="00D95CB6"/>
    <w:rsid w:val="00D95D6E"/>
    <w:rsid w:val="00D95E47"/>
    <w:rsid w:val="00D95EAC"/>
    <w:rsid w:val="00D95F48"/>
    <w:rsid w:val="00D95F4C"/>
    <w:rsid w:val="00D96031"/>
    <w:rsid w:val="00D96037"/>
    <w:rsid w:val="00D9607A"/>
    <w:rsid w:val="00D9611F"/>
    <w:rsid w:val="00D964E8"/>
    <w:rsid w:val="00D9659A"/>
    <w:rsid w:val="00D9660C"/>
    <w:rsid w:val="00D96619"/>
    <w:rsid w:val="00D9663A"/>
    <w:rsid w:val="00D966E5"/>
    <w:rsid w:val="00D967C7"/>
    <w:rsid w:val="00D9684E"/>
    <w:rsid w:val="00D96877"/>
    <w:rsid w:val="00D96942"/>
    <w:rsid w:val="00D9699B"/>
    <w:rsid w:val="00D969A9"/>
    <w:rsid w:val="00D96AE9"/>
    <w:rsid w:val="00D96B6C"/>
    <w:rsid w:val="00D96B95"/>
    <w:rsid w:val="00D96C5A"/>
    <w:rsid w:val="00D96E87"/>
    <w:rsid w:val="00D97032"/>
    <w:rsid w:val="00D970B8"/>
    <w:rsid w:val="00D97159"/>
    <w:rsid w:val="00D97220"/>
    <w:rsid w:val="00D97253"/>
    <w:rsid w:val="00D972DC"/>
    <w:rsid w:val="00D97321"/>
    <w:rsid w:val="00D97332"/>
    <w:rsid w:val="00D97629"/>
    <w:rsid w:val="00D9772C"/>
    <w:rsid w:val="00D97789"/>
    <w:rsid w:val="00D977EB"/>
    <w:rsid w:val="00D977F0"/>
    <w:rsid w:val="00D9782D"/>
    <w:rsid w:val="00D9789C"/>
    <w:rsid w:val="00D9796B"/>
    <w:rsid w:val="00D97A82"/>
    <w:rsid w:val="00D97A98"/>
    <w:rsid w:val="00D97B25"/>
    <w:rsid w:val="00D97B43"/>
    <w:rsid w:val="00D97B82"/>
    <w:rsid w:val="00D97BC8"/>
    <w:rsid w:val="00D97C10"/>
    <w:rsid w:val="00D97C1F"/>
    <w:rsid w:val="00D97C5D"/>
    <w:rsid w:val="00D97CB3"/>
    <w:rsid w:val="00D97D31"/>
    <w:rsid w:val="00D97D62"/>
    <w:rsid w:val="00D97E41"/>
    <w:rsid w:val="00D97F9A"/>
    <w:rsid w:val="00D97FF3"/>
    <w:rsid w:val="00DA0054"/>
    <w:rsid w:val="00DA0086"/>
    <w:rsid w:val="00DA0176"/>
    <w:rsid w:val="00DA01BC"/>
    <w:rsid w:val="00DA01F9"/>
    <w:rsid w:val="00DA0201"/>
    <w:rsid w:val="00DA02B7"/>
    <w:rsid w:val="00DA02C4"/>
    <w:rsid w:val="00DA032E"/>
    <w:rsid w:val="00DA0353"/>
    <w:rsid w:val="00DA0420"/>
    <w:rsid w:val="00DA0434"/>
    <w:rsid w:val="00DA04AD"/>
    <w:rsid w:val="00DA063B"/>
    <w:rsid w:val="00DA075A"/>
    <w:rsid w:val="00DA0920"/>
    <w:rsid w:val="00DA0A5D"/>
    <w:rsid w:val="00DA0A98"/>
    <w:rsid w:val="00DA0AB3"/>
    <w:rsid w:val="00DA0BB9"/>
    <w:rsid w:val="00DA0BBD"/>
    <w:rsid w:val="00DA0BE9"/>
    <w:rsid w:val="00DA0CB8"/>
    <w:rsid w:val="00DA0DE1"/>
    <w:rsid w:val="00DA0E8F"/>
    <w:rsid w:val="00DA0F3A"/>
    <w:rsid w:val="00DA0F50"/>
    <w:rsid w:val="00DA0F56"/>
    <w:rsid w:val="00DA1189"/>
    <w:rsid w:val="00DA12ED"/>
    <w:rsid w:val="00DA12F9"/>
    <w:rsid w:val="00DA1395"/>
    <w:rsid w:val="00DA13DC"/>
    <w:rsid w:val="00DA13E0"/>
    <w:rsid w:val="00DA1651"/>
    <w:rsid w:val="00DA16D1"/>
    <w:rsid w:val="00DA1768"/>
    <w:rsid w:val="00DA198D"/>
    <w:rsid w:val="00DA19E6"/>
    <w:rsid w:val="00DA1B0D"/>
    <w:rsid w:val="00DA1BC7"/>
    <w:rsid w:val="00DA1C58"/>
    <w:rsid w:val="00DA1D13"/>
    <w:rsid w:val="00DA1DBE"/>
    <w:rsid w:val="00DA1DF4"/>
    <w:rsid w:val="00DA2023"/>
    <w:rsid w:val="00DA21FA"/>
    <w:rsid w:val="00DA2281"/>
    <w:rsid w:val="00DA22C1"/>
    <w:rsid w:val="00DA25A1"/>
    <w:rsid w:val="00DA25B3"/>
    <w:rsid w:val="00DA25E4"/>
    <w:rsid w:val="00DA25FD"/>
    <w:rsid w:val="00DA260D"/>
    <w:rsid w:val="00DA2631"/>
    <w:rsid w:val="00DA278C"/>
    <w:rsid w:val="00DA2877"/>
    <w:rsid w:val="00DA2AF2"/>
    <w:rsid w:val="00DA2B03"/>
    <w:rsid w:val="00DA2B69"/>
    <w:rsid w:val="00DA2C37"/>
    <w:rsid w:val="00DA2C78"/>
    <w:rsid w:val="00DA2DB3"/>
    <w:rsid w:val="00DA2E43"/>
    <w:rsid w:val="00DA3050"/>
    <w:rsid w:val="00DA3083"/>
    <w:rsid w:val="00DA30EA"/>
    <w:rsid w:val="00DA3166"/>
    <w:rsid w:val="00DA32DE"/>
    <w:rsid w:val="00DA334F"/>
    <w:rsid w:val="00DA3359"/>
    <w:rsid w:val="00DA3363"/>
    <w:rsid w:val="00DA3411"/>
    <w:rsid w:val="00DA3437"/>
    <w:rsid w:val="00DA343C"/>
    <w:rsid w:val="00DA35FB"/>
    <w:rsid w:val="00DA363F"/>
    <w:rsid w:val="00DA368A"/>
    <w:rsid w:val="00DA3697"/>
    <w:rsid w:val="00DA36D1"/>
    <w:rsid w:val="00DA3740"/>
    <w:rsid w:val="00DA3842"/>
    <w:rsid w:val="00DA384A"/>
    <w:rsid w:val="00DA3863"/>
    <w:rsid w:val="00DA38B4"/>
    <w:rsid w:val="00DA38BE"/>
    <w:rsid w:val="00DA398C"/>
    <w:rsid w:val="00DA39B1"/>
    <w:rsid w:val="00DA3A34"/>
    <w:rsid w:val="00DA3A7D"/>
    <w:rsid w:val="00DA3AA0"/>
    <w:rsid w:val="00DA3AA5"/>
    <w:rsid w:val="00DA3AF6"/>
    <w:rsid w:val="00DA3CE8"/>
    <w:rsid w:val="00DA3D35"/>
    <w:rsid w:val="00DA3DE0"/>
    <w:rsid w:val="00DA3F4F"/>
    <w:rsid w:val="00DA3FF6"/>
    <w:rsid w:val="00DA403B"/>
    <w:rsid w:val="00DA4072"/>
    <w:rsid w:val="00DA413F"/>
    <w:rsid w:val="00DA41DF"/>
    <w:rsid w:val="00DA41F6"/>
    <w:rsid w:val="00DA4269"/>
    <w:rsid w:val="00DA4280"/>
    <w:rsid w:val="00DA42A1"/>
    <w:rsid w:val="00DA430A"/>
    <w:rsid w:val="00DA430C"/>
    <w:rsid w:val="00DA43C2"/>
    <w:rsid w:val="00DA43DE"/>
    <w:rsid w:val="00DA4627"/>
    <w:rsid w:val="00DA46A8"/>
    <w:rsid w:val="00DA470A"/>
    <w:rsid w:val="00DA479C"/>
    <w:rsid w:val="00DA4837"/>
    <w:rsid w:val="00DA48B8"/>
    <w:rsid w:val="00DA48E1"/>
    <w:rsid w:val="00DA48E4"/>
    <w:rsid w:val="00DA4903"/>
    <w:rsid w:val="00DA4916"/>
    <w:rsid w:val="00DA4921"/>
    <w:rsid w:val="00DA49EA"/>
    <w:rsid w:val="00DA4AA2"/>
    <w:rsid w:val="00DA4B51"/>
    <w:rsid w:val="00DA4C05"/>
    <w:rsid w:val="00DA4C21"/>
    <w:rsid w:val="00DA4CAB"/>
    <w:rsid w:val="00DA4D86"/>
    <w:rsid w:val="00DA4D9A"/>
    <w:rsid w:val="00DA5039"/>
    <w:rsid w:val="00DA506F"/>
    <w:rsid w:val="00DA50F7"/>
    <w:rsid w:val="00DA52A3"/>
    <w:rsid w:val="00DA5319"/>
    <w:rsid w:val="00DA5393"/>
    <w:rsid w:val="00DA5567"/>
    <w:rsid w:val="00DA56C8"/>
    <w:rsid w:val="00DA56E3"/>
    <w:rsid w:val="00DA572D"/>
    <w:rsid w:val="00DA57AD"/>
    <w:rsid w:val="00DA57CD"/>
    <w:rsid w:val="00DA5805"/>
    <w:rsid w:val="00DA586F"/>
    <w:rsid w:val="00DA58BC"/>
    <w:rsid w:val="00DA58E1"/>
    <w:rsid w:val="00DA5953"/>
    <w:rsid w:val="00DA5A3A"/>
    <w:rsid w:val="00DA5A84"/>
    <w:rsid w:val="00DA5AA4"/>
    <w:rsid w:val="00DA5AC0"/>
    <w:rsid w:val="00DA5BB8"/>
    <w:rsid w:val="00DA5C00"/>
    <w:rsid w:val="00DA5C03"/>
    <w:rsid w:val="00DA5CCD"/>
    <w:rsid w:val="00DA5CF9"/>
    <w:rsid w:val="00DA5F31"/>
    <w:rsid w:val="00DA608E"/>
    <w:rsid w:val="00DA6203"/>
    <w:rsid w:val="00DA620C"/>
    <w:rsid w:val="00DA6339"/>
    <w:rsid w:val="00DA64F5"/>
    <w:rsid w:val="00DA650A"/>
    <w:rsid w:val="00DA65C4"/>
    <w:rsid w:val="00DA6612"/>
    <w:rsid w:val="00DA6733"/>
    <w:rsid w:val="00DA6739"/>
    <w:rsid w:val="00DA67B8"/>
    <w:rsid w:val="00DA6996"/>
    <w:rsid w:val="00DA69FD"/>
    <w:rsid w:val="00DA6AB7"/>
    <w:rsid w:val="00DA6B70"/>
    <w:rsid w:val="00DA6B7C"/>
    <w:rsid w:val="00DA6C1C"/>
    <w:rsid w:val="00DA6CE0"/>
    <w:rsid w:val="00DA6D07"/>
    <w:rsid w:val="00DA6EAA"/>
    <w:rsid w:val="00DA6F0F"/>
    <w:rsid w:val="00DA6FD4"/>
    <w:rsid w:val="00DA7058"/>
    <w:rsid w:val="00DA7170"/>
    <w:rsid w:val="00DA71A1"/>
    <w:rsid w:val="00DA7282"/>
    <w:rsid w:val="00DA7462"/>
    <w:rsid w:val="00DA74C9"/>
    <w:rsid w:val="00DA7658"/>
    <w:rsid w:val="00DA773A"/>
    <w:rsid w:val="00DA7755"/>
    <w:rsid w:val="00DA7817"/>
    <w:rsid w:val="00DA7836"/>
    <w:rsid w:val="00DA7AD9"/>
    <w:rsid w:val="00DA7B07"/>
    <w:rsid w:val="00DA7BCB"/>
    <w:rsid w:val="00DA7C4D"/>
    <w:rsid w:val="00DA7C5F"/>
    <w:rsid w:val="00DA7CE9"/>
    <w:rsid w:val="00DA7DE4"/>
    <w:rsid w:val="00DA7DE7"/>
    <w:rsid w:val="00DA7E19"/>
    <w:rsid w:val="00DA7E61"/>
    <w:rsid w:val="00DA7E99"/>
    <w:rsid w:val="00DA7EB1"/>
    <w:rsid w:val="00DA7F23"/>
    <w:rsid w:val="00DA7F6F"/>
    <w:rsid w:val="00DA7FAF"/>
    <w:rsid w:val="00DB0117"/>
    <w:rsid w:val="00DB0249"/>
    <w:rsid w:val="00DB0271"/>
    <w:rsid w:val="00DB027D"/>
    <w:rsid w:val="00DB02A8"/>
    <w:rsid w:val="00DB0319"/>
    <w:rsid w:val="00DB0468"/>
    <w:rsid w:val="00DB04B7"/>
    <w:rsid w:val="00DB04CE"/>
    <w:rsid w:val="00DB0519"/>
    <w:rsid w:val="00DB05EA"/>
    <w:rsid w:val="00DB060F"/>
    <w:rsid w:val="00DB0675"/>
    <w:rsid w:val="00DB06EE"/>
    <w:rsid w:val="00DB074F"/>
    <w:rsid w:val="00DB0753"/>
    <w:rsid w:val="00DB08A2"/>
    <w:rsid w:val="00DB08DA"/>
    <w:rsid w:val="00DB0971"/>
    <w:rsid w:val="00DB0A07"/>
    <w:rsid w:val="00DB0B56"/>
    <w:rsid w:val="00DB0C4E"/>
    <w:rsid w:val="00DB0D42"/>
    <w:rsid w:val="00DB0ED4"/>
    <w:rsid w:val="00DB0F8D"/>
    <w:rsid w:val="00DB109C"/>
    <w:rsid w:val="00DB10FB"/>
    <w:rsid w:val="00DB111E"/>
    <w:rsid w:val="00DB1136"/>
    <w:rsid w:val="00DB1148"/>
    <w:rsid w:val="00DB1165"/>
    <w:rsid w:val="00DB11D9"/>
    <w:rsid w:val="00DB11DA"/>
    <w:rsid w:val="00DB11DF"/>
    <w:rsid w:val="00DB1246"/>
    <w:rsid w:val="00DB1248"/>
    <w:rsid w:val="00DB1287"/>
    <w:rsid w:val="00DB12C6"/>
    <w:rsid w:val="00DB1330"/>
    <w:rsid w:val="00DB1335"/>
    <w:rsid w:val="00DB146B"/>
    <w:rsid w:val="00DB1486"/>
    <w:rsid w:val="00DB14FF"/>
    <w:rsid w:val="00DB1544"/>
    <w:rsid w:val="00DB1597"/>
    <w:rsid w:val="00DB1686"/>
    <w:rsid w:val="00DB175A"/>
    <w:rsid w:val="00DB1800"/>
    <w:rsid w:val="00DB18EE"/>
    <w:rsid w:val="00DB191E"/>
    <w:rsid w:val="00DB1922"/>
    <w:rsid w:val="00DB199A"/>
    <w:rsid w:val="00DB1A35"/>
    <w:rsid w:val="00DB1B52"/>
    <w:rsid w:val="00DB1BA5"/>
    <w:rsid w:val="00DB1C18"/>
    <w:rsid w:val="00DB1CA1"/>
    <w:rsid w:val="00DB1CEA"/>
    <w:rsid w:val="00DB1F94"/>
    <w:rsid w:val="00DB208C"/>
    <w:rsid w:val="00DB20DE"/>
    <w:rsid w:val="00DB21A8"/>
    <w:rsid w:val="00DB21E8"/>
    <w:rsid w:val="00DB2363"/>
    <w:rsid w:val="00DB2428"/>
    <w:rsid w:val="00DB2432"/>
    <w:rsid w:val="00DB24DE"/>
    <w:rsid w:val="00DB2615"/>
    <w:rsid w:val="00DB2694"/>
    <w:rsid w:val="00DB26E4"/>
    <w:rsid w:val="00DB29A7"/>
    <w:rsid w:val="00DB2A5B"/>
    <w:rsid w:val="00DB2AAC"/>
    <w:rsid w:val="00DB2AC2"/>
    <w:rsid w:val="00DB2AFA"/>
    <w:rsid w:val="00DB2B83"/>
    <w:rsid w:val="00DB2BA3"/>
    <w:rsid w:val="00DB2BEA"/>
    <w:rsid w:val="00DB2C00"/>
    <w:rsid w:val="00DB2C06"/>
    <w:rsid w:val="00DB2CAE"/>
    <w:rsid w:val="00DB2DB0"/>
    <w:rsid w:val="00DB2E1D"/>
    <w:rsid w:val="00DB2E7F"/>
    <w:rsid w:val="00DB2F54"/>
    <w:rsid w:val="00DB2F69"/>
    <w:rsid w:val="00DB3017"/>
    <w:rsid w:val="00DB3201"/>
    <w:rsid w:val="00DB3220"/>
    <w:rsid w:val="00DB325C"/>
    <w:rsid w:val="00DB341F"/>
    <w:rsid w:val="00DB3577"/>
    <w:rsid w:val="00DB3599"/>
    <w:rsid w:val="00DB35C5"/>
    <w:rsid w:val="00DB35E1"/>
    <w:rsid w:val="00DB361E"/>
    <w:rsid w:val="00DB3628"/>
    <w:rsid w:val="00DB36A1"/>
    <w:rsid w:val="00DB3729"/>
    <w:rsid w:val="00DB375D"/>
    <w:rsid w:val="00DB3891"/>
    <w:rsid w:val="00DB3892"/>
    <w:rsid w:val="00DB3896"/>
    <w:rsid w:val="00DB38C2"/>
    <w:rsid w:val="00DB3902"/>
    <w:rsid w:val="00DB3918"/>
    <w:rsid w:val="00DB397B"/>
    <w:rsid w:val="00DB399D"/>
    <w:rsid w:val="00DB39DA"/>
    <w:rsid w:val="00DB39DC"/>
    <w:rsid w:val="00DB3A4F"/>
    <w:rsid w:val="00DB3A80"/>
    <w:rsid w:val="00DB3B06"/>
    <w:rsid w:val="00DB3B82"/>
    <w:rsid w:val="00DB3C46"/>
    <w:rsid w:val="00DB3CA7"/>
    <w:rsid w:val="00DB3DE9"/>
    <w:rsid w:val="00DB3FBA"/>
    <w:rsid w:val="00DB3FEC"/>
    <w:rsid w:val="00DB40E3"/>
    <w:rsid w:val="00DB4186"/>
    <w:rsid w:val="00DB4306"/>
    <w:rsid w:val="00DB430B"/>
    <w:rsid w:val="00DB439A"/>
    <w:rsid w:val="00DB43BB"/>
    <w:rsid w:val="00DB449D"/>
    <w:rsid w:val="00DB44A3"/>
    <w:rsid w:val="00DB45B3"/>
    <w:rsid w:val="00DB4673"/>
    <w:rsid w:val="00DB469E"/>
    <w:rsid w:val="00DB4759"/>
    <w:rsid w:val="00DB47A3"/>
    <w:rsid w:val="00DB4805"/>
    <w:rsid w:val="00DB4821"/>
    <w:rsid w:val="00DB4825"/>
    <w:rsid w:val="00DB4AF4"/>
    <w:rsid w:val="00DB4AF7"/>
    <w:rsid w:val="00DB4C09"/>
    <w:rsid w:val="00DB4DC8"/>
    <w:rsid w:val="00DB5163"/>
    <w:rsid w:val="00DB51B8"/>
    <w:rsid w:val="00DB51EE"/>
    <w:rsid w:val="00DB5238"/>
    <w:rsid w:val="00DB543E"/>
    <w:rsid w:val="00DB55D2"/>
    <w:rsid w:val="00DB56BA"/>
    <w:rsid w:val="00DB5759"/>
    <w:rsid w:val="00DB5817"/>
    <w:rsid w:val="00DB5818"/>
    <w:rsid w:val="00DB5863"/>
    <w:rsid w:val="00DB58DB"/>
    <w:rsid w:val="00DB5966"/>
    <w:rsid w:val="00DB5990"/>
    <w:rsid w:val="00DB5A3B"/>
    <w:rsid w:val="00DB5C74"/>
    <w:rsid w:val="00DB5D06"/>
    <w:rsid w:val="00DB5D5B"/>
    <w:rsid w:val="00DB5DCF"/>
    <w:rsid w:val="00DB5DDC"/>
    <w:rsid w:val="00DB5DE2"/>
    <w:rsid w:val="00DB5E5A"/>
    <w:rsid w:val="00DB5E8C"/>
    <w:rsid w:val="00DB5ED3"/>
    <w:rsid w:val="00DB5F20"/>
    <w:rsid w:val="00DB5FCE"/>
    <w:rsid w:val="00DB6075"/>
    <w:rsid w:val="00DB60A6"/>
    <w:rsid w:val="00DB61B8"/>
    <w:rsid w:val="00DB61C0"/>
    <w:rsid w:val="00DB62BE"/>
    <w:rsid w:val="00DB6350"/>
    <w:rsid w:val="00DB6353"/>
    <w:rsid w:val="00DB63C1"/>
    <w:rsid w:val="00DB645B"/>
    <w:rsid w:val="00DB645F"/>
    <w:rsid w:val="00DB64E7"/>
    <w:rsid w:val="00DB650C"/>
    <w:rsid w:val="00DB65AD"/>
    <w:rsid w:val="00DB6603"/>
    <w:rsid w:val="00DB6604"/>
    <w:rsid w:val="00DB665D"/>
    <w:rsid w:val="00DB6703"/>
    <w:rsid w:val="00DB679A"/>
    <w:rsid w:val="00DB684C"/>
    <w:rsid w:val="00DB6865"/>
    <w:rsid w:val="00DB688D"/>
    <w:rsid w:val="00DB69B0"/>
    <w:rsid w:val="00DB6BCC"/>
    <w:rsid w:val="00DB6C45"/>
    <w:rsid w:val="00DB6CA2"/>
    <w:rsid w:val="00DB6DD1"/>
    <w:rsid w:val="00DB6FE3"/>
    <w:rsid w:val="00DB6FEB"/>
    <w:rsid w:val="00DB7078"/>
    <w:rsid w:val="00DB715E"/>
    <w:rsid w:val="00DB71B9"/>
    <w:rsid w:val="00DB72EF"/>
    <w:rsid w:val="00DB73CC"/>
    <w:rsid w:val="00DB748B"/>
    <w:rsid w:val="00DB76EF"/>
    <w:rsid w:val="00DB778B"/>
    <w:rsid w:val="00DB77F6"/>
    <w:rsid w:val="00DB781B"/>
    <w:rsid w:val="00DB7846"/>
    <w:rsid w:val="00DB7877"/>
    <w:rsid w:val="00DB797A"/>
    <w:rsid w:val="00DB7A8E"/>
    <w:rsid w:val="00DB7AA4"/>
    <w:rsid w:val="00DB7B13"/>
    <w:rsid w:val="00DB7B27"/>
    <w:rsid w:val="00DB7B5C"/>
    <w:rsid w:val="00DB7C04"/>
    <w:rsid w:val="00DB7CFC"/>
    <w:rsid w:val="00DB7F09"/>
    <w:rsid w:val="00DC0015"/>
    <w:rsid w:val="00DC00E8"/>
    <w:rsid w:val="00DC0268"/>
    <w:rsid w:val="00DC02B4"/>
    <w:rsid w:val="00DC02DB"/>
    <w:rsid w:val="00DC02E0"/>
    <w:rsid w:val="00DC02E2"/>
    <w:rsid w:val="00DC0413"/>
    <w:rsid w:val="00DC0442"/>
    <w:rsid w:val="00DC0461"/>
    <w:rsid w:val="00DC053F"/>
    <w:rsid w:val="00DC0588"/>
    <w:rsid w:val="00DC0592"/>
    <w:rsid w:val="00DC065C"/>
    <w:rsid w:val="00DC0768"/>
    <w:rsid w:val="00DC0799"/>
    <w:rsid w:val="00DC07D2"/>
    <w:rsid w:val="00DC08DC"/>
    <w:rsid w:val="00DC090A"/>
    <w:rsid w:val="00DC0A07"/>
    <w:rsid w:val="00DC0A4A"/>
    <w:rsid w:val="00DC0A93"/>
    <w:rsid w:val="00DC0B37"/>
    <w:rsid w:val="00DC0BB2"/>
    <w:rsid w:val="00DC0BEB"/>
    <w:rsid w:val="00DC0C51"/>
    <w:rsid w:val="00DC0C84"/>
    <w:rsid w:val="00DC0CA7"/>
    <w:rsid w:val="00DC0CB7"/>
    <w:rsid w:val="00DC0CC7"/>
    <w:rsid w:val="00DC0D3E"/>
    <w:rsid w:val="00DC0D49"/>
    <w:rsid w:val="00DC0F50"/>
    <w:rsid w:val="00DC0F8D"/>
    <w:rsid w:val="00DC1153"/>
    <w:rsid w:val="00DC11C1"/>
    <w:rsid w:val="00DC13BB"/>
    <w:rsid w:val="00DC13F8"/>
    <w:rsid w:val="00DC140D"/>
    <w:rsid w:val="00DC14E1"/>
    <w:rsid w:val="00DC158E"/>
    <w:rsid w:val="00DC15CD"/>
    <w:rsid w:val="00DC1603"/>
    <w:rsid w:val="00DC1748"/>
    <w:rsid w:val="00DC1752"/>
    <w:rsid w:val="00DC176C"/>
    <w:rsid w:val="00DC184E"/>
    <w:rsid w:val="00DC18C7"/>
    <w:rsid w:val="00DC1961"/>
    <w:rsid w:val="00DC19F4"/>
    <w:rsid w:val="00DC1A48"/>
    <w:rsid w:val="00DC1ADE"/>
    <w:rsid w:val="00DC1AE8"/>
    <w:rsid w:val="00DC1AEA"/>
    <w:rsid w:val="00DC1AF0"/>
    <w:rsid w:val="00DC1B0D"/>
    <w:rsid w:val="00DC1C56"/>
    <w:rsid w:val="00DC1D26"/>
    <w:rsid w:val="00DC1E62"/>
    <w:rsid w:val="00DC1E85"/>
    <w:rsid w:val="00DC2079"/>
    <w:rsid w:val="00DC20AD"/>
    <w:rsid w:val="00DC20D7"/>
    <w:rsid w:val="00DC217E"/>
    <w:rsid w:val="00DC2186"/>
    <w:rsid w:val="00DC21E5"/>
    <w:rsid w:val="00DC21F4"/>
    <w:rsid w:val="00DC228B"/>
    <w:rsid w:val="00DC22B1"/>
    <w:rsid w:val="00DC2305"/>
    <w:rsid w:val="00DC2306"/>
    <w:rsid w:val="00DC238B"/>
    <w:rsid w:val="00DC23FD"/>
    <w:rsid w:val="00DC244C"/>
    <w:rsid w:val="00DC24FA"/>
    <w:rsid w:val="00DC2539"/>
    <w:rsid w:val="00DC2628"/>
    <w:rsid w:val="00DC269C"/>
    <w:rsid w:val="00DC27E0"/>
    <w:rsid w:val="00DC2943"/>
    <w:rsid w:val="00DC2967"/>
    <w:rsid w:val="00DC29EA"/>
    <w:rsid w:val="00DC2ACE"/>
    <w:rsid w:val="00DC2B58"/>
    <w:rsid w:val="00DC2B9B"/>
    <w:rsid w:val="00DC2C1C"/>
    <w:rsid w:val="00DC2C4D"/>
    <w:rsid w:val="00DC2CB5"/>
    <w:rsid w:val="00DC2D62"/>
    <w:rsid w:val="00DC2E26"/>
    <w:rsid w:val="00DC2EEE"/>
    <w:rsid w:val="00DC2F65"/>
    <w:rsid w:val="00DC2F6B"/>
    <w:rsid w:val="00DC2FBE"/>
    <w:rsid w:val="00DC2FE7"/>
    <w:rsid w:val="00DC304E"/>
    <w:rsid w:val="00DC3080"/>
    <w:rsid w:val="00DC31C3"/>
    <w:rsid w:val="00DC33B6"/>
    <w:rsid w:val="00DC344F"/>
    <w:rsid w:val="00DC34E0"/>
    <w:rsid w:val="00DC35AA"/>
    <w:rsid w:val="00DC360A"/>
    <w:rsid w:val="00DC3617"/>
    <w:rsid w:val="00DC36EA"/>
    <w:rsid w:val="00DC373B"/>
    <w:rsid w:val="00DC374B"/>
    <w:rsid w:val="00DC37FE"/>
    <w:rsid w:val="00DC383B"/>
    <w:rsid w:val="00DC3AC6"/>
    <w:rsid w:val="00DC3AC8"/>
    <w:rsid w:val="00DC3B6B"/>
    <w:rsid w:val="00DC3BA7"/>
    <w:rsid w:val="00DC3C45"/>
    <w:rsid w:val="00DC3C59"/>
    <w:rsid w:val="00DC3CC6"/>
    <w:rsid w:val="00DC3E5A"/>
    <w:rsid w:val="00DC3F42"/>
    <w:rsid w:val="00DC3F4F"/>
    <w:rsid w:val="00DC3FAB"/>
    <w:rsid w:val="00DC405A"/>
    <w:rsid w:val="00DC42AF"/>
    <w:rsid w:val="00DC4433"/>
    <w:rsid w:val="00DC444F"/>
    <w:rsid w:val="00DC44AC"/>
    <w:rsid w:val="00DC44AD"/>
    <w:rsid w:val="00DC45A3"/>
    <w:rsid w:val="00DC45DD"/>
    <w:rsid w:val="00DC466B"/>
    <w:rsid w:val="00DC468D"/>
    <w:rsid w:val="00DC46E8"/>
    <w:rsid w:val="00DC4756"/>
    <w:rsid w:val="00DC48B0"/>
    <w:rsid w:val="00DC48E7"/>
    <w:rsid w:val="00DC497C"/>
    <w:rsid w:val="00DC4A21"/>
    <w:rsid w:val="00DC4AB7"/>
    <w:rsid w:val="00DC4BA6"/>
    <w:rsid w:val="00DC4C5C"/>
    <w:rsid w:val="00DC4C82"/>
    <w:rsid w:val="00DC4D1C"/>
    <w:rsid w:val="00DC4D5F"/>
    <w:rsid w:val="00DC4E10"/>
    <w:rsid w:val="00DC4E83"/>
    <w:rsid w:val="00DC4EA1"/>
    <w:rsid w:val="00DC4FFC"/>
    <w:rsid w:val="00DC5009"/>
    <w:rsid w:val="00DC501A"/>
    <w:rsid w:val="00DC506E"/>
    <w:rsid w:val="00DC50FD"/>
    <w:rsid w:val="00DC51D4"/>
    <w:rsid w:val="00DC5223"/>
    <w:rsid w:val="00DC5327"/>
    <w:rsid w:val="00DC5333"/>
    <w:rsid w:val="00DC5348"/>
    <w:rsid w:val="00DC538C"/>
    <w:rsid w:val="00DC5473"/>
    <w:rsid w:val="00DC54CD"/>
    <w:rsid w:val="00DC554E"/>
    <w:rsid w:val="00DC5556"/>
    <w:rsid w:val="00DC5572"/>
    <w:rsid w:val="00DC55D8"/>
    <w:rsid w:val="00DC567C"/>
    <w:rsid w:val="00DC5870"/>
    <w:rsid w:val="00DC5930"/>
    <w:rsid w:val="00DC59CC"/>
    <w:rsid w:val="00DC59FD"/>
    <w:rsid w:val="00DC5A1D"/>
    <w:rsid w:val="00DC5A45"/>
    <w:rsid w:val="00DC5A88"/>
    <w:rsid w:val="00DC5AAB"/>
    <w:rsid w:val="00DC5AF0"/>
    <w:rsid w:val="00DC5C2B"/>
    <w:rsid w:val="00DC5C6E"/>
    <w:rsid w:val="00DC5C8A"/>
    <w:rsid w:val="00DC5D8A"/>
    <w:rsid w:val="00DC5DB0"/>
    <w:rsid w:val="00DC5E14"/>
    <w:rsid w:val="00DC5E18"/>
    <w:rsid w:val="00DC5ED6"/>
    <w:rsid w:val="00DC5F26"/>
    <w:rsid w:val="00DC5FA3"/>
    <w:rsid w:val="00DC5FDA"/>
    <w:rsid w:val="00DC609C"/>
    <w:rsid w:val="00DC620D"/>
    <w:rsid w:val="00DC620F"/>
    <w:rsid w:val="00DC6248"/>
    <w:rsid w:val="00DC6346"/>
    <w:rsid w:val="00DC6379"/>
    <w:rsid w:val="00DC641D"/>
    <w:rsid w:val="00DC6432"/>
    <w:rsid w:val="00DC64F2"/>
    <w:rsid w:val="00DC6512"/>
    <w:rsid w:val="00DC6529"/>
    <w:rsid w:val="00DC67F5"/>
    <w:rsid w:val="00DC6804"/>
    <w:rsid w:val="00DC6918"/>
    <w:rsid w:val="00DC6AAD"/>
    <w:rsid w:val="00DC6B1C"/>
    <w:rsid w:val="00DC6D22"/>
    <w:rsid w:val="00DC6EC9"/>
    <w:rsid w:val="00DC6ECD"/>
    <w:rsid w:val="00DC6FD5"/>
    <w:rsid w:val="00DC6FE6"/>
    <w:rsid w:val="00DC7016"/>
    <w:rsid w:val="00DC70B8"/>
    <w:rsid w:val="00DC70DF"/>
    <w:rsid w:val="00DC70E7"/>
    <w:rsid w:val="00DC70EE"/>
    <w:rsid w:val="00DC710E"/>
    <w:rsid w:val="00DC7175"/>
    <w:rsid w:val="00DC7187"/>
    <w:rsid w:val="00DC71EE"/>
    <w:rsid w:val="00DC7408"/>
    <w:rsid w:val="00DC7490"/>
    <w:rsid w:val="00DC77D2"/>
    <w:rsid w:val="00DC79ED"/>
    <w:rsid w:val="00DC7A4E"/>
    <w:rsid w:val="00DC7A8F"/>
    <w:rsid w:val="00DC7D2C"/>
    <w:rsid w:val="00DC7DAF"/>
    <w:rsid w:val="00DC7EAA"/>
    <w:rsid w:val="00DC7FD7"/>
    <w:rsid w:val="00DD0020"/>
    <w:rsid w:val="00DD03F2"/>
    <w:rsid w:val="00DD0412"/>
    <w:rsid w:val="00DD0640"/>
    <w:rsid w:val="00DD069A"/>
    <w:rsid w:val="00DD06FD"/>
    <w:rsid w:val="00DD0722"/>
    <w:rsid w:val="00DD07BF"/>
    <w:rsid w:val="00DD07EA"/>
    <w:rsid w:val="00DD0835"/>
    <w:rsid w:val="00DD08F5"/>
    <w:rsid w:val="00DD09C7"/>
    <w:rsid w:val="00DD0AFB"/>
    <w:rsid w:val="00DD0BA2"/>
    <w:rsid w:val="00DD0BDD"/>
    <w:rsid w:val="00DD0CF9"/>
    <w:rsid w:val="00DD0F0F"/>
    <w:rsid w:val="00DD109F"/>
    <w:rsid w:val="00DD10A6"/>
    <w:rsid w:val="00DD10B4"/>
    <w:rsid w:val="00DD110E"/>
    <w:rsid w:val="00DD11F7"/>
    <w:rsid w:val="00DD121A"/>
    <w:rsid w:val="00DD123B"/>
    <w:rsid w:val="00DD127E"/>
    <w:rsid w:val="00DD12B8"/>
    <w:rsid w:val="00DD1305"/>
    <w:rsid w:val="00DD131C"/>
    <w:rsid w:val="00DD133F"/>
    <w:rsid w:val="00DD135A"/>
    <w:rsid w:val="00DD13A8"/>
    <w:rsid w:val="00DD13E2"/>
    <w:rsid w:val="00DD14A7"/>
    <w:rsid w:val="00DD14BB"/>
    <w:rsid w:val="00DD16AF"/>
    <w:rsid w:val="00DD1865"/>
    <w:rsid w:val="00DD18EB"/>
    <w:rsid w:val="00DD19D2"/>
    <w:rsid w:val="00DD1A14"/>
    <w:rsid w:val="00DD1AF3"/>
    <w:rsid w:val="00DD1B25"/>
    <w:rsid w:val="00DD1C06"/>
    <w:rsid w:val="00DD1E63"/>
    <w:rsid w:val="00DD1EB0"/>
    <w:rsid w:val="00DD2008"/>
    <w:rsid w:val="00DD2133"/>
    <w:rsid w:val="00DD2148"/>
    <w:rsid w:val="00DD2256"/>
    <w:rsid w:val="00DD23F7"/>
    <w:rsid w:val="00DD24C7"/>
    <w:rsid w:val="00DD257B"/>
    <w:rsid w:val="00DD25AE"/>
    <w:rsid w:val="00DD2632"/>
    <w:rsid w:val="00DD267E"/>
    <w:rsid w:val="00DD26EA"/>
    <w:rsid w:val="00DD2715"/>
    <w:rsid w:val="00DD28B2"/>
    <w:rsid w:val="00DD28C2"/>
    <w:rsid w:val="00DD2A23"/>
    <w:rsid w:val="00DD2B51"/>
    <w:rsid w:val="00DD2B66"/>
    <w:rsid w:val="00DD2C7D"/>
    <w:rsid w:val="00DD2CC8"/>
    <w:rsid w:val="00DD2CE8"/>
    <w:rsid w:val="00DD2D3B"/>
    <w:rsid w:val="00DD2D9E"/>
    <w:rsid w:val="00DD2E59"/>
    <w:rsid w:val="00DD2E7D"/>
    <w:rsid w:val="00DD2ECB"/>
    <w:rsid w:val="00DD2FED"/>
    <w:rsid w:val="00DD2FFE"/>
    <w:rsid w:val="00DD306E"/>
    <w:rsid w:val="00DD30BD"/>
    <w:rsid w:val="00DD31D4"/>
    <w:rsid w:val="00DD31D9"/>
    <w:rsid w:val="00DD31F7"/>
    <w:rsid w:val="00DD32A3"/>
    <w:rsid w:val="00DD3316"/>
    <w:rsid w:val="00DD3350"/>
    <w:rsid w:val="00DD3374"/>
    <w:rsid w:val="00DD33F0"/>
    <w:rsid w:val="00DD3497"/>
    <w:rsid w:val="00DD3530"/>
    <w:rsid w:val="00DD3587"/>
    <w:rsid w:val="00DD3589"/>
    <w:rsid w:val="00DD35DC"/>
    <w:rsid w:val="00DD36A2"/>
    <w:rsid w:val="00DD3783"/>
    <w:rsid w:val="00DD3796"/>
    <w:rsid w:val="00DD37A8"/>
    <w:rsid w:val="00DD387A"/>
    <w:rsid w:val="00DD38C7"/>
    <w:rsid w:val="00DD3946"/>
    <w:rsid w:val="00DD3A0E"/>
    <w:rsid w:val="00DD3ACC"/>
    <w:rsid w:val="00DD3B73"/>
    <w:rsid w:val="00DD3BC4"/>
    <w:rsid w:val="00DD3CEF"/>
    <w:rsid w:val="00DD3D41"/>
    <w:rsid w:val="00DD3ECC"/>
    <w:rsid w:val="00DD3EE9"/>
    <w:rsid w:val="00DD410B"/>
    <w:rsid w:val="00DD4126"/>
    <w:rsid w:val="00DD41BB"/>
    <w:rsid w:val="00DD4255"/>
    <w:rsid w:val="00DD42D7"/>
    <w:rsid w:val="00DD4312"/>
    <w:rsid w:val="00DD4359"/>
    <w:rsid w:val="00DD43EB"/>
    <w:rsid w:val="00DD4463"/>
    <w:rsid w:val="00DD459E"/>
    <w:rsid w:val="00DD4608"/>
    <w:rsid w:val="00DD4684"/>
    <w:rsid w:val="00DD46AC"/>
    <w:rsid w:val="00DD472C"/>
    <w:rsid w:val="00DD478E"/>
    <w:rsid w:val="00DD47AC"/>
    <w:rsid w:val="00DD4892"/>
    <w:rsid w:val="00DD4893"/>
    <w:rsid w:val="00DD48FE"/>
    <w:rsid w:val="00DD4998"/>
    <w:rsid w:val="00DD49DC"/>
    <w:rsid w:val="00DD4A43"/>
    <w:rsid w:val="00DD4A7C"/>
    <w:rsid w:val="00DD4B03"/>
    <w:rsid w:val="00DD4BDA"/>
    <w:rsid w:val="00DD4C17"/>
    <w:rsid w:val="00DD4CC9"/>
    <w:rsid w:val="00DD4CFA"/>
    <w:rsid w:val="00DD4D0E"/>
    <w:rsid w:val="00DD4D9B"/>
    <w:rsid w:val="00DD4DDE"/>
    <w:rsid w:val="00DD4F09"/>
    <w:rsid w:val="00DD50DD"/>
    <w:rsid w:val="00DD515D"/>
    <w:rsid w:val="00DD5285"/>
    <w:rsid w:val="00DD5362"/>
    <w:rsid w:val="00DD53AF"/>
    <w:rsid w:val="00DD554B"/>
    <w:rsid w:val="00DD5605"/>
    <w:rsid w:val="00DD564C"/>
    <w:rsid w:val="00DD568B"/>
    <w:rsid w:val="00DD569F"/>
    <w:rsid w:val="00DD56A4"/>
    <w:rsid w:val="00DD57C1"/>
    <w:rsid w:val="00DD57CC"/>
    <w:rsid w:val="00DD5854"/>
    <w:rsid w:val="00DD58BC"/>
    <w:rsid w:val="00DD5A5B"/>
    <w:rsid w:val="00DD5B65"/>
    <w:rsid w:val="00DD5B83"/>
    <w:rsid w:val="00DD5C01"/>
    <w:rsid w:val="00DD5C7C"/>
    <w:rsid w:val="00DD5D29"/>
    <w:rsid w:val="00DD5E44"/>
    <w:rsid w:val="00DD5F20"/>
    <w:rsid w:val="00DD5F82"/>
    <w:rsid w:val="00DD604F"/>
    <w:rsid w:val="00DD60AA"/>
    <w:rsid w:val="00DD60F5"/>
    <w:rsid w:val="00DD610C"/>
    <w:rsid w:val="00DD614F"/>
    <w:rsid w:val="00DD618A"/>
    <w:rsid w:val="00DD6281"/>
    <w:rsid w:val="00DD631B"/>
    <w:rsid w:val="00DD632A"/>
    <w:rsid w:val="00DD6347"/>
    <w:rsid w:val="00DD6397"/>
    <w:rsid w:val="00DD642F"/>
    <w:rsid w:val="00DD64D9"/>
    <w:rsid w:val="00DD6547"/>
    <w:rsid w:val="00DD65B4"/>
    <w:rsid w:val="00DD6616"/>
    <w:rsid w:val="00DD664C"/>
    <w:rsid w:val="00DD6676"/>
    <w:rsid w:val="00DD67DE"/>
    <w:rsid w:val="00DD689D"/>
    <w:rsid w:val="00DD69CE"/>
    <w:rsid w:val="00DD6A5A"/>
    <w:rsid w:val="00DD6B2B"/>
    <w:rsid w:val="00DD6B2E"/>
    <w:rsid w:val="00DD6BC7"/>
    <w:rsid w:val="00DD6C70"/>
    <w:rsid w:val="00DD6D32"/>
    <w:rsid w:val="00DD6DAE"/>
    <w:rsid w:val="00DD6DC2"/>
    <w:rsid w:val="00DD6E6F"/>
    <w:rsid w:val="00DD6ED5"/>
    <w:rsid w:val="00DD6EDE"/>
    <w:rsid w:val="00DD6F87"/>
    <w:rsid w:val="00DD702F"/>
    <w:rsid w:val="00DD7075"/>
    <w:rsid w:val="00DD7081"/>
    <w:rsid w:val="00DD7085"/>
    <w:rsid w:val="00DD7155"/>
    <w:rsid w:val="00DD7265"/>
    <w:rsid w:val="00DD7275"/>
    <w:rsid w:val="00DD7296"/>
    <w:rsid w:val="00DD737B"/>
    <w:rsid w:val="00DD749B"/>
    <w:rsid w:val="00DD74A7"/>
    <w:rsid w:val="00DD74FF"/>
    <w:rsid w:val="00DD755A"/>
    <w:rsid w:val="00DD75C1"/>
    <w:rsid w:val="00DD7783"/>
    <w:rsid w:val="00DD77C1"/>
    <w:rsid w:val="00DD7833"/>
    <w:rsid w:val="00DD7850"/>
    <w:rsid w:val="00DD7879"/>
    <w:rsid w:val="00DD793F"/>
    <w:rsid w:val="00DD7964"/>
    <w:rsid w:val="00DD7AB5"/>
    <w:rsid w:val="00DD7B26"/>
    <w:rsid w:val="00DD7BDA"/>
    <w:rsid w:val="00DD7C21"/>
    <w:rsid w:val="00DD7DED"/>
    <w:rsid w:val="00DD7E67"/>
    <w:rsid w:val="00DDCEC5"/>
    <w:rsid w:val="00DE000C"/>
    <w:rsid w:val="00DE0033"/>
    <w:rsid w:val="00DE0096"/>
    <w:rsid w:val="00DE0124"/>
    <w:rsid w:val="00DE01A9"/>
    <w:rsid w:val="00DE0224"/>
    <w:rsid w:val="00DE022C"/>
    <w:rsid w:val="00DE0273"/>
    <w:rsid w:val="00DE0295"/>
    <w:rsid w:val="00DE02D2"/>
    <w:rsid w:val="00DE0346"/>
    <w:rsid w:val="00DE036D"/>
    <w:rsid w:val="00DE0374"/>
    <w:rsid w:val="00DE03C0"/>
    <w:rsid w:val="00DE043C"/>
    <w:rsid w:val="00DE0474"/>
    <w:rsid w:val="00DE04A9"/>
    <w:rsid w:val="00DE04C1"/>
    <w:rsid w:val="00DE053F"/>
    <w:rsid w:val="00DE0577"/>
    <w:rsid w:val="00DE0582"/>
    <w:rsid w:val="00DE0795"/>
    <w:rsid w:val="00DE0885"/>
    <w:rsid w:val="00DE0953"/>
    <w:rsid w:val="00DE0A73"/>
    <w:rsid w:val="00DE0A8A"/>
    <w:rsid w:val="00DE0A9A"/>
    <w:rsid w:val="00DE0B73"/>
    <w:rsid w:val="00DE0B9C"/>
    <w:rsid w:val="00DE0C28"/>
    <w:rsid w:val="00DE0EED"/>
    <w:rsid w:val="00DE0F30"/>
    <w:rsid w:val="00DE1014"/>
    <w:rsid w:val="00DE101E"/>
    <w:rsid w:val="00DE1066"/>
    <w:rsid w:val="00DE114C"/>
    <w:rsid w:val="00DE1340"/>
    <w:rsid w:val="00DE13EE"/>
    <w:rsid w:val="00DE146E"/>
    <w:rsid w:val="00DE156C"/>
    <w:rsid w:val="00DE15B1"/>
    <w:rsid w:val="00DE1662"/>
    <w:rsid w:val="00DE1679"/>
    <w:rsid w:val="00DE178A"/>
    <w:rsid w:val="00DE179B"/>
    <w:rsid w:val="00DE17D9"/>
    <w:rsid w:val="00DE1862"/>
    <w:rsid w:val="00DE1882"/>
    <w:rsid w:val="00DE1A2F"/>
    <w:rsid w:val="00DE1B29"/>
    <w:rsid w:val="00DE1CF9"/>
    <w:rsid w:val="00DE1D73"/>
    <w:rsid w:val="00DE1DE0"/>
    <w:rsid w:val="00DE1E1E"/>
    <w:rsid w:val="00DE1E43"/>
    <w:rsid w:val="00DE1F5F"/>
    <w:rsid w:val="00DE1F7D"/>
    <w:rsid w:val="00DE200E"/>
    <w:rsid w:val="00DE21A2"/>
    <w:rsid w:val="00DE2241"/>
    <w:rsid w:val="00DE22A7"/>
    <w:rsid w:val="00DE240A"/>
    <w:rsid w:val="00DE24B9"/>
    <w:rsid w:val="00DE250A"/>
    <w:rsid w:val="00DE268A"/>
    <w:rsid w:val="00DE2730"/>
    <w:rsid w:val="00DE2763"/>
    <w:rsid w:val="00DE2786"/>
    <w:rsid w:val="00DE2894"/>
    <w:rsid w:val="00DE2981"/>
    <w:rsid w:val="00DE29C9"/>
    <w:rsid w:val="00DE29EF"/>
    <w:rsid w:val="00DE2A0A"/>
    <w:rsid w:val="00DE2AEA"/>
    <w:rsid w:val="00DE2B30"/>
    <w:rsid w:val="00DE2B5C"/>
    <w:rsid w:val="00DE2C28"/>
    <w:rsid w:val="00DE2C4E"/>
    <w:rsid w:val="00DE2C63"/>
    <w:rsid w:val="00DE2CEF"/>
    <w:rsid w:val="00DE2D8B"/>
    <w:rsid w:val="00DE2FF9"/>
    <w:rsid w:val="00DE309F"/>
    <w:rsid w:val="00DE3364"/>
    <w:rsid w:val="00DE3395"/>
    <w:rsid w:val="00DE344C"/>
    <w:rsid w:val="00DE3515"/>
    <w:rsid w:val="00DE3592"/>
    <w:rsid w:val="00DE369B"/>
    <w:rsid w:val="00DE36D0"/>
    <w:rsid w:val="00DE37F4"/>
    <w:rsid w:val="00DE3808"/>
    <w:rsid w:val="00DE3917"/>
    <w:rsid w:val="00DE3A1A"/>
    <w:rsid w:val="00DE3A53"/>
    <w:rsid w:val="00DE3BEC"/>
    <w:rsid w:val="00DE3C13"/>
    <w:rsid w:val="00DE3C77"/>
    <w:rsid w:val="00DE3DC2"/>
    <w:rsid w:val="00DE3E22"/>
    <w:rsid w:val="00DE3EC4"/>
    <w:rsid w:val="00DE3F35"/>
    <w:rsid w:val="00DE3F49"/>
    <w:rsid w:val="00DE3F4C"/>
    <w:rsid w:val="00DE402F"/>
    <w:rsid w:val="00DE40CE"/>
    <w:rsid w:val="00DE42CD"/>
    <w:rsid w:val="00DE43AE"/>
    <w:rsid w:val="00DE44D9"/>
    <w:rsid w:val="00DE4594"/>
    <w:rsid w:val="00DE4597"/>
    <w:rsid w:val="00DE45F9"/>
    <w:rsid w:val="00DE4672"/>
    <w:rsid w:val="00DE46F2"/>
    <w:rsid w:val="00DE4746"/>
    <w:rsid w:val="00DE4821"/>
    <w:rsid w:val="00DE483B"/>
    <w:rsid w:val="00DE4A34"/>
    <w:rsid w:val="00DE4A6A"/>
    <w:rsid w:val="00DE4A9A"/>
    <w:rsid w:val="00DE4D6C"/>
    <w:rsid w:val="00DE4F62"/>
    <w:rsid w:val="00DE5012"/>
    <w:rsid w:val="00DE5124"/>
    <w:rsid w:val="00DE51DD"/>
    <w:rsid w:val="00DE52A7"/>
    <w:rsid w:val="00DE535D"/>
    <w:rsid w:val="00DE5368"/>
    <w:rsid w:val="00DE53A6"/>
    <w:rsid w:val="00DE5485"/>
    <w:rsid w:val="00DE54C8"/>
    <w:rsid w:val="00DE55D3"/>
    <w:rsid w:val="00DE56B9"/>
    <w:rsid w:val="00DE56EA"/>
    <w:rsid w:val="00DE586F"/>
    <w:rsid w:val="00DE588E"/>
    <w:rsid w:val="00DE58B7"/>
    <w:rsid w:val="00DE58F8"/>
    <w:rsid w:val="00DE5901"/>
    <w:rsid w:val="00DE5BB4"/>
    <w:rsid w:val="00DE5C08"/>
    <w:rsid w:val="00DE5D47"/>
    <w:rsid w:val="00DE5DCF"/>
    <w:rsid w:val="00DE5E7C"/>
    <w:rsid w:val="00DE5F0B"/>
    <w:rsid w:val="00DE5F88"/>
    <w:rsid w:val="00DE5FEF"/>
    <w:rsid w:val="00DE601D"/>
    <w:rsid w:val="00DE60B7"/>
    <w:rsid w:val="00DE60EB"/>
    <w:rsid w:val="00DE612A"/>
    <w:rsid w:val="00DE6149"/>
    <w:rsid w:val="00DE6177"/>
    <w:rsid w:val="00DE6370"/>
    <w:rsid w:val="00DE6482"/>
    <w:rsid w:val="00DE64E8"/>
    <w:rsid w:val="00DE66E3"/>
    <w:rsid w:val="00DE66E5"/>
    <w:rsid w:val="00DE67CA"/>
    <w:rsid w:val="00DE6814"/>
    <w:rsid w:val="00DE688C"/>
    <w:rsid w:val="00DE6A67"/>
    <w:rsid w:val="00DE6C7E"/>
    <w:rsid w:val="00DE6CEC"/>
    <w:rsid w:val="00DE6CF6"/>
    <w:rsid w:val="00DE6DCE"/>
    <w:rsid w:val="00DE6DD7"/>
    <w:rsid w:val="00DE6DF7"/>
    <w:rsid w:val="00DE6EB3"/>
    <w:rsid w:val="00DE6ED3"/>
    <w:rsid w:val="00DE6F39"/>
    <w:rsid w:val="00DE704B"/>
    <w:rsid w:val="00DE70F1"/>
    <w:rsid w:val="00DE710E"/>
    <w:rsid w:val="00DE716A"/>
    <w:rsid w:val="00DE71F0"/>
    <w:rsid w:val="00DE7273"/>
    <w:rsid w:val="00DE74D1"/>
    <w:rsid w:val="00DE756A"/>
    <w:rsid w:val="00DE7655"/>
    <w:rsid w:val="00DE76E4"/>
    <w:rsid w:val="00DE76E8"/>
    <w:rsid w:val="00DE76EA"/>
    <w:rsid w:val="00DE7905"/>
    <w:rsid w:val="00DE7921"/>
    <w:rsid w:val="00DE797D"/>
    <w:rsid w:val="00DE79D6"/>
    <w:rsid w:val="00DE7B2A"/>
    <w:rsid w:val="00DE7B7A"/>
    <w:rsid w:val="00DE7BFF"/>
    <w:rsid w:val="00DE7C2E"/>
    <w:rsid w:val="00DE7C47"/>
    <w:rsid w:val="00DE7CCD"/>
    <w:rsid w:val="00DE7CEF"/>
    <w:rsid w:val="00DE7CFD"/>
    <w:rsid w:val="00DE7D0C"/>
    <w:rsid w:val="00DE7EDF"/>
    <w:rsid w:val="00DE7F3D"/>
    <w:rsid w:val="00DF00A8"/>
    <w:rsid w:val="00DF02B1"/>
    <w:rsid w:val="00DF0416"/>
    <w:rsid w:val="00DF0480"/>
    <w:rsid w:val="00DF04C7"/>
    <w:rsid w:val="00DF0528"/>
    <w:rsid w:val="00DF05F3"/>
    <w:rsid w:val="00DF0737"/>
    <w:rsid w:val="00DF0772"/>
    <w:rsid w:val="00DF0D7D"/>
    <w:rsid w:val="00DF0D8B"/>
    <w:rsid w:val="00DF0E12"/>
    <w:rsid w:val="00DF0EA4"/>
    <w:rsid w:val="00DF0F19"/>
    <w:rsid w:val="00DF0F1E"/>
    <w:rsid w:val="00DF1007"/>
    <w:rsid w:val="00DF10A4"/>
    <w:rsid w:val="00DF10E4"/>
    <w:rsid w:val="00DF11BE"/>
    <w:rsid w:val="00DF12E0"/>
    <w:rsid w:val="00DF135A"/>
    <w:rsid w:val="00DF135C"/>
    <w:rsid w:val="00DF1374"/>
    <w:rsid w:val="00DF13F4"/>
    <w:rsid w:val="00DF1436"/>
    <w:rsid w:val="00DF151E"/>
    <w:rsid w:val="00DF15E9"/>
    <w:rsid w:val="00DF16BF"/>
    <w:rsid w:val="00DF1762"/>
    <w:rsid w:val="00DF1765"/>
    <w:rsid w:val="00DF18F9"/>
    <w:rsid w:val="00DF1A40"/>
    <w:rsid w:val="00DF1AA6"/>
    <w:rsid w:val="00DF1B90"/>
    <w:rsid w:val="00DF1C55"/>
    <w:rsid w:val="00DF1CFB"/>
    <w:rsid w:val="00DF1D53"/>
    <w:rsid w:val="00DF1DD5"/>
    <w:rsid w:val="00DF1E53"/>
    <w:rsid w:val="00DF1FC4"/>
    <w:rsid w:val="00DF20B3"/>
    <w:rsid w:val="00DF215C"/>
    <w:rsid w:val="00DF23BC"/>
    <w:rsid w:val="00DF23C7"/>
    <w:rsid w:val="00DF23FA"/>
    <w:rsid w:val="00DF24D9"/>
    <w:rsid w:val="00DF2583"/>
    <w:rsid w:val="00DF25B5"/>
    <w:rsid w:val="00DF266C"/>
    <w:rsid w:val="00DF26F1"/>
    <w:rsid w:val="00DF26FD"/>
    <w:rsid w:val="00DF282F"/>
    <w:rsid w:val="00DF2894"/>
    <w:rsid w:val="00DF2A79"/>
    <w:rsid w:val="00DF2AAC"/>
    <w:rsid w:val="00DF2AD9"/>
    <w:rsid w:val="00DF2B31"/>
    <w:rsid w:val="00DF2B64"/>
    <w:rsid w:val="00DF2C46"/>
    <w:rsid w:val="00DF2C8C"/>
    <w:rsid w:val="00DF2D2A"/>
    <w:rsid w:val="00DF2EBC"/>
    <w:rsid w:val="00DF2FBE"/>
    <w:rsid w:val="00DF2FCE"/>
    <w:rsid w:val="00DF2FD6"/>
    <w:rsid w:val="00DF30BB"/>
    <w:rsid w:val="00DF30D9"/>
    <w:rsid w:val="00DF315C"/>
    <w:rsid w:val="00DF31C8"/>
    <w:rsid w:val="00DF32B7"/>
    <w:rsid w:val="00DF34A3"/>
    <w:rsid w:val="00DF34B1"/>
    <w:rsid w:val="00DF34BE"/>
    <w:rsid w:val="00DF35B4"/>
    <w:rsid w:val="00DF3B60"/>
    <w:rsid w:val="00DF3BF5"/>
    <w:rsid w:val="00DF3C2E"/>
    <w:rsid w:val="00DF3E1F"/>
    <w:rsid w:val="00DF3E62"/>
    <w:rsid w:val="00DF3E79"/>
    <w:rsid w:val="00DF3E94"/>
    <w:rsid w:val="00DF3EAC"/>
    <w:rsid w:val="00DF3ECE"/>
    <w:rsid w:val="00DF3F42"/>
    <w:rsid w:val="00DF3F9C"/>
    <w:rsid w:val="00DF405D"/>
    <w:rsid w:val="00DF409A"/>
    <w:rsid w:val="00DF4122"/>
    <w:rsid w:val="00DF4296"/>
    <w:rsid w:val="00DF4448"/>
    <w:rsid w:val="00DF455E"/>
    <w:rsid w:val="00DF45A9"/>
    <w:rsid w:val="00DF494D"/>
    <w:rsid w:val="00DF49B1"/>
    <w:rsid w:val="00DF4B05"/>
    <w:rsid w:val="00DF4B21"/>
    <w:rsid w:val="00DF4C12"/>
    <w:rsid w:val="00DF4C5A"/>
    <w:rsid w:val="00DF4C74"/>
    <w:rsid w:val="00DF4C7E"/>
    <w:rsid w:val="00DF4C87"/>
    <w:rsid w:val="00DF4CBC"/>
    <w:rsid w:val="00DF4D1C"/>
    <w:rsid w:val="00DF4D48"/>
    <w:rsid w:val="00DF4E1D"/>
    <w:rsid w:val="00DF4E51"/>
    <w:rsid w:val="00DF4EB3"/>
    <w:rsid w:val="00DF4EF3"/>
    <w:rsid w:val="00DF4F23"/>
    <w:rsid w:val="00DF507A"/>
    <w:rsid w:val="00DF50FD"/>
    <w:rsid w:val="00DF51F3"/>
    <w:rsid w:val="00DF5242"/>
    <w:rsid w:val="00DF52A4"/>
    <w:rsid w:val="00DF531A"/>
    <w:rsid w:val="00DF533F"/>
    <w:rsid w:val="00DF53FD"/>
    <w:rsid w:val="00DF56B8"/>
    <w:rsid w:val="00DF56D4"/>
    <w:rsid w:val="00DF57A6"/>
    <w:rsid w:val="00DF5A68"/>
    <w:rsid w:val="00DF5AA2"/>
    <w:rsid w:val="00DF5B4D"/>
    <w:rsid w:val="00DF5CEC"/>
    <w:rsid w:val="00DF5CFE"/>
    <w:rsid w:val="00DF5D39"/>
    <w:rsid w:val="00DF5D54"/>
    <w:rsid w:val="00DF5D72"/>
    <w:rsid w:val="00DF5EF0"/>
    <w:rsid w:val="00DF5FD9"/>
    <w:rsid w:val="00DF5FF0"/>
    <w:rsid w:val="00DF60EE"/>
    <w:rsid w:val="00DF6111"/>
    <w:rsid w:val="00DF6115"/>
    <w:rsid w:val="00DF631C"/>
    <w:rsid w:val="00DF63C1"/>
    <w:rsid w:val="00DF63E9"/>
    <w:rsid w:val="00DF64B1"/>
    <w:rsid w:val="00DF64D0"/>
    <w:rsid w:val="00DF65A3"/>
    <w:rsid w:val="00DF6616"/>
    <w:rsid w:val="00DF6632"/>
    <w:rsid w:val="00DF67AB"/>
    <w:rsid w:val="00DF67E7"/>
    <w:rsid w:val="00DF683A"/>
    <w:rsid w:val="00DF68FE"/>
    <w:rsid w:val="00DF696E"/>
    <w:rsid w:val="00DF6A9A"/>
    <w:rsid w:val="00DF6B1E"/>
    <w:rsid w:val="00DF6B28"/>
    <w:rsid w:val="00DF6B7D"/>
    <w:rsid w:val="00DF6BBE"/>
    <w:rsid w:val="00DF6BE7"/>
    <w:rsid w:val="00DF6C2D"/>
    <w:rsid w:val="00DF6C57"/>
    <w:rsid w:val="00DF6F61"/>
    <w:rsid w:val="00DF70B6"/>
    <w:rsid w:val="00DF72C5"/>
    <w:rsid w:val="00DF73B7"/>
    <w:rsid w:val="00DF73EE"/>
    <w:rsid w:val="00DF73F9"/>
    <w:rsid w:val="00DF7498"/>
    <w:rsid w:val="00DF75CE"/>
    <w:rsid w:val="00DF761C"/>
    <w:rsid w:val="00DF76E2"/>
    <w:rsid w:val="00DF77AC"/>
    <w:rsid w:val="00DF7800"/>
    <w:rsid w:val="00DF7854"/>
    <w:rsid w:val="00DF785E"/>
    <w:rsid w:val="00DF7862"/>
    <w:rsid w:val="00DF7938"/>
    <w:rsid w:val="00DF7A70"/>
    <w:rsid w:val="00DF7BBA"/>
    <w:rsid w:val="00DF7BBD"/>
    <w:rsid w:val="00DF7C31"/>
    <w:rsid w:val="00DF7CC1"/>
    <w:rsid w:val="00DF7E12"/>
    <w:rsid w:val="00DF7E30"/>
    <w:rsid w:val="00DF7E90"/>
    <w:rsid w:val="00DF7FA7"/>
    <w:rsid w:val="00E000C0"/>
    <w:rsid w:val="00E000CD"/>
    <w:rsid w:val="00E00150"/>
    <w:rsid w:val="00E0025A"/>
    <w:rsid w:val="00E0027C"/>
    <w:rsid w:val="00E00342"/>
    <w:rsid w:val="00E003D2"/>
    <w:rsid w:val="00E00465"/>
    <w:rsid w:val="00E0047E"/>
    <w:rsid w:val="00E004A6"/>
    <w:rsid w:val="00E00637"/>
    <w:rsid w:val="00E0064F"/>
    <w:rsid w:val="00E00675"/>
    <w:rsid w:val="00E0070A"/>
    <w:rsid w:val="00E008E1"/>
    <w:rsid w:val="00E008E6"/>
    <w:rsid w:val="00E00978"/>
    <w:rsid w:val="00E00AEF"/>
    <w:rsid w:val="00E00B48"/>
    <w:rsid w:val="00E00B60"/>
    <w:rsid w:val="00E00BC4"/>
    <w:rsid w:val="00E00C28"/>
    <w:rsid w:val="00E00C3C"/>
    <w:rsid w:val="00E00C3F"/>
    <w:rsid w:val="00E00CDE"/>
    <w:rsid w:val="00E00E4D"/>
    <w:rsid w:val="00E00F43"/>
    <w:rsid w:val="00E00F6D"/>
    <w:rsid w:val="00E00F76"/>
    <w:rsid w:val="00E00F7F"/>
    <w:rsid w:val="00E00FB4"/>
    <w:rsid w:val="00E01192"/>
    <w:rsid w:val="00E01230"/>
    <w:rsid w:val="00E0134D"/>
    <w:rsid w:val="00E013EB"/>
    <w:rsid w:val="00E01427"/>
    <w:rsid w:val="00E014AA"/>
    <w:rsid w:val="00E015C1"/>
    <w:rsid w:val="00E01738"/>
    <w:rsid w:val="00E017D8"/>
    <w:rsid w:val="00E019BA"/>
    <w:rsid w:val="00E019BE"/>
    <w:rsid w:val="00E019DF"/>
    <w:rsid w:val="00E01BAB"/>
    <w:rsid w:val="00E01BCB"/>
    <w:rsid w:val="00E01DA2"/>
    <w:rsid w:val="00E01F3A"/>
    <w:rsid w:val="00E01FC3"/>
    <w:rsid w:val="00E020C0"/>
    <w:rsid w:val="00E02179"/>
    <w:rsid w:val="00E02276"/>
    <w:rsid w:val="00E02281"/>
    <w:rsid w:val="00E022B3"/>
    <w:rsid w:val="00E023DF"/>
    <w:rsid w:val="00E02493"/>
    <w:rsid w:val="00E024DA"/>
    <w:rsid w:val="00E025C7"/>
    <w:rsid w:val="00E026B7"/>
    <w:rsid w:val="00E026D1"/>
    <w:rsid w:val="00E027AF"/>
    <w:rsid w:val="00E027ED"/>
    <w:rsid w:val="00E028B2"/>
    <w:rsid w:val="00E028FE"/>
    <w:rsid w:val="00E02919"/>
    <w:rsid w:val="00E02B36"/>
    <w:rsid w:val="00E02BA6"/>
    <w:rsid w:val="00E02CA5"/>
    <w:rsid w:val="00E02D94"/>
    <w:rsid w:val="00E02E55"/>
    <w:rsid w:val="00E02EE8"/>
    <w:rsid w:val="00E02F1B"/>
    <w:rsid w:val="00E02FA6"/>
    <w:rsid w:val="00E02FB5"/>
    <w:rsid w:val="00E03399"/>
    <w:rsid w:val="00E033C8"/>
    <w:rsid w:val="00E034E0"/>
    <w:rsid w:val="00E03578"/>
    <w:rsid w:val="00E03664"/>
    <w:rsid w:val="00E03668"/>
    <w:rsid w:val="00E036EA"/>
    <w:rsid w:val="00E03714"/>
    <w:rsid w:val="00E037C1"/>
    <w:rsid w:val="00E0398B"/>
    <w:rsid w:val="00E039BA"/>
    <w:rsid w:val="00E039DB"/>
    <w:rsid w:val="00E039E8"/>
    <w:rsid w:val="00E03A20"/>
    <w:rsid w:val="00E03A2A"/>
    <w:rsid w:val="00E03A56"/>
    <w:rsid w:val="00E03BBB"/>
    <w:rsid w:val="00E03C6B"/>
    <w:rsid w:val="00E03D25"/>
    <w:rsid w:val="00E03D6F"/>
    <w:rsid w:val="00E03FF8"/>
    <w:rsid w:val="00E04269"/>
    <w:rsid w:val="00E044BE"/>
    <w:rsid w:val="00E04700"/>
    <w:rsid w:val="00E047AE"/>
    <w:rsid w:val="00E04851"/>
    <w:rsid w:val="00E048BE"/>
    <w:rsid w:val="00E04927"/>
    <w:rsid w:val="00E04965"/>
    <w:rsid w:val="00E049B9"/>
    <w:rsid w:val="00E049D7"/>
    <w:rsid w:val="00E04A14"/>
    <w:rsid w:val="00E04A2A"/>
    <w:rsid w:val="00E04C94"/>
    <w:rsid w:val="00E04CCA"/>
    <w:rsid w:val="00E04D05"/>
    <w:rsid w:val="00E04D13"/>
    <w:rsid w:val="00E04D17"/>
    <w:rsid w:val="00E04D98"/>
    <w:rsid w:val="00E04DDC"/>
    <w:rsid w:val="00E04E52"/>
    <w:rsid w:val="00E04E5C"/>
    <w:rsid w:val="00E04E63"/>
    <w:rsid w:val="00E04F6D"/>
    <w:rsid w:val="00E05139"/>
    <w:rsid w:val="00E051C1"/>
    <w:rsid w:val="00E052D7"/>
    <w:rsid w:val="00E053F8"/>
    <w:rsid w:val="00E055F2"/>
    <w:rsid w:val="00E05613"/>
    <w:rsid w:val="00E05664"/>
    <w:rsid w:val="00E05685"/>
    <w:rsid w:val="00E0578B"/>
    <w:rsid w:val="00E05894"/>
    <w:rsid w:val="00E05A25"/>
    <w:rsid w:val="00E05A5D"/>
    <w:rsid w:val="00E05A9B"/>
    <w:rsid w:val="00E05B65"/>
    <w:rsid w:val="00E05BE5"/>
    <w:rsid w:val="00E05D83"/>
    <w:rsid w:val="00E05EB0"/>
    <w:rsid w:val="00E0617C"/>
    <w:rsid w:val="00E062E1"/>
    <w:rsid w:val="00E062F6"/>
    <w:rsid w:val="00E06399"/>
    <w:rsid w:val="00E06443"/>
    <w:rsid w:val="00E06457"/>
    <w:rsid w:val="00E0666B"/>
    <w:rsid w:val="00E067AB"/>
    <w:rsid w:val="00E0687F"/>
    <w:rsid w:val="00E069B1"/>
    <w:rsid w:val="00E069F4"/>
    <w:rsid w:val="00E06B16"/>
    <w:rsid w:val="00E06B7B"/>
    <w:rsid w:val="00E06B8D"/>
    <w:rsid w:val="00E06B98"/>
    <w:rsid w:val="00E06BA5"/>
    <w:rsid w:val="00E06C6F"/>
    <w:rsid w:val="00E06C75"/>
    <w:rsid w:val="00E06CB4"/>
    <w:rsid w:val="00E06CCC"/>
    <w:rsid w:val="00E06E1C"/>
    <w:rsid w:val="00E06E6F"/>
    <w:rsid w:val="00E06FE1"/>
    <w:rsid w:val="00E07001"/>
    <w:rsid w:val="00E07002"/>
    <w:rsid w:val="00E07185"/>
    <w:rsid w:val="00E071EC"/>
    <w:rsid w:val="00E073A5"/>
    <w:rsid w:val="00E073D9"/>
    <w:rsid w:val="00E0749E"/>
    <w:rsid w:val="00E0753F"/>
    <w:rsid w:val="00E075D2"/>
    <w:rsid w:val="00E07663"/>
    <w:rsid w:val="00E076B6"/>
    <w:rsid w:val="00E07822"/>
    <w:rsid w:val="00E07830"/>
    <w:rsid w:val="00E07894"/>
    <w:rsid w:val="00E07943"/>
    <w:rsid w:val="00E079A8"/>
    <w:rsid w:val="00E07A20"/>
    <w:rsid w:val="00E07A82"/>
    <w:rsid w:val="00E07A96"/>
    <w:rsid w:val="00E07B04"/>
    <w:rsid w:val="00E07B53"/>
    <w:rsid w:val="00E07B55"/>
    <w:rsid w:val="00E07BD2"/>
    <w:rsid w:val="00E07BDF"/>
    <w:rsid w:val="00E07C15"/>
    <w:rsid w:val="00E07CEC"/>
    <w:rsid w:val="00E07DA7"/>
    <w:rsid w:val="00E07F08"/>
    <w:rsid w:val="00E100AE"/>
    <w:rsid w:val="00E101C6"/>
    <w:rsid w:val="00E10208"/>
    <w:rsid w:val="00E10575"/>
    <w:rsid w:val="00E10704"/>
    <w:rsid w:val="00E107CB"/>
    <w:rsid w:val="00E1087A"/>
    <w:rsid w:val="00E10925"/>
    <w:rsid w:val="00E109F2"/>
    <w:rsid w:val="00E10A87"/>
    <w:rsid w:val="00E10C1F"/>
    <w:rsid w:val="00E10C3D"/>
    <w:rsid w:val="00E10D0D"/>
    <w:rsid w:val="00E10F3E"/>
    <w:rsid w:val="00E11045"/>
    <w:rsid w:val="00E1105E"/>
    <w:rsid w:val="00E11086"/>
    <w:rsid w:val="00E11105"/>
    <w:rsid w:val="00E1139D"/>
    <w:rsid w:val="00E1141A"/>
    <w:rsid w:val="00E114AE"/>
    <w:rsid w:val="00E1153F"/>
    <w:rsid w:val="00E1154D"/>
    <w:rsid w:val="00E115D9"/>
    <w:rsid w:val="00E1161B"/>
    <w:rsid w:val="00E116D4"/>
    <w:rsid w:val="00E117A1"/>
    <w:rsid w:val="00E117AF"/>
    <w:rsid w:val="00E11904"/>
    <w:rsid w:val="00E11918"/>
    <w:rsid w:val="00E11942"/>
    <w:rsid w:val="00E11ACF"/>
    <w:rsid w:val="00E11AE8"/>
    <w:rsid w:val="00E11B0F"/>
    <w:rsid w:val="00E11B14"/>
    <w:rsid w:val="00E11B19"/>
    <w:rsid w:val="00E11B52"/>
    <w:rsid w:val="00E11B7C"/>
    <w:rsid w:val="00E11C53"/>
    <w:rsid w:val="00E11DE7"/>
    <w:rsid w:val="00E11E2F"/>
    <w:rsid w:val="00E11E46"/>
    <w:rsid w:val="00E11FC1"/>
    <w:rsid w:val="00E1204B"/>
    <w:rsid w:val="00E120C8"/>
    <w:rsid w:val="00E12189"/>
    <w:rsid w:val="00E121A8"/>
    <w:rsid w:val="00E121BD"/>
    <w:rsid w:val="00E1227F"/>
    <w:rsid w:val="00E123F5"/>
    <w:rsid w:val="00E1243B"/>
    <w:rsid w:val="00E124CB"/>
    <w:rsid w:val="00E124FE"/>
    <w:rsid w:val="00E12500"/>
    <w:rsid w:val="00E1257C"/>
    <w:rsid w:val="00E125D5"/>
    <w:rsid w:val="00E12623"/>
    <w:rsid w:val="00E126E3"/>
    <w:rsid w:val="00E12952"/>
    <w:rsid w:val="00E12B55"/>
    <w:rsid w:val="00E12BDB"/>
    <w:rsid w:val="00E12BF7"/>
    <w:rsid w:val="00E12BFD"/>
    <w:rsid w:val="00E12D2B"/>
    <w:rsid w:val="00E12EA4"/>
    <w:rsid w:val="00E13016"/>
    <w:rsid w:val="00E13056"/>
    <w:rsid w:val="00E130A9"/>
    <w:rsid w:val="00E13215"/>
    <w:rsid w:val="00E13237"/>
    <w:rsid w:val="00E132DC"/>
    <w:rsid w:val="00E13374"/>
    <w:rsid w:val="00E133E1"/>
    <w:rsid w:val="00E1354C"/>
    <w:rsid w:val="00E135BF"/>
    <w:rsid w:val="00E13759"/>
    <w:rsid w:val="00E1376C"/>
    <w:rsid w:val="00E137E2"/>
    <w:rsid w:val="00E137E4"/>
    <w:rsid w:val="00E13821"/>
    <w:rsid w:val="00E139A6"/>
    <w:rsid w:val="00E13AA9"/>
    <w:rsid w:val="00E13B73"/>
    <w:rsid w:val="00E13BA0"/>
    <w:rsid w:val="00E13BA8"/>
    <w:rsid w:val="00E13BE3"/>
    <w:rsid w:val="00E13BE6"/>
    <w:rsid w:val="00E13C9B"/>
    <w:rsid w:val="00E13D1B"/>
    <w:rsid w:val="00E13E6E"/>
    <w:rsid w:val="00E1400F"/>
    <w:rsid w:val="00E1407D"/>
    <w:rsid w:val="00E14135"/>
    <w:rsid w:val="00E14144"/>
    <w:rsid w:val="00E1416A"/>
    <w:rsid w:val="00E142AC"/>
    <w:rsid w:val="00E142B3"/>
    <w:rsid w:val="00E143B4"/>
    <w:rsid w:val="00E144A1"/>
    <w:rsid w:val="00E1460D"/>
    <w:rsid w:val="00E1475F"/>
    <w:rsid w:val="00E148E8"/>
    <w:rsid w:val="00E14924"/>
    <w:rsid w:val="00E14A2B"/>
    <w:rsid w:val="00E14B12"/>
    <w:rsid w:val="00E14B5A"/>
    <w:rsid w:val="00E14BE9"/>
    <w:rsid w:val="00E14C88"/>
    <w:rsid w:val="00E14D3D"/>
    <w:rsid w:val="00E14DB9"/>
    <w:rsid w:val="00E14DE1"/>
    <w:rsid w:val="00E14F67"/>
    <w:rsid w:val="00E15027"/>
    <w:rsid w:val="00E15068"/>
    <w:rsid w:val="00E150FD"/>
    <w:rsid w:val="00E15156"/>
    <w:rsid w:val="00E15199"/>
    <w:rsid w:val="00E153F0"/>
    <w:rsid w:val="00E1540E"/>
    <w:rsid w:val="00E154DB"/>
    <w:rsid w:val="00E15595"/>
    <w:rsid w:val="00E155EB"/>
    <w:rsid w:val="00E15702"/>
    <w:rsid w:val="00E157A7"/>
    <w:rsid w:val="00E157BA"/>
    <w:rsid w:val="00E157C3"/>
    <w:rsid w:val="00E157EC"/>
    <w:rsid w:val="00E1582B"/>
    <w:rsid w:val="00E15964"/>
    <w:rsid w:val="00E15A08"/>
    <w:rsid w:val="00E15A2E"/>
    <w:rsid w:val="00E15A65"/>
    <w:rsid w:val="00E15B64"/>
    <w:rsid w:val="00E15C27"/>
    <w:rsid w:val="00E15C7F"/>
    <w:rsid w:val="00E15CC3"/>
    <w:rsid w:val="00E15D24"/>
    <w:rsid w:val="00E15D53"/>
    <w:rsid w:val="00E15DAB"/>
    <w:rsid w:val="00E15E29"/>
    <w:rsid w:val="00E15E50"/>
    <w:rsid w:val="00E160E9"/>
    <w:rsid w:val="00E160F2"/>
    <w:rsid w:val="00E16194"/>
    <w:rsid w:val="00E16242"/>
    <w:rsid w:val="00E163AA"/>
    <w:rsid w:val="00E163BF"/>
    <w:rsid w:val="00E1642E"/>
    <w:rsid w:val="00E16436"/>
    <w:rsid w:val="00E16481"/>
    <w:rsid w:val="00E16573"/>
    <w:rsid w:val="00E165FA"/>
    <w:rsid w:val="00E16669"/>
    <w:rsid w:val="00E1668C"/>
    <w:rsid w:val="00E166F4"/>
    <w:rsid w:val="00E1678D"/>
    <w:rsid w:val="00E1681A"/>
    <w:rsid w:val="00E16877"/>
    <w:rsid w:val="00E16AC9"/>
    <w:rsid w:val="00E16B0F"/>
    <w:rsid w:val="00E16B1A"/>
    <w:rsid w:val="00E16BBF"/>
    <w:rsid w:val="00E16D7C"/>
    <w:rsid w:val="00E16DC0"/>
    <w:rsid w:val="00E16DFE"/>
    <w:rsid w:val="00E16E48"/>
    <w:rsid w:val="00E16EC0"/>
    <w:rsid w:val="00E16F39"/>
    <w:rsid w:val="00E16FAD"/>
    <w:rsid w:val="00E17004"/>
    <w:rsid w:val="00E1701C"/>
    <w:rsid w:val="00E1704C"/>
    <w:rsid w:val="00E17093"/>
    <w:rsid w:val="00E170FA"/>
    <w:rsid w:val="00E1716F"/>
    <w:rsid w:val="00E1726D"/>
    <w:rsid w:val="00E172B5"/>
    <w:rsid w:val="00E172BB"/>
    <w:rsid w:val="00E172F0"/>
    <w:rsid w:val="00E17426"/>
    <w:rsid w:val="00E1758E"/>
    <w:rsid w:val="00E17657"/>
    <w:rsid w:val="00E17680"/>
    <w:rsid w:val="00E176EB"/>
    <w:rsid w:val="00E17724"/>
    <w:rsid w:val="00E1772C"/>
    <w:rsid w:val="00E17969"/>
    <w:rsid w:val="00E17ABD"/>
    <w:rsid w:val="00E17BB7"/>
    <w:rsid w:val="00E17BCD"/>
    <w:rsid w:val="00E17BF9"/>
    <w:rsid w:val="00E17C19"/>
    <w:rsid w:val="00E17D06"/>
    <w:rsid w:val="00E17D11"/>
    <w:rsid w:val="00E17D9B"/>
    <w:rsid w:val="00E17DB1"/>
    <w:rsid w:val="00E17DF4"/>
    <w:rsid w:val="00E17DFC"/>
    <w:rsid w:val="00E17E21"/>
    <w:rsid w:val="00E17E7D"/>
    <w:rsid w:val="00E17EB8"/>
    <w:rsid w:val="00E17F0E"/>
    <w:rsid w:val="00E17F5F"/>
    <w:rsid w:val="00E17FC5"/>
    <w:rsid w:val="00E200A4"/>
    <w:rsid w:val="00E200F6"/>
    <w:rsid w:val="00E20122"/>
    <w:rsid w:val="00E20145"/>
    <w:rsid w:val="00E201B6"/>
    <w:rsid w:val="00E201F3"/>
    <w:rsid w:val="00E2023F"/>
    <w:rsid w:val="00E203B3"/>
    <w:rsid w:val="00E203D1"/>
    <w:rsid w:val="00E20453"/>
    <w:rsid w:val="00E204D3"/>
    <w:rsid w:val="00E2059D"/>
    <w:rsid w:val="00E2060F"/>
    <w:rsid w:val="00E20785"/>
    <w:rsid w:val="00E20830"/>
    <w:rsid w:val="00E208CB"/>
    <w:rsid w:val="00E20997"/>
    <w:rsid w:val="00E20A7A"/>
    <w:rsid w:val="00E20AAE"/>
    <w:rsid w:val="00E20ABE"/>
    <w:rsid w:val="00E20B5A"/>
    <w:rsid w:val="00E20CCA"/>
    <w:rsid w:val="00E20D23"/>
    <w:rsid w:val="00E20E14"/>
    <w:rsid w:val="00E20E3D"/>
    <w:rsid w:val="00E20E69"/>
    <w:rsid w:val="00E20FE6"/>
    <w:rsid w:val="00E210EC"/>
    <w:rsid w:val="00E2133F"/>
    <w:rsid w:val="00E2135F"/>
    <w:rsid w:val="00E21371"/>
    <w:rsid w:val="00E214E3"/>
    <w:rsid w:val="00E2151F"/>
    <w:rsid w:val="00E21591"/>
    <w:rsid w:val="00E215DF"/>
    <w:rsid w:val="00E215E4"/>
    <w:rsid w:val="00E216BE"/>
    <w:rsid w:val="00E21757"/>
    <w:rsid w:val="00E2175A"/>
    <w:rsid w:val="00E2185A"/>
    <w:rsid w:val="00E21994"/>
    <w:rsid w:val="00E21A0B"/>
    <w:rsid w:val="00E21B07"/>
    <w:rsid w:val="00E21BD0"/>
    <w:rsid w:val="00E21BE5"/>
    <w:rsid w:val="00E21CFC"/>
    <w:rsid w:val="00E21ED5"/>
    <w:rsid w:val="00E21F52"/>
    <w:rsid w:val="00E21F95"/>
    <w:rsid w:val="00E21FBB"/>
    <w:rsid w:val="00E22004"/>
    <w:rsid w:val="00E22127"/>
    <w:rsid w:val="00E2217E"/>
    <w:rsid w:val="00E221D2"/>
    <w:rsid w:val="00E22240"/>
    <w:rsid w:val="00E2239B"/>
    <w:rsid w:val="00E223F4"/>
    <w:rsid w:val="00E226B7"/>
    <w:rsid w:val="00E22748"/>
    <w:rsid w:val="00E22785"/>
    <w:rsid w:val="00E22883"/>
    <w:rsid w:val="00E22897"/>
    <w:rsid w:val="00E22925"/>
    <w:rsid w:val="00E22974"/>
    <w:rsid w:val="00E22A44"/>
    <w:rsid w:val="00E22A73"/>
    <w:rsid w:val="00E22A78"/>
    <w:rsid w:val="00E22AD2"/>
    <w:rsid w:val="00E22B20"/>
    <w:rsid w:val="00E22BF5"/>
    <w:rsid w:val="00E22C29"/>
    <w:rsid w:val="00E22D51"/>
    <w:rsid w:val="00E22D9B"/>
    <w:rsid w:val="00E22E48"/>
    <w:rsid w:val="00E22EB5"/>
    <w:rsid w:val="00E22EC9"/>
    <w:rsid w:val="00E22EDC"/>
    <w:rsid w:val="00E22EE8"/>
    <w:rsid w:val="00E22F15"/>
    <w:rsid w:val="00E22F77"/>
    <w:rsid w:val="00E22FCA"/>
    <w:rsid w:val="00E2308B"/>
    <w:rsid w:val="00E23481"/>
    <w:rsid w:val="00E23499"/>
    <w:rsid w:val="00E234A9"/>
    <w:rsid w:val="00E23595"/>
    <w:rsid w:val="00E237BB"/>
    <w:rsid w:val="00E237F0"/>
    <w:rsid w:val="00E2388C"/>
    <w:rsid w:val="00E238BB"/>
    <w:rsid w:val="00E2390B"/>
    <w:rsid w:val="00E2394D"/>
    <w:rsid w:val="00E23A8E"/>
    <w:rsid w:val="00E23B65"/>
    <w:rsid w:val="00E23BDF"/>
    <w:rsid w:val="00E23C55"/>
    <w:rsid w:val="00E23CB2"/>
    <w:rsid w:val="00E23D82"/>
    <w:rsid w:val="00E23DE1"/>
    <w:rsid w:val="00E23DF4"/>
    <w:rsid w:val="00E23DF5"/>
    <w:rsid w:val="00E23E6E"/>
    <w:rsid w:val="00E23FCA"/>
    <w:rsid w:val="00E240E7"/>
    <w:rsid w:val="00E24118"/>
    <w:rsid w:val="00E2425F"/>
    <w:rsid w:val="00E24379"/>
    <w:rsid w:val="00E243A1"/>
    <w:rsid w:val="00E24429"/>
    <w:rsid w:val="00E24479"/>
    <w:rsid w:val="00E24609"/>
    <w:rsid w:val="00E2463D"/>
    <w:rsid w:val="00E2475F"/>
    <w:rsid w:val="00E248CE"/>
    <w:rsid w:val="00E24901"/>
    <w:rsid w:val="00E2493C"/>
    <w:rsid w:val="00E249AB"/>
    <w:rsid w:val="00E24A68"/>
    <w:rsid w:val="00E24ADC"/>
    <w:rsid w:val="00E24BC9"/>
    <w:rsid w:val="00E24E2A"/>
    <w:rsid w:val="00E24E31"/>
    <w:rsid w:val="00E24F12"/>
    <w:rsid w:val="00E24F74"/>
    <w:rsid w:val="00E2538B"/>
    <w:rsid w:val="00E253CC"/>
    <w:rsid w:val="00E253D2"/>
    <w:rsid w:val="00E25555"/>
    <w:rsid w:val="00E25594"/>
    <w:rsid w:val="00E255BE"/>
    <w:rsid w:val="00E255D6"/>
    <w:rsid w:val="00E25616"/>
    <w:rsid w:val="00E2570C"/>
    <w:rsid w:val="00E25717"/>
    <w:rsid w:val="00E2576A"/>
    <w:rsid w:val="00E2581D"/>
    <w:rsid w:val="00E25944"/>
    <w:rsid w:val="00E2596C"/>
    <w:rsid w:val="00E259B2"/>
    <w:rsid w:val="00E259DC"/>
    <w:rsid w:val="00E25A07"/>
    <w:rsid w:val="00E25A14"/>
    <w:rsid w:val="00E25AB2"/>
    <w:rsid w:val="00E25B0B"/>
    <w:rsid w:val="00E25B32"/>
    <w:rsid w:val="00E25B4D"/>
    <w:rsid w:val="00E25B99"/>
    <w:rsid w:val="00E25BD7"/>
    <w:rsid w:val="00E25C81"/>
    <w:rsid w:val="00E25CA9"/>
    <w:rsid w:val="00E25E64"/>
    <w:rsid w:val="00E25E80"/>
    <w:rsid w:val="00E25FC3"/>
    <w:rsid w:val="00E26356"/>
    <w:rsid w:val="00E264C9"/>
    <w:rsid w:val="00E2668A"/>
    <w:rsid w:val="00E2673E"/>
    <w:rsid w:val="00E2676E"/>
    <w:rsid w:val="00E26841"/>
    <w:rsid w:val="00E268D5"/>
    <w:rsid w:val="00E269E9"/>
    <w:rsid w:val="00E26AD7"/>
    <w:rsid w:val="00E26C9A"/>
    <w:rsid w:val="00E26CC5"/>
    <w:rsid w:val="00E26D11"/>
    <w:rsid w:val="00E26D4C"/>
    <w:rsid w:val="00E26D92"/>
    <w:rsid w:val="00E26E53"/>
    <w:rsid w:val="00E26FB1"/>
    <w:rsid w:val="00E2712F"/>
    <w:rsid w:val="00E2726F"/>
    <w:rsid w:val="00E27287"/>
    <w:rsid w:val="00E2734A"/>
    <w:rsid w:val="00E27463"/>
    <w:rsid w:val="00E2748C"/>
    <w:rsid w:val="00E27627"/>
    <w:rsid w:val="00E27682"/>
    <w:rsid w:val="00E276A8"/>
    <w:rsid w:val="00E27707"/>
    <w:rsid w:val="00E2771B"/>
    <w:rsid w:val="00E27754"/>
    <w:rsid w:val="00E2775E"/>
    <w:rsid w:val="00E277B8"/>
    <w:rsid w:val="00E27834"/>
    <w:rsid w:val="00E278CC"/>
    <w:rsid w:val="00E27A2A"/>
    <w:rsid w:val="00E27A31"/>
    <w:rsid w:val="00E27A50"/>
    <w:rsid w:val="00E27AF2"/>
    <w:rsid w:val="00E27B39"/>
    <w:rsid w:val="00E27BB3"/>
    <w:rsid w:val="00E27C1B"/>
    <w:rsid w:val="00E27D1C"/>
    <w:rsid w:val="00E27D80"/>
    <w:rsid w:val="00E27D84"/>
    <w:rsid w:val="00E27DB9"/>
    <w:rsid w:val="00E27DF2"/>
    <w:rsid w:val="00E27E30"/>
    <w:rsid w:val="00E27F6D"/>
    <w:rsid w:val="00E27F93"/>
    <w:rsid w:val="00E27FD9"/>
    <w:rsid w:val="00E30085"/>
    <w:rsid w:val="00E3009E"/>
    <w:rsid w:val="00E30251"/>
    <w:rsid w:val="00E30416"/>
    <w:rsid w:val="00E30466"/>
    <w:rsid w:val="00E3050C"/>
    <w:rsid w:val="00E30524"/>
    <w:rsid w:val="00E30A06"/>
    <w:rsid w:val="00E30AB9"/>
    <w:rsid w:val="00E30AE7"/>
    <w:rsid w:val="00E30B0B"/>
    <w:rsid w:val="00E30CA2"/>
    <w:rsid w:val="00E30CBF"/>
    <w:rsid w:val="00E30D77"/>
    <w:rsid w:val="00E30D90"/>
    <w:rsid w:val="00E30DD4"/>
    <w:rsid w:val="00E30E30"/>
    <w:rsid w:val="00E30E93"/>
    <w:rsid w:val="00E30EB7"/>
    <w:rsid w:val="00E30F11"/>
    <w:rsid w:val="00E30FC1"/>
    <w:rsid w:val="00E31005"/>
    <w:rsid w:val="00E31066"/>
    <w:rsid w:val="00E310C9"/>
    <w:rsid w:val="00E31131"/>
    <w:rsid w:val="00E3119C"/>
    <w:rsid w:val="00E31578"/>
    <w:rsid w:val="00E315E8"/>
    <w:rsid w:val="00E31682"/>
    <w:rsid w:val="00E3171B"/>
    <w:rsid w:val="00E3173E"/>
    <w:rsid w:val="00E31787"/>
    <w:rsid w:val="00E317DC"/>
    <w:rsid w:val="00E31803"/>
    <w:rsid w:val="00E318C1"/>
    <w:rsid w:val="00E3198F"/>
    <w:rsid w:val="00E31A99"/>
    <w:rsid w:val="00E31AE6"/>
    <w:rsid w:val="00E31C6A"/>
    <w:rsid w:val="00E31CE6"/>
    <w:rsid w:val="00E31D1F"/>
    <w:rsid w:val="00E31D45"/>
    <w:rsid w:val="00E31DE5"/>
    <w:rsid w:val="00E31E0C"/>
    <w:rsid w:val="00E31E2E"/>
    <w:rsid w:val="00E31E60"/>
    <w:rsid w:val="00E31F18"/>
    <w:rsid w:val="00E31F3C"/>
    <w:rsid w:val="00E31F6B"/>
    <w:rsid w:val="00E31FE4"/>
    <w:rsid w:val="00E32031"/>
    <w:rsid w:val="00E320EE"/>
    <w:rsid w:val="00E321A8"/>
    <w:rsid w:val="00E32205"/>
    <w:rsid w:val="00E32229"/>
    <w:rsid w:val="00E3225F"/>
    <w:rsid w:val="00E322FC"/>
    <w:rsid w:val="00E323B2"/>
    <w:rsid w:val="00E323D8"/>
    <w:rsid w:val="00E323EB"/>
    <w:rsid w:val="00E323F1"/>
    <w:rsid w:val="00E32446"/>
    <w:rsid w:val="00E32462"/>
    <w:rsid w:val="00E3253D"/>
    <w:rsid w:val="00E325C8"/>
    <w:rsid w:val="00E325D8"/>
    <w:rsid w:val="00E325F3"/>
    <w:rsid w:val="00E326F1"/>
    <w:rsid w:val="00E3272A"/>
    <w:rsid w:val="00E32767"/>
    <w:rsid w:val="00E327A7"/>
    <w:rsid w:val="00E32813"/>
    <w:rsid w:val="00E32855"/>
    <w:rsid w:val="00E32973"/>
    <w:rsid w:val="00E32A72"/>
    <w:rsid w:val="00E32AC6"/>
    <w:rsid w:val="00E32AD6"/>
    <w:rsid w:val="00E32B65"/>
    <w:rsid w:val="00E32CC8"/>
    <w:rsid w:val="00E32D32"/>
    <w:rsid w:val="00E32E24"/>
    <w:rsid w:val="00E32E62"/>
    <w:rsid w:val="00E32EB6"/>
    <w:rsid w:val="00E32F27"/>
    <w:rsid w:val="00E33197"/>
    <w:rsid w:val="00E3327C"/>
    <w:rsid w:val="00E3329D"/>
    <w:rsid w:val="00E33389"/>
    <w:rsid w:val="00E33402"/>
    <w:rsid w:val="00E334C4"/>
    <w:rsid w:val="00E33605"/>
    <w:rsid w:val="00E3377F"/>
    <w:rsid w:val="00E3381D"/>
    <w:rsid w:val="00E33845"/>
    <w:rsid w:val="00E33936"/>
    <w:rsid w:val="00E3395D"/>
    <w:rsid w:val="00E33A16"/>
    <w:rsid w:val="00E33A27"/>
    <w:rsid w:val="00E33A6F"/>
    <w:rsid w:val="00E33B41"/>
    <w:rsid w:val="00E33D41"/>
    <w:rsid w:val="00E33FE0"/>
    <w:rsid w:val="00E34028"/>
    <w:rsid w:val="00E34104"/>
    <w:rsid w:val="00E3416A"/>
    <w:rsid w:val="00E34208"/>
    <w:rsid w:val="00E34463"/>
    <w:rsid w:val="00E34562"/>
    <w:rsid w:val="00E34570"/>
    <w:rsid w:val="00E345E0"/>
    <w:rsid w:val="00E345F7"/>
    <w:rsid w:val="00E3461B"/>
    <w:rsid w:val="00E346CF"/>
    <w:rsid w:val="00E3479E"/>
    <w:rsid w:val="00E347EB"/>
    <w:rsid w:val="00E3494C"/>
    <w:rsid w:val="00E3499A"/>
    <w:rsid w:val="00E349A7"/>
    <w:rsid w:val="00E34A53"/>
    <w:rsid w:val="00E34AEA"/>
    <w:rsid w:val="00E34B3C"/>
    <w:rsid w:val="00E34B53"/>
    <w:rsid w:val="00E34B5F"/>
    <w:rsid w:val="00E34BC0"/>
    <w:rsid w:val="00E34BDD"/>
    <w:rsid w:val="00E34BEF"/>
    <w:rsid w:val="00E34D6F"/>
    <w:rsid w:val="00E34D7A"/>
    <w:rsid w:val="00E34E1F"/>
    <w:rsid w:val="00E34E6A"/>
    <w:rsid w:val="00E34E72"/>
    <w:rsid w:val="00E34E91"/>
    <w:rsid w:val="00E34EB7"/>
    <w:rsid w:val="00E34EEC"/>
    <w:rsid w:val="00E34EFD"/>
    <w:rsid w:val="00E34F09"/>
    <w:rsid w:val="00E34F5E"/>
    <w:rsid w:val="00E34F7D"/>
    <w:rsid w:val="00E34FB5"/>
    <w:rsid w:val="00E35018"/>
    <w:rsid w:val="00E350B5"/>
    <w:rsid w:val="00E3520D"/>
    <w:rsid w:val="00E3527F"/>
    <w:rsid w:val="00E352A4"/>
    <w:rsid w:val="00E35340"/>
    <w:rsid w:val="00E3539C"/>
    <w:rsid w:val="00E35417"/>
    <w:rsid w:val="00E3545F"/>
    <w:rsid w:val="00E354CF"/>
    <w:rsid w:val="00E354DD"/>
    <w:rsid w:val="00E35533"/>
    <w:rsid w:val="00E355F1"/>
    <w:rsid w:val="00E3567B"/>
    <w:rsid w:val="00E356B0"/>
    <w:rsid w:val="00E356BF"/>
    <w:rsid w:val="00E356DD"/>
    <w:rsid w:val="00E35749"/>
    <w:rsid w:val="00E35782"/>
    <w:rsid w:val="00E35794"/>
    <w:rsid w:val="00E3582F"/>
    <w:rsid w:val="00E35CFB"/>
    <w:rsid w:val="00E35D39"/>
    <w:rsid w:val="00E35D67"/>
    <w:rsid w:val="00E35E38"/>
    <w:rsid w:val="00E35E54"/>
    <w:rsid w:val="00E35EC5"/>
    <w:rsid w:val="00E36040"/>
    <w:rsid w:val="00E360B8"/>
    <w:rsid w:val="00E360D1"/>
    <w:rsid w:val="00E361B1"/>
    <w:rsid w:val="00E36245"/>
    <w:rsid w:val="00E36359"/>
    <w:rsid w:val="00E363DE"/>
    <w:rsid w:val="00E36481"/>
    <w:rsid w:val="00E365BB"/>
    <w:rsid w:val="00E36690"/>
    <w:rsid w:val="00E36694"/>
    <w:rsid w:val="00E36718"/>
    <w:rsid w:val="00E367EB"/>
    <w:rsid w:val="00E36855"/>
    <w:rsid w:val="00E368BE"/>
    <w:rsid w:val="00E3696A"/>
    <w:rsid w:val="00E369DA"/>
    <w:rsid w:val="00E369F1"/>
    <w:rsid w:val="00E36C5F"/>
    <w:rsid w:val="00E36D9E"/>
    <w:rsid w:val="00E36DE8"/>
    <w:rsid w:val="00E36ED8"/>
    <w:rsid w:val="00E36F3B"/>
    <w:rsid w:val="00E36F79"/>
    <w:rsid w:val="00E36FAD"/>
    <w:rsid w:val="00E36FF1"/>
    <w:rsid w:val="00E3705A"/>
    <w:rsid w:val="00E372BB"/>
    <w:rsid w:val="00E372F8"/>
    <w:rsid w:val="00E3733D"/>
    <w:rsid w:val="00E373CC"/>
    <w:rsid w:val="00E375F1"/>
    <w:rsid w:val="00E3762D"/>
    <w:rsid w:val="00E37662"/>
    <w:rsid w:val="00E37707"/>
    <w:rsid w:val="00E37917"/>
    <w:rsid w:val="00E37976"/>
    <w:rsid w:val="00E379E6"/>
    <w:rsid w:val="00E37AB1"/>
    <w:rsid w:val="00E37ABD"/>
    <w:rsid w:val="00E37B2A"/>
    <w:rsid w:val="00E37C9F"/>
    <w:rsid w:val="00E37CF1"/>
    <w:rsid w:val="00E37E45"/>
    <w:rsid w:val="00E37E74"/>
    <w:rsid w:val="00E37F18"/>
    <w:rsid w:val="00E40027"/>
    <w:rsid w:val="00E4006D"/>
    <w:rsid w:val="00E40134"/>
    <w:rsid w:val="00E4017F"/>
    <w:rsid w:val="00E4058C"/>
    <w:rsid w:val="00E4061E"/>
    <w:rsid w:val="00E4079F"/>
    <w:rsid w:val="00E40848"/>
    <w:rsid w:val="00E4095E"/>
    <w:rsid w:val="00E40A02"/>
    <w:rsid w:val="00E40AAD"/>
    <w:rsid w:val="00E40B80"/>
    <w:rsid w:val="00E40BB4"/>
    <w:rsid w:val="00E40C42"/>
    <w:rsid w:val="00E40C46"/>
    <w:rsid w:val="00E40CC4"/>
    <w:rsid w:val="00E40CD7"/>
    <w:rsid w:val="00E40DFB"/>
    <w:rsid w:val="00E40E30"/>
    <w:rsid w:val="00E40EBE"/>
    <w:rsid w:val="00E40FD8"/>
    <w:rsid w:val="00E41141"/>
    <w:rsid w:val="00E41186"/>
    <w:rsid w:val="00E411E1"/>
    <w:rsid w:val="00E41329"/>
    <w:rsid w:val="00E413CD"/>
    <w:rsid w:val="00E413E7"/>
    <w:rsid w:val="00E414C8"/>
    <w:rsid w:val="00E416D4"/>
    <w:rsid w:val="00E41742"/>
    <w:rsid w:val="00E41759"/>
    <w:rsid w:val="00E41790"/>
    <w:rsid w:val="00E417BB"/>
    <w:rsid w:val="00E41843"/>
    <w:rsid w:val="00E41877"/>
    <w:rsid w:val="00E4193B"/>
    <w:rsid w:val="00E41963"/>
    <w:rsid w:val="00E419B7"/>
    <w:rsid w:val="00E41A1D"/>
    <w:rsid w:val="00E41A86"/>
    <w:rsid w:val="00E41ABA"/>
    <w:rsid w:val="00E41AD3"/>
    <w:rsid w:val="00E41BAC"/>
    <w:rsid w:val="00E41CE4"/>
    <w:rsid w:val="00E41D71"/>
    <w:rsid w:val="00E41F0C"/>
    <w:rsid w:val="00E41F0E"/>
    <w:rsid w:val="00E41F72"/>
    <w:rsid w:val="00E41FA8"/>
    <w:rsid w:val="00E42017"/>
    <w:rsid w:val="00E420C8"/>
    <w:rsid w:val="00E42141"/>
    <w:rsid w:val="00E4217C"/>
    <w:rsid w:val="00E42189"/>
    <w:rsid w:val="00E42207"/>
    <w:rsid w:val="00E42241"/>
    <w:rsid w:val="00E4231E"/>
    <w:rsid w:val="00E423DD"/>
    <w:rsid w:val="00E42558"/>
    <w:rsid w:val="00E4257C"/>
    <w:rsid w:val="00E4258E"/>
    <w:rsid w:val="00E425BB"/>
    <w:rsid w:val="00E42604"/>
    <w:rsid w:val="00E42639"/>
    <w:rsid w:val="00E426C3"/>
    <w:rsid w:val="00E426DC"/>
    <w:rsid w:val="00E42748"/>
    <w:rsid w:val="00E42749"/>
    <w:rsid w:val="00E42751"/>
    <w:rsid w:val="00E42771"/>
    <w:rsid w:val="00E427AB"/>
    <w:rsid w:val="00E427C2"/>
    <w:rsid w:val="00E4289A"/>
    <w:rsid w:val="00E42A80"/>
    <w:rsid w:val="00E42AD9"/>
    <w:rsid w:val="00E42BAB"/>
    <w:rsid w:val="00E42C6E"/>
    <w:rsid w:val="00E42D3D"/>
    <w:rsid w:val="00E42F4E"/>
    <w:rsid w:val="00E42F4F"/>
    <w:rsid w:val="00E42F56"/>
    <w:rsid w:val="00E42F8A"/>
    <w:rsid w:val="00E4305B"/>
    <w:rsid w:val="00E432E5"/>
    <w:rsid w:val="00E4344D"/>
    <w:rsid w:val="00E43489"/>
    <w:rsid w:val="00E434E7"/>
    <w:rsid w:val="00E43578"/>
    <w:rsid w:val="00E43585"/>
    <w:rsid w:val="00E43605"/>
    <w:rsid w:val="00E436D2"/>
    <w:rsid w:val="00E43783"/>
    <w:rsid w:val="00E438BE"/>
    <w:rsid w:val="00E43A22"/>
    <w:rsid w:val="00E43A76"/>
    <w:rsid w:val="00E43A98"/>
    <w:rsid w:val="00E43AE1"/>
    <w:rsid w:val="00E43B86"/>
    <w:rsid w:val="00E43BA2"/>
    <w:rsid w:val="00E43BF9"/>
    <w:rsid w:val="00E43C74"/>
    <w:rsid w:val="00E43E01"/>
    <w:rsid w:val="00E43E27"/>
    <w:rsid w:val="00E43F3E"/>
    <w:rsid w:val="00E43F99"/>
    <w:rsid w:val="00E43FC3"/>
    <w:rsid w:val="00E43FEA"/>
    <w:rsid w:val="00E43FFC"/>
    <w:rsid w:val="00E4400F"/>
    <w:rsid w:val="00E44091"/>
    <w:rsid w:val="00E441A0"/>
    <w:rsid w:val="00E442D4"/>
    <w:rsid w:val="00E4445F"/>
    <w:rsid w:val="00E444DE"/>
    <w:rsid w:val="00E445F3"/>
    <w:rsid w:val="00E44646"/>
    <w:rsid w:val="00E446B7"/>
    <w:rsid w:val="00E44909"/>
    <w:rsid w:val="00E44982"/>
    <w:rsid w:val="00E44A87"/>
    <w:rsid w:val="00E44A9A"/>
    <w:rsid w:val="00E44C3E"/>
    <w:rsid w:val="00E44C41"/>
    <w:rsid w:val="00E44CF7"/>
    <w:rsid w:val="00E44D3F"/>
    <w:rsid w:val="00E44D82"/>
    <w:rsid w:val="00E44D8C"/>
    <w:rsid w:val="00E44DA7"/>
    <w:rsid w:val="00E44DC0"/>
    <w:rsid w:val="00E44E10"/>
    <w:rsid w:val="00E44ED5"/>
    <w:rsid w:val="00E44FFC"/>
    <w:rsid w:val="00E4506D"/>
    <w:rsid w:val="00E45082"/>
    <w:rsid w:val="00E4511B"/>
    <w:rsid w:val="00E45347"/>
    <w:rsid w:val="00E4547E"/>
    <w:rsid w:val="00E4549B"/>
    <w:rsid w:val="00E45520"/>
    <w:rsid w:val="00E45558"/>
    <w:rsid w:val="00E45564"/>
    <w:rsid w:val="00E4556B"/>
    <w:rsid w:val="00E4565A"/>
    <w:rsid w:val="00E4568C"/>
    <w:rsid w:val="00E45698"/>
    <w:rsid w:val="00E456AA"/>
    <w:rsid w:val="00E45704"/>
    <w:rsid w:val="00E45BAC"/>
    <w:rsid w:val="00E45C39"/>
    <w:rsid w:val="00E45D95"/>
    <w:rsid w:val="00E45DE3"/>
    <w:rsid w:val="00E45EB2"/>
    <w:rsid w:val="00E45F23"/>
    <w:rsid w:val="00E46023"/>
    <w:rsid w:val="00E460E7"/>
    <w:rsid w:val="00E46141"/>
    <w:rsid w:val="00E46196"/>
    <w:rsid w:val="00E461FC"/>
    <w:rsid w:val="00E4629B"/>
    <w:rsid w:val="00E462DE"/>
    <w:rsid w:val="00E463F6"/>
    <w:rsid w:val="00E4641F"/>
    <w:rsid w:val="00E46448"/>
    <w:rsid w:val="00E465AC"/>
    <w:rsid w:val="00E465B5"/>
    <w:rsid w:val="00E46613"/>
    <w:rsid w:val="00E4668C"/>
    <w:rsid w:val="00E4684A"/>
    <w:rsid w:val="00E4686E"/>
    <w:rsid w:val="00E46873"/>
    <w:rsid w:val="00E468A3"/>
    <w:rsid w:val="00E468DF"/>
    <w:rsid w:val="00E46A1F"/>
    <w:rsid w:val="00E46CA9"/>
    <w:rsid w:val="00E46D36"/>
    <w:rsid w:val="00E46DFA"/>
    <w:rsid w:val="00E46DFC"/>
    <w:rsid w:val="00E46E66"/>
    <w:rsid w:val="00E46F20"/>
    <w:rsid w:val="00E47030"/>
    <w:rsid w:val="00E470BB"/>
    <w:rsid w:val="00E470C8"/>
    <w:rsid w:val="00E470E7"/>
    <w:rsid w:val="00E47109"/>
    <w:rsid w:val="00E471CA"/>
    <w:rsid w:val="00E471E2"/>
    <w:rsid w:val="00E47280"/>
    <w:rsid w:val="00E472DC"/>
    <w:rsid w:val="00E47325"/>
    <w:rsid w:val="00E4734F"/>
    <w:rsid w:val="00E473D1"/>
    <w:rsid w:val="00E473EE"/>
    <w:rsid w:val="00E47477"/>
    <w:rsid w:val="00E474E3"/>
    <w:rsid w:val="00E474FF"/>
    <w:rsid w:val="00E475AF"/>
    <w:rsid w:val="00E47679"/>
    <w:rsid w:val="00E4778D"/>
    <w:rsid w:val="00E477A6"/>
    <w:rsid w:val="00E477D8"/>
    <w:rsid w:val="00E47857"/>
    <w:rsid w:val="00E478EC"/>
    <w:rsid w:val="00E47926"/>
    <w:rsid w:val="00E47935"/>
    <w:rsid w:val="00E47961"/>
    <w:rsid w:val="00E47A5C"/>
    <w:rsid w:val="00E47B0E"/>
    <w:rsid w:val="00E47FEF"/>
    <w:rsid w:val="00E50085"/>
    <w:rsid w:val="00E500D6"/>
    <w:rsid w:val="00E5017C"/>
    <w:rsid w:val="00E501E0"/>
    <w:rsid w:val="00E502A8"/>
    <w:rsid w:val="00E502D7"/>
    <w:rsid w:val="00E50300"/>
    <w:rsid w:val="00E5038D"/>
    <w:rsid w:val="00E503E5"/>
    <w:rsid w:val="00E50434"/>
    <w:rsid w:val="00E50478"/>
    <w:rsid w:val="00E50482"/>
    <w:rsid w:val="00E504D7"/>
    <w:rsid w:val="00E505AB"/>
    <w:rsid w:val="00E505FC"/>
    <w:rsid w:val="00E50696"/>
    <w:rsid w:val="00E506DD"/>
    <w:rsid w:val="00E50703"/>
    <w:rsid w:val="00E50738"/>
    <w:rsid w:val="00E50751"/>
    <w:rsid w:val="00E50CE2"/>
    <w:rsid w:val="00E50D60"/>
    <w:rsid w:val="00E50DAD"/>
    <w:rsid w:val="00E50DCD"/>
    <w:rsid w:val="00E50E2B"/>
    <w:rsid w:val="00E50E7C"/>
    <w:rsid w:val="00E50EFB"/>
    <w:rsid w:val="00E50F5D"/>
    <w:rsid w:val="00E50FCA"/>
    <w:rsid w:val="00E511E9"/>
    <w:rsid w:val="00E51217"/>
    <w:rsid w:val="00E5126E"/>
    <w:rsid w:val="00E512D1"/>
    <w:rsid w:val="00E513E6"/>
    <w:rsid w:val="00E5142F"/>
    <w:rsid w:val="00E51492"/>
    <w:rsid w:val="00E5151D"/>
    <w:rsid w:val="00E51538"/>
    <w:rsid w:val="00E51545"/>
    <w:rsid w:val="00E515CE"/>
    <w:rsid w:val="00E51675"/>
    <w:rsid w:val="00E516E9"/>
    <w:rsid w:val="00E51770"/>
    <w:rsid w:val="00E517C4"/>
    <w:rsid w:val="00E5189D"/>
    <w:rsid w:val="00E51AAA"/>
    <w:rsid w:val="00E51B54"/>
    <w:rsid w:val="00E51BD5"/>
    <w:rsid w:val="00E51C05"/>
    <w:rsid w:val="00E51C1E"/>
    <w:rsid w:val="00E51C52"/>
    <w:rsid w:val="00E51C67"/>
    <w:rsid w:val="00E51CC3"/>
    <w:rsid w:val="00E51D9B"/>
    <w:rsid w:val="00E51D9E"/>
    <w:rsid w:val="00E51E1E"/>
    <w:rsid w:val="00E5216F"/>
    <w:rsid w:val="00E52219"/>
    <w:rsid w:val="00E5224E"/>
    <w:rsid w:val="00E52293"/>
    <w:rsid w:val="00E5239D"/>
    <w:rsid w:val="00E52529"/>
    <w:rsid w:val="00E52551"/>
    <w:rsid w:val="00E52572"/>
    <w:rsid w:val="00E52577"/>
    <w:rsid w:val="00E52684"/>
    <w:rsid w:val="00E52720"/>
    <w:rsid w:val="00E527CB"/>
    <w:rsid w:val="00E527EF"/>
    <w:rsid w:val="00E52829"/>
    <w:rsid w:val="00E528A5"/>
    <w:rsid w:val="00E5294C"/>
    <w:rsid w:val="00E52A5C"/>
    <w:rsid w:val="00E52AC5"/>
    <w:rsid w:val="00E52B18"/>
    <w:rsid w:val="00E52B1E"/>
    <w:rsid w:val="00E52CAD"/>
    <w:rsid w:val="00E52CCA"/>
    <w:rsid w:val="00E52D27"/>
    <w:rsid w:val="00E52D5D"/>
    <w:rsid w:val="00E52E4A"/>
    <w:rsid w:val="00E52F06"/>
    <w:rsid w:val="00E52F4E"/>
    <w:rsid w:val="00E52FB0"/>
    <w:rsid w:val="00E52FC1"/>
    <w:rsid w:val="00E52FC2"/>
    <w:rsid w:val="00E52FE7"/>
    <w:rsid w:val="00E5316D"/>
    <w:rsid w:val="00E532F6"/>
    <w:rsid w:val="00E53403"/>
    <w:rsid w:val="00E53477"/>
    <w:rsid w:val="00E53725"/>
    <w:rsid w:val="00E53735"/>
    <w:rsid w:val="00E537D1"/>
    <w:rsid w:val="00E537E0"/>
    <w:rsid w:val="00E53807"/>
    <w:rsid w:val="00E53870"/>
    <w:rsid w:val="00E53875"/>
    <w:rsid w:val="00E538B1"/>
    <w:rsid w:val="00E538D0"/>
    <w:rsid w:val="00E538F9"/>
    <w:rsid w:val="00E53902"/>
    <w:rsid w:val="00E5399B"/>
    <w:rsid w:val="00E539DF"/>
    <w:rsid w:val="00E53A15"/>
    <w:rsid w:val="00E53B4D"/>
    <w:rsid w:val="00E53C21"/>
    <w:rsid w:val="00E53C71"/>
    <w:rsid w:val="00E53D46"/>
    <w:rsid w:val="00E53DC8"/>
    <w:rsid w:val="00E53E41"/>
    <w:rsid w:val="00E53E7E"/>
    <w:rsid w:val="00E53EE0"/>
    <w:rsid w:val="00E53F96"/>
    <w:rsid w:val="00E53FE3"/>
    <w:rsid w:val="00E5402B"/>
    <w:rsid w:val="00E5418A"/>
    <w:rsid w:val="00E54240"/>
    <w:rsid w:val="00E54269"/>
    <w:rsid w:val="00E542C9"/>
    <w:rsid w:val="00E5435D"/>
    <w:rsid w:val="00E54373"/>
    <w:rsid w:val="00E543DF"/>
    <w:rsid w:val="00E543E3"/>
    <w:rsid w:val="00E54425"/>
    <w:rsid w:val="00E544B4"/>
    <w:rsid w:val="00E544FB"/>
    <w:rsid w:val="00E54514"/>
    <w:rsid w:val="00E5451F"/>
    <w:rsid w:val="00E545EC"/>
    <w:rsid w:val="00E5462B"/>
    <w:rsid w:val="00E5472B"/>
    <w:rsid w:val="00E547E5"/>
    <w:rsid w:val="00E54814"/>
    <w:rsid w:val="00E54816"/>
    <w:rsid w:val="00E548AA"/>
    <w:rsid w:val="00E54922"/>
    <w:rsid w:val="00E549FD"/>
    <w:rsid w:val="00E54AA4"/>
    <w:rsid w:val="00E54C8A"/>
    <w:rsid w:val="00E54CC7"/>
    <w:rsid w:val="00E54D61"/>
    <w:rsid w:val="00E54DA6"/>
    <w:rsid w:val="00E54E0F"/>
    <w:rsid w:val="00E54E2E"/>
    <w:rsid w:val="00E54EBB"/>
    <w:rsid w:val="00E54F45"/>
    <w:rsid w:val="00E54FC7"/>
    <w:rsid w:val="00E550E8"/>
    <w:rsid w:val="00E55123"/>
    <w:rsid w:val="00E552E1"/>
    <w:rsid w:val="00E55499"/>
    <w:rsid w:val="00E5557E"/>
    <w:rsid w:val="00E555C8"/>
    <w:rsid w:val="00E55763"/>
    <w:rsid w:val="00E557A1"/>
    <w:rsid w:val="00E55A94"/>
    <w:rsid w:val="00E55AA6"/>
    <w:rsid w:val="00E55AA8"/>
    <w:rsid w:val="00E55AC6"/>
    <w:rsid w:val="00E55C07"/>
    <w:rsid w:val="00E55CC5"/>
    <w:rsid w:val="00E55D83"/>
    <w:rsid w:val="00E55EC9"/>
    <w:rsid w:val="00E56029"/>
    <w:rsid w:val="00E560E2"/>
    <w:rsid w:val="00E56128"/>
    <w:rsid w:val="00E56151"/>
    <w:rsid w:val="00E56253"/>
    <w:rsid w:val="00E56254"/>
    <w:rsid w:val="00E5629B"/>
    <w:rsid w:val="00E563D0"/>
    <w:rsid w:val="00E56405"/>
    <w:rsid w:val="00E56538"/>
    <w:rsid w:val="00E56579"/>
    <w:rsid w:val="00E56614"/>
    <w:rsid w:val="00E56663"/>
    <w:rsid w:val="00E567E6"/>
    <w:rsid w:val="00E56825"/>
    <w:rsid w:val="00E56971"/>
    <w:rsid w:val="00E56A45"/>
    <w:rsid w:val="00E56A72"/>
    <w:rsid w:val="00E56BE8"/>
    <w:rsid w:val="00E56C36"/>
    <w:rsid w:val="00E56C66"/>
    <w:rsid w:val="00E56D92"/>
    <w:rsid w:val="00E56DB7"/>
    <w:rsid w:val="00E56E2D"/>
    <w:rsid w:val="00E56E43"/>
    <w:rsid w:val="00E56EE9"/>
    <w:rsid w:val="00E56F4B"/>
    <w:rsid w:val="00E56F9B"/>
    <w:rsid w:val="00E56FB0"/>
    <w:rsid w:val="00E57001"/>
    <w:rsid w:val="00E57196"/>
    <w:rsid w:val="00E57364"/>
    <w:rsid w:val="00E573E8"/>
    <w:rsid w:val="00E57414"/>
    <w:rsid w:val="00E574A1"/>
    <w:rsid w:val="00E57520"/>
    <w:rsid w:val="00E57583"/>
    <w:rsid w:val="00E57644"/>
    <w:rsid w:val="00E57679"/>
    <w:rsid w:val="00E57735"/>
    <w:rsid w:val="00E57862"/>
    <w:rsid w:val="00E5787D"/>
    <w:rsid w:val="00E5789D"/>
    <w:rsid w:val="00E578CA"/>
    <w:rsid w:val="00E579EF"/>
    <w:rsid w:val="00E57A37"/>
    <w:rsid w:val="00E57ABE"/>
    <w:rsid w:val="00E57B06"/>
    <w:rsid w:val="00E57B96"/>
    <w:rsid w:val="00E57BA1"/>
    <w:rsid w:val="00E57C41"/>
    <w:rsid w:val="00E57CC5"/>
    <w:rsid w:val="00E57D2C"/>
    <w:rsid w:val="00E57F0C"/>
    <w:rsid w:val="00E6009C"/>
    <w:rsid w:val="00E60194"/>
    <w:rsid w:val="00E601D5"/>
    <w:rsid w:val="00E602AE"/>
    <w:rsid w:val="00E602C9"/>
    <w:rsid w:val="00E6034D"/>
    <w:rsid w:val="00E603DE"/>
    <w:rsid w:val="00E60440"/>
    <w:rsid w:val="00E6046F"/>
    <w:rsid w:val="00E604B9"/>
    <w:rsid w:val="00E604D6"/>
    <w:rsid w:val="00E60512"/>
    <w:rsid w:val="00E605E4"/>
    <w:rsid w:val="00E6072D"/>
    <w:rsid w:val="00E60738"/>
    <w:rsid w:val="00E60795"/>
    <w:rsid w:val="00E60ADD"/>
    <w:rsid w:val="00E60BE1"/>
    <w:rsid w:val="00E60C19"/>
    <w:rsid w:val="00E60EBC"/>
    <w:rsid w:val="00E610E4"/>
    <w:rsid w:val="00E610FB"/>
    <w:rsid w:val="00E61139"/>
    <w:rsid w:val="00E61222"/>
    <w:rsid w:val="00E612A1"/>
    <w:rsid w:val="00E61373"/>
    <w:rsid w:val="00E613C5"/>
    <w:rsid w:val="00E613F5"/>
    <w:rsid w:val="00E6141F"/>
    <w:rsid w:val="00E61484"/>
    <w:rsid w:val="00E61536"/>
    <w:rsid w:val="00E6153F"/>
    <w:rsid w:val="00E61607"/>
    <w:rsid w:val="00E616D4"/>
    <w:rsid w:val="00E6172F"/>
    <w:rsid w:val="00E61791"/>
    <w:rsid w:val="00E6179B"/>
    <w:rsid w:val="00E61A4B"/>
    <w:rsid w:val="00E61A9A"/>
    <w:rsid w:val="00E61AC9"/>
    <w:rsid w:val="00E61D07"/>
    <w:rsid w:val="00E61D33"/>
    <w:rsid w:val="00E61E0E"/>
    <w:rsid w:val="00E61E83"/>
    <w:rsid w:val="00E61E9C"/>
    <w:rsid w:val="00E61EAE"/>
    <w:rsid w:val="00E61EC4"/>
    <w:rsid w:val="00E61F33"/>
    <w:rsid w:val="00E61F43"/>
    <w:rsid w:val="00E62126"/>
    <w:rsid w:val="00E6222B"/>
    <w:rsid w:val="00E622C0"/>
    <w:rsid w:val="00E622DD"/>
    <w:rsid w:val="00E62326"/>
    <w:rsid w:val="00E62329"/>
    <w:rsid w:val="00E62366"/>
    <w:rsid w:val="00E623F2"/>
    <w:rsid w:val="00E62417"/>
    <w:rsid w:val="00E6249D"/>
    <w:rsid w:val="00E624A1"/>
    <w:rsid w:val="00E62546"/>
    <w:rsid w:val="00E62672"/>
    <w:rsid w:val="00E6269B"/>
    <w:rsid w:val="00E62700"/>
    <w:rsid w:val="00E627B8"/>
    <w:rsid w:val="00E62BE3"/>
    <w:rsid w:val="00E62C4E"/>
    <w:rsid w:val="00E62C6C"/>
    <w:rsid w:val="00E62DF2"/>
    <w:rsid w:val="00E62E21"/>
    <w:rsid w:val="00E62E34"/>
    <w:rsid w:val="00E62E72"/>
    <w:rsid w:val="00E62FB2"/>
    <w:rsid w:val="00E63085"/>
    <w:rsid w:val="00E6310D"/>
    <w:rsid w:val="00E631F8"/>
    <w:rsid w:val="00E63308"/>
    <w:rsid w:val="00E634E2"/>
    <w:rsid w:val="00E6357E"/>
    <w:rsid w:val="00E635DD"/>
    <w:rsid w:val="00E6361D"/>
    <w:rsid w:val="00E63637"/>
    <w:rsid w:val="00E636DC"/>
    <w:rsid w:val="00E63775"/>
    <w:rsid w:val="00E637C3"/>
    <w:rsid w:val="00E637D6"/>
    <w:rsid w:val="00E638B9"/>
    <w:rsid w:val="00E63978"/>
    <w:rsid w:val="00E639F8"/>
    <w:rsid w:val="00E63A8A"/>
    <w:rsid w:val="00E63B23"/>
    <w:rsid w:val="00E63B55"/>
    <w:rsid w:val="00E63CDF"/>
    <w:rsid w:val="00E63D16"/>
    <w:rsid w:val="00E63D65"/>
    <w:rsid w:val="00E63D66"/>
    <w:rsid w:val="00E63E77"/>
    <w:rsid w:val="00E63F5F"/>
    <w:rsid w:val="00E640E0"/>
    <w:rsid w:val="00E641B7"/>
    <w:rsid w:val="00E641CA"/>
    <w:rsid w:val="00E64314"/>
    <w:rsid w:val="00E6437C"/>
    <w:rsid w:val="00E64408"/>
    <w:rsid w:val="00E64463"/>
    <w:rsid w:val="00E64496"/>
    <w:rsid w:val="00E64536"/>
    <w:rsid w:val="00E6457D"/>
    <w:rsid w:val="00E645E0"/>
    <w:rsid w:val="00E64809"/>
    <w:rsid w:val="00E64824"/>
    <w:rsid w:val="00E64884"/>
    <w:rsid w:val="00E648F7"/>
    <w:rsid w:val="00E6498D"/>
    <w:rsid w:val="00E649FB"/>
    <w:rsid w:val="00E64AA2"/>
    <w:rsid w:val="00E64C29"/>
    <w:rsid w:val="00E64CDA"/>
    <w:rsid w:val="00E64CE7"/>
    <w:rsid w:val="00E64D88"/>
    <w:rsid w:val="00E64DBC"/>
    <w:rsid w:val="00E64F58"/>
    <w:rsid w:val="00E64FFF"/>
    <w:rsid w:val="00E65017"/>
    <w:rsid w:val="00E6511C"/>
    <w:rsid w:val="00E65214"/>
    <w:rsid w:val="00E6526A"/>
    <w:rsid w:val="00E652BA"/>
    <w:rsid w:val="00E65321"/>
    <w:rsid w:val="00E653D5"/>
    <w:rsid w:val="00E65490"/>
    <w:rsid w:val="00E6558E"/>
    <w:rsid w:val="00E6584F"/>
    <w:rsid w:val="00E65881"/>
    <w:rsid w:val="00E659FF"/>
    <w:rsid w:val="00E65C02"/>
    <w:rsid w:val="00E65C83"/>
    <w:rsid w:val="00E65CA9"/>
    <w:rsid w:val="00E65D78"/>
    <w:rsid w:val="00E65DD8"/>
    <w:rsid w:val="00E65E88"/>
    <w:rsid w:val="00E65F82"/>
    <w:rsid w:val="00E66069"/>
    <w:rsid w:val="00E660CF"/>
    <w:rsid w:val="00E66126"/>
    <w:rsid w:val="00E6614E"/>
    <w:rsid w:val="00E66180"/>
    <w:rsid w:val="00E6623A"/>
    <w:rsid w:val="00E66400"/>
    <w:rsid w:val="00E66472"/>
    <w:rsid w:val="00E664A3"/>
    <w:rsid w:val="00E6650D"/>
    <w:rsid w:val="00E66540"/>
    <w:rsid w:val="00E6654D"/>
    <w:rsid w:val="00E666C0"/>
    <w:rsid w:val="00E6677A"/>
    <w:rsid w:val="00E66788"/>
    <w:rsid w:val="00E66877"/>
    <w:rsid w:val="00E66912"/>
    <w:rsid w:val="00E66A2A"/>
    <w:rsid w:val="00E66CE8"/>
    <w:rsid w:val="00E66F5E"/>
    <w:rsid w:val="00E6702C"/>
    <w:rsid w:val="00E6705C"/>
    <w:rsid w:val="00E670E3"/>
    <w:rsid w:val="00E67172"/>
    <w:rsid w:val="00E671B1"/>
    <w:rsid w:val="00E67285"/>
    <w:rsid w:val="00E67395"/>
    <w:rsid w:val="00E673A9"/>
    <w:rsid w:val="00E673AB"/>
    <w:rsid w:val="00E673C5"/>
    <w:rsid w:val="00E6746F"/>
    <w:rsid w:val="00E67514"/>
    <w:rsid w:val="00E6752B"/>
    <w:rsid w:val="00E6753B"/>
    <w:rsid w:val="00E675E7"/>
    <w:rsid w:val="00E676CF"/>
    <w:rsid w:val="00E67813"/>
    <w:rsid w:val="00E6788A"/>
    <w:rsid w:val="00E67928"/>
    <w:rsid w:val="00E67939"/>
    <w:rsid w:val="00E67942"/>
    <w:rsid w:val="00E67A1B"/>
    <w:rsid w:val="00E67A89"/>
    <w:rsid w:val="00E67AFB"/>
    <w:rsid w:val="00E67C12"/>
    <w:rsid w:val="00E67C90"/>
    <w:rsid w:val="00E67CFC"/>
    <w:rsid w:val="00E67D73"/>
    <w:rsid w:val="00E67D78"/>
    <w:rsid w:val="00E67E0C"/>
    <w:rsid w:val="00E67E8D"/>
    <w:rsid w:val="00E67E96"/>
    <w:rsid w:val="00E67EEF"/>
    <w:rsid w:val="00E67F67"/>
    <w:rsid w:val="00E67FD3"/>
    <w:rsid w:val="00E7017C"/>
    <w:rsid w:val="00E70193"/>
    <w:rsid w:val="00E70269"/>
    <w:rsid w:val="00E70272"/>
    <w:rsid w:val="00E70320"/>
    <w:rsid w:val="00E70378"/>
    <w:rsid w:val="00E703A7"/>
    <w:rsid w:val="00E705AC"/>
    <w:rsid w:val="00E7064F"/>
    <w:rsid w:val="00E7066E"/>
    <w:rsid w:val="00E706A5"/>
    <w:rsid w:val="00E706C0"/>
    <w:rsid w:val="00E707E2"/>
    <w:rsid w:val="00E708B1"/>
    <w:rsid w:val="00E708FF"/>
    <w:rsid w:val="00E70917"/>
    <w:rsid w:val="00E709C5"/>
    <w:rsid w:val="00E70AA4"/>
    <w:rsid w:val="00E70ACA"/>
    <w:rsid w:val="00E70B70"/>
    <w:rsid w:val="00E70CCB"/>
    <w:rsid w:val="00E70E07"/>
    <w:rsid w:val="00E70E4E"/>
    <w:rsid w:val="00E70EE5"/>
    <w:rsid w:val="00E70F65"/>
    <w:rsid w:val="00E70FA7"/>
    <w:rsid w:val="00E71135"/>
    <w:rsid w:val="00E711D7"/>
    <w:rsid w:val="00E71297"/>
    <w:rsid w:val="00E712A6"/>
    <w:rsid w:val="00E71316"/>
    <w:rsid w:val="00E7136D"/>
    <w:rsid w:val="00E7139F"/>
    <w:rsid w:val="00E7145A"/>
    <w:rsid w:val="00E71471"/>
    <w:rsid w:val="00E71492"/>
    <w:rsid w:val="00E714C9"/>
    <w:rsid w:val="00E714D9"/>
    <w:rsid w:val="00E71526"/>
    <w:rsid w:val="00E7166E"/>
    <w:rsid w:val="00E7167F"/>
    <w:rsid w:val="00E7168F"/>
    <w:rsid w:val="00E716B5"/>
    <w:rsid w:val="00E7175F"/>
    <w:rsid w:val="00E71A36"/>
    <w:rsid w:val="00E71B5A"/>
    <w:rsid w:val="00E71C7B"/>
    <w:rsid w:val="00E71D1E"/>
    <w:rsid w:val="00E71D79"/>
    <w:rsid w:val="00E71D9F"/>
    <w:rsid w:val="00E71EC7"/>
    <w:rsid w:val="00E72046"/>
    <w:rsid w:val="00E7205A"/>
    <w:rsid w:val="00E7218F"/>
    <w:rsid w:val="00E721AC"/>
    <w:rsid w:val="00E721D0"/>
    <w:rsid w:val="00E723F0"/>
    <w:rsid w:val="00E7249B"/>
    <w:rsid w:val="00E72791"/>
    <w:rsid w:val="00E72833"/>
    <w:rsid w:val="00E72941"/>
    <w:rsid w:val="00E72A38"/>
    <w:rsid w:val="00E72A9A"/>
    <w:rsid w:val="00E72B3E"/>
    <w:rsid w:val="00E72BC7"/>
    <w:rsid w:val="00E72C21"/>
    <w:rsid w:val="00E72CF2"/>
    <w:rsid w:val="00E72D35"/>
    <w:rsid w:val="00E72DD4"/>
    <w:rsid w:val="00E72E49"/>
    <w:rsid w:val="00E72EBC"/>
    <w:rsid w:val="00E72FAD"/>
    <w:rsid w:val="00E72FB0"/>
    <w:rsid w:val="00E730F8"/>
    <w:rsid w:val="00E73106"/>
    <w:rsid w:val="00E73109"/>
    <w:rsid w:val="00E7325A"/>
    <w:rsid w:val="00E733AA"/>
    <w:rsid w:val="00E733F3"/>
    <w:rsid w:val="00E734B9"/>
    <w:rsid w:val="00E735CB"/>
    <w:rsid w:val="00E735D4"/>
    <w:rsid w:val="00E7360C"/>
    <w:rsid w:val="00E73661"/>
    <w:rsid w:val="00E736D0"/>
    <w:rsid w:val="00E73771"/>
    <w:rsid w:val="00E73799"/>
    <w:rsid w:val="00E737C1"/>
    <w:rsid w:val="00E73964"/>
    <w:rsid w:val="00E73B7F"/>
    <w:rsid w:val="00E73C71"/>
    <w:rsid w:val="00E73C9D"/>
    <w:rsid w:val="00E73CB0"/>
    <w:rsid w:val="00E73CED"/>
    <w:rsid w:val="00E73DA3"/>
    <w:rsid w:val="00E73DE3"/>
    <w:rsid w:val="00E73E01"/>
    <w:rsid w:val="00E73EFD"/>
    <w:rsid w:val="00E73FAB"/>
    <w:rsid w:val="00E74096"/>
    <w:rsid w:val="00E74165"/>
    <w:rsid w:val="00E741B5"/>
    <w:rsid w:val="00E741CC"/>
    <w:rsid w:val="00E741F7"/>
    <w:rsid w:val="00E742A3"/>
    <w:rsid w:val="00E742B3"/>
    <w:rsid w:val="00E743E1"/>
    <w:rsid w:val="00E74413"/>
    <w:rsid w:val="00E7443D"/>
    <w:rsid w:val="00E74444"/>
    <w:rsid w:val="00E744F2"/>
    <w:rsid w:val="00E7470F"/>
    <w:rsid w:val="00E74772"/>
    <w:rsid w:val="00E74815"/>
    <w:rsid w:val="00E749E8"/>
    <w:rsid w:val="00E74A92"/>
    <w:rsid w:val="00E74BFE"/>
    <w:rsid w:val="00E74C4E"/>
    <w:rsid w:val="00E74C56"/>
    <w:rsid w:val="00E74CBD"/>
    <w:rsid w:val="00E74D90"/>
    <w:rsid w:val="00E74E67"/>
    <w:rsid w:val="00E74EC2"/>
    <w:rsid w:val="00E74F51"/>
    <w:rsid w:val="00E74FF4"/>
    <w:rsid w:val="00E75079"/>
    <w:rsid w:val="00E750A0"/>
    <w:rsid w:val="00E750BA"/>
    <w:rsid w:val="00E750C8"/>
    <w:rsid w:val="00E75101"/>
    <w:rsid w:val="00E75353"/>
    <w:rsid w:val="00E753B1"/>
    <w:rsid w:val="00E7549F"/>
    <w:rsid w:val="00E75553"/>
    <w:rsid w:val="00E755FE"/>
    <w:rsid w:val="00E7564D"/>
    <w:rsid w:val="00E756A3"/>
    <w:rsid w:val="00E756F8"/>
    <w:rsid w:val="00E75748"/>
    <w:rsid w:val="00E7575D"/>
    <w:rsid w:val="00E757BE"/>
    <w:rsid w:val="00E75809"/>
    <w:rsid w:val="00E758E1"/>
    <w:rsid w:val="00E75A1F"/>
    <w:rsid w:val="00E75A45"/>
    <w:rsid w:val="00E75ADA"/>
    <w:rsid w:val="00E75B56"/>
    <w:rsid w:val="00E75BC5"/>
    <w:rsid w:val="00E75BD6"/>
    <w:rsid w:val="00E75C1F"/>
    <w:rsid w:val="00E75DAB"/>
    <w:rsid w:val="00E75E31"/>
    <w:rsid w:val="00E75FA6"/>
    <w:rsid w:val="00E75FE4"/>
    <w:rsid w:val="00E75FFC"/>
    <w:rsid w:val="00E76034"/>
    <w:rsid w:val="00E760F1"/>
    <w:rsid w:val="00E7614D"/>
    <w:rsid w:val="00E763D2"/>
    <w:rsid w:val="00E76488"/>
    <w:rsid w:val="00E764D7"/>
    <w:rsid w:val="00E7654A"/>
    <w:rsid w:val="00E767CF"/>
    <w:rsid w:val="00E76929"/>
    <w:rsid w:val="00E7698A"/>
    <w:rsid w:val="00E7698D"/>
    <w:rsid w:val="00E76B02"/>
    <w:rsid w:val="00E76B30"/>
    <w:rsid w:val="00E76B4D"/>
    <w:rsid w:val="00E76B6B"/>
    <w:rsid w:val="00E76C26"/>
    <w:rsid w:val="00E76C39"/>
    <w:rsid w:val="00E76DAE"/>
    <w:rsid w:val="00E76F3E"/>
    <w:rsid w:val="00E77008"/>
    <w:rsid w:val="00E77144"/>
    <w:rsid w:val="00E77176"/>
    <w:rsid w:val="00E7723A"/>
    <w:rsid w:val="00E772BE"/>
    <w:rsid w:val="00E7746B"/>
    <w:rsid w:val="00E77599"/>
    <w:rsid w:val="00E775EA"/>
    <w:rsid w:val="00E77679"/>
    <w:rsid w:val="00E776BA"/>
    <w:rsid w:val="00E77767"/>
    <w:rsid w:val="00E7776B"/>
    <w:rsid w:val="00E7777B"/>
    <w:rsid w:val="00E77812"/>
    <w:rsid w:val="00E77838"/>
    <w:rsid w:val="00E7789A"/>
    <w:rsid w:val="00E778D1"/>
    <w:rsid w:val="00E778D4"/>
    <w:rsid w:val="00E77948"/>
    <w:rsid w:val="00E77B1F"/>
    <w:rsid w:val="00E77C22"/>
    <w:rsid w:val="00E77CC4"/>
    <w:rsid w:val="00E77DA4"/>
    <w:rsid w:val="00E77E08"/>
    <w:rsid w:val="00E77F67"/>
    <w:rsid w:val="00E8013C"/>
    <w:rsid w:val="00E80143"/>
    <w:rsid w:val="00E80263"/>
    <w:rsid w:val="00E802E3"/>
    <w:rsid w:val="00E8036D"/>
    <w:rsid w:val="00E80460"/>
    <w:rsid w:val="00E805F4"/>
    <w:rsid w:val="00E80623"/>
    <w:rsid w:val="00E80698"/>
    <w:rsid w:val="00E80764"/>
    <w:rsid w:val="00E8088E"/>
    <w:rsid w:val="00E808A6"/>
    <w:rsid w:val="00E809D7"/>
    <w:rsid w:val="00E80C18"/>
    <w:rsid w:val="00E80C1D"/>
    <w:rsid w:val="00E80C61"/>
    <w:rsid w:val="00E80DB6"/>
    <w:rsid w:val="00E80E1F"/>
    <w:rsid w:val="00E80E6C"/>
    <w:rsid w:val="00E80E71"/>
    <w:rsid w:val="00E80EFB"/>
    <w:rsid w:val="00E80F09"/>
    <w:rsid w:val="00E80F1F"/>
    <w:rsid w:val="00E80F69"/>
    <w:rsid w:val="00E80F72"/>
    <w:rsid w:val="00E80F92"/>
    <w:rsid w:val="00E80FCB"/>
    <w:rsid w:val="00E81000"/>
    <w:rsid w:val="00E81056"/>
    <w:rsid w:val="00E81067"/>
    <w:rsid w:val="00E810A7"/>
    <w:rsid w:val="00E810BA"/>
    <w:rsid w:val="00E8112D"/>
    <w:rsid w:val="00E81180"/>
    <w:rsid w:val="00E81265"/>
    <w:rsid w:val="00E81379"/>
    <w:rsid w:val="00E8138D"/>
    <w:rsid w:val="00E8139F"/>
    <w:rsid w:val="00E813BC"/>
    <w:rsid w:val="00E813DC"/>
    <w:rsid w:val="00E814FA"/>
    <w:rsid w:val="00E815E1"/>
    <w:rsid w:val="00E815F5"/>
    <w:rsid w:val="00E8162C"/>
    <w:rsid w:val="00E816FF"/>
    <w:rsid w:val="00E81791"/>
    <w:rsid w:val="00E818B4"/>
    <w:rsid w:val="00E818EA"/>
    <w:rsid w:val="00E8194B"/>
    <w:rsid w:val="00E819A5"/>
    <w:rsid w:val="00E81A3F"/>
    <w:rsid w:val="00E81B54"/>
    <w:rsid w:val="00E81C71"/>
    <w:rsid w:val="00E81DD5"/>
    <w:rsid w:val="00E81F74"/>
    <w:rsid w:val="00E8211D"/>
    <w:rsid w:val="00E8216E"/>
    <w:rsid w:val="00E82178"/>
    <w:rsid w:val="00E821DB"/>
    <w:rsid w:val="00E82243"/>
    <w:rsid w:val="00E82453"/>
    <w:rsid w:val="00E824F3"/>
    <w:rsid w:val="00E82500"/>
    <w:rsid w:val="00E82595"/>
    <w:rsid w:val="00E82701"/>
    <w:rsid w:val="00E82747"/>
    <w:rsid w:val="00E82841"/>
    <w:rsid w:val="00E828C6"/>
    <w:rsid w:val="00E829A5"/>
    <w:rsid w:val="00E82A54"/>
    <w:rsid w:val="00E82A99"/>
    <w:rsid w:val="00E82AA7"/>
    <w:rsid w:val="00E82C6B"/>
    <w:rsid w:val="00E82ECF"/>
    <w:rsid w:val="00E82F25"/>
    <w:rsid w:val="00E82F7D"/>
    <w:rsid w:val="00E82F94"/>
    <w:rsid w:val="00E82FD1"/>
    <w:rsid w:val="00E8303C"/>
    <w:rsid w:val="00E830EB"/>
    <w:rsid w:val="00E8310E"/>
    <w:rsid w:val="00E83164"/>
    <w:rsid w:val="00E831B7"/>
    <w:rsid w:val="00E8345A"/>
    <w:rsid w:val="00E835B3"/>
    <w:rsid w:val="00E836C0"/>
    <w:rsid w:val="00E836E8"/>
    <w:rsid w:val="00E8371F"/>
    <w:rsid w:val="00E837ED"/>
    <w:rsid w:val="00E8380E"/>
    <w:rsid w:val="00E838ED"/>
    <w:rsid w:val="00E8390D"/>
    <w:rsid w:val="00E83C38"/>
    <w:rsid w:val="00E83CD5"/>
    <w:rsid w:val="00E83CD9"/>
    <w:rsid w:val="00E83CDD"/>
    <w:rsid w:val="00E83D8F"/>
    <w:rsid w:val="00E83E7A"/>
    <w:rsid w:val="00E83F30"/>
    <w:rsid w:val="00E83F37"/>
    <w:rsid w:val="00E83F5E"/>
    <w:rsid w:val="00E84040"/>
    <w:rsid w:val="00E840E3"/>
    <w:rsid w:val="00E840E4"/>
    <w:rsid w:val="00E840FA"/>
    <w:rsid w:val="00E84131"/>
    <w:rsid w:val="00E84184"/>
    <w:rsid w:val="00E84197"/>
    <w:rsid w:val="00E841BB"/>
    <w:rsid w:val="00E84235"/>
    <w:rsid w:val="00E842A4"/>
    <w:rsid w:val="00E8434C"/>
    <w:rsid w:val="00E843C9"/>
    <w:rsid w:val="00E84436"/>
    <w:rsid w:val="00E844B9"/>
    <w:rsid w:val="00E844DD"/>
    <w:rsid w:val="00E8450B"/>
    <w:rsid w:val="00E84546"/>
    <w:rsid w:val="00E845AB"/>
    <w:rsid w:val="00E84652"/>
    <w:rsid w:val="00E846AF"/>
    <w:rsid w:val="00E84739"/>
    <w:rsid w:val="00E847BF"/>
    <w:rsid w:val="00E847FD"/>
    <w:rsid w:val="00E8480A"/>
    <w:rsid w:val="00E8482A"/>
    <w:rsid w:val="00E848DA"/>
    <w:rsid w:val="00E849EC"/>
    <w:rsid w:val="00E84AB9"/>
    <w:rsid w:val="00E84ADB"/>
    <w:rsid w:val="00E84B32"/>
    <w:rsid w:val="00E84B56"/>
    <w:rsid w:val="00E84B5B"/>
    <w:rsid w:val="00E84BA6"/>
    <w:rsid w:val="00E84D40"/>
    <w:rsid w:val="00E84D5E"/>
    <w:rsid w:val="00E84DF7"/>
    <w:rsid w:val="00E84F48"/>
    <w:rsid w:val="00E84F4F"/>
    <w:rsid w:val="00E8508A"/>
    <w:rsid w:val="00E850BD"/>
    <w:rsid w:val="00E85202"/>
    <w:rsid w:val="00E85300"/>
    <w:rsid w:val="00E853C6"/>
    <w:rsid w:val="00E853E3"/>
    <w:rsid w:val="00E85519"/>
    <w:rsid w:val="00E8554C"/>
    <w:rsid w:val="00E8557E"/>
    <w:rsid w:val="00E855E0"/>
    <w:rsid w:val="00E8566D"/>
    <w:rsid w:val="00E856AC"/>
    <w:rsid w:val="00E856DE"/>
    <w:rsid w:val="00E85787"/>
    <w:rsid w:val="00E857D0"/>
    <w:rsid w:val="00E85981"/>
    <w:rsid w:val="00E85B5E"/>
    <w:rsid w:val="00E85BAB"/>
    <w:rsid w:val="00E85BFC"/>
    <w:rsid w:val="00E85C1D"/>
    <w:rsid w:val="00E85C91"/>
    <w:rsid w:val="00E85CC3"/>
    <w:rsid w:val="00E85DB0"/>
    <w:rsid w:val="00E85E2B"/>
    <w:rsid w:val="00E85E6D"/>
    <w:rsid w:val="00E85E74"/>
    <w:rsid w:val="00E85E7C"/>
    <w:rsid w:val="00E85EB1"/>
    <w:rsid w:val="00E85F18"/>
    <w:rsid w:val="00E8610D"/>
    <w:rsid w:val="00E86117"/>
    <w:rsid w:val="00E86129"/>
    <w:rsid w:val="00E8624B"/>
    <w:rsid w:val="00E86275"/>
    <w:rsid w:val="00E8632A"/>
    <w:rsid w:val="00E86514"/>
    <w:rsid w:val="00E8657C"/>
    <w:rsid w:val="00E86587"/>
    <w:rsid w:val="00E8669E"/>
    <w:rsid w:val="00E866B2"/>
    <w:rsid w:val="00E867E2"/>
    <w:rsid w:val="00E86880"/>
    <w:rsid w:val="00E8697A"/>
    <w:rsid w:val="00E86991"/>
    <w:rsid w:val="00E869B1"/>
    <w:rsid w:val="00E869EB"/>
    <w:rsid w:val="00E86A1E"/>
    <w:rsid w:val="00E86A51"/>
    <w:rsid w:val="00E86A5E"/>
    <w:rsid w:val="00E86ADE"/>
    <w:rsid w:val="00E86AEA"/>
    <w:rsid w:val="00E86B34"/>
    <w:rsid w:val="00E86B6B"/>
    <w:rsid w:val="00E86B7E"/>
    <w:rsid w:val="00E86BED"/>
    <w:rsid w:val="00E86C26"/>
    <w:rsid w:val="00E86C4B"/>
    <w:rsid w:val="00E86CF1"/>
    <w:rsid w:val="00E86D6A"/>
    <w:rsid w:val="00E86D6B"/>
    <w:rsid w:val="00E86EA7"/>
    <w:rsid w:val="00E86F0B"/>
    <w:rsid w:val="00E86FAA"/>
    <w:rsid w:val="00E87093"/>
    <w:rsid w:val="00E87095"/>
    <w:rsid w:val="00E87123"/>
    <w:rsid w:val="00E87127"/>
    <w:rsid w:val="00E87148"/>
    <w:rsid w:val="00E871CE"/>
    <w:rsid w:val="00E872A8"/>
    <w:rsid w:val="00E87308"/>
    <w:rsid w:val="00E87361"/>
    <w:rsid w:val="00E873D0"/>
    <w:rsid w:val="00E873E0"/>
    <w:rsid w:val="00E87436"/>
    <w:rsid w:val="00E875CB"/>
    <w:rsid w:val="00E875F5"/>
    <w:rsid w:val="00E876C8"/>
    <w:rsid w:val="00E87728"/>
    <w:rsid w:val="00E877CD"/>
    <w:rsid w:val="00E877D4"/>
    <w:rsid w:val="00E877DF"/>
    <w:rsid w:val="00E87880"/>
    <w:rsid w:val="00E878E0"/>
    <w:rsid w:val="00E87919"/>
    <w:rsid w:val="00E879CA"/>
    <w:rsid w:val="00E87A84"/>
    <w:rsid w:val="00E87BAF"/>
    <w:rsid w:val="00E87C68"/>
    <w:rsid w:val="00E87D03"/>
    <w:rsid w:val="00E87D17"/>
    <w:rsid w:val="00E87EFC"/>
    <w:rsid w:val="00E90043"/>
    <w:rsid w:val="00E9005A"/>
    <w:rsid w:val="00E90143"/>
    <w:rsid w:val="00E901E2"/>
    <w:rsid w:val="00E90269"/>
    <w:rsid w:val="00E902B0"/>
    <w:rsid w:val="00E902BA"/>
    <w:rsid w:val="00E902E8"/>
    <w:rsid w:val="00E9046B"/>
    <w:rsid w:val="00E90857"/>
    <w:rsid w:val="00E9088A"/>
    <w:rsid w:val="00E90905"/>
    <w:rsid w:val="00E90928"/>
    <w:rsid w:val="00E90A85"/>
    <w:rsid w:val="00E90C15"/>
    <w:rsid w:val="00E90D02"/>
    <w:rsid w:val="00E90F1F"/>
    <w:rsid w:val="00E90F77"/>
    <w:rsid w:val="00E90FD1"/>
    <w:rsid w:val="00E90FFB"/>
    <w:rsid w:val="00E9100C"/>
    <w:rsid w:val="00E911E0"/>
    <w:rsid w:val="00E91233"/>
    <w:rsid w:val="00E91260"/>
    <w:rsid w:val="00E9126E"/>
    <w:rsid w:val="00E912F9"/>
    <w:rsid w:val="00E91524"/>
    <w:rsid w:val="00E91528"/>
    <w:rsid w:val="00E91571"/>
    <w:rsid w:val="00E9157D"/>
    <w:rsid w:val="00E9160E"/>
    <w:rsid w:val="00E91760"/>
    <w:rsid w:val="00E918FE"/>
    <w:rsid w:val="00E9194A"/>
    <w:rsid w:val="00E91A08"/>
    <w:rsid w:val="00E91A9F"/>
    <w:rsid w:val="00E91AF1"/>
    <w:rsid w:val="00E91B4B"/>
    <w:rsid w:val="00E91CA0"/>
    <w:rsid w:val="00E91CD8"/>
    <w:rsid w:val="00E91D82"/>
    <w:rsid w:val="00E91D83"/>
    <w:rsid w:val="00E91D8B"/>
    <w:rsid w:val="00E91E0E"/>
    <w:rsid w:val="00E91E1D"/>
    <w:rsid w:val="00E91EAE"/>
    <w:rsid w:val="00E91F73"/>
    <w:rsid w:val="00E92022"/>
    <w:rsid w:val="00E9203C"/>
    <w:rsid w:val="00E92103"/>
    <w:rsid w:val="00E92151"/>
    <w:rsid w:val="00E92198"/>
    <w:rsid w:val="00E9223C"/>
    <w:rsid w:val="00E92281"/>
    <w:rsid w:val="00E922C6"/>
    <w:rsid w:val="00E9244A"/>
    <w:rsid w:val="00E92462"/>
    <w:rsid w:val="00E924E2"/>
    <w:rsid w:val="00E92576"/>
    <w:rsid w:val="00E92596"/>
    <w:rsid w:val="00E92599"/>
    <w:rsid w:val="00E9260D"/>
    <w:rsid w:val="00E9262D"/>
    <w:rsid w:val="00E92676"/>
    <w:rsid w:val="00E9272C"/>
    <w:rsid w:val="00E92733"/>
    <w:rsid w:val="00E9276B"/>
    <w:rsid w:val="00E927E4"/>
    <w:rsid w:val="00E928B0"/>
    <w:rsid w:val="00E9296B"/>
    <w:rsid w:val="00E92A74"/>
    <w:rsid w:val="00E92B52"/>
    <w:rsid w:val="00E92B82"/>
    <w:rsid w:val="00E92C5F"/>
    <w:rsid w:val="00E92C61"/>
    <w:rsid w:val="00E92CDD"/>
    <w:rsid w:val="00E92D28"/>
    <w:rsid w:val="00E92E82"/>
    <w:rsid w:val="00E92F3E"/>
    <w:rsid w:val="00E92FA7"/>
    <w:rsid w:val="00E9309F"/>
    <w:rsid w:val="00E93108"/>
    <w:rsid w:val="00E93214"/>
    <w:rsid w:val="00E93261"/>
    <w:rsid w:val="00E93294"/>
    <w:rsid w:val="00E932A3"/>
    <w:rsid w:val="00E932D3"/>
    <w:rsid w:val="00E932D4"/>
    <w:rsid w:val="00E932E0"/>
    <w:rsid w:val="00E93429"/>
    <w:rsid w:val="00E93667"/>
    <w:rsid w:val="00E937E4"/>
    <w:rsid w:val="00E93809"/>
    <w:rsid w:val="00E9388E"/>
    <w:rsid w:val="00E938D3"/>
    <w:rsid w:val="00E9393E"/>
    <w:rsid w:val="00E93998"/>
    <w:rsid w:val="00E93A33"/>
    <w:rsid w:val="00E93A9E"/>
    <w:rsid w:val="00E93AF9"/>
    <w:rsid w:val="00E93C2E"/>
    <w:rsid w:val="00E93C3B"/>
    <w:rsid w:val="00E93DEE"/>
    <w:rsid w:val="00E93F03"/>
    <w:rsid w:val="00E940BD"/>
    <w:rsid w:val="00E9414D"/>
    <w:rsid w:val="00E94308"/>
    <w:rsid w:val="00E94354"/>
    <w:rsid w:val="00E94487"/>
    <w:rsid w:val="00E944A4"/>
    <w:rsid w:val="00E945BD"/>
    <w:rsid w:val="00E94687"/>
    <w:rsid w:val="00E946E4"/>
    <w:rsid w:val="00E94773"/>
    <w:rsid w:val="00E94877"/>
    <w:rsid w:val="00E94886"/>
    <w:rsid w:val="00E94998"/>
    <w:rsid w:val="00E94A13"/>
    <w:rsid w:val="00E94BBC"/>
    <w:rsid w:val="00E94C1F"/>
    <w:rsid w:val="00E94EB4"/>
    <w:rsid w:val="00E94FC7"/>
    <w:rsid w:val="00E950FE"/>
    <w:rsid w:val="00E9510F"/>
    <w:rsid w:val="00E951F0"/>
    <w:rsid w:val="00E952F1"/>
    <w:rsid w:val="00E9532F"/>
    <w:rsid w:val="00E9544A"/>
    <w:rsid w:val="00E9567B"/>
    <w:rsid w:val="00E95794"/>
    <w:rsid w:val="00E95807"/>
    <w:rsid w:val="00E9587C"/>
    <w:rsid w:val="00E95A36"/>
    <w:rsid w:val="00E95B2D"/>
    <w:rsid w:val="00E95B7A"/>
    <w:rsid w:val="00E95C0B"/>
    <w:rsid w:val="00E95C6F"/>
    <w:rsid w:val="00E95DCF"/>
    <w:rsid w:val="00E95F4E"/>
    <w:rsid w:val="00E95FEA"/>
    <w:rsid w:val="00E96000"/>
    <w:rsid w:val="00E96086"/>
    <w:rsid w:val="00E9616B"/>
    <w:rsid w:val="00E961B5"/>
    <w:rsid w:val="00E96263"/>
    <w:rsid w:val="00E963FE"/>
    <w:rsid w:val="00E96439"/>
    <w:rsid w:val="00E96533"/>
    <w:rsid w:val="00E9670C"/>
    <w:rsid w:val="00E96749"/>
    <w:rsid w:val="00E967AB"/>
    <w:rsid w:val="00E968A7"/>
    <w:rsid w:val="00E96AD6"/>
    <w:rsid w:val="00E96C7B"/>
    <w:rsid w:val="00E96CD6"/>
    <w:rsid w:val="00E96D42"/>
    <w:rsid w:val="00E96EAF"/>
    <w:rsid w:val="00E96EB7"/>
    <w:rsid w:val="00E96F21"/>
    <w:rsid w:val="00E96F2B"/>
    <w:rsid w:val="00E96F93"/>
    <w:rsid w:val="00E96FC5"/>
    <w:rsid w:val="00E96FDB"/>
    <w:rsid w:val="00E96FF6"/>
    <w:rsid w:val="00E9700A"/>
    <w:rsid w:val="00E97068"/>
    <w:rsid w:val="00E970B7"/>
    <w:rsid w:val="00E970CE"/>
    <w:rsid w:val="00E970E0"/>
    <w:rsid w:val="00E97123"/>
    <w:rsid w:val="00E97145"/>
    <w:rsid w:val="00E9715F"/>
    <w:rsid w:val="00E97165"/>
    <w:rsid w:val="00E97225"/>
    <w:rsid w:val="00E972B3"/>
    <w:rsid w:val="00E972D7"/>
    <w:rsid w:val="00E974AF"/>
    <w:rsid w:val="00E977B7"/>
    <w:rsid w:val="00E97888"/>
    <w:rsid w:val="00E97931"/>
    <w:rsid w:val="00E97AC4"/>
    <w:rsid w:val="00E97AD5"/>
    <w:rsid w:val="00E97AD6"/>
    <w:rsid w:val="00E97BFB"/>
    <w:rsid w:val="00E97C19"/>
    <w:rsid w:val="00E97C56"/>
    <w:rsid w:val="00E97C60"/>
    <w:rsid w:val="00E97CEA"/>
    <w:rsid w:val="00E97D29"/>
    <w:rsid w:val="00E97D60"/>
    <w:rsid w:val="00E97D7F"/>
    <w:rsid w:val="00E97D88"/>
    <w:rsid w:val="00E97D8B"/>
    <w:rsid w:val="00E97E23"/>
    <w:rsid w:val="00E97E28"/>
    <w:rsid w:val="00E97E4A"/>
    <w:rsid w:val="00E97FC9"/>
    <w:rsid w:val="00EA00D2"/>
    <w:rsid w:val="00EA0101"/>
    <w:rsid w:val="00EA0118"/>
    <w:rsid w:val="00EA01B2"/>
    <w:rsid w:val="00EA0208"/>
    <w:rsid w:val="00EA02FA"/>
    <w:rsid w:val="00EA06AE"/>
    <w:rsid w:val="00EA08D8"/>
    <w:rsid w:val="00EA0A17"/>
    <w:rsid w:val="00EA0AB3"/>
    <w:rsid w:val="00EA0AFB"/>
    <w:rsid w:val="00EA0B3C"/>
    <w:rsid w:val="00EA0CA7"/>
    <w:rsid w:val="00EA0D97"/>
    <w:rsid w:val="00EA0E83"/>
    <w:rsid w:val="00EA0E9A"/>
    <w:rsid w:val="00EA0E9F"/>
    <w:rsid w:val="00EA0EAE"/>
    <w:rsid w:val="00EA0FF3"/>
    <w:rsid w:val="00EA10C7"/>
    <w:rsid w:val="00EA115A"/>
    <w:rsid w:val="00EA1173"/>
    <w:rsid w:val="00EA11C0"/>
    <w:rsid w:val="00EA1202"/>
    <w:rsid w:val="00EA1264"/>
    <w:rsid w:val="00EA1289"/>
    <w:rsid w:val="00EA1326"/>
    <w:rsid w:val="00EA13E3"/>
    <w:rsid w:val="00EA1472"/>
    <w:rsid w:val="00EA14D8"/>
    <w:rsid w:val="00EA17A5"/>
    <w:rsid w:val="00EA17DC"/>
    <w:rsid w:val="00EA18B0"/>
    <w:rsid w:val="00EA1A00"/>
    <w:rsid w:val="00EA1A21"/>
    <w:rsid w:val="00EA1A63"/>
    <w:rsid w:val="00EA1A90"/>
    <w:rsid w:val="00EA1B5A"/>
    <w:rsid w:val="00EA1B65"/>
    <w:rsid w:val="00EA1CC8"/>
    <w:rsid w:val="00EA1D4A"/>
    <w:rsid w:val="00EA1D75"/>
    <w:rsid w:val="00EA1F22"/>
    <w:rsid w:val="00EA2092"/>
    <w:rsid w:val="00EA2149"/>
    <w:rsid w:val="00EA2167"/>
    <w:rsid w:val="00EA21E5"/>
    <w:rsid w:val="00EA2267"/>
    <w:rsid w:val="00EA2278"/>
    <w:rsid w:val="00EA22DC"/>
    <w:rsid w:val="00EA2339"/>
    <w:rsid w:val="00EA23AB"/>
    <w:rsid w:val="00EA23AC"/>
    <w:rsid w:val="00EA240B"/>
    <w:rsid w:val="00EA2479"/>
    <w:rsid w:val="00EA249C"/>
    <w:rsid w:val="00EA24CA"/>
    <w:rsid w:val="00EA24F9"/>
    <w:rsid w:val="00EA2619"/>
    <w:rsid w:val="00EA27C1"/>
    <w:rsid w:val="00EA2847"/>
    <w:rsid w:val="00EA2A38"/>
    <w:rsid w:val="00EA2A3D"/>
    <w:rsid w:val="00EA2B16"/>
    <w:rsid w:val="00EA2B4E"/>
    <w:rsid w:val="00EA2C7F"/>
    <w:rsid w:val="00EA2D23"/>
    <w:rsid w:val="00EA2D4E"/>
    <w:rsid w:val="00EA2D88"/>
    <w:rsid w:val="00EA2D9E"/>
    <w:rsid w:val="00EA2E3C"/>
    <w:rsid w:val="00EA2E51"/>
    <w:rsid w:val="00EA3006"/>
    <w:rsid w:val="00EA30F6"/>
    <w:rsid w:val="00EA3110"/>
    <w:rsid w:val="00EA3116"/>
    <w:rsid w:val="00EA3421"/>
    <w:rsid w:val="00EA34C9"/>
    <w:rsid w:val="00EA351C"/>
    <w:rsid w:val="00EA3540"/>
    <w:rsid w:val="00EA3596"/>
    <w:rsid w:val="00EA35DD"/>
    <w:rsid w:val="00EA3690"/>
    <w:rsid w:val="00EA37C8"/>
    <w:rsid w:val="00EA38C5"/>
    <w:rsid w:val="00EA38CB"/>
    <w:rsid w:val="00EA396F"/>
    <w:rsid w:val="00EA398F"/>
    <w:rsid w:val="00EA3CDE"/>
    <w:rsid w:val="00EA3D01"/>
    <w:rsid w:val="00EA3D41"/>
    <w:rsid w:val="00EA3D97"/>
    <w:rsid w:val="00EA3DA7"/>
    <w:rsid w:val="00EA3E31"/>
    <w:rsid w:val="00EA3EBE"/>
    <w:rsid w:val="00EA4041"/>
    <w:rsid w:val="00EA40D4"/>
    <w:rsid w:val="00EA419C"/>
    <w:rsid w:val="00EA41AB"/>
    <w:rsid w:val="00EA4239"/>
    <w:rsid w:val="00EA4297"/>
    <w:rsid w:val="00EA42A5"/>
    <w:rsid w:val="00EA42B7"/>
    <w:rsid w:val="00EA42B8"/>
    <w:rsid w:val="00EA433A"/>
    <w:rsid w:val="00EA44C8"/>
    <w:rsid w:val="00EA44D4"/>
    <w:rsid w:val="00EA44FD"/>
    <w:rsid w:val="00EA466A"/>
    <w:rsid w:val="00EA4713"/>
    <w:rsid w:val="00EA4727"/>
    <w:rsid w:val="00EA47F8"/>
    <w:rsid w:val="00EA481A"/>
    <w:rsid w:val="00EA4995"/>
    <w:rsid w:val="00EA4A2D"/>
    <w:rsid w:val="00EA4B2A"/>
    <w:rsid w:val="00EA4B70"/>
    <w:rsid w:val="00EA4BFE"/>
    <w:rsid w:val="00EA4C59"/>
    <w:rsid w:val="00EA4CE4"/>
    <w:rsid w:val="00EA4E11"/>
    <w:rsid w:val="00EA4E3F"/>
    <w:rsid w:val="00EA4F5D"/>
    <w:rsid w:val="00EA4F67"/>
    <w:rsid w:val="00EA5043"/>
    <w:rsid w:val="00EA5098"/>
    <w:rsid w:val="00EA510A"/>
    <w:rsid w:val="00EA5242"/>
    <w:rsid w:val="00EA527A"/>
    <w:rsid w:val="00EA539B"/>
    <w:rsid w:val="00EA54BA"/>
    <w:rsid w:val="00EA5527"/>
    <w:rsid w:val="00EA55A5"/>
    <w:rsid w:val="00EA5680"/>
    <w:rsid w:val="00EA56CD"/>
    <w:rsid w:val="00EA56F6"/>
    <w:rsid w:val="00EA57B8"/>
    <w:rsid w:val="00EA57C0"/>
    <w:rsid w:val="00EA580C"/>
    <w:rsid w:val="00EA58BA"/>
    <w:rsid w:val="00EA5C2E"/>
    <w:rsid w:val="00EA5C7C"/>
    <w:rsid w:val="00EA5CA8"/>
    <w:rsid w:val="00EA5CEA"/>
    <w:rsid w:val="00EA5D2E"/>
    <w:rsid w:val="00EA5E94"/>
    <w:rsid w:val="00EA5F09"/>
    <w:rsid w:val="00EA5F40"/>
    <w:rsid w:val="00EA5F8F"/>
    <w:rsid w:val="00EA5FCD"/>
    <w:rsid w:val="00EA6047"/>
    <w:rsid w:val="00EA612A"/>
    <w:rsid w:val="00EA6150"/>
    <w:rsid w:val="00EA6187"/>
    <w:rsid w:val="00EA61DD"/>
    <w:rsid w:val="00EA6218"/>
    <w:rsid w:val="00EA6289"/>
    <w:rsid w:val="00EA6399"/>
    <w:rsid w:val="00EA63AC"/>
    <w:rsid w:val="00EA6449"/>
    <w:rsid w:val="00EA6553"/>
    <w:rsid w:val="00EA65AB"/>
    <w:rsid w:val="00EA663A"/>
    <w:rsid w:val="00EA66E2"/>
    <w:rsid w:val="00EA6742"/>
    <w:rsid w:val="00EA6790"/>
    <w:rsid w:val="00EA6862"/>
    <w:rsid w:val="00EA697D"/>
    <w:rsid w:val="00EA6995"/>
    <w:rsid w:val="00EA6AA3"/>
    <w:rsid w:val="00EA6AC8"/>
    <w:rsid w:val="00EA6BA7"/>
    <w:rsid w:val="00EA6C78"/>
    <w:rsid w:val="00EA6D4F"/>
    <w:rsid w:val="00EA6DE8"/>
    <w:rsid w:val="00EA6E12"/>
    <w:rsid w:val="00EA6E4E"/>
    <w:rsid w:val="00EA6E6D"/>
    <w:rsid w:val="00EA6F09"/>
    <w:rsid w:val="00EA6FCE"/>
    <w:rsid w:val="00EA6FD1"/>
    <w:rsid w:val="00EA7017"/>
    <w:rsid w:val="00EA706C"/>
    <w:rsid w:val="00EA7087"/>
    <w:rsid w:val="00EA70FC"/>
    <w:rsid w:val="00EA712B"/>
    <w:rsid w:val="00EA7167"/>
    <w:rsid w:val="00EA717E"/>
    <w:rsid w:val="00EA72CD"/>
    <w:rsid w:val="00EA73E0"/>
    <w:rsid w:val="00EA7515"/>
    <w:rsid w:val="00EA756A"/>
    <w:rsid w:val="00EA7598"/>
    <w:rsid w:val="00EA77B6"/>
    <w:rsid w:val="00EA7837"/>
    <w:rsid w:val="00EA7873"/>
    <w:rsid w:val="00EA7891"/>
    <w:rsid w:val="00EA78D8"/>
    <w:rsid w:val="00EA7915"/>
    <w:rsid w:val="00EA79AA"/>
    <w:rsid w:val="00EA79E1"/>
    <w:rsid w:val="00EA7A22"/>
    <w:rsid w:val="00EA7AD3"/>
    <w:rsid w:val="00EA7B55"/>
    <w:rsid w:val="00EA7BEB"/>
    <w:rsid w:val="00EA7BF0"/>
    <w:rsid w:val="00EA7C36"/>
    <w:rsid w:val="00EA7C3D"/>
    <w:rsid w:val="00EA7C41"/>
    <w:rsid w:val="00EA7CB7"/>
    <w:rsid w:val="00EA7DD3"/>
    <w:rsid w:val="00EA7E8A"/>
    <w:rsid w:val="00EA7F01"/>
    <w:rsid w:val="00EA7FC8"/>
    <w:rsid w:val="00EB0041"/>
    <w:rsid w:val="00EB008B"/>
    <w:rsid w:val="00EB02AE"/>
    <w:rsid w:val="00EB02B8"/>
    <w:rsid w:val="00EB035C"/>
    <w:rsid w:val="00EB03AD"/>
    <w:rsid w:val="00EB03B1"/>
    <w:rsid w:val="00EB0470"/>
    <w:rsid w:val="00EB0499"/>
    <w:rsid w:val="00EB0525"/>
    <w:rsid w:val="00EB05C3"/>
    <w:rsid w:val="00EB05ED"/>
    <w:rsid w:val="00EB08B7"/>
    <w:rsid w:val="00EB0AFA"/>
    <w:rsid w:val="00EB0C61"/>
    <w:rsid w:val="00EB0CEE"/>
    <w:rsid w:val="00EB0E8B"/>
    <w:rsid w:val="00EB0FDD"/>
    <w:rsid w:val="00EB0FFF"/>
    <w:rsid w:val="00EB1038"/>
    <w:rsid w:val="00EB116D"/>
    <w:rsid w:val="00EB11E0"/>
    <w:rsid w:val="00EB122E"/>
    <w:rsid w:val="00EB131A"/>
    <w:rsid w:val="00EB141A"/>
    <w:rsid w:val="00EB1462"/>
    <w:rsid w:val="00EB14A9"/>
    <w:rsid w:val="00EB155E"/>
    <w:rsid w:val="00EB15D3"/>
    <w:rsid w:val="00EB15EB"/>
    <w:rsid w:val="00EB167E"/>
    <w:rsid w:val="00EB175E"/>
    <w:rsid w:val="00EB1768"/>
    <w:rsid w:val="00EB1778"/>
    <w:rsid w:val="00EB17F7"/>
    <w:rsid w:val="00EB18C9"/>
    <w:rsid w:val="00EB195D"/>
    <w:rsid w:val="00EB1965"/>
    <w:rsid w:val="00EB19A5"/>
    <w:rsid w:val="00EB1AB4"/>
    <w:rsid w:val="00EB1B71"/>
    <w:rsid w:val="00EB1B8F"/>
    <w:rsid w:val="00EB1BE2"/>
    <w:rsid w:val="00EB1C35"/>
    <w:rsid w:val="00EB1CB4"/>
    <w:rsid w:val="00EB1D24"/>
    <w:rsid w:val="00EB1D51"/>
    <w:rsid w:val="00EB1D88"/>
    <w:rsid w:val="00EB1D90"/>
    <w:rsid w:val="00EB1D91"/>
    <w:rsid w:val="00EB1F1F"/>
    <w:rsid w:val="00EB1F45"/>
    <w:rsid w:val="00EB1F77"/>
    <w:rsid w:val="00EB1F79"/>
    <w:rsid w:val="00EB1F92"/>
    <w:rsid w:val="00EB204D"/>
    <w:rsid w:val="00EB2053"/>
    <w:rsid w:val="00EB21D6"/>
    <w:rsid w:val="00EB21E5"/>
    <w:rsid w:val="00EB2226"/>
    <w:rsid w:val="00EB2266"/>
    <w:rsid w:val="00EB2279"/>
    <w:rsid w:val="00EB233B"/>
    <w:rsid w:val="00EB235C"/>
    <w:rsid w:val="00EB24B6"/>
    <w:rsid w:val="00EB262E"/>
    <w:rsid w:val="00EB27C5"/>
    <w:rsid w:val="00EB28C4"/>
    <w:rsid w:val="00EB2911"/>
    <w:rsid w:val="00EB2936"/>
    <w:rsid w:val="00EB2947"/>
    <w:rsid w:val="00EB295A"/>
    <w:rsid w:val="00EB2AB5"/>
    <w:rsid w:val="00EB2DE2"/>
    <w:rsid w:val="00EB2E0F"/>
    <w:rsid w:val="00EB2F21"/>
    <w:rsid w:val="00EB2F4A"/>
    <w:rsid w:val="00EB2FC5"/>
    <w:rsid w:val="00EB3192"/>
    <w:rsid w:val="00EB31ED"/>
    <w:rsid w:val="00EB3278"/>
    <w:rsid w:val="00EB32B1"/>
    <w:rsid w:val="00EB32F0"/>
    <w:rsid w:val="00EB32F5"/>
    <w:rsid w:val="00EB33A1"/>
    <w:rsid w:val="00EB3442"/>
    <w:rsid w:val="00EB3622"/>
    <w:rsid w:val="00EB36A0"/>
    <w:rsid w:val="00EB36DE"/>
    <w:rsid w:val="00EB3733"/>
    <w:rsid w:val="00EB376A"/>
    <w:rsid w:val="00EB3775"/>
    <w:rsid w:val="00EB38C5"/>
    <w:rsid w:val="00EB3A23"/>
    <w:rsid w:val="00EB3AAF"/>
    <w:rsid w:val="00EB3B2A"/>
    <w:rsid w:val="00EB3D54"/>
    <w:rsid w:val="00EB3D63"/>
    <w:rsid w:val="00EB3DF6"/>
    <w:rsid w:val="00EB3DFA"/>
    <w:rsid w:val="00EB3E06"/>
    <w:rsid w:val="00EB3F21"/>
    <w:rsid w:val="00EB401E"/>
    <w:rsid w:val="00EB405E"/>
    <w:rsid w:val="00EB40D4"/>
    <w:rsid w:val="00EB41DC"/>
    <w:rsid w:val="00EB4290"/>
    <w:rsid w:val="00EB4332"/>
    <w:rsid w:val="00EB447A"/>
    <w:rsid w:val="00EB4629"/>
    <w:rsid w:val="00EB465D"/>
    <w:rsid w:val="00EB4667"/>
    <w:rsid w:val="00EB46DE"/>
    <w:rsid w:val="00EB47D5"/>
    <w:rsid w:val="00EB4911"/>
    <w:rsid w:val="00EB493B"/>
    <w:rsid w:val="00EB4975"/>
    <w:rsid w:val="00EB499E"/>
    <w:rsid w:val="00EB4B0B"/>
    <w:rsid w:val="00EB4B1A"/>
    <w:rsid w:val="00EB4B3D"/>
    <w:rsid w:val="00EB4B48"/>
    <w:rsid w:val="00EB4BEB"/>
    <w:rsid w:val="00EB4CC1"/>
    <w:rsid w:val="00EB4CF5"/>
    <w:rsid w:val="00EB4D23"/>
    <w:rsid w:val="00EB4D67"/>
    <w:rsid w:val="00EB4D92"/>
    <w:rsid w:val="00EB4E90"/>
    <w:rsid w:val="00EB4EA6"/>
    <w:rsid w:val="00EB4F14"/>
    <w:rsid w:val="00EB4F69"/>
    <w:rsid w:val="00EB4FF5"/>
    <w:rsid w:val="00EB50C9"/>
    <w:rsid w:val="00EB52C4"/>
    <w:rsid w:val="00EB5413"/>
    <w:rsid w:val="00EB546A"/>
    <w:rsid w:val="00EB557E"/>
    <w:rsid w:val="00EB55F7"/>
    <w:rsid w:val="00EB56F9"/>
    <w:rsid w:val="00EB5733"/>
    <w:rsid w:val="00EB57CD"/>
    <w:rsid w:val="00EB5826"/>
    <w:rsid w:val="00EB585D"/>
    <w:rsid w:val="00EB58A2"/>
    <w:rsid w:val="00EB5933"/>
    <w:rsid w:val="00EB59BD"/>
    <w:rsid w:val="00EB5A83"/>
    <w:rsid w:val="00EB5A93"/>
    <w:rsid w:val="00EB5B47"/>
    <w:rsid w:val="00EB5CBD"/>
    <w:rsid w:val="00EB5CEE"/>
    <w:rsid w:val="00EB5DC3"/>
    <w:rsid w:val="00EB5DE7"/>
    <w:rsid w:val="00EB5E0E"/>
    <w:rsid w:val="00EB5E22"/>
    <w:rsid w:val="00EB5FF4"/>
    <w:rsid w:val="00EB602A"/>
    <w:rsid w:val="00EB611B"/>
    <w:rsid w:val="00EB61A7"/>
    <w:rsid w:val="00EB61AA"/>
    <w:rsid w:val="00EB620F"/>
    <w:rsid w:val="00EB622E"/>
    <w:rsid w:val="00EB6364"/>
    <w:rsid w:val="00EB63A8"/>
    <w:rsid w:val="00EB6417"/>
    <w:rsid w:val="00EB644E"/>
    <w:rsid w:val="00EB66C3"/>
    <w:rsid w:val="00EB66E9"/>
    <w:rsid w:val="00EB6746"/>
    <w:rsid w:val="00EB67B5"/>
    <w:rsid w:val="00EB6813"/>
    <w:rsid w:val="00EB6850"/>
    <w:rsid w:val="00EB6878"/>
    <w:rsid w:val="00EB6948"/>
    <w:rsid w:val="00EB6949"/>
    <w:rsid w:val="00EB69C1"/>
    <w:rsid w:val="00EB6A0A"/>
    <w:rsid w:val="00EB6A8C"/>
    <w:rsid w:val="00EB6A94"/>
    <w:rsid w:val="00EB6B1B"/>
    <w:rsid w:val="00EB6B65"/>
    <w:rsid w:val="00EB6B86"/>
    <w:rsid w:val="00EB6BC8"/>
    <w:rsid w:val="00EB6C11"/>
    <w:rsid w:val="00EB6C42"/>
    <w:rsid w:val="00EB6C72"/>
    <w:rsid w:val="00EB6CDB"/>
    <w:rsid w:val="00EB6D1D"/>
    <w:rsid w:val="00EB6F1B"/>
    <w:rsid w:val="00EB6F91"/>
    <w:rsid w:val="00EB7121"/>
    <w:rsid w:val="00EB71EA"/>
    <w:rsid w:val="00EB72D0"/>
    <w:rsid w:val="00EB72FE"/>
    <w:rsid w:val="00EB730F"/>
    <w:rsid w:val="00EB738D"/>
    <w:rsid w:val="00EB7527"/>
    <w:rsid w:val="00EB7542"/>
    <w:rsid w:val="00EB759B"/>
    <w:rsid w:val="00EB76AA"/>
    <w:rsid w:val="00EB76DA"/>
    <w:rsid w:val="00EB7754"/>
    <w:rsid w:val="00EB7789"/>
    <w:rsid w:val="00EB7806"/>
    <w:rsid w:val="00EB78CF"/>
    <w:rsid w:val="00EB7A7A"/>
    <w:rsid w:val="00EB7C09"/>
    <w:rsid w:val="00EB7C42"/>
    <w:rsid w:val="00EB7C50"/>
    <w:rsid w:val="00EB7CFC"/>
    <w:rsid w:val="00EB7E30"/>
    <w:rsid w:val="00EB7E8C"/>
    <w:rsid w:val="00EB7E99"/>
    <w:rsid w:val="00EB7EE7"/>
    <w:rsid w:val="00EC00D5"/>
    <w:rsid w:val="00EC00FF"/>
    <w:rsid w:val="00EC0136"/>
    <w:rsid w:val="00EC0188"/>
    <w:rsid w:val="00EC01EA"/>
    <w:rsid w:val="00EC038C"/>
    <w:rsid w:val="00EC040A"/>
    <w:rsid w:val="00EC0420"/>
    <w:rsid w:val="00EC0423"/>
    <w:rsid w:val="00EC0472"/>
    <w:rsid w:val="00EC0489"/>
    <w:rsid w:val="00EC048D"/>
    <w:rsid w:val="00EC04AC"/>
    <w:rsid w:val="00EC05DE"/>
    <w:rsid w:val="00EC061A"/>
    <w:rsid w:val="00EC06EC"/>
    <w:rsid w:val="00EC087F"/>
    <w:rsid w:val="00EC0AF4"/>
    <w:rsid w:val="00EC0B11"/>
    <w:rsid w:val="00EC0B49"/>
    <w:rsid w:val="00EC0CAE"/>
    <w:rsid w:val="00EC0D9E"/>
    <w:rsid w:val="00EC0DE6"/>
    <w:rsid w:val="00EC0F60"/>
    <w:rsid w:val="00EC0FC5"/>
    <w:rsid w:val="00EC100D"/>
    <w:rsid w:val="00EC1016"/>
    <w:rsid w:val="00EC103C"/>
    <w:rsid w:val="00EC108B"/>
    <w:rsid w:val="00EC115A"/>
    <w:rsid w:val="00EC11E7"/>
    <w:rsid w:val="00EC128D"/>
    <w:rsid w:val="00EC1443"/>
    <w:rsid w:val="00EC1557"/>
    <w:rsid w:val="00EC1579"/>
    <w:rsid w:val="00EC1596"/>
    <w:rsid w:val="00EC177B"/>
    <w:rsid w:val="00EC181A"/>
    <w:rsid w:val="00EC184E"/>
    <w:rsid w:val="00EC18CA"/>
    <w:rsid w:val="00EC197D"/>
    <w:rsid w:val="00EC1A1D"/>
    <w:rsid w:val="00EC1A2D"/>
    <w:rsid w:val="00EC1A51"/>
    <w:rsid w:val="00EC1ABA"/>
    <w:rsid w:val="00EC1AF4"/>
    <w:rsid w:val="00EC1B01"/>
    <w:rsid w:val="00EC1B6A"/>
    <w:rsid w:val="00EC1B94"/>
    <w:rsid w:val="00EC1BF6"/>
    <w:rsid w:val="00EC1D8B"/>
    <w:rsid w:val="00EC1DA9"/>
    <w:rsid w:val="00EC1E0E"/>
    <w:rsid w:val="00EC1E6C"/>
    <w:rsid w:val="00EC201D"/>
    <w:rsid w:val="00EC20FF"/>
    <w:rsid w:val="00EC2233"/>
    <w:rsid w:val="00EC236D"/>
    <w:rsid w:val="00EC2549"/>
    <w:rsid w:val="00EC25B2"/>
    <w:rsid w:val="00EC25BD"/>
    <w:rsid w:val="00EC25CA"/>
    <w:rsid w:val="00EC261F"/>
    <w:rsid w:val="00EC2670"/>
    <w:rsid w:val="00EC2691"/>
    <w:rsid w:val="00EC26E0"/>
    <w:rsid w:val="00EC274D"/>
    <w:rsid w:val="00EC28CC"/>
    <w:rsid w:val="00EC28D1"/>
    <w:rsid w:val="00EC2BA9"/>
    <w:rsid w:val="00EC2CEC"/>
    <w:rsid w:val="00EC2D0D"/>
    <w:rsid w:val="00EC2D2B"/>
    <w:rsid w:val="00EC2DD4"/>
    <w:rsid w:val="00EC2E17"/>
    <w:rsid w:val="00EC2E7B"/>
    <w:rsid w:val="00EC2ED1"/>
    <w:rsid w:val="00EC301B"/>
    <w:rsid w:val="00EC30A2"/>
    <w:rsid w:val="00EC3153"/>
    <w:rsid w:val="00EC3219"/>
    <w:rsid w:val="00EC324E"/>
    <w:rsid w:val="00EC32C1"/>
    <w:rsid w:val="00EC3398"/>
    <w:rsid w:val="00EC33C6"/>
    <w:rsid w:val="00EC33E5"/>
    <w:rsid w:val="00EC3504"/>
    <w:rsid w:val="00EC3607"/>
    <w:rsid w:val="00EC36EC"/>
    <w:rsid w:val="00EC3912"/>
    <w:rsid w:val="00EC39EC"/>
    <w:rsid w:val="00EC3A52"/>
    <w:rsid w:val="00EC3B4F"/>
    <w:rsid w:val="00EC3BC9"/>
    <w:rsid w:val="00EC3C8F"/>
    <w:rsid w:val="00EC3D7D"/>
    <w:rsid w:val="00EC3D8B"/>
    <w:rsid w:val="00EC3E41"/>
    <w:rsid w:val="00EC3EA5"/>
    <w:rsid w:val="00EC3EAB"/>
    <w:rsid w:val="00EC3EBC"/>
    <w:rsid w:val="00EC3F11"/>
    <w:rsid w:val="00EC3FC9"/>
    <w:rsid w:val="00EC4102"/>
    <w:rsid w:val="00EC41B0"/>
    <w:rsid w:val="00EC41E3"/>
    <w:rsid w:val="00EC426E"/>
    <w:rsid w:val="00EC442E"/>
    <w:rsid w:val="00EC4440"/>
    <w:rsid w:val="00EC444C"/>
    <w:rsid w:val="00EC462D"/>
    <w:rsid w:val="00EC4660"/>
    <w:rsid w:val="00EC4689"/>
    <w:rsid w:val="00EC468A"/>
    <w:rsid w:val="00EC4745"/>
    <w:rsid w:val="00EC47C3"/>
    <w:rsid w:val="00EC4809"/>
    <w:rsid w:val="00EC4A64"/>
    <w:rsid w:val="00EC4BB6"/>
    <w:rsid w:val="00EC4BF8"/>
    <w:rsid w:val="00EC4C1F"/>
    <w:rsid w:val="00EC4D2F"/>
    <w:rsid w:val="00EC4E66"/>
    <w:rsid w:val="00EC4EDC"/>
    <w:rsid w:val="00EC4F58"/>
    <w:rsid w:val="00EC4F7E"/>
    <w:rsid w:val="00EC50E5"/>
    <w:rsid w:val="00EC5207"/>
    <w:rsid w:val="00EC5271"/>
    <w:rsid w:val="00EC5290"/>
    <w:rsid w:val="00EC5378"/>
    <w:rsid w:val="00EC5386"/>
    <w:rsid w:val="00EC5467"/>
    <w:rsid w:val="00EC5529"/>
    <w:rsid w:val="00EC556F"/>
    <w:rsid w:val="00EC55AF"/>
    <w:rsid w:val="00EC568A"/>
    <w:rsid w:val="00EC56ED"/>
    <w:rsid w:val="00EC5814"/>
    <w:rsid w:val="00EC5864"/>
    <w:rsid w:val="00EC58CC"/>
    <w:rsid w:val="00EC5924"/>
    <w:rsid w:val="00EC5B23"/>
    <w:rsid w:val="00EC5B70"/>
    <w:rsid w:val="00EC5BA7"/>
    <w:rsid w:val="00EC5BC7"/>
    <w:rsid w:val="00EC5C70"/>
    <w:rsid w:val="00EC5CBC"/>
    <w:rsid w:val="00EC5CFA"/>
    <w:rsid w:val="00EC5E44"/>
    <w:rsid w:val="00EC5FFF"/>
    <w:rsid w:val="00EC6004"/>
    <w:rsid w:val="00EC6044"/>
    <w:rsid w:val="00EC610B"/>
    <w:rsid w:val="00EC6235"/>
    <w:rsid w:val="00EC6292"/>
    <w:rsid w:val="00EC634B"/>
    <w:rsid w:val="00EC63AF"/>
    <w:rsid w:val="00EC63DD"/>
    <w:rsid w:val="00EC63EA"/>
    <w:rsid w:val="00EC649C"/>
    <w:rsid w:val="00EC64F6"/>
    <w:rsid w:val="00EC65BA"/>
    <w:rsid w:val="00EC6603"/>
    <w:rsid w:val="00EC661F"/>
    <w:rsid w:val="00EC664F"/>
    <w:rsid w:val="00EC6675"/>
    <w:rsid w:val="00EC6750"/>
    <w:rsid w:val="00EC68F6"/>
    <w:rsid w:val="00EC69F7"/>
    <w:rsid w:val="00EC6B16"/>
    <w:rsid w:val="00EC6B6F"/>
    <w:rsid w:val="00EC6BB2"/>
    <w:rsid w:val="00EC6BF1"/>
    <w:rsid w:val="00EC6C06"/>
    <w:rsid w:val="00EC6D06"/>
    <w:rsid w:val="00EC6D2D"/>
    <w:rsid w:val="00EC6D39"/>
    <w:rsid w:val="00EC6D96"/>
    <w:rsid w:val="00EC6EE3"/>
    <w:rsid w:val="00EC7030"/>
    <w:rsid w:val="00EC70D4"/>
    <w:rsid w:val="00EC70EE"/>
    <w:rsid w:val="00EC716E"/>
    <w:rsid w:val="00EC734D"/>
    <w:rsid w:val="00EC74C1"/>
    <w:rsid w:val="00EC751D"/>
    <w:rsid w:val="00EC7559"/>
    <w:rsid w:val="00EC759C"/>
    <w:rsid w:val="00EC75A8"/>
    <w:rsid w:val="00EC75D6"/>
    <w:rsid w:val="00EC75D9"/>
    <w:rsid w:val="00EC75FC"/>
    <w:rsid w:val="00EC7715"/>
    <w:rsid w:val="00EC7757"/>
    <w:rsid w:val="00EC7A32"/>
    <w:rsid w:val="00EC7A6C"/>
    <w:rsid w:val="00EC7A6F"/>
    <w:rsid w:val="00EC7B34"/>
    <w:rsid w:val="00EC7BCD"/>
    <w:rsid w:val="00EC7DB7"/>
    <w:rsid w:val="00EC7E7D"/>
    <w:rsid w:val="00EC7F28"/>
    <w:rsid w:val="00EC7F86"/>
    <w:rsid w:val="00EC7FA7"/>
    <w:rsid w:val="00ED00DF"/>
    <w:rsid w:val="00ED0134"/>
    <w:rsid w:val="00ED01BB"/>
    <w:rsid w:val="00ED01C9"/>
    <w:rsid w:val="00ED02A3"/>
    <w:rsid w:val="00ED0314"/>
    <w:rsid w:val="00ED040C"/>
    <w:rsid w:val="00ED0442"/>
    <w:rsid w:val="00ED04C6"/>
    <w:rsid w:val="00ED0533"/>
    <w:rsid w:val="00ED061B"/>
    <w:rsid w:val="00ED063A"/>
    <w:rsid w:val="00ED0754"/>
    <w:rsid w:val="00ED0783"/>
    <w:rsid w:val="00ED07A2"/>
    <w:rsid w:val="00ED07B2"/>
    <w:rsid w:val="00ED0884"/>
    <w:rsid w:val="00ED08A3"/>
    <w:rsid w:val="00ED0962"/>
    <w:rsid w:val="00ED0A72"/>
    <w:rsid w:val="00ED0AD1"/>
    <w:rsid w:val="00ED0B82"/>
    <w:rsid w:val="00ED0CA1"/>
    <w:rsid w:val="00ED0D47"/>
    <w:rsid w:val="00ED0D69"/>
    <w:rsid w:val="00ED0D83"/>
    <w:rsid w:val="00ED0DE6"/>
    <w:rsid w:val="00ED0E98"/>
    <w:rsid w:val="00ED0F3F"/>
    <w:rsid w:val="00ED1136"/>
    <w:rsid w:val="00ED11DA"/>
    <w:rsid w:val="00ED11DF"/>
    <w:rsid w:val="00ED1255"/>
    <w:rsid w:val="00ED1286"/>
    <w:rsid w:val="00ED12A2"/>
    <w:rsid w:val="00ED13CB"/>
    <w:rsid w:val="00ED13FC"/>
    <w:rsid w:val="00ED1425"/>
    <w:rsid w:val="00ED14A6"/>
    <w:rsid w:val="00ED14F6"/>
    <w:rsid w:val="00ED151C"/>
    <w:rsid w:val="00ED1591"/>
    <w:rsid w:val="00ED1678"/>
    <w:rsid w:val="00ED169D"/>
    <w:rsid w:val="00ED16C1"/>
    <w:rsid w:val="00ED1737"/>
    <w:rsid w:val="00ED179F"/>
    <w:rsid w:val="00ED17FC"/>
    <w:rsid w:val="00ED180E"/>
    <w:rsid w:val="00ED1822"/>
    <w:rsid w:val="00ED191B"/>
    <w:rsid w:val="00ED1933"/>
    <w:rsid w:val="00ED1B10"/>
    <w:rsid w:val="00ED1B87"/>
    <w:rsid w:val="00ED1BE1"/>
    <w:rsid w:val="00ED1DA8"/>
    <w:rsid w:val="00ED1DC9"/>
    <w:rsid w:val="00ED1DEE"/>
    <w:rsid w:val="00ED1E32"/>
    <w:rsid w:val="00ED1E44"/>
    <w:rsid w:val="00ED1E91"/>
    <w:rsid w:val="00ED1EB2"/>
    <w:rsid w:val="00ED1F22"/>
    <w:rsid w:val="00ED2062"/>
    <w:rsid w:val="00ED2118"/>
    <w:rsid w:val="00ED2157"/>
    <w:rsid w:val="00ED23F7"/>
    <w:rsid w:val="00ED24EB"/>
    <w:rsid w:val="00ED2686"/>
    <w:rsid w:val="00ED2900"/>
    <w:rsid w:val="00ED2981"/>
    <w:rsid w:val="00ED29B9"/>
    <w:rsid w:val="00ED29E2"/>
    <w:rsid w:val="00ED2A62"/>
    <w:rsid w:val="00ED2A6B"/>
    <w:rsid w:val="00ED2A7B"/>
    <w:rsid w:val="00ED2BD1"/>
    <w:rsid w:val="00ED2BFA"/>
    <w:rsid w:val="00ED2CA4"/>
    <w:rsid w:val="00ED2CBD"/>
    <w:rsid w:val="00ED2CD3"/>
    <w:rsid w:val="00ED2E14"/>
    <w:rsid w:val="00ED2EE0"/>
    <w:rsid w:val="00ED2EEB"/>
    <w:rsid w:val="00ED2F87"/>
    <w:rsid w:val="00ED319F"/>
    <w:rsid w:val="00ED31CC"/>
    <w:rsid w:val="00ED32AF"/>
    <w:rsid w:val="00ED32F6"/>
    <w:rsid w:val="00ED3361"/>
    <w:rsid w:val="00ED3411"/>
    <w:rsid w:val="00ED34F7"/>
    <w:rsid w:val="00ED35FB"/>
    <w:rsid w:val="00ED36E7"/>
    <w:rsid w:val="00ED3736"/>
    <w:rsid w:val="00ED377D"/>
    <w:rsid w:val="00ED380F"/>
    <w:rsid w:val="00ED3812"/>
    <w:rsid w:val="00ED3924"/>
    <w:rsid w:val="00ED3978"/>
    <w:rsid w:val="00ED3AC6"/>
    <w:rsid w:val="00ED3BC8"/>
    <w:rsid w:val="00ED3C06"/>
    <w:rsid w:val="00ED3C30"/>
    <w:rsid w:val="00ED3E60"/>
    <w:rsid w:val="00ED3FC7"/>
    <w:rsid w:val="00ED4082"/>
    <w:rsid w:val="00ED4084"/>
    <w:rsid w:val="00ED4120"/>
    <w:rsid w:val="00ED41A0"/>
    <w:rsid w:val="00ED42B8"/>
    <w:rsid w:val="00ED4370"/>
    <w:rsid w:val="00ED43A9"/>
    <w:rsid w:val="00ED459B"/>
    <w:rsid w:val="00ED4621"/>
    <w:rsid w:val="00ED46A3"/>
    <w:rsid w:val="00ED4728"/>
    <w:rsid w:val="00ED480E"/>
    <w:rsid w:val="00ED4826"/>
    <w:rsid w:val="00ED482D"/>
    <w:rsid w:val="00ED484D"/>
    <w:rsid w:val="00ED4A35"/>
    <w:rsid w:val="00ED4AB0"/>
    <w:rsid w:val="00ED4AEF"/>
    <w:rsid w:val="00ED4B05"/>
    <w:rsid w:val="00ED4B47"/>
    <w:rsid w:val="00ED4C87"/>
    <w:rsid w:val="00ED4C95"/>
    <w:rsid w:val="00ED4CC5"/>
    <w:rsid w:val="00ED4D40"/>
    <w:rsid w:val="00ED4DDA"/>
    <w:rsid w:val="00ED4EAF"/>
    <w:rsid w:val="00ED51C6"/>
    <w:rsid w:val="00ED522C"/>
    <w:rsid w:val="00ED5344"/>
    <w:rsid w:val="00ED534D"/>
    <w:rsid w:val="00ED5377"/>
    <w:rsid w:val="00ED5442"/>
    <w:rsid w:val="00ED55C7"/>
    <w:rsid w:val="00ED55D0"/>
    <w:rsid w:val="00ED565E"/>
    <w:rsid w:val="00ED57F6"/>
    <w:rsid w:val="00ED5810"/>
    <w:rsid w:val="00ED58BC"/>
    <w:rsid w:val="00ED59A8"/>
    <w:rsid w:val="00ED5A0E"/>
    <w:rsid w:val="00ED5A20"/>
    <w:rsid w:val="00ED5A2E"/>
    <w:rsid w:val="00ED5A2F"/>
    <w:rsid w:val="00ED5A4D"/>
    <w:rsid w:val="00ED5B3F"/>
    <w:rsid w:val="00ED5BB2"/>
    <w:rsid w:val="00ED5CF2"/>
    <w:rsid w:val="00ED601A"/>
    <w:rsid w:val="00ED6186"/>
    <w:rsid w:val="00ED6419"/>
    <w:rsid w:val="00ED6441"/>
    <w:rsid w:val="00ED649A"/>
    <w:rsid w:val="00ED64FC"/>
    <w:rsid w:val="00ED65AD"/>
    <w:rsid w:val="00ED65DC"/>
    <w:rsid w:val="00ED6631"/>
    <w:rsid w:val="00ED66B8"/>
    <w:rsid w:val="00ED67F4"/>
    <w:rsid w:val="00ED6998"/>
    <w:rsid w:val="00ED69C3"/>
    <w:rsid w:val="00ED6AB7"/>
    <w:rsid w:val="00ED6AE4"/>
    <w:rsid w:val="00ED6CC5"/>
    <w:rsid w:val="00ED6DC8"/>
    <w:rsid w:val="00ED6DED"/>
    <w:rsid w:val="00ED6F67"/>
    <w:rsid w:val="00ED716D"/>
    <w:rsid w:val="00ED7183"/>
    <w:rsid w:val="00ED71F2"/>
    <w:rsid w:val="00ED724B"/>
    <w:rsid w:val="00ED72BC"/>
    <w:rsid w:val="00ED7300"/>
    <w:rsid w:val="00ED7497"/>
    <w:rsid w:val="00ED7596"/>
    <w:rsid w:val="00ED75E0"/>
    <w:rsid w:val="00ED77D9"/>
    <w:rsid w:val="00ED7911"/>
    <w:rsid w:val="00ED7AE7"/>
    <w:rsid w:val="00ED7C07"/>
    <w:rsid w:val="00ED7C24"/>
    <w:rsid w:val="00ED7CA1"/>
    <w:rsid w:val="00ED7D04"/>
    <w:rsid w:val="00ED7D06"/>
    <w:rsid w:val="00ED7E49"/>
    <w:rsid w:val="00ED7ECF"/>
    <w:rsid w:val="00ED7F90"/>
    <w:rsid w:val="00ED7FB1"/>
    <w:rsid w:val="00ED7FD8"/>
    <w:rsid w:val="00ED7FF7"/>
    <w:rsid w:val="00EE000D"/>
    <w:rsid w:val="00EE01F1"/>
    <w:rsid w:val="00EE0202"/>
    <w:rsid w:val="00EE0240"/>
    <w:rsid w:val="00EE04B4"/>
    <w:rsid w:val="00EE04FE"/>
    <w:rsid w:val="00EE05A7"/>
    <w:rsid w:val="00EE06FD"/>
    <w:rsid w:val="00EE076F"/>
    <w:rsid w:val="00EE0784"/>
    <w:rsid w:val="00EE07B3"/>
    <w:rsid w:val="00EE07B5"/>
    <w:rsid w:val="00EE09C7"/>
    <w:rsid w:val="00EE0AC3"/>
    <w:rsid w:val="00EE0AC9"/>
    <w:rsid w:val="00EE0B7E"/>
    <w:rsid w:val="00EE0C15"/>
    <w:rsid w:val="00EE0C43"/>
    <w:rsid w:val="00EE0C45"/>
    <w:rsid w:val="00EE0C74"/>
    <w:rsid w:val="00EE0C86"/>
    <w:rsid w:val="00EE0D77"/>
    <w:rsid w:val="00EE0E0B"/>
    <w:rsid w:val="00EE0F05"/>
    <w:rsid w:val="00EE0F16"/>
    <w:rsid w:val="00EE0F2B"/>
    <w:rsid w:val="00EE0F88"/>
    <w:rsid w:val="00EE1091"/>
    <w:rsid w:val="00EE1263"/>
    <w:rsid w:val="00EE12C6"/>
    <w:rsid w:val="00EE132A"/>
    <w:rsid w:val="00EE132F"/>
    <w:rsid w:val="00EE1406"/>
    <w:rsid w:val="00EE1444"/>
    <w:rsid w:val="00EE1447"/>
    <w:rsid w:val="00EE14A5"/>
    <w:rsid w:val="00EE1664"/>
    <w:rsid w:val="00EE1742"/>
    <w:rsid w:val="00EE1768"/>
    <w:rsid w:val="00EE1A44"/>
    <w:rsid w:val="00EE1AB0"/>
    <w:rsid w:val="00EE1B85"/>
    <w:rsid w:val="00EE1BF1"/>
    <w:rsid w:val="00EE1C7A"/>
    <w:rsid w:val="00EE1D71"/>
    <w:rsid w:val="00EE2087"/>
    <w:rsid w:val="00EE20EF"/>
    <w:rsid w:val="00EE2154"/>
    <w:rsid w:val="00EE216F"/>
    <w:rsid w:val="00EE225A"/>
    <w:rsid w:val="00EE2326"/>
    <w:rsid w:val="00EE2353"/>
    <w:rsid w:val="00EE235C"/>
    <w:rsid w:val="00EE253E"/>
    <w:rsid w:val="00EE2585"/>
    <w:rsid w:val="00EE25C9"/>
    <w:rsid w:val="00EE26F1"/>
    <w:rsid w:val="00EE27DC"/>
    <w:rsid w:val="00EE282A"/>
    <w:rsid w:val="00EE2857"/>
    <w:rsid w:val="00EE2874"/>
    <w:rsid w:val="00EE28A9"/>
    <w:rsid w:val="00EE293B"/>
    <w:rsid w:val="00EE2966"/>
    <w:rsid w:val="00EE2A94"/>
    <w:rsid w:val="00EE2A96"/>
    <w:rsid w:val="00EE2B09"/>
    <w:rsid w:val="00EE2C12"/>
    <w:rsid w:val="00EE2DA6"/>
    <w:rsid w:val="00EE2E27"/>
    <w:rsid w:val="00EE2E9C"/>
    <w:rsid w:val="00EE2F55"/>
    <w:rsid w:val="00EE2F74"/>
    <w:rsid w:val="00EE3032"/>
    <w:rsid w:val="00EE31FF"/>
    <w:rsid w:val="00EE33D0"/>
    <w:rsid w:val="00EE33D7"/>
    <w:rsid w:val="00EE344A"/>
    <w:rsid w:val="00EE347E"/>
    <w:rsid w:val="00EE350D"/>
    <w:rsid w:val="00EE350E"/>
    <w:rsid w:val="00EE3553"/>
    <w:rsid w:val="00EE35BB"/>
    <w:rsid w:val="00EE35C1"/>
    <w:rsid w:val="00EE3708"/>
    <w:rsid w:val="00EE39D3"/>
    <w:rsid w:val="00EE39DF"/>
    <w:rsid w:val="00EE3A5A"/>
    <w:rsid w:val="00EE3AC3"/>
    <w:rsid w:val="00EE3B4C"/>
    <w:rsid w:val="00EE3B68"/>
    <w:rsid w:val="00EE3B9E"/>
    <w:rsid w:val="00EE3CC4"/>
    <w:rsid w:val="00EE3CD3"/>
    <w:rsid w:val="00EE3D09"/>
    <w:rsid w:val="00EE3D2D"/>
    <w:rsid w:val="00EE3D67"/>
    <w:rsid w:val="00EE3F25"/>
    <w:rsid w:val="00EE3F48"/>
    <w:rsid w:val="00EE3F8D"/>
    <w:rsid w:val="00EE3FF5"/>
    <w:rsid w:val="00EE40B1"/>
    <w:rsid w:val="00EE40D3"/>
    <w:rsid w:val="00EE425E"/>
    <w:rsid w:val="00EE43B5"/>
    <w:rsid w:val="00EE43B7"/>
    <w:rsid w:val="00EE448D"/>
    <w:rsid w:val="00EE4563"/>
    <w:rsid w:val="00EE45A8"/>
    <w:rsid w:val="00EE45E1"/>
    <w:rsid w:val="00EE45F6"/>
    <w:rsid w:val="00EE4617"/>
    <w:rsid w:val="00EE46B3"/>
    <w:rsid w:val="00EE475C"/>
    <w:rsid w:val="00EE4864"/>
    <w:rsid w:val="00EE48F7"/>
    <w:rsid w:val="00EE48FA"/>
    <w:rsid w:val="00EE4996"/>
    <w:rsid w:val="00EE49BE"/>
    <w:rsid w:val="00EE4A17"/>
    <w:rsid w:val="00EE4BC9"/>
    <w:rsid w:val="00EE4C2F"/>
    <w:rsid w:val="00EE4E2D"/>
    <w:rsid w:val="00EE4F8C"/>
    <w:rsid w:val="00EE4FB9"/>
    <w:rsid w:val="00EE507D"/>
    <w:rsid w:val="00EE50D6"/>
    <w:rsid w:val="00EE50DD"/>
    <w:rsid w:val="00EE50FC"/>
    <w:rsid w:val="00EE5153"/>
    <w:rsid w:val="00EE51A9"/>
    <w:rsid w:val="00EE5234"/>
    <w:rsid w:val="00EE5289"/>
    <w:rsid w:val="00EE556C"/>
    <w:rsid w:val="00EE57B9"/>
    <w:rsid w:val="00EE5804"/>
    <w:rsid w:val="00EE58D3"/>
    <w:rsid w:val="00EE5950"/>
    <w:rsid w:val="00EE599A"/>
    <w:rsid w:val="00EE59F2"/>
    <w:rsid w:val="00EE5B75"/>
    <w:rsid w:val="00EE5C53"/>
    <w:rsid w:val="00EE5D0C"/>
    <w:rsid w:val="00EE5D36"/>
    <w:rsid w:val="00EE5E76"/>
    <w:rsid w:val="00EE5E89"/>
    <w:rsid w:val="00EE5EE5"/>
    <w:rsid w:val="00EE611E"/>
    <w:rsid w:val="00EE6180"/>
    <w:rsid w:val="00EE6199"/>
    <w:rsid w:val="00EE638D"/>
    <w:rsid w:val="00EE6421"/>
    <w:rsid w:val="00EE654F"/>
    <w:rsid w:val="00EE665A"/>
    <w:rsid w:val="00EE67C7"/>
    <w:rsid w:val="00EE689A"/>
    <w:rsid w:val="00EE68E2"/>
    <w:rsid w:val="00EE69E6"/>
    <w:rsid w:val="00EE6AC9"/>
    <w:rsid w:val="00EE6B12"/>
    <w:rsid w:val="00EE6C06"/>
    <w:rsid w:val="00EE6C52"/>
    <w:rsid w:val="00EE6C90"/>
    <w:rsid w:val="00EE6D93"/>
    <w:rsid w:val="00EE6E0E"/>
    <w:rsid w:val="00EE6EA4"/>
    <w:rsid w:val="00EE6EDD"/>
    <w:rsid w:val="00EE6F47"/>
    <w:rsid w:val="00EE704E"/>
    <w:rsid w:val="00EE705E"/>
    <w:rsid w:val="00EE70F4"/>
    <w:rsid w:val="00EE70FD"/>
    <w:rsid w:val="00EE72F3"/>
    <w:rsid w:val="00EE7342"/>
    <w:rsid w:val="00EE73E1"/>
    <w:rsid w:val="00EE7402"/>
    <w:rsid w:val="00EE751D"/>
    <w:rsid w:val="00EE7566"/>
    <w:rsid w:val="00EE7744"/>
    <w:rsid w:val="00EE7855"/>
    <w:rsid w:val="00EE787E"/>
    <w:rsid w:val="00EE78C4"/>
    <w:rsid w:val="00EE7AC4"/>
    <w:rsid w:val="00EE7BE7"/>
    <w:rsid w:val="00EE7D43"/>
    <w:rsid w:val="00EE7D5B"/>
    <w:rsid w:val="00EE7DB2"/>
    <w:rsid w:val="00EE7E67"/>
    <w:rsid w:val="00EE7EDD"/>
    <w:rsid w:val="00EE7F5C"/>
    <w:rsid w:val="00EF001A"/>
    <w:rsid w:val="00EF0124"/>
    <w:rsid w:val="00EF0143"/>
    <w:rsid w:val="00EF025F"/>
    <w:rsid w:val="00EF029A"/>
    <w:rsid w:val="00EF03A0"/>
    <w:rsid w:val="00EF03D9"/>
    <w:rsid w:val="00EF03E1"/>
    <w:rsid w:val="00EF0508"/>
    <w:rsid w:val="00EF05C4"/>
    <w:rsid w:val="00EF06E2"/>
    <w:rsid w:val="00EF08D5"/>
    <w:rsid w:val="00EF0953"/>
    <w:rsid w:val="00EF09D4"/>
    <w:rsid w:val="00EF09ED"/>
    <w:rsid w:val="00EF09FC"/>
    <w:rsid w:val="00EF0A50"/>
    <w:rsid w:val="00EF0BCF"/>
    <w:rsid w:val="00EF0CA1"/>
    <w:rsid w:val="00EF0CDE"/>
    <w:rsid w:val="00EF0CF8"/>
    <w:rsid w:val="00EF0D85"/>
    <w:rsid w:val="00EF0E0D"/>
    <w:rsid w:val="00EF0E3A"/>
    <w:rsid w:val="00EF0FD1"/>
    <w:rsid w:val="00EF1093"/>
    <w:rsid w:val="00EF13C0"/>
    <w:rsid w:val="00EF144E"/>
    <w:rsid w:val="00EF145E"/>
    <w:rsid w:val="00EF1490"/>
    <w:rsid w:val="00EF155E"/>
    <w:rsid w:val="00EF15B2"/>
    <w:rsid w:val="00EF15C3"/>
    <w:rsid w:val="00EF1602"/>
    <w:rsid w:val="00EF161A"/>
    <w:rsid w:val="00EF166B"/>
    <w:rsid w:val="00EF1907"/>
    <w:rsid w:val="00EF1929"/>
    <w:rsid w:val="00EF1958"/>
    <w:rsid w:val="00EF1979"/>
    <w:rsid w:val="00EF1A04"/>
    <w:rsid w:val="00EF1A6B"/>
    <w:rsid w:val="00EF1E13"/>
    <w:rsid w:val="00EF1F12"/>
    <w:rsid w:val="00EF1F6C"/>
    <w:rsid w:val="00EF1F99"/>
    <w:rsid w:val="00EF1FF8"/>
    <w:rsid w:val="00EF2095"/>
    <w:rsid w:val="00EF20BD"/>
    <w:rsid w:val="00EF20E5"/>
    <w:rsid w:val="00EF213F"/>
    <w:rsid w:val="00EF217A"/>
    <w:rsid w:val="00EF2209"/>
    <w:rsid w:val="00EF2359"/>
    <w:rsid w:val="00EF23EB"/>
    <w:rsid w:val="00EF240C"/>
    <w:rsid w:val="00EF2486"/>
    <w:rsid w:val="00EF24C0"/>
    <w:rsid w:val="00EF253F"/>
    <w:rsid w:val="00EF2578"/>
    <w:rsid w:val="00EF2703"/>
    <w:rsid w:val="00EF2891"/>
    <w:rsid w:val="00EF289B"/>
    <w:rsid w:val="00EF29B4"/>
    <w:rsid w:val="00EF2B4F"/>
    <w:rsid w:val="00EF2BBB"/>
    <w:rsid w:val="00EF2BC4"/>
    <w:rsid w:val="00EF2BDA"/>
    <w:rsid w:val="00EF2D56"/>
    <w:rsid w:val="00EF2D68"/>
    <w:rsid w:val="00EF2E86"/>
    <w:rsid w:val="00EF2FD6"/>
    <w:rsid w:val="00EF3048"/>
    <w:rsid w:val="00EF3095"/>
    <w:rsid w:val="00EF309C"/>
    <w:rsid w:val="00EF30C1"/>
    <w:rsid w:val="00EF31A1"/>
    <w:rsid w:val="00EF3211"/>
    <w:rsid w:val="00EF3276"/>
    <w:rsid w:val="00EF32A1"/>
    <w:rsid w:val="00EF32B1"/>
    <w:rsid w:val="00EF33D3"/>
    <w:rsid w:val="00EF33DC"/>
    <w:rsid w:val="00EF344A"/>
    <w:rsid w:val="00EF35F3"/>
    <w:rsid w:val="00EF3649"/>
    <w:rsid w:val="00EF364A"/>
    <w:rsid w:val="00EF368B"/>
    <w:rsid w:val="00EF36EB"/>
    <w:rsid w:val="00EF374C"/>
    <w:rsid w:val="00EF3766"/>
    <w:rsid w:val="00EF388D"/>
    <w:rsid w:val="00EF3A64"/>
    <w:rsid w:val="00EF3D07"/>
    <w:rsid w:val="00EF3EB8"/>
    <w:rsid w:val="00EF3F54"/>
    <w:rsid w:val="00EF3F62"/>
    <w:rsid w:val="00EF3F7E"/>
    <w:rsid w:val="00EF3FE4"/>
    <w:rsid w:val="00EF3FEA"/>
    <w:rsid w:val="00EF40F5"/>
    <w:rsid w:val="00EF4136"/>
    <w:rsid w:val="00EF4171"/>
    <w:rsid w:val="00EF4178"/>
    <w:rsid w:val="00EF41FB"/>
    <w:rsid w:val="00EF42C0"/>
    <w:rsid w:val="00EF440C"/>
    <w:rsid w:val="00EF445E"/>
    <w:rsid w:val="00EF4487"/>
    <w:rsid w:val="00EF4641"/>
    <w:rsid w:val="00EF465B"/>
    <w:rsid w:val="00EF46A0"/>
    <w:rsid w:val="00EF46F9"/>
    <w:rsid w:val="00EF4727"/>
    <w:rsid w:val="00EF47F7"/>
    <w:rsid w:val="00EF49A1"/>
    <w:rsid w:val="00EF49B3"/>
    <w:rsid w:val="00EF4A3E"/>
    <w:rsid w:val="00EF4A4D"/>
    <w:rsid w:val="00EF4AA0"/>
    <w:rsid w:val="00EF4AF5"/>
    <w:rsid w:val="00EF4B7D"/>
    <w:rsid w:val="00EF4BCF"/>
    <w:rsid w:val="00EF4DA2"/>
    <w:rsid w:val="00EF4E55"/>
    <w:rsid w:val="00EF4F26"/>
    <w:rsid w:val="00EF4FD5"/>
    <w:rsid w:val="00EF4FDE"/>
    <w:rsid w:val="00EF5104"/>
    <w:rsid w:val="00EF5180"/>
    <w:rsid w:val="00EF5245"/>
    <w:rsid w:val="00EF5376"/>
    <w:rsid w:val="00EF5385"/>
    <w:rsid w:val="00EF5478"/>
    <w:rsid w:val="00EF553B"/>
    <w:rsid w:val="00EF5568"/>
    <w:rsid w:val="00EF55D2"/>
    <w:rsid w:val="00EF56D8"/>
    <w:rsid w:val="00EF57FA"/>
    <w:rsid w:val="00EF5A32"/>
    <w:rsid w:val="00EF5AEA"/>
    <w:rsid w:val="00EF5AFB"/>
    <w:rsid w:val="00EF5B4F"/>
    <w:rsid w:val="00EF5BE6"/>
    <w:rsid w:val="00EF5BF0"/>
    <w:rsid w:val="00EF5C3B"/>
    <w:rsid w:val="00EF5CDD"/>
    <w:rsid w:val="00EF5CE4"/>
    <w:rsid w:val="00EF5D7B"/>
    <w:rsid w:val="00EF5E03"/>
    <w:rsid w:val="00EF5E52"/>
    <w:rsid w:val="00EF5EB7"/>
    <w:rsid w:val="00EF5F0F"/>
    <w:rsid w:val="00EF5F9C"/>
    <w:rsid w:val="00EF607F"/>
    <w:rsid w:val="00EF6115"/>
    <w:rsid w:val="00EF6121"/>
    <w:rsid w:val="00EF6141"/>
    <w:rsid w:val="00EF6172"/>
    <w:rsid w:val="00EF6287"/>
    <w:rsid w:val="00EF62A7"/>
    <w:rsid w:val="00EF62BE"/>
    <w:rsid w:val="00EF62EC"/>
    <w:rsid w:val="00EF6376"/>
    <w:rsid w:val="00EF63C0"/>
    <w:rsid w:val="00EF63F8"/>
    <w:rsid w:val="00EF65E6"/>
    <w:rsid w:val="00EF66EF"/>
    <w:rsid w:val="00EF6740"/>
    <w:rsid w:val="00EF67F8"/>
    <w:rsid w:val="00EF6895"/>
    <w:rsid w:val="00EF6A5B"/>
    <w:rsid w:val="00EF6A67"/>
    <w:rsid w:val="00EF6B0C"/>
    <w:rsid w:val="00EF6B17"/>
    <w:rsid w:val="00EF6BD7"/>
    <w:rsid w:val="00EF6C3E"/>
    <w:rsid w:val="00EF6C5A"/>
    <w:rsid w:val="00EF6C91"/>
    <w:rsid w:val="00EF6C96"/>
    <w:rsid w:val="00EF6C9F"/>
    <w:rsid w:val="00EF6CD9"/>
    <w:rsid w:val="00EF6D6B"/>
    <w:rsid w:val="00EF6E16"/>
    <w:rsid w:val="00EF6E75"/>
    <w:rsid w:val="00EF6EB8"/>
    <w:rsid w:val="00EF6EBE"/>
    <w:rsid w:val="00EF6F11"/>
    <w:rsid w:val="00EF6FB6"/>
    <w:rsid w:val="00EF71FB"/>
    <w:rsid w:val="00EF7265"/>
    <w:rsid w:val="00EF7266"/>
    <w:rsid w:val="00EF726B"/>
    <w:rsid w:val="00EF7453"/>
    <w:rsid w:val="00EF7468"/>
    <w:rsid w:val="00EF7500"/>
    <w:rsid w:val="00EF764F"/>
    <w:rsid w:val="00EF7763"/>
    <w:rsid w:val="00EF77EA"/>
    <w:rsid w:val="00EF7946"/>
    <w:rsid w:val="00EF799B"/>
    <w:rsid w:val="00EF79A4"/>
    <w:rsid w:val="00EF79B2"/>
    <w:rsid w:val="00EF7A4C"/>
    <w:rsid w:val="00EF7A8E"/>
    <w:rsid w:val="00EF7AD6"/>
    <w:rsid w:val="00EF7AF8"/>
    <w:rsid w:val="00EF7B3A"/>
    <w:rsid w:val="00EF7B6A"/>
    <w:rsid w:val="00EF7C2A"/>
    <w:rsid w:val="00EF7C65"/>
    <w:rsid w:val="00EF7CCF"/>
    <w:rsid w:val="00EF7D34"/>
    <w:rsid w:val="00EF7E35"/>
    <w:rsid w:val="00EF7E4F"/>
    <w:rsid w:val="00EF7E75"/>
    <w:rsid w:val="00EF7E7D"/>
    <w:rsid w:val="00EF7E8A"/>
    <w:rsid w:val="00EF7EE8"/>
    <w:rsid w:val="00EF7F17"/>
    <w:rsid w:val="00EF7FAD"/>
    <w:rsid w:val="00EF7FC7"/>
    <w:rsid w:val="00EF7FE3"/>
    <w:rsid w:val="00F0005E"/>
    <w:rsid w:val="00F001DC"/>
    <w:rsid w:val="00F00249"/>
    <w:rsid w:val="00F00253"/>
    <w:rsid w:val="00F002A0"/>
    <w:rsid w:val="00F002FB"/>
    <w:rsid w:val="00F0030A"/>
    <w:rsid w:val="00F0046E"/>
    <w:rsid w:val="00F00518"/>
    <w:rsid w:val="00F005F7"/>
    <w:rsid w:val="00F006D0"/>
    <w:rsid w:val="00F0075E"/>
    <w:rsid w:val="00F007A2"/>
    <w:rsid w:val="00F0082D"/>
    <w:rsid w:val="00F008BF"/>
    <w:rsid w:val="00F0096B"/>
    <w:rsid w:val="00F0096C"/>
    <w:rsid w:val="00F009D7"/>
    <w:rsid w:val="00F00B4A"/>
    <w:rsid w:val="00F00C34"/>
    <w:rsid w:val="00F00CB9"/>
    <w:rsid w:val="00F00CEA"/>
    <w:rsid w:val="00F00CFC"/>
    <w:rsid w:val="00F00D30"/>
    <w:rsid w:val="00F00D33"/>
    <w:rsid w:val="00F00D84"/>
    <w:rsid w:val="00F00E2A"/>
    <w:rsid w:val="00F00EA5"/>
    <w:rsid w:val="00F0101A"/>
    <w:rsid w:val="00F01289"/>
    <w:rsid w:val="00F013F4"/>
    <w:rsid w:val="00F014BB"/>
    <w:rsid w:val="00F014FC"/>
    <w:rsid w:val="00F0153B"/>
    <w:rsid w:val="00F015AB"/>
    <w:rsid w:val="00F015EE"/>
    <w:rsid w:val="00F0166A"/>
    <w:rsid w:val="00F017D4"/>
    <w:rsid w:val="00F0183F"/>
    <w:rsid w:val="00F018AC"/>
    <w:rsid w:val="00F01962"/>
    <w:rsid w:val="00F019FA"/>
    <w:rsid w:val="00F01A0D"/>
    <w:rsid w:val="00F01A10"/>
    <w:rsid w:val="00F01B81"/>
    <w:rsid w:val="00F01CC6"/>
    <w:rsid w:val="00F01D24"/>
    <w:rsid w:val="00F01DB1"/>
    <w:rsid w:val="00F01E07"/>
    <w:rsid w:val="00F01F1B"/>
    <w:rsid w:val="00F01F82"/>
    <w:rsid w:val="00F02104"/>
    <w:rsid w:val="00F0219B"/>
    <w:rsid w:val="00F02374"/>
    <w:rsid w:val="00F02460"/>
    <w:rsid w:val="00F02499"/>
    <w:rsid w:val="00F0254A"/>
    <w:rsid w:val="00F0268E"/>
    <w:rsid w:val="00F02734"/>
    <w:rsid w:val="00F02781"/>
    <w:rsid w:val="00F0278A"/>
    <w:rsid w:val="00F02827"/>
    <w:rsid w:val="00F0292B"/>
    <w:rsid w:val="00F02965"/>
    <w:rsid w:val="00F029B3"/>
    <w:rsid w:val="00F02BC4"/>
    <w:rsid w:val="00F02BDC"/>
    <w:rsid w:val="00F02D40"/>
    <w:rsid w:val="00F02F03"/>
    <w:rsid w:val="00F02F1F"/>
    <w:rsid w:val="00F02F67"/>
    <w:rsid w:val="00F02F94"/>
    <w:rsid w:val="00F03039"/>
    <w:rsid w:val="00F03199"/>
    <w:rsid w:val="00F03525"/>
    <w:rsid w:val="00F036EC"/>
    <w:rsid w:val="00F03767"/>
    <w:rsid w:val="00F038C4"/>
    <w:rsid w:val="00F0393D"/>
    <w:rsid w:val="00F039BB"/>
    <w:rsid w:val="00F03A00"/>
    <w:rsid w:val="00F03A4B"/>
    <w:rsid w:val="00F03AE1"/>
    <w:rsid w:val="00F03C48"/>
    <w:rsid w:val="00F03CB0"/>
    <w:rsid w:val="00F03D6C"/>
    <w:rsid w:val="00F03E78"/>
    <w:rsid w:val="00F03E84"/>
    <w:rsid w:val="00F040CA"/>
    <w:rsid w:val="00F04186"/>
    <w:rsid w:val="00F04270"/>
    <w:rsid w:val="00F0457C"/>
    <w:rsid w:val="00F045D8"/>
    <w:rsid w:val="00F045E0"/>
    <w:rsid w:val="00F04610"/>
    <w:rsid w:val="00F0474B"/>
    <w:rsid w:val="00F04810"/>
    <w:rsid w:val="00F0481B"/>
    <w:rsid w:val="00F048DC"/>
    <w:rsid w:val="00F04945"/>
    <w:rsid w:val="00F04948"/>
    <w:rsid w:val="00F04B16"/>
    <w:rsid w:val="00F04B2D"/>
    <w:rsid w:val="00F04B30"/>
    <w:rsid w:val="00F04BB5"/>
    <w:rsid w:val="00F04C87"/>
    <w:rsid w:val="00F04CE1"/>
    <w:rsid w:val="00F04D98"/>
    <w:rsid w:val="00F04DCD"/>
    <w:rsid w:val="00F04E51"/>
    <w:rsid w:val="00F04E5B"/>
    <w:rsid w:val="00F04ECB"/>
    <w:rsid w:val="00F04F42"/>
    <w:rsid w:val="00F050A0"/>
    <w:rsid w:val="00F05378"/>
    <w:rsid w:val="00F0539C"/>
    <w:rsid w:val="00F0542D"/>
    <w:rsid w:val="00F05491"/>
    <w:rsid w:val="00F054EB"/>
    <w:rsid w:val="00F0551D"/>
    <w:rsid w:val="00F05554"/>
    <w:rsid w:val="00F05555"/>
    <w:rsid w:val="00F055A5"/>
    <w:rsid w:val="00F05649"/>
    <w:rsid w:val="00F0571B"/>
    <w:rsid w:val="00F0572A"/>
    <w:rsid w:val="00F05758"/>
    <w:rsid w:val="00F05821"/>
    <w:rsid w:val="00F0583A"/>
    <w:rsid w:val="00F0586D"/>
    <w:rsid w:val="00F0591E"/>
    <w:rsid w:val="00F05B59"/>
    <w:rsid w:val="00F05C1C"/>
    <w:rsid w:val="00F05CA9"/>
    <w:rsid w:val="00F05D49"/>
    <w:rsid w:val="00F05D63"/>
    <w:rsid w:val="00F05D9B"/>
    <w:rsid w:val="00F05DA7"/>
    <w:rsid w:val="00F05E50"/>
    <w:rsid w:val="00F05F37"/>
    <w:rsid w:val="00F05FC2"/>
    <w:rsid w:val="00F05FCB"/>
    <w:rsid w:val="00F05FE5"/>
    <w:rsid w:val="00F06027"/>
    <w:rsid w:val="00F060E4"/>
    <w:rsid w:val="00F0626D"/>
    <w:rsid w:val="00F062A3"/>
    <w:rsid w:val="00F062CC"/>
    <w:rsid w:val="00F0634A"/>
    <w:rsid w:val="00F06360"/>
    <w:rsid w:val="00F06384"/>
    <w:rsid w:val="00F06387"/>
    <w:rsid w:val="00F063C9"/>
    <w:rsid w:val="00F06437"/>
    <w:rsid w:val="00F0646C"/>
    <w:rsid w:val="00F06497"/>
    <w:rsid w:val="00F065A6"/>
    <w:rsid w:val="00F06666"/>
    <w:rsid w:val="00F066B5"/>
    <w:rsid w:val="00F066C6"/>
    <w:rsid w:val="00F066F7"/>
    <w:rsid w:val="00F06796"/>
    <w:rsid w:val="00F068A0"/>
    <w:rsid w:val="00F06942"/>
    <w:rsid w:val="00F06972"/>
    <w:rsid w:val="00F0697A"/>
    <w:rsid w:val="00F06A19"/>
    <w:rsid w:val="00F06A27"/>
    <w:rsid w:val="00F06A55"/>
    <w:rsid w:val="00F06AF0"/>
    <w:rsid w:val="00F06B00"/>
    <w:rsid w:val="00F06B0D"/>
    <w:rsid w:val="00F06BE0"/>
    <w:rsid w:val="00F06C64"/>
    <w:rsid w:val="00F06D0C"/>
    <w:rsid w:val="00F06D35"/>
    <w:rsid w:val="00F06DC8"/>
    <w:rsid w:val="00F07049"/>
    <w:rsid w:val="00F07112"/>
    <w:rsid w:val="00F071C3"/>
    <w:rsid w:val="00F073A4"/>
    <w:rsid w:val="00F0740E"/>
    <w:rsid w:val="00F07411"/>
    <w:rsid w:val="00F07550"/>
    <w:rsid w:val="00F07552"/>
    <w:rsid w:val="00F07693"/>
    <w:rsid w:val="00F07760"/>
    <w:rsid w:val="00F07790"/>
    <w:rsid w:val="00F077B5"/>
    <w:rsid w:val="00F07845"/>
    <w:rsid w:val="00F07885"/>
    <w:rsid w:val="00F07901"/>
    <w:rsid w:val="00F0794A"/>
    <w:rsid w:val="00F0798A"/>
    <w:rsid w:val="00F07ACA"/>
    <w:rsid w:val="00F07B00"/>
    <w:rsid w:val="00F07B2C"/>
    <w:rsid w:val="00F07BAF"/>
    <w:rsid w:val="00F07C80"/>
    <w:rsid w:val="00F07C90"/>
    <w:rsid w:val="00F07CC0"/>
    <w:rsid w:val="00F07F64"/>
    <w:rsid w:val="00F07FC6"/>
    <w:rsid w:val="00F10071"/>
    <w:rsid w:val="00F100A1"/>
    <w:rsid w:val="00F100E5"/>
    <w:rsid w:val="00F1014E"/>
    <w:rsid w:val="00F1024C"/>
    <w:rsid w:val="00F10297"/>
    <w:rsid w:val="00F102CD"/>
    <w:rsid w:val="00F102D4"/>
    <w:rsid w:val="00F103B4"/>
    <w:rsid w:val="00F10469"/>
    <w:rsid w:val="00F1051C"/>
    <w:rsid w:val="00F10757"/>
    <w:rsid w:val="00F107AB"/>
    <w:rsid w:val="00F107D6"/>
    <w:rsid w:val="00F10812"/>
    <w:rsid w:val="00F10850"/>
    <w:rsid w:val="00F108FE"/>
    <w:rsid w:val="00F1097E"/>
    <w:rsid w:val="00F109CB"/>
    <w:rsid w:val="00F10A49"/>
    <w:rsid w:val="00F10A78"/>
    <w:rsid w:val="00F10AB2"/>
    <w:rsid w:val="00F10B4C"/>
    <w:rsid w:val="00F10B55"/>
    <w:rsid w:val="00F10CD6"/>
    <w:rsid w:val="00F10D14"/>
    <w:rsid w:val="00F10D2D"/>
    <w:rsid w:val="00F10D96"/>
    <w:rsid w:val="00F10D97"/>
    <w:rsid w:val="00F110B2"/>
    <w:rsid w:val="00F1128B"/>
    <w:rsid w:val="00F11363"/>
    <w:rsid w:val="00F11419"/>
    <w:rsid w:val="00F11509"/>
    <w:rsid w:val="00F115AF"/>
    <w:rsid w:val="00F1167D"/>
    <w:rsid w:val="00F116E1"/>
    <w:rsid w:val="00F11707"/>
    <w:rsid w:val="00F11763"/>
    <w:rsid w:val="00F118C9"/>
    <w:rsid w:val="00F11919"/>
    <w:rsid w:val="00F11983"/>
    <w:rsid w:val="00F1198C"/>
    <w:rsid w:val="00F119E6"/>
    <w:rsid w:val="00F11B5A"/>
    <w:rsid w:val="00F11BC4"/>
    <w:rsid w:val="00F11CB9"/>
    <w:rsid w:val="00F11CE4"/>
    <w:rsid w:val="00F11CEB"/>
    <w:rsid w:val="00F11E51"/>
    <w:rsid w:val="00F1206F"/>
    <w:rsid w:val="00F120E6"/>
    <w:rsid w:val="00F121E1"/>
    <w:rsid w:val="00F121EC"/>
    <w:rsid w:val="00F12284"/>
    <w:rsid w:val="00F122E7"/>
    <w:rsid w:val="00F122E8"/>
    <w:rsid w:val="00F122EB"/>
    <w:rsid w:val="00F122FC"/>
    <w:rsid w:val="00F123D8"/>
    <w:rsid w:val="00F123E7"/>
    <w:rsid w:val="00F1243F"/>
    <w:rsid w:val="00F1247C"/>
    <w:rsid w:val="00F1254A"/>
    <w:rsid w:val="00F1255D"/>
    <w:rsid w:val="00F1259B"/>
    <w:rsid w:val="00F12602"/>
    <w:rsid w:val="00F126F4"/>
    <w:rsid w:val="00F12863"/>
    <w:rsid w:val="00F128AE"/>
    <w:rsid w:val="00F128CC"/>
    <w:rsid w:val="00F1299B"/>
    <w:rsid w:val="00F12AB4"/>
    <w:rsid w:val="00F12AE6"/>
    <w:rsid w:val="00F12AF4"/>
    <w:rsid w:val="00F12B4E"/>
    <w:rsid w:val="00F12C17"/>
    <w:rsid w:val="00F12C64"/>
    <w:rsid w:val="00F12C82"/>
    <w:rsid w:val="00F12D49"/>
    <w:rsid w:val="00F12D56"/>
    <w:rsid w:val="00F12E3E"/>
    <w:rsid w:val="00F1300D"/>
    <w:rsid w:val="00F13028"/>
    <w:rsid w:val="00F13104"/>
    <w:rsid w:val="00F13129"/>
    <w:rsid w:val="00F13242"/>
    <w:rsid w:val="00F1328D"/>
    <w:rsid w:val="00F13294"/>
    <w:rsid w:val="00F132BF"/>
    <w:rsid w:val="00F134D1"/>
    <w:rsid w:val="00F13539"/>
    <w:rsid w:val="00F135A9"/>
    <w:rsid w:val="00F135D5"/>
    <w:rsid w:val="00F13618"/>
    <w:rsid w:val="00F13669"/>
    <w:rsid w:val="00F137A9"/>
    <w:rsid w:val="00F139C0"/>
    <w:rsid w:val="00F139E6"/>
    <w:rsid w:val="00F13AB0"/>
    <w:rsid w:val="00F13B02"/>
    <w:rsid w:val="00F13D6A"/>
    <w:rsid w:val="00F13DDD"/>
    <w:rsid w:val="00F13E07"/>
    <w:rsid w:val="00F13E6B"/>
    <w:rsid w:val="00F13EF3"/>
    <w:rsid w:val="00F14149"/>
    <w:rsid w:val="00F1419D"/>
    <w:rsid w:val="00F141F9"/>
    <w:rsid w:val="00F142FB"/>
    <w:rsid w:val="00F14330"/>
    <w:rsid w:val="00F1449C"/>
    <w:rsid w:val="00F14597"/>
    <w:rsid w:val="00F14604"/>
    <w:rsid w:val="00F14662"/>
    <w:rsid w:val="00F14745"/>
    <w:rsid w:val="00F14750"/>
    <w:rsid w:val="00F1481A"/>
    <w:rsid w:val="00F14825"/>
    <w:rsid w:val="00F14854"/>
    <w:rsid w:val="00F14987"/>
    <w:rsid w:val="00F149CB"/>
    <w:rsid w:val="00F14A23"/>
    <w:rsid w:val="00F14AC6"/>
    <w:rsid w:val="00F14CE4"/>
    <w:rsid w:val="00F14D15"/>
    <w:rsid w:val="00F14E9A"/>
    <w:rsid w:val="00F14F97"/>
    <w:rsid w:val="00F14F9A"/>
    <w:rsid w:val="00F14FF4"/>
    <w:rsid w:val="00F15025"/>
    <w:rsid w:val="00F15066"/>
    <w:rsid w:val="00F1519E"/>
    <w:rsid w:val="00F151F5"/>
    <w:rsid w:val="00F1521B"/>
    <w:rsid w:val="00F1529C"/>
    <w:rsid w:val="00F15314"/>
    <w:rsid w:val="00F153C0"/>
    <w:rsid w:val="00F153D4"/>
    <w:rsid w:val="00F1546A"/>
    <w:rsid w:val="00F15525"/>
    <w:rsid w:val="00F15552"/>
    <w:rsid w:val="00F1571C"/>
    <w:rsid w:val="00F157EF"/>
    <w:rsid w:val="00F1583B"/>
    <w:rsid w:val="00F15B8F"/>
    <w:rsid w:val="00F15C0B"/>
    <w:rsid w:val="00F15C4D"/>
    <w:rsid w:val="00F15CD2"/>
    <w:rsid w:val="00F15CDF"/>
    <w:rsid w:val="00F15D6A"/>
    <w:rsid w:val="00F15ED2"/>
    <w:rsid w:val="00F162A6"/>
    <w:rsid w:val="00F16385"/>
    <w:rsid w:val="00F1642E"/>
    <w:rsid w:val="00F16435"/>
    <w:rsid w:val="00F1644F"/>
    <w:rsid w:val="00F16526"/>
    <w:rsid w:val="00F1653C"/>
    <w:rsid w:val="00F16575"/>
    <w:rsid w:val="00F1660A"/>
    <w:rsid w:val="00F16736"/>
    <w:rsid w:val="00F1674E"/>
    <w:rsid w:val="00F16757"/>
    <w:rsid w:val="00F1677C"/>
    <w:rsid w:val="00F1684A"/>
    <w:rsid w:val="00F16858"/>
    <w:rsid w:val="00F16931"/>
    <w:rsid w:val="00F1696F"/>
    <w:rsid w:val="00F16A65"/>
    <w:rsid w:val="00F16AB9"/>
    <w:rsid w:val="00F16ABA"/>
    <w:rsid w:val="00F16B75"/>
    <w:rsid w:val="00F16C81"/>
    <w:rsid w:val="00F16D73"/>
    <w:rsid w:val="00F16DA5"/>
    <w:rsid w:val="00F16E34"/>
    <w:rsid w:val="00F16E72"/>
    <w:rsid w:val="00F16ECA"/>
    <w:rsid w:val="00F16F1E"/>
    <w:rsid w:val="00F17033"/>
    <w:rsid w:val="00F1714D"/>
    <w:rsid w:val="00F17199"/>
    <w:rsid w:val="00F171FB"/>
    <w:rsid w:val="00F1725E"/>
    <w:rsid w:val="00F172BC"/>
    <w:rsid w:val="00F172E8"/>
    <w:rsid w:val="00F173C5"/>
    <w:rsid w:val="00F17410"/>
    <w:rsid w:val="00F1743A"/>
    <w:rsid w:val="00F174A9"/>
    <w:rsid w:val="00F17618"/>
    <w:rsid w:val="00F17654"/>
    <w:rsid w:val="00F17667"/>
    <w:rsid w:val="00F17697"/>
    <w:rsid w:val="00F17698"/>
    <w:rsid w:val="00F176AE"/>
    <w:rsid w:val="00F1777D"/>
    <w:rsid w:val="00F17795"/>
    <w:rsid w:val="00F17890"/>
    <w:rsid w:val="00F178B3"/>
    <w:rsid w:val="00F1796C"/>
    <w:rsid w:val="00F17A5A"/>
    <w:rsid w:val="00F17ADC"/>
    <w:rsid w:val="00F17AEE"/>
    <w:rsid w:val="00F17B3A"/>
    <w:rsid w:val="00F17BF4"/>
    <w:rsid w:val="00F17BF9"/>
    <w:rsid w:val="00F17C12"/>
    <w:rsid w:val="00F17CFD"/>
    <w:rsid w:val="00F17F35"/>
    <w:rsid w:val="00F17F63"/>
    <w:rsid w:val="00F17FB4"/>
    <w:rsid w:val="00F2019C"/>
    <w:rsid w:val="00F2024C"/>
    <w:rsid w:val="00F2027F"/>
    <w:rsid w:val="00F202D2"/>
    <w:rsid w:val="00F202E3"/>
    <w:rsid w:val="00F20392"/>
    <w:rsid w:val="00F2040A"/>
    <w:rsid w:val="00F20509"/>
    <w:rsid w:val="00F20518"/>
    <w:rsid w:val="00F20546"/>
    <w:rsid w:val="00F2059B"/>
    <w:rsid w:val="00F205E7"/>
    <w:rsid w:val="00F205EC"/>
    <w:rsid w:val="00F2060D"/>
    <w:rsid w:val="00F206AB"/>
    <w:rsid w:val="00F206F9"/>
    <w:rsid w:val="00F20736"/>
    <w:rsid w:val="00F207C3"/>
    <w:rsid w:val="00F20893"/>
    <w:rsid w:val="00F209D9"/>
    <w:rsid w:val="00F20A39"/>
    <w:rsid w:val="00F20A62"/>
    <w:rsid w:val="00F20A91"/>
    <w:rsid w:val="00F20ABE"/>
    <w:rsid w:val="00F20BBE"/>
    <w:rsid w:val="00F20C04"/>
    <w:rsid w:val="00F20EAD"/>
    <w:rsid w:val="00F20F49"/>
    <w:rsid w:val="00F20F8A"/>
    <w:rsid w:val="00F210C0"/>
    <w:rsid w:val="00F21103"/>
    <w:rsid w:val="00F21164"/>
    <w:rsid w:val="00F211FC"/>
    <w:rsid w:val="00F21495"/>
    <w:rsid w:val="00F21629"/>
    <w:rsid w:val="00F216BB"/>
    <w:rsid w:val="00F21A2A"/>
    <w:rsid w:val="00F21AA7"/>
    <w:rsid w:val="00F21BF2"/>
    <w:rsid w:val="00F21DEE"/>
    <w:rsid w:val="00F21F24"/>
    <w:rsid w:val="00F22007"/>
    <w:rsid w:val="00F220BF"/>
    <w:rsid w:val="00F220C9"/>
    <w:rsid w:val="00F22110"/>
    <w:rsid w:val="00F2220C"/>
    <w:rsid w:val="00F22297"/>
    <w:rsid w:val="00F222B5"/>
    <w:rsid w:val="00F22323"/>
    <w:rsid w:val="00F22395"/>
    <w:rsid w:val="00F223C5"/>
    <w:rsid w:val="00F223EF"/>
    <w:rsid w:val="00F22524"/>
    <w:rsid w:val="00F225B1"/>
    <w:rsid w:val="00F2262D"/>
    <w:rsid w:val="00F226CB"/>
    <w:rsid w:val="00F2273E"/>
    <w:rsid w:val="00F227BB"/>
    <w:rsid w:val="00F227D6"/>
    <w:rsid w:val="00F227DE"/>
    <w:rsid w:val="00F227F3"/>
    <w:rsid w:val="00F22823"/>
    <w:rsid w:val="00F22A1B"/>
    <w:rsid w:val="00F22AEC"/>
    <w:rsid w:val="00F22BAD"/>
    <w:rsid w:val="00F22C35"/>
    <w:rsid w:val="00F22CEF"/>
    <w:rsid w:val="00F22D00"/>
    <w:rsid w:val="00F22D08"/>
    <w:rsid w:val="00F22D39"/>
    <w:rsid w:val="00F22E5D"/>
    <w:rsid w:val="00F22EA1"/>
    <w:rsid w:val="00F22EC8"/>
    <w:rsid w:val="00F23035"/>
    <w:rsid w:val="00F230D1"/>
    <w:rsid w:val="00F230F5"/>
    <w:rsid w:val="00F23372"/>
    <w:rsid w:val="00F233A6"/>
    <w:rsid w:val="00F233CA"/>
    <w:rsid w:val="00F233CE"/>
    <w:rsid w:val="00F233DA"/>
    <w:rsid w:val="00F233DB"/>
    <w:rsid w:val="00F235E6"/>
    <w:rsid w:val="00F235F2"/>
    <w:rsid w:val="00F2360A"/>
    <w:rsid w:val="00F23987"/>
    <w:rsid w:val="00F2398A"/>
    <w:rsid w:val="00F23A17"/>
    <w:rsid w:val="00F23A4D"/>
    <w:rsid w:val="00F23B49"/>
    <w:rsid w:val="00F23C04"/>
    <w:rsid w:val="00F23C8D"/>
    <w:rsid w:val="00F23CFB"/>
    <w:rsid w:val="00F23E13"/>
    <w:rsid w:val="00F23E31"/>
    <w:rsid w:val="00F23E57"/>
    <w:rsid w:val="00F23ECB"/>
    <w:rsid w:val="00F23F08"/>
    <w:rsid w:val="00F23F1F"/>
    <w:rsid w:val="00F23F32"/>
    <w:rsid w:val="00F23F7C"/>
    <w:rsid w:val="00F2424B"/>
    <w:rsid w:val="00F243C3"/>
    <w:rsid w:val="00F245EC"/>
    <w:rsid w:val="00F24743"/>
    <w:rsid w:val="00F24753"/>
    <w:rsid w:val="00F249DD"/>
    <w:rsid w:val="00F24AC4"/>
    <w:rsid w:val="00F24C1E"/>
    <w:rsid w:val="00F24C33"/>
    <w:rsid w:val="00F24C54"/>
    <w:rsid w:val="00F24DAA"/>
    <w:rsid w:val="00F24E5E"/>
    <w:rsid w:val="00F24F33"/>
    <w:rsid w:val="00F24F42"/>
    <w:rsid w:val="00F2501B"/>
    <w:rsid w:val="00F250C5"/>
    <w:rsid w:val="00F25233"/>
    <w:rsid w:val="00F25254"/>
    <w:rsid w:val="00F2530D"/>
    <w:rsid w:val="00F2532C"/>
    <w:rsid w:val="00F2539C"/>
    <w:rsid w:val="00F25434"/>
    <w:rsid w:val="00F255D1"/>
    <w:rsid w:val="00F256EB"/>
    <w:rsid w:val="00F2579D"/>
    <w:rsid w:val="00F257FC"/>
    <w:rsid w:val="00F25A1E"/>
    <w:rsid w:val="00F25A29"/>
    <w:rsid w:val="00F25AFB"/>
    <w:rsid w:val="00F25B71"/>
    <w:rsid w:val="00F25CC1"/>
    <w:rsid w:val="00F25CEA"/>
    <w:rsid w:val="00F25D0E"/>
    <w:rsid w:val="00F25E1A"/>
    <w:rsid w:val="00F25EA7"/>
    <w:rsid w:val="00F2603F"/>
    <w:rsid w:val="00F2626F"/>
    <w:rsid w:val="00F26279"/>
    <w:rsid w:val="00F262E6"/>
    <w:rsid w:val="00F26317"/>
    <w:rsid w:val="00F264A3"/>
    <w:rsid w:val="00F265D1"/>
    <w:rsid w:val="00F265D9"/>
    <w:rsid w:val="00F26617"/>
    <w:rsid w:val="00F26623"/>
    <w:rsid w:val="00F26724"/>
    <w:rsid w:val="00F26790"/>
    <w:rsid w:val="00F267AA"/>
    <w:rsid w:val="00F269CA"/>
    <w:rsid w:val="00F26AEB"/>
    <w:rsid w:val="00F26DB5"/>
    <w:rsid w:val="00F26DC8"/>
    <w:rsid w:val="00F26EB2"/>
    <w:rsid w:val="00F26EC1"/>
    <w:rsid w:val="00F26F5A"/>
    <w:rsid w:val="00F26F62"/>
    <w:rsid w:val="00F26F81"/>
    <w:rsid w:val="00F26FAF"/>
    <w:rsid w:val="00F2716F"/>
    <w:rsid w:val="00F27197"/>
    <w:rsid w:val="00F272BA"/>
    <w:rsid w:val="00F273A4"/>
    <w:rsid w:val="00F273C3"/>
    <w:rsid w:val="00F273E8"/>
    <w:rsid w:val="00F2743E"/>
    <w:rsid w:val="00F274F9"/>
    <w:rsid w:val="00F27525"/>
    <w:rsid w:val="00F27529"/>
    <w:rsid w:val="00F2757D"/>
    <w:rsid w:val="00F275F8"/>
    <w:rsid w:val="00F27675"/>
    <w:rsid w:val="00F276F9"/>
    <w:rsid w:val="00F27711"/>
    <w:rsid w:val="00F27778"/>
    <w:rsid w:val="00F277D4"/>
    <w:rsid w:val="00F27829"/>
    <w:rsid w:val="00F27853"/>
    <w:rsid w:val="00F27876"/>
    <w:rsid w:val="00F279D5"/>
    <w:rsid w:val="00F279F7"/>
    <w:rsid w:val="00F27A75"/>
    <w:rsid w:val="00F27AE2"/>
    <w:rsid w:val="00F27B33"/>
    <w:rsid w:val="00F27B95"/>
    <w:rsid w:val="00F27B96"/>
    <w:rsid w:val="00F27C38"/>
    <w:rsid w:val="00F27DFF"/>
    <w:rsid w:val="00F27E22"/>
    <w:rsid w:val="00F27E5B"/>
    <w:rsid w:val="00F27F3D"/>
    <w:rsid w:val="00F30026"/>
    <w:rsid w:val="00F300D6"/>
    <w:rsid w:val="00F30184"/>
    <w:rsid w:val="00F30248"/>
    <w:rsid w:val="00F3027B"/>
    <w:rsid w:val="00F3028F"/>
    <w:rsid w:val="00F30379"/>
    <w:rsid w:val="00F303A4"/>
    <w:rsid w:val="00F303C4"/>
    <w:rsid w:val="00F304A4"/>
    <w:rsid w:val="00F304C9"/>
    <w:rsid w:val="00F3065D"/>
    <w:rsid w:val="00F306B8"/>
    <w:rsid w:val="00F30816"/>
    <w:rsid w:val="00F30886"/>
    <w:rsid w:val="00F308B8"/>
    <w:rsid w:val="00F309A2"/>
    <w:rsid w:val="00F30A1B"/>
    <w:rsid w:val="00F30AB2"/>
    <w:rsid w:val="00F30B3E"/>
    <w:rsid w:val="00F30B66"/>
    <w:rsid w:val="00F30BDE"/>
    <w:rsid w:val="00F30C37"/>
    <w:rsid w:val="00F30C3B"/>
    <w:rsid w:val="00F30CBD"/>
    <w:rsid w:val="00F30D69"/>
    <w:rsid w:val="00F30E15"/>
    <w:rsid w:val="00F30E3F"/>
    <w:rsid w:val="00F30E80"/>
    <w:rsid w:val="00F30EA4"/>
    <w:rsid w:val="00F30F47"/>
    <w:rsid w:val="00F310FC"/>
    <w:rsid w:val="00F31218"/>
    <w:rsid w:val="00F31248"/>
    <w:rsid w:val="00F3126B"/>
    <w:rsid w:val="00F31369"/>
    <w:rsid w:val="00F313BF"/>
    <w:rsid w:val="00F31492"/>
    <w:rsid w:val="00F31599"/>
    <w:rsid w:val="00F31621"/>
    <w:rsid w:val="00F31629"/>
    <w:rsid w:val="00F3172E"/>
    <w:rsid w:val="00F3177B"/>
    <w:rsid w:val="00F318A0"/>
    <w:rsid w:val="00F3196F"/>
    <w:rsid w:val="00F31A17"/>
    <w:rsid w:val="00F31A19"/>
    <w:rsid w:val="00F31B7E"/>
    <w:rsid w:val="00F31BAD"/>
    <w:rsid w:val="00F31BFC"/>
    <w:rsid w:val="00F31C08"/>
    <w:rsid w:val="00F31CDC"/>
    <w:rsid w:val="00F31CDE"/>
    <w:rsid w:val="00F31CF8"/>
    <w:rsid w:val="00F31D2C"/>
    <w:rsid w:val="00F31DFB"/>
    <w:rsid w:val="00F31DFC"/>
    <w:rsid w:val="00F31F93"/>
    <w:rsid w:val="00F31FC1"/>
    <w:rsid w:val="00F320C2"/>
    <w:rsid w:val="00F320C6"/>
    <w:rsid w:val="00F32177"/>
    <w:rsid w:val="00F32334"/>
    <w:rsid w:val="00F32350"/>
    <w:rsid w:val="00F323AA"/>
    <w:rsid w:val="00F324D6"/>
    <w:rsid w:val="00F3251E"/>
    <w:rsid w:val="00F32599"/>
    <w:rsid w:val="00F325A8"/>
    <w:rsid w:val="00F325D1"/>
    <w:rsid w:val="00F325DA"/>
    <w:rsid w:val="00F3261E"/>
    <w:rsid w:val="00F326BC"/>
    <w:rsid w:val="00F326F1"/>
    <w:rsid w:val="00F32717"/>
    <w:rsid w:val="00F3272B"/>
    <w:rsid w:val="00F32734"/>
    <w:rsid w:val="00F32887"/>
    <w:rsid w:val="00F329C4"/>
    <w:rsid w:val="00F329E1"/>
    <w:rsid w:val="00F32AC0"/>
    <w:rsid w:val="00F32B99"/>
    <w:rsid w:val="00F32CD7"/>
    <w:rsid w:val="00F32CF3"/>
    <w:rsid w:val="00F32DC5"/>
    <w:rsid w:val="00F32FC7"/>
    <w:rsid w:val="00F33012"/>
    <w:rsid w:val="00F3309F"/>
    <w:rsid w:val="00F330B9"/>
    <w:rsid w:val="00F330F9"/>
    <w:rsid w:val="00F33267"/>
    <w:rsid w:val="00F33296"/>
    <w:rsid w:val="00F332BA"/>
    <w:rsid w:val="00F33311"/>
    <w:rsid w:val="00F33362"/>
    <w:rsid w:val="00F3342B"/>
    <w:rsid w:val="00F33447"/>
    <w:rsid w:val="00F3344F"/>
    <w:rsid w:val="00F336A0"/>
    <w:rsid w:val="00F3377F"/>
    <w:rsid w:val="00F3388D"/>
    <w:rsid w:val="00F3392F"/>
    <w:rsid w:val="00F339E7"/>
    <w:rsid w:val="00F339E8"/>
    <w:rsid w:val="00F33A22"/>
    <w:rsid w:val="00F33A48"/>
    <w:rsid w:val="00F33AB1"/>
    <w:rsid w:val="00F33B4F"/>
    <w:rsid w:val="00F33B99"/>
    <w:rsid w:val="00F33B9E"/>
    <w:rsid w:val="00F33C11"/>
    <w:rsid w:val="00F33D6C"/>
    <w:rsid w:val="00F33D9B"/>
    <w:rsid w:val="00F33DB8"/>
    <w:rsid w:val="00F33DCC"/>
    <w:rsid w:val="00F33F33"/>
    <w:rsid w:val="00F33F76"/>
    <w:rsid w:val="00F3409D"/>
    <w:rsid w:val="00F340DD"/>
    <w:rsid w:val="00F341F2"/>
    <w:rsid w:val="00F34257"/>
    <w:rsid w:val="00F34306"/>
    <w:rsid w:val="00F34603"/>
    <w:rsid w:val="00F346AB"/>
    <w:rsid w:val="00F34764"/>
    <w:rsid w:val="00F347D0"/>
    <w:rsid w:val="00F347D5"/>
    <w:rsid w:val="00F34895"/>
    <w:rsid w:val="00F348D4"/>
    <w:rsid w:val="00F3499F"/>
    <w:rsid w:val="00F34B43"/>
    <w:rsid w:val="00F34B99"/>
    <w:rsid w:val="00F34D45"/>
    <w:rsid w:val="00F34D94"/>
    <w:rsid w:val="00F34EAD"/>
    <w:rsid w:val="00F34EB4"/>
    <w:rsid w:val="00F34FA8"/>
    <w:rsid w:val="00F34FDD"/>
    <w:rsid w:val="00F3503D"/>
    <w:rsid w:val="00F35068"/>
    <w:rsid w:val="00F35084"/>
    <w:rsid w:val="00F35093"/>
    <w:rsid w:val="00F351B4"/>
    <w:rsid w:val="00F351C3"/>
    <w:rsid w:val="00F353A2"/>
    <w:rsid w:val="00F35516"/>
    <w:rsid w:val="00F3553E"/>
    <w:rsid w:val="00F355F6"/>
    <w:rsid w:val="00F35780"/>
    <w:rsid w:val="00F357A9"/>
    <w:rsid w:val="00F358C9"/>
    <w:rsid w:val="00F358E2"/>
    <w:rsid w:val="00F35A4C"/>
    <w:rsid w:val="00F35AE8"/>
    <w:rsid w:val="00F35B56"/>
    <w:rsid w:val="00F35D93"/>
    <w:rsid w:val="00F35ECE"/>
    <w:rsid w:val="00F3605D"/>
    <w:rsid w:val="00F3609B"/>
    <w:rsid w:val="00F36152"/>
    <w:rsid w:val="00F3615E"/>
    <w:rsid w:val="00F361A5"/>
    <w:rsid w:val="00F361F7"/>
    <w:rsid w:val="00F364D2"/>
    <w:rsid w:val="00F3672C"/>
    <w:rsid w:val="00F36758"/>
    <w:rsid w:val="00F367A5"/>
    <w:rsid w:val="00F367E5"/>
    <w:rsid w:val="00F369A3"/>
    <w:rsid w:val="00F369F4"/>
    <w:rsid w:val="00F36A52"/>
    <w:rsid w:val="00F36AA9"/>
    <w:rsid w:val="00F36B2B"/>
    <w:rsid w:val="00F36B3A"/>
    <w:rsid w:val="00F36BC9"/>
    <w:rsid w:val="00F36BCC"/>
    <w:rsid w:val="00F36D09"/>
    <w:rsid w:val="00F36D0B"/>
    <w:rsid w:val="00F36D73"/>
    <w:rsid w:val="00F36DC1"/>
    <w:rsid w:val="00F36E7E"/>
    <w:rsid w:val="00F36EF5"/>
    <w:rsid w:val="00F36F14"/>
    <w:rsid w:val="00F36F33"/>
    <w:rsid w:val="00F36FAB"/>
    <w:rsid w:val="00F37066"/>
    <w:rsid w:val="00F3707E"/>
    <w:rsid w:val="00F370B8"/>
    <w:rsid w:val="00F3728B"/>
    <w:rsid w:val="00F372B7"/>
    <w:rsid w:val="00F37302"/>
    <w:rsid w:val="00F3734A"/>
    <w:rsid w:val="00F3738E"/>
    <w:rsid w:val="00F373B7"/>
    <w:rsid w:val="00F3742A"/>
    <w:rsid w:val="00F37581"/>
    <w:rsid w:val="00F3759C"/>
    <w:rsid w:val="00F375BA"/>
    <w:rsid w:val="00F376C6"/>
    <w:rsid w:val="00F376D4"/>
    <w:rsid w:val="00F376D5"/>
    <w:rsid w:val="00F377AA"/>
    <w:rsid w:val="00F3780D"/>
    <w:rsid w:val="00F3782E"/>
    <w:rsid w:val="00F3789C"/>
    <w:rsid w:val="00F37A2D"/>
    <w:rsid w:val="00F37B5F"/>
    <w:rsid w:val="00F37BE0"/>
    <w:rsid w:val="00F37C04"/>
    <w:rsid w:val="00F37D59"/>
    <w:rsid w:val="00F37D98"/>
    <w:rsid w:val="00F37DBD"/>
    <w:rsid w:val="00F37E53"/>
    <w:rsid w:val="00F37F34"/>
    <w:rsid w:val="00F37FCC"/>
    <w:rsid w:val="00F4002B"/>
    <w:rsid w:val="00F4004E"/>
    <w:rsid w:val="00F4017F"/>
    <w:rsid w:val="00F40278"/>
    <w:rsid w:val="00F4027A"/>
    <w:rsid w:val="00F4028F"/>
    <w:rsid w:val="00F4030C"/>
    <w:rsid w:val="00F40337"/>
    <w:rsid w:val="00F4034F"/>
    <w:rsid w:val="00F404BA"/>
    <w:rsid w:val="00F404C0"/>
    <w:rsid w:val="00F40590"/>
    <w:rsid w:val="00F40676"/>
    <w:rsid w:val="00F406ED"/>
    <w:rsid w:val="00F406FA"/>
    <w:rsid w:val="00F4072A"/>
    <w:rsid w:val="00F4072B"/>
    <w:rsid w:val="00F407CC"/>
    <w:rsid w:val="00F40812"/>
    <w:rsid w:val="00F4093A"/>
    <w:rsid w:val="00F40958"/>
    <w:rsid w:val="00F40A02"/>
    <w:rsid w:val="00F40A1A"/>
    <w:rsid w:val="00F40B01"/>
    <w:rsid w:val="00F40E1B"/>
    <w:rsid w:val="00F40EE3"/>
    <w:rsid w:val="00F40F84"/>
    <w:rsid w:val="00F41172"/>
    <w:rsid w:val="00F411EE"/>
    <w:rsid w:val="00F41476"/>
    <w:rsid w:val="00F41493"/>
    <w:rsid w:val="00F41698"/>
    <w:rsid w:val="00F41785"/>
    <w:rsid w:val="00F41845"/>
    <w:rsid w:val="00F419C6"/>
    <w:rsid w:val="00F41A3B"/>
    <w:rsid w:val="00F41A9E"/>
    <w:rsid w:val="00F41B52"/>
    <w:rsid w:val="00F41B9A"/>
    <w:rsid w:val="00F41D93"/>
    <w:rsid w:val="00F41E6E"/>
    <w:rsid w:val="00F41EA2"/>
    <w:rsid w:val="00F41F93"/>
    <w:rsid w:val="00F41FCA"/>
    <w:rsid w:val="00F42049"/>
    <w:rsid w:val="00F4204F"/>
    <w:rsid w:val="00F4205E"/>
    <w:rsid w:val="00F420A6"/>
    <w:rsid w:val="00F420C6"/>
    <w:rsid w:val="00F4211A"/>
    <w:rsid w:val="00F4225F"/>
    <w:rsid w:val="00F423AF"/>
    <w:rsid w:val="00F42513"/>
    <w:rsid w:val="00F425F6"/>
    <w:rsid w:val="00F42723"/>
    <w:rsid w:val="00F4274C"/>
    <w:rsid w:val="00F428C4"/>
    <w:rsid w:val="00F428CD"/>
    <w:rsid w:val="00F428D4"/>
    <w:rsid w:val="00F4294F"/>
    <w:rsid w:val="00F42A0A"/>
    <w:rsid w:val="00F42A43"/>
    <w:rsid w:val="00F42A77"/>
    <w:rsid w:val="00F42A8D"/>
    <w:rsid w:val="00F42AB5"/>
    <w:rsid w:val="00F42DB2"/>
    <w:rsid w:val="00F42DC9"/>
    <w:rsid w:val="00F42DE3"/>
    <w:rsid w:val="00F42E24"/>
    <w:rsid w:val="00F42E4E"/>
    <w:rsid w:val="00F42E7A"/>
    <w:rsid w:val="00F42EE1"/>
    <w:rsid w:val="00F42FCC"/>
    <w:rsid w:val="00F42FDA"/>
    <w:rsid w:val="00F42FEC"/>
    <w:rsid w:val="00F43030"/>
    <w:rsid w:val="00F4303C"/>
    <w:rsid w:val="00F43051"/>
    <w:rsid w:val="00F43299"/>
    <w:rsid w:val="00F432D3"/>
    <w:rsid w:val="00F432E9"/>
    <w:rsid w:val="00F433A5"/>
    <w:rsid w:val="00F43482"/>
    <w:rsid w:val="00F43549"/>
    <w:rsid w:val="00F4358B"/>
    <w:rsid w:val="00F435A7"/>
    <w:rsid w:val="00F43609"/>
    <w:rsid w:val="00F43637"/>
    <w:rsid w:val="00F43643"/>
    <w:rsid w:val="00F43765"/>
    <w:rsid w:val="00F437D4"/>
    <w:rsid w:val="00F43ABB"/>
    <w:rsid w:val="00F43B11"/>
    <w:rsid w:val="00F43B45"/>
    <w:rsid w:val="00F43C4B"/>
    <w:rsid w:val="00F43CB3"/>
    <w:rsid w:val="00F43CD5"/>
    <w:rsid w:val="00F43DAE"/>
    <w:rsid w:val="00F43E6B"/>
    <w:rsid w:val="00F4411C"/>
    <w:rsid w:val="00F4418C"/>
    <w:rsid w:val="00F441FD"/>
    <w:rsid w:val="00F44208"/>
    <w:rsid w:val="00F442EB"/>
    <w:rsid w:val="00F44328"/>
    <w:rsid w:val="00F4434C"/>
    <w:rsid w:val="00F4435F"/>
    <w:rsid w:val="00F4439C"/>
    <w:rsid w:val="00F4442D"/>
    <w:rsid w:val="00F445D6"/>
    <w:rsid w:val="00F445E5"/>
    <w:rsid w:val="00F4460A"/>
    <w:rsid w:val="00F44623"/>
    <w:rsid w:val="00F44652"/>
    <w:rsid w:val="00F44698"/>
    <w:rsid w:val="00F446C7"/>
    <w:rsid w:val="00F446EE"/>
    <w:rsid w:val="00F447D7"/>
    <w:rsid w:val="00F4484F"/>
    <w:rsid w:val="00F44888"/>
    <w:rsid w:val="00F448C0"/>
    <w:rsid w:val="00F448ED"/>
    <w:rsid w:val="00F44ACF"/>
    <w:rsid w:val="00F44AD5"/>
    <w:rsid w:val="00F44B4B"/>
    <w:rsid w:val="00F44B5A"/>
    <w:rsid w:val="00F44B7C"/>
    <w:rsid w:val="00F44C81"/>
    <w:rsid w:val="00F44CCC"/>
    <w:rsid w:val="00F44CE9"/>
    <w:rsid w:val="00F44D9F"/>
    <w:rsid w:val="00F44E9E"/>
    <w:rsid w:val="00F44F1C"/>
    <w:rsid w:val="00F450C0"/>
    <w:rsid w:val="00F450D4"/>
    <w:rsid w:val="00F450E3"/>
    <w:rsid w:val="00F450F6"/>
    <w:rsid w:val="00F45124"/>
    <w:rsid w:val="00F45161"/>
    <w:rsid w:val="00F451AC"/>
    <w:rsid w:val="00F451B0"/>
    <w:rsid w:val="00F4521A"/>
    <w:rsid w:val="00F45371"/>
    <w:rsid w:val="00F4541D"/>
    <w:rsid w:val="00F45458"/>
    <w:rsid w:val="00F454C7"/>
    <w:rsid w:val="00F455BC"/>
    <w:rsid w:val="00F45639"/>
    <w:rsid w:val="00F4569C"/>
    <w:rsid w:val="00F45805"/>
    <w:rsid w:val="00F45860"/>
    <w:rsid w:val="00F4586C"/>
    <w:rsid w:val="00F4587D"/>
    <w:rsid w:val="00F4591A"/>
    <w:rsid w:val="00F4594B"/>
    <w:rsid w:val="00F45990"/>
    <w:rsid w:val="00F459AA"/>
    <w:rsid w:val="00F45A9F"/>
    <w:rsid w:val="00F45ABF"/>
    <w:rsid w:val="00F45B9E"/>
    <w:rsid w:val="00F45C28"/>
    <w:rsid w:val="00F45C5F"/>
    <w:rsid w:val="00F45D34"/>
    <w:rsid w:val="00F45DBD"/>
    <w:rsid w:val="00F45DC8"/>
    <w:rsid w:val="00F45DF6"/>
    <w:rsid w:val="00F45EF0"/>
    <w:rsid w:val="00F45F2C"/>
    <w:rsid w:val="00F4605C"/>
    <w:rsid w:val="00F4648D"/>
    <w:rsid w:val="00F464F5"/>
    <w:rsid w:val="00F46511"/>
    <w:rsid w:val="00F4661E"/>
    <w:rsid w:val="00F46667"/>
    <w:rsid w:val="00F467FF"/>
    <w:rsid w:val="00F4692A"/>
    <w:rsid w:val="00F469EF"/>
    <w:rsid w:val="00F46A0B"/>
    <w:rsid w:val="00F46C7B"/>
    <w:rsid w:val="00F46E02"/>
    <w:rsid w:val="00F46E27"/>
    <w:rsid w:val="00F46E70"/>
    <w:rsid w:val="00F46EC0"/>
    <w:rsid w:val="00F46F9E"/>
    <w:rsid w:val="00F4714D"/>
    <w:rsid w:val="00F47153"/>
    <w:rsid w:val="00F47175"/>
    <w:rsid w:val="00F471B6"/>
    <w:rsid w:val="00F47248"/>
    <w:rsid w:val="00F47278"/>
    <w:rsid w:val="00F472C2"/>
    <w:rsid w:val="00F472DF"/>
    <w:rsid w:val="00F4738F"/>
    <w:rsid w:val="00F473B2"/>
    <w:rsid w:val="00F4749C"/>
    <w:rsid w:val="00F475ED"/>
    <w:rsid w:val="00F47742"/>
    <w:rsid w:val="00F47AC3"/>
    <w:rsid w:val="00F47B06"/>
    <w:rsid w:val="00F47B90"/>
    <w:rsid w:val="00F47D4D"/>
    <w:rsid w:val="00F47D96"/>
    <w:rsid w:val="00F47E9C"/>
    <w:rsid w:val="00F47ECE"/>
    <w:rsid w:val="00F47F34"/>
    <w:rsid w:val="00F47F47"/>
    <w:rsid w:val="00F47F9C"/>
    <w:rsid w:val="00F47FE5"/>
    <w:rsid w:val="00F5003D"/>
    <w:rsid w:val="00F50042"/>
    <w:rsid w:val="00F500F0"/>
    <w:rsid w:val="00F50152"/>
    <w:rsid w:val="00F50225"/>
    <w:rsid w:val="00F502CE"/>
    <w:rsid w:val="00F5036A"/>
    <w:rsid w:val="00F503CB"/>
    <w:rsid w:val="00F504AD"/>
    <w:rsid w:val="00F506A7"/>
    <w:rsid w:val="00F506CB"/>
    <w:rsid w:val="00F50AC6"/>
    <w:rsid w:val="00F50B61"/>
    <w:rsid w:val="00F50B63"/>
    <w:rsid w:val="00F50B79"/>
    <w:rsid w:val="00F50C6E"/>
    <w:rsid w:val="00F50D70"/>
    <w:rsid w:val="00F50D92"/>
    <w:rsid w:val="00F50DBD"/>
    <w:rsid w:val="00F50DCA"/>
    <w:rsid w:val="00F50DD6"/>
    <w:rsid w:val="00F50F22"/>
    <w:rsid w:val="00F50FCB"/>
    <w:rsid w:val="00F510A5"/>
    <w:rsid w:val="00F510FD"/>
    <w:rsid w:val="00F51139"/>
    <w:rsid w:val="00F51254"/>
    <w:rsid w:val="00F51369"/>
    <w:rsid w:val="00F513AC"/>
    <w:rsid w:val="00F51444"/>
    <w:rsid w:val="00F514A3"/>
    <w:rsid w:val="00F516B6"/>
    <w:rsid w:val="00F5170F"/>
    <w:rsid w:val="00F517E9"/>
    <w:rsid w:val="00F51823"/>
    <w:rsid w:val="00F5192A"/>
    <w:rsid w:val="00F5194C"/>
    <w:rsid w:val="00F51A46"/>
    <w:rsid w:val="00F51A47"/>
    <w:rsid w:val="00F51B6A"/>
    <w:rsid w:val="00F51CA8"/>
    <w:rsid w:val="00F51D7F"/>
    <w:rsid w:val="00F51D80"/>
    <w:rsid w:val="00F51DFD"/>
    <w:rsid w:val="00F51E8A"/>
    <w:rsid w:val="00F51EC1"/>
    <w:rsid w:val="00F51ECA"/>
    <w:rsid w:val="00F5201E"/>
    <w:rsid w:val="00F520C3"/>
    <w:rsid w:val="00F52126"/>
    <w:rsid w:val="00F52281"/>
    <w:rsid w:val="00F52351"/>
    <w:rsid w:val="00F52363"/>
    <w:rsid w:val="00F5237D"/>
    <w:rsid w:val="00F52391"/>
    <w:rsid w:val="00F52545"/>
    <w:rsid w:val="00F52678"/>
    <w:rsid w:val="00F52699"/>
    <w:rsid w:val="00F526D8"/>
    <w:rsid w:val="00F52787"/>
    <w:rsid w:val="00F527EA"/>
    <w:rsid w:val="00F52812"/>
    <w:rsid w:val="00F5283B"/>
    <w:rsid w:val="00F529BA"/>
    <w:rsid w:val="00F52A07"/>
    <w:rsid w:val="00F52B4E"/>
    <w:rsid w:val="00F52E47"/>
    <w:rsid w:val="00F52F06"/>
    <w:rsid w:val="00F53102"/>
    <w:rsid w:val="00F53184"/>
    <w:rsid w:val="00F531DC"/>
    <w:rsid w:val="00F5354F"/>
    <w:rsid w:val="00F5355C"/>
    <w:rsid w:val="00F5365A"/>
    <w:rsid w:val="00F5371C"/>
    <w:rsid w:val="00F5387A"/>
    <w:rsid w:val="00F5390C"/>
    <w:rsid w:val="00F53946"/>
    <w:rsid w:val="00F539CC"/>
    <w:rsid w:val="00F53A0B"/>
    <w:rsid w:val="00F53A1B"/>
    <w:rsid w:val="00F53B45"/>
    <w:rsid w:val="00F53B47"/>
    <w:rsid w:val="00F53C45"/>
    <w:rsid w:val="00F53C53"/>
    <w:rsid w:val="00F53C92"/>
    <w:rsid w:val="00F53CF7"/>
    <w:rsid w:val="00F53CFE"/>
    <w:rsid w:val="00F53D43"/>
    <w:rsid w:val="00F53D91"/>
    <w:rsid w:val="00F53DA2"/>
    <w:rsid w:val="00F53E20"/>
    <w:rsid w:val="00F54158"/>
    <w:rsid w:val="00F54329"/>
    <w:rsid w:val="00F54345"/>
    <w:rsid w:val="00F543C1"/>
    <w:rsid w:val="00F544A9"/>
    <w:rsid w:val="00F54509"/>
    <w:rsid w:val="00F5470B"/>
    <w:rsid w:val="00F5477C"/>
    <w:rsid w:val="00F54807"/>
    <w:rsid w:val="00F54837"/>
    <w:rsid w:val="00F54877"/>
    <w:rsid w:val="00F5493E"/>
    <w:rsid w:val="00F549A3"/>
    <w:rsid w:val="00F549FA"/>
    <w:rsid w:val="00F549FC"/>
    <w:rsid w:val="00F54A66"/>
    <w:rsid w:val="00F54AFE"/>
    <w:rsid w:val="00F54B43"/>
    <w:rsid w:val="00F54B7E"/>
    <w:rsid w:val="00F54B8B"/>
    <w:rsid w:val="00F54C2C"/>
    <w:rsid w:val="00F54C96"/>
    <w:rsid w:val="00F54CAB"/>
    <w:rsid w:val="00F54CAD"/>
    <w:rsid w:val="00F54D18"/>
    <w:rsid w:val="00F54E87"/>
    <w:rsid w:val="00F54E8A"/>
    <w:rsid w:val="00F54EB5"/>
    <w:rsid w:val="00F54FF3"/>
    <w:rsid w:val="00F55013"/>
    <w:rsid w:val="00F55039"/>
    <w:rsid w:val="00F550ED"/>
    <w:rsid w:val="00F5517E"/>
    <w:rsid w:val="00F551A8"/>
    <w:rsid w:val="00F5524F"/>
    <w:rsid w:val="00F55251"/>
    <w:rsid w:val="00F55353"/>
    <w:rsid w:val="00F553B9"/>
    <w:rsid w:val="00F55422"/>
    <w:rsid w:val="00F554A0"/>
    <w:rsid w:val="00F554A2"/>
    <w:rsid w:val="00F554A3"/>
    <w:rsid w:val="00F55619"/>
    <w:rsid w:val="00F55724"/>
    <w:rsid w:val="00F5581B"/>
    <w:rsid w:val="00F55BC0"/>
    <w:rsid w:val="00F55C77"/>
    <w:rsid w:val="00F55D48"/>
    <w:rsid w:val="00F55DA9"/>
    <w:rsid w:val="00F55DE5"/>
    <w:rsid w:val="00F55E5A"/>
    <w:rsid w:val="00F560BB"/>
    <w:rsid w:val="00F560EB"/>
    <w:rsid w:val="00F561AD"/>
    <w:rsid w:val="00F56475"/>
    <w:rsid w:val="00F56537"/>
    <w:rsid w:val="00F565AB"/>
    <w:rsid w:val="00F56600"/>
    <w:rsid w:val="00F5675B"/>
    <w:rsid w:val="00F5676A"/>
    <w:rsid w:val="00F56788"/>
    <w:rsid w:val="00F567B9"/>
    <w:rsid w:val="00F56891"/>
    <w:rsid w:val="00F568D9"/>
    <w:rsid w:val="00F569B8"/>
    <w:rsid w:val="00F569D0"/>
    <w:rsid w:val="00F569E4"/>
    <w:rsid w:val="00F56A8C"/>
    <w:rsid w:val="00F56ACC"/>
    <w:rsid w:val="00F56BE9"/>
    <w:rsid w:val="00F56BF5"/>
    <w:rsid w:val="00F56C70"/>
    <w:rsid w:val="00F56CE4"/>
    <w:rsid w:val="00F56D30"/>
    <w:rsid w:val="00F56E14"/>
    <w:rsid w:val="00F56E8A"/>
    <w:rsid w:val="00F56F34"/>
    <w:rsid w:val="00F56F46"/>
    <w:rsid w:val="00F56F50"/>
    <w:rsid w:val="00F57008"/>
    <w:rsid w:val="00F57044"/>
    <w:rsid w:val="00F571A7"/>
    <w:rsid w:val="00F571B6"/>
    <w:rsid w:val="00F57354"/>
    <w:rsid w:val="00F574B5"/>
    <w:rsid w:val="00F574E9"/>
    <w:rsid w:val="00F57518"/>
    <w:rsid w:val="00F5755A"/>
    <w:rsid w:val="00F5756A"/>
    <w:rsid w:val="00F57584"/>
    <w:rsid w:val="00F5786A"/>
    <w:rsid w:val="00F579D2"/>
    <w:rsid w:val="00F57A25"/>
    <w:rsid w:val="00F57BED"/>
    <w:rsid w:val="00F57CC9"/>
    <w:rsid w:val="00F57D0E"/>
    <w:rsid w:val="00F57D51"/>
    <w:rsid w:val="00F57F74"/>
    <w:rsid w:val="00F57FB2"/>
    <w:rsid w:val="00F57FB4"/>
    <w:rsid w:val="00F6002C"/>
    <w:rsid w:val="00F6014B"/>
    <w:rsid w:val="00F60198"/>
    <w:rsid w:val="00F60350"/>
    <w:rsid w:val="00F6037F"/>
    <w:rsid w:val="00F6042C"/>
    <w:rsid w:val="00F60493"/>
    <w:rsid w:val="00F6049F"/>
    <w:rsid w:val="00F604CC"/>
    <w:rsid w:val="00F60509"/>
    <w:rsid w:val="00F60538"/>
    <w:rsid w:val="00F605D5"/>
    <w:rsid w:val="00F606A0"/>
    <w:rsid w:val="00F60801"/>
    <w:rsid w:val="00F6084E"/>
    <w:rsid w:val="00F6090A"/>
    <w:rsid w:val="00F60AE3"/>
    <w:rsid w:val="00F60B45"/>
    <w:rsid w:val="00F60B74"/>
    <w:rsid w:val="00F60B83"/>
    <w:rsid w:val="00F60BA5"/>
    <w:rsid w:val="00F60DC1"/>
    <w:rsid w:val="00F60E17"/>
    <w:rsid w:val="00F60F71"/>
    <w:rsid w:val="00F60FDB"/>
    <w:rsid w:val="00F61013"/>
    <w:rsid w:val="00F61027"/>
    <w:rsid w:val="00F61050"/>
    <w:rsid w:val="00F61175"/>
    <w:rsid w:val="00F611D2"/>
    <w:rsid w:val="00F61456"/>
    <w:rsid w:val="00F6147C"/>
    <w:rsid w:val="00F615A1"/>
    <w:rsid w:val="00F616AD"/>
    <w:rsid w:val="00F617C1"/>
    <w:rsid w:val="00F6191E"/>
    <w:rsid w:val="00F61932"/>
    <w:rsid w:val="00F61979"/>
    <w:rsid w:val="00F61A86"/>
    <w:rsid w:val="00F61AA0"/>
    <w:rsid w:val="00F61AE5"/>
    <w:rsid w:val="00F61B3A"/>
    <w:rsid w:val="00F61B62"/>
    <w:rsid w:val="00F61BC5"/>
    <w:rsid w:val="00F61C1E"/>
    <w:rsid w:val="00F61C3C"/>
    <w:rsid w:val="00F61C86"/>
    <w:rsid w:val="00F61CE8"/>
    <w:rsid w:val="00F61EB2"/>
    <w:rsid w:val="00F61FFB"/>
    <w:rsid w:val="00F6201C"/>
    <w:rsid w:val="00F6208D"/>
    <w:rsid w:val="00F62219"/>
    <w:rsid w:val="00F622A3"/>
    <w:rsid w:val="00F622CD"/>
    <w:rsid w:val="00F62688"/>
    <w:rsid w:val="00F626D0"/>
    <w:rsid w:val="00F6270F"/>
    <w:rsid w:val="00F627B3"/>
    <w:rsid w:val="00F62893"/>
    <w:rsid w:val="00F628CE"/>
    <w:rsid w:val="00F62985"/>
    <w:rsid w:val="00F629D7"/>
    <w:rsid w:val="00F62B00"/>
    <w:rsid w:val="00F62BC8"/>
    <w:rsid w:val="00F62BD8"/>
    <w:rsid w:val="00F62D5C"/>
    <w:rsid w:val="00F62D72"/>
    <w:rsid w:val="00F62DF4"/>
    <w:rsid w:val="00F62E8A"/>
    <w:rsid w:val="00F62EC5"/>
    <w:rsid w:val="00F62F84"/>
    <w:rsid w:val="00F62FC7"/>
    <w:rsid w:val="00F63003"/>
    <w:rsid w:val="00F63022"/>
    <w:rsid w:val="00F630B0"/>
    <w:rsid w:val="00F630F1"/>
    <w:rsid w:val="00F63161"/>
    <w:rsid w:val="00F63230"/>
    <w:rsid w:val="00F632A5"/>
    <w:rsid w:val="00F632C3"/>
    <w:rsid w:val="00F6331D"/>
    <w:rsid w:val="00F63343"/>
    <w:rsid w:val="00F63396"/>
    <w:rsid w:val="00F633A4"/>
    <w:rsid w:val="00F63425"/>
    <w:rsid w:val="00F634B4"/>
    <w:rsid w:val="00F63543"/>
    <w:rsid w:val="00F635CF"/>
    <w:rsid w:val="00F63699"/>
    <w:rsid w:val="00F636A5"/>
    <w:rsid w:val="00F636C5"/>
    <w:rsid w:val="00F6370A"/>
    <w:rsid w:val="00F637F7"/>
    <w:rsid w:val="00F639A2"/>
    <w:rsid w:val="00F639D9"/>
    <w:rsid w:val="00F63A6E"/>
    <w:rsid w:val="00F63AA8"/>
    <w:rsid w:val="00F63AFE"/>
    <w:rsid w:val="00F63C19"/>
    <w:rsid w:val="00F63D36"/>
    <w:rsid w:val="00F63E0D"/>
    <w:rsid w:val="00F63E4D"/>
    <w:rsid w:val="00F63ECC"/>
    <w:rsid w:val="00F63F21"/>
    <w:rsid w:val="00F63F25"/>
    <w:rsid w:val="00F63F44"/>
    <w:rsid w:val="00F63F48"/>
    <w:rsid w:val="00F64094"/>
    <w:rsid w:val="00F640F6"/>
    <w:rsid w:val="00F6413F"/>
    <w:rsid w:val="00F64188"/>
    <w:rsid w:val="00F6420C"/>
    <w:rsid w:val="00F64359"/>
    <w:rsid w:val="00F64374"/>
    <w:rsid w:val="00F643AA"/>
    <w:rsid w:val="00F643F7"/>
    <w:rsid w:val="00F644AA"/>
    <w:rsid w:val="00F645B1"/>
    <w:rsid w:val="00F646AD"/>
    <w:rsid w:val="00F64706"/>
    <w:rsid w:val="00F64865"/>
    <w:rsid w:val="00F64994"/>
    <w:rsid w:val="00F649E4"/>
    <w:rsid w:val="00F64A17"/>
    <w:rsid w:val="00F64A52"/>
    <w:rsid w:val="00F64A74"/>
    <w:rsid w:val="00F64A78"/>
    <w:rsid w:val="00F64BA8"/>
    <w:rsid w:val="00F64BAB"/>
    <w:rsid w:val="00F64CA0"/>
    <w:rsid w:val="00F64D39"/>
    <w:rsid w:val="00F64D98"/>
    <w:rsid w:val="00F64DDD"/>
    <w:rsid w:val="00F64EBB"/>
    <w:rsid w:val="00F64F38"/>
    <w:rsid w:val="00F65037"/>
    <w:rsid w:val="00F65086"/>
    <w:rsid w:val="00F650B6"/>
    <w:rsid w:val="00F650CD"/>
    <w:rsid w:val="00F65178"/>
    <w:rsid w:val="00F65277"/>
    <w:rsid w:val="00F65368"/>
    <w:rsid w:val="00F653F7"/>
    <w:rsid w:val="00F6556E"/>
    <w:rsid w:val="00F655B3"/>
    <w:rsid w:val="00F6566E"/>
    <w:rsid w:val="00F65699"/>
    <w:rsid w:val="00F656DC"/>
    <w:rsid w:val="00F657E0"/>
    <w:rsid w:val="00F657EB"/>
    <w:rsid w:val="00F657F8"/>
    <w:rsid w:val="00F659C5"/>
    <w:rsid w:val="00F659D8"/>
    <w:rsid w:val="00F65CB1"/>
    <w:rsid w:val="00F65F91"/>
    <w:rsid w:val="00F66033"/>
    <w:rsid w:val="00F661E2"/>
    <w:rsid w:val="00F66265"/>
    <w:rsid w:val="00F66268"/>
    <w:rsid w:val="00F663AF"/>
    <w:rsid w:val="00F664C0"/>
    <w:rsid w:val="00F66553"/>
    <w:rsid w:val="00F66604"/>
    <w:rsid w:val="00F66659"/>
    <w:rsid w:val="00F66697"/>
    <w:rsid w:val="00F6679F"/>
    <w:rsid w:val="00F667B5"/>
    <w:rsid w:val="00F669CD"/>
    <w:rsid w:val="00F66A66"/>
    <w:rsid w:val="00F66A94"/>
    <w:rsid w:val="00F66AA5"/>
    <w:rsid w:val="00F66CA7"/>
    <w:rsid w:val="00F6704C"/>
    <w:rsid w:val="00F670CC"/>
    <w:rsid w:val="00F670F3"/>
    <w:rsid w:val="00F67138"/>
    <w:rsid w:val="00F671FF"/>
    <w:rsid w:val="00F6737F"/>
    <w:rsid w:val="00F67383"/>
    <w:rsid w:val="00F673BF"/>
    <w:rsid w:val="00F674E7"/>
    <w:rsid w:val="00F675BC"/>
    <w:rsid w:val="00F67636"/>
    <w:rsid w:val="00F676A2"/>
    <w:rsid w:val="00F67765"/>
    <w:rsid w:val="00F6795E"/>
    <w:rsid w:val="00F6798E"/>
    <w:rsid w:val="00F679DD"/>
    <w:rsid w:val="00F67C1E"/>
    <w:rsid w:val="00F67D8A"/>
    <w:rsid w:val="00F67EE7"/>
    <w:rsid w:val="00F67FAC"/>
    <w:rsid w:val="00F7008A"/>
    <w:rsid w:val="00F700D3"/>
    <w:rsid w:val="00F702BA"/>
    <w:rsid w:val="00F70341"/>
    <w:rsid w:val="00F7038E"/>
    <w:rsid w:val="00F703CB"/>
    <w:rsid w:val="00F7059D"/>
    <w:rsid w:val="00F707B7"/>
    <w:rsid w:val="00F707DA"/>
    <w:rsid w:val="00F707DE"/>
    <w:rsid w:val="00F70815"/>
    <w:rsid w:val="00F708DF"/>
    <w:rsid w:val="00F70961"/>
    <w:rsid w:val="00F709F3"/>
    <w:rsid w:val="00F70A58"/>
    <w:rsid w:val="00F70AF7"/>
    <w:rsid w:val="00F70B4A"/>
    <w:rsid w:val="00F70B99"/>
    <w:rsid w:val="00F70C25"/>
    <w:rsid w:val="00F70C4F"/>
    <w:rsid w:val="00F70CEE"/>
    <w:rsid w:val="00F70D80"/>
    <w:rsid w:val="00F70E78"/>
    <w:rsid w:val="00F70E8D"/>
    <w:rsid w:val="00F70EA6"/>
    <w:rsid w:val="00F70F30"/>
    <w:rsid w:val="00F70F79"/>
    <w:rsid w:val="00F70FA4"/>
    <w:rsid w:val="00F7101D"/>
    <w:rsid w:val="00F710F3"/>
    <w:rsid w:val="00F71173"/>
    <w:rsid w:val="00F711A8"/>
    <w:rsid w:val="00F711BF"/>
    <w:rsid w:val="00F7124C"/>
    <w:rsid w:val="00F71359"/>
    <w:rsid w:val="00F713A0"/>
    <w:rsid w:val="00F713AC"/>
    <w:rsid w:val="00F71444"/>
    <w:rsid w:val="00F714F8"/>
    <w:rsid w:val="00F715CF"/>
    <w:rsid w:val="00F7160A"/>
    <w:rsid w:val="00F71638"/>
    <w:rsid w:val="00F717BF"/>
    <w:rsid w:val="00F71885"/>
    <w:rsid w:val="00F71973"/>
    <w:rsid w:val="00F71A61"/>
    <w:rsid w:val="00F71B93"/>
    <w:rsid w:val="00F71D40"/>
    <w:rsid w:val="00F71EC3"/>
    <w:rsid w:val="00F71EDB"/>
    <w:rsid w:val="00F71F01"/>
    <w:rsid w:val="00F71F7A"/>
    <w:rsid w:val="00F71F95"/>
    <w:rsid w:val="00F71FD4"/>
    <w:rsid w:val="00F720E7"/>
    <w:rsid w:val="00F72123"/>
    <w:rsid w:val="00F72189"/>
    <w:rsid w:val="00F722CF"/>
    <w:rsid w:val="00F722F7"/>
    <w:rsid w:val="00F7241E"/>
    <w:rsid w:val="00F724DA"/>
    <w:rsid w:val="00F7280D"/>
    <w:rsid w:val="00F72840"/>
    <w:rsid w:val="00F72894"/>
    <w:rsid w:val="00F72A1A"/>
    <w:rsid w:val="00F72A45"/>
    <w:rsid w:val="00F72B2B"/>
    <w:rsid w:val="00F72BD1"/>
    <w:rsid w:val="00F72C3F"/>
    <w:rsid w:val="00F72DD0"/>
    <w:rsid w:val="00F72FC0"/>
    <w:rsid w:val="00F72FEE"/>
    <w:rsid w:val="00F7309A"/>
    <w:rsid w:val="00F7311C"/>
    <w:rsid w:val="00F7312D"/>
    <w:rsid w:val="00F731C1"/>
    <w:rsid w:val="00F7325F"/>
    <w:rsid w:val="00F73298"/>
    <w:rsid w:val="00F732E9"/>
    <w:rsid w:val="00F733B0"/>
    <w:rsid w:val="00F73450"/>
    <w:rsid w:val="00F73505"/>
    <w:rsid w:val="00F73509"/>
    <w:rsid w:val="00F7356D"/>
    <w:rsid w:val="00F7363D"/>
    <w:rsid w:val="00F7376A"/>
    <w:rsid w:val="00F737B4"/>
    <w:rsid w:val="00F737DB"/>
    <w:rsid w:val="00F738BB"/>
    <w:rsid w:val="00F738EF"/>
    <w:rsid w:val="00F738F9"/>
    <w:rsid w:val="00F73973"/>
    <w:rsid w:val="00F739BA"/>
    <w:rsid w:val="00F73A0C"/>
    <w:rsid w:val="00F73A2F"/>
    <w:rsid w:val="00F73A4A"/>
    <w:rsid w:val="00F73B9E"/>
    <w:rsid w:val="00F73BD4"/>
    <w:rsid w:val="00F73BF9"/>
    <w:rsid w:val="00F73CF2"/>
    <w:rsid w:val="00F73D30"/>
    <w:rsid w:val="00F73D42"/>
    <w:rsid w:val="00F73D49"/>
    <w:rsid w:val="00F73D8B"/>
    <w:rsid w:val="00F73EB5"/>
    <w:rsid w:val="00F73EDC"/>
    <w:rsid w:val="00F73FAC"/>
    <w:rsid w:val="00F7405C"/>
    <w:rsid w:val="00F74121"/>
    <w:rsid w:val="00F74127"/>
    <w:rsid w:val="00F741DC"/>
    <w:rsid w:val="00F74251"/>
    <w:rsid w:val="00F74265"/>
    <w:rsid w:val="00F74378"/>
    <w:rsid w:val="00F74581"/>
    <w:rsid w:val="00F745F3"/>
    <w:rsid w:val="00F745F4"/>
    <w:rsid w:val="00F74758"/>
    <w:rsid w:val="00F74880"/>
    <w:rsid w:val="00F748D6"/>
    <w:rsid w:val="00F7492A"/>
    <w:rsid w:val="00F7494B"/>
    <w:rsid w:val="00F749FA"/>
    <w:rsid w:val="00F74A3E"/>
    <w:rsid w:val="00F74BBE"/>
    <w:rsid w:val="00F74BF6"/>
    <w:rsid w:val="00F74C29"/>
    <w:rsid w:val="00F74D06"/>
    <w:rsid w:val="00F74DA6"/>
    <w:rsid w:val="00F74E48"/>
    <w:rsid w:val="00F74EAD"/>
    <w:rsid w:val="00F74F4D"/>
    <w:rsid w:val="00F74F74"/>
    <w:rsid w:val="00F7502D"/>
    <w:rsid w:val="00F750C0"/>
    <w:rsid w:val="00F750CB"/>
    <w:rsid w:val="00F75120"/>
    <w:rsid w:val="00F75176"/>
    <w:rsid w:val="00F751B5"/>
    <w:rsid w:val="00F751ED"/>
    <w:rsid w:val="00F75294"/>
    <w:rsid w:val="00F752C3"/>
    <w:rsid w:val="00F753ED"/>
    <w:rsid w:val="00F75400"/>
    <w:rsid w:val="00F75406"/>
    <w:rsid w:val="00F75453"/>
    <w:rsid w:val="00F75470"/>
    <w:rsid w:val="00F75514"/>
    <w:rsid w:val="00F75544"/>
    <w:rsid w:val="00F75578"/>
    <w:rsid w:val="00F755A8"/>
    <w:rsid w:val="00F7560F"/>
    <w:rsid w:val="00F756E1"/>
    <w:rsid w:val="00F7573B"/>
    <w:rsid w:val="00F7577A"/>
    <w:rsid w:val="00F75915"/>
    <w:rsid w:val="00F75982"/>
    <w:rsid w:val="00F759B5"/>
    <w:rsid w:val="00F759BF"/>
    <w:rsid w:val="00F75A04"/>
    <w:rsid w:val="00F75A5B"/>
    <w:rsid w:val="00F75B5E"/>
    <w:rsid w:val="00F75C9B"/>
    <w:rsid w:val="00F75D03"/>
    <w:rsid w:val="00F75D23"/>
    <w:rsid w:val="00F75E52"/>
    <w:rsid w:val="00F75ED7"/>
    <w:rsid w:val="00F75EF0"/>
    <w:rsid w:val="00F75F23"/>
    <w:rsid w:val="00F75F2D"/>
    <w:rsid w:val="00F75F87"/>
    <w:rsid w:val="00F75FA1"/>
    <w:rsid w:val="00F75FAA"/>
    <w:rsid w:val="00F75FE5"/>
    <w:rsid w:val="00F76022"/>
    <w:rsid w:val="00F7608A"/>
    <w:rsid w:val="00F760C7"/>
    <w:rsid w:val="00F7611F"/>
    <w:rsid w:val="00F7613A"/>
    <w:rsid w:val="00F761B9"/>
    <w:rsid w:val="00F76284"/>
    <w:rsid w:val="00F762C9"/>
    <w:rsid w:val="00F7632A"/>
    <w:rsid w:val="00F76408"/>
    <w:rsid w:val="00F76423"/>
    <w:rsid w:val="00F76464"/>
    <w:rsid w:val="00F76523"/>
    <w:rsid w:val="00F7657A"/>
    <w:rsid w:val="00F765CE"/>
    <w:rsid w:val="00F765E5"/>
    <w:rsid w:val="00F765FB"/>
    <w:rsid w:val="00F7661A"/>
    <w:rsid w:val="00F76633"/>
    <w:rsid w:val="00F766CB"/>
    <w:rsid w:val="00F7676C"/>
    <w:rsid w:val="00F7686D"/>
    <w:rsid w:val="00F76884"/>
    <w:rsid w:val="00F768D4"/>
    <w:rsid w:val="00F7694C"/>
    <w:rsid w:val="00F769AB"/>
    <w:rsid w:val="00F76A0A"/>
    <w:rsid w:val="00F76A53"/>
    <w:rsid w:val="00F76AFD"/>
    <w:rsid w:val="00F76B47"/>
    <w:rsid w:val="00F76B4F"/>
    <w:rsid w:val="00F76C2D"/>
    <w:rsid w:val="00F76D69"/>
    <w:rsid w:val="00F76DA8"/>
    <w:rsid w:val="00F76F1A"/>
    <w:rsid w:val="00F76F3D"/>
    <w:rsid w:val="00F77068"/>
    <w:rsid w:val="00F7707C"/>
    <w:rsid w:val="00F77101"/>
    <w:rsid w:val="00F771D7"/>
    <w:rsid w:val="00F771E2"/>
    <w:rsid w:val="00F771E6"/>
    <w:rsid w:val="00F771EF"/>
    <w:rsid w:val="00F771F2"/>
    <w:rsid w:val="00F7731E"/>
    <w:rsid w:val="00F773A9"/>
    <w:rsid w:val="00F7750C"/>
    <w:rsid w:val="00F7753C"/>
    <w:rsid w:val="00F77571"/>
    <w:rsid w:val="00F7758F"/>
    <w:rsid w:val="00F775C0"/>
    <w:rsid w:val="00F775F8"/>
    <w:rsid w:val="00F7761D"/>
    <w:rsid w:val="00F7774C"/>
    <w:rsid w:val="00F7780A"/>
    <w:rsid w:val="00F77869"/>
    <w:rsid w:val="00F7786F"/>
    <w:rsid w:val="00F77888"/>
    <w:rsid w:val="00F77988"/>
    <w:rsid w:val="00F77B44"/>
    <w:rsid w:val="00F77BD9"/>
    <w:rsid w:val="00F77C7A"/>
    <w:rsid w:val="00F77E15"/>
    <w:rsid w:val="00F77E1D"/>
    <w:rsid w:val="00F77EB5"/>
    <w:rsid w:val="00F77F7A"/>
    <w:rsid w:val="00F77F86"/>
    <w:rsid w:val="00F77FE0"/>
    <w:rsid w:val="00F77FFD"/>
    <w:rsid w:val="00F800E0"/>
    <w:rsid w:val="00F80145"/>
    <w:rsid w:val="00F80388"/>
    <w:rsid w:val="00F8038F"/>
    <w:rsid w:val="00F803BB"/>
    <w:rsid w:val="00F8051D"/>
    <w:rsid w:val="00F805C1"/>
    <w:rsid w:val="00F805C3"/>
    <w:rsid w:val="00F8085E"/>
    <w:rsid w:val="00F8097C"/>
    <w:rsid w:val="00F8099C"/>
    <w:rsid w:val="00F80A92"/>
    <w:rsid w:val="00F80AFD"/>
    <w:rsid w:val="00F80B17"/>
    <w:rsid w:val="00F80B28"/>
    <w:rsid w:val="00F80B34"/>
    <w:rsid w:val="00F80C46"/>
    <w:rsid w:val="00F80C9C"/>
    <w:rsid w:val="00F80CA4"/>
    <w:rsid w:val="00F80CDB"/>
    <w:rsid w:val="00F80D5D"/>
    <w:rsid w:val="00F80DC8"/>
    <w:rsid w:val="00F80DDD"/>
    <w:rsid w:val="00F80DEA"/>
    <w:rsid w:val="00F80DEE"/>
    <w:rsid w:val="00F80FA1"/>
    <w:rsid w:val="00F8110B"/>
    <w:rsid w:val="00F81141"/>
    <w:rsid w:val="00F81244"/>
    <w:rsid w:val="00F812CE"/>
    <w:rsid w:val="00F8137C"/>
    <w:rsid w:val="00F813D1"/>
    <w:rsid w:val="00F813D6"/>
    <w:rsid w:val="00F81490"/>
    <w:rsid w:val="00F81554"/>
    <w:rsid w:val="00F815E4"/>
    <w:rsid w:val="00F815F4"/>
    <w:rsid w:val="00F81611"/>
    <w:rsid w:val="00F81663"/>
    <w:rsid w:val="00F81699"/>
    <w:rsid w:val="00F81712"/>
    <w:rsid w:val="00F818D6"/>
    <w:rsid w:val="00F81906"/>
    <w:rsid w:val="00F81A29"/>
    <w:rsid w:val="00F81B77"/>
    <w:rsid w:val="00F81BA7"/>
    <w:rsid w:val="00F81C8B"/>
    <w:rsid w:val="00F81D05"/>
    <w:rsid w:val="00F81D6B"/>
    <w:rsid w:val="00F81D72"/>
    <w:rsid w:val="00F81DB0"/>
    <w:rsid w:val="00F81FD4"/>
    <w:rsid w:val="00F81FEE"/>
    <w:rsid w:val="00F8200D"/>
    <w:rsid w:val="00F82026"/>
    <w:rsid w:val="00F820AE"/>
    <w:rsid w:val="00F822AD"/>
    <w:rsid w:val="00F822E5"/>
    <w:rsid w:val="00F82399"/>
    <w:rsid w:val="00F8255E"/>
    <w:rsid w:val="00F8256D"/>
    <w:rsid w:val="00F82581"/>
    <w:rsid w:val="00F825EA"/>
    <w:rsid w:val="00F82615"/>
    <w:rsid w:val="00F826B0"/>
    <w:rsid w:val="00F82746"/>
    <w:rsid w:val="00F8285F"/>
    <w:rsid w:val="00F828C4"/>
    <w:rsid w:val="00F82AA3"/>
    <w:rsid w:val="00F82CA6"/>
    <w:rsid w:val="00F82D15"/>
    <w:rsid w:val="00F82D2A"/>
    <w:rsid w:val="00F82E60"/>
    <w:rsid w:val="00F82E7F"/>
    <w:rsid w:val="00F82F8B"/>
    <w:rsid w:val="00F83077"/>
    <w:rsid w:val="00F8308C"/>
    <w:rsid w:val="00F830C0"/>
    <w:rsid w:val="00F830D1"/>
    <w:rsid w:val="00F831D6"/>
    <w:rsid w:val="00F83345"/>
    <w:rsid w:val="00F83494"/>
    <w:rsid w:val="00F834A2"/>
    <w:rsid w:val="00F836F9"/>
    <w:rsid w:val="00F83717"/>
    <w:rsid w:val="00F837B6"/>
    <w:rsid w:val="00F837F1"/>
    <w:rsid w:val="00F8383A"/>
    <w:rsid w:val="00F83B28"/>
    <w:rsid w:val="00F83B38"/>
    <w:rsid w:val="00F83B66"/>
    <w:rsid w:val="00F83B94"/>
    <w:rsid w:val="00F83D3E"/>
    <w:rsid w:val="00F83D7B"/>
    <w:rsid w:val="00F83DC6"/>
    <w:rsid w:val="00F83E66"/>
    <w:rsid w:val="00F83F11"/>
    <w:rsid w:val="00F83F5F"/>
    <w:rsid w:val="00F83F6F"/>
    <w:rsid w:val="00F840E7"/>
    <w:rsid w:val="00F84244"/>
    <w:rsid w:val="00F84262"/>
    <w:rsid w:val="00F842CD"/>
    <w:rsid w:val="00F84316"/>
    <w:rsid w:val="00F84331"/>
    <w:rsid w:val="00F843AE"/>
    <w:rsid w:val="00F8448B"/>
    <w:rsid w:val="00F844C0"/>
    <w:rsid w:val="00F844DC"/>
    <w:rsid w:val="00F8457C"/>
    <w:rsid w:val="00F845D7"/>
    <w:rsid w:val="00F846E6"/>
    <w:rsid w:val="00F84775"/>
    <w:rsid w:val="00F849C9"/>
    <w:rsid w:val="00F84A5C"/>
    <w:rsid w:val="00F84AFB"/>
    <w:rsid w:val="00F84B47"/>
    <w:rsid w:val="00F84C6E"/>
    <w:rsid w:val="00F84CE2"/>
    <w:rsid w:val="00F84DB3"/>
    <w:rsid w:val="00F84DE2"/>
    <w:rsid w:val="00F84F71"/>
    <w:rsid w:val="00F85009"/>
    <w:rsid w:val="00F8501B"/>
    <w:rsid w:val="00F8503E"/>
    <w:rsid w:val="00F850EE"/>
    <w:rsid w:val="00F85180"/>
    <w:rsid w:val="00F8524C"/>
    <w:rsid w:val="00F85398"/>
    <w:rsid w:val="00F8544C"/>
    <w:rsid w:val="00F85496"/>
    <w:rsid w:val="00F85511"/>
    <w:rsid w:val="00F85528"/>
    <w:rsid w:val="00F85560"/>
    <w:rsid w:val="00F856AE"/>
    <w:rsid w:val="00F85867"/>
    <w:rsid w:val="00F85958"/>
    <w:rsid w:val="00F85A67"/>
    <w:rsid w:val="00F85A69"/>
    <w:rsid w:val="00F85B4E"/>
    <w:rsid w:val="00F85B5B"/>
    <w:rsid w:val="00F85B64"/>
    <w:rsid w:val="00F85B83"/>
    <w:rsid w:val="00F85B93"/>
    <w:rsid w:val="00F85CD5"/>
    <w:rsid w:val="00F85D6C"/>
    <w:rsid w:val="00F85DB5"/>
    <w:rsid w:val="00F85EE9"/>
    <w:rsid w:val="00F85F4B"/>
    <w:rsid w:val="00F85FD9"/>
    <w:rsid w:val="00F860FC"/>
    <w:rsid w:val="00F86150"/>
    <w:rsid w:val="00F86167"/>
    <w:rsid w:val="00F86197"/>
    <w:rsid w:val="00F861A1"/>
    <w:rsid w:val="00F86249"/>
    <w:rsid w:val="00F862B3"/>
    <w:rsid w:val="00F8632E"/>
    <w:rsid w:val="00F86342"/>
    <w:rsid w:val="00F86386"/>
    <w:rsid w:val="00F863A2"/>
    <w:rsid w:val="00F8640A"/>
    <w:rsid w:val="00F8655A"/>
    <w:rsid w:val="00F86576"/>
    <w:rsid w:val="00F86582"/>
    <w:rsid w:val="00F86763"/>
    <w:rsid w:val="00F867FE"/>
    <w:rsid w:val="00F86887"/>
    <w:rsid w:val="00F86935"/>
    <w:rsid w:val="00F86979"/>
    <w:rsid w:val="00F86A69"/>
    <w:rsid w:val="00F86B30"/>
    <w:rsid w:val="00F86B50"/>
    <w:rsid w:val="00F86B87"/>
    <w:rsid w:val="00F86B95"/>
    <w:rsid w:val="00F86BA1"/>
    <w:rsid w:val="00F86CFF"/>
    <w:rsid w:val="00F86D28"/>
    <w:rsid w:val="00F86E82"/>
    <w:rsid w:val="00F86ECC"/>
    <w:rsid w:val="00F8703B"/>
    <w:rsid w:val="00F87061"/>
    <w:rsid w:val="00F870B3"/>
    <w:rsid w:val="00F87120"/>
    <w:rsid w:val="00F87345"/>
    <w:rsid w:val="00F8755A"/>
    <w:rsid w:val="00F87567"/>
    <w:rsid w:val="00F8758A"/>
    <w:rsid w:val="00F8759B"/>
    <w:rsid w:val="00F87721"/>
    <w:rsid w:val="00F877C2"/>
    <w:rsid w:val="00F877C5"/>
    <w:rsid w:val="00F877CB"/>
    <w:rsid w:val="00F877D3"/>
    <w:rsid w:val="00F87801"/>
    <w:rsid w:val="00F8787A"/>
    <w:rsid w:val="00F878CA"/>
    <w:rsid w:val="00F878E8"/>
    <w:rsid w:val="00F879A9"/>
    <w:rsid w:val="00F879C1"/>
    <w:rsid w:val="00F879F3"/>
    <w:rsid w:val="00F87A2F"/>
    <w:rsid w:val="00F87ABC"/>
    <w:rsid w:val="00F87AED"/>
    <w:rsid w:val="00F87B1E"/>
    <w:rsid w:val="00F87B2A"/>
    <w:rsid w:val="00F87BFD"/>
    <w:rsid w:val="00F87E13"/>
    <w:rsid w:val="00F87E9F"/>
    <w:rsid w:val="00F87FAB"/>
    <w:rsid w:val="00F87FF7"/>
    <w:rsid w:val="00F900D7"/>
    <w:rsid w:val="00F900E2"/>
    <w:rsid w:val="00F90157"/>
    <w:rsid w:val="00F9025F"/>
    <w:rsid w:val="00F9028D"/>
    <w:rsid w:val="00F9029E"/>
    <w:rsid w:val="00F902EF"/>
    <w:rsid w:val="00F90433"/>
    <w:rsid w:val="00F9043F"/>
    <w:rsid w:val="00F90717"/>
    <w:rsid w:val="00F90764"/>
    <w:rsid w:val="00F907D6"/>
    <w:rsid w:val="00F90811"/>
    <w:rsid w:val="00F9082D"/>
    <w:rsid w:val="00F9085D"/>
    <w:rsid w:val="00F90937"/>
    <w:rsid w:val="00F909C1"/>
    <w:rsid w:val="00F90A22"/>
    <w:rsid w:val="00F90CFE"/>
    <w:rsid w:val="00F90DA9"/>
    <w:rsid w:val="00F90EA3"/>
    <w:rsid w:val="00F90F23"/>
    <w:rsid w:val="00F90FD1"/>
    <w:rsid w:val="00F90FF2"/>
    <w:rsid w:val="00F91002"/>
    <w:rsid w:val="00F910A0"/>
    <w:rsid w:val="00F911F7"/>
    <w:rsid w:val="00F91245"/>
    <w:rsid w:val="00F916F7"/>
    <w:rsid w:val="00F917C7"/>
    <w:rsid w:val="00F91833"/>
    <w:rsid w:val="00F919D4"/>
    <w:rsid w:val="00F919EA"/>
    <w:rsid w:val="00F919ED"/>
    <w:rsid w:val="00F919F3"/>
    <w:rsid w:val="00F91A8B"/>
    <w:rsid w:val="00F91CFD"/>
    <w:rsid w:val="00F91D1A"/>
    <w:rsid w:val="00F91D82"/>
    <w:rsid w:val="00F91DE7"/>
    <w:rsid w:val="00F91DF3"/>
    <w:rsid w:val="00F91E0B"/>
    <w:rsid w:val="00F91EEF"/>
    <w:rsid w:val="00F91F3D"/>
    <w:rsid w:val="00F91F74"/>
    <w:rsid w:val="00F91F8E"/>
    <w:rsid w:val="00F9212E"/>
    <w:rsid w:val="00F92161"/>
    <w:rsid w:val="00F92269"/>
    <w:rsid w:val="00F92279"/>
    <w:rsid w:val="00F9231E"/>
    <w:rsid w:val="00F925BE"/>
    <w:rsid w:val="00F926C5"/>
    <w:rsid w:val="00F926D0"/>
    <w:rsid w:val="00F926DE"/>
    <w:rsid w:val="00F926F8"/>
    <w:rsid w:val="00F92801"/>
    <w:rsid w:val="00F92870"/>
    <w:rsid w:val="00F92954"/>
    <w:rsid w:val="00F929B7"/>
    <w:rsid w:val="00F92B0B"/>
    <w:rsid w:val="00F92BD4"/>
    <w:rsid w:val="00F92C4C"/>
    <w:rsid w:val="00F92C58"/>
    <w:rsid w:val="00F92D65"/>
    <w:rsid w:val="00F92D69"/>
    <w:rsid w:val="00F92DF8"/>
    <w:rsid w:val="00F92EB6"/>
    <w:rsid w:val="00F92FE6"/>
    <w:rsid w:val="00F92FFC"/>
    <w:rsid w:val="00F93104"/>
    <w:rsid w:val="00F9326C"/>
    <w:rsid w:val="00F932EC"/>
    <w:rsid w:val="00F934A2"/>
    <w:rsid w:val="00F93589"/>
    <w:rsid w:val="00F936E5"/>
    <w:rsid w:val="00F9374A"/>
    <w:rsid w:val="00F93781"/>
    <w:rsid w:val="00F937AD"/>
    <w:rsid w:val="00F938CD"/>
    <w:rsid w:val="00F93A16"/>
    <w:rsid w:val="00F93A8D"/>
    <w:rsid w:val="00F93AE0"/>
    <w:rsid w:val="00F93C84"/>
    <w:rsid w:val="00F93CA5"/>
    <w:rsid w:val="00F93CD2"/>
    <w:rsid w:val="00F93CF8"/>
    <w:rsid w:val="00F93D7F"/>
    <w:rsid w:val="00F93EC0"/>
    <w:rsid w:val="00F93FF7"/>
    <w:rsid w:val="00F9401A"/>
    <w:rsid w:val="00F9405F"/>
    <w:rsid w:val="00F9415D"/>
    <w:rsid w:val="00F9416B"/>
    <w:rsid w:val="00F942E1"/>
    <w:rsid w:val="00F9439B"/>
    <w:rsid w:val="00F944D7"/>
    <w:rsid w:val="00F944F4"/>
    <w:rsid w:val="00F945F8"/>
    <w:rsid w:val="00F94607"/>
    <w:rsid w:val="00F94687"/>
    <w:rsid w:val="00F946AA"/>
    <w:rsid w:val="00F946FE"/>
    <w:rsid w:val="00F947C9"/>
    <w:rsid w:val="00F9488D"/>
    <w:rsid w:val="00F94927"/>
    <w:rsid w:val="00F94B82"/>
    <w:rsid w:val="00F94C00"/>
    <w:rsid w:val="00F94C11"/>
    <w:rsid w:val="00F94C32"/>
    <w:rsid w:val="00F94C7C"/>
    <w:rsid w:val="00F94CD2"/>
    <w:rsid w:val="00F94D6F"/>
    <w:rsid w:val="00F94DC0"/>
    <w:rsid w:val="00F94DD2"/>
    <w:rsid w:val="00F94E97"/>
    <w:rsid w:val="00F94EC8"/>
    <w:rsid w:val="00F94EF0"/>
    <w:rsid w:val="00F94F3C"/>
    <w:rsid w:val="00F94F6D"/>
    <w:rsid w:val="00F95019"/>
    <w:rsid w:val="00F95280"/>
    <w:rsid w:val="00F95325"/>
    <w:rsid w:val="00F95336"/>
    <w:rsid w:val="00F9534E"/>
    <w:rsid w:val="00F95364"/>
    <w:rsid w:val="00F95420"/>
    <w:rsid w:val="00F954A7"/>
    <w:rsid w:val="00F95555"/>
    <w:rsid w:val="00F955ED"/>
    <w:rsid w:val="00F9562C"/>
    <w:rsid w:val="00F95757"/>
    <w:rsid w:val="00F95841"/>
    <w:rsid w:val="00F95855"/>
    <w:rsid w:val="00F958FF"/>
    <w:rsid w:val="00F95922"/>
    <w:rsid w:val="00F959A0"/>
    <w:rsid w:val="00F95A7F"/>
    <w:rsid w:val="00F95A97"/>
    <w:rsid w:val="00F95B83"/>
    <w:rsid w:val="00F95BA9"/>
    <w:rsid w:val="00F95BD5"/>
    <w:rsid w:val="00F95C01"/>
    <w:rsid w:val="00F95C90"/>
    <w:rsid w:val="00F95F96"/>
    <w:rsid w:val="00F96107"/>
    <w:rsid w:val="00F96297"/>
    <w:rsid w:val="00F965C2"/>
    <w:rsid w:val="00F9660C"/>
    <w:rsid w:val="00F96624"/>
    <w:rsid w:val="00F96626"/>
    <w:rsid w:val="00F966AD"/>
    <w:rsid w:val="00F966AF"/>
    <w:rsid w:val="00F96735"/>
    <w:rsid w:val="00F9675F"/>
    <w:rsid w:val="00F967F4"/>
    <w:rsid w:val="00F967FA"/>
    <w:rsid w:val="00F96840"/>
    <w:rsid w:val="00F9688F"/>
    <w:rsid w:val="00F968C0"/>
    <w:rsid w:val="00F969A0"/>
    <w:rsid w:val="00F96AB0"/>
    <w:rsid w:val="00F96B5F"/>
    <w:rsid w:val="00F96CBE"/>
    <w:rsid w:val="00F96D70"/>
    <w:rsid w:val="00F96E9B"/>
    <w:rsid w:val="00F96ED2"/>
    <w:rsid w:val="00F96EDF"/>
    <w:rsid w:val="00F96F15"/>
    <w:rsid w:val="00F96F31"/>
    <w:rsid w:val="00F96F7F"/>
    <w:rsid w:val="00F96FC4"/>
    <w:rsid w:val="00F96FEE"/>
    <w:rsid w:val="00F970AA"/>
    <w:rsid w:val="00F97122"/>
    <w:rsid w:val="00F9734C"/>
    <w:rsid w:val="00F973B4"/>
    <w:rsid w:val="00F97401"/>
    <w:rsid w:val="00F97454"/>
    <w:rsid w:val="00F97509"/>
    <w:rsid w:val="00F97788"/>
    <w:rsid w:val="00F977FD"/>
    <w:rsid w:val="00F977FE"/>
    <w:rsid w:val="00F9785B"/>
    <w:rsid w:val="00F97954"/>
    <w:rsid w:val="00F979B8"/>
    <w:rsid w:val="00F97A90"/>
    <w:rsid w:val="00F97ADF"/>
    <w:rsid w:val="00F97B49"/>
    <w:rsid w:val="00F97C39"/>
    <w:rsid w:val="00F97CB5"/>
    <w:rsid w:val="00F97D11"/>
    <w:rsid w:val="00F97D16"/>
    <w:rsid w:val="00F97E61"/>
    <w:rsid w:val="00F97E81"/>
    <w:rsid w:val="00F97EA5"/>
    <w:rsid w:val="00F97FE7"/>
    <w:rsid w:val="00FA0111"/>
    <w:rsid w:val="00FA01F2"/>
    <w:rsid w:val="00FA020C"/>
    <w:rsid w:val="00FA02AB"/>
    <w:rsid w:val="00FA02BC"/>
    <w:rsid w:val="00FA0370"/>
    <w:rsid w:val="00FA0382"/>
    <w:rsid w:val="00FA039C"/>
    <w:rsid w:val="00FA042B"/>
    <w:rsid w:val="00FA049F"/>
    <w:rsid w:val="00FA04B0"/>
    <w:rsid w:val="00FA05BF"/>
    <w:rsid w:val="00FA05C0"/>
    <w:rsid w:val="00FA065A"/>
    <w:rsid w:val="00FA06BA"/>
    <w:rsid w:val="00FA06E7"/>
    <w:rsid w:val="00FA0827"/>
    <w:rsid w:val="00FA0885"/>
    <w:rsid w:val="00FA08A1"/>
    <w:rsid w:val="00FA0941"/>
    <w:rsid w:val="00FA09AD"/>
    <w:rsid w:val="00FA0A14"/>
    <w:rsid w:val="00FA0B4B"/>
    <w:rsid w:val="00FA0B56"/>
    <w:rsid w:val="00FA0B6E"/>
    <w:rsid w:val="00FA0BC2"/>
    <w:rsid w:val="00FA0D5F"/>
    <w:rsid w:val="00FA0D6E"/>
    <w:rsid w:val="00FA0E07"/>
    <w:rsid w:val="00FA0E55"/>
    <w:rsid w:val="00FA0E9A"/>
    <w:rsid w:val="00FA0E9E"/>
    <w:rsid w:val="00FA0F41"/>
    <w:rsid w:val="00FA0FA4"/>
    <w:rsid w:val="00FA103D"/>
    <w:rsid w:val="00FA10C2"/>
    <w:rsid w:val="00FA113F"/>
    <w:rsid w:val="00FA1158"/>
    <w:rsid w:val="00FA1195"/>
    <w:rsid w:val="00FA11EA"/>
    <w:rsid w:val="00FA11F1"/>
    <w:rsid w:val="00FA1361"/>
    <w:rsid w:val="00FA1370"/>
    <w:rsid w:val="00FA1408"/>
    <w:rsid w:val="00FA141E"/>
    <w:rsid w:val="00FA1446"/>
    <w:rsid w:val="00FA145F"/>
    <w:rsid w:val="00FA14E8"/>
    <w:rsid w:val="00FA1543"/>
    <w:rsid w:val="00FA1571"/>
    <w:rsid w:val="00FA163C"/>
    <w:rsid w:val="00FA163D"/>
    <w:rsid w:val="00FA16E8"/>
    <w:rsid w:val="00FA16EA"/>
    <w:rsid w:val="00FA1725"/>
    <w:rsid w:val="00FA1784"/>
    <w:rsid w:val="00FA1853"/>
    <w:rsid w:val="00FA18E8"/>
    <w:rsid w:val="00FA18F3"/>
    <w:rsid w:val="00FA197B"/>
    <w:rsid w:val="00FA19B5"/>
    <w:rsid w:val="00FA19EF"/>
    <w:rsid w:val="00FA19FA"/>
    <w:rsid w:val="00FA1A4F"/>
    <w:rsid w:val="00FA1ADC"/>
    <w:rsid w:val="00FA1B68"/>
    <w:rsid w:val="00FA1BA9"/>
    <w:rsid w:val="00FA1BC0"/>
    <w:rsid w:val="00FA1C0A"/>
    <w:rsid w:val="00FA1C14"/>
    <w:rsid w:val="00FA1C7C"/>
    <w:rsid w:val="00FA1D75"/>
    <w:rsid w:val="00FA1EF6"/>
    <w:rsid w:val="00FA1F29"/>
    <w:rsid w:val="00FA1F54"/>
    <w:rsid w:val="00FA1FCE"/>
    <w:rsid w:val="00FA1FDC"/>
    <w:rsid w:val="00FA1FE3"/>
    <w:rsid w:val="00FA1FEB"/>
    <w:rsid w:val="00FA222C"/>
    <w:rsid w:val="00FA2387"/>
    <w:rsid w:val="00FA23B7"/>
    <w:rsid w:val="00FA24BB"/>
    <w:rsid w:val="00FA2563"/>
    <w:rsid w:val="00FA2736"/>
    <w:rsid w:val="00FA274E"/>
    <w:rsid w:val="00FA27E8"/>
    <w:rsid w:val="00FA28E2"/>
    <w:rsid w:val="00FA2931"/>
    <w:rsid w:val="00FA2AD3"/>
    <w:rsid w:val="00FA2AFC"/>
    <w:rsid w:val="00FA2BD6"/>
    <w:rsid w:val="00FA2C51"/>
    <w:rsid w:val="00FA2C93"/>
    <w:rsid w:val="00FA2E15"/>
    <w:rsid w:val="00FA2F46"/>
    <w:rsid w:val="00FA2F79"/>
    <w:rsid w:val="00FA3023"/>
    <w:rsid w:val="00FA3029"/>
    <w:rsid w:val="00FA30EE"/>
    <w:rsid w:val="00FA31E7"/>
    <w:rsid w:val="00FA3231"/>
    <w:rsid w:val="00FA32ED"/>
    <w:rsid w:val="00FA3421"/>
    <w:rsid w:val="00FA3478"/>
    <w:rsid w:val="00FA34AB"/>
    <w:rsid w:val="00FA353B"/>
    <w:rsid w:val="00FA355F"/>
    <w:rsid w:val="00FA3572"/>
    <w:rsid w:val="00FA3685"/>
    <w:rsid w:val="00FA386C"/>
    <w:rsid w:val="00FA38FD"/>
    <w:rsid w:val="00FA391C"/>
    <w:rsid w:val="00FA3A84"/>
    <w:rsid w:val="00FA3A8F"/>
    <w:rsid w:val="00FA3AA9"/>
    <w:rsid w:val="00FA3B00"/>
    <w:rsid w:val="00FA3C7D"/>
    <w:rsid w:val="00FA3D62"/>
    <w:rsid w:val="00FA3D82"/>
    <w:rsid w:val="00FA3DA8"/>
    <w:rsid w:val="00FA3E0B"/>
    <w:rsid w:val="00FA3F02"/>
    <w:rsid w:val="00FA405C"/>
    <w:rsid w:val="00FA4338"/>
    <w:rsid w:val="00FA4365"/>
    <w:rsid w:val="00FA4465"/>
    <w:rsid w:val="00FA44A9"/>
    <w:rsid w:val="00FA451B"/>
    <w:rsid w:val="00FA457D"/>
    <w:rsid w:val="00FA4620"/>
    <w:rsid w:val="00FA4694"/>
    <w:rsid w:val="00FA46D2"/>
    <w:rsid w:val="00FA46FF"/>
    <w:rsid w:val="00FA47C8"/>
    <w:rsid w:val="00FA4849"/>
    <w:rsid w:val="00FA48B1"/>
    <w:rsid w:val="00FA48D6"/>
    <w:rsid w:val="00FA4930"/>
    <w:rsid w:val="00FA4959"/>
    <w:rsid w:val="00FA49CE"/>
    <w:rsid w:val="00FA4ABB"/>
    <w:rsid w:val="00FA4ABD"/>
    <w:rsid w:val="00FA4C75"/>
    <w:rsid w:val="00FA4C8B"/>
    <w:rsid w:val="00FA4CB2"/>
    <w:rsid w:val="00FA4CCB"/>
    <w:rsid w:val="00FA4D1B"/>
    <w:rsid w:val="00FA4F2C"/>
    <w:rsid w:val="00FA4FF6"/>
    <w:rsid w:val="00FA5041"/>
    <w:rsid w:val="00FA5079"/>
    <w:rsid w:val="00FA5090"/>
    <w:rsid w:val="00FA51F8"/>
    <w:rsid w:val="00FA526F"/>
    <w:rsid w:val="00FA52C6"/>
    <w:rsid w:val="00FA53B6"/>
    <w:rsid w:val="00FA54D1"/>
    <w:rsid w:val="00FA5581"/>
    <w:rsid w:val="00FA569A"/>
    <w:rsid w:val="00FA56CD"/>
    <w:rsid w:val="00FA56EC"/>
    <w:rsid w:val="00FA576A"/>
    <w:rsid w:val="00FA5799"/>
    <w:rsid w:val="00FA57A3"/>
    <w:rsid w:val="00FA582E"/>
    <w:rsid w:val="00FA5833"/>
    <w:rsid w:val="00FA5863"/>
    <w:rsid w:val="00FA58B4"/>
    <w:rsid w:val="00FA58D3"/>
    <w:rsid w:val="00FA5918"/>
    <w:rsid w:val="00FA5921"/>
    <w:rsid w:val="00FA594E"/>
    <w:rsid w:val="00FA599B"/>
    <w:rsid w:val="00FA5A2C"/>
    <w:rsid w:val="00FA5AC0"/>
    <w:rsid w:val="00FA5B24"/>
    <w:rsid w:val="00FA5BBA"/>
    <w:rsid w:val="00FA5BED"/>
    <w:rsid w:val="00FA5BF3"/>
    <w:rsid w:val="00FA5D30"/>
    <w:rsid w:val="00FA5D8E"/>
    <w:rsid w:val="00FA5DEE"/>
    <w:rsid w:val="00FA5F5B"/>
    <w:rsid w:val="00FA5FCD"/>
    <w:rsid w:val="00FA6018"/>
    <w:rsid w:val="00FA6273"/>
    <w:rsid w:val="00FA6360"/>
    <w:rsid w:val="00FA63C1"/>
    <w:rsid w:val="00FA63C7"/>
    <w:rsid w:val="00FA63F2"/>
    <w:rsid w:val="00FA64C0"/>
    <w:rsid w:val="00FA65EA"/>
    <w:rsid w:val="00FA660A"/>
    <w:rsid w:val="00FA6667"/>
    <w:rsid w:val="00FA6683"/>
    <w:rsid w:val="00FA66B4"/>
    <w:rsid w:val="00FA66ED"/>
    <w:rsid w:val="00FA67A8"/>
    <w:rsid w:val="00FA688F"/>
    <w:rsid w:val="00FA6913"/>
    <w:rsid w:val="00FA69FF"/>
    <w:rsid w:val="00FA6A87"/>
    <w:rsid w:val="00FA6B70"/>
    <w:rsid w:val="00FA6C2E"/>
    <w:rsid w:val="00FA6C78"/>
    <w:rsid w:val="00FA6CF6"/>
    <w:rsid w:val="00FA6E19"/>
    <w:rsid w:val="00FA6EA7"/>
    <w:rsid w:val="00FA6FE1"/>
    <w:rsid w:val="00FA700C"/>
    <w:rsid w:val="00FA7030"/>
    <w:rsid w:val="00FA7417"/>
    <w:rsid w:val="00FA7516"/>
    <w:rsid w:val="00FA7561"/>
    <w:rsid w:val="00FA75D8"/>
    <w:rsid w:val="00FA76C0"/>
    <w:rsid w:val="00FA76FA"/>
    <w:rsid w:val="00FA774A"/>
    <w:rsid w:val="00FA7771"/>
    <w:rsid w:val="00FA789F"/>
    <w:rsid w:val="00FA7959"/>
    <w:rsid w:val="00FA7968"/>
    <w:rsid w:val="00FA797E"/>
    <w:rsid w:val="00FA7A82"/>
    <w:rsid w:val="00FA7C61"/>
    <w:rsid w:val="00FA7E19"/>
    <w:rsid w:val="00FA7E34"/>
    <w:rsid w:val="00FA7FD5"/>
    <w:rsid w:val="00FB0089"/>
    <w:rsid w:val="00FB00D7"/>
    <w:rsid w:val="00FB020B"/>
    <w:rsid w:val="00FB02A9"/>
    <w:rsid w:val="00FB02CC"/>
    <w:rsid w:val="00FB0377"/>
    <w:rsid w:val="00FB0457"/>
    <w:rsid w:val="00FB045B"/>
    <w:rsid w:val="00FB0759"/>
    <w:rsid w:val="00FB07AD"/>
    <w:rsid w:val="00FB07F7"/>
    <w:rsid w:val="00FB0852"/>
    <w:rsid w:val="00FB0980"/>
    <w:rsid w:val="00FB0A9B"/>
    <w:rsid w:val="00FB0AEF"/>
    <w:rsid w:val="00FB0B90"/>
    <w:rsid w:val="00FB0BAA"/>
    <w:rsid w:val="00FB0D50"/>
    <w:rsid w:val="00FB0E13"/>
    <w:rsid w:val="00FB0E43"/>
    <w:rsid w:val="00FB1197"/>
    <w:rsid w:val="00FB11AC"/>
    <w:rsid w:val="00FB1344"/>
    <w:rsid w:val="00FB1371"/>
    <w:rsid w:val="00FB1517"/>
    <w:rsid w:val="00FB160A"/>
    <w:rsid w:val="00FB162B"/>
    <w:rsid w:val="00FB17CA"/>
    <w:rsid w:val="00FB180D"/>
    <w:rsid w:val="00FB1865"/>
    <w:rsid w:val="00FB18C3"/>
    <w:rsid w:val="00FB18C7"/>
    <w:rsid w:val="00FB19BC"/>
    <w:rsid w:val="00FB19C0"/>
    <w:rsid w:val="00FB1A0D"/>
    <w:rsid w:val="00FB1A80"/>
    <w:rsid w:val="00FB1A81"/>
    <w:rsid w:val="00FB1BC8"/>
    <w:rsid w:val="00FB1C88"/>
    <w:rsid w:val="00FB1CCA"/>
    <w:rsid w:val="00FB1EAC"/>
    <w:rsid w:val="00FB1EFA"/>
    <w:rsid w:val="00FB1F2E"/>
    <w:rsid w:val="00FB1FEB"/>
    <w:rsid w:val="00FB2056"/>
    <w:rsid w:val="00FB2069"/>
    <w:rsid w:val="00FB2145"/>
    <w:rsid w:val="00FB22BE"/>
    <w:rsid w:val="00FB22D4"/>
    <w:rsid w:val="00FB243E"/>
    <w:rsid w:val="00FB2616"/>
    <w:rsid w:val="00FB2778"/>
    <w:rsid w:val="00FB278F"/>
    <w:rsid w:val="00FB27AD"/>
    <w:rsid w:val="00FB27D6"/>
    <w:rsid w:val="00FB2811"/>
    <w:rsid w:val="00FB2875"/>
    <w:rsid w:val="00FB2973"/>
    <w:rsid w:val="00FB29EB"/>
    <w:rsid w:val="00FB2A44"/>
    <w:rsid w:val="00FB2A74"/>
    <w:rsid w:val="00FB2B0F"/>
    <w:rsid w:val="00FB2B37"/>
    <w:rsid w:val="00FB2D28"/>
    <w:rsid w:val="00FB2DB3"/>
    <w:rsid w:val="00FB2DFB"/>
    <w:rsid w:val="00FB2E11"/>
    <w:rsid w:val="00FB2F53"/>
    <w:rsid w:val="00FB302A"/>
    <w:rsid w:val="00FB30EA"/>
    <w:rsid w:val="00FB3114"/>
    <w:rsid w:val="00FB3123"/>
    <w:rsid w:val="00FB3128"/>
    <w:rsid w:val="00FB313D"/>
    <w:rsid w:val="00FB3267"/>
    <w:rsid w:val="00FB330E"/>
    <w:rsid w:val="00FB346A"/>
    <w:rsid w:val="00FB34CB"/>
    <w:rsid w:val="00FB34E8"/>
    <w:rsid w:val="00FB34F7"/>
    <w:rsid w:val="00FB359A"/>
    <w:rsid w:val="00FB37AE"/>
    <w:rsid w:val="00FB3811"/>
    <w:rsid w:val="00FB38A3"/>
    <w:rsid w:val="00FB393F"/>
    <w:rsid w:val="00FB39E7"/>
    <w:rsid w:val="00FB3A16"/>
    <w:rsid w:val="00FB3B89"/>
    <w:rsid w:val="00FB3BF2"/>
    <w:rsid w:val="00FB3C01"/>
    <w:rsid w:val="00FB3C33"/>
    <w:rsid w:val="00FB3C63"/>
    <w:rsid w:val="00FB3D22"/>
    <w:rsid w:val="00FB3D50"/>
    <w:rsid w:val="00FB3E67"/>
    <w:rsid w:val="00FB3EDF"/>
    <w:rsid w:val="00FB3EF4"/>
    <w:rsid w:val="00FB3F0C"/>
    <w:rsid w:val="00FB3FDE"/>
    <w:rsid w:val="00FB3FFE"/>
    <w:rsid w:val="00FB41A0"/>
    <w:rsid w:val="00FB4285"/>
    <w:rsid w:val="00FB42C4"/>
    <w:rsid w:val="00FB4591"/>
    <w:rsid w:val="00FB459D"/>
    <w:rsid w:val="00FB474F"/>
    <w:rsid w:val="00FB4763"/>
    <w:rsid w:val="00FB4843"/>
    <w:rsid w:val="00FB48A8"/>
    <w:rsid w:val="00FB4969"/>
    <w:rsid w:val="00FB4976"/>
    <w:rsid w:val="00FB4980"/>
    <w:rsid w:val="00FB4BCC"/>
    <w:rsid w:val="00FB4BD3"/>
    <w:rsid w:val="00FB4C07"/>
    <w:rsid w:val="00FB4D06"/>
    <w:rsid w:val="00FB4D21"/>
    <w:rsid w:val="00FB4DB0"/>
    <w:rsid w:val="00FB4E0E"/>
    <w:rsid w:val="00FB4E24"/>
    <w:rsid w:val="00FB4E85"/>
    <w:rsid w:val="00FB50CB"/>
    <w:rsid w:val="00FB510D"/>
    <w:rsid w:val="00FB524B"/>
    <w:rsid w:val="00FB5259"/>
    <w:rsid w:val="00FB52DE"/>
    <w:rsid w:val="00FB532F"/>
    <w:rsid w:val="00FB5371"/>
    <w:rsid w:val="00FB5461"/>
    <w:rsid w:val="00FB548F"/>
    <w:rsid w:val="00FB559B"/>
    <w:rsid w:val="00FB55CB"/>
    <w:rsid w:val="00FB55DB"/>
    <w:rsid w:val="00FB55FB"/>
    <w:rsid w:val="00FB5628"/>
    <w:rsid w:val="00FB56F2"/>
    <w:rsid w:val="00FB580A"/>
    <w:rsid w:val="00FB58F6"/>
    <w:rsid w:val="00FB5912"/>
    <w:rsid w:val="00FB5940"/>
    <w:rsid w:val="00FB5A20"/>
    <w:rsid w:val="00FB5A66"/>
    <w:rsid w:val="00FB5B5C"/>
    <w:rsid w:val="00FB5C9C"/>
    <w:rsid w:val="00FB5CB4"/>
    <w:rsid w:val="00FB5E80"/>
    <w:rsid w:val="00FB5EBB"/>
    <w:rsid w:val="00FB5ECA"/>
    <w:rsid w:val="00FB5F74"/>
    <w:rsid w:val="00FB600C"/>
    <w:rsid w:val="00FB6074"/>
    <w:rsid w:val="00FB60EE"/>
    <w:rsid w:val="00FB6108"/>
    <w:rsid w:val="00FB61AE"/>
    <w:rsid w:val="00FB635A"/>
    <w:rsid w:val="00FB639D"/>
    <w:rsid w:val="00FB63E8"/>
    <w:rsid w:val="00FB649F"/>
    <w:rsid w:val="00FB652D"/>
    <w:rsid w:val="00FB65ED"/>
    <w:rsid w:val="00FB65FE"/>
    <w:rsid w:val="00FB6635"/>
    <w:rsid w:val="00FB6711"/>
    <w:rsid w:val="00FB6726"/>
    <w:rsid w:val="00FB675A"/>
    <w:rsid w:val="00FB67C9"/>
    <w:rsid w:val="00FB67CA"/>
    <w:rsid w:val="00FB6C26"/>
    <w:rsid w:val="00FB6D06"/>
    <w:rsid w:val="00FB6D64"/>
    <w:rsid w:val="00FB6ECA"/>
    <w:rsid w:val="00FB6EDC"/>
    <w:rsid w:val="00FB6FB1"/>
    <w:rsid w:val="00FB6FD8"/>
    <w:rsid w:val="00FB7088"/>
    <w:rsid w:val="00FB712B"/>
    <w:rsid w:val="00FB7164"/>
    <w:rsid w:val="00FB724B"/>
    <w:rsid w:val="00FB7332"/>
    <w:rsid w:val="00FB7440"/>
    <w:rsid w:val="00FB74FA"/>
    <w:rsid w:val="00FB74FF"/>
    <w:rsid w:val="00FB759F"/>
    <w:rsid w:val="00FB75A2"/>
    <w:rsid w:val="00FB762A"/>
    <w:rsid w:val="00FB762B"/>
    <w:rsid w:val="00FB7696"/>
    <w:rsid w:val="00FB76C1"/>
    <w:rsid w:val="00FB76DD"/>
    <w:rsid w:val="00FB76F7"/>
    <w:rsid w:val="00FB7717"/>
    <w:rsid w:val="00FB77FC"/>
    <w:rsid w:val="00FB785B"/>
    <w:rsid w:val="00FB78E7"/>
    <w:rsid w:val="00FB7964"/>
    <w:rsid w:val="00FB7A33"/>
    <w:rsid w:val="00FB7A6B"/>
    <w:rsid w:val="00FB7A8B"/>
    <w:rsid w:val="00FB7AAA"/>
    <w:rsid w:val="00FB7B49"/>
    <w:rsid w:val="00FB7B8C"/>
    <w:rsid w:val="00FB7BD9"/>
    <w:rsid w:val="00FB7C02"/>
    <w:rsid w:val="00FB7CAA"/>
    <w:rsid w:val="00FB7D24"/>
    <w:rsid w:val="00FB7ED3"/>
    <w:rsid w:val="00FB7F5E"/>
    <w:rsid w:val="00FB7FAD"/>
    <w:rsid w:val="00FC0005"/>
    <w:rsid w:val="00FC0018"/>
    <w:rsid w:val="00FC00CD"/>
    <w:rsid w:val="00FC01D3"/>
    <w:rsid w:val="00FC020E"/>
    <w:rsid w:val="00FC0317"/>
    <w:rsid w:val="00FC03FE"/>
    <w:rsid w:val="00FC04AC"/>
    <w:rsid w:val="00FC051B"/>
    <w:rsid w:val="00FC05CD"/>
    <w:rsid w:val="00FC05F4"/>
    <w:rsid w:val="00FC0672"/>
    <w:rsid w:val="00FC0719"/>
    <w:rsid w:val="00FC074A"/>
    <w:rsid w:val="00FC0869"/>
    <w:rsid w:val="00FC0B86"/>
    <w:rsid w:val="00FC0C1D"/>
    <w:rsid w:val="00FC0CAE"/>
    <w:rsid w:val="00FC0CD2"/>
    <w:rsid w:val="00FC0CF7"/>
    <w:rsid w:val="00FC0E60"/>
    <w:rsid w:val="00FC0F09"/>
    <w:rsid w:val="00FC0F22"/>
    <w:rsid w:val="00FC0FA5"/>
    <w:rsid w:val="00FC1038"/>
    <w:rsid w:val="00FC107A"/>
    <w:rsid w:val="00FC115C"/>
    <w:rsid w:val="00FC118F"/>
    <w:rsid w:val="00FC127F"/>
    <w:rsid w:val="00FC12BF"/>
    <w:rsid w:val="00FC141A"/>
    <w:rsid w:val="00FC143B"/>
    <w:rsid w:val="00FC14B6"/>
    <w:rsid w:val="00FC14E4"/>
    <w:rsid w:val="00FC169A"/>
    <w:rsid w:val="00FC1744"/>
    <w:rsid w:val="00FC1752"/>
    <w:rsid w:val="00FC178D"/>
    <w:rsid w:val="00FC17BF"/>
    <w:rsid w:val="00FC183A"/>
    <w:rsid w:val="00FC183C"/>
    <w:rsid w:val="00FC188E"/>
    <w:rsid w:val="00FC18FD"/>
    <w:rsid w:val="00FC19AB"/>
    <w:rsid w:val="00FC19B0"/>
    <w:rsid w:val="00FC1A2D"/>
    <w:rsid w:val="00FC1A51"/>
    <w:rsid w:val="00FC1A5A"/>
    <w:rsid w:val="00FC1A87"/>
    <w:rsid w:val="00FC1AEB"/>
    <w:rsid w:val="00FC1BD9"/>
    <w:rsid w:val="00FC1C45"/>
    <w:rsid w:val="00FC1CC8"/>
    <w:rsid w:val="00FC1CF9"/>
    <w:rsid w:val="00FC1D39"/>
    <w:rsid w:val="00FC1D70"/>
    <w:rsid w:val="00FC1D7A"/>
    <w:rsid w:val="00FC1E54"/>
    <w:rsid w:val="00FC1EF7"/>
    <w:rsid w:val="00FC1F57"/>
    <w:rsid w:val="00FC1F62"/>
    <w:rsid w:val="00FC1FD8"/>
    <w:rsid w:val="00FC20BA"/>
    <w:rsid w:val="00FC20DC"/>
    <w:rsid w:val="00FC2189"/>
    <w:rsid w:val="00FC22CC"/>
    <w:rsid w:val="00FC2606"/>
    <w:rsid w:val="00FC260D"/>
    <w:rsid w:val="00FC2634"/>
    <w:rsid w:val="00FC279A"/>
    <w:rsid w:val="00FC2900"/>
    <w:rsid w:val="00FC2945"/>
    <w:rsid w:val="00FC29C2"/>
    <w:rsid w:val="00FC2A2B"/>
    <w:rsid w:val="00FC2AC6"/>
    <w:rsid w:val="00FC2AFD"/>
    <w:rsid w:val="00FC2B36"/>
    <w:rsid w:val="00FC2B49"/>
    <w:rsid w:val="00FC2BC0"/>
    <w:rsid w:val="00FC2D5D"/>
    <w:rsid w:val="00FC2D7C"/>
    <w:rsid w:val="00FC2DEC"/>
    <w:rsid w:val="00FC2DFE"/>
    <w:rsid w:val="00FC2E23"/>
    <w:rsid w:val="00FC2EF5"/>
    <w:rsid w:val="00FC3024"/>
    <w:rsid w:val="00FC308E"/>
    <w:rsid w:val="00FC3207"/>
    <w:rsid w:val="00FC320B"/>
    <w:rsid w:val="00FC3283"/>
    <w:rsid w:val="00FC32C5"/>
    <w:rsid w:val="00FC330B"/>
    <w:rsid w:val="00FC3348"/>
    <w:rsid w:val="00FC337B"/>
    <w:rsid w:val="00FC33D0"/>
    <w:rsid w:val="00FC3497"/>
    <w:rsid w:val="00FC357D"/>
    <w:rsid w:val="00FC36F7"/>
    <w:rsid w:val="00FC375B"/>
    <w:rsid w:val="00FC391E"/>
    <w:rsid w:val="00FC39AB"/>
    <w:rsid w:val="00FC3AA0"/>
    <w:rsid w:val="00FC3BA4"/>
    <w:rsid w:val="00FC3D15"/>
    <w:rsid w:val="00FC3D7D"/>
    <w:rsid w:val="00FC3DBF"/>
    <w:rsid w:val="00FC3DDD"/>
    <w:rsid w:val="00FC3EFB"/>
    <w:rsid w:val="00FC3F0F"/>
    <w:rsid w:val="00FC400A"/>
    <w:rsid w:val="00FC40AC"/>
    <w:rsid w:val="00FC41FC"/>
    <w:rsid w:val="00FC4227"/>
    <w:rsid w:val="00FC4285"/>
    <w:rsid w:val="00FC430D"/>
    <w:rsid w:val="00FC4336"/>
    <w:rsid w:val="00FC435E"/>
    <w:rsid w:val="00FC45C4"/>
    <w:rsid w:val="00FC47BE"/>
    <w:rsid w:val="00FC486D"/>
    <w:rsid w:val="00FC48B4"/>
    <w:rsid w:val="00FC48E0"/>
    <w:rsid w:val="00FC49A1"/>
    <w:rsid w:val="00FC49AD"/>
    <w:rsid w:val="00FC4BA1"/>
    <w:rsid w:val="00FC4C14"/>
    <w:rsid w:val="00FC4C54"/>
    <w:rsid w:val="00FC4C70"/>
    <w:rsid w:val="00FC4DD5"/>
    <w:rsid w:val="00FC4EEE"/>
    <w:rsid w:val="00FC4F6D"/>
    <w:rsid w:val="00FC5075"/>
    <w:rsid w:val="00FC51DF"/>
    <w:rsid w:val="00FC51E0"/>
    <w:rsid w:val="00FC5260"/>
    <w:rsid w:val="00FC52A2"/>
    <w:rsid w:val="00FC5360"/>
    <w:rsid w:val="00FC538E"/>
    <w:rsid w:val="00FC53C2"/>
    <w:rsid w:val="00FC53EC"/>
    <w:rsid w:val="00FC547E"/>
    <w:rsid w:val="00FC54B6"/>
    <w:rsid w:val="00FC5500"/>
    <w:rsid w:val="00FC55F9"/>
    <w:rsid w:val="00FC577D"/>
    <w:rsid w:val="00FC57BB"/>
    <w:rsid w:val="00FC57DA"/>
    <w:rsid w:val="00FC5A6A"/>
    <w:rsid w:val="00FC5B01"/>
    <w:rsid w:val="00FC5B69"/>
    <w:rsid w:val="00FC5BCD"/>
    <w:rsid w:val="00FC5BD3"/>
    <w:rsid w:val="00FC5C69"/>
    <w:rsid w:val="00FC5D46"/>
    <w:rsid w:val="00FC5E14"/>
    <w:rsid w:val="00FC5E2B"/>
    <w:rsid w:val="00FC5E8B"/>
    <w:rsid w:val="00FC60A2"/>
    <w:rsid w:val="00FC617A"/>
    <w:rsid w:val="00FC61A2"/>
    <w:rsid w:val="00FC61D4"/>
    <w:rsid w:val="00FC6228"/>
    <w:rsid w:val="00FC62BF"/>
    <w:rsid w:val="00FC62FD"/>
    <w:rsid w:val="00FC6329"/>
    <w:rsid w:val="00FC636F"/>
    <w:rsid w:val="00FC6379"/>
    <w:rsid w:val="00FC63C0"/>
    <w:rsid w:val="00FC64E7"/>
    <w:rsid w:val="00FC6569"/>
    <w:rsid w:val="00FC6570"/>
    <w:rsid w:val="00FC65E2"/>
    <w:rsid w:val="00FC661B"/>
    <w:rsid w:val="00FC6634"/>
    <w:rsid w:val="00FC68E8"/>
    <w:rsid w:val="00FC694D"/>
    <w:rsid w:val="00FC6A21"/>
    <w:rsid w:val="00FC6AAD"/>
    <w:rsid w:val="00FC6ADA"/>
    <w:rsid w:val="00FC6B20"/>
    <w:rsid w:val="00FC6BCC"/>
    <w:rsid w:val="00FC6D38"/>
    <w:rsid w:val="00FC6D48"/>
    <w:rsid w:val="00FC6D4B"/>
    <w:rsid w:val="00FC6D76"/>
    <w:rsid w:val="00FC6DA0"/>
    <w:rsid w:val="00FC6F8B"/>
    <w:rsid w:val="00FC6F9D"/>
    <w:rsid w:val="00FC7135"/>
    <w:rsid w:val="00FC71BB"/>
    <w:rsid w:val="00FC71C6"/>
    <w:rsid w:val="00FC71EE"/>
    <w:rsid w:val="00FC738A"/>
    <w:rsid w:val="00FC7569"/>
    <w:rsid w:val="00FC7652"/>
    <w:rsid w:val="00FC7692"/>
    <w:rsid w:val="00FC76D0"/>
    <w:rsid w:val="00FC7704"/>
    <w:rsid w:val="00FC78B4"/>
    <w:rsid w:val="00FC798F"/>
    <w:rsid w:val="00FC79BF"/>
    <w:rsid w:val="00FC7C9B"/>
    <w:rsid w:val="00FC7CBE"/>
    <w:rsid w:val="00FC7CF3"/>
    <w:rsid w:val="00FC7D7F"/>
    <w:rsid w:val="00FC7DCD"/>
    <w:rsid w:val="00FC7E9B"/>
    <w:rsid w:val="00FC7ED8"/>
    <w:rsid w:val="00FC7F14"/>
    <w:rsid w:val="00FC7F5F"/>
    <w:rsid w:val="00FC7FDB"/>
    <w:rsid w:val="00FC7FF3"/>
    <w:rsid w:val="00FD005A"/>
    <w:rsid w:val="00FD00ED"/>
    <w:rsid w:val="00FD01A9"/>
    <w:rsid w:val="00FD0233"/>
    <w:rsid w:val="00FD04E7"/>
    <w:rsid w:val="00FD051A"/>
    <w:rsid w:val="00FD0581"/>
    <w:rsid w:val="00FD05B6"/>
    <w:rsid w:val="00FD0703"/>
    <w:rsid w:val="00FD08CF"/>
    <w:rsid w:val="00FD09E6"/>
    <w:rsid w:val="00FD0BB6"/>
    <w:rsid w:val="00FD0BDE"/>
    <w:rsid w:val="00FD0C76"/>
    <w:rsid w:val="00FD0CAC"/>
    <w:rsid w:val="00FD0D17"/>
    <w:rsid w:val="00FD0D72"/>
    <w:rsid w:val="00FD0D9A"/>
    <w:rsid w:val="00FD0DFF"/>
    <w:rsid w:val="00FD0E39"/>
    <w:rsid w:val="00FD0EF1"/>
    <w:rsid w:val="00FD0F71"/>
    <w:rsid w:val="00FD0F90"/>
    <w:rsid w:val="00FD0F9A"/>
    <w:rsid w:val="00FD1007"/>
    <w:rsid w:val="00FD11E2"/>
    <w:rsid w:val="00FD1234"/>
    <w:rsid w:val="00FD131F"/>
    <w:rsid w:val="00FD132F"/>
    <w:rsid w:val="00FD13CB"/>
    <w:rsid w:val="00FD14B6"/>
    <w:rsid w:val="00FD14F9"/>
    <w:rsid w:val="00FD1562"/>
    <w:rsid w:val="00FD157F"/>
    <w:rsid w:val="00FD15BB"/>
    <w:rsid w:val="00FD15ED"/>
    <w:rsid w:val="00FD17AB"/>
    <w:rsid w:val="00FD18EF"/>
    <w:rsid w:val="00FD191C"/>
    <w:rsid w:val="00FD19B9"/>
    <w:rsid w:val="00FD1AD7"/>
    <w:rsid w:val="00FD1AFA"/>
    <w:rsid w:val="00FD1BAF"/>
    <w:rsid w:val="00FD1C05"/>
    <w:rsid w:val="00FD1C50"/>
    <w:rsid w:val="00FD1CC9"/>
    <w:rsid w:val="00FD1CDE"/>
    <w:rsid w:val="00FD1DA3"/>
    <w:rsid w:val="00FD1F6A"/>
    <w:rsid w:val="00FD1F7C"/>
    <w:rsid w:val="00FD2004"/>
    <w:rsid w:val="00FD208C"/>
    <w:rsid w:val="00FD21C8"/>
    <w:rsid w:val="00FD2258"/>
    <w:rsid w:val="00FD2273"/>
    <w:rsid w:val="00FD2311"/>
    <w:rsid w:val="00FD241B"/>
    <w:rsid w:val="00FD2462"/>
    <w:rsid w:val="00FD24F2"/>
    <w:rsid w:val="00FD2594"/>
    <w:rsid w:val="00FD25A7"/>
    <w:rsid w:val="00FD25BC"/>
    <w:rsid w:val="00FD2614"/>
    <w:rsid w:val="00FD263A"/>
    <w:rsid w:val="00FD27B6"/>
    <w:rsid w:val="00FD28FA"/>
    <w:rsid w:val="00FD29C0"/>
    <w:rsid w:val="00FD2AB1"/>
    <w:rsid w:val="00FD2ADD"/>
    <w:rsid w:val="00FD2B02"/>
    <w:rsid w:val="00FD2C27"/>
    <w:rsid w:val="00FD2DCA"/>
    <w:rsid w:val="00FD2E0C"/>
    <w:rsid w:val="00FD2F28"/>
    <w:rsid w:val="00FD2F80"/>
    <w:rsid w:val="00FD3026"/>
    <w:rsid w:val="00FD308D"/>
    <w:rsid w:val="00FD30DE"/>
    <w:rsid w:val="00FD31C2"/>
    <w:rsid w:val="00FD31D3"/>
    <w:rsid w:val="00FD32F2"/>
    <w:rsid w:val="00FD3480"/>
    <w:rsid w:val="00FD34D6"/>
    <w:rsid w:val="00FD3554"/>
    <w:rsid w:val="00FD36F7"/>
    <w:rsid w:val="00FD3725"/>
    <w:rsid w:val="00FD372F"/>
    <w:rsid w:val="00FD373B"/>
    <w:rsid w:val="00FD3789"/>
    <w:rsid w:val="00FD3AA4"/>
    <w:rsid w:val="00FD3AC4"/>
    <w:rsid w:val="00FD3C02"/>
    <w:rsid w:val="00FD3C20"/>
    <w:rsid w:val="00FD3C6C"/>
    <w:rsid w:val="00FD3D0F"/>
    <w:rsid w:val="00FD3D20"/>
    <w:rsid w:val="00FD3DD2"/>
    <w:rsid w:val="00FD3E47"/>
    <w:rsid w:val="00FD3F21"/>
    <w:rsid w:val="00FD401D"/>
    <w:rsid w:val="00FD4223"/>
    <w:rsid w:val="00FD4284"/>
    <w:rsid w:val="00FD432C"/>
    <w:rsid w:val="00FD4375"/>
    <w:rsid w:val="00FD4382"/>
    <w:rsid w:val="00FD44CE"/>
    <w:rsid w:val="00FD45B7"/>
    <w:rsid w:val="00FD4620"/>
    <w:rsid w:val="00FD4634"/>
    <w:rsid w:val="00FD463F"/>
    <w:rsid w:val="00FD4659"/>
    <w:rsid w:val="00FD47F5"/>
    <w:rsid w:val="00FD48FC"/>
    <w:rsid w:val="00FD495B"/>
    <w:rsid w:val="00FD496C"/>
    <w:rsid w:val="00FD4973"/>
    <w:rsid w:val="00FD4A0E"/>
    <w:rsid w:val="00FD4B2F"/>
    <w:rsid w:val="00FD4B58"/>
    <w:rsid w:val="00FD4BE7"/>
    <w:rsid w:val="00FD4C1A"/>
    <w:rsid w:val="00FD4CF4"/>
    <w:rsid w:val="00FD4D39"/>
    <w:rsid w:val="00FD4D87"/>
    <w:rsid w:val="00FD4E27"/>
    <w:rsid w:val="00FD4E28"/>
    <w:rsid w:val="00FD4EDB"/>
    <w:rsid w:val="00FD4F28"/>
    <w:rsid w:val="00FD4F6B"/>
    <w:rsid w:val="00FD4FAF"/>
    <w:rsid w:val="00FD4FDD"/>
    <w:rsid w:val="00FD5030"/>
    <w:rsid w:val="00FD50D1"/>
    <w:rsid w:val="00FD51EC"/>
    <w:rsid w:val="00FD5232"/>
    <w:rsid w:val="00FD5297"/>
    <w:rsid w:val="00FD537B"/>
    <w:rsid w:val="00FD53E9"/>
    <w:rsid w:val="00FD53F8"/>
    <w:rsid w:val="00FD548E"/>
    <w:rsid w:val="00FD54FF"/>
    <w:rsid w:val="00FD551E"/>
    <w:rsid w:val="00FD5556"/>
    <w:rsid w:val="00FD55B0"/>
    <w:rsid w:val="00FD561C"/>
    <w:rsid w:val="00FD5668"/>
    <w:rsid w:val="00FD5725"/>
    <w:rsid w:val="00FD5741"/>
    <w:rsid w:val="00FD5749"/>
    <w:rsid w:val="00FD5799"/>
    <w:rsid w:val="00FD5855"/>
    <w:rsid w:val="00FD595E"/>
    <w:rsid w:val="00FD5AA3"/>
    <w:rsid w:val="00FD5C0B"/>
    <w:rsid w:val="00FD5C8F"/>
    <w:rsid w:val="00FD5D83"/>
    <w:rsid w:val="00FD5DDF"/>
    <w:rsid w:val="00FD5FA2"/>
    <w:rsid w:val="00FD615E"/>
    <w:rsid w:val="00FD627B"/>
    <w:rsid w:val="00FD62AF"/>
    <w:rsid w:val="00FD63B9"/>
    <w:rsid w:val="00FD645A"/>
    <w:rsid w:val="00FD647B"/>
    <w:rsid w:val="00FD6546"/>
    <w:rsid w:val="00FD655B"/>
    <w:rsid w:val="00FD6601"/>
    <w:rsid w:val="00FD668A"/>
    <w:rsid w:val="00FD6694"/>
    <w:rsid w:val="00FD66C7"/>
    <w:rsid w:val="00FD679B"/>
    <w:rsid w:val="00FD67FB"/>
    <w:rsid w:val="00FD686A"/>
    <w:rsid w:val="00FD695A"/>
    <w:rsid w:val="00FD6A60"/>
    <w:rsid w:val="00FD6ADB"/>
    <w:rsid w:val="00FD6BEC"/>
    <w:rsid w:val="00FD6D94"/>
    <w:rsid w:val="00FD6E14"/>
    <w:rsid w:val="00FD6E53"/>
    <w:rsid w:val="00FD6E86"/>
    <w:rsid w:val="00FD6F8F"/>
    <w:rsid w:val="00FD6FC6"/>
    <w:rsid w:val="00FD7112"/>
    <w:rsid w:val="00FD7136"/>
    <w:rsid w:val="00FD719B"/>
    <w:rsid w:val="00FD72E6"/>
    <w:rsid w:val="00FD738A"/>
    <w:rsid w:val="00FD74A2"/>
    <w:rsid w:val="00FD7511"/>
    <w:rsid w:val="00FD76CE"/>
    <w:rsid w:val="00FD774E"/>
    <w:rsid w:val="00FD77CA"/>
    <w:rsid w:val="00FD7879"/>
    <w:rsid w:val="00FD7891"/>
    <w:rsid w:val="00FD798F"/>
    <w:rsid w:val="00FD79B2"/>
    <w:rsid w:val="00FD7A61"/>
    <w:rsid w:val="00FD7AAC"/>
    <w:rsid w:val="00FD7B67"/>
    <w:rsid w:val="00FD7B76"/>
    <w:rsid w:val="00FD7C18"/>
    <w:rsid w:val="00FD7C38"/>
    <w:rsid w:val="00FD7CDE"/>
    <w:rsid w:val="00FD7D2C"/>
    <w:rsid w:val="00FD7E66"/>
    <w:rsid w:val="00FD7F34"/>
    <w:rsid w:val="00FE010D"/>
    <w:rsid w:val="00FE014F"/>
    <w:rsid w:val="00FE017F"/>
    <w:rsid w:val="00FE01D2"/>
    <w:rsid w:val="00FE01F1"/>
    <w:rsid w:val="00FE0275"/>
    <w:rsid w:val="00FE03C4"/>
    <w:rsid w:val="00FE03F8"/>
    <w:rsid w:val="00FE03FE"/>
    <w:rsid w:val="00FE04ED"/>
    <w:rsid w:val="00FE05D2"/>
    <w:rsid w:val="00FE063D"/>
    <w:rsid w:val="00FE06F6"/>
    <w:rsid w:val="00FE070A"/>
    <w:rsid w:val="00FE0724"/>
    <w:rsid w:val="00FE07C7"/>
    <w:rsid w:val="00FE0875"/>
    <w:rsid w:val="00FE0879"/>
    <w:rsid w:val="00FE08AE"/>
    <w:rsid w:val="00FE08AF"/>
    <w:rsid w:val="00FE0A2D"/>
    <w:rsid w:val="00FE0B32"/>
    <w:rsid w:val="00FE0B42"/>
    <w:rsid w:val="00FE0B64"/>
    <w:rsid w:val="00FE0BD2"/>
    <w:rsid w:val="00FE0DDE"/>
    <w:rsid w:val="00FE0DF9"/>
    <w:rsid w:val="00FE0E45"/>
    <w:rsid w:val="00FE0EDF"/>
    <w:rsid w:val="00FE0F98"/>
    <w:rsid w:val="00FE0FE3"/>
    <w:rsid w:val="00FE108B"/>
    <w:rsid w:val="00FE10D1"/>
    <w:rsid w:val="00FE110B"/>
    <w:rsid w:val="00FE120F"/>
    <w:rsid w:val="00FE1217"/>
    <w:rsid w:val="00FE1225"/>
    <w:rsid w:val="00FE124F"/>
    <w:rsid w:val="00FE1251"/>
    <w:rsid w:val="00FE1272"/>
    <w:rsid w:val="00FE1323"/>
    <w:rsid w:val="00FE135F"/>
    <w:rsid w:val="00FE1376"/>
    <w:rsid w:val="00FE13C5"/>
    <w:rsid w:val="00FE13FB"/>
    <w:rsid w:val="00FE145E"/>
    <w:rsid w:val="00FE1474"/>
    <w:rsid w:val="00FE1518"/>
    <w:rsid w:val="00FE1586"/>
    <w:rsid w:val="00FE1612"/>
    <w:rsid w:val="00FE16A6"/>
    <w:rsid w:val="00FE185B"/>
    <w:rsid w:val="00FE18D5"/>
    <w:rsid w:val="00FE18E7"/>
    <w:rsid w:val="00FE18FF"/>
    <w:rsid w:val="00FE190A"/>
    <w:rsid w:val="00FE1A4D"/>
    <w:rsid w:val="00FE1A9A"/>
    <w:rsid w:val="00FE1AC9"/>
    <w:rsid w:val="00FE1C93"/>
    <w:rsid w:val="00FE1C9C"/>
    <w:rsid w:val="00FE1E99"/>
    <w:rsid w:val="00FE1F60"/>
    <w:rsid w:val="00FE202E"/>
    <w:rsid w:val="00FE21B0"/>
    <w:rsid w:val="00FE221F"/>
    <w:rsid w:val="00FE222D"/>
    <w:rsid w:val="00FE2385"/>
    <w:rsid w:val="00FE2555"/>
    <w:rsid w:val="00FE25B4"/>
    <w:rsid w:val="00FE2623"/>
    <w:rsid w:val="00FE2639"/>
    <w:rsid w:val="00FE269A"/>
    <w:rsid w:val="00FE2713"/>
    <w:rsid w:val="00FE27F3"/>
    <w:rsid w:val="00FE2802"/>
    <w:rsid w:val="00FE2955"/>
    <w:rsid w:val="00FE2C77"/>
    <w:rsid w:val="00FE2D42"/>
    <w:rsid w:val="00FE2DC6"/>
    <w:rsid w:val="00FE2EF1"/>
    <w:rsid w:val="00FE2F30"/>
    <w:rsid w:val="00FE300F"/>
    <w:rsid w:val="00FE318C"/>
    <w:rsid w:val="00FE31EE"/>
    <w:rsid w:val="00FE33D3"/>
    <w:rsid w:val="00FE3516"/>
    <w:rsid w:val="00FE356B"/>
    <w:rsid w:val="00FE383D"/>
    <w:rsid w:val="00FE38A3"/>
    <w:rsid w:val="00FE3966"/>
    <w:rsid w:val="00FE398F"/>
    <w:rsid w:val="00FE399E"/>
    <w:rsid w:val="00FE3A6A"/>
    <w:rsid w:val="00FE3B90"/>
    <w:rsid w:val="00FE3BE3"/>
    <w:rsid w:val="00FE3CA3"/>
    <w:rsid w:val="00FE3DC6"/>
    <w:rsid w:val="00FE3E9B"/>
    <w:rsid w:val="00FE3F04"/>
    <w:rsid w:val="00FE3F69"/>
    <w:rsid w:val="00FE3FA5"/>
    <w:rsid w:val="00FE4070"/>
    <w:rsid w:val="00FE40CE"/>
    <w:rsid w:val="00FE4135"/>
    <w:rsid w:val="00FE41D8"/>
    <w:rsid w:val="00FE4258"/>
    <w:rsid w:val="00FE425E"/>
    <w:rsid w:val="00FE4350"/>
    <w:rsid w:val="00FE4394"/>
    <w:rsid w:val="00FE460D"/>
    <w:rsid w:val="00FE465B"/>
    <w:rsid w:val="00FE465E"/>
    <w:rsid w:val="00FE46B9"/>
    <w:rsid w:val="00FE478F"/>
    <w:rsid w:val="00FE4796"/>
    <w:rsid w:val="00FE485E"/>
    <w:rsid w:val="00FE4979"/>
    <w:rsid w:val="00FE49BF"/>
    <w:rsid w:val="00FE4A06"/>
    <w:rsid w:val="00FE4B60"/>
    <w:rsid w:val="00FE4BBE"/>
    <w:rsid w:val="00FE4BCC"/>
    <w:rsid w:val="00FE4C5C"/>
    <w:rsid w:val="00FE4D09"/>
    <w:rsid w:val="00FE4EB4"/>
    <w:rsid w:val="00FE4FD6"/>
    <w:rsid w:val="00FE50A8"/>
    <w:rsid w:val="00FE5150"/>
    <w:rsid w:val="00FE518E"/>
    <w:rsid w:val="00FE518F"/>
    <w:rsid w:val="00FE51E1"/>
    <w:rsid w:val="00FE51F8"/>
    <w:rsid w:val="00FE541A"/>
    <w:rsid w:val="00FE5475"/>
    <w:rsid w:val="00FE54E4"/>
    <w:rsid w:val="00FE5513"/>
    <w:rsid w:val="00FE55F1"/>
    <w:rsid w:val="00FE568F"/>
    <w:rsid w:val="00FE572D"/>
    <w:rsid w:val="00FE573E"/>
    <w:rsid w:val="00FE587E"/>
    <w:rsid w:val="00FE589A"/>
    <w:rsid w:val="00FE5952"/>
    <w:rsid w:val="00FE5965"/>
    <w:rsid w:val="00FE5A2D"/>
    <w:rsid w:val="00FE5A87"/>
    <w:rsid w:val="00FE5AD2"/>
    <w:rsid w:val="00FE5B7E"/>
    <w:rsid w:val="00FE5B8C"/>
    <w:rsid w:val="00FE5BFD"/>
    <w:rsid w:val="00FE5E60"/>
    <w:rsid w:val="00FE5F78"/>
    <w:rsid w:val="00FE5FA7"/>
    <w:rsid w:val="00FE5FC7"/>
    <w:rsid w:val="00FE5FE2"/>
    <w:rsid w:val="00FE6049"/>
    <w:rsid w:val="00FE613F"/>
    <w:rsid w:val="00FE61E5"/>
    <w:rsid w:val="00FE6379"/>
    <w:rsid w:val="00FE64B8"/>
    <w:rsid w:val="00FE6552"/>
    <w:rsid w:val="00FE656E"/>
    <w:rsid w:val="00FE65D5"/>
    <w:rsid w:val="00FE6632"/>
    <w:rsid w:val="00FE6791"/>
    <w:rsid w:val="00FE67A1"/>
    <w:rsid w:val="00FE682A"/>
    <w:rsid w:val="00FE682C"/>
    <w:rsid w:val="00FE68A7"/>
    <w:rsid w:val="00FE692D"/>
    <w:rsid w:val="00FE6947"/>
    <w:rsid w:val="00FE6953"/>
    <w:rsid w:val="00FE69D3"/>
    <w:rsid w:val="00FE6A22"/>
    <w:rsid w:val="00FE6AAC"/>
    <w:rsid w:val="00FE6B67"/>
    <w:rsid w:val="00FE6BD9"/>
    <w:rsid w:val="00FE6C9B"/>
    <w:rsid w:val="00FE6CF6"/>
    <w:rsid w:val="00FE6D25"/>
    <w:rsid w:val="00FE6DD5"/>
    <w:rsid w:val="00FE6E28"/>
    <w:rsid w:val="00FE6E81"/>
    <w:rsid w:val="00FE6EC5"/>
    <w:rsid w:val="00FE6EDC"/>
    <w:rsid w:val="00FE6EFE"/>
    <w:rsid w:val="00FE6F3E"/>
    <w:rsid w:val="00FE6F8F"/>
    <w:rsid w:val="00FE6FB8"/>
    <w:rsid w:val="00FE6FC1"/>
    <w:rsid w:val="00FE7145"/>
    <w:rsid w:val="00FE71B7"/>
    <w:rsid w:val="00FE7398"/>
    <w:rsid w:val="00FE73D7"/>
    <w:rsid w:val="00FE74A0"/>
    <w:rsid w:val="00FE74B0"/>
    <w:rsid w:val="00FE7528"/>
    <w:rsid w:val="00FE76E9"/>
    <w:rsid w:val="00FE77B9"/>
    <w:rsid w:val="00FE79A0"/>
    <w:rsid w:val="00FE79B7"/>
    <w:rsid w:val="00FE7A85"/>
    <w:rsid w:val="00FE7B1A"/>
    <w:rsid w:val="00FE7C48"/>
    <w:rsid w:val="00FE7C6F"/>
    <w:rsid w:val="00FE7C7E"/>
    <w:rsid w:val="00FE7CA6"/>
    <w:rsid w:val="00FE7D49"/>
    <w:rsid w:val="00FE7D86"/>
    <w:rsid w:val="00FE7DD1"/>
    <w:rsid w:val="00FE7F4F"/>
    <w:rsid w:val="00FE7F67"/>
    <w:rsid w:val="00FE7F72"/>
    <w:rsid w:val="00FE7FD6"/>
    <w:rsid w:val="00FF005E"/>
    <w:rsid w:val="00FF00B8"/>
    <w:rsid w:val="00FF0110"/>
    <w:rsid w:val="00FF0140"/>
    <w:rsid w:val="00FF015E"/>
    <w:rsid w:val="00FF01EF"/>
    <w:rsid w:val="00FF021E"/>
    <w:rsid w:val="00FF0297"/>
    <w:rsid w:val="00FF029C"/>
    <w:rsid w:val="00FF03B9"/>
    <w:rsid w:val="00FF03F2"/>
    <w:rsid w:val="00FF05D4"/>
    <w:rsid w:val="00FF05D5"/>
    <w:rsid w:val="00FF0649"/>
    <w:rsid w:val="00FF0810"/>
    <w:rsid w:val="00FF08EF"/>
    <w:rsid w:val="00FF0914"/>
    <w:rsid w:val="00FF093A"/>
    <w:rsid w:val="00FF0C29"/>
    <w:rsid w:val="00FF0DAE"/>
    <w:rsid w:val="00FF0DC1"/>
    <w:rsid w:val="00FF0F23"/>
    <w:rsid w:val="00FF10AD"/>
    <w:rsid w:val="00FF11D2"/>
    <w:rsid w:val="00FF126E"/>
    <w:rsid w:val="00FF1302"/>
    <w:rsid w:val="00FF1368"/>
    <w:rsid w:val="00FF142F"/>
    <w:rsid w:val="00FF14CC"/>
    <w:rsid w:val="00FF14D1"/>
    <w:rsid w:val="00FF155A"/>
    <w:rsid w:val="00FF15BF"/>
    <w:rsid w:val="00FF185E"/>
    <w:rsid w:val="00FF1891"/>
    <w:rsid w:val="00FF19E9"/>
    <w:rsid w:val="00FF1C16"/>
    <w:rsid w:val="00FF1CA5"/>
    <w:rsid w:val="00FF1E78"/>
    <w:rsid w:val="00FF1E91"/>
    <w:rsid w:val="00FF1E99"/>
    <w:rsid w:val="00FF1EC8"/>
    <w:rsid w:val="00FF1F1E"/>
    <w:rsid w:val="00FF1F91"/>
    <w:rsid w:val="00FF212D"/>
    <w:rsid w:val="00FF21E1"/>
    <w:rsid w:val="00FF225A"/>
    <w:rsid w:val="00FF225D"/>
    <w:rsid w:val="00FF2653"/>
    <w:rsid w:val="00FF2674"/>
    <w:rsid w:val="00FF2704"/>
    <w:rsid w:val="00FF27E1"/>
    <w:rsid w:val="00FF2846"/>
    <w:rsid w:val="00FF2932"/>
    <w:rsid w:val="00FF2A58"/>
    <w:rsid w:val="00FF2B21"/>
    <w:rsid w:val="00FF2BE2"/>
    <w:rsid w:val="00FF2D12"/>
    <w:rsid w:val="00FF2E50"/>
    <w:rsid w:val="00FF2EE2"/>
    <w:rsid w:val="00FF3090"/>
    <w:rsid w:val="00FF30B2"/>
    <w:rsid w:val="00FF3176"/>
    <w:rsid w:val="00FF31C4"/>
    <w:rsid w:val="00FF3201"/>
    <w:rsid w:val="00FF32EB"/>
    <w:rsid w:val="00FF32EC"/>
    <w:rsid w:val="00FF337C"/>
    <w:rsid w:val="00FF33F6"/>
    <w:rsid w:val="00FF3477"/>
    <w:rsid w:val="00FF34E6"/>
    <w:rsid w:val="00FF3571"/>
    <w:rsid w:val="00FF3618"/>
    <w:rsid w:val="00FF36C2"/>
    <w:rsid w:val="00FF36EC"/>
    <w:rsid w:val="00FF36F9"/>
    <w:rsid w:val="00FF3763"/>
    <w:rsid w:val="00FF3985"/>
    <w:rsid w:val="00FF39E2"/>
    <w:rsid w:val="00FF39FF"/>
    <w:rsid w:val="00FF3A2A"/>
    <w:rsid w:val="00FF3AC6"/>
    <w:rsid w:val="00FF3AF2"/>
    <w:rsid w:val="00FF3B09"/>
    <w:rsid w:val="00FF3BDA"/>
    <w:rsid w:val="00FF3BFF"/>
    <w:rsid w:val="00FF3CD1"/>
    <w:rsid w:val="00FF3E67"/>
    <w:rsid w:val="00FF3FD3"/>
    <w:rsid w:val="00FF40D4"/>
    <w:rsid w:val="00FF40FB"/>
    <w:rsid w:val="00FF4201"/>
    <w:rsid w:val="00FF426A"/>
    <w:rsid w:val="00FF42FD"/>
    <w:rsid w:val="00FF4390"/>
    <w:rsid w:val="00FF43BA"/>
    <w:rsid w:val="00FF43CC"/>
    <w:rsid w:val="00FF45C4"/>
    <w:rsid w:val="00FF464A"/>
    <w:rsid w:val="00FF46DA"/>
    <w:rsid w:val="00FF46E1"/>
    <w:rsid w:val="00FF4747"/>
    <w:rsid w:val="00FF4875"/>
    <w:rsid w:val="00FF491C"/>
    <w:rsid w:val="00FF492F"/>
    <w:rsid w:val="00FF493B"/>
    <w:rsid w:val="00FF4A0D"/>
    <w:rsid w:val="00FF4B70"/>
    <w:rsid w:val="00FF4C34"/>
    <w:rsid w:val="00FF4D6A"/>
    <w:rsid w:val="00FF4FCC"/>
    <w:rsid w:val="00FF5087"/>
    <w:rsid w:val="00FF5088"/>
    <w:rsid w:val="00FF5090"/>
    <w:rsid w:val="00FF50B9"/>
    <w:rsid w:val="00FF5181"/>
    <w:rsid w:val="00FF521E"/>
    <w:rsid w:val="00FF522C"/>
    <w:rsid w:val="00FF5324"/>
    <w:rsid w:val="00FF5349"/>
    <w:rsid w:val="00FF5530"/>
    <w:rsid w:val="00FF572C"/>
    <w:rsid w:val="00FF574C"/>
    <w:rsid w:val="00FF5775"/>
    <w:rsid w:val="00FF57B5"/>
    <w:rsid w:val="00FF582C"/>
    <w:rsid w:val="00FF5837"/>
    <w:rsid w:val="00FF5892"/>
    <w:rsid w:val="00FF589B"/>
    <w:rsid w:val="00FF5B4D"/>
    <w:rsid w:val="00FF5B94"/>
    <w:rsid w:val="00FF5CF4"/>
    <w:rsid w:val="00FF5D4D"/>
    <w:rsid w:val="00FF5FEC"/>
    <w:rsid w:val="00FF605F"/>
    <w:rsid w:val="00FF6127"/>
    <w:rsid w:val="00FF616A"/>
    <w:rsid w:val="00FF6375"/>
    <w:rsid w:val="00FF63AA"/>
    <w:rsid w:val="00FF63E2"/>
    <w:rsid w:val="00FF64F7"/>
    <w:rsid w:val="00FF658E"/>
    <w:rsid w:val="00FF6672"/>
    <w:rsid w:val="00FF6764"/>
    <w:rsid w:val="00FF68AD"/>
    <w:rsid w:val="00FF68E7"/>
    <w:rsid w:val="00FF68FD"/>
    <w:rsid w:val="00FF694C"/>
    <w:rsid w:val="00FF6A17"/>
    <w:rsid w:val="00FF6A1A"/>
    <w:rsid w:val="00FF6B99"/>
    <w:rsid w:val="00FF6C35"/>
    <w:rsid w:val="00FF6CF0"/>
    <w:rsid w:val="00FF6D0D"/>
    <w:rsid w:val="00FF6DB4"/>
    <w:rsid w:val="00FF6F51"/>
    <w:rsid w:val="00FF6F6C"/>
    <w:rsid w:val="00FF6F8E"/>
    <w:rsid w:val="00FF6F9F"/>
    <w:rsid w:val="00FF700C"/>
    <w:rsid w:val="00FF71C7"/>
    <w:rsid w:val="00FF7220"/>
    <w:rsid w:val="00FF72A4"/>
    <w:rsid w:val="00FF72BA"/>
    <w:rsid w:val="00FF72E4"/>
    <w:rsid w:val="00FF730D"/>
    <w:rsid w:val="00FF731A"/>
    <w:rsid w:val="00FF73D5"/>
    <w:rsid w:val="00FF73E1"/>
    <w:rsid w:val="00FF74FA"/>
    <w:rsid w:val="00FF758B"/>
    <w:rsid w:val="00FF7604"/>
    <w:rsid w:val="00FF7633"/>
    <w:rsid w:val="00FF7659"/>
    <w:rsid w:val="00FF76F9"/>
    <w:rsid w:val="00FF786B"/>
    <w:rsid w:val="00FF79C6"/>
    <w:rsid w:val="00FF7AAB"/>
    <w:rsid w:val="00FF7B04"/>
    <w:rsid w:val="00FF7B6B"/>
    <w:rsid w:val="00FF7B75"/>
    <w:rsid w:val="00FF7BA5"/>
    <w:rsid w:val="00FF7C66"/>
    <w:rsid w:val="00FF7EC8"/>
    <w:rsid w:val="00FF7F8F"/>
    <w:rsid w:val="00FF7FF0"/>
    <w:rsid w:val="0110FE4C"/>
    <w:rsid w:val="01155894"/>
    <w:rsid w:val="012A1F27"/>
    <w:rsid w:val="01305EC7"/>
    <w:rsid w:val="015BA3C5"/>
    <w:rsid w:val="016ADD51"/>
    <w:rsid w:val="018BC3FD"/>
    <w:rsid w:val="019D657A"/>
    <w:rsid w:val="01B16313"/>
    <w:rsid w:val="01C15DE7"/>
    <w:rsid w:val="01C2DB53"/>
    <w:rsid w:val="01CE4BB9"/>
    <w:rsid w:val="01F041E0"/>
    <w:rsid w:val="02189A70"/>
    <w:rsid w:val="022BBA55"/>
    <w:rsid w:val="024B4F09"/>
    <w:rsid w:val="02578B71"/>
    <w:rsid w:val="02601AD7"/>
    <w:rsid w:val="02778FCC"/>
    <w:rsid w:val="027A3D2B"/>
    <w:rsid w:val="02A185E4"/>
    <w:rsid w:val="02AF0B57"/>
    <w:rsid w:val="02B0B7EF"/>
    <w:rsid w:val="02B635F5"/>
    <w:rsid w:val="02BD713D"/>
    <w:rsid w:val="02CADDDC"/>
    <w:rsid w:val="02DEB6C8"/>
    <w:rsid w:val="02FBB136"/>
    <w:rsid w:val="0309F478"/>
    <w:rsid w:val="030F8085"/>
    <w:rsid w:val="03119569"/>
    <w:rsid w:val="03234488"/>
    <w:rsid w:val="03282850"/>
    <w:rsid w:val="034DDB31"/>
    <w:rsid w:val="036AE1BA"/>
    <w:rsid w:val="03ACABA7"/>
    <w:rsid w:val="03AD6721"/>
    <w:rsid w:val="03B4BDFC"/>
    <w:rsid w:val="03D91435"/>
    <w:rsid w:val="03E17EEB"/>
    <w:rsid w:val="03E59579"/>
    <w:rsid w:val="03EC1359"/>
    <w:rsid w:val="042F90FB"/>
    <w:rsid w:val="045746C8"/>
    <w:rsid w:val="046CB040"/>
    <w:rsid w:val="0474B862"/>
    <w:rsid w:val="04820EB5"/>
    <w:rsid w:val="048F80A6"/>
    <w:rsid w:val="04EC9CEB"/>
    <w:rsid w:val="04EFFED9"/>
    <w:rsid w:val="04F73F48"/>
    <w:rsid w:val="05062746"/>
    <w:rsid w:val="051823CC"/>
    <w:rsid w:val="0525000C"/>
    <w:rsid w:val="052B8112"/>
    <w:rsid w:val="053DF598"/>
    <w:rsid w:val="05481161"/>
    <w:rsid w:val="0566B0CD"/>
    <w:rsid w:val="05A1F678"/>
    <w:rsid w:val="05B2CA4D"/>
    <w:rsid w:val="05C936A7"/>
    <w:rsid w:val="05D7748B"/>
    <w:rsid w:val="05DE9EAE"/>
    <w:rsid w:val="05F7752B"/>
    <w:rsid w:val="05FAA921"/>
    <w:rsid w:val="0604720D"/>
    <w:rsid w:val="06123576"/>
    <w:rsid w:val="063816FE"/>
    <w:rsid w:val="063EBCA9"/>
    <w:rsid w:val="063ECB55"/>
    <w:rsid w:val="064B2BB9"/>
    <w:rsid w:val="065663E0"/>
    <w:rsid w:val="065AE37A"/>
    <w:rsid w:val="0675D994"/>
    <w:rsid w:val="06B5EF88"/>
    <w:rsid w:val="06BC598C"/>
    <w:rsid w:val="06C8AF63"/>
    <w:rsid w:val="06EBFC28"/>
    <w:rsid w:val="06F2F8C0"/>
    <w:rsid w:val="06FBB0C9"/>
    <w:rsid w:val="07068C8E"/>
    <w:rsid w:val="07283177"/>
    <w:rsid w:val="073435AB"/>
    <w:rsid w:val="07389179"/>
    <w:rsid w:val="0739D36C"/>
    <w:rsid w:val="076A7308"/>
    <w:rsid w:val="076A790B"/>
    <w:rsid w:val="07786458"/>
    <w:rsid w:val="077AB7F6"/>
    <w:rsid w:val="077B3A39"/>
    <w:rsid w:val="0780DA71"/>
    <w:rsid w:val="07819301"/>
    <w:rsid w:val="07A811FE"/>
    <w:rsid w:val="07A82EF9"/>
    <w:rsid w:val="07B39646"/>
    <w:rsid w:val="07C5CE37"/>
    <w:rsid w:val="07D3C673"/>
    <w:rsid w:val="07DDD8AB"/>
    <w:rsid w:val="07F5B9C0"/>
    <w:rsid w:val="080669F0"/>
    <w:rsid w:val="0893F67A"/>
    <w:rsid w:val="08BE011B"/>
    <w:rsid w:val="08C0F309"/>
    <w:rsid w:val="08C2BD39"/>
    <w:rsid w:val="08C8A562"/>
    <w:rsid w:val="08FB69D7"/>
    <w:rsid w:val="08FCD2C4"/>
    <w:rsid w:val="09145A20"/>
    <w:rsid w:val="09247E09"/>
    <w:rsid w:val="093EEB74"/>
    <w:rsid w:val="0947D424"/>
    <w:rsid w:val="095F59DE"/>
    <w:rsid w:val="096DB71C"/>
    <w:rsid w:val="09733B36"/>
    <w:rsid w:val="09847F68"/>
    <w:rsid w:val="09A6C1CB"/>
    <w:rsid w:val="09B4ACD9"/>
    <w:rsid w:val="09C380D5"/>
    <w:rsid w:val="09CB8C00"/>
    <w:rsid w:val="09D561D4"/>
    <w:rsid w:val="09D8E745"/>
    <w:rsid w:val="09E259D5"/>
    <w:rsid w:val="09F27CE2"/>
    <w:rsid w:val="09FCB122"/>
    <w:rsid w:val="0A12F5B3"/>
    <w:rsid w:val="0A17BFAF"/>
    <w:rsid w:val="0A2FAB87"/>
    <w:rsid w:val="0A632B64"/>
    <w:rsid w:val="0A64F64D"/>
    <w:rsid w:val="0A678256"/>
    <w:rsid w:val="0A7E9AD6"/>
    <w:rsid w:val="0AC90DD4"/>
    <w:rsid w:val="0AD77FC5"/>
    <w:rsid w:val="0AE446EF"/>
    <w:rsid w:val="0B17F7A2"/>
    <w:rsid w:val="0B18E971"/>
    <w:rsid w:val="0B1E21B7"/>
    <w:rsid w:val="0B30B30F"/>
    <w:rsid w:val="0B5396A9"/>
    <w:rsid w:val="0B84B5FB"/>
    <w:rsid w:val="0B86B7CA"/>
    <w:rsid w:val="0B9D140F"/>
    <w:rsid w:val="0BA2EA10"/>
    <w:rsid w:val="0BA30415"/>
    <w:rsid w:val="0BC706A8"/>
    <w:rsid w:val="0BCB0DCA"/>
    <w:rsid w:val="0BEAEA76"/>
    <w:rsid w:val="0BEB8C1B"/>
    <w:rsid w:val="0BFCA75E"/>
    <w:rsid w:val="0C10996F"/>
    <w:rsid w:val="0C29FC38"/>
    <w:rsid w:val="0C4CACF9"/>
    <w:rsid w:val="0C5916BA"/>
    <w:rsid w:val="0C621318"/>
    <w:rsid w:val="0C650659"/>
    <w:rsid w:val="0CA7B46F"/>
    <w:rsid w:val="0CADA7DA"/>
    <w:rsid w:val="0CD25560"/>
    <w:rsid w:val="0CDD7139"/>
    <w:rsid w:val="0CF435B6"/>
    <w:rsid w:val="0D12A6D2"/>
    <w:rsid w:val="0D55CAB0"/>
    <w:rsid w:val="0D5E6282"/>
    <w:rsid w:val="0D6730DE"/>
    <w:rsid w:val="0D74827B"/>
    <w:rsid w:val="0D7A978B"/>
    <w:rsid w:val="0D7BAA33"/>
    <w:rsid w:val="0DA8BD8A"/>
    <w:rsid w:val="0DFA0410"/>
    <w:rsid w:val="0E0635A6"/>
    <w:rsid w:val="0E0CE478"/>
    <w:rsid w:val="0E16C81B"/>
    <w:rsid w:val="0E26C644"/>
    <w:rsid w:val="0E2B2D20"/>
    <w:rsid w:val="0E7077F8"/>
    <w:rsid w:val="0E904B05"/>
    <w:rsid w:val="0E9F3BE2"/>
    <w:rsid w:val="0EB21E60"/>
    <w:rsid w:val="0EC08BF5"/>
    <w:rsid w:val="0EC40283"/>
    <w:rsid w:val="0EC89A61"/>
    <w:rsid w:val="0EDA7995"/>
    <w:rsid w:val="0EE86E4B"/>
    <w:rsid w:val="0EEC836D"/>
    <w:rsid w:val="0F00945A"/>
    <w:rsid w:val="0F08AC50"/>
    <w:rsid w:val="0F0FC4FF"/>
    <w:rsid w:val="0F16C478"/>
    <w:rsid w:val="0F16D8C5"/>
    <w:rsid w:val="0F194719"/>
    <w:rsid w:val="0F3D7121"/>
    <w:rsid w:val="0F7F7BEF"/>
    <w:rsid w:val="0FA88181"/>
    <w:rsid w:val="0FABEDDC"/>
    <w:rsid w:val="0FB086ED"/>
    <w:rsid w:val="0FD6A198"/>
    <w:rsid w:val="0FDB1CF2"/>
    <w:rsid w:val="0FE049DA"/>
    <w:rsid w:val="0FE46420"/>
    <w:rsid w:val="0FEFF97D"/>
    <w:rsid w:val="1006F61C"/>
    <w:rsid w:val="1017EBEF"/>
    <w:rsid w:val="10377213"/>
    <w:rsid w:val="10381D48"/>
    <w:rsid w:val="103CAA43"/>
    <w:rsid w:val="10557BFC"/>
    <w:rsid w:val="10618DC7"/>
    <w:rsid w:val="10717B85"/>
    <w:rsid w:val="10744497"/>
    <w:rsid w:val="1085685C"/>
    <w:rsid w:val="10B1FB96"/>
    <w:rsid w:val="10C52BF7"/>
    <w:rsid w:val="10EE0FA4"/>
    <w:rsid w:val="10F768B8"/>
    <w:rsid w:val="11170C86"/>
    <w:rsid w:val="111D2627"/>
    <w:rsid w:val="115986C8"/>
    <w:rsid w:val="115D1E7C"/>
    <w:rsid w:val="116E9086"/>
    <w:rsid w:val="11B25676"/>
    <w:rsid w:val="11B50F0E"/>
    <w:rsid w:val="11C8AD2C"/>
    <w:rsid w:val="11D68243"/>
    <w:rsid w:val="11D73D61"/>
    <w:rsid w:val="11F3ECE7"/>
    <w:rsid w:val="1222B0D1"/>
    <w:rsid w:val="1226FF79"/>
    <w:rsid w:val="124BDE7C"/>
    <w:rsid w:val="124C91BD"/>
    <w:rsid w:val="125B1C1B"/>
    <w:rsid w:val="125B6EA6"/>
    <w:rsid w:val="129A2529"/>
    <w:rsid w:val="129F4433"/>
    <w:rsid w:val="12B24183"/>
    <w:rsid w:val="12D88E04"/>
    <w:rsid w:val="12DD1C0D"/>
    <w:rsid w:val="12ED3B24"/>
    <w:rsid w:val="13074459"/>
    <w:rsid w:val="131F025F"/>
    <w:rsid w:val="1363961A"/>
    <w:rsid w:val="13678EAE"/>
    <w:rsid w:val="1370478A"/>
    <w:rsid w:val="13799D71"/>
    <w:rsid w:val="138870CB"/>
    <w:rsid w:val="13915B77"/>
    <w:rsid w:val="1394313C"/>
    <w:rsid w:val="13A1AA4B"/>
    <w:rsid w:val="1401BC51"/>
    <w:rsid w:val="140A973E"/>
    <w:rsid w:val="140CCCCF"/>
    <w:rsid w:val="140CD7E8"/>
    <w:rsid w:val="14122DDA"/>
    <w:rsid w:val="1413EA92"/>
    <w:rsid w:val="141913AE"/>
    <w:rsid w:val="1445527A"/>
    <w:rsid w:val="14474C3C"/>
    <w:rsid w:val="144BC6A2"/>
    <w:rsid w:val="144C89E8"/>
    <w:rsid w:val="1457CB88"/>
    <w:rsid w:val="145D7DBD"/>
    <w:rsid w:val="14632C47"/>
    <w:rsid w:val="146DE4AE"/>
    <w:rsid w:val="147DFB2D"/>
    <w:rsid w:val="1481ADAF"/>
    <w:rsid w:val="14899913"/>
    <w:rsid w:val="148B12B7"/>
    <w:rsid w:val="14987056"/>
    <w:rsid w:val="14AED32F"/>
    <w:rsid w:val="14BA7F6A"/>
    <w:rsid w:val="14BC14DE"/>
    <w:rsid w:val="14C153ED"/>
    <w:rsid w:val="14C5F723"/>
    <w:rsid w:val="14D6141E"/>
    <w:rsid w:val="14F92869"/>
    <w:rsid w:val="14F94FBE"/>
    <w:rsid w:val="150AC838"/>
    <w:rsid w:val="1512438D"/>
    <w:rsid w:val="1515A0A3"/>
    <w:rsid w:val="151665A7"/>
    <w:rsid w:val="153770D8"/>
    <w:rsid w:val="153CF307"/>
    <w:rsid w:val="157364E5"/>
    <w:rsid w:val="1577BB03"/>
    <w:rsid w:val="157849E5"/>
    <w:rsid w:val="1578B302"/>
    <w:rsid w:val="157EEBD5"/>
    <w:rsid w:val="15837799"/>
    <w:rsid w:val="159FC057"/>
    <w:rsid w:val="15B2826F"/>
    <w:rsid w:val="15B6B50F"/>
    <w:rsid w:val="15BB8C7A"/>
    <w:rsid w:val="15BBFEAA"/>
    <w:rsid w:val="15BE3CF3"/>
    <w:rsid w:val="15C4DE39"/>
    <w:rsid w:val="15D5AD66"/>
    <w:rsid w:val="15E11EBF"/>
    <w:rsid w:val="15F542F5"/>
    <w:rsid w:val="15F97683"/>
    <w:rsid w:val="1604ADFD"/>
    <w:rsid w:val="1608534E"/>
    <w:rsid w:val="162908D4"/>
    <w:rsid w:val="169C6459"/>
    <w:rsid w:val="16B7B6CA"/>
    <w:rsid w:val="16D5027B"/>
    <w:rsid w:val="16E36A0A"/>
    <w:rsid w:val="1701B8A8"/>
    <w:rsid w:val="170D29DA"/>
    <w:rsid w:val="174B6233"/>
    <w:rsid w:val="17640D62"/>
    <w:rsid w:val="177753B7"/>
    <w:rsid w:val="177D4285"/>
    <w:rsid w:val="1789ADD8"/>
    <w:rsid w:val="179E0824"/>
    <w:rsid w:val="17A06FC3"/>
    <w:rsid w:val="17AE717B"/>
    <w:rsid w:val="17B74D66"/>
    <w:rsid w:val="17B9DFAA"/>
    <w:rsid w:val="17F7CD42"/>
    <w:rsid w:val="1804E7E1"/>
    <w:rsid w:val="180D45C8"/>
    <w:rsid w:val="1822FCB1"/>
    <w:rsid w:val="182D8442"/>
    <w:rsid w:val="1843CCDA"/>
    <w:rsid w:val="1853AB92"/>
    <w:rsid w:val="186D852A"/>
    <w:rsid w:val="18A7F95A"/>
    <w:rsid w:val="18AAA100"/>
    <w:rsid w:val="18AACE6F"/>
    <w:rsid w:val="18BC4E13"/>
    <w:rsid w:val="18DAA074"/>
    <w:rsid w:val="18EE9138"/>
    <w:rsid w:val="18F7C114"/>
    <w:rsid w:val="1921AC47"/>
    <w:rsid w:val="19347216"/>
    <w:rsid w:val="193F8F69"/>
    <w:rsid w:val="1941CDA6"/>
    <w:rsid w:val="1958AABB"/>
    <w:rsid w:val="197A1D45"/>
    <w:rsid w:val="197FBFAE"/>
    <w:rsid w:val="19963169"/>
    <w:rsid w:val="199C6206"/>
    <w:rsid w:val="19C4AAEA"/>
    <w:rsid w:val="19D04542"/>
    <w:rsid w:val="19EFD05C"/>
    <w:rsid w:val="1A08C497"/>
    <w:rsid w:val="1A0B6566"/>
    <w:rsid w:val="1A0E4165"/>
    <w:rsid w:val="1A169085"/>
    <w:rsid w:val="1A180786"/>
    <w:rsid w:val="1A6CF2A7"/>
    <w:rsid w:val="1A768D7B"/>
    <w:rsid w:val="1A7AB1B7"/>
    <w:rsid w:val="1A8DD2CA"/>
    <w:rsid w:val="1AA405CF"/>
    <w:rsid w:val="1AB21B80"/>
    <w:rsid w:val="1AC689C8"/>
    <w:rsid w:val="1AD35157"/>
    <w:rsid w:val="1AD42B7A"/>
    <w:rsid w:val="1AD80A82"/>
    <w:rsid w:val="1AE8B968"/>
    <w:rsid w:val="1AEDFAB4"/>
    <w:rsid w:val="1B137C98"/>
    <w:rsid w:val="1B1444CB"/>
    <w:rsid w:val="1B1B047C"/>
    <w:rsid w:val="1B1C7241"/>
    <w:rsid w:val="1B1C81E8"/>
    <w:rsid w:val="1B5C96D4"/>
    <w:rsid w:val="1B5D9D8B"/>
    <w:rsid w:val="1B612913"/>
    <w:rsid w:val="1B6F55F3"/>
    <w:rsid w:val="1B747849"/>
    <w:rsid w:val="1B86D8D5"/>
    <w:rsid w:val="1B88FCDE"/>
    <w:rsid w:val="1B8AF173"/>
    <w:rsid w:val="1B97E568"/>
    <w:rsid w:val="1BCAA264"/>
    <w:rsid w:val="1BDCEDDF"/>
    <w:rsid w:val="1C075D90"/>
    <w:rsid w:val="1C0BA154"/>
    <w:rsid w:val="1C285378"/>
    <w:rsid w:val="1C3304FF"/>
    <w:rsid w:val="1C3E08C2"/>
    <w:rsid w:val="1C468731"/>
    <w:rsid w:val="1C68EE46"/>
    <w:rsid w:val="1C87805B"/>
    <w:rsid w:val="1CA06CC8"/>
    <w:rsid w:val="1CB0847F"/>
    <w:rsid w:val="1CEA01C0"/>
    <w:rsid w:val="1D00BD3C"/>
    <w:rsid w:val="1D0E6769"/>
    <w:rsid w:val="1D30CF2A"/>
    <w:rsid w:val="1D310EBB"/>
    <w:rsid w:val="1D3FBD58"/>
    <w:rsid w:val="1D65A0E1"/>
    <w:rsid w:val="1D7C4123"/>
    <w:rsid w:val="1D842613"/>
    <w:rsid w:val="1D9C65DA"/>
    <w:rsid w:val="1D9E0193"/>
    <w:rsid w:val="1DBB2407"/>
    <w:rsid w:val="1DBC322A"/>
    <w:rsid w:val="1DDDBC70"/>
    <w:rsid w:val="1DE150DB"/>
    <w:rsid w:val="1DEBFD08"/>
    <w:rsid w:val="1DEC0D76"/>
    <w:rsid w:val="1E0F2933"/>
    <w:rsid w:val="1E2CCAF9"/>
    <w:rsid w:val="1E3DAB2D"/>
    <w:rsid w:val="1E4679DD"/>
    <w:rsid w:val="1E4E5582"/>
    <w:rsid w:val="1E934771"/>
    <w:rsid w:val="1E9B875F"/>
    <w:rsid w:val="1E9DA6A5"/>
    <w:rsid w:val="1E9F56E2"/>
    <w:rsid w:val="1EA5539D"/>
    <w:rsid w:val="1EB32C07"/>
    <w:rsid w:val="1EB32C23"/>
    <w:rsid w:val="1EC2E634"/>
    <w:rsid w:val="1EDF042A"/>
    <w:rsid w:val="1EE32777"/>
    <w:rsid w:val="1EF1FBD8"/>
    <w:rsid w:val="1EF43B10"/>
    <w:rsid w:val="1EFD54AE"/>
    <w:rsid w:val="1F1C4390"/>
    <w:rsid w:val="1F28A006"/>
    <w:rsid w:val="1F30E84F"/>
    <w:rsid w:val="1F39D0E5"/>
    <w:rsid w:val="1F45946D"/>
    <w:rsid w:val="1F4E67EA"/>
    <w:rsid w:val="1F4F46E9"/>
    <w:rsid w:val="1F4F4FD7"/>
    <w:rsid w:val="1F78523F"/>
    <w:rsid w:val="1F8226FF"/>
    <w:rsid w:val="1F96E313"/>
    <w:rsid w:val="1FA05CE1"/>
    <w:rsid w:val="1FB9EB27"/>
    <w:rsid w:val="1FC787B7"/>
    <w:rsid w:val="1FE889E8"/>
    <w:rsid w:val="1FED4A5E"/>
    <w:rsid w:val="1FF494D4"/>
    <w:rsid w:val="2004DB75"/>
    <w:rsid w:val="2020228B"/>
    <w:rsid w:val="20256C13"/>
    <w:rsid w:val="2067BBA2"/>
    <w:rsid w:val="20685F31"/>
    <w:rsid w:val="2076DF21"/>
    <w:rsid w:val="209A2931"/>
    <w:rsid w:val="20BF44A2"/>
    <w:rsid w:val="20C974DC"/>
    <w:rsid w:val="20DB2883"/>
    <w:rsid w:val="2105CB22"/>
    <w:rsid w:val="2114F790"/>
    <w:rsid w:val="21380688"/>
    <w:rsid w:val="21471C6D"/>
    <w:rsid w:val="216B6F55"/>
    <w:rsid w:val="216C177E"/>
    <w:rsid w:val="216FD308"/>
    <w:rsid w:val="217E5D66"/>
    <w:rsid w:val="21936C13"/>
    <w:rsid w:val="21B96FAC"/>
    <w:rsid w:val="21BA21F5"/>
    <w:rsid w:val="21CDB4FB"/>
    <w:rsid w:val="21CED848"/>
    <w:rsid w:val="221EA56E"/>
    <w:rsid w:val="222E31F9"/>
    <w:rsid w:val="224295FE"/>
    <w:rsid w:val="22510B71"/>
    <w:rsid w:val="22579F04"/>
    <w:rsid w:val="22651221"/>
    <w:rsid w:val="2269D2E7"/>
    <w:rsid w:val="22728FEB"/>
    <w:rsid w:val="22962BF6"/>
    <w:rsid w:val="22A22504"/>
    <w:rsid w:val="22C01320"/>
    <w:rsid w:val="22C34E75"/>
    <w:rsid w:val="22D0A483"/>
    <w:rsid w:val="22D1AB03"/>
    <w:rsid w:val="22EFCA93"/>
    <w:rsid w:val="2324DBFF"/>
    <w:rsid w:val="232D8194"/>
    <w:rsid w:val="235C9BE3"/>
    <w:rsid w:val="235D3FA6"/>
    <w:rsid w:val="235DEC2D"/>
    <w:rsid w:val="23757823"/>
    <w:rsid w:val="23788981"/>
    <w:rsid w:val="2382E853"/>
    <w:rsid w:val="239B87BA"/>
    <w:rsid w:val="239DB98B"/>
    <w:rsid w:val="23C89AD0"/>
    <w:rsid w:val="23D32493"/>
    <w:rsid w:val="23EA7DF2"/>
    <w:rsid w:val="24064328"/>
    <w:rsid w:val="240BC5AB"/>
    <w:rsid w:val="2417C470"/>
    <w:rsid w:val="241EB0BF"/>
    <w:rsid w:val="243EB77A"/>
    <w:rsid w:val="24443271"/>
    <w:rsid w:val="2454DFE7"/>
    <w:rsid w:val="2480ADC6"/>
    <w:rsid w:val="2481DF9D"/>
    <w:rsid w:val="24917792"/>
    <w:rsid w:val="24A232A0"/>
    <w:rsid w:val="24B7A2EC"/>
    <w:rsid w:val="24BFD1DE"/>
    <w:rsid w:val="24C07957"/>
    <w:rsid w:val="252231BF"/>
    <w:rsid w:val="252CCB9E"/>
    <w:rsid w:val="254761DC"/>
    <w:rsid w:val="255983A2"/>
    <w:rsid w:val="255E8767"/>
    <w:rsid w:val="2565FD5C"/>
    <w:rsid w:val="25774721"/>
    <w:rsid w:val="257FAE5F"/>
    <w:rsid w:val="25839B06"/>
    <w:rsid w:val="25875308"/>
    <w:rsid w:val="25911A47"/>
    <w:rsid w:val="25968D0B"/>
    <w:rsid w:val="25A7FC23"/>
    <w:rsid w:val="25AEE5A8"/>
    <w:rsid w:val="25BB73C7"/>
    <w:rsid w:val="25CC7432"/>
    <w:rsid w:val="25D785E4"/>
    <w:rsid w:val="260964DC"/>
    <w:rsid w:val="260CE74B"/>
    <w:rsid w:val="261F9ED4"/>
    <w:rsid w:val="26293ACD"/>
    <w:rsid w:val="2656E8CF"/>
    <w:rsid w:val="265A17D2"/>
    <w:rsid w:val="265B5932"/>
    <w:rsid w:val="265E0CDC"/>
    <w:rsid w:val="2660DE51"/>
    <w:rsid w:val="2662E4D2"/>
    <w:rsid w:val="2664DA60"/>
    <w:rsid w:val="2674B929"/>
    <w:rsid w:val="26891676"/>
    <w:rsid w:val="2694ED02"/>
    <w:rsid w:val="2697D4C5"/>
    <w:rsid w:val="26A8493A"/>
    <w:rsid w:val="26C0A455"/>
    <w:rsid w:val="26F35032"/>
    <w:rsid w:val="2700D6C4"/>
    <w:rsid w:val="2703C1BB"/>
    <w:rsid w:val="27098DCF"/>
    <w:rsid w:val="27131A9E"/>
    <w:rsid w:val="272121A4"/>
    <w:rsid w:val="2731F8C5"/>
    <w:rsid w:val="2747F8F9"/>
    <w:rsid w:val="274FB3AE"/>
    <w:rsid w:val="2774EB5E"/>
    <w:rsid w:val="27871977"/>
    <w:rsid w:val="278A6731"/>
    <w:rsid w:val="278A6FCD"/>
    <w:rsid w:val="27A97237"/>
    <w:rsid w:val="280F4ADD"/>
    <w:rsid w:val="2815A43E"/>
    <w:rsid w:val="281AE485"/>
    <w:rsid w:val="281B7E51"/>
    <w:rsid w:val="283516A1"/>
    <w:rsid w:val="283EC472"/>
    <w:rsid w:val="2850CCFA"/>
    <w:rsid w:val="285B54F9"/>
    <w:rsid w:val="287168E5"/>
    <w:rsid w:val="287C3BFA"/>
    <w:rsid w:val="287EEE10"/>
    <w:rsid w:val="288010CB"/>
    <w:rsid w:val="28A5A72C"/>
    <w:rsid w:val="28C2CA9D"/>
    <w:rsid w:val="28C57784"/>
    <w:rsid w:val="28D234AF"/>
    <w:rsid w:val="28D52646"/>
    <w:rsid w:val="28D65622"/>
    <w:rsid w:val="28F70ADA"/>
    <w:rsid w:val="28F9D6BB"/>
    <w:rsid w:val="290006D7"/>
    <w:rsid w:val="293C46F2"/>
    <w:rsid w:val="29406E84"/>
    <w:rsid w:val="2953C187"/>
    <w:rsid w:val="295B3083"/>
    <w:rsid w:val="29647F17"/>
    <w:rsid w:val="2978F528"/>
    <w:rsid w:val="2993A661"/>
    <w:rsid w:val="29BFC5B1"/>
    <w:rsid w:val="29C02DC9"/>
    <w:rsid w:val="29C601FF"/>
    <w:rsid w:val="29DE7CB9"/>
    <w:rsid w:val="29E213C1"/>
    <w:rsid w:val="29F0243C"/>
    <w:rsid w:val="29F135D4"/>
    <w:rsid w:val="29F1B1F3"/>
    <w:rsid w:val="2A004011"/>
    <w:rsid w:val="2A137C09"/>
    <w:rsid w:val="2A1B49B4"/>
    <w:rsid w:val="2A233882"/>
    <w:rsid w:val="2A692B20"/>
    <w:rsid w:val="2A8F73CC"/>
    <w:rsid w:val="2A939921"/>
    <w:rsid w:val="2AD62AB5"/>
    <w:rsid w:val="2ADA34CD"/>
    <w:rsid w:val="2AE98358"/>
    <w:rsid w:val="2AECD4D6"/>
    <w:rsid w:val="2AF48073"/>
    <w:rsid w:val="2B1DB524"/>
    <w:rsid w:val="2B4F4C22"/>
    <w:rsid w:val="2B6F0690"/>
    <w:rsid w:val="2B9245EF"/>
    <w:rsid w:val="2BBF7445"/>
    <w:rsid w:val="2BC0F660"/>
    <w:rsid w:val="2BDB33AD"/>
    <w:rsid w:val="2BE27B97"/>
    <w:rsid w:val="2C005312"/>
    <w:rsid w:val="2C32DD25"/>
    <w:rsid w:val="2C41CB8B"/>
    <w:rsid w:val="2C68A500"/>
    <w:rsid w:val="2C6FEB5B"/>
    <w:rsid w:val="2C7C0524"/>
    <w:rsid w:val="2CB43140"/>
    <w:rsid w:val="2CB74BB0"/>
    <w:rsid w:val="2CC58C32"/>
    <w:rsid w:val="2CFDE64D"/>
    <w:rsid w:val="2CFE3722"/>
    <w:rsid w:val="2D016203"/>
    <w:rsid w:val="2D0BD0A1"/>
    <w:rsid w:val="2D15B97D"/>
    <w:rsid w:val="2D485F8F"/>
    <w:rsid w:val="2D4C164F"/>
    <w:rsid w:val="2D7C55D5"/>
    <w:rsid w:val="2D859444"/>
    <w:rsid w:val="2D8CBB85"/>
    <w:rsid w:val="2D990F0D"/>
    <w:rsid w:val="2DAC1C38"/>
    <w:rsid w:val="2DB5C117"/>
    <w:rsid w:val="2DD1760D"/>
    <w:rsid w:val="2DE1D556"/>
    <w:rsid w:val="2E10AFD7"/>
    <w:rsid w:val="2E274CDB"/>
    <w:rsid w:val="2E2B8CCE"/>
    <w:rsid w:val="2E30DA78"/>
    <w:rsid w:val="2E648915"/>
    <w:rsid w:val="2E7F626D"/>
    <w:rsid w:val="2E83A8DF"/>
    <w:rsid w:val="2E8C1397"/>
    <w:rsid w:val="2E979ECE"/>
    <w:rsid w:val="2EA91C2C"/>
    <w:rsid w:val="2EF82055"/>
    <w:rsid w:val="2F02A425"/>
    <w:rsid w:val="2F408C73"/>
    <w:rsid w:val="2F488E9D"/>
    <w:rsid w:val="2F566F88"/>
    <w:rsid w:val="2F67C077"/>
    <w:rsid w:val="2F6D0B1A"/>
    <w:rsid w:val="2F85D36D"/>
    <w:rsid w:val="2F86AA50"/>
    <w:rsid w:val="2FB3432B"/>
    <w:rsid w:val="2FD0956F"/>
    <w:rsid w:val="2FD174C9"/>
    <w:rsid w:val="2FDAC28F"/>
    <w:rsid w:val="2FE7BD70"/>
    <w:rsid w:val="2FF6E596"/>
    <w:rsid w:val="302CF1A6"/>
    <w:rsid w:val="306D725F"/>
    <w:rsid w:val="306E17CE"/>
    <w:rsid w:val="3084B713"/>
    <w:rsid w:val="308A6DC3"/>
    <w:rsid w:val="309266B0"/>
    <w:rsid w:val="309D0E0D"/>
    <w:rsid w:val="30D6DE86"/>
    <w:rsid w:val="30E4863C"/>
    <w:rsid w:val="30F0D7C1"/>
    <w:rsid w:val="30F598B8"/>
    <w:rsid w:val="30FA25E9"/>
    <w:rsid w:val="31203543"/>
    <w:rsid w:val="3128A1CF"/>
    <w:rsid w:val="313572B3"/>
    <w:rsid w:val="3139654E"/>
    <w:rsid w:val="313CA6DE"/>
    <w:rsid w:val="31462592"/>
    <w:rsid w:val="314AD812"/>
    <w:rsid w:val="3159E7DA"/>
    <w:rsid w:val="318DB187"/>
    <w:rsid w:val="31938511"/>
    <w:rsid w:val="31BF022A"/>
    <w:rsid w:val="31C4D32E"/>
    <w:rsid w:val="31C92759"/>
    <w:rsid w:val="31CA0D4D"/>
    <w:rsid w:val="32256A42"/>
    <w:rsid w:val="32390DE4"/>
    <w:rsid w:val="3239349F"/>
    <w:rsid w:val="3249CB64"/>
    <w:rsid w:val="324B75D0"/>
    <w:rsid w:val="32570526"/>
    <w:rsid w:val="326E062E"/>
    <w:rsid w:val="32D74D16"/>
    <w:rsid w:val="32E9B8C0"/>
    <w:rsid w:val="3302E434"/>
    <w:rsid w:val="33045AC6"/>
    <w:rsid w:val="3306AA05"/>
    <w:rsid w:val="33094EDE"/>
    <w:rsid w:val="330E9810"/>
    <w:rsid w:val="3310B78F"/>
    <w:rsid w:val="3312DBAC"/>
    <w:rsid w:val="33187714"/>
    <w:rsid w:val="33413AEF"/>
    <w:rsid w:val="3357FCD6"/>
    <w:rsid w:val="335811A4"/>
    <w:rsid w:val="33673F10"/>
    <w:rsid w:val="336F3265"/>
    <w:rsid w:val="337515AF"/>
    <w:rsid w:val="337AE827"/>
    <w:rsid w:val="339712A6"/>
    <w:rsid w:val="33CDC7EF"/>
    <w:rsid w:val="33D13B75"/>
    <w:rsid w:val="33DF9EB0"/>
    <w:rsid w:val="33E5647B"/>
    <w:rsid w:val="33FEFE8F"/>
    <w:rsid w:val="3406FAB0"/>
    <w:rsid w:val="3427256E"/>
    <w:rsid w:val="343EBCD6"/>
    <w:rsid w:val="3476DA3D"/>
    <w:rsid w:val="34A572F3"/>
    <w:rsid w:val="34BD80A4"/>
    <w:rsid w:val="34C55249"/>
    <w:rsid w:val="34DC7D6F"/>
    <w:rsid w:val="352FD53C"/>
    <w:rsid w:val="353F1282"/>
    <w:rsid w:val="354EF628"/>
    <w:rsid w:val="3551EA99"/>
    <w:rsid w:val="356C5369"/>
    <w:rsid w:val="356F87C9"/>
    <w:rsid w:val="35945B57"/>
    <w:rsid w:val="359F15FC"/>
    <w:rsid w:val="35A66279"/>
    <w:rsid w:val="35B76987"/>
    <w:rsid w:val="35D9D386"/>
    <w:rsid w:val="35E923C1"/>
    <w:rsid w:val="35ED3500"/>
    <w:rsid w:val="35F49C21"/>
    <w:rsid w:val="36018A8C"/>
    <w:rsid w:val="36617BE6"/>
    <w:rsid w:val="367722DE"/>
    <w:rsid w:val="3687E2E3"/>
    <w:rsid w:val="36AFBEF7"/>
    <w:rsid w:val="36BF70CF"/>
    <w:rsid w:val="36D53495"/>
    <w:rsid w:val="36DFBC69"/>
    <w:rsid w:val="36E67374"/>
    <w:rsid w:val="36ECCD4E"/>
    <w:rsid w:val="36F72AF8"/>
    <w:rsid w:val="370D9417"/>
    <w:rsid w:val="37112A56"/>
    <w:rsid w:val="37138AC2"/>
    <w:rsid w:val="37272D45"/>
    <w:rsid w:val="37495D5E"/>
    <w:rsid w:val="374E1645"/>
    <w:rsid w:val="375BFA4A"/>
    <w:rsid w:val="37736BF0"/>
    <w:rsid w:val="379F550C"/>
    <w:rsid w:val="37B07438"/>
    <w:rsid w:val="37BA9383"/>
    <w:rsid w:val="37D89533"/>
    <w:rsid w:val="37DD50DE"/>
    <w:rsid w:val="3816A6BB"/>
    <w:rsid w:val="381A01FC"/>
    <w:rsid w:val="384886D2"/>
    <w:rsid w:val="3849E005"/>
    <w:rsid w:val="3851E84C"/>
    <w:rsid w:val="387DAE48"/>
    <w:rsid w:val="38972521"/>
    <w:rsid w:val="389BFFB2"/>
    <w:rsid w:val="38AFB606"/>
    <w:rsid w:val="38B0DDC4"/>
    <w:rsid w:val="38C42B97"/>
    <w:rsid w:val="38CA2D1B"/>
    <w:rsid w:val="38D8A14D"/>
    <w:rsid w:val="38F7D33E"/>
    <w:rsid w:val="3902AF78"/>
    <w:rsid w:val="39078A02"/>
    <w:rsid w:val="391E66A3"/>
    <w:rsid w:val="391EC884"/>
    <w:rsid w:val="3942C37C"/>
    <w:rsid w:val="3963364C"/>
    <w:rsid w:val="398282D2"/>
    <w:rsid w:val="398311B4"/>
    <w:rsid w:val="39880584"/>
    <w:rsid w:val="398FD9C7"/>
    <w:rsid w:val="39EAEE36"/>
    <w:rsid w:val="39EB12C9"/>
    <w:rsid w:val="39EC1C80"/>
    <w:rsid w:val="39FE94E5"/>
    <w:rsid w:val="3A0CDC88"/>
    <w:rsid w:val="3A1C0F5A"/>
    <w:rsid w:val="3A25F826"/>
    <w:rsid w:val="3A2CB8D2"/>
    <w:rsid w:val="3A3093C4"/>
    <w:rsid w:val="3A3BA3D9"/>
    <w:rsid w:val="3A3F3926"/>
    <w:rsid w:val="3A4243C1"/>
    <w:rsid w:val="3A4C87F9"/>
    <w:rsid w:val="3A5B4C4C"/>
    <w:rsid w:val="3A5BAAFD"/>
    <w:rsid w:val="3A5F475B"/>
    <w:rsid w:val="3A64AC20"/>
    <w:rsid w:val="3A73833E"/>
    <w:rsid w:val="3A78B15F"/>
    <w:rsid w:val="3A8CBC40"/>
    <w:rsid w:val="3A8E7BA0"/>
    <w:rsid w:val="3AD20636"/>
    <w:rsid w:val="3B11C276"/>
    <w:rsid w:val="3B24D475"/>
    <w:rsid w:val="3B39A995"/>
    <w:rsid w:val="3B3E44D8"/>
    <w:rsid w:val="3B6EE9C0"/>
    <w:rsid w:val="3B9FDC6D"/>
    <w:rsid w:val="3BB479F5"/>
    <w:rsid w:val="3BB4E1E2"/>
    <w:rsid w:val="3BB581DB"/>
    <w:rsid w:val="3BCF851F"/>
    <w:rsid w:val="3BD85C0D"/>
    <w:rsid w:val="3BE6CEA4"/>
    <w:rsid w:val="3BEB2F97"/>
    <w:rsid w:val="3C04FE19"/>
    <w:rsid w:val="3C0D7AB3"/>
    <w:rsid w:val="3C1EBF78"/>
    <w:rsid w:val="3C204877"/>
    <w:rsid w:val="3C4E5546"/>
    <w:rsid w:val="3C6A8A2D"/>
    <w:rsid w:val="3C6C4300"/>
    <w:rsid w:val="3C71CA10"/>
    <w:rsid w:val="3C74B1DF"/>
    <w:rsid w:val="3C821AD6"/>
    <w:rsid w:val="3C8A97CB"/>
    <w:rsid w:val="3CB300FE"/>
    <w:rsid w:val="3CC8C2D3"/>
    <w:rsid w:val="3CE514AF"/>
    <w:rsid w:val="3CEB9DE2"/>
    <w:rsid w:val="3CEF9AF4"/>
    <w:rsid w:val="3CFF1E46"/>
    <w:rsid w:val="3D084096"/>
    <w:rsid w:val="3D0E5CCC"/>
    <w:rsid w:val="3D0FC87A"/>
    <w:rsid w:val="3D1AD795"/>
    <w:rsid w:val="3D206CB6"/>
    <w:rsid w:val="3D612C4D"/>
    <w:rsid w:val="3DA5C05A"/>
    <w:rsid w:val="3DB032B8"/>
    <w:rsid w:val="3DB3D07A"/>
    <w:rsid w:val="3DBB289B"/>
    <w:rsid w:val="3DDA0A9A"/>
    <w:rsid w:val="3DDDE34E"/>
    <w:rsid w:val="3DEBE9CA"/>
    <w:rsid w:val="3DF458BB"/>
    <w:rsid w:val="3DFCA37E"/>
    <w:rsid w:val="3E07B7F9"/>
    <w:rsid w:val="3E1529F0"/>
    <w:rsid w:val="3E1C9677"/>
    <w:rsid w:val="3E28E99E"/>
    <w:rsid w:val="3E8A468A"/>
    <w:rsid w:val="3E8F2306"/>
    <w:rsid w:val="3EB098AD"/>
    <w:rsid w:val="3EC2D45A"/>
    <w:rsid w:val="3F1D8D4C"/>
    <w:rsid w:val="3F2ACEBC"/>
    <w:rsid w:val="3F404360"/>
    <w:rsid w:val="3F4596C2"/>
    <w:rsid w:val="3F5D50A6"/>
    <w:rsid w:val="3F6014BD"/>
    <w:rsid w:val="3F6C330D"/>
    <w:rsid w:val="3F6FC01A"/>
    <w:rsid w:val="3F80CC04"/>
    <w:rsid w:val="3F956B72"/>
    <w:rsid w:val="3FA812A2"/>
    <w:rsid w:val="3FCA2B07"/>
    <w:rsid w:val="3FDFE971"/>
    <w:rsid w:val="3FEBA7E7"/>
    <w:rsid w:val="3FF6D359"/>
    <w:rsid w:val="3FFBC4BC"/>
    <w:rsid w:val="4000667D"/>
    <w:rsid w:val="400BB2B5"/>
    <w:rsid w:val="400C22A9"/>
    <w:rsid w:val="400CA1B9"/>
    <w:rsid w:val="400D84A8"/>
    <w:rsid w:val="40417E67"/>
    <w:rsid w:val="404F8898"/>
    <w:rsid w:val="40655EC1"/>
    <w:rsid w:val="4077F80C"/>
    <w:rsid w:val="408C7064"/>
    <w:rsid w:val="408DCE86"/>
    <w:rsid w:val="40932825"/>
    <w:rsid w:val="4096768E"/>
    <w:rsid w:val="40A5C7F3"/>
    <w:rsid w:val="40C9BBEF"/>
    <w:rsid w:val="40E0357B"/>
    <w:rsid w:val="41210AB0"/>
    <w:rsid w:val="41313C3E"/>
    <w:rsid w:val="415CC7E3"/>
    <w:rsid w:val="418F772E"/>
    <w:rsid w:val="41A0A263"/>
    <w:rsid w:val="41A3BF26"/>
    <w:rsid w:val="41AC8A85"/>
    <w:rsid w:val="41D70C92"/>
    <w:rsid w:val="41EAB8EB"/>
    <w:rsid w:val="41EC760A"/>
    <w:rsid w:val="41FC2D37"/>
    <w:rsid w:val="4207E2E2"/>
    <w:rsid w:val="420D11F0"/>
    <w:rsid w:val="4212E678"/>
    <w:rsid w:val="4220F39C"/>
    <w:rsid w:val="42244212"/>
    <w:rsid w:val="423D2A09"/>
    <w:rsid w:val="423EF51C"/>
    <w:rsid w:val="424BCC94"/>
    <w:rsid w:val="424C5BAA"/>
    <w:rsid w:val="426AED62"/>
    <w:rsid w:val="426F2D4E"/>
    <w:rsid w:val="42B3E3D7"/>
    <w:rsid w:val="42B7EB26"/>
    <w:rsid w:val="42CE4D41"/>
    <w:rsid w:val="42D7CFE5"/>
    <w:rsid w:val="42F2B0C1"/>
    <w:rsid w:val="43025BE3"/>
    <w:rsid w:val="43056E87"/>
    <w:rsid w:val="43172491"/>
    <w:rsid w:val="4349784A"/>
    <w:rsid w:val="435C4E51"/>
    <w:rsid w:val="4370DD94"/>
    <w:rsid w:val="438E6B3F"/>
    <w:rsid w:val="439C4D12"/>
    <w:rsid w:val="43AB9841"/>
    <w:rsid w:val="43C35EDD"/>
    <w:rsid w:val="43CAD805"/>
    <w:rsid w:val="43D9C6A9"/>
    <w:rsid w:val="43DBEEE4"/>
    <w:rsid w:val="43F235DC"/>
    <w:rsid w:val="441F7851"/>
    <w:rsid w:val="4437F702"/>
    <w:rsid w:val="443EDFC4"/>
    <w:rsid w:val="449508C5"/>
    <w:rsid w:val="44C17733"/>
    <w:rsid w:val="44C8CE28"/>
    <w:rsid w:val="44CA56E7"/>
    <w:rsid w:val="44EF5836"/>
    <w:rsid w:val="44F0F0DD"/>
    <w:rsid w:val="44F339B2"/>
    <w:rsid w:val="4502C3DB"/>
    <w:rsid w:val="4504E50C"/>
    <w:rsid w:val="4531BA99"/>
    <w:rsid w:val="4545022C"/>
    <w:rsid w:val="4561C702"/>
    <w:rsid w:val="45760453"/>
    <w:rsid w:val="457DE7B6"/>
    <w:rsid w:val="458246FC"/>
    <w:rsid w:val="4583431B"/>
    <w:rsid w:val="4587E437"/>
    <w:rsid w:val="458FB987"/>
    <w:rsid w:val="45A94728"/>
    <w:rsid w:val="45C53B8F"/>
    <w:rsid w:val="45D3D522"/>
    <w:rsid w:val="45DF9369"/>
    <w:rsid w:val="45EE7D80"/>
    <w:rsid w:val="45F130CE"/>
    <w:rsid w:val="45FA2368"/>
    <w:rsid w:val="4603DD2D"/>
    <w:rsid w:val="4606D574"/>
    <w:rsid w:val="461B6981"/>
    <w:rsid w:val="46206FA1"/>
    <w:rsid w:val="464F0E4F"/>
    <w:rsid w:val="46543A87"/>
    <w:rsid w:val="465D50D4"/>
    <w:rsid w:val="467F8D10"/>
    <w:rsid w:val="46877C77"/>
    <w:rsid w:val="46BC8175"/>
    <w:rsid w:val="46C998D1"/>
    <w:rsid w:val="46C9D63A"/>
    <w:rsid w:val="46CFBCD4"/>
    <w:rsid w:val="46D98B55"/>
    <w:rsid w:val="46E2E771"/>
    <w:rsid w:val="46E76636"/>
    <w:rsid w:val="46ED35F9"/>
    <w:rsid w:val="46FED672"/>
    <w:rsid w:val="46FF3C9F"/>
    <w:rsid w:val="47061E48"/>
    <w:rsid w:val="4710AC68"/>
    <w:rsid w:val="471E117B"/>
    <w:rsid w:val="47514992"/>
    <w:rsid w:val="475B188A"/>
    <w:rsid w:val="47699A11"/>
    <w:rsid w:val="4772D762"/>
    <w:rsid w:val="4785C10A"/>
    <w:rsid w:val="479FDD49"/>
    <w:rsid w:val="47ABA93D"/>
    <w:rsid w:val="47B70C7D"/>
    <w:rsid w:val="47B8A31F"/>
    <w:rsid w:val="47B905A6"/>
    <w:rsid w:val="47BC5880"/>
    <w:rsid w:val="47D1D3C9"/>
    <w:rsid w:val="47E227DC"/>
    <w:rsid w:val="47E412A6"/>
    <w:rsid w:val="47F84D4C"/>
    <w:rsid w:val="48033E90"/>
    <w:rsid w:val="4813DD9D"/>
    <w:rsid w:val="4819D78D"/>
    <w:rsid w:val="4836F8DC"/>
    <w:rsid w:val="484D8149"/>
    <w:rsid w:val="4859AA39"/>
    <w:rsid w:val="4887F115"/>
    <w:rsid w:val="48D90468"/>
    <w:rsid w:val="48F48CF8"/>
    <w:rsid w:val="4902B9C5"/>
    <w:rsid w:val="4905FA84"/>
    <w:rsid w:val="490B18C0"/>
    <w:rsid w:val="492497CD"/>
    <w:rsid w:val="495C85BE"/>
    <w:rsid w:val="496EFD6C"/>
    <w:rsid w:val="497EE6C7"/>
    <w:rsid w:val="49DBC3F5"/>
    <w:rsid w:val="4A23A5DF"/>
    <w:rsid w:val="4A288031"/>
    <w:rsid w:val="4A30D9F9"/>
    <w:rsid w:val="4A512593"/>
    <w:rsid w:val="4A593FE0"/>
    <w:rsid w:val="4A76F750"/>
    <w:rsid w:val="4A8A56FC"/>
    <w:rsid w:val="4A966268"/>
    <w:rsid w:val="4A98B34D"/>
    <w:rsid w:val="4A9F96F2"/>
    <w:rsid w:val="4AB872B6"/>
    <w:rsid w:val="4ACCEA1F"/>
    <w:rsid w:val="4AD30B47"/>
    <w:rsid w:val="4AF69AB5"/>
    <w:rsid w:val="4B51679D"/>
    <w:rsid w:val="4B5B9383"/>
    <w:rsid w:val="4B8EFD23"/>
    <w:rsid w:val="4B9E8FB6"/>
    <w:rsid w:val="4BAAFDFA"/>
    <w:rsid w:val="4BB91D4C"/>
    <w:rsid w:val="4BC4AA57"/>
    <w:rsid w:val="4BCD41D2"/>
    <w:rsid w:val="4BE4B90D"/>
    <w:rsid w:val="4C04152E"/>
    <w:rsid w:val="4C1BE02F"/>
    <w:rsid w:val="4C1C1B14"/>
    <w:rsid w:val="4C3E6CF5"/>
    <w:rsid w:val="4C5147AB"/>
    <w:rsid w:val="4C618458"/>
    <w:rsid w:val="4C66822A"/>
    <w:rsid w:val="4C6AD09B"/>
    <w:rsid w:val="4C746632"/>
    <w:rsid w:val="4C8D8690"/>
    <w:rsid w:val="4C93D411"/>
    <w:rsid w:val="4CA8B446"/>
    <w:rsid w:val="4CC008A6"/>
    <w:rsid w:val="4CC89741"/>
    <w:rsid w:val="4CDBC5CD"/>
    <w:rsid w:val="4CDFA006"/>
    <w:rsid w:val="4CE555CE"/>
    <w:rsid w:val="4D0B4FF3"/>
    <w:rsid w:val="4D38C318"/>
    <w:rsid w:val="4D3C3AF4"/>
    <w:rsid w:val="4D4D1421"/>
    <w:rsid w:val="4D50DE5A"/>
    <w:rsid w:val="4D531C97"/>
    <w:rsid w:val="4DA44D99"/>
    <w:rsid w:val="4DAF1951"/>
    <w:rsid w:val="4DB21506"/>
    <w:rsid w:val="4DE80D94"/>
    <w:rsid w:val="4E1D971D"/>
    <w:rsid w:val="4E37C836"/>
    <w:rsid w:val="4E42CA20"/>
    <w:rsid w:val="4E98A968"/>
    <w:rsid w:val="4E9ABDAD"/>
    <w:rsid w:val="4EB0D60C"/>
    <w:rsid w:val="4EC32B7D"/>
    <w:rsid w:val="4EE0BFFD"/>
    <w:rsid w:val="4EFF231A"/>
    <w:rsid w:val="4EFF9463"/>
    <w:rsid w:val="4F0E8588"/>
    <w:rsid w:val="4F1E54F4"/>
    <w:rsid w:val="4F38FABD"/>
    <w:rsid w:val="4F56F10D"/>
    <w:rsid w:val="4F678421"/>
    <w:rsid w:val="4F6C9C6F"/>
    <w:rsid w:val="4F990EE5"/>
    <w:rsid w:val="4F99CA82"/>
    <w:rsid w:val="4FB45232"/>
    <w:rsid w:val="4FC1E9BC"/>
    <w:rsid w:val="4FE1C9D4"/>
    <w:rsid w:val="4FF86100"/>
    <w:rsid w:val="50149172"/>
    <w:rsid w:val="502F57FE"/>
    <w:rsid w:val="503BBEA3"/>
    <w:rsid w:val="504871BB"/>
    <w:rsid w:val="5052307F"/>
    <w:rsid w:val="507F5EEA"/>
    <w:rsid w:val="50B6E5FA"/>
    <w:rsid w:val="50B878FF"/>
    <w:rsid w:val="50BF43E3"/>
    <w:rsid w:val="50C3D4DC"/>
    <w:rsid w:val="50C4256E"/>
    <w:rsid w:val="50D74B5C"/>
    <w:rsid w:val="50FDF13C"/>
    <w:rsid w:val="5109591A"/>
    <w:rsid w:val="511F5B4E"/>
    <w:rsid w:val="5133CBC1"/>
    <w:rsid w:val="513DA383"/>
    <w:rsid w:val="514C328F"/>
    <w:rsid w:val="515E0A4E"/>
    <w:rsid w:val="516CA0DA"/>
    <w:rsid w:val="517F2EA0"/>
    <w:rsid w:val="5189A37B"/>
    <w:rsid w:val="518E576C"/>
    <w:rsid w:val="51906963"/>
    <w:rsid w:val="5194A7BE"/>
    <w:rsid w:val="51A354E8"/>
    <w:rsid w:val="51A8BCBA"/>
    <w:rsid w:val="51AA8D4D"/>
    <w:rsid w:val="51C36312"/>
    <w:rsid w:val="51C7F699"/>
    <w:rsid w:val="51CEB52F"/>
    <w:rsid w:val="51D6A677"/>
    <w:rsid w:val="51E61629"/>
    <w:rsid w:val="51F86A76"/>
    <w:rsid w:val="51FE239C"/>
    <w:rsid w:val="521F61E7"/>
    <w:rsid w:val="5226E09E"/>
    <w:rsid w:val="5233ADC1"/>
    <w:rsid w:val="525EAC8A"/>
    <w:rsid w:val="526D0417"/>
    <w:rsid w:val="5275125C"/>
    <w:rsid w:val="528DF4A8"/>
    <w:rsid w:val="528FB829"/>
    <w:rsid w:val="52902FFE"/>
    <w:rsid w:val="52B5E0EA"/>
    <w:rsid w:val="52C100AD"/>
    <w:rsid w:val="52F125D4"/>
    <w:rsid w:val="52FDBAAD"/>
    <w:rsid w:val="53115F6B"/>
    <w:rsid w:val="532528FF"/>
    <w:rsid w:val="533DDF35"/>
    <w:rsid w:val="534017C4"/>
    <w:rsid w:val="53445678"/>
    <w:rsid w:val="53475504"/>
    <w:rsid w:val="5359B502"/>
    <w:rsid w:val="535AE5EB"/>
    <w:rsid w:val="5365F411"/>
    <w:rsid w:val="53663808"/>
    <w:rsid w:val="5380DCA1"/>
    <w:rsid w:val="53A18399"/>
    <w:rsid w:val="53C0EF3F"/>
    <w:rsid w:val="53D5E3CA"/>
    <w:rsid w:val="53DB86FA"/>
    <w:rsid w:val="53E9272D"/>
    <w:rsid w:val="54082F81"/>
    <w:rsid w:val="54095ADD"/>
    <w:rsid w:val="541E48C7"/>
    <w:rsid w:val="54270D48"/>
    <w:rsid w:val="5434F162"/>
    <w:rsid w:val="5442810E"/>
    <w:rsid w:val="5447348B"/>
    <w:rsid w:val="546667F7"/>
    <w:rsid w:val="5490E84E"/>
    <w:rsid w:val="5491ABA1"/>
    <w:rsid w:val="549BB348"/>
    <w:rsid w:val="54B91FFB"/>
    <w:rsid w:val="54C530D6"/>
    <w:rsid w:val="54CF5605"/>
    <w:rsid w:val="5519423B"/>
    <w:rsid w:val="551EB405"/>
    <w:rsid w:val="55462A77"/>
    <w:rsid w:val="555BB128"/>
    <w:rsid w:val="555CEC5E"/>
    <w:rsid w:val="557F6CA4"/>
    <w:rsid w:val="558347F4"/>
    <w:rsid w:val="55BB4421"/>
    <w:rsid w:val="55EB0821"/>
    <w:rsid w:val="5601BE4B"/>
    <w:rsid w:val="562129B4"/>
    <w:rsid w:val="562485B5"/>
    <w:rsid w:val="5658886D"/>
    <w:rsid w:val="5674C85D"/>
    <w:rsid w:val="5677E5A8"/>
    <w:rsid w:val="569738AB"/>
    <w:rsid w:val="569F2D5E"/>
    <w:rsid w:val="56CF9EA6"/>
    <w:rsid w:val="56E36731"/>
    <w:rsid w:val="56E81960"/>
    <w:rsid w:val="56F42938"/>
    <w:rsid w:val="56F99ABD"/>
    <w:rsid w:val="570E1FC2"/>
    <w:rsid w:val="571793A1"/>
    <w:rsid w:val="57209090"/>
    <w:rsid w:val="57303E2C"/>
    <w:rsid w:val="57419C3F"/>
    <w:rsid w:val="5746BD1B"/>
    <w:rsid w:val="5757C61C"/>
    <w:rsid w:val="575E6996"/>
    <w:rsid w:val="57659A5A"/>
    <w:rsid w:val="576E2644"/>
    <w:rsid w:val="577C75B2"/>
    <w:rsid w:val="577C954A"/>
    <w:rsid w:val="577C9F3A"/>
    <w:rsid w:val="5785DF05"/>
    <w:rsid w:val="57A6E9CA"/>
    <w:rsid w:val="57B13D42"/>
    <w:rsid w:val="57B42664"/>
    <w:rsid w:val="57B68AB6"/>
    <w:rsid w:val="57BE87EE"/>
    <w:rsid w:val="57C1361F"/>
    <w:rsid w:val="57C4D716"/>
    <w:rsid w:val="57C92315"/>
    <w:rsid w:val="57D832DD"/>
    <w:rsid w:val="57E81F6D"/>
    <w:rsid w:val="5800065B"/>
    <w:rsid w:val="58038A95"/>
    <w:rsid w:val="5803F8A4"/>
    <w:rsid w:val="5811928E"/>
    <w:rsid w:val="581E5E6A"/>
    <w:rsid w:val="5839D5F3"/>
    <w:rsid w:val="5843CE5A"/>
    <w:rsid w:val="58444605"/>
    <w:rsid w:val="58615EE9"/>
    <w:rsid w:val="586364A8"/>
    <w:rsid w:val="58766A5F"/>
    <w:rsid w:val="5881CD50"/>
    <w:rsid w:val="588460FC"/>
    <w:rsid w:val="58B765BC"/>
    <w:rsid w:val="58CECD4D"/>
    <w:rsid w:val="58D46C3E"/>
    <w:rsid w:val="58DD6378"/>
    <w:rsid w:val="58EA3206"/>
    <w:rsid w:val="58EA5D4A"/>
    <w:rsid w:val="58F3ED8F"/>
    <w:rsid w:val="590DFD63"/>
    <w:rsid w:val="591B2995"/>
    <w:rsid w:val="592B2CE6"/>
    <w:rsid w:val="59316A2F"/>
    <w:rsid w:val="59355A19"/>
    <w:rsid w:val="5938E47E"/>
    <w:rsid w:val="59481E81"/>
    <w:rsid w:val="597AE178"/>
    <w:rsid w:val="59AC19BB"/>
    <w:rsid w:val="59B00A04"/>
    <w:rsid w:val="59B25656"/>
    <w:rsid w:val="59BEC93A"/>
    <w:rsid w:val="59CC91C0"/>
    <w:rsid w:val="59CF8190"/>
    <w:rsid w:val="59D91209"/>
    <w:rsid w:val="59F361BD"/>
    <w:rsid w:val="59FAA100"/>
    <w:rsid w:val="59FEA0F4"/>
    <w:rsid w:val="5A072A22"/>
    <w:rsid w:val="5A240F45"/>
    <w:rsid w:val="5A2510F6"/>
    <w:rsid w:val="5A29E4BD"/>
    <w:rsid w:val="5A5A0104"/>
    <w:rsid w:val="5A6E7FAF"/>
    <w:rsid w:val="5A728B92"/>
    <w:rsid w:val="5A7460E7"/>
    <w:rsid w:val="5A885D90"/>
    <w:rsid w:val="5AAB7560"/>
    <w:rsid w:val="5AAF34A2"/>
    <w:rsid w:val="5AB5B852"/>
    <w:rsid w:val="5AE61DFE"/>
    <w:rsid w:val="5AEB0E53"/>
    <w:rsid w:val="5B045F0B"/>
    <w:rsid w:val="5B0AC831"/>
    <w:rsid w:val="5B30FA95"/>
    <w:rsid w:val="5B445905"/>
    <w:rsid w:val="5BB0F0A1"/>
    <w:rsid w:val="5BB593C5"/>
    <w:rsid w:val="5BB7905A"/>
    <w:rsid w:val="5BC0FD83"/>
    <w:rsid w:val="5BC4CED2"/>
    <w:rsid w:val="5BC5BEC3"/>
    <w:rsid w:val="5BCA163B"/>
    <w:rsid w:val="5BD5D898"/>
    <w:rsid w:val="5BDF06E8"/>
    <w:rsid w:val="5BE3A941"/>
    <w:rsid w:val="5C1996C6"/>
    <w:rsid w:val="5C23ED68"/>
    <w:rsid w:val="5C336C70"/>
    <w:rsid w:val="5C53598D"/>
    <w:rsid w:val="5C625091"/>
    <w:rsid w:val="5C805A12"/>
    <w:rsid w:val="5C86A517"/>
    <w:rsid w:val="5C9E764B"/>
    <w:rsid w:val="5CC03783"/>
    <w:rsid w:val="5CD52BCE"/>
    <w:rsid w:val="5CECEE57"/>
    <w:rsid w:val="5CF7D5C0"/>
    <w:rsid w:val="5CF928F1"/>
    <w:rsid w:val="5D253CFB"/>
    <w:rsid w:val="5D2EFC50"/>
    <w:rsid w:val="5D30808B"/>
    <w:rsid w:val="5D39E0EC"/>
    <w:rsid w:val="5D4455B2"/>
    <w:rsid w:val="5D5A306C"/>
    <w:rsid w:val="5D72B26F"/>
    <w:rsid w:val="5D803950"/>
    <w:rsid w:val="5D82DA52"/>
    <w:rsid w:val="5D91E554"/>
    <w:rsid w:val="5D994B8A"/>
    <w:rsid w:val="5D9BE66E"/>
    <w:rsid w:val="5DA9909B"/>
    <w:rsid w:val="5DC0F56E"/>
    <w:rsid w:val="5DD49DE3"/>
    <w:rsid w:val="5DDF825A"/>
    <w:rsid w:val="5DEA5FB8"/>
    <w:rsid w:val="5DF1A3B9"/>
    <w:rsid w:val="5DF7B053"/>
    <w:rsid w:val="5E197A3C"/>
    <w:rsid w:val="5E214688"/>
    <w:rsid w:val="5E231788"/>
    <w:rsid w:val="5E23D9EE"/>
    <w:rsid w:val="5E29FD5C"/>
    <w:rsid w:val="5E2DC351"/>
    <w:rsid w:val="5E3A6EE5"/>
    <w:rsid w:val="5E3ADE24"/>
    <w:rsid w:val="5E491CEC"/>
    <w:rsid w:val="5E5FF875"/>
    <w:rsid w:val="5E89695E"/>
    <w:rsid w:val="5E9CBB20"/>
    <w:rsid w:val="5EA7FE07"/>
    <w:rsid w:val="5EABB9E6"/>
    <w:rsid w:val="5EBFCFDD"/>
    <w:rsid w:val="5EDAC1CD"/>
    <w:rsid w:val="5EDE631A"/>
    <w:rsid w:val="5EF1606E"/>
    <w:rsid w:val="5EF8B9F1"/>
    <w:rsid w:val="5F22A18C"/>
    <w:rsid w:val="5F29A0D6"/>
    <w:rsid w:val="5F4054BE"/>
    <w:rsid w:val="5F4D198D"/>
    <w:rsid w:val="5F6FEB71"/>
    <w:rsid w:val="5F9D9361"/>
    <w:rsid w:val="5FA488C2"/>
    <w:rsid w:val="5FA75A25"/>
    <w:rsid w:val="5FEDDEA4"/>
    <w:rsid w:val="602731FD"/>
    <w:rsid w:val="60372CA6"/>
    <w:rsid w:val="6068FE75"/>
    <w:rsid w:val="607799B1"/>
    <w:rsid w:val="6094EFF3"/>
    <w:rsid w:val="609650B3"/>
    <w:rsid w:val="60AB3AED"/>
    <w:rsid w:val="60E834F7"/>
    <w:rsid w:val="611040FF"/>
    <w:rsid w:val="6111E46D"/>
    <w:rsid w:val="6118653A"/>
    <w:rsid w:val="6119052F"/>
    <w:rsid w:val="612165C3"/>
    <w:rsid w:val="61500893"/>
    <w:rsid w:val="61577476"/>
    <w:rsid w:val="615AC0E0"/>
    <w:rsid w:val="616A551A"/>
    <w:rsid w:val="616D9CF3"/>
    <w:rsid w:val="616ED66B"/>
    <w:rsid w:val="617FB86B"/>
    <w:rsid w:val="618F1DC2"/>
    <w:rsid w:val="618FDDBE"/>
    <w:rsid w:val="61A3B31D"/>
    <w:rsid w:val="61A817E1"/>
    <w:rsid w:val="61B09B95"/>
    <w:rsid w:val="61C243BE"/>
    <w:rsid w:val="61C826FC"/>
    <w:rsid w:val="61DCEBCD"/>
    <w:rsid w:val="61FF1BA0"/>
    <w:rsid w:val="6213A0C8"/>
    <w:rsid w:val="62196B3C"/>
    <w:rsid w:val="621ABA97"/>
    <w:rsid w:val="624CCBA6"/>
    <w:rsid w:val="62609C94"/>
    <w:rsid w:val="626727CD"/>
    <w:rsid w:val="6283AADD"/>
    <w:rsid w:val="6292D01C"/>
    <w:rsid w:val="62930D85"/>
    <w:rsid w:val="629F3631"/>
    <w:rsid w:val="62A6C604"/>
    <w:rsid w:val="62BCBA7F"/>
    <w:rsid w:val="62BEA848"/>
    <w:rsid w:val="62C45222"/>
    <w:rsid w:val="6305A98B"/>
    <w:rsid w:val="6340434E"/>
    <w:rsid w:val="634061F5"/>
    <w:rsid w:val="63437623"/>
    <w:rsid w:val="635F69EF"/>
    <w:rsid w:val="6381808E"/>
    <w:rsid w:val="63957A9E"/>
    <w:rsid w:val="63A6F227"/>
    <w:rsid w:val="63AA80F7"/>
    <w:rsid w:val="63AB795C"/>
    <w:rsid w:val="63E2C822"/>
    <w:rsid w:val="642377CF"/>
    <w:rsid w:val="64A19713"/>
    <w:rsid w:val="64B3D916"/>
    <w:rsid w:val="64C6BCB5"/>
    <w:rsid w:val="64DDC487"/>
    <w:rsid w:val="64DFF88F"/>
    <w:rsid w:val="64E199BE"/>
    <w:rsid w:val="64E5C84B"/>
    <w:rsid w:val="64E6E638"/>
    <w:rsid w:val="64EC5410"/>
    <w:rsid w:val="64F553E0"/>
    <w:rsid w:val="64F6EF23"/>
    <w:rsid w:val="650A3CE3"/>
    <w:rsid w:val="651223BD"/>
    <w:rsid w:val="6530B387"/>
    <w:rsid w:val="653B8370"/>
    <w:rsid w:val="65499929"/>
    <w:rsid w:val="6573F84D"/>
    <w:rsid w:val="6580C7C0"/>
    <w:rsid w:val="658577AE"/>
    <w:rsid w:val="65891131"/>
    <w:rsid w:val="65891459"/>
    <w:rsid w:val="65968DFB"/>
    <w:rsid w:val="65AEFE27"/>
    <w:rsid w:val="65B67380"/>
    <w:rsid w:val="65C2C957"/>
    <w:rsid w:val="65E8E402"/>
    <w:rsid w:val="65FE378E"/>
    <w:rsid w:val="65FEB260"/>
    <w:rsid w:val="663E70BB"/>
    <w:rsid w:val="6641189E"/>
    <w:rsid w:val="664F2F85"/>
    <w:rsid w:val="666FF740"/>
    <w:rsid w:val="66A31336"/>
    <w:rsid w:val="66A7A5C2"/>
    <w:rsid w:val="66B12F75"/>
    <w:rsid w:val="66D8796F"/>
    <w:rsid w:val="66FAF956"/>
    <w:rsid w:val="6744D46A"/>
    <w:rsid w:val="6758ED19"/>
    <w:rsid w:val="675C8845"/>
    <w:rsid w:val="67686BB5"/>
    <w:rsid w:val="676F44C6"/>
    <w:rsid w:val="67852414"/>
    <w:rsid w:val="67890F26"/>
    <w:rsid w:val="67948E74"/>
    <w:rsid w:val="67982690"/>
    <w:rsid w:val="67B0B299"/>
    <w:rsid w:val="67BDBF99"/>
    <w:rsid w:val="67C521CB"/>
    <w:rsid w:val="67C955DB"/>
    <w:rsid w:val="67CDF5DD"/>
    <w:rsid w:val="67E358E3"/>
    <w:rsid w:val="67E49BAF"/>
    <w:rsid w:val="67FAEEA1"/>
    <w:rsid w:val="6809046B"/>
    <w:rsid w:val="680D636B"/>
    <w:rsid w:val="68116940"/>
    <w:rsid w:val="6812EC8E"/>
    <w:rsid w:val="68229647"/>
    <w:rsid w:val="683B922E"/>
    <w:rsid w:val="683F79A9"/>
    <w:rsid w:val="6860CF36"/>
    <w:rsid w:val="68631CF3"/>
    <w:rsid w:val="6865866B"/>
    <w:rsid w:val="68659CA2"/>
    <w:rsid w:val="68689D45"/>
    <w:rsid w:val="686EA2A5"/>
    <w:rsid w:val="6870690D"/>
    <w:rsid w:val="68A4D2E0"/>
    <w:rsid w:val="68D0B009"/>
    <w:rsid w:val="68DF25F5"/>
    <w:rsid w:val="68E7ABFF"/>
    <w:rsid w:val="68F58F1C"/>
    <w:rsid w:val="690495C3"/>
    <w:rsid w:val="6906C303"/>
    <w:rsid w:val="690BB4B3"/>
    <w:rsid w:val="6914F865"/>
    <w:rsid w:val="69224A67"/>
    <w:rsid w:val="69238795"/>
    <w:rsid w:val="6946561D"/>
    <w:rsid w:val="6978CB6E"/>
    <w:rsid w:val="698219BA"/>
    <w:rsid w:val="699CDBD0"/>
    <w:rsid w:val="69E4F515"/>
    <w:rsid w:val="69EE5CB0"/>
    <w:rsid w:val="69F73EF0"/>
    <w:rsid w:val="69FD343E"/>
    <w:rsid w:val="6A04D5CD"/>
    <w:rsid w:val="6A0BA1F6"/>
    <w:rsid w:val="6A23143C"/>
    <w:rsid w:val="6A24C9C0"/>
    <w:rsid w:val="6A2AC938"/>
    <w:rsid w:val="6A316B28"/>
    <w:rsid w:val="6A38931E"/>
    <w:rsid w:val="6A45E105"/>
    <w:rsid w:val="6A5F4406"/>
    <w:rsid w:val="6A704D07"/>
    <w:rsid w:val="6A8F0EA7"/>
    <w:rsid w:val="6A8FE592"/>
    <w:rsid w:val="6A967AE0"/>
    <w:rsid w:val="6AD4452F"/>
    <w:rsid w:val="6AF85D67"/>
    <w:rsid w:val="6B0D5B89"/>
    <w:rsid w:val="6B12C20A"/>
    <w:rsid w:val="6B1E8D1F"/>
    <w:rsid w:val="6B31F187"/>
    <w:rsid w:val="6B352985"/>
    <w:rsid w:val="6B355320"/>
    <w:rsid w:val="6B3AD56A"/>
    <w:rsid w:val="6B3DC8F2"/>
    <w:rsid w:val="6B459403"/>
    <w:rsid w:val="6B523F8F"/>
    <w:rsid w:val="6B5827A3"/>
    <w:rsid w:val="6B636EF3"/>
    <w:rsid w:val="6B791F1E"/>
    <w:rsid w:val="6B7A7F6D"/>
    <w:rsid w:val="6B889370"/>
    <w:rsid w:val="6B9D19D1"/>
    <w:rsid w:val="6BB885F0"/>
    <w:rsid w:val="6BC84882"/>
    <w:rsid w:val="6BD0EC23"/>
    <w:rsid w:val="6BF83720"/>
    <w:rsid w:val="6C151E06"/>
    <w:rsid w:val="6C201164"/>
    <w:rsid w:val="6C55B6CB"/>
    <w:rsid w:val="6C5DCE2C"/>
    <w:rsid w:val="6C86A16C"/>
    <w:rsid w:val="6C8C94C1"/>
    <w:rsid w:val="6CE826D0"/>
    <w:rsid w:val="6CF2999D"/>
    <w:rsid w:val="6CF82FCC"/>
    <w:rsid w:val="6CF9D1AC"/>
    <w:rsid w:val="6D101D55"/>
    <w:rsid w:val="6D143AEA"/>
    <w:rsid w:val="6D3A4800"/>
    <w:rsid w:val="6D46F3E7"/>
    <w:rsid w:val="6D54CDF6"/>
    <w:rsid w:val="6D708CCD"/>
    <w:rsid w:val="6D915025"/>
    <w:rsid w:val="6DCA1766"/>
    <w:rsid w:val="6DCDD06B"/>
    <w:rsid w:val="6DD69CA8"/>
    <w:rsid w:val="6DFB2161"/>
    <w:rsid w:val="6E059BE0"/>
    <w:rsid w:val="6E0D131C"/>
    <w:rsid w:val="6E0D7FEE"/>
    <w:rsid w:val="6E21BFBE"/>
    <w:rsid w:val="6E3EAF71"/>
    <w:rsid w:val="6E4F15AF"/>
    <w:rsid w:val="6E58AB04"/>
    <w:rsid w:val="6E6311A6"/>
    <w:rsid w:val="6E6D5C11"/>
    <w:rsid w:val="6E7031C6"/>
    <w:rsid w:val="6E74DF22"/>
    <w:rsid w:val="6E7C0551"/>
    <w:rsid w:val="6ECF4296"/>
    <w:rsid w:val="6ED3418D"/>
    <w:rsid w:val="6EE9E587"/>
    <w:rsid w:val="6EEB89D7"/>
    <w:rsid w:val="6F1E5033"/>
    <w:rsid w:val="6F2D6AF9"/>
    <w:rsid w:val="6F7BA2E8"/>
    <w:rsid w:val="6F806D84"/>
    <w:rsid w:val="6F88BFB1"/>
    <w:rsid w:val="6F93D93E"/>
    <w:rsid w:val="6F95F688"/>
    <w:rsid w:val="6F9ED5ED"/>
    <w:rsid w:val="6FA744E3"/>
    <w:rsid w:val="6FAAED5E"/>
    <w:rsid w:val="6FADA82F"/>
    <w:rsid w:val="6FB7F0D8"/>
    <w:rsid w:val="6FD53E84"/>
    <w:rsid w:val="6FE49546"/>
    <w:rsid w:val="6FF99B5D"/>
    <w:rsid w:val="6FFF05B7"/>
    <w:rsid w:val="7016FBF3"/>
    <w:rsid w:val="701A6A78"/>
    <w:rsid w:val="7078D92E"/>
    <w:rsid w:val="707A081E"/>
    <w:rsid w:val="707AA267"/>
    <w:rsid w:val="707D7EC3"/>
    <w:rsid w:val="708756F6"/>
    <w:rsid w:val="70917C21"/>
    <w:rsid w:val="70978D14"/>
    <w:rsid w:val="70BA3739"/>
    <w:rsid w:val="70D10130"/>
    <w:rsid w:val="70DDC823"/>
    <w:rsid w:val="70E0CFCD"/>
    <w:rsid w:val="70EB4554"/>
    <w:rsid w:val="710DB1F0"/>
    <w:rsid w:val="711C2A58"/>
    <w:rsid w:val="711E1885"/>
    <w:rsid w:val="71292C2F"/>
    <w:rsid w:val="717D631A"/>
    <w:rsid w:val="717FC29C"/>
    <w:rsid w:val="71B66A7B"/>
    <w:rsid w:val="71DB2749"/>
    <w:rsid w:val="71E8E3E6"/>
    <w:rsid w:val="71F0D996"/>
    <w:rsid w:val="720B2F5E"/>
    <w:rsid w:val="72177E24"/>
    <w:rsid w:val="721F9889"/>
    <w:rsid w:val="7243118F"/>
    <w:rsid w:val="724CD86B"/>
    <w:rsid w:val="7250FAFA"/>
    <w:rsid w:val="7278A2F3"/>
    <w:rsid w:val="72802449"/>
    <w:rsid w:val="728844A3"/>
    <w:rsid w:val="72AE26A8"/>
    <w:rsid w:val="72BEFEFD"/>
    <w:rsid w:val="72E5590B"/>
    <w:rsid w:val="72EE74CE"/>
    <w:rsid w:val="730D819F"/>
    <w:rsid w:val="732E0F90"/>
    <w:rsid w:val="7339696B"/>
    <w:rsid w:val="733BA330"/>
    <w:rsid w:val="7366918D"/>
    <w:rsid w:val="739E520F"/>
    <w:rsid w:val="73BFC7B8"/>
    <w:rsid w:val="73DD56AF"/>
    <w:rsid w:val="73E68653"/>
    <w:rsid w:val="73E7470B"/>
    <w:rsid w:val="73FB073F"/>
    <w:rsid w:val="741158C6"/>
    <w:rsid w:val="742A0853"/>
    <w:rsid w:val="742F3352"/>
    <w:rsid w:val="74AB3A93"/>
    <w:rsid w:val="74ACEF9A"/>
    <w:rsid w:val="74C455AC"/>
    <w:rsid w:val="74D6B605"/>
    <w:rsid w:val="74EBCCA0"/>
    <w:rsid w:val="74F048A9"/>
    <w:rsid w:val="74FA2387"/>
    <w:rsid w:val="74FC68F2"/>
    <w:rsid w:val="75075B2B"/>
    <w:rsid w:val="75212FDD"/>
    <w:rsid w:val="752D656A"/>
    <w:rsid w:val="75450651"/>
    <w:rsid w:val="754A6F1E"/>
    <w:rsid w:val="754B516B"/>
    <w:rsid w:val="755F45A4"/>
    <w:rsid w:val="75749AF9"/>
    <w:rsid w:val="75797477"/>
    <w:rsid w:val="7586FEDE"/>
    <w:rsid w:val="75A6EFC3"/>
    <w:rsid w:val="75C2003E"/>
    <w:rsid w:val="75C9DB87"/>
    <w:rsid w:val="75DF7050"/>
    <w:rsid w:val="75F3BD25"/>
    <w:rsid w:val="75F898AD"/>
    <w:rsid w:val="7606355F"/>
    <w:rsid w:val="760DA409"/>
    <w:rsid w:val="7626036C"/>
    <w:rsid w:val="7629B97C"/>
    <w:rsid w:val="762F8F21"/>
    <w:rsid w:val="764101E1"/>
    <w:rsid w:val="7658886B"/>
    <w:rsid w:val="7660496D"/>
    <w:rsid w:val="769F4669"/>
    <w:rsid w:val="76A220BD"/>
    <w:rsid w:val="76ABCD5F"/>
    <w:rsid w:val="76E9CAEF"/>
    <w:rsid w:val="76ED57BF"/>
    <w:rsid w:val="76F7C2FC"/>
    <w:rsid w:val="7713376D"/>
    <w:rsid w:val="777A56A0"/>
    <w:rsid w:val="77B477FA"/>
    <w:rsid w:val="77BF08B0"/>
    <w:rsid w:val="77E773A6"/>
    <w:rsid w:val="77E86FC5"/>
    <w:rsid w:val="7831134C"/>
    <w:rsid w:val="7837BCE7"/>
    <w:rsid w:val="7838A31C"/>
    <w:rsid w:val="78631C07"/>
    <w:rsid w:val="787A54C6"/>
    <w:rsid w:val="7883866C"/>
    <w:rsid w:val="78A2C4D7"/>
    <w:rsid w:val="78A86075"/>
    <w:rsid w:val="78B52FFA"/>
    <w:rsid w:val="78C58C0E"/>
    <w:rsid w:val="78D3ADBA"/>
    <w:rsid w:val="78D45B61"/>
    <w:rsid w:val="78D8C4DD"/>
    <w:rsid w:val="78DDCA65"/>
    <w:rsid w:val="78F14CF8"/>
    <w:rsid w:val="78F1E411"/>
    <w:rsid w:val="7901E85D"/>
    <w:rsid w:val="790A2C59"/>
    <w:rsid w:val="79157283"/>
    <w:rsid w:val="791DFEDC"/>
    <w:rsid w:val="792F3D50"/>
    <w:rsid w:val="7932B717"/>
    <w:rsid w:val="795EF484"/>
    <w:rsid w:val="79B12E09"/>
    <w:rsid w:val="79D4517C"/>
    <w:rsid w:val="79DACAF2"/>
    <w:rsid w:val="79E5223E"/>
    <w:rsid w:val="79E98C4C"/>
    <w:rsid w:val="79FDCFA9"/>
    <w:rsid w:val="7A3DD50C"/>
    <w:rsid w:val="7A4695DB"/>
    <w:rsid w:val="7A6D1035"/>
    <w:rsid w:val="7A8EC6C4"/>
    <w:rsid w:val="7AAD2EC2"/>
    <w:rsid w:val="7ABAEF91"/>
    <w:rsid w:val="7AD604C9"/>
    <w:rsid w:val="7AF6754E"/>
    <w:rsid w:val="7B04C94D"/>
    <w:rsid w:val="7B44C472"/>
    <w:rsid w:val="7B539330"/>
    <w:rsid w:val="7B9FD2EB"/>
    <w:rsid w:val="7BA256DE"/>
    <w:rsid w:val="7BB1768A"/>
    <w:rsid w:val="7BB33686"/>
    <w:rsid w:val="7BD28923"/>
    <w:rsid w:val="7C0690BC"/>
    <w:rsid w:val="7C1398C7"/>
    <w:rsid w:val="7C1E707E"/>
    <w:rsid w:val="7C1F7EAB"/>
    <w:rsid w:val="7C4E64DE"/>
    <w:rsid w:val="7C74FCD2"/>
    <w:rsid w:val="7C9562BF"/>
    <w:rsid w:val="7C9CD5E0"/>
    <w:rsid w:val="7CACD120"/>
    <w:rsid w:val="7CB9A8D5"/>
    <w:rsid w:val="7CD6EF75"/>
    <w:rsid w:val="7CEACE72"/>
    <w:rsid w:val="7D04EDDF"/>
    <w:rsid w:val="7D197354"/>
    <w:rsid w:val="7D3B179B"/>
    <w:rsid w:val="7D3C3F0E"/>
    <w:rsid w:val="7D66DC36"/>
    <w:rsid w:val="7D7B964A"/>
    <w:rsid w:val="7DA1DEAE"/>
    <w:rsid w:val="7DAA71DE"/>
    <w:rsid w:val="7DAD77CA"/>
    <w:rsid w:val="7DB1C88A"/>
    <w:rsid w:val="7DBD97E1"/>
    <w:rsid w:val="7DC3472A"/>
    <w:rsid w:val="7DC50C97"/>
    <w:rsid w:val="7DD7CAC7"/>
    <w:rsid w:val="7E194EB5"/>
    <w:rsid w:val="7E3152BA"/>
    <w:rsid w:val="7E430592"/>
    <w:rsid w:val="7E59B6F0"/>
    <w:rsid w:val="7E614594"/>
    <w:rsid w:val="7E692989"/>
    <w:rsid w:val="7E7947DB"/>
    <w:rsid w:val="7E85A8B6"/>
    <w:rsid w:val="7EA0F4AE"/>
    <w:rsid w:val="7ED98154"/>
    <w:rsid w:val="7EE5D317"/>
    <w:rsid w:val="7EFA6C8B"/>
    <w:rsid w:val="7F0525EC"/>
    <w:rsid w:val="7F09A823"/>
    <w:rsid w:val="7F1298B8"/>
    <w:rsid w:val="7F219948"/>
    <w:rsid w:val="7F3708F4"/>
    <w:rsid w:val="7F836738"/>
    <w:rsid w:val="7F92800F"/>
    <w:rsid w:val="7F980602"/>
    <w:rsid w:val="7FAB8710"/>
    <w:rsid w:val="7FB18AAB"/>
    <w:rsid w:val="7FF692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6785"/>
  <w15:docId w15:val="{A8035E8D-9BE6-4307-9C0F-C26DF7B6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22"/>
    <w:pPr>
      <w:spacing w:before="120" w:after="120" w:line="240" w:lineRule="auto"/>
    </w:pPr>
    <w:rPr>
      <w:rFonts w:ascii="Calibri Light" w:eastAsia="Century Gothic" w:hAnsi="Calibri Light" w:cs="Century Gothic"/>
      <w:szCs w:val="20"/>
      <w:lang w:eastAsia="en-AU"/>
    </w:rPr>
  </w:style>
  <w:style w:type="paragraph" w:styleId="Heading1">
    <w:name w:val="heading 1"/>
    <w:basedOn w:val="HeadingBase"/>
    <w:next w:val="Normal"/>
    <w:link w:val="Heading1Char"/>
    <w:qFormat/>
    <w:rsid w:val="003E1546"/>
    <w:pPr>
      <w:spacing w:before="600" w:line="460" w:lineRule="exact"/>
      <w:outlineLvl w:val="0"/>
    </w:pPr>
    <w:rPr>
      <w:rFonts w:asciiTheme="majorHAnsi" w:hAnsiTheme="majorHAnsi"/>
      <w:b/>
      <w:bCs w:val="0"/>
      <w:color w:val="5D779D" w:themeColor="accent3"/>
      <w:sz w:val="44"/>
    </w:rPr>
  </w:style>
  <w:style w:type="paragraph" w:styleId="Heading2">
    <w:name w:val="heading 2"/>
    <w:basedOn w:val="HeadingBase"/>
    <w:next w:val="Normal"/>
    <w:link w:val="Heading2Char"/>
    <w:qFormat/>
    <w:rsid w:val="003E1546"/>
    <w:pPr>
      <w:spacing w:before="360" w:line="460" w:lineRule="exact"/>
      <w:outlineLvl w:val="1"/>
    </w:pPr>
    <w:rPr>
      <w:rFonts w:asciiTheme="majorHAnsi" w:hAnsiTheme="majorHAnsi"/>
      <w:bCs w:val="0"/>
      <w:iCs/>
      <w:color w:val="2C384A" w:themeColor="accent1"/>
      <w:sz w:val="28"/>
      <w:szCs w:val="28"/>
    </w:rPr>
  </w:style>
  <w:style w:type="paragraph" w:styleId="Heading3">
    <w:name w:val="heading 3"/>
    <w:basedOn w:val="HeadingBase"/>
    <w:next w:val="Normal"/>
    <w:link w:val="Heading3Char"/>
    <w:qFormat/>
    <w:rsid w:val="003E1546"/>
    <w:pPr>
      <w:spacing w:before="320" w:after="0" w:line="276" w:lineRule="auto"/>
      <w:outlineLvl w:val="2"/>
    </w:pPr>
    <w:rPr>
      <w:rFonts w:asciiTheme="majorHAnsi" w:hAnsiTheme="majorHAnsi"/>
      <w:b/>
      <w:bCs w:val="0"/>
      <w:color w:val="4D7861" w:themeColor="accent2"/>
      <w:sz w:val="24"/>
      <w:szCs w:val="26"/>
    </w:rPr>
  </w:style>
  <w:style w:type="paragraph" w:styleId="Heading4">
    <w:name w:val="heading 4"/>
    <w:basedOn w:val="HeadingBase"/>
    <w:next w:val="Normal"/>
    <w:link w:val="Heading4Char"/>
    <w:qFormat/>
    <w:rsid w:val="003E1546"/>
    <w:pPr>
      <w:spacing w:before="280" w:after="0" w:line="276" w:lineRule="auto"/>
      <w:outlineLvl w:val="3"/>
    </w:pPr>
    <w:rPr>
      <w:rFonts w:asciiTheme="majorHAnsi" w:hAnsiTheme="majorHAnsi"/>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mbria Math" w:hAnsi="Cambria Math"/>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546"/>
    <w:rPr>
      <w:rFonts w:asciiTheme="majorHAnsi" w:eastAsia="Century Gothic" w:hAnsiTheme="majorHAnsi" w:cs="Yu Mincho Light"/>
      <w:b/>
      <w:color w:val="5D779D" w:themeColor="accent3"/>
      <w:kern w:val="32"/>
      <w:sz w:val="44"/>
      <w:szCs w:val="36"/>
      <w:lang w:eastAsia="en-AU"/>
    </w:rPr>
  </w:style>
  <w:style w:type="character" w:customStyle="1" w:styleId="Heading2Char">
    <w:name w:val="Heading 2 Char"/>
    <w:basedOn w:val="DefaultParagraphFont"/>
    <w:link w:val="Heading2"/>
    <w:rsid w:val="003E1546"/>
    <w:rPr>
      <w:rFonts w:asciiTheme="majorHAnsi" w:eastAsia="Century Gothic" w:hAnsiTheme="majorHAnsi" w:cs="Yu Mincho Light"/>
      <w:iCs/>
      <w:color w:val="2C384A" w:themeColor="accent1"/>
      <w:kern w:val="32"/>
      <w:sz w:val="28"/>
      <w:szCs w:val="28"/>
      <w:lang w:eastAsia="en-AU"/>
    </w:rPr>
  </w:style>
  <w:style w:type="character" w:customStyle="1" w:styleId="Heading3Char">
    <w:name w:val="Heading 3 Char"/>
    <w:basedOn w:val="DefaultParagraphFont"/>
    <w:link w:val="Heading3"/>
    <w:rsid w:val="003E1546"/>
    <w:rPr>
      <w:rFonts w:asciiTheme="majorHAnsi" w:eastAsia="Century Gothic" w:hAnsiTheme="majorHAnsi" w:cs="Yu Mincho Light"/>
      <w:b/>
      <w:color w:val="4D7861" w:themeColor="accent2"/>
      <w:kern w:val="32"/>
      <w:sz w:val="24"/>
      <w:szCs w:val="26"/>
      <w:lang w:eastAsia="en-AU"/>
    </w:rPr>
  </w:style>
  <w:style w:type="character" w:customStyle="1" w:styleId="Heading4Char">
    <w:name w:val="Heading 4 Char"/>
    <w:basedOn w:val="DefaultParagraphFont"/>
    <w:link w:val="Heading4"/>
    <w:rsid w:val="003E1546"/>
    <w:rPr>
      <w:rFonts w:asciiTheme="majorHAnsi" w:eastAsia="Century Gothic" w:hAnsiTheme="majorHAnsi" w:cs="Yu Mincho Light"/>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Century Gothic" w:hAnsiTheme="majorHAnsi" w:cs="Yu Mincho Light"/>
      <w:b/>
      <w:iCs/>
      <w:color w:val="000000" w:themeColor="text1"/>
      <w:kern w:val="32"/>
      <w:szCs w:val="36"/>
      <w:lang w:eastAsia="en-AU"/>
    </w:rPr>
  </w:style>
  <w:style w:type="character" w:customStyle="1" w:styleId="Heading6Char">
    <w:name w:val="Heading 6 Char"/>
    <w:basedOn w:val="DefaultParagraphFont"/>
    <w:link w:val="Heading6"/>
    <w:rsid w:val="00E349A7"/>
    <w:rPr>
      <w:rFonts w:ascii="Cambria Math" w:eastAsia="Century Gothic" w:hAnsi="Cambria Math" w:cs="Yu Mincho Light"/>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Tahoma" w:eastAsia="Courier New" w:hAnsi="Tahoma" w:cs="Courier New"/>
      <w:szCs w:val="20"/>
      <w:lang w:eastAsia="en-AU"/>
    </w:rPr>
  </w:style>
  <w:style w:type="character" w:customStyle="1" w:styleId="DoubleDotChar">
    <w:name w:val="Double Dot Char"/>
    <w:basedOn w:val="DefaultParagraphFont"/>
    <w:link w:val="DoubleDot"/>
    <w:locked/>
    <w:rsid w:val="00E349A7"/>
    <w:rPr>
      <w:rFonts w:ascii="Cambria Math" w:eastAsia="Century Gothic" w:hAnsi="Cambria Math" w:cs="Century Gothic"/>
      <w:szCs w:val="20"/>
      <w:lang w:eastAsia="en-AU"/>
    </w:rPr>
  </w:style>
  <w:style w:type="character" w:customStyle="1" w:styleId="BulletChar">
    <w:name w:val="Bullet Char"/>
    <w:aliases w:val="b Char,b Char Char,b + line Char Char,b1 Char,b + line Char,Body Char,level 1 Char"/>
    <w:basedOn w:val="DefaultParagraphFont"/>
    <w:link w:val="Bullet"/>
    <w:locked/>
    <w:rsid w:val="00C54976"/>
    <w:rPr>
      <w:rFonts w:ascii="Calibri Light" w:eastAsia="MS Mincho" w:hAnsi="Calibri Light" w:cs="MS Mincho"/>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Body,level 1,Bullet + line"/>
    <w:basedOn w:val="Normal"/>
    <w:link w:val="BulletChar"/>
    <w:qFormat/>
    <w:rsid w:val="00C54976"/>
    <w:pPr>
      <w:numPr>
        <w:numId w:val="11"/>
      </w:numPr>
      <w:tabs>
        <w:tab w:val="left" w:pos="720"/>
      </w:tabs>
      <w:spacing w:before="0" w:line="276" w:lineRule="auto"/>
    </w:pPr>
    <w:rPr>
      <w:rFonts w:eastAsia="MS Mincho" w:cs="MS Mincho"/>
    </w:rPr>
  </w:style>
  <w:style w:type="paragraph" w:customStyle="1" w:styleId="ChartandTableFootnoteAlpha">
    <w:name w:val="Chart and Table Footnote Alpha"/>
    <w:rsid w:val="0023305C"/>
    <w:pPr>
      <w:numPr>
        <w:numId w:val="9"/>
      </w:numPr>
      <w:spacing w:after="0" w:line="240" w:lineRule="auto"/>
      <w:jc w:val="both"/>
    </w:pPr>
    <w:rPr>
      <w:rFonts w:ascii="Courier New" w:eastAsia="Century Gothic" w:hAnsi="Courier New" w:cs="Century Gothic"/>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ourier New" w:eastAsia="Century Gothic" w:hAnsi="Courier New" w:cs="Century Gothic"/>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E1546"/>
    <w:pPr>
      <w:keepNext/>
      <w:spacing w:before="0" w:after="360"/>
    </w:pPr>
    <w:rPr>
      <w:color w:val="90B6F0"/>
      <w:sz w:val="32"/>
    </w:rPr>
  </w:style>
  <w:style w:type="paragraph" w:customStyle="1" w:styleId="Dash">
    <w:name w:val="Dash"/>
    <w:basedOn w:val="Normal"/>
    <w:link w:val="DashChar"/>
    <w:qFormat/>
    <w:rsid w:val="002A2FBA"/>
    <w:pPr>
      <w:numPr>
        <w:ilvl w:val="1"/>
        <w:numId w:val="11"/>
      </w:numPr>
      <w:spacing w:before="0"/>
    </w:pPr>
    <w:rPr>
      <w:rFonts w:ascii="Tahoma" w:eastAsia="Courier New" w:hAnsi="Tahoma" w:cs="Courier New"/>
    </w:r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mbria Math" w:eastAsia="Century Gothic" w:hAnsi="Cambria Math" w:cs="Century Gothic"/>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ascii="Calibri" w:eastAsia="Yu Mincho Demibold" w:hAnsi="Calibri" w:cs="Yu Mincho Demibold"/>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ourier New" w:eastAsia="Century Gothic" w:hAnsi="Courier New" w:cs="Century Gothic"/>
      <w:szCs w:val="20"/>
      <w:lang w:eastAsia="en-AU"/>
    </w:rPr>
  </w:style>
  <w:style w:type="paragraph" w:customStyle="1" w:styleId="Heading2Numbered">
    <w:name w:val="Heading 2 Numbered"/>
    <w:basedOn w:val="Heading2"/>
    <w:next w:val="Normal"/>
    <w:rsid w:val="000E0B74"/>
    <w:pPr>
      <w:numPr>
        <w:ilvl w:val="1"/>
        <w:numId w:val="7"/>
      </w:numPr>
    </w:pPr>
  </w:style>
  <w:style w:type="paragraph" w:customStyle="1" w:styleId="Heading3Numbered">
    <w:name w:val="Heading 3 Numbered"/>
    <w:basedOn w:val="Heading3"/>
    <w:rsid w:val="00EE1BF1"/>
    <w:pPr>
      <w:numPr>
        <w:ilvl w:val="2"/>
        <w:numId w:val="7"/>
      </w:numPr>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ourier New" w:eastAsiaTheme="majorEastAsia" w:hAnsi="Courier New"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ourier New" w:eastAsiaTheme="majorEastAsia" w:hAnsi="Courier New"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ourier New" w:eastAsia="Century Gothic" w:hAnsi="Courier New" w:cs="Century Gothic"/>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ourier New" w:eastAsia="Century Gothic" w:hAnsi="Courier New" w:cs="Century Gothic"/>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ourier New" w:eastAsia="Century Gothic" w:hAnsi="Courier New" w:cs="Yu Mincho Light"/>
      <w:bCs/>
      <w:color w:val="002C4A"/>
      <w:kern w:val="32"/>
      <w:sz w:val="48"/>
      <w:szCs w:val="36"/>
      <w:lang w:eastAsia="en-AU"/>
    </w:rPr>
  </w:style>
  <w:style w:type="character" w:customStyle="1" w:styleId="ReportDateChar">
    <w:name w:val="Report Date Char"/>
    <w:basedOn w:val="DefaultParagraphFont"/>
    <w:link w:val="ReportDate"/>
    <w:rsid w:val="003E1546"/>
    <w:rPr>
      <w:rFonts w:ascii="Calibri Light" w:eastAsia="Century Gothic" w:hAnsi="Calibri Light" w:cs="Century Gothic"/>
      <w:color w:val="90B6F0"/>
      <w:sz w:val="32"/>
      <w:szCs w:val="20"/>
      <w:lang w:eastAsia="en-AU"/>
    </w:rPr>
  </w:style>
  <w:style w:type="paragraph" w:customStyle="1" w:styleId="NotesHeading">
    <w:name w:val="Notes Heading"/>
    <w:basedOn w:val="Normal"/>
    <w:rsid w:val="002F617F"/>
    <w:pPr>
      <w:keepNext/>
      <w:spacing w:before="240" w:after="360"/>
      <w:jc w:val="center"/>
    </w:pPr>
    <w:rPr>
      <w:smallCaps/>
      <w:color w:val="5F5F5F" w:themeColor="text2"/>
      <w:sz w:val="36"/>
      <w:szCs w:val="36"/>
    </w:rPr>
  </w:style>
  <w:style w:type="paragraph" w:styleId="ListParagraph">
    <w:name w:val="List Paragraph"/>
    <w:basedOn w:val="Normal"/>
    <w:uiPriority w:val="34"/>
    <w:qFormat/>
    <w:rsid w:val="00781ABF"/>
    <w:pPr>
      <w:spacing w:before="0" w:line="276" w:lineRule="auto"/>
      <w:ind w:left="720"/>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371132"/>
    <w:pPr>
      <w:spacing w:before="0" w:after="0"/>
      <w:ind w:left="170" w:hanging="170"/>
      <w:mirrorIndents/>
    </w:pPr>
    <w:rPr>
      <w:sz w:val="20"/>
    </w:rPr>
  </w:style>
  <w:style w:type="character" w:customStyle="1" w:styleId="FootnoteTextChar">
    <w:name w:val="Footnote Text Char"/>
    <w:basedOn w:val="DefaultParagraphFont"/>
    <w:link w:val="FootnoteText"/>
    <w:uiPriority w:val="99"/>
    <w:rsid w:val="00371132"/>
    <w:rPr>
      <w:rFonts w:ascii="Calibri Light" w:eastAsia="Century Gothic" w:hAnsi="Calibri Light" w:cs="Century Gothic"/>
      <w:sz w:val="20"/>
      <w:szCs w:val="20"/>
      <w:lang w:eastAsia="en-AU"/>
    </w:rPr>
  </w:style>
  <w:style w:type="character" w:styleId="FootnoteReference">
    <w:name w:val="footnote reference"/>
    <w:basedOn w:val="DefaultParagraphFont"/>
    <w:uiPriority w:val="99"/>
    <w:rsid w:val="006B6B9E"/>
    <w:rPr>
      <w:caps w:val="0"/>
      <w:smallCaps w:val="0"/>
      <w:strike w:val="0"/>
      <w:dstrike w:val="0"/>
      <w:vanish w:val="0"/>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C72318"/>
    <w:rPr>
      <w:rFonts w:ascii="MS Gothic" w:eastAsia="Century Gothic" w:hAnsi="MS Gothic" w:cs="MS Gothic"/>
      <w:sz w:val="16"/>
      <w:szCs w:val="16"/>
      <w:lang w:eastAsia="en-AU"/>
    </w:rPr>
  </w:style>
  <w:style w:type="character" w:customStyle="1" w:styleId="BoxTextChar">
    <w:name w:val="Box Text Char"/>
    <w:basedOn w:val="DefaultParagraphFont"/>
    <w:link w:val="BoxText"/>
    <w:locked/>
    <w:rsid w:val="00E349A7"/>
    <w:rPr>
      <w:rFonts w:ascii="Cambria Math" w:eastAsia="Century Gothic" w:hAnsi="Cambria Math" w:cs="Century Gothic"/>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rFonts w:ascii="Tahoma" w:eastAsia="Yu Mincho Light" w:hAnsi="Tahoma" w:cs="Yu Mincho Light"/>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ascii="Tahoma" w:eastAsiaTheme="minorHAnsi" w:hAnsi="Tahoma" w:cs="Courier New"/>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905B5"/>
    <w:rPr>
      <w:sz w:val="20"/>
    </w:rPr>
  </w:style>
  <w:style w:type="character" w:customStyle="1" w:styleId="CommentTextChar">
    <w:name w:val="Comment Text Char"/>
    <w:basedOn w:val="DefaultParagraphFont"/>
    <w:link w:val="CommentText"/>
    <w:uiPriority w:val="99"/>
    <w:rsid w:val="00B905B5"/>
    <w:rPr>
      <w:rFonts w:ascii="Calibri Light" w:eastAsia="Century Gothic" w:hAnsi="Calibri Light" w:cs="Century Gothic"/>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ourier New" w:eastAsia="Century Gothic" w:hAnsi="Courier New" w:cs="Courier New"/>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ourier New" w:eastAsia="Century Gothic" w:hAnsi="Courier New" w:cs="Courier New"/>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ourier New" w:eastAsia="Century Gothic" w:hAnsi="Courier New" w:cs="Courier New"/>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ourier New" w:eastAsia="Century Gothic" w:hAnsi="Courier New" w:cs="Courier New"/>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ourier New" w:eastAsia="Century Gothic" w:hAnsi="Courier New" w:cs="Courier New"/>
      <w:b/>
      <w:color w:val="FF0000"/>
      <w:sz w:val="24"/>
      <w:szCs w:val="20"/>
      <w:lang w:eastAsia="en-AU"/>
    </w:rPr>
  </w:style>
  <w:style w:type="character" w:customStyle="1" w:styleId="DLMSecurityHeaderChar">
    <w:name w:val="DLM Security Header Char"/>
    <w:basedOn w:val="HeaderChar"/>
    <w:link w:val="DLMSecurityHeader"/>
    <w:rsid w:val="00F5365A"/>
    <w:rPr>
      <w:rFonts w:ascii="Courier New" w:eastAsia="Century Gothic" w:hAnsi="Courier New" w:cs="Courier New"/>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ourier New" w:eastAsia="Century Gothic" w:hAnsi="Courier New" w:cs="Courier New"/>
      <w:b/>
      <w:color w:val="FF0000"/>
      <w:sz w:val="24"/>
      <w:szCs w:val="20"/>
      <w:lang w:eastAsia="en-AU"/>
    </w:rPr>
  </w:style>
  <w:style w:type="character" w:customStyle="1" w:styleId="DLMSecurityFooterChar">
    <w:name w:val="DLM Security Footer Char"/>
    <w:basedOn w:val="HeaderChar"/>
    <w:link w:val="DLMSecurityFooter"/>
    <w:rsid w:val="00F5365A"/>
    <w:rPr>
      <w:rFonts w:ascii="Courier New" w:eastAsia="Century Gothic" w:hAnsi="Courier New" w:cs="Courier New"/>
      <w:b/>
      <w:color w:val="FF0000"/>
      <w:sz w:val="24"/>
      <w:szCs w:val="20"/>
      <w:lang w:eastAsia="en-AU"/>
    </w:rPr>
  </w:style>
  <w:style w:type="paragraph" w:customStyle="1" w:styleId="Heading3noTOC">
    <w:name w:val="Heading 3 no TOC"/>
    <w:basedOn w:val="Heading3"/>
    <w:qFormat/>
    <w:rsid w:val="005C4D35"/>
    <w:pPr>
      <w:spacing w:before="240" w:after="120" w:line="240" w:lineRule="auto"/>
    </w:pPr>
    <w:rPr>
      <w:rFonts w:cs="Courier New"/>
      <w:b w:val="0"/>
      <w:color w:val="5D779D" w:themeColor="accent3"/>
    </w:rPr>
  </w:style>
  <w:style w:type="paragraph" w:styleId="Caption">
    <w:name w:val="caption"/>
    <w:basedOn w:val="Normal"/>
    <w:next w:val="Normal"/>
    <w:uiPriority w:val="35"/>
    <w:semiHidden/>
    <w:unhideWhenUsed/>
    <w:qFormat/>
    <w:rsid w:val="005C4D35"/>
    <w:pPr>
      <w:spacing w:before="0" w:after="200"/>
    </w:pPr>
    <w:rPr>
      <w:rFonts w:ascii="Courier New" w:hAnsi="Courier New"/>
      <w:i/>
      <w:iCs/>
      <w:color w:val="5F5F5F" w:themeColor="text2"/>
      <w:sz w:val="18"/>
      <w:szCs w:val="18"/>
    </w:rPr>
  </w:style>
  <w:style w:type="paragraph" w:styleId="CommentSubject">
    <w:name w:val="annotation subject"/>
    <w:basedOn w:val="CommentText"/>
    <w:next w:val="CommentText"/>
    <w:link w:val="CommentSubjectChar"/>
    <w:uiPriority w:val="99"/>
    <w:semiHidden/>
    <w:unhideWhenUsed/>
    <w:rsid w:val="006237D6"/>
    <w:rPr>
      <w:rFonts w:ascii="Cambria Math" w:hAnsi="Cambria Math"/>
      <w:b/>
      <w:bCs/>
    </w:rPr>
  </w:style>
  <w:style w:type="character" w:customStyle="1" w:styleId="CommentSubjectChar">
    <w:name w:val="Comment Subject Char"/>
    <w:basedOn w:val="CommentTextChar"/>
    <w:link w:val="CommentSubject"/>
    <w:uiPriority w:val="99"/>
    <w:semiHidden/>
    <w:rsid w:val="006237D6"/>
    <w:rPr>
      <w:rFonts w:ascii="Cambria Math" w:eastAsia="Century Gothic" w:hAnsi="Cambria Math" w:cs="Century Gothic"/>
      <w:b/>
      <w:bCs/>
      <w:sz w:val="20"/>
      <w:szCs w:val="20"/>
      <w:lang w:eastAsia="en-AU"/>
    </w:rPr>
  </w:style>
  <w:style w:type="character" w:customStyle="1" w:styleId="OutlineNumbered1Char">
    <w:name w:val="Outline Numbered 1 Char"/>
    <w:basedOn w:val="Heading3Char"/>
    <w:link w:val="OutlineNumbered1"/>
    <w:rsid w:val="00662087"/>
    <w:rPr>
      <w:rFonts w:ascii="Cambria Math" w:eastAsia="Century Gothic" w:hAnsi="Cambria Math" w:cs="Century Gothic"/>
      <w:b w:val="0"/>
      <w:color w:val="4D7861" w:themeColor="accent2"/>
      <w:kern w:val="32"/>
      <w:sz w:val="24"/>
      <w:szCs w:val="20"/>
      <w:lang w:eastAsia="en-AU"/>
    </w:rPr>
  </w:style>
  <w:style w:type="character" w:styleId="IntenseReference">
    <w:name w:val="Intense Reference"/>
    <w:basedOn w:val="DefaultParagraphFont"/>
    <w:uiPriority w:val="32"/>
    <w:qFormat/>
    <w:rsid w:val="00662087"/>
    <w:rPr>
      <w:b/>
      <w:bCs/>
      <w:smallCaps/>
      <w:color w:val="2C384A" w:themeColor="accent1"/>
      <w:spacing w:val="5"/>
    </w:rPr>
  </w:style>
  <w:style w:type="paragraph" w:styleId="Quote">
    <w:name w:val="Quote"/>
    <w:basedOn w:val="Normal"/>
    <w:next w:val="Normal"/>
    <w:link w:val="QuoteChar"/>
    <w:uiPriority w:val="29"/>
    <w:qFormat/>
    <w:rsid w:val="001128A7"/>
    <w:pPr>
      <w:ind w:left="862" w:right="862"/>
      <w:jc w:val="both"/>
    </w:pPr>
    <w:rPr>
      <w:rFonts w:asciiTheme="minorHAnsi" w:eastAsiaTheme="minorHAnsi" w:hAnsiTheme="minorHAnsi" w:cstheme="minorBidi"/>
      <w:i/>
      <w:iCs/>
      <w:color w:val="002060"/>
      <w:szCs w:val="22"/>
      <w:lang w:eastAsia="en-US"/>
    </w:rPr>
  </w:style>
  <w:style w:type="character" w:customStyle="1" w:styleId="QuoteChar">
    <w:name w:val="Quote Char"/>
    <w:basedOn w:val="DefaultParagraphFont"/>
    <w:link w:val="Quote"/>
    <w:uiPriority w:val="29"/>
    <w:rsid w:val="001128A7"/>
    <w:rPr>
      <w:i/>
      <w:iCs/>
      <w:color w:val="002060"/>
    </w:rPr>
  </w:style>
  <w:style w:type="character" w:styleId="FollowedHyperlink">
    <w:name w:val="FollowedHyperlink"/>
    <w:basedOn w:val="DefaultParagraphFont"/>
    <w:uiPriority w:val="99"/>
    <w:semiHidden/>
    <w:unhideWhenUsed/>
    <w:rsid w:val="00662087"/>
    <w:rPr>
      <w:color w:val="844D9E" w:themeColor="followedHyperlink"/>
      <w:u w:val="single"/>
    </w:rPr>
  </w:style>
  <w:style w:type="character" w:styleId="UnresolvedMention">
    <w:name w:val="Unresolved Mention"/>
    <w:basedOn w:val="DefaultParagraphFont"/>
    <w:uiPriority w:val="99"/>
    <w:unhideWhenUsed/>
    <w:rsid w:val="00F86887"/>
    <w:rPr>
      <w:color w:val="605E5C"/>
      <w:shd w:val="clear" w:color="auto" w:fill="E1DFDD"/>
    </w:rPr>
  </w:style>
  <w:style w:type="paragraph" w:styleId="Revision">
    <w:name w:val="Revision"/>
    <w:hidden/>
    <w:uiPriority w:val="99"/>
    <w:semiHidden/>
    <w:rsid w:val="00D72B63"/>
    <w:pPr>
      <w:spacing w:after="0" w:line="240" w:lineRule="auto"/>
    </w:pPr>
    <w:rPr>
      <w:rFonts w:ascii="Cambria Math" w:eastAsia="Century Gothic" w:hAnsi="Cambria Math" w:cs="Century Gothic"/>
      <w:szCs w:val="20"/>
      <w:lang w:eastAsia="en-AU"/>
    </w:rPr>
  </w:style>
  <w:style w:type="character" w:customStyle="1" w:styleId="ui-provider">
    <w:name w:val="ui-provider"/>
    <w:basedOn w:val="DefaultParagraphFont"/>
    <w:rsid w:val="007811F5"/>
  </w:style>
  <w:style w:type="table" w:styleId="PlainTable1">
    <w:name w:val="Plain Table 1"/>
    <w:basedOn w:val="TableNormal"/>
    <w:uiPriority w:val="41"/>
    <w:rsid w:val="00311E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A7598"/>
    <w:rPr>
      <w:color w:val="2B579A"/>
      <w:shd w:val="clear" w:color="auto" w:fill="E1DFDD"/>
    </w:rPr>
  </w:style>
  <w:style w:type="character" w:customStyle="1" w:styleId="field">
    <w:name w:val="field"/>
    <w:basedOn w:val="DefaultParagraphFont"/>
    <w:rsid w:val="00EA7598"/>
  </w:style>
  <w:style w:type="paragraph" w:styleId="NormalWeb">
    <w:name w:val="Normal (Web)"/>
    <w:basedOn w:val="Normal"/>
    <w:uiPriority w:val="99"/>
    <w:semiHidden/>
    <w:unhideWhenUsed/>
    <w:rsid w:val="0003511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C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171">
      <w:bodyDiv w:val="1"/>
      <w:marLeft w:val="0"/>
      <w:marRight w:val="0"/>
      <w:marTop w:val="0"/>
      <w:marBottom w:val="0"/>
      <w:divBdr>
        <w:top w:val="none" w:sz="0" w:space="0" w:color="auto"/>
        <w:left w:val="none" w:sz="0" w:space="0" w:color="auto"/>
        <w:bottom w:val="none" w:sz="0" w:space="0" w:color="auto"/>
        <w:right w:val="none" w:sz="0" w:space="0" w:color="auto"/>
      </w:divBdr>
    </w:div>
    <w:div w:id="90975753">
      <w:bodyDiv w:val="1"/>
      <w:marLeft w:val="0"/>
      <w:marRight w:val="0"/>
      <w:marTop w:val="0"/>
      <w:marBottom w:val="0"/>
      <w:divBdr>
        <w:top w:val="none" w:sz="0" w:space="0" w:color="auto"/>
        <w:left w:val="none" w:sz="0" w:space="0" w:color="auto"/>
        <w:bottom w:val="none" w:sz="0" w:space="0" w:color="auto"/>
        <w:right w:val="none" w:sz="0" w:space="0" w:color="auto"/>
      </w:divBdr>
    </w:div>
    <w:div w:id="310595322">
      <w:bodyDiv w:val="1"/>
      <w:marLeft w:val="0"/>
      <w:marRight w:val="0"/>
      <w:marTop w:val="0"/>
      <w:marBottom w:val="0"/>
      <w:divBdr>
        <w:top w:val="none" w:sz="0" w:space="0" w:color="auto"/>
        <w:left w:val="none" w:sz="0" w:space="0" w:color="auto"/>
        <w:bottom w:val="none" w:sz="0" w:space="0" w:color="auto"/>
        <w:right w:val="none" w:sz="0" w:space="0" w:color="auto"/>
      </w:divBdr>
    </w:div>
    <w:div w:id="31734624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81650860">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364569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68531104">
      <w:bodyDiv w:val="1"/>
      <w:marLeft w:val="0"/>
      <w:marRight w:val="0"/>
      <w:marTop w:val="0"/>
      <w:marBottom w:val="0"/>
      <w:divBdr>
        <w:top w:val="none" w:sz="0" w:space="0" w:color="auto"/>
        <w:left w:val="none" w:sz="0" w:space="0" w:color="auto"/>
        <w:bottom w:val="none" w:sz="0" w:space="0" w:color="auto"/>
        <w:right w:val="none" w:sz="0" w:space="0" w:color="auto"/>
      </w:divBdr>
    </w:div>
    <w:div w:id="1350569971">
      <w:bodyDiv w:val="1"/>
      <w:marLeft w:val="0"/>
      <w:marRight w:val="0"/>
      <w:marTop w:val="0"/>
      <w:marBottom w:val="0"/>
      <w:divBdr>
        <w:top w:val="none" w:sz="0" w:space="0" w:color="auto"/>
        <w:left w:val="none" w:sz="0" w:space="0" w:color="auto"/>
        <w:bottom w:val="none" w:sz="0" w:space="0" w:color="auto"/>
        <w:right w:val="none" w:sz="0" w:space="0" w:color="auto"/>
      </w:divBdr>
    </w:div>
    <w:div w:id="1475634024">
      <w:bodyDiv w:val="1"/>
      <w:marLeft w:val="0"/>
      <w:marRight w:val="0"/>
      <w:marTop w:val="0"/>
      <w:marBottom w:val="0"/>
      <w:divBdr>
        <w:top w:val="none" w:sz="0" w:space="0" w:color="auto"/>
        <w:left w:val="none" w:sz="0" w:space="0" w:color="auto"/>
        <w:bottom w:val="none" w:sz="0" w:space="0" w:color="auto"/>
        <w:right w:val="none" w:sz="0" w:space="0" w:color="auto"/>
      </w:divBdr>
    </w:div>
    <w:div w:id="1523862128">
      <w:bodyDiv w:val="1"/>
      <w:marLeft w:val="0"/>
      <w:marRight w:val="0"/>
      <w:marTop w:val="0"/>
      <w:marBottom w:val="0"/>
      <w:divBdr>
        <w:top w:val="none" w:sz="0" w:space="0" w:color="auto"/>
        <w:left w:val="none" w:sz="0" w:space="0" w:color="auto"/>
        <w:bottom w:val="none" w:sz="0" w:space="0" w:color="auto"/>
        <w:right w:val="none" w:sz="0" w:space="0" w:color="auto"/>
      </w:divBdr>
    </w:div>
    <w:div w:id="1534348734">
      <w:bodyDiv w:val="1"/>
      <w:marLeft w:val="0"/>
      <w:marRight w:val="0"/>
      <w:marTop w:val="0"/>
      <w:marBottom w:val="0"/>
      <w:divBdr>
        <w:top w:val="none" w:sz="0" w:space="0" w:color="auto"/>
        <w:left w:val="none" w:sz="0" w:space="0" w:color="auto"/>
        <w:bottom w:val="none" w:sz="0" w:space="0" w:color="auto"/>
        <w:right w:val="none" w:sz="0" w:space="0" w:color="auto"/>
      </w:divBdr>
    </w:div>
    <w:div w:id="1748385752">
      <w:bodyDiv w:val="1"/>
      <w:marLeft w:val="0"/>
      <w:marRight w:val="0"/>
      <w:marTop w:val="0"/>
      <w:marBottom w:val="0"/>
      <w:divBdr>
        <w:top w:val="none" w:sz="0" w:space="0" w:color="auto"/>
        <w:left w:val="none" w:sz="0" w:space="0" w:color="auto"/>
        <w:bottom w:val="none" w:sz="0" w:space="0" w:color="auto"/>
        <w:right w:val="none" w:sz="0" w:space="0" w:color="auto"/>
      </w:divBdr>
    </w:div>
    <w:div w:id="1809279471">
      <w:bodyDiv w:val="1"/>
      <w:marLeft w:val="0"/>
      <w:marRight w:val="0"/>
      <w:marTop w:val="0"/>
      <w:marBottom w:val="0"/>
      <w:divBdr>
        <w:top w:val="none" w:sz="0" w:space="0" w:color="auto"/>
        <w:left w:val="none" w:sz="0" w:space="0" w:color="auto"/>
        <w:bottom w:val="none" w:sz="0" w:space="0" w:color="auto"/>
        <w:right w:val="none" w:sz="0" w:space="0" w:color="auto"/>
      </w:divBdr>
    </w:div>
    <w:div w:id="1968508633">
      <w:bodyDiv w:val="1"/>
      <w:marLeft w:val="0"/>
      <w:marRight w:val="0"/>
      <w:marTop w:val="0"/>
      <w:marBottom w:val="0"/>
      <w:divBdr>
        <w:top w:val="none" w:sz="0" w:space="0" w:color="auto"/>
        <w:left w:val="none" w:sz="0" w:space="0" w:color="auto"/>
        <w:bottom w:val="none" w:sz="0" w:space="0" w:color="auto"/>
        <w:right w:val="none" w:sz="0" w:space="0" w:color="auto"/>
      </w:divBdr>
    </w:div>
    <w:div w:id="2001039886">
      <w:bodyDiv w:val="1"/>
      <w:marLeft w:val="0"/>
      <w:marRight w:val="0"/>
      <w:marTop w:val="0"/>
      <w:marBottom w:val="0"/>
      <w:divBdr>
        <w:top w:val="none" w:sz="0" w:space="0" w:color="auto"/>
        <w:left w:val="none" w:sz="0" w:space="0" w:color="auto"/>
        <w:bottom w:val="none" w:sz="0" w:space="0" w:color="auto"/>
        <w:right w:val="none" w:sz="0" w:space="0" w:color="auto"/>
      </w:divBdr>
      <w:divsChild>
        <w:div w:id="55013412">
          <w:marLeft w:val="446"/>
          <w:marRight w:val="0"/>
          <w:marTop w:val="0"/>
          <w:marBottom w:val="0"/>
          <w:divBdr>
            <w:top w:val="none" w:sz="0" w:space="0" w:color="auto"/>
            <w:left w:val="none" w:sz="0" w:space="0" w:color="auto"/>
            <w:bottom w:val="none" w:sz="0" w:space="0" w:color="auto"/>
            <w:right w:val="none" w:sz="0" w:space="0" w:color="auto"/>
          </w:divBdr>
        </w:div>
        <w:div w:id="362638019">
          <w:marLeft w:val="994"/>
          <w:marRight w:val="0"/>
          <w:marTop w:val="0"/>
          <w:marBottom w:val="0"/>
          <w:divBdr>
            <w:top w:val="none" w:sz="0" w:space="0" w:color="auto"/>
            <w:left w:val="none" w:sz="0" w:space="0" w:color="auto"/>
            <w:bottom w:val="none" w:sz="0" w:space="0" w:color="auto"/>
            <w:right w:val="none" w:sz="0" w:space="0" w:color="auto"/>
          </w:divBdr>
        </w:div>
        <w:div w:id="471410841">
          <w:marLeft w:val="994"/>
          <w:marRight w:val="0"/>
          <w:marTop w:val="0"/>
          <w:marBottom w:val="0"/>
          <w:divBdr>
            <w:top w:val="none" w:sz="0" w:space="0" w:color="auto"/>
            <w:left w:val="none" w:sz="0" w:space="0" w:color="auto"/>
            <w:bottom w:val="none" w:sz="0" w:space="0" w:color="auto"/>
            <w:right w:val="none" w:sz="0" w:space="0" w:color="auto"/>
          </w:divBdr>
        </w:div>
        <w:div w:id="551238479">
          <w:marLeft w:val="994"/>
          <w:marRight w:val="0"/>
          <w:marTop w:val="0"/>
          <w:marBottom w:val="0"/>
          <w:divBdr>
            <w:top w:val="none" w:sz="0" w:space="0" w:color="auto"/>
            <w:left w:val="none" w:sz="0" w:space="0" w:color="auto"/>
            <w:bottom w:val="none" w:sz="0" w:space="0" w:color="auto"/>
            <w:right w:val="none" w:sz="0" w:space="0" w:color="auto"/>
          </w:divBdr>
        </w:div>
        <w:div w:id="947741004">
          <w:marLeft w:val="994"/>
          <w:marRight w:val="0"/>
          <w:marTop w:val="0"/>
          <w:marBottom w:val="0"/>
          <w:divBdr>
            <w:top w:val="none" w:sz="0" w:space="0" w:color="auto"/>
            <w:left w:val="none" w:sz="0" w:space="0" w:color="auto"/>
            <w:bottom w:val="none" w:sz="0" w:space="0" w:color="auto"/>
            <w:right w:val="none" w:sz="0" w:space="0" w:color="auto"/>
          </w:divBdr>
        </w:div>
        <w:div w:id="1059208256">
          <w:marLeft w:val="994"/>
          <w:marRight w:val="0"/>
          <w:marTop w:val="0"/>
          <w:marBottom w:val="0"/>
          <w:divBdr>
            <w:top w:val="none" w:sz="0" w:space="0" w:color="auto"/>
            <w:left w:val="none" w:sz="0" w:space="0" w:color="auto"/>
            <w:bottom w:val="none" w:sz="0" w:space="0" w:color="auto"/>
            <w:right w:val="none" w:sz="0" w:space="0" w:color="auto"/>
          </w:divBdr>
        </w:div>
        <w:div w:id="1441097921">
          <w:marLeft w:val="446"/>
          <w:marRight w:val="0"/>
          <w:marTop w:val="0"/>
          <w:marBottom w:val="0"/>
          <w:divBdr>
            <w:top w:val="none" w:sz="0" w:space="0" w:color="auto"/>
            <w:left w:val="none" w:sz="0" w:space="0" w:color="auto"/>
            <w:bottom w:val="none" w:sz="0" w:space="0" w:color="auto"/>
            <w:right w:val="none" w:sz="0" w:space="0" w:color="auto"/>
          </w:divBdr>
        </w:div>
        <w:div w:id="1583952249">
          <w:marLeft w:val="994"/>
          <w:marRight w:val="0"/>
          <w:marTop w:val="0"/>
          <w:marBottom w:val="0"/>
          <w:divBdr>
            <w:top w:val="none" w:sz="0" w:space="0" w:color="auto"/>
            <w:left w:val="none" w:sz="0" w:space="0" w:color="auto"/>
            <w:bottom w:val="none" w:sz="0" w:space="0" w:color="auto"/>
            <w:right w:val="none" w:sz="0" w:space="0" w:color="auto"/>
          </w:divBdr>
        </w:div>
        <w:div w:id="205372274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image" Target="media/image4.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image" Target="media/image6.png"/><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iea.blob.core.windows.net/assets/830fe099-5530-48f2-a7c1-11f35d510983/WorldEnergyOutlook2022.pdf" TargetMode="External"/><Relationship Id="rId3" Type="http://schemas.openxmlformats.org/officeDocument/2006/relationships/hyperlink" Target="https://www.woodside.com/docs/default-source/asx-announcements/2022/processing-of-pluto-gas-starts-at-north-west-shelf.pdf" TargetMode="External"/><Relationship Id="rId7" Type="http://schemas.openxmlformats.org/officeDocument/2006/relationships/hyperlink" Target="https://www.bp.com/en/global/corporate/energy-economics/energy-outlook/natural-gas.html" TargetMode="External"/><Relationship Id="rId2" Type="http://schemas.openxmlformats.org/officeDocument/2006/relationships/hyperlink" Target="https://treasury.gov.au/consultation/c2019-t364690" TargetMode="External"/><Relationship Id="rId1" Type="http://schemas.openxmlformats.org/officeDocument/2006/relationships/hyperlink" Target="https://www.ato.gov.au" TargetMode="External"/><Relationship Id="rId6" Type="http://schemas.openxmlformats.org/officeDocument/2006/relationships/hyperlink" Target="https://iea.blob.core.windows.net/assets/830fe099-5530-48f2-a7c1-11f35d510983/WorldEnergyOutlook2022.pdf" TargetMode="External"/><Relationship Id="rId11" Type="http://schemas.openxmlformats.org/officeDocument/2006/relationships/hyperlink" Target="https://www.bp.com/content/dam/bp/business-sites/en/global/corporate/pdfs/energy-economics/energy-outlook/bp-energy-outlook-2023.pdf" TargetMode="External"/><Relationship Id="rId5" Type="http://schemas.openxmlformats.org/officeDocument/2006/relationships/hyperlink" Target="https://www.accc.gov.au/inquiries-and-consultations/gas-inquiry-2017-30/lng-netback-price-series" TargetMode="External"/><Relationship Id="rId10" Type="http://schemas.openxmlformats.org/officeDocument/2006/relationships/hyperlink" Target="https://www.industry.gov.au/sites/default/files/issue-of-combination-certificates-guideline.pdf" TargetMode="External"/><Relationship Id="rId4" Type="http://schemas.openxmlformats.org/officeDocument/2006/relationships/hyperlink" Target="https://www.mediastatements.wa.gov.au/Pages/McGowan/2020/12/WA-Government-reaches-agreement-on-job-creating-domestic-gas-project.aspx" TargetMode="External"/><Relationship Id="rId9" Type="http://schemas.openxmlformats.org/officeDocument/2006/relationships/hyperlink" Target="https://www.ato.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p\AppData\Local\Microsoft\Windows\INetCache\Content.Outlook\3LQFCKZM\Oil%20Price%20Graphs%20for%20Simon%20Richard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9.1039426523297495E-3"/>
          <c:y val="4.6977430555555554E-2"/>
          <c:w val="0.98367697132616483"/>
          <c:h val="0.8703767361111111"/>
        </c:manualLayout>
      </c:layout>
      <c:lineChart>
        <c:grouping val="standard"/>
        <c:varyColors val="0"/>
        <c:ser>
          <c:idx val="0"/>
          <c:order val="0"/>
          <c:tx>
            <c:strRef>
              <c:f>Graphs!$B$20</c:f>
              <c:strCache>
                <c:ptCount val="1"/>
                <c:pt idx="0">
                  <c:v>West Texas Intermediate (US$/bbl)</c:v>
                </c:pt>
              </c:strCache>
            </c:strRef>
          </c:tx>
          <c:spPr>
            <a:ln w="28575" cap="rnd">
              <a:solidFill>
                <a:schemeClr val="accent1"/>
              </a:solidFill>
              <a:round/>
            </a:ln>
            <a:effectLst/>
          </c:spPr>
          <c:marker>
            <c:symbol val="none"/>
          </c:marker>
          <c:cat>
            <c:strRef>
              <c:f>Graphs!$C$19:$AA$19</c:f>
              <c:strCache>
                <c:ptCount val="25"/>
                <c:pt idx="0">
                  <c:v>Dec–2016</c:v>
                </c:pt>
                <c:pt idx="1">
                  <c:v>Mar–2017</c:v>
                </c:pt>
                <c:pt idx="2">
                  <c:v>Jun–2017</c:v>
                </c:pt>
                <c:pt idx="3">
                  <c:v>Sep–2017</c:v>
                </c:pt>
                <c:pt idx="4">
                  <c:v>Dec–2017</c:v>
                </c:pt>
                <c:pt idx="5">
                  <c:v>Mar–2018</c:v>
                </c:pt>
                <c:pt idx="6">
                  <c:v>Jun–2018</c:v>
                </c:pt>
                <c:pt idx="7">
                  <c:v>Sep–2018</c:v>
                </c:pt>
                <c:pt idx="8">
                  <c:v>Dec–2018</c:v>
                </c:pt>
                <c:pt idx="9">
                  <c:v>Mar–2019</c:v>
                </c:pt>
                <c:pt idx="10">
                  <c:v>Jun–2019</c:v>
                </c:pt>
                <c:pt idx="11">
                  <c:v>Sep–2019</c:v>
                </c:pt>
                <c:pt idx="12">
                  <c:v>Dec–2019</c:v>
                </c:pt>
                <c:pt idx="13">
                  <c:v>Mar–2020</c:v>
                </c:pt>
                <c:pt idx="14">
                  <c:v>Jun–2020</c:v>
                </c:pt>
                <c:pt idx="15">
                  <c:v>Sep–2020</c:v>
                </c:pt>
                <c:pt idx="16">
                  <c:v>Dec–2020</c:v>
                </c:pt>
                <c:pt idx="17">
                  <c:v>Mar–2021</c:v>
                </c:pt>
                <c:pt idx="18">
                  <c:v>Jun–2021</c:v>
                </c:pt>
                <c:pt idx="19">
                  <c:v>Sep–2021</c:v>
                </c:pt>
                <c:pt idx="20">
                  <c:v>Dec–2021</c:v>
                </c:pt>
                <c:pt idx="21">
                  <c:v>Mar–2022</c:v>
                </c:pt>
                <c:pt idx="22">
                  <c:v>Jun–2022</c:v>
                </c:pt>
                <c:pt idx="23">
                  <c:v>Sep–2022</c:v>
                </c:pt>
                <c:pt idx="24">
                  <c:v>Dec–2022</c:v>
                </c:pt>
              </c:strCache>
            </c:strRef>
          </c:cat>
          <c:val>
            <c:numRef>
              <c:f>Graphs!$C$20:$AA$20</c:f>
              <c:numCache>
                <c:formatCode>#,##0</c:formatCode>
                <c:ptCount val="25"/>
                <c:pt idx="0">
                  <c:v>49.157460317460298</c:v>
                </c:pt>
                <c:pt idx="1">
                  <c:v>51.698387096774198</c:v>
                </c:pt>
                <c:pt idx="2">
                  <c:v>48.183606557376997</c:v>
                </c:pt>
                <c:pt idx="3">
                  <c:v>48.164285714285697</c:v>
                </c:pt>
                <c:pt idx="4">
                  <c:v>55.2836507936508</c:v>
                </c:pt>
                <c:pt idx="5">
                  <c:v>62.892131147541001</c:v>
                </c:pt>
                <c:pt idx="6">
                  <c:v>67.973906249999999</c:v>
                </c:pt>
                <c:pt idx="7">
                  <c:v>69.608253968254004</c:v>
                </c:pt>
                <c:pt idx="8">
                  <c:v>59.317968749999999</c:v>
                </c:pt>
                <c:pt idx="9">
                  <c:v>54.874918032786901</c:v>
                </c:pt>
                <c:pt idx="10">
                  <c:v>59.892857142857103</c:v>
                </c:pt>
                <c:pt idx="11">
                  <c:v>56.402857142857101</c:v>
                </c:pt>
                <c:pt idx="12">
                  <c:v>56.852187499999999</c:v>
                </c:pt>
                <c:pt idx="13">
                  <c:v>45.566451612903201</c:v>
                </c:pt>
                <c:pt idx="14">
                  <c:v>27.949047619047601</c:v>
                </c:pt>
                <c:pt idx="15">
                  <c:v>40.904531249999998</c:v>
                </c:pt>
                <c:pt idx="16">
                  <c:v>42.627777777777801</c:v>
                </c:pt>
                <c:pt idx="17">
                  <c:v>58.132131147541003</c:v>
                </c:pt>
                <c:pt idx="18">
                  <c:v>66.186825396825398</c:v>
                </c:pt>
                <c:pt idx="19">
                  <c:v>70.538749999999993</c:v>
                </c:pt>
                <c:pt idx="20">
                  <c:v>77.313387096774207</c:v>
                </c:pt>
                <c:pt idx="21">
                  <c:v>95.174354838709704</c:v>
                </c:pt>
                <c:pt idx="22">
                  <c:v>108.767258064516</c:v>
                </c:pt>
                <c:pt idx="23">
                  <c:v>91.629374999999996</c:v>
                </c:pt>
                <c:pt idx="24">
                  <c:v>82.822419354838701</c:v>
                </c:pt>
              </c:numCache>
            </c:numRef>
          </c:val>
          <c:smooth val="0"/>
          <c:extLst>
            <c:ext xmlns:c16="http://schemas.microsoft.com/office/drawing/2014/chart" uri="{C3380CC4-5D6E-409C-BE32-E72D297353CC}">
              <c16:uniqueId val="{00000000-0C2A-464A-B757-293F7A63F1C3}"/>
            </c:ext>
          </c:extLst>
        </c:ser>
        <c:ser>
          <c:idx val="1"/>
          <c:order val="1"/>
          <c:tx>
            <c:strRef>
              <c:f>Graphs!$B$21</c:f>
              <c:strCache>
                <c:ptCount val="1"/>
                <c:pt idx="0">
                  <c:v>Brent (US$bbl)</c:v>
                </c:pt>
              </c:strCache>
            </c:strRef>
          </c:tx>
          <c:spPr>
            <a:ln w="28575" cap="rnd">
              <a:solidFill>
                <a:schemeClr val="accent2"/>
              </a:solidFill>
              <a:round/>
            </a:ln>
            <a:effectLst/>
          </c:spPr>
          <c:marker>
            <c:symbol val="none"/>
          </c:marker>
          <c:cat>
            <c:strRef>
              <c:f>Graphs!$C$19:$AA$19</c:f>
              <c:strCache>
                <c:ptCount val="25"/>
                <c:pt idx="0">
                  <c:v>Dec–2016</c:v>
                </c:pt>
                <c:pt idx="1">
                  <c:v>Mar–2017</c:v>
                </c:pt>
                <c:pt idx="2">
                  <c:v>Jun–2017</c:v>
                </c:pt>
                <c:pt idx="3">
                  <c:v>Sep–2017</c:v>
                </c:pt>
                <c:pt idx="4">
                  <c:v>Dec–2017</c:v>
                </c:pt>
                <c:pt idx="5">
                  <c:v>Mar–2018</c:v>
                </c:pt>
                <c:pt idx="6">
                  <c:v>Jun–2018</c:v>
                </c:pt>
                <c:pt idx="7">
                  <c:v>Sep–2018</c:v>
                </c:pt>
                <c:pt idx="8">
                  <c:v>Dec–2018</c:v>
                </c:pt>
                <c:pt idx="9">
                  <c:v>Mar–2019</c:v>
                </c:pt>
                <c:pt idx="10">
                  <c:v>Jun–2019</c:v>
                </c:pt>
                <c:pt idx="11">
                  <c:v>Sep–2019</c:v>
                </c:pt>
                <c:pt idx="12">
                  <c:v>Dec–2019</c:v>
                </c:pt>
                <c:pt idx="13">
                  <c:v>Mar–2020</c:v>
                </c:pt>
                <c:pt idx="14">
                  <c:v>Jun–2020</c:v>
                </c:pt>
                <c:pt idx="15">
                  <c:v>Sep–2020</c:v>
                </c:pt>
                <c:pt idx="16">
                  <c:v>Dec–2020</c:v>
                </c:pt>
                <c:pt idx="17">
                  <c:v>Mar–2021</c:v>
                </c:pt>
                <c:pt idx="18">
                  <c:v>Jun–2021</c:v>
                </c:pt>
                <c:pt idx="19">
                  <c:v>Sep–2021</c:v>
                </c:pt>
                <c:pt idx="20">
                  <c:v>Dec–2021</c:v>
                </c:pt>
                <c:pt idx="21">
                  <c:v>Mar–2022</c:v>
                </c:pt>
                <c:pt idx="22">
                  <c:v>Jun–2022</c:v>
                </c:pt>
                <c:pt idx="23">
                  <c:v>Sep–2022</c:v>
                </c:pt>
                <c:pt idx="24">
                  <c:v>Dec–2022</c:v>
                </c:pt>
              </c:strCache>
            </c:strRef>
          </c:cat>
          <c:val>
            <c:numRef>
              <c:f>Graphs!$C$21:$AA$21</c:f>
              <c:numCache>
                <c:formatCode>#,##0</c:formatCode>
                <c:ptCount val="25"/>
                <c:pt idx="0">
                  <c:v>50.083538461538502</c:v>
                </c:pt>
                <c:pt idx="1">
                  <c:v>54.042769230769203</c:v>
                </c:pt>
                <c:pt idx="2">
                  <c:v>50.129375000000003</c:v>
                </c:pt>
                <c:pt idx="3">
                  <c:v>51.729384615384603</c:v>
                </c:pt>
                <c:pt idx="4">
                  <c:v>61.426153846153802</c:v>
                </c:pt>
                <c:pt idx="5">
                  <c:v>67.029692307692301</c:v>
                </c:pt>
                <c:pt idx="6">
                  <c:v>74.555076923076896</c:v>
                </c:pt>
                <c:pt idx="7">
                  <c:v>75.335230769230805</c:v>
                </c:pt>
                <c:pt idx="8">
                  <c:v>67.733030303030304</c:v>
                </c:pt>
                <c:pt idx="9">
                  <c:v>63.134062499999999</c:v>
                </c:pt>
                <c:pt idx="10">
                  <c:v>68.528615384615406</c:v>
                </c:pt>
                <c:pt idx="11">
                  <c:v>61.884393939393902</c:v>
                </c:pt>
                <c:pt idx="12">
                  <c:v>62.605151515151498</c:v>
                </c:pt>
                <c:pt idx="13">
                  <c:v>50.592615384615399</c:v>
                </c:pt>
                <c:pt idx="14">
                  <c:v>31.436</c:v>
                </c:pt>
                <c:pt idx="15">
                  <c:v>42.696818181818202</c:v>
                </c:pt>
                <c:pt idx="16">
                  <c:v>44.6206060606061</c:v>
                </c:pt>
                <c:pt idx="17">
                  <c:v>60.689843750000001</c:v>
                </c:pt>
                <c:pt idx="18">
                  <c:v>68.635846153846202</c:v>
                </c:pt>
                <c:pt idx="19">
                  <c:v>73.001969696969695</c:v>
                </c:pt>
                <c:pt idx="20">
                  <c:v>79.433484848484895</c:v>
                </c:pt>
                <c:pt idx="21">
                  <c:v>99.530468749999997</c:v>
                </c:pt>
                <c:pt idx="22">
                  <c:v>112.848461538462</c:v>
                </c:pt>
                <c:pt idx="23">
                  <c:v>99.069090909090903</c:v>
                </c:pt>
                <c:pt idx="24">
                  <c:v>88.292153846153894</c:v>
                </c:pt>
              </c:numCache>
            </c:numRef>
          </c:val>
          <c:smooth val="0"/>
          <c:extLst>
            <c:ext xmlns:c16="http://schemas.microsoft.com/office/drawing/2014/chart" uri="{C3380CC4-5D6E-409C-BE32-E72D297353CC}">
              <c16:uniqueId val="{00000001-0C2A-464A-B757-293F7A63F1C3}"/>
            </c:ext>
          </c:extLst>
        </c:ser>
        <c:dLbls>
          <c:showLegendKey val="0"/>
          <c:showVal val="0"/>
          <c:showCatName val="0"/>
          <c:showSerName val="0"/>
          <c:showPercent val="0"/>
          <c:showBubbleSize val="0"/>
        </c:dLbls>
        <c:marker val="1"/>
        <c:smooth val="0"/>
        <c:axId val="1771346624"/>
        <c:axId val="1771352864"/>
      </c:lineChart>
      <c:lineChart>
        <c:grouping val="standard"/>
        <c:varyColors val="0"/>
        <c:ser>
          <c:idx val="2"/>
          <c:order val="2"/>
          <c:tx>
            <c:v>DUMMY</c:v>
          </c:tx>
          <c:spPr>
            <a:ln w="38100" cap="rnd">
              <a:solidFill>
                <a:schemeClr val="accent3"/>
              </a:solidFill>
              <a:round/>
            </a:ln>
            <a:effectLst/>
          </c:spPr>
          <c:marker>
            <c:symbol val="none"/>
          </c:marker>
          <c:val>
            <c:numLit>
              <c:formatCode>General</c:formatCode>
              <c:ptCount val="1"/>
              <c:pt idx="0">
                <c:v>0</c:v>
              </c:pt>
            </c:numLit>
          </c:val>
          <c:smooth val="0"/>
          <c:extLst>
            <c:ext xmlns:c16="http://schemas.microsoft.com/office/drawing/2014/chart" uri="{C3380CC4-5D6E-409C-BE32-E72D297353CC}">
              <c16:uniqueId val="{00000002-0C2A-464A-B757-293F7A63F1C3}"/>
            </c:ext>
          </c:extLst>
        </c:ser>
        <c:dLbls>
          <c:showLegendKey val="0"/>
          <c:showVal val="0"/>
          <c:showCatName val="0"/>
          <c:showSerName val="0"/>
          <c:showPercent val="0"/>
          <c:showBubbleSize val="0"/>
        </c:dLbls>
        <c:marker val="1"/>
        <c:smooth val="0"/>
        <c:axId val="1231142672"/>
        <c:axId val="1231130608"/>
      </c:lineChart>
      <c:catAx>
        <c:axId val="1771346624"/>
        <c:scaling>
          <c:orientation val="minMax"/>
        </c:scaling>
        <c:delete val="0"/>
        <c:axPos val="b"/>
        <c:numFmt formatCode="General" sourceLinked="1"/>
        <c:majorTickMark val="out"/>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cap="none" spc="0" normalizeH="0" baseline="0">
                <a:solidFill>
                  <a:srgbClr val="000000"/>
                </a:solidFill>
                <a:latin typeface="Arial"/>
                <a:ea typeface="Arial"/>
                <a:cs typeface="Arial"/>
              </a:defRPr>
            </a:pPr>
            <a:endParaRPr lang="en-US"/>
          </a:p>
        </c:txPr>
        <c:crossAx val="1771352864"/>
        <c:crosses val="autoZero"/>
        <c:auto val="1"/>
        <c:lblAlgn val="ctr"/>
        <c:lblOffset val="100"/>
        <c:tickLblSkip val="3"/>
        <c:noMultiLvlLbl val="0"/>
      </c:catAx>
      <c:valAx>
        <c:axId val="1771352864"/>
        <c:scaling>
          <c:orientation val="minMax"/>
        </c:scaling>
        <c:delete val="0"/>
        <c:axPos val="l"/>
        <c:majorGridlines>
          <c:spPr>
            <a:ln w="25400" cap="flat" cmpd="sng" algn="ctr">
              <a:noFill/>
              <a:round/>
            </a:ln>
            <a:effectLst/>
          </c:spPr>
        </c:majorGridlines>
        <c:minorGridlines>
          <c:spPr>
            <a:ln w="9525" cap="flat" cmpd="sng" algn="ctr">
              <a:noFill/>
              <a:round/>
            </a:ln>
            <a:effectLst/>
          </c:spPr>
        </c:minorGridlines>
        <c:title>
          <c:tx>
            <c:rich>
              <a:bodyPr rot="0" spcFirstLastPara="1" vertOverflow="ellipsis" wrap="square" anchor="ctr" anchorCtr="1"/>
              <a:lstStyle/>
              <a:p>
                <a:pPr>
                  <a:defRPr sz="800" b="0" i="0" u="none" strike="noStrike" kern="1200" cap="all" baseline="0">
                    <a:solidFill>
                      <a:srgbClr val="000000"/>
                    </a:solidFill>
                    <a:latin typeface="Arial"/>
                    <a:ea typeface="Arial"/>
                    <a:cs typeface="Arial"/>
                  </a:defRPr>
                </a:pPr>
                <a:r>
                  <a:rPr lang="en-US" cap="none" baseline="0"/>
                  <a:t>$US/bbl</a:t>
                </a:r>
              </a:p>
            </c:rich>
          </c:tx>
          <c:layout>
            <c:manualLayout>
              <c:xMode val="edge"/>
              <c:yMode val="edge"/>
              <c:x val="2.2759856630824374E-3"/>
              <c:y val="0"/>
            </c:manualLayout>
          </c:layout>
          <c:overlay val="0"/>
          <c:spPr>
            <a:noFill/>
            <a:ln>
              <a:noFill/>
            </a:ln>
            <a:effectLst/>
          </c:spPr>
          <c:txPr>
            <a:bodyPr rot="0" spcFirstLastPara="1" vertOverflow="ellipsis" wrap="square" anchor="ctr" anchorCtr="1"/>
            <a:lstStyle/>
            <a:p>
              <a:pPr>
                <a:defRPr sz="800" b="0" i="0" u="none" strike="noStrike" kern="1200" cap="all" baseline="0">
                  <a:solidFill>
                    <a:srgbClr val="000000"/>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771346624"/>
        <c:crosses val="autoZero"/>
        <c:crossBetween val="midCat"/>
      </c:valAx>
      <c:valAx>
        <c:axId val="1231130608"/>
        <c:scaling>
          <c:orientation val="minMax"/>
          <c:max val="120"/>
          <c:min val="0"/>
        </c:scaling>
        <c:delete val="0"/>
        <c:axPos val="r"/>
        <c:title>
          <c:tx>
            <c:rich>
              <a:bodyPr rot="0" spcFirstLastPara="1" vertOverflow="ellipsis" wrap="square" anchor="ctr" anchorCtr="1"/>
              <a:lstStyle/>
              <a:p>
                <a:pPr>
                  <a:defRPr sz="800" b="0" i="0" u="none" strike="noStrike" kern="1200" cap="all" baseline="0">
                    <a:solidFill>
                      <a:srgbClr val="000000"/>
                    </a:solidFill>
                    <a:latin typeface="Arial"/>
                    <a:ea typeface="Arial"/>
                    <a:cs typeface="Arial"/>
                  </a:defRPr>
                </a:pPr>
                <a:r>
                  <a:rPr lang="en-US"/>
                  <a:t>$US/</a:t>
                </a:r>
                <a:r>
                  <a:rPr lang="en-US" cap="none" baseline="0"/>
                  <a:t>bbl</a:t>
                </a:r>
              </a:p>
            </c:rich>
          </c:tx>
          <c:layout>
            <c:manualLayout>
              <c:xMode val="edge"/>
              <c:yMode val="edge"/>
              <c:x val="0.9114528673835125"/>
              <c:y val="0"/>
            </c:manualLayout>
          </c:layout>
          <c:overlay val="0"/>
          <c:spPr>
            <a:noFill/>
            <a:ln>
              <a:noFill/>
            </a:ln>
            <a:effectLst/>
          </c:spPr>
          <c:txPr>
            <a:bodyPr rot="0" spcFirstLastPara="1" vertOverflow="ellipsis" wrap="square" anchor="ctr" anchorCtr="1"/>
            <a:lstStyle/>
            <a:p>
              <a:pPr>
                <a:defRPr sz="800" b="0" i="0" u="none" strike="noStrike" kern="1200" cap="all" baseline="0">
                  <a:solidFill>
                    <a:srgbClr val="000000"/>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231142672"/>
        <c:crosses val="max"/>
        <c:crossBetween val="between"/>
        <c:majorUnit val="20"/>
        <c:minorUnit val="4"/>
      </c:valAx>
      <c:catAx>
        <c:axId val="1231142672"/>
        <c:scaling>
          <c:orientation val="minMax"/>
        </c:scaling>
        <c:delete val="1"/>
        <c:axPos val="b"/>
        <c:majorTickMark val="out"/>
        <c:minorTickMark val="none"/>
        <c:tickLblPos val="nextTo"/>
        <c:crossAx val="1231130608"/>
        <c:crosses val="autoZero"/>
        <c:auto val="1"/>
        <c:lblAlgn val="ctr"/>
        <c:lblOffset val="100"/>
        <c:noMultiLvlLbl val="0"/>
      </c:catAx>
      <c:spPr>
        <a:noFill/>
        <a:ln w="25400">
          <a:noFill/>
        </a:ln>
        <a:effectLst/>
        <a:extLst>
          <a:ext uri="{909E8E84-426E-40DD-AFC4-6F175D3DCCD1}">
            <a14:hiddenFill xmlns:a14="http://schemas.microsoft.com/office/drawing/2010/main">
              <a:noFill/>
            </a14:hiddenFill>
          </a:ext>
        </a:extLst>
      </c:spPr>
    </c:plotArea>
    <c:legend>
      <c:legendPos val="b"/>
      <c:legendEntry>
        <c:idx val="2"/>
        <c:delete val="1"/>
      </c:legendEntry>
      <c:layout>
        <c:manualLayout>
          <c:xMode val="edge"/>
          <c:yMode val="edge"/>
          <c:x val="0.19155250896057346"/>
          <c:y val="0.92792048611111111"/>
          <c:w val="0.61689498207885318"/>
          <c:h val="6.5464930555555551E-2"/>
        </c:manualLayout>
      </c:layout>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3E054A912CC40BE72EFD9D47BC933" ma:contentTypeVersion="13" ma:contentTypeDescription="Create a new document." ma:contentTypeScope="" ma:versionID="be65acf77be493cfb9fe37160c833f42">
  <xsd:schema xmlns:xsd="http://www.w3.org/2001/XMLSchema" xmlns:xs="http://www.w3.org/2001/XMLSchema" xmlns:p="http://schemas.microsoft.com/office/2006/metadata/properties" xmlns:ns2="ef209f3f-5c93-47d0-a846-df4853a4fc2c" xmlns:ns3="fe39d773-a83d-4623-ae74-f25711a76616" xmlns:ns4="7f7568d6-2be4-43fc-9f2c-472dcca57fde" targetNamespace="http://schemas.microsoft.com/office/2006/metadata/properties" ma:root="true" ma:fieldsID="742b8df4ab3fbe1d6289645319573867" ns2:_="" ns3:_="" ns4:_="">
    <xsd:import namespace="ef209f3f-5c93-47d0-a846-df4853a4fc2c"/>
    <xsd:import namespace="fe39d773-a83d-4623-ae74-f25711a76616"/>
    <xsd:import namespace="7f7568d6-2be4-43fc-9f2c-472dcca57fd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c8bb7d-f6c1-455f-8295-1d2310be9783}" ma:internalName="TaxCatchAll"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c8bb7d-f6c1-455f-8295-1d2310be9783}" ma:internalName="TaxCatchAllLabel" ma:readOnly="tru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568d6-2be4-43fc-9f2c-472dcca57fd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ateandTime" ma:index="27"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K4266TYZEXYK-552269998-177</_dlc_DocId>
    <DateandTime xmlns="7f7568d6-2be4-43fc-9f2c-472dcca57fde"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Gas Transfer Pricing</TermName>
          <TermId xmlns="http://schemas.microsoft.com/office/infopath/2007/PartnerControls">c5fcfd09-48a5-4924-b780-10164635e215</TermId>
        </TermInfo>
      </Terms>
    </gfba5f33532c49208d2320ce38cc3c2b>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8eb62fe5-ea21-4ad2-b033-d0987303c6f6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61774057-0c1b-4bb4-92ba-47d6048ed4cd</TermId>
        </TermInfo>
      </Terms>
    </e4fe7dcdd1c0411bbf19a4de3665191f>
    <_dlc_DocIdUrl xmlns="fe39d773-a83d-4623-ae74-f25711a76616">
      <Url>https://austreasury.sharepoint.com/sites/res-tax-function/_layouts/15/DocIdRedir.aspx?ID=K4266TYZEXYK-552269998-177</Url>
      <Description>K4266TYZEXYK-552269998-177</Description>
    </_dlc_DocIdUrl>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e428aafc-0091-466f-8e1d-88278084e06c</TermId>
        </TermInfo>
      </Term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e53aff8a-4a1a-4486-a4fc-f40489d68897</TermId>
        </TermInfo>
      </Terms>
    </a48f371a4a874164b16a8c4aab488f5c>
    <SharedWithUsers xmlns="ef209f3f-5c93-47d0-a846-df4853a4fc2c">
      <UserInfo>
        <DisplayName>Cai, Yi Yong</DisplayName>
        <AccountId>120</AccountId>
        <AccountType/>
      </UserInfo>
      <UserInfo>
        <DisplayName>Higginson, Christopher</DisplayName>
        <AccountId>109</AccountId>
        <AccountType/>
      </UserInfo>
      <UserInfo>
        <DisplayName>Gabrielsen, Emma</DisplayName>
        <AccountId>66</AccountId>
        <AccountType/>
      </UserInfo>
      <UserInfo>
        <DisplayName>Grounds, Ruby</DisplayName>
        <AccountId>119</AccountId>
        <AccountType/>
      </UserInfo>
      <UserInfo>
        <DisplayName>Pickering, Thomas</DisplayName>
        <AccountId>68</AccountId>
        <AccountType/>
      </UserInfo>
      <UserInfo>
        <DisplayName>Robinson, Marty</DisplayName>
        <AccountId>106</AccountId>
        <AccountType/>
      </UserInfo>
      <UserInfo>
        <DisplayName>Ferguson, Naomi</DisplayName>
        <AccountId>103</AccountId>
        <AccountType/>
      </UserInfo>
      <UserInfo>
        <DisplayName>Francis, Geoff</DisplayName>
        <AccountId>104</AccountId>
        <AccountType/>
      </UserInfo>
      <UserInfo>
        <DisplayName>Flego, Adrian</DisplayName>
        <AccountId>107</AccountId>
        <AccountType/>
      </UserInfo>
      <UserInfo>
        <DisplayName>Coleiro, Kelly</DisplayName>
        <AccountId>155</AccountId>
        <AccountType/>
      </UserInfo>
      <UserInfo>
        <DisplayName>Richards, Simon</DisplayName>
        <AccountId>72</AccountId>
        <AccountType/>
      </UserInfo>
      <UserInfo>
        <DisplayName>Rajapaksa, Til</DisplayName>
        <AccountId>91</AccountId>
        <AccountType/>
      </UserInfo>
      <UserInfo>
        <DisplayName>Bultitude, Susan</DisplayName>
        <AccountId>37</AccountId>
        <AccountType/>
      </UserInfo>
    </SharedWithUsers>
    <TaxCatchAll xmlns="ef209f3f-5c93-47d0-a846-df4853a4fc2c">
      <Value>41</Value>
      <Value>47</Value>
      <Value>46</Value>
      <Value>45</Value>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8740-BA0C-4D8D-8258-E2385CEAEBF6}">
  <ds:schemaRefs>
    <ds:schemaRef ds:uri="http://schemas.microsoft.com/sharepoint/v3/contenttype/forms"/>
  </ds:schemaRefs>
</ds:datastoreItem>
</file>

<file path=customXml/itemProps2.xml><?xml version="1.0" encoding="utf-8"?>
<ds:datastoreItem xmlns:ds="http://schemas.openxmlformats.org/officeDocument/2006/customXml" ds:itemID="{2CA6ECB4-CD78-4D72-A100-73A6FF99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f7568d6-2be4-43fc-9f2c-472dcca5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FDFCF-E82A-4384-86DB-30090AD73A30}">
  <ds:schemaRefs>
    <ds:schemaRef ds:uri="http://schemas.microsoft.com/sharepoint/events"/>
  </ds:schemaRefs>
</ds:datastoreItem>
</file>

<file path=customXml/itemProps4.xml><?xml version="1.0" encoding="utf-8"?>
<ds:datastoreItem xmlns:ds="http://schemas.openxmlformats.org/officeDocument/2006/customXml" ds:itemID="{EEE7CEE7-1847-44DD-8231-9914B59D4FA4}">
  <ds:schemaRefs>
    <ds:schemaRef ds:uri="http://schemas.microsoft.com/office/2006/metadata/properties"/>
    <ds:schemaRef ds:uri="http://schemas.microsoft.com/office/infopath/2007/PartnerControls"/>
    <ds:schemaRef ds:uri="fe39d773-a83d-4623-ae74-f25711a76616"/>
    <ds:schemaRef ds:uri="7f7568d6-2be4-43fc-9f2c-472dcca57fde"/>
    <ds:schemaRef ds:uri="ef209f3f-5c93-47d0-a846-df4853a4fc2c"/>
  </ds:schemaRefs>
</ds:datastoreItem>
</file>

<file path=customXml/itemProps5.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71</Pages>
  <Words>32240</Words>
  <Characters>172166</Characters>
  <Application>Microsoft Office Word</Application>
  <DocSecurity>0</DocSecurity>
  <Lines>2531</Lines>
  <Paragraphs>873</Paragraphs>
  <ScaleCrop>false</ScaleCrop>
  <HeadingPairs>
    <vt:vector size="2" baseType="variant">
      <vt:variant>
        <vt:lpstr>Title</vt:lpstr>
      </vt:variant>
      <vt:variant>
        <vt:i4>1</vt:i4>
      </vt:variant>
    </vt:vector>
  </HeadingPairs>
  <TitlesOfParts>
    <vt:vector size="1" baseType="lpstr">
      <vt:lpstr>Petroleum Resource Rent Tax: Review of Gas Transfer Pricing Arrangements - Report to the Treasurer</vt:lpstr>
    </vt:vector>
  </TitlesOfParts>
  <Company/>
  <LinksUpToDate>false</LinksUpToDate>
  <CharactersWithSpaces>203533</CharactersWithSpaces>
  <SharedDoc>false</SharedDoc>
  <HLinks>
    <vt:vector size="294" baseType="variant">
      <vt:variant>
        <vt:i4>1900599</vt:i4>
      </vt:variant>
      <vt:variant>
        <vt:i4>209</vt:i4>
      </vt:variant>
      <vt:variant>
        <vt:i4>0</vt:i4>
      </vt:variant>
      <vt:variant>
        <vt:i4>5</vt:i4>
      </vt:variant>
      <vt:variant>
        <vt:lpwstr/>
      </vt:variant>
      <vt:variant>
        <vt:lpwstr>_Toc134273586</vt:lpwstr>
      </vt:variant>
      <vt:variant>
        <vt:i4>1900599</vt:i4>
      </vt:variant>
      <vt:variant>
        <vt:i4>203</vt:i4>
      </vt:variant>
      <vt:variant>
        <vt:i4>0</vt:i4>
      </vt:variant>
      <vt:variant>
        <vt:i4>5</vt:i4>
      </vt:variant>
      <vt:variant>
        <vt:lpwstr/>
      </vt:variant>
      <vt:variant>
        <vt:lpwstr>_Toc134273585</vt:lpwstr>
      </vt:variant>
      <vt:variant>
        <vt:i4>1900599</vt:i4>
      </vt:variant>
      <vt:variant>
        <vt:i4>197</vt:i4>
      </vt:variant>
      <vt:variant>
        <vt:i4>0</vt:i4>
      </vt:variant>
      <vt:variant>
        <vt:i4>5</vt:i4>
      </vt:variant>
      <vt:variant>
        <vt:lpwstr/>
      </vt:variant>
      <vt:variant>
        <vt:lpwstr>_Toc134273584</vt:lpwstr>
      </vt:variant>
      <vt:variant>
        <vt:i4>1900599</vt:i4>
      </vt:variant>
      <vt:variant>
        <vt:i4>191</vt:i4>
      </vt:variant>
      <vt:variant>
        <vt:i4>0</vt:i4>
      </vt:variant>
      <vt:variant>
        <vt:i4>5</vt:i4>
      </vt:variant>
      <vt:variant>
        <vt:lpwstr/>
      </vt:variant>
      <vt:variant>
        <vt:lpwstr>_Toc134273583</vt:lpwstr>
      </vt:variant>
      <vt:variant>
        <vt:i4>1900599</vt:i4>
      </vt:variant>
      <vt:variant>
        <vt:i4>185</vt:i4>
      </vt:variant>
      <vt:variant>
        <vt:i4>0</vt:i4>
      </vt:variant>
      <vt:variant>
        <vt:i4>5</vt:i4>
      </vt:variant>
      <vt:variant>
        <vt:lpwstr/>
      </vt:variant>
      <vt:variant>
        <vt:lpwstr>_Toc134273582</vt:lpwstr>
      </vt:variant>
      <vt:variant>
        <vt:i4>1900599</vt:i4>
      </vt:variant>
      <vt:variant>
        <vt:i4>179</vt:i4>
      </vt:variant>
      <vt:variant>
        <vt:i4>0</vt:i4>
      </vt:variant>
      <vt:variant>
        <vt:i4>5</vt:i4>
      </vt:variant>
      <vt:variant>
        <vt:lpwstr/>
      </vt:variant>
      <vt:variant>
        <vt:lpwstr>_Toc134273581</vt:lpwstr>
      </vt:variant>
      <vt:variant>
        <vt:i4>1900599</vt:i4>
      </vt:variant>
      <vt:variant>
        <vt:i4>173</vt:i4>
      </vt:variant>
      <vt:variant>
        <vt:i4>0</vt:i4>
      </vt:variant>
      <vt:variant>
        <vt:i4>5</vt:i4>
      </vt:variant>
      <vt:variant>
        <vt:lpwstr/>
      </vt:variant>
      <vt:variant>
        <vt:lpwstr>_Toc134273580</vt:lpwstr>
      </vt:variant>
      <vt:variant>
        <vt:i4>1179703</vt:i4>
      </vt:variant>
      <vt:variant>
        <vt:i4>167</vt:i4>
      </vt:variant>
      <vt:variant>
        <vt:i4>0</vt:i4>
      </vt:variant>
      <vt:variant>
        <vt:i4>5</vt:i4>
      </vt:variant>
      <vt:variant>
        <vt:lpwstr/>
      </vt:variant>
      <vt:variant>
        <vt:lpwstr>_Toc134273579</vt:lpwstr>
      </vt:variant>
      <vt:variant>
        <vt:i4>1179703</vt:i4>
      </vt:variant>
      <vt:variant>
        <vt:i4>161</vt:i4>
      </vt:variant>
      <vt:variant>
        <vt:i4>0</vt:i4>
      </vt:variant>
      <vt:variant>
        <vt:i4>5</vt:i4>
      </vt:variant>
      <vt:variant>
        <vt:lpwstr/>
      </vt:variant>
      <vt:variant>
        <vt:lpwstr>_Toc134273578</vt:lpwstr>
      </vt:variant>
      <vt:variant>
        <vt:i4>1179703</vt:i4>
      </vt:variant>
      <vt:variant>
        <vt:i4>155</vt:i4>
      </vt:variant>
      <vt:variant>
        <vt:i4>0</vt:i4>
      </vt:variant>
      <vt:variant>
        <vt:i4>5</vt:i4>
      </vt:variant>
      <vt:variant>
        <vt:lpwstr/>
      </vt:variant>
      <vt:variant>
        <vt:lpwstr>_Toc134273577</vt:lpwstr>
      </vt:variant>
      <vt:variant>
        <vt:i4>1179703</vt:i4>
      </vt:variant>
      <vt:variant>
        <vt:i4>149</vt:i4>
      </vt:variant>
      <vt:variant>
        <vt:i4>0</vt:i4>
      </vt:variant>
      <vt:variant>
        <vt:i4>5</vt:i4>
      </vt:variant>
      <vt:variant>
        <vt:lpwstr/>
      </vt:variant>
      <vt:variant>
        <vt:lpwstr>_Toc134273576</vt:lpwstr>
      </vt:variant>
      <vt:variant>
        <vt:i4>1179703</vt:i4>
      </vt:variant>
      <vt:variant>
        <vt:i4>143</vt:i4>
      </vt:variant>
      <vt:variant>
        <vt:i4>0</vt:i4>
      </vt:variant>
      <vt:variant>
        <vt:i4>5</vt:i4>
      </vt:variant>
      <vt:variant>
        <vt:lpwstr/>
      </vt:variant>
      <vt:variant>
        <vt:lpwstr>_Toc134273575</vt:lpwstr>
      </vt:variant>
      <vt:variant>
        <vt:i4>1179703</vt:i4>
      </vt:variant>
      <vt:variant>
        <vt:i4>137</vt:i4>
      </vt:variant>
      <vt:variant>
        <vt:i4>0</vt:i4>
      </vt:variant>
      <vt:variant>
        <vt:i4>5</vt:i4>
      </vt:variant>
      <vt:variant>
        <vt:lpwstr/>
      </vt:variant>
      <vt:variant>
        <vt:lpwstr>_Toc134273574</vt:lpwstr>
      </vt:variant>
      <vt:variant>
        <vt:i4>1179703</vt:i4>
      </vt:variant>
      <vt:variant>
        <vt:i4>131</vt:i4>
      </vt:variant>
      <vt:variant>
        <vt:i4>0</vt:i4>
      </vt:variant>
      <vt:variant>
        <vt:i4>5</vt:i4>
      </vt:variant>
      <vt:variant>
        <vt:lpwstr/>
      </vt:variant>
      <vt:variant>
        <vt:lpwstr>_Toc134273573</vt:lpwstr>
      </vt:variant>
      <vt:variant>
        <vt:i4>1179703</vt:i4>
      </vt:variant>
      <vt:variant>
        <vt:i4>125</vt:i4>
      </vt:variant>
      <vt:variant>
        <vt:i4>0</vt:i4>
      </vt:variant>
      <vt:variant>
        <vt:i4>5</vt:i4>
      </vt:variant>
      <vt:variant>
        <vt:lpwstr/>
      </vt:variant>
      <vt:variant>
        <vt:lpwstr>_Toc134273572</vt:lpwstr>
      </vt:variant>
      <vt:variant>
        <vt:i4>1179703</vt:i4>
      </vt:variant>
      <vt:variant>
        <vt:i4>119</vt:i4>
      </vt:variant>
      <vt:variant>
        <vt:i4>0</vt:i4>
      </vt:variant>
      <vt:variant>
        <vt:i4>5</vt:i4>
      </vt:variant>
      <vt:variant>
        <vt:lpwstr/>
      </vt:variant>
      <vt:variant>
        <vt:lpwstr>_Toc134273571</vt:lpwstr>
      </vt:variant>
      <vt:variant>
        <vt:i4>1179703</vt:i4>
      </vt:variant>
      <vt:variant>
        <vt:i4>113</vt:i4>
      </vt:variant>
      <vt:variant>
        <vt:i4>0</vt:i4>
      </vt:variant>
      <vt:variant>
        <vt:i4>5</vt:i4>
      </vt:variant>
      <vt:variant>
        <vt:lpwstr/>
      </vt:variant>
      <vt:variant>
        <vt:lpwstr>_Toc134273570</vt:lpwstr>
      </vt:variant>
      <vt:variant>
        <vt:i4>1245239</vt:i4>
      </vt:variant>
      <vt:variant>
        <vt:i4>107</vt:i4>
      </vt:variant>
      <vt:variant>
        <vt:i4>0</vt:i4>
      </vt:variant>
      <vt:variant>
        <vt:i4>5</vt:i4>
      </vt:variant>
      <vt:variant>
        <vt:lpwstr/>
      </vt:variant>
      <vt:variant>
        <vt:lpwstr>_Toc134273569</vt:lpwstr>
      </vt:variant>
      <vt:variant>
        <vt:i4>1245239</vt:i4>
      </vt:variant>
      <vt:variant>
        <vt:i4>101</vt:i4>
      </vt:variant>
      <vt:variant>
        <vt:i4>0</vt:i4>
      </vt:variant>
      <vt:variant>
        <vt:i4>5</vt:i4>
      </vt:variant>
      <vt:variant>
        <vt:lpwstr/>
      </vt:variant>
      <vt:variant>
        <vt:lpwstr>_Toc134273568</vt:lpwstr>
      </vt:variant>
      <vt:variant>
        <vt:i4>1245239</vt:i4>
      </vt:variant>
      <vt:variant>
        <vt:i4>95</vt:i4>
      </vt:variant>
      <vt:variant>
        <vt:i4>0</vt:i4>
      </vt:variant>
      <vt:variant>
        <vt:i4>5</vt:i4>
      </vt:variant>
      <vt:variant>
        <vt:lpwstr/>
      </vt:variant>
      <vt:variant>
        <vt:lpwstr>_Toc134273567</vt:lpwstr>
      </vt:variant>
      <vt:variant>
        <vt:i4>1245239</vt:i4>
      </vt:variant>
      <vt:variant>
        <vt:i4>89</vt:i4>
      </vt:variant>
      <vt:variant>
        <vt:i4>0</vt:i4>
      </vt:variant>
      <vt:variant>
        <vt:i4>5</vt:i4>
      </vt:variant>
      <vt:variant>
        <vt:lpwstr/>
      </vt:variant>
      <vt:variant>
        <vt:lpwstr>_Toc134273566</vt:lpwstr>
      </vt:variant>
      <vt:variant>
        <vt:i4>1245239</vt:i4>
      </vt:variant>
      <vt:variant>
        <vt:i4>83</vt:i4>
      </vt:variant>
      <vt:variant>
        <vt:i4>0</vt:i4>
      </vt:variant>
      <vt:variant>
        <vt:i4>5</vt:i4>
      </vt:variant>
      <vt:variant>
        <vt:lpwstr/>
      </vt:variant>
      <vt:variant>
        <vt:lpwstr>_Toc134273565</vt:lpwstr>
      </vt:variant>
      <vt:variant>
        <vt:i4>1245239</vt:i4>
      </vt:variant>
      <vt:variant>
        <vt:i4>77</vt:i4>
      </vt:variant>
      <vt:variant>
        <vt:i4>0</vt:i4>
      </vt:variant>
      <vt:variant>
        <vt:i4>5</vt:i4>
      </vt:variant>
      <vt:variant>
        <vt:lpwstr/>
      </vt:variant>
      <vt:variant>
        <vt:lpwstr>_Toc134273564</vt:lpwstr>
      </vt:variant>
      <vt:variant>
        <vt:i4>1245239</vt:i4>
      </vt:variant>
      <vt:variant>
        <vt:i4>71</vt:i4>
      </vt:variant>
      <vt:variant>
        <vt:i4>0</vt:i4>
      </vt:variant>
      <vt:variant>
        <vt:i4>5</vt:i4>
      </vt:variant>
      <vt:variant>
        <vt:lpwstr/>
      </vt:variant>
      <vt:variant>
        <vt:lpwstr>_Toc134273563</vt:lpwstr>
      </vt:variant>
      <vt:variant>
        <vt:i4>1245239</vt:i4>
      </vt:variant>
      <vt:variant>
        <vt:i4>65</vt:i4>
      </vt:variant>
      <vt:variant>
        <vt:i4>0</vt:i4>
      </vt:variant>
      <vt:variant>
        <vt:i4>5</vt:i4>
      </vt:variant>
      <vt:variant>
        <vt:lpwstr/>
      </vt:variant>
      <vt:variant>
        <vt:lpwstr>_Toc134273562</vt:lpwstr>
      </vt:variant>
      <vt:variant>
        <vt:i4>1245239</vt:i4>
      </vt:variant>
      <vt:variant>
        <vt:i4>59</vt:i4>
      </vt:variant>
      <vt:variant>
        <vt:i4>0</vt:i4>
      </vt:variant>
      <vt:variant>
        <vt:i4>5</vt:i4>
      </vt:variant>
      <vt:variant>
        <vt:lpwstr/>
      </vt:variant>
      <vt:variant>
        <vt:lpwstr>_Toc134273561</vt:lpwstr>
      </vt:variant>
      <vt:variant>
        <vt:i4>1245239</vt:i4>
      </vt:variant>
      <vt:variant>
        <vt:i4>53</vt:i4>
      </vt:variant>
      <vt:variant>
        <vt:i4>0</vt:i4>
      </vt:variant>
      <vt:variant>
        <vt:i4>5</vt:i4>
      </vt:variant>
      <vt:variant>
        <vt:lpwstr/>
      </vt:variant>
      <vt:variant>
        <vt:lpwstr>_Toc134273560</vt:lpwstr>
      </vt:variant>
      <vt:variant>
        <vt:i4>1048631</vt:i4>
      </vt:variant>
      <vt:variant>
        <vt:i4>47</vt:i4>
      </vt:variant>
      <vt:variant>
        <vt:i4>0</vt:i4>
      </vt:variant>
      <vt:variant>
        <vt:i4>5</vt:i4>
      </vt:variant>
      <vt:variant>
        <vt:lpwstr/>
      </vt:variant>
      <vt:variant>
        <vt:lpwstr>_Toc134273559</vt:lpwstr>
      </vt:variant>
      <vt:variant>
        <vt:i4>1048631</vt:i4>
      </vt:variant>
      <vt:variant>
        <vt:i4>41</vt:i4>
      </vt:variant>
      <vt:variant>
        <vt:i4>0</vt:i4>
      </vt:variant>
      <vt:variant>
        <vt:i4>5</vt:i4>
      </vt:variant>
      <vt:variant>
        <vt:lpwstr/>
      </vt:variant>
      <vt:variant>
        <vt:lpwstr>_Toc134273558</vt:lpwstr>
      </vt:variant>
      <vt:variant>
        <vt:i4>1048631</vt:i4>
      </vt:variant>
      <vt:variant>
        <vt:i4>35</vt:i4>
      </vt:variant>
      <vt:variant>
        <vt:i4>0</vt:i4>
      </vt:variant>
      <vt:variant>
        <vt:i4>5</vt:i4>
      </vt:variant>
      <vt:variant>
        <vt:lpwstr/>
      </vt:variant>
      <vt:variant>
        <vt:lpwstr>_Toc134273557</vt:lpwstr>
      </vt:variant>
      <vt:variant>
        <vt:i4>1048631</vt:i4>
      </vt:variant>
      <vt:variant>
        <vt:i4>29</vt:i4>
      </vt:variant>
      <vt:variant>
        <vt:i4>0</vt:i4>
      </vt:variant>
      <vt:variant>
        <vt:i4>5</vt:i4>
      </vt:variant>
      <vt:variant>
        <vt:lpwstr/>
      </vt:variant>
      <vt:variant>
        <vt:lpwstr>_Toc134273556</vt:lpwstr>
      </vt:variant>
      <vt:variant>
        <vt:i4>1048631</vt:i4>
      </vt:variant>
      <vt:variant>
        <vt:i4>23</vt:i4>
      </vt:variant>
      <vt:variant>
        <vt:i4>0</vt:i4>
      </vt:variant>
      <vt:variant>
        <vt:i4>5</vt:i4>
      </vt:variant>
      <vt:variant>
        <vt:lpwstr/>
      </vt:variant>
      <vt:variant>
        <vt:lpwstr>_Toc134273555</vt:lpwstr>
      </vt:variant>
      <vt:variant>
        <vt:i4>1048631</vt:i4>
      </vt:variant>
      <vt:variant>
        <vt:i4>17</vt:i4>
      </vt:variant>
      <vt:variant>
        <vt:i4>0</vt:i4>
      </vt:variant>
      <vt:variant>
        <vt:i4>5</vt:i4>
      </vt:variant>
      <vt:variant>
        <vt:lpwstr/>
      </vt:variant>
      <vt:variant>
        <vt:lpwstr>_Toc134273554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393280</vt:i4>
      </vt:variant>
      <vt:variant>
        <vt:i4>30</vt:i4>
      </vt:variant>
      <vt:variant>
        <vt:i4>0</vt:i4>
      </vt:variant>
      <vt:variant>
        <vt:i4>5</vt:i4>
      </vt:variant>
      <vt:variant>
        <vt:lpwstr>https://www.bp.com/content/dam/bp/business-sites/en/global/corporate/pdfs/energy-economics/energy-outlook/bp-energy-outlook-2023.pdf</vt:lpwstr>
      </vt:variant>
      <vt:variant>
        <vt:lpwstr/>
      </vt:variant>
      <vt:variant>
        <vt:i4>7012404</vt:i4>
      </vt:variant>
      <vt:variant>
        <vt:i4>27</vt:i4>
      </vt:variant>
      <vt:variant>
        <vt:i4>0</vt:i4>
      </vt:variant>
      <vt:variant>
        <vt:i4>5</vt:i4>
      </vt:variant>
      <vt:variant>
        <vt:lpwstr>https://www.industry.gov.au/sites/default/files/issue-of-combination-certificates-guideline.pdf</vt:lpwstr>
      </vt:variant>
      <vt:variant>
        <vt:lpwstr/>
      </vt:variant>
      <vt:variant>
        <vt:i4>2490430</vt:i4>
      </vt:variant>
      <vt:variant>
        <vt:i4>24</vt:i4>
      </vt:variant>
      <vt:variant>
        <vt:i4>0</vt:i4>
      </vt:variant>
      <vt:variant>
        <vt:i4>5</vt:i4>
      </vt:variant>
      <vt:variant>
        <vt:lpwstr>https://www.ato.gov.au/</vt:lpwstr>
      </vt:variant>
      <vt:variant>
        <vt:lpwstr/>
      </vt:variant>
      <vt:variant>
        <vt:i4>655360</vt:i4>
      </vt:variant>
      <vt:variant>
        <vt:i4>21</vt:i4>
      </vt:variant>
      <vt:variant>
        <vt:i4>0</vt:i4>
      </vt:variant>
      <vt:variant>
        <vt:i4>5</vt:i4>
      </vt:variant>
      <vt:variant>
        <vt:lpwstr>https://iea.blob.core.windows.net/assets/830fe099-5530-48f2-a7c1-11f35d510983/WorldEnergyOutlook2022.pdf</vt:lpwstr>
      </vt:variant>
      <vt:variant>
        <vt:lpwstr/>
      </vt:variant>
      <vt:variant>
        <vt:i4>7143480</vt:i4>
      </vt:variant>
      <vt:variant>
        <vt:i4>18</vt:i4>
      </vt:variant>
      <vt:variant>
        <vt:i4>0</vt:i4>
      </vt:variant>
      <vt:variant>
        <vt:i4>5</vt:i4>
      </vt:variant>
      <vt:variant>
        <vt:lpwstr>https://www.bp.com/en/global/corporate/energy-economics/energy-outlook/natural-gas.html</vt:lpwstr>
      </vt:variant>
      <vt:variant>
        <vt:lpwstr/>
      </vt:variant>
      <vt:variant>
        <vt:i4>655360</vt:i4>
      </vt:variant>
      <vt:variant>
        <vt:i4>15</vt:i4>
      </vt:variant>
      <vt:variant>
        <vt:i4>0</vt:i4>
      </vt:variant>
      <vt:variant>
        <vt:i4>5</vt:i4>
      </vt:variant>
      <vt:variant>
        <vt:lpwstr>https://iea.blob.core.windows.net/assets/830fe099-5530-48f2-a7c1-11f35d510983/WorldEnergyOutlook2022.pdf</vt:lpwstr>
      </vt:variant>
      <vt:variant>
        <vt:lpwstr/>
      </vt:variant>
      <vt:variant>
        <vt:i4>1441875</vt:i4>
      </vt:variant>
      <vt:variant>
        <vt:i4>12</vt:i4>
      </vt:variant>
      <vt:variant>
        <vt:i4>0</vt:i4>
      </vt:variant>
      <vt:variant>
        <vt:i4>5</vt:i4>
      </vt:variant>
      <vt:variant>
        <vt:lpwstr>https://www.accc.gov.au/inquiries-and-consultations/gas-inquiry-2017-30/lng-netback-price-series</vt:lpwstr>
      </vt:variant>
      <vt:variant>
        <vt:lpwstr/>
      </vt:variant>
      <vt:variant>
        <vt:i4>4849750</vt:i4>
      </vt:variant>
      <vt:variant>
        <vt:i4>9</vt:i4>
      </vt:variant>
      <vt:variant>
        <vt:i4>0</vt:i4>
      </vt:variant>
      <vt:variant>
        <vt:i4>5</vt:i4>
      </vt:variant>
      <vt:variant>
        <vt:lpwstr>https://www.mediastatements.wa.gov.au/Pages/McGowan/2020/12/WA-Government-reaches-agreement-on-job-creating-domestic-gas-project.aspx</vt:lpwstr>
      </vt:variant>
      <vt:variant>
        <vt:lpwstr/>
      </vt:variant>
      <vt:variant>
        <vt:i4>2359394</vt:i4>
      </vt:variant>
      <vt:variant>
        <vt:i4>6</vt:i4>
      </vt:variant>
      <vt:variant>
        <vt:i4>0</vt:i4>
      </vt:variant>
      <vt:variant>
        <vt:i4>5</vt:i4>
      </vt:variant>
      <vt:variant>
        <vt:lpwstr>https://www.woodside.com/docs/default-source/asx-announcements/2022/processing-of-pluto-gas-starts-at-north-west-shelf.pdf</vt:lpwstr>
      </vt:variant>
      <vt:variant>
        <vt:lpwstr/>
      </vt:variant>
      <vt:variant>
        <vt:i4>6881378</vt:i4>
      </vt:variant>
      <vt:variant>
        <vt:i4>3</vt:i4>
      </vt:variant>
      <vt:variant>
        <vt:i4>0</vt:i4>
      </vt:variant>
      <vt:variant>
        <vt:i4>5</vt:i4>
      </vt:variant>
      <vt:variant>
        <vt:lpwstr>https://treasury.gov.au/consultation/c2019-t364690</vt:lpwstr>
      </vt:variant>
      <vt:variant>
        <vt:lpwstr/>
      </vt:variant>
      <vt:variant>
        <vt:i4>2490430</vt:i4>
      </vt:variant>
      <vt:variant>
        <vt:i4>0</vt:i4>
      </vt:variant>
      <vt:variant>
        <vt:i4>0</vt:i4>
      </vt:variant>
      <vt:variant>
        <vt:i4>5</vt:i4>
      </vt:variant>
      <vt:variant>
        <vt:lpwstr>https://www.ato.gov.au/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Resource Rent Tax: Review of Gas Transfer Pricing Arrangements - Report to the Treasurer</dc:title>
  <dc:subject/>
  <dc:creator>Treasury</dc:creator>
  <cp:keywords/>
  <cp:lastModifiedBy>Smith, Matthew</cp:lastModifiedBy>
  <cp:revision>619</cp:revision>
  <cp:lastPrinted>2023-05-06T04:20:00Z</cp:lastPrinted>
  <dcterms:created xsi:type="dcterms:W3CDTF">2023-05-03T08:09:00Z</dcterms:created>
  <dcterms:modified xsi:type="dcterms:W3CDTF">2023-05-06T05:34:00Z</dcterms:modified>
</cp:coreProperties>
</file>