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35A24" w14:textId="1E6910DF" w:rsidR="00D875B7" w:rsidRPr="00834F9A" w:rsidRDefault="00B941B7" w:rsidP="00F504B7">
      <w:pPr>
        <w:pStyle w:val="Heading1"/>
      </w:pPr>
      <w:r w:rsidRPr="00F504B7">
        <w:t>G</w:t>
      </w:r>
      <w:r w:rsidR="00D875B7" w:rsidRPr="00F504B7">
        <w:t>lossary</w:t>
      </w:r>
    </w:p>
    <w:tbl>
      <w:tblPr>
        <w:tblW w:w="5000" w:type="pct"/>
        <w:tblCellMar>
          <w:left w:w="0" w:type="dxa"/>
        </w:tblCellMar>
        <w:tblLook w:val="01E0" w:firstRow="1" w:lastRow="1" w:firstColumn="1" w:lastColumn="1" w:noHBand="0" w:noVBand="0"/>
        <w:tblCaption w:val="Table"/>
      </w:tblPr>
      <w:tblGrid>
        <w:gridCol w:w="2930"/>
        <w:gridCol w:w="4780"/>
      </w:tblGrid>
      <w:tr w:rsidR="00D875B7" w14:paraId="49B93A59" w14:textId="77777777" w:rsidTr="00C56A8C">
        <w:trPr>
          <w:cantSplit/>
          <w:tblHeader/>
        </w:trPr>
        <w:tc>
          <w:tcPr>
            <w:tcW w:w="1900" w:type="pct"/>
            <w:hideMark/>
          </w:tcPr>
          <w:p w14:paraId="4575C516" w14:textId="77777777" w:rsidR="00D875B7" w:rsidRPr="009B55C2" w:rsidRDefault="00D875B7" w:rsidP="009B55C2">
            <w:pPr>
              <w:pStyle w:val="TableColumnHeadingLeft"/>
            </w:pPr>
            <w:r w:rsidRPr="009B55C2">
              <w:t>Term</w:t>
            </w:r>
          </w:p>
        </w:tc>
        <w:tc>
          <w:tcPr>
            <w:tcW w:w="3100" w:type="pct"/>
            <w:hideMark/>
          </w:tcPr>
          <w:p w14:paraId="5216A4B3" w14:textId="77777777" w:rsidR="00D875B7" w:rsidRPr="009B55C2" w:rsidRDefault="00D875B7" w:rsidP="009B55C2">
            <w:pPr>
              <w:pStyle w:val="TableColumnHeadingLeft"/>
            </w:pPr>
            <w:r w:rsidRPr="009B55C2">
              <w:t>Meaning</w:t>
            </w:r>
          </w:p>
        </w:tc>
      </w:tr>
      <w:tr w:rsidR="00D875B7" w14:paraId="4183AE4C" w14:textId="77777777" w:rsidTr="00C56A8C">
        <w:trPr>
          <w:cantSplit/>
        </w:trPr>
        <w:tc>
          <w:tcPr>
            <w:tcW w:w="1900" w:type="pct"/>
            <w:hideMark/>
          </w:tcPr>
          <w:p w14:paraId="62004192" w14:textId="77777777" w:rsidR="00D875B7" w:rsidRPr="009B55C2" w:rsidRDefault="00D875B7" w:rsidP="009B55C2">
            <w:pPr>
              <w:pStyle w:val="TableTextLeft"/>
            </w:pPr>
            <w:r w:rsidRPr="009B55C2">
              <w:t>Accumulated depreciation</w:t>
            </w:r>
          </w:p>
        </w:tc>
        <w:tc>
          <w:tcPr>
            <w:tcW w:w="3100" w:type="pct"/>
            <w:hideMark/>
          </w:tcPr>
          <w:p w14:paraId="3EE064B1" w14:textId="77777777" w:rsidR="00D875B7" w:rsidRPr="009B55C2" w:rsidRDefault="00D875B7" w:rsidP="009B55C2">
            <w:pPr>
              <w:pStyle w:val="TableTextLeft"/>
            </w:pPr>
            <w:r w:rsidRPr="009B55C2">
              <w:t>The aggregate depreciation recorded for a particular depreciating asset.</w:t>
            </w:r>
          </w:p>
        </w:tc>
      </w:tr>
      <w:tr w:rsidR="00D875B7" w14:paraId="2AE77090" w14:textId="77777777" w:rsidTr="00C56A8C">
        <w:trPr>
          <w:cantSplit/>
        </w:trPr>
        <w:tc>
          <w:tcPr>
            <w:tcW w:w="1900" w:type="pct"/>
            <w:hideMark/>
          </w:tcPr>
          <w:p w14:paraId="73C264D6" w14:textId="77777777" w:rsidR="00D875B7" w:rsidRPr="009B55C2" w:rsidRDefault="00D875B7" w:rsidP="009B55C2">
            <w:pPr>
              <w:pStyle w:val="TableTextLeft"/>
            </w:pPr>
            <w:r w:rsidRPr="009B55C2">
              <w:t>Administered item</w:t>
            </w:r>
          </w:p>
        </w:tc>
        <w:tc>
          <w:tcPr>
            <w:tcW w:w="3100" w:type="pct"/>
            <w:hideMark/>
          </w:tcPr>
          <w:p w14:paraId="03A34DAC" w14:textId="19296B1B" w:rsidR="00D875B7" w:rsidRPr="009B55C2" w:rsidRDefault="00D875B7" w:rsidP="009B55C2">
            <w:pPr>
              <w:pStyle w:val="TableTextLeft"/>
            </w:pPr>
            <w:r w:rsidRPr="009B55C2">
              <w:t xml:space="preserve">Appropriation </w:t>
            </w:r>
            <w:r w:rsidR="00DC7898">
              <w:t xml:space="preserve">consisting </w:t>
            </w:r>
            <w:r w:rsidRPr="009B55C2">
              <w:t>of funding managed on behalf of the Commonwealth. This funding is not at the discretion of the entity and any unspent appropriation is returned to the Consolidated Revenue Fund (CRF) at the end of the financial year. An</w:t>
            </w:r>
            <w:r w:rsidR="00A53C80" w:rsidRPr="009B55C2">
              <w:t> </w:t>
            </w:r>
            <w:r w:rsidRPr="009B55C2">
              <w:t>administered item is a component of an administered program. It</w:t>
            </w:r>
            <w:r w:rsidR="00A53C80" w:rsidRPr="009B55C2">
              <w:t> </w:t>
            </w:r>
            <w:r w:rsidRPr="009B55C2">
              <w:t>may be a measure but will not constitute a program in its own right.</w:t>
            </w:r>
          </w:p>
        </w:tc>
      </w:tr>
      <w:tr w:rsidR="00D875B7" w14:paraId="5DBAA3EA" w14:textId="77777777" w:rsidTr="00C56A8C">
        <w:trPr>
          <w:cantSplit/>
        </w:trPr>
        <w:tc>
          <w:tcPr>
            <w:tcW w:w="1900" w:type="pct"/>
            <w:hideMark/>
          </w:tcPr>
          <w:p w14:paraId="0BD61D2E" w14:textId="77777777" w:rsidR="00D875B7" w:rsidRPr="009B55C2" w:rsidRDefault="00D875B7" w:rsidP="009B55C2">
            <w:pPr>
              <w:pStyle w:val="TableTextLeft"/>
            </w:pPr>
            <w:r w:rsidRPr="009B55C2">
              <w:t>Appropriation</w:t>
            </w:r>
          </w:p>
        </w:tc>
        <w:tc>
          <w:tcPr>
            <w:tcW w:w="3100" w:type="pct"/>
            <w:hideMark/>
          </w:tcPr>
          <w:p w14:paraId="302A3186" w14:textId="64FEB283" w:rsidR="00D875B7" w:rsidRPr="009B55C2" w:rsidRDefault="00D875B7" w:rsidP="009B55C2">
            <w:pPr>
              <w:pStyle w:val="TableTextLeft"/>
            </w:pPr>
            <w:r w:rsidRPr="009B55C2">
              <w:t>A law of the Australian Parliament provid</w:t>
            </w:r>
            <w:r w:rsidR="00010DF5">
              <w:t>ing</w:t>
            </w:r>
            <w:r w:rsidRPr="009B55C2">
              <w:t xml:space="preserve"> authority for Commonwealth entities to spend money from the CRF for a particular purpose. Entities may not spend money without an appropriation authorising </w:t>
            </w:r>
            <w:r w:rsidR="00612B2D">
              <w:t xml:space="preserve">the </w:t>
            </w:r>
            <w:r w:rsidRPr="009B55C2">
              <w:t>expenditure and, where necessary, other legislation authorising the specified purpose.</w:t>
            </w:r>
          </w:p>
        </w:tc>
      </w:tr>
      <w:tr w:rsidR="00D875B7" w14:paraId="490B1D53" w14:textId="77777777" w:rsidTr="00C56A8C">
        <w:trPr>
          <w:cantSplit/>
        </w:trPr>
        <w:tc>
          <w:tcPr>
            <w:tcW w:w="1900" w:type="pct"/>
            <w:hideMark/>
          </w:tcPr>
          <w:p w14:paraId="5C2F37B9" w14:textId="77777777" w:rsidR="00D875B7" w:rsidRPr="009B55C2" w:rsidRDefault="00D875B7" w:rsidP="009B55C2">
            <w:pPr>
              <w:pStyle w:val="TableTextLeft"/>
            </w:pPr>
            <w:r w:rsidRPr="009B55C2">
              <w:t xml:space="preserve">Appropriation Bill </w:t>
            </w:r>
            <w:r w:rsidRPr="009B55C2">
              <w:br/>
              <w:t>(No. 1)</w:t>
            </w:r>
          </w:p>
        </w:tc>
        <w:tc>
          <w:tcPr>
            <w:tcW w:w="3100" w:type="pct"/>
            <w:hideMark/>
          </w:tcPr>
          <w:p w14:paraId="1A79ADBE" w14:textId="00B24904" w:rsidR="00D875B7" w:rsidRPr="009B55C2" w:rsidRDefault="00D875B7" w:rsidP="009B55C2">
            <w:pPr>
              <w:pStyle w:val="TableTextLeft"/>
            </w:pPr>
            <w:r w:rsidRPr="009B55C2">
              <w:t xml:space="preserve">This Bill proposes spending from the CRF for the ordinary annual services of government. Bills proposing appropriations for ordinary annual services cannot be amended by the Senate under Section 53 of the Australian Constitution. Once the Bill is passed by </w:t>
            </w:r>
            <w:r w:rsidR="00440BE7">
              <w:t xml:space="preserve">the </w:t>
            </w:r>
            <w:r w:rsidRPr="009B55C2">
              <w:t>Parliament and given Royal Assent, it becomes Appropriation Act (No. 1).</w:t>
            </w:r>
          </w:p>
        </w:tc>
      </w:tr>
      <w:tr w:rsidR="00D875B7" w14:paraId="5D55D389" w14:textId="77777777" w:rsidTr="00C56A8C">
        <w:trPr>
          <w:cantSplit/>
        </w:trPr>
        <w:tc>
          <w:tcPr>
            <w:tcW w:w="1900" w:type="pct"/>
            <w:hideMark/>
          </w:tcPr>
          <w:p w14:paraId="4A70E80C" w14:textId="77777777" w:rsidR="00D875B7" w:rsidRPr="009B55C2" w:rsidRDefault="00D875B7" w:rsidP="009B55C2">
            <w:pPr>
              <w:pStyle w:val="TableTextLeft"/>
            </w:pPr>
            <w:r w:rsidRPr="009B55C2">
              <w:t xml:space="preserve">Appropriation Bill </w:t>
            </w:r>
            <w:r w:rsidRPr="009B55C2">
              <w:br/>
              <w:t>(No. 2)</w:t>
            </w:r>
          </w:p>
        </w:tc>
        <w:tc>
          <w:tcPr>
            <w:tcW w:w="3100" w:type="pct"/>
            <w:hideMark/>
          </w:tcPr>
          <w:p w14:paraId="00FBF796" w14:textId="5C1A2991" w:rsidR="00D875B7" w:rsidRPr="009B55C2" w:rsidRDefault="00D875B7" w:rsidP="009B55C2">
            <w:pPr>
              <w:pStyle w:val="TableTextLeft"/>
            </w:pPr>
            <w:r w:rsidRPr="009B55C2">
              <w:t xml:space="preserve">This Bill proposes spending from the CRF for purposes other than the ordinary annual services of government. Under existing arrangements between the </w:t>
            </w:r>
            <w:r w:rsidR="00E262F5">
              <w:t>2</w:t>
            </w:r>
            <w:r w:rsidRPr="009B55C2">
              <w:t xml:space="preserve"> Houses of Parliament, this Bill includes appropriation funding of administered expenses for new outcomes, for payments to the states and territories, and for departmental or administered capital. Funding for extensions to existing programs can be included in Appropriation Bill (No. </w:t>
            </w:r>
            <w:r w:rsidR="003E10FC" w:rsidRPr="009B55C2">
              <w:t>2</w:t>
            </w:r>
            <w:r w:rsidRPr="009B55C2">
              <w:t xml:space="preserve">). Once the Bill is passed by </w:t>
            </w:r>
            <w:r w:rsidR="00440BE7">
              <w:t xml:space="preserve">the </w:t>
            </w:r>
            <w:r w:rsidRPr="009B55C2">
              <w:t>Parliament and given Royal Assent, it becomes Appropriation Act (No. 2).</w:t>
            </w:r>
          </w:p>
        </w:tc>
      </w:tr>
      <w:tr w:rsidR="00D875B7" w14:paraId="3DBABAAB" w14:textId="77777777" w:rsidTr="00C56A8C">
        <w:trPr>
          <w:cantSplit/>
        </w:trPr>
        <w:tc>
          <w:tcPr>
            <w:tcW w:w="1900" w:type="pct"/>
            <w:hideMark/>
          </w:tcPr>
          <w:p w14:paraId="40A128C1" w14:textId="77777777" w:rsidR="00D875B7" w:rsidRPr="009B55C2" w:rsidRDefault="00D875B7" w:rsidP="009B55C2">
            <w:pPr>
              <w:pStyle w:val="TableTextLeft"/>
            </w:pPr>
            <w:r w:rsidRPr="009B55C2">
              <w:t>Appropriation Bills (Nos. 3 and 4)</w:t>
            </w:r>
          </w:p>
        </w:tc>
        <w:tc>
          <w:tcPr>
            <w:tcW w:w="3100" w:type="pct"/>
            <w:hideMark/>
          </w:tcPr>
          <w:p w14:paraId="01A54E55" w14:textId="77C2B4F0" w:rsidR="00D875B7" w:rsidRPr="009B55C2" w:rsidRDefault="00D875B7" w:rsidP="009B55C2">
            <w:pPr>
              <w:pStyle w:val="TableTextLeft"/>
            </w:pPr>
            <w:r w:rsidRPr="009B55C2">
              <w:t xml:space="preserve">If an amount provided in Appropriation Acts (Nos. 1 or 2) is not enough to meet approved expenditure in a financial year, supplementary appropriation may be sought in Appropriation Bills (Nos. 3 or 4). Once these Bills are passed by </w:t>
            </w:r>
            <w:r w:rsidR="00440BE7">
              <w:t xml:space="preserve">the </w:t>
            </w:r>
            <w:r w:rsidRPr="009B55C2">
              <w:t xml:space="preserve">Parliament and given </w:t>
            </w:r>
            <w:r w:rsidR="005755E0">
              <w:t>R</w:t>
            </w:r>
            <w:r w:rsidRPr="009B55C2">
              <w:t xml:space="preserve">oyal </w:t>
            </w:r>
            <w:r w:rsidR="005755E0">
              <w:t>A</w:t>
            </w:r>
            <w:r w:rsidRPr="009B55C2">
              <w:t>ssent, they become the Appropriation Acts (Nos. 3 and 4). They are also commonly referred to as the Additional Estimates Bills.</w:t>
            </w:r>
          </w:p>
        </w:tc>
      </w:tr>
      <w:tr w:rsidR="00D875B7" w14:paraId="36021FF6" w14:textId="77777777" w:rsidTr="00C56A8C">
        <w:trPr>
          <w:cantSplit/>
        </w:trPr>
        <w:tc>
          <w:tcPr>
            <w:tcW w:w="1900" w:type="pct"/>
            <w:hideMark/>
          </w:tcPr>
          <w:p w14:paraId="3F97F6E8" w14:textId="77777777" w:rsidR="00D875B7" w:rsidRPr="00FC46BE" w:rsidRDefault="00D875B7" w:rsidP="00FC46BE">
            <w:pPr>
              <w:pStyle w:val="TableTextLeft"/>
            </w:pPr>
            <w:r w:rsidRPr="00FC46BE">
              <w:t>Assets</w:t>
            </w:r>
          </w:p>
        </w:tc>
        <w:tc>
          <w:tcPr>
            <w:tcW w:w="3100" w:type="pct"/>
            <w:hideMark/>
          </w:tcPr>
          <w:p w14:paraId="43E7FDD8" w14:textId="77777777" w:rsidR="00D875B7" w:rsidRPr="009B55C2" w:rsidRDefault="00D875B7" w:rsidP="009B55C2">
            <w:pPr>
              <w:pStyle w:val="TableTextLeft"/>
            </w:pPr>
            <w:r w:rsidRPr="009B55C2">
              <w:t>Future economic benefits controlled by an entity as a result of past transactions or other past events.</w:t>
            </w:r>
          </w:p>
        </w:tc>
      </w:tr>
      <w:tr w:rsidR="00D875B7" w14:paraId="7AFCF67D" w14:textId="77777777" w:rsidTr="00C56A8C">
        <w:trPr>
          <w:cantSplit/>
        </w:trPr>
        <w:tc>
          <w:tcPr>
            <w:tcW w:w="1900" w:type="pct"/>
            <w:hideMark/>
          </w:tcPr>
          <w:p w14:paraId="0A90E7B4" w14:textId="77777777" w:rsidR="00D875B7" w:rsidRPr="00FC46BE" w:rsidRDefault="00D875B7" w:rsidP="00FC46BE">
            <w:pPr>
              <w:pStyle w:val="TableTextLeft"/>
            </w:pPr>
            <w:r w:rsidRPr="00FC46BE">
              <w:t>Average staffing level</w:t>
            </w:r>
          </w:p>
        </w:tc>
        <w:tc>
          <w:tcPr>
            <w:tcW w:w="3100" w:type="pct"/>
            <w:hideMark/>
          </w:tcPr>
          <w:p w14:paraId="741594DE" w14:textId="22B6AF2A" w:rsidR="00D875B7" w:rsidRPr="009B55C2" w:rsidRDefault="00D875B7" w:rsidP="009B55C2">
            <w:pPr>
              <w:pStyle w:val="TableTextLeft"/>
            </w:pPr>
            <w:r w:rsidRPr="009B55C2">
              <w:t>The average number of employees receiving salary/wages (or compensation in lieu of salary/wages) over a financial year, with adjustments for casual and part</w:t>
            </w:r>
            <w:r w:rsidR="000D5923">
              <w:noBreakHyphen/>
            </w:r>
            <w:r w:rsidRPr="009B55C2">
              <w:t>time employees to show the full</w:t>
            </w:r>
            <w:r w:rsidR="000D5923">
              <w:noBreakHyphen/>
            </w:r>
            <w:r w:rsidRPr="009B55C2">
              <w:t>time equivalent.</w:t>
            </w:r>
          </w:p>
        </w:tc>
      </w:tr>
      <w:tr w:rsidR="00D875B7" w14:paraId="243DA9D6" w14:textId="77777777" w:rsidTr="00C56A8C">
        <w:trPr>
          <w:cantSplit/>
        </w:trPr>
        <w:tc>
          <w:tcPr>
            <w:tcW w:w="1900" w:type="pct"/>
            <w:hideMark/>
          </w:tcPr>
          <w:p w14:paraId="558924B3" w14:textId="77777777" w:rsidR="00D875B7" w:rsidRPr="00FC46BE" w:rsidRDefault="00D875B7" w:rsidP="00FC46BE">
            <w:pPr>
              <w:pStyle w:val="TableTextLeft"/>
            </w:pPr>
            <w:r w:rsidRPr="00FC46BE">
              <w:t>Budget Paper 1 (BP1)</w:t>
            </w:r>
          </w:p>
        </w:tc>
        <w:tc>
          <w:tcPr>
            <w:tcW w:w="3100" w:type="pct"/>
            <w:hideMark/>
          </w:tcPr>
          <w:p w14:paraId="0951DAA5" w14:textId="705567AB" w:rsidR="00D875B7" w:rsidRPr="009B55C2" w:rsidRDefault="00D875B7" w:rsidP="009B55C2">
            <w:pPr>
              <w:pStyle w:val="TableTextLeft"/>
            </w:pPr>
            <w:r w:rsidRPr="009B55C2">
              <w:t>Budget Strategy and Outlook</w:t>
            </w:r>
            <w:r w:rsidR="00CA6616">
              <w:t xml:space="preserve"> -</w:t>
            </w:r>
            <w:r w:rsidRPr="009B55C2">
              <w:t xml:space="preserve"> Provide information and analysis on whole</w:t>
            </w:r>
            <w:r w:rsidR="000D5923">
              <w:noBreakHyphen/>
            </w:r>
            <w:r w:rsidRPr="009B55C2">
              <w:t>of</w:t>
            </w:r>
            <w:r w:rsidR="000D5923">
              <w:noBreakHyphen/>
            </w:r>
            <w:r w:rsidRPr="009B55C2">
              <w:t>government expenditure and revenue.</w:t>
            </w:r>
          </w:p>
        </w:tc>
      </w:tr>
      <w:tr w:rsidR="00D875B7" w14:paraId="638D7CDF" w14:textId="77777777" w:rsidTr="00C56A8C">
        <w:trPr>
          <w:cantSplit/>
        </w:trPr>
        <w:tc>
          <w:tcPr>
            <w:tcW w:w="1900" w:type="pct"/>
            <w:hideMark/>
          </w:tcPr>
          <w:p w14:paraId="6CA92B90" w14:textId="77777777" w:rsidR="00D875B7" w:rsidRPr="00FC46BE" w:rsidRDefault="00D875B7" w:rsidP="00FC46BE">
            <w:pPr>
              <w:pStyle w:val="TableTextLeft"/>
            </w:pPr>
            <w:r w:rsidRPr="00FC46BE">
              <w:t>Budget Paper 2 (BP2)</w:t>
            </w:r>
          </w:p>
        </w:tc>
        <w:tc>
          <w:tcPr>
            <w:tcW w:w="3100" w:type="pct"/>
            <w:hideMark/>
          </w:tcPr>
          <w:p w14:paraId="30F935B0" w14:textId="49260D13" w:rsidR="00D875B7" w:rsidRPr="009B55C2" w:rsidRDefault="00D875B7" w:rsidP="009B55C2">
            <w:pPr>
              <w:pStyle w:val="TableTextLeft"/>
            </w:pPr>
            <w:r w:rsidRPr="009B55C2">
              <w:t>Budget Measures</w:t>
            </w:r>
            <w:r w:rsidR="00CA6616">
              <w:t xml:space="preserve"> -</w:t>
            </w:r>
            <w:r w:rsidR="00CA6616" w:rsidRPr="009B55C2">
              <w:t xml:space="preserve"> </w:t>
            </w:r>
            <w:r w:rsidRPr="009B55C2">
              <w:t>Provide a description of each budget measure by portfolio.</w:t>
            </w:r>
          </w:p>
        </w:tc>
      </w:tr>
      <w:tr w:rsidR="00D875B7" w14:paraId="3239DF2A" w14:textId="77777777" w:rsidTr="00C56A8C">
        <w:trPr>
          <w:cantSplit/>
        </w:trPr>
        <w:tc>
          <w:tcPr>
            <w:tcW w:w="1900" w:type="pct"/>
            <w:hideMark/>
          </w:tcPr>
          <w:p w14:paraId="45FC7258" w14:textId="77777777" w:rsidR="00D875B7" w:rsidRPr="00FC46BE" w:rsidRDefault="00D875B7" w:rsidP="00FC46BE">
            <w:pPr>
              <w:pStyle w:val="TableTextLeft"/>
            </w:pPr>
            <w:r w:rsidRPr="00FC46BE">
              <w:t>Budget Paper 3 (BP3)</w:t>
            </w:r>
          </w:p>
        </w:tc>
        <w:tc>
          <w:tcPr>
            <w:tcW w:w="3100" w:type="pct"/>
            <w:hideMark/>
          </w:tcPr>
          <w:p w14:paraId="00BB7310" w14:textId="7DA84ADB" w:rsidR="00D875B7" w:rsidRPr="009B55C2" w:rsidRDefault="00D875B7" w:rsidP="009B55C2">
            <w:pPr>
              <w:pStyle w:val="TableTextLeft"/>
            </w:pPr>
            <w:r w:rsidRPr="009B55C2">
              <w:t>Australia</w:t>
            </w:r>
            <w:r w:rsidR="000D5923">
              <w:t>’</w:t>
            </w:r>
            <w:r w:rsidRPr="009B55C2">
              <w:t>s Federal Relations</w:t>
            </w:r>
            <w:r w:rsidR="00CA6616">
              <w:t xml:space="preserve"> -</w:t>
            </w:r>
            <w:r w:rsidR="00CA6616" w:rsidRPr="009B55C2">
              <w:t xml:space="preserve"> </w:t>
            </w:r>
            <w:r w:rsidRPr="009B55C2">
              <w:t>Provide information and analysis on federal funding provided to the states and territories.</w:t>
            </w:r>
          </w:p>
        </w:tc>
      </w:tr>
      <w:tr w:rsidR="00D875B7" w14:paraId="2DC6F631" w14:textId="77777777" w:rsidTr="00C56A8C">
        <w:trPr>
          <w:cantSplit/>
        </w:trPr>
        <w:tc>
          <w:tcPr>
            <w:tcW w:w="1900" w:type="pct"/>
            <w:hideMark/>
          </w:tcPr>
          <w:p w14:paraId="71332A7E" w14:textId="77777777" w:rsidR="00D875B7" w:rsidRPr="00FC46BE" w:rsidRDefault="00D875B7" w:rsidP="00FC46BE">
            <w:pPr>
              <w:pStyle w:val="TableTextLeft"/>
            </w:pPr>
            <w:r w:rsidRPr="00FC46BE">
              <w:t>Budget Paper 4 (BP4)</w:t>
            </w:r>
          </w:p>
        </w:tc>
        <w:tc>
          <w:tcPr>
            <w:tcW w:w="3100" w:type="pct"/>
            <w:hideMark/>
          </w:tcPr>
          <w:p w14:paraId="52F2201E" w14:textId="77777777" w:rsidR="00D875B7" w:rsidRPr="009B55C2" w:rsidRDefault="00D875B7" w:rsidP="009B55C2">
            <w:pPr>
              <w:pStyle w:val="TableTextLeft"/>
            </w:pPr>
            <w:r w:rsidRPr="009B55C2">
              <w:t>Entity Resourcing. Details total resourcing available to agencies.</w:t>
            </w:r>
          </w:p>
        </w:tc>
      </w:tr>
      <w:tr w:rsidR="00D875B7" w14:paraId="1D081866" w14:textId="77777777" w:rsidTr="00C56A8C">
        <w:trPr>
          <w:cantSplit/>
        </w:trPr>
        <w:tc>
          <w:tcPr>
            <w:tcW w:w="1900" w:type="pct"/>
            <w:hideMark/>
          </w:tcPr>
          <w:p w14:paraId="44DF80BB" w14:textId="77777777" w:rsidR="00D875B7" w:rsidRPr="00FC46BE" w:rsidRDefault="00D875B7" w:rsidP="00FC46BE">
            <w:pPr>
              <w:pStyle w:val="TableTextLeft"/>
            </w:pPr>
            <w:r w:rsidRPr="00FC46BE">
              <w:t>Capital expenditure</w:t>
            </w:r>
          </w:p>
        </w:tc>
        <w:tc>
          <w:tcPr>
            <w:tcW w:w="3100" w:type="pct"/>
            <w:hideMark/>
          </w:tcPr>
          <w:p w14:paraId="4D5A51FC" w14:textId="77777777" w:rsidR="00D875B7" w:rsidRPr="009B55C2" w:rsidRDefault="00D875B7" w:rsidP="009B55C2">
            <w:pPr>
              <w:pStyle w:val="TableTextLeft"/>
            </w:pPr>
            <w:r w:rsidRPr="009B55C2">
              <w:t>Expenditure by an entity on capital projects; for example, purchasing a building.</w:t>
            </w:r>
          </w:p>
        </w:tc>
      </w:tr>
    </w:tbl>
    <w:p w14:paraId="0E822D96" w14:textId="1B5B02DF" w:rsidR="00A41172" w:rsidRDefault="00A41172" w:rsidP="00A41172">
      <w:pPr>
        <w:pStyle w:val="SingleParagraph"/>
      </w:pPr>
      <w:r>
        <w:br w:type="page"/>
      </w:r>
    </w:p>
    <w:tbl>
      <w:tblPr>
        <w:tblW w:w="5000" w:type="pct"/>
        <w:tblCellMar>
          <w:left w:w="0" w:type="dxa"/>
        </w:tblCellMar>
        <w:tblLook w:val="01E0" w:firstRow="1" w:lastRow="1" w:firstColumn="1" w:lastColumn="1" w:noHBand="0" w:noVBand="0"/>
        <w:tblCaption w:val="Table"/>
      </w:tblPr>
      <w:tblGrid>
        <w:gridCol w:w="2930"/>
        <w:gridCol w:w="4780"/>
      </w:tblGrid>
      <w:tr w:rsidR="00A41172" w14:paraId="0F153E47" w14:textId="77777777" w:rsidTr="001C249A">
        <w:trPr>
          <w:cantSplit/>
          <w:tblHeader/>
        </w:trPr>
        <w:tc>
          <w:tcPr>
            <w:tcW w:w="1900" w:type="pct"/>
            <w:hideMark/>
          </w:tcPr>
          <w:p w14:paraId="1C8719DC" w14:textId="77777777" w:rsidR="00A41172" w:rsidRPr="009B55C2" w:rsidRDefault="00A41172" w:rsidP="001C249A">
            <w:pPr>
              <w:pStyle w:val="TableColumnHeadingLeft"/>
            </w:pPr>
            <w:r w:rsidRPr="009B55C2">
              <w:lastRenderedPageBreak/>
              <w:t>Term</w:t>
            </w:r>
          </w:p>
        </w:tc>
        <w:tc>
          <w:tcPr>
            <w:tcW w:w="3100" w:type="pct"/>
            <w:hideMark/>
          </w:tcPr>
          <w:p w14:paraId="05F7D0E3" w14:textId="77777777" w:rsidR="00A41172" w:rsidRPr="009B55C2" w:rsidRDefault="00A41172" w:rsidP="001C249A">
            <w:pPr>
              <w:pStyle w:val="TableColumnHeadingLeft"/>
            </w:pPr>
            <w:r w:rsidRPr="009B55C2">
              <w:t>Meaning</w:t>
            </w:r>
          </w:p>
        </w:tc>
      </w:tr>
      <w:tr w:rsidR="00D875B7" w14:paraId="4BCA5D73" w14:textId="77777777" w:rsidTr="00C56A8C">
        <w:trPr>
          <w:cantSplit/>
        </w:trPr>
        <w:tc>
          <w:tcPr>
            <w:tcW w:w="1900" w:type="pct"/>
            <w:hideMark/>
          </w:tcPr>
          <w:p w14:paraId="5A9CD174" w14:textId="31C6CE52" w:rsidR="00D875B7" w:rsidRPr="00FC46BE" w:rsidRDefault="00D875B7" w:rsidP="00FC46BE">
            <w:pPr>
              <w:pStyle w:val="TableTextLeft"/>
            </w:pPr>
            <w:r w:rsidRPr="00FC46BE">
              <w:t xml:space="preserve">Consolidated Revenue Fund </w:t>
            </w:r>
            <w:r w:rsidR="00FC7914" w:rsidRPr="00FC46BE">
              <w:t>(</w:t>
            </w:r>
            <w:r w:rsidR="0057623A" w:rsidRPr="00FC46BE">
              <w:t>CRF)</w:t>
            </w:r>
          </w:p>
        </w:tc>
        <w:tc>
          <w:tcPr>
            <w:tcW w:w="3100" w:type="pct"/>
            <w:hideMark/>
          </w:tcPr>
          <w:p w14:paraId="4D1C2528" w14:textId="77777777" w:rsidR="00D875B7" w:rsidRPr="009B55C2" w:rsidRDefault="00D875B7" w:rsidP="009B55C2">
            <w:pPr>
              <w:pStyle w:val="TableTextLeft"/>
            </w:pPr>
            <w:r w:rsidRPr="009B55C2">
              <w:t>The principal operating fund from which money is drawn to pay for the activities of the Government. Section 81 of the Australian Constitution provides that all revenue raised or monies received by the Executive Government forms one consolidated revenue fund from which appropriations are made for the purposes of the Australian Government.</w:t>
            </w:r>
          </w:p>
        </w:tc>
      </w:tr>
      <w:tr w:rsidR="00D875B7" w14:paraId="3BA3D8CC" w14:textId="77777777" w:rsidTr="00C56A8C">
        <w:trPr>
          <w:cantSplit/>
        </w:trPr>
        <w:tc>
          <w:tcPr>
            <w:tcW w:w="1900" w:type="pct"/>
            <w:hideMark/>
          </w:tcPr>
          <w:p w14:paraId="2D6FF087" w14:textId="77777777" w:rsidR="00D875B7" w:rsidRPr="009B55C2" w:rsidRDefault="00D875B7" w:rsidP="009B55C2">
            <w:pPr>
              <w:pStyle w:val="TableTextLeft"/>
            </w:pPr>
            <w:r w:rsidRPr="009B55C2">
              <w:t>Departmental Capital Budget (DCB)</w:t>
            </w:r>
          </w:p>
        </w:tc>
        <w:tc>
          <w:tcPr>
            <w:tcW w:w="3100" w:type="pct"/>
            <w:hideMark/>
          </w:tcPr>
          <w:p w14:paraId="3A6B2629" w14:textId="77777777" w:rsidR="00D875B7" w:rsidRPr="009B55C2" w:rsidRDefault="00D875B7" w:rsidP="009B55C2">
            <w:pPr>
              <w:pStyle w:val="TableTextLeft"/>
            </w:pPr>
            <w:r w:rsidRPr="009B55C2">
              <w:t>Net cash appropriation arrangements involve the cessation of funding for depreciation, amortisation and make good expenses. Funding for these expenses has been replaced with a collection development and acquisition budget (CDAB) for designated collection institutions (DCIs), and departmental capital budgets (DCBs).</w:t>
            </w:r>
          </w:p>
        </w:tc>
      </w:tr>
      <w:tr w:rsidR="00D875B7" w14:paraId="1A458BEC" w14:textId="77777777" w:rsidTr="00C56A8C">
        <w:trPr>
          <w:cantSplit/>
        </w:trPr>
        <w:tc>
          <w:tcPr>
            <w:tcW w:w="1900" w:type="pct"/>
            <w:hideMark/>
          </w:tcPr>
          <w:p w14:paraId="17C0E526" w14:textId="77777777" w:rsidR="00D875B7" w:rsidRPr="009B55C2" w:rsidRDefault="00D875B7" w:rsidP="009B55C2">
            <w:pPr>
              <w:pStyle w:val="TableTextLeft"/>
            </w:pPr>
            <w:r w:rsidRPr="009B55C2">
              <w:t>Departmental item</w:t>
            </w:r>
          </w:p>
        </w:tc>
        <w:tc>
          <w:tcPr>
            <w:tcW w:w="3100" w:type="pct"/>
            <w:hideMark/>
          </w:tcPr>
          <w:p w14:paraId="5E23B0E1" w14:textId="3C4CB20A" w:rsidR="00D875B7" w:rsidRPr="009B55C2" w:rsidRDefault="00D875B7" w:rsidP="009B55C2">
            <w:pPr>
              <w:pStyle w:val="TableTextLeft"/>
            </w:pPr>
            <w:r w:rsidRPr="009B55C2">
              <w:t xml:space="preserve">Resources (assets, liabilities, revenues and expenses) </w:t>
            </w:r>
            <w:r w:rsidR="003412F3">
              <w:t>the</w:t>
            </w:r>
            <w:r w:rsidR="003412F3" w:rsidRPr="009B55C2">
              <w:t xml:space="preserve"> </w:t>
            </w:r>
            <w:r w:rsidRPr="009B55C2">
              <w:t>entity accountable authorities control directly. This includes outsourced activities funded and controlled by the entity. Examples of departmental items include entity running costs, accrued employee entitlements and net appropriations. A departmental item is a component of a departmental program.</w:t>
            </w:r>
          </w:p>
        </w:tc>
      </w:tr>
      <w:tr w:rsidR="00D875B7" w14:paraId="2AE39F8D" w14:textId="77777777" w:rsidTr="00C56A8C">
        <w:trPr>
          <w:cantSplit/>
        </w:trPr>
        <w:tc>
          <w:tcPr>
            <w:tcW w:w="1900" w:type="pct"/>
            <w:hideMark/>
          </w:tcPr>
          <w:p w14:paraId="79158A96" w14:textId="77777777" w:rsidR="00D875B7" w:rsidRPr="009B55C2" w:rsidRDefault="00D875B7" w:rsidP="009B55C2">
            <w:pPr>
              <w:pStyle w:val="TableTextLeft"/>
            </w:pPr>
            <w:r w:rsidRPr="009B55C2">
              <w:t>Depreciation</w:t>
            </w:r>
          </w:p>
        </w:tc>
        <w:tc>
          <w:tcPr>
            <w:tcW w:w="3100" w:type="pct"/>
            <w:hideMark/>
          </w:tcPr>
          <w:p w14:paraId="4A72A2FD" w14:textId="68A2C2F3" w:rsidR="00D875B7" w:rsidRPr="009B55C2" w:rsidRDefault="00D875B7" w:rsidP="009B55C2">
            <w:pPr>
              <w:pStyle w:val="TableTextLeft"/>
            </w:pPr>
            <w:r w:rsidRPr="009B55C2">
              <w:t>Apportionment of an asset</w:t>
            </w:r>
            <w:r w:rsidR="000D5923">
              <w:t>’</w:t>
            </w:r>
            <w:r w:rsidRPr="009B55C2">
              <w:t>s capital value as an expense over its estimated useful life to take account of normal usage, obsolescence, or the passage of time.</w:t>
            </w:r>
          </w:p>
        </w:tc>
      </w:tr>
      <w:tr w:rsidR="00D875B7" w14:paraId="5444D54A" w14:textId="77777777" w:rsidTr="00C56A8C">
        <w:trPr>
          <w:cantSplit/>
        </w:trPr>
        <w:tc>
          <w:tcPr>
            <w:tcW w:w="1900" w:type="pct"/>
            <w:hideMark/>
          </w:tcPr>
          <w:p w14:paraId="796C9D51" w14:textId="77777777" w:rsidR="00D875B7" w:rsidRPr="009B55C2" w:rsidRDefault="00D875B7" w:rsidP="009B55C2">
            <w:pPr>
              <w:pStyle w:val="TableTextLeft"/>
            </w:pPr>
            <w:r w:rsidRPr="009B55C2">
              <w:t>Equity or net assets</w:t>
            </w:r>
          </w:p>
        </w:tc>
        <w:tc>
          <w:tcPr>
            <w:tcW w:w="3100" w:type="pct"/>
            <w:hideMark/>
          </w:tcPr>
          <w:p w14:paraId="56DC1600" w14:textId="77777777" w:rsidR="00D875B7" w:rsidRPr="009B55C2" w:rsidRDefault="00D875B7" w:rsidP="009B55C2">
            <w:pPr>
              <w:pStyle w:val="TableTextLeft"/>
            </w:pPr>
            <w:r w:rsidRPr="009B55C2">
              <w:t>Residual interest in the assets of an entity after deduction of its liabilities.</w:t>
            </w:r>
          </w:p>
        </w:tc>
      </w:tr>
      <w:tr w:rsidR="00D875B7" w14:paraId="4E37C3FB" w14:textId="77777777" w:rsidTr="00C56A8C">
        <w:trPr>
          <w:cantSplit/>
        </w:trPr>
        <w:tc>
          <w:tcPr>
            <w:tcW w:w="1900" w:type="pct"/>
            <w:hideMark/>
          </w:tcPr>
          <w:p w14:paraId="6FB7692C" w14:textId="77777777" w:rsidR="00D875B7" w:rsidRPr="00DE59A5" w:rsidRDefault="00D875B7" w:rsidP="00533B2B">
            <w:pPr>
              <w:pStyle w:val="TableTextLeft"/>
              <w:spacing w:line="256" w:lineRule="auto"/>
              <w:rPr>
                <w:rFonts w:cs="Arial"/>
                <w:szCs w:val="16"/>
                <w:lang w:eastAsia="en-US"/>
              </w:rPr>
            </w:pPr>
            <w:r w:rsidRPr="00DE59A5">
              <w:rPr>
                <w:rFonts w:cs="Arial"/>
                <w:szCs w:val="16"/>
                <w:lang w:eastAsia="en-US"/>
              </w:rPr>
              <w:t>Entity</w:t>
            </w:r>
          </w:p>
        </w:tc>
        <w:tc>
          <w:tcPr>
            <w:tcW w:w="3100" w:type="pct"/>
            <w:hideMark/>
          </w:tcPr>
          <w:p w14:paraId="6A4AAF66" w14:textId="77777777" w:rsidR="00D875B7" w:rsidRPr="00F7137D" w:rsidRDefault="00D875B7" w:rsidP="00F7137D">
            <w:pPr>
              <w:pStyle w:val="TableTextLeft"/>
            </w:pPr>
            <w:r w:rsidRPr="00F7137D">
              <w:t xml:space="preserve">A department, agency, company or authority under the </w:t>
            </w:r>
            <w:r w:rsidRPr="00F7137D">
              <w:rPr>
                <w:i/>
                <w:iCs/>
              </w:rPr>
              <w:t>Public Governance, Performance and Accountability Act 2013</w:t>
            </w:r>
            <w:r w:rsidRPr="00F7137D">
              <w:t xml:space="preserve"> (PGPA Act) or any other Commonwealth statutory authority.</w:t>
            </w:r>
          </w:p>
        </w:tc>
      </w:tr>
      <w:tr w:rsidR="00D875B7" w:rsidRPr="00537CDF" w14:paraId="77289731" w14:textId="77777777" w:rsidTr="00C56A8C">
        <w:trPr>
          <w:cantSplit/>
        </w:trPr>
        <w:tc>
          <w:tcPr>
            <w:tcW w:w="1900" w:type="pct"/>
            <w:hideMark/>
          </w:tcPr>
          <w:p w14:paraId="4C664B8D" w14:textId="77777777" w:rsidR="00D875B7" w:rsidRPr="009B55C2" w:rsidRDefault="00D875B7" w:rsidP="009B55C2">
            <w:pPr>
              <w:pStyle w:val="TableTextLeft"/>
            </w:pPr>
            <w:r w:rsidRPr="009B55C2">
              <w:t>Estimated actual expenses</w:t>
            </w:r>
          </w:p>
        </w:tc>
        <w:tc>
          <w:tcPr>
            <w:tcW w:w="3100" w:type="pct"/>
            <w:hideMark/>
          </w:tcPr>
          <w:p w14:paraId="0B6D321F" w14:textId="5E2CC9E1" w:rsidR="00D875B7" w:rsidRPr="009B55C2" w:rsidRDefault="00D875B7" w:rsidP="009B55C2">
            <w:pPr>
              <w:pStyle w:val="TableTextLeft"/>
            </w:pPr>
            <w:r w:rsidRPr="009B55C2">
              <w:t>Details of the current year</w:t>
            </w:r>
            <w:r w:rsidR="000D5923">
              <w:t>’</w:t>
            </w:r>
            <w:r w:rsidRPr="009B55C2">
              <w:t xml:space="preserve">s estimated final figures as included in the Budget documentation. </w:t>
            </w:r>
          </w:p>
        </w:tc>
      </w:tr>
      <w:tr w:rsidR="00D875B7" w14:paraId="7246D897" w14:textId="77777777" w:rsidTr="00C56A8C">
        <w:trPr>
          <w:cantSplit/>
        </w:trPr>
        <w:tc>
          <w:tcPr>
            <w:tcW w:w="1900" w:type="pct"/>
            <w:hideMark/>
          </w:tcPr>
          <w:p w14:paraId="6B3D1B06" w14:textId="77777777" w:rsidR="00D875B7" w:rsidRPr="009B55C2" w:rsidRDefault="00D875B7" w:rsidP="009B55C2">
            <w:pPr>
              <w:pStyle w:val="TableTextLeft"/>
            </w:pPr>
            <w:r w:rsidRPr="009B55C2">
              <w:t>Expenditure</w:t>
            </w:r>
          </w:p>
        </w:tc>
        <w:tc>
          <w:tcPr>
            <w:tcW w:w="3100" w:type="pct"/>
            <w:hideMark/>
          </w:tcPr>
          <w:p w14:paraId="2242A87F" w14:textId="77777777" w:rsidR="00D875B7" w:rsidRPr="009B55C2" w:rsidRDefault="00D875B7" w:rsidP="009B55C2">
            <w:pPr>
              <w:pStyle w:val="TableTextLeft"/>
            </w:pPr>
            <w:r w:rsidRPr="009B55C2">
              <w:t>Spending money from the Consolidated Revenue Fund or a notional payment to a PGPA entity.</w:t>
            </w:r>
          </w:p>
        </w:tc>
      </w:tr>
      <w:tr w:rsidR="00D875B7" w14:paraId="0C462E30" w14:textId="77777777" w:rsidTr="00C56A8C">
        <w:trPr>
          <w:cantSplit/>
        </w:trPr>
        <w:tc>
          <w:tcPr>
            <w:tcW w:w="1900" w:type="pct"/>
            <w:hideMark/>
          </w:tcPr>
          <w:p w14:paraId="22F00B7F" w14:textId="77777777" w:rsidR="00D875B7" w:rsidRPr="009B55C2" w:rsidRDefault="00D875B7" w:rsidP="009B55C2">
            <w:pPr>
              <w:pStyle w:val="TableTextLeft"/>
            </w:pPr>
            <w:r w:rsidRPr="009B55C2">
              <w:t>Expense</w:t>
            </w:r>
          </w:p>
        </w:tc>
        <w:tc>
          <w:tcPr>
            <w:tcW w:w="3100" w:type="pct"/>
            <w:hideMark/>
          </w:tcPr>
          <w:p w14:paraId="6DF5DDAD" w14:textId="6556F47C" w:rsidR="00D875B7" w:rsidRPr="009B55C2" w:rsidRDefault="00D875B7" w:rsidP="009B55C2">
            <w:pPr>
              <w:pStyle w:val="TableTextLeft"/>
            </w:pPr>
            <w:r w:rsidRPr="009B55C2">
              <w:t>Decreases in economic benefits in the form of outflows or depletions of assets or incurrence of liabilities result</w:t>
            </w:r>
            <w:r w:rsidR="00A333E6">
              <w:t>s</w:t>
            </w:r>
            <w:r w:rsidRPr="009B55C2">
              <w:t xml:space="preserve"> in decreases in equity, other than those relating to distributions to equity participants.</w:t>
            </w:r>
          </w:p>
        </w:tc>
      </w:tr>
      <w:tr w:rsidR="00D875B7" w14:paraId="18BD607F" w14:textId="77777777" w:rsidTr="00C56A8C">
        <w:trPr>
          <w:cantSplit/>
        </w:trPr>
        <w:tc>
          <w:tcPr>
            <w:tcW w:w="1900" w:type="pct"/>
            <w:hideMark/>
          </w:tcPr>
          <w:p w14:paraId="7B66901F" w14:textId="6CF9947E" w:rsidR="00D875B7" w:rsidRPr="009B55C2" w:rsidRDefault="00D875B7" w:rsidP="009B55C2">
            <w:pPr>
              <w:pStyle w:val="TableTextLeft"/>
            </w:pPr>
            <w:r w:rsidRPr="009B55C2">
              <w:t>Expenses not requiring appropriation in</w:t>
            </w:r>
            <w:r w:rsidR="00E43418">
              <w:t> </w:t>
            </w:r>
            <w:r w:rsidRPr="009B55C2">
              <w:t>the Budget year</w:t>
            </w:r>
          </w:p>
        </w:tc>
        <w:tc>
          <w:tcPr>
            <w:tcW w:w="3100" w:type="pct"/>
            <w:hideMark/>
          </w:tcPr>
          <w:p w14:paraId="28B3E74E" w14:textId="22386EE0" w:rsidR="00D875B7" w:rsidRPr="009B55C2" w:rsidRDefault="00D875B7" w:rsidP="009B55C2">
            <w:pPr>
              <w:pStyle w:val="TableTextLeft"/>
            </w:pPr>
            <w:r w:rsidRPr="009B55C2">
              <w:t xml:space="preserve">Expenses not involving a cash flow impact are not included within the calculation of an appropriation. An example of such an event is goods or services received free of charge that are then expensed; for example, </w:t>
            </w:r>
            <w:r w:rsidR="008F60C7">
              <w:t>Australian National Audit Office (</w:t>
            </w:r>
            <w:r w:rsidRPr="009B55C2">
              <w:t>ANAO</w:t>
            </w:r>
            <w:r w:rsidR="008F60C7">
              <w:t>)</w:t>
            </w:r>
            <w:r w:rsidRPr="009B55C2">
              <w:t xml:space="preserve"> audit services. The ANAO does not charge for audit services; however, the expense must be recognised. Similarly, bad debts are recognised as an expense but are not recognised for the purpose of calculating appropriation amounts to be sought from </w:t>
            </w:r>
            <w:r w:rsidR="008F60C7">
              <w:t xml:space="preserve">the </w:t>
            </w:r>
            <w:r w:rsidRPr="009B55C2">
              <w:t>Parliament.</w:t>
            </w:r>
          </w:p>
        </w:tc>
      </w:tr>
      <w:tr w:rsidR="00D875B7" w14:paraId="773C3583" w14:textId="77777777" w:rsidTr="00C56A8C">
        <w:trPr>
          <w:cantSplit/>
        </w:trPr>
        <w:tc>
          <w:tcPr>
            <w:tcW w:w="1900" w:type="pct"/>
            <w:hideMark/>
          </w:tcPr>
          <w:p w14:paraId="342BB4B7" w14:textId="77777777" w:rsidR="00D875B7" w:rsidRPr="009B55C2" w:rsidRDefault="00D875B7" w:rsidP="009B55C2">
            <w:pPr>
              <w:pStyle w:val="TableTextLeft"/>
            </w:pPr>
            <w:r w:rsidRPr="009B55C2">
              <w:t>Forward estimates period</w:t>
            </w:r>
          </w:p>
        </w:tc>
        <w:tc>
          <w:tcPr>
            <w:tcW w:w="3100" w:type="pct"/>
            <w:hideMark/>
          </w:tcPr>
          <w:p w14:paraId="0BC09C63" w14:textId="076EDEDA" w:rsidR="00D875B7" w:rsidRPr="009B55C2" w:rsidRDefault="00D875B7" w:rsidP="009B55C2">
            <w:pPr>
              <w:pStyle w:val="TableTextLeft"/>
            </w:pPr>
            <w:r w:rsidRPr="009B55C2">
              <w:t xml:space="preserve">The </w:t>
            </w:r>
            <w:r w:rsidR="00E262F5">
              <w:t>3</w:t>
            </w:r>
            <w:r w:rsidRPr="009B55C2">
              <w:t xml:space="preserve"> years following the Budget year. For example if</w:t>
            </w:r>
            <w:r w:rsidR="00453BAD" w:rsidRPr="009B55C2">
              <w:t> </w:t>
            </w:r>
            <w:r w:rsidR="00A556EF" w:rsidRPr="009B55C2">
              <w:br/>
            </w:r>
            <w:r w:rsidRPr="009B55C2">
              <w:t>202</w:t>
            </w:r>
            <w:r w:rsidR="008A20AC" w:rsidRPr="009B55C2">
              <w:t>3</w:t>
            </w:r>
            <w:r w:rsidR="0017453C" w:rsidRPr="009B55C2">
              <w:t>–</w:t>
            </w:r>
            <w:r w:rsidRPr="009B55C2">
              <w:t>2</w:t>
            </w:r>
            <w:r w:rsidR="008A20AC" w:rsidRPr="009B55C2">
              <w:t>4</w:t>
            </w:r>
            <w:r w:rsidR="00453BAD" w:rsidRPr="009B55C2">
              <w:t> </w:t>
            </w:r>
            <w:r w:rsidRPr="009B55C2">
              <w:t>is the Budget year, 202</w:t>
            </w:r>
            <w:r w:rsidR="008A20AC" w:rsidRPr="009B55C2">
              <w:t>4</w:t>
            </w:r>
            <w:r w:rsidR="0017453C" w:rsidRPr="009B55C2">
              <w:t>–</w:t>
            </w:r>
            <w:r w:rsidRPr="009B55C2">
              <w:t>2</w:t>
            </w:r>
            <w:r w:rsidR="008A20AC" w:rsidRPr="009B55C2">
              <w:t>5</w:t>
            </w:r>
            <w:r w:rsidRPr="009B55C2">
              <w:t xml:space="preserve"> is forward year 1, 202</w:t>
            </w:r>
            <w:r w:rsidR="008A20AC" w:rsidRPr="009B55C2">
              <w:t>5</w:t>
            </w:r>
            <w:r w:rsidR="0017453C" w:rsidRPr="009B55C2">
              <w:t>–</w:t>
            </w:r>
            <w:r w:rsidRPr="009B55C2">
              <w:t>2</w:t>
            </w:r>
            <w:r w:rsidR="008A20AC" w:rsidRPr="009B55C2">
              <w:t>6</w:t>
            </w:r>
            <w:r w:rsidRPr="009B55C2">
              <w:t xml:space="preserve"> is forward year 2 and 202</w:t>
            </w:r>
            <w:r w:rsidR="008A20AC" w:rsidRPr="009B55C2">
              <w:t>6</w:t>
            </w:r>
            <w:r w:rsidR="009E388F" w:rsidRPr="009B55C2">
              <w:t>–</w:t>
            </w:r>
            <w:r w:rsidRPr="009B55C2">
              <w:t>2</w:t>
            </w:r>
            <w:r w:rsidR="008A20AC" w:rsidRPr="009B55C2">
              <w:t>7</w:t>
            </w:r>
            <w:r w:rsidRPr="009B55C2">
              <w:t xml:space="preserve"> is forward year 3. </w:t>
            </w:r>
          </w:p>
        </w:tc>
      </w:tr>
      <w:tr w:rsidR="00D875B7" w14:paraId="0F8CBEE2" w14:textId="77777777" w:rsidTr="00C56A8C">
        <w:trPr>
          <w:cantSplit/>
        </w:trPr>
        <w:tc>
          <w:tcPr>
            <w:tcW w:w="1900" w:type="pct"/>
            <w:hideMark/>
          </w:tcPr>
          <w:p w14:paraId="5BDDE198" w14:textId="77777777" w:rsidR="00D875B7" w:rsidRPr="009B55C2" w:rsidRDefault="00D875B7" w:rsidP="009B55C2">
            <w:pPr>
              <w:pStyle w:val="TableTextLeft"/>
            </w:pPr>
            <w:r w:rsidRPr="009B55C2">
              <w:t>Funds</w:t>
            </w:r>
          </w:p>
        </w:tc>
        <w:tc>
          <w:tcPr>
            <w:tcW w:w="3100" w:type="pct"/>
            <w:hideMark/>
          </w:tcPr>
          <w:p w14:paraId="6A24598F" w14:textId="5EB1EBAE" w:rsidR="00D875B7" w:rsidRPr="009B55C2" w:rsidRDefault="00D875B7" w:rsidP="009B55C2">
            <w:pPr>
              <w:pStyle w:val="TableTextLeft"/>
            </w:pPr>
            <w:r w:rsidRPr="009B55C2">
              <w:t>Money appropriated but not drawn from the Consolidated Revenue Fund.</w:t>
            </w:r>
          </w:p>
        </w:tc>
      </w:tr>
      <w:tr w:rsidR="00D875B7" w14:paraId="0D8AA7CF" w14:textId="77777777" w:rsidTr="00C56A8C">
        <w:trPr>
          <w:cantSplit/>
        </w:trPr>
        <w:tc>
          <w:tcPr>
            <w:tcW w:w="1900" w:type="pct"/>
            <w:hideMark/>
          </w:tcPr>
          <w:p w14:paraId="2583A837" w14:textId="77777777" w:rsidR="00D875B7" w:rsidRPr="009B55C2" w:rsidRDefault="00D875B7" w:rsidP="009B55C2">
            <w:pPr>
              <w:pStyle w:val="TableTextLeft"/>
            </w:pPr>
            <w:r w:rsidRPr="009B55C2">
              <w:t>Income</w:t>
            </w:r>
          </w:p>
        </w:tc>
        <w:tc>
          <w:tcPr>
            <w:tcW w:w="3100" w:type="pct"/>
            <w:hideMark/>
          </w:tcPr>
          <w:p w14:paraId="46D8FDBA" w14:textId="77777777" w:rsidR="00D875B7" w:rsidRPr="009B55C2" w:rsidRDefault="00D875B7" w:rsidP="009B55C2">
            <w:pPr>
              <w:pStyle w:val="TableTextLeft"/>
            </w:pPr>
            <w:r w:rsidRPr="009B55C2">
              <w:t>Total value of resources earned or received to cover the production of goods and services.</w:t>
            </w:r>
          </w:p>
        </w:tc>
      </w:tr>
      <w:tr w:rsidR="00D875B7" w14:paraId="1EC5FE41" w14:textId="77777777" w:rsidTr="00C56A8C">
        <w:trPr>
          <w:cantSplit/>
        </w:trPr>
        <w:tc>
          <w:tcPr>
            <w:tcW w:w="1900" w:type="pct"/>
            <w:hideMark/>
          </w:tcPr>
          <w:p w14:paraId="1B545E82" w14:textId="77777777" w:rsidR="00D875B7" w:rsidRPr="009B55C2" w:rsidRDefault="00D875B7" w:rsidP="009B55C2">
            <w:pPr>
              <w:pStyle w:val="TableTextLeft"/>
            </w:pPr>
            <w:r w:rsidRPr="009B55C2">
              <w:t>Make good</w:t>
            </w:r>
          </w:p>
        </w:tc>
        <w:tc>
          <w:tcPr>
            <w:tcW w:w="3100" w:type="pct"/>
            <w:hideMark/>
          </w:tcPr>
          <w:p w14:paraId="0EBA5E72" w14:textId="77777777" w:rsidR="00D875B7" w:rsidRPr="009B55C2" w:rsidRDefault="00D875B7" w:rsidP="009B55C2">
            <w:pPr>
              <w:pStyle w:val="TableTextLeft"/>
            </w:pPr>
            <w:r w:rsidRPr="009B55C2">
              <w:t>Make good is the cost of dismantling and removing an item and restoring the site on which it is located, the obligation for which an entity incurs either when the item is acquired or as a consequence of having used the item during a particular period for purposes other than to produce inventories during that period. A common example of make good in the public sector is the restoration of office premises at the end of a lease period.</w:t>
            </w:r>
          </w:p>
        </w:tc>
      </w:tr>
    </w:tbl>
    <w:p w14:paraId="63943F71" w14:textId="14CC8A26" w:rsidR="00A41172" w:rsidRPr="001B4454" w:rsidRDefault="00A41172" w:rsidP="00A41172">
      <w:pPr>
        <w:spacing w:before="0" w:after="160" w:line="259" w:lineRule="auto"/>
        <w:rPr>
          <w:sz w:val="16"/>
          <w:szCs w:val="16"/>
        </w:rPr>
      </w:pPr>
      <w:r w:rsidRPr="001B4454">
        <w:rPr>
          <w:sz w:val="16"/>
          <w:szCs w:val="16"/>
        </w:rPr>
        <w:br w:type="page"/>
      </w:r>
    </w:p>
    <w:tbl>
      <w:tblPr>
        <w:tblW w:w="5000" w:type="pct"/>
        <w:tblCellMar>
          <w:left w:w="0" w:type="dxa"/>
        </w:tblCellMar>
        <w:tblLook w:val="01E0" w:firstRow="1" w:lastRow="1" w:firstColumn="1" w:lastColumn="1" w:noHBand="0" w:noVBand="0"/>
        <w:tblCaption w:val="Table"/>
      </w:tblPr>
      <w:tblGrid>
        <w:gridCol w:w="2930"/>
        <w:gridCol w:w="4780"/>
      </w:tblGrid>
      <w:tr w:rsidR="00A41172" w14:paraId="63DE94C1" w14:textId="77777777" w:rsidTr="001C249A">
        <w:trPr>
          <w:cantSplit/>
          <w:tblHeader/>
        </w:trPr>
        <w:tc>
          <w:tcPr>
            <w:tcW w:w="1900" w:type="pct"/>
            <w:hideMark/>
          </w:tcPr>
          <w:p w14:paraId="5D20AC84" w14:textId="77777777" w:rsidR="00A41172" w:rsidRPr="009B55C2" w:rsidRDefault="00A41172" w:rsidP="001C249A">
            <w:pPr>
              <w:pStyle w:val="TableColumnHeadingLeft"/>
            </w:pPr>
            <w:r w:rsidRPr="009B55C2">
              <w:lastRenderedPageBreak/>
              <w:t>Term</w:t>
            </w:r>
          </w:p>
        </w:tc>
        <w:tc>
          <w:tcPr>
            <w:tcW w:w="3100" w:type="pct"/>
            <w:hideMark/>
          </w:tcPr>
          <w:p w14:paraId="49873A90" w14:textId="77777777" w:rsidR="00A41172" w:rsidRPr="009B55C2" w:rsidRDefault="00A41172" w:rsidP="001C249A">
            <w:pPr>
              <w:pStyle w:val="TableColumnHeadingLeft"/>
            </w:pPr>
            <w:r w:rsidRPr="009B55C2">
              <w:t>Meaning</w:t>
            </w:r>
          </w:p>
        </w:tc>
      </w:tr>
      <w:tr w:rsidR="00D875B7" w14:paraId="4CB53F9F" w14:textId="77777777" w:rsidTr="00C56A8C">
        <w:trPr>
          <w:cantSplit/>
        </w:trPr>
        <w:tc>
          <w:tcPr>
            <w:tcW w:w="1900" w:type="pct"/>
            <w:hideMark/>
          </w:tcPr>
          <w:p w14:paraId="2CB7B7FD" w14:textId="42BAEF41" w:rsidR="00D875B7" w:rsidRPr="009B55C2" w:rsidRDefault="00D875B7" w:rsidP="009B55C2">
            <w:pPr>
              <w:pStyle w:val="TableTextLeft"/>
            </w:pPr>
            <w:r w:rsidRPr="009B55C2">
              <w:t>Mid</w:t>
            </w:r>
            <w:r w:rsidR="000D5923">
              <w:noBreakHyphen/>
            </w:r>
            <w:r w:rsidRPr="009B55C2">
              <w:t>Year Economic and Fiscal Outlook (MYEFO)</w:t>
            </w:r>
          </w:p>
        </w:tc>
        <w:tc>
          <w:tcPr>
            <w:tcW w:w="3100" w:type="pct"/>
            <w:hideMark/>
          </w:tcPr>
          <w:p w14:paraId="1F1A3D7A" w14:textId="53EE247E" w:rsidR="00D875B7" w:rsidRPr="009B55C2" w:rsidRDefault="00D875B7" w:rsidP="009B55C2">
            <w:pPr>
              <w:pStyle w:val="TableTextLeft"/>
            </w:pPr>
            <w:r w:rsidRPr="009B55C2">
              <w:t>The MYEFO provides an update of the government</w:t>
            </w:r>
            <w:r w:rsidR="000D5923">
              <w:t>’</w:t>
            </w:r>
            <w:r w:rsidRPr="009B55C2">
              <w:t>s budget estimates by examining expenses and revenues in the year to date, as well as provisions for new decisions taken since the Budget. The report provides updated information to allow the assessment of the government</w:t>
            </w:r>
            <w:r w:rsidR="000D5923">
              <w:t>’</w:t>
            </w:r>
            <w:r w:rsidRPr="009B55C2">
              <w:t>s fiscal performance against the fiscal strategy set out in its current fiscal strategy statement.</w:t>
            </w:r>
          </w:p>
        </w:tc>
      </w:tr>
      <w:tr w:rsidR="00D875B7" w14:paraId="5B527C2C" w14:textId="77777777" w:rsidTr="00C56A8C">
        <w:trPr>
          <w:cantSplit/>
        </w:trPr>
        <w:tc>
          <w:tcPr>
            <w:tcW w:w="1900" w:type="pct"/>
            <w:hideMark/>
          </w:tcPr>
          <w:p w14:paraId="6056897B" w14:textId="29164361" w:rsidR="00D875B7" w:rsidRPr="009B55C2" w:rsidRDefault="000D5923" w:rsidP="009B55C2">
            <w:pPr>
              <w:pStyle w:val="TableTextLeft"/>
            </w:pPr>
            <w:r>
              <w:t>‘</w:t>
            </w:r>
            <w:r w:rsidR="00D875B7" w:rsidRPr="009B55C2">
              <w:t>Movement of Funds</w:t>
            </w:r>
            <w:r>
              <w:t>’</w:t>
            </w:r>
            <w:r w:rsidR="00D875B7" w:rsidRPr="009B55C2">
              <w:t xml:space="preserve"> between years</w:t>
            </w:r>
          </w:p>
        </w:tc>
        <w:tc>
          <w:tcPr>
            <w:tcW w:w="3100" w:type="pct"/>
            <w:hideMark/>
          </w:tcPr>
          <w:p w14:paraId="72E521E6" w14:textId="22843509" w:rsidR="00D875B7" w:rsidRPr="009B55C2" w:rsidRDefault="00D875B7" w:rsidP="009B55C2">
            <w:pPr>
              <w:pStyle w:val="TableTextLeft"/>
            </w:pPr>
            <w:r w:rsidRPr="009B55C2">
              <w:t xml:space="preserve">A </w:t>
            </w:r>
            <w:r w:rsidR="000D5923">
              <w:t>‘</w:t>
            </w:r>
            <w:r w:rsidRPr="009B55C2">
              <w:t>movement of funds</w:t>
            </w:r>
            <w:r w:rsidR="000D5923">
              <w:t>’</w:t>
            </w:r>
            <w:r w:rsidRPr="009B55C2">
              <w:t xml:space="preserve"> process is carried out twice each year in relation to un</w:t>
            </w:r>
            <w:r w:rsidR="000D5923">
              <w:noBreakHyphen/>
            </w:r>
            <w:r w:rsidRPr="009B55C2">
              <w:t>expensed administered operating appropriations. This involves portfolio ministers submitting requests to the Finance Minister advising of timing changes to funding requirements. If agreed by the Finance Minister, there will be an increase in the amount appropriated in later year(s).</w:t>
            </w:r>
          </w:p>
        </w:tc>
      </w:tr>
      <w:tr w:rsidR="00D875B7" w14:paraId="1BAB9918" w14:textId="77777777" w:rsidTr="00C56A8C">
        <w:trPr>
          <w:cantSplit/>
        </w:trPr>
        <w:tc>
          <w:tcPr>
            <w:tcW w:w="1900" w:type="pct"/>
            <w:hideMark/>
          </w:tcPr>
          <w:p w14:paraId="06729B80" w14:textId="77777777" w:rsidR="00D875B7" w:rsidRPr="009B55C2" w:rsidRDefault="00D875B7" w:rsidP="009B55C2">
            <w:pPr>
              <w:pStyle w:val="TableTextLeft"/>
            </w:pPr>
            <w:r w:rsidRPr="009B55C2">
              <w:t>Net cash appropriation arrangements</w:t>
            </w:r>
          </w:p>
        </w:tc>
        <w:tc>
          <w:tcPr>
            <w:tcW w:w="3100" w:type="pct"/>
            <w:hideMark/>
          </w:tcPr>
          <w:p w14:paraId="75C4261C" w14:textId="1C8EC403" w:rsidR="00D875B7" w:rsidRPr="009B55C2" w:rsidRDefault="00D875B7" w:rsidP="009B55C2">
            <w:pPr>
              <w:pStyle w:val="TableTextLeft"/>
            </w:pPr>
            <w:r w:rsidRPr="009B55C2">
              <w:t>The net cash framework, implemented from the 2010</w:t>
            </w:r>
            <w:r w:rsidR="002634AB" w:rsidRPr="009B55C2">
              <w:t>–</w:t>
            </w:r>
            <w:r w:rsidRPr="009B55C2">
              <w:t>11 Budget, replaces funding for depreciation and amortisation expenses with a departmental capital budget (DCB) and the funding of make good expenses will cease to be paid in advance.</w:t>
            </w:r>
          </w:p>
          <w:p w14:paraId="00F6EB40" w14:textId="40B32C69" w:rsidR="00D875B7" w:rsidRPr="009B55C2" w:rsidRDefault="00D875B7" w:rsidP="009B55C2">
            <w:pPr>
              <w:pStyle w:val="TableTextLeft"/>
            </w:pPr>
            <w:r w:rsidRPr="009B55C2">
              <w:t>The net cash framework applies to general government sector entities receiv</w:t>
            </w:r>
            <w:r w:rsidR="00CB5332">
              <w:t>ing</w:t>
            </w:r>
            <w:r w:rsidRPr="009B55C2">
              <w:t xml:space="preserve"> funding from annual appropriations directly or via a special account, with the exception of the Department of Defence.</w:t>
            </w:r>
          </w:p>
        </w:tc>
      </w:tr>
      <w:tr w:rsidR="00D875B7" w14:paraId="3EFA8B5E" w14:textId="77777777" w:rsidTr="00C56A8C">
        <w:trPr>
          <w:cantSplit/>
        </w:trPr>
        <w:tc>
          <w:tcPr>
            <w:tcW w:w="1900" w:type="pct"/>
            <w:hideMark/>
          </w:tcPr>
          <w:p w14:paraId="211CF2F5" w14:textId="6478504A" w:rsidR="00D875B7" w:rsidRPr="009B55C2" w:rsidRDefault="00D875B7" w:rsidP="009B55C2">
            <w:pPr>
              <w:pStyle w:val="TableTextLeft"/>
            </w:pPr>
            <w:r w:rsidRPr="009B55C2">
              <w:t>Non</w:t>
            </w:r>
            <w:r w:rsidR="000D5923">
              <w:noBreakHyphen/>
            </w:r>
            <w:r w:rsidRPr="009B55C2">
              <w:t>operating</w:t>
            </w:r>
          </w:p>
        </w:tc>
        <w:tc>
          <w:tcPr>
            <w:tcW w:w="3100" w:type="pct"/>
            <w:hideMark/>
          </w:tcPr>
          <w:p w14:paraId="6EA159AF" w14:textId="74EC2A94" w:rsidR="00D875B7" w:rsidRPr="009B55C2" w:rsidRDefault="00D875B7" w:rsidP="009B55C2">
            <w:pPr>
              <w:pStyle w:val="TableTextLeft"/>
            </w:pPr>
            <w:r w:rsidRPr="009B55C2">
              <w:t xml:space="preserve">Sometimes called </w:t>
            </w:r>
            <w:r w:rsidR="000D5923">
              <w:t>‘</w:t>
            </w:r>
            <w:r w:rsidRPr="009B55C2">
              <w:t>capital</w:t>
            </w:r>
            <w:r w:rsidR="000D5923">
              <w:t>’</w:t>
            </w:r>
            <w:r w:rsidRPr="009B55C2">
              <w:t xml:space="preserve"> costs.</w:t>
            </w:r>
          </w:p>
        </w:tc>
      </w:tr>
      <w:tr w:rsidR="00D875B7" w14:paraId="33B57135" w14:textId="77777777" w:rsidTr="00C56A8C">
        <w:trPr>
          <w:cantSplit/>
        </w:trPr>
        <w:tc>
          <w:tcPr>
            <w:tcW w:w="1900" w:type="pct"/>
            <w:hideMark/>
          </w:tcPr>
          <w:p w14:paraId="2CC16FE3" w14:textId="77777777" w:rsidR="00D875B7" w:rsidRPr="009B55C2" w:rsidRDefault="00D875B7" w:rsidP="009B55C2">
            <w:pPr>
              <w:pStyle w:val="TableTextLeft"/>
            </w:pPr>
            <w:r w:rsidRPr="009B55C2">
              <w:t>Official Public Account (OPA)</w:t>
            </w:r>
          </w:p>
        </w:tc>
        <w:tc>
          <w:tcPr>
            <w:tcW w:w="3100" w:type="pct"/>
            <w:hideMark/>
          </w:tcPr>
          <w:p w14:paraId="13EE3008" w14:textId="55CB902B" w:rsidR="00D875B7" w:rsidRPr="009B55C2" w:rsidRDefault="00D875B7" w:rsidP="009B55C2">
            <w:pPr>
              <w:pStyle w:val="TableTextLeft"/>
            </w:pPr>
            <w:r w:rsidRPr="009B55C2">
              <w:t>The OPA is the Australian Government</w:t>
            </w:r>
            <w:r w:rsidR="000D5923">
              <w:t>’</w:t>
            </w:r>
            <w:r w:rsidRPr="009B55C2">
              <w:t>s central bank account held within the Reserve Bank of Australia. The OPA reflects the operations of the CRF.</w:t>
            </w:r>
          </w:p>
        </w:tc>
      </w:tr>
      <w:tr w:rsidR="00D875B7" w14:paraId="6BB2A41A" w14:textId="77777777" w:rsidTr="00C56A8C">
        <w:trPr>
          <w:cantSplit/>
        </w:trPr>
        <w:tc>
          <w:tcPr>
            <w:tcW w:w="1900" w:type="pct"/>
            <w:hideMark/>
          </w:tcPr>
          <w:p w14:paraId="52C4D0F9" w14:textId="77777777" w:rsidR="00D875B7" w:rsidRPr="009B55C2" w:rsidRDefault="00D875B7" w:rsidP="009B55C2">
            <w:pPr>
              <w:pStyle w:val="TableTextLeft"/>
            </w:pPr>
            <w:r w:rsidRPr="009B55C2">
              <w:t>Operating</w:t>
            </w:r>
          </w:p>
        </w:tc>
        <w:tc>
          <w:tcPr>
            <w:tcW w:w="3100" w:type="pct"/>
            <w:hideMark/>
          </w:tcPr>
          <w:p w14:paraId="6391CEAD" w14:textId="77777777" w:rsidR="00D875B7" w:rsidRPr="009B55C2" w:rsidRDefault="00D875B7" w:rsidP="009B55C2">
            <w:pPr>
              <w:pStyle w:val="TableTextLeft"/>
            </w:pPr>
            <w:r w:rsidRPr="009B55C2">
              <w:t>Normally related to ongoing, or recurring expenses, such as paying salaries or making program payments.</w:t>
            </w:r>
          </w:p>
        </w:tc>
      </w:tr>
      <w:tr w:rsidR="00D875B7" w14:paraId="26A9AEFC" w14:textId="77777777" w:rsidTr="00C56A8C">
        <w:trPr>
          <w:cantSplit/>
        </w:trPr>
        <w:tc>
          <w:tcPr>
            <w:tcW w:w="1900" w:type="pct"/>
            <w:hideMark/>
          </w:tcPr>
          <w:p w14:paraId="3F4E70CE" w14:textId="77777777" w:rsidR="00D875B7" w:rsidRPr="009B55C2" w:rsidRDefault="00D875B7" w:rsidP="009B55C2">
            <w:pPr>
              <w:pStyle w:val="TableTextLeft"/>
            </w:pPr>
            <w:r w:rsidRPr="009B55C2">
              <w:t>Operating result</w:t>
            </w:r>
          </w:p>
        </w:tc>
        <w:tc>
          <w:tcPr>
            <w:tcW w:w="3100" w:type="pct"/>
            <w:hideMark/>
          </w:tcPr>
          <w:p w14:paraId="3F4A7650" w14:textId="77777777" w:rsidR="00D875B7" w:rsidRPr="009B55C2" w:rsidRDefault="00D875B7" w:rsidP="009B55C2">
            <w:pPr>
              <w:pStyle w:val="TableTextLeft"/>
            </w:pPr>
            <w:r w:rsidRPr="009B55C2">
              <w:t>Equals income less expenses.</w:t>
            </w:r>
          </w:p>
        </w:tc>
      </w:tr>
      <w:tr w:rsidR="00D875B7" w14:paraId="16AA7C19" w14:textId="77777777" w:rsidTr="00C56A8C">
        <w:trPr>
          <w:cantSplit/>
        </w:trPr>
        <w:tc>
          <w:tcPr>
            <w:tcW w:w="1900" w:type="pct"/>
            <w:hideMark/>
          </w:tcPr>
          <w:p w14:paraId="56AABDCE" w14:textId="77777777" w:rsidR="00D875B7" w:rsidRPr="009B55C2" w:rsidRDefault="00D875B7" w:rsidP="009B55C2">
            <w:pPr>
              <w:pStyle w:val="TableTextLeft"/>
            </w:pPr>
            <w:r w:rsidRPr="009B55C2">
              <w:t>Outcome</w:t>
            </w:r>
          </w:p>
        </w:tc>
        <w:tc>
          <w:tcPr>
            <w:tcW w:w="3100" w:type="pct"/>
            <w:hideMark/>
          </w:tcPr>
          <w:p w14:paraId="6F4073E1" w14:textId="77777777" w:rsidR="00D875B7" w:rsidRPr="009B55C2" w:rsidRDefault="00D875B7" w:rsidP="009B55C2">
            <w:pPr>
              <w:pStyle w:val="TableTextLeft"/>
            </w:pPr>
            <w:r w:rsidRPr="009B55C2">
              <w:t>An outcome is the intended result, consequence or impact of government actions on the Australian community.</w:t>
            </w:r>
          </w:p>
        </w:tc>
      </w:tr>
      <w:tr w:rsidR="00D875B7" w14:paraId="5843807E" w14:textId="77777777" w:rsidTr="00C56A8C">
        <w:trPr>
          <w:cantSplit/>
        </w:trPr>
        <w:tc>
          <w:tcPr>
            <w:tcW w:w="1900" w:type="pct"/>
            <w:hideMark/>
          </w:tcPr>
          <w:p w14:paraId="25677A37" w14:textId="66774659" w:rsidR="00D875B7" w:rsidRPr="009B55C2" w:rsidRDefault="00D875B7" w:rsidP="009B55C2">
            <w:pPr>
              <w:pStyle w:val="TableTextLeft"/>
            </w:pPr>
            <w:r w:rsidRPr="00FC46BE">
              <w:rPr>
                <w:i/>
                <w:iCs/>
              </w:rPr>
              <w:t>Public Governance, Performance and Accountability Act 2013</w:t>
            </w:r>
            <w:r w:rsidRPr="009B55C2">
              <w:t xml:space="preserve"> </w:t>
            </w:r>
            <w:r w:rsidR="00FC46BE">
              <w:br/>
            </w:r>
            <w:r w:rsidR="0023059C" w:rsidRPr="009B55C2">
              <w:t>(</w:t>
            </w:r>
            <w:r w:rsidR="00395307" w:rsidRPr="009B55C2">
              <w:t>PGPA Act)</w:t>
            </w:r>
          </w:p>
        </w:tc>
        <w:tc>
          <w:tcPr>
            <w:tcW w:w="3100" w:type="pct"/>
            <w:hideMark/>
          </w:tcPr>
          <w:p w14:paraId="0DC84D20" w14:textId="77777777" w:rsidR="00D875B7" w:rsidRPr="009B55C2" w:rsidRDefault="00D875B7" w:rsidP="009B55C2">
            <w:pPr>
              <w:pStyle w:val="TableTextLeft"/>
            </w:pPr>
            <w:r w:rsidRPr="009B55C2">
              <w:t>The PGPA Act is the principal legislation concerning the governance, performance and accountability of, and the use and management of public resources by the Commonwealth.</w:t>
            </w:r>
          </w:p>
        </w:tc>
      </w:tr>
      <w:tr w:rsidR="00D875B7" w14:paraId="6C23FAD1" w14:textId="77777777" w:rsidTr="00C56A8C">
        <w:trPr>
          <w:cantSplit/>
        </w:trPr>
        <w:tc>
          <w:tcPr>
            <w:tcW w:w="1900" w:type="pct"/>
            <w:hideMark/>
          </w:tcPr>
          <w:p w14:paraId="30A540A2" w14:textId="77777777" w:rsidR="00D875B7" w:rsidRPr="009B55C2" w:rsidRDefault="00D875B7" w:rsidP="009B55C2">
            <w:pPr>
              <w:pStyle w:val="TableTextLeft"/>
            </w:pPr>
            <w:r w:rsidRPr="009B55C2">
              <w:t>Portfolio Budget Statements</w:t>
            </w:r>
          </w:p>
        </w:tc>
        <w:tc>
          <w:tcPr>
            <w:tcW w:w="3100" w:type="pct"/>
            <w:hideMark/>
          </w:tcPr>
          <w:p w14:paraId="4EAD5F0B" w14:textId="77777777" w:rsidR="00D875B7" w:rsidRPr="009B55C2" w:rsidRDefault="00D875B7" w:rsidP="009B55C2">
            <w:pPr>
              <w:pStyle w:val="TableTextLeft"/>
            </w:pPr>
            <w:r w:rsidRPr="009B55C2">
              <w:t>Budget related paper detailing budget initiatives and explanations of appropriations specified by outcome and program by each entity within a portfolio.</w:t>
            </w:r>
          </w:p>
        </w:tc>
      </w:tr>
      <w:tr w:rsidR="00D875B7" w14:paraId="1297D3F5" w14:textId="77777777" w:rsidTr="00C56A8C">
        <w:trPr>
          <w:cantSplit/>
        </w:trPr>
        <w:tc>
          <w:tcPr>
            <w:tcW w:w="1900" w:type="pct"/>
            <w:hideMark/>
          </w:tcPr>
          <w:p w14:paraId="3B5A0B41" w14:textId="77777777" w:rsidR="00D875B7" w:rsidRPr="009B55C2" w:rsidRDefault="00D875B7" w:rsidP="009B55C2">
            <w:pPr>
              <w:pStyle w:val="TableTextLeft"/>
            </w:pPr>
            <w:r w:rsidRPr="009B55C2">
              <w:t>Program</w:t>
            </w:r>
          </w:p>
        </w:tc>
        <w:tc>
          <w:tcPr>
            <w:tcW w:w="3100" w:type="pct"/>
            <w:hideMark/>
          </w:tcPr>
          <w:p w14:paraId="086E82AD" w14:textId="77777777" w:rsidR="00D875B7" w:rsidRPr="00C91270" w:rsidRDefault="00D875B7" w:rsidP="009B55C2">
            <w:pPr>
              <w:pStyle w:val="TableTextLeft"/>
              <w:rPr>
                <w:spacing w:val="-2"/>
              </w:rPr>
            </w:pPr>
            <w:r w:rsidRPr="00C91270">
              <w:rPr>
                <w:spacing w:val="-2"/>
              </w:rPr>
              <w:t>Activity that delivers benefits, services or transfer payments to individuals, industry and/or the community as a whole, with the aim of achieving the intended result specified in an outcome statement.</w:t>
            </w:r>
          </w:p>
        </w:tc>
      </w:tr>
      <w:tr w:rsidR="00D875B7" w14:paraId="13C7B5FD" w14:textId="77777777" w:rsidTr="00C56A8C">
        <w:trPr>
          <w:cantSplit/>
        </w:trPr>
        <w:tc>
          <w:tcPr>
            <w:tcW w:w="1900" w:type="pct"/>
            <w:hideMark/>
          </w:tcPr>
          <w:p w14:paraId="65AB1ED1" w14:textId="77777777" w:rsidR="00D875B7" w:rsidRPr="00FC46BE" w:rsidRDefault="00D875B7" w:rsidP="00FC46BE">
            <w:pPr>
              <w:pStyle w:val="TableTextLeft"/>
            </w:pPr>
            <w:r w:rsidRPr="00FC46BE">
              <w:t>Program support</w:t>
            </w:r>
          </w:p>
        </w:tc>
        <w:tc>
          <w:tcPr>
            <w:tcW w:w="3100" w:type="pct"/>
            <w:hideMark/>
          </w:tcPr>
          <w:p w14:paraId="70CA1655" w14:textId="5F2CB40B" w:rsidR="00D875B7" w:rsidRPr="009B55C2" w:rsidRDefault="00D875B7" w:rsidP="009B55C2">
            <w:pPr>
              <w:pStyle w:val="TableTextLeft"/>
            </w:pPr>
            <w:r w:rsidRPr="009B55C2">
              <w:t>The entity running costs allocated to a program. This is funded as part of the entity</w:t>
            </w:r>
            <w:r w:rsidR="000D5923">
              <w:t>’</w:t>
            </w:r>
            <w:r w:rsidRPr="009B55C2">
              <w:t>s departmental appropriations.</w:t>
            </w:r>
          </w:p>
        </w:tc>
      </w:tr>
      <w:tr w:rsidR="00D875B7" w14:paraId="7F8C6742" w14:textId="77777777" w:rsidTr="00C56A8C">
        <w:trPr>
          <w:cantSplit/>
        </w:trPr>
        <w:tc>
          <w:tcPr>
            <w:tcW w:w="1900" w:type="pct"/>
            <w:hideMark/>
          </w:tcPr>
          <w:p w14:paraId="6F9D6F2B" w14:textId="77777777" w:rsidR="00D875B7" w:rsidRPr="00FC46BE" w:rsidRDefault="00D875B7" w:rsidP="00FC46BE">
            <w:pPr>
              <w:pStyle w:val="TableTextLeft"/>
            </w:pPr>
            <w:r w:rsidRPr="00FC46BE">
              <w:t>Special account</w:t>
            </w:r>
          </w:p>
        </w:tc>
        <w:tc>
          <w:tcPr>
            <w:tcW w:w="3100" w:type="pct"/>
            <w:hideMark/>
          </w:tcPr>
          <w:p w14:paraId="05BEB0AC" w14:textId="7D66B4B5" w:rsidR="00D875B7" w:rsidRPr="009B55C2" w:rsidRDefault="00D875B7" w:rsidP="009B55C2">
            <w:pPr>
              <w:pStyle w:val="TableTextLeft"/>
            </w:pPr>
            <w:r w:rsidRPr="009B55C2">
              <w:t>Balances existing within the CRF supported by standing appropriations (PGPA Act s.</w:t>
            </w:r>
            <w:r w:rsidR="0058693E">
              <w:t xml:space="preserve"> </w:t>
            </w:r>
            <w:r w:rsidRPr="009B55C2">
              <w:t>78, s.</w:t>
            </w:r>
            <w:r w:rsidR="0058693E">
              <w:t xml:space="preserve"> </w:t>
            </w:r>
            <w:r w:rsidRPr="009B55C2">
              <w:t>79 and s.</w:t>
            </w:r>
            <w:r w:rsidR="0058693E">
              <w:t xml:space="preserve"> </w:t>
            </w:r>
            <w:r w:rsidRPr="009B55C2">
              <w:t>80). Special accounts allow money in the CRF to be acknowledged as set</w:t>
            </w:r>
            <w:r w:rsidR="000D5923">
              <w:noBreakHyphen/>
            </w:r>
            <w:r w:rsidRPr="009B55C2">
              <w:t xml:space="preserve">aside (hypothecated) for a particular purpose. Amounts credited to a special account can only be spent for the purposes of the special account. </w:t>
            </w:r>
            <w:r w:rsidRPr="001D45C9">
              <w:rPr>
                <w:spacing w:val="-2"/>
              </w:rPr>
              <w:t>Special accounts can only be established by a written determination of the Finance Minister (s. 78 of the PGPA Act) or through an Act of Parliament (referred to in s. 80 of the PGPA Act).</w:t>
            </w:r>
          </w:p>
        </w:tc>
      </w:tr>
      <w:tr w:rsidR="00D875B7" w14:paraId="7847552E" w14:textId="77777777" w:rsidTr="00C56A8C">
        <w:trPr>
          <w:cantSplit/>
        </w:trPr>
        <w:tc>
          <w:tcPr>
            <w:tcW w:w="1900" w:type="pct"/>
            <w:hideMark/>
          </w:tcPr>
          <w:p w14:paraId="486258B2" w14:textId="51C60CBB" w:rsidR="005A1BC7" w:rsidRPr="00FC46BE" w:rsidRDefault="00D875B7" w:rsidP="00FC46BE">
            <w:pPr>
              <w:pStyle w:val="TableTextLeft"/>
            </w:pPr>
            <w:r w:rsidRPr="00FC46BE">
              <w:t>Special appropriations (including standing appropriations)</w:t>
            </w:r>
          </w:p>
        </w:tc>
        <w:tc>
          <w:tcPr>
            <w:tcW w:w="3100" w:type="pct"/>
            <w:hideMark/>
          </w:tcPr>
          <w:p w14:paraId="7FF1791B" w14:textId="77777777" w:rsidR="00D875B7" w:rsidRPr="009B55C2" w:rsidRDefault="00D875B7" w:rsidP="009B55C2">
            <w:pPr>
              <w:pStyle w:val="TableTextLeft"/>
            </w:pPr>
            <w:r w:rsidRPr="009B55C2">
              <w:t>An amount of money appropriated by a particular Act of Parliament for a specific purpose and number of years. For special appropriations, the authority to withdraw funds from the CRF does not generally cease at the end of the financial year.</w:t>
            </w:r>
          </w:p>
          <w:p w14:paraId="6DBFF5D8" w14:textId="77777777" w:rsidR="00D875B7" w:rsidRPr="009B55C2" w:rsidRDefault="00D875B7" w:rsidP="001D45C9">
            <w:pPr>
              <w:pStyle w:val="TableTextLeft"/>
              <w:spacing w:after="100" w:afterAutospacing="1"/>
            </w:pPr>
            <w:r w:rsidRPr="009B55C2">
              <w:t>Standing appropriations are a subcategory consisting of ongoing special appropriations – the amount appropriated will depend on circumstances specified in the legislation.</w:t>
            </w:r>
          </w:p>
        </w:tc>
      </w:tr>
    </w:tbl>
    <w:p w14:paraId="0A42F746" w14:textId="6449A504" w:rsidR="005A1BC7" w:rsidRPr="00B82F7F" w:rsidRDefault="005A1BC7" w:rsidP="001D22DF">
      <w:pPr>
        <w:spacing w:before="0" w:after="0"/>
        <w:rPr>
          <w:sz w:val="2"/>
          <w:szCs w:val="2"/>
        </w:rPr>
      </w:pPr>
    </w:p>
    <w:sectPr w:rsidR="005A1BC7" w:rsidRPr="00B82F7F" w:rsidSect="00325883">
      <w:headerReference w:type="even" r:id="rId11"/>
      <w:headerReference w:type="default" r:id="rId12"/>
      <w:footerReference w:type="even" r:id="rId13"/>
      <w:footerReference w:type="default" r:id="rId14"/>
      <w:headerReference w:type="first" r:id="rId15"/>
      <w:footerReference w:type="first" r:id="rId16"/>
      <w:pgSz w:w="11906" w:h="16838" w:code="9"/>
      <w:pgMar w:top="2835" w:right="2098" w:bottom="2466" w:left="2098" w:header="1814" w:footer="1814" w:gutter="0"/>
      <w:pgNumType w:start="2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66B6F" w14:textId="77777777" w:rsidR="00525C49" w:rsidRDefault="00525C49">
      <w:pPr>
        <w:spacing w:before="0" w:after="0" w:line="240" w:lineRule="auto"/>
      </w:pPr>
      <w:r>
        <w:separator/>
      </w:r>
    </w:p>
  </w:endnote>
  <w:endnote w:type="continuationSeparator" w:id="0">
    <w:p w14:paraId="02ECFD26" w14:textId="77777777" w:rsidR="00525C49" w:rsidRDefault="00525C49">
      <w:pPr>
        <w:spacing w:before="0" w:after="0" w:line="240" w:lineRule="auto"/>
      </w:pPr>
      <w:r>
        <w:continuationSeparator/>
      </w:r>
    </w:p>
  </w:endnote>
  <w:endnote w:type="continuationNotice" w:id="1">
    <w:p w14:paraId="34351416" w14:textId="77777777" w:rsidR="00525C49" w:rsidRDefault="00525C4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wiss 721 B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37DE" w14:textId="701F428E" w:rsidR="00F61951" w:rsidRPr="00F43180" w:rsidRDefault="00F43180" w:rsidP="00F43180">
    <w:pPr>
      <w:pStyle w:val="FooterEven"/>
      <w:rPr>
        <w:rFonts w:cs="Arial"/>
        <w:color w:val="000000" w:themeColor="text1"/>
      </w:rPr>
    </w:pPr>
    <w:r w:rsidRPr="007F7051">
      <w:rPr>
        <w:rStyle w:val="PageNumber"/>
        <w:b/>
        <w:bCs/>
        <w:color w:val="000000" w:themeColor="text1"/>
      </w:rPr>
      <w:t xml:space="preserve">Page </w:t>
    </w:r>
    <w:r w:rsidR="00585AC8" w:rsidRPr="00585AC8">
      <w:rPr>
        <w:rStyle w:val="PageNumber"/>
        <w:b/>
        <w:bCs/>
        <w:color w:val="000000" w:themeColor="text1"/>
      </w:rPr>
      <w:fldChar w:fldCharType="begin"/>
    </w:r>
    <w:r w:rsidR="00585AC8" w:rsidRPr="00585AC8">
      <w:rPr>
        <w:rStyle w:val="PageNumber"/>
        <w:b/>
        <w:bCs/>
        <w:color w:val="000000" w:themeColor="text1"/>
      </w:rPr>
      <w:instrText xml:space="preserve"> PAGE   \* MERGEFORMAT </w:instrText>
    </w:r>
    <w:r w:rsidR="00585AC8" w:rsidRPr="00585AC8">
      <w:rPr>
        <w:rStyle w:val="PageNumber"/>
        <w:b/>
        <w:bCs/>
        <w:color w:val="000000" w:themeColor="text1"/>
      </w:rPr>
      <w:fldChar w:fldCharType="separate"/>
    </w:r>
    <w:r w:rsidR="00585AC8" w:rsidRPr="00585AC8">
      <w:rPr>
        <w:rStyle w:val="PageNumber"/>
        <w:b/>
        <w:bCs/>
        <w:noProof/>
        <w:color w:val="000000" w:themeColor="text1"/>
      </w:rPr>
      <w:t>1</w:t>
    </w:r>
    <w:r w:rsidR="00585AC8" w:rsidRPr="00585AC8">
      <w:rPr>
        <w:rStyle w:val="PageNumber"/>
        <w:b/>
        <w:bCs/>
        <w:noProof/>
        <w:color w:val="000000" w:themeColor="text1"/>
      </w:rPr>
      <w:fldChar w:fldCharType="end"/>
    </w:r>
    <w:r w:rsidRPr="00321DEB">
      <w:rPr>
        <w:rStyle w:val="PageNumber"/>
        <w:color w:val="000000" w:themeColor="text1"/>
      </w:rPr>
      <w:t xml:space="preserve">  |  </w:t>
    </w:r>
    <w:r w:rsidRPr="00321DEB">
      <w:rPr>
        <w:rStyle w:val="PageNumber"/>
        <w:color w:val="000000" w:themeColor="text1"/>
      </w:rPr>
      <w:fldChar w:fldCharType="begin"/>
    </w:r>
    <w:r w:rsidRPr="00321DEB">
      <w:rPr>
        <w:rStyle w:val="PageNumber"/>
        <w:color w:val="000000" w:themeColor="text1"/>
      </w:rPr>
      <w:instrText xml:space="preserve"> STYLEREF  </w:instrText>
    </w:r>
    <w:r w:rsidR="0089742A">
      <w:rPr>
        <w:rStyle w:val="PageNumber"/>
        <w:color w:val="000000" w:themeColor="text1"/>
      </w:rPr>
      <w:instrText>“</w:instrText>
    </w:r>
    <w:r w:rsidRPr="00321DEB">
      <w:rPr>
        <w:rStyle w:val="PageNumber"/>
        <w:color w:val="000000" w:themeColor="text1"/>
      </w:rPr>
      <w:instrText>Heading 1</w:instrText>
    </w:r>
    <w:r w:rsidR="0089742A">
      <w:rPr>
        <w:rStyle w:val="PageNumber"/>
        <w:color w:val="000000" w:themeColor="text1"/>
      </w:rPr>
      <w:instrText>”</w:instrText>
    </w:r>
    <w:r w:rsidRPr="00321DEB">
      <w:rPr>
        <w:rStyle w:val="PageNumber"/>
        <w:color w:val="000000" w:themeColor="text1"/>
      </w:rPr>
      <w:instrText xml:space="preserve">  \* MERGEFORMAT </w:instrText>
    </w:r>
    <w:r w:rsidRPr="00321DEB">
      <w:rPr>
        <w:rStyle w:val="PageNumber"/>
        <w:color w:val="000000" w:themeColor="text1"/>
      </w:rPr>
      <w:fldChar w:fldCharType="separate"/>
    </w:r>
    <w:r w:rsidR="000960B9">
      <w:rPr>
        <w:rStyle w:val="PageNumber"/>
        <w:noProof/>
        <w:color w:val="000000" w:themeColor="text1"/>
      </w:rPr>
      <w:t>Glossary</w:t>
    </w:r>
    <w:r w:rsidRPr="00321DEB">
      <w:rPr>
        <w:rStyle w:val="PageNumber"/>
        <w:color w:val="000000" w:themeColor="text1"/>
      </w:rPr>
      <w:fldChar w:fldCharType="end"/>
    </w:r>
    <w:r w:rsidRPr="00321DEB">
      <w:rPr>
        <w:rStyle w:val="PageNumber"/>
        <w:color w:val="000000" w:themeColor="text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0ADC" w14:textId="1CFC8A94" w:rsidR="00B12AA7" w:rsidRPr="0073418E" w:rsidRDefault="00000000" w:rsidP="00894963">
    <w:pPr>
      <w:pStyle w:val="FooterOdd"/>
    </w:pPr>
    <w:fldSimple w:instr=" STYLEREF  &quot;Heading 1&quot;  \* MERGEFORMAT ">
      <w:r w:rsidR="000960B9">
        <w:rPr>
          <w:noProof/>
        </w:rPr>
        <w:t>Glossary</w:t>
      </w:r>
    </w:fldSimple>
    <w:r w:rsidR="00894963">
      <w:t xml:space="preserve"> </w:t>
    </w:r>
    <w:r w:rsidR="00E3052E">
      <w:t xml:space="preserve"> </w:t>
    </w:r>
    <w:r w:rsidR="00894963">
      <w:t>|</w:t>
    </w:r>
    <w:r w:rsidR="00E3052E">
      <w:t xml:space="preserve"> </w:t>
    </w:r>
    <w:r w:rsidR="00894963">
      <w:t xml:space="preserve"> </w:t>
    </w:r>
    <w:r w:rsidR="00894963" w:rsidRPr="00ED6CC1">
      <w:rPr>
        <w:b/>
        <w:bCs/>
      </w:rPr>
      <w:t xml:space="preserve">Page </w:t>
    </w:r>
    <w:r w:rsidR="00894963" w:rsidRPr="00ED6CC1">
      <w:rPr>
        <w:b/>
        <w:bCs/>
      </w:rPr>
      <w:fldChar w:fldCharType="begin"/>
    </w:r>
    <w:r w:rsidR="00894963" w:rsidRPr="00ED6CC1">
      <w:rPr>
        <w:b/>
        <w:bCs/>
      </w:rPr>
      <w:instrText xml:space="preserve"> PAGE   \* MERGEFORMAT </w:instrText>
    </w:r>
    <w:r w:rsidR="00894963" w:rsidRPr="00ED6CC1">
      <w:rPr>
        <w:b/>
        <w:bCs/>
      </w:rPr>
      <w:fldChar w:fldCharType="separate"/>
    </w:r>
    <w:r w:rsidR="00894963">
      <w:rPr>
        <w:b/>
        <w:bCs/>
      </w:rPr>
      <w:t>7</w:t>
    </w:r>
    <w:r w:rsidR="00894963" w:rsidRPr="00ED6CC1">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17E9" w14:textId="1E5A8563" w:rsidR="00533B2B" w:rsidRPr="009E69CA" w:rsidRDefault="00D875B7" w:rsidP="00533B2B">
    <w:pPr>
      <w:pStyle w:val="FooterOdd"/>
    </w:pPr>
    <w:r>
      <w:rPr>
        <w:rStyle w:val="PageNumber"/>
      </w:rPr>
      <w:fldChar w:fldCharType="begin"/>
    </w:r>
    <w:r>
      <w:rPr>
        <w:rStyle w:val="PageNumber"/>
      </w:rPr>
      <w:instrText xml:space="preserve"> STYLEREF  </w:instrText>
    </w:r>
    <w:r w:rsidR="0089742A">
      <w:rPr>
        <w:rStyle w:val="PageNumber"/>
      </w:rPr>
      <w:instrText>“</w:instrText>
    </w:r>
    <w:r>
      <w:rPr>
        <w:rStyle w:val="PageNumber"/>
      </w:rPr>
      <w:instrText>Heading 1</w:instrText>
    </w:r>
    <w:r w:rsidR="0089742A">
      <w:rPr>
        <w:rStyle w:val="PageNumber"/>
      </w:rPr>
      <w:instrText>”</w:instrText>
    </w:r>
    <w:r>
      <w:rPr>
        <w:rStyle w:val="PageNumber"/>
      </w:rPr>
      <w:instrText xml:space="preserve">  \* MERGEFORMAT </w:instrText>
    </w:r>
    <w:r>
      <w:rPr>
        <w:rStyle w:val="PageNumber"/>
      </w:rPr>
      <w:fldChar w:fldCharType="separate"/>
    </w:r>
    <w:r w:rsidR="000960B9">
      <w:rPr>
        <w:rStyle w:val="PageNumber"/>
        <w:noProof/>
      </w:rPr>
      <w:t>Glossary</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00585AC8" w:rsidRPr="00585AC8">
      <w:rPr>
        <w:rStyle w:val="PageNumber"/>
        <w:b/>
        <w:bCs/>
      </w:rPr>
      <w:fldChar w:fldCharType="begin"/>
    </w:r>
    <w:r w:rsidR="00585AC8" w:rsidRPr="00585AC8">
      <w:rPr>
        <w:rStyle w:val="PageNumber"/>
        <w:b/>
        <w:bCs/>
      </w:rPr>
      <w:instrText xml:space="preserve"> PAGE   \* MERGEFORMAT </w:instrText>
    </w:r>
    <w:r w:rsidR="00585AC8" w:rsidRPr="00585AC8">
      <w:rPr>
        <w:rStyle w:val="PageNumber"/>
        <w:b/>
        <w:bCs/>
      </w:rPr>
      <w:fldChar w:fldCharType="separate"/>
    </w:r>
    <w:r w:rsidR="00585AC8" w:rsidRPr="00585AC8">
      <w:rPr>
        <w:rStyle w:val="PageNumber"/>
        <w:b/>
        <w:bCs/>
        <w:noProof/>
      </w:rPr>
      <w:t>1</w:t>
    </w:r>
    <w:r w:rsidR="00585AC8" w:rsidRPr="00585AC8">
      <w:rPr>
        <w:rStyle w:val="PageNumbe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24036" w14:textId="77777777" w:rsidR="00525C49" w:rsidRDefault="00525C49">
      <w:pPr>
        <w:spacing w:before="0" w:after="0" w:line="240" w:lineRule="auto"/>
      </w:pPr>
      <w:r>
        <w:separator/>
      </w:r>
    </w:p>
  </w:footnote>
  <w:footnote w:type="continuationSeparator" w:id="0">
    <w:p w14:paraId="3FC29D3C" w14:textId="77777777" w:rsidR="00525C49" w:rsidRDefault="00525C49">
      <w:pPr>
        <w:spacing w:before="0" w:after="0" w:line="240" w:lineRule="auto"/>
      </w:pPr>
      <w:r>
        <w:continuationSeparator/>
      </w:r>
    </w:p>
  </w:footnote>
  <w:footnote w:type="continuationNotice" w:id="1">
    <w:p w14:paraId="1013A622" w14:textId="77777777" w:rsidR="00525C49" w:rsidRDefault="00525C4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B1F5" w14:textId="77777777" w:rsidR="00D07F9B" w:rsidRPr="00364F0F" w:rsidRDefault="00D07F9B" w:rsidP="00925624">
    <w:pPr>
      <w:pStyle w:val="Header"/>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D07F9B" w14:paraId="202A5D35" w14:textId="77777777" w:rsidTr="00012E12">
      <w:trPr>
        <w:trHeight w:hRule="exact" w:val="340"/>
      </w:trPr>
      <w:tc>
        <w:tcPr>
          <w:tcW w:w="7797" w:type="dxa"/>
        </w:tcPr>
        <w:p w14:paraId="2C1AEE07" w14:textId="329B1CB4" w:rsidR="00D07F9B" w:rsidRDefault="00D07F9B" w:rsidP="00364F0F">
          <w:pPr>
            <w:pStyle w:val="HeaderEven"/>
            <w:ind w:left="-113"/>
          </w:pPr>
          <w:r w:rsidRPr="00D47C6E">
            <w:rPr>
              <w:noProof/>
              <w:position w:val="-6"/>
            </w:rPr>
            <w:drawing>
              <wp:inline distT="0" distB="0" distL="0" distR="0" wp14:anchorId="14468BDB" wp14:editId="68A11229">
                <wp:extent cx="1350000" cy="169200"/>
                <wp:effectExtent l="0" t="0" r="3175" b="254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00" cy="169200"/>
                        </a:xfrm>
                        <a:prstGeom prst="rect">
                          <a:avLst/>
                        </a:prstGeom>
                      </pic:spPr>
                    </pic:pic>
                  </a:graphicData>
                </a:graphic>
              </wp:inline>
            </w:drawing>
          </w:r>
          <w:r>
            <w:t xml:space="preserve">  |  </w:t>
          </w:r>
          <w:fldSimple w:instr=" TITLE  ">
            <w:r w:rsidR="007F1BDD">
              <w:t>Portfolio Additional Estimates Statements</w:t>
            </w:r>
          </w:fldSimple>
        </w:p>
      </w:tc>
    </w:tr>
  </w:tbl>
  <w:p w14:paraId="37C71580" w14:textId="1B1EC923" w:rsidR="00533B2B" w:rsidRDefault="00533B2B" w:rsidP="00F7137D">
    <w:pPr>
      <w:pStyle w:val="HeaderEve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10F0" w14:textId="77777777" w:rsidR="00295B55" w:rsidRPr="00364F0F" w:rsidRDefault="00295B55" w:rsidP="00925624">
    <w:pPr>
      <w:pStyle w:val="Header"/>
      <w:rPr>
        <w:sz w:val="2"/>
        <w:szCs w:val="2"/>
      </w:rPr>
    </w:pPr>
  </w:p>
  <w:p w14:paraId="1E9F6177" w14:textId="77777777" w:rsidR="00295B55" w:rsidRPr="001257A7" w:rsidRDefault="00295B55" w:rsidP="007679DB">
    <w:pPr>
      <w:pStyle w:val="HeaderOdd"/>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295B55" w14:paraId="166E118B" w14:textId="77777777" w:rsidTr="00012E12">
      <w:trPr>
        <w:trHeight w:hRule="exact" w:val="340"/>
      </w:trPr>
      <w:tc>
        <w:tcPr>
          <w:tcW w:w="7797" w:type="dxa"/>
        </w:tcPr>
        <w:p w14:paraId="636AE207" w14:textId="01AE1624" w:rsidR="00295B55" w:rsidRDefault="00000000" w:rsidP="001257A7">
          <w:pPr>
            <w:pStyle w:val="HeaderOdd"/>
          </w:pPr>
          <w:fldSimple w:instr=" TITLE  ">
            <w:r w:rsidR="007F1BDD">
              <w:t>Portfolio Additional Estimates Statements</w:t>
            </w:r>
          </w:fldSimple>
          <w:r w:rsidR="00295B55">
            <w:t xml:space="preserve">  |  </w:t>
          </w:r>
          <w:r w:rsidR="00295B55" w:rsidRPr="00D47C6E">
            <w:rPr>
              <w:noProof/>
              <w:position w:val="-6"/>
            </w:rPr>
            <w:drawing>
              <wp:inline distT="0" distB="0" distL="0" distR="0" wp14:anchorId="17A3C3A9" wp14:editId="1F319A33">
                <wp:extent cx="1350000" cy="169200"/>
                <wp:effectExtent l="0" t="0" r="3175" b="254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00" cy="169200"/>
                        </a:xfrm>
                        <a:prstGeom prst="rect">
                          <a:avLst/>
                        </a:prstGeom>
                      </pic:spPr>
                    </pic:pic>
                  </a:graphicData>
                </a:graphic>
              </wp:inline>
            </w:drawing>
          </w:r>
        </w:p>
      </w:tc>
    </w:tr>
  </w:tbl>
  <w:p w14:paraId="0559D93C" w14:textId="06F16E22" w:rsidR="00533B2B" w:rsidRDefault="00533B2B" w:rsidP="005A1BC7">
    <w:pPr>
      <w:pStyle w:val="HeaderOdd"/>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B81E" w14:textId="77777777" w:rsidR="00F95F87" w:rsidRPr="001257A7" w:rsidRDefault="00F95F87" w:rsidP="007679DB">
    <w:pPr>
      <w:pStyle w:val="HeaderOdd"/>
      <w:rPr>
        <w:sz w:val="2"/>
        <w:szCs w:val="2"/>
      </w:rPr>
    </w:pPr>
  </w:p>
  <w:p w14:paraId="2F654137" w14:textId="77777777" w:rsidR="008B5BE0" w:rsidRDefault="008B5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5BA44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8285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6077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7EE6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AA1B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8453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F42E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B4F5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8430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0CA4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A79F5"/>
    <w:multiLevelType w:val="hybridMultilevel"/>
    <w:tmpl w:val="DBC49872"/>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4" w15:restartNumberingAfterBreak="0">
    <w:nsid w:val="1D185843"/>
    <w:multiLevelType w:val="multilevel"/>
    <w:tmpl w:val="71D0949A"/>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3B2E19AC"/>
    <w:multiLevelType w:val="singleLevel"/>
    <w:tmpl w:val="F994659E"/>
    <w:lvl w:ilvl="0">
      <w:start w:val="1"/>
      <w:numFmt w:val="decimal"/>
      <w:lvlText w:val="(%1)"/>
      <w:lvlJc w:val="left"/>
      <w:pPr>
        <w:ind w:left="720" w:hanging="360"/>
      </w:pPr>
      <w:rPr>
        <w:rFonts w:hint="default"/>
        <w:b w:val="0"/>
        <w:i w:val="0"/>
        <w:color w:val="000000"/>
        <w:sz w:val="16"/>
      </w:rPr>
    </w:lvl>
  </w:abstractNum>
  <w:abstractNum w:abstractNumId="18"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9" w15:restartNumberingAfterBreak="0">
    <w:nsid w:val="58101827"/>
    <w:multiLevelType w:val="multilevel"/>
    <w:tmpl w:val="072C6E5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0" w15:restartNumberingAfterBreak="0">
    <w:nsid w:val="66977EA1"/>
    <w:multiLevelType w:val="hybridMultilevel"/>
    <w:tmpl w:val="B28C1314"/>
    <w:lvl w:ilvl="0" w:tplc="D5F4A84A">
      <w:start w:val="1"/>
      <w:numFmt w:val="lowerLetter"/>
      <w:lvlText w:val="(%1)"/>
      <w:lvlJc w:val="left"/>
      <w:pPr>
        <w:tabs>
          <w:tab w:val="num" w:pos="397"/>
        </w:tabs>
        <w:ind w:left="397" w:hanging="397"/>
      </w:pPr>
      <w:rPr>
        <w:rFonts w:ascii="Arial" w:hAnsi="Arial" w:hint="default"/>
        <w:b w:val="0"/>
        <w:i w:val="0"/>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16cid:durableId="912006921">
    <w:abstractNumId w:val="18"/>
  </w:num>
  <w:num w:numId="2" w16cid:durableId="1537742902">
    <w:abstractNumId w:val="12"/>
  </w:num>
  <w:num w:numId="3" w16cid:durableId="822505809">
    <w:abstractNumId w:val="14"/>
  </w:num>
  <w:num w:numId="4" w16cid:durableId="368527682">
    <w:abstractNumId w:val="21"/>
  </w:num>
  <w:num w:numId="5" w16cid:durableId="980236819">
    <w:abstractNumId w:val="16"/>
  </w:num>
  <w:num w:numId="6" w16cid:durableId="1986426470">
    <w:abstractNumId w:val="19"/>
  </w:num>
  <w:num w:numId="7" w16cid:durableId="751271702">
    <w:abstractNumId w:val="14"/>
    <w:lvlOverride w:ilvl="0">
      <w:startOverride w:val="1"/>
    </w:lvlOverride>
  </w:num>
  <w:num w:numId="8" w16cid:durableId="859898956">
    <w:abstractNumId w:val="14"/>
    <w:lvlOverride w:ilvl="0">
      <w:startOverride w:val="1"/>
    </w:lvlOverride>
  </w:num>
  <w:num w:numId="9" w16cid:durableId="1232350749">
    <w:abstractNumId w:val="14"/>
    <w:lvlOverride w:ilvl="0">
      <w:startOverride w:val="1"/>
    </w:lvlOverride>
  </w:num>
  <w:num w:numId="10" w16cid:durableId="184484927">
    <w:abstractNumId w:val="14"/>
    <w:lvlOverride w:ilvl="0">
      <w:startOverride w:val="1"/>
    </w:lvlOverride>
  </w:num>
  <w:num w:numId="11" w16cid:durableId="1219626622">
    <w:abstractNumId w:val="14"/>
    <w:lvlOverride w:ilvl="0">
      <w:startOverride w:val="1"/>
    </w:lvlOverride>
  </w:num>
  <w:num w:numId="12" w16cid:durableId="982925655">
    <w:abstractNumId w:val="14"/>
    <w:lvlOverride w:ilvl="0">
      <w:startOverride w:val="1"/>
    </w:lvlOverride>
  </w:num>
  <w:num w:numId="13" w16cid:durableId="481698386">
    <w:abstractNumId w:val="14"/>
    <w:lvlOverride w:ilvl="0">
      <w:startOverride w:val="1"/>
    </w:lvlOverride>
  </w:num>
  <w:num w:numId="14" w16cid:durableId="1624267533">
    <w:abstractNumId w:val="15"/>
  </w:num>
  <w:num w:numId="15" w16cid:durableId="953639107">
    <w:abstractNumId w:val="14"/>
    <w:lvlOverride w:ilvl="0">
      <w:startOverride w:val="1"/>
    </w:lvlOverride>
  </w:num>
  <w:num w:numId="16" w16cid:durableId="1376923811">
    <w:abstractNumId w:val="14"/>
    <w:lvlOverride w:ilvl="0">
      <w:startOverride w:val="1"/>
    </w:lvlOverride>
  </w:num>
  <w:num w:numId="17" w16cid:durableId="1002315537">
    <w:abstractNumId w:val="14"/>
    <w:lvlOverride w:ilvl="0">
      <w:startOverride w:val="1"/>
    </w:lvlOverride>
  </w:num>
  <w:num w:numId="18" w16cid:durableId="1906454186">
    <w:abstractNumId w:val="13"/>
  </w:num>
  <w:num w:numId="19" w16cid:durableId="1620339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9494061">
    <w:abstractNumId w:val="17"/>
    <w:lvlOverride w:ilvl="0">
      <w:startOverride w:val="1"/>
    </w:lvlOverride>
  </w:num>
  <w:num w:numId="21" w16cid:durableId="1599558299">
    <w:abstractNumId w:val="11"/>
  </w:num>
  <w:num w:numId="22" w16cid:durableId="1397124567">
    <w:abstractNumId w:val="10"/>
  </w:num>
  <w:num w:numId="23" w16cid:durableId="1552614668">
    <w:abstractNumId w:val="20"/>
    <w:lvlOverride w:ilvl="0">
      <w:startOverride w:val="1"/>
    </w:lvlOverride>
  </w:num>
  <w:num w:numId="24" w16cid:durableId="842742064">
    <w:abstractNumId w:val="20"/>
    <w:lvlOverride w:ilvl="0">
      <w:startOverride w:val="1"/>
    </w:lvlOverride>
  </w:num>
  <w:num w:numId="25" w16cid:durableId="300959034">
    <w:abstractNumId w:val="20"/>
    <w:lvlOverride w:ilvl="0">
      <w:startOverride w:val="1"/>
    </w:lvlOverride>
  </w:num>
  <w:num w:numId="26" w16cid:durableId="856967574">
    <w:abstractNumId w:val="20"/>
    <w:lvlOverride w:ilvl="0">
      <w:startOverride w:val="1"/>
    </w:lvlOverride>
  </w:num>
  <w:num w:numId="27" w16cid:durableId="936789853">
    <w:abstractNumId w:val="20"/>
    <w:lvlOverride w:ilvl="0">
      <w:startOverride w:val="1"/>
    </w:lvlOverride>
  </w:num>
  <w:num w:numId="28" w16cid:durableId="417406263">
    <w:abstractNumId w:val="20"/>
    <w:lvlOverride w:ilvl="0">
      <w:startOverride w:val="1"/>
    </w:lvlOverride>
  </w:num>
  <w:num w:numId="29" w16cid:durableId="490607228">
    <w:abstractNumId w:val="20"/>
    <w:lvlOverride w:ilvl="0">
      <w:startOverride w:val="1"/>
    </w:lvlOverride>
  </w:num>
  <w:num w:numId="30" w16cid:durableId="1014259066">
    <w:abstractNumId w:val="20"/>
    <w:lvlOverride w:ilvl="0">
      <w:startOverride w:val="1"/>
    </w:lvlOverride>
  </w:num>
  <w:num w:numId="31" w16cid:durableId="259993418">
    <w:abstractNumId w:val="20"/>
    <w:lvlOverride w:ilvl="0">
      <w:startOverride w:val="1"/>
    </w:lvlOverride>
  </w:num>
  <w:num w:numId="32" w16cid:durableId="1075783481">
    <w:abstractNumId w:val="20"/>
  </w:num>
  <w:num w:numId="33" w16cid:durableId="863114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4915340">
    <w:abstractNumId w:val="9"/>
  </w:num>
  <w:num w:numId="35" w16cid:durableId="766996564">
    <w:abstractNumId w:val="7"/>
  </w:num>
  <w:num w:numId="36" w16cid:durableId="1553228239">
    <w:abstractNumId w:val="6"/>
  </w:num>
  <w:num w:numId="37" w16cid:durableId="798887480">
    <w:abstractNumId w:val="5"/>
  </w:num>
  <w:num w:numId="38" w16cid:durableId="2076929204">
    <w:abstractNumId w:val="4"/>
  </w:num>
  <w:num w:numId="39" w16cid:durableId="1533834896">
    <w:abstractNumId w:val="8"/>
  </w:num>
  <w:num w:numId="40" w16cid:durableId="1040781955">
    <w:abstractNumId w:val="3"/>
  </w:num>
  <w:num w:numId="41" w16cid:durableId="1145585010">
    <w:abstractNumId w:val="2"/>
  </w:num>
  <w:num w:numId="42" w16cid:durableId="1318873680">
    <w:abstractNumId w:val="1"/>
  </w:num>
  <w:num w:numId="43" w16cid:durableId="495344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5B7"/>
    <w:rsid w:val="00010DF5"/>
    <w:rsid w:val="00024117"/>
    <w:rsid w:val="00051BD9"/>
    <w:rsid w:val="00071775"/>
    <w:rsid w:val="00071F5A"/>
    <w:rsid w:val="000960B9"/>
    <w:rsid w:val="000C3998"/>
    <w:rsid w:val="000D5923"/>
    <w:rsid w:val="00112AB5"/>
    <w:rsid w:val="00112D9F"/>
    <w:rsid w:val="00163ABA"/>
    <w:rsid w:val="0017453C"/>
    <w:rsid w:val="001823A3"/>
    <w:rsid w:val="001857C6"/>
    <w:rsid w:val="001A4AB3"/>
    <w:rsid w:val="001B1331"/>
    <w:rsid w:val="001B4454"/>
    <w:rsid w:val="001C3A74"/>
    <w:rsid w:val="001D0023"/>
    <w:rsid w:val="001D22DF"/>
    <w:rsid w:val="001D45C9"/>
    <w:rsid w:val="001D5769"/>
    <w:rsid w:val="001E4915"/>
    <w:rsid w:val="00216D39"/>
    <w:rsid w:val="002177F1"/>
    <w:rsid w:val="0023059C"/>
    <w:rsid w:val="00244120"/>
    <w:rsid w:val="002634AB"/>
    <w:rsid w:val="00274FA3"/>
    <w:rsid w:val="002943D2"/>
    <w:rsid w:val="00295B55"/>
    <w:rsid w:val="002D5BEE"/>
    <w:rsid w:val="002D6B2D"/>
    <w:rsid w:val="002E19B5"/>
    <w:rsid w:val="002E3BBE"/>
    <w:rsid w:val="002E4B90"/>
    <w:rsid w:val="00325883"/>
    <w:rsid w:val="003412F3"/>
    <w:rsid w:val="00357B70"/>
    <w:rsid w:val="003639D8"/>
    <w:rsid w:val="0037637E"/>
    <w:rsid w:val="00380F04"/>
    <w:rsid w:val="00392DBB"/>
    <w:rsid w:val="00395307"/>
    <w:rsid w:val="003A0A03"/>
    <w:rsid w:val="003A4930"/>
    <w:rsid w:val="003D4075"/>
    <w:rsid w:val="003E10FC"/>
    <w:rsid w:val="00440BE7"/>
    <w:rsid w:val="00444F88"/>
    <w:rsid w:val="00453BAD"/>
    <w:rsid w:val="00463F12"/>
    <w:rsid w:val="00470774"/>
    <w:rsid w:val="00474FAC"/>
    <w:rsid w:val="00485D4B"/>
    <w:rsid w:val="004A6E37"/>
    <w:rsid w:val="004F6035"/>
    <w:rsid w:val="00505D1B"/>
    <w:rsid w:val="0051248D"/>
    <w:rsid w:val="00513345"/>
    <w:rsid w:val="00525C49"/>
    <w:rsid w:val="0053067E"/>
    <w:rsid w:val="00533B2B"/>
    <w:rsid w:val="00537CDF"/>
    <w:rsid w:val="005755E0"/>
    <w:rsid w:val="0057623A"/>
    <w:rsid w:val="00585AC8"/>
    <w:rsid w:val="0058693E"/>
    <w:rsid w:val="00592C3D"/>
    <w:rsid w:val="005967B5"/>
    <w:rsid w:val="005A1BC7"/>
    <w:rsid w:val="005F0261"/>
    <w:rsid w:val="00612B2D"/>
    <w:rsid w:val="00612B5E"/>
    <w:rsid w:val="00690D0B"/>
    <w:rsid w:val="006C48CE"/>
    <w:rsid w:val="006C525E"/>
    <w:rsid w:val="0073418E"/>
    <w:rsid w:val="00734488"/>
    <w:rsid w:val="0073691E"/>
    <w:rsid w:val="007559EC"/>
    <w:rsid w:val="00777AD8"/>
    <w:rsid w:val="0078266E"/>
    <w:rsid w:val="00797C0A"/>
    <w:rsid w:val="007E3631"/>
    <w:rsid w:val="007F1BDD"/>
    <w:rsid w:val="007F2309"/>
    <w:rsid w:val="007F3AB3"/>
    <w:rsid w:val="007F60D4"/>
    <w:rsid w:val="007F747E"/>
    <w:rsid w:val="00814A9A"/>
    <w:rsid w:val="0084188D"/>
    <w:rsid w:val="008574B3"/>
    <w:rsid w:val="0087387F"/>
    <w:rsid w:val="00881CCF"/>
    <w:rsid w:val="00894963"/>
    <w:rsid w:val="0089742A"/>
    <w:rsid w:val="008A116C"/>
    <w:rsid w:val="008A20AC"/>
    <w:rsid w:val="008B5BE0"/>
    <w:rsid w:val="008C752F"/>
    <w:rsid w:val="008D0A62"/>
    <w:rsid w:val="008F60C7"/>
    <w:rsid w:val="0090767E"/>
    <w:rsid w:val="0092581C"/>
    <w:rsid w:val="00936D0B"/>
    <w:rsid w:val="0094433C"/>
    <w:rsid w:val="009463F7"/>
    <w:rsid w:val="009A39F0"/>
    <w:rsid w:val="009B3261"/>
    <w:rsid w:val="009B55C2"/>
    <w:rsid w:val="009D0699"/>
    <w:rsid w:val="009E327C"/>
    <w:rsid w:val="009E388F"/>
    <w:rsid w:val="00A00F21"/>
    <w:rsid w:val="00A02782"/>
    <w:rsid w:val="00A23957"/>
    <w:rsid w:val="00A333E6"/>
    <w:rsid w:val="00A33E76"/>
    <w:rsid w:val="00A35C46"/>
    <w:rsid w:val="00A41172"/>
    <w:rsid w:val="00A53C80"/>
    <w:rsid w:val="00A556EF"/>
    <w:rsid w:val="00A722E4"/>
    <w:rsid w:val="00A7245C"/>
    <w:rsid w:val="00AD03AB"/>
    <w:rsid w:val="00AE249D"/>
    <w:rsid w:val="00AF56A6"/>
    <w:rsid w:val="00B1156C"/>
    <w:rsid w:val="00B12AA7"/>
    <w:rsid w:val="00B3544D"/>
    <w:rsid w:val="00B80CDC"/>
    <w:rsid w:val="00B82F7F"/>
    <w:rsid w:val="00B86938"/>
    <w:rsid w:val="00B941B7"/>
    <w:rsid w:val="00BB4A45"/>
    <w:rsid w:val="00BF02BF"/>
    <w:rsid w:val="00C245A6"/>
    <w:rsid w:val="00C30752"/>
    <w:rsid w:val="00C56A8C"/>
    <w:rsid w:val="00C67BA4"/>
    <w:rsid w:val="00C91270"/>
    <w:rsid w:val="00C95DE2"/>
    <w:rsid w:val="00CA6616"/>
    <w:rsid w:val="00CB0EAF"/>
    <w:rsid w:val="00CB1070"/>
    <w:rsid w:val="00CB25FF"/>
    <w:rsid w:val="00CB5332"/>
    <w:rsid w:val="00CB5AC9"/>
    <w:rsid w:val="00CB7E93"/>
    <w:rsid w:val="00CF6078"/>
    <w:rsid w:val="00D07F9B"/>
    <w:rsid w:val="00D34811"/>
    <w:rsid w:val="00D542DF"/>
    <w:rsid w:val="00D60A4B"/>
    <w:rsid w:val="00D875B7"/>
    <w:rsid w:val="00D94AC6"/>
    <w:rsid w:val="00DB620C"/>
    <w:rsid w:val="00DC7898"/>
    <w:rsid w:val="00DD0CC9"/>
    <w:rsid w:val="00DE6A7F"/>
    <w:rsid w:val="00DE7029"/>
    <w:rsid w:val="00E009E7"/>
    <w:rsid w:val="00E02EAF"/>
    <w:rsid w:val="00E10E59"/>
    <w:rsid w:val="00E13BB3"/>
    <w:rsid w:val="00E262F5"/>
    <w:rsid w:val="00E277B1"/>
    <w:rsid w:val="00E3052E"/>
    <w:rsid w:val="00E43418"/>
    <w:rsid w:val="00E47796"/>
    <w:rsid w:val="00E812C3"/>
    <w:rsid w:val="00E971C7"/>
    <w:rsid w:val="00EA20BF"/>
    <w:rsid w:val="00EA5A84"/>
    <w:rsid w:val="00EF51EF"/>
    <w:rsid w:val="00F16498"/>
    <w:rsid w:val="00F31321"/>
    <w:rsid w:val="00F43180"/>
    <w:rsid w:val="00F504B7"/>
    <w:rsid w:val="00F61951"/>
    <w:rsid w:val="00F705BB"/>
    <w:rsid w:val="00F7137D"/>
    <w:rsid w:val="00F83A2D"/>
    <w:rsid w:val="00F95F87"/>
    <w:rsid w:val="00FC46BE"/>
    <w:rsid w:val="00FC79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DC897"/>
  <w15:chartTrackingRefBased/>
  <w15:docId w15:val="{344E3260-6D47-45D1-9B32-EFA42107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5BB"/>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797C0A"/>
    <w:pPr>
      <w:spacing w:after="240"/>
      <w:outlineLvl w:val="0"/>
    </w:pPr>
    <w:rPr>
      <w:rFonts w:ascii="Arial Bold" w:hAnsi="Arial Bold"/>
      <w:b/>
      <w:kern w:val="34"/>
      <w:sz w:val="36"/>
    </w:rPr>
  </w:style>
  <w:style w:type="paragraph" w:styleId="Heading2">
    <w:name w:val="heading 2"/>
    <w:basedOn w:val="HeadingBase"/>
    <w:next w:val="Normal"/>
    <w:link w:val="Heading2Char"/>
    <w:qFormat/>
    <w:rsid w:val="00797C0A"/>
    <w:pPr>
      <w:spacing w:before="240" w:after="240"/>
      <w:outlineLvl w:val="1"/>
    </w:pPr>
    <w:rPr>
      <w:rFonts w:ascii="Arial Bold" w:hAnsi="Arial Bold"/>
      <w:b/>
      <w:sz w:val="26"/>
    </w:rPr>
  </w:style>
  <w:style w:type="paragraph" w:styleId="Heading3">
    <w:name w:val="heading 3"/>
    <w:basedOn w:val="HeadingBase"/>
    <w:next w:val="Normal"/>
    <w:link w:val="Heading3Char"/>
    <w:qFormat/>
    <w:rsid w:val="00797C0A"/>
    <w:pPr>
      <w:spacing w:before="120" w:after="120"/>
      <w:outlineLvl w:val="2"/>
    </w:pPr>
    <w:rPr>
      <w:rFonts w:ascii="Arial Bold" w:hAnsi="Arial Bold"/>
      <w:b/>
      <w:sz w:val="22"/>
    </w:rPr>
  </w:style>
  <w:style w:type="paragraph" w:styleId="Heading4">
    <w:name w:val="heading 4"/>
    <w:basedOn w:val="HeadingBase"/>
    <w:next w:val="Normal"/>
    <w:link w:val="Heading4Char"/>
    <w:qFormat/>
    <w:rsid w:val="00797C0A"/>
    <w:pPr>
      <w:spacing w:after="120"/>
      <w:outlineLvl w:val="3"/>
    </w:pPr>
    <w:rPr>
      <w:rFonts w:ascii="Arial Bold" w:hAnsi="Arial Bold"/>
      <w:b/>
      <w:sz w:val="20"/>
    </w:rPr>
  </w:style>
  <w:style w:type="paragraph" w:styleId="Heading5">
    <w:name w:val="heading 5"/>
    <w:basedOn w:val="HeadingBase"/>
    <w:next w:val="Normal"/>
    <w:link w:val="Heading5Char"/>
    <w:qFormat/>
    <w:rsid w:val="00797C0A"/>
    <w:pPr>
      <w:spacing w:after="120"/>
      <w:outlineLvl w:val="4"/>
    </w:pPr>
    <w:rPr>
      <w:bCs/>
      <w:i/>
      <w:iCs/>
      <w:sz w:val="20"/>
      <w:szCs w:val="26"/>
    </w:rPr>
  </w:style>
  <w:style w:type="paragraph" w:styleId="Heading6">
    <w:name w:val="heading 6"/>
    <w:basedOn w:val="HeadingBase"/>
    <w:next w:val="Normal"/>
    <w:link w:val="Heading6Char"/>
    <w:rsid w:val="00797C0A"/>
    <w:pPr>
      <w:spacing w:after="120"/>
      <w:outlineLvl w:val="5"/>
    </w:pPr>
    <w:rPr>
      <w:bCs/>
      <w:sz w:val="20"/>
      <w:szCs w:val="22"/>
    </w:rPr>
  </w:style>
  <w:style w:type="paragraph" w:styleId="Heading7">
    <w:name w:val="heading 7"/>
    <w:basedOn w:val="HeadingBase"/>
    <w:next w:val="Normal"/>
    <w:link w:val="Heading7Char"/>
    <w:rsid w:val="00797C0A"/>
    <w:pPr>
      <w:spacing w:before="120"/>
      <w:outlineLvl w:val="6"/>
    </w:pPr>
    <w:rPr>
      <w:sz w:val="20"/>
      <w:szCs w:val="24"/>
    </w:rPr>
  </w:style>
  <w:style w:type="paragraph" w:styleId="Heading8">
    <w:name w:val="heading 8"/>
    <w:basedOn w:val="HeadingBase"/>
    <w:next w:val="Normal"/>
    <w:link w:val="Heading8Char"/>
    <w:rsid w:val="00797C0A"/>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qFormat/>
    <w:rsid w:val="00797C0A"/>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7C0A"/>
    <w:rPr>
      <w:rFonts w:ascii="Arial Bold" w:eastAsia="Times New Roman" w:hAnsi="Arial Bold" w:cs="Times New Roman"/>
      <w:b/>
      <w:kern w:val="34"/>
      <w:sz w:val="36"/>
      <w:szCs w:val="20"/>
      <w:lang w:eastAsia="en-AU"/>
    </w:rPr>
  </w:style>
  <w:style w:type="paragraph" w:customStyle="1" w:styleId="Exampletext">
    <w:name w:val="Example text"/>
    <w:basedOn w:val="Normal"/>
    <w:link w:val="ExampletextCharChar"/>
    <w:rsid w:val="00797C0A"/>
    <w:rPr>
      <w:i/>
      <w:color w:val="FF0000"/>
      <w:lang w:val="x-none"/>
    </w:rPr>
  </w:style>
  <w:style w:type="paragraph" w:customStyle="1" w:styleId="TableTextLeft">
    <w:name w:val="Table Text Left"/>
    <w:basedOn w:val="TableTextBase"/>
    <w:link w:val="TableTextLeftChar"/>
    <w:rsid w:val="00797C0A"/>
  </w:style>
  <w:style w:type="paragraph" w:customStyle="1" w:styleId="TableColumnHeadingLeft">
    <w:name w:val="Table Column Heading Left"/>
    <w:basedOn w:val="TableColumnHeadingBase"/>
    <w:next w:val="Normal"/>
    <w:rsid w:val="00797C0A"/>
  </w:style>
  <w:style w:type="paragraph" w:customStyle="1" w:styleId="HeaderEven">
    <w:name w:val="Header Even"/>
    <w:basedOn w:val="HeaderBase"/>
    <w:rsid w:val="00797C0A"/>
    <w:rPr>
      <w:color w:val="auto"/>
    </w:rPr>
  </w:style>
  <w:style w:type="paragraph" w:customStyle="1" w:styleId="HeaderOdd">
    <w:name w:val="Header Odd"/>
    <w:basedOn w:val="HeaderBase"/>
    <w:rsid w:val="00797C0A"/>
    <w:pPr>
      <w:jc w:val="right"/>
    </w:pPr>
    <w:rPr>
      <w:color w:val="000000" w:themeColor="text1"/>
    </w:rPr>
  </w:style>
  <w:style w:type="character" w:styleId="CommentReference">
    <w:name w:val="annotation reference"/>
    <w:uiPriority w:val="99"/>
    <w:semiHidden/>
    <w:unhideWhenUsed/>
    <w:rsid w:val="00797C0A"/>
    <w:rPr>
      <w:sz w:val="16"/>
      <w:szCs w:val="16"/>
    </w:rPr>
  </w:style>
  <w:style w:type="paragraph" w:styleId="CommentText">
    <w:name w:val="annotation text"/>
    <w:basedOn w:val="Normal"/>
    <w:link w:val="CommentTextChar"/>
    <w:uiPriority w:val="99"/>
    <w:unhideWhenUsed/>
    <w:rsid w:val="00797C0A"/>
    <w:rPr>
      <w:lang w:val="x-none" w:eastAsia="x-none"/>
    </w:rPr>
  </w:style>
  <w:style w:type="character" w:customStyle="1" w:styleId="CommentTextChar">
    <w:name w:val="Comment Text Char"/>
    <w:link w:val="CommentText"/>
    <w:uiPriority w:val="99"/>
    <w:rsid w:val="00797C0A"/>
    <w:rPr>
      <w:rFonts w:ascii="Book Antiqua" w:eastAsia="Times New Roman" w:hAnsi="Book Antiqua" w:cs="Times New Roman"/>
      <w:sz w:val="19"/>
      <w:szCs w:val="20"/>
      <w:lang w:val="x-none" w:eastAsia="x-none"/>
    </w:rPr>
  </w:style>
  <w:style w:type="character" w:styleId="PageNumber">
    <w:name w:val="page number"/>
    <w:basedOn w:val="DefaultParagraphFont"/>
    <w:rsid w:val="00797C0A"/>
    <w:rPr>
      <w:rFonts w:ascii="Arial" w:hAnsi="Arial" w:cs="Arial"/>
      <w:color w:val="auto"/>
    </w:rPr>
  </w:style>
  <w:style w:type="character" w:customStyle="1" w:styleId="ExampletextCharChar">
    <w:name w:val="Example text Char Char"/>
    <w:link w:val="Exampletext"/>
    <w:rsid w:val="00797C0A"/>
    <w:rPr>
      <w:rFonts w:ascii="Book Antiqua" w:eastAsia="Times New Roman" w:hAnsi="Book Antiqua" w:cs="Times New Roman"/>
      <w:i/>
      <w:color w:val="FF0000"/>
      <w:sz w:val="19"/>
      <w:szCs w:val="20"/>
      <w:lang w:val="x-none" w:eastAsia="en-AU"/>
    </w:rPr>
  </w:style>
  <w:style w:type="character" w:customStyle="1" w:styleId="TableTextLeftChar">
    <w:name w:val="Table Text Left Char"/>
    <w:link w:val="TableTextLeft"/>
    <w:rsid w:val="00797C0A"/>
    <w:rPr>
      <w:rFonts w:ascii="Arial" w:eastAsia="Times New Roman" w:hAnsi="Arial" w:cs="Times New Roman"/>
      <w:sz w:val="16"/>
      <w:szCs w:val="20"/>
      <w:lang w:eastAsia="en-AU"/>
    </w:rPr>
  </w:style>
  <w:style w:type="paragraph" w:customStyle="1" w:styleId="SecurityClassificationHeader">
    <w:name w:val="Security Classification Header"/>
    <w:link w:val="SecurityClassificationHeaderChar"/>
    <w:rsid w:val="00E13BB3"/>
    <w:pPr>
      <w:spacing w:before="240" w:after="60"/>
      <w:jc w:val="center"/>
    </w:pPr>
    <w:rPr>
      <w:rFonts w:ascii="Calibri" w:eastAsia="Times New Roman" w:hAnsi="Calibri" w:cs="Calibri"/>
      <w:b/>
      <w:caps/>
      <w:color w:val="44546A" w:themeColor="text2"/>
      <w:sz w:val="24"/>
      <w:szCs w:val="20"/>
      <w:lang w:eastAsia="en-AU"/>
    </w:rPr>
  </w:style>
  <w:style w:type="character" w:customStyle="1" w:styleId="SecurityClassificationHeaderChar">
    <w:name w:val="Security Classification Header Char"/>
    <w:basedOn w:val="HeaderChar"/>
    <w:link w:val="SecurityClassificationHeader"/>
    <w:rsid w:val="00E13BB3"/>
    <w:rPr>
      <w:rFonts w:ascii="Calibri" w:eastAsia="Times New Roman" w:hAnsi="Calibri" w:cs="Calibri"/>
      <w:b/>
      <w:caps/>
      <w:color w:val="44546A" w:themeColor="text2"/>
      <w:sz w:val="24"/>
      <w:szCs w:val="20"/>
      <w:lang w:eastAsia="en-AU"/>
    </w:rPr>
  </w:style>
  <w:style w:type="paragraph" w:customStyle="1" w:styleId="DLMSecurityHeader">
    <w:name w:val="DLM Security Header"/>
    <w:link w:val="DLMSecurityHeaderChar"/>
    <w:rsid w:val="00E13BB3"/>
    <w:pPr>
      <w:spacing w:before="60" w:after="240"/>
      <w:jc w:val="center"/>
    </w:pPr>
    <w:rPr>
      <w:rFonts w:ascii="Calibri" w:eastAsia="Times New Roman" w:hAnsi="Calibri" w:cs="Calibri"/>
      <w:b/>
      <w:caps/>
      <w:color w:val="44546A" w:themeColor="text2"/>
      <w:sz w:val="24"/>
      <w:szCs w:val="20"/>
      <w:lang w:val="x-none" w:eastAsia="en-AU"/>
    </w:rPr>
  </w:style>
  <w:style w:type="character" w:customStyle="1" w:styleId="DLMSecurityHeaderChar">
    <w:name w:val="DLM Security Header Char"/>
    <w:basedOn w:val="HeaderChar"/>
    <w:link w:val="DLMSecurityHeader"/>
    <w:rsid w:val="00E13BB3"/>
    <w:rPr>
      <w:rFonts w:ascii="Calibri" w:eastAsia="Times New Roman" w:hAnsi="Calibri" w:cs="Calibri"/>
      <w:b/>
      <w:caps/>
      <w:color w:val="44546A" w:themeColor="text2"/>
      <w:sz w:val="24"/>
      <w:szCs w:val="20"/>
      <w:lang w:val="x-none" w:eastAsia="en-AU"/>
    </w:rPr>
  </w:style>
  <w:style w:type="paragraph" w:customStyle="1" w:styleId="FooterOdd">
    <w:name w:val="Footer Odd"/>
    <w:basedOn w:val="Footer"/>
    <w:qFormat/>
    <w:rsid w:val="00797C0A"/>
    <w:pPr>
      <w:pBdr>
        <w:top w:val="single" w:sz="4" w:space="10" w:color="000000" w:themeColor="text1"/>
      </w:pBdr>
      <w:jc w:val="right"/>
    </w:pPr>
    <w:rPr>
      <w:sz w:val="18"/>
    </w:rPr>
  </w:style>
  <w:style w:type="paragraph" w:styleId="Footer">
    <w:name w:val="footer"/>
    <w:basedOn w:val="FooterBase"/>
    <w:link w:val="FooterChar"/>
    <w:rsid w:val="00797C0A"/>
    <w:pPr>
      <w:tabs>
        <w:tab w:val="center" w:pos="4153"/>
        <w:tab w:val="right" w:pos="8306"/>
      </w:tabs>
    </w:pPr>
  </w:style>
  <w:style w:type="character" w:customStyle="1" w:styleId="FooterChar">
    <w:name w:val="Footer Char"/>
    <w:basedOn w:val="DefaultParagraphFont"/>
    <w:link w:val="Footer"/>
    <w:rsid w:val="00797C0A"/>
    <w:rPr>
      <w:rFonts w:ascii="Arial" w:eastAsia="Times New Roman" w:hAnsi="Arial" w:cs="Times New Roman"/>
      <w:color w:val="000000" w:themeColor="text1"/>
      <w:sz w:val="20"/>
      <w:szCs w:val="20"/>
      <w:lang w:eastAsia="en-AU"/>
    </w:rPr>
  </w:style>
  <w:style w:type="paragraph" w:styleId="CommentSubject">
    <w:name w:val="annotation subject"/>
    <w:basedOn w:val="CommentText"/>
    <w:next w:val="CommentText"/>
    <w:link w:val="CommentSubjectChar"/>
    <w:uiPriority w:val="99"/>
    <w:semiHidden/>
    <w:unhideWhenUsed/>
    <w:rsid w:val="00797C0A"/>
    <w:rPr>
      <w:b/>
      <w:bCs/>
    </w:rPr>
  </w:style>
  <w:style w:type="character" w:customStyle="1" w:styleId="CommentSubjectChar">
    <w:name w:val="Comment Subject Char"/>
    <w:link w:val="CommentSubject"/>
    <w:uiPriority w:val="99"/>
    <w:semiHidden/>
    <w:rsid w:val="00797C0A"/>
    <w:rPr>
      <w:rFonts w:ascii="Book Antiqua" w:eastAsia="Times New Roman" w:hAnsi="Book Antiqua" w:cs="Times New Roman"/>
      <w:b/>
      <w:bCs/>
      <w:sz w:val="19"/>
      <w:szCs w:val="20"/>
      <w:lang w:val="x-none" w:eastAsia="x-none"/>
    </w:rPr>
  </w:style>
  <w:style w:type="character" w:customStyle="1" w:styleId="Heading2Char">
    <w:name w:val="Heading 2 Char"/>
    <w:basedOn w:val="DefaultParagraphFont"/>
    <w:link w:val="Heading2"/>
    <w:rsid w:val="00797C0A"/>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797C0A"/>
    <w:rPr>
      <w:rFonts w:ascii="Arial Bold" w:eastAsia="Times New Roman" w:hAnsi="Arial Bold" w:cs="Times New Roman"/>
      <w:b/>
      <w:szCs w:val="20"/>
      <w:lang w:eastAsia="en-AU"/>
    </w:rPr>
  </w:style>
  <w:style w:type="character" w:customStyle="1" w:styleId="Heading4Char">
    <w:name w:val="Heading 4 Char"/>
    <w:basedOn w:val="DefaultParagraphFont"/>
    <w:link w:val="Heading4"/>
    <w:rsid w:val="00797C0A"/>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797C0A"/>
    <w:rPr>
      <w:rFonts w:ascii="Arial" w:eastAsia="Times New Roman" w:hAnsi="Arial" w:cs="Times New Roman"/>
      <w:bCs/>
      <w:i/>
      <w:iCs/>
      <w:sz w:val="20"/>
      <w:szCs w:val="26"/>
      <w:lang w:eastAsia="en-AU"/>
    </w:rPr>
  </w:style>
  <w:style w:type="character" w:customStyle="1" w:styleId="Heading6Char">
    <w:name w:val="Heading 6 Char"/>
    <w:basedOn w:val="DefaultParagraphFont"/>
    <w:link w:val="Heading6"/>
    <w:rsid w:val="00797C0A"/>
    <w:rPr>
      <w:rFonts w:ascii="Arial" w:eastAsia="Times New Roman" w:hAnsi="Arial" w:cs="Times New Roman"/>
      <w:bCs/>
      <w:sz w:val="20"/>
      <w:lang w:eastAsia="en-AU"/>
    </w:rPr>
  </w:style>
  <w:style w:type="character" w:customStyle="1" w:styleId="Heading7Char">
    <w:name w:val="Heading 7 Char"/>
    <w:basedOn w:val="DefaultParagraphFont"/>
    <w:link w:val="Heading7"/>
    <w:rsid w:val="00797C0A"/>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797C0A"/>
    <w:rPr>
      <w:rFonts w:ascii="Times New Roman" w:eastAsia="Times New Roman" w:hAnsi="Times New Roman" w:cs="Times New Roman"/>
      <w:i/>
      <w:iCs/>
      <w:sz w:val="16"/>
      <w:szCs w:val="24"/>
      <w:lang w:eastAsia="en-AU"/>
    </w:rPr>
  </w:style>
  <w:style w:type="character" w:customStyle="1" w:styleId="Heading9Char">
    <w:name w:val="Heading 9 Char"/>
    <w:basedOn w:val="DefaultParagraphFont"/>
    <w:link w:val="Heading9"/>
    <w:uiPriority w:val="9"/>
    <w:rsid w:val="00797C0A"/>
    <w:rPr>
      <w:rFonts w:ascii="Cambria" w:eastAsia="Times New Roman" w:hAnsi="Cambria" w:cs="Times New Roman"/>
      <w:lang w:eastAsia="en-AU"/>
    </w:rPr>
  </w:style>
  <w:style w:type="paragraph" w:customStyle="1" w:styleId="SingleParagraph">
    <w:name w:val="Single Paragraph"/>
    <w:basedOn w:val="Normal"/>
    <w:rsid w:val="00797C0A"/>
    <w:pPr>
      <w:spacing w:before="0" w:after="0" w:line="240" w:lineRule="auto"/>
    </w:pPr>
  </w:style>
  <w:style w:type="paragraph" w:customStyle="1" w:styleId="ChartSecondHeading">
    <w:name w:val="Chart Second Heading"/>
    <w:basedOn w:val="HeadingBase"/>
    <w:next w:val="ChartGraphic"/>
    <w:rsid w:val="00797C0A"/>
    <w:pPr>
      <w:spacing w:after="60"/>
    </w:pPr>
    <w:rPr>
      <w:sz w:val="19"/>
    </w:rPr>
  </w:style>
  <w:style w:type="paragraph" w:customStyle="1" w:styleId="TableHeading">
    <w:name w:val="Table Heading"/>
    <w:basedOn w:val="HeadingBase"/>
    <w:next w:val="TableGraphic"/>
    <w:link w:val="TableHeadingChar"/>
    <w:qFormat/>
    <w:rsid w:val="00797C0A"/>
    <w:pPr>
      <w:spacing w:before="120" w:after="20"/>
    </w:pPr>
    <w:rPr>
      <w:b/>
      <w:sz w:val="20"/>
    </w:rPr>
  </w:style>
  <w:style w:type="paragraph" w:customStyle="1" w:styleId="HeadingBase">
    <w:name w:val="Heading Base"/>
    <w:link w:val="HeadingBaseChar"/>
    <w:rsid w:val="00797C0A"/>
    <w:pPr>
      <w:keepNext/>
      <w:spacing w:after="0" w:line="240" w:lineRule="auto"/>
    </w:pPr>
    <w:rPr>
      <w:rFonts w:ascii="Arial" w:eastAsia="Times New Roman" w:hAnsi="Arial" w:cs="Times New Roman"/>
      <w:sz w:val="24"/>
      <w:szCs w:val="20"/>
      <w:lang w:eastAsia="en-AU"/>
    </w:rPr>
  </w:style>
  <w:style w:type="paragraph" w:customStyle="1" w:styleId="AlphaParagraph">
    <w:name w:val="Alpha Paragraph"/>
    <w:basedOn w:val="Normal"/>
    <w:rsid w:val="00797C0A"/>
    <w:pPr>
      <w:numPr>
        <w:numId w:val="1"/>
      </w:numPr>
      <w:tabs>
        <w:tab w:val="clear" w:pos="567"/>
        <w:tab w:val="num" w:pos="360"/>
      </w:tabs>
    </w:pPr>
  </w:style>
  <w:style w:type="paragraph" w:customStyle="1" w:styleId="Bullet">
    <w:name w:val="Bullet"/>
    <w:basedOn w:val="Normal"/>
    <w:link w:val="BulletChar"/>
    <w:qFormat/>
    <w:rsid w:val="00797C0A"/>
    <w:pPr>
      <w:numPr>
        <w:numId w:val="2"/>
      </w:numPr>
      <w:spacing w:after="160"/>
    </w:pPr>
  </w:style>
  <w:style w:type="paragraph" w:customStyle="1" w:styleId="Dash">
    <w:name w:val="Dash"/>
    <w:basedOn w:val="Normal"/>
    <w:link w:val="DashChar"/>
    <w:qFormat/>
    <w:rsid w:val="00797C0A"/>
    <w:pPr>
      <w:numPr>
        <w:ilvl w:val="1"/>
        <w:numId w:val="2"/>
      </w:numPr>
      <w:tabs>
        <w:tab w:val="left" w:pos="567"/>
      </w:tabs>
    </w:pPr>
  </w:style>
  <w:style w:type="paragraph" w:customStyle="1" w:styleId="DoubleDot">
    <w:name w:val="Double Dot"/>
    <w:basedOn w:val="Normal"/>
    <w:link w:val="DoubleDotChar"/>
    <w:rsid w:val="00797C0A"/>
    <w:pPr>
      <w:numPr>
        <w:ilvl w:val="2"/>
        <w:numId w:val="2"/>
      </w:numPr>
    </w:pPr>
    <w:rPr>
      <w:lang w:val="x-none"/>
    </w:rPr>
  </w:style>
  <w:style w:type="paragraph" w:customStyle="1" w:styleId="AppendixHeading">
    <w:name w:val="Appendix Heading"/>
    <w:basedOn w:val="HeadingBase"/>
    <w:semiHidden/>
    <w:rsid w:val="00797C0A"/>
    <w:pPr>
      <w:spacing w:after="240"/>
      <w:jc w:val="center"/>
      <w:outlineLvl w:val="3"/>
    </w:pPr>
    <w:rPr>
      <w:b/>
      <w:smallCaps/>
      <w:sz w:val="30"/>
    </w:rPr>
  </w:style>
  <w:style w:type="paragraph" w:customStyle="1" w:styleId="BoxText">
    <w:name w:val="Box Text"/>
    <w:basedOn w:val="Normal"/>
    <w:qFormat/>
    <w:rsid w:val="00797C0A"/>
    <w:pPr>
      <w:spacing w:before="120" w:after="120" w:line="240" w:lineRule="auto"/>
    </w:pPr>
  </w:style>
  <w:style w:type="paragraph" w:customStyle="1" w:styleId="BoxHeading">
    <w:name w:val="Box Heading"/>
    <w:basedOn w:val="HeadingBase"/>
    <w:next w:val="BoxText"/>
    <w:rsid w:val="00797C0A"/>
    <w:pPr>
      <w:spacing w:before="120" w:after="120"/>
    </w:pPr>
    <w:rPr>
      <w:b/>
      <w:sz w:val="20"/>
    </w:rPr>
  </w:style>
  <w:style w:type="paragraph" w:customStyle="1" w:styleId="ChartandTableFootnoteAlpha">
    <w:name w:val="Chart and Table Footnote Alpha"/>
    <w:basedOn w:val="HeadingBase"/>
    <w:next w:val="Normal"/>
    <w:rsid w:val="00797C0A"/>
    <w:pPr>
      <w:keepNext w:val="0"/>
      <w:numPr>
        <w:numId w:val="33"/>
      </w:numPr>
      <w:spacing w:before="30"/>
    </w:pPr>
    <w:rPr>
      <w:color w:val="000000"/>
      <w:sz w:val="16"/>
    </w:rPr>
  </w:style>
  <w:style w:type="paragraph" w:customStyle="1" w:styleId="ChartandTableFootnote">
    <w:name w:val="Chart and Table Footnote"/>
    <w:basedOn w:val="HeadingBase"/>
    <w:next w:val="Normal"/>
    <w:link w:val="ChartandTableFootnoteChar"/>
    <w:rsid w:val="00797C0A"/>
    <w:pPr>
      <w:keepNext w:val="0"/>
      <w:tabs>
        <w:tab w:val="left" w:pos="709"/>
      </w:tabs>
      <w:spacing w:before="30"/>
    </w:pPr>
    <w:rPr>
      <w:color w:val="000000"/>
      <w:sz w:val="16"/>
    </w:rPr>
  </w:style>
  <w:style w:type="paragraph" w:customStyle="1" w:styleId="BoxBullet">
    <w:name w:val="Box Bullet"/>
    <w:basedOn w:val="BoxText"/>
    <w:rsid w:val="00797C0A"/>
    <w:pPr>
      <w:numPr>
        <w:numId w:val="18"/>
      </w:numPr>
    </w:pPr>
  </w:style>
  <w:style w:type="paragraph" w:customStyle="1" w:styleId="ChartGraphic">
    <w:name w:val="Chart Graphic"/>
    <w:basedOn w:val="HeadingBase"/>
    <w:rsid w:val="00797C0A"/>
    <w:pPr>
      <w:jc w:val="center"/>
    </w:pPr>
    <w:rPr>
      <w:sz w:val="20"/>
    </w:rPr>
  </w:style>
  <w:style w:type="paragraph" w:customStyle="1" w:styleId="ContentsHeading">
    <w:name w:val="Contents Heading"/>
    <w:basedOn w:val="HeadingBase"/>
    <w:next w:val="Normal"/>
    <w:rsid w:val="00797C0A"/>
    <w:pPr>
      <w:spacing w:after="720"/>
    </w:pPr>
    <w:rPr>
      <w:b/>
      <w:bCs/>
      <w:sz w:val="36"/>
    </w:rPr>
  </w:style>
  <w:style w:type="paragraph" w:customStyle="1" w:styleId="FigureHeading">
    <w:name w:val="Figure Heading"/>
    <w:basedOn w:val="HeadingBase"/>
    <w:next w:val="ChartGraphic"/>
    <w:rsid w:val="00797C0A"/>
    <w:pPr>
      <w:spacing w:before="120" w:after="20"/>
    </w:pPr>
    <w:rPr>
      <w:b/>
      <w:sz w:val="20"/>
    </w:rPr>
  </w:style>
  <w:style w:type="paragraph" w:customStyle="1" w:styleId="Classification">
    <w:name w:val="Classification"/>
    <w:basedOn w:val="HeadingBase"/>
    <w:rsid w:val="00E13BB3"/>
    <w:pPr>
      <w:jc w:val="center"/>
    </w:pPr>
    <w:rPr>
      <w:rFonts w:ascii="Arial Bold" w:hAnsi="Arial Bold"/>
      <w:b/>
      <w:caps/>
      <w:sz w:val="22"/>
    </w:rPr>
  </w:style>
  <w:style w:type="character" w:customStyle="1" w:styleId="HiddenSequenceCode">
    <w:name w:val="Hidden Sequence Code"/>
    <w:basedOn w:val="DefaultParagraphFont"/>
    <w:rsid w:val="00E13BB3"/>
    <w:rPr>
      <w:rFonts w:ascii="Times New Roman" w:hAnsi="Times New Roman"/>
      <w:vanish/>
      <w:sz w:val="16"/>
    </w:rPr>
  </w:style>
  <w:style w:type="paragraph" w:customStyle="1" w:styleId="OverviewParagraph">
    <w:name w:val="Overview Paragraph"/>
    <w:basedOn w:val="Normal"/>
    <w:link w:val="OverviewParagraphChar"/>
    <w:rsid w:val="00797C0A"/>
    <w:pPr>
      <w:spacing w:before="120" w:after="120" w:line="240" w:lineRule="auto"/>
    </w:pPr>
  </w:style>
  <w:style w:type="paragraph" w:customStyle="1" w:styleId="TableGraphic">
    <w:name w:val="Table Graphic"/>
    <w:basedOn w:val="Normal"/>
    <w:next w:val="Normal"/>
    <w:rsid w:val="00797C0A"/>
    <w:pPr>
      <w:spacing w:before="0" w:after="0" w:line="240" w:lineRule="auto"/>
      <w:ind w:right="-113"/>
    </w:pPr>
  </w:style>
  <w:style w:type="paragraph" w:customStyle="1" w:styleId="NoteTableHeading">
    <w:name w:val="Note Table Heading"/>
    <w:basedOn w:val="HeadingBase"/>
    <w:next w:val="Normal"/>
    <w:rsid w:val="00797C0A"/>
    <w:pPr>
      <w:spacing w:before="240"/>
    </w:pPr>
    <w:rPr>
      <w:b/>
      <w:sz w:val="20"/>
    </w:rPr>
  </w:style>
  <w:style w:type="paragraph" w:customStyle="1" w:styleId="Source">
    <w:name w:val="Source"/>
    <w:basedOn w:val="Normal"/>
    <w:rsid w:val="00797C0A"/>
    <w:pPr>
      <w:tabs>
        <w:tab w:val="left" w:pos="709"/>
      </w:tabs>
      <w:spacing w:before="30" w:line="240" w:lineRule="auto"/>
      <w:ind w:left="709" w:hanging="709"/>
    </w:pPr>
    <w:rPr>
      <w:rFonts w:ascii="Arial" w:hAnsi="Arial"/>
      <w:sz w:val="16"/>
    </w:rPr>
  </w:style>
  <w:style w:type="paragraph" w:customStyle="1" w:styleId="TableTextBase">
    <w:name w:val="Table Text Base"/>
    <w:basedOn w:val="Normal"/>
    <w:link w:val="TableTextBaseChar"/>
    <w:rsid w:val="00797C0A"/>
    <w:pPr>
      <w:spacing w:before="20" w:after="20" w:line="240" w:lineRule="auto"/>
    </w:pPr>
    <w:rPr>
      <w:rFonts w:ascii="Arial" w:hAnsi="Arial"/>
      <w:sz w:val="16"/>
    </w:rPr>
  </w:style>
  <w:style w:type="paragraph" w:customStyle="1" w:styleId="TableColumnHeadingBase">
    <w:name w:val="Table Column Heading Base"/>
    <w:basedOn w:val="Normal"/>
    <w:rsid w:val="00797C0A"/>
    <w:pPr>
      <w:spacing w:before="40" w:after="40" w:line="240" w:lineRule="auto"/>
    </w:pPr>
    <w:rPr>
      <w:rFonts w:ascii="Arial Bold" w:hAnsi="Arial Bold"/>
      <w:b/>
      <w:sz w:val="16"/>
    </w:rPr>
  </w:style>
  <w:style w:type="paragraph" w:customStyle="1" w:styleId="TableTextRight">
    <w:name w:val="Table Text Right"/>
    <w:basedOn w:val="TableTextBase"/>
    <w:rsid w:val="00797C0A"/>
    <w:pPr>
      <w:jc w:val="right"/>
    </w:pPr>
  </w:style>
  <w:style w:type="paragraph" w:customStyle="1" w:styleId="TableTextCentred">
    <w:name w:val="Table Text Centred"/>
    <w:basedOn w:val="TableTextBase"/>
    <w:rsid w:val="00797C0A"/>
    <w:pPr>
      <w:jc w:val="center"/>
    </w:pPr>
  </w:style>
  <w:style w:type="paragraph" w:customStyle="1" w:styleId="TableTextIndented">
    <w:name w:val="Table Text Indented"/>
    <w:basedOn w:val="TableTextBase"/>
    <w:rsid w:val="00797C0A"/>
    <w:pPr>
      <w:ind w:left="284"/>
    </w:pPr>
  </w:style>
  <w:style w:type="paragraph" w:customStyle="1" w:styleId="TableColumnHeadingRight">
    <w:name w:val="Table Column Heading Right"/>
    <w:basedOn w:val="TableColumnHeadingBase"/>
    <w:next w:val="Normal"/>
    <w:link w:val="TableColumnHeadingRightChar"/>
    <w:rsid w:val="00797C0A"/>
    <w:pPr>
      <w:jc w:val="right"/>
    </w:pPr>
  </w:style>
  <w:style w:type="paragraph" w:customStyle="1" w:styleId="TableColumnHeadingCentred">
    <w:name w:val="Table Column Heading Centred"/>
    <w:basedOn w:val="TableColumnHeadingBase"/>
    <w:next w:val="Normal"/>
    <w:rsid w:val="00797C0A"/>
    <w:pPr>
      <w:jc w:val="center"/>
    </w:pPr>
  </w:style>
  <w:style w:type="paragraph" w:customStyle="1" w:styleId="Exampletextbullet">
    <w:name w:val="Example text bullet"/>
    <w:basedOn w:val="Exampletext"/>
    <w:semiHidden/>
    <w:rsid w:val="00E13BB3"/>
    <w:pPr>
      <w:numPr>
        <w:numId w:val="4"/>
      </w:numPr>
    </w:pPr>
  </w:style>
  <w:style w:type="paragraph" w:styleId="Title">
    <w:name w:val="Title"/>
    <w:basedOn w:val="Normal"/>
    <w:link w:val="TitleChar"/>
    <w:qFormat/>
    <w:rsid w:val="00797C0A"/>
    <w:pPr>
      <w:spacing w:after="0"/>
      <w:jc w:val="center"/>
      <w:outlineLvl w:val="0"/>
    </w:pPr>
    <w:rPr>
      <w:rFonts w:ascii="Arial" w:hAnsi="Arial"/>
      <w:b/>
      <w:bCs/>
      <w:caps/>
      <w:kern w:val="28"/>
      <w:sz w:val="52"/>
      <w:szCs w:val="32"/>
      <w:lang w:val="x-none"/>
    </w:rPr>
  </w:style>
  <w:style w:type="character" w:customStyle="1" w:styleId="TitleChar">
    <w:name w:val="Title Char"/>
    <w:link w:val="Title"/>
    <w:rsid w:val="00797C0A"/>
    <w:rPr>
      <w:rFonts w:ascii="Arial" w:eastAsia="Times New Roman" w:hAnsi="Arial" w:cs="Times New Roman"/>
      <w:b/>
      <w:bCs/>
      <w:caps/>
      <w:kern w:val="28"/>
      <w:sz w:val="52"/>
      <w:szCs w:val="32"/>
      <w:lang w:val="x-none" w:eastAsia="en-AU"/>
    </w:rPr>
  </w:style>
  <w:style w:type="paragraph" w:customStyle="1" w:styleId="TableHeadingcontinued">
    <w:name w:val="Table Heading continued"/>
    <w:basedOn w:val="HeadingBase"/>
    <w:next w:val="TableGraphic"/>
    <w:rsid w:val="00E13BB3"/>
    <w:pPr>
      <w:spacing w:before="120" w:after="20"/>
    </w:pPr>
    <w:rPr>
      <w:rFonts w:ascii="Arial Bold" w:hAnsi="Arial Bold"/>
      <w:b/>
      <w:sz w:val="20"/>
    </w:rPr>
  </w:style>
  <w:style w:type="paragraph" w:customStyle="1" w:styleId="TPHeading1">
    <w:name w:val="TP Heading 1"/>
    <w:basedOn w:val="HeadingBase"/>
    <w:rsid w:val="00797C0A"/>
    <w:pPr>
      <w:spacing w:before="60" w:after="60"/>
      <w:ind w:left="851"/>
    </w:pPr>
    <w:rPr>
      <w:caps/>
      <w:spacing w:val="-10"/>
      <w:sz w:val="28"/>
    </w:rPr>
  </w:style>
  <w:style w:type="paragraph" w:customStyle="1" w:styleId="TPHeading2">
    <w:name w:val="TP Heading 2"/>
    <w:basedOn w:val="HeadingBase"/>
    <w:rsid w:val="00797C0A"/>
    <w:pPr>
      <w:ind w:left="851"/>
    </w:pPr>
    <w:rPr>
      <w:b/>
      <w:caps/>
      <w:spacing w:val="-10"/>
      <w:sz w:val="28"/>
    </w:rPr>
  </w:style>
  <w:style w:type="paragraph" w:customStyle="1" w:styleId="TPHeading3">
    <w:name w:val="TP Heading 3"/>
    <w:basedOn w:val="HeadingBase"/>
    <w:rsid w:val="00797C0A"/>
    <w:pPr>
      <w:ind w:left="851"/>
    </w:pPr>
    <w:rPr>
      <w:caps/>
      <w:spacing w:val="-10"/>
    </w:rPr>
  </w:style>
  <w:style w:type="paragraph" w:customStyle="1" w:styleId="HeaderBase">
    <w:name w:val="Header Base"/>
    <w:rsid w:val="00797C0A"/>
    <w:pPr>
      <w:spacing w:after="0" w:line="240" w:lineRule="auto"/>
    </w:pPr>
    <w:rPr>
      <w:rFonts w:ascii="Arial" w:eastAsia="Times New Roman" w:hAnsi="Arial" w:cs="Times New Roman"/>
      <w:color w:val="44546A" w:themeColor="text2"/>
      <w:sz w:val="18"/>
      <w:szCs w:val="20"/>
      <w:lang w:eastAsia="en-AU"/>
    </w:rPr>
  </w:style>
  <w:style w:type="paragraph" w:styleId="Header">
    <w:name w:val="header"/>
    <w:basedOn w:val="HeaderBase"/>
    <w:link w:val="HeaderChar"/>
    <w:qFormat/>
    <w:rsid w:val="00797C0A"/>
    <w:pPr>
      <w:tabs>
        <w:tab w:val="center" w:pos="4153"/>
        <w:tab w:val="right" w:pos="8306"/>
      </w:tabs>
    </w:pPr>
    <w:rPr>
      <w:color w:val="auto"/>
    </w:rPr>
  </w:style>
  <w:style w:type="character" w:customStyle="1" w:styleId="HeaderChar">
    <w:name w:val="Header Char"/>
    <w:basedOn w:val="DefaultParagraphFont"/>
    <w:link w:val="Header"/>
    <w:rsid w:val="00797C0A"/>
    <w:rPr>
      <w:rFonts w:ascii="Arial" w:eastAsia="Times New Roman" w:hAnsi="Arial" w:cs="Times New Roman"/>
      <w:sz w:val="18"/>
      <w:szCs w:val="20"/>
      <w:lang w:eastAsia="en-AU"/>
    </w:rPr>
  </w:style>
  <w:style w:type="paragraph" w:customStyle="1" w:styleId="FooterBase">
    <w:name w:val="Footer Base"/>
    <w:rsid w:val="00797C0A"/>
    <w:pPr>
      <w:spacing w:after="0" w:line="240" w:lineRule="auto"/>
      <w:jc w:val="center"/>
    </w:pPr>
    <w:rPr>
      <w:rFonts w:ascii="Arial" w:eastAsia="Times New Roman" w:hAnsi="Arial" w:cs="Times New Roman"/>
      <w:color w:val="000000" w:themeColor="text1"/>
      <w:sz w:val="20"/>
      <w:szCs w:val="20"/>
      <w:lang w:eastAsia="en-AU"/>
    </w:rPr>
  </w:style>
  <w:style w:type="paragraph" w:styleId="BalloonText">
    <w:name w:val="Balloon Text"/>
    <w:basedOn w:val="Normal"/>
    <w:link w:val="BalloonTextChar"/>
    <w:uiPriority w:val="99"/>
    <w:semiHidden/>
    <w:unhideWhenUsed/>
    <w:rsid w:val="00797C0A"/>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797C0A"/>
    <w:rPr>
      <w:rFonts w:ascii="Tahoma" w:eastAsia="Times New Roman" w:hAnsi="Tahoma" w:cs="Times New Roman"/>
      <w:sz w:val="16"/>
      <w:szCs w:val="16"/>
      <w:lang w:val="x-none" w:eastAsia="en-AU"/>
    </w:rPr>
  </w:style>
  <w:style w:type="paragraph" w:styleId="Caption">
    <w:name w:val="caption"/>
    <w:basedOn w:val="Normal"/>
    <w:next w:val="Normal"/>
    <w:rsid w:val="00E13BB3"/>
    <w:rPr>
      <w:b/>
      <w:bCs/>
    </w:rPr>
  </w:style>
  <w:style w:type="paragraph" w:styleId="DocumentMap">
    <w:name w:val="Document Map"/>
    <w:basedOn w:val="Normal"/>
    <w:link w:val="DocumentMapChar"/>
    <w:semiHidden/>
    <w:rsid w:val="00E13BB3"/>
    <w:pPr>
      <w:shd w:val="clear" w:color="auto" w:fill="000080"/>
    </w:pPr>
    <w:rPr>
      <w:rFonts w:ascii="Tahoma" w:hAnsi="Tahoma" w:cs="Tahoma"/>
    </w:rPr>
  </w:style>
  <w:style w:type="character" w:customStyle="1" w:styleId="DocumentMapChar">
    <w:name w:val="Document Map Char"/>
    <w:basedOn w:val="DefaultParagraphFont"/>
    <w:link w:val="DocumentMap"/>
    <w:semiHidden/>
    <w:rsid w:val="00E13BB3"/>
    <w:rPr>
      <w:rFonts w:ascii="Tahoma" w:eastAsia="Times New Roman" w:hAnsi="Tahoma" w:cs="Tahoma"/>
      <w:sz w:val="19"/>
      <w:szCs w:val="20"/>
      <w:shd w:val="clear" w:color="auto" w:fill="000080"/>
      <w:lang w:eastAsia="en-AU"/>
    </w:rPr>
  </w:style>
  <w:style w:type="character" w:styleId="EndnoteReference">
    <w:name w:val="endnote reference"/>
    <w:basedOn w:val="DefaultParagraphFont"/>
    <w:unhideWhenUsed/>
    <w:rsid w:val="00E13BB3"/>
    <w:rPr>
      <w:vertAlign w:val="superscript"/>
    </w:rPr>
  </w:style>
  <w:style w:type="paragraph" w:styleId="EndnoteText">
    <w:name w:val="endnote text"/>
    <w:basedOn w:val="Normal"/>
    <w:link w:val="EndnoteTextChar"/>
    <w:unhideWhenUsed/>
    <w:rsid w:val="00E13BB3"/>
  </w:style>
  <w:style w:type="character" w:customStyle="1" w:styleId="EndnoteTextChar">
    <w:name w:val="Endnote Text Char"/>
    <w:basedOn w:val="DefaultParagraphFont"/>
    <w:link w:val="EndnoteText"/>
    <w:rsid w:val="00E13BB3"/>
    <w:rPr>
      <w:rFonts w:eastAsia="Times New Roman" w:cs="Times New Roman"/>
      <w:sz w:val="19"/>
      <w:szCs w:val="20"/>
      <w:lang w:eastAsia="en-AU"/>
    </w:rPr>
  </w:style>
  <w:style w:type="character" w:styleId="FootnoteReference">
    <w:name w:val="footnote reference"/>
    <w:basedOn w:val="DefaultParagraphFont"/>
    <w:rsid w:val="00E13BB3"/>
    <w:rPr>
      <w:vertAlign w:val="superscript"/>
    </w:rPr>
  </w:style>
  <w:style w:type="paragraph" w:styleId="FootnoteText">
    <w:name w:val="footnote text"/>
    <w:basedOn w:val="Normal"/>
    <w:link w:val="FootnoteTextChar"/>
    <w:rsid w:val="00797C0A"/>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797C0A"/>
    <w:rPr>
      <w:rFonts w:ascii="Book Antiqua" w:eastAsia="Times New Roman" w:hAnsi="Book Antiqua" w:cs="Times New Roman"/>
      <w:sz w:val="18"/>
      <w:szCs w:val="20"/>
      <w:lang w:eastAsia="en-AU"/>
    </w:rPr>
  </w:style>
  <w:style w:type="paragraph" w:styleId="Index1">
    <w:name w:val="index 1"/>
    <w:basedOn w:val="Normal"/>
    <w:next w:val="Normal"/>
    <w:rsid w:val="00E13BB3"/>
    <w:pPr>
      <w:ind w:left="200" w:hanging="200"/>
    </w:pPr>
  </w:style>
  <w:style w:type="paragraph" w:styleId="Index2">
    <w:name w:val="index 2"/>
    <w:basedOn w:val="Normal"/>
    <w:next w:val="Normal"/>
    <w:rsid w:val="00E13BB3"/>
    <w:pPr>
      <w:ind w:left="400" w:hanging="200"/>
    </w:pPr>
  </w:style>
  <w:style w:type="paragraph" w:styleId="Index3">
    <w:name w:val="index 3"/>
    <w:basedOn w:val="Normal"/>
    <w:next w:val="Normal"/>
    <w:rsid w:val="00E13BB3"/>
    <w:pPr>
      <w:ind w:left="600" w:hanging="200"/>
    </w:pPr>
  </w:style>
  <w:style w:type="paragraph" w:styleId="Index4">
    <w:name w:val="index 4"/>
    <w:basedOn w:val="Normal"/>
    <w:next w:val="Normal"/>
    <w:autoRedefine/>
    <w:semiHidden/>
    <w:rsid w:val="00E13BB3"/>
    <w:pPr>
      <w:ind w:left="800" w:hanging="200"/>
    </w:pPr>
  </w:style>
  <w:style w:type="paragraph" w:styleId="Index5">
    <w:name w:val="index 5"/>
    <w:basedOn w:val="Normal"/>
    <w:next w:val="Normal"/>
    <w:autoRedefine/>
    <w:semiHidden/>
    <w:rsid w:val="00E13BB3"/>
    <w:pPr>
      <w:ind w:left="1000" w:hanging="200"/>
    </w:pPr>
  </w:style>
  <w:style w:type="paragraph" w:styleId="Index6">
    <w:name w:val="index 6"/>
    <w:basedOn w:val="Normal"/>
    <w:next w:val="Normal"/>
    <w:autoRedefine/>
    <w:semiHidden/>
    <w:rsid w:val="00E13BB3"/>
    <w:pPr>
      <w:ind w:left="1200" w:hanging="200"/>
    </w:pPr>
  </w:style>
  <w:style w:type="paragraph" w:styleId="Index7">
    <w:name w:val="index 7"/>
    <w:basedOn w:val="Normal"/>
    <w:next w:val="Normal"/>
    <w:autoRedefine/>
    <w:semiHidden/>
    <w:rsid w:val="00E13BB3"/>
    <w:pPr>
      <w:ind w:left="1400" w:hanging="200"/>
    </w:pPr>
  </w:style>
  <w:style w:type="paragraph" w:styleId="Index8">
    <w:name w:val="index 8"/>
    <w:basedOn w:val="Normal"/>
    <w:next w:val="Normal"/>
    <w:autoRedefine/>
    <w:semiHidden/>
    <w:rsid w:val="00E13BB3"/>
    <w:pPr>
      <w:ind w:left="1600" w:hanging="200"/>
    </w:pPr>
  </w:style>
  <w:style w:type="paragraph" w:styleId="Index9">
    <w:name w:val="index 9"/>
    <w:basedOn w:val="Normal"/>
    <w:next w:val="Normal"/>
    <w:autoRedefine/>
    <w:semiHidden/>
    <w:rsid w:val="00E13BB3"/>
    <w:pPr>
      <w:ind w:left="1800" w:hanging="200"/>
    </w:pPr>
  </w:style>
  <w:style w:type="paragraph" w:styleId="IndexHeading">
    <w:name w:val="index heading"/>
    <w:basedOn w:val="Normal"/>
    <w:next w:val="Index1"/>
    <w:rsid w:val="00E13BB3"/>
    <w:rPr>
      <w:rFonts w:ascii="Arial Bold" w:hAnsi="Arial Bold" w:cs="Arial"/>
      <w:b/>
      <w:bCs/>
      <w:color w:val="002B54"/>
    </w:rPr>
  </w:style>
  <w:style w:type="paragraph" w:styleId="MacroText">
    <w:name w:val="macro"/>
    <w:link w:val="MacroTextChar"/>
    <w:unhideWhenUsed/>
    <w:rsid w:val="00E13BB3"/>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E13BB3"/>
    <w:rPr>
      <w:rFonts w:ascii="Courier New" w:eastAsia="Times New Roman" w:hAnsi="Courier New" w:cs="Courier New"/>
      <w:sz w:val="20"/>
      <w:szCs w:val="20"/>
      <w:lang w:eastAsia="en-AU"/>
    </w:rPr>
  </w:style>
  <w:style w:type="paragraph" w:styleId="TableofAuthorities">
    <w:name w:val="table of authorities"/>
    <w:basedOn w:val="Normal"/>
    <w:next w:val="Normal"/>
    <w:rsid w:val="00E13BB3"/>
    <w:pPr>
      <w:ind w:left="200" w:hanging="200"/>
    </w:pPr>
  </w:style>
  <w:style w:type="paragraph" w:styleId="TableofFigures">
    <w:name w:val="table of figures"/>
    <w:basedOn w:val="Normal"/>
    <w:next w:val="Normal"/>
    <w:rsid w:val="00E13BB3"/>
  </w:style>
  <w:style w:type="paragraph" w:styleId="TOAHeading">
    <w:name w:val="toa heading"/>
    <w:basedOn w:val="Normal"/>
    <w:next w:val="Normal"/>
    <w:rsid w:val="00E13BB3"/>
    <w:pPr>
      <w:spacing w:before="120"/>
    </w:pPr>
    <w:rPr>
      <w:rFonts w:ascii="Arial" w:hAnsi="Arial" w:cs="Arial"/>
      <w:b/>
      <w:bCs/>
      <w:sz w:val="24"/>
      <w:szCs w:val="24"/>
    </w:rPr>
  </w:style>
  <w:style w:type="paragraph" w:styleId="TOC1">
    <w:name w:val="toc 1"/>
    <w:basedOn w:val="HeaderBase"/>
    <w:next w:val="Normal"/>
    <w:uiPriority w:val="2"/>
    <w:rsid w:val="00797C0A"/>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rsid w:val="00797C0A"/>
    <w:pPr>
      <w:keepNext w:val="0"/>
      <w:tabs>
        <w:tab w:val="left" w:pos="992"/>
        <w:tab w:val="right" w:leader="dot" w:pos="7700"/>
      </w:tabs>
      <w:spacing w:before="60" w:after="60"/>
      <w:ind w:left="851" w:right="851" w:hanging="851"/>
    </w:pPr>
    <w:rPr>
      <w:sz w:val="18"/>
    </w:rPr>
  </w:style>
  <w:style w:type="paragraph" w:styleId="TOC3">
    <w:name w:val="toc 3"/>
    <w:basedOn w:val="HeadingBase"/>
    <w:next w:val="Normal"/>
    <w:uiPriority w:val="2"/>
    <w:unhideWhenUsed/>
    <w:rsid w:val="00797C0A"/>
    <w:pPr>
      <w:tabs>
        <w:tab w:val="right" w:leader="dot" w:pos="7700"/>
      </w:tabs>
      <w:spacing w:before="40"/>
      <w:ind w:right="851"/>
    </w:pPr>
    <w:rPr>
      <w:sz w:val="20"/>
    </w:rPr>
  </w:style>
  <w:style w:type="paragraph" w:styleId="TOC4">
    <w:name w:val="toc 4"/>
    <w:basedOn w:val="HeadingBase"/>
    <w:next w:val="Normal"/>
    <w:uiPriority w:val="2"/>
    <w:unhideWhenUsed/>
    <w:rsid w:val="00797C0A"/>
    <w:pPr>
      <w:tabs>
        <w:tab w:val="right" w:leader="dot" w:pos="7700"/>
      </w:tabs>
      <w:spacing w:before="40"/>
      <w:ind w:right="851"/>
    </w:pPr>
    <w:rPr>
      <w:sz w:val="20"/>
    </w:rPr>
  </w:style>
  <w:style w:type="paragraph" w:styleId="TOC5">
    <w:name w:val="toc 5"/>
    <w:basedOn w:val="Normal"/>
    <w:next w:val="Normal"/>
    <w:autoRedefine/>
    <w:uiPriority w:val="2"/>
    <w:rsid w:val="00E13BB3"/>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E13BB3"/>
    <w:pPr>
      <w:tabs>
        <w:tab w:val="left" w:pos="851"/>
      </w:tabs>
      <w:ind w:left="851" w:hanging="851"/>
    </w:pPr>
    <w:rPr>
      <w:color w:val="000000"/>
    </w:rPr>
  </w:style>
  <w:style w:type="paragraph" w:styleId="TOC7">
    <w:name w:val="toc 7"/>
    <w:basedOn w:val="Normal"/>
    <w:next w:val="Normal"/>
    <w:autoRedefine/>
    <w:uiPriority w:val="2"/>
    <w:semiHidden/>
    <w:rsid w:val="00E13BB3"/>
    <w:pPr>
      <w:ind w:left="1200"/>
    </w:pPr>
  </w:style>
  <w:style w:type="paragraph" w:styleId="TOC8">
    <w:name w:val="toc 8"/>
    <w:basedOn w:val="Normal"/>
    <w:next w:val="Normal"/>
    <w:autoRedefine/>
    <w:uiPriority w:val="2"/>
    <w:semiHidden/>
    <w:rsid w:val="00E13BB3"/>
    <w:pPr>
      <w:ind w:left="1400"/>
    </w:pPr>
  </w:style>
  <w:style w:type="paragraph" w:styleId="TOC9">
    <w:name w:val="toc 9"/>
    <w:basedOn w:val="Normal"/>
    <w:next w:val="Normal"/>
    <w:autoRedefine/>
    <w:uiPriority w:val="2"/>
    <w:semiHidden/>
    <w:rsid w:val="00E13BB3"/>
    <w:pPr>
      <w:ind w:left="1600"/>
    </w:pPr>
  </w:style>
  <w:style w:type="paragraph" w:customStyle="1" w:styleId="FileProperties">
    <w:name w:val="File Properties"/>
    <w:basedOn w:val="Normal"/>
    <w:rsid w:val="00797C0A"/>
    <w:pPr>
      <w:spacing w:before="0"/>
    </w:pPr>
    <w:rPr>
      <w:i/>
    </w:rPr>
  </w:style>
  <w:style w:type="character" w:customStyle="1" w:styleId="FramedHeader">
    <w:name w:val="Framed Header"/>
    <w:basedOn w:val="DefaultParagraphFont"/>
    <w:rsid w:val="00797C0A"/>
    <w:rPr>
      <w:rFonts w:ascii="Book Antiqua" w:hAnsi="Book Antiqua"/>
      <w:i/>
      <w:dstrike w:val="0"/>
      <w:color w:val="auto"/>
      <w:sz w:val="20"/>
      <w:vertAlign w:val="baseline"/>
    </w:rPr>
  </w:style>
  <w:style w:type="paragraph" w:styleId="NormalIndent">
    <w:name w:val="Normal Indent"/>
    <w:basedOn w:val="Normal"/>
    <w:rsid w:val="00797C0A"/>
    <w:pPr>
      <w:ind w:left="567"/>
    </w:pPr>
  </w:style>
  <w:style w:type="paragraph" w:customStyle="1" w:styleId="BlockedQuotation">
    <w:name w:val="Blocked Quotation"/>
    <w:basedOn w:val="Normal"/>
    <w:semiHidden/>
    <w:rsid w:val="00E13BB3"/>
    <w:pPr>
      <w:ind w:left="567"/>
    </w:pPr>
  </w:style>
  <w:style w:type="paragraph" w:customStyle="1" w:styleId="ChartMainHeading">
    <w:name w:val="Chart Main Heading"/>
    <w:basedOn w:val="ChartHeading"/>
    <w:next w:val="ChartGraphic"/>
    <w:rsid w:val="00797C0A"/>
  </w:style>
  <w:style w:type="table" w:styleId="TableGrid">
    <w:name w:val="Table Grid"/>
    <w:basedOn w:val="TableNormal"/>
    <w:rsid w:val="00797C0A"/>
    <w:pPr>
      <w:spacing w:after="240" w:line="260" w:lineRule="exact"/>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13BB3"/>
    <w:rPr>
      <w:sz w:val="24"/>
    </w:rPr>
  </w:style>
  <w:style w:type="paragraph" w:customStyle="1" w:styleId="Title3rdLevel">
    <w:name w:val="Title 3rd Level"/>
    <w:basedOn w:val="Normal"/>
    <w:next w:val="Title"/>
    <w:rsid w:val="00E13BB3"/>
    <w:pPr>
      <w:jc w:val="center"/>
    </w:pPr>
    <w:rPr>
      <w:rFonts w:ascii="Arial" w:hAnsi="Arial"/>
      <w:caps/>
    </w:rPr>
  </w:style>
  <w:style w:type="paragraph" w:customStyle="1" w:styleId="Part">
    <w:name w:val="Part"/>
    <w:basedOn w:val="Title"/>
    <w:next w:val="Normal"/>
    <w:rsid w:val="00E13BB3"/>
    <w:rPr>
      <w:caps w:val="0"/>
      <w:smallCaps/>
    </w:rPr>
  </w:style>
  <w:style w:type="paragraph" w:customStyle="1" w:styleId="TableHeadingNoTable">
    <w:name w:val="Table Heading No Table"/>
    <w:basedOn w:val="TableHeading"/>
    <w:next w:val="Normal"/>
    <w:rsid w:val="00797C0A"/>
    <w:pPr>
      <w:spacing w:after="240"/>
    </w:pPr>
  </w:style>
  <w:style w:type="paragraph" w:customStyle="1" w:styleId="TransmittalAddressee">
    <w:name w:val="Transmittal Addressee"/>
    <w:basedOn w:val="Normal"/>
    <w:rsid w:val="00E13BB3"/>
    <w:pPr>
      <w:spacing w:before="0" w:after="0"/>
    </w:pPr>
  </w:style>
  <w:style w:type="paragraph" w:customStyle="1" w:styleId="TransmittalStyle1">
    <w:name w:val="Transmittal Style 1"/>
    <w:basedOn w:val="HeadingBase"/>
    <w:rsid w:val="00E13BB3"/>
    <w:pPr>
      <w:spacing w:after="60"/>
      <w:jc w:val="right"/>
    </w:pPr>
    <w:rPr>
      <w:b/>
      <w:smallCaps/>
    </w:rPr>
  </w:style>
  <w:style w:type="paragraph" w:customStyle="1" w:styleId="TransmittalStyle2">
    <w:name w:val="Transmittal Style 2"/>
    <w:basedOn w:val="HeadingBase"/>
    <w:rsid w:val="00E13BB3"/>
    <w:pPr>
      <w:spacing w:before="60" w:after="60"/>
      <w:jc w:val="right"/>
    </w:pPr>
    <w:rPr>
      <w:rFonts w:ascii="Helvetica" w:hAnsi="Helvetica"/>
      <w:b/>
      <w:caps/>
      <w:sz w:val="16"/>
    </w:rPr>
  </w:style>
  <w:style w:type="paragraph" w:customStyle="1" w:styleId="UserGuidelevelTOC">
    <w:name w:val="UserGuide level TOC"/>
    <w:basedOn w:val="HeadingBase"/>
    <w:next w:val="Normal"/>
    <w:rsid w:val="00E13BB3"/>
    <w:pPr>
      <w:spacing w:before="360" w:after="360"/>
    </w:pPr>
    <w:rPr>
      <w:sz w:val="30"/>
    </w:rPr>
  </w:style>
  <w:style w:type="paragraph" w:customStyle="1" w:styleId="TableTextJustified">
    <w:name w:val="Table Text Justified"/>
    <w:basedOn w:val="TableTextBase"/>
    <w:rsid w:val="00797C0A"/>
    <w:pPr>
      <w:jc w:val="both"/>
    </w:pPr>
  </w:style>
  <w:style w:type="paragraph" w:customStyle="1" w:styleId="Department">
    <w:name w:val="Department"/>
    <w:basedOn w:val="Normal"/>
    <w:rsid w:val="00797C0A"/>
    <w:pPr>
      <w:spacing w:after="0" w:line="240" w:lineRule="auto"/>
      <w:jc w:val="center"/>
    </w:pPr>
    <w:rPr>
      <w:rFonts w:ascii="Arial" w:hAnsi="Arial"/>
      <w:b/>
      <w:sz w:val="52"/>
    </w:rPr>
  </w:style>
  <w:style w:type="paragraph" w:customStyle="1" w:styleId="DepartmentSubtitle">
    <w:name w:val="Department Subtitle"/>
    <w:basedOn w:val="Department"/>
    <w:rsid w:val="00797C0A"/>
    <w:rPr>
      <w:sz w:val="44"/>
    </w:rPr>
  </w:style>
  <w:style w:type="paragraph" w:customStyle="1" w:styleId="Crest">
    <w:name w:val="Crest"/>
    <w:basedOn w:val="Normal"/>
    <w:next w:val="TransmittalStyle1"/>
    <w:semiHidden/>
    <w:rsid w:val="00E13BB3"/>
    <w:pPr>
      <w:spacing w:after="0" w:line="240" w:lineRule="auto"/>
      <w:jc w:val="center"/>
    </w:pPr>
  </w:style>
  <w:style w:type="character" w:styleId="Hyperlink">
    <w:name w:val="Hyperlink"/>
    <w:uiPriority w:val="99"/>
    <w:unhideWhenUsed/>
    <w:rsid w:val="00797C0A"/>
    <w:rPr>
      <w:b w:val="0"/>
      <w:color w:val="auto"/>
      <w:u w:val="single"/>
    </w:rPr>
  </w:style>
  <w:style w:type="paragraph" w:customStyle="1" w:styleId="Heading1noTOC">
    <w:name w:val="Heading 1 no TOC"/>
    <w:basedOn w:val="Heading1"/>
    <w:rsid w:val="00E13BB3"/>
  </w:style>
  <w:style w:type="paragraph" w:customStyle="1" w:styleId="TableColumnOutgroupHeading">
    <w:name w:val="Table Column Outgroup Heading"/>
    <w:basedOn w:val="Normal"/>
    <w:rsid w:val="00797C0A"/>
    <w:pPr>
      <w:spacing w:before="60" w:after="120" w:line="240" w:lineRule="auto"/>
    </w:pPr>
    <w:rPr>
      <w:b/>
      <w:sz w:val="22"/>
    </w:rPr>
  </w:style>
  <w:style w:type="paragraph" w:customStyle="1" w:styleId="TableColumnOutgroupSubheading">
    <w:name w:val="Table Column Outgroup Subheading"/>
    <w:basedOn w:val="Normal"/>
    <w:rsid w:val="00797C0A"/>
    <w:pPr>
      <w:spacing w:before="60" w:after="120" w:line="240" w:lineRule="auto"/>
      <w:jc w:val="center"/>
    </w:pPr>
  </w:style>
  <w:style w:type="paragraph" w:customStyle="1" w:styleId="TableTextBullet">
    <w:name w:val="Table Text Bullet"/>
    <w:basedOn w:val="TableTextBase"/>
    <w:rsid w:val="00797C0A"/>
    <w:pPr>
      <w:numPr>
        <w:numId w:val="5"/>
      </w:numPr>
    </w:pPr>
  </w:style>
  <w:style w:type="paragraph" w:customStyle="1" w:styleId="Exampletextdash">
    <w:name w:val="Example text dash"/>
    <w:basedOn w:val="Exampletextbullet"/>
    <w:semiHidden/>
    <w:rsid w:val="00E13BB3"/>
    <w:pPr>
      <w:numPr>
        <w:ilvl w:val="1"/>
      </w:numPr>
    </w:pPr>
  </w:style>
  <w:style w:type="character" w:customStyle="1" w:styleId="HeadingBaseChar">
    <w:name w:val="Heading Base Char"/>
    <w:link w:val="HeadingBase"/>
    <w:rsid w:val="00797C0A"/>
    <w:rPr>
      <w:rFonts w:ascii="Arial" w:eastAsia="Times New Roman" w:hAnsi="Arial" w:cs="Times New Roman"/>
      <w:sz w:val="24"/>
      <w:szCs w:val="20"/>
      <w:lang w:eastAsia="en-AU"/>
    </w:rPr>
  </w:style>
  <w:style w:type="character" w:customStyle="1" w:styleId="TableHeadingChar">
    <w:name w:val="Table Heading Char"/>
    <w:link w:val="TableHeading"/>
    <w:rsid w:val="00797C0A"/>
    <w:rPr>
      <w:rFonts w:ascii="Arial" w:eastAsia="Times New Roman" w:hAnsi="Arial" w:cs="Times New Roman"/>
      <w:b/>
      <w:sz w:val="20"/>
      <w:szCs w:val="20"/>
      <w:lang w:eastAsia="en-AU"/>
    </w:rPr>
  </w:style>
  <w:style w:type="character" w:customStyle="1" w:styleId="TableTextBaseChar">
    <w:name w:val="Table Text Base Char"/>
    <w:link w:val="TableTextBase"/>
    <w:rsid w:val="00797C0A"/>
    <w:rPr>
      <w:rFonts w:ascii="Arial" w:eastAsia="Times New Roman" w:hAnsi="Arial" w:cs="Times New Roman"/>
      <w:sz w:val="16"/>
      <w:szCs w:val="20"/>
      <w:lang w:eastAsia="en-AU"/>
    </w:rPr>
  </w:style>
  <w:style w:type="paragraph" w:styleId="ListParagraph">
    <w:name w:val="List Paragraph"/>
    <w:basedOn w:val="Normal"/>
    <w:qFormat/>
    <w:rsid w:val="00797C0A"/>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797C0A"/>
    <w:pPr>
      <w:numPr>
        <w:ilvl w:val="1"/>
        <w:numId w:val="5"/>
      </w:numPr>
    </w:pPr>
  </w:style>
  <w:style w:type="character" w:customStyle="1" w:styleId="ChartandTableFootnoteChar">
    <w:name w:val="Chart and Table Footnote Char"/>
    <w:link w:val="ChartandTableFootnote"/>
    <w:rsid w:val="00797C0A"/>
    <w:rPr>
      <w:rFonts w:ascii="Arial" w:eastAsia="Times New Roman" w:hAnsi="Arial" w:cs="Times New Roman"/>
      <w:color w:val="000000"/>
      <w:sz w:val="16"/>
      <w:szCs w:val="20"/>
      <w:lang w:eastAsia="en-AU"/>
    </w:rPr>
  </w:style>
  <w:style w:type="paragraph" w:customStyle="1" w:styleId="PartHeading">
    <w:name w:val="Part Heading"/>
    <w:basedOn w:val="Title"/>
    <w:next w:val="Normal"/>
    <w:rsid w:val="00797C0A"/>
    <w:pPr>
      <w:spacing w:after="480" w:line="240" w:lineRule="auto"/>
      <w:outlineLvl w:val="9"/>
    </w:pPr>
    <w:rPr>
      <w:rFonts w:ascii="Arial Bold" w:hAnsi="Arial Bold" w:cs="Arial"/>
      <w:caps w:val="0"/>
      <w:lang w:val="en-AU"/>
    </w:rPr>
  </w:style>
  <w:style w:type="character" w:customStyle="1" w:styleId="BulletChar">
    <w:name w:val="Bullet Char"/>
    <w:link w:val="Bullet"/>
    <w:rsid w:val="00797C0A"/>
    <w:rPr>
      <w:rFonts w:ascii="Book Antiqua" w:eastAsia="Times New Roman" w:hAnsi="Book Antiqua" w:cs="Times New Roman"/>
      <w:sz w:val="19"/>
      <w:szCs w:val="20"/>
      <w:lang w:eastAsia="en-AU"/>
    </w:rPr>
  </w:style>
  <w:style w:type="paragraph" w:customStyle="1" w:styleId="BoxTextBase">
    <w:name w:val="Box Text Base"/>
    <w:basedOn w:val="Normal"/>
    <w:rsid w:val="00797C0A"/>
    <w:pPr>
      <w:spacing w:after="120"/>
    </w:pPr>
    <w:rPr>
      <w:color w:val="000000"/>
    </w:rPr>
  </w:style>
  <w:style w:type="paragraph" w:customStyle="1" w:styleId="BoxDash">
    <w:name w:val="Box Dash"/>
    <w:basedOn w:val="Normal"/>
    <w:rsid w:val="00797C0A"/>
    <w:pPr>
      <w:numPr>
        <w:ilvl w:val="1"/>
        <w:numId w:val="6"/>
      </w:numPr>
    </w:pPr>
    <w:rPr>
      <w:color w:val="000000"/>
    </w:rPr>
  </w:style>
  <w:style w:type="paragraph" w:customStyle="1" w:styleId="BoxDoubleDot">
    <w:name w:val="Box Double Dot"/>
    <w:basedOn w:val="BoxTextBase"/>
    <w:rsid w:val="00797C0A"/>
    <w:pPr>
      <w:numPr>
        <w:ilvl w:val="2"/>
        <w:numId w:val="6"/>
      </w:numPr>
    </w:pPr>
  </w:style>
  <w:style w:type="paragraph" w:customStyle="1" w:styleId="Outcome">
    <w:name w:val="Outcome"/>
    <w:basedOn w:val="Normal"/>
    <w:rsid w:val="00797C0A"/>
    <w:pPr>
      <w:spacing w:before="120" w:after="120" w:line="280" w:lineRule="exact"/>
    </w:pPr>
    <w:rPr>
      <w:rFonts w:ascii="Arial" w:hAnsi="Arial" w:cs="Arial"/>
      <w:b/>
    </w:rPr>
  </w:style>
  <w:style w:type="paragraph" w:customStyle="1" w:styleId="ProgramHeading">
    <w:name w:val="Program Heading"/>
    <w:basedOn w:val="HeadingBase"/>
    <w:rsid w:val="00797C0A"/>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797C0A"/>
  </w:style>
  <w:style w:type="paragraph" w:customStyle="1" w:styleId="ExampleText0">
    <w:name w:val="Example Text"/>
    <w:basedOn w:val="Normal"/>
    <w:rsid w:val="00797C0A"/>
    <w:rPr>
      <w:i/>
      <w:color w:val="FF0000"/>
    </w:rPr>
  </w:style>
  <w:style w:type="paragraph" w:styleId="NoSpacing">
    <w:name w:val="No Spacing"/>
    <w:uiPriority w:val="1"/>
    <w:qFormat/>
    <w:rsid w:val="00797C0A"/>
    <w:pPr>
      <w:spacing w:after="0" w:line="240" w:lineRule="auto"/>
    </w:pPr>
    <w:rPr>
      <w:rFonts w:ascii="Book Antiqua" w:eastAsia="Times New Roman" w:hAnsi="Book Antiqua" w:cs="Times New Roman"/>
      <w:sz w:val="19"/>
      <w:szCs w:val="20"/>
      <w:lang w:eastAsia="en-AU"/>
    </w:rPr>
  </w:style>
  <w:style w:type="character" w:customStyle="1" w:styleId="A5">
    <w:name w:val="A5"/>
    <w:uiPriority w:val="99"/>
    <w:rsid w:val="00797C0A"/>
    <w:rPr>
      <w:rFonts w:ascii="Swiss 721 BT" w:hAnsi="Swiss 721 BT" w:cs="Swiss 721 BT" w:hint="default"/>
      <w:color w:val="000000"/>
      <w:sz w:val="20"/>
      <w:szCs w:val="20"/>
    </w:rPr>
  </w:style>
  <w:style w:type="character" w:styleId="FollowedHyperlink">
    <w:name w:val="FollowedHyperlink"/>
    <w:rsid w:val="00E13BB3"/>
    <w:rPr>
      <w:color w:val="800080"/>
      <w:u w:val="single"/>
    </w:rPr>
  </w:style>
  <w:style w:type="character" w:styleId="Strong">
    <w:name w:val="Strong"/>
    <w:basedOn w:val="DefaultParagraphFont"/>
    <w:uiPriority w:val="22"/>
    <w:qFormat/>
    <w:rsid w:val="00E13BB3"/>
    <w:rPr>
      <w:b/>
      <w:bCs/>
    </w:rPr>
  </w:style>
  <w:style w:type="paragraph" w:customStyle="1" w:styleId="Heading2NoTOC">
    <w:name w:val="Heading 2 No TOC"/>
    <w:basedOn w:val="Heading2"/>
    <w:qFormat/>
    <w:rsid w:val="00E13BB3"/>
    <w:pPr>
      <w:outlineLvl w:val="9"/>
    </w:pPr>
  </w:style>
  <w:style w:type="paragraph" w:customStyle="1" w:styleId="PartHeading-TOC">
    <w:name w:val="Part Heading - TOC"/>
    <w:basedOn w:val="PartHeading"/>
    <w:rsid w:val="00E13BB3"/>
  </w:style>
  <w:style w:type="paragraph" w:styleId="Revision">
    <w:name w:val="Revision"/>
    <w:hidden/>
    <w:uiPriority w:val="99"/>
    <w:semiHidden/>
    <w:rsid w:val="00797C0A"/>
    <w:pPr>
      <w:spacing w:after="0" w:line="240" w:lineRule="auto"/>
    </w:pPr>
    <w:rPr>
      <w:rFonts w:ascii="Book Antiqua" w:eastAsia="Times New Roman" w:hAnsi="Book Antiqua" w:cs="Times New Roman"/>
      <w:sz w:val="20"/>
      <w:szCs w:val="20"/>
      <w:lang w:eastAsia="en-AU"/>
    </w:rPr>
  </w:style>
  <w:style w:type="paragraph" w:styleId="NoteHeading">
    <w:name w:val="Note Heading"/>
    <w:basedOn w:val="Normal"/>
    <w:next w:val="Normal"/>
    <w:link w:val="NoteHeadingChar"/>
    <w:rsid w:val="00797C0A"/>
  </w:style>
  <w:style w:type="character" w:customStyle="1" w:styleId="NoteHeadingChar">
    <w:name w:val="Note Heading Char"/>
    <w:basedOn w:val="DefaultParagraphFont"/>
    <w:link w:val="NoteHeading"/>
    <w:rsid w:val="00797C0A"/>
    <w:rPr>
      <w:rFonts w:ascii="Book Antiqua" w:eastAsia="Times New Roman" w:hAnsi="Book Antiqua" w:cs="Times New Roman"/>
      <w:sz w:val="19"/>
      <w:szCs w:val="20"/>
      <w:lang w:eastAsia="en-AU"/>
    </w:rPr>
  </w:style>
  <w:style w:type="paragraph" w:customStyle="1" w:styleId="SecurityClassificationFooter">
    <w:name w:val="Security Classification Footer"/>
    <w:link w:val="SecurityClassificationFooterChar"/>
    <w:rsid w:val="00E13BB3"/>
    <w:pPr>
      <w:spacing w:before="60" w:after="240"/>
      <w:jc w:val="center"/>
    </w:pPr>
    <w:rPr>
      <w:rFonts w:ascii="Calibri" w:eastAsia="Times New Roman" w:hAnsi="Calibri" w:cs="Calibri"/>
      <w:b/>
      <w:caps/>
      <w:color w:val="44546A" w:themeColor="text2"/>
      <w:sz w:val="24"/>
      <w:szCs w:val="20"/>
      <w:lang w:eastAsia="en-AU"/>
    </w:rPr>
  </w:style>
  <w:style w:type="character" w:customStyle="1" w:styleId="SecurityClassificationFooterChar">
    <w:name w:val="Security Classification Footer Char"/>
    <w:basedOn w:val="HeaderChar"/>
    <w:link w:val="SecurityClassificationFooter"/>
    <w:rsid w:val="00E13BB3"/>
    <w:rPr>
      <w:rFonts w:ascii="Calibri" w:eastAsia="Times New Roman" w:hAnsi="Calibri" w:cs="Calibri"/>
      <w:b/>
      <w:caps/>
      <w:color w:val="44546A" w:themeColor="text2"/>
      <w:sz w:val="24"/>
      <w:szCs w:val="20"/>
      <w:lang w:eastAsia="en-AU"/>
    </w:rPr>
  </w:style>
  <w:style w:type="paragraph" w:customStyle="1" w:styleId="DLMSecurityFooter">
    <w:name w:val="DLM Security Footer"/>
    <w:link w:val="DLMSecurityFooterChar"/>
    <w:rsid w:val="00E13BB3"/>
    <w:pPr>
      <w:spacing w:before="240" w:after="60"/>
      <w:jc w:val="center"/>
    </w:pPr>
    <w:rPr>
      <w:rFonts w:ascii="Calibri" w:eastAsia="Times New Roman" w:hAnsi="Calibri" w:cs="Calibri"/>
      <w:b/>
      <w:caps/>
      <w:color w:val="44546A" w:themeColor="text2"/>
      <w:sz w:val="24"/>
      <w:szCs w:val="20"/>
      <w:lang w:val="x-none" w:eastAsia="en-AU"/>
    </w:rPr>
  </w:style>
  <w:style w:type="character" w:customStyle="1" w:styleId="DLMSecurityFooterChar">
    <w:name w:val="DLM Security Footer Char"/>
    <w:basedOn w:val="HeaderChar"/>
    <w:link w:val="DLMSecurityFooter"/>
    <w:rsid w:val="00E13BB3"/>
    <w:rPr>
      <w:rFonts w:ascii="Calibri" w:eastAsia="Times New Roman" w:hAnsi="Calibri" w:cs="Calibri"/>
      <w:b/>
      <w:caps/>
      <w:color w:val="44546A" w:themeColor="text2"/>
      <w:sz w:val="24"/>
      <w:szCs w:val="20"/>
      <w:lang w:val="x-none" w:eastAsia="en-AU"/>
    </w:rPr>
  </w:style>
  <w:style w:type="paragraph" w:customStyle="1" w:styleId="FooterEven">
    <w:name w:val="Footer Even"/>
    <w:basedOn w:val="Footer"/>
    <w:qFormat/>
    <w:rsid w:val="00797C0A"/>
    <w:pPr>
      <w:pBdr>
        <w:top w:val="single" w:sz="4" w:space="10" w:color="000000" w:themeColor="text1"/>
      </w:pBdr>
      <w:jc w:val="left"/>
    </w:pPr>
    <w:rPr>
      <w:color w:val="auto"/>
      <w:sz w:val="18"/>
    </w:rPr>
  </w:style>
  <w:style w:type="paragraph" w:customStyle="1" w:styleId="ChartandTableFootnoteAlpha-Bullet">
    <w:name w:val="Chart and Table Footnote Alpha - Bullet"/>
    <w:basedOn w:val="ChartandTableFootnoteAlpha"/>
    <w:rsid w:val="00797C0A"/>
    <w:pPr>
      <w:numPr>
        <w:numId w:val="14"/>
      </w:numPr>
      <w:tabs>
        <w:tab w:val="left" w:pos="454"/>
      </w:tabs>
    </w:pPr>
    <w:rPr>
      <w:rFonts w:cs="Arial"/>
      <w:szCs w:val="16"/>
    </w:rPr>
  </w:style>
  <w:style w:type="paragraph" w:customStyle="1" w:styleId="ChartandTableFootnote-Dash">
    <w:name w:val="Chart and Table Footnote - Dash"/>
    <w:basedOn w:val="Normal"/>
    <w:rsid w:val="00E13BB3"/>
    <w:pPr>
      <w:tabs>
        <w:tab w:val="left" w:pos="680"/>
      </w:tabs>
      <w:spacing w:before="0" w:after="0" w:line="240" w:lineRule="auto"/>
      <w:ind w:left="681" w:hanging="397"/>
    </w:pPr>
    <w:rPr>
      <w:rFonts w:ascii="Arial" w:hAnsi="Arial"/>
      <w:sz w:val="16"/>
    </w:rPr>
  </w:style>
  <w:style w:type="paragraph" w:customStyle="1" w:styleId="Box-continuedon">
    <w:name w:val="Box - continued on"/>
    <w:basedOn w:val="Normal"/>
    <w:qFormat/>
    <w:rsid w:val="00E13BB3"/>
    <w:pPr>
      <w:jc w:val="right"/>
    </w:pPr>
    <w:rPr>
      <w:rFonts w:asciiTheme="majorHAnsi" w:hAnsiTheme="majorHAnsi" w:cstheme="majorHAnsi"/>
      <w:i/>
      <w:iCs/>
      <w:sz w:val="22"/>
      <w:szCs w:val="24"/>
    </w:rPr>
  </w:style>
  <w:style w:type="character" w:customStyle="1" w:styleId="BoxHeading-Continued">
    <w:name w:val="Box Heading - Continued"/>
    <w:uiPriority w:val="1"/>
    <w:qFormat/>
    <w:rsid w:val="00797C0A"/>
    <w:rPr>
      <w:sz w:val="22"/>
    </w:rPr>
  </w:style>
  <w:style w:type="paragraph" w:customStyle="1" w:styleId="BoxSubHeading">
    <w:name w:val="Box Sub Heading"/>
    <w:basedOn w:val="Heading6"/>
    <w:rsid w:val="00797C0A"/>
    <w:pPr>
      <w:spacing w:before="120" w:after="40"/>
    </w:pPr>
  </w:style>
  <w:style w:type="paragraph" w:customStyle="1" w:styleId="ChartHeading">
    <w:name w:val="Chart Heading"/>
    <w:basedOn w:val="HeadingBase"/>
    <w:next w:val="ChartGraphic"/>
    <w:qFormat/>
    <w:rsid w:val="00797C0A"/>
    <w:pPr>
      <w:spacing w:before="120" w:after="20"/>
    </w:pPr>
    <w:rPr>
      <w:b/>
      <w:sz w:val="20"/>
    </w:rPr>
  </w:style>
  <w:style w:type="paragraph" w:customStyle="1" w:styleId="ChartLine">
    <w:name w:val="Chart Line"/>
    <w:basedOn w:val="NoSpacing"/>
    <w:autoRedefine/>
    <w:qFormat/>
    <w:rsid w:val="00797C0A"/>
    <w:pPr>
      <w:pBdr>
        <w:bottom w:val="single" w:sz="4" w:space="2" w:color="D0CECE" w:themeColor="background2" w:themeShade="E6"/>
      </w:pBdr>
      <w:spacing w:after="240"/>
    </w:pPr>
    <w:rPr>
      <w:rFonts w:asciiTheme="minorHAnsi" w:hAnsiTheme="minorHAnsi"/>
      <w:noProof/>
      <w:sz w:val="4"/>
      <w:szCs w:val="4"/>
    </w:rPr>
  </w:style>
  <w:style w:type="paragraph" w:customStyle="1" w:styleId="Heading3noTOC">
    <w:name w:val="Heading 3 no TOC"/>
    <w:basedOn w:val="Heading3"/>
    <w:rsid w:val="00797C0A"/>
    <w:pPr>
      <w:outlineLvl w:val="9"/>
    </w:pPr>
  </w:style>
  <w:style w:type="paragraph" w:customStyle="1" w:styleId="Statement">
    <w:name w:val="Statement"/>
    <w:basedOn w:val="Normal"/>
    <w:autoRedefine/>
    <w:qFormat/>
    <w:rsid w:val="00797C0A"/>
    <w:pPr>
      <w:textboxTightWrap w:val="firstAndLastLine"/>
    </w:pPr>
    <w:rPr>
      <w:rFonts w:cstheme="minorHAnsi"/>
      <w:kern w:val="18"/>
      <w:sz w:val="18"/>
    </w:rPr>
  </w:style>
  <w:style w:type="paragraph" w:customStyle="1" w:styleId="Statement-Bullet">
    <w:name w:val="Statement - Bullet"/>
    <w:basedOn w:val="Bullet"/>
    <w:qFormat/>
    <w:rsid w:val="00797C0A"/>
    <w:pPr>
      <w:ind w:left="284" w:hanging="284"/>
    </w:pPr>
  </w:style>
  <w:style w:type="paragraph" w:customStyle="1" w:styleId="TableLine">
    <w:name w:val="Table Line"/>
    <w:basedOn w:val="Normal"/>
    <w:next w:val="Normal"/>
    <w:autoRedefine/>
    <w:rsid w:val="00797C0A"/>
    <w:pPr>
      <w:pBdr>
        <w:bottom w:val="single" w:sz="4" w:space="2" w:color="D0CECE" w:themeColor="background2" w:themeShade="E6"/>
      </w:pBdr>
      <w:spacing w:before="0" w:line="240" w:lineRule="auto"/>
    </w:pPr>
    <w:rPr>
      <w:noProof/>
      <w:sz w:val="4"/>
      <w:szCs w:val="4"/>
    </w:rPr>
  </w:style>
  <w:style w:type="paragraph" w:customStyle="1" w:styleId="TPHeading3bold">
    <w:name w:val="TP Heading 3 bold"/>
    <w:basedOn w:val="TPHeading3"/>
    <w:semiHidden/>
    <w:rsid w:val="00797C0A"/>
    <w:rPr>
      <w:rFonts w:cs="Arial"/>
      <w:b/>
      <w:sz w:val="22"/>
      <w:szCs w:val="22"/>
    </w:rPr>
  </w:style>
  <w:style w:type="paragraph" w:customStyle="1" w:styleId="TPHEADING3boldspace">
    <w:name w:val="TP HEADING 3 bold space"/>
    <w:basedOn w:val="TPHeading3bold"/>
    <w:semiHidden/>
    <w:rsid w:val="00797C0A"/>
    <w:pPr>
      <w:spacing w:after="120"/>
    </w:pPr>
  </w:style>
  <w:style w:type="paragraph" w:customStyle="1" w:styleId="TPHEADING3space">
    <w:name w:val="TP HEADING 3 space"/>
    <w:basedOn w:val="TPHeading3"/>
    <w:semiHidden/>
    <w:rsid w:val="00797C0A"/>
    <w:pPr>
      <w:spacing w:before="120" w:after="120"/>
    </w:pPr>
    <w:rPr>
      <w:rFonts w:cs="Arial"/>
      <w:sz w:val="22"/>
      <w:szCs w:val="22"/>
    </w:rPr>
  </w:style>
  <w:style w:type="paragraph" w:customStyle="1" w:styleId="TPHeading4">
    <w:name w:val="TP Heading 4"/>
    <w:basedOn w:val="TPHeading3"/>
    <w:semiHidden/>
    <w:rsid w:val="00797C0A"/>
    <w:rPr>
      <w:sz w:val="20"/>
    </w:rPr>
  </w:style>
  <w:style w:type="paragraph" w:customStyle="1" w:styleId="TPHEADING4space">
    <w:name w:val="TP HEADING 4 space"/>
    <w:basedOn w:val="TPHEADING3space"/>
    <w:semiHidden/>
    <w:rsid w:val="00E13BB3"/>
  </w:style>
  <w:style w:type="paragraph" w:styleId="NormalWeb">
    <w:name w:val="Normal (Web)"/>
    <w:basedOn w:val="Normal"/>
    <w:uiPriority w:val="99"/>
    <w:semiHidden/>
    <w:unhideWhenUsed/>
    <w:rsid w:val="0089742A"/>
    <w:rPr>
      <w:rFonts w:ascii="Times New Roman" w:hAnsi="Times New Roman"/>
      <w:sz w:val="24"/>
      <w:szCs w:val="24"/>
    </w:rPr>
  </w:style>
  <w:style w:type="character" w:customStyle="1" w:styleId="TableColumnHeadingRightChar">
    <w:name w:val="Table Column Heading Right Char"/>
    <w:link w:val="TableColumnHeadingRight"/>
    <w:rsid w:val="00797C0A"/>
    <w:rPr>
      <w:rFonts w:ascii="Arial Bold" w:eastAsia="Times New Roman" w:hAnsi="Arial Bold" w:cs="Times New Roman"/>
      <w:b/>
      <w:sz w:val="16"/>
      <w:szCs w:val="20"/>
      <w:lang w:eastAsia="en-AU"/>
    </w:rPr>
  </w:style>
  <w:style w:type="paragraph" w:customStyle="1" w:styleId="Heading3ptafter">
    <w:name w:val="Heading 3 pt after"/>
    <w:basedOn w:val="Heading6"/>
    <w:rsid w:val="00797C0A"/>
    <w:pPr>
      <w:spacing w:after="60"/>
    </w:pPr>
    <w:rPr>
      <w:bCs w:val="0"/>
      <w:i/>
      <w:iCs/>
    </w:rPr>
  </w:style>
  <w:style w:type="paragraph" w:customStyle="1" w:styleId="Tabletextjustified0">
    <w:name w:val="Table text justified"/>
    <w:basedOn w:val="Normal"/>
    <w:semiHidden/>
    <w:rsid w:val="00797C0A"/>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797C0A"/>
    <w:pPr>
      <w:spacing w:before="120" w:after="120" w:line="240" w:lineRule="auto"/>
    </w:pPr>
    <w:rPr>
      <w:rFonts w:ascii="Arial" w:hAnsi="Arial" w:cs="Arial"/>
      <w:b/>
      <w:sz w:val="18"/>
    </w:rPr>
  </w:style>
  <w:style w:type="paragraph" w:customStyle="1" w:styleId="TableSideHeading">
    <w:name w:val="Table Side Heading"/>
    <w:basedOn w:val="TableHeading2ndLevelWord"/>
    <w:semiHidden/>
    <w:rsid w:val="00797C0A"/>
    <w:pPr>
      <w:spacing w:before="100" w:after="100" w:line="250" w:lineRule="exact"/>
    </w:pPr>
  </w:style>
  <w:style w:type="character" w:customStyle="1" w:styleId="OverviewParagraphChar">
    <w:name w:val="Overview Paragraph Char"/>
    <w:link w:val="OverviewParagraph"/>
    <w:rsid w:val="00797C0A"/>
    <w:rPr>
      <w:rFonts w:ascii="Book Antiqua" w:eastAsia="Times New Roman" w:hAnsi="Book Antiqua" w:cs="Times New Roman"/>
      <w:sz w:val="19"/>
      <w:szCs w:val="20"/>
      <w:lang w:eastAsia="en-AU"/>
    </w:rPr>
  </w:style>
  <w:style w:type="paragraph" w:customStyle="1" w:styleId="Area">
    <w:name w:val="Area"/>
    <w:basedOn w:val="Normal"/>
    <w:rsid w:val="00797C0A"/>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797C0A"/>
    <w:pPr>
      <w:tabs>
        <w:tab w:val="right" w:pos="9639"/>
      </w:tabs>
      <w:spacing w:before="60" w:after="60"/>
      <w:jc w:val="right"/>
    </w:pPr>
    <w:rPr>
      <w:rFonts w:ascii="Times New Roman" w:hAnsi="Times New Roman"/>
      <w:b/>
      <w:caps/>
      <w:sz w:val="16"/>
      <w:szCs w:val="16"/>
    </w:rPr>
  </w:style>
  <w:style w:type="paragraph" w:customStyle="1" w:styleId="Outcomeheading">
    <w:name w:val="Outcome heading"/>
    <w:basedOn w:val="Heading3"/>
    <w:qFormat/>
    <w:rsid w:val="00797C0A"/>
  </w:style>
  <w:style w:type="paragraph" w:customStyle="1" w:styleId="ChartandTableFootnotenumbered">
    <w:name w:val="Chart and Table Footnote numbered"/>
    <w:basedOn w:val="Normal"/>
    <w:next w:val="Normal"/>
    <w:rsid w:val="00797C0A"/>
    <w:pPr>
      <w:keepNext/>
      <w:spacing w:after="0"/>
    </w:pPr>
    <w:rPr>
      <w:rFonts w:ascii="Arial" w:hAnsi="Arial"/>
      <w:sz w:val="16"/>
    </w:rPr>
  </w:style>
  <w:style w:type="character" w:customStyle="1" w:styleId="DashChar">
    <w:name w:val="Dash Char"/>
    <w:link w:val="Dash"/>
    <w:rsid w:val="00797C0A"/>
    <w:rPr>
      <w:rFonts w:ascii="Book Antiqua" w:eastAsia="Times New Roman" w:hAnsi="Book Antiqua" w:cs="Times New Roman"/>
      <w:sz w:val="19"/>
      <w:szCs w:val="20"/>
      <w:lang w:eastAsia="en-AU"/>
    </w:rPr>
  </w:style>
  <w:style w:type="character" w:customStyle="1" w:styleId="DoubleDotChar">
    <w:name w:val="Double Dot Char"/>
    <w:link w:val="DoubleDot"/>
    <w:rsid w:val="00797C0A"/>
    <w:rPr>
      <w:rFonts w:ascii="Book Antiqua" w:eastAsia="Times New Roman" w:hAnsi="Book Antiqua" w:cs="Times New Roman"/>
      <w:sz w:val="19"/>
      <w:szCs w:val="20"/>
      <w:lang w:val="x-none" w:eastAsia="en-AU"/>
    </w:rPr>
  </w:style>
  <w:style w:type="paragraph" w:styleId="BodyText">
    <w:name w:val="Body Text"/>
    <w:basedOn w:val="Normal"/>
    <w:link w:val="BodyTextChar"/>
    <w:qFormat/>
    <w:rsid w:val="00797C0A"/>
    <w:pPr>
      <w:spacing w:after="120" w:line="240" w:lineRule="auto"/>
    </w:pPr>
    <w:rPr>
      <w:rFonts w:ascii="Cambria" w:eastAsia="Cambria" w:hAnsi="Cambria"/>
      <w:sz w:val="22"/>
      <w:szCs w:val="22"/>
      <w:lang w:val="x-none" w:eastAsia="en-US"/>
    </w:rPr>
  </w:style>
  <w:style w:type="character" w:customStyle="1" w:styleId="BodyTextChar">
    <w:name w:val="Body Text Char"/>
    <w:link w:val="BodyText"/>
    <w:rsid w:val="00797C0A"/>
    <w:rPr>
      <w:rFonts w:ascii="Cambria" w:eastAsia="Cambria" w:hAnsi="Cambria" w:cs="Times New Roman"/>
      <w:lang w:val="x-none"/>
    </w:rPr>
  </w:style>
  <w:style w:type="paragraph" w:customStyle="1" w:styleId="Default">
    <w:name w:val="Default"/>
    <w:basedOn w:val="Normal"/>
    <w:rsid w:val="00797C0A"/>
    <w:pPr>
      <w:autoSpaceDE w:val="0"/>
      <w:autoSpaceDN w:val="0"/>
      <w:spacing w:after="0" w:line="240" w:lineRule="auto"/>
    </w:pPr>
    <w:rPr>
      <w:rFonts w:ascii="Cambria" w:eastAsia="Calibri" w:hAnsi="Cambria"/>
      <w:color w:val="000000"/>
      <w:sz w:val="24"/>
      <w:szCs w:val="24"/>
      <w:lang w:eastAsia="en-US"/>
    </w:rPr>
  </w:style>
  <w:style w:type="paragraph" w:customStyle="1" w:styleId="TableHeadingcontinued0">
    <w:name w:val="Table Heading (continued)"/>
    <w:basedOn w:val="TableHeading"/>
    <w:rsid w:val="00797C0A"/>
    <w:rPr>
      <w:snapToGrid w:val="0"/>
    </w:rPr>
  </w:style>
  <w:style w:type="paragraph" w:customStyle="1" w:styleId="Heading1-NoTOC">
    <w:name w:val="Heading 1 - No TOC"/>
    <w:basedOn w:val="Heading1"/>
    <w:rsid w:val="00797C0A"/>
    <w:pPr>
      <w:outlineLvl w:val="9"/>
    </w:pPr>
  </w:style>
  <w:style w:type="paragraph" w:customStyle="1" w:styleId="Heading2-NoTOC">
    <w:name w:val="Heading 2 - No TOC"/>
    <w:rsid w:val="00797C0A"/>
    <w:pPr>
      <w:spacing w:before="240" w:after="240" w:line="240" w:lineRule="auto"/>
    </w:pPr>
    <w:rPr>
      <w:rFonts w:ascii="Arial" w:eastAsia="Times New Roman" w:hAnsi="Arial" w:cs="Times New Roman"/>
      <w:b/>
      <w:sz w:val="26"/>
      <w:szCs w:val="20"/>
      <w:lang w:eastAsia="en-AU"/>
    </w:rPr>
  </w:style>
  <w:style w:type="paragraph" w:customStyle="1" w:styleId="PartHeading-NoTOC">
    <w:name w:val="Part Heading - No TOC"/>
    <w:basedOn w:val="PartHeading"/>
    <w:rsid w:val="00797C0A"/>
  </w:style>
  <w:style w:type="character" w:styleId="UnresolvedMention">
    <w:name w:val="Unresolved Mention"/>
    <w:basedOn w:val="DefaultParagraphFont"/>
    <w:uiPriority w:val="99"/>
    <w:semiHidden/>
    <w:unhideWhenUsed/>
    <w:rsid w:val="00797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Budget\PA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4" ma:contentTypeDescription="Create a new document." ma:contentTypeScope="" ma:versionID="6d5def4f4cadcbf285070b20aae0eb2c">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f6a0c324d594ffe250cfe21f2d7a253e"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MediaServiceMetadata" minOccurs="0"/>
                <xsd:element ref="ns2:MediaServiceFastMetadata" minOccurs="0"/>
                <xsd:element ref="ns2:MediaServiceAutoKeyPoints" minOccurs="0"/>
                <xsd:element ref="ns2:MediaServiceKeyPoints" minOccurs="0"/>
                <xsd:element ref="ns2:Status" minOccurs="0"/>
                <xsd:element ref="ns2:Note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Status" ma:index="12" nillable="true" ma:displayName="Status" ma:format="Dropdown" ma:hidden="true"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13" nillable="true" ma:displayName="Notes" ma:format="Dropdown" ma:hidden="true" ma:internalName="Notes" ma:readOnly="fals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_Flow_SignoffStatus" ma:index="24" nillable="true" ma:displayName="Sign-off status" ma:hidden="true" ma:internalName="Sign_x002d_off_x0020_status" ma:readOnly="fals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Notes xmlns="9115ddca-c623-419f-a3c0-6a1c58c4dac8" xsi:nil="true"/>
    <Image xmlns="9115ddca-c623-419f-a3c0-6a1c58c4dac8" xsi:nil="true"/>
  </documentManagement>
</p:properties>
</file>

<file path=customXml/itemProps1.xml><?xml version="1.0" encoding="utf-8"?>
<ds:datastoreItem xmlns:ds="http://schemas.openxmlformats.org/officeDocument/2006/customXml" ds:itemID="{E5A52BAF-62C7-4566-A5E4-161900884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15ddca-c623-419f-a3c0-6a1c58c4dac8"/>
    <ds:schemaRef ds:uri="244fe85f-b655-4145-9b20-543b75dc1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F01ECD-AA5F-411A-80CF-A75676C4AEC4}">
  <ds:schemaRefs>
    <ds:schemaRef ds:uri="http://schemas.openxmlformats.org/officeDocument/2006/bibliography"/>
  </ds:schemaRefs>
</ds:datastoreItem>
</file>

<file path=customXml/itemProps3.xml><?xml version="1.0" encoding="utf-8"?>
<ds:datastoreItem xmlns:ds="http://schemas.openxmlformats.org/officeDocument/2006/customXml" ds:itemID="{6732018B-FC05-47A5-A39B-FF82A95DCD38}">
  <ds:schemaRefs>
    <ds:schemaRef ds:uri="http://schemas.microsoft.com/sharepoint/v3/contenttype/forms"/>
  </ds:schemaRefs>
</ds:datastoreItem>
</file>

<file path=customXml/itemProps4.xml><?xml version="1.0" encoding="utf-8"?>
<ds:datastoreItem xmlns:ds="http://schemas.openxmlformats.org/officeDocument/2006/customXml" ds:itemID="{24DE1F18-AAD6-4833-A9A5-5E0C7A6ABA47}">
  <ds:schemaRefs>
    <ds:schemaRef ds:uri="http://schemas.microsoft.com/office/2006/metadata/properties"/>
    <ds:schemaRef ds:uri="http://schemas.microsoft.com/office/infopath/2007/PartnerControls"/>
    <ds:schemaRef ds:uri="http://schemas.microsoft.com/sharepoint/v3"/>
    <ds:schemaRef ds:uri="9115ddca-c623-419f-a3c0-6a1c58c4dac8"/>
    <ds:schemaRef ds:uri="244fe85f-b655-4145-9b20-543b75dc1c24"/>
  </ds:schemaRefs>
</ds:datastoreItem>
</file>

<file path=docProps/app.xml><?xml version="1.0" encoding="utf-8"?>
<Properties xmlns="http://schemas.openxmlformats.org/officeDocument/2006/extended-properties" xmlns:vt="http://schemas.openxmlformats.org/officeDocument/2006/docPropsVTypes">
  <Template>PAES Template.dotx</Template>
  <TotalTime>117</TotalTime>
  <Pages>3</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Portfolio Additional Estimates Statements 2022-23</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Additional Estimates Statements 2022-23</dc:title>
  <dc:subject/>
  <dc:creator>Australian Government</dc:creator>
  <cp:keywords/>
  <dc:description/>
  <cp:lastModifiedBy>Smith, Matthew</cp:lastModifiedBy>
  <cp:revision>80</cp:revision>
  <cp:lastPrinted>2023-05-06T14:24:00Z</cp:lastPrinted>
  <dcterms:created xsi:type="dcterms:W3CDTF">2023-04-17T11:09:00Z</dcterms:created>
  <dcterms:modified xsi:type="dcterms:W3CDTF">2023-05-07T08:50:00Z</dcterms:modified>
</cp:coreProperties>
</file>